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042A6C" w:rsidRDefault="001A5518" w:rsidP="001A5518">
      <w:pPr>
        <w:rPr>
          <w:b/>
          <w:bCs/>
          <w:i/>
          <w:iCs/>
          <w:sz w:val="22"/>
          <w:szCs w:val="22"/>
          <w:u w:val="single"/>
          <w:lang w:val="sr-Latn-ME"/>
        </w:rPr>
      </w:pPr>
    </w:p>
    <w:p w:rsidR="00F91C7B" w:rsidRPr="00042A6C" w:rsidRDefault="00F91C7B" w:rsidP="001A5518">
      <w:pPr>
        <w:rPr>
          <w:b/>
          <w:bCs/>
          <w:i/>
          <w:iCs/>
          <w:sz w:val="22"/>
          <w:szCs w:val="22"/>
          <w:u w:val="single"/>
          <w:lang w:val="sr-Latn-ME"/>
        </w:rPr>
      </w:pPr>
    </w:p>
    <w:p w:rsidR="00C37FD7" w:rsidRPr="00042A6C" w:rsidRDefault="002510A5" w:rsidP="00D904F7">
      <w:pPr>
        <w:jc w:val="center"/>
        <w:rPr>
          <w:b/>
          <w:bCs/>
          <w:iCs/>
          <w:sz w:val="22"/>
          <w:szCs w:val="22"/>
          <w:u w:val="single"/>
          <w:lang w:val="sr-Latn-ME"/>
        </w:rPr>
      </w:pPr>
      <w:r w:rsidRPr="00042A6C">
        <w:rPr>
          <w:b/>
          <w:bCs/>
          <w:iCs/>
          <w:sz w:val="22"/>
          <w:szCs w:val="22"/>
          <w:u w:val="single"/>
          <w:lang w:val="sr-Latn-ME"/>
        </w:rPr>
        <w:t>SAŽETAK KARAKTERISTIKA LIJEKA</w:t>
      </w:r>
    </w:p>
    <w:p w:rsidR="003C17AB" w:rsidRPr="00042A6C" w:rsidRDefault="003C17AB" w:rsidP="00F5167F">
      <w:pPr>
        <w:tabs>
          <w:tab w:val="left" w:pos="540"/>
          <w:tab w:val="left" w:pos="569"/>
        </w:tabs>
        <w:rPr>
          <w:noProof/>
          <w:sz w:val="22"/>
          <w:szCs w:val="22"/>
          <w:lang w:val="sr-Latn-ME"/>
        </w:rPr>
      </w:pPr>
    </w:p>
    <w:p w:rsidR="00C37FD7" w:rsidRPr="00042A6C" w:rsidRDefault="00C37FD7" w:rsidP="00F5167F">
      <w:pPr>
        <w:tabs>
          <w:tab w:val="left" w:pos="540"/>
          <w:tab w:val="left" w:pos="569"/>
        </w:tabs>
        <w:rPr>
          <w:bCs/>
          <w:sz w:val="22"/>
          <w:szCs w:val="22"/>
          <w:lang w:val="sr-Latn-ME"/>
        </w:rPr>
      </w:pPr>
    </w:p>
    <w:p w:rsidR="00411B4B" w:rsidRPr="00042A6C" w:rsidRDefault="00411B4B" w:rsidP="00F5167F">
      <w:pPr>
        <w:tabs>
          <w:tab w:val="left" w:pos="540"/>
          <w:tab w:val="left" w:pos="569"/>
        </w:tabs>
        <w:rPr>
          <w:b/>
          <w:bCs/>
          <w:sz w:val="22"/>
          <w:szCs w:val="22"/>
          <w:lang w:val="sr-Latn-ME"/>
        </w:rPr>
      </w:pPr>
      <w:r w:rsidRPr="00042A6C">
        <w:rPr>
          <w:b/>
          <w:bCs/>
          <w:sz w:val="22"/>
          <w:szCs w:val="22"/>
          <w:lang w:val="sr-Latn-ME"/>
        </w:rPr>
        <w:t>1.</w:t>
      </w:r>
      <w:r w:rsidR="00F5167F" w:rsidRPr="00042A6C">
        <w:rPr>
          <w:b/>
          <w:bCs/>
          <w:sz w:val="22"/>
          <w:szCs w:val="22"/>
          <w:lang w:val="sr-Latn-ME"/>
        </w:rPr>
        <w:tab/>
      </w:r>
      <w:r w:rsidR="002846DB" w:rsidRPr="00042A6C">
        <w:rPr>
          <w:b/>
          <w:bCs/>
          <w:sz w:val="22"/>
          <w:szCs w:val="22"/>
          <w:lang w:val="sr-Latn-ME"/>
        </w:rPr>
        <w:t xml:space="preserve">NAZIV </w:t>
      </w:r>
      <w:r w:rsidRPr="00042A6C">
        <w:rPr>
          <w:b/>
          <w:bCs/>
          <w:sz w:val="22"/>
          <w:szCs w:val="22"/>
          <w:lang w:val="sr-Latn-ME"/>
        </w:rPr>
        <w:t>LIJEKA</w:t>
      </w:r>
    </w:p>
    <w:p w:rsidR="00EC2532" w:rsidRPr="00042A6C" w:rsidRDefault="00EC2532">
      <w:pPr>
        <w:rPr>
          <w:sz w:val="22"/>
          <w:szCs w:val="22"/>
          <w:lang w:val="sr-Latn-ME"/>
        </w:rPr>
      </w:pPr>
    </w:p>
    <w:p w:rsidR="000D425A" w:rsidRPr="00042A6C" w:rsidRDefault="00D904F7">
      <w:pPr>
        <w:rPr>
          <w:iCs/>
          <w:sz w:val="22"/>
          <w:szCs w:val="22"/>
          <w:lang w:val="sr-Latn-ME"/>
        </w:rPr>
      </w:pPr>
      <w:r w:rsidRPr="00042A6C">
        <w:rPr>
          <w:iCs/>
          <w:sz w:val="22"/>
          <w:szCs w:val="22"/>
          <w:lang w:val="sr-Latn-ME"/>
        </w:rPr>
        <w:t>Corviva, 15 mg, film tablete</w:t>
      </w:r>
    </w:p>
    <w:p w:rsidR="006D20A5" w:rsidRPr="00042A6C" w:rsidRDefault="006D20A5" w:rsidP="006D20A5">
      <w:pPr>
        <w:rPr>
          <w:sz w:val="22"/>
          <w:szCs w:val="22"/>
          <w:lang w:val="sr-Latn-ME"/>
        </w:rPr>
      </w:pPr>
      <w:r w:rsidRPr="00042A6C">
        <w:rPr>
          <w:sz w:val="22"/>
          <w:szCs w:val="22"/>
          <w:lang w:val="sr-Latn-ME"/>
        </w:rPr>
        <w:t>INN:</w:t>
      </w:r>
      <w:r w:rsidR="00D904F7" w:rsidRPr="00042A6C">
        <w:rPr>
          <w:sz w:val="22"/>
          <w:szCs w:val="22"/>
          <w:lang w:val="sr-Latn-ME"/>
        </w:rPr>
        <w:t xml:space="preserve"> rivaroksaban</w:t>
      </w:r>
    </w:p>
    <w:p w:rsidR="006D20A5" w:rsidRPr="00042A6C" w:rsidRDefault="006D20A5">
      <w:pPr>
        <w:rPr>
          <w:bCs/>
          <w:sz w:val="22"/>
          <w:szCs w:val="22"/>
          <w:lang w:val="sr-Latn-ME"/>
        </w:rPr>
      </w:pPr>
    </w:p>
    <w:p w:rsidR="00530BD7" w:rsidRPr="00042A6C" w:rsidRDefault="00530BD7">
      <w:pPr>
        <w:rPr>
          <w:bCs/>
          <w:sz w:val="22"/>
          <w:szCs w:val="22"/>
          <w:lang w:val="sr-Latn-ME"/>
        </w:rPr>
      </w:pPr>
    </w:p>
    <w:p w:rsidR="00411B4B" w:rsidRPr="00042A6C" w:rsidRDefault="00411B4B" w:rsidP="00F5167F">
      <w:pPr>
        <w:tabs>
          <w:tab w:val="left" w:pos="540"/>
          <w:tab w:val="left" w:pos="569"/>
        </w:tabs>
        <w:rPr>
          <w:b/>
          <w:bCs/>
          <w:sz w:val="22"/>
          <w:szCs w:val="22"/>
          <w:lang w:val="sr-Latn-ME"/>
        </w:rPr>
      </w:pPr>
      <w:r w:rsidRPr="00042A6C">
        <w:rPr>
          <w:b/>
          <w:bCs/>
          <w:sz w:val="22"/>
          <w:szCs w:val="22"/>
          <w:lang w:val="sr-Latn-ME"/>
        </w:rPr>
        <w:t xml:space="preserve">2. </w:t>
      </w:r>
      <w:r w:rsidR="00F5167F" w:rsidRPr="00042A6C">
        <w:rPr>
          <w:b/>
          <w:bCs/>
          <w:sz w:val="22"/>
          <w:szCs w:val="22"/>
          <w:lang w:val="sr-Latn-ME"/>
        </w:rPr>
        <w:tab/>
      </w:r>
      <w:r w:rsidRPr="00042A6C">
        <w:rPr>
          <w:b/>
          <w:bCs/>
          <w:sz w:val="22"/>
          <w:szCs w:val="22"/>
          <w:lang w:val="sr-Latn-ME"/>
        </w:rPr>
        <w:t>KVALITATIVNI I KVANTITATIVNI SASTAV</w:t>
      </w:r>
    </w:p>
    <w:p w:rsidR="005A0B2E" w:rsidRPr="00042A6C" w:rsidRDefault="005A0B2E">
      <w:pPr>
        <w:rPr>
          <w:sz w:val="22"/>
          <w:szCs w:val="22"/>
          <w:lang w:val="sr-Latn-ME"/>
        </w:rPr>
      </w:pPr>
    </w:p>
    <w:p w:rsidR="00D904F7" w:rsidRPr="00042A6C" w:rsidRDefault="00D904F7" w:rsidP="00D904F7">
      <w:pPr>
        <w:jc w:val="both"/>
        <w:rPr>
          <w:sz w:val="22"/>
          <w:szCs w:val="22"/>
          <w:lang w:val="sr-Latn-ME"/>
        </w:rPr>
      </w:pPr>
      <w:r w:rsidRPr="00042A6C">
        <w:rPr>
          <w:sz w:val="22"/>
          <w:szCs w:val="22"/>
          <w:lang w:val="sr-Latn-ME"/>
        </w:rPr>
        <w:t xml:space="preserve">Jedna film tableta sadrži 15 mg rivaroksabana. </w:t>
      </w:r>
    </w:p>
    <w:p w:rsidR="00D904F7" w:rsidRPr="00042A6C" w:rsidRDefault="00D904F7" w:rsidP="00D904F7">
      <w:pPr>
        <w:jc w:val="both"/>
        <w:rPr>
          <w:sz w:val="22"/>
          <w:szCs w:val="22"/>
          <w:lang w:val="sr-Latn-ME"/>
        </w:rPr>
      </w:pPr>
    </w:p>
    <w:p w:rsidR="00D904F7" w:rsidRPr="00042A6C" w:rsidRDefault="00D904F7" w:rsidP="00D904F7">
      <w:pPr>
        <w:jc w:val="both"/>
        <w:rPr>
          <w:sz w:val="22"/>
          <w:szCs w:val="22"/>
          <w:lang w:val="sr-Latn-ME"/>
        </w:rPr>
      </w:pPr>
      <w:r w:rsidRPr="00042A6C">
        <w:rPr>
          <w:sz w:val="22"/>
          <w:szCs w:val="22"/>
          <w:u w:val="single"/>
          <w:lang w:val="sr-Latn-ME"/>
        </w:rPr>
        <w:t>Pomoćna supstanca sa potvrđenim dejstvom</w:t>
      </w:r>
    </w:p>
    <w:p w:rsidR="00D904F7" w:rsidRPr="00042A6C" w:rsidRDefault="00D904F7" w:rsidP="00D904F7">
      <w:pPr>
        <w:jc w:val="both"/>
        <w:rPr>
          <w:sz w:val="22"/>
          <w:szCs w:val="22"/>
          <w:lang w:val="sr-Latn-ME"/>
        </w:rPr>
      </w:pPr>
      <w:r w:rsidRPr="00042A6C">
        <w:rPr>
          <w:sz w:val="22"/>
          <w:szCs w:val="22"/>
          <w:lang w:val="sr-Latn-ME"/>
        </w:rPr>
        <w:t>Jedna film tableta sadrži 125,4 mg laktoze, monohidrat</w:t>
      </w:r>
      <w:r w:rsidR="00C66CEB">
        <w:rPr>
          <w:sz w:val="22"/>
          <w:szCs w:val="22"/>
          <w:lang w:val="sr-Latn-ME"/>
        </w:rPr>
        <w:t>a</w:t>
      </w:r>
      <w:r w:rsidRPr="00042A6C">
        <w:rPr>
          <w:sz w:val="22"/>
          <w:szCs w:val="22"/>
          <w:lang w:val="sr-Latn-ME"/>
        </w:rPr>
        <w:t xml:space="preserve"> (vidjeti </w:t>
      </w:r>
      <w:r w:rsidR="00FA3E99">
        <w:rPr>
          <w:sz w:val="22"/>
          <w:szCs w:val="22"/>
          <w:lang w:val="sr-Latn-ME"/>
        </w:rPr>
        <w:t>dio</w:t>
      </w:r>
      <w:r w:rsidR="00FA3E99" w:rsidRPr="00042A6C">
        <w:rPr>
          <w:sz w:val="22"/>
          <w:szCs w:val="22"/>
          <w:lang w:val="sr-Latn-ME"/>
        </w:rPr>
        <w:t xml:space="preserve"> </w:t>
      </w:r>
      <w:r w:rsidRPr="00042A6C">
        <w:rPr>
          <w:sz w:val="22"/>
          <w:szCs w:val="22"/>
          <w:lang w:val="sr-Latn-ME"/>
        </w:rPr>
        <w:t>4.4).</w:t>
      </w:r>
    </w:p>
    <w:p w:rsidR="00D904F7" w:rsidRPr="00042A6C" w:rsidRDefault="00D904F7" w:rsidP="00D904F7">
      <w:pPr>
        <w:jc w:val="both"/>
        <w:rPr>
          <w:sz w:val="22"/>
          <w:szCs w:val="22"/>
          <w:lang w:val="sr-Latn-ME"/>
        </w:rPr>
      </w:pPr>
    </w:p>
    <w:p w:rsidR="0003793F" w:rsidRPr="00042A6C" w:rsidRDefault="0003793F">
      <w:pPr>
        <w:rPr>
          <w:sz w:val="22"/>
          <w:szCs w:val="22"/>
          <w:lang w:val="sr-Latn-ME"/>
        </w:rPr>
      </w:pPr>
      <w:r w:rsidRPr="00042A6C">
        <w:rPr>
          <w:sz w:val="22"/>
          <w:szCs w:val="22"/>
          <w:lang w:val="sr-Latn-ME"/>
        </w:rPr>
        <w:t>Za spisak svih ekscipijenasa, pogledati dio 6.1.</w:t>
      </w:r>
    </w:p>
    <w:p w:rsidR="00C37FD7" w:rsidRPr="00042A6C" w:rsidRDefault="00C37FD7">
      <w:pPr>
        <w:rPr>
          <w:sz w:val="22"/>
          <w:szCs w:val="22"/>
          <w:lang w:val="sr-Latn-ME"/>
        </w:rPr>
      </w:pPr>
    </w:p>
    <w:p w:rsidR="00411B4B" w:rsidRPr="00042A6C" w:rsidRDefault="00411B4B" w:rsidP="00F5167F">
      <w:pPr>
        <w:tabs>
          <w:tab w:val="left" w:pos="540"/>
          <w:tab w:val="left" w:pos="569"/>
        </w:tabs>
        <w:rPr>
          <w:b/>
          <w:bCs/>
          <w:sz w:val="22"/>
          <w:szCs w:val="22"/>
          <w:lang w:val="sr-Latn-ME"/>
        </w:rPr>
      </w:pPr>
      <w:r w:rsidRPr="00042A6C">
        <w:rPr>
          <w:b/>
          <w:bCs/>
          <w:sz w:val="22"/>
          <w:szCs w:val="22"/>
          <w:lang w:val="sr-Latn-ME"/>
        </w:rPr>
        <w:t xml:space="preserve">3. </w:t>
      </w:r>
      <w:r w:rsidR="00F5167F" w:rsidRPr="00042A6C">
        <w:rPr>
          <w:b/>
          <w:bCs/>
          <w:sz w:val="22"/>
          <w:szCs w:val="22"/>
          <w:lang w:val="sr-Latn-ME"/>
        </w:rPr>
        <w:tab/>
      </w:r>
      <w:r w:rsidRPr="00042A6C">
        <w:rPr>
          <w:b/>
          <w:bCs/>
          <w:sz w:val="22"/>
          <w:szCs w:val="22"/>
          <w:lang w:val="sr-Latn-ME"/>
        </w:rPr>
        <w:t>FARMACEUTSKI OBLIK</w:t>
      </w:r>
      <w:r w:rsidR="009F2D23" w:rsidRPr="00042A6C">
        <w:rPr>
          <w:b/>
          <w:bCs/>
          <w:sz w:val="22"/>
          <w:szCs w:val="22"/>
          <w:lang w:val="sr-Latn-ME"/>
        </w:rPr>
        <w:t xml:space="preserve"> </w:t>
      </w:r>
    </w:p>
    <w:p w:rsidR="00D904F7" w:rsidRPr="00042A6C" w:rsidRDefault="00D904F7" w:rsidP="00D904F7">
      <w:pPr>
        <w:rPr>
          <w:bCs/>
          <w:sz w:val="22"/>
          <w:szCs w:val="22"/>
          <w:lang w:val="sr-Latn-ME"/>
        </w:rPr>
      </w:pPr>
    </w:p>
    <w:p w:rsidR="00D904F7" w:rsidRPr="00042A6C" w:rsidRDefault="00D904F7" w:rsidP="00D904F7">
      <w:pPr>
        <w:jc w:val="both"/>
        <w:rPr>
          <w:bCs/>
          <w:sz w:val="22"/>
          <w:szCs w:val="22"/>
          <w:lang w:val="sr-Latn-ME"/>
        </w:rPr>
      </w:pPr>
      <w:r w:rsidRPr="00042A6C">
        <w:rPr>
          <w:bCs/>
          <w:sz w:val="22"/>
          <w:szCs w:val="22"/>
          <w:lang w:val="sr-Latn-ME"/>
        </w:rPr>
        <w:t>Film tableta.</w:t>
      </w:r>
    </w:p>
    <w:p w:rsidR="00D904F7" w:rsidRPr="00042A6C" w:rsidRDefault="00D904F7" w:rsidP="00D904F7">
      <w:pPr>
        <w:jc w:val="both"/>
        <w:rPr>
          <w:bCs/>
          <w:sz w:val="22"/>
          <w:szCs w:val="22"/>
          <w:lang w:val="sr-Latn-ME"/>
        </w:rPr>
      </w:pPr>
    </w:p>
    <w:p w:rsidR="00411B4B" w:rsidRPr="00042A6C" w:rsidRDefault="00D904F7" w:rsidP="00D904F7">
      <w:pPr>
        <w:jc w:val="both"/>
        <w:rPr>
          <w:bCs/>
          <w:sz w:val="22"/>
          <w:szCs w:val="22"/>
          <w:lang w:val="sr-Latn-ME"/>
        </w:rPr>
      </w:pPr>
      <w:r w:rsidRPr="00042A6C">
        <w:rPr>
          <w:bCs/>
          <w:sz w:val="22"/>
          <w:szCs w:val="22"/>
          <w:lang w:val="sr-Latn-ME"/>
        </w:rPr>
        <w:t>Okrugle film tablete narandžaste boje, prečnika oko 7 mm, sa utisnutim oznakama “T” na jednoj strani, i “3R” na drugoj strani</w:t>
      </w:r>
      <w:r w:rsidR="00C66CEB">
        <w:rPr>
          <w:bCs/>
          <w:sz w:val="22"/>
          <w:szCs w:val="22"/>
          <w:lang w:val="sr-Latn-ME"/>
        </w:rPr>
        <w:t xml:space="preserve"> tablete</w:t>
      </w:r>
      <w:r w:rsidRPr="00042A6C">
        <w:rPr>
          <w:bCs/>
          <w:sz w:val="22"/>
          <w:szCs w:val="22"/>
          <w:lang w:val="sr-Latn-ME"/>
        </w:rPr>
        <w:t>.</w:t>
      </w:r>
    </w:p>
    <w:p w:rsidR="00EC2532" w:rsidRPr="00042A6C" w:rsidRDefault="00EC2532">
      <w:pPr>
        <w:rPr>
          <w:bCs/>
          <w:sz w:val="22"/>
          <w:szCs w:val="22"/>
          <w:lang w:val="sr-Latn-ME"/>
        </w:rPr>
      </w:pPr>
    </w:p>
    <w:p w:rsidR="00411B4B" w:rsidRPr="00042A6C" w:rsidRDefault="00411B4B" w:rsidP="00F5167F">
      <w:pPr>
        <w:tabs>
          <w:tab w:val="left" w:pos="540"/>
          <w:tab w:val="left" w:pos="569"/>
        </w:tabs>
        <w:rPr>
          <w:b/>
          <w:bCs/>
          <w:sz w:val="22"/>
          <w:szCs w:val="22"/>
          <w:lang w:val="sr-Latn-ME"/>
        </w:rPr>
      </w:pPr>
      <w:r w:rsidRPr="00042A6C">
        <w:rPr>
          <w:b/>
          <w:bCs/>
          <w:sz w:val="22"/>
          <w:szCs w:val="22"/>
          <w:lang w:val="sr-Latn-ME"/>
        </w:rPr>
        <w:t xml:space="preserve">4. </w:t>
      </w:r>
      <w:r w:rsidR="00480FB1" w:rsidRPr="00042A6C">
        <w:rPr>
          <w:b/>
          <w:bCs/>
          <w:sz w:val="22"/>
          <w:szCs w:val="22"/>
          <w:lang w:val="sr-Latn-ME"/>
        </w:rPr>
        <w:tab/>
      </w:r>
      <w:r w:rsidRPr="00042A6C">
        <w:rPr>
          <w:b/>
          <w:bCs/>
          <w:sz w:val="22"/>
          <w:szCs w:val="22"/>
          <w:lang w:val="sr-Latn-ME"/>
        </w:rPr>
        <w:t>KLINIČKI PODACI</w:t>
      </w:r>
    </w:p>
    <w:p w:rsidR="00CD6F02" w:rsidRPr="00042A6C" w:rsidRDefault="00CD6F02" w:rsidP="00480FB1">
      <w:pPr>
        <w:tabs>
          <w:tab w:val="left" w:pos="540"/>
          <w:tab w:val="left" w:pos="569"/>
        </w:tabs>
        <w:rPr>
          <w:bCs/>
          <w:sz w:val="22"/>
          <w:szCs w:val="22"/>
          <w:lang w:val="sr-Latn-ME"/>
        </w:rPr>
      </w:pPr>
    </w:p>
    <w:p w:rsidR="00411B4B" w:rsidRPr="00042A6C" w:rsidRDefault="00411B4B" w:rsidP="00480FB1">
      <w:pPr>
        <w:tabs>
          <w:tab w:val="left" w:pos="540"/>
          <w:tab w:val="left" w:pos="569"/>
        </w:tabs>
        <w:rPr>
          <w:b/>
          <w:bCs/>
          <w:sz w:val="22"/>
          <w:szCs w:val="22"/>
          <w:lang w:val="sr-Latn-ME"/>
        </w:rPr>
      </w:pPr>
      <w:r w:rsidRPr="00042A6C">
        <w:rPr>
          <w:b/>
          <w:bCs/>
          <w:sz w:val="22"/>
          <w:szCs w:val="22"/>
          <w:lang w:val="sr-Latn-ME"/>
        </w:rPr>
        <w:t xml:space="preserve">4.1. </w:t>
      </w:r>
      <w:r w:rsidR="00480FB1" w:rsidRPr="00042A6C">
        <w:rPr>
          <w:b/>
          <w:bCs/>
          <w:sz w:val="22"/>
          <w:szCs w:val="22"/>
          <w:lang w:val="sr-Latn-ME"/>
        </w:rPr>
        <w:tab/>
      </w:r>
      <w:r w:rsidRPr="00042A6C">
        <w:rPr>
          <w:b/>
          <w:bCs/>
          <w:sz w:val="22"/>
          <w:szCs w:val="22"/>
          <w:lang w:val="sr-Latn-ME"/>
        </w:rPr>
        <w:t>Terapijske indikacije</w:t>
      </w:r>
    </w:p>
    <w:p w:rsidR="00D904F7" w:rsidRPr="00042A6C" w:rsidRDefault="00D904F7" w:rsidP="00480FB1">
      <w:pPr>
        <w:tabs>
          <w:tab w:val="left" w:pos="540"/>
          <w:tab w:val="left" w:pos="569"/>
        </w:tabs>
        <w:rPr>
          <w:b/>
          <w:bCs/>
          <w:sz w:val="22"/>
          <w:szCs w:val="22"/>
          <w:lang w:val="sr-Latn-ME"/>
        </w:rPr>
      </w:pPr>
    </w:p>
    <w:p w:rsidR="00D904F7" w:rsidRPr="00042A6C" w:rsidRDefault="00D904F7" w:rsidP="00D904F7">
      <w:pPr>
        <w:tabs>
          <w:tab w:val="left" w:pos="540"/>
          <w:tab w:val="left" w:pos="569"/>
        </w:tabs>
        <w:jc w:val="both"/>
        <w:rPr>
          <w:bCs/>
          <w:i/>
          <w:sz w:val="22"/>
          <w:szCs w:val="22"/>
          <w:lang w:val="sr-Latn-ME"/>
        </w:rPr>
      </w:pPr>
      <w:r w:rsidRPr="00042A6C">
        <w:rPr>
          <w:bCs/>
          <w:i/>
          <w:sz w:val="22"/>
          <w:szCs w:val="22"/>
          <w:lang w:val="sr-Latn-ME"/>
        </w:rPr>
        <w:t>Odrasli</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Prevencija moždanog udara i sistemske embolije kod odraslih pacijenata sa nevalvularnom atrijalnom fibrilacijom sa jednim ili više faktora rizika, poput kongestivne srčane insuficijencije, hipertenzije, starosti ≥ 75 godina, </w:t>
      </w:r>
      <w:r w:rsidRPr="00042A6C">
        <w:rPr>
          <w:bCs/>
          <w:i/>
          <w:sz w:val="22"/>
          <w:szCs w:val="22"/>
          <w:lang w:val="sr-Latn-ME"/>
        </w:rPr>
        <w:t>diabetes mellitus</w:t>
      </w:r>
      <w:r w:rsidRPr="00042A6C">
        <w:rPr>
          <w:bCs/>
          <w:sz w:val="22"/>
          <w:szCs w:val="22"/>
          <w:lang w:val="sr-Latn-ME"/>
        </w:rPr>
        <w:t>-a, prethodnog moždanog udara ili tranzitornog ishemijskog napada.</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Terapija tromboze dubokih vena (TDV) i plućne embolije (PE) i prevencija rekurentne TDV i PE kod odraslih osoba (vidjeti </w:t>
      </w:r>
      <w:r w:rsidR="00561817" w:rsidRPr="00042A6C">
        <w:rPr>
          <w:bCs/>
          <w:sz w:val="22"/>
          <w:szCs w:val="22"/>
          <w:lang w:val="sr-Latn-ME"/>
        </w:rPr>
        <w:t xml:space="preserve">dio </w:t>
      </w:r>
      <w:r w:rsidRPr="00042A6C">
        <w:rPr>
          <w:bCs/>
          <w:sz w:val="22"/>
          <w:szCs w:val="22"/>
          <w:lang w:val="sr-Latn-ME"/>
        </w:rPr>
        <w:t>4.4 za informacije o primjeni kod hemodinamski nestabilnih pacijenata sa PE).</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i/>
          <w:sz w:val="22"/>
          <w:szCs w:val="22"/>
          <w:lang w:val="sr-Latn-ME"/>
        </w:rPr>
      </w:pPr>
      <w:r w:rsidRPr="00042A6C">
        <w:rPr>
          <w:bCs/>
          <w:i/>
          <w:sz w:val="22"/>
          <w:szCs w:val="22"/>
          <w:lang w:val="sr-Latn-ME"/>
        </w:rPr>
        <w:t>Pedijatrijska populacija</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Terapija venske tromboembolije (VTE) i prevencija ponavljajuće VTE kod djece i adolescenata uzrasta ispod 18 godina i tjelesne težine 30</w:t>
      </w:r>
      <w:r w:rsidR="00561817" w:rsidRPr="00042A6C">
        <w:rPr>
          <w:bCs/>
          <w:sz w:val="22"/>
          <w:szCs w:val="22"/>
          <w:lang w:val="sr-Latn-ME"/>
        </w:rPr>
        <w:t xml:space="preserve"> </w:t>
      </w:r>
      <w:r w:rsidRPr="00042A6C">
        <w:rPr>
          <w:bCs/>
          <w:sz w:val="22"/>
          <w:szCs w:val="22"/>
          <w:lang w:val="sr-Latn-ME"/>
        </w:rPr>
        <w:t>kg-50</w:t>
      </w:r>
      <w:r w:rsidR="00561817" w:rsidRPr="00042A6C">
        <w:rPr>
          <w:bCs/>
          <w:sz w:val="22"/>
          <w:szCs w:val="22"/>
          <w:lang w:val="sr-Latn-ME"/>
        </w:rPr>
        <w:t xml:space="preserve"> </w:t>
      </w:r>
      <w:r w:rsidRPr="00042A6C">
        <w:rPr>
          <w:bCs/>
          <w:sz w:val="22"/>
          <w:szCs w:val="22"/>
          <w:lang w:val="sr-Latn-ME"/>
        </w:rPr>
        <w:t>kg nakon najmanje 5 dana početne terapije parenteralnim antikolagulansom.</w:t>
      </w:r>
    </w:p>
    <w:p w:rsidR="00411B4B" w:rsidRPr="00042A6C" w:rsidRDefault="00411B4B" w:rsidP="00480FB1">
      <w:pPr>
        <w:tabs>
          <w:tab w:val="left" w:pos="540"/>
          <w:tab w:val="left" w:pos="569"/>
        </w:tabs>
        <w:rPr>
          <w:bCs/>
          <w:sz w:val="22"/>
          <w:szCs w:val="22"/>
          <w:lang w:val="sr-Latn-ME"/>
        </w:rPr>
      </w:pPr>
    </w:p>
    <w:p w:rsidR="00411B4B" w:rsidRPr="00042A6C" w:rsidRDefault="00411B4B" w:rsidP="00480FB1">
      <w:pPr>
        <w:tabs>
          <w:tab w:val="left" w:pos="540"/>
          <w:tab w:val="left" w:pos="569"/>
        </w:tabs>
        <w:rPr>
          <w:b/>
          <w:bCs/>
          <w:sz w:val="22"/>
          <w:szCs w:val="22"/>
          <w:lang w:val="sr-Latn-ME"/>
        </w:rPr>
      </w:pPr>
      <w:r w:rsidRPr="00042A6C">
        <w:rPr>
          <w:b/>
          <w:bCs/>
          <w:sz w:val="22"/>
          <w:szCs w:val="22"/>
          <w:lang w:val="sr-Latn-ME"/>
        </w:rPr>
        <w:t xml:space="preserve">4.2. </w:t>
      </w:r>
      <w:r w:rsidR="00480FB1" w:rsidRPr="00042A6C">
        <w:rPr>
          <w:b/>
          <w:bCs/>
          <w:sz w:val="22"/>
          <w:szCs w:val="22"/>
          <w:lang w:val="sr-Latn-ME"/>
        </w:rPr>
        <w:tab/>
      </w:r>
      <w:r w:rsidRPr="00042A6C">
        <w:rPr>
          <w:b/>
          <w:bCs/>
          <w:sz w:val="22"/>
          <w:szCs w:val="22"/>
          <w:lang w:val="sr-Latn-ME"/>
        </w:rPr>
        <w:t>Doziranje i način primjene</w:t>
      </w:r>
    </w:p>
    <w:p w:rsidR="0072020E" w:rsidRPr="00042A6C" w:rsidRDefault="0072020E" w:rsidP="00480FB1">
      <w:pPr>
        <w:tabs>
          <w:tab w:val="left" w:pos="540"/>
          <w:tab w:val="left" w:pos="569"/>
        </w:tabs>
        <w:rPr>
          <w:bCs/>
          <w:sz w:val="22"/>
          <w:szCs w:val="22"/>
          <w:lang w:val="sr-Latn-ME"/>
        </w:rPr>
      </w:pPr>
    </w:p>
    <w:p w:rsidR="00452E9D" w:rsidRPr="00042A6C" w:rsidRDefault="00452E9D" w:rsidP="00480FB1">
      <w:pPr>
        <w:tabs>
          <w:tab w:val="left" w:pos="540"/>
          <w:tab w:val="left" w:pos="569"/>
        </w:tabs>
        <w:rPr>
          <w:bCs/>
          <w:sz w:val="22"/>
          <w:szCs w:val="22"/>
          <w:u w:val="single"/>
          <w:lang w:val="sr-Latn-ME"/>
        </w:rPr>
      </w:pPr>
      <w:r w:rsidRPr="00042A6C">
        <w:rPr>
          <w:bCs/>
          <w:sz w:val="22"/>
          <w:szCs w:val="22"/>
          <w:u w:val="single"/>
          <w:lang w:val="sr-Latn-ME"/>
        </w:rPr>
        <w:t>Doziranje</w:t>
      </w:r>
    </w:p>
    <w:p w:rsidR="00D904F7" w:rsidRPr="00042A6C" w:rsidRDefault="00D904F7" w:rsidP="00480FB1">
      <w:pPr>
        <w:tabs>
          <w:tab w:val="left" w:pos="540"/>
          <w:tab w:val="left" w:pos="569"/>
        </w:tabs>
        <w:rPr>
          <w:bCs/>
          <w:sz w:val="22"/>
          <w:szCs w:val="22"/>
          <w:u w:val="single"/>
          <w:lang w:val="sr-Latn-ME"/>
        </w:rPr>
      </w:pPr>
    </w:p>
    <w:p w:rsidR="00D904F7" w:rsidRPr="00042A6C" w:rsidRDefault="00D904F7" w:rsidP="00D904F7">
      <w:pPr>
        <w:tabs>
          <w:tab w:val="left" w:pos="540"/>
          <w:tab w:val="left" w:pos="569"/>
        </w:tabs>
        <w:jc w:val="both"/>
        <w:rPr>
          <w:bCs/>
          <w:sz w:val="22"/>
          <w:szCs w:val="22"/>
          <w:u w:val="single"/>
          <w:lang w:val="sr-Latn-ME"/>
        </w:rPr>
      </w:pPr>
      <w:r w:rsidRPr="00042A6C">
        <w:rPr>
          <w:bCs/>
          <w:i/>
          <w:iCs/>
          <w:sz w:val="22"/>
          <w:szCs w:val="22"/>
          <w:u w:val="single"/>
          <w:lang w:val="sr-Latn-ME"/>
        </w:rPr>
        <w:t>Prevencija moždanog udara i sistemske embolije kod odraslih</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Preporučena doza je 20 mg jednom dnevno, što je takođe i maksimalna preporučena doza. </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Liječenje lijekom Corviva mora se nastaviti dugotrajno ako korist prevencije moždanog udara i sistemske embolije prevazilazi rizik od krvarenja (vidjeti </w:t>
      </w:r>
      <w:r w:rsidR="000500D6" w:rsidRPr="00042A6C">
        <w:rPr>
          <w:bCs/>
          <w:sz w:val="22"/>
          <w:szCs w:val="22"/>
          <w:lang w:val="sr-Latn-ME"/>
        </w:rPr>
        <w:t xml:space="preserve">dio </w:t>
      </w:r>
      <w:r w:rsidRPr="00042A6C">
        <w:rPr>
          <w:bCs/>
          <w:sz w:val="22"/>
          <w:szCs w:val="22"/>
          <w:lang w:val="sr-Latn-ME"/>
        </w:rPr>
        <w:t>4.4).</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Ako propusti dozu, pacijent mora odmah </w:t>
      </w:r>
      <w:r w:rsidR="000500D6" w:rsidRPr="00042A6C">
        <w:rPr>
          <w:bCs/>
          <w:sz w:val="22"/>
          <w:szCs w:val="22"/>
          <w:lang w:val="sr-Latn-ME"/>
        </w:rPr>
        <w:t xml:space="preserve">da uzme </w:t>
      </w:r>
      <w:r w:rsidRPr="00042A6C">
        <w:rPr>
          <w:bCs/>
          <w:sz w:val="22"/>
          <w:szCs w:val="22"/>
          <w:lang w:val="sr-Latn-ME"/>
        </w:rPr>
        <w:t xml:space="preserve">lijek Corviva, a potom od narednog dana </w:t>
      </w:r>
      <w:r w:rsidR="000500D6" w:rsidRPr="00042A6C">
        <w:rPr>
          <w:bCs/>
          <w:sz w:val="22"/>
          <w:szCs w:val="22"/>
          <w:lang w:val="sr-Latn-ME"/>
        </w:rPr>
        <w:t xml:space="preserve">da </w:t>
      </w:r>
      <w:r w:rsidRPr="00042A6C">
        <w:rPr>
          <w:bCs/>
          <w:sz w:val="22"/>
          <w:szCs w:val="22"/>
          <w:lang w:val="sr-Latn-ME"/>
        </w:rPr>
        <w:t xml:space="preserve">nastavi </w:t>
      </w:r>
      <w:r w:rsidR="000500D6" w:rsidRPr="00042A6C">
        <w:rPr>
          <w:bCs/>
          <w:sz w:val="22"/>
          <w:szCs w:val="22"/>
          <w:lang w:val="sr-Latn-ME"/>
        </w:rPr>
        <w:t xml:space="preserve">da </w:t>
      </w:r>
      <w:r w:rsidRPr="00042A6C">
        <w:rPr>
          <w:bCs/>
          <w:sz w:val="22"/>
          <w:szCs w:val="22"/>
          <w:lang w:val="sr-Latn-ME"/>
        </w:rPr>
        <w:t>uzima lijek jednom dnevno kao što mu je preporučeno. U istom danu ne smiju se uzeti 2 doze kako bi se nadoknadila propuštena doza.</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i/>
          <w:sz w:val="22"/>
          <w:szCs w:val="22"/>
          <w:u w:val="single"/>
          <w:lang w:val="sr-Latn-ME"/>
        </w:rPr>
      </w:pPr>
      <w:r w:rsidRPr="00042A6C">
        <w:rPr>
          <w:bCs/>
          <w:i/>
          <w:sz w:val="22"/>
          <w:szCs w:val="22"/>
          <w:u w:val="single"/>
          <w:lang w:val="sr-Latn-ME"/>
        </w:rPr>
        <w:t>Terapija TDV, terapija PE i prevencija rekurentne TDV i PE kod odraslih</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Preporučena doza za početnu terapiju akutne TDV ili PE je 15 mg dva puta dnevno tokom prve tri ned</w:t>
      </w:r>
      <w:r w:rsidR="000500D6" w:rsidRPr="00042A6C">
        <w:rPr>
          <w:bCs/>
          <w:sz w:val="22"/>
          <w:szCs w:val="22"/>
          <w:lang w:val="sr-Latn-ME"/>
        </w:rPr>
        <w:t>j</w:t>
      </w:r>
      <w:r w:rsidRPr="00042A6C">
        <w:rPr>
          <w:bCs/>
          <w:sz w:val="22"/>
          <w:szCs w:val="22"/>
          <w:lang w:val="sr-Latn-ME"/>
        </w:rPr>
        <w:t>elje, nakon čega slijedi 20 mg jednom dnevno za nastavak terapije i prevenciju rekurentne TDV i PE.</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Kratkotrajnu terapiju (najmanje 3 mjeseca), treba razmotriti kod pacijenata sa TDV ili PE koje su izazvane većim prolaznim faktorima rizika (tj. nedavnom velikom hirurškom intervencijom ili traumom).</w:t>
      </w:r>
    </w:p>
    <w:p w:rsidR="00D904F7" w:rsidRPr="00042A6C" w:rsidRDefault="00D904F7" w:rsidP="00D904F7">
      <w:pPr>
        <w:tabs>
          <w:tab w:val="left" w:pos="540"/>
          <w:tab w:val="left" w:pos="569"/>
        </w:tabs>
        <w:jc w:val="both"/>
        <w:rPr>
          <w:bCs/>
          <w:sz w:val="22"/>
          <w:szCs w:val="22"/>
          <w:u w:val="single"/>
          <w:lang w:val="sr-Latn-ME"/>
        </w:rPr>
      </w:pP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Dugotrajnu terapiju treba razmotriti kod:</w:t>
      </w:r>
    </w:p>
    <w:p w:rsidR="00D904F7" w:rsidRPr="00042A6C" w:rsidRDefault="00D904F7" w:rsidP="00D904F7">
      <w:pPr>
        <w:pStyle w:val="ListParagraph"/>
        <w:numPr>
          <w:ilvl w:val="0"/>
          <w:numId w:val="13"/>
        </w:numPr>
        <w:tabs>
          <w:tab w:val="left" w:pos="540"/>
          <w:tab w:val="left" w:pos="569"/>
        </w:tabs>
        <w:jc w:val="both"/>
        <w:rPr>
          <w:bCs/>
          <w:sz w:val="22"/>
          <w:szCs w:val="22"/>
          <w:lang w:val="sr-Latn-ME"/>
        </w:rPr>
      </w:pPr>
      <w:r w:rsidRPr="00042A6C">
        <w:rPr>
          <w:bCs/>
          <w:sz w:val="22"/>
          <w:szCs w:val="22"/>
          <w:lang w:val="sr-Latn-ME"/>
        </w:rPr>
        <w:t>provocirane TDV ili PE, koja nije povezana sa većim prolaznim faktorom rizika,</w:t>
      </w:r>
    </w:p>
    <w:p w:rsidR="00D904F7" w:rsidRPr="00042A6C" w:rsidRDefault="00D904F7" w:rsidP="00D904F7">
      <w:pPr>
        <w:pStyle w:val="ListParagraph"/>
        <w:numPr>
          <w:ilvl w:val="0"/>
          <w:numId w:val="13"/>
        </w:numPr>
        <w:tabs>
          <w:tab w:val="left" w:pos="540"/>
          <w:tab w:val="left" w:pos="569"/>
        </w:tabs>
        <w:jc w:val="both"/>
        <w:rPr>
          <w:bCs/>
          <w:sz w:val="22"/>
          <w:szCs w:val="22"/>
          <w:lang w:val="sr-Latn-ME"/>
        </w:rPr>
      </w:pPr>
      <w:r w:rsidRPr="00042A6C">
        <w:rPr>
          <w:bCs/>
          <w:sz w:val="22"/>
          <w:szCs w:val="22"/>
          <w:lang w:val="sr-Latn-ME"/>
        </w:rPr>
        <w:t>neprovocirane TDV ili PE</w:t>
      </w:r>
      <w:r w:rsidR="000500D6" w:rsidRPr="00042A6C">
        <w:rPr>
          <w:bCs/>
          <w:sz w:val="22"/>
          <w:szCs w:val="22"/>
          <w:lang w:val="sr-Latn-ME"/>
        </w:rPr>
        <w:t>,</w:t>
      </w:r>
      <w:r w:rsidRPr="00042A6C">
        <w:rPr>
          <w:bCs/>
          <w:sz w:val="22"/>
          <w:szCs w:val="22"/>
          <w:lang w:val="sr-Latn-ME"/>
        </w:rPr>
        <w:t xml:space="preserve"> ili</w:t>
      </w:r>
    </w:p>
    <w:p w:rsidR="00D904F7" w:rsidRPr="00042A6C" w:rsidRDefault="00D904F7" w:rsidP="00D904F7">
      <w:pPr>
        <w:pStyle w:val="ListParagraph"/>
        <w:numPr>
          <w:ilvl w:val="0"/>
          <w:numId w:val="13"/>
        </w:numPr>
        <w:tabs>
          <w:tab w:val="left" w:pos="540"/>
          <w:tab w:val="left" w:pos="569"/>
        </w:tabs>
        <w:jc w:val="both"/>
        <w:rPr>
          <w:bCs/>
          <w:sz w:val="22"/>
          <w:szCs w:val="22"/>
          <w:lang w:val="sr-Latn-ME"/>
        </w:rPr>
      </w:pPr>
      <w:r w:rsidRPr="00042A6C">
        <w:rPr>
          <w:bCs/>
          <w:sz w:val="22"/>
          <w:szCs w:val="22"/>
          <w:lang w:val="sr-Latn-ME"/>
        </w:rPr>
        <w:t>pacijenata sa rekurentnom TDV ili PE u anamnezi.</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Kada je indikovana produžena prevencija rekurentne TDV ili PE (nakon završetka terapije TDV ili PE koja je trajala najmanje 6 mjeseci) preporučena doza je 10 mg jednom dnevno.</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Kod pacijenata kod kojih se rizik od rekurentne TDV ili PE smatra velikim kao što su pacijenti sa komplikovanim komorbiditetima, ili pacijenti kod kojih su se, uprkos produženoj prevenciji dozom 10 mg jednom dnevno razvili rekurentna TDV ili PE, treba razmotriti primjenu doze od 20 mg rivaroksabana jednom dnevno.</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Trajanje terapije i izbor doze treba da budu individualni, poslije pažljive procjene koristi terapije u odnosu na rizik od krvarenja (vidjeti </w:t>
      </w:r>
      <w:r w:rsidR="000500D6" w:rsidRPr="00042A6C">
        <w:rPr>
          <w:bCs/>
          <w:sz w:val="22"/>
          <w:szCs w:val="22"/>
          <w:lang w:val="sr-Latn-ME"/>
        </w:rPr>
        <w:t xml:space="preserve">dio </w:t>
      </w:r>
      <w:r w:rsidRPr="00042A6C">
        <w:rPr>
          <w:bCs/>
          <w:sz w:val="22"/>
          <w:szCs w:val="22"/>
          <w:lang w:val="sr-Latn-ME"/>
        </w:rPr>
        <w:t>4.4).</w:t>
      </w:r>
    </w:p>
    <w:p w:rsidR="00D904F7" w:rsidRPr="00042A6C" w:rsidRDefault="00D904F7" w:rsidP="00D904F7">
      <w:pPr>
        <w:tabs>
          <w:tab w:val="left" w:pos="540"/>
          <w:tab w:val="left" w:pos="569"/>
        </w:tabs>
        <w:jc w:val="both"/>
        <w:rPr>
          <w:bCs/>
          <w:sz w:val="22"/>
          <w:szCs w:val="22"/>
          <w:lang w:val="sr-Latn-ME"/>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1"/>
        <w:gridCol w:w="2611"/>
        <w:gridCol w:w="2429"/>
        <w:gridCol w:w="2146"/>
      </w:tblGrid>
      <w:tr w:rsidR="00D904F7" w:rsidRPr="00042A6C" w:rsidTr="00091295">
        <w:trPr>
          <w:trHeight w:val="489"/>
          <w:jc w:val="center"/>
        </w:trPr>
        <w:tc>
          <w:tcPr>
            <w:tcW w:w="1881" w:type="dxa"/>
          </w:tcPr>
          <w:p w:rsidR="00D904F7" w:rsidRPr="00042A6C" w:rsidRDefault="00D904F7" w:rsidP="00091295">
            <w:pPr>
              <w:widowControl w:val="0"/>
              <w:autoSpaceDE w:val="0"/>
              <w:autoSpaceDN w:val="0"/>
              <w:rPr>
                <w:sz w:val="22"/>
                <w:szCs w:val="22"/>
                <w:lang w:val="sr-Latn-ME"/>
              </w:rPr>
            </w:pPr>
          </w:p>
        </w:tc>
        <w:tc>
          <w:tcPr>
            <w:tcW w:w="2611" w:type="dxa"/>
          </w:tcPr>
          <w:p w:rsidR="00D904F7" w:rsidRPr="00042A6C" w:rsidRDefault="00D904F7" w:rsidP="00091295">
            <w:pPr>
              <w:widowControl w:val="0"/>
              <w:autoSpaceDE w:val="0"/>
              <w:autoSpaceDN w:val="0"/>
              <w:spacing w:line="235" w:lineRule="exact"/>
              <w:ind w:left="9"/>
              <w:jc w:val="center"/>
              <w:rPr>
                <w:b/>
                <w:sz w:val="22"/>
                <w:szCs w:val="22"/>
                <w:lang w:val="sr-Latn-ME"/>
              </w:rPr>
            </w:pPr>
            <w:r w:rsidRPr="00042A6C">
              <w:rPr>
                <w:b/>
                <w:sz w:val="22"/>
                <w:szCs w:val="22"/>
                <w:lang w:val="sr-Latn-ME"/>
              </w:rPr>
              <w:t>Vremenski period</w:t>
            </w:r>
          </w:p>
        </w:tc>
        <w:tc>
          <w:tcPr>
            <w:tcW w:w="2429" w:type="dxa"/>
          </w:tcPr>
          <w:p w:rsidR="00D904F7" w:rsidRPr="00042A6C" w:rsidRDefault="00D904F7" w:rsidP="00091295">
            <w:pPr>
              <w:widowControl w:val="0"/>
              <w:autoSpaceDE w:val="0"/>
              <w:autoSpaceDN w:val="0"/>
              <w:spacing w:line="235" w:lineRule="exact"/>
              <w:ind w:left="9"/>
              <w:jc w:val="center"/>
              <w:rPr>
                <w:b/>
                <w:sz w:val="22"/>
                <w:szCs w:val="22"/>
                <w:lang w:val="sr-Latn-ME"/>
              </w:rPr>
            </w:pPr>
            <w:r w:rsidRPr="00042A6C">
              <w:rPr>
                <w:b/>
                <w:sz w:val="22"/>
                <w:szCs w:val="22"/>
                <w:lang w:val="sr-Latn-ME"/>
              </w:rPr>
              <w:t>Doziranje</w:t>
            </w:r>
          </w:p>
        </w:tc>
        <w:tc>
          <w:tcPr>
            <w:tcW w:w="2146" w:type="dxa"/>
          </w:tcPr>
          <w:p w:rsidR="00D904F7" w:rsidRPr="00042A6C" w:rsidRDefault="00D904F7" w:rsidP="00091295">
            <w:pPr>
              <w:widowControl w:val="0"/>
              <w:autoSpaceDE w:val="0"/>
              <w:autoSpaceDN w:val="0"/>
              <w:spacing w:line="235" w:lineRule="exact"/>
              <w:ind w:left="9"/>
              <w:jc w:val="center"/>
              <w:rPr>
                <w:b/>
                <w:sz w:val="22"/>
                <w:szCs w:val="22"/>
                <w:lang w:val="sr-Latn-ME"/>
              </w:rPr>
            </w:pPr>
            <w:r w:rsidRPr="00042A6C">
              <w:rPr>
                <w:b/>
                <w:sz w:val="22"/>
                <w:szCs w:val="22"/>
                <w:lang w:val="sr-Latn-ME"/>
              </w:rPr>
              <w:t>Ukupna dnevna doza</w:t>
            </w:r>
          </w:p>
        </w:tc>
      </w:tr>
      <w:tr w:rsidR="00D904F7" w:rsidRPr="00042A6C" w:rsidTr="00091295">
        <w:trPr>
          <w:trHeight w:val="498"/>
          <w:jc w:val="center"/>
        </w:trPr>
        <w:tc>
          <w:tcPr>
            <w:tcW w:w="1881" w:type="dxa"/>
            <w:vMerge w:val="restart"/>
          </w:tcPr>
          <w:p w:rsidR="00D904F7" w:rsidRPr="00042A6C" w:rsidRDefault="00D904F7" w:rsidP="00091295">
            <w:pPr>
              <w:widowControl w:val="0"/>
              <w:autoSpaceDE w:val="0"/>
              <w:autoSpaceDN w:val="0"/>
              <w:spacing w:before="10"/>
              <w:rPr>
                <w:sz w:val="21"/>
                <w:szCs w:val="22"/>
                <w:lang w:val="sr-Latn-ME"/>
              </w:rPr>
            </w:pPr>
          </w:p>
          <w:p w:rsidR="00D904F7" w:rsidRPr="00042A6C" w:rsidRDefault="00D904F7" w:rsidP="00091295">
            <w:pPr>
              <w:widowControl w:val="0"/>
              <w:autoSpaceDE w:val="0"/>
              <w:autoSpaceDN w:val="0"/>
              <w:spacing w:before="1" w:line="237" w:lineRule="auto"/>
              <w:ind w:left="9" w:right="245"/>
              <w:rPr>
                <w:sz w:val="22"/>
                <w:szCs w:val="22"/>
                <w:lang w:val="sr-Latn-ME"/>
              </w:rPr>
            </w:pPr>
            <w:r w:rsidRPr="00042A6C">
              <w:rPr>
                <w:sz w:val="22"/>
                <w:szCs w:val="22"/>
                <w:lang w:val="sr-Latn-ME"/>
              </w:rPr>
              <w:t>Terapija i prevencija rekurentne TDV i PE</w:t>
            </w:r>
          </w:p>
        </w:tc>
        <w:tc>
          <w:tcPr>
            <w:tcW w:w="2611" w:type="dxa"/>
          </w:tcPr>
          <w:p w:rsidR="00D904F7" w:rsidRPr="00042A6C" w:rsidRDefault="00D904F7" w:rsidP="00091295">
            <w:pPr>
              <w:widowControl w:val="0"/>
              <w:autoSpaceDE w:val="0"/>
              <w:autoSpaceDN w:val="0"/>
              <w:spacing w:before="10"/>
              <w:jc w:val="center"/>
              <w:rPr>
                <w:sz w:val="20"/>
                <w:szCs w:val="22"/>
                <w:lang w:val="sr-Latn-ME"/>
              </w:rPr>
            </w:pPr>
          </w:p>
          <w:p w:rsidR="00D904F7" w:rsidRPr="00042A6C" w:rsidRDefault="00D904F7" w:rsidP="00091295">
            <w:pPr>
              <w:widowControl w:val="0"/>
              <w:autoSpaceDE w:val="0"/>
              <w:autoSpaceDN w:val="0"/>
              <w:spacing w:before="1" w:line="238" w:lineRule="exact"/>
              <w:ind w:left="9"/>
              <w:jc w:val="center"/>
              <w:rPr>
                <w:sz w:val="22"/>
                <w:szCs w:val="22"/>
                <w:lang w:val="sr-Latn-ME"/>
              </w:rPr>
            </w:pPr>
            <w:r w:rsidRPr="00042A6C">
              <w:rPr>
                <w:sz w:val="22"/>
                <w:szCs w:val="22"/>
                <w:lang w:val="sr-Latn-ME"/>
              </w:rPr>
              <w:t>1.</w:t>
            </w:r>
            <w:r w:rsidR="000500D6" w:rsidRPr="00042A6C">
              <w:rPr>
                <w:sz w:val="22"/>
                <w:szCs w:val="22"/>
                <w:lang w:val="sr-Latn-ME"/>
              </w:rPr>
              <w:t xml:space="preserve"> </w:t>
            </w:r>
            <w:r w:rsidRPr="00042A6C">
              <w:rPr>
                <w:sz w:val="22"/>
                <w:szCs w:val="22"/>
                <w:lang w:val="sr-Latn-ME"/>
              </w:rPr>
              <w:t>-</w:t>
            </w:r>
            <w:r w:rsidR="000500D6" w:rsidRPr="00042A6C">
              <w:rPr>
                <w:sz w:val="22"/>
                <w:szCs w:val="22"/>
                <w:lang w:val="sr-Latn-ME"/>
              </w:rPr>
              <w:t xml:space="preserve"> </w:t>
            </w:r>
            <w:r w:rsidRPr="00042A6C">
              <w:rPr>
                <w:sz w:val="22"/>
                <w:szCs w:val="22"/>
                <w:lang w:val="sr-Latn-ME"/>
              </w:rPr>
              <w:t>21. dan</w:t>
            </w:r>
          </w:p>
        </w:tc>
        <w:tc>
          <w:tcPr>
            <w:tcW w:w="2429" w:type="dxa"/>
          </w:tcPr>
          <w:p w:rsidR="00D904F7" w:rsidRPr="00042A6C" w:rsidRDefault="00D904F7" w:rsidP="00091295">
            <w:pPr>
              <w:widowControl w:val="0"/>
              <w:autoSpaceDE w:val="0"/>
              <w:autoSpaceDN w:val="0"/>
              <w:spacing w:before="10"/>
              <w:jc w:val="center"/>
              <w:rPr>
                <w:sz w:val="20"/>
                <w:szCs w:val="22"/>
                <w:lang w:val="sr-Latn-ME"/>
              </w:rPr>
            </w:pPr>
          </w:p>
          <w:p w:rsidR="00D904F7" w:rsidRPr="00042A6C" w:rsidRDefault="00D904F7" w:rsidP="00091295">
            <w:pPr>
              <w:widowControl w:val="0"/>
              <w:autoSpaceDE w:val="0"/>
              <w:autoSpaceDN w:val="0"/>
              <w:spacing w:before="1" w:line="238" w:lineRule="exact"/>
              <w:ind w:left="9"/>
              <w:jc w:val="center"/>
              <w:rPr>
                <w:sz w:val="22"/>
                <w:szCs w:val="22"/>
                <w:lang w:val="sr-Latn-ME"/>
              </w:rPr>
            </w:pPr>
            <w:r w:rsidRPr="00042A6C">
              <w:rPr>
                <w:sz w:val="22"/>
                <w:szCs w:val="22"/>
                <w:lang w:val="sr-Latn-ME"/>
              </w:rPr>
              <w:t>15 mg dva puta dnevno</w:t>
            </w:r>
          </w:p>
        </w:tc>
        <w:tc>
          <w:tcPr>
            <w:tcW w:w="2146" w:type="dxa"/>
          </w:tcPr>
          <w:p w:rsidR="00D904F7" w:rsidRPr="00042A6C" w:rsidRDefault="00D904F7" w:rsidP="00091295">
            <w:pPr>
              <w:widowControl w:val="0"/>
              <w:autoSpaceDE w:val="0"/>
              <w:autoSpaceDN w:val="0"/>
              <w:spacing w:before="10"/>
              <w:jc w:val="center"/>
              <w:rPr>
                <w:sz w:val="20"/>
                <w:szCs w:val="22"/>
                <w:lang w:val="sr-Latn-ME"/>
              </w:rPr>
            </w:pPr>
          </w:p>
          <w:p w:rsidR="00D904F7" w:rsidRPr="00042A6C" w:rsidRDefault="00D904F7" w:rsidP="00091295">
            <w:pPr>
              <w:widowControl w:val="0"/>
              <w:autoSpaceDE w:val="0"/>
              <w:autoSpaceDN w:val="0"/>
              <w:spacing w:before="1" w:line="238" w:lineRule="exact"/>
              <w:ind w:left="9"/>
              <w:jc w:val="center"/>
              <w:rPr>
                <w:sz w:val="22"/>
                <w:szCs w:val="22"/>
                <w:lang w:val="sr-Latn-ME"/>
              </w:rPr>
            </w:pPr>
            <w:r w:rsidRPr="00042A6C">
              <w:rPr>
                <w:sz w:val="22"/>
                <w:szCs w:val="22"/>
                <w:lang w:val="sr-Latn-ME"/>
              </w:rPr>
              <w:t>30 mg</w:t>
            </w:r>
          </w:p>
        </w:tc>
      </w:tr>
      <w:tr w:rsidR="00D904F7" w:rsidRPr="00042A6C" w:rsidTr="00091295">
        <w:trPr>
          <w:trHeight w:val="493"/>
          <w:jc w:val="center"/>
        </w:trPr>
        <w:tc>
          <w:tcPr>
            <w:tcW w:w="1881" w:type="dxa"/>
            <w:vMerge/>
            <w:tcBorders>
              <w:top w:val="nil"/>
            </w:tcBorders>
          </w:tcPr>
          <w:p w:rsidR="00D904F7" w:rsidRPr="00042A6C" w:rsidRDefault="00D904F7" w:rsidP="00091295">
            <w:pPr>
              <w:widowControl w:val="0"/>
              <w:autoSpaceDE w:val="0"/>
              <w:autoSpaceDN w:val="0"/>
              <w:rPr>
                <w:sz w:val="2"/>
                <w:szCs w:val="2"/>
                <w:lang w:val="sr-Latn-ME"/>
              </w:rPr>
            </w:pPr>
          </w:p>
        </w:tc>
        <w:tc>
          <w:tcPr>
            <w:tcW w:w="2611" w:type="dxa"/>
          </w:tcPr>
          <w:p w:rsidR="00D904F7" w:rsidRPr="00042A6C" w:rsidRDefault="00D904F7" w:rsidP="00091295">
            <w:pPr>
              <w:widowControl w:val="0"/>
              <w:autoSpaceDE w:val="0"/>
              <w:autoSpaceDN w:val="0"/>
              <w:spacing w:before="10"/>
              <w:jc w:val="center"/>
              <w:rPr>
                <w:sz w:val="20"/>
                <w:szCs w:val="22"/>
                <w:lang w:val="sr-Latn-ME"/>
              </w:rPr>
            </w:pPr>
          </w:p>
          <w:p w:rsidR="00D904F7" w:rsidRPr="00042A6C" w:rsidRDefault="00D904F7" w:rsidP="00091295">
            <w:pPr>
              <w:widowControl w:val="0"/>
              <w:autoSpaceDE w:val="0"/>
              <w:autoSpaceDN w:val="0"/>
              <w:spacing w:before="1" w:line="233" w:lineRule="exact"/>
              <w:ind w:left="9"/>
              <w:jc w:val="center"/>
              <w:rPr>
                <w:sz w:val="22"/>
                <w:szCs w:val="22"/>
                <w:lang w:val="sr-Latn-ME"/>
              </w:rPr>
            </w:pPr>
            <w:r w:rsidRPr="00042A6C">
              <w:rPr>
                <w:sz w:val="22"/>
                <w:szCs w:val="22"/>
                <w:lang w:val="sr-Latn-ME"/>
              </w:rPr>
              <w:t>od 22.</w:t>
            </w:r>
            <w:r w:rsidR="000500D6" w:rsidRPr="00042A6C">
              <w:rPr>
                <w:sz w:val="22"/>
                <w:szCs w:val="22"/>
                <w:lang w:val="sr-Latn-ME"/>
              </w:rPr>
              <w:t xml:space="preserve"> </w:t>
            </w:r>
            <w:r w:rsidRPr="00042A6C">
              <w:rPr>
                <w:sz w:val="22"/>
                <w:szCs w:val="22"/>
                <w:lang w:val="sr-Latn-ME"/>
              </w:rPr>
              <w:t>dana nadalje</w:t>
            </w:r>
          </w:p>
        </w:tc>
        <w:tc>
          <w:tcPr>
            <w:tcW w:w="2429" w:type="dxa"/>
          </w:tcPr>
          <w:p w:rsidR="00D904F7" w:rsidRPr="00042A6C" w:rsidRDefault="00D904F7" w:rsidP="00091295">
            <w:pPr>
              <w:widowControl w:val="0"/>
              <w:autoSpaceDE w:val="0"/>
              <w:autoSpaceDN w:val="0"/>
              <w:spacing w:before="10"/>
              <w:jc w:val="center"/>
              <w:rPr>
                <w:sz w:val="20"/>
                <w:szCs w:val="22"/>
                <w:lang w:val="sr-Latn-ME"/>
              </w:rPr>
            </w:pPr>
          </w:p>
          <w:p w:rsidR="00D904F7" w:rsidRPr="00042A6C" w:rsidRDefault="00D904F7" w:rsidP="00091295">
            <w:pPr>
              <w:widowControl w:val="0"/>
              <w:autoSpaceDE w:val="0"/>
              <w:autoSpaceDN w:val="0"/>
              <w:spacing w:before="1" w:line="233" w:lineRule="exact"/>
              <w:ind w:left="9"/>
              <w:jc w:val="center"/>
              <w:rPr>
                <w:sz w:val="22"/>
                <w:szCs w:val="22"/>
                <w:lang w:val="sr-Latn-ME"/>
              </w:rPr>
            </w:pPr>
            <w:r w:rsidRPr="00042A6C">
              <w:rPr>
                <w:sz w:val="22"/>
                <w:szCs w:val="22"/>
                <w:lang w:val="sr-Latn-ME"/>
              </w:rPr>
              <w:t>20 mg jednom dnevno</w:t>
            </w:r>
          </w:p>
        </w:tc>
        <w:tc>
          <w:tcPr>
            <w:tcW w:w="2146" w:type="dxa"/>
          </w:tcPr>
          <w:p w:rsidR="00D904F7" w:rsidRPr="00042A6C" w:rsidRDefault="00D904F7" w:rsidP="00091295">
            <w:pPr>
              <w:widowControl w:val="0"/>
              <w:autoSpaceDE w:val="0"/>
              <w:autoSpaceDN w:val="0"/>
              <w:spacing w:before="10"/>
              <w:jc w:val="center"/>
              <w:rPr>
                <w:sz w:val="20"/>
                <w:szCs w:val="22"/>
                <w:lang w:val="sr-Latn-ME"/>
              </w:rPr>
            </w:pPr>
          </w:p>
          <w:p w:rsidR="00D904F7" w:rsidRPr="00042A6C" w:rsidRDefault="00D904F7" w:rsidP="00091295">
            <w:pPr>
              <w:widowControl w:val="0"/>
              <w:autoSpaceDE w:val="0"/>
              <w:autoSpaceDN w:val="0"/>
              <w:spacing w:before="1" w:line="233" w:lineRule="exact"/>
              <w:ind w:left="9"/>
              <w:jc w:val="center"/>
              <w:rPr>
                <w:sz w:val="22"/>
                <w:szCs w:val="22"/>
                <w:lang w:val="sr-Latn-ME"/>
              </w:rPr>
            </w:pPr>
            <w:r w:rsidRPr="00042A6C">
              <w:rPr>
                <w:sz w:val="22"/>
                <w:szCs w:val="22"/>
                <w:lang w:val="sr-Latn-ME"/>
              </w:rPr>
              <w:t>20 mg</w:t>
            </w:r>
          </w:p>
        </w:tc>
      </w:tr>
      <w:tr w:rsidR="00D904F7" w:rsidRPr="00042A6C" w:rsidTr="00091295">
        <w:trPr>
          <w:trHeight w:val="1017"/>
          <w:jc w:val="center"/>
        </w:trPr>
        <w:tc>
          <w:tcPr>
            <w:tcW w:w="1881" w:type="dxa"/>
          </w:tcPr>
          <w:p w:rsidR="00D904F7" w:rsidRPr="00042A6C" w:rsidRDefault="00D904F7" w:rsidP="00091295">
            <w:pPr>
              <w:widowControl w:val="0"/>
              <w:autoSpaceDE w:val="0"/>
              <w:autoSpaceDN w:val="0"/>
              <w:spacing w:before="4"/>
              <w:rPr>
                <w:sz w:val="21"/>
                <w:szCs w:val="22"/>
                <w:lang w:val="sr-Latn-ME"/>
              </w:rPr>
            </w:pPr>
          </w:p>
          <w:p w:rsidR="00D904F7" w:rsidRPr="00042A6C" w:rsidRDefault="00D904F7" w:rsidP="00091295">
            <w:pPr>
              <w:widowControl w:val="0"/>
              <w:autoSpaceDE w:val="0"/>
              <w:autoSpaceDN w:val="0"/>
              <w:ind w:left="9"/>
              <w:rPr>
                <w:sz w:val="22"/>
                <w:szCs w:val="22"/>
                <w:lang w:val="sr-Latn-ME"/>
              </w:rPr>
            </w:pPr>
            <w:r w:rsidRPr="00042A6C">
              <w:rPr>
                <w:sz w:val="22"/>
                <w:szCs w:val="22"/>
                <w:lang w:val="sr-Latn-ME"/>
              </w:rPr>
              <w:t>Prevencija rekurentne TDV i PE</w:t>
            </w:r>
          </w:p>
        </w:tc>
        <w:tc>
          <w:tcPr>
            <w:tcW w:w="2611" w:type="dxa"/>
          </w:tcPr>
          <w:p w:rsidR="00D904F7" w:rsidRPr="00042A6C" w:rsidRDefault="00D904F7" w:rsidP="00091295">
            <w:pPr>
              <w:widowControl w:val="0"/>
              <w:autoSpaceDE w:val="0"/>
              <w:autoSpaceDN w:val="0"/>
              <w:spacing w:before="4"/>
              <w:jc w:val="center"/>
              <w:rPr>
                <w:sz w:val="21"/>
                <w:szCs w:val="22"/>
                <w:lang w:val="sr-Latn-ME"/>
              </w:rPr>
            </w:pPr>
          </w:p>
          <w:p w:rsidR="00D904F7" w:rsidRPr="00042A6C" w:rsidRDefault="00D904F7" w:rsidP="00091295">
            <w:pPr>
              <w:widowControl w:val="0"/>
              <w:autoSpaceDE w:val="0"/>
              <w:autoSpaceDN w:val="0"/>
              <w:ind w:left="9"/>
              <w:jc w:val="center"/>
              <w:rPr>
                <w:sz w:val="22"/>
                <w:szCs w:val="22"/>
                <w:lang w:val="sr-Latn-ME"/>
              </w:rPr>
            </w:pPr>
            <w:r w:rsidRPr="00042A6C">
              <w:rPr>
                <w:sz w:val="22"/>
                <w:szCs w:val="22"/>
                <w:lang w:val="sr-Latn-ME"/>
              </w:rPr>
              <w:t>Nakon završetka terapije</w:t>
            </w:r>
          </w:p>
          <w:p w:rsidR="00D904F7" w:rsidRPr="00042A6C" w:rsidRDefault="00D904F7" w:rsidP="0087026C">
            <w:pPr>
              <w:widowControl w:val="0"/>
              <w:autoSpaceDE w:val="0"/>
              <w:autoSpaceDN w:val="0"/>
              <w:spacing w:before="16" w:line="250" w:lineRule="exact"/>
              <w:ind w:left="9" w:right="102"/>
              <w:jc w:val="center"/>
              <w:rPr>
                <w:sz w:val="22"/>
                <w:szCs w:val="22"/>
                <w:lang w:val="sr-Latn-ME"/>
              </w:rPr>
            </w:pPr>
            <w:r w:rsidRPr="00042A6C">
              <w:rPr>
                <w:sz w:val="22"/>
                <w:szCs w:val="22"/>
                <w:lang w:val="sr-Latn-ME"/>
              </w:rPr>
              <w:t>TDV ili PE koja je trajala najmanje 6 mjeseci</w:t>
            </w:r>
          </w:p>
        </w:tc>
        <w:tc>
          <w:tcPr>
            <w:tcW w:w="2429" w:type="dxa"/>
          </w:tcPr>
          <w:p w:rsidR="00D904F7" w:rsidRPr="00042A6C" w:rsidRDefault="00D904F7" w:rsidP="00091295">
            <w:pPr>
              <w:widowControl w:val="0"/>
              <w:autoSpaceDE w:val="0"/>
              <w:autoSpaceDN w:val="0"/>
              <w:spacing w:before="4"/>
              <w:jc w:val="center"/>
              <w:rPr>
                <w:sz w:val="21"/>
                <w:szCs w:val="22"/>
                <w:lang w:val="sr-Latn-ME"/>
              </w:rPr>
            </w:pPr>
          </w:p>
          <w:p w:rsidR="00D904F7" w:rsidRPr="00042A6C" w:rsidRDefault="00D904F7" w:rsidP="00091295">
            <w:pPr>
              <w:widowControl w:val="0"/>
              <w:autoSpaceDE w:val="0"/>
              <w:autoSpaceDN w:val="0"/>
              <w:ind w:left="9"/>
              <w:jc w:val="center"/>
              <w:rPr>
                <w:sz w:val="22"/>
                <w:szCs w:val="22"/>
                <w:lang w:val="sr-Latn-ME"/>
              </w:rPr>
            </w:pPr>
            <w:r w:rsidRPr="00042A6C">
              <w:rPr>
                <w:sz w:val="22"/>
                <w:szCs w:val="22"/>
                <w:lang w:val="sr-Latn-ME"/>
              </w:rPr>
              <w:t>10 mg jednom dnevno ili 20 mg jednom dnevno</w:t>
            </w:r>
          </w:p>
        </w:tc>
        <w:tc>
          <w:tcPr>
            <w:tcW w:w="2146" w:type="dxa"/>
          </w:tcPr>
          <w:p w:rsidR="00D904F7" w:rsidRPr="00042A6C" w:rsidRDefault="00D904F7" w:rsidP="00091295">
            <w:pPr>
              <w:widowControl w:val="0"/>
              <w:autoSpaceDE w:val="0"/>
              <w:autoSpaceDN w:val="0"/>
              <w:spacing w:before="4"/>
              <w:jc w:val="center"/>
              <w:rPr>
                <w:sz w:val="21"/>
                <w:szCs w:val="22"/>
                <w:lang w:val="sr-Latn-ME"/>
              </w:rPr>
            </w:pPr>
          </w:p>
          <w:p w:rsidR="00D904F7" w:rsidRPr="00042A6C" w:rsidRDefault="00D904F7" w:rsidP="00091295">
            <w:pPr>
              <w:widowControl w:val="0"/>
              <w:autoSpaceDE w:val="0"/>
              <w:autoSpaceDN w:val="0"/>
              <w:ind w:left="9"/>
              <w:jc w:val="center"/>
              <w:rPr>
                <w:sz w:val="22"/>
                <w:szCs w:val="22"/>
                <w:lang w:val="sr-Latn-ME"/>
              </w:rPr>
            </w:pPr>
            <w:r w:rsidRPr="00042A6C">
              <w:rPr>
                <w:sz w:val="22"/>
                <w:szCs w:val="22"/>
                <w:lang w:val="sr-Latn-ME"/>
              </w:rPr>
              <w:t>10 mg ili 20 mg</w:t>
            </w:r>
          </w:p>
        </w:tc>
      </w:tr>
    </w:tbl>
    <w:p w:rsidR="00D904F7" w:rsidRPr="00042A6C" w:rsidRDefault="00D904F7" w:rsidP="00D904F7">
      <w:pPr>
        <w:tabs>
          <w:tab w:val="left" w:pos="540"/>
          <w:tab w:val="left" w:pos="569"/>
        </w:tabs>
        <w:rPr>
          <w:bCs/>
          <w:sz w:val="22"/>
          <w:szCs w:val="22"/>
          <w:u w:val="single"/>
          <w:lang w:val="sr-Latn-ME"/>
        </w:rPr>
      </w:pP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Ako se tokom faze terapije sa 15 mg dva puta dnevno (1. – 21. dan) propusti doza, pacijent treba odmah da uzme lijek Corviva da bi obezbijedio količinu od 30 mg lijeka Corviva dnevno. U ovom slučaju se dvije tablete od 15 mg mogu uzeti odjednom. Pacijent treba da nastavi sa redovnim uzimanjem 15 mg dva puta dnevno narednog dana, kako je preporučeno.</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Ako se propusti doza tokom faze terapije kada </w:t>
      </w:r>
      <w:r w:rsidR="000500D6" w:rsidRPr="00042A6C">
        <w:rPr>
          <w:bCs/>
          <w:sz w:val="22"/>
          <w:szCs w:val="22"/>
          <w:lang w:val="sr-Latn-ME"/>
        </w:rPr>
        <w:t xml:space="preserve">se </w:t>
      </w:r>
      <w:r w:rsidRPr="00042A6C">
        <w:rPr>
          <w:bCs/>
          <w:sz w:val="22"/>
          <w:szCs w:val="22"/>
          <w:lang w:val="sr-Latn-ME"/>
        </w:rPr>
        <w:t>lijek uzima jednom dnevno, pacijent treba odmah da uzme lijek Corviva i da nastavi narednog dana sa uzimanjem jednom dnevno kako je preporučeno. Ne treba uzimati dvije doze lijeka tokom istog dana da bi se nadoknadila propuštena doza.</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i/>
          <w:iCs/>
          <w:sz w:val="22"/>
          <w:szCs w:val="22"/>
          <w:u w:val="single"/>
          <w:lang w:val="sr-Latn-ME"/>
        </w:rPr>
      </w:pPr>
      <w:r w:rsidRPr="00042A6C">
        <w:rPr>
          <w:bCs/>
          <w:i/>
          <w:iCs/>
          <w:sz w:val="22"/>
          <w:szCs w:val="22"/>
          <w:u w:val="single"/>
          <w:lang w:val="sr-Latn-ME"/>
        </w:rPr>
        <w:t>Liječenje VTE  i prevencija rekurentne VTE-a kod djece i adolescenata</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Liječenje lijekom Corviva kod djece i adolescenata uzrasta  ispod 18 godina potrebno je započeti nakon najmanje 5 dana početnog liječenja parenteralnim antikoagulansom (vidjeti </w:t>
      </w:r>
      <w:r w:rsidR="000500D6" w:rsidRPr="00042A6C">
        <w:rPr>
          <w:bCs/>
          <w:sz w:val="22"/>
          <w:szCs w:val="22"/>
          <w:lang w:val="sr-Latn-ME"/>
        </w:rPr>
        <w:t xml:space="preserve">dio </w:t>
      </w:r>
      <w:r w:rsidRPr="00042A6C">
        <w:rPr>
          <w:bCs/>
          <w:sz w:val="22"/>
          <w:szCs w:val="22"/>
          <w:lang w:val="sr-Latn-ME"/>
        </w:rPr>
        <w:t>5.1).</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Doza za djecu i adolescente izračunava se na osnovu tjelesne težine.</w:t>
      </w:r>
    </w:p>
    <w:p w:rsidR="00D904F7" w:rsidRPr="00042A6C" w:rsidRDefault="00D904F7" w:rsidP="00D904F7">
      <w:pPr>
        <w:numPr>
          <w:ilvl w:val="0"/>
          <w:numId w:val="15"/>
        </w:numPr>
        <w:tabs>
          <w:tab w:val="left" w:pos="540"/>
          <w:tab w:val="left" w:pos="569"/>
        </w:tabs>
        <w:jc w:val="both"/>
        <w:rPr>
          <w:bCs/>
          <w:sz w:val="22"/>
          <w:szCs w:val="22"/>
          <w:lang w:val="sr-Latn-ME"/>
        </w:rPr>
      </w:pPr>
      <w:r w:rsidRPr="00042A6C">
        <w:rPr>
          <w:bCs/>
          <w:sz w:val="22"/>
          <w:szCs w:val="22"/>
          <w:lang w:val="sr-Latn-ME"/>
        </w:rPr>
        <w:t>Tjelesna težina od 30 do 50 kg:</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preporučuje se doza od 15 mg rivaroksabana jednom dnevno. To je maksimalna dnevna doza.</w:t>
      </w:r>
    </w:p>
    <w:p w:rsidR="00D904F7" w:rsidRPr="00042A6C" w:rsidRDefault="00D904F7" w:rsidP="00D904F7">
      <w:pPr>
        <w:pStyle w:val="ListParagraph"/>
        <w:numPr>
          <w:ilvl w:val="0"/>
          <w:numId w:val="15"/>
        </w:numPr>
        <w:tabs>
          <w:tab w:val="left" w:pos="540"/>
          <w:tab w:val="left" w:pos="569"/>
        </w:tabs>
        <w:jc w:val="both"/>
        <w:rPr>
          <w:bCs/>
          <w:sz w:val="22"/>
          <w:szCs w:val="22"/>
          <w:lang w:val="sr-Latn-ME"/>
        </w:rPr>
      </w:pPr>
      <w:r w:rsidRPr="00042A6C">
        <w:rPr>
          <w:bCs/>
          <w:sz w:val="22"/>
          <w:szCs w:val="22"/>
          <w:lang w:val="sr-Latn-ME"/>
        </w:rPr>
        <w:t>Tjelesna težina od 50 kg ili više:</w:t>
      </w:r>
    </w:p>
    <w:p w:rsidR="00D904F7" w:rsidRPr="00042A6C" w:rsidRDefault="00D904F7" w:rsidP="00D904F7">
      <w:pPr>
        <w:tabs>
          <w:tab w:val="left" w:pos="540"/>
          <w:tab w:val="left" w:pos="569"/>
        </w:tabs>
        <w:jc w:val="both"/>
        <w:rPr>
          <w:bCs/>
          <w:sz w:val="22"/>
          <w:szCs w:val="22"/>
          <w:u w:val="single"/>
          <w:lang w:val="sr-Latn-ME"/>
        </w:rPr>
      </w:pPr>
      <w:r w:rsidRPr="00042A6C">
        <w:rPr>
          <w:bCs/>
          <w:sz w:val="22"/>
          <w:szCs w:val="22"/>
          <w:lang w:val="sr-Latn-ME"/>
        </w:rPr>
        <w:t>preporučuje se doza od 20 mg rivaroksabana jednom dnevno. To je maksimalna dnevna doza</w:t>
      </w:r>
      <w:r w:rsidRPr="00042A6C">
        <w:rPr>
          <w:bCs/>
          <w:sz w:val="22"/>
          <w:szCs w:val="22"/>
          <w:u w:val="single"/>
          <w:lang w:val="sr-Latn-ME"/>
        </w:rPr>
        <w:t>.</w:t>
      </w:r>
    </w:p>
    <w:p w:rsidR="00D904F7" w:rsidRPr="00042A6C" w:rsidRDefault="00D904F7" w:rsidP="00D904F7">
      <w:pPr>
        <w:pStyle w:val="ListParagraph"/>
        <w:numPr>
          <w:ilvl w:val="0"/>
          <w:numId w:val="15"/>
        </w:numPr>
        <w:tabs>
          <w:tab w:val="left" w:pos="540"/>
          <w:tab w:val="left" w:pos="569"/>
        </w:tabs>
        <w:rPr>
          <w:bCs/>
          <w:sz w:val="22"/>
          <w:szCs w:val="22"/>
          <w:lang w:val="sr-Latn-ME"/>
        </w:rPr>
      </w:pPr>
      <w:r w:rsidRPr="00042A6C">
        <w:rPr>
          <w:bCs/>
          <w:sz w:val="22"/>
          <w:szCs w:val="22"/>
          <w:lang w:val="sr-Latn-ME"/>
        </w:rPr>
        <w:t>Za pacijente tjelesne težine manje od 30 kg su dostupni drugi farmaceutski oblici.</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Potrebno je redovno pratiti tjelesnu težinu djeteta i revidirati dozu. Tako će se osigurati održavanje terapijske doze. Doza se smije prilagoditi samo na osnovu promjene tjelesne težine.</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lastRenderedPageBreak/>
        <w:t>Kod djece i adolescenata potrebno je nastaviti liječenje najmanje 3 mjeseca. Liječenje se može produžiti do najviše 12 mjeseci kada je to klinički potrebno. Kod primjene kod djece, nema dostupnih podataka o smanjenju doze nakon 6 mjeseci liječenja. Kod svakog pojedinačnog pacijenta potrebno je procijeniti odnos koristi i rizika kontinuirane terapije nakon 3 mjeseca, uzimajući u obzir rizik od rekurentne tromboze naspram potencijalnog rizika od krvarenja.</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Ako se propusti doza, potrebno je uzeti propuštenu dozu što je prije moguće nakon što se to primijeti, ali samo </w:t>
      </w:r>
      <w:r w:rsidR="00CB2FF8" w:rsidRPr="00042A6C">
        <w:rPr>
          <w:bCs/>
          <w:sz w:val="22"/>
          <w:szCs w:val="22"/>
          <w:lang w:val="sr-Latn-ME"/>
        </w:rPr>
        <w:t xml:space="preserve">tog istog </w:t>
      </w:r>
      <w:r w:rsidRPr="00042A6C">
        <w:rPr>
          <w:bCs/>
          <w:sz w:val="22"/>
          <w:szCs w:val="22"/>
          <w:lang w:val="sr-Latn-ME"/>
        </w:rPr>
        <w:t>dan</w:t>
      </w:r>
      <w:r w:rsidR="00CB2FF8" w:rsidRPr="00042A6C">
        <w:rPr>
          <w:bCs/>
          <w:sz w:val="22"/>
          <w:szCs w:val="22"/>
          <w:lang w:val="sr-Latn-ME"/>
        </w:rPr>
        <w:t>a</w:t>
      </w:r>
      <w:r w:rsidRPr="00042A6C">
        <w:rPr>
          <w:bCs/>
          <w:sz w:val="22"/>
          <w:szCs w:val="22"/>
          <w:lang w:val="sr-Latn-ME"/>
        </w:rPr>
        <w:t>. Ako to nije moguće, potrebno je da pacijent preskoči dozu i nastavi sa uzimanjem sljedeće doze kako je propisano. Pacijent ne smije uzeti dvije doze kako bi nadoknadio propuštenu dozu.</w:t>
      </w:r>
    </w:p>
    <w:p w:rsidR="00D904F7" w:rsidRPr="00042A6C" w:rsidRDefault="00D904F7" w:rsidP="00D904F7">
      <w:pPr>
        <w:tabs>
          <w:tab w:val="left" w:pos="540"/>
          <w:tab w:val="left" w:pos="569"/>
        </w:tabs>
        <w:rPr>
          <w:bCs/>
          <w:sz w:val="22"/>
          <w:szCs w:val="22"/>
          <w:u w:val="single"/>
          <w:lang w:val="sr-Latn-ME"/>
        </w:rPr>
      </w:pPr>
    </w:p>
    <w:p w:rsidR="00D904F7" w:rsidRPr="00042A6C" w:rsidRDefault="00D904F7" w:rsidP="00D904F7">
      <w:pPr>
        <w:tabs>
          <w:tab w:val="left" w:pos="540"/>
          <w:tab w:val="left" w:pos="569"/>
        </w:tabs>
        <w:jc w:val="both"/>
        <w:rPr>
          <w:bCs/>
          <w:i/>
          <w:sz w:val="22"/>
          <w:szCs w:val="22"/>
          <w:u w:val="single"/>
          <w:lang w:val="sr-Latn-ME"/>
        </w:rPr>
      </w:pPr>
      <w:r w:rsidRPr="00042A6C">
        <w:rPr>
          <w:bCs/>
          <w:i/>
          <w:sz w:val="22"/>
          <w:szCs w:val="22"/>
          <w:u w:val="single"/>
          <w:lang w:val="sr-Latn-ME"/>
        </w:rPr>
        <w:t>Prevođenje pacijenata sa terapije antagonistom vitamina K (engl. Vitamin K Antagonist, VKA) na terapiju lijekom Corviva</w:t>
      </w:r>
    </w:p>
    <w:p w:rsidR="00D904F7" w:rsidRPr="004C49DB" w:rsidRDefault="00D904F7" w:rsidP="004C49DB">
      <w:pPr>
        <w:pStyle w:val="ListParagraph"/>
        <w:numPr>
          <w:ilvl w:val="0"/>
          <w:numId w:val="20"/>
        </w:numPr>
        <w:tabs>
          <w:tab w:val="left" w:pos="540"/>
          <w:tab w:val="left" w:pos="569"/>
        </w:tabs>
        <w:jc w:val="both"/>
        <w:rPr>
          <w:bCs/>
          <w:sz w:val="22"/>
          <w:szCs w:val="22"/>
          <w:lang w:val="sr-Latn-ME"/>
        </w:rPr>
      </w:pPr>
      <w:r w:rsidRPr="004C49DB">
        <w:rPr>
          <w:bCs/>
          <w:sz w:val="22"/>
          <w:szCs w:val="22"/>
          <w:lang w:val="sr-Latn-ME"/>
        </w:rPr>
        <w:t xml:space="preserve">Pacijenti koji su na terapiji prevencije moždanog udara i sistemske embolije, terapiju sa VKA treba da prekinu, a terapiju lijekom Corviva treba da započnu kada je vrijednost INR </w:t>
      </w:r>
      <w:r w:rsidR="00BD15F3" w:rsidRPr="004C49DB">
        <w:rPr>
          <w:bCs/>
          <w:sz w:val="22"/>
          <w:szCs w:val="22"/>
          <w:lang w:val="sr-Latn-ME"/>
        </w:rPr>
        <w:t>(</w:t>
      </w:r>
      <w:r w:rsidRPr="004C49DB">
        <w:rPr>
          <w:bCs/>
          <w:sz w:val="22"/>
          <w:szCs w:val="22"/>
          <w:lang w:val="sr-Latn-ME"/>
        </w:rPr>
        <w:t>engl</w:t>
      </w:r>
      <w:r w:rsidRPr="004C49DB">
        <w:rPr>
          <w:bCs/>
          <w:i/>
          <w:sz w:val="22"/>
          <w:szCs w:val="22"/>
          <w:lang w:val="sr-Latn-ME"/>
        </w:rPr>
        <w:t xml:space="preserve">. International </w:t>
      </w:r>
      <w:r w:rsidR="009705B3" w:rsidRPr="004C49DB">
        <w:rPr>
          <w:bCs/>
          <w:i/>
          <w:sz w:val="22"/>
          <w:szCs w:val="22"/>
          <w:lang w:val="sr-Latn-ME"/>
        </w:rPr>
        <w:t>Normali</w:t>
      </w:r>
      <w:r w:rsidR="009705B3" w:rsidRPr="00042A6C">
        <w:rPr>
          <w:bCs/>
          <w:i/>
          <w:sz w:val="22"/>
          <w:szCs w:val="22"/>
          <w:lang w:val="sr-Latn-ME"/>
        </w:rPr>
        <w:t>sed</w:t>
      </w:r>
      <w:r w:rsidR="009705B3" w:rsidRPr="004C49DB">
        <w:rPr>
          <w:bCs/>
          <w:i/>
          <w:sz w:val="22"/>
          <w:szCs w:val="22"/>
          <w:lang w:val="sr-Latn-ME"/>
        </w:rPr>
        <w:t xml:space="preserve"> </w:t>
      </w:r>
      <w:r w:rsidRPr="004C49DB">
        <w:rPr>
          <w:bCs/>
          <w:i/>
          <w:sz w:val="22"/>
          <w:szCs w:val="22"/>
          <w:lang w:val="sr-Latn-ME"/>
        </w:rPr>
        <w:t>Ratio</w:t>
      </w:r>
      <w:r w:rsidR="00BD15F3" w:rsidRPr="004C49DB">
        <w:rPr>
          <w:bCs/>
          <w:sz w:val="22"/>
          <w:szCs w:val="22"/>
          <w:lang w:val="sr-Latn-ME"/>
        </w:rPr>
        <w:t>)</w:t>
      </w:r>
      <w:r w:rsidRPr="004C49DB">
        <w:rPr>
          <w:bCs/>
          <w:i/>
          <w:sz w:val="22"/>
          <w:szCs w:val="22"/>
          <w:lang w:val="sr-Latn-ME"/>
        </w:rPr>
        <w:t xml:space="preserve"> </w:t>
      </w:r>
      <w:r w:rsidRPr="004C49DB">
        <w:rPr>
          <w:bCs/>
          <w:sz w:val="22"/>
          <w:szCs w:val="22"/>
          <w:lang w:val="sr-Latn-ME"/>
        </w:rPr>
        <w:t>≤ 3,0.</w:t>
      </w:r>
    </w:p>
    <w:p w:rsidR="00D904F7" w:rsidRPr="004C49DB" w:rsidRDefault="00D904F7" w:rsidP="004C49DB">
      <w:pPr>
        <w:pStyle w:val="ListParagraph"/>
        <w:numPr>
          <w:ilvl w:val="0"/>
          <w:numId w:val="20"/>
        </w:numPr>
        <w:tabs>
          <w:tab w:val="left" w:pos="540"/>
          <w:tab w:val="left" w:pos="569"/>
        </w:tabs>
        <w:jc w:val="both"/>
        <w:rPr>
          <w:bCs/>
          <w:sz w:val="22"/>
          <w:szCs w:val="22"/>
          <w:lang w:val="sr-Latn-ME"/>
        </w:rPr>
      </w:pPr>
      <w:r w:rsidRPr="004C49DB">
        <w:rPr>
          <w:bCs/>
          <w:sz w:val="22"/>
          <w:szCs w:val="22"/>
          <w:lang w:val="sr-Latn-ME"/>
        </w:rPr>
        <w:t>Odrasli pacijenti koji su na terapiji TDV, PE i u prevenciji recidiva i pedijatrijski pacijenti koji su na terapiji VTE i u prevenciji recidiva terapiju sa VKA treba da prekinu, a terapiju lijekom Corviva treba da započnu kada je INR ≤ 2,5.</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Prilikom prevođenja pacijenata sa VKA na lijek Corviva, INR vrijednosti će nakon uzimanja lijeka Corviva biti lažno povećane. INR nije validan parametar za mjerenje antikoagulantne aktivnosti lijeka Corviva i stoga ga ne treba koristiti (vidjeti </w:t>
      </w:r>
      <w:r w:rsidR="00BD15F3" w:rsidRPr="00042A6C">
        <w:rPr>
          <w:bCs/>
          <w:sz w:val="22"/>
          <w:szCs w:val="22"/>
          <w:lang w:val="sr-Latn-ME"/>
        </w:rPr>
        <w:t xml:space="preserve">dio </w:t>
      </w:r>
      <w:r w:rsidRPr="00042A6C">
        <w:rPr>
          <w:bCs/>
          <w:sz w:val="22"/>
          <w:szCs w:val="22"/>
          <w:lang w:val="sr-Latn-ME"/>
        </w:rPr>
        <w:t>4.5).</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i/>
          <w:sz w:val="22"/>
          <w:szCs w:val="22"/>
          <w:u w:val="single"/>
          <w:lang w:val="sr-Latn-ME"/>
        </w:rPr>
      </w:pPr>
      <w:r w:rsidRPr="00042A6C">
        <w:rPr>
          <w:bCs/>
          <w:i/>
          <w:sz w:val="22"/>
          <w:szCs w:val="22"/>
          <w:u w:val="single"/>
          <w:lang w:val="sr-Latn-ME"/>
        </w:rPr>
        <w:t>Prevođenje pacijenata sa terapije lijekom Corviva na terapiju antagonistima vitamina K (VKA)</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Postoji mogućnost da dođe do neadekvatne antikoagulacije tokom prevođenja pacijenta sa terapije lijekom Corviva na terapiju lijekom iz grupe VKA. Tokom svakog prevođenja na drugu antikoagulacionu terapiju treba osigurati kontinuiranu adekvatnu antikoagulaciju. Treba imati na umu da lijek Corviva može doprinijeti povećanju vrijednosti INR.</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Kod pacijenata koji se prevode sa lijeka Corviva na VKA, oba lijeka treba primjenivati istovremeno dok vrijednost INR ne dostigne ≥ 2,0. Tokom prva dva dana perioda prevođenja, treba primijeniti standardno početno doziranje VKA, nakon čega slijedi doziranje VKA u zavisnosti od određene vrijednosti INR. Dok pacijenti istovremeno primaju i lijek Corviva i VKA, INR treba određivati ako je prošlo manje od 24 sata nakon prethodne doze, ali se mora odrediti prije sljedeće doze lijeka Corviva. Kada se primjena lijeka Corviva prekine, određivanje vrijednosti INR se pouzdano može uraditi najmanje 24 sata nakon posljednje doze (vidjeti </w:t>
      </w:r>
      <w:r w:rsidR="00BD15F3" w:rsidRPr="00042A6C">
        <w:rPr>
          <w:bCs/>
          <w:sz w:val="22"/>
          <w:szCs w:val="22"/>
          <w:lang w:val="sr-Latn-ME"/>
        </w:rPr>
        <w:t xml:space="preserve">djelove </w:t>
      </w:r>
      <w:r w:rsidRPr="00042A6C">
        <w:rPr>
          <w:bCs/>
          <w:sz w:val="22"/>
          <w:szCs w:val="22"/>
          <w:lang w:val="sr-Latn-ME"/>
        </w:rPr>
        <w:t>4.5 i 5.2).</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i/>
          <w:sz w:val="22"/>
          <w:szCs w:val="22"/>
          <w:lang w:val="sr-Latn-ME"/>
        </w:rPr>
      </w:pPr>
      <w:r w:rsidRPr="00042A6C">
        <w:rPr>
          <w:bCs/>
          <w:i/>
          <w:sz w:val="22"/>
          <w:szCs w:val="22"/>
          <w:lang w:val="sr-Latn-ME"/>
        </w:rPr>
        <w:t>Pedijatrijski pacijenti:</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Potrebno je da djeca, koja prelaze sa lijeka Corviva na antagonist vitamina K, nastave </w:t>
      </w:r>
      <w:r w:rsidR="00BD15F3" w:rsidRPr="00042A6C">
        <w:rPr>
          <w:bCs/>
          <w:sz w:val="22"/>
          <w:szCs w:val="22"/>
          <w:lang w:val="sr-Latn-ME"/>
        </w:rPr>
        <w:t xml:space="preserve">da uzimaju </w:t>
      </w:r>
      <w:r w:rsidRPr="00042A6C">
        <w:rPr>
          <w:bCs/>
          <w:sz w:val="22"/>
          <w:szCs w:val="22"/>
          <w:lang w:val="sr-Latn-ME"/>
        </w:rPr>
        <w:t xml:space="preserve">lijek Corviva još 48 sati nakon prve doze antagonista vitamina K. Nakon 2 dana istovremene primjene potrebno je odrediti INR prije uzimanja sljedeće planirane doze lijeka Corviva. Savjetuje se </w:t>
      </w:r>
      <w:r w:rsidR="00BD15F3" w:rsidRPr="00042A6C">
        <w:rPr>
          <w:bCs/>
          <w:sz w:val="22"/>
          <w:szCs w:val="22"/>
          <w:lang w:val="sr-Latn-ME"/>
        </w:rPr>
        <w:t xml:space="preserve">da se </w:t>
      </w:r>
      <w:r w:rsidRPr="00042A6C">
        <w:rPr>
          <w:bCs/>
          <w:sz w:val="22"/>
          <w:szCs w:val="22"/>
          <w:lang w:val="sr-Latn-ME"/>
        </w:rPr>
        <w:t>nastavi sa istovremenom primjenom lijeka Corviva i antagonista vitamina K sve dok INR ne bude ≥ 2,0. Nakon što se prekine primjena lijeka Corviva, INR se može pouzdano odrediti 24 sata nakon posl</w:t>
      </w:r>
      <w:r w:rsidR="00BD15F3" w:rsidRPr="00042A6C">
        <w:rPr>
          <w:bCs/>
          <w:sz w:val="22"/>
          <w:szCs w:val="22"/>
          <w:lang w:val="sr-Latn-ME"/>
        </w:rPr>
        <w:t>j</w:t>
      </w:r>
      <w:r w:rsidRPr="00042A6C">
        <w:rPr>
          <w:bCs/>
          <w:sz w:val="22"/>
          <w:szCs w:val="22"/>
          <w:lang w:val="sr-Latn-ME"/>
        </w:rPr>
        <w:t>ednje doz</w:t>
      </w:r>
      <w:r w:rsidR="0087026C" w:rsidRPr="00042A6C">
        <w:rPr>
          <w:bCs/>
          <w:sz w:val="22"/>
          <w:szCs w:val="22"/>
          <w:lang w:val="sr-Latn-ME"/>
        </w:rPr>
        <w:t xml:space="preserve">e (vidjeti prethodni tekst i </w:t>
      </w:r>
      <w:r w:rsidR="00BD15F3" w:rsidRPr="00042A6C">
        <w:rPr>
          <w:bCs/>
          <w:sz w:val="22"/>
          <w:szCs w:val="22"/>
          <w:lang w:val="sr-Latn-ME"/>
        </w:rPr>
        <w:t xml:space="preserve">dio </w:t>
      </w:r>
      <w:r w:rsidRPr="00042A6C">
        <w:rPr>
          <w:bCs/>
          <w:sz w:val="22"/>
          <w:szCs w:val="22"/>
          <w:lang w:val="sr-Latn-ME"/>
        </w:rPr>
        <w:t>4.5).</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i/>
          <w:sz w:val="22"/>
          <w:szCs w:val="22"/>
          <w:u w:val="single"/>
          <w:lang w:val="sr-Latn-ME"/>
        </w:rPr>
      </w:pPr>
      <w:r w:rsidRPr="00042A6C">
        <w:rPr>
          <w:bCs/>
          <w:i/>
          <w:sz w:val="22"/>
          <w:szCs w:val="22"/>
          <w:u w:val="single"/>
          <w:lang w:val="sr-Latn-ME"/>
        </w:rPr>
        <w:t>Prevođenje pacijenata sa terapije parenteralnim antikoagulansima na terapiju lijekom Corviva</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Kod odraslih i pedijatrijskih pacijenata koji trenutno primaju parenteralne antikoagulanse, primjenu parenteralnih antikoagulanasa treba prekinuti (npr. niskomolekularnog heparina (engl. </w:t>
      </w:r>
      <w:r w:rsidRPr="00042A6C">
        <w:rPr>
          <w:bCs/>
          <w:i/>
          <w:sz w:val="22"/>
          <w:szCs w:val="22"/>
          <w:lang w:val="sr-Latn-ME"/>
        </w:rPr>
        <w:t>low molecular weight heparins</w:t>
      </w:r>
      <w:r w:rsidRPr="00042A6C">
        <w:rPr>
          <w:bCs/>
          <w:sz w:val="22"/>
          <w:szCs w:val="22"/>
          <w:lang w:val="sr-Latn-ME"/>
        </w:rPr>
        <w:t>, LMWH)) i započeti primjenu lijeka Corviva 0 do 2 sata prije termina za sljedeću primjenu parenteralnog lijeka po rasporedu ili u vrijeme prekida kontinuirano primjenjivanog parenteralnog lijeka (npr. intravenskog nefrakcionisanog heparina).</w:t>
      </w:r>
    </w:p>
    <w:p w:rsidR="00452E9D" w:rsidRPr="00042A6C" w:rsidRDefault="00452E9D"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i/>
          <w:sz w:val="22"/>
          <w:szCs w:val="22"/>
          <w:lang w:val="sr-Latn-ME"/>
        </w:rPr>
      </w:pPr>
      <w:r w:rsidRPr="00042A6C">
        <w:rPr>
          <w:bCs/>
          <w:i/>
          <w:sz w:val="22"/>
          <w:szCs w:val="22"/>
          <w:u w:val="single"/>
          <w:lang w:val="sr-Latn-ME"/>
        </w:rPr>
        <w:t>Prevođenje pacijenata sa terapije lijekom Corviva na terapiju parenteralnim antikoagulansima</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Potrebno je prekinuti primjenu lijeka Corviva i dati prvu dozu parenteralnog antikoagulansa u vrijeme kada bi trebalo uzeti sljedeću dozu lijeka Corviva.</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i/>
          <w:sz w:val="22"/>
          <w:szCs w:val="22"/>
          <w:lang w:val="sr-Latn-ME"/>
        </w:rPr>
      </w:pPr>
      <w:r w:rsidRPr="00042A6C">
        <w:rPr>
          <w:bCs/>
          <w:i/>
          <w:sz w:val="22"/>
          <w:szCs w:val="22"/>
          <w:u w:val="single"/>
          <w:lang w:val="sr-Latn-ME"/>
        </w:rPr>
        <w:lastRenderedPageBreak/>
        <w:t>Posebne grupe pacijenata</w:t>
      </w:r>
    </w:p>
    <w:p w:rsidR="00D904F7" w:rsidRPr="00042A6C" w:rsidRDefault="00D904F7" w:rsidP="00D904F7">
      <w:pPr>
        <w:tabs>
          <w:tab w:val="left" w:pos="540"/>
          <w:tab w:val="left" w:pos="569"/>
        </w:tabs>
        <w:jc w:val="both"/>
        <w:rPr>
          <w:bCs/>
          <w:i/>
          <w:sz w:val="22"/>
          <w:szCs w:val="22"/>
          <w:lang w:val="sr-Latn-ME"/>
        </w:rPr>
      </w:pPr>
    </w:p>
    <w:p w:rsidR="00D904F7" w:rsidRPr="00042A6C" w:rsidRDefault="00D904F7" w:rsidP="00D904F7">
      <w:pPr>
        <w:tabs>
          <w:tab w:val="left" w:pos="540"/>
          <w:tab w:val="left" w:pos="569"/>
        </w:tabs>
        <w:jc w:val="both"/>
        <w:rPr>
          <w:bCs/>
          <w:i/>
          <w:sz w:val="22"/>
          <w:szCs w:val="22"/>
          <w:lang w:val="sr-Latn-ME"/>
        </w:rPr>
      </w:pPr>
      <w:r w:rsidRPr="00042A6C">
        <w:rPr>
          <w:bCs/>
          <w:i/>
          <w:sz w:val="22"/>
          <w:szCs w:val="22"/>
          <w:lang w:val="sr-Latn-ME"/>
        </w:rPr>
        <w:t>Oštećenje funkcije bubrega</w:t>
      </w:r>
    </w:p>
    <w:p w:rsidR="00D904F7" w:rsidRPr="00042A6C" w:rsidRDefault="00D904F7" w:rsidP="00D904F7">
      <w:pPr>
        <w:tabs>
          <w:tab w:val="left" w:pos="540"/>
          <w:tab w:val="left" w:pos="569"/>
        </w:tabs>
        <w:jc w:val="both"/>
        <w:rPr>
          <w:bCs/>
          <w:i/>
          <w:sz w:val="22"/>
          <w:szCs w:val="22"/>
          <w:lang w:val="sr-Latn-ME"/>
        </w:rPr>
      </w:pPr>
    </w:p>
    <w:p w:rsidR="00D904F7" w:rsidRPr="00042A6C" w:rsidRDefault="00D904F7" w:rsidP="00D904F7">
      <w:pPr>
        <w:tabs>
          <w:tab w:val="left" w:pos="540"/>
          <w:tab w:val="left" w:pos="569"/>
        </w:tabs>
        <w:jc w:val="both"/>
        <w:rPr>
          <w:bCs/>
          <w:i/>
          <w:sz w:val="22"/>
          <w:szCs w:val="22"/>
          <w:lang w:val="sr-Latn-ME"/>
        </w:rPr>
      </w:pPr>
      <w:r w:rsidRPr="00042A6C">
        <w:rPr>
          <w:bCs/>
          <w:i/>
          <w:sz w:val="22"/>
          <w:szCs w:val="22"/>
          <w:lang w:val="sr-Latn-ME"/>
        </w:rPr>
        <w:t>Odrasli:</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Ograničeni klinički podaci za pacijente sa teškim oštećenjem funkcije bubrega (klirens kreatinina 15-29 ml/min) ukazuju da su koncentracije rivaroksabana u plazmi značajno povećane. Stoga kod ovih pacijenata lijek Corviva treba pažljivo koristiti. Primjena se ne preporučuje kod pacijenata sa klirensom kreatinina &lt; 15 ml/min (vidjeti </w:t>
      </w:r>
      <w:r w:rsidR="00BD15F3" w:rsidRPr="00042A6C">
        <w:rPr>
          <w:bCs/>
          <w:sz w:val="22"/>
          <w:szCs w:val="22"/>
          <w:lang w:val="sr-Latn-ME"/>
        </w:rPr>
        <w:t xml:space="preserve">djelove </w:t>
      </w:r>
      <w:r w:rsidRPr="00042A6C">
        <w:rPr>
          <w:bCs/>
          <w:sz w:val="22"/>
          <w:szCs w:val="22"/>
          <w:lang w:val="sr-Latn-ME"/>
        </w:rPr>
        <w:t>4.4 i 5.2).</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Kod pacijenata sa umjerenim (klirens kreatinina 30 - 49 ml/min) ili teškim (klirens kreatinina 15 - 29 ml/min) oštećenjem funkcije bubrega primjenjuju se sljedeće preporuke za doziranje:</w:t>
      </w:r>
    </w:p>
    <w:p w:rsidR="009C5BD3" w:rsidRPr="00042A6C" w:rsidRDefault="009C5BD3" w:rsidP="00D904F7">
      <w:pPr>
        <w:tabs>
          <w:tab w:val="left" w:pos="540"/>
          <w:tab w:val="left" w:pos="569"/>
        </w:tabs>
        <w:jc w:val="both"/>
        <w:rPr>
          <w:bCs/>
          <w:sz w:val="22"/>
          <w:szCs w:val="22"/>
          <w:lang w:val="sr-Latn-ME"/>
        </w:rPr>
      </w:pPr>
    </w:p>
    <w:p w:rsidR="009C5BD3" w:rsidRPr="00042A6C" w:rsidRDefault="009C5BD3" w:rsidP="009C5BD3">
      <w:pPr>
        <w:pStyle w:val="ListParagraph"/>
        <w:numPr>
          <w:ilvl w:val="0"/>
          <w:numId w:val="18"/>
        </w:numPr>
        <w:tabs>
          <w:tab w:val="left" w:pos="567"/>
        </w:tabs>
        <w:ind w:left="567" w:hanging="207"/>
        <w:jc w:val="both"/>
        <w:rPr>
          <w:bCs/>
          <w:sz w:val="22"/>
          <w:szCs w:val="22"/>
          <w:lang w:val="sr-Latn-ME"/>
        </w:rPr>
      </w:pPr>
      <w:r w:rsidRPr="00042A6C">
        <w:rPr>
          <w:bCs/>
          <w:sz w:val="22"/>
          <w:szCs w:val="22"/>
          <w:lang w:val="sr-Latn-ME"/>
        </w:rPr>
        <w:t xml:space="preserve">za prevenciju moždanog udara i sistemske embolije kod pacijenata sa nevalvularnom atrijalnom fibrilacijom, preporučena doza je 15 mg jednom dnevno (vidjeti </w:t>
      </w:r>
      <w:r w:rsidR="00BD15F3" w:rsidRPr="00042A6C">
        <w:rPr>
          <w:bCs/>
          <w:sz w:val="22"/>
          <w:szCs w:val="22"/>
          <w:lang w:val="sr-Latn-ME"/>
        </w:rPr>
        <w:t xml:space="preserve">dio </w:t>
      </w:r>
      <w:r w:rsidRPr="00042A6C">
        <w:rPr>
          <w:bCs/>
          <w:sz w:val="22"/>
          <w:szCs w:val="22"/>
          <w:lang w:val="sr-Latn-ME"/>
        </w:rPr>
        <w:t>5.2)</w:t>
      </w:r>
      <w:r w:rsidR="00364B10" w:rsidRPr="00042A6C">
        <w:rPr>
          <w:bCs/>
          <w:sz w:val="22"/>
          <w:szCs w:val="22"/>
          <w:lang w:val="sr-Latn-ME"/>
        </w:rPr>
        <w:t>;</w:t>
      </w:r>
    </w:p>
    <w:p w:rsidR="009C5BD3" w:rsidRPr="00042A6C" w:rsidRDefault="009C5BD3" w:rsidP="009C5BD3">
      <w:pPr>
        <w:pStyle w:val="ListParagraph"/>
        <w:numPr>
          <w:ilvl w:val="0"/>
          <w:numId w:val="18"/>
        </w:numPr>
        <w:tabs>
          <w:tab w:val="left" w:pos="567"/>
        </w:tabs>
        <w:ind w:left="567" w:hanging="207"/>
        <w:jc w:val="both"/>
        <w:rPr>
          <w:bCs/>
          <w:sz w:val="22"/>
          <w:szCs w:val="22"/>
          <w:lang w:val="sr-Latn-ME"/>
        </w:rPr>
      </w:pPr>
      <w:r w:rsidRPr="00042A6C">
        <w:rPr>
          <w:bCs/>
          <w:sz w:val="22"/>
          <w:szCs w:val="22"/>
          <w:lang w:val="sr-Latn-ME"/>
        </w:rPr>
        <w:t>za terapiju TDV, terapiju PE i prevenciju rekurentnih TDV i PE: pacijente treba liječiti dozom od 15 mg dva puta dnevno tokom prve 3 ned</w:t>
      </w:r>
      <w:r w:rsidR="00BD15F3" w:rsidRPr="00042A6C">
        <w:rPr>
          <w:bCs/>
          <w:sz w:val="22"/>
          <w:szCs w:val="22"/>
          <w:lang w:val="sr-Latn-ME"/>
        </w:rPr>
        <w:t>j</w:t>
      </w:r>
      <w:r w:rsidRPr="00042A6C">
        <w:rPr>
          <w:bCs/>
          <w:sz w:val="22"/>
          <w:szCs w:val="22"/>
          <w:lang w:val="sr-Latn-ME"/>
        </w:rPr>
        <w:t xml:space="preserve">elje. Poslije toga, kada je preporučena doza 20 mg jednom dnevno, treba razmotriti smanjenje doze sa 20 mg jednom dnevno na 15 mg jednom dnevno, ukoliko se procijeni da rizik za pojavu krvarenja prevazilazi rizik od rekurentne TDV i PE. Preporuka za primjenu 15 mg zasnovana je na farmakokinetičkom modelu i nije ispitivana u ovim kliničkim okolnostima (vidjeti </w:t>
      </w:r>
      <w:r w:rsidR="00BD15F3" w:rsidRPr="00042A6C">
        <w:rPr>
          <w:bCs/>
          <w:sz w:val="22"/>
          <w:szCs w:val="22"/>
          <w:lang w:val="sr-Latn-ME"/>
        </w:rPr>
        <w:t xml:space="preserve">djelove </w:t>
      </w:r>
      <w:r w:rsidRPr="00042A6C">
        <w:rPr>
          <w:bCs/>
          <w:sz w:val="22"/>
          <w:szCs w:val="22"/>
          <w:lang w:val="sr-Latn-ME"/>
        </w:rPr>
        <w:t>4.4, 5.1 i 5.2).</w:t>
      </w:r>
    </w:p>
    <w:p w:rsidR="00D904F7" w:rsidRPr="00042A6C" w:rsidRDefault="009C5BD3" w:rsidP="009C5BD3">
      <w:pPr>
        <w:tabs>
          <w:tab w:val="left" w:pos="540"/>
          <w:tab w:val="left" w:pos="569"/>
        </w:tabs>
        <w:ind w:left="567"/>
        <w:jc w:val="both"/>
        <w:rPr>
          <w:bCs/>
          <w:sz w:val="22"/>
          <w:szCs w:val="22"/>
          <w:lang w:val="sr-Latn-ME"/>
        </w:rPr>
      </w:pPr>
      <w:r w:rsidRPr="00042A6C">
        <w:rPr>
          <w:bCs/>
          <w:sz w:val="22"/>
          <w:szCs w:val="22"/>
          <w:lang w:val="sr-Latn-ME"/>
        </w:rPr>
        <w:tab/>
      </w:r>
      <w:r w:rsidR="00D904F7" w:rsidRPr="00042A6C">
        <w:rPr>
          <w:bCs/>
          <w:sz w:val="22"/>
          <w:szCs w:val="22"/>
          <w:lang w:val="sr-Latn-ME"/>
        </w:rPr>
        <w:t>Kada je preporučena doza 10 mg jednom dnevno, nije potrebno dodatno prilagođavanje preporučene doze.</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Kod pacijenata sa blagim oštećenjem funkcije bubrega (klirens kreatinina 50-80 ml/min) nije potrebno prilagođavanje doze (vidjeti </w:t>
      </w:r>
      <w:r w:rsidR="00BD15F3" w:rsidRPr="00042A6C">
        <w:rPr>
          <w:bCs/>
          <w:sz w:val="22"/>
          <w:szCs w:val="22"/>
          <w:lang w:val="sr-Latn-ME"/>
        </w:rPr>
        <w:t xml:space="preserve">dio </w:t>
      </w:r>
      <w:r w:rsidRPr="00042A6C">
        <w:rPr>
          <w:bCs/>
          <w:sz w:val="22"/>
          <w:szCs w:val="22"/>
          <w:lang w:val="sr-Latn-ME"/>
        </w:rPr>
        <w:t>5.2).</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i/>
          <w:sz w:val="22"/>
          <w:szCs w:val="22"/>
          <w:lang w:val="sr-Latn-ME"/>
        </w:rPr>
      </w:pPr>
      <w:r w:rsidRPr="00042A6C">
        <w:rPr>
          <w:bCs/>
          <w:i/>
          <w:sz w:val="22"/>
          <w:szCs w:val="22"/>
          <w:lang w:val="sr-Latn-ME"/>
        </w:rPr>
        <w:t>Pedijatrijska populacija:</w:t>
      </w:r>
    </w:p>
    <w:p w:rsidR="00D904F7" w:rsidRPr="00042A6C" w:rsidRDefault="00D904F7" w:rsidP="009C5BD3">
      <w:pPr>
        <w:pStyle w:val="ListParagraph"/>
        <w:numPr>
          <w:ilvl w:val="0"/>
          <w:numId w:val="19"/>
        </w:numPr>
        <w:tabs>
          <w:tab w:val="left" w:pos="540"/>
          <w:tab w:val="left" w:pos="567"/>
        </w:tabs>
        <w:ind w:left="567" w:hanging="207"/>
        <w:jc w:val="both"/>
        <w:rPr>
          <w:bCs/>
          <w:sz w:val="22"/>
          <w:szCs w:val="22"/>
          <w:lang w:val="sr-Latn-ME"/>
        </w:rPr>
      </w:pPr>
      <w:r w:rsidRPr="00042A6C">
        <w:rPr>
          <w:bCs/>
          <w:sz w:val="22"/>
          <w:szCs w:val="22"/>
          <w:lang w:val="sr-Latn-ME"/>
        </w:rPr>
        <w:t xml:space="preserve">Djeca i adolescenti sa blago oštećenom funkcijom bubrega (brzina </w:t>
      </w:r>
      <w:r w:rsidR="009C5BD3" w:rsidRPr="00042A6C">
        <w:rPr>
          <w:bCs/>
          <w:sz w:val="22"/>
          <w:szCs w:val="22"/>
          <w:lang w:val="sr-Latn-ME"/>
        </w:rPr>
        <w:t xml:space="preserve">glomerularne filtracije 50 – 80 </w:t>
      </w:r>
      <w:r w:rsidRPr="00042A6C">
        <w:rPr>
          <w:bCs/>
          <w:sz w:val="22"/>
          <w:szCs w:val="22"/>
          <w:lang w:val="sr-Latn-ME"/>
        </w:rPr>
        <w:t>ml/min/1,73 m</w:t>
      </w:r>
      <w:r w:rsidRPr="00042A6C">
        <w:rPr>
          <w:bCs/>
          <w:sz w:val="22"/>
          <w:szCs w:val="22"/>
          <w:vertAlign w:val="superscript"/>
          <w:lang w:val="sr-Latn-ME"/>
        </w:rPr>
        <w:t>2</w:t>
      </w:r>
      <w:r w:rsidRPr="00042A6C">
        <w:rPr>
          <w:bCs/>
          <w:sz w:val="22"/>
          <w:szCs w:val="22"/>
          <w:lang w:val="sr-Latn-ME"/>
        </w:rPr>
        <w:t xml:space="preserve">): nije potrebno prilagođavanje doze, na osnovu podataka kod odraslih i ograničenih podataka kod pedijatrijskih pacijenata (vidjeti </w:t>
      </w:r>
      <w:r w:rsidR="00BD15F3" w:rsidRPr="00042A6C">
        <w:rPr>
          <w:bCs/>
          <w:sz w:val="22"/>
          <w:szCs w:val="22"/>
          <w:lang w:val="sr-Latn-ME"/>
        </w:rPr>
        <w:t xml:space="preserve">dio </w:t>
      </w:r>
      <w:r w:rsidRPr="00042A6C">
        <w:rPr>
          <w:bCs/>
          <w:sz w:val="22"/>
          <w:szCs w:val="22"/>
          <w:lang w:val="sr-Latn-ME"/>
        </w:rPr>
        <w:t>5.2).</w:t>
      </w:r>
    </w:p>
    <w:p w:rsidR="00D904F7" w:rsidRPr="00042A6C" w:rsidRDefault="00D904F7" w:rsidP="00D904F7">
      <w:pPr>
        <w:pStyle w:val="ListParagraph"/>
        <w:numPr>
          <w:ilvl w:val="0"/>
          <w:numId w:val="19"/>
        </w:numPr>
        <w:tabs>
          <w:tab w:val="left" w:pos="540"/>
          <w:tab w:val="left" w:pos="567"/>
        </w:tabs>
        <w:ind w:left="567" w:hanging="207"/>
        <w:jc w:val="both"/>
        <w:rPr>
          <w:bCs/>
          <w:sz w:val="22"/>
          <w:szCs w:val="22"/>
          <w:lang w:val="sr-Latn-ME"/>
        </w:rPr>
      </w:pPr>
      <w:r w:rsidRPr="00042A6C">
        <w:rPr>
          <w:bCs/>
          <w:sz w:val="22"/>
          <w:szCs w:val="22"/>
          <w:lang w:val="sr-Latn-ME"/>
        </w:rPr>
        <w:t>Djeca i adolescenti sa umjereno ili teško oštećenom funkcijom bubrega (brzina glomerularne filtracije &lt; 50 ml/min/1,73 m</w:t>
      </w:r>
      <w:r w:rsidRPr="00042A6C">
        <w:rPr>
          <w:bCs/>
          <w:sz w:val="22"/>
          <w:szCs w:val="22"/>
          <w:vertAlign w:val="superscript"/>
          <w:lang w:val="sr-Latn-ME"/>
        </w:rPr>
        <w:t>2</w:t>
      </w:r>
      <w:r w:rsidRPr="00042A6C">
        <w:rPr>
          <w:bCs/>
          <w:sz w:val="22"/>
          <w:szCs w:val="22"/>
          <w:lang w:val="sr-Latn-ME"/>
        </w:rPr>
        <w:t>): rivaroksaban se ne preporučuje jer nema dostupnih</w:t>
      </w:r>
      <w:r w:rsidR="009C5BD3" w:rsidRPr="00042A6C">
        <w:rPr>
          <w:bCs/>
          <w:sz w:val="22"/>
          <w:szCs w:val="22"/>
          <w:lang w:val="sr-Latn-ME"/>
        </w:rPr>
        <w:t xml:space="preserve"> kliničkih podataka (vidjeti </w:t>
      </w:r>
      <w:r w:rsidR="00BD15F3" w:rsidRPr="00042A6C">
        <w:rPr>
          <w:bCs/>
          <w:sz w:val="22"/>
          <w:szCs w:val="22"/>
          <w:lang w:val="sr-Latn-ME"/>
        </w:rPr>
        <w:t xml:space="preserve">dio </w:t>
      </w:r>
      <w:r w:rsidRPr="00042A6C">
        <w:rPr>
          <w:bCs/>
          <w:sz w:val="22"/>
          <w:szCs w:val="22"/>
          <w:lang w:val="sr-Latn-ME"/>
        </w:rPr>
        <w:t>4.4).</w:t>
      </w:r>
    </w:p>
    <w:p w:rsidR="009C5BD3" w:rsidRPr="00042A6C" w:rsidRDefault="009C5BD3" w:rsidP="009C5BD3">
      <w:pPr>
        <w:pStyle w:val="ListParagraph"/>
        <w:tabs>
          <w:tab w:val="left" w:pos="540"/>
          <w:tab w:val="left" w:pos="567"/>
        </w:tabs>
        <w:ind w:left="567"/>
        <w:jc w:val="both"/>
        <w:rPr>
          <w:bCs/>
          <w:sz w:val="22"/>
          <w:szCs w:val="22"/>
          <w:lang w:val="sr-Latn-ME"/>
        </w:rPr>
      </w:pPr>
    </w:p>
    <w:p w:rsidR="00D904F7" w:rsidRPr="00042A6C" w:rsidRDefault="00D904F7" w:rsidP="00D904F7">
      <w:pPr>
        <w:tabs>
          <w:tab w:val="left" w:pos="540"/>
          <w:tab w:val="left" w:pos="569"/>
        </w:tabs>
        <w:jc w:val="both"/>
        <w:rPr>
          <w:bCs/>
          <w:i/>
          <w:sz w:val="22"/>
          <w:szCs w:val="22"/>
          <w:lang w:val="sr-Latn-ME"/>
        </w:rPr>
      </w:pPr>
      <w:r w:rsidRPr="00042A6C">
        <w:rPr>
          <w:bCs/>
          <w:i/>
          <w:sz w:val="22"/>
          <w:szCs w:val="22"/>
          <w:lang w:val="sr-Latn-ME"/>
        </w:rPr>
        <w:t>Oštećenje funkcije jetre</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Primjena lijeka Corviva je kontraindikovana kod pacijenata sa oboljenjem jetre povezanim sa koagulopatijom i klinički relevantnim rizikom od krvarenja, uključujući pacijente sa cirozom jetre stadijuma </w:t>
      </w:r>
      <w:r w:rsidRPr="00042A6C">
        <w:rPr>
          <w:bCs/>
          <w:i/>
          <w:sz w:val="22"/>
          <w:szCs w:val="22"/>
          <w:lang w:val="sr-Latn-ME"/>
        </w:rPr>
        <w:t>Child</w:t>
      </w:r>
      <w:r w:rsidR="00BD15F3" w:rsidRPr="00042A6C">
        <w:rPr>
          <w:bCs/>
          <w:i/>
          <w:sz w:val="22"/>
          <w:szCs w:val="22"/>
          <w:lang w:val="sr-Latn-ME"/>
        </w:rPr>
        <w:t>-</w:t>
      </w:r>
      <w:r w:rsidRPr="00042A6C">
        <w:rPr>
          <w:bCs/>
          <w:i/>
          <w:sz w:val="22"/>
          <w:szCs w:val="22"/>
          <w:lang w:val="sr-Latn-ME"/>
        </w:rPr>
        <w:t xml:space="preserve">Pugh </w:t>
      </w:r>
      <w:r w:rsidRPr="00042A6C">
        <w:rPr>
          <w:bCs/>
          <w:sz w:val="22"/>
          <w:szCs w:val="22"/>
          <w:lang w:val="sr-Latn-ME"/>
        </w:rPr>
        <w:t xml:space="preserve">B i C (vidjeti </w:t>
      </w:r>
      <w:r w:rsidR="00BD15F3" w:rsidRPr="00042A6C">
        <w:rPr>
          <w:bCs/>
          <w:sz w:val="22"/>
          <w:szCs w:val="22"/>
          <w:lang w:val="sr-Latn-ME"/>
        </w:rPr>
        <w:t xml:space="preserve">djelove </w:t>
      </w:r>
      <w:r w:rsidRPr="00042A6C">
        <w:rPr>
          <w:bCs/>
          <w:sz w:val="22"/>
          <w:szCs w:val="22"/>
          <w:lang w:val="sr-Latn-ME"/>
        </w:rPr>
        <w:t>4.3 i 5.2). Nema dostupnih kliničkih podataka kod djece sa oštećenjem funkcije jetre.</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i/>
          <w:sz w:val="22"/>
          <w:szCs w:val="22"/>
          <w:lang w:val="sr-Latn-ME"/>
        </w:rPr>
      </w:pPr>
      <w:r w:rsidRPr="00042A6C">
        <w:rPr>
          <w:bCs/>
          <w:i/>
          <w:sz w:val="22"/>
          <w:szCs w:val="22"/>
          <w:lang w:val="sr-Latn-ME"/>
        </w:rPr>
        <w:t>Stariji pacijenti</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Nije potrebno prilagođavati dozu (vidjeti </w:t>
      </w:r>
      <w:r w:rsidR="00BD15F3" w:rsidRPr="00042A6C">
        <w:rPr>
          <w:bCs/>
          <w:sz w:val="22"/>
          <w:szCs w:val="22"/>
          <w:lang w:val="sr-Latn-ME"/>
        </w:rPr>
        <w:t xml:space="preserve">dio </w:t>
      </w:r>
      <w:r w:rsidRPr="00042A6C">
        <w:rPr>
          <w:bCs/>
          <w:sz w:val="22"/>
          <w:szCs w:val="22"/>
          <w:lang w:val="sr-Latn-ME"/>
        </w:rPr>
        <w:t>5.2).</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i/>
          <w:sz w:val="22"/>
          <w:szCs w:val="22"/>
          <w:lang w:val="sr-Latn-ME"/>
        </w:rPr>
      </w:pPr>
      <w:r w:rsidRPr="00042A6C">
        <w:rPr>
          <w:bCs/>
          <w:i/>
          <w:sz w:val="22"/>
          <w:szCs w:val="22"/>
          <w:lang w:val="sr-Latn-ME"/>
        </w:rPr>
        <w:t>Tjelesna masa</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Nije potrebno prilagođavati dozu kod odraslih (vidjeti </w:t>
      </w:r>
      <w:r w:rsidR="00BD15F3" w:rsidRPr="00042A6C">
        <w:rPr>
          <w:bCs/>
          <w:sz w:val="22"/>
          <w:szCs w:val="22"/>
          <w:lang w:val="sr-Latn-ME"/>
        </w:rPr>
        <w:t xml:space="preserve">dio </w:t>
      </w:r>
      <w:r w:rsidRPr="00042A6C">
        <w:rPr>
          <w:bCs/>
          <w:sz w:val="22"/>
          <w:szCs w:val="22"/>
          <w:lang w:val="sr-Latn-ME"/>
        </w:rPr>
        <w:t>5.2).</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Kod pedijatrijskih pacijenata doza se određuje na osnovu tjelesne težine.</w:t>
      </w:r>
    </w:p>
    <w:p w:rsidR="00D904F7" w:rsidRPr="00042A6C" w:rsidRDefault="00D904F7" w:rsidP="00D904F7">
      <w:pPr>
        <w:tabs>
          <w:tab w:val="left" w:pos="540"/>
          <w:tab w:val="left" w:pos="569"/>
        </w:tabs>
        <w:jc w:val="both"/>
        <w:rPr>
          <w:bCs/>
          <w:sz w:val="22"/>
          <w:szCs w:val="22"/>
          <w:lang w:val="sr-Latn-ME"/>
        </w:rPr>
      </w:pPr>
    </w:p>
    <w:p w:rsidR="00D904F7" w:rsidRPr="00042A6C" w:rsidRDefault="00D904F7" w:rsidP="00D904F7">
      <w:pPr>
        <w:tabs>
          <w:tab w:val="left" w:pos="540"/>
          <w:tab w:val="left" w:pos="569"/>
        </w:tabs>
        <w:jc w:val="both"/>
        <w:rPr>
          <w:bCs/>
          <w:i/>
          <w:sz w:val="22"/>
          <w:szCs w:val="22"/>
          <w:lang w:val="sr-Latn-ME"/>
        </w:rPr>
      </w:pPr>
      <w:r w:rsidRPr="00042A6C">
        <w:rPr>
          <w:bCs/>
          <w:i/>
          <w:sz w:val="22"/>
          <w:szCs w:val="22"/>
          <w:lang w:val="sr-Latn-ME"/>
        </w:rPr>
        <w:t>Pol</w:t>
      </w:r>
    </w:p>
    <w:p w:rsidR="00D904F7" w:rsidRPr="00042A6C" w:rsidRDefault="00D904F7" w:rsidP="00D904F7">
      <w:pPr>
        <w:tabs>
          <w:tab w:val="left" w:pos="540"/>
          <w:tab w:val="left" w:pos="569"/>
        </w:tabs>
        <w:jc w:val="both"/>
        <w:rPr>
          <w:bCs/>
          <w:sz w:val="22"/>
          <w:szCs w:val="22"/>
          <w:lang w:val="sr-Latn-ME"/>
        </w:rPr>
      </w:pPr>
      <w:r w:rsidRPr="00042A6C">
        <w:rPr>
          <w:bCs/>
          <w:sz w:val="22"/>
          <w:szCs w:val="22"/>
          <w:lang w:val="sr-Latn-ME"/>
        </w:rPr>
        <w:t xml:space="preserve">Nije potrebno prilagođavati dozu (vidjeti </w:t>
      </w:r>
      <w:r w:rsidR="00BD15F3" w:rsidRPr="00042A6C">
        <w:rPr>
          <w:bCs/>
          <w:sz w:val="22"/>
          <w:szCs w:val="22"/>
          <w:lang w:val="sr-Latn-ME"/>
        </w:rPr>
        <w:t xml:space="preserve">dio </w:t>
      </w:r>
      <w:r w:rsidRPr="00042A6C">
        <w:rPr>
          <w:bCs/>
          <w:sz w:val="22"/>
          <w:szCs w:val="22"/>
          <w:lang w:val="sr-Latn-ME"/>
        </w:rPr>
        <w:t>5.2).</w:t>
      </w:r>
    </w:p>
    <w:p w:rsidR="00D904F7" w:rsidRPr="00042A6C" w:rsidRDefault="00D904F7" w:rsidP="00D904F7">
      <w:pPr>
        <w:tabs>
          <w:tab w:val="left" w:pos="540"/>
          <w:tab w:val="left" w:pos="569"/>
        </w:tabs>
        <w:jc w:val="both"/>
        <w:rPr>
          <w:bCs/>
          <w:sz w:val="22"/>
          <w:szCs w:val="22"/>
          <w:lang w:val="sr-Latn-ME"/>
        </w:rPr>
      </w:pPr>
    </w:p>
    <w:p w:rsidR="00840A61" w:rsidRPr="00042A6C" w:rsidRDefault="00840A61" w:rsidP="00840A61">
      <w:pPr>
        <w:tabs>
          <w:tab w:val="left" w:pos="540"/>
          <w:tab w:val="left" w:pos="569"/>
        </w:tabs>
        <w:jc w:val="both"/>
        <w:rPr>
          <w:bCs/>
          <w:i/>
          <w:sz w:val="22"/>
          <w:szCs w:val="22"/>
          <w:lang w:val="sr-Latn-ME"/>
        </w:rPr>
      </w:pPr>
      <w:r w:rsidRPr="00042A6C">
        <w:rPr>
          <w:bCs/>
          <w:i/>
          <w:sz w:val="22"/>
          <w:szCs w:val="22"/>
          <w:lang w:val="sr-Latn-ME"/>
        </w:rPr>
        <w:t>Pacijenti koji se podvrgavaju kardioverziji</w:t>
      </w: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 xml:space="preserve">Primjena lijeka Corviva može da se započne, ili da se nastavi kod pacijenata čije stanje može da zahtijeva kardioverziju. Kod transezofagealnim ehokardiogramom (TEE) vođene kardioverzije, kod pacijenata koji prethodno nisu bili na terapiji antikoagulansima, terapiju lijekom Corviva treba započeti najmanje 4 sata prije kardioverzije da bi se osigurala adekvatna antikoagulacija (vidjeti </w:t>
      </w:r>
      <w:r w:rsidR="00BD15F3" w:rsidRPr="00042A6C">
        <w:rPr>
          <w:bCs/>
          <w:sz w:val="22"/>
          <w:szCs w:val="22"/>
          <w:lang w:val="sr-Latn-ME"/>
        </w:rPr>
        <w:t xml:space="preserve">djelove </w:t>
      </w:r>
      <w:r w:rsidRPr="00042A6C">
        <w:rPr>
          <w:bCs/>
          <w:sz w:val="22"/>
          <w:szCs w:val="22"/>
          <w:lang w:val="sr-Latn-ME"/>
        </w:rPr>
        <w:t xml:space="preserve">5.1 i 5.2). Za sve pacijente prije izvođenja kardioverzije potrebno je zatražiti potvrdu da je lijek Corviva uziman kako je </w:t>
      </w:r>
      <w:r w:rsidRPr="00042A6C">
        <w:rPr>
          <w:bCs/>
          <w:sz w:val="22"/>
          <w:szCs w:val="22"/>
          <w:lang w:val="sr-Latn-ME"/>
        </w:rPr>
        <w:lastRenderedPageBreak/>
        <w:t xml:space="preserve">propisano. Odluku o </w:t>
      </w:r>
      <w:r w:rsidR="00364B10" w:rsidRPr="00042A6C">
        <w:rPr>
          <w:bCs/>
          <w:sz w:val="22"/>
          <w:szCs w:val="22"/>
          <w:lang w:val="sr-Latn-ME"/>
        </w:rPr>
        <w:t xml:space="preserve">započinjanju </w:t>
      </w:r>
      <w:r w:rsidRPr="00042A6C">
        <w:rPr>
          <w:bCs/>
          <w:sz w:val="22"/>
          <w:szCs w:val="22"/>
          <w:lang w:val="sr-Latn-ME"/>
        </w:rPr>
        <w:t>i trajanju terapije treba donijeti u skladu sa preporukama za antikoagulantnu terapiju pacijenata koji se podvrgavaju kardioverziji.</w:t>
      </w:r>
    </w:p>
    <w:p w:rsidR="00840A61" w:rsidRPr="00042A6C" w:rsidRDefault="00840A61" w:rsidP="00840A61">
      <w:pPr>
        <w:tabs>
          <w:tab w:val="left" w:pos="540"/>
          <w:tab w:val="left" w:pos="569"/>
        </w:tabs>
        <w:jc w:val="both"/>
        <w:rPr>
          <w:bCs/>
          <w:sz w:val="22"/>
          <w:szCs w:val="22"/>
          <w:lang w:val="sr-Latn-ME"/>
        </w:rPr>
      </w:pPr>
    </w:p>
    <w:p w:rsidR="00840A61" w:rsidRPr="00042A6C" w:rsidRDefault="00840A61" w:rsidP="00840A61">
      <w:pPr>
        <w:tabs>
          <w:tab w:val="left" w:pos="540"/>
          <w:tab w:val="left" w:pos="569"/>
        </w:tabs>
        <w:jc w:val="both"/>
        <w:rPr>
          <w:bCs/>
          <w:i/>
          <w:sz w:val="22"/>
          <w:szCs w:val="22"/>
          <w:lang w:val="sr-Latn-ME"/>
        </w:rPr>
      </w:pPr>
      <w:r w:rsidRPr="00042A6C">
        <w:rPr>
          <w:bCs/>
          <w:i/>
          <w:sz w:val="22"/>
          <w:szCs w:val="22"/>
          <w:lang w:val="sr-Latn-ME"/>
        </w:rPr>
        <w:t>Pacijenti sa nevalvularnom atrijalnom fibrilacijom koji se podvrgavaju perkutanoj koronarnoj intervenciji (engl. percutaneous coronary intervention, PCI) sa postavljanjem (ugradnjom stenta)</w:t>
      </w: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 xml:space="preserve">Postoji ograničeno iskustvo kod upotrebe manje doze lijeka Corviva, 15 mg jednom dnevno (ili 10 mg lijeka Corviva jednom dnevno kod pacijenata sa umjerenim oštećenjem funkcije bubrega, (klirens kreatinina 30-49 ml/min)) kao dodatak P2Y12 inhibitoru najduže 12 mjeseci kod pacijenata sa nevalvularnom atrijalnom fibrilacijom, kojima je potrebna oralna antikoagulantna terapija i koji se podvrgavaju PCI sa postavljanjem stenta (vidjeti </w:t>
      </w:r>
      <w:r w:rsidR="00CB2FF8" w:rsidRPr="00042A6C">
        <w:rPr>
          <w:bCs/>
          <w:sz w:val="22"/>
          <w:szCs w:val="22"/>
          <w:lang w:val="sr-Latn-ME"/>
        </w:rPr>
        <w:t xml:space="preserve">djelove </w:t>
      </w:r>
      <w:r w:rsidRPr="00042A6C">
        <w:rPr>
          <w:bCs/>
          <w:sz w:val="22"/>
          <w:szCs w:val="22"/>
          <w:lang w:val="sr-Latn-ME"/>
        </w:rPr>
        <w:t>4.4 i 5.1).</w:t>
      </w:r>
    </w:p>
    <w:p w:rsidR="00840A61" w:rsidRPr="00042A6C" w:rsidRDefault="00840A61" w:rsidP="00840A61">
      <w:pPr>
        <w:tabs>
          <w:tab w:val="left" w:pos="540"/>
          <w:tab w:val="left" w:pos="569"/>
        </w:tabs>
        <w:jc w:val="both"/>
        <w:rPr>
          <w:bCs/>
          <w:sz w:val="22"/>
          <w:szCs w:val="22"/>
          <w:lang w:val="sr-Latn-ME"/>
        </w:rPr>
      </w:pPr>
    </w:p>
    <w:p w:rsidR="00840A61" w:rsidRPr="00042A6C" w:rsidRDefault="00840A61" w:rsidP="00840A61">
      <w:pPr>
        <w:tabs>
          <w:tab w:val="left" w:pos="540"/>
          <w:tab w:val="left" w:pos="569"/>
        </w:tabs>
        <w:jc w:val="both"/>
        <w:rPr>
          <w:bCs/>
          <w:i/>
          <w:iCs/>
          <w:sz w:val="22"/>
          <w:szCs w:val="22"/>
          <w:lang w:val="sr-Latn-ME"/>
        </w:rPr>
      </w:pPr>
      <w:r w:rsidRPr="00042A6C">
        <w:rPr>
          <w:bCs/>
          <w:i/>
          <w:iCs/>
          <w:sz w:val="22"/>
          <w:szCs w:val="22"/>
          <w:lang w:val="sr-Latn-ME"/>
        </w:rPr>
        <w:t>Pedijatrijska populacija</w:t>
      </w: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 xml:space="preserve">Bezbjednost i efikasnost rivaroksabana kod djece uzrasta od 0 do &lt;18 godina nisu ustanovljene u indikaciji prevencije moždanog udara i sistemske embolije kod pacijenata sa nevalvularnom </w:t>
      </w:r>
      <w:r w:rsidR="009705B3" w:rsidRPr="00042A6C">
        <w:rPr>
          <w:bCs/>
          <w:sz w:val="22"/>
          <w:szCs w:val="22"/>
          <w:lang w:val="sr-Latn-ME"/>
        </w:rPr>
        <w:t xml:space="preserve">atrijalnom </w:t>
      </w:r>
      <w:r w:rsidRPr="00042A6C">
        <w:rPr>
          <w:bCs/>
          <w:sz w:val="22"/>
          <w:szCs w:val="22"/>
          <w:lang w:val="sr-Latn-ME"/>
        </w:rPr>
        <w:t>fibrilacijom.</w:t>
      </w: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Nema dostupnih podataka. Stoga se ne preporučuje primjena kod djece mlađe od 18 godina u drugim indikacijama, osim liječenja VTE i prevencije rekurentne VTE.</w:t>
      </w:r>
    </w:p>
    <w:p w:rsidR="00D904F7" w:rsidRPr="00042A6C" w:rsidRDefault="00D904F7" w:rsidP="00480FB1">
      <w:pPr>
        <w:tabs>
          <w:tab w:val="left" w:pos="540"/>
          <w:tab w:val="left" w:pos="569"/>
        </w:tabs>
        <w:rPr>
          <w:bCs/>
          <w:sz w:val="22"/>
          <w:szCs w:val="22"/>
          <w:u w:val="single"/>
          <w:lang w:val="sr-Latn-ME"/>
        </w:rPr>
      </w:pPr>
    </w:p>
    <w:p w:rsidR="00452E9D" w:rsidRPr="00042A6C" w:rsidRDefault="00452E9D" w:rsidP="00480FB1">
      <w:pPr>
        <w:tabs>
          <w:tab w:val="left" w:pos="540"/>
          <w:tab w:val="left" w:pos="569"/>
        </w:tabs>
        <w:rPr>
          <w:bCs/>
          <w:sz w:val="22"/>
          <w:szCs w:val="22"/>
          <w:u w:val="single"/>
          <w:lang w:val="sr-Latn-ME"/>
        </w:rPr>
      </w:pPr>
      <w:r w:rsidRPr="00042A6C">
        <w:rPr>
          <w:bCs/>
          <w:sz w:val="22"/>
          <w:szCs w:val="22"/>
          <w:u w:val="single"/>
          <w:lang w:val="sr-Latn-ME"/>
        </w:rPr>
        <w:t>Način primjene</w:t>
      </w:r>
    </w:p>
    <w:p w:rsidR="00840A61" w:rsidRPr="00042A6C" w:rsidRDefault="00840A61" w:rsidP="00480FB1">
      <w:pPr>
        <w:tabs>
          <w:tab w:val="left" w:pos="540"/>
          <w:tab w:val="left" w:pos="569"/>
        </w:tabs>
        <w:rPr>
          <w:bCs/>
          <w:sz w:val="22"/>
          <w:szCs w:val="22"/>
          <w:u w:val="single"/>
          <w:lang w:val="sr-Latn-ME"/>
        </w:rPr>
      </w:pPr>
    </w:p>
    <w:p w:rsidR="00840A61" w:rsidRPr="00042A6C" w:rsidRDefault="00840A61" w:rsidP="00840A61">
      <w:pPr>
        <w:tabs>
          <w:tab w:val="left" w:pos="540"/>
          <w:tab w:val="left" w:pos="569"/>
        </w:tabs>
        <w:jc w:val="both"/>
        <w:rPr>
          <w:bCs/>
          <w:sz w:val="22"/>
          <w:szCs w:val="22"/>
          <w:u w:val="single"/>
          <w:lang w:val="sr-Latn-ME"/>
        </w:rPr>
      </w:pPr>
      <w:r w:rsidRPr="00042A6C">
        <w:rPr>
          <w:bCs/>
          <w:i/>
          <w:sz w:val="22"/>
          <w:szCs w:val="22"/>
          <w:u w:val="single"/>
          <w:lang w:val="sr-Latn-ME"/>
        </w:rPr>
        <w:t>Odrasli</w:t>
      </w:r>
    </w:p>
    <w:p w:rsidR="00840A61" w:rsidRPr="00042A6C" w:rsidRDefault="009705B3" w:rsidP="00840A61">
      <w:pPr>
        <w:tabs>
          <w:tab w:val="left" w:pos="540"/>
          <w:tab w:val="left" w:pos="569"/>
        </w:tabs>
        <w:jc w:val="both"/>
        <w:rPr>
          <w:bCs/>
          <w:sz w:val="22"/>
          <w:szCs w:val="22"/>
          <w:lang w:val="sr-Latn-ME"/>
        </w:rPr>
      </w:pPr>
      <w:r w:rsidRPr="00042A6C">
        <w:rPr>
          <w:bCs/>
          <w:sz w:val="22"/>
          <w:szCs w:val="22"/>
          <w:lang w:val="sr-Latn-ME"/>
        </w:rPr>
        <w:t xml:space="preserve">Lijek Corviva je namijenjen za </w:t>
      </w:r>
      <w:r w:rsidR="00840A61" w:rsidRPr="00042A6C">
        <w:rPr>
          <w:bCs/>
          <w:sz w:val="22"/>
          <w:szCs w:val="22"/>
          <w:lang w:val="sr-Latn-ME"/>
        </w:rPr>
        <w:t>oralnu upotrebu.</w:t>
      </w: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 xml:space="preserve">Tablete treba uzimati sa hranom (vidjeti </w:t>
      </w:r>
      <w:r w:rsidR="00CB2FF8" w:rsidRPr="00042A6C">
        <w:rPr>
          <w:bCs/>
          <w:sz w:val="22"/>
          <w:szCs w:val="22"/>
          <w:lang w:val="sr-Latn-ME"/>
        </w:rPr>
        <w:t xml:space="preserve">dio </w:t>
      </w:r>
      <w:r w:rsidRPr="00042A6C">
        <w:rPr>
          <w:bCs/>
          <w:sz w:val="22"/>
          <w:szCs w:val="22"/>
          <w:lang w:val="sr-Latn-ME"/>
        </w:rPr>
        <w:t>5.2).</w:t>
      </w:r>
    </w:p>
    <w:p w:rsidR="00840A61" w:rsidRPr="00042A6C" w:rsidRDefault="00840A61" w:rsidP="00840A61">
      <w:pPr>
        <w:tabs>
          <w:tab w:val="left" w:pos="540"/>
          <w:tab w:val="left" w:pos="569"/>
        </w:tabs>
        <w:jc w:val="both"/>
        <w:rPr>
          <w:bCs/>
          <w:sz w:val="22"/>
          <w:szCs w:val="22"/>
          <w:lang w:val="sr-Latn-ME"/>
        </w:rPr>
      </w:pPr>
    </w:p>
    <w:p w:rsidR="00840A61" w:rsidRPr="00042A6C" w:rsidRDefault="00840A61" w:rsidP="00840A61">
      <w:pPr>
        <w:tabs>
          <w:tab w:val="left" w:pos="540"/>
          <w:tab w:val="left" w:pos="569"/>
        </w:tabs>
        <w:jc w:val="both"/>
        <w:rPr>
          <w:bCs/>
          <w:sz w:val="22"/>
          <w:szCs w:val="22"/>
          <w:lang w:val="sr-Latn-ME"/>
        </w:rPr>
      </w:pPr>
      <w:r w:rsidRPr="00042A6C">
        <w:rPr>
          <w:bCs/>
          <w:i/>
          <w:sz w:val="22"/>
          <w:szCs w:val="22"/>
          <w:lang w:val="sr-Latn-ME"/>
        </w:rPr>
        <w:t>Usitnjavanje tableta</w:t>
      </w: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Kod pacijenata koji ne mogu da progutaju cijelu tabletu, tableta lijeka Corviva može da se usitni i pomiješa sa vodom ili kašom od jabuke, neposre</w:t>
      </w:r>
      <w:r w:rsidR="0087026C" w:rsidRPr="00042A6C">
        <w:rPr>
          <w:bCs/>
          <w:sz w:val="22"/>
          <w:szCs w:val="22"/>
          <w:lang w:val="sr-Latn-ME"/>
        </w:rPr>
        <w:t>dno prije upotrebe i primijeni</w:t>
      </w:r>
      <w:r w:rsidRPr="00042A6C">
        <w:rPr>
          <w:bCs/>
          <w:sz w:val="22"/>
          <w:szCs w:val="22"/>
          <w:lang w:val="sr-Latn-ME"/>
        </w:rPr>
        <w:t xml:space="preserve"> oralno. Nakon primjene usitnjene film tablete lijeka Corviva od 15 mg ili 20 mg, odmah treba unijeti hranu.</w:t>
      </w: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 xml:space="preserve">Usitnjena tableta lijeka takođe može biti primijenjena kroz gastričnu sondu (vidjeti </w:t>
      </w:r>
      <w:r w:rsidR="00CB2FF8" w:rsidRPr="00042A6C">
        <w:rPr>
          <w:bCs/>
          <w:sz w:val="22"/>
          <w:szCs w:val="22"/>
          <w:lang w:val="sr-Latn-ME"/>
        </w:rPr>
        <w:t xml:space="preserve">djelove </w:t>
      </w:r>
      <w:r w:rsidRPr="00042A6C">
        <w:rPr>
          <w:bCs/>
          <w:sz w:val="22"/>
          <w:szCs w:val="22"/>
          <w:lang w:val="sr-Latn-ME"/>
        </w:rPr>
        <w:t xml:space="preserve">5.2 i 6.6). </w:t>
      </w:r>
    </w:p>
    <w:p w:rsidR="00840A61" w:rsidRPr="00042A6C" w:rsidRDefault="00840A61" w:rsidP="00840A61">
      <w:pPr>
        <w:tabs>
          <w:tab w:val="left" w:pos="540"/>
          <w:tab w:val="left" w:pos="569"/>
        </w:tabs>
        <w:jc w:val="both"/>
        <w:rPr>
          <w:bCs/>
          <w:sz w:val="22"/>
          <w:szCs w:val="22"/>
          <w:lang w:val="sr-Latn-ME"/>
        </w:rPr>
      </w:pPr>
    </w:p>
    <w:p w:rsidR="00840A61" w:rsidRPr="00042A6C" w:rsidRDefault="00840A61" w:rsidP="00840A61">
      <w:pPr>
        <w:tabs>
          <w:tab w:val="left" w:pos="540"/>
          <w:tab w:val="left" w:pos="569"/>
        </w:tabs>
        <w:jc w:val="both"/>
        <w:rPr>
          <w:bCs/>
          <w:i/>
          <w:iCs/>
          <w:sz w:val="22"/>
          <w:szCs w:val="22"/>
          <w:lang w:val="sr-Latn-ME"/>
        </w:rPr>
      </w:pPr>
      <w:r w:rsidRPr="00042A6C">
        <w:rPr>
          <w:bCs/>
          <w:i/>
          <w:iCs/>
          <w:sz w:val="22"/>
          <w:szCs w:val="22"/>
          <w:lang w:val="sr-Latn-ME"/>
        </w:rPr>
        <w:t>Djeca i adolescenti tjelesne težine od 30 kg do 50 kg</w:t>
      </w: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Lijek Corviva namijenjen je za oralnu upotrebu.</w:t>
      </w: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 xml:space="preserve">Pacijenta je potrebno savjetovati da tabletu proguta sa tečnošću. Tablete takođe treba uzimati sa hranom (vidjeti </w:t>
      </w:r>
      <w:r w:rsidR="00CB2FF8" w:rsidRPr="00042A6C">
        <w:rPr>
          <w:bCs/>
          <w:sz w:val="22"/>
          <w:szCs w:val="22"/>
          <w:lang w:val="sr-Latn-ME"/>
        </w:rPr>
        <w:t xml:space="preserve">dio </w:t>
      </w:r>
      <w:r w:rsidRPr="00042A6C">
        <w:rPr>
          <w:bCs/>
          <w:sz w:val="22"/>
          <w:szCs w:val="22"/>
          <w:lang w:val="sr-Latn-ME"/>
        </w:rPr>
        <w:t>5.2). Tablete je potrebno uzimati u razmaku od približno 24 sata.</w:t>
      </w:r>
    </w:p>
    <w:p w:rsidR="00840A61" w:rsidRPr="00042A6C" w:rsidRDefault="00840A61" w:rsidP="00840A61">
      <w:pPr>
        <w:tabs>
          <w:tab w:val="left" w:pos="540"/>
          <w:tab w:val="left" w:pos="569"/>
        </w:tabs>
        <w:jc w:val="both"/>
        <w:rPr>
          <w:bCs/>
          <w:sz w:val="22"/>
          <w:szCs w:val="22"/>
          <w:lang w:val="sr-Latn-ME"/>
        </w:rPr>
      </w:pP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U slučaju da pacijent odmah ispljune dozu ili povrati u roku od 30 minuta nakon uzimanja doze, potrebno je dati novu dozu. Međutim, ako pacijent povrati nakon što je od uzimanja doze prošlo više od 30 minuta, doza se ne smije ponovno primijeniti, a sljedeću dozu je potrebno uzeti prema rasporedu.</w:t>
      </w:r>
    </w:p>
    <w:p w:rsidR="00840A61" w:rsidRPr="00042A6C" w:rsidRDefault="00840A61" w:rsidP="00840A61">
      <w:pPr>
        <w:tabs>
          <w:tab w:val="left" w:pos="540"/>
          <w:tab w:val="left" w:pos="569"/>
        </w:tabs>
        <w:jc w:val="both"/>
        <w:rPr>
          <w:bCs/>
          <w:sz w:val="22"/>
          <w:szCs w:val="22"/>
          <w:lang w:val="sr-Latn-ME"/>
        </w:rPr>
      </w:pP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Tableta se ne smije lomiti u cilju primjene dijela doze iz tablete.</w:t>
      </w:r>
    </w:p>
    <w:p w:rsidR="00840A61" w:rsidRPr="00042A6C" w:rsidRDefault="00840A61" w:rsidP="00840A61">
      <w:pPr>
        <w:tabs>
          <w:tab w:val="left" w:pos="540"/>
          <w:tab w:val="left" w:pos="569"/>
        </w:tabs>
        <w:jc w:val="both"/>
        <w:rPr>
          <w:bCs/>
          <w:sz w:val="22"/>
          <w:szCs w:val="22"/>
          <w:lang w:val="sr-Latn-ME"/>
        </w:rPr>
      </w:pPr>
    </w:p>
    <w:p w:rsidR="00840A61" w:rsidRPr="00042A6C" w:rsidRDefault="00840A61" w:rsidP="00840A61">
      <w:pPr>
        <w:tabs>
          <w:tab w:val="left" w:pos="540"/>
          <w:tab w:val="left" w:pos="569"/>
        </w:tabs>
        <w:jc w:val="both"/>
        <w:rPr>
          <w:bCs/>
          <w:i/>
          <w:iCs/>
          <w:sz w:val="22"/>
          <w:szCs w:val="22"/>
          <w:u w:val="single"/>
          <w:lang w:val="sr-Latn-ME"/>
        </w:rPr>
      </w:pPr>
      <w:r w:rsidRPr="00042A6C">
        <w:rPr>
          <w:bCs/>
          <w:i/>
          <w:iCs/>
          <w:sz w:val="22"/>
          <w:szCs w:val="22"/>
          <w:u w:val="single"/>
          <w:lang w:val="sr-Latn-ME"/>
        </w:rPr>
        <w:t>Usitnjavanje tableta</w:t>
      </w: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 xml:space="preserve">Kod pacijenata koji ne mogu </w:t>
      </w:r>
      <w:r w:rsidR="00CB2FF8" w:rsidRPr="00042A6C">
        <w:rPr>
          <w:bCs/>
          <w:sz w:val="22"/>
          <w:szCs w:val="22"/>
          <w:lang w:val="sr-Latn-ME"/>
        </w:rPr>
        <w:t xml:space="preserve">da progutaju </w:t>
      </w:r>
      <w:r w:rsidRPr="00042A6C">
        <w:rPr>
          <w:bCs/>
          <w:sz w:val="22"/>
          <w:szCs w:val="22"/>
          <w:lang w:val="sr-Latn-ME"/>
        </w:rPr>
        <w:t>cijelu tabletu</w:t>
      </w:r>
      <w:r w:rsidR="00CB2FF8" w:rsidRPr="00042A6C">
        <w:rPr>
          <w:bCs/>
          <w:sz w:val="22"/>
          <w:szCs w:val="22"/>
          <w:lang w:val="sr-Latn-ME"/>
        </w:rPr>
        <w:t>,</w:t>
      </w:r>
      <w:r w:rsidRPr="00042A6C">
        <w:rPr>
          <w:bCs/>
          <w:sz w:val="22"/>
          <w:szCs w:val="22"/>
          <w:lang w:val="sr-Latn-ME"/>
        </w:rPr>
        <w:t xml:space="preserve"> dostupni su drugi farmaceutski oblici. Ako drugi farmaceutski oblici nisu dostupni, a propisane su doze rivaroksabana od 15 mg ili 20 mg, mogu se dati tako da se tableta od 15 mg ili 20 mg usitni i pomiješa sa vodom ili kašom od jabuke neposredno prije uzimanja i primijeni oralno.</w:t>
      </w: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 xml:space="preserve">Usitnjena tableta može se dati kroz nazogastričnu ili želudačnu sondu za hranjenje (vidjeti </w:t>
      </w:r>
      <w:r w:rsidR="00CB2FF8" w:rsidRPr="00042A6C">
        <w:rPr>
          <w:bCs/>
          <w:sz w:val="22"/>
          <w:szCs w:val="22"/>
          <w:lang w:val="sr-Latn-ME"/>
        </w:rPr>
        <w:t xml:space="preserve">djelove </w:t>
      </w:r>
      <w:r w:rsidRPr="00042A6C">
        <w:rPr>
          <w:bCs/>
          <w:sz w:val="22"/>
          <w:szCs w:val="22"/>
          <w:lang w:val="sr-Latn-ME"/>
        </w:rPr>
        <w:t>5.2 i 6.6).</w:t>
      </w:r>
    </w:p>
    <w:p w:rsidR="00452E9D" w:rsidRPr="00042A6C" w:rsidRDefault="00452E9D" w:rsidP="00480FB1">
      <w:pPr>
        <w:tabs>
          <w:tab w:val="left" w:pos="540"/>
          <w:tab w:val="left" w:pos="569"/>
        </w:tabs>
        <w:rPr>
          <w:bCs/>
          <w:sz w:val="22"/>
          <w:szCs w:val="22"/>
          <w:lang w:val="sr-Latn-ME"/>
        </w:rPr>
      </w:pPr>
    </w:p>
    <w:p w:rsidR="00411B4B" w:rsidRPr="00042A6C" w:rsidRDefault="00411B4B" w:rsidP="00480FB1">
      <w:pPr>
        <w:tabs>
          <w:tab w:val="left" w:pos="540"/>
          <w:tab w:val="left" w:pos="569"/>
        </w:tabs>
        <w:rPr>
          <w:b/>
          <w:bCs/>
          <w:sz w:val="22"/>
          <w:szCs w:val="22"/>
          <w:lang w:val="sr-Latn-ME"/>
        </w:rPr>
      </w:pPr>
      <w:r w:rsidRPr="00042A6C">
        <w:rPr>
          <w:b/>
          <w:bCs/>
          <w:sz w:val="22"/>
          <w:szCs w:val="22"/>
          <w:lang w:val="sr-Latn-ME"/>
        </w:rPr>
        <w:t xml:space="preserve">4.3. </w:t>
      </w:r>
      <w:r w:rsidR="00480FB1" w:rsidRPr="00042A6C">
        <w:rPr>
          <w:b/>
          <w:bCs/>
          <w:sz w:val="22"/>
          <w:szCs w:val="22"/>
          <w:lang w:val="sr-Latn-ME"/>
        </w:rPr>
        <w:tab/>
      </w:r>
      <w:r w:rsidRPr="00042A6C">
        <w:rPr>
          <w:b/>
          <w:bCs/>
          <w:sz w:val="22"/>
          <w:szCs w:val="22"/>
          <w:lang w:val="sr-Latn-ME"/>
        </w:rPr>
        <w:t>Kontraindikacije</w:t>
      </w:r>
    </w:p>
    <w:p w:rsidR="00840A61" w:rsidRPr="00042A6C" w:rsidRDefault="00840A61" w:rsidP="00480FB1">
      <w:pPr>
        <w:tabs>
          <w:tab w:val="left" w:pos="540"/>
          <w:tab w:val="left" w:pos="569"/>
        </w:tabs>
        <w:rPr>
          <w:b/>
          <w:bCs/>
          <w:sz w:val="22"/>
          <w:szCs w:val="22"/>
          <w:lang w:val="sr-Latn-ME"/>
        </w:rPr>
      </w:pP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 xml:space="preserve">Preosjetljivost na aktivnu supstancu ili na bilo koju od pomoćnih supstanci navedenih u </w:t>
      </w:r>
      <w:r w:rsidR="00CC0113" w:rsidRPr="00042A6C">
        <w:rPr>
          <w:bCs/>
          <w:sz w:val="22"/>
          <w:szCs w:val="22"/>
          <w:lang w:val="sr-Latn-ME"/>
        </w:rPr>
        <w:t xml:space="preserve">dijelu </w:t>
      </w:r>
      <w:r w:rsidRPr="00042A6C">
        <w:rPr>
          <w:bCs/>
          <w:sz w:val="22"/>
          <w:szCs w:val="22"/>
          <w:lang w:val="sr-Latn-ME"/>
        </w:rPr>
        <w:t>6.1.</w:t>
      </w:r>
    </w:p>
    <w:p w:rsidR="00840A61" w:rsidRPr="00042A6C" w:rsidRDefault="00840A61" w:rsidP="00840A61">
      <w:pPr>
        <w:tabs>
          <w:tab w:val="left" w:pos="540"/>
          <w:tab w:val="left" w:pos="569"/>
        </w:tabs>
        <w:jc w:val="both"/>
        <w:rPr>
          <w:bCs/>
          <w:sz w:val="22"/>
          <w:szCs w:val="22"/>
          <w:lang w:val="sr-Latn-ME"/>
        </w:rPr>
      </w:pP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Klinički značajno aktivno krvarenje.</w:t>
      </w:r>
    </w:p>
    <w:p w:rsidR="00840A61" w:rsidRPr="00042A6C" w:rsidRDefault="00840A61" w:rsidP="00480FB1">
      <w:pPr>
        <w:tabs>
          <w:tab w:val="left" w:pos="540"/>
          <w:tab w:val="left" w:pos="569"/>
        </w:tabs>
        <w:rPr>
          <w:b/>
          <w:bCs/>
          <w:sz w:val="22"/>
          <w:szCs w:val="22"/>
          <w:lang w:val="sr-Latn-ME"/>
        </w:rPr>
      </w:pP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 xml:space="preserve">Lezija ili </w:t>
      </w:r>
      <w:r w:rsidR="00CC0113" w:rsidRPr="00042A6C">
        <w:rPr>
          <w:bCs/>
          <w:sz w:val="22"/>
          <w:szCs w:val="22"/>
          <w:lang w:val="sr-Latn-ME"/>
        </w:rPr>
        <w:t xml:space="preserve">stanje </w:t>
      </w:r>
      <w:r w:rsidRPr="00042A6C">
        <w:rPr>
          <w:bCs/>
          <w:sz w:val="22"/>
          <w:szCs w:val="22"/>
          <w:lang w:val="sr-Latn-ME"/>
        </w:rPr>
        <w:t xml:space="preserve">za koje se smatra da predstavlja značajan rizik od obilnog krvarenja. To može uključivati postojeće ili nedavne gastrointestinalne ulceracije, prisustvo malignih neoplazmi sa visokim rizikom za </w:t>
      </w:r>
      <w:r w:rsidRPr="00042A6C">
        <w:rPr>
          <w:bCs/>
          <w:sz w:val="22"/>
          <w:szCs w:val="22"/>
          <w:lang w:val="sr-Latn-ME"/>
        </w:rPr>
        <w:lastRenderedPageBreak/>
        <w:t>krvarenje, nedavnu povredu mozga ili kičmene moždine, nedavne hirurške intervencije na mozgu, kičmenoj moždini ili oftalmološke hirurške intervencije, nedavno intrakranijalno krvarenje, poznate ezofagealne varikse ili sumnju na njih, arterio-venske malformacije, aneurizme krvnih sudova ili velike intraspinalne ili intracerebralne vaskularne anomalije.</w:t>
      </w: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 xml:space="preserve">Istovremena terapija sa bilo kojim drugim antikoagulansom, na primjer nefrakcionisanim heparinom, niskomolekularnim heparinima (enoksaparin, dalteparin, itd.), derivatima heparina (fondaparinuks, itd.) oralnim antikoagulansima (varfarin, dabigatran eteksilat, apiksaban itd.) osim u određenim okolnostima promjene antikoagulantne terapije (vidjeti </w:t>
      </w:r>
      <w:r w:rsidR="00CC0113" w:rsidRPr="00042A6C">
        <w:rPr>
          <w:bCs/>
          <w:sz w:val="22"/>
          <w:szCs w:val="22"/>
          <w:lang w:val="sr-Latn-ME"/>
        </w:rPr>
        <w:t xml:space="preserve">dio </w:t>
      </w:r>
      <w:r w:rsidRPr="00042A6C">
        <w:rPr>
          <w:bCs/>
          <w:sz w:val="22"/>
          <w:szCs w:val="22"/>
          <w:lang w:val="sr-Latn-ME"/>
        </w:rPr>
        <w:t xml:space="preserve">4.2) ili kada se nefrakcionisani heparin primjenjuje u dozama neophodnim za održavanje centralnog venskog ili arterijskog katetera (vidjeti </w:t>
      </w:r>
      <w:r w:rsidR="00CC0113" w:rsidRPr="00042A6C">
        <w:rPr>
          <w:bCs/>
          <w:sz w:val="22"/>
          <w:szCs w:val="22"/>
          <w:lang w:val="sr-Latn-ME"/>
        </w:rPr>
        <w:t xml:space="preserve">dio </w:t>
      </w:r>
      <w:r w:rsidRPr="00042A6C">
        <w:rPr>
          <w:bCs/>
          <w:sz w:val="22"/>
          <w:szCs w:val="22"/>
          <w:lang w:val="sr-Latn-ME"/>
        </w:rPr>
        <w:t>4.5).</w:t>
      </w:r>
    </w:p>
    <w:p w:rsidR="00840A61" w:rsidRPr="00042A6C" w:rsidRDefault="00840A61" w:rsidP="00840A61">
      <w:pPr>
        <w:tabs>
          <w:tab w:val="left" w:pos="540"/>
          <w:tab w:val="left" w:pos="569"/>
        </w:tabs>
        <w:jc w:val="both"/>
        <w:rPr>
          <w:bCs/>
          <w:sz w:val="22"/>
          <w:szCs w:val="22"/>
          <w:lang w:val="sr-Latn-ME"/>
        </w:rPr>
      </w:pP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 xml:space="preserve">Bolest jetre udružena sa koagulopatijom i klinički značajnim rizikom od krvarenja uključujući pacijente sa cirozom stadijuma </w:t>
      </w:r>
      <w:r w:rsidRPr="00042A6C">
        <w:rPr>
          <w:bCs/>
          <w:i/>
          <w:sz w:val="22"/>
          <w:szCs w:val="22"/>
          <w:lang w:val="sr-Latn-ME"/>
        </w:rPr>
        <w:t>Child</w:t>
      </w:r>
      <w:r w:rsidR="00CC0113" w:rsidRPr="00042A6C">
        <w:rPr>
          <w:bCs/>
          <w:i/>
          <w:sz w:val="22"/>
          <w:szCs w:val="22"/>
          <w:lang w:val="sr-Latn-ME"/>
        </w:rPr>
        <w:t>-</w:t>
      </w:r>
      <w:r w:rsidRPr="00042A6C">
        <w:rPr>
          <w:bCs/>
          <w:i/>
          <w:sz w:val="22"/>
          <w:szCs w:val="22"/>
          <w:lang w:val="sr-Latn-ME"/>
        </w:rPr>
        <w:t xml:space="preserve">Pugh </w:t>
      </w:r>
      <w:r w:rsidRPr="00042A6C">
        <w:rPr>
          <w:bCs/>
          <w:sz w:val="22"/>
          <w:szCs w:val="22"/>
          <w:lang w:val="sr-Latn-ME"/>
        </w:rPr>
        <w:t xml:space="preserve">B i C (vidjeti </w:t>
      </w:r>
      <w:r w:rsidR="00CC0113" w:rsidRPr="00042A6C">
        <w:rPr>
          <w:bCs/>
          <w:sz w:val="22"/>
          <w:szCs w:val="22"/>
          <w:lang w:val="sr-Latn-ME"/>
        </w:rPr>
        <w:t xml:space="preserve">dio </w:t>
      </w:r>
      <w:r w:rsidRPr="00042A6C">
        <w:rPr>
          <w:bCs/>
          <w:sz w:val="22"/>
          <w:szCs w:val="22"/>
          <w:lang w:val="sr-Latn-ME"/>
        </w:rPr>
        <w:t>5.2).</w:t>
      </w:r>
    </w:p>
    <w:p w:rsidR="00840A61" w:rsidRPr="00042A6C" w:rsidRDefault="00840A61" w:rsidP="00840A61">
      <w:pPr>
        <w:tabs>
          <w:tab w:val="left" w:pos="540"/>
          <w:tab w:val="left" w:pos="569"/>
        </w:tabs>
        <w:jc w:val="both"/>
        <w:rPr>
          <w:bCs/>
          <w:sz w:val="22"/>
          <w:szCs w:val="22"/>
          <w:lang w:val="sr-Latn-ME"/>
        </w:rPr>
      </w:pPr>
    </w:p>
    <w:p w:rsidR="00840A61" w:rsidRPr="00042A6C" w:rsidRDefault="00840A61" w:rsidP="00840A61">
      <w:pPr>
        <w:tabs>
          <w:tab w:val="left" w:pos="540"/>
          <w:tab w:val="left" w:pos="569"/>
        </w:tabs>
        <w:jc w:val="both"/>
        <w:rPr>
          <w:bCs/>
          <w:sz w:val="22"/>
          <w:szCs w:val="22"/>
          <w:lang w:val="sr-Latn-ME"/>
        </w:rPr>
      </w:pPr>
      <w:r w:rsidRPr="00042A6C">
        <w:rPr>
          <w:bCs/>
          <w:sz w:val="22"/>
          <w:szCs w:val="22"/>
          <w:lang w:val="sr-Latn-ME"/>
        </w:rPr>
        <w:t xml:space="preserve">Trudnoća i dojenje (vidjeti </w:t>
      </w:r>
      <w:r w:rsidR="00CC0113" w:rsidRPr="00042A6C">
        <w:rPr>
          <w:bCs/>
          <w:sz w:val="22"/>
          <w:szCs w:val="22"/>
          <w:lang w:val="sr-Latn-ME"/>
        </w:rPr>
        <w:t xml:space="preserve">dio </w:t>
      </w:r>
      <w:r w:rsidRPr="00042A6C">
        <w:rPr>
          <w:bCs/>
          <w:sz w:val="22"/>
          <w:szCs w:val="22"/>
          <w:lang w:val="sr-Latn-ME"/>
        </w:rPr>
        <w:t>4.6).</w:t>
      </w:r>
    </w:p>
    <w:p w:rsidR="0072020E" w:rsidRPr="00042A6C" w:rsidRDefault="0072020E" w:rsidP="00480FB1">
      <w:pPr>
        <w:tabs>
          <w:tab w:val="left" w:pos="540"/>
          <w:tab w:val="left" w:pos="569"/>
        </w:tabs>
        <w:rPr>
          <w:bCs/>
          <w:sz w:val="22"/>
          <w:szCs w:val="22"/>
          <w:lang w:val="sr-Latn-ME"/>
        </w:rPr>
      </w:pPr>
    </w:p>
    <w:p w:rsidR="00411B4B" w:rsidRPr="00042A6C" w:rsidRDefault="00411B4B" w:rsidP="00480FB1">
      <w:pPr>
        <w:tabs>
          <w:tab w:val="left" w:pos="540"/>
          <w:tab w:val="left" w:pos="569"/>
        </w:tabs>
        <w:rPr>
          <w:b/>
          <w:bCs/>
          <w:sz w:val="22"/>
          <w:szCs w:val="22"/>
          <w:lang w:val="sr-Latn-ME"/>
        </w:rPr>
      </w:pPr>
      <w:r w:rsidRPr="00042A6C">
        <w:rPr>
          <w:b/>
          <w:bCs/>
          <w:sz w:val="22"/>
          <w:szCs w:val="22"/>
          <w:lang w:val="sr-Latn-ME"/>
        </w:rPr>
        <w:t xml:space="preserve">4.4. </w:t>
      </w:r>
      <w:r w:rsidR="00480FB1" w:rsidRPr="00042A6C">
        <w:rPr>
          <w:b/>
          <w:bCs/>
          <w:sz w:val="22"/>
          <w:szCs w:val="22"/>
          <w:lang w:val="sr-Latn-ME"/>
        </w:rPr>
        <w:tab/>
      </w:r>
      <w:r w:rsidRPr="00042A6C">
        <w:rPr>
          <w:b/>
          <w:bCs/>
          <w:sz w:val="22"/>
          <w:szCs w:val="22"/>
          <w:lang w:val="sr-Latn-ME"/>
        </w:rPr>
        <w:t>Posebna upozorenja i mjere opreza pri upotrebi lijeka</w:t>
      </w:r>
    </w:p>
    <w:p w:rsidR="0072020E" w:rsidRPr="00042A6C" w:rsidRDefault="0072020E" w:rsidP="00480FB1">
      <w:pPr>
        <w:tabs>
          <w:tab w:val="left" w:pos="540"/>
          <w:tab w:val="left" w:pos="569"/>
        </w:tabs>
        <w:rPr>
          <w:bCs/>
          <w:sz w:val="22"/>
          <w:szCs w:val="22"/>
          <w:lang w:val="sr-Latn-ME"/>
        </w:rPr>
      </w:pPr>
    </w:p>
    <w:p w:rsidR="00840A61" w:rsidRPr="00042A6C" w:rsidRDefault="00840A61" w:rsidP="00840A61">
      <w:pPr>
        <w:tabs>
          <w:tab w:val="left" w:pos="540"/>
          <w:tab w:val="left" w:pos="569"/>
        </w:tabs>
        <w:jc w:val="both"/>
        <w:rPr>
          <w:sz w:val="22"/>
          <w:szCs w:val="22"/>
          <w:lang w:val="sr-Latn-ME"/>
        </w:rPr>
      </w:pPr>
      <w:r w:rsidRPr="00042A6C">
        <w:rPr>
          <w:sz w:val="22"/>
          <w:szCs w:val="22"/>
          <w:lang w:val="sr-Latn-ME"/>
        </w:rPr>
        <w:t>Klinički nadzor u skladu sa antikoagulacionom praksom se preporučuje tokom čitave terapije.</w:t>
      </w:r>
    </w:p>
    <w:p w:rsidR="00840A61" w:rsidRPr="00042A6C" w:rsidRDefault="00840A61" w:rsidP="00840A61">
      <w:pPr>
        <w:tabs>
          <w:tab w:val="left" w:pos="540"/>
          <w:tab w:val="left" w:pos="569"/>
        </w:tabs>
        <w:jc w:val="both"/>
        <w:rPr>
          <w:sz w:val="22"/>
          <w:szCs w:val="22"/>
          <w:lang w:val="sr-Latn-ME"/>
        </w:rPr>
      </w:pPr>
    </w:p>
    <w:p w:rsidR="00840A61" w:rsidRPr="00042A6C" w:rsidRDefault="00840A61" w:rsidP="00840A61">
      <w:pPr>
        <w:tabs>
          <w:tab w:val="left" w:pos="540"/>
          <w:tab w:val="left" w:pos="569"/>
        </w:tabs>
        <w:jc w:val="both"/>
        <w:rPr>
          <w:i/>
          <w:sz w:val="22"/>
          <w:szCs w:val="22"/>
          <w:u w:val="single"/>
          <w:lang w:val="sr-Latn-ME"/>
        </w:rPr>
      </w:pPr>
      <w:r w:rsidRPr="00042A6C">
        <w:rPr>
          <w:i/>
          <w:sz w:val="22"/>
          <w:szCs w:val="22"/>
          <w:u w:val="single"/>
          <w:lang w:val="sr-Latn-ME"/>
        </w:rPr>
        <w:t>Rizik od krvarenja</w:t>
      </w:r>
    </w:p>
    <w:p w:rsidR="00840A61" w:rsidRPr="00042A6C" w:rsidRDefault="00840A61" w:rsidP="00840A61">
      <w:pPr>
        <w:tabs>
          <w:tab w:val="left" w:pos="540"/>
          <w:tab w:val="left" w:pos="569"/>
        </w:tabs>
        <w:jc w:val="both"/>
        <w:rPr>
          <w:sz w:val="22"/>
          <w:szCs w:val="22"/>
          <w:lang w:val="sr-Latn-ME"/>
        </w:rPr>
      </w:pPr>
      <w:r w:rsidRPr="00042A6C">
        <w:rPr>
          <w:sz w:val="22"/>
          <w:szCs w:val="22"/>
          <w:lang w:val="sr-Latn-ME"/>
        </w:rPr>
        <w:t>Kao i pri terapiji drugim antikoagulansima, treba pažljivo pratiti znake krvarenja kod pacijen</w:t>
      </w:r>
      <w:r w:rsidR="009705B3" w:rsidRPr="00042A6C">
        <w:rPr>
          <w:sz w:val="22"/>
          <w:szCs w:val="22"/>
          <w:lang w:val="sr-Latn-ME"/>
        </w:rPr>
        <w:t>a</w:t>
      </w:r>
      <w:r w:rsidRPr="00042A6C">
        <w:rPr>
          <w:sz w:val="22"/>
          <w:szCs w:val="22"/>
          <w:lang w:val="sr-Latn-ME"/>
        </w:rPr>
        <w:t xml:space="preserve">ta koji koriste lijek Corviva. Preporučuje se oprez prilikom primjene u stanjima sa povećanim rizikom od krvarenja. Primjenu lijeka Corviva treba prekinuti ako se pojavi </w:t>
      </w:r>
      <w:r w:rsidR="009705B3" w:rsidRPr="00042A6C">
        <w:rPr>
          <w:sz w:val="22"/>
          <w:szCs w:val="22"/>
          <w:lang w:val="sr-Latn-ME"/>
        </w:rPr>
        <w:t xml:space="preserve">teško </w:t>
      </w:r>
      <w:r w:rsidRPr="00042A6C">
        <w:rPr>
          <w:sz w:val="22"/>
          <w:szCs w:val="22"/>
          <w:lang w:val="sr-Latn-ME"/>
        </w:rPr>
        <w:t xml:space="preserve">krvarenje (vidjeti </w:t>
      </w:r>
      <w:r w:rsidR="00D151C6" w:rsidRPr="00042A6C">
        <w:rPr>
          <w:sz w:val="22"/>
          <w:szCs w:val="22"/>
          <w:lang w:val="sr-Latn-ME"/>
        </w:rPr>
        <w:t xml:space="preserve">dio </w:t>
      </w:r>
      <w:r w:rsidRPr="00042A6C">
        <w:rPr>
          <w:sz w:val="22"/>
          <w:szCs w:val="22"/>
          <w:lang w:val="sr-Latn-ME"/>
        </w:rPr>
        <w:t>4.9).</w:t>
      </w:r>
    </w:p>
    <w:p w:rsidR="00840A61" w:rsidRPr="00042A6C" w:rsidRDefault="00840A61" w:rsidP="00840A61">
      <w:pPr>
        <w:tabs>
          <w:tab w:val="left" w:pos="540"/>
          <w:tab w:val="left" w:pos="569"/>
        </w:tabs>
        <w:jc w:val="both"/>
        <w:rPr>
          <w:sz w:val="22"/>
          <w:szCs w:val="22"/>
          <w:lang w:val="sr-Latn-ME"/>
        </w:rPr>
      </w:pPr>
    </w:p>
    <w:p w:rsidR="00840A61" w:rsidRPr="00042A6C" w:rsidRDefault="00840A61" w:rsidP="00840A61">
      <w:pPr>
        <w:tabs>
          <w:tab w:val="left" w:pos="540"/>
          <w:tab w:val="left" w:pos="569"/>
        </w:tabs>
        <w:jc w:val="both"/>
        <w:rPr>
          <w:sz w:val="22"/>
          <w:szCs w:val="22"/>
          <w:lang w:val="sr-Latn-ME"/>
        </w:rPr>
      </w:pPr>
      <w:r w:rsidRPr="00042A6C">
        <w:rPr>
          <w:sz w:val="22"/>
          <w:szCs w:val="22"/>
          <w:lang w:val="sr-Latn-ME"/>
        </w:rPr>
        <w:t>U kliničkim ispitivanjima su se krvarenja sluzokože (tj. epistaksa, gingivalna, gastrointestinalna, genitourinarna uključujući neuobičajeno vaginalno ili pojačano menstrualno krvarenje) i anemija češće javljali tokom dugotrajne terapije rivaroksabanom u poređenju sa VKA terapijom. Stoga bi pored adekvatnog kliničkog nadzora, laboratorijsko ispitivanje hemoglobina/hematokrita moglo imati značaja za otkrivanje okultnog krvarenja i procjenu kliničkog značaja vidljivih krvarenja, kada se to proc</w:t>
      </w:r>
      <w:r w:rsidR="00A91E0C" w:rsidRPr="00042A6C">
        <w:rPr>
          <w:sz w:val="22"/>
          <w:szCs w:val="22"/>
          <w:lang w:val="sr-Latn-ME"/>
        </w:rPr>
        <w:t>i</w:t>
      </w:r>
      <w:r w:rsidRPr="00042A6C">
        <w:rPr>
          <w:sz w:val="22"/>
          <w:szCs w:val="22"/>
          <w:lang w:val="sr-Latn-ME"/>
        </w:rPr>
        <w:t>jeni odgovarajućim.</w:t>
      </w:r>
    </w:p>
    <w:p w:rsidR="00840A61" w:rsidRPr="00042A6C" w:rsidRDefault="00840A61" w:rsidP="00840A61">
      <w:pPr>
        <w:tabs>
          <w:tab w:val="left" w:pos="540"/>
          <w:tab w:val="left" w:pos="569"/>
        </w:tabs>
        <w:jc w:val="both"/>
        <w:rPr>
          <w:sz w:val="22"/>
          <w:szCs w:val="22"/>
          <w:lang w:val="sr-Latn-ME"/>
        </w:rPr>
      </w:pPr>
    </w:p>
    <w:p w:rsidR="00840A61" w:rsidRPr="00042A6C" w:rsidRDefault="00840A61" w:rsidP="00840A61">
      <w:pPr>
        <w:tabs>
          <w:tab w:val="left" w:pos="540"/>
          <w:tab w:val="left" w:pos="569"/>
        </w:tabs>
        <w:jc w:val="both"/>
        <w:rPr>
          <w:sz w:val="22"/>
          <w:szCs w:val="22"/>
          <w:lang w:val="sr-Latn-ME"/>
        </w:rPr>
      </w:pPr>
      <w:r w:rsidRPr="00042A6C">
        <w:rPr>
          <w:sz w:val="22"/>
          <w:szCs w:val="22"/>
          <w:lang w:val="sr-Latn-ME"/>
        </w:rPr>
        <w:t xml:space="preserve">Kako je detaljnije prikazano u nastavku, više podgrupa pacijenata ima povećan rizik za pojavu krvarenja. Nakon započinjanja terapije te pacijente treba pažljivo pratiti u slučaju da se pojave znaci i simptomi komplikacija usljed krvarenja i anemije (vidjeti </w:t>
      </w:r>
      <w:r w:rsidR="00A91E0C" w:rsidRPr="00042A6C">
        <w:rPr>
          <w:sz w:val="22"/>
          <w:szCs w:val="22"/>
          <w:lang w:val="sr-Latn-ME"/>
        </w:rPr>
        <w:t xml:space="preserve">dio </w:t>
      </w:r>
      <w:r w:rsidRPr="00042A6C">
        <w:rPr>
          <w:sz w:val="22"/>
          <w:szCs w:val="22"/>
          <w:lang w:val="sr-Latn-ME"/>
        </w:rPr>
        <w:t>4.8).</w:t>
      </w:r>
    </w:p>
    <w:p w:rsidR="00840A61" w:rsidRPr="00042A6C" w:rsidRDefault="00840A61" w:rsidP="00840A61">
      <w:pPr>
        <w:tabs>
          <w:tab w:val="left" w:pos="540"/>
          <w:tab w:val="left" w:pos="569"/>
        </w:tabs>
        <w:jc w:val="both"/>
        <w:rPr>
          <w:sz w:val="22"/>
          <w:szCs w:val="22"/>
          <w:lang w:val="sr-Latn-ME"/>
        </w:rPr>
      </w:pPr>
      <w:r w:rsidRPr="00042A6C">
        <w:rPr>
          <w:sz w:val="22"/>
          <w:szCs w:val="22"/>
          <w:lang w:val="sr-Latn-ME"/>
        </w:rPr>
        <w:t>Kod svakog neobjašnjivog smanjenja koncentracije hemoglobina ili krvnog pritiska treba potražiti mjesto krvarenja.</w:t>
      </w:r>
    </w:p>
    <w:p w:rsidR="00840A61" w:rsidRPr="00042A6C" w:rsidRDefault="00840A61" w:rsidP="00840A61">
      <w:pPr>
        <w:tabs>
          <w:tab w:val="left" w:pos="540"/>
          <w:tab w:val="left" w:pos="569"/>
        </w:tabs>
        <w:jc w:val="both"/>
        <w:rPr>
          <w:sz w:val="22"/>
          <w:szCs w:val="22"/>
          <w:lang w:val="sr-Latn-ME"/>
        </w:rPr>
      </w:pPr>
      <w:r w:rsidRPr="00042A6C">
        <w:rPr>
          <w:sz w:val="22"/>
          <w:szCs w:val="22"/>
          <w:lang w:val="sr-Latn-ME"/>
        </w:rPr>
        <w:t xml:space="preserve">Iako terapija rivaroksabanom ne zahtijeva rutinsko praćenje izloženosti lijeku, određivanje koncentracije rivaroksabana kalibrisanom kvantitativnom metodom za antifaktor Xa može biti od koristi u izuzetnim situacijama kada poznavanje izloženosti rivaroksabanu može pomoći u donošenju kliničkih odluka, kao što je npr. kod predoziranja ili stanja koja zahtijevaju hitnu hiruršku intervenciju (vidjeti </w:t>
      </w:r>
      <w:r w:rsidR="00A91E0C" w:rsidRPr="00042A6C">
        <w:rPr>
          <w:sz w:val="22"/>
          <w:szCs w:val="22"/>
          <w:lang w:val="sr-Latn-ME"/>
        </w:rPr>
        <w:t xml:space="preserve">djelove </w:t>
      </w:r>
      <w:r w:rsidRPr="00042A6C">
        <w:rPr>
          <w:sz w:val="22"/>
          <w:szCs w:val="22"/>
          <w:lang w:val="sr-Latn-ME"/>
        </w:rPr>
        <w:t>5.1 i 5.2).</w:t>
      </w:r>
    </w:p>
    <w:p w:rsidR="00840A61" w:rsidRPr="00042A6C" w:rsidRDefault="00840A61" w:rsidP="00480FB1">
      <w:pPr>
        <w:tabs>
          <w:tab w:val="left" w:pos="540"/>
          <w:tab w:val="left" w:pos="569"/>
        </w:tabs>
        <w:rPr>
          <w:sz w:val="22"/>
          <w:szCs w:val="22"/>
          <w:u w:val="single"/>
          <w:lang w:val="sr-Latn-ME"/>
        </w:rPr>
      </w:pPr>
    </w:p>
    <w:p w:rsidR="00057E35" w:rsidRPr="00042A6C" w:rsidRDefault="00057E35" w:rsidP="00480FB1">
      <w:pPr>
        <w:tabs>
          <w:tab w:val="left" w:pos="540"/>
          <w:tab w:val="left" w:pos="569"/>
        </w:tabs>
        <w:rPr>
          <w:i/>
          <w:sz w:val="22"/>
          <w:szCs w:val="22"/>
          <w:u w:val="single"/>
          <w:lang w:val="sr-Latn-ME"/>
        </w:rPr>
      </w:pPr>
      <w:r w:rsidRPr="00042A6C">
        <w:rPr>
          <w:i/>
          <w:sz w:val="22"/>
          <w:szCs w:val="22"/>
          <w:u w:val="single"/>
          <w:lang w:val="sr-Latn-ME"/>
        </w:rPr>
        <w:t>Pedijatrijska populacija</w:t>
      </w:r>
    </w:p>
    <w:p w:rsidR="00840A61" w:rsidRPr="00042A6C" w:rsidRDefault="00840A61" w:rsidP="00840A61">
      <w:pPr>
        <w:tabs>
          <w:tab w:val="left" w:pos="540"/>
          <w:tab w:val="left" w:pos="569"/>
        </w:tabs>
        <w:jc w:val="both"/>
        <w:rPr>
          <w:sz w:val="22"/>
          <w:szCs w:val="22"/>
          <w:lang w:val="sr-Latn-ME"/>
        </w:rPr>
      </w:pPr>
      <w:r w:rsidRPr="00042A6C">
        <w:rPr>
          <w:sz w:val="22"/>
          <w:szCs w:val="22"/>
          <w:lang w:val="sr-Latn-ME"/>
        </w:rPr>
        <w:t>Postoje ograničeni podaci kod djece sa trombozom moždanih vena i venski</w:t>
      </w:r>
      <w:r w:rsidR="00B76617" w:rsidRPr="00042A6C">
        <w:rPr>
          <w:sz w:val="22"/>
          <w:szCs w:val="22"/>
          <w:lang w:val="sr-Latn-ME"/>
        </w:rPr>
        <w:t>h sinusa, koja imaju infekciju centralnog</w:t>
      </w:r>
      <w:r w:rsidRPr="00042A6C">
        <w:rPr>
          <w:sz w:val="22"/>
          <w:szCs w:val="22"/>
          <w:lang w:val="sr-Latn-ME"/>
        </w:rPr>
        <w:t xml:space="preserve"> nervnog sistema (vidjeti </w:t>
      </w:r>
      <w:r w:rsidR="00A91E0C" w:rsidRPr="00042A6C">
        <w:rPr>
          <w:sz w:val="22"/>
          <w:szCs w:val="22"/>
          <w:lang w:val="sr-Latn-ME"/>
        </w:rPr>
        <w:t xml:space="preserve">dio </w:t>
      </w:r>
      <w:r w:rsidRPr="00042A6C">
        <w:rPr>
          <w:sz w:val="22"/>
          <w:szCs w:val="22"/>
          <w:lang w:val="sr-Latn-ME"/>
        </w:rPr>
        <w:t>5.1). Rizik od krvarenja mora se pažljivo razmotriti prije i tokom terapije rivaroksabanom.</w:t>
      </w:r>
    </w:p>
    <w:p w:rsidR="00B76617" w:rsidRPr="00042A6C" w:rsidRDefault="00B76617" w:rsidP="00840A61">
      <w:pPr>
        <w:tabs>
          <w:tab w:val="left" w:pos="540"/>
          <w:tab w:val="left" w:pos="569"/>
        </w:tabs>
        <w:jc w:val="both"/>
        <w:rPr>
          <w:sz w:val="22"/>
          <w:szCs w:val="22"/>
          <w:lang w:val="sr-Latn-ME"/>
        </w:rPr>
      </w:pPr>
    </w:p>
    <w:p w:rsidR="00B76617" w:rsidRPr="00042A6C" w:rsidRDefault="00B76617" w:rsidP="00B76617">
      <w:pPr>
        <w:tabs>
          <w:tab w:val="left" w:pos="540"/>
          <w:tab w:val="left" w:pos="569"/>
        </w:tabs>
        <w:jc w:val="both"/>
        <w:rPr>
          <w:i/>
          <w:sz w:val="22"/>
          <w:szCs w:val="22"/>
          <w:lang w:val="sr-Latn-ME"/>
        </w:rPr>
      </w:pPr>
      <w:r w:rsidRPr="00042A6C">
        <w:rPr>
          <w:i/>
          <w:sz w:val="22"/>
          <w:szCs w:val="22"/>
          <w:u w:val="single"/>
          <w:lang w:val="sr-Latn-ME"/>
        </w:rPr>
        <w:t>Oštećenje funkcije bubrega</w:t>
      </w:r>
    </w:p>
    <w:p w:rsidR="00B76617" w:rsidRPr="00042A6C" w:rsidRDefault="00B76617" w:rsidP="00B76617">
      <w:pPr>
        <w:tabs>
          <w:tab w:val="left" w:pos="540"/>
          <w:tab w:val="left" w:pos="569"/>
        </w:tabs>
        <w:jc w:val="both"/>
        <w:rPr>
          <w:sz w:val="22"/>
          <w:szCs w:val="22"/>
          <w:lang w:val="sr-Latn-ME"/>
        </w:rPr>
      </w:pPr>
      <w:r w:rsidRPr="00042A6C">
        <w:rPr>
          <w:sz w:val="22"/>
          <w:szCs w:val="22"/>
          <w:lang w:val="sr-Latn-ME"/>
        </w:rPr>
        <w:t xml:space="preserve">Kod odraslih pacijenata sa teškim oštećenjem funkcije bubrega (klirens kreatinina &lt; 30 ml/min) koncentracije rivaroksabana u plazmi mogu se značajno povećati (u prosjeku 1,6 puta) što može dovesti do povećanog rizika od krvarenja. Lijek Corviva treba oprezno primjenjivati kod pacijenata sa klirensom kreatinina 15-29 ml/min. Primjena ovog lijeka se ne preporučuje kod pacijenata sa klirensom kreatinina &lt; 15 ml/min (vidjeti </w:t>
      </w:r>
      <w:r w:rsidR="00A91E0C" w:rsidRPr="00042A6C">
        <w:rPr>
          <w:sz w:val="22"/>
          <w:szCs w:val="22"/>
          <w:lang w:val="sr-Latn-ME"/>
        </w:rPr>
        <w:t xml:space="preserve">djelove </w:t>
      </w:r>
      <w:r w:rsidRPr="00042A6C">
        <w:rPr>
          <w:sz w:val="22"/>
          <w:szCs w:val="22"/>
          <w:lang w:val="sr-Latn-ME"/>
        </w:rPr>
        <w:t>4.2 i 5.2).</w:t>
      </w:r>
    </w:p>
    <w:p w:rsidR="00B76617" w:rsidRPr="00042A6C" w:rsidRDefault="00B76617" w:rsidP="00B76617">
      <w:pPr>
        <w:tabs>
          <w:tab w:val="left" w:pos="540"/>
          <w:tab w:val="left" w:pos="569"/>
        </w:tabs>
        <w:jc w:val="both"/>
        <w:rPr>
          <w:sz w:val="22"/>
          <w:szCs w:val="22"/>
          <w:lang w:val="sr-Latn-ME"/>
        </w:rPr>
      </w:pPr>
    </w:p>
    <w:p w:rsidR="00B76617" w:rsidRPr="00042A6C" w:rsidRDefault="00B76617" w:rsidP="00B76617">
      <w:pPr>
        <w:tabs>
          <w:tab w:val="left" w:pos="540"/>
          <w:tab w:val="left" w:pos="569"/>
        </w:tabs>
        <w:jc w:val="both"/>
        <w:rPr>
          <w:sz w:val="22"/>
          <w:szCs w:val="22"/>
          <w:lang w:val="sr-Latn-ME"/>
        </w:rPr>
      </w:pPr>
      <w:r w:rsidRPr="00042A6C">
        <w:rPr>
          <w:sz w:val="22"/>
          <w:szCs w:val="22"/>
          <w:lang w:val="sr-Latn-ME"/>
        </w:rPr>
        <w:t xml:space="preserve">Lijek Corviva treba koristiti uz oprez kod pacijenata sa oštećenom funkcijom bubrega koji istovremeno primaju druge ljekove koji povećavaju koncentraciju rivaroksabana u plazmi (vidjeti </w:t>
      </w:r>
      <w:r w:rsidR="00A91E0C" w:rsidRPr="00042A6C">
        <w:rPr>
          <w:sz w:val="22"/>
          <w:szCs w:val="22"/>
          <w:lang w:val="sr-Latn-ME"/>
        </w:rPr>
        <w:t xml:space="preserve">dio </w:t>
      </w:r>
      <w:r w:rsidRPr="00042A6C">
        <w:rPr>
          <w:sz w:val="22"/>
          <w:szCs w:val="22"/>
          <w:lang w:val="sr-Latn-ME"/>
        </w:rPr>
        <w:t>4.5).</w:t>
      </w:r>
    </w:p>
    <w:p w:rsidR="00B76617" w:rsidRPr="00042A6C" w:rsidRDefault="00B76617" w:rsidP="00B76617">
      <w:pPr>
        <w:tabs>
          <w:tab w:val="left" w:pos="540"/>
          <w:tab w:val="left" w:pos="569"/>
        </w:tabs>
        <w:jc w:val="both"/>
        <w:rPr>
          <w:sz w:val="22"/>
          <w:szCs w:val="22"/>
          <w:lang w:val="sr-Latn-ME"/>
        </w:rPr>
      </w:pPr>
    </w:p>
    <w:p w:rsidR="00B76617" w:rsidRPr="00042A6C" w:rsidRDefault="00B76617" w:rsidP="00B76617">
      <w:pPr>
        <w:tabs>
          <w:tab w:val="left" w:pos="540"/>
          <w:tab w:val="left" w:pos="569"/>
        </w:tabs>
        <w:jc w:val="both"/>
        <w:rPr>
          <w:sz w:val="22"/>
          <w:szCs w:val="22"/>
          <w:lang w:val="sr-Latn-ME"/>
        </w:rPr>
      </w:pPr>
      <w:r w:rsidRPr="00042A6C">
        <w:rPr>
          <w:sz w:val="22"/>
          <w:szCs w:val="22"/>
          <w:lang w:val="sr-Latn-ME"/>
        </w:rPr>
        <w:lastRenderedPageBreak/>
        <w:t>Rivaroksaban se ne preporučuje kod djece i adolescenata sa umjerenim ili teškim oštećenjem funkcije bubrega (brzina glomerularne filtracije &lt; 50 ml/min/1,73 m</w:t>
      </w:r>
      <w:r w:rsidRPr="00042A6C">
        <w:rPr>
          <w:sz w:val="22"/>
          <w:szCs w:val="22"/>
          <w:vertAlign w:val="superscript"/>
          <w:lang w:val="sr-Latn-ME"/>
        </w:rPr>
        <w:t>2</w:t>
      </w:r>
      <w:r w:rsidRPr="00042A6C">
        <w:rPr>
          <w:sz w:val="22"/>
          <w:szCs w:val="22"/>
          <w:lang w:val="sr-Latn-ME"/>
        </w:rPr>
        <w:t>), jer nema dostupnih kliničkih podataka.</w:t>
      </w:r>
    </w:p>
    <w:p w:rsidR="00B76617" w:rsidRPr="00042A6C" w:rsidRDefault="00B76617" w:rsidP="00B76617">
      <w:pPr>
        <w:tabs>
          <w:tab w:val="left" w:pos="540"/>
          <w:tab w:val="left" w:pos="569"/>
        </w:tabs>
        <w:jc w:val="both"/>
        <w:rPr>
          <w:sz w:val="22"/>
          <w:szCs w:val="22"/>
          <w:lang w:val="sr-Latn-ME"/>
        </w:rPr>
      </w:pPr>
    </w:p>
    <w:p w:rsidR="00B76617" w:rsidRPr="00042A6C" w:rsidRDefault="00B76617" w:rsidP="00B76617">
      <w:pPr>
        <w:tabs>
          <w:tab w:val="left" w:pos="540"/>
          <w:tab w:val="left" w:pos="569"/>
        </w:tabs>
        <w:jc w:val="both"/>
        <w:rPr>
          <w:i/>
          <w:sz w:val="22"/>
          <w:szCs w:val="22"/>
          <w:lang w:val="sr-Latn-ME"/>
        </w:rPr>
      </w:pPr>
      <w:r w:rsidRPr="00042A6C">
        <w:rPr>
          <w:i/>
          <w:sz w:val="22"/>
          <w:szCs w:val="22"/>
          <w:u w:val="single"/>
          <w:lang w:val="sr-Latn-ME"/>
        </w:rPr>
        <w:t>Interakcija sa drugim ljekovima</w:t>
      </w:r>
    </w:p>
    <w:p w:rsidR="00B76617" w:rsidRPr="00042A6C" w:rsidRDefault="00B76617" w:rsidP="00B76617">
      <w:pPr>
        <w:tabs>
          <w:tab w:val="left" w:pos="540"/>
          <w:tab w:val="left" w:pos="569"/>
        </w:tabs>
        <w:jc w:val="both"/>
        <w:rPr>
          <w:sz w:val="22"/>
          <w:szCs w:val="22"/>
          <w:lang w:val="sr-Latn-ME"/>
        </w:rPr>
      </w:pPr>
      <w:r w:rsidRPr="00042A6C">
        <w:rPr>
          <w:sz w:val="22"/>
          <w:szCs w:val="22"/>
          <w:lang w:val="sr-Latn-ME"/>
        </w:rPr>
        <w:t xml:space="preserve">Primjena lijeka Corviva se ne preporučuje kod pacijenata koji istovremeno primaju azolne antimikotike za sistemsku primjenu (poput ketokonazola, itrakonazola, vorikonazola i posakonazola) ili inhibitore HIV proteaze (npr. ritonavir). Ove aktivne supstance snažno inhibiraju i CYP3A4 i P-gp, te stoga mogu klinički značajno povećati koncentracije rivaroksabana u plazmi (u prosjeku 2,6 puta) što može dovesti do povećanog rizika od pojave krvarenja.  Nema dostupnih kliničkih podataka za djecu koja istovremeno primaju sistemsku terapiju jakim inhibitorima i CYP 3A4 i P-gp-a (vidjeti </w:t>
      </w:r>
      <w:r w:rsidR="00CF581F" w:rsidRPr="00042A6C">
        <w:rPr>
          <w:sz w:val="22"/>
          <w:szCs w:val="22"/>
          <w:lang w:val="sr-Latn-ME"/>
        </w:rPr>
        <w:t xml:space="preserve">dio </w:t>
      </w:r>
      <w:r w:rsidRPr="00042A6C">
        <w:rPr>
          <w:sz w:val="22"/>
          <w:szCs w:val="22"/>
          <w:lang w:val="sr-Latn-ME"/>
        </w:rPr>
        <w:t>4.5).</w:t>
      </w:r>
    </w:p>
    <w:p w:rsidR="00B76617" w:rsidRPr="00042A6C" w:rsidRDefault="00B76617" w:rsidP="00B76617">
      <w:pPr>
        <w:tabs>
          <w:tab w:val="left" w:pos="540"/>
          <w:tab w:val="left" w:pos="569"/>
        </w:tabs>
        <w:jc w:val="both"/>
        <w:rPr>
          <w:sz w:val="22"/>
          <w:szCs w:val="22"/>
          <w:lang w:val="sr-Latn-ME"/>
        </w:rPr>
      </w:pPr>
      <w:r w:rsidRPr="00042A6C">
        <w:rPr>
          <w:sz w:val="22"/>
          <w:szCs w:val="22"/>
          <w:lang w:val="sr-Latn-ME"/>
        </w:rPr>
        <w:t xml:space="preserve">Neophodan je oprez ukoliko su pacijenti istovremeno na terapiji ljekovima koji utiču na hemostazu, poput nesteroidnih antiinflamatornih ljekova (NSAIL), acetilsalicilne kiseline i inhibitora agregacije trombocita ili selektivnih inhibitora preuzimanja serotonina (engl. </w:t>
      </w:r>
      <w:r w:rsidRPr="00042A6C">
        <w:rPr>
          <w:i/>
          <w:sz w:val="22"/>
          <w:szCs w:val="22"/>
          <w:lang w:val="sr-Latn-ME"/>
        </w:rPr>
        <w:t>selective serotonin reuptake inhibitors</w:t>
      </w:r>
      <w:r w:rsidRPr="00042A6C">
        <w:rPr>
          <w:sz w:val="22"/>
          <w:szCs w:val="22"/>
          <w:lang w:val="sr-Latn-ME"/>
        </w:rPr>
        <w:t xml:space="preserve">, SSRI) i selektivnih inhibitora preuzimanja norepinefrina (engl. </w:t>
      </w:r>
      <w:r w:rsidRPr="00042A6C">
        <w:rPr>
          <w:i/>
          <w:sz w:val="22"/>
          <w:szCs w:val="22"/>
          <w:lang w:val="sr-Latn-ME"/>
        </w:rPr>
        <w:t>serotonin norepinephrine reuptake inhibitors</w:t>
      </w:r>
      <w:r w:rsidRPr="00042A6C">
        <w:rPr>
          <w:sz w:val="22"/>
          <w:szCs w:val="22"/>
          <w:lang w:val="sr-Latn-ME"/>
        </w:rPr>
        <w:t xml:space="preserve">, SNRI). Kod pacijenata sa rizikom za nastanak gastrointestinalnih ulceracija može se razmotriti primjena odgovarajuće profilaktičke terapije (vidjeti </w:t>
      </w:r>
      <w:r w:rsidR="00CF581F" w:rsidRPr="00042A6C">
        <w:rPr>
          <w:sz w:val="22"/>
          <w:szCs w:val="22"/>
          <w:lang w:val="sr-Latn-ME"/>
        </w:rPr>
        <w:t xml:space="preserve">dio </w:t>
      </w:r>
      <w:r w:rsidRPr="00042A6C">
        <w:rPr>
          <w:sz w:val="22"/>
          <w:szCs w:val="22"/>
          <w:lang w:val="sr-Latn-ME"/>
        </w:rPr>
        <w:t>4.5).</w:t>
      </w:r>
    </w:p>
    <w:p w:rsidR="00B76617" w:rsidRPr="00042A6C" w:rsidRDefault="00B76617" w:rsidP="00B76617">
      <w:pPr>
        <w:tabs>
          <w:tab w:val="left" w:pos="540"/>
          <w:tab w:val="left" w:pos="569"/>
        </w:tabs>
        <w:jc w:val="both"/>
        <w:rPr>
          <w:sz w:val="22"/>
          <w:szCs w:val="22"/>
          <w:lang w:val="sr-Latn-ME"/>
        </w:rPr>
      </w:pPr>
    </w:p>
    <w:p w:rsidR="00B76617" w:rsidRPr="00042A6C" w:rsidRDefault="00B76617" w:rsidP="00B76617">
      <w:pPr>
        <w:tabs>
          <w:tab w:val="left" w:pos="540"/>
          <w:tab w:val="left" w:pos="569"/>
        </w:tabs>
        <w:jc w:val="both"/>
        <w:rPr>
          <w:i/>
          <w:sz w:val="22"/>
          <w:szCs w:val="22"/>
          <w:u w:val="single"/>
          <w:lang w:val="sr-Latn-ME"/>
        </w:rPr>
      </w:pPr>
      <w:r w:rsidRPr="00042A6C">
        <w:rPr>
          <w:i/>
          <w:sz w:val="22"/>
          <w:szCs w:val="22"/>
          <w:u w:val="single"/>
          <w:lang w:val="sr-Latn-ME"/>
        </w:rPr>
        <w:t>Ostali faktori rizika za pojavu krvarenja</w:t>
      </w:r>
    </w:p>
    <w:p w:rsidR="00B76617" w:rsidRPr="00042A6C" w:rsidRDefault="00B76617" w:rsidP="00B76617">
      <w:pPr>
        <w:tabs>
          <w:tab w:val="left" w:pos="540"/>
          <w:tab w:val="left" w:pos="569"/>
        </w:tabs>
        <w:jc w:val="both"/>
        <w:rPr>
          <w:sz w:val="22"/>
          <w:szCs w:val="22"/>
          <w:lang w:val="sr-Latn-ME"/>
        </w:rPr>
      </w:pPr>
      <w:r w:rsidRPr="00042A6C">
        <w:rPr>
          <w:sz w:val="22"/>
          <w:szCs w:val="22"/>
          <w:lang w:val="sr-Latn-ME"/>
        </w:rPr>
        <w:t>Kao i druga antikoagulantna sredstva, rivaroksaban se ne preporučuje pacijentima koji imaju povećani rizik od krvarenja kao što su pacijenti sa:</w:t>
      </w:r>
    </w:p>
    <w:p w:rsidR="00B76617" w:rsidRPr="00042A6C" w:rsidRDefault="00B76617" w:rsidP="00B76617">
      <w:pPr>
        <w:numPr>
          <w:ilvl w:val="1"/>
          <w:numId w:val="12"/>
        </w:numPr>
        <w:tabs>
          <w:tab w:val="left" w:pos="540"/>
          <w:tab w:val="left" w:pos="569"/>
        </w:tabs>
        <w:jc w:val="both"/>
        <w:rPr>
          <w:sz w:val="22"/>
          <w:szCs w:val="22"/>
          <w:lang w:val="sr-Latn-ME"/>
        </w:rPr>
      </w:pPr>
      <w:r w:rsidRPr="00042A6C">
        <w:rPr>
          <w:sz w:val="22"/>
          <w:szCs w:val="22"/>
          <w:lang w:val="sr-Latn-ME"/>
        </w:rPr>
        <w:t>kongenitalnim i</w:t>
      </w:r>
      <w:r w:rsidR="00120C1F" w:rsidRPr="00042A6C">
        <w:rPr>
          <w:sz w:val="22"/>
          <w:szCs w:val="22"/>
          <w:lang w:val="sr-Latn-ME"/>
        </w:rPr>
        <w:t>li</w:t>
      </w:r>
      <w:r w:rsidRPr="00042A6C">
        <w:rPr>
          <w:sz w:val="22"/>
          <w:szCs w:val="22"/>
          <w:lang w:val="sr-Latn-ME"/>
        </w:rPr>
        <w:t xml:space="preserve"> stečenim poremećajima krvarenja;</w:t>
      </w:r>
    </w:p>
    <w:p w:rsidR="00B76617" w:rsidRPr="00042A6C" w:rsidRDefault="00B76617" w:rsidP="00B76617">
      <w:pPr>
        <w:numPr>
          <w:ilvl w:val="1"/>
          <w:numId w:val="12"/>
        </w:numPr>
        <w:tabs>
          <w:tab w:val="left" w:pos="540"/>
          <w:tab w:val="left" w:pos="569"/>
        </w:tabs>
        <w:jc w:val="both"/>
        <w:rPr>
          <w:sz w:val="22"/>
          <w:szCs w:val="22"/>
          <w:lang w:val="sr-Latn-ME"/>
        </w:rPr>
      </w:pPr>
      <w:r w:rsidRPr="00042A6C">
        <w:rPr>
          <w:sz w:val="22"/>
          <w:szCs w:val="22"/>
          <w:lang w:val="sr-Latn-ME"/>
        </w:rPr>
        <w:t>teškom nekontrolisanom arterijskom hipertenzijom;</w:t>
      </w:r>
    </w:p>
    <w:p w:rsidR="00B76617" w:rsidRPr="00042A6C" w:rsidRDefault="00B76617" w:rsidP="00B76617">
      <w:pPr>
        <w:numPr>
          <w:ilvl w:val="1"/>
          <w:numId w:val="12"/>
        </w:numPr>
        <w:tabs>
          <w:tab w:val="left" w:pos="540"/>
          <w:tab w:val="left" w:pos="569"/>
        </w:tabs>
        <w:jc w:val="both"/>
        <w:rPr>
          <w:sz w:val="22"/>
          <w:szCs w:val="22"/>
          <w:lang w:val="sr-Latn-ME"/>
        </w:rPr>
      </w:pPr>
      <w:r w:rsidRPr="00042A6C">
        <w:rPr>
          <w:sz w:val="22"/>
          <w:szCs w:val="22"/>
          <w:lang w:val="sr-Latn-ME"/>
        </w:rPr>
        <w:t>drugim gastrointestinalnim oboljenjima bez aktivne ulceracije koja potencijalno može da dovede do komplikacija krvarenja (npr. zapaljenska bolest crijeva, ezofagitis, gastritis i gastroezofagealna refluksna bolest)</w:t>
      </w:r>
      <w:r w:rsidR="00CF581F" w:rsidRPr="00042A6C">
        <w:rPr>
          <w:sz w:val="22"/>
          <w:szCs w:val="22"/>
          <w:lang w:val="sr-Latn-ME"/>
        </w:rPr>
        <w:t>;</w:t>
      </w:r>
    </w:p>
    <w:p w:rsidR="00B76617" w:rsidRPr="00042A6C" w:rsidRDefault="00B76617" w:rsidP="00B76617">
      <w:pPr>
        <w:numPr>
          <w:ilvl w:val="1"/>
          <w:numId w:val="12"/>
        </w:numPr>
        <w:tabs>
          <w:tab w:val="left" w:pos="540"/>
          <w:tab w:val="left" w:pos="569"/>
        </w:tabs>
        <w:jc w:val="both"/>
        <w:rPr>
          <w:sz w:val="22"/>
          <w:szCs w:val="22"/>
          <w:lang w:val="sr-Latn-ME"/>
        </w:rPr>
      </w:pPr>
      <w:r w:rsidRPr="00042A6C">
        <w:rPr>
          <w:sz w:val="22"/>
          <w:szCs w:val="22"/>
          <w:lang w:val="sr-Latn-ME"/>
        </w:rPr>
        <w:t>vaskularnom retinopatijom;</w:t>
      </w:r>
    </w:p>
    <w:p w:rsidR="00B76617" w:rsidRPr="00042A6C" w:rsidRDefault="00B76617" w:rsidP="00B76617">
      <w:pPr>
        <w:numPr>
          <w:ilvl w:val="1"/>
          <w:numId w:val="12"/>
        </w:numPr>
        <w:tabs>
          <w:tab w:val="left" w:pos="540"/>
          <w:tab w:val="left" w:pos="569"/>
        </w:tabs>
        <w:jc w:val="both"/>
        <w:rPr>
          <w:sz w:val="22"/>
          <w:szCs w:val="22"/>
          <w:lang w:val="sr-Latn-ME"/>
        </w:rPr>
      </w:pPr>
      <w:r w:rsidRPr="00042A6C">
        <w:rPr>
          <w:sz w:val="22"/>
          <w:szCs w:val="22"/>
          <w:lang w:val="sr-Latn-ME"/>
        </w:rPr>
        <w:t>bronhiektazijama ili pulmonalnim krvarenjem u anamnezi.</w:t>
      </w:r>
    </w:p>
    <w:p w:rsidR="00B76617" w:rsidRPr="00042A6C" w:rsidRDefault="00B76617" w:rsidP="004C49DB">
      <w:pPr>
        <w:tabs>
          <w:tab w:val="left" w:pos="540"/>
          <w:tab w:val="left" w:pos="569"/>
        </w:tabs>
        <w:ind w:left="1122"/>
        <w:jc w:val="both"/>
        <w:rPr>
          <w:sz w:val="22"/>
          <w:szCs w:val="22"/>
          <w:lang w:val="sr-Latn-ME"/>
        </w:rPr>
      </w:pPr>
    </w:p>
    <w:p w:rsidR="00B76617" w:rsidRPr="00042A6C" w:rsidRDefault="00B76617" w:rsidP="00B76617">
      <w:pPr>
        <w:tabs>
          <w:tab w:val="left" w:pos="540"/>
          <w:tab w:val="left" w:pos="569"/>
        </w:tabs>
        <w:jc w:val="both"/>
        <w:rPr>
          <w:i/>
          <w:sz w:val="22"/>
          <w:szCs w:val="22"/>
          <w:u w:val="single"/>
          <w:lang w:val="sr-Latn-ME"/>
        </w:rPr>
      </w:pPr>
      <w:r w:rsidRPr="00042A6C">
        <w:rPr>
          <w:i/>
          <w:sz w:val="22"/>
          <w:szCs w:val="22"/>
          <w:u w:val="single"/>
          <w:lang w:val="sr-Latn-ME"/>
        </w:rPr>
        <w:t>Pacijenti sa vještačkim zaliscima</w:t>
      </w:r>
    </w:p>
    <w:p w:rsidR="00B76617" w:rsidRPr="00042A6C" w:rsidRDefault="00B76617" w:rsidP="00B76617">
      <w:pPr>
        <w:tabs>
          <w:tab w:val="left" w:pos="540"/>
          <w:tab w:val="left" w:pos="569"/>
        </w:tabs>
        <w:jc w:val="both"/>
        <w:rPr>
          <w:sz w:val="22"/>
          <w:szCs w:val="22"/>
          <w:lang w:val="sr-Latn-ME"/>
        </w:rPr>
      </w:pPr>
      <w:r w:rsidRPr="00042A6C">
        <w:rPr>
          <w:sz w:val="22"/>
          <w:szCs w:val="22"/>
          <w:lang w:val="sr-Latn-ME"/>
        </w:rPr>
        <w:t>Rivaroksaban se ne smije koristiti za tromboprofilaksu kod pacijenata koji su nedavno podvrgnuti transkateterskoj zamjeni aortnog zaliska (eng</w:t>
      </w:r>
      <w:r w:rsidR="0087026C" w:rsidRPr="00042A6C">
        <w:rPr>
          <w:sz w:val="22"/>
          <w:szCs w:val="22"/>
          <w:lang w:val="sr-Latn-ME"/>
        </w:rPr>
        <w:t>l</w:t>
      </w:r>
      <w:r w:rsidRPr="00042A6C">
        <w:rPr>
          <w:sz w:val="22"/>
          <w:szCs w:val="22"/>
          <w:lang w:val="sr-Latn-ME"/>
        </w:rPr>
        <w:t xml:space="preserve">. </w:t>
      </w:r>
      <w:r w:rsidRPr="00042A6C">
        <w:rPr>
          <w:i/>
          <w:sz w:val="22"/>
          <w:szCs w:val="22"/>
          <w:lang w:val="sr-Latn-ME"/>
        </w:rPr>
        <w:t>transcatheter aortic valve replacement</w:t>
      </w:r>
      <w:r w:rsidRPr="00042A6C">
        <w:rPr>
          <w:sz w:val="22"/>
          <w:szCs w:val="22"/>
          <w:lang w:val="sr-Latn-ME"/>
        </w:rPr>
        <w:t>, TAVR). Bezbjednost i efikasnost rivaroksabana nije ispitivana kod pacijenata sa vještačkim srčanim zaliscima; stoga nema podataka koji bi ukazali da rivaroksaban obezbjeđuje adekvatnu antikoagulaciju u ovoj populaciji pacijenata. Terapija lijekom Corviva se ne preporučuje kod ovih pacijenata.</w:t>
      </w:r>
    </w:p>
    <w:p w:rsidR="00B76617" w:rsidRPr="00042A6C" w:rsidRDefault="00B76617" w:rsidP="00B76617">
      <w:pPr>
        <w:tabs>
          <w:tab w:val="left" w:pos="540"/>
          <w:tab w:val="left" w:pos="569"/>
        </w:tabs>
        <w:jc w:val="both"/>
        <w:rPr>
          <w:sz w:val="22"/>
          <w:szCs w:val="22"/>
          <w:lang w:val="sr-Latn-ME"/>
        </w:rPr>
      </w:pPr>
    </w:p>
    <w:p w:rsidR="00B76617" w:rsidRPr="00042A6C" w:rsidRDefault="00B76617" w:rsidP="00B76617">
      <w:pPr>
        <w:tabs>
          <w:tab w:val="left" w:pos="540"/>
          <w:tab w:val="left" w:pos="569"/>
        </w:tabs>
        <w:jc w:val="both"/>
        <w:rPr>
          <w:i/>
          <w:sz w:val="22"/>
          <w:szCs w:val="22"/>
          <w:u w:val="single"/>
          <w:lang w:val="sr-Latn-ME"/>
        </w:rPr>
      </w:pPr>
      <w:r w:rsidRPr="00042A6C">
        <w:rPr>
          <w:i/>
          <w:sz w:val="22"/>
          <w:szCs w:val="22"/>
          <w:u w:val="single"/>
          <w:lang w:val="sr-Latn-ME"/>
        </w:rPr>
        <w:t>Pacijenti sa antifosfolipidnim sindromom</w:t>
      </w:r>
    </w:p>
    <w:p w:rsidR="00B76617" w:rsidRPr="00042A6C" w:rsidRDefault="00B76617" w:rsidP="00B76617">
      <w:pPr>
        <w:tabs>
          <w:tab w:val="left" w:pos="540"/>
          <w:tab w:val="left" w:pos="569"/>
        </w:tabs>
        <w:jc w:val="both"/>
        <w:rPr>
          <w:sz w:val="22"/>
          <w:szCs w:val="22"/>
          <w:lang w:val="sr-Latn-ME"/>
        </w:rPr>
      </w:pPr>
      <w:r w:rsidRPr="00042A6C">
        <w:rPr>
          <w:sz w:val="22"/>
          <w:szCs w:val="22"/>
          <w:lang w:val="sr-Latn-ME"/>
        </w:rPr>
        <w:t xml:space="preserve">Oralni antikoagulansi sa direktnim dejstvom (engl. </w:t>
      </w:r>
      <w:r w:rsidRPr="00042A6C">
        <w:rPr>
          <w:i/>
          <w:sz w:val="22"/>
          <w:szCs w:val="22"/>
          <w:lang w:val="sr-Latn-ME"/>
        </w:rPr>
        <w:t>direct acting oral anticoagulants</w:t>
      </w:r>
      <w:r w:rsidRPr="00042A6C">
        <w:rPr>
          <w:sz w:val="22"/>
          <w:szCs w:val="22"/>
          <w:lang w:val="sr-Latn-ME"/>
        </w:rPr>
        <w:t xml:space="preserve">, DOAC), uključujući rivaroksaban, ne preporučuju se pacijentima sa trombozom u anamnezi kojima je dijagnostikovan antifosfolipidni sindrom. Naročito kod pacijenata koji su trostruko pozitivni (na lupus </w:t>
      </w:r>
      <w:r w:rsidR="00826B70" w:rsidRPr="00042A6C">
        <w:rPr>
          <w:sz w:val="22"/>
          <w:szCs w:val="22"/>
          <w:lang w:val="sr-Latn-ME"/>
        </w:rPr>
        <w:t>antikoagulans</w:t>
      </w:r>
      <w:r w:rsidRPr="00042A6C">
        <w:rPr>
          <w:sz w:val="22"/>
          <w:szCs w:val="22"/>
          <w:lang w:val="sr-Latn-ME"/>
        </w:rPr>
        <w:t>, antikardiolipin antit</w:t>
      </w:r>
      <w:r w:rsidR="00826B70" w:rsidRPr="00042A6C">
        <w:rPr>
          <w:sz w:val="22"/>
          <w:szCs w:val="22"/>
          <w:lang w:val="sr-Latn-ME"/>
        </w:rPr>
        <w:t>ij</w:t>
      </w:r>
      <w:r w:rsidRPr="00042A6C">
        <w:rPr>
          <w:sz w:val="22"/>
          <w:szCs w:val="22"/>
          <w:lang w:val="sr-Latn-ME"/>
        </w:rPr>
        <w:t>ela i antit</w:t>
      </w:r>
      <w:r w:rsidR="00826B70" w:rsidRPr="00042A6C">
        <w:rPr>
          <w:sz w:val="22"/>
          <w:szCs w:val="22"/>
          <w:lang w:val="sr-Latn-ME"/>
        </w:rPr>
        <w:t>ij</w:t>
      </w:r>
      <w:r w:rsidRPr="00042A6C">
        <w:rPr>
          <w:sz w:val="22"/>
          <w:szCs w:val="22"/>
          <w:lang w:val="sr-Latn-ME"/>
        </w:rPr>
        <w:t>ela na beta-2-glikoprotein I), liječenje antikoagulansima sa direktnim dejstvom može biti povezano sa povećanom stopom ponovljenih trombotskih događaja u poređenju sa terapijom antagonistima vitamina K.</w:t>
      </w:r>
    </w:p>
    <w:p w:rsidR="00B76617" w:rsidRPr="00042A6C" w:rsidRDefault="00B76617" w:rsidP="00B76617">
      <w:pPr>
        <w:tabs>
          <w:tab w:val="left" w:pos="540"/>
          <w:tab w:val="left" w:pos="569"/>
        </w:tabs>
        <w:jc w:val="both"/>
        <w:rPr>
          <w:sz w:val="22"/>
          <w:szCs w:val="22"/>
          <w:lang w:val="sr-Latn-ME"/>
        </w:rPr>
      </w:pPr>
    </w:p>
    <w:p w:rsidR="00B76617" w:rsidRPr="00042A6C" w:rsidRDefault="00B76617" w:rsidP="00B76617">
      <w:pPr>
        <w:tabs>
          <w:tab w:val="left" w:pos="540"/>
          <w:tab w:val="left" w:pos="569"/>
        </w:tabs>
        <w:jc w:val="both"/>
        <w:rPr>
          <w:i/>
          <w:sz w:val="22"/>
          <w:szCs w:val="22"/>
          <w:u w:val="single"/>
          <w:lang w:val="sr-Latn-ME"/>
        </w:rPr>
      </w:pPr>
      <w:r w:rsidRPr="00042A6C">
        <w:rPr>
          <w:i/>
          <w:sz w:val="22"/>
          <w:szCs w:val="22"/>
          <w:u w:val="single"/>
          <w:lang w:val="sr-Latn-ME"/>
        </w:rPr>
        <w:t>Pacijenti sa nevalvularnom atrijalnom fibrilacijom koji su podvrgnuti PCI sa postavljanjem stenta</w:t>
      </w:r>
    </w:p>
    <w:p w:rsidR="00B76617" w:rsidRPr="00042A6C" w:rsidRDefault="00B76617" w:rsidP="00B76617">
      <w:pPr>
        <w:tabs>
          <w:tab w:val="left" w:pos="540"/>
          <w:tab w:val="left" w:pos="569"/>
        </w:tabs>
        <w:jc w:val="both"/>
        <w:rPr>
          <w:sz w:val="22"/>
          <w:szCs w:val="22"/>
          <w:lang w:val="sr-Latn-ME"/>
        </w:rPr>
      </w:pPr>
      <w:r w:rsidRPr="00042A6C">
        <w:rPr>
          <w:sz w:val="22"/>
          <w:szCs w:val="22"/>
          <w:lang w:val="sr-Latn-ME"/>
        </w:rPr>
        <w:t xml:space="preserve">Dostupni su klinički podaci iz intervencijske studije čiji je primarni cilj bio procjena bezbjednosti kod pacijenata sa nevalvularnom atrijalnom fibrilacijom koji su podvrgnuti PCI sa postavljanjem stenta. Podaci o efikasnosti kod ove populacije su ograničeni (vidjeti </w:t>
      </w:r>
      <w:r w:rsidR="00826B70" w:rsidRPr="00042A6C">
        <w:rPr>
          <w:sz w:val="22"/>
          <w:szCs w:val="22"/>
          <w:lang w:val="sr-Latn-ME"/>
        </w:rPr>
        <w:t xml:space="preserve">djelove </w:t>
      </w:r>
      <w:r w:rsidRPr="00042A6C">
        <w:rPr>
          <w:sz w:val="22"/>
          <w:szCs w:val="22"/>
          <w:lang w:val="sr-Latn-ME"/>
        </w:rPr>
        <w:t xml:space="preserve">4.2 i 5.1). Nema dostupnih podataka za ovakve pacijente, koji imaju moždani udar/tranzitorni ishemijski atak (engl. </w:t>
      </w:r>
      <w:r w:rsidRPr="00042A6C">
        <w:rPr>
          <w:i/>
          <w:sz w:val="22"/>
          <w:szCs w:val="22"/>
          <w:lang w:val="sr-Latn-ME"/>
        </w:rPr>
        <w:t>transient ischaemic attack</w:t>
      </w:r>
      <w:r w:rsidRPr="00042A6C">
        <w:rPr>
          <w:sz w:val="22"/>
          <w:szCs w:val="22"/>
          <w:lang w:val="sr-Latn-ME"/>
        </w:rPr>
        <w:t>, TIA) u anamnezi.</w:t>
      </w:r>
    </w:p>
    <w:p w:rsidR="00B76617" w:rsidRPr="00042A6C" w:rsidRDefault="00B76617" w:rsidP="00B76617">
      <w:pPr>
        <w:tabs>
          <w:tab w:val="left" w:pos="540"/>
          <w:tab w:val="left" w:pos="569"/>
        </w:tabs>
        <w:jc w:val="both"/>
        <w:rPr>
          <w:sz w:val="22"/>
          <w:szCs w:val="22"/>
          <w:lang w:val="sr-Latn-ME"/>
        </w:rPr>
      </w:pPr>
    </w:p>
    <w:p w:rsidR="00B76617" w:rsidRPr="00042A6C" w:rsidRDefault="00B76617" w:rsidP="00B76617">
      <w:pPr>
        <w:tabs>
          <w:tab w:val="left" w:pos="540"/>
          <w:tab w:val="left" w:pos="569"/>
        </w:tabs>
        <w:jc w:val="both"/>
        <w:rPr>
          <w:sz w:val="22"/>
          <w:szCs w:val="22"/>
          <w:lang w:val="sr-Latn-ME"/>
        </w:rPr>
      </w:pPr>
      <w:r w:rsidRPr="00042A6C">
        <w:rPr>
          <w:i/>
          <w:sz w:val="22"/>
          <w:szCs w:val="22"/>
          <w:u w:val="single"/>
          <w:lang w:val="sr-Latn-ME"/>
        </w:rPr>
        <w:t>Hemodinamski nestabilni pacijenti sa PE ili pacijenti čije stanje zahtijeva trombolizu ili plućnu embolektomiju</w:t>
      </w:r>
      <w:r w:rsidRPr="00042A6C">
        <w:rPr>
          <w:sz w:val="22"/>
          <w:szCs w:val="22"/>
          <w:lang w:val="sr-Latn-ME"/>
        </w:rPr>
        <w:t xml:space="preserve"> </w:t>
      </w:r>
    </w:p>
    <w:p w:rsidR="00840A61" w:rsidRPr="00042A6C" w:rsidRDefault="00B76617" w:rsidP="00B76617">
      <w:pPr>
        <w:tabs>
          <w:tab w:val="left" w:pos="540"/>
          <w:tab w:val="left" w:pos="569"/>
        </w:tabs>
        <w:jc w:val="both"/>
        <w:rPr>
          <w:sz w:val="22"/>
          <w:szCs w:val="22"/>
          <w:lang w:val="sr-Latn-ME"/>
        </w:rPr>
      </w:pPr>
      <w:r w:rsidRPr="00042A6C">
        <w:rPr>
          <w:sz w:val="22"/>
          <w:szCs w:val="22"/>
          <w:lang w:val="sr-Latn-ME"/>
        </w:rPr>
        <w:t xml:space="preserve">Primjena lijeka Corviva se ne preporučuje kao alternativa nefrakcionisanom heparinu kod pacijenata sa plućnom embolijom koji su hemodinamski nestabilni ili koji će biti podvrgnuti trombolizi ili pulmonalnoj embolektomiji, jer bezbjednost i efikasnost rivaroksabana </w:t>
      </w:r>
      <w:r w:rsidR="00826B70" w:rsidRPr="00042A6C">
        <w:rPr>
          <w:sz w:val="22"/>
          <w:szCs w:val="22"/>
          <w:lang w:val="sr-Latn-ME"/>
        </w:rPr>
        <w:t xml:space="preserve">nisu potvrđene </w:t>
      </w:r>
      <w:r w:rsidRPr="00042A6C">
        <w:rPr>
          <w:sz w:val="22"/>
          <w:szCs w:val="22"/>
          <w:lang w:val="sr-Latn-ME"/>
        </w:rPr>
        <w:t>u ovim kliničkim situacijama.</w:t>
      </w:r>
    </w:p>
    <w:p w:rsidR="00057E35" w:rsidRPr="00042A6C" w:rsidRDefault="00057E35" w:rsidP="00480FB1">
      <w:pPr>
        <w:tabs>
          <w:tab w:val="left" w:pos="540"/>
          <w:tab w:val="left" w:pos="569"/>
        </w:tabs>
        <w:rPr>
          <w:bCs/>
          <w:sz w:val="22"/>
          <w:szCs w:val="22"/>
          <w:lang w:val="sr-Latn-ME"/>
        </w:rPr>
      </w:pPr>
    </w:p>
    <w:p w:rsidR="00B76617" w:rsidRPr="00042A6C" w:rsidRDefault="00B76617" w:rsidP="00B76617">
      <w:pPr>
        <w:tabs>
          <w:tab w:val="left" w:pos="540"/>
          <w:tab w:val="left" w:pos="569"/>
        </w:tabs>
        <w:jc w:val="both"/>
        <w:rPr>
          <w:bCs/>
          <w:i/>
          <w:sz w:val="22"/>
          <w:szCs w:val="22"/>
          <w:lang w:val="sr-Latn-ME"/>
        </w:rPr>
      </w:pPr>
      <w:r w:rsidRPr="00042A6C">
        <w:rPr>
          <w:bCs/>
          <w:i/>
          <w:sz w:val="22"/>
          <w:szCs w:val="22"/>
          <w:u w:val="single"/>
          <w:lang w:val="sr-Latn-ME"/>
        </w:rPr>
        <w:lastRenderedPageBreak/>
        <w:t>Spinalna/epiduralna anestezija ili punkcija</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Kada se izvodi neur</w:t>
      </w:r>
      <w:r w:rsidR="00F6450D" w:rsidRPr="00042A6C">
        <w:rPr>
          <w:bCs/>
          <w:sz w:val="22"/>
          <w:szCs w:val="22"/>
          <w:lang w:val="sr-Latn-ME"/>
        </w:rPr>
        <w:t>o</w:t>
      </w:r>
      <w:r w:rsidRPr="00042A6C">
        <w:rPr>
          <w:bCs/>
          <w:sz w:val="22"/>
          <w:szCs w:val="22"/>
          <w:lang w:val="sr-Latn-ME"/>
        </w:rPr>
        <w:t>aksijalna anestezija (spinalna/epiduralna anestezija) ili spinalna/epiduralna punkcija, pacijenti na terapiji antitromboticima u cilju prevencije tromboembolijskih komplikacija su pod rizikom od stvaranja epiduralnog ili spinalnog hematoma koji može dovesti do dugotrajne ili stalne paralize. Rizik od ovih događaja može se povećati kod postoperativne primjene stalnih epiduralnih katetera ili ljekova koji utiču na hemostazu. Rizik se takođe može povećati zbog traumatske ili ponavljane epiduralne, ili spinalne punkcije. Kod ovih pacijenata treba često kontrolisati pojavu znakova i simptoma neuroloških oštećenja (npr. utrnulost ili slabost nogu, odnosno poremećaji funkcije crijeva ili mokraćne bešike). Ukoliko se primijeti neurološki poremećaj, neophodno je hitno postaviti dijagnozu i sprovesti terapiju. Prije neur</w:t>
      </w:r>
      <w:r w:rsidR="00F6450D" w:rsidRPr="00042A6C">
        <w:rPr>
          <w:bCs/>
          <w:sz w:val="22"/>
          <w:szCs w:val="22"/>
          <w:lang w:val="sr-Latn-ME"/>
        </w:rPr>
        <w:t>o</w:t>
      </w:r>
      <w:r w:rsidRPr="00042A6C">
        <w:rPr>
          <w:bCs/>
          <w:sz w:val="22"/>
          <w:szCs w:val="22"/>
          <w:lang w:val="sr-Latn-ME"/>
        </w:rPr>
        <w:t>aksijalne intervencije ljekar treba da razmotri odnos koristi i rizika kod pacijenata koji primaju antikoagulanse, odnosno pacijenata koji će primati antikoagulanse u cilju tromboprofilakse.</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Nema kliničkog iskustva sa upotrebom lijeka Corviva 15 mg u ovim situacijama.</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U cilju smanjenja potencijalnog rizika od krvarenja povezanog sa istovremenom primjenom rivaroksabana i neur</w:t>
      </w:r>
      <w:r w:rsidR="00F6450D" w:rsidRPr="00042A6C">
        <w:rPr>
          <w:bCs/>
          <w:sz w:val="22"/>
          <w:szCs w:val="22"/>
          <w:lang w:val="sr-Latn-ME"/>
        </w:rPr>
        <w:t>o</w:t>
      </w:r>
      <w:r w:rsidRPr="00042A6C">
        <w:rPr>
          <w:bCs/>
          <w:sz w:val="22"/>
          <w:szCs w:val="22"/>
          <w:lang w:val="sr-Latn-ME"/>
        </w:rPr>
        <w:t>aksijalne (epiduralna/spinalna) anestezije ili spinalne punkcije, treba razmotriti farmakokinetički profil rivaroksabana. Postavljanje ili uklanjanje epiduralnog katetera ili lumbalnu punkciju je najbolje uraditi kada se procijeni da je antikoagulantni efekat rivaroksabana slab. Međutim, tačno vrijeme kada se postiže dovoljno slab antikoagulantni efekat kod svakog pacijenta nije poznato i potrebno ga je procijeniti u odnosu na hitnost dijagnostičkog postupka.</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 xml:space="preserve">Bazirano na farmakokinetičkim karakteristikama, od posljednje primjene rivaroksabana do uklanjanja </w:t>
      </w:r>
      <w:r w:rsidR="00F6450D" w:rsidRPr="00042A6C">
        <w:rPr>
          <w:bCs/>
          <w:sz w:val="22"/>
          <w:szCs w:val="22"/>
          <w:lang w:val="sr-Latn-ME"/>
        </w:rPr>
        <w:t xml:space="preserve">epiduralnog </w:t>
      </w:r>
      <w:r w:rsidRPr="00042A6C">
        <w:rPr>
          <w:bCs/>
          <w:sz w:val="22"/>
          <w:szCs w:val="22"/>
          <w:lang w:val="sr-Latn-ME"/>
        </w:rPr>
        <w:t xml:space="preserve">katetera, treba da prođe najmanje dvostruko poluvrijeme eliminacije rivaroksabana, odnosno kod mlađih odraslih pacijenata najmanje 18 sati, a kod starijih pacijenata najmanje 26 sati (vidjeti </w:t>
      </w:r>
      <w:r w:rsidR="00826B70" w:rsidRPr="00042A6C">
        <w:rPr>
          <w:bCs/>
          <w:sz w:val="22"/>
          <w:szCs w:val="22"/>
          <w:lang w:val="sr-Latn-ME"/>
        </w:rPr>
        <w:t xml:space="preserve">dio </w:t>
      </w:r>
      <w:r w:rsidRPr="00042A6C">
        <w:rPr>
          <w:bCs/>
          <w:sz w:val="22"/>
          <w:szCs w:val="22"/>
          <w:lang w:val="sr-Latn-ME"/>
        </w:rPr>
        <w:t>5.2). Nakon uklanjanja katetera, mora proći najmanje 6 sati do sljedeće primjene rivaroksabana.</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Ukoliko dođe do traumatske punkcije, primjenu rivaroksabana treba odložiti za 24 sata.</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Nema dostupnih podataka o vremenu kada se djeci smije postaviti ili ukloniti neuroaksijalni kateter dok su na terapiji rivaroksabanom. U takvim slučajevima potrebno je prekinuti primjenu rivaroksabana i razmotriti primjenu kratkodjelujućeg parenteralnog antikoagulansa.</w:t>
      </w:r>
    </w:p>
    <w:p w:rsidR="00B76617" w:rsidRPr="00042A6C" w:rsidRDefault="00B76617" w:rsidP="00B76617">
      <w:pPr>
        <w:tabs>
          <w:tab w:val="left" w:pos="540"/>
          <w:tab w:val="left" w:pos="569"/>
        </w:tabs>
        <w:rPr>
          <w:bCs/>
          <w:sz w:val="22"/>
          <w:szCs w:val="22"/>
          <w:lang w:val="sr-Latn-ME"/>
        </w:rPr>
      </w:pPr>
    </w:p>
    <w:p w:rsidR="00B76617" w:rsidRPr="00042A6C" w:rsidRDefault="00B76617" w:rsidP="00B76617">
      <w:pPr>
        <w:tabs>
          <w:tab w:val="left" w:pos="540"/>
          <w:tab w:val="left" w:pos="569"/>
        </w:tabs>
        <w:jc w:val="both"/>
        <w:rPr>
          <w:bCs/>
          <w:i/>
          <w:sz w:val="22"/>
          <w:szCs w:val="22"/>
          <w:lang w:val="sr-Latn-ME"/>
        </w:rPr>
      </w:pPr>
      <w:r w:rsidRPr="00042A6C">
        <w:rPr>
          <w:bCs/>
          <w:i/>
          <w:sz w:val="22"/>
          <w:szCs w:val="22"/>
          <w:u w:val="single"/>
          <w:lang w:val="sr-Latn-ME"/>
        </w:rPr>
        <w:t>Preporuke za doziranje prije i nakon invazivnih procedura i hirurške intervencije</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Ukoliko je potrebno sprovesti invazivnu proceduru ili hiruršku intervenciju, terapiju lijekom Corviva</w:t>
      </w:r>
      <w:r w:rsidR="009705B3" w:rsidRPr="00042A6C">
        <w:rPr>
          <w:bCs/>
          <w:sz w:val="22"/>
          <w:szCs w:val="22"/>
          <w:lang w:val="sr-Latn-ME"/>
        </w:rPr>
        <w:t xml:space="preserve"> 15 mg</w:t>
      </w:r>
      <w:r w:rsidRPr="00042A6C">
        <w:rPr>
          <w:bCs/>
          <w:sz w:val="22"/>
          <w:szCs w:val="22"/>
          <w:lang w:val="sr-Latn-ME"/>
        </w:rPr>
        <w:t>, ako je moguće, treba prekinuti najmanje 24 sata prije intervencije, što mora biti zasnovano na kliničkoj procjeni ljekara.</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Ako se procedura ne može odložiti, treba procijeniti povećani rizik pojave krvarenja u odnosu na hitnost intervencije.</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 xml:space="preserve">Terapiju lijekom Corviva treba ponovo započeti što prije nakon invazivne procedure ili hirurške intervencije pod uslovom da to klinička situacija dopušta i da je uspostavljena adekvatna hemostaza, koja je potvrđena od strane ljekara (vidjeti </w:t>
      </w:r>
      <w:r w:rsidR="00B83FEA" w:rsidRPr="00042A6C">
        <w:rPr>
          <w:bCs/>
          <w:sz w:val="22"/>
          <w:szCs w:val="22"/>
          <w:lang w:val="sr-Latn-ME"/>
        </w:rPr>
        <w:t xml:space="preserve">dio </w:t>
      </w:r>
      <w:r w:rsidRPr="00042A6C">
        <w:rPr>
          <w:bCs/>
          <w:sz w:val="22"/>
          <w:szCs w:val="22"/>
          <w:lang w:val="sr-Latn-ME"/>
        </w:rPr>
        <w:t>5.2).</w:t>
      </w:r>
    </w:p>
    <w:p w:rsidR="00B76617" w:rsidRPr="00042A6C" w:rsidRDefault="00B76617" w:rsidP="00B76617">
      <w:pPr>
        <w:tabs>
          <w:tab w:val="left" w:pos="540"/>
          <w:tab w:val="left" w:pos="569"/>
        </w:tabs>
        <w:rPr>
          <w:bCs/>
          <w:sz w:val="22"/>
          <w:szCs w:val="22"/>
          <w:lang w:val="sr-Latn-ME"/>
        </w:rPr>
      </w:pPr>
    </w:p>
    <w:p w:rsidR="00B76617" w:rsidRPr="00042A6C" w:rsidRDefault="00B76617" w:rsidP="00B76617">
      <w:pPr>
        <w:tabs>
          <w:tab w:val="left" w:pos="540"/>
          <w:tab w:val="left" w:pos="569"/>
        </w:tabs>
        <w:jc w:val="both"/>
        <w:rPr>
          <w:bCs/>
          <w:i/>
          <w:sz w:val="22"/>
          <w:szCs w:val="22"/>
          <w:lang w:val="sr-Latn-ME"/>
        </w:rPr>
      </w:pPr>
      <w:r w:rsidRPr="00042A6C">
        <w:rPr>
          <w:bCs/>
          <w:i/>
          <w:sz w:val="22"/>
          <w:szCs w:val="22"/>
          <w:u w:val="single"/>
          <w:lang w:val="sr-Latn-ME"/>
        </w:rPr>
        <w:t>Stariji pacijenti</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 xml:space="preserve">Sa povećanjem </w:t>
      </w:r>
      <w:r w:rsidR="00B83FEA" w:rsidRPr="00042A6C">
        <w:rPr>
          <w:bCs/>
          <w:sz w:val="22"/>
          <w:szCs w:val="22"/>
          <w:lang w:val="sr-Latn-ME"/>
        </w:rPr>
        <w:t xml:space="preserve">starosnog doba, </w:t>
      </w:r>
      <w:r w:rsidRPr="00042A6C">
        <w:rPr>
          <w:bCs/>
          <w:sz w:val="22"/>
          <w:szCs w:val="22"/>
          <w:lang w:val="sr-Latn-ME"/>
        </w:rPr>
        <w:t xml:space="preserve">može biti povećan rizik od krvarenja (vidjeti </w:t>
      </w:r>
      <w:r w:rsidR="00B83FEA" w:rsidRPr="00042A6C">
        <w:rPr>
          <w:bCs/>
          <w:sz w:val="22"/>
          <w:szCs w:val="22"/>
          <w:lang w:val="sr-Latn-ME"/>
        </w:rPr>
        <w:t xml:space="preserve">dio </w:t>
      </w:r>
      <w:r w:rsidRPr="00042A6C">
        <w:rPr>
          <w:bCs/>
          <w:sz w:val="22"/>
          <w:szCs w:val="22"/>
          <w:lang w:val="sr-Latn-ME"/>
        </w:rPr>
        <w:t>5.2).</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i/>
          <w:sz w:val="22"/>
          <w:szCs w:val="22"/>
          <w:lang w:val="sr-Latn-ME"/>
        </w:rPr>
      </w:pPr>
      <w:r w:rsidRPr="00042A6C">
        <w:rPr>
          <w:bCs/>
          <w:i/>
          <w:sz w:val="22"/>
          <w:szCs w:val="22"/>
          <w:u w:val="single"/>
          <w:lang w:val="sr-Latn-ME"/>
        </w:rPr>
        <w:t>Dermatološke reakcije</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 xml:space="preserve">U toku postmarketinškog praćenja lijeka, prijavljene su ozbiljne kožne reakcije koje su povezane sa primjenom rivaroksabana, uključujući </w:t>
      </w:r>
      <w:r w:rsidRPr="00042A6C">
        <w:rPr>
          <w:bCs/>
          <w:i/>
          <w:iCs/>
          <w:sz w:val="22"/>
          <w:szCs w:val="22"/>
          <w:lang w:val="sr-Latn-ME"/>
        </w:rPr>
        <w:t>Stevens-Johnson</w:t>
      </w:r>
      <w:r w:rsidRPr="00042A6C">
        <w:rPr>
          <w:bCs/>
          <w:i/>
          <w:sz w:val="22"/>
          <w:szCs w:val="22"/>
          <w:lang w:val="sr-Latn-ME"/>
        </w:rPr>
        <w:t>-</w:t>
      </w:r>
      <w:r w:rsidRPr="004C49DB">
        <w:rPr>
          <w:bCs/>
          <w:sz w:val="22"/>
          <w:szCs w:val="22"/>
          <w:lang w:val="sr-Latn-ME"/>
        </w:rPr>
        <w:t>ov</w:t>
      </w:r>
      <w:r w:rsidRPr="00042A6C">
        <w:rPr>
          <w:bCs/>
          <w:i/>
          <w:sz w:val="22"/>
          <w:szCs w:val="22"/>
          <w:lang w:val="sr-Latn-ME"/>
        </w:rPr>
        <w:t xml:space="preserve"> </w:t>
      </w:r>
      <w:r w:rsidRPr="00042A6C">
        <w:rPr>
          <w:bCs/>
          <w:sz w:val="22"/>
          <w:szCs w:val="22"/>
          <w:lang w:val="sr-Latn-ME"/>
        </w:rPr>
        <w:t>sindrom</w:t>
      </w:r>
      <w:r w:rsidRPr="00042A6C">
        <w:rPr>
          <w:bCs/>
          <w:i/>
          <w:sz w:val="22"/>
          <w:szCs w:val="22"/>
          <w:lang w:val="sr-Latn-ME"/>
        </w:rPr>
        <w:t>/</w:t>
      </w:r>
      <w:r w:rsidRPr="00042A6C">
        <w:rPr>
          <w:bCs/>
          <w:sz w:val="22"/>
          <w:szCs w:val="22"/>
          <w:lang w:val="sr-Latn-ME"/>
        </w:rPr>
        <w:t xml:space="preserve">toksičnu epidermalnu nekrolizu i DRESS sindrom (vidjeti </w:t>
      </w:r>
      <w:r w:rsidR="00B83FEA" w:rsidRPr="00042A6C">
        <w:rPr>
          <w:bCs/>
          <w:sz w:val="22"/>
          <w:szCs w:val="22"/>
          <w:lang w:val="sr-Latn-ME"/>
        </w:rPr>
        <w:t xml:space="preserve">dio </w:t>
      </w:r>
      <w:r w:rsidRPr="00042A6C">
        <w:rPr>
          <w:bCs/>
          <w:sz w:val="22"/>
          <w:szCs w:val="22"/>
          <w:lang w:val="sr-Latn-ME"/>
        </w:rPr>
        <w:t>4.8). Izgleda da su pacijenti izloženi najvećem riziku na početku terapije: u najvećem broju slučajeva početak reakcije se javlja tokom prvih ned</w:t>
      </w:r>
      <w:r w:rsidR="00B83FEA" w:rsidRPr="00042A6C">
        <w:rPr>
          <w:bCs/>
          <w:sz w:val="22"/>
          <w:szCs w:val="22"/>
          <w:lang w:val="sr-Latn-ME"/>
        </w:rPr>
        <w:t>j</w:t>
      </w:r>
      <w:r w:rsidRPr="00042A6C">
        <w:rPr>
          <w:bCs/>
          <w:sz w:val="22"/>
          <w:szCs w:val="22"/>
          <w:lang w:val="sr-Latn-ME"/>
        </w:rPr>
        <w:t>elja terapije. Primjenu rivaroksabana treba prekinuti pri prvoj pojavi teškog kožnog osipa (npr. osipa koji se širi, intenzivan je i/ili praćen stvaranjem plikova), ili bilo kog drugog simptoma preosjetljivosti povezanog sa lezijama na sluzokoži.</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i/>
          <w:sz w:val="22"/>
          <w:szCs w:val="22"/>
          <w:lang w:val="sr-Latn-ME"/>
        </w:rPr>
      </w:pPr>
      <w:r w:rsidRPr="00042A6C">
        <w:rPr>
          <w:bCs/>
          <w:i/>
          <w:sz w:val="22"/>
          <w:szCs w:val="22"/>
          <w:u w:val="single"/>
          <w:lang w:val="sr-Latn-ME"/>
        </w:rPr>
        <w:t>Informacije o pomoćnim supstancama sa potvrđenim dejstvom</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Lijek Corviva sadrži laktozu. Pacijenti sa rijetkim nasljednim poremećajem intolerancije galaktoze, potpunim nedostatkom laktaze ili glukozno-galaktoznom malapsorpcijom, ne smiju koristiti ovaj lijek.</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Ovaj lijek sadrži manje od 1 mmol-a natrijuma (23 mg) po tableti, tj. zanemarljive količine natrijuma.</w:t>
      </w:r>
    </w:p>
    <w:p w:rsidR="00B76617" w:rsidRPr="00042A6C" w:rsidRDefault="00B76617" w:rsidP="00480FB1">
      <w:pPr>
        <w:tabs>
          <w:tab w:val="left" w:pos="540"/>
          <w:tab w:val="left" w:pos="569"/>
        </w:tabs>
        <w:rPr>
          <w:bCs/>
          <w:sz w:val="22"/>
          <w:szCs w:val="22"/>
          <w:lang w:val="sr-Latn-ME"/>
        </w:rPr>
      </w:pPr>
    </w:p>
    <w:p w:rsidR="00411B4B" w:rsidRPr="00042A6C" w:rsidRDefault="00411B4B" w:rsidP="00480FB1">
      <w:pPr>
        <w:tabs>
          <w:tab w:val="left" w:pos="540"/>
          <w:tab w:val="left" w:pos="569"/>
        </w:tabs>
        <w:rPr>
          <w:b/>
          <w:bCs/>
          <w:sz w:val="22"/>
          <w:szCs w:val="22"/>
          <w:lang w:val="sr-Latn-ME"/>
        </w:rPr>
      </w:pPr>
      <w:r w:rsidRPr="00042A6C">
        <w:rPr>
          <w:b/>
          <w:bCs/>
          <w:sz w:val="22"/>
          <w:szCs w:val="22"/>
          <w:lang w:val="sr-Latn-ME"/>
        </w:rPr>
        <w:lastRenderedPageBreak/>
        <w:t>4.5.</w:t>
      </w:r>
      <w:r w:rsidR="000D60CC" w:rsidRPr="00042A6C">
        <w:rPr>
          <w:b/>
          <w:bCs/>
          <w:sz w:val="22"/>
          <w:szCs w:val="22"/>
          <w:lang w:val="sr-Latn-ME"/>
        </w:rPr>
        <w:tab/>
      </w:r>
      <w:r w:rsidRPr="00042A6C">
        <w:rPr>
          <w:b/>
          <w:bCs/>
          <w:sz w:val="22"/>
          <w:szCs w:val="22"/>
          <w:lang w:val="sr-Latn-ME"/>
        </w:rPr>
        <w:t>Interakcije sa drugim ljekovima i druge vrste interakcija</w:t>
      </w:r>
    </w:p>
    <w:p w:rsidR="00B83FEA" w:rsidRPr="00042A6C" w:rsidRDefault="00B83FEA"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Nije poznato u kom se opsegu događaju interakcije kod pedijatrijske populacije. Za pedijatrijsku populaciju potrebno je uzeti u obzir podatke o interakcijama dobijene kod odraslih, navedene u daljem t</w:t>
      </w:r>
      <w:r w:rsidR="00BF760B" w:rsidRPr="00042A6C">
        <w:rPr>
          <w:bCs/>
          <w:sz w:val="22"/>
          <w:szCs w:val="22"/>
          <w:lang w:val="sr-Latn-ME"/>
        </w:rPr>
        <w:t xml:space="preserve">ekstu, kao i upozorenja u </w:t>
      </w:r>
      <w:r w:rsidR="002C3B72" w:rsidRPr="00042A6C">
        <w:rPr>
          <w:bCs/>
          <w:sz w:val="22"/>
          <w:szCs w:val="22"/>
          <w:lang w:val="sr-Latn-ME"/>
        </w:rPr>
        <w:t xml:space="preserve">dijelu </w:t>
      </w:r>
      <w:r w:rsidRPr="00042A6C">
        <w:rPr>
          <w:bCs/>
          <w:sz w:val="22"/>
          <w:szCs w:val="22"/>
          <w:lang w:val="sr-Latn-ME"/>
        </w:rPr>
        <w:t>4.4.</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i/>
          <w:sz w:val="22"/>
          <w:szCs w:val="22"/>
          <w:lang w:val="sr-Latn-ME"/>
        </w:rPr>
      </w:pPr>
      <w:r w:rsidRPr="00042A6C">
        <w:rPr>
          <w:bCs/>
          <w:i/>
          <w:sz w:val="22"/>
          <w:szCs w:val="22"/>
          <w:u w:val="single"/>
          <w:lang w:val="sr-Latn-ME"/>
        </w:rPr>
        <w:t>Inhibitori CYP3A4 i P-gp transportera</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Istovremena primjena rivaroksabana sa ketokonazolom (400 mg, jednom dnevno), odnosno ritonavirom (600 mg, dva puta dnevno), povećala je 2,6 puta / 2,5 puta srednju PIK vrijednost rivaroksabana, a 1,7 puta / 1,6 puta srednju C</w:t>
      </w:r>
      <w:r w:rsidRPr="00042A6C">
        <w:rPr>
          <w:bCs/>
          <w:sz w:val="22"/>
          <w:szCs w:val="22"/>
          <w:vertAlign w:val="subscript"/>
          <w:lang w:val="sr-Latn-ME"/>
        </w:rPr>
        <w:t>max</w:t>
      </w:r>
      <w:r w:rsidRPr="00042A6C">
        <w:rPr>
          <w:bCs/>
          <w:sz w:val="22"/>
          <w:szCs w:val="22"/>
          <w:lang w:val="sr-Latn-ME"/>
        </w:rPr>
        <w:t xml:space="preserve"> vrijednost rivaroksabana, sa značajnim povećanjem farmakodinamskih efekata koji su mogli uzrokovati povećanje rizika od krvarenja. Stoga se lijek Corviva ne preporučuje pacijentima koji se istovremeno liječe azolskim antimikoticima za sistemsku primjenu</w:t>
      </w:r>
      <w:r w:rsidR="009F1AD2" w:rsidRPr="00042A6C">
        <w:rPr>
          <w:bCs/>
          <w:sz w:val="22"/>
          <w:szCs w:val="22"/>
          <w:lang w:val="sr-Latn-ME"/>
        </w:rPr>
        <w:t>,</w:t>
      </w:r>
      <w:r w:rsidRPr="00042A6C">
        <w:rPr>
          <w:bCs/>
          <w:sz w:val="22"/>
          <w:szCs w:val="22"/>
          <w:lang w:val="sr-Latn-ME"/>
        </w:rPr>
        <w:t xml:space="preserve"> kao što su ketokonazol, itrakonazol, vorikonazol i posakonazol ili inhibitorima HIV proteaze. Ove aktivne supstance snažni su inhibitori kako CYP3A4, tako i P-gp transportera (vidjeti </w:t>
      </w:r>
      <w:r w:rsidR="009F1AD2" w:rsidRPr="00042A6C">
        <w:rPr>
          <w:bCs/>
          <w:sz w:val="22"/>
          <w:szCs w:val="22"/>
          <w:lang w:val="sr-Latn-ME"/>
        </w:rPr>
        <w:t xml:space="preserve">dio </w:t>
      </w:r>
      <w:r w:rsidRPr="00042A6C">
        <w:rPr>
          <w:bCs/>
          <w:sz w:val="22"/>
          <w:szCs w:val="22"/>
          <w:lang w:val="sr-Latn-ME"/>
        </w:rPr>
        <w:t>4.4).</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Očekuje se da aktivne supstance koje snažno inhibiraju samo jedan od puteva eliminacije rivaroksabana, bilo CYP3A4 ili P-gp transportera, u manjoj mjeri povećavaju koncentracije rivaroksabana u plazmi. Klaritromicin (500 mg, dva puta dnevno), na primjer, za koji se smatra da je snažan inhibitor CYP3A4 i umjereni inhibitor P-gp transportera, povećavao je srednju PIK vrijednost rivaroksabana 1,5 puta, a C</w:t>
      </w:r>
      <w:r w:rsidRPr="00042A6C">
        <w:rPr>
          <w:bCs/>
          <w:sz w:val="22"/>
          <w:szCs w:val="22"/>
          <w:vertAlign w:val="subscript"/>
          <w:lang w:val="sr-Latn-ME"/>
        </w:rPr>
        <w:t>max</w:t>
      </w:r>
      <w:r w:rsidRPr="00042A6C">
        <w:rPr>
          <w:bCs/>
          <w:sz w:val="22"/>
          <w:szCs w:val="22"/>
          <w:lang w:val="sr-Latn-ME"/>
        </w:rPr>
        <w:t xml:space="preserve"> rivaroksabana 1,4 puta. Interakcija sa klaritromicinom najvjerovatnije nije od relevantnog kliničkog značaja za većinu pacijentata, ali može biti potencijalno značajna</w:t>
      </w:r>
      <w:r w:rsidR="00F022B6" w:rsidRPr="00042A6C">
        <w:rPr>
          <w:bCs/>
          <w:sz w:val="22"/>
          <w:szCs w:val="22"/>
          <w:lang w:val="sr-Latn-ME"/>
        </w:rPr>
        <w:t xml:space="preserve"> kod visoko rizičnih pacijenata</w:t>
      </w:r>
      <w:r w:rsidRPr="00042A6C">
        <w:rPr>
          <w:bCs/>
          <w:sz w:val="22"/>
          <w:szCs w:val="22"/>
          <w:lang w:val="sr-Latn-ME"/>
        </w:rPr>
        <w:t xml:space="preserve"> (za pacijente sa oštećenjem funkcije bubrega </w:t>
      </w:r>
      <w:r w:rsidR="009F1AD2" w:rsidRPr="00042A6C">
        <w:rPr>
          <w:bCs/>
          <w:sz w:val="22"/>
          <w:szCs w:val="22"/>
          <w:lang w:val="sr-Latn-ME"/>
        </w:rPr>
        <w:t xml:space="preserve">vidjeti dio </w:t>
      </w:r>
      <w:r w:rsidRPr="00042A6C">
        <w:rPr>
          <w:bCs/>
          <w:sz w:val="22"/>
          <w:szCs w:val="22"/>
          <w:lang w:val="sr-Latn-ME"/>
        </w:rPr>
        <w:t>4.4).</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Eritromicin (500 mg, tri puta dnevno), koji umjereno inhibira CYP3A4 i P-gp transporter, povećavao je srednje vrijednosti PIK i C</w:t>
      </w:r>
      <w:r w:rsidRPr="00042A6C">
        <w:rPr>
          <w:bCs/>
          <w:sz w:val="22"/>
          <w:szCs w:val="22"/>
          <w:vertAlign w:val="subscript"/>
          <w:lang w:val="sr-Latn-ME"/>
        </w:rPr>
        <w:t>max</w:t>
      </w:r>
      <w:r w:rsidRPr="00042A6C">
        <w:rPr>
          <w:bCs/>
          <w:sz w:val="22"/>
          <w:szCs w:val="22"/>
          <w:lang w:val="sr-Latn-ME"/>
        </w:rPr>
        <w:t xml:space="preserve"> rivaroksabana 1,3 puta. Interakcija sa eritromicinom vjerovatno nije klinički značajna kod većine pacijentata, ali može biti potencijalno značajna kod visoko rizičnih pacijenata.</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Kod ispitanika sa blagim oštećenjem funkcije bubrega, primjena eritromicina (u dozi od 500 mg tri puta dnevno) je dovela do povećanja srednje vrijednosti PIK rivaroksabana 1,8 puta i povećanja vrijednosti C</w:t>
      </w:r>
      <w:r w:rsidRPr="00042A6C">
        <w:rPr>
          <w:bCs/>
          <w:sz w:val="22"/>
          <w:szCs w:val="22"/>
          <w:vertAlign w:val="subscript"/>
          <w:lang w:val="sr-Latn-ME"/>
        </w:rPr>
        <w:t>max</w:t>
      </w:r>
      <w:r w:rsidRPr="00042A6C">
        <w:rPr>
          <w:bCs/>
          <w:sz w:val="22"/>
          <w:szCs w:val="22"/>
          <w:lang w:val="sr-Latn-ME"/>
        </w:rPr>
        <w:t xml:space="preserve"> rivaroksabana od 1,6 puta u poređenju sa ispitanicima sa očuvanom funkcijom bubrega. Kod ispitanika sa umjerenim oštećenjem funkcije bubrega, primjena eritromicina je dovela do povećanja srednje vrijednosti PIK za rivaroksaban od 2,0 puta i do povećanja vrijednosti C</w:t>
      </w:r>
      <w:r w:rsidRPr="00042A6C">
        <w:rPr>
          <w:bCs/>
          <w:sz w:val="22"/>
          <w:szCs w:val="22"/>
          <w:vertAlign w:val="subscript"/>
          <w:lang w:val="sr-Latn-ME"/>
        </w:rPr>
        <w:t>max</w:t>
      </w:r>
      <w:r w:rsidRPr="00042A6C">
        <w:rPr>
          <w:bCs/>
          <w:sz w:val="22"/>
          <w:szCs w:val="22"/>
          <w:lang w:val="sr-Latn-ME"/>
        </w:rPr>
        <w:t xml:space="preserve"> od 1,6 u poređenju sa ispitanicima sa normalnom funkcijom bubrega. Efekat eritromicina ima aditivno dejstvo na oštećenja funkcije bubrega (vidjeti </w:t>
      </w:r>
      <w:r w:rsidR="009F1AD2" w:rsidRPr="00042A6C">
        <w:rPr>
          <w:bCs/>
          <w:sz w:val="22"/>
          <w:szCs w:val="22"/>
          <w:lang w:val="sr-Latn-ME"/>
        </w:rPr>
        <w:t xml:space="preserve">dio </w:t>
      </w:r>
      <w:r w:rsidRPr="00042A6C">
        <w:rPr>
          <w:bCs/>
          <w:sz w:val="22"/>
          <w:szCs w:val="22"/>
          <w:lang w:val="sr-Latn-ME"/>
        </w:rPr>
        <w:t>4.4.)</w:t>
      </w:r>
      <w:r w:rsidR="009F1AD2" w:rsidRPr="00042A6C">
        <w:rPr>
          <w:bCs/>
          <w:sz w:val="22"/>
          <w:szCs w:val="22"/>
          <w:lang w:val="sr-Latn-ME"/>
        </w:rPr>
        <w:t>.</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Flukonazol (400 mg, jednom dnevno) za koji se smatra da umjereno inhibira CYP3A4, dovodi do povećanja srednje vrijednosti PIK 1,4 puta i srednje vrijednosti C</w:t>
      </w:r>
      <w:r w:rsidRPr="00042A6C">
        <w:rPr>
          <w:bCs/>
          <w:sz w:val="22"/>
          <w:szCs w:val="22"/>
          <w:vertAlign w:val="subscript"/>
          <w:lang w:val="sr-Latn-ME"/>
        </w:rPr>
        <w:t>max</w:t>
      </w:r>
      <w:r w:rsidRPr="00042A6C">
        <w:rPr>
          <w:bCs/>
          <w:sz w:val="22"/>
          <w:szCs w:val="22"/>
          <w:lang w:val="sr-Latn-ME"/>
        </w:rPr>
        <w:t xml:space="preserve"> 1,3 puta. Interakcija sa flukonazolom vjerovatno nije klinički značajna za većinu pacijentata, ali može biti potencijalno značajna kod visoko rizičnih pacijenata (</w:t>
      </w:r>
      <w:r w:rsidR="009F1AD2" w:rsidRPr="00042A6C">
        <w:rPr>
          <w:bCs/>
          <w:sz w:val="22"/>
          <w:szCs w:val="22"/>
          <w:lang w:val="sr-Latn-ME"/>
        </w:rPr>
        <w:t xml:space="preserve">za </w:t>
      </w:r>
      <w:r w:rsidRPr="00042A6C">
        <w:rPr>
          <w:bCs/>
          <w:sz w:val="22"/>
          <w:szCs w:val="22"/>
          <w:lang w:val="sr-Latn-ME"/>
        </w:rPr>
        <w:t xml:space="preserve">pacijente sa oštećenjem funkcije bubrega vidjeti </w:t>
      </w:r>
      <w:r w:rsidR="009F1AD2" w:rsidRPr="00042A6C">
        <w:rPr>
          <w:bCs/>
          <w:sz w:val="22"/>
          <w:szCs w:val="22"/>
          <w:lang w:val="sr-Latn-ME"/>
        </w:rPr>
        <w:t xml:space="preserve">dio </w:t>
      </w:r>
      <w:r w:rsidRPr="00042A6C">
        <w:rPr>
          <w:bCs/>
          <w:sz w:val="22"/>
          <w:szCs w:val="22"/>
          <w:lang w:val="sr-Latn-ME"/>
        </w:rPr>
        <w:t>4.4).</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S obzirom na ograničene dostupne kliničke podatke za dronedaron, istovremenu primjenu sa rivaroksabanom treba izbjegavati.</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i/>
          <w:sz w:val="22"/>
          <w:szCs w:val="22"/>
          <w:lang w:val="sr-Latn-ME"/>
        </w:rPr>
      </w:pPr>
      <w:r w:rsidRPr="00042A6C">
        <w:rPr>
          <w:bCs/>
          <w:i/>
          <w:sz w:val="22"/>
          <w:szCs w:val="22"/>
          <w:u w:val="single"/>
          <w:lang w:val="sr-Latn-ME"/>
        </w:rPr>
        <w:t>Antikoagulansi</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Poslije istovremene primjene enoksaparina (40 mg, jedna doza) sa rivaroksabanom (10 mg, jedna doza) zapažen je aditivni antifaktor Xa efekat, bez bilo kakvog dodatnog uticaja na testove koagulacije (PT, aPTT). Enoksaparin nije uticao na farmakokinetiku rivaroksabana.</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 xml:space="preserve">Zbog povećanog rizika od krvarenja, potreban je oprez ukoliko se pacijenti istovremeno liječe sa bilo kojim drugim antikoagulansima (vidjeti </w:t>
      </w:r>
      <w:r w:rsidR="009F1AD2" w:rsidRPr="00042A6C">
        <w:rPr>
          <w:bCs/>
          <w:sz w:val="22"/>
          <w:szCs w:val="22"/>
          <w:lang w:val="sr-Latn-ME"/>
        </w:rPr>
        <w:t xml:space="preserve">djelove </w:t>
      </w:r>
      <w:r w:rsidRPr="00042A6C">
        <w:rPr>
          <w:bCs/>
          <w:sz w:val="22"/>
          <w:szCs w:val="22"/>
          <w:lang w:val="sr-Latn-ME"/>
        </w:rPr>
        <w:t>4.3 i 4.4).</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i/>
          <w:sz w:val="22"/>
          <w:szCs w:val="22"/>
          <w:lang w:val="sr-Latn-ME"/>
        </w:rPr>
      </w:pPr>
      <w:r w:rsidRPr="00042A6C">
        <w:rPr>
          <w:bCs/>
          <w:i/>
          <w:sz w:val="22"/>
          <w:szCs w:val="22"/>
          <w:u w:val="single"/>
          <w:lang w:val="sr-Latn-ME"/>
        </w:rPr>
        <w:t>NSAIL/inhibitori agregacije trombocita</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Nije primijećeno klinički značajno produženje vremena krvarenja poslije istovremene primjene rivaroksabana (15 mg) i 500 mg naproksena. Uprkos tome, kod pojedinaca, farmakodinamski odgovor može biti više izražen.</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Nisu zapažene klinički značajne farmakokinetičke ili farmakodinamske interakcije kada je rivaroksaban primijenjen u kombinaciji sa 500 mg acetilsalicilne kiseline.</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 xml:space="preserve">Klopidogrel (početna doza od 300 mg, a zatim doza održavanja od 75 mg) nije pokazao farmakokinetičku interakciju sa rivaroksabanom (15 mg), ali je u jednoj podgrupi pacijenata primijećeno </w:t>
      </w:r>
      <w:r w:rsidRPr="00042A6C">
        <w:rPr>
          <w:bCs/>
          <w:sz w:val="22"/>
          <w:szCs w:val="22"/>
          <w:lang w:val="sr-Latn-ME"/>
        </w:rPr>
        <w:lastRenderedPageBreak/>
        <w:t>značajno produženje vremena krvarenja koje nije koreliralo sa agregacijom trombocita, nivoima P-selektina ili GPIIb/IIIa receptora.</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 xml:space="preserve">Potreban je oprez ukoliko se pacijent istovremeno liječi ljekovima iz grupe NSAIL (uključujući acetilsalicilnu kiselinu) i inhibitorima agregacije trombocita, pošto je za ove ljekove karakteristično da povećavaju rizik od krvarenja (vidjeti </w:t>
      </w:r>
      <w:r w:rsidR="009F1AD2" w:rsidRPr="00042A6C">
        <w:rPr>
          <w:bCs/>
          <w:sz w:val="22"/>
          <w:szCs w:val="22"/>
          <w:lang w:val="sr-Latn-ME"/>
        </w:rPr>
        <w:t xml:space="preserve">dio </w:t>
      </w:r>
      <w:r w:rsidRPr="00042A6C">
        <w:rPr>
          <w:bCs/>
          <w:sz w:val="22"/>
          <w:szCs w:val="22"/>
          <w:lang w:val="sr-Latn-ME"/>
        </w:rPr>
        <w:t>4.4).</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i/>
          <w:sz w:val="22"/>
          <w:szCs w:val="22"/>
          <w:lang w:val="sr-Latn-ME"/>
        </w:rPr>
      </w:pPr>
      <w:r w:rsidRPr="00042A6C">
        <w:rPr>
          <w:bCs/>
          <w:i/>
          <w:sz w:val="22"/>
          <w:szCs w:val="22"/>
          <w:u w:val="single"/>
          <w:lang w:val="sr-Latn-ME"/>
        </w:rPr>
        <w:t>SSRI/SNRI</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 xml:space="preserve">Kao i kod drugih antikoagulanasa, postoji mogućnost da su pacijenti izloženi većem riziku od </w:t>
      </w:r>
      <w:r w:rsidR="009F1AD2" w:rsidRPr="00042A6C">
        <w:rPr>
          <w:bCs/>
          <w:sz w:val="22"/>
          <w:szCs w:val="22"/>
          <w:lang w:val="sr-Latn-ME"/>
        </w:rPr>
        <w:t xml:space="preserve">krvarenja </w:t>
      </w:r>
      <w:r w:rsidRPr="00042A6C">
        <w:rPr>
          <w:bCs/>
          <w:sz w:val="22"/>
          <w:szCs w:val="22"/>
          <w:lang w:val="sr-Latn-ME"/>
        </w:rPr>
        <w:t xml:space="preserve">kod istovremene primjene rivaroksabana sa SSRI i SNRI zbog prijavljenih efekta ovih ljekova na trombocite. Kod istovremene primjene SSRI/SNRI i rivaroksabana u kliničkim ispitivanjima, primijećena je numerički veća stopa </w:t>
      </w:r>
      <w:r w:rsidR="009F1AD2" w:rsidRPr="00042A6C">
        <w:rPr>
          <w:bCs/>
          <w:sz w:val="22"/>
          <w:szCs w:val="22"/>
          <w:lang w:val="sr-Latn-ME"/>
        </w:rPr>
        <w:t xml:space="preserve">velikih </w:t>
      </w:r>
      <w:r w:rsidRPr="00042A6C">
        <w:rPr>
          <w:bCs/>
          <w:sz w:val="22"/>
          <w:szCs w:val="22"/>
          <w:lang w:val="sr-Latn-ME"/>
        </w:rPr>
        <w:t xml:space="preserve">ili klinički značajnih </w:t>
      </w:r>
      <w:r w:rsidR="009F1AD2" w:rsidRPr="00042A6C">
        <w:rPr>
          <w:bCs/>
          <w:sz w:val="22"/>
          <w:szCs w:val="22"/>
          <w:lang w:val="sr-Latn-ME"/>
        </w:rPr>
        <w:t xml:space="preserve">manjih </w:t>
      </w:r>
      <w:r w:rsidRPr="00042A6C">
        <w:rPr>
          <w:bCs/>
          <w:sz w:val="22"/>
          <w:szCs w:val="22"/>
          <w:lang w:val="sr-Latn-ME"/>
        </w:rPr>
        <w:t>krvarenja u svim terapijskim grupama.</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i/>
          <w:sz w:val="22"/>
          <w:szCs w:val="22"/>
          <w:lang w:val="sr-Latn-ME"/>
        </w:rPr>
      </w:pPr>
      <w:r w:rsidRPr="00042A6C">
        <w:rPr>
          <w:bCs/>
          <w:i/>
          <w:sz w:val="22"/>
          <w:szCs w:val="22"/>
          <w:u w:val="single"/>
          <w:lang w:val="sr-Latn-ME"/>
        </w:rPr>
        <w:t>Varfarin</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Prevođenje pacijenata sa terapije antagonistom vitamina K, varfarinom (INR 2,0 do 3,0) na rivaroksaban (20 mg) ili sa rivaroksabana (20 mg) na varfarin (INR 2,0 do 3,0) produžilo je protrombinsko vrijeme/INR (Neoplastin) više nego aditivno (pojedinačne INR vrijednosti do 12 se mogu uočiti), dok je uticaj na aPTT, inhibiciju aktivnosti faktora Xa i endogeni trombin potencijal bio aditivan.</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Za ispitivanje farmakodinamskih efekata rivaroksabana tokom perioda prevođenja, mogu se koristiti aktivnost antifaktora Xa, PiCT i Heptest jer varfarin nije imao uticaj na njih. Četvrtog dana nakon posljednje doze varfarina, svi testovi (uključujući PT, aPTT, inhibiciju aktivnosti faktora Xa i ETP) su odražavali samo uticaj rivaroksabana. Za ispitivanje farmakodinamskih efekata varfarina tokom perioda prevođenja, određivanje INR se može koristiti za C</w:t>
      </w:r>
      <w:r w:rsidRPr="00042A6C">
        <w:rPr>
          <w:bCs/>
          <w:sz w:val="22"/>
          <w:szCs w:val="22"/>
          <w:vertAlign w:val="subscript"/>
          <w:lang w:val="sr-Latn-ME"/>
        </w:rPr>
        <w:t>trough</w:t>
      </w:r>
      <w:r w:rsidRPr="00042A6C">
        <w:rPr>
          <w:bCs/>
          <w:sz w:val="22"/>
          <w:szCs w:val="22"/>
          <w:lang w:val="sr-Latn-ME"/>
        </w:rPr>
        <w:t xml:space="preserve"> rivaroksabana (koncentracija lijeka na kraju doznog intervala - 24 sata nakon prethodnog unošenja rivaroksabana) jer rivaroksaban minimalno utiče na test u tom trenutku.</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Nije zapažena bilo kakva farmakokinetička interakcija između varfarina i rivaroksabana.</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i/>
          <w:sz w:val="22"/>
          <w:szCs w:val="22"/>
          <w:lang w:val="sr-Latn-ME"/>
        </w:rPr>
      </w:pPr>
      <w:r w:rsidRPr="00042A6C">
        <w:rPr>
          <w:bCs/>
          <w:i/>
          <w:sz w:val="22"/>
          <w:szCs w:val="22"/>
          <w:u w:val="single"/>
          <w:lang w:val="sr-Latn-ME"/>
        </w:rPr>
        <w:t>Induktori CYP3A4</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Istovremena primjena rivaroksabana i rifampicina, snažnog induktora CYP3A4, za približno 50% smanjivala je srednju vrijednost PIK rivaroksabana, sa paralelnim smanjivanjem njegovih farmakodinamskih efekata. Istovremena primjena rivaroksabana sa drugim snažnim induktorima CYP3A4 (npr. fenitoin, karbamazepin, fenobarbiton ili kantarion</w:t>
      </w:r>
      <w:r w:rsidR="009705B3" w:rsidRPr="00042A6C">
        <w:rPr>
          <w:bCs/>
          <w:sz w:val="22"/>
          <w:szCs w:val="22"/>
          <w:lang w:val="sr-Latn-ME"/>
        </w:rPr>
        <w:t xml:space="preserve"> (</w:t>
      </w:r>
      <w:r w:rsidR="009705B3" w:rsidRPr="00042A6C">
        <w:rPr>
          <w:bCs/>
          <w:i/>
          <w:sz w:val="22"/>
          <w:szCs w:val="22"/>
          <w:lang w:val="sr-Latn-ME"/>
        </w:rPr>
        <w:t>Hypericum perforatum</w:t>
      </w:r>
      <w:r w:rsidR="009705B3" w:rsidRPr="00042A6C">
        <w:rPr>
          <w:bCs/>
          <w:sz w:val="22"/>
          <w:szCs w:val="22"/>
          <w:lang w:val="sr-Latn-ME"/>
        </w:rPr>
        <w:t>)</w:t>
      </w:r>
      <w:r w:rsidRPr="00042A6C">
        <w:rPr>
          <w:bCs/>
          <w:sz w:val="22"/>
          <w:szCs w:val="22"/>
          <w:lang w:val="sr-Latn-ME"/>
        </w:rPr>
        <w:t>) može takođe smanjiti koncentraciju rivaroksabana u plazmi. Zbog toga, istovremenu primjenu snažnih induktora CYP3A4 treba izbjegavati, osim ukoliko pacijent nije pod strogim nadzorom</w:t>
      </w:r>
      <w:r w:rsidR="009629BC" w:rsidRPr="00042A6C">
        <w:rPr>
          <w:bCs/>
          <w:sz w:val="22"/>
          <w:szCs w:val="22"/>
          <w:lang w:val="sr-Latn-ME"/>
        </w:rPr>
        <w:t>,</w:t>
      </w:r>
      <w:r w:rsidRPr="00042A6C">
        <w:rPr>
          <w:bCs/>
          <w:sz w:val="22"/>
          <w:szCs w:val="22"/>
          <w:lang w:val="sr-Latn-ME"/>
        </w:rPr>
        <w:t xml:space="preserve"> kako bi se uočili znaci i simptomi tromboze.</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i/>
          <w:sz w:val="22"/>
          <w:szCs w:val="22"/>
          <w:lang w:val="sr-Latn-ME"/>
        </w:rPr>
      </w:pPr>
      <w:r w:rsidRPr="00042A6C">
        <w:rPr>
          <w:bCs/>
          <w:i/>
          <w:sz w:val="22"/>
          <w:szCs w:val="22"/>
          <w:u w:val="single"/>
          <w:lang w:val="sr-Latn-ME"/>
        </w:rPr>
        <w:t>Drugi istovremeno primijenjeni ljekovi</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Nisu zapažene klinički značajne farmakokinetičke ili farmakodinamske interakcije pri istovremenoj primjeni rivaroksabana sa midazolamom (supstrat za CYP3A4), digoksinom (supstrat za P-gp transporter)</w:t>
      </w:r>
      <w:r w:rsidR="009629BC" w:rsidRPr="00042A6C">
        <w:rPr>
          <w:bCs/>
          <w:sz w:val="22"/>
          <w:szCs w:val="22"/>
          <w:lang w:val="sr-Latn-ME"/>
        </w:rPr>
        <w:t>,</w:t>
      </w:r>
      <w:r w:rsidRPr="00042A6C">
        <w:rPr>
          <w:bCs/>
          <w:sz w:val="22"/>
          <w:szCs w:val="22"/>
          <w:lang w:val="sr-Latn-ME"/>
        </w:rPr>
        <w:t xml:space="preserve"> atorvastatinom (supstrat za CYP3A4 i P-gp transporter) ili omeprazolom (inhibitor protonske pumpe). Rivaroksaban ne dovodi do indukcije niti do inhibicije bilo kog važnijeg izoenzima CYP, kao što je CYP3A4.</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i/>
          <w:sz w:val="22"/>
          <w:szCs w:val="22"/>
          <w:lang w:val="sr-Latn-ME"/>
        </w:rPr>
      </w:pPr>
      <w:r w:rsidRPr="00042A6C">
        <w:rPr>
          <w:bCs/>
          <w:i/>
          <w:sz w:val="22"/>
          <w:szCs w:val="22"/>
          <w:u w:val="single"/>
          <w:lang w:val="sr-Latn-ME"/>
        </w:rPr>
        <w:t>Laboratorijski parametri</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 xml:space="preserve">Parametri koagulacije (npr. PT, aPTT, Hetest) mijenjaju se, kako se i očekuje, zbog mehanizma djelovanja rivaroksabana (vidjeti </w:t>
      </w:r>
      <w:r w:rsidR="009629BC" w:rsidRPr="00042A6C">
        <w:rPr>
          <w:bCs/>
          <w:sz w:val="22"/>
          <w:szCs w:val="22"/>
          <w:lang w:val="sr-Latn-ME"/>
        </w:rPr>
        <w:t xml:space="preserve">dio </w:t>
      </w:r>
      <w:r w:rsidRPr="00042A6C">
        <w:rPr>
          <w:bCs/>
          <w:sz w:val="22"/>
          <w:szCs w:val="22"/>
          <w:lang w:val="sr-Latn-ME"/>
        </w:rPr>
        <w:t>5.1).</w:t>
      </w:r>
    </w:p>
    <w:p w:rsidR="0072020E" w:rsidRPr="00042A6C" w:rsidRDefault="0072020E" w:rsidP="00480FB1">
      <w:pPr>
        <w:tabs>
          <w:tab w:val="left" w:pos="540"/>
          <w:tab w:val="left" w:pos="569"/>
        </w:tabs>
        <w:rPr>
          <w:bCs/>
          <w:sz w:val="22"/>
          <w:szCs w:val="22"/>
          <w:lang w:val="sr-Latn-ME"/>
        </w:rPr>
      </w:pPr>
    </w:p>
    <w:p w:rsidR="0072020E" w:rsidRPr="00042A6C" w:rsidRDefault="0072020E" w:rsidP="00480FB1">
      <w:pPr>
        <w:tabs>
          <w:tab w:val="left" w:pos="540"/>
          <w:tab w:val="left" w:pos="569"/>
        </w:tabs>
        <w:rPr>
          <w:b/>
          <w:sz w:val="22"/>
          <w:szCs w:val="22"/>
          <w:lang w:val="sr-Latn-ME"/>
        </w:rPr>
      </w:pPr>
      <w:r w:rsidRPr="00042A6C">
        <w:rPr>
          <w:b/>
          <w:bCs/>
          <w:sz w:val="22"/>
          <w:szCs w:val="22"/>
          <w:lang w:val="sr-Latn-ME"/>
        </w:rPr>
        <w:t xml:space="preserve">4.6. </w:t>
      </w:r>
      <w:r w:rsidR="00480FB1" w:rsidRPr="00042A6C">
        <w:rPr>
          <w:b/>
          <w:bCs/>
          <w:sz w:val="22"/>
          <w:szCs w:val="22"/>
          <w:lang w:val="sr-Latn-ME"/>
        </w:rPr>
        <w:tab/>
      </w:r>
      <w:r w:rsidR="006D20A5" w:rsidRPr="00042A6C">
        <w:rPr>
          <w:b/>
          <w:sz w:val="22"/>
          <w:szCs w:val="22"/>
          <w:lang w:val="sr-Latn-ME"/>
        </w:rPr>
        <w:t>Plodnost, trudnoća i dojenje</w:t>
      </w:r>
    </w:p>
    <w:p w:rsidR="002031B3" w:rsidRPr="00042A6C" w:rsidRDefault="002031B3" w:rsidP="00480FB1">
      <w:pPr>
        <w:tabs>
          <w:tab w:val="left" w:pos="540"/>
          <w:tab w:val="left" w:pos="569"/>
        </w:tabs>
        <w:rPr>
          <w:sz w:val="22"/>
          <w:szCs w:val="22"/>
          <w:u w:val="single"/>
          <w:lang w:val="sr-Latn-ME"/>
        </w:rPr>
      </w:pPr>
    </w:p>
    <w:p w:rsidR="00B76617" w:rsidRPr="00042A6C" w:rsidRDefault="00B76617" w:rsidP="00B76617">
      <w:pPr>
        <w:tabs>
          <w:tab w:val="left" w:pos="540"/>
          <w:tab w:val="left" w:pos="569"/>
        </w:tabs>
        <w:jc w:val="both"/>
        <w:rPr>
          <w:sz w:val="22"/>
          <w:szCs w:val="22"/>
          <w:u w:val="single"/>
          <w:lang w:val="sr-Latn-ME"/>
        </w:rPr>
      </w:pPr>
      <w:r w:rsidRPr="00042A6C">
        <w:rPr>
          <w:sz w:val="22"/>
          <w:szCs w:val="22"/>
          <w:u w:val="single"/>
          <w:lang w:val="sr-Latn-ME"/>
        </w:rPr>
        <w:t>Trudnoća</w:t>
      </w:r>
    </w:p>
    <w:p w:rsidR="00B76617" w:rsidRPr="00042A6C" w:rsidRDefault="00B76617" w:rsidP="00B76617">
      <w:pPr>
        <w:tabs>
          <w:tab w:val="left" w:pos="540"/>
          <w:tab w:val="left" w:pos="569"/>
        </w:tabs>
        <w:jc w:val="both"/>
        <w:rPr>
          <w:sz w:val="22"/>
          <w:szCs w:val="22"/>
          <w:lang w:val="sr-Latn-ME"/>
        </w:rPr>
      </w:pPr>
      <w:r w:rsidRPr="00042A6C">
        <w:rPr>
          <w:sz w:val="22"/>
          <w:szCs w:val="22"/>
          <w:lang w:val="sr-Latn-ME"/>
        </w:rPr>
        <w:t xml:space="preserve">Bezbjednost i efikasnost </w:t>
      </w:r>
      <w:r w:rsidR="00FA68A1" w:rsidRPr="00042A6C">
        <w:rPr>
          <w:sz w:val="22"/>
          <w:szCs w:val="22"/>
          <w:lang w:val="sr-Latn-ME"/>
        </w:rPr>
        <w:t>rivaroksabana</w:t>
      </w:r>
      <w:r w:rsidRPr="00042A6C">
        <w:rPr>
          <w:sz w:val="22"/>
          <w:szCs w:val="22"/>
          <w:lang w:val="sr-Latn-ME"/>
        </w:rPr>
        <w:t xml:space="preserve"> nisu ustanovljene kod trudnica. Studije na životinjama pokazale su reproduktivnu toksičnost (vidjeti </w:t>
      </w:r>
      <w:r w:rsidR="00FA0DA1" w:rsidRPr="00042A6C">
        <w:rPr>
          <w:sz w:val="22"/>
          <w:szCs w:val="22"/>
          <w:lang w:val="sr-Latn-ME"/>
        </w:rPr>
        <w:t xml:space="preserve">dio </w:t>
      </w:r>
      <w:r w:rsidRPr="00042A6C">
        <w:rPr>
          <w:sz w:val="22"/>
          <w:szCs w:val="22"/>
          <w:lang w:val="sr-Latn-ME"/>
        </w:rPr>
        <w:t xml:space="preserve">5.3). Zbog moguće reproduktivne toksičnosti, rizika od unutrašnjeg krvarenja i dokaza o tome da rivaroksaban prolazi kroz placentu, primjena lijeka Corviva je kontraindikovana tokom trudnoće (vidjeti </w:t>
      </w:r>
      <w:r w:rsidR="00FA0DA1" w:rsidRPr="00042A6C">
        <w:rPr>
          <w:sz w:val="22"/>
          <w:szCs w:val="22"/>
          <w:lang w:val="sr-Latn-ME"/>
        </w:rPr>
        <w:t xml:space="preserve">dio </w:t>
      </w:r>
      <w:r w:rsidRPr="00042A6C">
        <w:rPr>
          <w:sz w:val="22"/>
          <w:szCs w:val="22"/>
          <w:lang w:val="sr-Latn-ME"/>
        </w:rPr>
        <w:t>4.3).</w:t>
      </w:r>
    </w:p>
    <w:p w:rsidR="00B76617" w:rsidRPr="00042A6C" w:rsidRDefault="00B76617" w:rsidP="00B76617">
      <w:pPr>
        <w:tabs>
          <w:tab w:val="left" w:pos="540"/>
          <w:tab w:val="left" w:pos="569"/>
        </w:tabs>
        <w:jc w:val="both"/>
        <w:rPr>
          <w:sz w:val="22"/>
          <w:szCs w:val="22"/>
          <w:lang w:val="sr-Latn-ME"/>
        </w:rPr>
      </w:pPr>
      <w:r w:rsidRPr="00042A6C">
        <w:rPr>
          <w:sz w:val="22"/>
          <w:szCs w:val="22"/>
          <w:lang w:val="sr-Latn-ME"/>
        </w:rPr>
        <w:t>Žene u reproduktivnom periodu treba da izbjegavaju trudnoću tokom liječenja rivaroksabanom.</w:t>
      </w:r>
    </w:p>
    <w:p w:rsidR="00B76617" w:rsidRPr="00042A6C" w:rsidRDefault="00B76617" w:rsidP="00B76617">
      <w:pPr>
        <w:tabs>
          <w:tab w:val="left" w:pos="540"/>
          <w:tab w:val="left" w:pos="569"/>
        </w:tabs>
        <w:jc w:val="both"/>
        <w:rPr>
          <w:sz w:val="22"/>
          <w:szCs w:val="22"/>
          <w:lang w:val="sr-Latn-ME"/>
        </w:rPr>
      </w:pPr>
    </w:p>
    <w:p w:rsidR="00F0540D" w:rsidRDefault="00F0540D" w:rsidP="00B76617">
      <w:pPr>
        <w:tabs>
          <w:tab w:val="left" w:pos="540"/>
          <w:tab w:val="left" w:pos="569"/>
        </w:tabs>
        <w:jc w:val="both"/>
        <w:rPr>
          <w:sz w:val="22"/>
          <w:szCs w:val="22"/>
          <w:u w:val="single"/>
          <w:lang w:val="sr-Latn-ME"/>
        </w:rPr>
      </w:pPr>
    </w:p>
    <w:p w:rsidR="00B76617" w:rsidRPr="00042A6C" w:rsidRDefault="00B76617" w:rsidP="00B76617">
      <w:pPr>
        <w:tabs>
          <w:tab w:val="left" w:pos="540"/>
          <w:tab w:val="left" w:pos="569"/>
        </w:tabs>
        <w:jc w:val="both"/>
        <w:rPr>
          <w:sz w:val="22"/>
          <w:szCs w:val="22"/>
          <w:u w:val="single"/>
          <w:lang w:val="sr-Latn-ME"/>
        </w:rPr>
      </w:pPr>
      <w:r w:rsidRPr="00042A6C">
        <w:rPr>
          <w:sz w:val="22"/>
          <w:szCs w:val="22"/>
          <w:u w:val="single"/>
          <w:lang w:val="sr-Latn-ME"/>
        </w:rPr>
        <w:lastRenderedPageBreak/>
        <w:t>Dojenje</w:t>
      </w: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 xml:space="preserve">Bezbjednost i efikasnost rivaroksabana nisu ustanovljene kod dojilja. Podaci dobijeni iz ispitivanja na životinjama ukazuju da se rivaroksaban izlučuje u mlijeko. Stoga je primjena lijeka Corviva kontraindikovana tokom dojenja (vidjeti </w:t>
      </w:r>
      <w:r w:rsidR="00FA0DA1" w:rsidRPr="00042A6C">
        <w:rPr>
          <w:bCs/>
          <w:sz w:val="22"/>
          <w:szCs w:val="22"/>
          <w:lang w:val="sr-Latn-ME"/>
        </w:rPr>
        <w:t xml:space="preserve">dio </w:t>
      </w:r>
      <w:r w:rsidRPr="00042A6C">
        <w:rPr>
          <w:bCs/>
          <w:sz w:val="22"/>
          <w:szCs w:val="22"/>
          <w:lang w:val="sr-Latn-ME"/>
        </w:rPr>
        <w:t>4.3). Mora da se donese odluka da li će se prekinuti dojenje ili napraviti prekid/pauza u terapiji.</w:t>
      </w:r>
    </w:p>
    <w:p w:rsidR="00B76617" w:rsidRPr="00042A6C" w:rsidRDefault="00B76617" w:rsidP="00B76617">
      <w:pPr>
        <w:tabs>
          <w:tab w:val="left" w:pos="540"/>
          <w:tab w:val="left" w:pos="569"/>
        </w:tabs>
        <w:jc w:val="both"/>
        <w:rPr>
          <w:sz w:val="22"/>
          <w:szCs w:val="22"/>
          <w:lang w:val="sr-Latn-ME"/>
        </w:rPr>
      </w:pPr>
    </w:p>
    <w:p w:rsidR="00B76617" w:rsidRPr="00042A6C" w:rsidRDefault="00B76617" w:rsidP="00B76617">
      <w:pPr>
        <w:tabs>
          <w:tab w:val="left" w:pos="540"/>
          <w:tab w:val="left" w:pos="569"/>
        </w:tabs>
        <w:jc w:val="both"/>
        <w:rPr>
          <w:sz w:val="22"/>
          <w:szCs w:val="22"/>
          <w:u w:val="single"/>
          <w:lang w:val="sr-Latn-ME"/>
        </w:rPr>
      </w:pPr>
      <w:r w:rsidRPr="00042A6C">
        <w:rPr>
          <w:sz w:val="22"/>
          <w:szCs w:val="22"/>
          <w:u w:val="single"/>
          <w:lang w:val="sr-Latn-ME"/>
        </w:rPr>
        <w:t>Plodnost</w:t>
      </w:r>
    </w:p>
    <w:p w:rsidR="00B76617" w:rsidRPr="00042A6C" w:rsidRDefault="00B76617" w:rsidP="00B76617">
      <w:pPr>
        <w:tabs>
          <w:tab w:val="left" w:pos="540"/>
          <w:tab w:val="left" w:pos="569"/>
        </w:tabs>
        <w:jc w:val="both"/>
        <w:rPr>
          <w:sz w:val="22"/>
          <w:szCs w:val="22"/>
          <w:lang w:val="sr-Latn-ME"/>
        </w:rPr>
      </w:pPr>
      <w:r w:rsidRPr="00042A6C">
        <w:rPr>
          <w:bCs/>
          <w:sz w:val="22"/>
          <w:szCs w:val="22"/>
          <w:lang w:val="sr-Latn-ME"/>
        </w:rPr>
        <w:t xml:space="preserve">Nisu sprovedene specifične studije sa rivaroksabanom kod ljudi kako bi se procijenili uticaji na plodnost. U studiji o uticaju na plodnost </w:t>
      </w:r>
      <w:r w:rsidR="00FA0DA1" w:rsidRPr="00042A6C">
        <w:rPr>
          <w:bCs/>
          <w:sz w:val="22"/>
          <w:szCs w:val="22"/>
          <w:lang w:val="sr-Latn-ME"/>
        </w:rPr>
        <w:t xml:space="preserve">mužjaka </w:t>
      </w:r>
      <w:r w:rsidRPr="00042A6C">
        <w:rPr>
          <w:bCs/>
          <w:sz w:val="22"/>
          <w:szCs w:val="22"/>
          <w:lang w:val="sr-Latn-ME"/>
        </w:rPr>
        <w:t xml:space="preserve">i </w:t>
      </w:r>
      <w:r w:rsidR="00FA0DA1" w:rsidRPr="00042A6C">
        <w:rPr>
          <w:bCs/>
          <w:sz w:val="22"/>
          <w:szCs w:val="22"/>
          <w:lang w:val="sr-Latn-ME"/>
        </w:rPr>
        <w:t xml:space="preserve">ženki </w:t>
      </w:r>
      <w:r w:rsidRPr="00042A6C">
        <w:rPr>
          <w:bCs/>
          <w:sz w:val="22"/>
          <w:szCs w:val="22"/>
          <w:lang w:val="sr-Latn-ME"/>
        </w:rPr>
        <w:t xml:space="preserve">pacova nije uočen bilo kakav uticaj (vidjeti </w:t>
      </w:r>
      <w:r w:rsidR="00FA0DA1" w:rsidRPr="00042A6C">
        <w:rPr>
          <w:bCs/>
          <w:sz w:val="22"/>
          <w:szCs w:val="22"/>
          <w:lang w:val="sr-Latn-ME"/>
        </w:rPr>
        <w:t xml:space="preserve">dio </w:t>
      </w:r>
      <w:r w:rsidRPr="00042A6C">
        <w:rPr>
          <w:bCs/>
          <w:sz w:val="22"/>
          <w:szCs w:val="22"/>
          <w:lang w:val="sr-Latn-ME"/>
        </w:rPr>
        <w:t>5.3).</w:t>
      </w:r>
    </w:p>
    <w:p w:rsidR="00227BDB" w:rsidRPr="00042A6C" w:rsidRDefault="00227BDB" w:rsidP="00396DFD">
      <w:pPr>
        <w:tabs>
          <w:tab w:val="left" w:pos="540"/>
          <w:tab w:val="left" w:pos="569"/>
        </w:tabs>
        <w:ind w:left="540" w:hanging="540"/>
        <w:rPr>
          <w:b/>
          <w:bCs/>
          <w:sz w:val="22"/>
          <w:szCs w:val="22"/>
          <w:lang w:val="sr-Latn-ME"/>
        </w:rPr>
      </w:pPr>
    </w:p>
    <w:p w:rsidR="0072020E" w:rsidRPr="00042A6C" w:rsidRDefault="0072020E" w:rsidP="00396DFD">
      <w:pPr>
        <w:tabs>
          <w:tab w:val="left" w:pos="540"/>
          <w:tab w:val="left" w:pos="569"/>
        </w:tabs>
        <w:ind w:left="540" w:hanging="540"/>
        <w:rPr>
          <w:b/>
          <w:bCs/>
          <w:sz w:val="22"/>
          <w:szCs w:val="22"/>
          <w:lang w:val="sr-Latn-ME"/>
        </w:rPr>
      </w:pPr>
      <w:r w:rsidRPr="00042A6C">
        <w:rPr>
          <w:b/>
          <w:bCs/>
          <w:sz w:val="22"/>
          <w:szCs w:val="22"/>
          <w:lang w:val="sr-Latn-ME"/>
        </w:rPr>
        <w:t xml:space="preserve">4.7. </w:t>
      </w:r>
      <w:r w:rsidR="00480FB1" w:rsidRPr="00042A6C">
        <w:rPr>
          <w:b/>
          <w:bCs/>
          <w:sz w:val="22"/>
          <w:szCs w:val="22"/>
          <w:lang w:val="sr-Latn-ME"/>
        </w:rPr>
        <w:tab/>
      </w:r>
      <w:r w:rsidRPr="00042A6C">
        <w:rPr>
          <w:b/>
          <w:bCs/>
          <w:sz w:val="22"/>
          <w:szCs w:val="22"/>
          <w:lang w:val="sr-Latn-ME"/>
        </w:rPr>
        <w:t xml:space="preserve">Uticaj na </w:t>
      </w:r>
      <w:r w:rsidR="002031B3" w:rsidRPr="00042A6C">
        <w:rPr>
          <w:b/>
          <w:bCs/>
          <w:sz w:val="22"/>
          <w:szCs w:val="22"/>
          <w:lang w:val="sr-Latn-ME"/>
        </w:rPr>
        <w:t xml:space="preserve">sposobnost </w:t>
      </w:r>
      <w:r w:rsidR="00F34554" w:rsidRPr="00042A6C">
        <w:rPr>
          <w:b/>
          <w:bCs/>
          <w:sz w:val="22"/>
          <w:szCs w:val="22"/>
          <w:lang w:val="sr-Latn-ME"/>
        </w:rPr>
        <w:t>upravljanja vozili</w:t>
      </w:r>
      <w:r w:rsidRPr="00042A6C">
        <w:rPr>
          <w:b/>
          <w:bCs/>
          <w:sz w:val="22"/>
          <w:szCs w:val="22"/>
          <w:lang w:val="sr-Latn-ME"/>
        </w:rPr>
        <w:t>m</w:t>
      </w:r>
      <w:r w:rsidR="00F34554" w:rsidRPr="00042A6C">
        <w:rPr>
          <w:b/>
          <w:bCs/>
          <w:sz w:val="22"/>
          <w:szCs w:val="22"/>
          <w:lang w:val="sr-Latn-ME"/>
        </w:rPr>
        <w:t>a</w:t>
      </w:r>
      <w:r w:rsidRPr="00042A6C">
        <w:rPr>
          <w:b/>
          <w:bCs/>
          <w:sz w:val="22"/>
          <w:szCs w:val="22"/>
          <w:lang w:val="sr-Latn-ME"/>
        </w:rPr>
        <w:t xml:space="preserve"> i </w:t>
      </w:r>
      <w:r w:rsidR="000D3449" w:rsidRPr="00042A6C">
        <w:rPr>
          <w:b/>
          <w:bCs/>
          <w:sz w:val="22"/>
          <w:szCs w:val="22"/>
          <w:lang w:val="sr-Latn-ME"/>
        </w:rPr>
        <w:t xml:space="preserve">rukovanje </w:t>
      </w:r>
      <w:r w:rsidRPr="00042A6C">
        <w:rPr>
          <w:b/>
          <w:bCs/>
          <w:sz w:val="22"/>
          <w:szCs w:val="22"/>
          <w:lang w:val="sr-Latn-ME"/>
        </w:rPr>
        <w:t>mašinama</w:t>
      </w:r>
    </w:p>
    <w:p w:rsidR="00B76617" w:rsidRPr="00042A6C" w:rsidRDefault="00B76617" w:rsidP="00396DFD">
      <w:pPr>
        <w:tabs>
          <w:tab w:val="left" w:pos="540"/>
          <w:tab w:val="left" w:pos="569"/>
        </w:tabs>
        <w:ind w:left="540" w:hanging="540"/>
        <w:rPr>
          <w:b/>
          <w:bCs/>
          <w:sz w:val="22"/>
          <w:szCs w:val="22"/>
          <w:lang w:val="sr-Latn-ME"/>
        </w:rPr>
      </w:pPr>
    </w:p>
    <w:p w:rsidR="00B76617" w:rsidRPr="00042A6C" w:rsidRDefault="00B76617" w:rsidP="00B76617">
      <w:pPr>
        <w:tabs>
          <w:tab w:val="left" w:pos="0"/>
        </w:tabs>
        <w:jc w:val="both"/>
        <w:rPr>
          <w:bCs/>
          <w:sz w:val="22"/>
          <w:szCs w:val="22"/>
          <w:lang w:val="sr-Latn-ME"/>
        </w:rPr>
      </w:pPr>
      <w:r w:rsidRPr="00042A6C">
        <w:rPr>
          <w:bCs/>
          <w:sz w:val="22"/>
          <w:szCs w:val="22"/>
          <w:lang w:val="sr-Latn-ME"/>
        </w:rPr>
        <w:t xml:space="preserve">Lijek Corviva ima neznatan uticaj na sposobnost upravljanja vozilima i rukovanja mašinama. Prijavljene su neželjene reakcije poput sinkope (učestalost: povremeno) i vrtoglavice (učestalost: često) (vidjeti </w:t>
      </w:r>
      <w:r w:rsidR="00FA0DA1" w:rsidRPr="00042A6C">
        <w:rPr>
          <w:bCs/>
          <w:sz w:val="22"/>
          <w:szCs w:val="22"/>
          <w:lang w:val="sr-Latn-ME"/>
        </w:rPr>
        <w:t xml:space="preserve">dio </w:t>
      </w:r>
      <w:r w:rsidRPr="00042A6C">
        <w:rPr>
          <w:bCs/>
          <w:sz w:val="22"/>
          <w:szCs w:val="22"/>
          <w:lang w:val="sr-Latn-ME"/>
        </w:rPr>
        <w:t>4.8).</w:t>
      </w:r>
    </w:p>
    <w:p w:rsidR="00B76617" w:rsidRPr="004C49DB" w:rsidRDefault="00B76617" w:rsidP="00B76617">
      <w:pPr>
        <w:tabs>
          <w:tab w:val="left" w:pos="0"/>
        </w:tabs>
        <w:jc w:val="both"/>
        <w:rPr>
          <w:b/>
          <w:bCs/>
          <w:sz w:val="22"/>
          <w:szCs w:val="22"/>
          <w:lang w:val="sr-Latn-ME"/>
        </w:rPr>
      </w:pPr>
      <w:r w:rsidRPr="004C49DB">
        <w:rPr>
          <w:b/>
          <w:bCs/>
          <w:sz w:val="22"/>
          <w:szCs w:val="22"/>
          <w:lang w:val="sr-Latn-ME"/>
        </w:rPr>
        <w:t>Pacijenti kod kojih se jave ove neželjene reakcije ne treba da upravljaju vozilima ili rukuju mašinama.</w:t>
      </w:r>
    </w:p>
    <w:p w:rsidR="0072020E" w:rsidRPr="00042A6C" w:rsidRDefault="0072020E" w:rsidP="00480FB1">
      <w:pPr>
        <w:tabs>
          <w:tab w:val="left" w:pos="540"/>
          <w:tab w:val="left" w:pos="569"/>
        </w:tabs>
        <w:rPr>
          <w:b/>
          <w:bCs/>
          <w:sz w:val="22"/>
          <w:szCs w:val="22"/>
          <w:lang w:val="sr-Latn-ME"/>
        </w:rPr>
      </w:pPr>
    </w:p>
    <w:p w:rsidR="0072020E" w:rsidRPr="00042A6C" w:rsidRDefault="0072020E" w:rsidP="00480FB1">
      <w:pPr>
        <w:tabs>
          <w:tab w:val="left" w:pos="540"/>
          <w:tab w:val="left" w:pos="569"/>
        </w:tabs>
        <w:rPr>
          <w:b/>
          <w:bCs/>
          <w:sz w:val="22"/>
          <w:szCs w:val="22"/>
          <w:lang w:val="sr-Latn-ME"/>
        </w:rPr>
      </w:pPr>
      <w:r w:rsidRPr="00042A6C">
        <w:rPr>
          <w:b/>
          <w:bCs/>
          <w:sz w:val="22"/>
          <w:szCs w:val="22"/>
          <w:lang w:val="sr-Latn-ME"/>
        </w:rPr>
        <w:t xml:space="preserve">4.8. </w:t>
      </w:r>
      <w:r w:rsidR="00480FB1" w:rsidRPr="00042A6C">
        <w:rPr>
          <w:b/>
          <w:bCs/>
          <w:sz w:val="22"/>
          <w:szCs w:val="22"/>
          <w:lang w:val="sr-Latn-ME"/>
        </w:rPr>
        <w:tab/>
      </w:r>
      <w:r w:rsidRPr="00042A6C">
        <w:rPr>
          <w:b/>
          <w:bCs/>
          <w:sz w:val="22"/>
          <w:szCs w:val="22"/>
          <w:lang w:val="sr-Latn-ME"/>
        </w:rPr>
        <w:t>Neželjena dejstva</w:t>
      </w:r>
    </w:p>
    <w:p w:rsidR="00B76617" w:rsidRPr="00042A6C" w:rsidRDefault="00B76617" w:rsidP="00480FB1">
      <w:pPr>
        <w:tabs>
          <w:tab w:val="left" w:pos="540"/>
          <w:tab w:val="left" w:pos="569"/>
        </w:tabs>
        <w:rPr>
          <w:b/>
          <w:bCs/>
          <w:sz w:val="22"/>
          <w:szCs w:val="22"/>
          <w:lang w:val="sr-Latn-ME"/>
        </w:rPr>
      </w:pPr>
    </w:p>
    <w:p w:rsidR="00B76617" w:rsidRPr="00042A6C" w:rsidRDefault="00B76617" w:rsidP="00B76617">
      <w:pPr>
        <w:tabs>
          <w:tab w:val="left" w:pos="540"/>
          <w:tab w:val="left" w:pos="569"/>
        </w:tabs>
        <w:jc w:val="both"/>
        <w:rPr>
          <w:bCs/>
          <w:sz w:val="22"/>
          <w:szCs w:val="22"/>
          <w:u w:val="single"/>
          <w:lang w:val="sr-Latn-ME"/>
        </w:rPr>
      </w:pPr>
      <w:r w:rsidRPr="00042A6C">
        <w:rPr>
          <w:bCs/>
          <w:sz w:val="22"/>
          <w:szCs w:val="22"/>
          <w:u w:val="single"/>
          <w:lang w:val="sr-Latn-ME"/>
        </w:rPr>
        <w:t>Sažetak bezbjednosnog profila</w:t>
      </w:r>
    </w:p>
    <w:p w:rsidR="00B76617" w:rsidRPr="00042A6C" w:rsidRDefault="00B76617" w:rsidP="00B76617">
      <w:pPr>
        <w:tabs>
          <w:tab w:val="left" w:pos="540"/>
          <w:tab w:val="left" w:pos="569"/>
        </w:tabs>
        <w:jc w:val="both"/>
        <w:rPr>
          <w:bCs/>
          <w:sz w:val="22"/>
          <w:szCs w:val="22"/>
          <w:lang w:val="sr-Latn-ME"/>
        </w:rPr>
      </w:pP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 xml:space="preserve">Bezbjednost rivaroksabana je procjenjivana kod odraslih pacijenata </w:t>
      </w:r>
      <w:r w:rsidR="00100527" w:rsidRPr="00042A6C">
        <w:rPr>
          <w:bCs/>
          <w:sz w:val="22"/>
          <w:szCs w:val="22"/>
          <w:lang w:val="sr-Latn-ME"/>
        </w:rPr>
        <w:t xml:space="preserve">u </w:t>
      </w:r>
      <w:r w:rsidRPr="00042A6C">
        <w:rPr>
          <w:bCs/>
          <w:sz w:val="22"/>
          <w:szCs w:val="22"/>
          <w:lang w:val="sr-Latn-ME"/>
        </w:rPr>
        <w:t xml:space="preserve">trinaest studija </w:t>
      </w:r>
      <w:r w:rsidR="00100527" w:rsidRPr="00042A6C">
        <w:rPr>
          <w:bCs/>
          <w:sz w:val="22"/>
          <w:szCs w:val="22"/>
          <w:lang w:val="sr-Latn-ME"/>
        </w:rPr>
        <w:t xml:space="preserve">faze </w:t>
      </w:r>
      <w:r w:rsidRPr="00042A6C">
        <w:rPr>
          <w:bCs/>
          <w:sz w:val="22"/>
          <w:szCs w:val="22"/>
          <w:lang w:val="sr-Latn-ME"/>
        </w:rPr>
        <w:t xml:space="preserve">III, u koje je bilo uključeno 53103 pacijenta koji su primali rivaroksaban, kao i </w:t>
      </w:r>
      <w:r w:rsidR="00100527" w:rsidRPr="00042A6C">
        <w:rPr>
          <w:bCs/>
          <w:sz w:val="22"/>
          <w:szCs w:val="22"/>
          <w:lang w:val="sr-Latn-ME"/>
        </w:rPr>
        <w:t xml:space="preserve">u </w:t>
      </w:r>
      <w:r w:rsidRPr="00042A6C">
        <w:rPr>
          <w:bCs/>
          <w:sz w:val="22"/>
          <w:szCs w:val="22"/>
          <w:lang w:val="sr-Latn-ME"/>
        </w:rPr>
        <w:t>dvije pedijatrijske studije faze II i jednu studiju faze III</w:t>
      </w:r>
      <w:r w:rsidR="00100527" w:rsidRPr="00042A6C">
        <w:rPr>
          <w:bCs/>
          <w:sz w:val="22"/>
          <w:szCs w:val="22"/>
          <w:lang w:val="sr-Latn-ME"/>
        </w:rPr>
        <w:t>,</w:t>
      </w:r>
      <w:r w:rsidRPr="00042A6C">
        <w:rPr>
          <w:bCs/>
          <w:sz w:val="22"/>
          <w:szCs w:val="22"/>
          <w:lang w:val="sr-Latn-ME"/>
        </w:rPr>
        <w:t xml:space="preserve"> koje su uključile 412 pacijenata </w:t>
      </w:r>
      <w:r w:rsidR="00100527" w:rsidRPr="00042A6C">
        <w:rPr>
          <w:bCs/>
          <w:sz w:val="22"/>
          <w:szCs w:val="22"/>
          <w:lang w:val="sr-Latn-ME"/>
        </w:rPr>
        <w:t xml:space="preserve">(vidjeti </w:t>
      </w:r>
      <w:r w:rsidRPr="00042A6C">
        <w:rPr>
          <w:bCs/>
          <w:sz w:val="22"/>
          <w:szCs w:val="22"/>
          <w:lang w:val="sr-Latn-ME"/>
        </w:rPr>
        <w:t>studije faze III navedene u Tabeli 1</w:t>
      </w:r>
      <w:r w:rsidR="00100527" w:rsidRPr="00042A6C">
        <w:rPr>
          <w:bCs/>
          <w:sz w:val="22"/>
          <w:szCs w:val="22"/>
          <w:lang w:val="sr-Latn-ME"/>
        </w:rPr>
        <w:t>)</w:t>
      </w:r>
      <w:r w:rsidRPr="00042A6C">
        <w:rPr>
          <w:bCs/>
          <w:sz w:val="22"/>
          <w:szCs w:val="22"/>
          <w:lang w:val="sr-Latn-ME"/>
        </w:rPr>
        <w:t>.</w:t>
      </w:r>
    </w:p>
    <w:p w:rsidR="00B76617" w:rsidRPr="00042A6C" w:rsidRDefault="00B76617" w:rsidP="00B76617">
      <w:pPr>
        <w:tabs>
          <w:tab w:val="left" w:pos="540"/>
          <w:tab w:val="left" w:pos="569"/>
        </w:tabs>
        <w:rPr>
          <w:b/>
          <w:bCs/>
          <w:sz w:val="22"/>
          <w:szCs w:val="22"/>
          <w:lang w:val="sr-Latn-ME"/>
        </w:rPr>
      </w:pPr>
    </w:p>
    <w:p w:rsidR="00F0540D" w:rsidRDefault="00F0540D" w:rsidP="00B76617">
      <w:pPr>
        <w:tabs>
          <w:tab w:val="left" w:pos="540"/>
          <w:tab w:val="left" w:pos="569"/>
        </w:tabs>
        <w:jc w:val="both"/>
        <w:rPr>
          <w:b/>
          <w:bCs/>
          <w:sz w:val="22"/>
          <w:szCs w:val="22"/>
          <w:lang w:val="sr-Latn-ME"/>
        </w:rPr>
      </w:pPr>
    </w:p>
    <w:p w:rsidR="00B76617" w:rsidRDefault="00B76617" w:rsidP="00B76617">
      <w:pPr>
        <w:tabs>
          <w:tab w:val="left" w:pos="540"/>
          <w:tab w:val="left" w:pos="569"/>
        </w:tabs>
        <w:jc w:val="both"/>
        <w:rPr>
          <w:b/>
          <w:bCs/>
          <w:sz w:val="22"/>
          <w:szCs w:val="22"/>
          <w:lang w:val="sr-Latn-ME"/>
        </w:rPr>
      </w:pPr>
      <w:r w:rsidRPr="00042A6C">
        <w:rPr>
          <w:b/>
          <w:bCs/>
          <w:sz w:val="22"/>
          <w:szCs w:val="22"/>
          <w:lang w:val="sr-Latn-ME"/>
        </w:rPr>
        <w:t>Tabela 1: Broj pacijenata u studijama, ukupna dnevna doza i maksimalno trajanje terapije u studijama faze III kod odraslih i pedijatrijskih pacijenata</w:t>
      </w:r>
    </w:p>
    <w:p w:rsidR="00F0540D" w:rsidRDefault="00F0540D" w:rsidP="00B76617">
      <w:pPr>
        <w:tabs>
          <w:tab w:val="left" w:pos="540"/>
          <w:tab w:val="left" w:pos="569"/>
        </w:tabs>
        <w:jc w:val="both"/>
        <w:rPr>
          <w:b/>
          <w:bCs/>
          <w:sz w:val="22"/>
          <w:szCs w:val="22"/>
          <w:lang w:val="sr-Latn-ME"/>
        </w:rPr>
      </w:pPr>
    </w:p>
    <w:p w:rsidR="00F0540D" w:rsidRPr="00042A6C" w:rsidRDefault="00F0540D" w:rsidP="00B76617">
      <w:pPr>
        <w:tabs>
          <w:tab w:val="left" w:pos="540"/>
          <w:tab w:val="left" w:pos="569"/>
        </w:tabs>
        <w:jc w:val="both"/>
        <w:rPr>
          <w:b/>
          <w:bCs/>
          <w:sz w:val="22"/>
          <w:szCs w:val="22"/>
          <w:lang w:val="sr-Latn-ME"/>
        </w:rPr>
      </w:pPr>
    </w:p>
    <w:tbl>
      <w:tblPr>
        <w:tblStyle w:val="TableGrid"/>
        <w:tblW w:w="0" w:type="auto"/>
        <w:tblLook w:val="04A0" w:firstRow="1" w:lastRow="0" w:firstColumn="1" w:lastColumn="0" w:noHBand="0" w:noVBand="1"/>
      </w:tblPr>
      <w:tblGrid>
        <w:gridCol w:w="2265"/>
        <w:gridCol w:w="2266"/>
        <w:gridCol w:w="2266"/>
        <w:gridCol w:w="2266"/>
      </w:tblGrid>
      <w:tr w:rsidR="00B76617" w:rsidRPr="00042A6C" w:rsidTr="00091295">
        <w:tc>
          <w:tcPr>
            <w:tcW w:w="2265" w:type="dxa"/>
            <w:tcBorders>
              <w:bottom w:val="single" w:sz="4" w:space="0" w:color="000000"/>
            </w:tcBorders>
          </w:tcPr>
          <w:p w:rsidR="00B76617" w:rsidRPr="00042A6C" w:rsidRDefault="00B76617" w:rsidP="00091295">
            <w:pPr>
              <w:widowControl w:val="0"/>
              <w:autoSpaceDE w:val="0"/>
              <w:autoSpaceDN w:val="0"/>
              <w:spacing w:before="8"/>
              <w:ind w:left="7"/>
              <w:jc w:val="center"/>
              <w:rPr>
                <w:b/>
                <w:sz w:val="22"/>
                <w:szCs w:val="22"/>
                <w:lang w:val="sr-Latn-ME"/>
              </w:rPr>
            </w:pPr>
            <w:r w:rsidRPr="00042A6C">
              <w:rPr>
                <w:b/>
                <w:w w:val="105"/>
                <w:sz w:val="22"/>
                <w:szCs w:val="22"/>
                <w:lang w:val="sr-Latn-ME"/>
              </w:rPr>
              <w:t>Indikacija</w:t>
            </w:r>
          </w:p>
        </w:tc>
        <w:tc>
          <w:tcPr>
            <w:tcW w:w="2266" w:type="dxa"/>
            <w:tcBorders>
              <w:bottom w:val="single" w:sz="4" w:space="0" w:color="000000"/>
              <w:right w:val="single" w:sz="4" w:space="0" w:color="000000"/>
            </w:tcBorders>
          </w:tcPr>
          <w:p w:rsidR="00B76617" w:rsidRPr="00042A6C" w:rsidRDefault="00B76617" w:rsidP="00091295">
            <w:pPr>
              <w:widowControl w:val="0"/>
              <w:autoSpaceDE w:val="0"/>
              <w:autoSpaceDN w:val="0"/>
              <w:spacing w:before="8" w:line="250" w:lineRule="atLeast"/>
              <w:ind w:left="7"/>
              <w:jc w:val="center"/>
              <w:rPr>
                <w:b/>
                <w:sz w:val="22"/>
                <w:szCs w:val="22"/>
                <w:lang w:val="sr-Latn-ME"/>
              </w:rPr>
            </w:pPr>
            <w:r w:rsidRPr="00042A6C">
              <w:rPr>
                <w:b/>
                <w:w w:val="105"/>
                <w:sz w:val="22"/>
                <w:szCs w:val="22"/>
                <w:lang w:val="sr-Latn-ME"/>
              </w:rPr>
              <w:t xml:space="preserve">Broj </w:t>
            </w:r>
            <w:r w:rsidRPr="00042A6C">
              <w:rPr>
                <w:b/>
                <w:sz w:val="22"/>
                <w:szCs w:val="22"/>
                <w:lang w:val="sr-Latn-ME"/>
              </w:rPr>
              <w:t>pacijenata*</w:t>
            </w:r>
          </w:p>
        </w:tc>
        <w:tc>
          <w:tcPr>
            <w:tcW w:w="2266" w:type="dxa"/>
            <w:tcBorders>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before="8"/>
              <w:ind w:left="2"/>
              <w:jc w:val="center"/>
              <w:rPr>
                <w:b/>
                <w:sz w:val="22"/>
                <w:szCs w:val="22"/>
                <w:lang w:val="sr-Latn-ME"/>
              </w:rPr>
            </w:pPr>
            <w:r w:rsidRPr="00042A6C">
              <w:rPr>
                <w:b/>
                <w:w w:val="105"/>
                <w:sz w:val="22"/>
                <w:szCs w:val="22"/>
                <w:lang w:val="sr-Latn-ME"/>
              </w:rPr>
              <w:t>Ukupna dnevna doza</w:t>
            </w:r>
          </w:p>
        </w:tc>
        <w:tc>
          <w:tcPr>
            <w:tcW w:w="2266" w:type="dxa"/>
            <w:tcBorders>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before="8" w:line="250" w:lineRule="atLeast"/>
              <w:ind w:left="2" w:right="284"/>
              <w:jc w:val="center"/>
              <w:rPr>
                <w:b/>
                <w:sz w:val="22"/>
                <w:szCs w:val="22"/>
                <w:lang w:val="sr-Latn-ME"/>
              </w:rPr>
            </w:pPr>
            <w:r w:rsidRPr="00042A6C">
              <w:rPr>
                <w:b/>
                <w:w w:val="105"/>
                <w:sz w:val="22"/>
                <w:szCs w:val="22"/>
                <w:lang w:val="sr-Latn-ME"/>
              </w:rPr>
              <w:t>Maksimalno trajanje terapije</w:t>
            </w:r>
          </w:p>
        </w:tc>
      </w:tr>
      <w:tr w:rsidR="00B76617" w:rsidRPr="00042A6C" w:rsidTr="00091295">
        <w:tc>
          <w:tcPr>
            <w:tcW w:w="2265" w:type="dxa"/>
            <w:tcBorders>
              <w:top w:val="single" w:sz="4" w:space="0" w:color="000000"/>
              <w:bottom w:val="single" w:sz="4" w:space="0" w:color="000000"/>
            </w:tcBorders>
          </w:tcPr>
          <w:p w:rsidR="00B76617" w:rsidRPr="00042A6C" w:rsidRDefault="00B76617" w:rsidP="00091295">
            <w:pPr>
              <w:widowControl w:val="0"/>
              <w:autoSpaceDE w:val="0"/>
              <w:autoSpaceDN w:val="0"/>
              <w:spacing w:line="244" w:lineRule="auto"/>
              <w:ind w:left="7" w:right="21"/>
              <w:jc w:val="both"/>
              <w:rPr>
                <w:sz w:val="22"/>
                <w:szCs w:val="22"/>
                <w:lang w:val="sr-Latn-ME"/>
              </w:rPr>
            </w:pPr>
            <w:r w:rsidRPr="00042A6C">
              <w:rPr>
                <w:sz w:val="22"/>
                <w:szCs w:val="22"/>
                <w:lang w:val="sr-Latn-ME"/>
              </w:rPr>
              <w:t>Prevencija venske tromboembolije (VTE) kod odraslih pacijenata koji se podvrgavaju elektivnoj hirurškoj intervenciji zamjene kuka ili koljena</w:t>
            </w:r>
          </w:p>
        </w:tc>
        <w:tc>
          <w:tcPr>
            <w:tcW w:w="2266" w:type="dxa"/>
            <w:tcBorders>
              <w:top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47" w:lineRule="exact"/>
              <w:ind w:left="7"/>
              <w:rPr>
                <w:sz w:val="22"/>
                <w:szCs w:val="22"/>
                <w:lang w:val="sr-Latn-ME"/>
              </w:rPr>
            </w:pPr>
            <w:r w:rsidRPr="00042A6C">
              <w:rPr>
                <w:sz w:val="22"/>
                <w:szCs w:val="22"/>
                <w:lang w:val="sr-Latn-ME"/>
              </w:rPr>
              <w:t>6097</w:t>
            </w: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47" w:lineRule="exact"/>
              <w:ind w:left="2"/>
              <w:rPr>
                <w:sz w:val="22"/>
                <w:szCs w:val="22"/>
                <w:lang w:val="sr-Latn-ME"/>
              </w:rPr>
            </w:pPr>
            <w:r w:rsidRPr="00042A6C">
              <w:rPr>
                <w:sz w:val="22"/>
                <w:szCs w:val="22"/>
                <w:lang w:val="sr-Latn-ME"/>
              </w:rPr>
              <w:t>10 mg</w:t>
            </w: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47" w:lineRule="exact"/>
              <w:ind w:left="2"/>
              <w:rPr>
                <w:sz w:val="22"/>
                <w:szCs w:val="22"/>
                <w:lang w:val="sr-Latn-ME"/>
              </w:rPr>
            </w:pPr>
            <w:r w:rsidRPr="00042A6C">
              <w:rPr>
                <w:sz w:val="22"/>
                <w:szCs w:val="22"/>
                <w:lang w:val="sr-Latn-ME"/>
              </w:rPr>
              <w:t>39 dana</w:t>
            </w:r>
          </w:p>
        </w:tc>
      </w:tr>
      <w:tr w:rsidR="00B76617" w:rsidRPr="00042A6C" w:rsidTr="00091295">
        <w:tc>
          <w:tcPr>
            <w:tcW w:w="2265" w:type="dxa"/>
            <w:tcBorders>
              <w:top w:val="single" w:sz="4" w:space="0" w:color="000000"/>
              <w:bottom w:val="single" w:sz="4" w:space="0" w:color="000000"/>
            </w:tcBorders>
          </w:tcPr>
          <w:p w:rsidR="00B76617" w:rsidRPr="00042A6C" w:rsidRDefault="00B76617" w:rsidP="00091295">
            <w:pPr>
              <w:widowControl w:val="0"/>
              <w:autoSpaceDE w:val="0"/>
              <w:autoSpaceDN w:val="0"/>
              <w:spacing w:before="1" w:line="192" w:lineRule="auto"/>
              <w:ind w:left="7" w:right="150"/>
              <w:rPr>
                <w:sz w:val="22"/>
                <w:szCs w:val="22"/>
                <w:lang w:val="sr-Latn-ME"/>
              </w:rPr>
            </w:pPr>
            <w:r w:rsidRPr="00042A6C">
              <w:rPr>
                <w:sz w:val="22"/>
                <w:szCs w:val="22"/>
                <w:lang w:val="sr-Latn-ME"/>
              </w:rPr>
              <w:t xml:space="preserve">Prevencija VTE kod hospitalizovanih </w:t>
            </w:r>
            <w:r w:rsidR="008E0DC9" w:rsidRPr="00042A6C">
              <w:rPr>
                <w:sz w:val="22"/>
                <w:szCs w:val="22"/>
                <w:lang w:val="sr-Latn-ME"/>
              </w:rPr>
              <w:t>nehirurških</w:t>
            </w:r>
          </w:p>
          <w:p w:rsidR="00B76617" w:rsidRPr="00042A6C" w:rsidRDefault="00B76617" w:rsidP="00091295">
            <w:pPr>
              <w:widowControl w:val="0"/>
              <w:autoSpaceDE w:val="0"/>
              <w:autoSpaceDN w:val="0"/>
              <w:spacing w:line="188" w:lineRule="exact"/>
              <w:ind w:left="7"/>
              <w:rPr>
                <w:sz w:val="22"/>
                <w:szCs w:val="22"/>
                <w:lang w:val="sr-Latn-ME"/>
              </w:rPr>
            </w:pPr>
            <w:r w:rsidRPr="00042A6C">
              <w:rPr>
                <w:sz w:val="22"/>
                <w:szCs w:val="22"/>
                <w:lang w:val="sr-Latn-ME"/>
              </w:rPr>
              <w:t>pacijenata</w:t>
            </w:r>
          </w:p>
        </w:tc>
        <w:tc>
          <w:tcPr>
            <w:tcW w:w="2266" w:type="dxa"/>
            <w:tcBorders>
              <w:top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14" w:lineRule="exact"/>
              <w:ind w:left="7"/>
              <w:rPr>
                <w:sz w:val="22"/>
                <w:szCs w:val="22"/>
                <w:lang w:val="sr-Latn-ME"/>
              </w:rPr>
            </w:pPr>
            <w:r w:rsidRPr="00042A6C">
              <w:rPr>
                <w:sz w:val="22"/>
                <w:szCs w:val="22"/>
                <w:lang w:val="sr-Latn-ME"/>
              </w:rPr>
              <w:t>3997</w:t>
            </w: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14" w:lineRule="exact"/>
              <w:ind w:left="2"/>
              <w:rPr>
                <w:sz w:val="22"/>
                <w:szCs w:val="22"/>
                <w:lang w:val="sr-Latn-ME"/>
              </w:rPr>
            </w:pPr>
            <w:r w:rsidRPr="00042A6C">
              <w:rPr>
                <w:sz w:val="22"/>
                <w:szCs w:val="22"/>
                <w:lang w:val="sr-Latn-ME"/>
              </w:rPr>
              <w:t>10 mg</w:t>
            </w: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14" w:lineRule="exact"/>
              <w:ind w:left="60"/>
              <w:rPr>
                <w:sz w:val="22"/>
                <w:szCs w:val="22"/>
                <w:lang w:val="sr-Latn-ME"/>
              </w:rPr>
            </w:pPr>
            <w:r w:rsidRPr="00042A6C">
              <w:rPr>
                <w:sz w:val="22"/>
                <w:szCs w:val="22"/>
                <w:lang w:val="sr-Latn-ME"/>
              </w:rPr>
              <w:t>39 dana</w:t>
            </w:r>
          </w:p>
        </w:tc>
      </w:tr>
      <w:tr w:rsidR="00B76617" w:rsidRPr="00042A6C" w:rsidTr="00091295">
        <w:tc>
          <w:tcPr>
            <w:tcW w:w="2265" w:type="dxa"/>
            <w:tcBorders>
              <w:top w:val="single" w:sz="4" w:space="0" w:color="000000"/>
              <w:bottom w:val="single" w:sz="4" w:space="0" w:color="000000"/>
            </w:tcBorders>
          </w:tcPr>
          <w:p w:rsidR="00B76617" w:rsidRPr="00042A6C" w:rsidRDefault="00B76617" w:rsidP="00091295">
            <w:pPr>
              <w:widowControl w:val="0"/>
              <w:autoSpaceDE w:val="0"/>
              <w:autoSpaceDN w:val="0"/>
              <w:spacing w:line="196" w:lineRule="auto"/>
              <w:ind w:left="7" w:right="150"/>
              <w:rPr>
                <w:sz w:val="22"/>
                <w:szCs w:val="22"/>
                <w:lang w:val="sr-Latn-ME"/>
              </w:rPr>
            </w:pPr>
            <w:r w:rsidRPr="00042A6C">
              <w:rPr>
                <w:sz w:val="22"/>
                <w:szCs w:val="22"/>
                <w:lang w:val="sr-Latn-ME"/>
              </w:rPr>
              <w:t xml:space="preserve">Terapija </w:t>
            </w:r>
            <w:r w:rsidR="00EF74D6" w:rsidRPr="00042A6C">
              <w:rPr>
                <w:sz w:val="22"/>
                <w:szCs w:val="22"/>
                <w:lang w:val="sr-Latn-ME"/>
              </w:rPr>
              <w:t>tromboze dukokih vena (</w:t>
            </w:r>
            <w:r w:rsidRPr="00042A6C">
              <w:rPr>
                <w:sz w:val="22"/>
                <w:szCs w:val="22"/>
                <w:lang w:val="sr-Latn-ME"/>
              </w:rPr>
              <w:t>TDV</w:t>
            </w:r>
            <w:r w:rsidR="00EF74D6" w:rsidRPr="00042A6C">
              <w:rPr>
                <w:sz w:val="22"/>
                <w:szCs w:val="22"/>
                <w:lang w:val="sr-Latn-ME"/>
              </w:rPr>
              <w:t>)</w:t>
            </w:r>
            <w:r w:rsidRPr="00042A6C">
              <w:rPr>
                <w:sz w:val="22"/>
                <w:szCs w:val="22"/>
                <w:lang w:val="sr-Latn-ME"/>
              </w:rPr>
              <w:t xml:space="preserve">, plućne embolije (PE) i prevencija </w:t>
            </w:r>
            <w:r w:rsidR="00EF74D6" w:rsidRPr="00042A6C">
              <w:rPr>
                <w:sz w:val="22"/>
                <w:szCs w:val="22"/>
                <w:lang w:val="sr-Latn-ME"/>
              </w:rPr>
              <w:t xml:space="preserve">njihovog </w:t>
            </w:r>
            <w:r w:rsidRPr="00042A6C">
              <w:rPr>
                <w:sz w:val="22"/>
                <w:szCs w:val="22"/>
                <w:lang w:val="sr-Latn-ME"/>
              </w:rPr>
              <w:t>recidiva</w:t>
            </w:r>
          </w:p>
        </w:tc>
        <w:tc>
          <w:tcPr>
            <w:tcW w:w="2266" w:type="dxa"/>
            <w:tcBorders>
              <w:top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14" w:lineRule="exact"/>
              <w:ind w:left="7"/>
              <w:rPr>
                <w:sz w:val="22"/>
                <w:szCs w:val="22"/>
                <w:lang w:val="sr-Latn-ME"/>
              </w:rPr>
            </w:pPr>
            <w:r w:rsidRPr="00042A6C">
              <w:rPr>
                <w:sz w:val="22"/>
                <w:szCs w:val="22"/>
                <w:lang w:val="sr-Latn-ME"/>
              </w:rPr>
              <w:t>6790</w:t>
            </w: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190" w:lineRule="exact"/>
              <w:ind w:left="2"/>
              <w:rPr>
                <w:sz w:val="22"/>
                <w:szCs w:val="22"/>
                <w:lang w:val="sr-Latn-ME"/>
              </w:rPr>
            </w:pPr>
            <w:r w:rsidRPr="00042A6C">
              <w:rPr>
                <w:sz w:val="22"/>
                <w:szCs w:val="22"/>
                <w:lang w:val="sr-Latn-ME"/>
              </w:rPr>
              <w:t>Dan 1</w:t>
            </w:r>
            <w:r w:rsidR="008E0DC9" w:rsidRPr="00042A6C">
              <w:rPr>
                <w:sz w:val="22"/>
                <w:szCs w:val="22"/>
                <w:lang w:val="sr-Latn-ME"/>
              </w:rPr>
              <w:t>.</w:t>
            </w:r>
            <w:r w:rsidRPr="00042A6C">
              <w:rPr>
                <w:sz w:val="22"/>
                <w:szCs w:val="22"/>
                <w:lang w:val="sr-Latn-ME"/>
              </w:rPr>
              <w:t xml:space="preserve"> – 21</w:t>
            </w:r>
            <w:r w:rsidR="008E0DC9" w:rsidRPr="00042A6C">
              <w:rPr>
                <w:sz w:val="22"/>
                <w:szCs w:val="22"/>
                <w:lang w:val="sr-Latn-ME"/>
              </w:rPr>
              <w:t>.</w:t>
            </w:r>
            <w:r w:rsidRPr="00042A6C">
              <w:rPr>
                <w:sz w:val="22"/>
                <w:szCs w:val="22"/>
                <w:lang w:val="sr-Latn-ME"/>
              </w:rPr>
              <w:t>: 30 mg</w:t>
            </w:r>
          </w:p>
          <w:p w:rsidR="00B76617" w:rsidRPr="00042A6C" w:rsidRDefault="00B76617" w:rsidP="00091295">
            <w:pPr>
              <w:widowControl w:val="0"/>
              <w:autoSpaceDE w:val="0"/>
              <w:autoSpaceDN w:val="0"/>
              <w:spacing w:line="204" w:lineRule="exact"/>
              <w:ind w:left="2"/>
              <w:rPr>
                <w:sz w:val="22"/>
                <w:szCs w:val="22"/>
                <w:lang w:val="sr-Latn-ME"/>
              </w:rPr>
            </w:pPr>
            <w:r w:rsidRPr="00042A6C">
              <w:rPr>
                <w:sz w:val="22"/>
                <w:szCs w:val="22"/>
                <w:lang w:val="sr-Latn-ME"/>
              </w:rPr>
              <w:t>Dan 22</w:t>
            </w:r>
            <w:r w:rsidR="008E0DC9" w:rsidRPr="00042A6C">
              <w:rPr>
                <w:sz w:val="22"/>
                <w:szCs w:val="22"/>
                <w:lang w:val="sr-Latn-ME"/>
              </w:rPr>
              <w:t>.</w:t>
            </w:r>
            <w:r w:rsidRPr="00042A6C">
              <w:rPr>
                <w:sz w:val="22"/>
                <w:szCs w:val="22"/>
                <w:lang w:val="sr-Latn-ME"/>
              </w:rPr>
              <w:t xml:space="preserve"> i dalje: 20 mg</w:t>
            </w:r>
          </w:p>
          <w:p w:rsidR="00B76617" w:rsidRPr="00042A6C" w:rsidRDefault="00B76617" w:rsidP="00091295">
            <w:pPr>
              <w:widowControl w:val="0"/>
              <w:autoSpaceDE w:val="0"/>
              <w:autoSpaceDN w:val="0"/>
              <w:spacing w:line="204" w:lineRule="exact"/>
              <w:ind w:left="2"/>
              <w:rPr>
                <w:sz w:val="22"/>
                <w:szCs w:val="22"/>
                <w:lang w:val="sr-Latn-ME"/>
              </w:rPr>
            </w:pPr>
            <w:r w:rsidRPr="00042A6C">
              <w:rPr>
                <w:sz w:val="22"/>
                <w:szCs w:val="22"/>
                <w:lang w:val="sr-Latn-ME"/>
              </w:rPr>
              <w:t>Nakon najmanje 6</w:t>
            </w:r>
          </w:p>
          <w:p w:rsidR="00B76617" w:rsidRPr="00042A6C" w:rsidRDefault="00B76617" w:rsidP="00091295">
            <w:pPr>
              <w:widowControl w:val="0"/>
              <w:autoSpaceDE w:val="0"/>
              <w:autoSpaceDN w:val="0"/>
              <w:spacing w:before="17" w:line="206" w:lineRule="exact"/>
              <w:ind w:left="2" w:right="139"/>
              <w:rPr>
                <w:sz w:val="22"/>
                <w:szCs w:val="22"/>
                <w:lang w:val="sr-Latn-ME"/>
              </w:rPr>
            </w:pPr>
            <w:r w:rsidRPr="00042A6C">
              <w:rPr>
                <w:sz w:val="22"/>
                <w:szCs w:val="22"/>
                <w:lang w:val="sr-Latn-ME"/>
              </w:rPr>
              <w:t>mjeseci: 10 mg ili 20 mg</w:t>
            </w: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14" w:lineRule="exact"/>
              <w:ind w:left="2"/>
              <w:rPr>
                <w:sz w:val="22"/>
                <w:szCs w:val="22"/>
                <w:lang w:val="sr-Latn-ME"/>
              </w:rPr>
            </w:pPr>
            <w:r w:rsidRPr="00042A6C">
              <w:rPr>
                <w:sz w:val="22"/>
                <w:szCs w:val="22"/>
                <w:lang w:val="sr-Latn-ME"/>
              </w:rPr>
              <w:t>21 mjesec</w:t>
            </w:r>
          </w:p>
        </w:tc>
      </w:tr>
      <w:tr w:rsidR="00B76617" w:rsidRPr="00042A6C" w:rsidTr="00091295">
        <w:tc>
          <w:tcPr>
            <w:tcW w:w="2265" w:type="dxa"/>
            <w:tcBorders>
              <w:top w:val="single" w:sz="4" w:space="0" w:color="000000"/>
              <w:bottom w:val="single" w:sz="4" w:space="0" w:color="000000"/>
            </w:tcBorders>
          </w:tcPr>
          <w:p w:rsidR="00B76617" w:rsidRPr="00042A6C" w:rsidRDefault="00B76617" w:rsidP="00091295">
            <w:pPr>
              <w:widowControl w:val="0"/>
              <w:autoSpaceDE w:val="0"/>
              <w:autoSpaceDN w:val="0"/>
              <w:spacing w:line="196" w:lineRule="auto"/>
              <w:rPr>
                <w:sz w:val="22"/>
                <w:szCs w:val="22"/>
                <w:lang w:val="sr-Latn-ME"/>
              </w:rPr>
            </w:pPr>
            <w:r w:rsidRPr="00042A6C">
              <w:rPr>
                <w:sz w:val="22"/>
                <w:szCs w:val="22"/>
                <w:lang w:val="sr-Latn-ME"/>
              </w:rPr>
              <w:t>Terapija VTE  i prevencija recidiva</w:t>
            </w:r>
            <w:r w:rsidR="00EF74D6" w:rsidRPr="00042A6C">
              <w:rPr>
                <w:sz w:val="22"/>
                <w:szCs w:val="22"/>
                <w:lang w:val="sr-Latn-ME"/>
              </w:rPr>
              <w:t xml:space="preserve"> VTE</w:t>
            </w:r>
            <w:r w:rsidRPr="00042A6C">
              <w:rPr>
                <w:sz w:val="22"/>
                <w:szCs w:val="22"/>
                <w:lang w:val="sr-Latn-ME"/>
              </w:rPr>
              <w:t xml:space="preserve"> kod novorođenčadi i djece uzrasta ispod 18 godina nakon početka </w:t>
            </w:r>
            <w:r w:rsidR="00EF74D6" w:rsidRPr="00042A6C">
              <w:rPr>
                <w:sz w:val="22"/>
                <w:szCs w:val="22"/>
                <w:lang w:val="sr-Latn-ME"/>
              </w:rPr>
              <w:t xml:space="preserve">primjene </w:t>
            </w:r>
            <w:r w:rsidRPr="00042A6C">
              <w:rPr>
                <w:sz w:val="22"/>
                <w:szCs w:val="22"/>
                <w:lang w:val="sr-Latn-ME"/>
              </w:rPr>
              <w:t>standardne  antikoagulacione terapije</w:t>
            </w:r>
          </w:p>
          <w:p w:rsidR="00B76617" w:rsidRPr="00042A6C" w:rsidRDefault="00B76617" w:rsidP="00091295">
            <w:pPr>
              <w:widowControl w:val="0"/>
              <w:autoSpaceDE w:val="0"/>
              <w:autoSpaceDN w:val="0"/>
              <w:spacing w:line="196" w:lineRule="auto"/>
              <w:ind w:left="7"/>
              <w:rPr>
                <w:sz w:val="22"/>
                <w:szCs w:val="22"/>
                <w:lang w:val="sr-Latn-ME"/>
              </w:rPr>
            </w:pPr>
          </w:p>
        </w:tc>
        <w:tc>
          <w:tcPr>
            <w:tcW w:w="2266" w:type="dxa"/>
            <w:tcBorders>
              <w:top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08" w:lineRule="exact"/>
              <w:ind w:left="7"/>
              <w:rPr>
                <w:sz w:val="22"/>
                <w:szCs w:val="22"/>
                <w:lang w:val="sr-Latn-ME"/>
              </w:rPr>
            </w:pPr>
            <w:r w:rsidRPr="00042A6C">
              <w:rPr>
                <w:sz w:val="22"/>
                <w:szCs w:val="22"/>
                <w:lang w:val="sr-Latn-ME"/>
              </w:rPr>
              <w:t>329</w:t>
            </w: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08" w:lineRule="exact"/>
              <w:ind w:left="2"/>
              <w:rPr>
                <w:sz w:val="22"/>
                <w:szCs w:val="22"/>
                <w:lang w:val="sr-Latn-ME"/>
              </w:rPr>
            </w:pPr>
            <w:r w:rsidRPr="00042A6C">
              <w:rPr>
                <w:sz w:val="22"/>
                <w:szCs w:val="22"/>
                <w:lang w:val="sr-Latn-ME"/>
              </w:rPr>
              <w:t xml:space="preserve">Doza prilagođena tjelesnoj </w:t>
            </w:r>
            <w:r w:rsidR="00EF74D6" w:rsidRPr="00042A6C">
              <w:rPr>
                <w:sz w:val="22"/>
                <w:szCs w:val="22"/>
                <w:lang w:val="sr-Latn-ME"/>
              </w:rPr>
              <w:t xml:space="preserve">masi </w:t>
            </w:r>
            <w:r w:rsidRPr="00042A6C">
              <w:rPr>
                <w:sz w:val="22"/>
                <w:szCs w:val="22"/>
                <w:lang w:val="sr-Latn-ME"/>
              </w:rPr>
              <w:t>radi postizanja izloženosti slične onoj zabilježenoj kod odraslih liječenih zbog DVT-a primjenom 20 mg rivaroksabana jednom dnevno</w:t>
            </w:r>
          </w:p>
          <w:p w:rsidR="00B76617" w:rsidRPr="00042A6C" w:rsidRDefault="00B76617" w:rsidP="00091295">
            <w:pPr>
              <w:widowControl w:val="0"/>
              <w:autoSpaceDE w:val="0"/>
              <w:autoSpaceDN w:val="0"/>
              <w:spacing w:line="208" w:lineRule="exact"/>
              <w:ind w:left="2"/>
              <w:rPr>
                <w:sz w:val="22"/>
                <w:szCs w:val="22"/>
                <w:lang w:val="sr-Latn-ME"/>
              </w:rPr>
            </w:pP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08" w:lineRule="exact"/>
              <w:ind w:left="2"/>
              <w:rPr>
                <w:sz w:val="22"/>
                <w:szCs w:val="22"/>
                <w:lang w:val="sr-Latn-ME"/>
              </w:rPr>
            </w:pPr>
            <w:r w:rsidRPr="00042A6C">
              <w:rPr>
                <w:sz w:val="22"/>
                <w:szCs w:val="22"/>
                <w:lang w:val="sr-Latn-ME"/>
              </w:rPr>
              <w:t>12 mjeseci</w:t>
            </w:r>
          </w:p>
        </w:tc>
      </w:tr>
      <w:tr w:rsidR="00B76617" w:rsidRPr="00042A6C" w:rsidTr="00091295">
        <w:tc>
          <w:tcPr>
            <w:tcW w:w="2265" w:type="dxa"/>
            <w:tcBorders>
              <w:top w:val="single" w:sz="4" w:space="0" w:color="000000"/>
              <w:bottom w:val="single" w:sz="4" w:space="0" w:color="000000"/>
            </w:tcBorders>
          </w:tcPr>
          <w:p w:rsidR="00B76617" w:rsidRPr="00042A6C" w:rsidRDefault="00B76617" w:rsidP="00091295">
            <w:pPr>
              <w:widowControl w:val="0"/>
              <w:autoSpaceDE w:val="0"/>
              <w:autoSpaceDN w:val="0"/>
              <w:spacing w:line="196" w:lineRule="auto"/>
              <w:ind w:left="7"/>
              <w:rPr>
                <w:sz w:val="22"/>
                <w:szCs w:val="22"/>
                <w:lang w:val="sr-Latn-ME"/>
              </w:rPr>
            </w:pPr>
            <w:r w:rsidRPr="00042A6C">
              <w:rPr>
                <w:sz w:val="22"/>
                <w:szCs w:val="22"/>
                <w:lang w:val="sr-Latn-ME"/>
              </w:rPr>
              <w:lastRenderedPageBreak/>
              <w:t>Prevencija moždanog udara i sistemske embolije kod pacijenata</w:t>
            </w:r>
          </w:p>
          <w:p w:rsidR="00B76617" w:rsidRPr="00042A6C" w:rsidRDefault="00B76617" w:rsidP="00091295">
            <w:pPr>
              <w:widowControl w:val="0"/>
              <w:autoSpaceDE w:val="0"/>
              <w:autoSpaceDN w:val="0"/>
              <w:spacing w:line="206" w:lineRule="exact"/>
              <w:ind w:left="7"/>
              <w:rPr>
                <w:sz w:val="22"/>
                <w:szCs w:val="22"/>
                <w:lang w:val="sr-Latn-ME"/>
              </w:rPr>
            </w:pPr>
            <w:r w:rsidRPr="00042A6C">
              <w:rPr>
                <w:sz w:val="22"/>
                <w:szCs w:val="22"/>
                <w:lang w:val="sr-Latn-ME"/>
              </w:rPr>
              <w:t>sa nevalvularnom atrijalnom fibrilacijom</w:t>
            </w:r>
          </w:p>
        </w:tc>
        <w:tc>
          <w:tcPr>
            <w:tcW w:w="2266" w:type="dxa"/>
            <w:tcBorders>
              <w:top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08" w:lineRule="exact"/>
              <w:ind w:left="7"/>
              <w:rPr>
                <w:sz w:val="22"/>
                <w:szCs w:val="22"/>
                <w:lang w:val="sr-Latn-ME"/>
              </w:rPr>
            </w:pPr>
            <w:r w:rsidRPr="00042A6C">
              <w:rPr>
                <w:sz w:val="22"/>
                <w:szCs w:val="22"/>
                <w:lang w:val="sr-Latn-ME"/>
              </w:rPr>
              <w:t>7750</w:t>
            </w: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08" w:lineRule="exact"/>
              <w:ind w:left="2"/>
              <w:rPr>
                <w:sz w:val="22"/>
                <w:szCs w:val="22"/>
                <w:lang w:val="sr-Latn-ME"/>
              </w:rPr>
            </w:pPr>
            <w:r w:rsidRPr="00042A6C">
              <w:rPr>
                <w:sz w:val="22"/>
                <w:szCs w:val="22"/>
                <w:lang w:val="sr-Latn-ME"/>
              </w:rPr>
              <w:t>20 mg</w:t>
            </w: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08" w:lineRule="exact"/>
              <w:ind w:left="2"/>
              <w:rPr>
                <w:sz w:val="22"/>
                <w:szCs w:val="22"/>
                <w:lang w:val="sr-Latn-ME"/>
              </w:rPr>
            </w:pPr>
            <w:r w:rsidRPr="00042A6C">
              <w:rPr>
                <w:sz w:val="22"/>
                <w:szCs w:val="22"/>
                <w:lang w:val="sr-Latn-ME"/>
              </w:rPr>
              <w:t>41 mjesec</w:t>
            </w:r>
          </w:p>
        </w:tc>
      </w:tr>
      <w:tr w:rsidR="00B76617" w:rsidRPr="00042A6C" w:rsidTr="00091295">
        <w:tc>
          <w:tcPr>
            <w:tcW w:w="2265" w:type="dxa"/>
            <w:tcBorders>
              <w:top w:val="single" w:sz="4" w:space="0" w:color="000000"/>
              <w:bottom w:val="single" w:sz="4" w:space="0" w:color="000000"/>
            </w:tcBorders>
          </w:tcPr>
          <w:p w:rsidR="00B76617" w:rsidRPr="00042A6C" w:rsidRDefault="00B76617" w:rsidP="00091295">
            <w:pPr>
              <w:widowControl w:val="0"/>
              <w:autoSpaceDE w:val="0"/>
              <w:autoSpaceDN w:val="0"/>
              <w:spacing w:line="179" w:lineRule="exact"/>
              <w:ind w:left="7"/>
              <w:rPr>
                <w:sz w:val="22"/>
                <w:szCs w:val="22"/>
                <w:lang w:val="sr-Latn-ME"/>
              </w:rPr>
            </w:pPr>
            <w:r w:rsidRPr="00042A6C">
              <w:rPr>
                <w:sz w:val="22"/>
                <w:szCs w:val="22"/>
                <w:lang w:val="sr-Latn-ME"/>
              </w:rPr>
              <w:t>Prevencija aterotrombotskih</w:t>
            </w:r>
          </w:p>
          <w:p w:rsidR="00B76617" w:rsidRPr="00042A6C" w:rsidRDefault="00B76617" w:rsidP="00091295">
            <w:pPr>
              <w:widowControl w:val="0"/>
              <w:autoSpaceDE w:val="0"/>
              <w:autoSpaceDN w:val="0"/>
              <w:spacing w:before="15" w:line="194" w:lineRule="auto"/>
              <w:ind w:left="7" w:right="150"/>
              <w:rPr>
                <w:sz w:val="22"/>
                <w:szCs w:val="22"/>
                <w:lang w:val="sr-Latn-ME"/>
              </w:rPr>
            </w:pPr>
            <w:r w:rsidRPr="00042A6C">
              <w:rPr>
                <w:sz w:val="22"/>
                <w:szCs w:val="22"/>
                <w:lang w:val="sr-Latn-ME"/>
              </w:rPr>
              <w:t>događaja kod pacijenata nakon akutnog koronarnog sindroma (AKS)</w:t>
            </w:r>
          </w:p>
        </w:tc>
        <w:tc>
          <w:tcPr>
            <w:tcW w:w="2266" w:type="dxa"/>
            <w:tcBorders>
              <w:top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02" w:lineRule="exact"/>
              <w:ind w:left="7"/>
              <w:rPr>
                <w:sz w:val="22"/>
                <w:szCs w:val="22"/>
                <w:lang w:val="sr-Latn-ME"/>
              </w:rPr>
            </w:pPr>
            <w:r w:rsidRPr="00042A6C">
              <w:rPr>
                <w:sz w:val="22"/>
                <w:szCs w:val="22"/>
                <w:lang w:val="sr-Latn-ME"/>
              </w:rPr>
              <w:t>10225</w:t>
            </w: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179" w:lineRule="exact"/>
              <w:ind w:left="2"/>
              <w:rPr>
                <w:sz w:val="22"/>
                <w:szCs w:val="22"/>
                <w:lang w:val="sr-Latn-ME"/>
              </w:rPr>
            </w:pPr>
            <w:r w:rsidRPr="00042A6C">
              <w:rPr>
                <w:sz w:val="22"/>
                <w:szCs w:val="22"/>
                <w:lang w:val="sr-Latn-ME"/>
              </w:rPr>
              <w:t>5 mg ili 10 mg,</w:t>
            </w:r>
          </w:p>
          <w:p w:rsidR="00B76617" w:rsidRPr="00042A6C" w:rsidRDefault="00EF74D6" w:rsidP="00091295">
            <w:pPr>
              <w:widowControl w:val="0"/>
              <w:autoSpaceDE w:val="0"/>
              <w:autoSpaceDN w:val="0"/>
              <w:spacing w:before="15" w:line="194" w:lineRule="auto"/>
              <w:ind w:left="2" w:right="139"/>
              <w:rPr>
                <w:sz w:val="22"/>
                <w:szCs w:val="22"/>
                <w:lang w:val="sr-Latn-ME"/>
              </w:rPr>
            </w:pPr>
            <w:r w:rsidRPr="00042A6C">
              <w:rPr>
                <w:sz w:val="22"/>
                <w:szCs w:val="22"/>
                <w:lang w:val="sr-Latn-ME"/>
              </w:rPr>
              <w:t xml:space="preserve">primijenjenih </w:t>
            </w:r>
            <w:r w:rsidR="00B76617" w:rsidRPr="00042A6C">
              <w:rPr>
                <w:sz w:val="22"/>
                <w:szCs w:val="22"/>
                <w:lang w:val="sr-Latn-ME"/>
              </w:rPr>
              <w:t>istovremeno sa ASK ili sa ASK plus klopidogrel ili</w:t>
            </w:r>
          </w:p>
          <w:p w:rsidR="00B76617" w:rsidRPr="00042A6C" w:rsidRDefault="00B76617" w:rsidP="00091295">
            <w:pPr>
              <w:widowControl w:val="0"/>
              <w:autoSpaceDE w:val="0"/>
              <w:autoSpaceDN w:val="0"/>
              <w:spacing w:line="188" w:lineRule="exact"/>
              <w:ind w:left="2"/>
              <w:rPr>
                <w:sz w:val="22"/>
                <w:szCs w:val="22"/>
                <w:lang w:val="sr-Latn-ME"/>
              </w:rPr>
            </w:pPr>
            <w:r w:rsidRPr="00042A6C">
              <w:rPr>
                <w:sz w:val="22"/>
                <w:szCs w:val="22"/>
                <w:lang w:val="sr-Latn-ME"/>
              </w:rPr>
              <w:t>tiklopidin</w:t>
            </w: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02" w:lineRule="exact"/>
              <w:ind w:left="2"/>
              <w:rPr>
                <w:sz w:val="22"/>
                <w:szCs w:val="22"/>
                <w:lang w:val="sr-Latn-ME"/>
              </w:rPr>
            </w:pPr>
            <w:r w:rsidRPr="00042A6C">
              <w:rPr>
                <w:sz w:val="22"/>
                <w:szCs w:val="22"/>
                <w:lang w:val="sr-Latn-ME"/>
              </w:rPr>
              <w:t>31 mjesec</w:t>
            </w:r>
          </w:p>
        </w:tc>
      </w:tr>
      <w:tr w:rsidR="00B76617" w:rsidRPr="00042A6C" w:rsidTr="00091295">
        <w:tc>
          <w:tcPr>
            <w:tcW w:w="2265" w:type="dxa"/>
            <w:tcBorders>
              <w:top w:val="single" w:sz="4" w:space="0" w:color="000000"/>
              <w:bottom w:val="single" w:sz="4" w:space="0" w:color="000000"/>
            </w:tcBorders>
          </w:tcPr>
          <w:p w:rsidR="00B76617" w:rsidRPr="00042A6C" w:rsidRDefault="00B76617" w:rsidP="00091295">
            <w:pPr>
              <w:widowControl w:val="0"/>
              <w:autoSpaceDE w:val="0"/>
              <w:autoSpaceDN w:val="0"/>
              <w:spacing w:line="194" w:lineRule="auto"/>
              <w:ind w:left="7" w:right="150"/>
              <w:rPr>
                <w:sz w:val="22"/>
                <w:szCs w:val="22"/>
                <w:lang w:val="sr-Latn-ME"/>
              </w:rPr>
            </w:pPr>
            <w:r w:rsidRPr="00042A6C">
              <w:rPr>
                <w:sz w:val="22"/>
                <w:szCs w:val="22"/>
                <w:lang w:val="sr-Latn-ME"/>
              </w:rPr>
              <w:t>Prevencija aterotrombotskih događaja kod pacijenata sa bolešću koronarnih arterija (BKA)/bolešću</w:t>
            </w:r>
          </w:p>
          <w:p w:rsidR="00B76617" w:rsidRPr="00042A6C" w:rsidRDefault="00B76617" w:rsidP="00091295">
            <w:pPr>
              <w:widowControl w:val="0"/>
              <w:autoSpaceDE w:val="0"/>
              <w:autoSpaceDN w:val="0"/>
              <w:spacing w:line="186" w:lineRule="exact"/>
              <w:ind w:left="7"/>
              <w:rPr>
                <w:sz w:val="22"/>
                <w:szCs w:val="22"/>
                <w:lang w:val="sr-Latn-ME"/>
              </w:rPr>
            </w:pPr>
            <w:r w:rsidRPr="00042A6C">
              <w:rPr>
                <w:sz w:val="22"/>
                <w:szCs w:val="22"/>
                <w:lang w:val="sr-Latn-ME"/>
              </w:rPr>
              <w:t>perifernih arterija(BPA)</w:t>
            </w:r>
          </w:p>
        </w:tc>
        <w:tc>
          <w:tcPr>
            <w:tcW w:w="2266" w:type="dxa"/>
            <w:tcBorders>
              <w:top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14" w:lineRule="exact"/>
              <w:ind w:left="7"/>
              <w:rPr>
                <w:sz w:val="22"/>
                <w:szCs w:val="22"/>
                <w:lang w:val="sr-Latn-ME"/>
              </w:rPr>
            </w:pPr>
            <w:r w:rsidRPr="00042A6C">
              <w:rPr>
                <w:sz w:val="22"/>
                <w:szCs w:val="22"/>
                <w:lang w:val="sr-Latn-ME"/>
              </w:rPr>
              <w:t>18244</w:t>
            </w: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194" w:lineRule="auto"/>
              <w:ind w:left="2" w:right="139"/>
              <w:rPr>
                <w:sz w:val="22"/>
                <w:szCs w:val="22"/>
                <w:lang w:val="sr-Latn-ME"/>
              </w:rPr>
            </w:pPr>
            <w:r w:rsidRPr="00042A6C">
              <w:rPr>
                <w:sz w:val="22"/>
                <w:szCs w:val="22"/>
                <w:lang w:val="sr-Latn-ME"/>
              </w:rPr>
              <w:t>5 mg primijenjeno istovremeno sa ASK ili samo rivaroksaban</w:t>
            </w:r>
          </w:p>
          <w:p w:rsidR="00B76617" w:rsidRPr="00042A6C" w:rsidRDefault="00B76617" w:rsidP="00091295">
            <w:pPr>
              <w:widowControl w:val="0"/>
              <w:autoSpaceDE w:val="0"/>
              <w:autoSpaceDN w:val="0"/>
              <w:spacing w:line="186" w:lineRule="exact"/>
              <w:ind w:left="2"/>
              <w:rPr>
                <w:sz w:val="22"/>
                <w:szCs w:val="22"/>
                <w:lang w:val="sr-Latn-ME"/>
              </w:rPr>
            </w:pPr>
            <w:r w:rsidRPr="00042A6C">
              <w:rPr>
                <w:sz w:val="22"/>
                <w:szCs w:val="22"/>
                <w:lang w:val="sr-Latn-ME"/>
              </w:rPr>
              <w:t>u dozi od 10 mg</w:t>
            </w:r>
          </w:p>
        </w:tc>
        <w:tc>
          <w:tcPr>
            <w:tcW w:w="2266" w:type="dxa"/>
            <w:tcBorders>
              <w:top w:val="single" w:sz="4" w:space="0" w:color="000000"/>
              <w:left w:val="single" w:sz="4" w:space="0" w:color="000000"/>
              <w:bottom w:val="single" w:sz="4" w:space="0" w:color="000000"/>
              <w:right w:val="single" w:sz="4" w:space="0" w:color="000000"/>
            </w:tcBorders>
          </w:tcPr>
          <w:p w:rsidR="00B76617" w:rsidRPr="00042A6C" w:rsidRDefault="00B76617" w:rsidP="00091295">
            <w:pPr>
              <w:widowControl w:val="0"/>
              <w:autoSpaceDE w:val="0"/>
              <w:autoSpaceDN w:val="0"/>
              <w:spacing w:line="214" w:lineRule="exact"/>
              <w:ind w:left="2"/>
              <w:rPr>
                <w:sz w:val="22"/>
                <w:szCs w:val="22"/>
                <w:lang w:val="sr-Latn-ME"/>
              </w:rPr>
            </w:pPr>
            <w:r w:rsidRPr="00042A6C">
              <w:rPr>
                <w:sz w:val="22"/>
                <w:szCs w:val="22"/>
                <w:lang w:val="sr-Latn-ME"/>
              </w:rPr>
              <w:t>47 mjeseci</w:t>
            </w:r>
          </w:p>
        </w:tc>
      </w:tr>
    </w:tbl>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*Pacijenti koji su primili najmanje jednu dozu rivaroksabana</w:t>
      </w:r>
    </w:p>
    <w:p w:rsidR="00B76617" w:rsidRPr="00042A6C" w:rsidRDefault="00B76617" w:rsidP="00B76617">
      <w:pPr>
        <w:tabs>
          <w:tab w:val="left" w:pos="540"/>
          <w:tab w:val="left" w:pos="569"/>
        </w:tabs>
        <w:rPr>
          <w:b/>
          <w:bCs/>
          <w:sz w:val="22"/>
          <w:szCs w:val="22"/>
          <w:lang w:val="sr-Latn-ME"/>
        </w:rPr>
      </w:pPr>
    </w:p>
    <w:p w:rsidR="00B76617" w:rsidRPr="00042A6C" w:rsidRDefault="00B76617" w:rsidP="00B76617">
      <w:pPr>
        <w:tabs>
          <w:tab w:val="left" w:pos="540"/>
          <w:tab w:val="left" w:pos="569"/>
        </w:tabs>
        <w:jc w:val="both"/>
        <w:rPr>
          <w:bCs/>
          <w:sz w:val="22"/>
          <w:szCs w:val="22"/>
          <w:lang w:val="sr-Latn-ME"/>
        </w:rPr>
      </w:pPr>
      <w:r w:rsidRPr="00042A6C">
        <w:rPr>
          <w:bCs/>
          <w:sz w:val="22"/>
          <w:szCs w:val="22"/>
          <w:lang w:val="sr-Latn-ME"/>
        </w:rPr>
        <w:t xml:space="preserve">Najčešće prijavljene neželjene reakcije kod pacijenata koji su primali rivaroksaban </w:t>
      </w:r>
      <w:r w:rsidR="00EF74D6" w:rsidRPr="00042A6C">
        <w:rPr>
          <w:bCs/>
          <w:sz w:val="22"/>
          <w:szCs w:val="22"/>
          <w:lang w:val="sr-Latn-ME"/>
        </w:rPr>
        <w:t xml:space="preserve">bile </w:t>
      </w:r>
      <w:r w:rsidRPr="00042A6C">
        <w:rPr>
          <w:bCs/>
          <w:sz w:val="22"/>
          <w:szCs w:val="22"/>
          <w:lang w:val="sr-Latn-ME"/>
        </w:rPr>
        <w:t xml:space="preserve">su krvarenja (vidjeti </w:t>
      </w:r>
      <w:r w:rsidR="008E0DC9" w:rsidRPr="00042A6C">
        <w:rPr>
          <w:bCs/>
          <w:sz w:val="22"/>
          <w:szCs w:val="22"/>
          <w:lang w:val="sr-Latn-ME"/>
        </w:rPr>
        <w:t xml:space="preserve">dio </w:t>
      </w:r>
      <w:r w:rsidRPr="00042A6C">
        <w:rPr>
          <w:bCs/>
          <w:sz w:val="22"/>
          <w:szCs w:val="22"/>
          <w:lang w:val="sr-Latn-ME"/>
        </w:rPr>
        <w:t xml:space="preserve">4.4 i </w:t>
      </w:r>
      <w:r w:rsidR="008E0DC9" w:rsidRPr="00042A6C">
        <w:rPr>
          <w:bCs/>
          <w:sz w:val="22"/>
          <w:szCs w:val="22"/>
          <w:lang w:val="sr-Latn-ME"/>
        </w:rPr>
        <w:t xml:space="preserve">dio </w:t>
      </w:r>
      <w:r w:rsidRPr="00042A6C">
        <w:rPr>
          <w:bCs/>
          <w:sz w:val="22"/>
          <w:szCs w:val="22"/>
          <w:lang w:val="sr-Latn-ME"/>
        </w:rPr>
        <w:t>„Opis odabranih neželjenih reakcija“ u nastavku) (Tabela 2). Krvarenja koja su najčešće prijavljena bila su epistaksa (4,5%) i krvarenja iz gastrointestinalnog trakta (3,8%).</w:t>
      </w:r>
    </w:p>
    <w:p w:rsidR="00B76617" w:rsidRPr="00042A6C" w:rsidRDefault="00B76617" w:rsidP="00480FB1">
      <w:pPr>
        <w:tabs>
          <w:tab w:val="left" w:pos="540"/>
          <w:tab w:val="left" w:pos="569"/>
        </w:tabs>
        <w:rPr>
          <w:b/>
          <w:bCs/>
          <w:sz w:val="22"/>
          <w:szCs w:val="22"/>
          <w:lang w:val="sr-Latn-ME"/>
        </w:rPr>
      </w:pPr>
    </w:p>
    <w:p w:rsidR="00E02EDE" w:rsidRDefault="00E02EDE" w:rsidP="00E02EDE">
      <w:pPr>
        <w:tabs>
          <w:tab w:val="left" w:pos="540"/>
          <w:tab w:val="left" w:pos="569"/>
        </w:tabs>
        <w:jc w:val="both"/>
        <w:rPr>
          <w:b/>
          <w:bCs/>
          <w:sz w:val="22"/>
          <w:szCs w:val="22"/>
          <w:lang w:val="sr-Latn-ME"/>
        </w:rPr>
      </w:pPr>
      <w:r w:rsidRPr="00042A6C">
        <w:rPr>
          <w:b/>
          <w:bCs/>
          <w:sz w:val="22"/>
          <w:szCs w:val="22"/>
          <w:lang w:val="sr-Latn-ME"/>
        </w:rPr>
        <w:t>Tabela 2: Učestalost događaja krvarenja* i anemije kod odraslih i pedijatrijskih pacijenata izloženih rivaroksabanu tokom završenih studija faze</w:t>
      </w:r>
      <w:r w:rsidR="00EF74D6" w:rsidRPr="00042A6C">
        <w:rPr>
          <w:b/>
          <w:bCs/>
          <w:sz w:val="22"/>
          <w:szCs w:val="22"/>
          <w:lang w:val="sr-Latn-ME"/>
        </w:rPr>
        <w:t xml:space="preserve"> III </w:t>
      </w:r>
    </w:p>
    <w:p w:rsidR="00F0540D" w:rsidRPr="00042A6C" w:rsidRDefault="00F0540D" w:rsidP="00E02EDE">
      <w:pPr>
        <w:tabs>
          <w:tab w:val="left" w:pos="540"/>
          <w:tab w:val="left" w:pos="569"/>
        </w:tabs>
        <w:jc w:val="both"/>
        <w:rPr>
          <w:b/>
          <w:bCs/>
          <w:sz w:val="22"/>
          <w:szCs w:val="22"/>
          <w:lang w:val="sr-Latn-ME"/>
        </w:rPr>
      </w:pPr>
    </w:p>
    <w:tbl>
      <w:tblPr>
        <w:tblStyle w:val="TableGrid"/>
        <w:tblW w:w="0" w:type="auto"/>
        <w:tblLook w:val="04A0" w:firstRow="1" w:lastRow="0" w:firstColumn="1" w:lastColumn="0" w:noHBand="0" w:noVBand="1"/>
      </w:tblPr>
      <w:tblGrid>
        <w:gridCol w:w="3021"/>
        <w:gridCol w:w="3021"/>
        <w:gridCol w:w="3021"/>
      </w:tblGrid>
      <w:tr w:rsidR="00E02EDE" w:rsidRPr="00042A6C" w:rsidTr="00091295">
        <w:tc>
          <w:tcPr>
            <w:tcW w:w="3021" w:type="dxa"/>
          </w:tcPr>
          <w:p w:rsidR="00E02EDE" w:rsidRPr="00042A6C" w:rsidRDefault="00E02EDE" w:rsidP="00091295">
            <w:pPr>
              <w:widowControl w:val="0"/>
              <w:autoSpaceDE w:val="0"/>
              <w:autoSpaceDN w:val="0"/>
              <w:spacing w:line="234" w:lineRule="exact"/>
              <w:ind w:left="110"/>
              <w:rPr>
                <w:b/>
                <w:sz w:val="22"/>
                <w:szCs w:val="22"/>
                <w:lang w:val="sr-Latn-ME"/>
              </w:rPr>
            </w:pPr>
            <w:r w:rsidRPr="00042A6C">
              <w:rPr>
                <w:b/>
                <w:sz w:val="22"/>
                <w:szCs w:val="22"/>
                <w:lang w:val="sr-Latn-ME"/>
              </w:rPr>
              <w:t>Indikacija</w:t>
            </w:r>
          </w:p>
        </w:tc>
        <w:tc>
          <w:tcPr>
            <w:tcW w:w="3021" w:type="dxa"/>
          </w:tcPr>
          <w:p w:rsidR="00E02EDE" w:rsidRPr="00042A6C" w:rsidRDefault="00E02EDE" w:rsidP="00091295">
            <w:pPr>
              <w:widowControl w:val="0"/>
              <w:autoSpaceDE w:val="0"/>
              <w:autoSpaceDN w:val="0"/>
              <w:spacing w:line="234" w:lineRule="exact"/>
              <w:ind w:left="110"/>
              <w:rPr>
                <w:b/>
                <w:sz w:val="22"/>
                <w:szCs w:val="22"/>
                <w:lang w:val="sr-Latn-ME"/>
              </w:rPr>
            </w:pPr>
            <w:r w:rsidRPr="00042A6C">
              <w:rPr>
                <w:b/>
                <w:sz w:val="22"/>
                <w:szCs w:val="22"/>
                <w:lang w:val="sr-Latn-ME"/>
              </w:rPr>
              <w:t>Bilo koje krvarenje</w:t>
            </w:r>
          </w:p>
        </w:tc>
        <w:tc>
          <w:tcPr>
            <w:tcW w:w="3021" w:type="dxa"/>
          </w:tcPr>
          <w:p w:rsidR="00E02EDE" w:rsidRPr="00042A6C" w:rsidRDefault="00E02EDE" w:rsidP="00091295">
            <w:pPr>
              <w:widowControl w:val="0"/>
              <w:autoSpaceDE w:val="0"/>
              <w:autoSpaceDN w:val="0"/>
              <w:spacing w:line="234" w:lineRule="exact"/>
              <w:ind w:left="105"/>
              <w:rPr>
                <w:b/>
                <w:sz w:val="22"/>
                <w:szCs w:val="22"/>
                <w:lang w:val="sr-Latn-ME"/>
              </w:rPr>
            </w:pPr>
            <w:r w:rsidRPr="00042A6C">
              <w:rPr>
                <w:b/>
                <w:sz w:val="22"/>
                <w:szCs w:val="22"/>
                <w:lang w:val="sr-Latn-ME"/>
              </w:rPr>
              <w:t>Anemija</w:t>
            </w:r>
          </w:p>
        </w:tc>
      </w:tr>
      <w:tr w:rsidR="00E02EDE" w:rsidRPr="00042A6C" w:rsidTr="00091295">
        <w:tc>
          <w:tcPr>
            <w:tcW w:w="3021" w:type="dxa"/>
          </w:tcPr>
          <w:p w:rsidR="00E02EDE" w:rsidRPr="00042A6C" w:rsidRDefault="00E02EDE" w:rsidP="00091295">
            <w:pPr>
              <w:widowControl w:val="0"/>
              <w:autoSpaceDE w:val="0"/>
              <w:autoSpaceDN w:val="0"/>
              <w:spacing w:line="244" w:lineRule="exact"/>
              <w:ind w:left="110"/>
              <w:rPr>
                <w:sz w:val="22"/>
                <w:szCs w:val="22"/>
                <w:lang w:val="sr-Latn-ME"/>
              </w:rPr>
            </w:pPr>
            <w:r w:rsidRPr="00042A6C">
              <w:rPr>
                <w:sz w:val="22"/>
                <w:szCs w:val="22"/>
                <w:lang w:val="sr-Latn-ME"/>
              </w:rPr>
              <w:t>Prevencija venske tromboembolije (VTE) kod</w:t>
            </w:r>
          </w:p>
          <w:p w:rsidR="00E02EDE" w:rsidRPr="00042A6C" w:rsidRDefault="00E02EDE" w:rsidP="00091295">
            <w:pPr>
              <w:widowControl w:val="0"/>
              <w:autoSpaceDE w:val="0"/>
              <w:autoSpaceDN w:val="0"/>
              <w:spacing w:before="7" w:line="250" w:lineRule="exact"/>
              <w:ind w:left="110"/>
              <w:rPr>
                <w:sz w:val="22"/>
                <w:szCs w:val="22"/>
                <w:lang w:val="sr-Latn-ME"/>
              </w:rPr>
            </w:pPr>
            <w:r w:rsidRPr="00042A6C">
              <w:rPr>
                <w:sz w:val="22"/>
                <w:szCs w:val="22"/>
                <w:lang w:val="sr-Latn-ME"/>
              </w:rPr>
              <w:t>odraslih pacijenata koji se podvrgavaju elektivnoj hirurškoj intervenciji zamjene kuka ili koljena</w:t>
            </w:r>
          </w:p>
        </w:tc>
        <w:tc>
          <w:tcPr>
            <w:tcW w:w="3021" w:type="dxa"/>
          </w:tcPr>
          <w:p w:rsidR="00E02EDE" w:rsidRPr="00042A6C" w:rsidRDefault="00E02EDE" w:rsidP="00091295">
            <w:pPr>
              <w:widowControl w:val="0"/>
              <w:autoSpaceDE w:val="0"/>
              <w:autoSpaceDN w:val="0"/>
              <w:spacing w:line="244" w:lineRule="exact"/>
              <w:ind w:left="110"/>
              <w:rPr>
                <w:sz w:val="22"/>
                <w:szCs w:val="22"/>
                <w:lang w:val="sr-Latn-ME"/>
              </w:rPr>
            </w:pPr>
            <w:r w:rsidRPr="00042A6C">
              <w:rPr>
                <w:sz w:val="22"/>
                <w:szCs w:val="22"/>
                <w:lang w:val="sr-Latn-ME"/>
              </w:rPr>
              <w:t>6,8% pacijenata</w:t>
            </w:r>
          </w:p>
        </w:tc>
        <w:tc>
          <w:tcPr>
            <w:tcW w:w="3021" w:type="dxa"/>
          </w:tcPr>
          <w:p w:rsidR="00E02EDE" w:rsidRPr="00042A6C" w:rsidRDefault="00E02EDE" w:rsidP="00091295">
            <w:pPr>
              <w:widowControl w:val="0"/>
              <w:autoSpaceDE w:val="0"/>
              <w:autoSpaceDN w:val="0"/>
              <w:spacing w:line="244" w:lineRule="exact"/>
              <w:ind w:left="105"/>
              <w:rPr>
                <w:sz w:val="22"/>
                <w:szCs w:val="22"/>
                <w:lang w:val="sr-Latn-ME"/>
              </w:rPr>
            </w:pPr>
            <w:r w:rsidRPr="00042A6C">
              <w:rPr>
                <w:sz w:val="22"/>
                <w:szCs w:val="22"/>
                <w:lang w:val="sr-Latn-ME"/>
              </w:rPr>
              <w:t>5,9% pacijenata</w:t>
            </w:r>
          </w:p>
        </w:tc>
      </w:tr>
      <w:tr w:rsidR="00E02EDE" w:rsidRPr="00042A6C" w:rsidTr="00091295">
        <w:tc>
          <w:tcPr>
            <w:tcW w:w="3021" w:type="dxa"/>
          </w:tcPr>
          <w:p w:rsidR="00E02EDE" w:rsidRPr="00042A6C" w:rsidRDefault="00E02EDE" w:rsidP="00091295">
            <w:pPr>
              <w:widowControl w:val="0"/>
              <w:autoSpaceDE w:val="0"/>
              <w:autoSpaceDN w:val="0"/>
              <w:spacing w:line="244" w:lineRule="exact"/>
              <w:ind w:left="110"/>
              <w:rPr>
                <w:sz w:val="22"/>
                <w:szCs w:val="22"/>
                <w:lang w:val="sr-Latn-ME"/>
              </w:rPr>
            </w:pPr>
            <w:r w:rsidRPr="00042A6C">
              <w:rPr>
                <w:sz w:val="22"/>
                <w:szCs w:val="22"/>
                <w:lang w:val="sr-Latn-ME"/>
              </w:rPr>
              <w:t>Prevencija venske tromboembolije kod</w:t>
            </w:r>
          </w:p>
          <w:p w:rsidR="00E02EDE" w:rsidRPr="00042A6C" w:rsidRDefault="00E02EDE" w:rsidP="00EF74D6">
            <w:pPr>
              <w:widowControl w:val="0"/>
              <w:autoSpaceDE w:val="0"/>
              <w:autoSpaceDN w:val="0"/>
              <w:spacing w:before="1" w:line="238" w:lineRule="exact"/>
              <w:ind w:left="110"/>
              <w:rPr>
                <w:sz w:val="22"/>
                <w:szCs w:val="22"/>
                <w:lang w:val="sr-Latn-ME"/>
              </w:rPr>
            </w:pPr>
            <w:r w:rsidRPr="00042A6C">
              <w:rPr>
                <w:sz w:val="22"/>
                <w:szCs w:val="22"/>
                <w:lang w:val="sr-Latn-ME"/>
              </w:rPr>
              <w:t xml:space="preserve">hospitalizovanih </w:t>
            </w:r>
            <w:r w:rsidR="00EF74D6" w:rsidRPr="00042A6C">
              <w:rPr>
                <w:sz w:val="22"/>
                <w:szCs w:val="22"/>
                <w:lang w:val="sr-Latn-ME"/>
              </w:rPr>
              <w:t xml:space="preserve">nehirurških </w:t>
            </w:r>
            <w:r w:rsidRPr="00042A6C">
              <w:rPr>
                <w:sz w:val="22"/>
                <w:szCs w:val="22"/>
                <w:lang w:val="sr-Latn-ME"/>
              </w:rPr>
              <w:t>pacijenata</w:t>
            </w:r>
          </w:p>
        </w:tc>
        <w:tc>
          <w:tcPr>
            <w:tcW w:w="3021" w:type="dxa"/>
          </w:tcPr>
          <w:p w:rsidR="00E02EDE" w:rsidRPr="00042A6C" w:rsidRDefault="00E02EDE" w:rsidP="00091295">
            <w:pPr>
              <w:widowControl w:val="0"/>
              <w:autoSpaceDE w:val="0"/>
              <w:autoSpaceDN w:val="0"/>
              <w:spacing w:line="244" w:lineRule="exact"/>
              <w:ind w:left="110"/>
              <w:rPr>
                <w:sz w:val="22"/>
                <w:szCs w:val="22"/>
                <w:lang w:val="sr-Latn-ME"/>
              </w:rPr>
            </w:pPr>
            <w:r w:rsidRPr="00042A6C">
              <w:rPr>
                <w:sz w:val="22"/>
                <w:szCs w:val="22"/>
                <w:lang w:val="sr-Latn-ME"/>
              </w:rPr>
              <w:t>12,6% pacijenata</w:t>
            </w:r>
          </w:p>
        </w:tc>
        <w:tc>
          <w:tcPr>
            <w:tcW w:w="3021" w:type="dxa"/>
          </w:tcPr>
          <w:p w:rsidR="00E02EDE" w:rsidRPr="00042A6C" w:rsidRDefault="00E02EDE" w:rsidP="00091295">
            <w:pPr>
              <w:widowControl w:val="0"/>
              <w:autoSpaceDE w:val="0"/>
              <w:autoSpaceDN w:val="0"/>
              <w:spacing w:line="244" w:lineRule="exact"/>
              <w:ind w:left="105"/>
              <w:rPr>
                <w:sz w:val="22"/>
                <w:szCs w:val="22"/>
                <w:lang w:val="sr-Latn-ME"/>
              </w:rPr>
            </w:pPr>
            <w:r w:rsidRPr="00042A6C">
              <w:rPr>
                <w:sz w:val="22"/>
                <w:szCs w:val="22"/>
                <w:lang w:val="sr-Latn-ME"/>
              </w:rPr>
              <w:t>2,1% pacijenata</w:t>
            </w:r>
          </w:p>
        </w:tc>
      </w:tr>
      <w:tr w:rsidR="00E02EDE" w:rsidRPr="00042A6C" w:rsidTr="00091295">
        <w:tc>
          <w:tcPr>
            <w:tcW w:w="3021" w:type="dxa"/>
          </w:tcPr>
          <w:p w:rsidR="00E02EDE" w:rsidRPr="00042A6C" w:rsidRDefault="00E02EDE" w:rsidP="00091295">
            <w:pPr>
              <w:widowControl w:val="0"/>
              <w:autoSpaceDE w:val="0"/>
              <w:autoSpaceDN w:val="0"/>
              <w:spacing w:line="234" w:lineRule="exact"/>
              <w:ind w:left="110"/>
              <w:rPr>
                <w:sz w:val="22"/>
                <w:szCs w:val="22"/>
                <w:lang w:val="sr-Latn-ME"/>
              </w:rPr>
            </w:pPr>
            <w:r w:rsidRPr="00042A6C">
              <w:rPr>
                <w:sz w:val="22"/>
                <w:szCs w:val="22"/>
                <w:lang w:val="sr-Latn-ME"/>
              </w:rPr>
              <w:t>Terapija TDV, PE i prevencija recidiva</w:t>
            </w:r>
          </w:p>
        </w:tc>
        <w:tc>
          <w:tcPr>
            <w:tcW w:w="3021" w:type="dxa"/>
          </w:tcPr>
          <w:p w:rsidR="00E02EDE" w:rsidRPr="00042A6C" w:rsidRDefault="00E02EDE" w:rsidP="00091295">
            <w:pPr>
              <w:widowControl w:val="0"/>
              <w:autoSpaceDE w:val="0"/>
              <w:autoSpaceDN w:val="0"/>
              <w:spacing w:line="234" w:lineRule="exact"/>
              <w:ind w:left="110"/>
              <w:rPr>
                <w:sz w:val="22"/>
                <w:szCs w:val="22"/>
                <w:lang w:val="sr-Latn-ME"/>
              </w:rPr>
            </w:pPr>
            <w:r w:rsidRPr="00042A6C">
              <w:rPr>
                <w:sz w:val="22"/>
                <w:szCs w:val="22"/>
                <w:lang w:val="sr-Latn-ME"/>
              </w:rPr>
              <w:t>23% pacijenata</w:t>
            </w:r>
          </w:p>
        </w:tc>
        <w:tc>
          <w:tcPr>
            <w:tcW w:w="3021" w:type="dxa"/>
          </w:tcPr>
          <w:p w:rsidR="00E02EDE" w:rsidRPr="00042A6C" w:rsidRDefault="00E02EDE" w:rsidP="00091295">
            <w:pPr>
              <w:widowControl w:val="0"/>
              <w:autoSpaceDE w:val="0"/>
              <w:autoSpaceDN w:val="0"/>
              <w:spacing w:line="234" w:lineRule="exact"/>
              <w:ind w:left="105"/>
              <w:rPr>
                <w:sz w:val="22"/>
                <w:szCs w:val="22"/>
                <w:lang w:val="sr-Latn-ME"/>
              </w:rPr>
            </w:pPr>
            <w:r w:rsidRPr="00042A6C">
              <w:rPr>
                <w:sz w:val="22"/>
                <w:szCs w:val="22"/>
                <w:lang w:val="sr-Latn-ME"/>
              </w:rPr>
              <w:t>1,6% pacijenata</w:t>
            </w:r>
          </w:p>
        </w:tc>
      </w:tr>
      <w:tr w:rsidR="00E02EDE" w:rsidRPr="00042A6C" w:rsidTr="00091295">
        <w:tc>
          <w:tcPr>
            <w:tcW w:w="3021" w:type="dxa"/>
          </w:tcPr>
          <w:p w:rsidR="00E02EDE" w:rsidRPr="00042A6C" w:rsidRDefault="00E02EDE" w:rsidP="00091295">
            <w:pPr>
              <w:widowControl w:val="0"/>
              <w:autoSpaceDE w:val="0"/>
              <w:autoSpaceDN w:val="0"/>
              <w:spacing w:line="242" w:lineRule="auto"/>
              <w:ind w:left="110"/>
              <w:rPr>
                <w:sz w:val="22"/>
                <w:szCs w:val="22"/>
                <w:lang w:val="sr-Latn-ME"/>
              </w:rPr>
            </w:pPr>
            <w:r w:rsidRPr="00042A6C">
              <w:rPr>
                <w:sz w:val="22"/>
                <w:szCs w:val="22"/>
                <w:lang w:val="sr-Latn-ME"/>
              </w:rPr>
              <w:t xml:space="preserve">Terapija VTE  i prevencija recidiva kod novorođenčadi i djece uzrasta ispod 18 godina nakon početka </w:t>
            </w:r>
            <w:r w:rsidR="00EF74D6" w:rsidRPr="00042A6C">
              <w:rPr>
                <w:sz w:val="22"/>
                <w:szCs w:val="22"/>
                <w:lang w:val="sr-Latn-ME"/>
              </w:rPr>
              <w:t xml:space="preserve">primjene </w:t>
            </w:r>
            <w:r w:rsidRPr="00042A6C">
              <w:rPr>
                <w:sz w:val="22"/>
                <w:szCs w:val="22"/>
                <w:lang w:val="sr-Latn-ME"/>
              </w:rPr>
              <w:t>standardne  antikoagulacione terapije</w:t>
            </w:r>
          </w:p>
          <w:p w:rsidR="00E02EDE" w:rsidRPr="00042A6C" w:rsidRDefault="00E02EDE" w:rsidP="00091295">
            <w:pPr>
              <w:widowControl w:val="0"/>
              <w:autoSpaceDE w:val="0"/>
              <w:autoSpaceDN w:val="0"/>
              <w:spacing w:line="242" w:lineRule="auto"/>
              <w:ind w:left="110"/>
              <w:rPr>
                <w:sz w:val="22"/>
                <w:szCs w:val="22"/>
                <w:lang w:val="sr-Latn-ME"/>
              </w:rPr>
            </w:pPr>
          </w:p>
        </w:tc>
        <w:tc>
          <w:tcPr>
            <w:tcW w:w="3021" w:type="dxa"/>
          </w:tcPr>
          <w:p w:rsidR="00E02EDE" w:rsidRPr="00042A6C" w:rsidRDefault="00E02EDE" w:rsidP="00091295">
            <w:pPr>
              <w:widowControl w:val="0"/>
              <w:autoSpaceDE w:val="0"/>
              <w:autoSpaceDN w:val="0"/>
              <w:spacing w:line="242" w:lineRule="auto"/>
              <w:ind w:left="110" w:right="5"/>
              <w:rPr>
                <w:sz w:val="22"/>
                <w:szCs w:val="22"/>
                <w:lang w:val="sr-Latn-ME"/>
              </w:rPr>
            </w:pPr>
            <w:r w:rsidRPr="00042A6C">
              <w:rPr>
                <w:sz w:val="22"/>
                <w:szCs w:val="22"/>
                <w:lang w:val="sr-Latn-ME"/>
              </w:rPr>
              <w:t>39,5% pacijenata</w:t>
            </w:r>
          </w:p>
        </w:tc>
        <w:tc>
          <w:tcPr>
            <w:tcW w:w="3021" w:type="dxa"/>
          </w:tcPr>
          <w:p w:rsidR="00E02EDE" w:rsidRPr="00042A6C" w:rsidRDefault="00E02EDE" w:rsidP="00091295">
            <w:pPr>
              <w:widowControl w:val="0"/>
              <w:autoSpaceDE w:val="0"/>
              <w:autoSpaceDN w:val="0"/>
              <w:spacing w:line="242" w:lineRule="auto"/>
              <w:ind w:left="105" w:right="509"/>
              <w:rPr>
                <w:sz w:val="22"/>
                <w:szCs w:val="22"/>
                <w:lang w:val="sr-Latn-ME"/>
              </w:rPr>
            </w:pPr>
            <w:r w:rsidRPr="00042A6C">
              <w:rPr>
                <w:sz w:val="22"/>
                <w:szCs w:val="22"/>
                <w:lang w:val="sr-Latn-ME"/>
              </w:rPr>
              <w:t>4,6% pacijenata</w:t>
            </w:r>
          </w:p>
        </w:tc>
      </w:tr>
      <w:tr w:rsidR="00E02EDE" w:rsidRPr="00042A6C" w:rsidTr="00091295">
        <w:tc>
          <w:tcPr>
            <w:tcW w:w="3021" w:type="dxa"/>
          </w:tcPr>
          <w:p w:rsidR="00E02EDE" w:rsidRPr="00042A6C" w:rsidRDefault="00E02EDE" w:rsidP="00091295">
            <w:pPr>
              <w:widowControl w:val="0"/>
              <w:autoSpaceDE w:val="0"/>
              <w:autoSpaceDN w:val="0"/>
              <w:spacing w:line="242" w:lineRule="auto"/>
              <w:ind w:left="110"/>
              <w:rPr>
                <w:sz w:val="22"/>
                <w:szCs w:val="22"/>
                <w:lang w:val="sr-Latn-ME"/>
              </w:rPr>
            </w:pPr>
            <w:r w:rsidRPr="00042A6C">
              <w:rPr>
                <w:sz w:val="22"/>
                <w:szCs w:val="22"/>
                <w:lang w:val="sr-Latn-ME"/>
              </w:rPr>
              <w:t>Prevencija moždanog udara i sistemske embolije kod pacijenata sa nevalvularnom atrijalnom</w:t>
            </w:r>
          </w:p>
          <w:p w:rsidR="00E02EDE" w:rsidRPr="00042A6C" w:rsidRDefault="00E02EDE" w:rsidP="00091295">
            <w:pPr>
              <w:widowControl w:val="0"/>
              <w:autoSpaceDE w:val="0"/>
              <w:autoSpaceDN w:val="0"/>
              <w:spacing w:line="236" w:lineRule="exact"/>
              <w:ind w:left="110"/>
              <w:rPr>
                <w:sz w:val="22"/>
                <w:szCs w:val="22"/>
                <w:lang w:val="sr-Latn-ME"/>
              </w:rPr>
            </w:pPr>
            <w:r w:rsidRPr="00042A6C">
              <w:rPr>
                <w:sz w:val="22"/>
                <w:szCs w:val="22"/>
                <w:lang w:val="sr-Latn-ME"/>
              </w:rPr>
              <w:t>fibrilacijom</w:t>
            </w:r>
          </w:p>
        </w:tc>
        <w:tc>
          <w:tcPr>
            <w:tcW w:w="3021" w:type="dxa"/>
          </w:tcPr>
          <w:p w:rsidR="00E02EDE" w:rsidRPr="00042A6C" w:rsidRDefault="00E02EDE" w:rsidP="00F162C4">
            <w:pPr>
              <w:widowControl w:val="0"/>
              <w:autoSpaceDE w:val="0"/>
              <w:autoSpaceDN w:val="0"/>
              <w:spacing w:line="242" w:lineRule="auto"/>
              <w:ind w:left="110" w:right="5"/>
              <w:rPr>
                <w:sz w:val="22"/>
                <w:szCs w:val="22"/>
                <w:lang w:val="sr-Latn-ME"/>
              </w:rPr>
            </w:pPr>
            <w:r w:rsidRPr="00042A6C">
              <w:rPr>
                <w:sz w:val="22"/>
                <w:szCs w:val="22"/>
                <w:lang w:val="sr-Latn-ME"/>
              </w:rPr>
              <w:t>28 na 100 pacijent</w:t>
            </w:r>
            <w:r w:rsidR="00F162C4" w:rsidRPr="00042A6C">
              <w:rPr>
                <w:sz w:val="22"/>
                <w:szCs w:val="22"/>
                <w:lang w:val="sr-Latn-ME"/>
              </w:rPr>
              <w:t>-</w:t>
            </w:r>
            <w:r w:rsidRPr="00042A6C">
              <w:rPr>
                <w:sz w:val="22"/>
                <w:szCs w:val="22"/>
                <w:lang w:val="sr-Latn-ME"/>
              </w:rPr>
              <w:t>godina</w:t>
            </w:r>
          </w:p>
        </w:tc>
        <w:tc>
          <w:tcPr>
            <w:tcW w:w="3021" w:type="dxa"/>
          </w:tcPr>
          <w:p w:rsidR="00E02EDE" w:rsidRPr="00042A6C" w:rsidRDefault="00E02EDE" w:rsidP="00F162C4">
            <w:pPr>
              <w:widowControl w:val="0"/>
              <w:autoSpaceDE w:val="0"/>
              <w:autoSpaceDN w:val="0"/>
              <w:spacing w:line="242" w:lineRule="auto"/>
              <w:ind w:left="105" w:right="509"/>
              <w:rPr>
                <w:sz w:val="22"/>
                <w:szCs w:val="22"/>
                <w:lang w:val="sr-Latn-ME"/>
              </w:rPr>
            </w:pPr>
            <w:r w:rsidRPr="00042A6C">
              <w:rPr>
                <w:sz w:val="22"/>
                <w:szCs w:val="22"/>
                <w:lang w:val="sr-Latn-ME"/>
              </w:rPr>
              <w:t>2,5 na 100 pacijent</w:t>
            </w:r>
            <w:r w:rsidR="00F162C4" w:rsidRPr="00042A6C">
              <w:rPr>
                <w:sz w:val="22"/>
                <w:szCs w:val="22"/>
                <w:lang w:val="sr-Latn-ME"/>
              </w:rPr>
              <w:t>-</w:t>
            </w:r>
            <w:r w:rsidRPr="00042A6C">
              <w:rPr>
                <w:sz w:val="22"/>
                <w:szCs w:val="22"/>
                <w:lang w:val="sr-Latn-ME"/>
              </w:rPr>
              <w:t>godina</w:t>
            </w:r>
          </w:p>
        </w:tc>
      </w:tr>
      <w:tr w:rsidR="00E02EDE" w:rsidRPr="00042A6C" w:rsidTr="00091295">
        <w:tc>
          <w:tcPr>
            <w:tcW w:w="3021" w:type="dxa"/>
          </w:tcPr>
          <w:p w:rsidR="00E02EDE" w:rsidRPr="00042A6C" w:rsidRDefault="00E02EDE" w:rsidP="00091295">
            <w:pPr>
              <w:widowControl w:val="0"/>
              <w:autoSpaceDE w:val="0"/>
              <w:autoSpaceDN w:val="0"/>
              <w:spacing w:line="244" w:lineRule="exact"/>
              <w:ind w:left="110"/>
              <w:rPr>
                <w:sz w:val="22"/>
                <w:szCs w:val="22"/>
                <w:lang w:val="sr-Latn-ME"/>
              </w:rPr>
            </w:pPr>
            <w:r w:rsidRPr="00042A6C">
              <w:rPr>
                <w:sz w:val="22"/>
                <w:szCs w:val="22"/>
                <w:lang w:val="sr-Latn-ME"/>
              </w:rPr>
              <w:t>Prevencija aterotrombotskih događaja kod</w:t>
            </w:r>
          </w:p>
          <w:p w:rsidR="00E02EDE" w:rsidRPr="00042A6C" w:rsidRDefault="00E02EDE" w:rsidP="00091295">
            <w:pPr>
              <w:widowControl w:val="0"/>
              <w:autoSpaceDE w:val="0"/>
              <w:autoSpaceDN w:val="0"/>
              <w:spacing w:before="1" w:line="243" w:lineRule="exact"/>
              <w:ind w:left="110"/>
              <w:rPr>
                <w:sz w:val="22"/>
                <w:szCs w:val="22"/>
                <w:lang w:val="sr-Latn-ME"/>
              </w:rPr>
            </w:pPr>
            <w:r w:rsidRPr="00042A6C">
              <w:rPr>
                <w:sz w:val="22"/>
                <w:szCs w:val="22"/>
                <w:lang w:val="sr-Latn-ME"/>
              </w:rPr>
              <w:t>pacijenata nakon akutnog koronarnog sindroma</w:t>
            </w:r>
          </w:p>
        </w:tc>
        <w:tc>
          <w:tcPr>
            <w:tcW w:w="3021" w:type="dxa"/>
          </w:tcPr>
          <w:p w:rsidR="00E02EDE" w:rsidRPr="00042A6C" w:rsidRDefault="00E02EDE" w:rsidP="00091295">
            <w:pPr>
              <w:widowControl w:val="0"/>
              <w:autoSpaceDE w:val="0"/>
              <w:autoSpaceDN w:val="0"/>
              <w:spacing w:before="1" w:line="243" w:lineRule="exact"/>
              <w:ind w:left="110"/>
              <w:rPr>
                <w:sz w:val="22"/>
                <w:szCs w:val="22"/>
                <w:lang w:val="sr-Latn-ME"/>
              </w:rPr>
            </w:pPr>
            <w:r w:rsidRPr="00042A6C">
              <w:rPr>
                <w:sz w:val="22"/>
                <w:szCs w:val="22"/>
                <w:lang w:val="sr-Latn-ME"/>
              </w:rPr>
              <w:t>22 na 100 pacijent</w:t>
            </w:r>
            <w:r w:rsidR="00F162C4" w:rsidRPr="00042A6C">
              <w:rPr>
                <w:sz w:val="22"/>
                <w:szCs w:val="22"/>
                <w:lang w:val="sr-Latn-ME"/>
              </w:rPr>
              <w:t>-</w:t>
            </w:r>
            <w:r w:rsidRPr="00042A6C">
              <w:rPr>
                <w:sz w:val="22"/>
                <w:szCs w:val="22"/>
                <w:lang w:val="sr-Latn-ME"/>
              </w:rPr>
              <w:t>godina</w:t>
            </w:r>
          </w:p>
        </w:tc>
        <w:tc>
          <w:tcPr>
            <w:tcW w:w="3021" w:type="dxa"/>
          </w:tcPr>
          <w:p w:rsidR="00E02EDE" w:rsidRPr="00042A6C" w:rsidRDefault="00E02EDE" w:rsidP="00091295">
            <w:pPr>
              <w:widowControl w:val="0"/>
              <w:autoSpaceDE w:val="0"/>
              <w:autoSpaceDN w:val="0"/>
              <w:spacing w:before="1" w:line="243" w:lineRule="exact"/>
              <w:ind w:left="105"/>
              <w:rPr>
                <w:sz w:val="22"/>
                <w:szCs w:val="22"/>
                <w:lang w:val="sr-Latn-ME"/>
              </w:rPr>
            </w:pPr>
            <w:r w:rsidRPr="00042A6C">
              <w:rPr>
                <w:sz w:val="22"/>
                <w:szCs w:val="22"/>
                <w:lang w:val="sr-Latn-ME"/>
              </w:rPr>
              <w:t>1,4 na 100 pacijent</w:t>
            </w:r>
            <w:r w:rsidR="00F162C4" w:rsidRPr="00042A6C">
              <w:rPr>
                <w:sz w:val="22"/>
                <w:szCs w:val="22"/>
                <w:lang w:val="sr-Latn-ME"/>
              </w:rPr>
              <w:t>-</w:t>
            </w:r>
            <w:r w:rsidRPr="00042A6C">
              <w:rPr>
                <w:sz w:val="22"/>
                <w:szCs w:val="22"/>
                <w:lang w:val="sr-Latn-ME"/>
              </w:rPr>
              <w:t>godina</w:t>
            </w:r>
          </w:p>
        </w:tc>
      </w:tr>
      <w:tr w:rsidR="00E02EDE" w:rsidRPr="00042A6C" w:rsidTr="00091295">
        <w:tc>
          <w:tcPr>
            <w:tcW w:w="3021" w:type="dxa"/>
          </w:tcPr>
          <w:p w:rsidR="00E02EDE" w:rsidRPr="00042A6C" w:rsidRDefault="00E02EDE" w:rsidP="00091295">
            <w:pPr>
              <w:widowControl w:val="0"/>
              <w:autoSpaceDE w:val="0"/>
              <w:autoSpaceDN w:val="0"/>
              <w:spacing w:line="244" w:lineRule="exact"/>
              <w:ind w:left="110"/>
              <w:rPr>
                <w:sz w:val="22"/>
                <w:szCs w:val="22"/>
                <w:lang w:val="sr-Latn-ME"/>
              </w:rPr>
            </w:pPr>
            <w:r w:rsidRPr="00042A6C">
              <w:rPr>
                <w:sz w:val="22"/>
                <w:szCs w:val="22"/>
                <w:lang w:val="sr-Latn-ME"/>
              </w:rPr>
              <w:t>Prevencija aterotrombotskih događaja kod</w:t>
            </w:r>
          </w:p>
          <w:p w:rsidR="00E02EDE" w:rsidRPr="00042A6C" w:rsidRDefault="00E02EDE" w:rsidP="00091295">
            <w:pPr>
              <w:widowControl w:val="0"/>
              <w:autoSpaceDE w:val="0"/>
              <w:autoSpaceDN w:val="0"/>
              <w:spacing w:before="7" w:line="250" w:lineRule="exact"/>
              <w:ind w:left="110"/>
              <w:rPr>
                <w:sz w:val="22"/>
                <w:szCs w:val="22"/>
                <w:lang w:val="sr-Latn-ME"/>
              </w:rPr>
            </w:pPr>
            <w:r w:rsidRPr="00042A6C">
              <w:rPr>
                <w:sz w:val="22"/>
                <w:szCs w:val="22"/>
                <w:lang w:val="sr-Latn-ME"/>
              </w:rPr>
              <w:t xml:space="preserve">pacijenata sa bolešću </w:t>
            </w:r>
            <w:r w:rsidRPr="00042A6C">
              <w:rPr>
                <w:sz w:val="22"/>
                <w:szCs w:val="22"/>
                <w:lang w:val="sr-Latn-ME"/>
              </w:rPr>
              <w:lastRenderedPageBreak/>
              <w:t>koronarnih arterija/bolešću perifernih arterija</w:t>
            </w:r>
          </w:p>
        </w:tc>
        <w:tc>
          <w:tcPr>
            <w:tcW w:w="3021" w:type="dxa"/>
          </w:tcPr>
          <w:p w:rsidR="00E02EDE" w:rsidRPr="00042A6C" w:rsidRDefault="00E02EDE" w:rsidP="00F162C4">
            <w:pPr>
              <w:widowControl w:val="0"/>
              <w:autoSpaceDE w:val="0"/>
              <w:autoSpaceDN w:val="0"/>
              <w:spacing w:line="242" w:lineRule="auto"/>
              <w:ind w:left="110"/>
              <w:rPr>
                <w:sz w:val="22"/>
                <w:szCs w:val="22"/>
                <w:lang w:val="sr-Latn-ME"/>
              </w:rPr>
            </w:pPr>
            <w:r w:rsidRPr="00042A6C">
              <w:rPr>
                <w:sz w:val="22"/>
                <w:szCs w:val="22"/>
                <w:lang w:val="sr-Latn-ME"/>
              </w:rPr>
              <w:lastRenderedPageBreak/>
              <w:t>6,7 na 100 pacijent</w:t>
            </w:r>
            <w:r w:rsidR="00F162C4" w:rsidRPr="00042A6C">
              <w:rPr>
                <w:sz w:val="22"/>
                <w:szCs w:val="22"/>
                <w:lang w:val="sr-Latn-ME"/>
              </w:rPr>
              <w:t>-</w:t>
            </w:r>
            <w:r w:rsidRPr="00042A6C">
              <w:rPr>
                <w:sz w:val="22"/>
                <w:szCs w:val="22"/>
                <w:lang w:val="sr-Latn-ME"/>
              </w:rPr>
              <w:t>godina</w:t>
            </w:r>
          </w:p>
        </w:tc>
        <w:tc>
          <w:tcPr>
            <w:tcW w:w="3021" w:type="dxa"/>
          </w:tcPr>
          <w:p w:rsidR="00E02EDE" w:rsidRPr="00042A6C" w:rsidRDefault="00E02EDE" w:rsidP="00F162C4">
            <w:pPr>
              <w:widowControl w:val="0"/>
              <w:autoSpaceDE w:val="0"/>
              <w:autoSpaceDN w:val="0"/>
              <w:spacing w:line="242" w:lineRule="auto"/>
              <w:ind w:left="105" w:right="399"/>
              <w:rPr>
                <w:sz w:val="22"/>
                <w:szCs w:val="22"/>
                <w:lang w:val="sr-Latn-ME"/>
              </w:rPr>
            </w:pPr>
            <w:r w:rsidRPr="00042A6C">
              <w:rPr>
                <w:sz w:val="22"/>
                <w:szCs w:val="22"/>
                <w:lang w:val="sr-Latn-ME"/>
              </w:rPr>
              <w:t>0,15 na 100 pacijent</w:t>
            </w:r>
            <w:r w:rsidR="00F162C4" w:rsidRPr="00042A6C">
              <w:rPr>
                <w:sz w:val="22"/>
                <w:szCs w:val="22"/>
                <w:lang w:val="sr-Latn-ME"/>
              </w:rPr>
              <w:t>-</w:t>
            </w:r>
            <w:r w:rsidRPr="00042A6C">
              <w:rPr>
                <w:sz w:val="22"/>
                <w:szCs w:val="22"/>
                <w:lang w:val="sr-Latn-ME"/>
              </w:rPr>
              <w:t>godina**</w:t>
            </w:r>
          </w:p>
        </w:tc>
      </w:tr>
    </w:tbl>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 Za sve studije rivaroksabana svi događaji krvarenja se prikupljaju, prijavljuju i procjenjuju.</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 U COMPASS studiji postoji mala učestalost anemije</w:t>
      </w:r>
      <w:r w:rsidR="00EF74D6" w:rsidRPr="00042A6C">
        <w:rPr>
          <w:bCs/>
          <w:sz w:val="22"/>
          <w:szCs w:val="22"/>
          <w:lang w:val="sr-Latn-ME"/>
        </w:rPr>
        <w:t>,</w:t>
      </w:r>
      <w:r w:rsidRPr="00042A6C">
        <w:rPr>
          <w:bCs/>
          <w:sz w:val="22"/>
          <w:szCs w:val="22"/>
          <w:lang w:val="sr-Latn-ME"/>
        </w:rPr>
        <w:t xml:space="preserve"> jer je primijenjen selektivni pristup prikupljanju neželjenih događaja.</w:t>
      </w:r>
    </w:p>
    <w:p w:rsidR="00E02EDE" w:rsidRPr="00042A6C" w:rsidRDefault="00E02EDE" w:rsidP="00E02EDE">
      <w:pPr>
        <w:tabs>
          <w:tab w:val="left" w:pos="540"/>
          <w:tab w:val="left" w:pos="569"/>
        </w:tabs>
        <w:jc w:val="both"/>
        <w:rPr>
          <w:bCs/>
          <w:sz w:val="22"/>
          <w:szCs w:val="22"/>
          <w:lang w:val="sr-Latn-ME"/>
        </w:rPr>
      </w:pPr>
    </w:p>
    <w:p w:rsidR="00E02EDE" w:rsidRPr="00042A6C" w:rsidRDefault="00E02EDE" w:rsidP="00E02EDE">
      <w:pPr>
        <w:tabs>
          <w:tab w:val="left" w:pos="540"/>
          <w:tab w:val="left" w:pos="569"/>
        </w:tabs>
        <w:jc w:val="both"/>
        <w:rPr>
          <w:bCs/>
          <w:sz w:val="22"/>
          <w:szCs w:val="22"/>
          <w:u w:val="single"/>
          <w:lang w:val="sr-Latn-ME"/>
        </w:rPr>
      </w:pPr>
      <w:r w:rsidRPr="00042A6C">
        <w:rPr>
          <w:bCs/>
          <w:sz w:val="22"/>
          <w:szCs w:val="22"/>
          <w:u w:val="single"/>
          <w:lang w:val="sr-Latn-ME"/>
        </w:rPr>
        <w:t>Tabelarni prikaz neželjenih dejstava</w:t>
      </w:r>
    </w:p>
    <w:p w:rsidR="00E02EDE" w:rsidRPr="00042A6C" w:rsidRDefault="00E02EDE" w:rsidP="00E02EDE">
      <w:pPr>
        <w:tabs>
          <w:tab w:val="left" w:pos="540"/>
          <w:tab w:val="left" w:pos="569"/>
        </w:tabs>
        <w:jc w:val="both"/>
        <w:rPr>
          <w:bCs/>
          <w:sz w:val="22"/>
          <w:szCs w:val="22"/>
          <w:lang w:val="sr-Latn-ME"/>
        </w:rPr>
      </w:pP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Učestalosti neželjenih dejstava prijavljenih na rivaroksaban</w:t>
      </w:r>
      <w:r w:rsidR="00E33413" w:rsidRPr="00042A6C">
        <w:rPr>
          <w:bCs/>
          <w:sz w:val="22"/>
          <w:szCs w:val="22"/>
          <w:lang w:val="sr-Latn-ME"/>
        </w:rPr>
        <w:t xml:space="preserve"> kod odraslih i pedijatrijskih pacijenata</w:t>
      </w:r>
      <w:r w:rsidRPr="00042A6C">
        <w:rPr>
          <w:bCs/>
          <w:sz w:val="22"/>
          <w:szCs w:val="22"/>
          <w:lang w:val="sr-Latn-ME"/>
        </w:rPr>
        <w:t xml:space="preserve"> su prikazane u Tabeli 3 u nastavku prema klasi sistema organa (MedDRA), kao i prema učestalosti.</w:t>
      </w:r>
    </w:p>
    <w:p w:rsidR="00E02EDE" w:rsidRPr="00042A6C" w:rsidRDefault="00E02EDE" w:rsidP="00E02EDE">
      <w:pPr>
        <w:tabs>
          <w:tab w:val="left" w:pos="540"/>
          <w:tab w:val="left" w:pos="569"/>
        </w:tabs>
        <w:jc w:val="both"/>
        <w:rPr>
          <w:bCs/>
          <w:sz w:val="22"/>
          <w:szCs w:val="22"/>
          <w:lang w:val="sr-Latn-ME"/>
        </w:rPr>
      </w:pP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Učestalost je definisana na sljedeći način:</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 xml:space="preserve">Veoma često: (≥ 1/10) </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Često: (≥1/100 do 1/10)</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 xml:space="preserve">Povremeno: (≥1/1000 do 1/100) </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 xml:space="preserve">Rijetko: (≥1/10000 do 1/1000) </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Veoma rijetko: (&lt; 1/10000)</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Nepoznato: ne može se procijeniti na osnovu dostupnih podataka</w:t>
      </w:r>
    </w:p>
    <w:p w:rsidR="00E02EDE" w:rsidRPr="00042A6C" w:rsidRDefault="00E02EDE" w:rsidP="00E02EDE">
      <w:pPr>
        <w:tabs>
          <w:tab w:val="left" w:pos="540"/>
          <w:tab w:val="left" w:pos="569"/>
        </w:tabs>
        <w:jc w:val="both"/>
        <w:rPr>
          <w:bCs/>
          <w:sz w:val="22"/>
          <w:szCs w:val="22"/>
          <w:lang w:val="sr-Latn-ME"/>
        </w:rPr>
      </w:pPr>
    </w:p>
    <w:p w:rsidR="00E02EDE" w:rsidRPr="00042A6C" w:rsidRDefault="00E02EDE" w:rsidP="00E02EDE">
      <w:pPr>
        <w:tabs>
          <w:tab w:val="left" w:pos="540"/>
          <w:tab w:val="left" w:pos="569"/>
        </w:tabs>
        <w:jc w:val="both"/>
        <w:rPr>
          <w:b/>
          <w:bCs/>
          <w:sz w:val="22"/>
          <w:szCs w:val="22"/>
          <w:lang w:val="sr-Latn-ME"/>
        </w:rPr>
      </w:pPr>
      <w:r w:rsidRPr="00042A6C">
        <w:rPr>
          <w:b/>
          <w:bCs/>
          <w:sz w:val="22"/>
          <w:szCs w:val="22"/>
          <w:lang w:val="sr-Latn-ME"/>
        </w:rPr>
        <w:t>Tabela 3: Sve neželjene reakcije prijavljene kod odraslih pacijenata uključenih u studije faze III ili tokom primjene nakon stavljanja lijeka u promet*</w:t>
      </w:r>
      <w:r w:rsidR="00F162C4" w:rsidRPr="00042A6C">
        <w:rPr>
          <w:b/>
          <w:bCs/>
          <w:sz w:val="22"/>
          <w:szCs w:val="22"/>
          <w:lang w:val="sr-Latn-ME"/>
        </w:rPr>
        <w:t>,</w:t>
      </w:r>
      <w:r w:rsidRPr="00042A6C">
        <w:rPr>
          <w:b/>
          <w:bCs/>
          <w:sz w:val="22"/>
          <w:szCs w:val="22"/>
          <w:lang w:val="sr-Latn-ME"/>
        </w:rPr>
        <w:t xml:space="preserve"> kao i kod pedijatrijskih pacijenata uključenih u dvije studije faze II i jednu studiju faze III</w:t>
      </w:r>
    </w:p>
    <w:tbl>
      <w:tblPr>
        <w:tblStyle w:val="TableGrid"/>
        <w:tblW w:w="0" w:type="auto"/>
        <w:tblInd w:w="2" w:type="dxa"/>
        <w:tblLook w:val="04A0" w:firstRow="1" w:lastRow="0" w:firstColumn="1" w:lastColumn="0" w:noHBand="0" w:noVBand="1"/>
      </w:tblPr>
      <w:tblGrid>
        <w:gridCol w:w="1952"/>
        <w:gridCol w:w="1817"/>
        <w:gridCol w:w="1849"/>
        <w:gridCol w:w="1805"/>
        <w:gridCol w:w="1640"/>
      </w:tblGrid>
      <w:tr w:rsidR="00E02EDE" w:rsidRPr="00042A6C" w:rsidTr="00091295">
        <w:tc>
          <w:tcPr>
            <w:tcW w:w="1952" w:type="dxa"/>
            <w:tcBorders>
              <w:left w:val="single" w:sz="2" w:space="0" w:color="000000"/>
            </w:tcBorders>
            <w:shd w:val="clear" w:color="auto" w:fill="B3B3B3"/>
          </w:tcPr>
          <w:p w:rsidR="00E02EDE" w:rsidRPr="00042A6C" w:rsidRDefault="00E02EDE" w:rsidP="00091295">
            <w:pPr>
              <w:widowControl w:val="0"/>
              <w:autoSpaceDE w:val="0"/>
              <w:autoSpaceDN w:val="0"/>
              <w:spacing w:line="225" w:lineRule="exact"/>
              <w:ind w:left="2"/>
              <w:jc w:val="center"/>
              <w:rPr>
                <w:b/>
                <w:w w:val="105"/>
                <w:sz w:val="22"/>
                <w:szCs w:val="22"/>
                <w:lang w:val="sr-Latn-ME"/>
              </w:rPr>
            </w:pPr>
            <w:r w:rsidRPr="00042A6C">
              <w:rPr>
                <w:b/>
                <w:w w:val="105"/>
                <w:sz w:val="22"/>
                <w:szCs w:val="22"/>
                <w:lang w:val="sr-Latn-ME"/>
              </w:rPr>
              <w:t>Često</w:t>
            </w:r>
          </w:p>
        </w:tc>
        <w:tc>
          <w:tcPr>
            <w:tcW w:w="1817" w:type="dxa"/>
            <w:shd w:val="clear" w:color="auto" w:fill="B3B3B3"/>
          </w:tcPr>
          <w:p w:rsidR="00E02EDE" w:rsidRPr="00042A6C" w:rsidRDefault="00E02EDE" w:rsidP="00091295">
            <w:pPr>
              <w:widowControl w:val="0"/>
              <w:autoSpaceDE w:val="0"/>
              <w:autoSpaceDN w:val="0"/>
              <w:spacing w:line="225" w:lineRule="exact"/>
              <w:ind w:left="2"/>
              <w:jc w:val="center"/>
              <w:rPr>
                <w:b/>
                <w:sz w:val="22"/>
                <w:szCs w:val="22"/>
                <w:lang w:val="sr-Latn-ME"/>
              </w:rPr>
            </w:pPr>
            <w:r w:rsidRPr="00042A6C">
              <w:rPr>
                <w:b/>
                <w:w w:val="105"/>
                <w:sz w:val="22"/>
                <w:szCs w:val="22"/>
                <w:lang w:val="sr-Latn-ME"/>
              </w:rPr>
              <w:t>Povremeno</w:t>
            </w:r>
          </w:p>
        </w:tc>
        <w:tc>
          <w:tcPr>
            <w:tcW w:w="1849" w:type="dxa"/>
            <w:shd w:val="clear" w:color="auto" w:fill="B3B3B3"/>
          </w:tcPr>
          <w:p w:rsidR="00E02EDE" w:rsidRPr="00042A6C" w:rsidRDefault="00E02EDE" w:rsidP="00091295">
            <w:pPr>
              <w:widowControl w:val="0"/>
              <w:autoSpaceDE w:val="0"/>
              <w:autoSpaceDN w:val="0"/>
              <w:spacing w:line="225" w:lineRule="exact"/>
              <w:ind w:left="1"/>
              <w:jc w:val="center"/>
              <w:rPr>
                <w:b/>
                <w:sz w:val="22"/>
                <w:szCs w:val="22"/>
                <w:lang w:val="sr-Latn-ME"/>
              </w:rPr>
            </w:pPr>
            <w:r w:rsidRPr="00042A6C">
              <w:rPr>
                <w:b/>
                <w:w w:val="105"/>
                <w:sz w:val="22"/>
                <w:szCs w:val="22"/>
                <w:lang w:val="sr-Latn-ME"/>
              </w:rPr>
              <w:t>Rijetko</w:t>
            </w:r>
          </w:p>
        </w:tc>
        <w:tc>
          <w:tcPr>
            <w:tcW w:w="1805" w:type="dxa"/>
            <w:shd w:val="clear" w:color="auto" w:fill="B3B3B3"/>
          </w:tcPr>
          <w:p w:rsidR="00E02EDE" w:rsidRPr="00042A6C" w:rsidRDefault="00E02EDE" w:rsidP="00091295">
            <w:pPr>
              <w:widowControl w:val="0"/>
              <w:autoSpaceDE w:val="0"/>
              <w:autoSpaceDN w:val="0"/>
              <w:spacing w:line="225" w:lineRule="exact"/>
              <w:ind w:left="1"/>
              <w:jc w:val="center"/>
              <w:rPr>
                <w:b/>
                <w:sz w:val="22"/>
                <w:szCs w:val="22"/>
                <w:lang w:val="sr-Latn-ME"/>
              </w:rPr>
            </w:pPr>
            <w:r w:rsidRPr="00042A6C">
              <w:rPr>
                <w:b/>
                <w:w w:val="105"/>
                <w:sz w:val="22"/>
                <w:szCs w:val="22"/>
                <w:lang w:val="sr-Latn-ME"/>
              </w:rPr>
              <w:t>Veoma rijetko</w:t>
            </w:r>
          </w:p>
        </w:tc>
        <w:tc>
          <w:tcPr>
            <w:tcW w:w="1640" w:type="dxa"/>
            <w:shd w:val="clear" w:color="auto" w:fill="B3B3B3"/>
          </w:tcPr>
          <w:p w:rsidR="00E02EDE" w:rsidRPr="00042A6C" w:rsidRDefault="00E02EDE" w:rsidP="00091295">
            <w:pPr>
              <w:widowControl w:val="0"/>
              <w:autoSpaceDE w:val="0"/>
              <w:autoSpaceDN w:val="0"/>
              <w:spacing w:before="12" w:line="206" w:lineRule="exact"/>
              <w:ind w:left="1" w:right="141"/>
              <w:jc w:val="center"/>
              <w:rPr>
                <w:b/>
                <w:sz w:val="22"/>
                <w:szCs w:val="22"/>
                <w:lang w:val="sr-Latn-ME"/>
              </w:rPr>
            </w:pPr>
            <w:r w:rsidRPr="00042A6C">
              <w:rPr>
                <w:b/>
                <w:w w:val="105"/>
                <w:sz w:val="22"/>
                <w:szCs w:val="22"/>
                <w:lang w:val="sr-Latn-ME"/>
              </w:rPr>
              <w:t>Nepoznato</w:t>
            </w:r>
          </w:p>
        </w:tc>
      </w:tr>
      <w:tr w:rsidR="00E02EDE" w:rsidRPr="00042A6C" w:rsidTr="00091295">
        <w:tc>
          <w:tcPr>
            <w:tcW w:w="9063" w:type="dxa"/>
            <w:gridSpan w:val="5"/>
          </w:tcPr>
          <w:p w:rsidR="00E02EDE" w:rsidRPr="00042A6C" w:rsidRDefault="00E02EDE" w:rsidP="00091295">
            <w:pPr>
              <w:tabs>
                <w:tab w:val="left" w:pos="0"/>
              </w:tabs>
              <w:rPr>
                <w:b/>
                <w:bCs/>
                <w:sz w:val="22"/>
                <w:szCs w:val="22"/>
                <w:lang w:val="sr-Latn-ME"/>
              </w:rPr>
            </w:pPr>
            <w:r w:rsidRPr="00042A6C">
              <w:rPr>
                <w:b/>
                <w:bCs/>
                <w:sz w:val="22"/>
                <w:szCs w:val="22"/>
                <w:lang w:val="sr-Latn-ME"/>
              </w:rPr>
              <w:t>Poremećaji krvi i limfnog sistema</w:t>
            </w:r>
          </w:p>
        </w:tc>
      </w:tr>
      <w:tr w:rsidR="00E02EDE" w:rsidRPr="00042A6C" w:rsidTr="00091295">
        <w:tc>
          <w:tcPr>
            <w:tcW w:w="1952" w:type="dxa"/>
            <w:tcBorders>
              <w:left w:val="single" w:sz="2" w:space="0" w:color="000000"/>
            </w:tcBorders>
          </w:tcPr>
          <w:p w:rsidR="00E02EDE" w:rsidRPr="00042A6C" w:rsidRDefault="00E02EDE" w:rsidP="00091295">
            <w:pPr>
              <w:widowControl w:val="0"/>
              <w:autoSpaceDE w:val="0"/>
              <w:autoSpaceDN w:val="0"/>
              <w:spacing w:line="247" w:lineRule="auto"/>
              <w:ind w:left="2" w:right="42"/>
              <w:rPr>
                <w:spacing w:val="6"/>
                <w:sz w:val="22"/>
                <w:szCs w:val="22"/>
                <w:lang w:val="sr-Latn-ME"/>
              </w:rPr>
            </w:pPr>
            <w:r w:rsidRPr="00042A6C">
              <w:rPr>
                <w:sz w:val="22"/>
                <w:szCs w:val="22"/>
                <w:lang w:val="sr-Latn-ME"/>
              </w:rPr>
              <w:t>Anemija (uključujući odgovarajuće laboratorijske parametre)</w:t>
            </w:r>
          </w:p>
        </w:tc>
        <w:tc>
          <w:tcPr>
            <w:tcW w:w="1817" w:type="dxa"/>
          </w:tcPr>
          <w:p w:rsidR="00E02EDE" w:rsidRPr="00042A6C" w:rsidRDefault="00E02EDE" w:rsidP="00091295">
            <w:pPr>
              <w:widowControl w:val="0"/>
              <w:autoSpaceDE w:val="0"/>
              <w:autoSpaceDN w:val="0"/>
              <w:spacing w:line="247" w:lineRule="auto"/>
              <w:ind w:left="2" w:right="42"/>
              <w:rPr>
                <w:sz w:val="22"/>
                <w:szCs w:val="22"/>
                <w:lang w:val="sr-Latn-ME"/>
              </w:rPr>
            </w:pPr>
            <w:r w:rsidRPr="00042A6C">
              <w:rPr>
                <w:spacing w:val="6"/>
                <w:sz w:val="22"/>
                <w:szCs w:val="22"/>
                <w:lang w:val="sr-Latn-ME"/>
              </w:rPr>
              <w:t xml:space="preserve">Trombocitoza </w:t>
            </w:r>
            <w:r w:rsidRPr="00042A6C">
              <w:rPr>
                <w:spacing w:val="5"/>
                <w:sz w:val="22"/>
                <w:szCs w:val="22"/>
                <w:lang w:val="sr-Latn-ME"/>
              </w:rPr>
              <w:t>(uključujući</w:t>
            </w:r>
            <w:r w:rsidRPr="00042A6C">
              <w:rPr>
                <w:spacing w:val="-11"/>
                <w:sz w:val="22"/>
                <w:szCs w:val="22"/>
                <w:lang w:val="sr-Latn-ME"/>
              </w:rPr>
              <w:t xml:space="preserve"> </w:t>
            </w:r>
            <w:r w:rsidRPr="00042A6C">
              <w:rPr>
                <w:spacing w:val="4"/>
                <w:sz w:val="22"/>
                <w:szCs w:val="22"/>
                <w:lang w:val="sr-Latn-ME"/>
              </w:rPr>
              <w:t>povećan broj</w:t>
            </w:r>
            <w:r w:rsidRPr="00042A6C">
              <w:rPr>
                <w:spacing w:val="8"/>
                <w:sz w:val="22"/>
                <w:szCs w:val="22"/>
                <w:lang w:val="sr-Latn-ME"/>
              </w:rPr>
              <w:t xml:space="preserve"> </w:t>
            </w:r>
            <w:r w:rsidRPr="00042A6C">
              <w:rPr>
                <w:spacing w:val="4"/>
                <w:sz w:val="22"/>
                <w:szCs w:val="22"/>
                <w:lang w:val="sr-Latn-ME"/>
              </w:rPr>
              <w:t>trombocita)</w:t>
            </w:r>
            <w:r w:rsidRPr="00042A6C">
              <w:rPr>
                <w:spacing w:val="4"/>
                <w:sz w:val="22"/>
                <w:szCs w:val="22"/>
                <w:vertAlign w:val="superscript"/>
                <w:lang w:val="sr-Latn-ME"/>
              </w:rPr>
              <w:t>A</w:t>
            </w:r>
            <w:r w:rsidRPr="00042A6C">
              <w:rPr>
                <w:spacing w:val="4"/>
                <w:sz w:val="22"/>
                <w:szCs w:val="22"/>
                <w:lang w:val="sr-Latn-ME"/>
              </w:rPr>
              <w:t>,</w:t>
            </w:r>
          </w:p>
          <w:p w:rsidR="00E02EDE" w:rsidRPr="00042A6C" w:rsidRDefault="00E02EDE" w:rsidP="00091295">
            <w:pPr>
              <w:widowControl w:val="0"/>
              <w:autoSpaceDE w:val="0"/>
              <w:autoSpaceDN w:val="0"/>
              <w:spacing w:line="248" w:lineRule="exact"/>
              <w:ind w:left="2"/>
              <w:rPr>
                <w:sz w:val="22"/>
                <w:szCs w:val="22"/>
                <w:lang w:val="sr-Latn-ME"/>
              </w:rPr>
            </w:pPr>
            <w:r w:rsidRPr="00042A6C">
              <w:rPr>
                <w:spacing w:val="6"/>
                <w:sz w:val="22"/>
                <w:szCs w:val="22"/>
                <w:lang w:val="sr-Latn-ME"/>
              </w:rPr>
              <w:t>trombocitopenija</w:t>
            </w:r>
          </w:p>
        </w:tc>
        <w:tc>
          <w:tcPr>
            <w:tcW w:w="1849" w:type="dxa"/>
          </w:tcPr>
          <w:p w:rsidR="00E02EDE" w:rsidRPr="00042A6C" w:rsidRDefault="00E02EDE" w:rsidP="00091295">
            <w:pPr>
              <w:tabs>
                <w:tab w:val="left" w:pos="540"/>
                <w:tab w:val="left" w:pos="569"/>
              </w:tabs>
              <w:rPr>
                <w:b/>
                <w:bCs/>
                <w:sz w:val="22"/>
                <w:szCs w:val="22"/>
                <w:lang w:val="sr-Latn-ME"/>
              </w:rPr>
            </w:pPr>
          </w:p>
        </w:tc>
        <w:tc>
          <w:tcPr>
            <w:tcW w:w="1805" w:type="dxa"/>
          </w:tcPr>
          <w:p w:rsidR="00E02EDE" w:rsidRPr="00042A6C" w:rsidRDefault="00E02EDE" w:rsidP="00091295">
            <w:pPr>
              <w:tabs>
                <w:tab w:val="left" w:pos="540"/>
                <w:tab w:val="left" w:pos="569"/>
              </w:tabs>
              <w:rPr>
                <w:b/>
                <w:bCs/>
                <w:sz w:val="22"/>
                <w:szCs w:val="22"/>
                <w:lang w:val="sr-Latn-ME"/>
              </w:rPr>
            </w:pPr>
          </w:p>
        </w:tc>
        <w:tc>
          <w:tcPr>
            <w:tcW w:w="1640" w:type="dxa"/>
          </w:tcPr>
          <w:p w:rsidR="00E02EDE" w:rsidRPr="00042A6C" w:rsidRDefault="00E02EDE" w:rsidP="00091295">
            <w:pPr>
              <w:tabs>
                <w:tab w:val="left" w:pos="540"/>
                <w:tab w:val="left" w:pos="569"/>
              </w:tabs>
              <w:rPr>
                <w:b/>
                <w:bCs/>
                <w:sz w:val="22"/>
                <w:szCs w:val="22"/>
                <w:lang w:val="sr-Latn-ME"/>
              </w:rPr>
            </w:pPr>
          </w:p>
        </w:tc>
      </w:tr>
      <w:tr w:rsidR="00E02EDE" w:rsidRPr="00042A6C" w:rsidTr="00091295">
        <w:tc>
          <w:tcPr>
            <w:tcW w:w="9063" w:type="dxa"/>
            <w:gridSpan w:val="5"/>
          </w:tcPr>
          <w:p w:rsidR="00E02EDE" w:rsidRPr="00042A6C" w:rsidRDefault="00E02EDE" w:rsidP="00F162C4">
            <w:pPr>
              <w:tabs>
                <w:tab w:val="left" w:pos="540"/>
                <w:tab w:val="left" w:pos="569"/>
              </w:tabs>
              <w:rPr>
                <w:b/>
                <w:bCs/>
                <w:sz w:val="22"/>
                <w:szCs w:val="22"/>
                <w:lang w:val="sr-Latn-ME"/>
              </w:rPr>
            </w:pPr>
            <w:r w:rsidRPr="00042A6C">
              <w:rPr>
                <w:b/>
                <w:bCs/>
                <w:sz w:val="22"/>
                <w:szCs w:val="22"/>
                <w:lang w:val="sr-Latn-ME"/>
              </w:rPr>
              <w:t>Poremećaji imunog sistema</w:t>
            </w:r>
          </w:p>
        </w:tc>
      </w:tr>
      <w:tr w:rsidR="00E02EDE" w:rsidRPr="00042A6C" w:rsidTr="00091295">
        <w:tc>
          <w:tcPr>
            <w:tcW w:w="1952" w:type="dxa"/>
          </w:tcPr>
          <w:p w:rsidR="00E02EDE" w:rsidRPr="00042A6C" w:rsidRDefault="00E02EDE" w:rsidP="00091295">
            <w:pPr>
              <w:tabs>
                <w:tab w:val="left" w:pos="540"/>
                <w:tab w:val="left" w:pos="569"/>
              </w:tabs>
              <w:rPr>
                <w:b/>
                <w:bCs/>
                <w:sz w:val="22"/>
                <w:szCs w:val="22"/>
                <w:lang w:val="sr-Latn-ME"/>
              </w:rPr>
            </w:pPr>
          </w:p>
        </w:tc>
        <w:tc>
          <w:tcPr>
            <w:tcW w:w="1817" w:type="dxa"/>
            <w:tcBorders>
              <w:top w:val="single" w:sz="2" w:space="0" w:color="000000"/>
            </w:tcBorders>
          </w:tcPr>
          <w:p w:rsidR="00E02EDE" w:rsidRPr="00042A6C" w:rsidRDefault="00E02EDE" w:rsidP="00091295">
            <w:pPr>
              <w:widowControl w:val="0"/>
              <w:autoSpaceDE w:val="0"/>
              <w:autoSpaceDN w:val="0"/>
              <w:spacing w:before="9" w:line="218" w:lineRule="auto"/>
              <w:ind w:left="2"/>
              <w:rPr>
                <w:sz w:val="22"/>
                <w:szCs w:val="22"/>
                <w:lang w:val="sr-Latn-ME"/>
              </w:rPr>
            </w:pPr>
            <w:r w:rsidRPr="00042A6C">
              <w:rPr>
                <w:sz w:val="22"/>
                <w:szCs w:val="22"/>
                <w:lang w:val="sr-Latn-ME"/>
              </w:rPr>
              <w:t>Alergijska reakcija, alergijski dermatitis,</w:t>
            </w:r>
          </w:p>
          <w:p w:rsidR="00E02EDE" w:rsidRPr="00042A6C" w:rsidRDefault="00E02EDE" w:rsidP="00091295">
            <w:pPr>
              <w:widowControl w:val="0"/>
              <w:autoSpaceDE w:val="0"/>
              <w:autoSpaceDN w:val="0"/>
              <w:spacing w:before="1" w:line="216" w:lineRule="exact"/>
              <w:ind w:left="2" w:right="48"/>
              <w:rPr>
                <w:sz w:val="22"/>
                <w:szCs w:val="22"/>
                <w:lang w:val="sr-Latn-ME"/>
              </w:rPr>
            </w:pPr>
            <w:r w:rsidRPr="00042A6C">
              <w:rPr>
                <w:sz w:val="22"/>
                <w:szCs w:val="22"/>
                <w:lang w:val="sr-Latn-ME"/>
              </w:rPr>
              <w:t>angioedem i alergijski edem</w:t>
            </w:r>
          </w:p>
        </w:tc>
        <w:tc>
          <w:tcPr>
            <w:tcW w:w="1849" w:type="dxa"/>
            <w:tcBorders>
              <w:top w:val="single" w:sz="2" w:space="0" w:color="000000"/>
            </w:tcBorders>
          </w:tcPr>
          <w:p w:rsidR="00E02EDE" w:rsidRPr="00042A6C" w:rsidRDefault="00E02EDE" w:rsidP="00091295">
            <w:pPr>
              <w:widowControl w:val="0"/>
              <w:autoSpaceDE w:val="0"/>
              <w:autoSpaceDN w:val="0"/>
              <w:rPr>
                <w:sz w:val="22"/>
                <w:szCs w:val="22"/>
                <w:lang w:val="sr-Latn-ME"/>
              </w:rPr>
            </w:pPr>
          </w:p>
        </w:tc>
        <w:tc>
          <w:tcPr>
            <w:tcW w:w="1805" w:type="dxa"/>
            <w:tcBorders>
              <w:top w:val="single" w:sz="2" w:space="0" w:color="000000"/>
            </w:tcBorders>
          </w:tcPr>
          <w:p w:rsidR="00E02EDE" w:rsidRPr="00042A6C" w:rsidRDefault="00E02EDE" w:rsidP="00091295">
            <w:pPr>
              <w:widowControl w:val="0"/>
              <w:autoSpaceDE w:val="0"/>
              <w:autoSpaceDN w:val="0"/>
              <w:ind w:left="1" w:right="129"/>
              <w:rPr>
                <w:sz w:val="22"/>
                <w:szCs w:val="22"/>
                <w:lang w:val="sr-Latn-ME"/>
              </w:rPr>
            </w:pPr>
            <w:r w:rsidRPr="00042A6C">
              <w:rPr>
                <w:sz w:val="22"/>
                <w:szCs w:val="22"/>
                <w:lang w:val="sr-Latn-ME"/>
              </w:rPr>
              <w:t>Anafilaktičke reakcije</w:t>
            </w:r>
            <w:r w:rsidR="00F162C4" w:rsidRPr="00042A6C">
              <w:rPr>
                <w:sz w:val="22"/>
                <w:szCs w:val="22"/>
                <w:lang w:val="sr-Latn-ME"/>
              </w:rPr>
              <w:t>,</w:t>
            </w:r>
            <w:r w:rsidRPr="00042A6C">
              <w:rPr>
                <w:sz w:val="22"/>
                <w:szCs w:val="22"/>
                <w:lang w:val="sr-Latn-ME"/>
              </w:rPr>
              <w:t xml:space="preserve"> uključujući anafilaktički šok</w:t>
            </w:r>
          </w:p>
        </w:tc>
        <w:tc>
          <w:tcPr>
            <w:tcW w:w="1640" w:type="dxa"/>
          </w:tcPr>
          <w:p w:rsidR="00E02EDE" w:rsidRPr="00042A6C" w:rsidRDefault="00E02EDE" w:rsidP="00091295">
            <w:pPr>
              <w:tabs>
                <w:tab w:val="left" w:pos="540"/>
                <w:tab w:val="left" w:pos="569"/>
              </w:tabs>
              <w:rPr>
                <w:b/>
                <w:bCs/>
                <w:sz w:val="22"/>
                <w:szCs w:val="22"/>
                <w:lang w:val="sr-Latn-ME"/>
              </w:rPr>
            </w:pPr>
          </w:p>
        </w:tc>
      </w:tr>
      <w:tr w:rsidR="00E02EDE" w:rsidRPr="00042A6C" w:rsidTr="00091295">
        <w:tc>
          <w:tcPr>
            <w:tcW w:w="9063" w:type="dxa"/>
            <w:gridSpan w:val="5"/>
          </w:tcPr>
          <w:p w:rsidR="00E02EDE" w:rsidRPr="00042A6C" w:rsidRDefault="00E02EDE" w:rsidP="00091295">
            <w:pPr>
              <w:tabs>
                <w:tab w:val="left" w:pos="540"/>
                <w:tab w:val="left" w:pos="569"/>
              </w:tabs>
              <w:rPr>
                <w:b/>
                <w:bCs/>
                <w:sz w:val="22"/>
                <w:szCs w:val="22"/>
                <w:lang w:val="sr-Latn-ME"/>
              </w:rPr>
            </w:pPr>
            <w:r w:rsidRPr="00042A6C">
              <w:rPr>
                <w:b/>
                <w:bCs/>
                <w:sz w:val="22"/>
                <w:szCs w:val="22"/>
                <w:lang w:val="sr-Latn-ME"/>
              </w:rPr>
              <w:t>Poremećaji nervnog sistema</w:t>
            </w:r>
          </w:p>
        </w:tc>
      </w:tr>
      <w:tr w:rsidR="00E02EDE" w:rsidRPr="00042A6C" w:rsidTr="00091295">
        <w:tc>
          <w:tcPr>
            <w:tcW w:w="1952" w:type="dxa"/>
            <w:tcBorders>
              <w:left w:val="single" w:sz="2" w:space="0" w:color="000000"/>
            </w:tcBorders>
          </w:tcPr>
          <w:p w:rsidR="00E02EDE" w:rsidRPr="00042A6C" w:rsidRDefault="00E02EDE" w:rsidP="00091295">
            <w:pPr>
              <w:widowControl w:val="0"/>
              <w:autoSpaceDE w:val="0"/>
              <w:autoSpaceDN w:val="0"/>
              <w:spacing w:line="213" w:lineRule="auto"/>
              <w:ind w:left="2"/>
              <w:rPr>
                <w:sz w:val="22"/>
                <w:szCs w:val="22"/>
                <w:lang w:val="sr-Latn-ME"/>
              </w:rPr>
            </w:pPr>
            <w:r w:rsidRPr="00042A6C">
              <w:rPr>
                <w:w w:val="95"/>
                <w:sz w:val="22"/>
                <w:szCs w:val="22"/>
                <w:lang w:val="sr-Latn-ME"/>
              </w:rPr>
              <w:t xml:space="preserve">Vrtoglavica, </w:t>
            </w:r>
            <w:r w:rsidRPr="00042A6C">
              <w:rPr>
                <w:sz w:val="22"/>
                <w:szCs w:val="22"/>
                <w:lang w:val="sr-Latn-ME"/>
              </w:rPr>
              <w:t>glavobolja</w:t>
            </w:r>
          </w:p>
        </w:tc>
        <w:tc>
          <w:tcPr>
            <w:tcW w:w="1817" w:type="dxa"/>
          </w:tcPr>
          <w:p w:rsidR="00E02EDE" w:rsidRPr="00042A6C" w:rsidRDefault="00E02EDE" w:rsidP="00091295">
            <w:pPr>
              <w:widowControl w:val="0"/>
              <w:autoSpaceDE w:val="0"/>
              <w:autoSpaceDN w:val="0"/>
              <w:spacing w:line="213" w:lineRule="auto"/>
              <w:ind w:left="2"/>
              <w:rPr>
                <w:sz w:val="22"/>
                <w:szCs w:val="22"/>
                <w:lang w:val="sr-Latn-ME"/>
              </w:rPr>
            </w:pPr>
            <w:r w:rsidRPr="00042A6C">
              <w:rPr>
                <w:sz w:val="22"/>
                <w:szCs w:val="22"/>
                <w:lang w:val="sr-Latn-ME"/>
              </w:rPr>
              <w:t xml:space="preserve">Cerebralno i </w:t>
            </w:r>
            <w:r w:rsidRPr="00042A6C">
              <w:rPr>
                <w:w w:val="95"/>
                <w:sz w:val="22"/>
                <w:szCs w:val="22"/>
                <w:lang w:val="sr-Latn-ME"/>
              </w:rPr>
              <w:t xml:space="preserve">intrakranijalno </w:t>
            </w:r>
            <w:r w:rsidRPr="00042A6C">
              <w:rPr>
                <w:sz w:val="22"/>
                <w:szCs w:val="22"/>
                <w:lang w:val="sr-Latn-ME"/>
              </w:rPr>
              <w:t>krvarenje,</w:t>
            </w:r>
          </w:p>
          <w:p w:rsidR="00E02EDE" w:rsidRPr="00042A6C" w:rsidRDefault="00E02EDE" w:rsidP="00091295">
            <w:pPr>
              <w:widowControl w:val="0"/>
              <w:autoSpaceDE w:val="0"/>
              <w:autoSpaceDN w:val="0"/>
              <w:spacing w:line="212" w:lineRule="exact"/>
              <w:ind w:left="2"/>
              <w:rPr>
                <w:sz w:val="22"/>
                <w:szCs w:val="22"/>
                <w:lang w:val="sr-Latn-ME"/>
              </w:rPr>
            </w:pPr>
            <w:r w:rsidRPr="00042A6C">
              <w:rPr>
                <w:sz w:val="22"/>
                <w:szCs w:val="22"/>
                <w:lang w:val="sr-Latn-ME"/>
              </w:rPr>
              <w:t>sinkopa</w:t>
            </w:r>
          </w:p>
        </w:tc>
        <w:tc>
          <w:tcPr>
            <w:tcW w:w="1849" w:type="dxa"/>
          </w:tcPr>
          <w:p w:rsidR="00E02EDE" w:rsidRPr="00042A6C" w:rsidRDefault="00E02EDE" w:rsidP="00091295">
            <w:pPr>
              <w:tabs>
                <w:tab w:val="left" w:pos="540"/>
                <w:tab w:val="left" w:pos="569"/>
              </w:tabs>
              <w:rPr>
                <w:b/>
                <w:bCs/>
                <w:sz w:val="22"/>
                <w:szCs w:val="22"/>
                <w:lang w:val="sr-Latn-ME"/>
              </w:rPr>
            </w:pPr>
          </w:p>
        </w:tc>
        <w:tc>
          <w:tcPr>
            <w:tcW w:w="1805" w:type="dxa"/>
          </w:tcPr>
          <w:p w:rsidR="00E02EDE" w:rsidRPr="00042A6C" w:rsidRDefault="00E02EDE" w:rsidP="00091295">
            <w:pPr>
              <w:tabs>
                <w:tab w:val="left" w:pos="540"/>
                <w:tab w:val="left" w:pos="569"/>
              </w:tabs>
              <w:rPr>
                <w:b/>
                <w:bCs/>
                <w:sz w:val="22"/>
                <w:szCs w:val="22"/>
                <w:lang w:val="sr-Latn-ME"/>
              </w:rPr>
            </w:pPr>
          </w:p>
        </w:tc>
        <w:tc>
          <w:tcPr>
            <w:tcW w:w="1640" w:type="dxa"/>
          </w:tcPr>
          <w:p w:rsidR="00E02EDE" w:rsidRPr="00042A6C" w:rsidRDefault="00E02EDE" w:rsidP="00091295">
            <w:pPr>
              <w:tabs>
                <w:tab w:val="left" w:pos="540"/>
                <w:tab w:val="left" w:pos="569"/>
              </w:tabs>
              <w:rPr>
                <w:b/>
                <w:bCs/>
                <w:sz w:val="22"/>
                <w:szCs w:val="22"/>
                <w:lang w:val="sr-Latn-ME"/>
              </w:rPr>
            </w:pPr>
          </w:p>
        </w:tc>
      </w:tr>
      <w:tr w:rsidR="00E02EDE" w:rsidRPr="00042A6C" w:rsidTr="00091295">
        <w:tc>
          <w:tcPr>
            <w:tcW w:w="9063" w:type="dxa"/>
            <w:gridSpan w:val="5"/>
          </w:tcPr>
          <w:p w:rsidR="00E02EDE" w:rsidRPr="00042A6C" w:rsidRDefault="00E02EDE" w:rsidP="00091295">
            <w:pPr>
              <w:tabs>
                <w:tab w:val="left" w:pos="540"/>
                <w:tab w:val="left" w:pos="569"/>
              </w:tabs>
              <w:rPr>
                <w:b/>
                <w:bCs/>
                <w:sz w:val="22"/>
                <w:szCs w:val="22"/>
                <w:lang w:val="sr-Latn-ME"/>
              </w:rPr>
            </w:pPr>
            <w:r w:rsidRPr="00042A6C">
              <w:rPr>
                <w:b/>
                <w:bCs/>
                <w:sz w:val="22"/>
                <w:szCs w:val="22"/>
                <w:lang w:val="sr-Latn-ME"/>
              </w:rPr>
              <w:t>Poremećaji oka</w:t>
            </w:r>
          </w:p>
        </w:tc>
      </w:tr>
      <w:tr w:rsidR="00E02EDE" w:rsidRPr="00042A6C" w:rsidTr="00091295">
        <w:tc>
          <w:tcPr>
            <w:tcW w:w="1952" w:type="dxa"/>
            <w:tcBorders>
              <w:left w:val="single" w:sz="2" w:space="0" w:color="000000"/>
            </w:tcBorders>
          </w:tcPr>
          <w:p w:rsidR="00E02EDE" w:rsidRPr="00042A6C" w:rsidRDefault="00E02EDE" w:rsidP="00091295">
            <w:pPr>
              <w:widowControl w:val="0"/>
              <w:autoSpaceDE w:val="0"/>
              <w:autoSpaceDN w:val="0"/>
              <w:spacing w:line="225" w:lineRule="exact"/>
              <w:ind w:left="7"/>
              <w:rPr>
                <w:sz w:val="22"/>
                <w:szCs w:val="22"/>
                <w:lang w:val="sr-Latn-ME"/>
              </w:rPr>
            </w:pPr>
            <w:r w:rsidRPr="00042A6C">
              <w:rPr>
                <w:sz w:val="22"/>
                <w:szCs w:val="22"/>
                <w:lang w:val="sr-Latn-ME"/>
              </w:rPr>
              <w:t>Krvarenje oka</w:t>
            </w:r>
          </w:p>
          <w:p w:rsidR="00E02EDE" w:rsidRPr="00042A6C" w:rsidRDefault="00E02EDE" w:rsidP="00091295">
            <w:pPr>
              <w:widowControl w:val="0"/>
              <w:autoSpaceDE w:val="0"/>
              <w:autoSpaceDN w:val="0"/>
              <w:spacing w:before="3" w:line="237" w:lineRule="auto"/>
              <w:ind w:left="7" w:right="130"/>
              <w:rPr>
                <w:sz w:val="22"/>
                <w:szCs w:val="22"/>
                <w:lang w:val="sr-Latn-ME"/>
              </w:rPr>
            </w:pPr>
            <w:r w:rsidRPr="00042A6C">
              <w:rPr>
                <w:w w:val="95"/>
                <w:sz w:val="22"/>
                <w:szCs w:val="22"/>
                <w:lang w:val="sr-Latn-ME"/>
              </w:rPr>
              <w:t xml:space="preserve">(uključujući </w:t>
            </w:r>
            <w:r w:rsidRPr="00042A6C">
              <w:rPr>
                <w:sz w:val="22"/>
                <w:szCs w:val="22"/>
                <w:lang w:val="sr-Latn-ME"/>
              </w:rPr>
              <w:t>krvarenje</w:t>
            </w:r>
          </w:p>
          <w:p w:rsidR="00E02EDE" w:rsidRPr="00042A6C" w:rsidRDefault="00E02EDE" w:rsidP="00091295">
            <w:pPr>
              <w:widowControl w:val="0"/>
              <w:autoSpaceDE w:val="0"/>
              <w:autoSpaceDN w:val="0"/>
              <w:rPr>
                <w:sz w:val="22"/>
                <w:szCs w:val="22"/>
                <w:lang w:val="sr-Latn-ME"/>
              </w:rPr>
            </w:pPr>
            <w:r w:rsidRPr="00042A6C">
              <w:rPr>
                <w:sz w:val="22"/>
                <w:szCs w:val="22"/>
                <w:lang w:val="sr-Latn-ME"/>
              </w:rPr>
              <w:t>konjunktive)</w:t>
            </w:r>
          </w:p>
        </w:tc>
        <w:tc>
          <w:tcPr>
            <w:tcW w:w="1817" w:type="dxa"/>
          </w:tcPr>
          <w:p w:rsidR="00E02EDE" w:rsidRPr="00042A6C" w:rsidRDefault="00E02EDE" w:rsidP="00091295">
            <w:pPr>
              <w:widowControl w:val="0"/>
              <w:autoSpaceDE w:val="0"/>
              <w:autoSpaceDN w:val="0"/>
              <w:rPr>
                <w:sz w:val="22"/>
                <w:szCs w:val="22"/>
                <w:lang w:val="sr-Latn-ME"/>
              </w:rPr>
            </w:pPr>
          </w:p>
        </w:tc>
        <w:tc>
          <w:tcPr>
            <w:tcW w:w="1849" w:type="dxa"/>
          </w:tcPr>
          <w:p w:rsidR="00E02EDE" w:rsidRPr="00042A6C" w:rsidRDefault="00E02EDE" w:rsidP="00091295">
            <w:pPr>
              <w:tabs>
                <w:tab w:val="left" w:pos="540"/>
                <w:tab w:val="left" w:pos="569"/>
              </w:tabs>
              <w:rPr>
                <w:b/>
                <w:bCs/>
                <w:sz w:val="22"/>
                <w:szCs w:val="22"/>
                <w:lang w:val="sr-Latn-ME"/>
              </w:rPr>
            </w:pPr>
          </w:p>
        </w:tc>
        <w:tc>
          <w:tcPr>
            <w:tcW w:w="1805" w:type="dxa"/>
          </w:tcPr>
          <w:p w:rsidR="00E02EDE" w:rsidRPr="00042A6C" w:rsidRDefault="00E02EDE" w:rsidP="00091295">
            <w:pPr>
              <w:tabs>
                <w:tab w:val="left" w:pos="540"/>
                <w:tab w:val="left" w:pos="569"/>
              </w:tabs>
              <w:rPr>
                <w:b/>
                <w:bCs/>
                <w:sz w:val="22"/>
                <w:szCs w:val="22"/>
                <w:lang w:val="sr-Latn-ME"/>
              </w:rPr>
            </w:pPr>
          </w:p>
        </w:tc>
        <w:tc>
          <w:tcPr>
            <w:tcW w:w="1640" w:type="dxa"/>
          </w:tcPr>
          <w:p w:rsidR="00E02EDE" w:rsidRPr="00042A6C" w:rsidRDefault="00E02EDE" w:rsidP="00091295">
            <w:pPr>
              <w:tabs>
                <w:tab w:val="left" w:pos="540"/>
                <w:tab w:val="left" w:pos="569"/>
              </w:tabs>
              <w:rPr>
                <w:b/>
                <w:bCs/>
                <w:sz w:val="22"/>
                <w:szCs w:val="22"/>
                <w:lang w:val="sr-Latn-ME"/>
              </w:rPr>
            </w:pPr>
          </w:p>
        </w:tc>
      </w:tr>
      <w:tr w:rsidR="00E02EDE" w:rsidRPr="00042A6C" w:rsidTr="00091295">
        <w:tc>
          <w:tcPr>
            <w:tcW w:w="9063" w:type="dxa"/>
            <w:gridSpan w:val="5"/>
          </w:tcPr>
          <w:p w:rsidR="00E02EDE" w:rsidRPr="00042A6C" w:rsidRDefault="00E02EDE" w:rsidP="00091295">
            <w:pPr>
              <w:tabs>
                <w:tab w:val="left" w:pos="540"/>
                <w:tab w:val="left" w:pos="569"/>
              </w:tabs>
              <w:rPr>
                <w:b/>
                <w:bCs/>
                <w:sz w:val="22"/>
                <w:szCs w:val="22"/>
                <w:lang w:val="sr-Latn-ME"/>
              </w:rPr>
            </w:pPr>
            <w:r w:rsidRPr="00042A6C">
              <w:rPr>
                <w:b/>
                <w:bCs/>
                <w:sz w:val="22"/>
                <w:szCs w:val="22"/>
                <w:lang w:val="sr-Latn-ME"/>
              </w:rPr>
              <w:t>Kardiološki poremećaji</w:t>
            </w:r>
          </w:p>
        </w:tc>
      </w:tr>
      <w:tr w:rsidR="00E02EDE" w:rsidRPr="00042A6C" w:rsidTr="00091295">
        <w:tc>
          <w:tcPr>
            <w:tcW w:w="1952" w:type="dxa"/>
            <w:tcBorders>
              <w:left w:val="single" w:sz="2" w:space="0" w:color="000000"/>
              <w:bottom w:val="single" w:sz="2" w:space="0" w:color="000000"/>
            </w:tcBorders>
          </w:tcPr>
          <w:p w:rsidR="00E02EDE" w:rsidRPr="00042A6C" w:rsidRDefault="00E02EDE" w:rsidP="00091295">
            <w:pPr>
              <w:widowControl w:val="0"/>
              <w:autoSpaceDE w:val="0"/>
              <w:autoSpaceDN w:val="0"/>
              <w:spacing w:line="234" w:lineRule="exact"/>
              <w:ind w:left="2"/>
              <w:rPr>
                <w:sz w:val="22"/>
                <w:szCs w:val="22"/>
                <w:lang w:val="sr-Latn-ME"/>
              </w:rPr>
            </w:pPr>
          </w:p>
        </w:tc>
        <w:tc>
          <w:tcPr>
            <w:tcW w:w="1817" w:type="dxa"/>
            <w:tcBorders>
              <w:bottom w:val="single" w:sz="2" w:space="0" w:color="000000"/>
            </w:tcBorders>
          </w:tcPr>
          <w:p w:rsidR="00E02EDE" w:rsidRPr="00042A6C" w:rsidRDefault="00E02EDE" w:rsidP="00091295">
            <w:pPr>
              <w:widowControl w:val="0"/>
              <w:autoSpaceDE w:val="0"/>
              <w:autoSpaceDN w:val="0"/>
              <w:spacing w:line="234" w:lineRule="exact"/>
              <w:ind w:left="2"/>
              <w:rPr>
                <w:sz w:val="22"/>
                <w:szCs w:val="22"/>
                <w:lang w:val="sr-Latn-ME"/>
              </w:rPr>
            </w:pPr>
            <w:r w:rsidRPr="00042A6C">
              <w:rPr>
                <w:sz w:val="22"/>
                <w:szCs w:val="22"/>
                <w:lang w:val="sr-Latn-ME"/>
              </w:rPr>
              <w:t>Tahikardija</w:t>
            </w:r>
          </w:p>
        </w:tc>
        <w:tc>
          <w:tcPr>
            <w:tcW w:w="1849" w:type="dxa"/>
          </w:tcPr>
          <w:p w:rsidR="00E02EDE" w:rsidRPr="00042A6C" w:rsidRDefault="00E02EDE" w:rsidP="00091295">
            <w:pPr>
              <w:tabs>
                <w:tab w:val="left" w:pos="540"/>
                <w:tab w:val="left" w:pos="569"/>
              </w:tabs>
              <w:rPr>
                <w:b/>
                <w:bCs/>
                <w:sz w:val="22"/>
                <w:szCs w:val="22"/>
                <w:lang w:val="sr-Latn-ME"/>
              </w:rPr>
            </w:pPr>
          </w:p>
        </w:tc>
        <w:tc>
          <w:tcPr>
            <w:tcW w:w="1805" w:type="dxa"/>
          </w:tcPr>
          <w:p w:rsidR="00E02EDE" w:rsidRPr="00042A6C" w:rsidRDefault="00E02EDE" w:rsidP="00091295">
            <w:pPr>
              <w:tabs>
                <w:tab w:val="left" w:pos="540"/>
                <w:tab w:val="left" w:pos="569"/>
              </w:tabs>
              <w:rPr>
                <w:b/>
                <w:bCs/>
                <w:sz w:val="22"/>
                <w:szCs w:val="22"/>
                <w:lang w:val="sr-Latn-ME"/>
              </w:rPr>
            </w:pPr>
          </w:p>
        </w:tc>
        <w:tc>
          <w:tcPr>
            <w:tcW w:w="1640" w:type="dxa"/>
          </w:tcPr>
          <w:p w:rsidR="00E02EDE" w:rsidRPr="00042A6C" w:rsidRDefault="00E02EDE" w:rsidP="00091295">
            <w:pPr>
              <w:tabs>
                <w:tab w:val="left" w:pos="540"/>
                <w:tab w:val="left" w:pos="569"/>
              </w:tabs>
              <w:rPr>
                <w:b/>
                <w:bCs/>
                <w:sz w:val="22"/>
                <w:szCs w:val="22"/>
                <w:lang w:val="sr-Latn-ME"/>
              </w:rPr>
            </w:pPr>
          </w:p>
        </w:tc>
      </w:tr>
      <w:tr w:rsidR="00E02EDE" w:rsidRPr="00042A6C" w:rsidTr="00091295">
        <w:tc>
          <w:tcPr>
            <w:tcW w:w="9063" w:type="dxa"/>
            <w:gridSpan w:val="5"/>
          </w:tcPr>
          <w:p w:rsidR="00E02EDE" w:rsidRPr="00042A6C" w:rsidRDefault="00E02EDE" w:rsidP="00091295">
            <w:pPr>
              <w:tabs>
                <w:tab w:val="left" w:pos="1481"/>
              </w:tabs>
              <w:rPr>
                <w:b/>
                <w:bCs/>
                <w:sz w:val="22"/>
                <w:szCs w:val="22"/>
                <w:lang w:val="sr-Latn-ME"/>
              </w:rPr>
            </w:pPr>
            <w:r w:rsidRPr="00042A6C">
              <w:rPr>
                <w:b/>
                <w:bCs/>
                <w:sz w:val="22"/>
                <w:szCs w:val="22"/>
                <w:lang w:val="sr-Latn-ME"/>
              </w:rPr>
              <w:t>Vaskularni poremećaji</w:t>
            </w:r>
            <w:r w:rsidRPr="00042A6C">
              <w:rPr>
                <w:b/>
                <w:bCs/>
                <w:sz w:val="22"/>
                <w:szCs w:val="22"/>
                <w:lang w:val="sr-Latn-ME"/>
              </w:rPr>
              <w:tab/>
            </w:r>
          </w:p>
        </w:tc>
      </w:tr>
      <w:tr w:rsidR="00E02EDE" w:rsidRPr="00042A6C" w:rsidTr="00091295">
        <w:tc>
          <w:tcPr>
            <w:tcW w:w="1952" w:type="dxa"/>
            <w:tcBorders>
              <w:left w:val="single" w:sz="2" w:space="0" w:color="000000"/>
            </w:tcBorders>
          </w:tcPr>
          <w:p w:rsidR="00E02EDE" w:rsidRPr="00042A6C" w:rsidRDefault="00E02EDE" w:rsidP="00091295">
            <w:pPr>
              <w:widowControl w:val="0"/>
              <w:autoSpaceDE w:val="0"/>
              <w:autoSpaceDN w:val="0"/>
              <w:rPr>
                <w:sz w:val="22"/>
                <w:szCs w:val="22"/>
                <w:lang w:val="sr-Latn-ME"/>
              </w:rPr>
            </w:pPr>
            <w:r w:rsidRPr="00042A6C">
              <w:rPr>
                <w:w w:val="95"/>
                <w:sz w:val="22"/>
                <w:szCs w:val="22"/>
                <w:lang w:val="sr-Latn-ME"/>
              </w:rPr>
              <w:t xml:space="preserve">Hipotenzija, </w:t>
            </w:r>
            <w:r w:rsidRPr="00042A6C">
              <w:rPr>
                <w:sz w:val="22"/>
                <w:szCs w:val="22"/>
                <w:lang w:val="sr-Latn-ME"/>
              </w:rPr>
              <w:t>hematomi</w:t>
            </w:r>
          </w:p>
        </w:tc>
        <w:tc>
          <w:tcPr>
            <w:tcW w:w="1817" w:type="dxa"/>
          </w:tcPr>
          <w:p w:rsidR="00E02EDE" w:rsidRPr="00042A6C" w:rsidRDefault="00E02EDE" w:rsidP="00091295">
            <w:pPr>
              <w:widowControl w:val="0"/>
              <w:autoSpaceDE w:val="0"/>
              <w:autoSpaceDN w:val="0"/>
              <w:rPr>
                <w:sz w:val="22"/>
                <w:szCs w:val="22"/>
                <w:lang w:val="sr-Latn-ME"/>
              </w:rPr>
            </w:pPr>
          </w:p>
        </w:tc>
        <w:tc>
          <w:tcPr>
            <w:tcW w:w="1849" w:type="dxa"/>
          </w:tcPr>
          <w:p w:rsidR="00E02EDE" w:rsidRPr="00042A6C" w:rsidRDefault="00E02EDE" w:rsidP="00091295">
            <w:pPr>
              <w:tabs>
                <w:tab w:val="left" w:pos="540"/>
                <w:tab w:val="left" w:pos="569"/>
              </w:tabs>
              <w:rPr>
                <w:b/>
                <w:bCs/>
                <w:sz w:val="22"/>
                <w:szCs w:val="22"/>
                <w:lang w:val="sr-Latn-ME"/>
              </w:rPr>
            </w:pPr>
          </w:p>
        </w:tc>
        <w:tc>
          <w:tcPr>
            <w:tcW w:w="1805" w:type="dxa"/>
          </w:tcPr>
          <w:p w:rsidR="00E02EDE" w:rsidRPr="00042A6C" w:rsidRDefault="00E02EDE" w:rsidP="00091295">
            <w:pPr>
              <w:tabs>
                <w:tab w:val="left" w:pos="540"/>
                <w:tab w:val="left" w:pos="569"/>
              </w:tabs>
              <w:rPr>
                <w:b/>
                <w:bCs/>
                <w:sz w:val="22"/>
                <w:szCs w:val="22"/>
                <w:lang w:val="sr-Latn-ME"/>
              </w:rPr>
            </w:pPr>
          </w:p>
        </w:tc>
        <w:tc>
          <w:tcPr>
            <w:tcW w:w="1640" w:type="dxa"/>
          </w:tcPr>
          <w:p w:rsidR="00E02EDE" w:rsidRPr="00042A6C" w:rsidRDefault="00E02EDE" w:rsidP="00091295">
            <w:pPr>
              <w:tabs>
                <w:tab w:val="left" w:pos="540"/>
                <w:tab w:val="left" w:pos="569"/>
              </w:tabs>
              <w:rPr>
                <w:b/>
                <w:bCs/>
                <w:sz w:val="22"/>
                <w:szCs w:val="22"/>
                <w:lang w:val="sr-Latn-ME"/>
              </w:rPr>
            </w:pPr>
          </w:p>
        </w:tc>
      </w:tr>
      <w:tr w:rsidR="00E02EDE" w:rsidRPr="00042A6C" w:rsidTr="00091295">
        <w:tc>
          <w:tcPr>
            <w:tcW w:w="9063" w:type="dxa"/>
            <w:gridSpan w:val="5"/>
          </w:tcPr>
          <w:p w:rsidR="00E02EDE" w:rsidRPr="00042A6C" w:rsidRDefault="00E02EDE" w:rsidP="00091295">
            <w:pPr>
              <w:tabs>
                <w:tab w:val="left" w:pos="540"/>
                <w:tab w:val="left" w:pos="569"/>
              </w:tabs>
              <w:rPr>
                <w:b/>
                <w:bCs/>
                <w:sz w:val="22"/>
                <w:szCs w:val="22"/>
                <w:lang w:val="sr-Latn-ME"/>
              </w:rPr>
            </w:pPr>
            <w:r w:rsidRPr="00042A6C">
              <w:rPr>
                <w:b/>
                <w:bCs/>
                <w:sz w:val="22"/>
                <w:szCs w:val="22"/>
                <w:lang w:val="sr-Latn-ME"/>
              </w:rPr>
              <w:t>Respiratorni, torakalni i medi</w:t>
            </w:r>
            <w:r w:rsidR="00F162C4" w:rsidRPr="00042A6C">
              <w:rPr>
                <w:b/>
                <w:bCs/>
                <w:sz w:val="22"/>
                <w:szCs w:val="22"/>
                <w:lang w:val="sr-Latn-ME"/>
              </w:rPr>
              <w:t>j</w:t>
            </w:r>
            <w:r w:rsidRPr="00042A6C">
              <w:rPr>
                <w:b/>
                <w:bCs/>
                <w:sz w:val="22"/>
                <w:szCs w:val="22"/>
                <w:lang w:val="sr-Latn-ME"/>
              </w:rPr>
              <w:t>astinalni poremećaji</w:t>
            </w:r>
          </w:p>
        </w:tc>
      </w:tr>
      <w:tr w:rsidR="00E02EDE" w:rsidRPr="00042A6C" w:rsidTr="00091295">
        <w:tc>
          <w:tcPr>
            <w:tcW w:w="1952" w:type="dxa"/>
            <w:tcBorders>
              <w:left w:val="single" w:sz="2" w:space="0" w:color="000000"/>
            </w:tcBorders>
          </w:tcPr>
          <w:p w:rsidR="00E02EDE" w:rsidRPr="00042A6C" w:rsidRDefault="00E02EDE" w:rsidP="00091295">
            <w:pPr>
              <w:widowControl w:val="0"/>
              <w:autoSpaceDE w:val="0"/>
              <w:autoSpaceDN w:val="0"/>
              <w:spacing w:line="204" w:lineRule="exact"/>
              <w:ind w:left="7"/>
              <w:rPr>
                <w:sz w:val="22"/>
                <w:szCs w:val="22"/>
                <w:lang w:val="sr-Latn-ME"/>
              </w:rPr>
            </w:pPr>
            <w:r w:rsidRPr="00042A6C">
              <w:rPr>
                <w:spacing w:val="4"/>
                <w:sz w:val="22"/>
                <w:szCs w:val="22"/>
                <w:lang w:val="sr-Latn-ME"/>
              </w:rPr>
              <w:t>Epistaksa,</w:t>
            </w:r>
          </w:p>
          <w:p w:rsidR="00E02EDE" w:rsidRPr="00042A6C" w:rsidRDefault="00F162C4" w:rsidP="00091295">
            <w:pPr>
              <w:widowControl w:val="0"/>
              <w:autoSpaceDE w:val="0"/>
              <w:autoSpaceDN w:val="0"/>
              <w:rPr>
                <w:sz w:val="22"/>
                <w:szCs w:val="22"/>
                <w:lang w:val="sr-Latn-ME"/>
              </w:rPr>
            </w:pPr>
            <w:r w:rsidRPr="00042A6C">
              <w:rPr>
                <w:sz w:val="22"/>
                <w:szCs w:val="22"/>
                <w:lang w:val="sr-Latn-ME"/>
              </w:rPr>
              <w:t>hemoptiza</w:t>
            </w:r>
          </w:p>
        </w:tc>
        <w:tc>
          <w:tcPr>
            <w:tcW w:w="1817" w:type="dxa"/>
          </w:tcPr>
          <w:p w:rsidR="00E02EDE" w:rsidRPr="00042A6C" w:rsidRDefault="00E02EDE" w:rsidP="00091295">
            <w:pPr>
              <w:widowControl w:val="0"/>
              <w:autoSpaceDE w:val="0"/>
              <w:autoSpaceDN w:val="0"/>
              <w:rPr>
                <w:sz w:val="22"/>
                <w:szCs w:val="22"/>
                <w:lang w:val="sr-Latn-ME"/>
              </w:rPr>
            </w:pPr>
          </w:p>
        </w:tc>
        <w:tc>
          <w:tcPr>
            <w:tcW w:w="1849" w:type="dxa"/>
          </w:tcPr>
          <w:p w:rsidR="00E02EDE" w:rsidRPr="00042A6C" w:rsidRDefault="00E02EDE" w:rsidP="00091295">
            <w:pPr>
              <w:tabs>
                <w:tab w:val="left" w:pos="540"/>
                <w:tab w:val="left" w:pos="569"/>
              </w:tabs>
              <w:rPr>
                <w:b/>
                <w:bCs/>
                <w:sz w:val="22"/>
                <w:szCs w:val="22"/>
                <w:lang w:val="sr-Latn-ME"/>
              </w:rPr>
            </w:pPr>
          </w:p>
        </w:tc>
        <w:tc>
          <w:tcPr>
            <w:tcW w:w="1805" w:type="dxa"/>
          </w:tcPr>
          <w:p w:rsidR="00E02EDE" w:rsidRPr="00042A6C" w:rsidRDefault="00E02EDE" w:rsidP="00091295">
            <w:pPr>
              <w:tabs>
                <w:tab w:val="left" w:pos="540"/>
                <w:tab w:val="left" w:pos="569"/>
              </w:tabs>
              <w:rPr>
                <w:b/>
                <w:bCs/>
                <w:sz w:val="22"/>
                <w:szCs w:val="22"/>
                <w:lang w:val="sr-Latn-ME"/>
              </w:rPr>
            </w:pPr>
          </w:p>
        </w:tc>
        <w:tc>
          <w:tcPr>
            <w:tcW w:w="1640" w:type="dxa"/>
          </w:tcPr>
          <w:p w:rsidR="00E02EDE" w:rsidRPr="00042A6C" w:rsidRDefault="00E02EDE" w:rsidP="00091295">
            <w:pPr>
              <w:tabs>
                <w:tab w:val="left" w:pos="540"/>
                <w:tab w:val="left" w:pos="569"/>
              </w:tabs>
              <w:rPr>
                <w:b/>
                <w:bCs/>
                <w:sz w:val="22"/>
                <w:szCs w:val="22"/>
                <w:lang w:val="sr-Latn-ME"/>
              </w:rPr>
            </w:pPr>
          </w:p>
        </w:tc>
      </w:tr>
      <w:tr w:rsidR="00E02EDE" w:rsidRPr="00042A6C" w:rsidTr="00091295">
        <w:tc>
          <w:tcPr>
            <w:tcW w:w="9063" w:type="dxa"/>
            <w:gridSpan w:val="5"/>
          </w:tcPr>
          <w:p w:rsidR="00E02EDE" w:rsidRPr="00042A6C" w:rsidRDefault="00E02EDE" w:rsidP="00091295">
            <w:pPr>
              <w:tabs>
                <w:tab w:val="left" w:pos="540"/>
                <w:tab w:val="left" w:pos="569"/>
              </w:tabs>
              <w:rPr>
                <w:b/>
                <w:bCs/>
                <w:sz w:val="22"/>
                <w:szCs w:val="22"/>
                <w:lang w:val="sr-Latn-ME"/>
              </w:rPr>
            </w:pPr>
            <w:r w:rsidRPr="00042A6C">
              <w:rPr>
                <w:b/>
                <w:bCs/>
                <w:sz w:val="22"/>
                <w:szCs w:val="22"/>
                <w:lang w:val="sr-Latn-ME"/>
              </w:rPr>
              <w:t>Gastrointestinalni poremećaji</w:t>
            </w:r>
          </w:p>
        </w:tc>
      </w:tr>
      <w:tr w:rsidR="00E02EDE" w:rsidRPr="00042A6C" w:rsidTr="00091295">
        <w:tc>
          <w:tcPr>
            <w:tcW w:w="1952" w:type="dxa"/>
            <w:tcBorders>
              <w:left w:val="single" w:sz="2" w:space="0" w:color="000000"/>
            </w:tcBorders>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Krvarenje desni,</w:t>
            </w:r>
          </w:p>
          <w:p w:rsidR="00E02EDE" w:rsidRPr="00042A6C" w:rsidRDefault="00F162C4" w:rsidP="00091295">
            <w:pPr>
              <w:widowControl w:val="0"/>
              <w:autoSpaceDE w:val="0"/>
              <w:autoSpaceDN w:val="0"/>
              <w:spacing w:line="205" w:lineRule="exact"/>
              <w:rPr>
                <w:sz w:val="22"/>
                <w:szCs w:val="22"/>
                <w:lang w:val="sr-Latn-ME"/>
              </w:rPr>
            </w:pPr>
            <w:r w:rsidRPr="00042A6C">
              <w:rPr>
                <w:sz w:val="22"/>
                <w:szCs w:val="22"/>
                <w:lang w:val="sr-Latn-ME"/>
              </w:rPr>
              <w:t xml:space="preserve">krvarenje </w:t>
            </w:r>
            <w:r w:rsidR="00E02EDE" w:rsidRPr="00042A6C">
              <w:rPr>
                <w:sz w:val="22"/>
                <w:szCs w:val="22"/>
                <w:lang w:val="sr-Latn-ME"/>
              </w:rPr>
              <w:t xml:space="preserve">u gastrointestinalnom </w:t>
            </w:r>
            <w:r w:rsidR="00E02EDE" w:rsidRPr="00042A6C">
              <w:rPr>
                <w:sz w:val="22"/>
                <w:szCs w:val="22"/>
                <w:lang w:val="sr-Latn-ME"/>
              </w:rPr>
              <w:lastRenderedPageBreak/>
              <w:t>traktu (uključujući rektalno krvarenje), gastrointestinalni i abdominalni bolovi, dispepsija, mučnina,</w:t>
            </w:r>
          </w:p>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konstipacija</w:t>
            </w:r>
            <w:r w:rsidRPr="00042A6C">
              <w:rPr>
                <w:sz w:val="22"/>
                <w:szCs w:val="22"/>
                <w:vertAlign w:val="superscript"/>
                <w:lang w:val="sr-Latn-ME"/>
              </w:rPr>
              <w:t>A</w:t>
            </w:r>
            <w:r w:rsidRPr="00042A6C">
              <w:rPr>
                <w:sz w:val="22"/>
                <w:szCs w:val="22"/>
                <w:lang w:val="sr-Latn-ME"/>
              </w:rPr>
              <w:t>, dijareja, povraćanje</w:t>
            </w:r>
            <w:r w:rsidRPr="00042A6C">
              <w:rPr>
                <w:sz w:val="22"/>
                <w:szCs w:val="22"/>
                <w:vertAlign w:val="superscript"/>
                <w:lang w:val="sr-Latn-ME"/>
              </w:rPr>
              <w:t>A</w:t>
            </w:r>
          </w:p>
        </w:tc>
        <w:tc>
          <w:tcPr>
            <w:tcW w:w="1817" w:type="dxa"/>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lastRenderedPageBreak/>
              <w:t>Suva usta</w:t>
            </w:r>
          </w:p>
        </w:tc>
        <w:tc>
          <w:tcPr>
            <w:tcW w:w="1849" w:type="dxa"/>
          </w:tcPr>
          <w:p w:rsidR="00E02EDE" w:rsidRPr="00042A6C" w:rsidRDefault="00E02EDE" w:rsidP="00091295">
            <w:pPr>
              <w:widowControl w:val="0"/>
              <w:autoSpaceDE w:val="0"/>
              <w:autoSpaceDN w:val="0"/>
              <w:spacing w:line="205" w:lineRule="exact"/>
              <w:rPr>
                <w:sz w:val="22"/>
                <w:szCs w:val="22"/>
                <w:lang w:val="sr-Latn-ME"/>
              </w:rPr>
            </w:pPr>
          </w:p>
        </w:tc>
        <w:tc>
          <w:tcPr>
            <w:tcW w:w="1805" w:type="dxa"/>
          </w:tcPr>
          <w:p w:rsidR="00E02EDE" w:rsidRPr="00042A6C" w:rsidRDefault="00E02EDE" w:rsidP="00091295">
            <w:pPr>
              <w:tabs>
                <w:tab w:val="left" w:pos="540"/>
                <w:tab w:val="left" w:pos="569"/>
              </w:tabs>
              <w:rPr>
                <w:b/>
                <w:bCs/>
                <w:sz w:val="22"/>
                <w:szCs w:val="22"/>
                <w:lang w:val="sr-Latn-ME"/>
              </w:rPr>
            </w:pPr>
          </w:p>
        </w:tc>
        <w:tc>
          <w:tcPr>
            <w:tcW w:w="1640" w:type="dxa"/>
          </w:tcPr>
          <w:p w:rsidR="00E02EDE" w:rsidRPr="00042A6C" w:rsidRDefault="00E02EDE" w:rsidP="00091295">
            <w:pPr>
              <w:tabs>
                <w:tab w:val="left" w:pos="540"/>
                <w:tab w:val="left" w:pos="569"/>
              </w:tabs>
              <w:rPr>
                <w:b/>
                <w:bCs/>
                <w:sz w:val="22"/>
                <w:szCs w:val="22"/>
                <w:lang w:val="sr-Latn-ME"/>
              </w:rPr>
            </w:pPr>
          </w:p>
        </w:tc>
      </w:tr>
      <w:tr w:rsidR="00E02EDE" w:rsidRPr="00042A6C" w:rsidTr="00091295">
        <w:tc>
          <w:tcPr>
            <w:tcW w:w="9063" w:type="dxa"/>
            <w:gridSpan w:val="5"/>
          </w:tcPr>
          <w:p w:rsidR="00E02EDE" w:rsidRPr="00042A6C" w:rsidRDefault="00E02EDE" w:rsidP="00091295">
            <w:pPr>
              <w:rPr>
                <w:b/>
                <w:bCs/>
                <w:sz w:val="22"/>
                <w:szCs w:val="22"/>
                <w:lang w:val="sr-Latn-ME"/>
              </w:rPr>
            </w:pPr>
            <w:r w:rsidRPr="00042A6C">
              <w:rPr>
                <w:b/>
                <w:bCs/>
                <w:sz w:val="22"/>
                <w:szCs w:val="22"/>
                <w:lang w:val="sr-Latn-ME"/>
              </w:rPr>
              <w:t>Hepatobilijarni poremećaji</w:t>
            </w:r>
          </w:p>
        </w:tc>
      </w:tr>
      <w:tr w:rsidR="00E02EDE" w:rsidRPr="00042A6C" w:rsidTr="00091295">
        <w:tc>
          <w:tcPr>
            <w:tcW w:w="1952" w:type="dxa"/>
            <w:tcBorders>
              <w:left w:val="single" w:sz="2" w:space="0" w:color="000000"/>
            </w:tcBorders>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Povećanje vrijednosti</w:t>
            </w:r>
          </w:p>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transaminaza</w:t>
            </w:r>
          </w:p>
        </w:tc>
        <w:tc>
          <w:tcPr>
            <w:tcW w:w="1817" w:type="dxa"/>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Oštećenje funkcije jetre,</w:t>
            </w:r>
          </w:p>
          <w:p w:rsidR="00E02EDE" w:rsidRPr="00042A6C" w:rsidRDefault="00E02EDE" w:rsidP="00F162C4">
            <w:pPr>
              <w:widowControl w:val="0"/>
              <w:autoSpaceDE w:val="0"/>
              <w:autoSpaceDN w:val="0"/>
              <w:spacing w:line="205" w:lineRule="exact"/>
              <w:rPr>
                <w:sz w:val="22"/>
                <w:szCs w:val="22"/>
                <w:lang w:val="sr-Latn-ME"/>
              </w:rPr>
            </w:pPr>
            <w:r w:rsidRPr="00042A6C">
              <w:rPr>
                <w:sz w:val="22"/>
                <w:szCs w:val="22"/>
                <w:lang w:val="sr-Latn-ME"/>
              </w:rPr>
              <w:t>povećanje koncentracija bilirubina, povećanje vrijednost</w:t>
            </w:r>
            <w:r w:rsidR="00F162C4" w:rsidRPr="00042A6C">
              <w:rPr>
                <w:sz w:val="22"/>
                <w:szCs w:val="22"/>
                <w:lang w:val="sr-Latn-ME"/>
              </w:rPr>
              <w:t>i</w:t>
            </w:r>
            <w:r w:rsidRPr="00042A6C">
              <w:rPr>
                <w:sz w:val="22"/>
                <w:szCs w:val="22"/>
                <w:lang w:val="sr-Latn-ME"/>
              </w:rPr>
              <w:t xml:space="preserve"> alkalne fosfataze</w:t>
            </w:r>
            <w:r w:rsidRPr="00042A6C">
              <w:rPr>
                <w:sz w:val="22"/>
                <w:szCs w:val="22"/>
                <w:vertAlign w:val="superscript"/>
                <w:lang w:val="sr-Latn-ME"/>
              </w:rPr>
              <w:t>A</w:t>
            </w:r>
            <w:r w:rsidRPr="00042A6C">
              <w:rPr>
                <w:sz w:val="22"/>
                <w:szCs w:val="22"/>
                <w:lang w:val="sr-Latn-ME"/>
              </w:rPr>
              <w:t xml:space="preserve">, </w:t>
            </w:r>
            <w:r w:rsidR="00F162C4" w:rsidRPr="00042A6C">
              <w:rPr>
                <w:sz w:val="22"/>
                <w:szCs w:val="22"/>
                <w:lang w:val="sr-Latn-ME"/>
              </w:rPr>
              <w:t xml:space="preserve">povećanje </w:t>
            </w:r>
            <w:r w:rsidRPr="00042A6C">
              <w:rPr>
                <w:sz w:val="22"/>
                <w:szCs w:val="22"/>
                <w:lang w:val="sr-Latn-ME"/>
              </w:rPr>
              <w:t>vrijednosti GGT</w:t>
            </w:r>
            <w:r w:rsidRPr="00042A6C">
              <w:rPr>
                <w:sz w:val="22"/>
                <w:szCs w:val="22"/>
                <w:vertAlign w:val="superscript"/>
                <w:lang w:val="sr-Latn-ME"/>
              </w:rPr>
              <w:t>A</w:t>
            </w:r>
          </w:p>
        </w:tc>
        <w:tc>
          <w:tcPr>
            <w:tcW w:w="1849" w:type="dxa"/>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Žutica, povećana koncentracija konjugovanog</w:t>
            </w:r>
          </w:p>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bilirubina (sa ili bez istovremenog povećanja ALT), holestaza,</w:t>
            </w:r>
          </w:p>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hepatitis (uključujući</w:t>
            </w:r>
          </w:p>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hepatocelularno oštećenje)</w:t>
            </w:r>
          </w:p>
        </w:tc>
        <w:tc>
          <w:tcPr>
            <w:tcW w:w="1805" w:type="dxa"/>
          </w:tcPr>
          <w:p w:rsidR="00E02EDE" w:rsidRPr="00042A6C" w:rsidRDefault="00E02EDE" w:rsidP="00091295">
            <w:pPr>
              <w:tabs>
                <w:tab w:val="left" w:pos="540"/>
                <w:tab w:val="left" w:pos="569"/>
              </w:tabs>
              <w:rPr>
                <w:b/>
                <w:bCs/>
                <w:sz w:val="22"/>
                <w:szCs w:val="22"/>
                <w:lang w:val="sr-Latn-ME"/>
              </w:rPr>
            </w:pPr>
          </w:p>
        </w:tc>
        <w:tc>
          <w:tcPr>
            <w:tcW w:w="1640" w:type="dxa"/>
          </w:tcPr>
          <w:p w:rsidR="00E02EDE" w:rsidRPr="00042A6C" w:rsidRDefault="00E02EDE" w:rsidP="00091295">
            <w:pPr>
              <w:tabs>
                <w:tab w:val="left" w:pos="540"/>
                <w:tab w:val="left" w:pos="569"/>
              </w:tabs>
              <w:rPr>
                <w:b/>
                <w:bCs/>
                <w:sz w:val="22"/>
                <w:szCs w:val="22"/>
                <w:lang w:val="sr-Latn-ME"/>
              </w:rPr>
            </w:pPr>
          </w:p>
        </w:tc>
      </w:tr>
      <w:tr w:rsidR="00E02EDE" w:rsidRPr="00042A6C" w:rsidTr="00091295">
        <w:tc>
          <w:tcPr>
            <w:tcW w:w="9063" w:type="dxa"/>
            <w:gridSpan w:val="5"/>
            <w:tcBorders>
              <w:left w:val="single" w:sz="2" w:space="0" w:color="000000"/>
            </w:tcBorders>
          </w:tcPr>
          <w:p w:rsidR="00E02EDE" w:rsidRPr="00042A6C" w:rsidRDefault="00E02EDE" w:rsidP="00091295">
            <w:pPr>
              <w:widowControl w:val="0"/>
              <w:autoSpaceDE w:val="0"/>
              <w:autoSpaceDN w:val="0"/>
              <w:spacing w:line="205" w:lineRule="exact"/>
              <w:rPr>
                <w:b/>
                <w:sz w:val="22"/>
                <w:szCs w:val="22"/>
                <w:lang w:val="sr-Latn-ME"/>
              </w:rPr>
            </w:pPr>
            <w:r w:rsidRPr="00042A6C">
              <w:rPr>
                <w:b/>
                <w:sz w:val="22"/>
                <w:szCs w:val="22"/>
                <w:lang w:val="sr-Latn-ME"/>
              </w:rPr>
              <w:t>Poremećaji kože i potkožnog tkiva</w:t>
            </w:r>
          </w:p>
        </w:tc>
      </w:tr>
      <w:tr w:rsidR="00E02EDE" w:rsidRPr="00042A6C" w:rsidTr="00091295">
        <w:tc>
          <w:tcPr>
            <w:tcW w:w="1952" w:type="dxa"/>
            <w:tcBorders>
              <w:left w:val="single" w:sz="2" w:space="0" w:color="000000"/>
            </w:tcBorders>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Pruritus</w:t>
            </w:r>
          </w:p>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(uključujući povremene slučajeve generalizovanog pruritusa), osip, ekhimoza,</w:t>
            </w:r>
          </w:p>
          <w:p w:rsidR="00E02EDE" w:rsidRPr="00042A6C" w:rsidRDefault="00E02EDE" w:rsidP="00F162C4">
            <w:pPr>
              <w:widowControl w:val="0"/>
              <w:autoSpaceDE w:val="0"/>
              <w:autoSpaceDN w:val="0"/>
              <w:spacing w:line="205" w:lineRule="exact"/>
              <w:rPr>
                <w:sz w:val="22"/>
                <w:szCs w:val="22"/>
                <w:lang w:val="sr-Latn-ME"/>
              </w:rPr>
            </w:pPr>
            <w:r w:rsidRPr="00042A6C">
              <w:rPr>
                <w:sz w:val="22"/>
                <w:szCs w:val="22"/>
                <w:lang w:val="sr-Latn-ME"/>
              </w:rPr>
              <w:t xml:space="preserve">kutano i </w:t>
            </w:r>
            <w:r w:rsidR="00F162C4" w:rsidRPr="00042A6C">
              <w:rPr>
                <w:sz w:val="22"/>
                <w:szCs w:val="22"/>
                <w:lang w:val="sr-Latn-ME"/>
              </w:rPr>
              <w:t xml:space="preserve">subkutano </w:t>
            </w:r>
            <w:r w:rsidRPr="00042A6C">
              <w:rPr>
                <w:sz w:val="22"/>
                <w:szCs w:val="22"/>
                <w:lang w:val="sr-Latn-ME"/>
              </w:rPr>
              <w:t>krvarenje</w:t>
            </w:r>
          </w:p>
        </w:tc>
        <w:tc>
          <w:tcPr>
            <w:tcW w:w="1817" w:type="dxa"/>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Urtikarija</w:t>
            </w:r>
          </w:p>
        </w:tc>
        <w:tc>
          <w:tcPr>
            <w:tcW w:w="1849" w:type="dxa"/>
          </w:tcPr>
          <w:p w:rsidR="00E02EDE" w:rsidRPr="00042A6C" w:rsidRDefault="00E02EDE" w:rsidP="00091295">
            <w:pPr>
              <w:widowControl w:val="0"/>
              <w:autoSpaceDE w:val="0"/>
              <w:autoSpaceDN w:val="0"/>
              <w:spacing w:line="205" w:lineRule="exact"/>
              <w:rPr>
                <w:sz w:val="22"/>
                <w:szCs w:val="22"/>
                <w:lang w:val="sr-Latn-ME"/>
              </w:rPr>
            </w:pPr>
          </w:p>
        </w:tc>
        <w:tc>
          <w:tcPr>
            <w:tcW w:w="1805" w:type="dxa"/>
          </w:tcPr>
          <w:p w:rsidR="00E02EDE" w:rsidRPr="00042A6C" w:rsidRDefault="00E02EDE" w:rsidP="00F162C4">
            <w:pPr>
              <w:widowControl w:val="0"/>
              <w:autoSpaceDE w:val="0"/>
              <w:autoSpaceDN w:val="0"/>
              <w:spacing w:line="205" w:lineRule="exact"/>
              <w:rPr>
                <w:sz w:val="22"/>
                <w:szCs w:val="22"/>
                <w:lang w:val="sr-Latn-ME"/>
              </w:rPr>
            </w:pPr>
            <w:r w:rsidRPr="00042A6C">
              <w:rPr>
                <w:i/>
                <w:sz w:val="22"/>
                <w:szCs w:val="22"/>
                <w:lang w:val="sr-Latn-ME"/>
              </w:rPr>
              <w:t>Stevens-Johnson</w:t>
            </w:r>
            <w:r w:rsidRPr="00042A6C">
              <w:rPr>
                <w:sz w:val="22"/>
                <w:szCs w:val="22"/>
                <w:lang w:val="sr-Latn-ME"/>
              </w:rPr>
              <w:t>-ov sindrom/</w:t>
            </w:r>
            <w:r w:rsidR="00F162C4" w:rsidRPr="00042A6C">
              <w:rPr>
                <w:sz w:val="22"/>
                <w:szCs w:val="22"/>
                <w:lang w:val="sr-Latn-ME"/>
              </w:rPr>
              <w:t xml:space="preserve">toksična </w:t>
            </w:r>
            <w:r w:rsidRPr="00042A6C">
              <w:rPr>
                <w:sz w:val="22"/>
                <w:szCs w:val="22"/>
                <w:lang w:val="sr-Latn-ME"/>
              </w:rPr>
              <w:t>epidermalna nekroliza, DRESS sindrom</w:t>
            </w:r>
          </w:p>
        </w:tc>
        <w:tc>
          <w:tcPr>
            <w:tcW w:w="1640" w:type="dxa"/>
          </w:tcPr>
          <w:p w:rsidR="00E02EDE" w:rsidRPr="00042A6C" w:rsidRDefault="00E02EDE" w:rsidP="00091295">
            <w:pPr>
              <w:widowControl w:val="0"/>
              <w:autoSpaceDE w:val="0"/>
              <w:autoSpaceDN w:val="0"/>
              <w:spacing w:line="205" w:lineRule="exact"/>
              <w:rPr>
                <w:sz w:val="22"/>
                <w:szCs w:val="22"/>
                <w:lang w:val="sr-Latn-ME"/>
              </w:rPr>
            </w:pPr>
          </w:p>
        </w:tc>
      </w:tr>
      <w:tr w:rsidR="00E02EDE" w:rsidRPr="00042A6C" w:rsidTr="00091295">
        <w:tc>
          <w:tcPr>
            <w:tcW w:w="9063" w:type="dxa"/>
            <w:gridSpan w:val="5"/>
            <w:tcBorders>
              <w:left w:val="single" w:sz="2" w:space="0" w:color="000000"/>
            </w:tcBorders>
          </w:tcPr>
          <w:p w:rsidR="00E02EDE" w:rsidRPr="00042A6C" w:rsidRDefault="00E02EDE" w:rsidP="00F162C4">
            <w:pPr>
              <w:widowControl w:val="0"/>
              <w:autoSpaceDE w:val="0"/>
              <w:autoSpaceDN w:val="0"/>
              <w:spacing w:line="205" w:lineRule="exact"/>
              <w:rPr>
                <w:b/>
                <w:sz w:val="22"/>
                <w:szCs w:val="22"/>
                <w:lang w:val="sr-Latn-ME"/>
              </w:rPr>
            </w:pPr>
            <w:r w:rsidRPr="00042A6C">
              <w:rPr>
                <w:b/>
                <w:sz w:val="22"/>
                <w:szCs w:val="22"/>
                <w:lang w:val="sr-Latn-ME"/>
              </w:rPr>
              <w:t>Poremećaji mišićno-</w:t>
            </w:r>
            <w:r w:rsidR="00F162C4" w:rsidRPr="00042A6C">
              <w:rPr>
                <w:b/>
                <w:sz w:val="22"/>
                <w:szCs w:val="22"/>
                <w:lang w:val="sr-Latn-ME"/>
              </w:rPr>
              <w:t xml:space="preserve">kostnog </w:t>
            </w:r>
            <w:r w:rsidRPr="00042A6C">
              <w:rPr>
                <w:b/>
                <w:sz w:val="22"/>
                <w:szCs w:val="22"/>
                <w:lang w:val="sr-Latn-ME"/>
              </w:rPr>
              <w:t>sistema i vezivnog tkiva</w:t>
            </w:r>
          </w:p>
        </w:tc>
      </w:tr>
      <w:tr w:rsidR="00E02EDE" w:rsidRPr="00042A6C" w:rsidTr="00091295">
        <w:tc>
          <w:tcPr>
            <w:tcW w:w="1952" w:type="dxa"/>
            <w:tcBorders>
              <w:left w:val="single" w:sz="2" w:space="0" w:color="000000"/>
            </w:tcBorders>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Bol u ekstremitetu</w:t>
            </w:r>
            <w:r w:rsidRPr="00042A6C">
              <w:rPr>
                <w:sz w:val="22"/>
                <w:szCs w:val="22"/>
                <w:vertAlign w:val="superscript"/>
                <w:lang w:val="sr-Latn-ME"/>
              </w:rPr>
              <w:t>A</w:t>
            </w:r>
          </w:p>
        </w:tc>
        <w:tc>
          <w:tcPr>
            <w:tcW w:w="1817" w:type="dxa"/>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Hemartroza</w:t>
            </w:r>
          </w:p>
        </w:tc>
        <w:tc>
          <w:tcPr>
            <w:tcW w:w="1849" w:type="dxa"/>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Krvarenje iz mišića</w:t>
            </w:r>
          </w:p>
        </w:tc>
        <w:tc>
          <w:tcPr>
            <w:tcW w:w="1805" w:type="dxa"/>
          </w:tcPr>
          <w:p w:rsidR="00E02EDE" w:rsidRPr="00042A6C" w:rsidRDefault="00E02EDE" w:rsidP="00091295">
            <w:pPr>
              <w:widowControl w:val="0"/>
              <w:autoSpaceDE w:val="0"/>
              <w:autoSpaceDN w:val="0"/>
              <w:spacing w:line="205" w:lineRule="exact"/>
              <w:rPr>
                <w:sz w:val="22"/>
                <w:szCs w:val="22"/>
                <w:lang w:val="sr-Latn-ME"/>
              </w:rPr>
            </w:pPr>
          </w:p>
        </w:tc>
        <w:tc>
          <w:tcPr>
            <w:tcW w:w="1640" w:type="dxa"/>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Kompartment sindrom</w:t>
            </w:r>
          </w:p>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nakon krvarenja</w:t>
            </w:r>
          </w:p>
        </w:tc>
      </w:tr>
      <w:tr w:rsidR="00E02EDE" w:rsidRPr="00042A6C" w:rsidTr="00091295">
        <w:tc>
          <w:tcPr>
            <w:tcW w:w="9063" w:type="dxa"/>
            <w:gridSpan w:val="5"/>
          </w:tcPr>
          <w:p w:rsidR="00E02EDE" w:rsidRPr="00042A6C" w:rsidRDefault="00E02EDE" w:rsidP="00091295">
            <w:pPr>
              <w:tabs>
                <w:tab w:val="left" w:pos="540"/>
                <w:tab w:val="left" w:pos="569"/>
              </w:tabs>
              <w:rPr>
                <w:b/>
                <w:bCs/>
                <w:sz w:val="22"/>
                <w:szCs w:val="22"/>
                <w:lang w:val="sr-Latn-ME"/>
              </w:rPr>
            </w:pPr>
            <w:r w:rsidRPr="00042A6C">
              <w:rPr>
                <w:b/>
                <w:bCs/>
                <w:sz w:val="22"/>
                <w:szCs w:val="22"/>
                <w:lang w:val="sr-Latn-ME"/>
              </w:rPr>
              <w:t>Poremećaji bubrega i urinarnog sistema</w:t>
            </w:r>
          </w:p>
        </w:tc>
      </w:tr>
      <w:tr w:rsidR="00E02EDE" w:rsidRPr="00042A6C" w:rsidTr="00091295">
        <w:tc>
          <w:tcPr>
            <w:tcW w:w="1952" w:type="dxa"/>
            <w:tcBorders>
              <w:left w:val="single" w:sz="2" w:space="0" w:color="000000"/>
            </w:tcBorders>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Krvarenje iz</w:t>
            </w:r>
          </w:p>
          <w:p w:rsidR="00E02EDE" w:rsidRPr="00042A6C" w:rsidRDefault="00E02EDE" w:rsidP="006F7D7B">
            <w:pPr>
              <w:widowControl w:val="0"/>
              <w:autoSpaceDE w:val="0"/>
              <w:autoSpaceDN w:val="0"/>
              <w:spacing w:line="205" w:lineRule="exact"/>
              <w:rPr>
                <w:sz w:val="22"/>
                <w:szCs w:val="22"/>
                <w:lang w:val="sr-Latn-ME"/>
              </w:rPr>
            </w:pPr>
            <w:r w:rsidRPr="00042A6C">
              <w:rPr>
                <w:sz w:val="22"/>
                <w:szCs w:val="22"/>
                <w:lang w:val="sr-Latn-ME"/>
              </w:rPr>
              <w:t>urogenitalnog trakta (uključujući hematuriju i menoragiju</w:t>
            </w:r>
            <w:r w:rsidRPr="00042A6C">
              <w:rPr>
                <w:sz w:val="22"/>
                <w:szCs w:val="22"/>
                <w:vertAlign w:val="superscript"/>
                <w:lang w:val="sr-Latn-ME"/>
              </w:rPr>
              <w:t>B</w:t>
            </w:r>
            <w:r w:rsidRPr="00042A6C">
              <w:rPr>
                <w:sz w:val="22"/>
                <w:szCs w:val="22"/>
                <w:lang w:val="sr-Latn-ME"/>
              </w:rPr>
              <w:t>)</w:t>
            </w:r>
            <w:r w:rsidR="006F7D7B" w:rsidRPr="00042A6C">
              <w:rPr>
                <w:sz w:val="22"/>
                <w:szCs w:val="22"/>
                <w:lang w:val="sr-Latn-ME"/>
              </w:rPr>
              <w:t>,</w:t>
            </w:r>
            <w:r w:rsidRPr="00042A6C">
              <w:rPr>
                <w:sz w:val="22"/>
                <w:szCs w:val="22"/>
                <w:lang w:val="sr-Latn-ME"/>
              </w:rPr>
              <w:t xml:space="preserve"> </w:t>
            </w:r>
            <w:r w:rsidR="006F7D7B" w:rsidRPr="00042A6C">
              <w:rPr>
                <w:sz w:val="22"/>
                <w:szCs w:val="22"/>
                <w:lang w:val="sr-Latn-ME"/>
              </w:rPr>
              <w:t xml:space="preserve">oštećenje </w:t>
            </w:r>
            <w:r w:rsidRPr="00042A6C">
              <w:rPr>
                <w:sz w:val="22"/>
                <w:szCs w:val="22"/>
                <w:lang w:val="sr-Latn-ME"/>
              </w:rPr>
              <w:t>funkcije bubrega (uključujući povećanu koncentraciju kreatinina u krvi, povećanu koncentraciju uree u krvi)</w:t>
            </w:r>
          </w:p>
        </w:tc>
        <w:tc>
          <w:tcPr>
            <w:tcW w:w="1817" w:type="dxa"/>
          </w:tcPr>
          <w:p w:rsidR="00E02EDE" w:rsidRPr="00042A6C" w:rsidRDefault="00E02EDE" w:rsidP="00091295">
            <w:pPr>
              <w:widowControl w:val="0"/>
              <w:autoSpaceDE w:val="0"/>
              <w:autoSpaceDN w:val="0"/>
              <w:spacing w:line="205" w:lineRule="exact"/>
              <w:rPr>
                <w:sz w:val="22"/>
                <w:szCs w:val="22"/>
                <w:lang w:val="sr-Latn-ME"/>
              </w:rPr>
            </w:pPr>
          </w:p>
        </w:tc>
        <w:tc>
          <w:tcPr>
            <w:tcW w:w="1849" w:type="dxa"/>
          </w:tcPr>
          <w:p w:rsidR="00E02EDE" w:rsidRPr="00042A6C" w:rsidRDefault="00E02EDE" w:rsidP="00091295">
            <w:pPr>
              <w:widowControl w:val="0"/>
              <w:autoSpaceDE w:val="0"/>
              <w:autoSpaceDN w:val="0"/>
              <w:spacing w:line="205" w:lineRule="exact"/>
              <w:rPr>
                <w:sz w:val="22"/>
                <w:szCs w:val="22"/>
                <w:lang w:val="sr-Latn-ME"/>
              </w:rPr>
            </w:pPr>
          </w:p>
        </w:tc>
        <w:tc>
          <w:tcPr>
            <w:tcW w:w="1805" w:type="dxa"/>
          </w:tcPr>
          <w:p w:rsidR="00E02EDE" w:rsidRPr="00042A6C" w:rsidRDefault="00E02EDE" w:rsidP="00091295">
            <w:pPr>
              <w:widowControl w:val="0"/>
              <w:autoSpaceDE w:val="0"/>
              <w:autoSpaceDN w:val="0"/>
              <w:spacing w:line="205" w:lineRule="exact"/>
              <w:rPr>
                <w:sz w:val="22"/>
                <w:szCs w:val="22"/>
                <w:lang w:val="sr-Latn-ME"/>
              </w:rPr>
            </w:pPr>
          </w:p>
        </w:tc>
        <w:tc>
          <w:tcPr>
            <w:tcW w:w="1640" w:type="dxa"/>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Insuficijencija</w:t>
            </w:r>
          </w:p>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bubrega</w:t>
            </w:r>
          </w:p>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/akutna insuficijencija bubrega nakon krvarenja koje je dovoljno da izazove hipoperfuziju</w:t>
            </w:r>
          </w:p>
        </w:tc>
      </w:tr>
      <w:tr w:rsidR="00E02EDE" w:rsidRPr="00042A6C" w:rsidTr="00091295">
        <w:tc>
          <w:tcPr>
            <w:tcW w:w="9063" w:type="dxa"/>
            <w:gridSpan w:val="5"/>
            <w:tcBorders>
              <w:left w:val="single" w:sz="2" w:space="0" w:color="000000"/>
            </w:tcBorders>
          </w:tcPr>
          <w:p w:rsidR="00E02EDE" w:rsidRPr="00042A6C" w:rsidRDefault="00E02EDE" w:rsidP="00091295">
            <w:pPr>
              <w:widowControl w:val="0"/>
              <w:autoSpaceDE w:val="0"/>
              <w:autoSpaceDN w:val="0"/>
              <w:spacing w:line="205" w:lineRule="exact"/>
              <w:rPr>
                <w:b/>
                <w:sz w:val="22"/>
                <w:szCs w:val="22"/>
                <w:lang w:val="sr-Latn-ME"/>
              </w:rPr>
            </w:pPr>
            <w:r w:rsidRPr="00042A6C">
              <w:rPr>
                <w:b/>
                <w:sz w:val="22"/>
                <w:szCs w:val="22"/>
                <w:lang w:val="sr-Latn-ME"/>
              </w:rPr>
              <w:t>Opšti poremećaji i reakcije na mjestu primjene</w:t>
            </w:r>
          </w:p>
        </w:tc>
      </w:tr>
      <w:tr w:rsidR="00E02EDE" w:rsidRPr="00042A6C" w:rsidTr="00091295">
        <w:tc>
          <w:tcPr>
            <w:tcW w:w="1952" w:type="dxa"/>
            <w:tcBorders>
              <w:left w:val="single" w:sz="2" w:space="0" w:color="000000"/>
            </w:tcBorders>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Povišena tjelesna</w:t>
            </w:r>
          </w:p>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temperatura (groznica)</w:t>
            </w:r>
            <w:r w:rsidRPr="00042A6C">
              <w:rPr>
                <w:sz w:val="22"/>
                <w:szCs w:val="22"/>
                <w:vertAlign w:val="superscript"/>
                <w:lang w:val="sr-Latn-ME"/>
              </w:rPr>
              <w:t>A</w:t>
            </w:r>
            <w:r w:rsidRPr="00042A6C">
              <w:rPr>
                <w:sz w:val="22"/>
                <w:szCs w:val="22"/>
                <w:lang w:val="sr-Latn-ME"/>
              </w:rPr>
              <w:t>,</w:t>
            </w:r>
          </w:p>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periferni edem, smanjena opšta snaga i energija</w:t>
            </w:r>
          </w:p>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(uključujući zamor i asteniju)</w:t>
            </w:r>
          </w:p>
        </w:tc>
        <w:tc>
          <w:tcPr>
            <w:tcW w:w="1817" w:type="dxa"/>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Opšte loše stanje</w:t>
            </w:r>
          </w:p>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(uključujući malaksalost)</w:t>
            </w:r>
          </w:p>
        </w:tc>
        <w:tc>
          <w:tcPr>
            <w:tcW w:w="1849" w:type="dxa"/>
          </w:tcPr>
          <w:p w:rsidR="00E02EDE" w:rsidRPr="00042A6C" w:rsidRDefault="00E02EDE" w:rsidP="00091295">
            <w:pPr>
              <w:widowControl w:val="0"/>
              <w:autoSpaceDE w:val="0"/>
              <w:autoSpaceDN w:val="0"/>
              <w:spacing w:line="205" w:lineRule="exact"/>
              <w:rPr>
                <w:sz w:val="22"/>
                <w:szCs w:val="22"/>
                <w:lang w:val="sr-Latn-ME"/>
              </w:rPr>
            </w:pPr>
            <w:r w:rsidRPr="00042A6C">
              <w:rPr>
                <w:sz w:val="22"/>
                <w:szCs w:val="22"/>
                <w:lang w:val="sr-Latn-ME"/>
              </w:rPr>
              <w:t>Lokalizovani edem</w:t>
            </w:r>
            <w:r w:rsidRPr="00042A6C">
              <w:rPr>
                <w:sz w:val="22"/>
                <w:szCs w:val="22"/>
                <w:vertAlign w:val="superscript"/>
                <w:lang w:val="sr-Latn-ME"/>
              </w:rPr>
              <w:t>A</w:t>
            </w:r>
          </w:p>
        </w:tc>
        <w:tc>
          <w:tcPr>
            <w:tcW w:w="1805" w:type="dxa"/>
          </w:tcPr>
          <w:p w:rsidR="00E02EDE" w:rsidRPr="00042A6C" w:rsidRDefault="00E02EDE" w:rsidP="00091295">
            <w:pPr>
              <w:widowControl w:val="0"/>
              <w:autoSpaceDE w:val="0"/>
              <w:autoSpaceDN w:val="0"/>
              <w:spacing w:line="205" w:lineRule="exact"/>
              <w:rPr>
                <w:sz w:val="22"/>
                <w:szCs w:val="22"/>
                <w:lang w:val="sr-Latn-ME"/>
              </w:rPr>
            </w:pPr>
          </w:p>
        </w:tc>
        <w:tc>
          <w:tcPr>
            <w:tcW w:w="1640" w:type="dxa"/>
          </w:tcPr>
          <w:p w:rsidR="00E02EDE" w:rsidRPr="00042A6C" w:rsidRDefault="00E02EDE" w:rsidP="00091295">
            <w:pPr>
              <w:widowControl w:val="0"/>
              <w:autoSpaceDE w:val="0"/>
              <w:autoSpaceDN w:val="0"/>
              <w:spacing w:line="205" w:lineRule="exact"/>
              <w:rPr>
                <w:sz w:val="22"/>
                <w:szCs w:val="22"/>
                <w:lang w:val="sr-Latn-ME"/>
              </w:rPr>
            </w:pPr>
          </w:p>
        </w:tc>
      </w:tr>
      <w:tr w:rsidR="00E02EDE" w:rsidRPr="00042A6C" w:rsidTr="00091295">
        <w:tc>
          <w:tcPr>
            <w:tcW w:w="9063" w:type="dxa"/>
            <w:gridSpan w:val="5"/>
          </w:tcPr>
          <w:p w:rsidR="00E02EDE" w:rsidRPr="00042A6C" w:rsidRDefault="00F162C4" w:rsidP="00091295">
            <w:pPr>
              <w:tabs>
                <w:tab w:val="left" w:pos="540"/>
                <w:tab w:val="left" w:pos="569"/>
              </w:tabs>
              <w:rPr>
                <w:b/>
                <w:bCs/>
                <w:sz w:val="22"/>
                <w:szCs w:val="22"/>
                <w:lang w:val="sr-Latn-ME"/>
              </w:rPr>
            </w:pPr>
            <w:r w:rsidRPr="00042A6C">
              <w:rPr>
                <w:b/>
                <w:bCs/>
                <w:sz w:val="22"/>
                <w:szCs w:val="22"/>
                <w:lang w:val="sr-Latn-ME"/>
              </w:rPr>
              <w:t>Ispitivanja</w:t>
            </w:r>
          </w:p>
        </w:tc>
      </w:tr>
      <w:tr w:rsidR="00E02EDE" w:rsidRPr="00042A6C" w:rsidTr="00091295">
        <w:tc>
          <w:tcPr>
            <w:tcW w:w="1952" w:type="dxa"/>
            <w:tcBorders>
              <w:top w:val="single" w:sz="2" w:space="0" w:color="000000"/>
              <w:left w:val="single" w:sz="2" w:space="0" w:color="000000"/>
            </w:tcBorders>
          </w:tcPr>
          <w:p w:rsidR="00E02EDE" w:rsidRPr="00042A6C" w:rsidRDefault="00E02EDE" w:rsidP="00091295">
            <w:pPr>
              <w:widowControl w:val="0"/>
              <w:autoSpaceDE w:val="0"/>
              <w:autoSpaceDN w:val="0"/>
              <w:rPr>
                <w:sz w:val="22"/>
                <w:szCs w:val="22"/>
                <w:lang w:val="sr-Latn-ME"/>
              </w:rPr>
            </w:pPr>
          </w:p>
        </w:tc>
        <w:tc>
          <w:tcPr>
            <w:tcW w:w="1817" w:type="dxa"/>
            <w:tcBorders>
              <w:top w:val="single" w:sz="2" w:space="0" w:color="000000"/>
            </w:tcBorders>
          </w:tcPr>
          <w:p w:rsidR="00E02EDE" w:rsidRPr="00042A6C" w:rsidRDefault="00E02EDE" w:rsidP="00091295">
            <w:pPr>
              <w:widowControl w:val="0"/>
              <w:autoSpaceDE w:val="0"/>
              <w:autoSpaceDN w:val="0"/>
              <w:rPr>
                <w:sz w:val="22"/>
                <w:szCs w:val="22"/>
                <w:lang w:val="sr-Latn-ME"/>
              </w:rPr>
            </w:pPr>
            <w:r w:rsidRPr="00042A6C">
              <w:rPr>
                <w:sz w:val="22"/>
                <w:szCs w:val="22"/>
                <w:lang w:val="sr-Latn-ME"/>
              </w:rPr>
              <w:t>Povećana vrijednost LDH</w:t>
            </w:r>
            <w:r w:rsidRPr="00042A6C">
              <w:rPr>
                <w:sz w:val="22"/>
                <w:szCs w:val="22"/>
                <w:vertAlign w:val="superscript"/>
                <w:lang w:val="sr-Latn-ME"/>
              </w:rPr>
              <w:t>A</w:t>
            </w:r>
            <w:r w:rsidRPr="00042A6C">
              <w:rPr>
                <w:sz w:val="22"/>
                <w:szCs w:val="22"/>
                <w:lang w:val="sr-Latn-ME"/>
              </w:rPr>
              <w:t>, povećana vrijednost lipaza</w:t>
            </w:r>
            <w:r w:rsidRPr="00042A6C">
              <w:rPr>
                <w:sz w:val="22"/>
                <w:szCs w:val="22"/>
                <w:vertAlign w:val="superscript"/>
                <w:lang w:val="sr-Latn-ME"/>
              </w:rPr>
              <w:t>A</w:t>
            </w:r>
            <w:r w:rsidRPr="00042A6C">
              <w:rPr>
                <w:sz w:val="22"/>
                <w:szCs w:val="22"/>
                <w:lang w:val="sr-Latn-ME"/>
              </w:rPr>
              <w:t>, povećana vrijednost amilaza</w:t>
            </w:r>
            <w:r w:rsidRPr="00042A6C">
              <w:rPr>
                <w:sz w:val="22"/>
                <w:szCs w:val="22"/>
                <w:vertAlign w:val="superscript"/>
                <w:lang w:val="sr-Latn-ME"/>
              </w:rPr>
              <w:t>A</w:t>
            </w:r>
          </w:p>
        </w:tc>
        <w:tc>
          <w:tcPr>
            <w:tcW w:w="1849" w:type="dxa"/>
            <w:tcBorders>
              <w:top w:val="single" w:sz="2" w:space="0" w:color="000000"/>
            </w:tcBorders>
          </w:tcPr>
          <w:p w:rsidR="00E02EDE" w:rsidRPr="00042A6C" w:rsidRDefault="00E02EDE" w:rsidP="00091295">
            <w:pPr>
              <w:widowControl w:val="0"/>
              <w:autoSpaceDE w:val="0"/>
              <w:autoSpaceDN w:val="0"/>
              <w:rPr>
                <w:sz w:val="22"/>
                <w:szCs w:val="22"/>
                <w:lang w:val="sr-Latn-ME"/>
              </w:rPr>
            </w:pPr>
          </w:p>
        </w:tc>
        <w:tc>
          <w:tcPr>
            <w:tcW w:w="1805" w:type="dxa"/>
            <w:tcBorders>
              <w:top w:val="single" w:sz="2" w:space="0" w:color="000000"/>
            </w:tcBorders>
          </w:tcPr>
          <w:p w:rsidR="00E02EDE" w:rsidRPr="00042A6C" w:rsidRDefault="00E02EDE" w:rsidP="00091295">
            <w:pPr>
              <w:widowControl w:val="0"/>
              <w:autoSpaceDE w:val="0"/>
              <w:autoSpaceDN w:val="0"/>
              <w:rPr>
                <w:sz w:val="22"/>
                <w:szCs w:val="22"/>
                <w:lang w:val="sr-Latn-ME"/>
              </w:rPr>
            </w:pPr>
          </w:p>
        </w:tc>
        <w:tc>
          <w:tcPr>
            <w:tcW w:w="1640" w:type="dxa"/>
            <w:tcBorders>
              <w:top w:val="single" w:sz="2" w:space="0" w:color="000000"/>
            </w:tcBorders>
          </w:tcPr>
          <w:p w:rsidR="00E02EDE" w:rsidRPr="00042A6C" w:rsidRDefault="00E02EDE" w:rsidP="00091295">
            <w:pPr>
              <w:widowControl w:val="0"/>
              <w:autoSpaceDE w:val="0"/>
              <w:autoSpaceDN w:val="0"/>
              <w:rPr>
                <w:sz w:val="22"/>
                <w:szCs w:val="22"/>
                <w:lang w:val="sr-Latn-ME"/>
              </w:rPr>
            </w:pPr>
          </w:p>
        </w:tc>
      </w:tr>
      <w:tr w:rsidR="00E02EDE" w:rsidRPr="00042A6C" w:rsidTr="00091295">
        <w:tc>
          <w:tcPr>
            <w:tcW w:w="9063" w:type="dxa"/>
            <w:gridSpan w:val="5"/>
            <w:tcBorders>
              <w:left w:val="single" w:sz="2" w:space="0" w:color="000000"/>
            </w:tcBorders>
          </w:tcPr>
          <w:p w:rsidR="00E02EDE" w:rsidRPr="00042A6C" w:rsidRDefault="00E02EDE" w:rsidP="00091295">
            <w:pPr>
              <w:widowControl w:val="0"/>
              <w:autoSpaceDE w:val="0"/>
              <w:autoSpaceDN w:val="0"/>
              <w:spacing w:line="205" w:lineRule="exact"/>
              <w:ind w:left="7"/>
              <w:rPr>
                <w:b/>
                <w:sz w:val="22"/>
                <w:szCs w:val="22"/>
                <w:lang w:val="sr-Latn-ME"/>
              </w:rPr>
            </w:pPr>
            <w:r w:rsidRPr="00042A6C">
              <w:rPr>
                <w:b/>
                <w:w w:val="105"/>
                <w:sz w:val="22"/>
                <w:szCs w:val="22"/>
                <w:lang w:val="sr-Latn-ME"/>
              </w:rPr>
              <w:lastRenderedPageBreak/>
              <w:t>Povrede, trovanja i proceduralne komplikacije</w:t>
            </w:r>
          </w:p>
        </w:tc>
      </w:tr>
      <w:tr w:rsidR="00E02EDE" w:rsidRPr="00042A6C" w:rsidTr="00091295">
        <w:trPr>
          <w:trHeight w:val="2042"/>
        </w:trPr>
        <w:tc>
          <w:tcPr>
            <w:tcW w:w="1952" w:type="dxa"/>
            <w:tcBorders>
              <w:left w:val="single" w:sz="2" w:space="0" w:color="000000"/>
            </w:tcBorders>
          </w:tcPr>
          <w:p w:rsidR="00E02EDE" w:rsidRPr="00042A6C" w:rsidRDefault="00E02EDE" w:rsidP="00091295">
            <w:pPr>
              <w:widowControl w:val="0"/>
              <w:autoSpaceDE w:val="0"/>
              <w:autoSpaceDN w:val="0"/>
              <w:spacing w:line="238" w:lineRule="exact"/>
              <w:ind w:left="7"/>
              <w:rPr>
                <w:sz w:val="22"/>
                <w:szCs w:val="22"/>
                <w:lang w:val="sr-Latn-ME"/>
              </w:rPr>
            </w:pPr>
            <w:r w:rsidRPr="00042A6C">
              <w:rPr>
                <w:spacing w:val="5"/>
                <w:sz w:val="22"/>
                <w:szCs w:val="22"/>
                <w:lang w:val="sr-Latn-ME"/>
              </w:rPr>
              <w:t>Postintervencijsko</w:t>
            </w:r>
          </w:p>
          <w:p w:rsidR="00E02EDE" w:rsidRPr="00042A6C" w:rsidRDefault="00E02EDE" w:rsidP="00091295">
            <w:pPr>
              <w:widowControl w:val="0"/>
              <w:autoSpaceDE w:val="0"/>
              <w:autoSpaceDN w:val="0"/>
              <w:spacing w:before="7" w:line="240" w:lineRule="exact"/>
              <w:ind w:left="7"/>
              <w:rPr>
                <w:sz w:val="22"/>
                <w:szCs w:val="22"/>
                <w:lang w:val="sr-Latn-ME"/>
              </w:rPr>
            </w:pPr>
            <w:r w:rsidRPr="00042A6C">
              <w:rPr>
                <w:spacing w:val="5"/>
                <w:sz w:val="22"/>
                <w:szCs w:val="22"/>
                <w:lang w:val="sr-Latn-ME"/>
              </w:rPr>
              <w:t xml:space="preserve">krvarenje (uključujući </w:t>
            </w:r>
            <w:r w:rsidRPr="00042A6C">
              <w:rPr>
                <w:sz w:val="22"/>
                <w:szCs w:val="22"/>
                <w:lang w:val="sr-Latn-ME"/>
              </w:rPr>
              <w:t>postoperativnu anemiju i</w:t>
            </w:r>
            <w:r w:rsidRPr="00042A6C">
              <w:rPr>
                <w:spacing w:val="-12"/>
                <w:sz w:val="22"/>
                <w:szCs w:val="22"/>
                <w:lang w:val="sr-Latn-ME"/>
              </w:rPr>
              <w:t xml:space="preserve"> </w:t>
            </w:r>
            <w:r w:rsidRPr="00042A6C">
              <w:rPr>
                <w:spacing w:val="5"/>
                <w:sz w:val="22"/>
                <w:szCs w:val="22"/>
                <w:lang w:val="sr-Latn-ME"/>
              </w:rPr>
              <w:t>krvarenje</w:t>
            </w:r>
            <w:r w:rsidR="006F7D7B" w:rsidRPr="00042A6C">
              <w:rPr>
                <w:spacing w:val="5"/>
                <w:sz w:val="22"/>
                <w:szCs w:val="22"/>
                <w:lang w:val="sr-Latn-ME"/>
              </w:rPr>
              <w:t xml:space="preserve"> iz </w:t>
            </w:r>
            <w:r w:rsidRPr="00042A6C">
              <w:rPr>
                <w:sz w:val="22"/>
                <w:szCs w:val="22"/>
                <w:lang w:val="sr-Latn-ME"/>
              </w:rPr>
              <w:t>rana), kontuzija, sekrecija iz rane</w:t>
            </w:r>
            <w:r w:rsidRPr="00042A6C">
              <w:rPr>
                <w:sz w:val="22"/>
                <w:szCs w:val="22"/>
                <w:vertAlign w:val="superscript"/>
                <w:lang w:val="sr-Latn-ME"/>
              </w:rPr>
              <w:t>A</w:t>
            </w:r>
          </w:p>
        </w:tc>
        <w:tc>
          <w:tcPr>
            <w:tcW w:w="1817" w:type="dxa"/>
          </w:tcPr>
          <w:p w:rsidR="00E02EDE" w:rsidRPr="00042A6C" w:rsidRDefault="00E02EDE" w:rsidP="00091295">
            <w:pPr>
              <w:widowControl w:val="0"/>
              <w:autoSpaceDE w:val="0"/>
              <w:autoSpaceDN w:val="0"/>
              <w:spacing w:before="1"/>
              <w:ind w:left="1"/>
              <w:rPr>
                <w:sz w:val="22"/>
                <w:szCs w:val="22"/>
                <w:lang w:val="sr-Latn-ME"/>
              </w:rPr>
            </w:pPr>
          </w:p>
        </w:tc>
        <w:tc>
          <w:tcPr>
            <w:tcW w:w="1849" w:type="dxa"/>
          </w:tcPr>
          <w:p w:rsidR="00E02EDE" w:rsidRPr="00042A6C" w:rsidRDefault="00E02EDE" w:rsidP="00091295">
            <w:pPr>
              <w:widowControl w:val="0"/>
              <w:autoSpaceDE w:val="0"/>
              <w:autoSpaceDN w:val="0"/>
              <w:rPr>
                <w:sz w:val="22"/>
                <w:szCs w:val="22"/>
                <w:lang w:val="sr-Latn-ME"/>
              </w:rPr>
            </w:pPr>
            <w:r w:rsidRPr="00042A6C">
              <w:rPr>
                <w:sz w:val="22"/>
                <w:szCs w:val="22"/>
                <w:lang w:val="sr-Latn-ME"/>
              </w:rPr>
              <w:t>Vaskularna</w:t>
            </w:r>
          </w:p>
          <w:p w:rsidR="00E02EDE" w:rsidRPr="00042A6C" w:rsidRDefault="00E02EDE" w:rsidP="00091295">
            <w:pPr>
              <w:widowControl w:val="0"/>
              <w:autoSpaceDE w:val="0"/>
              <w:autoSpaceDN w:val="0"/>
              <w:rPr>
                <w:sz w:val="22"/>
                <w:szCs w:val="22"/>
                <w:lang w:val="sr-Latn-ME"/>
              </w:rPr>
            </w:pPr>
            <w:r w:rsidRPr="00042A6C">
              <w:rPr>
                <w:sz w:val="22"/>
                <w:szCs w:val="22"/>
                <w:lang w:val="sr-Latn-ME"/>
              </w:rPr>
              <w:t>pseudoaneurizma</w:t>
            </w:r>
            <w:r w:rsidRPr="00042A6C">
              <w:rPr>
                <w:sz w:val="22"/>
                <w:szCs w:val="22"/>
                <w:vertAlign w:val="superscript"/>
                <w:lang w:val="sr-Latn-ME"/>
              </w:rPr>
              <w:t>C</w:t>
            </w:r>
          </w:p>
        </w:tc>
        <w:tc>
          <w:tcPr>
            <w:tcW w:w="1805" w:type="dxa"/>
          </w:tcPr>
          <w:p w:rsidR="00E02EDE" w:rsidRPr="00042A6C" w:rsidRDefault="00E02EDE" w:rsidP="00091295">
            <w:pPr>
              <w:widowControl w:val="0"/>
              <w:autoSpaceDE w:val="0"/>
              <w:autoSpaceDN w:val="0"/>
              <w:rPr>
                <w:sz w:val="22"/>
                <w:szCs w:val="22"/>
                <w:lang w:val="sr-Latn-ME"/>
              </w:rPr>
            </w:pPr>
          </w:p>
        </w:tc>
        <w:tc>
          <w:tcPr>
            <w:tcW w:w="1640" w:type="dxa"/>
          </w:tcPr>
          <w:p w:rsidR="00E02EDE" w:rsidRPr="00042A6C" w:rsidRDefault="00E02EDE" w:rsidP="00091295">
            <w:pPr>
              <w:widowControl w:val="0"/>
              <w:autoSpaceDE w:val="0"/>
              <w:autoSpaceDN w:val="0"/>
              <w:rPr>
                <w:sz w:val="22"/>
                <w:szCs w:val="22"/>
                <w:lang w:val="sr-Latn-ME"/>
              </w:rPr>
            </w:pPr>
          </w:p>
        </w:tc>
      </w:tr>
    </w:tbl>
    <w:p w:rsidR="00E02EDE" w:rsidRPr="00042A6C" w:rsidRDefault="00E02EDE" w:rsidP="00E02EDE">
      <w:pPr>
        <w:tabs>
          <w:tab w:val="left" w:pos="540"/>
          <w:tab w:val="left" w:pos="569"/>
        </w:tabs>
        <w:jc w:val="both"/>
        <w:rPr>
          <w:bCs/>
          <w:sz w:val="22"/>
          <w:szCs w:val="22"/>
          <w:lang w:val="sr-Latn-ME"/>
        </w:rPr>
      </w:pPr>
      <w:r w:rsidRPr="00042A6C">
        <w:rPr>
          <w:bCs/>
          <w:sz w:val="22"/>
          <w:szCs w:val="22"/>
          <w:vertAlign w:val="superscript"/>
          <w:lang w:val="sr-Latn-ME"/>
        </w:rPr>
        <w:t>A</w:t>
      </w:r>
      <w:r w:rsidRPr="00042A6C">
        <w:rPr>
          <w:bCs/>
          <w:sz w:val="22"/>
          <w:szCs w:val="22"/>
          <w:lang w:val="sr-Latn-ME"/>
        </w:rPr>
        <w:t xml:space="preserve"> uočeno u prevenciji VTE kod odraslih pacijenata koji se podvrgavaju elektivnoj operaciji zamjene kuka ili koljena</w:t>
      </w:r>
    </w:p>
    <w:p w:rsidR="00E02EDE" w:rsidRPr="00042A6C" w:rsidRDefault="00E02EDE" w:rsidP="00E02EDE">
      <w:pPr>
        <w:tabs>
          <w:tab w:val="left" w:pos="540"/>
          <w:tab w:val="left" w:pos="569"/>
        </w:tabs>
        <w:jc w:val="both"/>
        <w:rPr>
          <w:bCs/>
          <w:sz w:val="22"/>
          <w:szCs w:val="22"/>
          <w:lang w:val="sr-Latn-ME"/>
        </w:rPr>
      </w:pPr>
      <w:r w:rsidRPr="00042A6C">
        <w:rPr>
          <w:bCs/>
          <w:sz w:val="22"/>
          <w:szCs w:val="22"/>
          <w:vertAlign w:val="superscript"/>
          <w:lang w:val="sr-Latn-ME"/>
        </w:rPr>
        <w:t>B</w:t>
      </w:r>
      <w:r w:rsidRPr="00042A6C">
        <w:rPr>
          <w:bCs/>
          <w:sz w:val="22"/>
          <w:szCs w:val="22"/>
          <w:lang w:val="sr-Latn-ME"/>
        </w:rPr>
        <w:t xml:space="preserve"> uočeno tokom terapije TDV, PE i prevencije recidiva kao vrlo često kod žena &lt;55 godina</w:t>
      </w:r>
    </w:p>
    <w:p w:rsidR="00E02EDE" w:rsidRPr="00042A6C" w:rsidRDefault="00E02EDE" w:rsidP="00E02EDE">
      <w:pPr>
        <w:tabs>
          <w:tab w:val="left" w:pos="540"/>
          <w:tab w:val="left" w:pos="569"/>
        </w:tabs>
        <w:jc w:val="both"/>
        <w:rPr>
          <w:bCs/>
          <w:sz w:val="22"/>
          <w:szCs w:val="22"/>
          <w:lang w:val="sr-Latn-ME"/>
        </w:rPr>
      </w:pPr>
      <w:r w:rsidRPr="00042A6C">
        <w:rPr>
          <w:bCs/>
          <w:sz w:val="22"/>
          <w:szCs w:val="22"/>
          <w:vertAlign w:val="superscript"/>
          <w:lang w:val="sr-Latn-ME"/>
        </w:rPr>
        <w:t>C</w:t>
      </w:r>
      <w:r w:rsidRPr="00042A6C">
        <w:rPr>
          <w:bCs/>
          <w:sz w:val="22"/>
          <w:szCs w:val="22"/>
          <w:lang w:val="sr-Latn-ME"/>
        </w:rPr>
        <w:t xml:space="preserve"> uočeno kao povremeno neželjeno dejstvo u prevenciji aterotrombotskih događaja kod pacijenata nakon AKS (nakon perkutane koronarne intervencije)</w:t>
      </w:r>
    </w:p>
    <w:p w:rsidR="00E02EDE" w:rsidRPr="00042A6C" w:rsidRDefault="00E02EDE" w:rsidP="00E02EDE">
      <w:pPr>
        <w:tabs>
          <w:tab w:val="left" w:pos="540"/>
          <w:tab w:val="left" w:pos="569"/>
        </w:tabs>
        <w:jc w:val="both"/>
        <w:rPr>
          <w:bCs/>
          <w:sz w:val="22"/>
          <w:szCs w:val="22"/>
          <w:lang w:val="sr-Latn-ME"/>
        </w:rPr>
      </w:pPr>
      <w:r w:rsidRPr="00042A6C">
        <w:rPr>
          <w:bCs/>
          <w:sz w:val="22"/>
          <w:szCs w:val="22"/>
          <w:vertAlign w:val="superscript"/>
          <w:lang w:val="sr-Latn-ME"/>
        </w:rPr>
        <w:t xml:space="preserve">* </w:t>
      </w:r>
      <w:r w:rsidRPr="00042A6C">
        <w:rPr>
          <w:bCs/>
          <w:sz w:val="22"/>
          <w:szCs w:val="22"/>
          <w:lang w:val="sr-Latn-ME"/>
        </w:rPr>
        <w:t xml:space="preserve">Primijenjen je unaprijed određen selektivni pristup prikupljanja neželjenih događaja. Kako se učestalost neželjenih reakcija nije povećavala i nije utvrđena nova neželjena reakcija, podaci studije COMPASS nisu uključeni u </w:t>
      </w:r>
      <w:r w:rsidR="006F7D7B" w:rsidRPr="00042A6C">
        <w:rPr>
          <w:bCs/>
          <w:sz w:val="22"/>
          <w:szCs w:val="22"/>
          <w:lang w:val="sr-Latn-ME"/>
        </w:rPr>
        <w:t xml:space="preserve">izračunavanje </w:t>
      </w:r>
      <w:r w:rsidRPr="00042A6C">
        <w:rPr>
          <w:bCs/>
          <w:sz w:val="22"/>
          <w:szCs w:val="22"/>
          <w:lang w:val="sr-Latn-ME"/>
        </w:rPr>
        <w:t>učestalosti u ovoj tabeli.</w:t>
      </w:r>
    </w:p>
    <w:p w:rsidR="00E02EDE" w:rsidRPr="00042A6C" w:rsidRDefault="00E02EDE" w:rsidP="00E02EDE">
      <w:pPr>
        <w:tabs>
          <w:tab w:val="left" w:pos="540"/>
          <w:tab w:val="left" w:pos="569"/>
        </w:tabs>
        <w:jc w:val="both"/>
        <w:rPr>
          <w:bCs/>
          <w:sz w:val="22"/>
          <w:szCs w:val="22"/>
          <w:lang w:val="sr-Latn-ME"/>
        </w:rPr>
      </w:pPr>
    </w:p>
    <w:p w:rsidR="00E02EDE" w:rsidRPr="00042A6C" w:rsidRDefault="00E02EDE" w:rsidP="00E02EDE">
      <w:pPr>
        <w:tabs>
          <w:tab w:val="left" w:pos="540"/>
          <w:tab w:val="left" w:pos="569"/>
        </w:tabs>
        <w:jc w:val="both"/>
        <w:rPr>
          <w:bCs/>
          <w:sz w:val="22"/>
          <w:szCs w:val="22"/>
          <w:lang w:val="sr-Latn-ME"/>
        </w:rPr>
      </w:pPr>
      <w:r w:rsidRPr="00042A6C">
        <w:rPr>
          <w:bCs/>
          <w:sz w:val="22"/>
          <w:szCs w:val="22"/>
          <w:u w:val="single"/>
          <w:lang w:val="sr-Latn-ME"/>
        </w:rPr>
        <w:t>Opis odabranih neželjenih reakcija</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Usljed farmakološkog mehanizma dejstva, primjena lijeka Corviva može biti povezana sa povećanim rizikom od okultnog ili vidljivog krvarenja iz bilo kog tkiva ili organa</w:t>
      </w:r>
      <w:r w:rsidR="00F82488" w:rsidRPr="00042A6C">
        <w:rPr>
          <w:bCs/>
          <w:sz w:val="22"/>
          <w:szCs w:val="22"/>
          <w:lang w:val="sr-Latn-ME"/>
        </w:rPr>
        <w:t>,</w:t>
      </w:r>
      <w:r w:rsidRPr="00042A6C">
        <w:rPr>
          <w:bCs/>
          <w:sz w:val="22"/>
          <w:szCs w:val="22"/>
          <w:lang w:val="sr-Latn-ME"/>
        </w:rPr>
        <w:t xml:space="preserve"> što može dovesti do posthemoragijske anemije. Znaci, simptomi i težina (uključujući smrtni ishod) će varirati u zavisnosti od lokacije i stepena ili obima krvarenja i/ili anemije (vidjeti </w:t>
      </w:r>
      <w:r w:rsidR="00F82488" w:rsidRPr="00042A6C">
        <w:rPr>
          <w:bCs/>
          <w:sz w:val="22"/>
          <w:szCs w:val="22"/>
          <w:lang w:val="sr-Latn-ME"/>
        </w:rPr>
        <w:t xml:space="preserve">dio </w:t>
      </w:r>
      <w:r w:rsidRPr="00042A6C">
        <w:rPr>
          <w:bCs/>
          <w:sz w:val="22"/>
          <w:szCs w:val="22"/>
          <w:lang w:val="sr-Latn-ME"/>
        </w:rPr>
        <w:t>4.9 „Postupak liječenja u slučaju krvarenja”). U kliničkim ispitivanjima</w:t>
      </w:r>
      <w:r w:rsidR="00F82488" w:rsidRPr="00042A6C">
        <w:rPr>
          <w:bCs/>
          <w:sz w:val="22"/>
          <w:szCs w:val="22"/>
          <w:lang w:val="sr-Latn-ME"/>
        </w:rPr>
        <w:t>,</w:t>
      </w:r>
      <w:r w:rsidRPr="00042A6C">
        <w:rPr>
          <w:bCs/>
          <w:sz w:val="22"/>
          <w:szCs w:val="22"/>
          <w:lang w:val="sr-Latn-ME"/>
        </w:rPr>
        <w:t xml:space="preserve"> krvarenje sluzokoža (tj. </w:t>
      </w:r>
      <w:r w:rsidR="00F82488" w:rsidRPr="00042A6C">
        <w:rPr>
          <w:bCs/>
          <w:sz w:val="22"/>
          <w:szCs w:val="22"/>
          <w:lang w:val="sr-Latn-ME"/>
        </w:rPr>
        <w:t>epistaksa</w:t>
      </w:r>
      <w:r w:rsidRPr="00042A6C">
        <w:rPr>
          <w:bCs/>
          <w:sz w:val="22"/>
          <w:szCs w:val="22"/>
          <w:lang w:val="sr-Latn-ME"/>
        </w:rPr>
        <w:t xml:space="preserve">, gingivalno, gastrointestinalno, genitourinarno uključujući neuobičajeno vaginalno ili pojačano menstrualno krvarenje) i anemija su se češće javljali tokom dugotrajne terapije rivaroksabanom u poređenju sa terapijom VKA. Tako, pored adekvatnog kliničkog praćenja, laboratorijsko ispitivanje hemoglobina/hematokrita bi moglo biti značajno za otkrivanje skrivenog krvarenja i za određivanje kliničkog značaja vidljivog krvarenja, ukoliko se procijeni adekvatnim. Rizik od krvarenja može biti povećan kod nekih grupa pacijenata, npr. kod pacijenata sa nekontrolisanom teškom arterijskom hipertenzijom i/ili na istovremenoj terapiji drugim ljekovima koji utiču na hemostazu (vidjeti „Rizik od krvarenja” u </w:t>
      </w:r>
      <w:r w:rsidR="00F82488" w:rsidRPr="00042A6C">
        <w:rPr>
          <w:bCs/>
          <w:sz w:val="22"/>
          <w:szCs w:val="22"/>
          <w:lang w:val="sr-Latn-ME"/>
        </w:rPr>
        <w:t xml:space="preserve">dijelu </w:t>
      </w:r>
      <w:r w:rsidRPr="00042A6C">
        <w:rPr>
          <w:bCs/>
          <w:sz w:val="22"/>
          <w:szCs w:val="22"/>
          <w:lang w:val="sr-Latn-ME"/>
        </w:rPr>
        <w:t>4.4). Menstrualno krvarenje može biti pojačano i/ili produženo. Komplikacije usljed krvarenja se mogu manifestovati kao slabost, bl</w:t>
      </w:r>
      <w:r w:rsidR="00F82488" w:rsidRPr="00042A6C">
        <w:rPr>
          <w:bCs/>
          <w:sz w:val="22"/>
          <w:szCs w:val="22"/>
          <w:lang w:val="sr-Latn-ME"/>
        </w:rPr>
        <w:t>j</w:t>
      </w:r>
      <w:r w:rsidRPr="00042A6C">
        <w:rPr>
          <w:bCs/>
          <w:sz w:val="22"/>
          <w:szCs w:val="22"/>
          <w:lang w:val="sr-Latn-ME"/>
        </w:rPr>
        <w:t>edilo, vrtoglavica, glavobolja ili neobjašnjivi otok, dispneja i neobjašnjivi šok. U nekim slučajevima</w:t>
      </w:r>
      <w:r w:rsidR="002D7065" w:rsidRPr="00042A6C">
        <w:rPr>
          <w:bCs/>
          <w:sz w:val="22"/>
          <w:szCs w:val="22"/>
          <w:lang w:val="sr-Latn-ME"/>
        </w:rPr>
        <w:t>,</w:t>
      </w:r>
      <w:r w:rsidRPr="00042A6C">
        <w:rPr>
          <w:bCs/>
          <w:sz w:val="22"/>
          <w:szCs w:val="22"/>
          <w:lang w:val="sr-Latn-ME"/>
        </w:rPr>
        <w:t xml:space="preserve"> kao posljedica anemije, uočeni su simptomi srčane ishemije</w:t>
      </w:r>
      <w:r w:rsidR="002D7065" w:rsidRPr="00042A6C">
        <w:rPr>
          <w:bCs/>
          <w:sz w:val="22"/>
          <w:szCs w:val="22"/>
          <w:lang w:val="sr-Latn-ME"/>
        </w:rPr>
        <w:t>,</w:t>
      </w:r>
      <w:r w:rsidRPr="00042A6C">
        <w:rPr>
          <w:bCs/>
          <w:sz w:val="22"/>
          <w:szCs w:val="22"/>
          <w:lang w:val="sr-Latn-ME"/>
        </w:rPr>
        <w:t xml:space="preserve"> poput bola u grudima ili angine pektoris.</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 xml:space="preserve">Kod primjene rivaroksabana prijavljene su poznate komplikacije kao posljedica </w:t>
      </w:r>
      <w:r w:rsidR="002D7065" w:rsidRPr="00042A6C">
        <w:rPr>
          <w:bCs/>
          <w:sz w:val="22"/>
          <w:szCs w:val="22"/>
          <w:lang w:val="sr-Latn-ME"/>
        </w:rPr>
        <w:t xml:space="preserve">teškog </w:t>
      </w:r>
      <w:r w:rsidRPr="00042A6C">
        <w:rPr>
          <w:bCs/>
          <w:sz w:val="22"/>
          <w:szCs w:val="22"/>
          <w:lang w:val="sr-Latn-ME"/>
        </w:rPr>
        <w:t>krvarenja, poput kompartment sindroma i insuficijencije bubrega usljed hipoperfuzije. Prema tome, mora se uzeti u obzir mogućnost pojave krvarenja prilikom procjene stanja svakog pacijenta na antikoagulantnoj terapiji.</w:t>
      </w:r>
    </w:p>
    <w:p w:rsidR="00E02EDE" w:rsidRPr="00042A6C" w:rsidRDefault="00E02EDE" w:rsidP="00E02EDE">
      <w:pPr>
        <w:tabs>
          <w:tab w:val="left" w:pos="540"/>
          <w:tab w:val="left" w:pos="569"/>
        </w:tabs>
        <w:jc w:val="both"/>
        <w:rPr>
          <w:bCs/>
          <w:sz w:val="22"/>
          <w:szCs w:val="22"/>
          <w:lang w:val="sr-Latn-ME"/>
        </w:rPr>
      </w:pPr>
    </w:p>
    <w:p w:rsidR="00E02EDE" w:rsidRPr="00042A6C" w:rsidRDefault="00E02EDE" w:rsidP="00E02EDE">
      <w:pPr>
        <w:tabs>
          <w:tab w:val="left" w:pos="540"/>
          <w:tab w:val="left" w:pos="569"/>
        </w:tabs>
        <w:jc w:val="both"/>
        <w:rPr>
          <w:bCs/>
          <w:sz w:val="22"/>
          <w:szCs w:val="22"/>
          <w:u w:val="single"/>
          <w:lang w:val="sr-Latn-ME"/>
        </w:rPr>
      </w:pPr>
      <w:r w:rsidRPr="00042A6C">
        <w:rPr>
          <w:bCs/>
          <w:sz w:val="22"/>
          <w:szCs w:val="22"/>
          <w:u w:val="single"/>
          <w:lang w:val="sr-Latn-ME"/>
        </w:rPr>
        <w:t>Pedijatrijska populacija</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Procjena bezbjednosti primjene kod djece i adolescenata zasniva se na podacima o bezbjednosti primjene iz dvije otvorene studije faze II i jedne studije faze III sa aktivnom kontrolom kod pedijatrijskih pacijenata uzrasta od rođenja do manje od 18 godina. Nalazi u pogledu bezbjednosti primjene između rivaroksabana i komparatora bili su uglavnom slični u različitim starosnim grupama pedijatrijskih pacijenata. Ukupno je bezbjednosni profil kod 412 djece i adolescenata liječenih rivaroksabanom bio sličan onome zabilježenom kod odrasle populacije i dosljedan u svim starosnim podgrupama, iako je ta procjena ograničena malim brojem pacijenata. U poređenju sa odraslima, kod pedijatrijskih pacijenata češće su bile prijavljene glavobolja (vrlo često, 16,7%), groznica (vrlo često, 11,7%), epistaksa (vrlo često, 11,2%), povraćanje (vrlo često, 10,7%), tahikardija (često, 1,5%), povišene vrijednosti bilirubina (često, 1,5%) i povišene vrijednosti konjugovanog bilirubina (manje često, 0,7%). Kao i kod odrasle populacije, menoragija je bila opažena u 6,6% (često) adolescentkinja nakon menarhe. Trombocitopenija, kakva je bila zabilježena kod odrasle populacije nakon stavljanja lijeka u promet, bila je česta (4,6%) u pedijatrijskim kliničkim studijama. Neželjena dejstva kod pedijatrijskih pacijenata bila su uglavnom blage do umjerene težine.</w:t>
      </w:r>
    </w:p>
    <w:p w:rsidR="00E02EDE" w:rsidRPr="00042A6C" w:rsidRDefault="00E02EDE" w:rsidP="00480FB1">
      <w:pPr>
        <w:tabs>
          <w:tab w:val="left" w:pos="540"/>
          <w:tab w:val="left" w:pos="569"/>
        </w:tabs>
        <w:rPr>
          <w:b/>
          <w:bCs/>
          <w:sz w:val="22"/>
          <w:szCs w:val="22"/>
          <w:lang w:val="sr-Latn-ME"/>
        </w:rPr>
      </w:pPr>
    </w:p>
    <w:p w:rsidR="00F0540D" w:rsidRDefault="00F0540D" w:rsidP="00E02EDE">
      <w:pPr>
        <w:spacing w:after="200" w:line="276" w:lineRule="auto"/>
        <w:jc w:val="both"/>
        <w:rPr>
          <w:rFonts w:eastAsia="Calibri"/>
          <w:sz w:val="22"/>
          <w:szCs w:val="22"/>
          <w:u w:val="single"/>
          <w:lang w:val="sr-Latn-ME"/>
        </w:rPr>
      </w:pPr>
    </w:p>
    <w:p w:rsidR="005A23D2" w:rsidRPr="00042A6C" w:rsidRDefault="005A23D2" w:rsidP="00E02EDE">
      <w:pPr>
        <w:spacing w:after="200" w:line="276" w:lineRule="auto"/>
        <w:jc w:val="both"/>
        <w:rPr>
          <w:rFonts w:eastAsia="Calibri"/>
          <w:sz w:val="22"/>
          <w:szCs w:val="22"/>
          <w:u w:val="single"/>
          <w:lang w:val="sr-Latn-ME"/>
        </w:rPr>
      </w:pPr>
      <w:r w:rsidRPr="00042A6C">
        <w:rPr>
          <w:rFonts w:eastAsia="Calibri"/>
          <w:sz w:val="22"/>
          <w:szCs w:val="22"/>
          <w:u w:val="single"/>
          <w:lang w:val="sr-Latn-ME"/>
        </w:rPr>
        <w:lastRenderedPageBreak/>
        <w:t>Prijavljivanje sumnji na neželjena dejstva</w:t>
      </w:r>
    </w:p>
    <w:p w:rsidR="005A23D2" w:rsidRPr="00042A6C" w:rsidRDefault="005A23D2" w:rsidP="00E02EDE">
      <w:pPr>
        <w:spacing w:after="200"/>
        <w:jc w:val="both"/>
        <w:rPr>
          <w:rFonts w:eastAsia="Calibri"/>
          <w:sz w:val="22"/>
          <w:szCs w:val="22"/>
          <w:lang w:val="sr-Latn-ME"/>
        </w:rPr>
      </w:pPr>
      <w:r w:rsidRPr="00042A6C">
        <w:rPr>
          <w:rFonts w:eastAsia="Calibri"/>
          <w:sz w:val="22"/>
          <w:szCs w:val="22"/>
          <w:lang w:val="sr-Latn-ME"/>
        </w:rPr>
        <w:t>Prijavljivanje neželjenih dejstava nakon dobijanja dozvole je od velikog značaja jer obezbjeđuje kont</w:t>
      </w:r>
      <w:r w:rsidR="00EA5765" w:rsidRPr="00042A6C">
        <w:rPr>
          <w:rFonts w:eastAsia="Calibri"/>
          <w:sz w:val="22"/>
          <w:szCs w:val="22"/>
          <w:lang w:val="sr-Latn-ME"/>
        </w:rPr>
        <w:t>inuirano praćenje odnosa korist</w:t>
      </w:r>
      <w:r w:rsidRPr="00042A6C">
        <w:rPr>
          <w:rFonts w:eastAsia="Calibri"/>
          <w:sz w:val="22"/>
          <w:szCs w:val="22"/>
          <w:lang w:val="sr-Latn-ME"/>
        </w:rPr>
        <w:t>/rizik primjene lijeka. Zdravstveni radnici treba da prijave svaku sumnju na neželjeno</w:t>
      </w:r>
      <w:r w:rsidR="009B062A" w:rsidRPr="00042A6C">
        <w:rPr>
          <w:rFonts w:eastAsia="Calibri"/>
          <w:sz w:val="22"/>
          <w:szCs w:val="22"/>
          <w:lang w:val="sr-Latn-ME"/>
        </w:rPr>
        <w:t xml:space="preserve"> </w:t>
      </w:r>
      <w:r w:rsidRPr="00042A6C">
        <w:rPr>
          <w:rFonts w:eastAsia="Calibri"/>
          <w:sz w:val="22"/>
          <w:szCs w:val="22"/>
          <w:lang w:val="sr-Latn-ME"/>
        </w:rPr>
        <w:t xml:space="preserve">dejstvo ovog lijeka </w:t>
      </w:r>
      <w:r w:rsidR="004E70AD" w:rsidRPr="00042A6C">
        <w:rPr>
          <w:rFonts w:eastAsia="Calibri"/>
          <w:sz w:val="22"/>
          <w:szCs w:val="22"/>
          <w:lang w:val="sr-Latn-ME"/>
        </w:rPr>
        <w:t>Institutu</w:t>
      </w:r>
      <w:r w:rsidRPr="00042A6C">
        <w:rPr>
          <w:rFonts w:eastAsia="Calibri"/>
          <w:sz w:val="22"/>
          <w:szCs w:val="22"/>
          <w:lang w:val="sr-Latn-ME"/>
        </w:rPr>
        <w:t xml:space="preserve"> za ljekove i medicinska sredstva</w:t>
      </w:r>
      <w:r w:rsidR="004E70AD" w:rsidRPr="00042A6C">
        <w:rPr>
          <w:rFonts w:eastAsia="Calibri"/>
          <w:sz w:val="22"/>
          <w:szCs w:val="22"/>
          <w:lang w:val="sr-Latn-ME"/>
        </w:rPr>
        <w:t xml:space="preserve"> </w:t>
      </w:r>
      <w:r w:rsidRPr="00042A6C">
        <w:rPr>
          <w:rFonts w:eastAsia="Calibri"/>
          <w:sz w:val="22"/>
          <w:szCs w:val="22"/>
          <w:lang w:val="sr-Latn-ME"/>
        </w:rPr>
        <w:t>(</w:t>
      </w:r>
      <w:r w:rsidR="004E70AD" w:rsidRPr="00042A6C">
        <w:rPr>
          <w:rFonts w:eastAsia="Calibri"/>
          <w:sz w:val="22"/>
          <w:szCs w:val="22"/>
          <w:lang w:val="sr-Latn-ME"/>
        </w:rPr>
        <w:t>CInMED</w:t>
      </w:r>
      <w:r w:rsidRPr="00042A6C">
        <w:rPr>
          <w:rFonts w:eastAsia="Calibri"/>
          <w:sz w:val="22"/>
          <w:szCs w:val="22"/>
          <w:lang w:val="sr-Latn-ME"/>
        </w:rPr>
        <w:t>):</w:t>
      </w:r>
    </w:p>
    <w:p w:rsidR="005A23D2" w:rsidRPr="00042A6C" w:rsidRDefault="004E70AD" w:rsidP="00E02EDE">
      <w:pPr>
        <w:pStyle w:val="NoSpacing"/>
        <w:jc w:val="both"/>
        <w:rPr>
          <w:rFonts w:eastAsia="Calibri"/>
          <w:sz w:val="22"/>
          <w:szCs w:val="22"/>
          <w:lang w:val="sr-Latn-ME"/>
        </w:rPr>
      </w:pPr>
      <w:r w:rsidRPr="00042A6C">
        <w:rPr>
          <w:rFonts w:eastAsia="Calibri"/>
          <w:sz w:val="22"/>
          <w:szCs w:val="22"/>
          <w:lang w:val="sr-Latn-ME"/>
        </w:rPr>
        <w:t xml:space="preserve">Institut </w:t>
      </w:r>
      <w:r w:rsidR="005A23D2" w:rsidRPr="00042A6C">
        <w:rPr>
          <w:rFonts w:eastAsia="Calibri"/>
          <w:sz w:val="22"/>
          <w:szCs w:val="22"/>
          <w:lang w:val="sr-Latn-ME"/>
        </w:rPr>
        <w:t xml:space="preserve">za ljekove i medicinska sredstva </w:t>
      </w:r>
    </w:p>
    <w:p w:rsidR="005A23D2" w:rsidRPr="00042A6C" w:rsidRDefault="005A23D2" w:rsidP="00E02EDE">
      <w:pPr>
        <w:pStyle w:val="NoSpacing"/>
        <w:jc w:val="both"/>
        <w:rPr>
          <w:rFonts w:eastAsia="Calibri"/>
          <w:sz w:val="22"/>
          <w:szCs w:val="22"/>
          <w:lang w:val="sr-Latn-ME"/>
        </w:rPr>
      </w:pPr>
      <w:r w:rsidRPr="00042A6C">
        <w:rPr>
          <w:rFonts w:eastAsia="Calibri"/>
          <w:sz w:val="22"/>
          <w:szCs w:val="22"/>
          <w:lang w:val="sr-Latn-ME"/>
        </w:rPr>
        <w:t>Odjeljenje za farmakovigilancu</w:t>
      </w:r>
    </w:p>
    <w:p w:rsidR="00EA5765" w:rsidRPr="00042A6C" w:rsidRDefault="005A23D2" w:rsidP="00E02EDE">
      <w:pPr>
        <w:pStyle w:val="NoSpacing"/>
        <w:jc w:val="both"/>
        <w:rPr>
          <w:rFonts w:eastAsia="Calibri"/>
          <w:sz w:val="22"/>
          <w:szCs w:val="22"/>
          <w:lang w:val="sr-Latn-ME"/>
        </w:rPr>
      </w:pPr>
      <w:r w:rsidRPr="00042A6C">
        <w:rPr>
          <w:rFonts w:eastAsia="Calibri"/>
          <w:sz w:val="22"/>
          <w:szCs w:val="22"/>
          <w:lang w:val="sr-Latn-ME"/>
        </w:rPr>
        <w:t>Bulevar Ivana Crnojevića 64a, 81000 Podgorica</w:t>
      </w:r>
    </w:p>
    <w:p w:rsidR="00EA5765" w:rsidRPr="00042A6C" w:rsidRDefault="00EA5765" w:rsidP="00E02EDE">
      <w:pPr>
        <w:pStyle w:val="NoSpacing"/>
        <w:jc w:val="both"/>
        <w:rPr>
          <w:rFonts w:eastAsia="Calibri"/>
          <w:sz w:val="22"/>
          <w:szCs w:val="22"/>
          <w:lang w:val="sr-Latn-ME"/>
        </w:rPr>
      </w:pPr>
    </w:p>
    <w:p w:rsidR="005A23D2" w:rsidRPr="00042A6C" w:rsidRDefault="005A23D2" w:rsidP="00E02EDE">
      <w:pPr>
        <w:pStyle w:val="NoSpacing"/>
        <w:jc w:val="both"/>
        <w:rPr>
          <w:rFonts w:eastAsia="Calibri"/>
          <w:sz w:val="22"/>
          <w:szCs w:val="22"/>
          <w:lang w:val="sr-Latn-ME"/>
        </w:rPr>
      </w:pPr>
      <w:r w:rsidRPr="00042A6C">
        <w:rPr>
          <w:rFonts w:eastAsia="Calibri"/>
          <w:sz w:val="22"/>
          <w:szCs w:val="22"/>
          <w:lang w:val="sr-Latn-ME"/>
        </w:rPr>
        <w:t>tel: +382 (0) 20 310 280</w:t>
      </w:r>
    </w:p>
    <w:p w:rsidR="00EA5765" w:rsidRPr="00042A6C" w:rsidRDefault="005A23D2" w:rsidP="00E02EDE">
      <w:pPr>
        <w:pStyle w:val="NoSpacing"/>
        <w:jc w:val="both"/>
        <w:rPr>
          <w:rFonts w:eastAsia="Calibri"/>
          <w:sz w:val="22"/>
          <w:szCs w:val="22"/>
          <w:lang w:val="sr-Latn-ME"/>
        </w:rPr>
      </w:pPr>
      <w:r w:rsidRPr="00042A6C">
        <w:rPr>
          <w:rFonts w:eastAsia="Calibri"/>
          <w:sz w:val="22"/>
          <w:szCs w:val="22"/>
          <w:lang w:val="sr-Latn-ME"/>
        </w:rPr>
        <w:t>fax:</w:t>
      </w:r>
      <w:r w:rsidR="00EA5765" w:rsidRPr="00042A6C">
        <w:rPr>
          <w:rFonts w:eastAsia="Calibri"/>
          <w:sz w:val="22"/>
          <w:szCs w:val="22"/>
          <w:lang w:val="sr-Latn-ME"/>
        </w:rPr>
        <w:t xml:space="preserve"> </w:t>
      </w:r>
      <w:r w:rsidRPr="00042A6C">
        <w:rPr>
          <w:rFonts w:eastAsia="Calibri"/>
          <w:sz w:val="22"/>
          <w:szCs w:val="22"/>
          <w:lang w:val="sr-Latn-ME"/>
        </w:rPr>
        <w:t>+382 (0) 20 310 581</w:t>
      </w:r>
    </w:p>
    <w:p w:rsidR="005A23D2" w:rsidRPr="00042A6C" w:rsidRDefault="004448F6" w:rsidP="00E02EDE">
      <w:pPr>
        <w:pStyle w:val="NoSpacing"/>
        <w:jc w:val="both"/>
        <w:rPr>
          <w:rFonts w:eastAsia="Calibri"/>
          <w:sz w:val="22"/>
          <w:szCs w:val="22"/>
          <w:lang w:val="sr-Latn-ME"/>
        </w:rPr>
      </w:pPr>
      <w:hyperlink r:id="rId8" w:history="1">
        <w:r w:rsidR="004E70AD" w:rsidRPr="00042A6C">
          <w:rPr>
            <w:rStyle w:val="Hyperlink"/>
            <w:rFonts w:eastAsia="Calibri"/>
            <w:sz w:val="22"/>
            <w:szCs w:val="22"/>
            <w:lang w:val="sr-Latn-ME"/>
          </w:rPr>
          <w:t>www.cinmed.me</w:t>
        </w:r>
      </w:hyperlink>
    </w:p>
    <w:p w:rsidR="00EA5765" w:rsidRPr="00042A6C" w:rsidRDefault="004448F6" w:rsidP="00E02EDE">
      <w:pPr>
        <w:pStyle w:val="NoSpacing"/>
        <w:jc w:val="both"/>
        <w:rPr>
          <w:rFonts w:eastAsia="Calibri"/>
          <w:color w:val="0000FF"/>
          <w:sz w:val="22"/>
          <w:szCs w:val="22"/>
          <w:u w:val="single"/>
          <w:lang w:val="sr-Latn-ME"/>
        </w:rPr>
      </w:pPr>
      <w:hyperlink r:id="rId9" w:history="1">
        <w:r w:rsidR="004E70AD" w:rsidRPr="00042A6C">
          <w:rPr>
            <w:rStyle w:val="Hyperlink"/>
            <w:rFonts w:eastAsia="Calibri"/>
            <w:sz w:val="22"/>
            <w:szCs w:val="22"/>
            <w:lang w:val="sr-Latn-ME"/>
          </w:rPr>
          <w:t>nezeljenadejstva@cinmed.me</w:t>
        </w:r>
      </w:hyperlink>
    </w:p>
    <w:p w:rsidR="005A23D2" w:rsidRPr="00042A6C" w:rsidRDefault="005A23D2" w:rsidP="00E02EDE">
      <w:pPr>
        <w:pStyle w:val="NoSpacing"/>
        <w:jc w:val="both"/>
        <w:rPr>
          <w:rFonts w:eastAsia="Calibri"/>
          <w:sz w:val="22"/>
          <w:szCs w:val="22"/>
          <w:lang w:val="sr-Latn-ME"/>
        </w:rPr>
      </w:pPr>
      <w:r w:rsidRPr="00042A6C">
        <w:rPr>
          <w:rFonts w:eastAsia="Calibri"/>
          <w:sz w:val="22"/>
          <w:szCs w:val="22"/>
          <w:lang w:val="sr-Latn-ME"/>
        </w:rPr>
        <w:t>putem IS zdravstvene zaštite</w:t>
      </w:r>
    </w:p>
    <w:p w:rsidR="00836B35" w:rsidRPr="00042A6C" w:rsidRDefault="00836B35" w:rsidP="00480FB1">
      <w:pPr>
        <w:tabs>
          <w:tab w:val="left" w:pos="540"/>
          <w:tab w:val="left" w:pos="569"/>
        </w:tabs>
        <w:rPr>
          <w:b/>
          <w:bCs/>
          <w:sz w:val="22"/>
          <w:szCs w:val="22"/>
          <w:lang w:val="sr-Latn-ME"/>
        </w:rPr>
      </w:pPr>
    </w:p>
    <w:p w:rsidR="00CD6F02" w:rsidRPr="00042A6C" w:rsidRDefault="0072020E" w:rsidP="00480FB1">
      <w:pPr>
        <w:tabs>
          <w:tab w:val="left" w:pos="540"/>
          <w:tab w:val="left" w:pos="569"/>
        </w:tabs>
        <w:rPr>
          <w:b/>
          <w:bCs/>
          <w:sz w:val="22"/>
          <w:szCs w:val="22"/>
          <w:lang w:val="sr-Latn-ME"/>
        </w:rPr>
      </w:pPr>
      <w:r w:rsidRPr="00042A6C">
        <w:rPr>
          <w:b/>
          <w:bCs/>
          <w:sz w:val="22"/>
          <w:szCs w:val="22"/>
          <w:lang w:val="sr-Latn-ME"/>
        </w:rPr>
        <w:t xml:space="preserve">4.9. </w:t>
      </w:r>
      <w:r w:rsidR="00480FB1" w:rsidRPr="00042A6C">
        <w:rPr>
          <w:b/>
          <w:bCs/>
          <w:sz w:val="22"/>
          <w:szCs w:val="22"/>
          <w:lang w:val="sr-Latn-ME"/>
        </w:rPr>
        <w:tab/>
      </w:r>
      <w:r w:rsidRPr="00042A6C">
        <w:rPr>
          <w:b/>
          <w:bCs/>
          <w:sz w:val="22"/>
          <w:szCs w:val="22"/>
          <w:lang w:val="sr-Latn-ME"/>
        </w:rPr>
        <w:t>Predoziranje</w:t>
      </w:r>
      <w:r w:rsidR="002846DB" w:rsidRPr="00042A6C">
        <w:rPr>
          <w:b/>
          <w:bCs/>
          <w:sz w:val="22"/>
          <w:szCs w:val="22"/>
          <w:lang w:val="sr-Latn-ME"/>
        </w:rPr>
        <w:t xml:space="preserve"> </w:t>
      </w:r>
    </w:p>
    <w:p w:rsidR="00CD6F02" w:rsidRPr="00042A6C" w:rsidRDefault="00CD6F02" w:rsidP="00480FB1">
      <w:pPr>
        <w:tabs>
          <w:tab w:val="left" w:pos="540"/>
          <w:tab w:val="left" w:pos="569"/>
        </w:tabs>
        <w:rPr>
          <w:b/>
          <w:bCs/>
          <w:sz w:val="22"/>
          <w:szCs w:val="22"/>
          <w:lang w:val="sr-Latn-ME"/>
        </w:rPr>
      </w:pP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 xml:space="preserve">Kod odraslih pacijenata su prijavljeni rijetki slučajevi predoziranja dozom do 1960 mg. U slučaju predoziranja, pacijenta treba pažljivo pratiti zbog  komplikacija u vidu krvarenja ili drugih neželjenih reakcija (vidjeti </w:t>
      </w:r>
      <w:r w:rsidR="00933F6B" w:rsidRPr="00042A6C">
        <w:rPr>
          <w:bCs/>
          <w:sz w:val="22"/>
          <w:szCs w:val="22"/>
          <w:lang w:val="sr-Latn-ME"/>
        </w:rPr>
        <w:t xml:space="preserve">dio </w:t>
      </w:r>
      <w:r w:rsidRPr="00042A6C">
        <w:rPr>
          <w:bCs/>
          <w:sz w:val="22"/>
          <w:szCs w:val="22"/>
          <w:lang w:val="sr-Latn-ME"/>
        </w:rPr>
        <w:t xml:space="preserve">“Postupak liječenja u slučaju krvarenja”) . </w:t>
      </w:r>
      <w:r w:rsidR="00FA68A1" w:rsidRPr="00042A6C">
        <w:rPr>
          <w:bCs/>
          <w:sz w:val="22"/>
          <w:szCs w:val="22"/>
          <w:lang w:val="sr-Latn-ME"/>
        </w:rPr>
        <w:t xml:space="preserve">Za djecu </w:t>
      </w:r>
      <w:r w:rsidRPr="00042A6C">
        <w:rPr>
          <w:bCs/>
          <w:sz w:val="22"/>
          <w:szCs w:val="22"/>
          <w:lang w:val="sr-Latn-ME"/>
        </w:rPr>
        <w:t xml:space="preserve">su dostupni ograničeni podaci. Usljed ograničene resorpcije očekuje se efekat plafona bez daljeg povećanja prosječne izloženosti u plazmi pri supraterapijskim dozama od 50 mg rivaroksabana ili većim kod odraslih, međutim, nema dostupnih podataka o dozama koje su veće od </w:t>
      </w:r>
      <w:r w:rsidR="00933F6B" w:rsidRPr="00042A6C">
        <w:rPr>
          <w:bCs/>
          <w:sz w:val="22"/>
          <w:szCs w:val="22"/>
          <w:lang w:val="sr-Latn-ME"/>
        </w:rPr>
        <w:t xml:space="preserve">terapijskih </w:t>
      </w:r>
      <w:r w:rsidRPr="00042A6C">
        <w:rPr>
          <w:bCs/>
          <w:sz w:val="22"/>
          <w:szCs w:val="22"/>
          <w:lang w:val="sr-Latn-ME"/>
        </w:rPr>
        <w:t>kod djece.</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Dostupan je specifični antidot (andeksanet alfa) koji reverzibilno antagonizuje farmakodinamski efekat rivaroksabana (vidjeti Sažetak karakteristika lijeka andeksanet alfa).</w:t>
      </w:r>
    </w:p>
    <w:p w:rsidR="00E02EDE" w:rsidRPr="00042A6C" w:rsidRDefault="00E02EDE" w:rsidP="00E02EDE">
      <w:pPr>
        <w:tabs>
          <w:tab w:val="left" w:pos="540"/>
          <w:tab w:val="left" w:pos="569"/>
        </w:tabs>
        <w:jc w:val="both"/>
        <w:rPr>
          <w:bCs/>
          <w:sz w:val="22"/>
          <w:szCs w:val="22"/>
          <w:lang w:val="sr-Latn-ME"/>
        </w:rPr>
      </w:pP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Treba razmotriti mogućnost primjene aktivnog (medicinskog) uglja u cilju smanjenja resorpcije prekomjerne doze rivaroksabana.</w:t>
      </w:r>
    </w:p>
    <w:p w:rsidR="00E02EDE" w:rsidRPr="00042A6C" w:rsidRDefault="00E02EDE" w:rsidP="00E02EDE">
      <w:pPr>
        <w:tabs>
          <w:tab w:val="left" w:pos="540"/>
          <w:tab w:val="left" w:pos="569"/>
        </w:tabs>
        <w:jc w:val="both"/>
        <w:rPr>
          <w:bCs/>
          <w:sz w:val="22"/>
          <w:szCs w:val="22"/>
          <w:lang w:val="sr-Latn-ME"/>
        </w:rPr>
      </w:pPr>
    </w:p>
    <w:p w:rsidR="00E02EDE" w:rsidRPr="00042A6C" w:rsidRDefault="00E02EDE" w:rsidP="00E02EDE">
      <w:pPr>
        <w:tabs>
          <w:tab w:val="left" w:pos="540"/>
          <w:tab w:val="left" w:pos="569"/>
        </w:tabs>
        <w:jc w:val="both"/>
        <w:rPr>
          <w:bCs/>
          <w:sz w:val="22"/>
          <w:szCs w:val="22"/>
          <w:lang w:val="sr-Latn-ME"/>
        </w:rPr>
      </w:pPr>
      <w:r w:rsidRPr="00042A6C">
        <w:rPr>
          <w:bCs/>
          <w:sz w:val="22"/>
          <w:szCs w:val="22"/>
          <w:u w:val="single"/>
          <w:lang w:val="sr-Latn-ME"/>
        </w:rPr>
        <w:t>Postupak liječenja u slučaju krvarenja</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 xml:space="preserve">Ukoliko se kod pacijenta koji prima rivaroksaban pojavi komplikacija sa krvarenjem, sljedeću primjenu rivaroksabana treba odložiti ili terapiju treba prekinuti, na odgovarajući način. Rivaroksaban ima poluvrijeme eliminacije od približno 5 do 13 sati kod odraslih. Prema procjeni pomoću populacionog farmakokinetičkog (popPK) modeliranja, poluvrijeme </w:t>
      </w:r>
      <w:r w:rsidR="00933F6B" w:rsidRPr="00042A6C">
        <w:rPr>
          <w:bCs/>
          <w:sz w:val="22"/>
          <w:szCs w:val="22"/>
          <w:lang w:val="sr-Latn-ME"/>
        </w:rPr>
        <w:t xml:space="preserve">eliminacije </w:t>
      </w:r>
      <w:r w:rsidRPr="00042A6C">
        <w:rPr>
          <w:bCs/>
          <w:sz w:val="22"/>
          <w:szCs w:val="22"/>
          <w:lang w:val="sr-Latn-ME"/>
        </w:rPr>
        <w:t xml:space="preserve">kod djece je kraće (vidjeti </w:t>
      </w:r>
      <w:r w:rsidR="00933F6B" w:rsidRPr="00042A6C">
        <w:rPr>
          <w:bCs/>
          <w:sz w:val="22"/>
          <w:szCs w:val="22"/>
          <w:lang w:val="sr-Latn-ME"/>
        </w:rPr>
        <w:t xml:space="preserve">dio </w:t>
      </w:r>
      <w:r w:rsidRPr="00042A6C">
        <w:rPr>
          <w:bCs/>
          <w:sz w:val="22"/>
          <w:szCs w:val="22"/>
          <w:lang w:val="sr-Latn-ME"/>
        </w:rPr>
        <w:t>5.2). Postupak liječenja treba prilagoditi svakom pacijentu pojedinačno u skladu sa težinom i mjestom krvarenja. Po potrebi treba koristiti odgovarajuću simptomatsku terapiju, npr. mehaničku kompresiju (npr. kod teške epistakse), hiruršku hemostazu sa procedurama kontrole krvarenja, nadoknadu tečnosti i hemodinamsku suportivnu terapiju, primjenu derivata krvi (</w:t>
      </w:r>
      <w:r w:rsidR="00933F6B" w:rsidRPr="00042A6C">
        <w:rPr>
          <w:bCs/>
          <w:sz w:val="22"/>
          <w:szCs w:val="22"/>
          <w:lang w:val="sr-Latn-ME"/>
        </w:rPr>
        <w:t xml:space="preserve">koncentrovani </w:t>
      </w:r>
      <w:r w:rsidRPr="00042A6C">
        <w:rPr>
          <w:bCs/>
          <w:sz w:val="22"/>
          <w:szCs w:val="22"/>
          <w:lang w:val="sr-Latn-ME"/>
        </w:rPr>
        <w:t>eritrociti ili svježe zamrznuta plazma, u zavisnosti od pridružene anemije ili koagulopatije) ili trombocite.</w:t>
      </w:r>
    </w:p>
    <w:p w:rsidR="00E02EDE" w:rsidRPr="00042A6C" w:rsidRDefault="00E02EDE" w:rsidP="00E02EDE">
      <w:pPr>
        <w:tabs>
          <w:tab w:val="left" w:pos="540"/>
          <w:tab w:val="left" w:pos="569"/>
        </w:tabs>
        <w:jc w:val="both"/>
        <w:rPr>
          <w:bCs/>
          <w:sz w:val="22"/>
          <w:szCs w:val="22"/>
          <w:lang w:val="sr-Latn-ME"/>
        </w:rPr>
      </w:pP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Ako se krvarenje ne može kontrolisati prethodno navedenim mjerama, treba razmotriti primjenu specifičnog sredstva za poništavanje inhibitora faktora Xa (andeksanet alfa), koje antagonizuje farmakodinamske efekte rivaroksabana, ili specifičnog reverznog prokoagulantnog sredstva, poput koncentrata protrombin</w:t>
      </w:r>
      <w:r w:rsidR="00933F6B" w:rsidRPr="00042A6C">
        <w:rPr>
          <w:bCs/>
          <w:sz w:val="22"/>
          <w:szCs w:val="22"/>
          <w:lang w:val="sr-Latn-ME"/>
        </w:rPr>
        <w:t>skog</w:t>
      </w:r>
      <w:r w:rsidRPr="00042A6C">
        <w:rPr>
          <w:bCs/>
          <w:sz w:val="22"/>
          <w:szCs w:val="22"/>
          <w:lang w:val="sr-Latn-ME"/>
        </w:rPr>
        <w:t xml:space="preserve"> kompleksa (</w:t>
      </w:r>
      <w:r w:rsidRPr="004C49DB">
        <w:rPr>
          <w:bCs/>
          <w:sz w:val="22"/>
          <w:szCs w:val="22"/>
          <w:lang w:val="sr-Latn-ME"/>
        </w:rPr>
        <w:t>engl</w:t>
      </w:r>
      <w:r w:rsidRPr="00042A6C">
        <w:rPr>
          <w:bCs/>
          <w:i/>
          <w:sz w:val="22"/>
          <w:szCs w:val="22"/>
          <w:lang w:val="sr-Latn-ME"/>
        </w:rPr>
        <w:t>. prothrombin complex concentrate</w:t>
      </w:r>
      <w:r w:rsidRPr="00042A6C">
        <w:rPr>
          <w:bCs/>
          <w:sz w:val="22"/>
          <w:szCs w:val="22"/>
          <w:lang w:val="sr-Latn-ME"/>
        </w:rPr>
        <w:t>, PCC), koncentrata aktiviranog protrombin</w:t>
      </w:r>
      <w:r w:rsidR="00933F6B" w:rsidRPr="00042A6C">
        <w:rPr>
          <w:bCs/>
          <w:sz w:val="22"/>
          <w:szCs w:val="22"/>
          <w:lang w:val="sr-Latn-ME"/>
        </w:rPr>
        <w:t>skog</w:t>
      </w:r>
      <w:r w:rsidRPr="00042A6C">
        <w:rPr>
          <w:bCs/>
          <w:sz w:val="22"/>
          <w:szCs w:val="22"/>
          <w:lang w:val="sr-Latn-ME"/>
        </w:rPr>
        <w:t xml:space="preserve"> kompleksa (</w:t>
      </w:r>
      <w:r w:rsidRPr="004C49DB">
        <w:rPr>
          <w:bCs/>
          <w:sz w:val="22"/>
          <w:szCs w:val="22"/>
          <w:lang w:val="sr-Latn-ME"/>
        </w:rPr>
        <w:t>engl</w:t>
      </w:r>
      <w:r w:rsidRPr="00042A6C">
        <w:rPr>
          <w:bCs/>
          <w:i/>
          <w:sz w:val="22"/>
          <w:szCs w:val="22"/>
          <w:lang w:val="sr-Latn-ME"/>
        </w:rPr>
        <w:t>. activated prothrombin complex concentrate</w:t>
      </w:r>
      <w:r w:rsidRPr="00042A6C">
        <w:rPr>
          <w:bCs/>
          <w:sz w:val="22"/>
          <w:szCs w:val="22"/>
          <w:lang w:val="sr-Latn-ME"/>
        </w:rPr>
        <w:t xml:space="preserve">, APCC) ili rekombinantnog faktora VIIa (r-FVIIa). Međutim, kod odraslih i djece koji primaju rivaroksaban trenutno postoji veoma ograničeno kliničko iskustvo sa primjenom ovih proizvoda. Preporuka se takođe zasniva na ograničenim </w:t>
      </w:r>
      <w:r w:rsidR="00933F6B" w:rsidRPr="00042A6C">
        <w:rPr>
          <w:bCs/>
          <w:sz w:val="22"/>
          <w:szCs w:val="22"/>
          <w:lang w:val="sr-Latn-ME"/>
        </w:rPr>
        <w:t xml:space="preserve">pretkliničkim </w:t>
      </w:r>
      <w:r w:rsidRPr="00042A6C">
        <w:rPr>
          <w:bCs/>
          <w:sz w:val="22"/>
          <w:szCs w:val="22"/>
          <w:lang w:val="sr-Latn-ME"/>
        </w:rPr>
        <w:t xml:space="preserve">podacima. Ponovno doziranje rekombinantnog faktora VIIa se mora razmotriti i titrirati u zavisnosti od poboljšanja stanja krvarenja. U zavisnosti od lokalne dostupnosti, u slučaju </w:t>
      </w:r>
      <w:r w:rsidR="00933F6B" w:rsidRPr="00042A6C">
        <w:rPr>
          <w:bCs/>
          <w:sz w:val="22"/>
          <w:szCs w:val="22"/>
          <w:lang w:val="sr-Latn-ME"/>
        </w:rPr>
        <w:t xml:space="preserve">velikih </w:t>
      </w:r>
      <w:r w:rsidRPr="00042A6C">
        <w:rPr>
          <w:bCs/>
          <w:sz w:val="22"/>
          <w:szCs w:val="22"/>
          <w:lang w:val="sr-Latn-ME"/>
        </w:rPr>
        <w:t xml:space="preserve">krvarenja potrebno je razmotriti savjetovanje sa </w:t>
      </w:r>
      <w:r w:rsidR="00933F6B" w:rsidRPr="00042A6C">
        <w:rPr>
          <w:bCs/>
          <w:sz w:val="22"/>
          <w:szCs w:val="22"/>
          <w:lang w:val="sr-Latn-ME"/>
        </w:rPr>
        <w:t xml:space="preserve">stručnjakom za koagulaciju </w:t>
      </w:r>
      <w:r w:rsidRPr="00042A6C">
        <w:rPr>
          <w:bCs/>
          <w:sz w:val="22"/>
          <w:szCs w:val="22"/>
          <w:lang w:val="sr-Latn-ME"/>
        </w:rPr>
        <w:t xml:space="preserve">(vidjeti </w:t>
      </w:r>
      <w:r w:rsidR="00933F6B" w:rsidRPr="00042A6C">
        <w:rPr>
          <w:bCs/>
          <w:sz w:val="22"/>
          <w:szCs w:val="22"/>
          <w:lang w:val="sr-Latn-ME"/>
        </w:rPr>
        <w:t xml:space="preserve">dio </w:t>
      </w:r>
      <w:r w:rsidRPr="00042A6C">
        <w:rPr>
          <w:bCs/>
          <w:sz w:val="22"/>
          <w:szCs w:val="22"/>
          <w:lang w:val="sr-Latn-ME"/>
        </w:rPr>
        <w:t>5.1).</w:t>
      </w:r>
    </w:p>
    <w:p w:rsidR="00E02EDE" w:rsidRPr="00042A6C" w:rsidRDefault="00E02EDE" w:rsidP="00E02EDE">
      <w:pPr>
        <w:tabs>
          <w:tab w:val="left" w:pos="540"/>
          <w:tab w:val="left" w:pos="569"/>
        </w:tabs>
        <w:jc w:val="both"/>
        <w:rPr>
          <w:bCs/>
          <w:sz w:val="22"/>
          <w:szCs w:val="22"/>
          <w:lang w:val="sr-Latn-ME"/>
        </w:rPr>
      </w:pPr>
    </w:p>
    <w:p w:rsidR="00227BDB" w:rsidRPr="00042A6C" w:rsidRDefault="00E02EDE" w:rsidP="00E02EDE">
      <w:pPr>
        <w:tabs>
          <w:tab w:val="left" w:pos="540"/>
          <w:tab w:val="left" w:pos="569"/>
        </w:tabs>
        <w:jc w:val="both"/>
        <w:rPr>
          <w:bCs/>
          <w:sz w:val="22"/>
          <w:szCs w:val="22"/>
          <w:lang w:val="sr-Latn-ME"/>
        </w:rPr>
      </w:pPr>
      <w:r w:rsidRPr="00042A6C">
        <w:rPr>
          <w:bCs/>
          <w:sz w:val="22"/>
          <w:szCs w:val="22"/>
          <w:lang w:val="sr-Latn-ME"/>
        </w:rPr>
        <w:t xml:space="preserve">Ne očekuje se da protamin-sulfat i vitamin K utiču na antikoagulantnu aktivnost rivaroksabana. Postoji ograničeno iskustvo sa traneksamičnom kiselinom, dok sa aminokaproinskom kiselinom i aprotininom nema iskustva kod odraslih osoba koje primaju rivaroksaban. Nema iskustva sa primjenom ovih supstanci kod djece koja primaju rivaroksaban. Nema ni naučnog osnova za korist, niti iskustva sa </w:t>
      </w:r>
      <w:r w:rsidRPr="00042A6C">
        <w:rPr>
          <w:bCs/>
          <w:sz w:val="22"/>
          <w:szCs w:val="22"/>
          <w:lang w:val="sr-Latn-ME"/>
        </w:rPr>
        <w:lastRenderedPageBreak/>
        <w:t>primjenom sistemskog hemostatika dezmopresina kod osoba koje primaju rivaroksaban. Ne očekuje se da se rivaroksaban uklanja</w:t>
      </w:r>
      <w:bookmarkStart w:id="0" w:name="FARMAKOLOŠKI_PODACI"/>
      <w:bookmarkEnd w:id="0"/>
      <w:r w:rsidRPr="00042A6C">
        <w:rPr>
          <w:bCs/>
          <w:sz w:val="22"/>
          <w:szCs w:val="22"/>
          <w:lang w:val="sr-Latn-ME"/>
        </w:rPr>
        <w:t xml:space="preserve"> dijalizom zbog toga što se u velikom stepenu vezuje za proteine plazme.</w:t>
      </w:r>
    </w:p>
    <w:p w:rsidR="00933F6B" w:rsidRPr="00042A6C" w:rsidRDefault="00933F6B" w:rsidP="00480FB1">
      <w:pPr>
        <w:tabs>
          <w:tab w:val="left" w:pos="540"/>
          <w:tab w:val="left" w:pos="569"/>
        </w:tabs>
        <w:rPr>
          <w:b/>
          <w:bCs/>
          <w:sz w:val="22"/>
          <w:szCs w:val="22"/>
          <w:lang w:val="sr-Latn-ME"/>
        </w:rPr>
      </w:pPr>
    </w:p>
    <w:p w:rsidR="0072020E" w:rsidRPr="00042A6C" w:rsidRDefault="0072020E" w:rsidP="00480FB1">
      <w:pPr>
        <w:tabs>
          <w:tab w:val="left" w:pos="540"/>
          <w:tab w:val="left" w:pos="569"/>
        </w:tabs>
        <w:rPr>
          <w:b/>
          <w:bCs/>
          <w:sz w:val="22"/>
          <w:szCs w:val="22"/>
          <w:lang w:val="sr-Latn-ME"/>
        </w:rPr>
      </w:pPr>
      <w:r w:rsidRPr="00042A6C">
        <w:rPr>
          <w:b/>
          <w:bCs/>
          <w:sz w:val="22"/>
          <w:szCs w:val="22"/>
          <w:lang w:val="sr-Latn-ME"/>
        </w:rPr>
        <w:t xml:space="preserve">5. </w:t>
      </w:r>
      <w:r w:rsidR="00480FB1" w:rsidRPr="00042A6C">
        <w:rPr>
          <w:b/>
          <w:bCs/>
          <w:sz w:val="22"/>
          <w:szCs w:val="22"/>
          <w:lang w:val="sr-Latn-ME"/>
        </w:rPr>
        <w:tab/>
      </w:r>
      <w:r w:rsidRPr="00042A6C">
        <w:rPr>
          <w:b/>
          <w:bCs/>
          <w:sz w:val="22"/>
          <w:szCs w:val="22"/>
          <w:lang w:val="sr-Latn-ME"/>
        </w:rPr>
        <w:t>FARMAKOLOŠK</w:t>
      </w:r>
      <w:r w:rsidR="000D425A" w:rsidRPr="00042A6C">
        <w:rPr>
          <w:b/>
          <w:bCs/>
          <w:sz w:val="22"/>
          <w:szCs w:val="22"/>
          <w:lang w:val="sr-Latn-ME"/>
        </w:rPr>
        <w:t>I</w:t>
      </w:r>
      <w:r w:rsidRPr="00042A6C">
        <w:rPr>
          <w:b/>
          <w:bCs/>
          <w:sz w:val="22"/>
          <w:szCs w:val="22"/>
          <w:lang w:val="sr-Latn-ME"/>
        </w:rPr>
        <w:t xml:space="preserve"> PODACI</w:t>
      </w:r>
    </w:p>
    <w:p w:rsidR="0072020E" w:rsidRPr="00042A6C" w:rsidRDefault="0072020E" w:rsidP="00480FB1">
      <w:pPr>
        <w:tabs>
          <w:tab w:val="left" w:pos="540"/>
          <w:tab w:val="left" w:pos="569"/>
        </w:tabs>
        <w:rPr>
          <w:b/>
          <w:bCs/>
          <w:sz w:val="22"/>
          <w:szCs w:val="22"/>
          <w:lang w:val="sr-Latn-ME"/>
        </w:rPr>
      </w:pPr>
    </w:p>
    <w:p w:rsidR="0072020E" w:rsidRPr="00042A6C" w:rsidRDefault="0072020E" w:rsidP="00480FB1">
      <w:pPr>
        <w:tabs>
          <w:tab w:val="left" w:pos="540"/>
          <w:tab w:val="left" w:pos="569"/>
        </w:tabs>
        <w:rPr>
          <w:b/>
          <w:bCs/>
          <w:sz w:val="22"/>
          <w:szCs w:val="22"/>
          <w:lang w:val="sr-Latn-ME"/>
        </w:rPr>
      </w:pPr>
      <w:r w:rsidRPr="00042A6C">
        <w:rPr>
          <w:b/>
          <w:bCs/>
          <w:sz w:val="22"/>
          <w:szCs w:val="22"/>
          <w:lang w:val="sr-Latn-ME"/>
        </w:rPr>
        <w:t xml:space="preserve">5.1. </w:t>
      </w:r>
      <w:r w:rsidR="00480FB1" w:rsidRPr="00042A6C">
        <w:rPr>
          <w:b/>
          <w:bCs/>
          <w:sz w:val="22"/>
          <w:szCs w:val="22"/>
          <w:lang w:val="sr-Latn-ME"/>
        </w:rPr>
        <w:tab/>
      </w:r>
      <w:r w:rsidRPr="00042A6C">
        <w:rPr>
          <w:b/>
          <w:bCs/>
          <w:sz w:val="22"/>
          <w:szCs w:val="22"/>
          <w:lang w:val="sr-Latn-ME"/>
        </w:rPr>
        <w:t>Farmakodinamski podaci</w:t>
      </w:r>
      <w:r w:rsidR="003A7059" w:rsidRPr="00042A6C">
        <w:rPr>
          <w:b/>
          <w:bCs/>
          <w:sz w:val="22"/>
          <w:szCs w:val="22"/>
          <w:lang w:val="sr-Latn-ME"/>
        </w:rPr>
        <w:t xml:space="preserve"> </w:t>
      </w:r>
    </w:p>
    <w:p w:rsidR="00F45F77" w:rsidRPr="00042A6C" w:rsidRDefault="00F45F77" w:rsidP="00480FB1">
      <w:pPr>
        <w:tabs>
          <w:tab w:val="left" w:pos="540"/>
          <w:tab w:val="left" w:pos="569"/>
        </w:tabs>
        <w:rPr>
          <w:b/>
          <w:bCs/>
          <w:sz w:val="22"/>
          <w:szCs w:val="22"/>
          <w:lang w:val="sr-Latn-ME"/>
        </w:rPr>
      </w:pPr>
    </w:p>
    <w:p w:rsidR="0072020E" w:rsidRPr="00042A6C" w:rsidRDefault="0072020E" w:rsidP="004C49DB">
      <w:pPr>
        <w:tabs>
          <w:tab w:val="left" w:pos="540"/>
          <w:tab w:val="left" w:pos="569"/>
        </w:tabs>
        <w:jc w:val="both"/>
        <w:rPr>
          <w:bCs/>
          <w:sz w:val="22"/>
          <w:szCs w:val="22"/>
          <w:lang w:val="sr-Latn-ME"/>
        </w:rPr>
      </w:pPr>
      <w:r w:rsidRPr="00042A6C">
        <w:rPr>
          <w:bCs/>
          <w:sz w:val="22"/>
          <w:szCs w:val="22"/>
          <w:lang w:val="sr-Latn-ME"/>
        </w:rPr>
        <w:t>Farmakoterapijska grupa:</w:t>
      </w:r>
      <w:r w:rsidR="00E02EDE" w:rsidRPr="00042A6C">
        <w:rPr>
          <w:sz w:val="22"/>
          <w:szCs w:val="22"/>
          <w:lang w:val="sr-Latn-ME"/>
        </w:rPr>
        <w:t xml:space="preserve"> </w:t>
      </w:r>
      <w:r w:rsidR="00E02EDE" w:rsidRPr="00042A6C">
        <w:rPr>
          <w:bCs/>
          <w:sz w:val="22"/>
          <w:szCs w:val="22"/>
          <w:lang w:val="sr-Latn-ME"/>
        </w:rPr>
        <w:t xml:space="preserve">Antitrombotička sredstva (antikoagulansi); </w:t>
      </w:r>
      <w:r w:rsidR="000F7071" w:rsidRPr="00042A6C">
        <w:rPr>
          <w:bCs/>
          <w:sz w:val="22"/>
          <w:szCs w:val="22"/>
          <w:lang w:val="sr-Latn-ME"/>
        </w:rPr>
        <w:t xml:space="preserve">direktni </w:t>
      </w:r>
      <w:r w:rsidR="00E02EDE" w:rsidRPr="00042A6C">
        <w:rPr>
          <w:bCs/>
          <w:sz w:val="22"/>
          <w:szCs w:val="22"/>
          <w:lang w:val="sr-Latn-ME"/>
        </w:rPr>
        <w:t>inhibitori faktora Xa</w:t>
      </w:r>
    </w:p>
    <w:p w:rsidR="0072020E" w:rsidRPr="00042A6C" w:rsidRDefault="0072020E" w:rsidP="00480FB1">
      <w:pPr>
        <w:tabs>
          <w:tab w:val="left" w:pos="540"/>
          <w:tab w:val="left" w:pos="569"/>
        </w:tabs>
        <w:rPr>
          <w:bCs/>
          <w:sz w:val="22"/>
          <w:szCs w:val="22"/>
          <w:lang w:val="sr-Latn-ME"/>
        </w:rPr>
      </w:pPr>
    </w:p>
    <w:p w:rsidR="0072020E" w:rsidRPr="00042A6C" w:rsidRDefault="0072020E" w:rsidP="00E02EDE">
      <w:pPr>
        <w:tabs>
          <w:tab w:val="left" w:pos="540"/>
          <w:tab w:val="left" w:pos="569"/>
          <w:tab w:val="left" w:pos="1508"/>
        </w:tabs>
        <w:rPr>
          <w:bCs/>
          <w:sz w:val="22"/>
          <w:szCs w:val="22"/>
          <w:lang w:val="sr-Latn-ME"/>
        </w:rPr>
      </w:pPr>
      <w:r w:rsidRPr="00042A6C">
        <w:rPr>
          <w:bCs/>
          <w:sz w:val="22"/>
          <w:szCs w:val="22"/>
          <w:lang w:val="sr-Latn-ME"/>
        </w:rPr>
        <w:t>ATC kod:</w:t>
      </w:r>
      <w:r w:rsidR="00E02EDE" w:rsidRPr="00042A6C">
        <w:rPr>
          <w:bCs/>
          <w:sz w:val="22"/>
          <w:szCs w:val="22"/>
          <w:lang w:val="sr-Latn-ME"/>
        </w:rPr>
        <w:t xml:space="preserve"> B01AF01</w:t>
      </w:r>
    </w:p>
    <w:p w:rsidR="002E37A5" w:rsidRPr="00042A6C" w:rsidRDefault="002E37A5" w:rsidP="00480FB1">
      <w:pPr>
        <w:tabs>
          <w:tab w:val="left" w:pos="540"/>
          <w:tab w:val="left" w:pos="569"/>
        </w:tabs>
        <w:rPr>
          <w:b/>
          <w:bCs/>
          <w:sz w:val="22"/>
          <w:szCs w:val="22"/>
          <w:lang w:val="sr-Latn-ME"/>
        </w:rPr>
      </w:pPr>
    </w:p>
    <w:p w:rsidR="00E02EDE" w:rsidRPr="00042A6C" w:rsidRDefault="00E02EDE" w:rsidP="00E02EDE">
      <w:pPr>
        <w:tabs>
          <w:tab w:val="left" w:pos="540"/>
          <w:tab w:val="left" w:pos="569"/>
        </w:tabs>
        <w:jc w:val="both"/>
        <w:rPr>
          <w:bCs/>
          <w:i/>
          <w:sz w:val="22"/>
          <w:szCs w:val="22"/>
          <w:lang w:val="sr-Latn-ME"/>
        </w:rPr>
      </w:pPr>
      <w:r w:rsidRPr="00042A6C">
        <w:rPr>
          <w:bCs/>
          <w:i/>
          <w:sz w:val="22"/>
          <w:szCs w:val="22"/>
          <w:u w:val="single"/>
          <w:lang w:val="sr-Latn-ME"/>
        </w:rPr>
        <w:t>Mehanizam dejstva</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Rivaroksaban je visoko selektivan direktni inhibitor faktora Xa bioraspoloživ nakon oralne primjene. Inhibicija faktora Xa prekida intrinzički (unutrašnji) i ekstrinzički (spoljašnji) put kaskade koagulacije krvi, čime se inhibira i stvaranje trombina i formiranje tromba. Rivaroksaban ne inhibira trombin (aktivirani faktor II) i nisu pokazani efekti na trombocite.</w:t>
      </w:r>
    </w:p>
    <w:p w:rsidR="00E02EDE" w:rsidRPr="00042A6C" w:rsidRDefault="00E02EDE" w:rsidP="00E02EDE">
      <w:pPr>
        <w:tabs>
          <w:tab w:val="left" w:pos="540"/>
          <w:tab w:val="left" w:pos="569"/>
        </w:tabs>
        <w:jc w:val="both"/>
        <w:rPr>
          <w:bCs/>
          <w:sz w:val="22"/>
          <w:szCs w:val="22"/>
          <w:lang w:val="sr-Latn-ME"/>
        </w:rPr>
      </w:pPr>
    </w:p>
    <w:p w:rsidR="00E02EDE" w:rsidRPr="00042A6C" w:rsidRDefault="00E02EDE" w:rsidP="00E02EDE">
      <w:pPr>
        <w:tabs>
          <w:tab w:val="left" w:pos="540"/>
          <w:tab w:val="left" w:pos="569"/>
        </w:tabs>
        <w:jc w:val="both"/>
        <w:rPr>
          <w:bCs/>
          <w:i/>
          <w:sz w:val="22"/>
          <w:szCs w:val="22"/>
          <w:lang w:val="sr-Latn-ME"/>
        </w:rPr>
      </w:pPr>
      <w:r w:rsidRPr="00042A6C">
        <w:rPr>
          <w:bCs/>
          <w:i/>
          <w:sz w:val="22"/>
          <w:szCs w:val="22"/>
          <w:u w:val="single"/>
          <w:lang w:val="sr-Latn-ME"/>
        </w:rPr>
        <w:t>Farmakodinamski efekti</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 xml:space="preserve">Kod ljudi je primijećena dozno-zavisna inhibicija aktivnosti faktor Xa. Rivaroksaban dozno-zavisno utiče na protrombinsko vrijeme (engl. </w:t>
      </w:r>
      <w:r w:rsidRPr="00042A6C">
        <w:rPr>
          <w:bCs/>
          <w:i/>
          <w:sz w:val="22"/>
          <w:szCs w:val="22"/>
          <w:lang w:val="sr-Latn-ME"/>
        </w:rPr>
        <w:t xml:space="preserve">Prothrombin Time, </w:t>
      </w:r>
      <w:r w:rsidRPr="00042A6C">
        <w:rPr>
          <w:bCs/>
          <w:sz w:val="22"/>
          <w:szCs w:val="22"/>
          <w:lang w:val="sr-Latn-ME"/>
        </w:rPr>
        <w:t xml:space="preserve">PT), što značajno korelira sa koncentracijama u plazmi (r iznosi 0,98) ukoliko se za test koristi Neoplastin. Drugi reagensi mogu dati drugačije rezultate. PT treba očitavati u sekundama, pošto je INR (engl. </w:t>
      </w:r>
      <w:r w:rsidRPr="00042A6C">
        <w:rPr>
          <w:bCs/>
          <w:i/>
          <w:sz w:val="22"/>
          <w:szCs w:val="22"/>
          <w:lang w:val="sr-Latn-ME"/>
        </w:rPr>
        <w:t>International Normalized Ratio</w:t>
      </w:r>
      <w:r w:rsidRPr="00042A6C">
        <w:rPr>
          <w:bCs/>
          <w:sz w:val="22"/>
          <w:szCs w:val="22"/>
          <w:lang w:val="sr-Latn-ME"/>
        </w:rPr>
        <w:t>) kalibrisan i validiran za kumarine i ne može se koristiti za druge antikoagulanse.</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Kod pacijenata koji primaju rivaroksaban za terapiju TDV i PE i prevenciju njihovih recidiva, 5/95 percentila PT vrijednosti (Neoplastin) 2-4 sata nakon uzimanja tablete (tj. u vrijeme postizanja maksimalnog efekta) za dozu od 15 mg dva puta dnevno obuhvata raspon od 17 do 32 s, a za dozu od 20 mg rivaroksabana jednom dnevno od 15 do 30 s. Kod najmanjih koncentracija (na kraju doznog intervala – pred narednu dozu) (u periodu 8-16 sati nakon unosa tablete) 5/95 percentila za dozu od 15 mg dva puta dnevno obuhvata raspon od 14 do 24 s, a za dozu od 20 mg jednom dnevno (18-30 sati nakon unosa tablete) od 13 do 20 s.</w:t>
      </w:r>
    </w:p>
    <w:p w:rsidR="00E02EDE" w:rsidRPr="00042A6C" w:rsidRDefault="00E02EDE" w:rsidP="00E02EDE">
      <w:pPr>
        <w:tabs>
          <w:tab w:val="left" w:pos="540"/>
          <w:tab w:val="left" w:pos="569"/>
        </w:tabs>
        <w:jc w:val="both"/>
        <w:rPr>
          <w:bCs/>
          <w:sz w:val="22"/>
          <w:szCs w:val="22"/>
          <w:lang w:val="sr-Latn-ME"/>
        </w:rPr>
      </w:pPr>
      <w:r w:rsidRPr="00042A6C">
        <w:rPr>
          <w:bCs/>
          <w:sz w:val="22"/>
          <w:szCs w:val="22"/>
          <w:lang w:val="sr-Latn-ME"/>
        </w:rPr>
        <w:t>Kod pacijenata sa nevalvularnom atrijalnom fibrilacijom koji primaju rivaroksaban za prevenciju moždanog udara i sistemske embolije, 5/95 percentila za PT (Neoplastin) 1-4 sata nakon uzimanja tablete (tj. u vrijeme postizanja maksimalnog efekta) za dozu od 20 mg jednom dnevno se kretao od 14 do 40 s, a kod pacijenata sa umjerenim oštećenjem funkcije bubrega na terapiji dozom od 15 mg jednom dnevno od 10 do 50 s. Kod najmanjih koncentracija (u periodu od 16 do 36 sati nakon unosa tablete) 5/95 percentila kod pacijenata na terapiji dozom od 20 mg jednom dnevno se kretao od 12 do 26 s, a kod pacijenata sa umjerenim oštećenjem funkcije bubrega na terapiji dozom od 15 mg jednom dnevno od 12 do 26 s.</w:t>
      </w:r>
    </w:p>
    <w:p w:rsidR="00E02EDE" w:rsidRPr="00042A6C" w:rsidRDefault="00E02EDE" w:rsidP="00E02EDE">
      <w:pPr>
        <w:tabs>
          <w:tab w:val="left" w:pos="540"/>
          <w:tab w:val="left" w:pos="569"/>
        </w:tabs>
        <w:rPr>
          <w:b/>
          <w:bCs/>
          <w:sz w:val="22"/>
          <w:szCs w:val="22"/>
          <w:lang w:val="sr-Latn-ME"/>
        </w:rPr>
      </w:pPr>
    </w:p>
    <w:p w:rsidR="00E02EDE" w:rsidRPr="00042A6C" w:rsidRDefault="00E02EDE" w:rsidP="008C6E45">
      <w:pPr>
        <w:tabs>
          <w:tab w:val="left" w:pos="540"/>
          <w:tab w:val="left" w:pos="569"/>
        </w:tabs>
        <w:jc w:val="both"/>
        <w:rPr>
          <w:bCs/>
          <w:sz w:val="22"/>
          <w:szCs w:val="22"/>
          <w:lang w:val="sr-Latn-ME"/>
        </w:rPr>
      </w:pPr>
      <w:r w:rsidRPr="00042A6C">
        <w:rPr>
          <w:bCs/>
          <w:sz w:val="22"/>
          <w:szCs w:val="22"/>
          <w:lang w:val="sr-Latn-ME"/>
        </w:rPr>
        <w:t xml:space="preserve">U kliničkoj farmakološkoj studiji poništavanja farmakodinamike rivaroksabana kod zdravih odraslih ispitanika (n=22), procjenjivani su efekti pojedinačnih doza (50 IU/kg) dva različita tipa koncentrata protrombinskog kompleksa (engl. </w:t>
      </w:r>
      <w:r w:rsidRPr="00042A6C">
        <w:rPr>
          <w:bCs/>
          <w:i/>
          <w:sz w:val="22"/>
          <w:szCs w:val="22"/>
          <w:lang w:val="sr-Latn-ME"/>
        </w:rPr>
        <w:t xml:space="preserve">prothrombin complex concentrate, </w:t>
      </w:r>
      <w:r w:rsidRPr="00042A6C">
        <w:rPr>
          <w:bCs/>
          <w:sz w:val="22"/>
          <w:szCs w:val="22"/>
          <w:lang w:val="sr-Latn-ME"/>
        </w:rPr>
        <w:t>PCC), PCC-a koji sadrži 3 faktora (faktori II, IX i X) i PCC-a koji sadrži 4 faktora (faktori II, VII, IX i X). PCC sa 3 faktora je smanjio srednje vrijednosti PT-a sa Neoplastinom</w:t>
      </w:r>
      <w:r w:rsidR="008C6E45" w:rsidRPr="00042A6C">
        <w:rPr>
          <w:bCs/>
          <w:sz w:val="22"/>
          <w:szCs w:val="22"/>
          <w:lang w:val="sr-Latn-ME"/>
        </w:rPr>
        <w:t xml:space="preserve"> za približno 1,0 sekundi unutar</w:t>
      </w:r>
      <w:r w:rsidRPr="00042A6C">
        <w:rPr>
          <w:bCs/>
          <w:sz w:val="22"/>
          <w:szCs w:val="22"/>
          <w:lang w:val="sr-Latn-ME"/>
        </w:rPr>
        <w:t xml:space="preserve"> 30 minuta, u poređenju sa smanjenjem od približno 3,5 sekundi koje je zapaženo kod PCC sa 4 faktora. </w:t>
      </w:r>
      <w:r w:rsidR="008C6E45" w:rsidRPr="00042A6C">
        <w:rPr>
          <w:bCs/>
          <w:sz w:val="22"/>
          <w:szCs w:val="22"/>
          <w:lang w:val="sr-Latn-ME"/>
        </w:rPr>
        <w:t>Nasuprot</w:t>
      </w:r>
      <w:r w:rsidRPr="00042A6C">
        <w:rPr>
          <w:bCs/>
          <w:sz w:val="22"/>
          <w:szCs w:val="22"/>
          <w:lang w:val="sr-Latn-ME"/>
        </w:rPr>
        <w:t xml:space="preserve"> tome, PCC sa 3 faktora je imao veći i brži cjelokupni efekat na reverziju promjena u stvaranju endogenog trombina, u odnosu na PCC sa 4 faktora (vidjeti </w:t>
      </w:r>
      <w:r w:rsidR="000F7071" w:rsidRPr="00042A6C">
        <w:rPr>
          <w:bCs/>
          <w:sz w:val="22"/>
          <w:szCs w:val="22"/>
          <w:lang w:val="sr-Latn-ME"/>
        </w:rPr>
        <w:t xml:space="preserve">dio </w:t>
      </w:r>
      <w:r w:rsidRPr="00042A6C">
        <w:rPr>
          <w:bCs/>
          <w:sz w:val="22"/>
          <w:szCs w:val="22"/>
          <w:lang w:val="sr-Latn-ME"/>
        </w:rPr>
        <w:t>4.9).</w:t>
      </w:r>
    </w:p>
    <w:p w:rsidR="00E02EDE" w:rsidRPr="00042A6C" w:rsidRDefault="00E02EDE" w:rsidP="008C6E45">
      <w:pPr>
        <w:tabs>
          <w:tab w:val="left" w:pos="540"/>
          <w:tab w:val="left" w:pos="569"/>
        </w:tabs>
        <w:jc w:val="both"/>
        <w:rPr>
          <w:bCs/>
          <w:sz w:val="22"/>
          <w:szCs w:val="22"/>
          <w:lang w:val="sr-Latn-ME"/>
        </w:rPr>
      </w:pPr>
    </w:p>
    <w:p w:rsidR="00E02EDE" w:rsidRPr="00042A6C" w:rsidRDefault="00E02EDE" w:rsidP="008C6E45">
      <w:pPr>
        <w:tabs>
          <w:tab w:val="left" w:pos="540"/>
          <w:tab w:val="left" w:pos="569"/>
        </w:tabs>
        <w:jc w:val="both"/>
        <w:rPr>
          <w:bCs/>
          <w:sz w:val="22"/>
          <w:szCs w:val="22"/>
          <w:lang w:val="sr-Latn-ME"/>
        </w:rPr>
      </w:pPr>
      <w:r w:rsidRPr="00042A6C">
        <w:rPr>
          <w:bCs/>
          <w:sz w:val="22"/>
          <w:szCs w:val="22"/>
          <w:lang w:val="sr-Latn-ME"/>
        </w:rPr>
        <w:t xml:space="preserve">Aktivirano parcijalno tromboplastinsko vrijeme (engl. </w:t>
      </w:r>
      <w:r w:rsidRPr="00042A6C">
        <w:rPr>
          <w:bCs/>
          <w:i/>
          <w:sz w:val="22"/>
          <w:szCs w:val="22"/>
          <w:lang w:val="sr-Latn-ME"/>
        </w:rPr>
        <w:t>Activated Partial Thromboplastin Time</w:t>
      </w:r>
      <w:r w:rsidRPr="00042A6C">
        <w:rPr>
          <w:bCs/>
          <w:sz w:val="22"/>
          <w:szCs w:val="22"/>
          <w:lang w:val="sr-Latn-ME"/>
        </w:rPr>
        <w:t>, aPTT) i Heptest, takođe su dozno-zavisno produženi; međutim, ne preporučuje se da se oni koriste za procjenu farmakodinamskih efekata rivaroksabana. Nema potrebe da se sprovodi rutinska klinička kontrola parametara koagulacije tokom liječenja rivaroksabanom. Međutim, ukoliko je klinički indikovano</w:t>
      </w:r>
      <w:r w:rsidR="000F7071" w:rsidRPr="00042A6C">
        <w:rPr>
          <w:bCs/>
          <w:sz w:val="22"/>
          <w:szCs w:val="22"/>
          <w:lang w:val="sr-Latn-ME"/>
        </w:rPr>
        <w:t>,</w:t>
      </w:r>
      <w:r w:rsidRPr="00042A6C">
        <w:rPr>
          <w:bCs/>
          <w:sz w:val="22"/>
          <w:szCs w:val="22"/>
          <w:lang w:val="sr-Latn-ME"/>
        </w:rPr>
        <w:t xml:space="preserve"> koncentracija rivaroksabana se može odrediti kalibrisanim kvantitativnim anti-faktor Xa testovima (vidjeti </w:t>
      </w:r>
      <w:r w:rsidR="000F7071" w:rsidRPr="00042A6C">
        <w:rPr>
          <w:bCs/>
          <w:sz w:val="22"/>
          <w:szCs w:val="22"/>
          <w:lang w:val="sr-Latn-ME"/>
        </w:rPr>
        <w:t xml:space="preserve">dio </w:t>
      </w:r>
      <w:r w:rsidRPr="00042A6C">
        <w:rPr>
          <w:bCs/>
          <w:sz w:val="22"/>
          <w:szCs w:val="22"/>
          <w:lang w:val="sr-Latn-ME"/>
        </w:rPr>
        <w:t>5.2).</w:t>
      </w:r>
    </w:p>
    <w:p w:rsidR="00E02EDE" w:rsidRPr="00042A6C" w:rsidRDefault="00E02EDE" w:rsidP="008C6E45">
      <w:pPr>
        <w:tabs>
          <w:tab w:val="left" w:pos="540"/>
          <w:tab w:val="left" w:pos="569"/>
        </w:tabs>
        <w:jc w:val="both"/>
        <w:rPr>
          <w:bCs/>
          <w:sz w:val="22"/>
          <w:szCs w:val="22"/>
          <w:lang w:val="sr-Latn-ME"/>
        </w:rPr>
      </w:pPr>
    </w:p>
    <w:p w:rsidR="00E02EDE" w:rsidRPr="00042A6C" w:rsidRDefault="00E02EDE" w:rsidP="008C6E45">
      <w:pPr>
        <w:tabs>
          <w:tab w:val="left" w:pos="540"/>
          <w:tab w:val="left" w:pos="569"/>
        </w:tabs>
        <w:jc w:val="both"/>
        <w:rPr>
          <w:bCs/>
          <w:sz w:val="22"/>
          <w:szCs w:val="22"/>
          <w:u w:val="single"/>
          <w:lang w:val="sr-Latn-ME"/>
        </w:rPr>
      </w:pPr>
      <w:r w:rsidRPr="00042A6C">
        <w:rPr>
          <w:bCs/>
          <w:sz w:val="22"/>
          <w:szCs w:val="22"/>
          <w:u w:val="single"/>
          <w:lang w:val="sr-Latn-ME"/>
        </w:rPr>
        <w:t>Pedijatrijska populacija</w:t>
      </w:r>
    </w:p>
    <w:p w:rsidR="00E02EDE" w:rsidRPr="00042A6C" w:rsidRDefault="00E02EDE" w:rsidP="008C6E45">
      <w:pPr>
        <w:tabs>
          <w:tab w:val="left" w:pos="540"/>
          <w:tab w:val="left" w:pos="569"/>
        </w:tabs>
        <w:jc w:val="both"/>
        <w:rPr>
          <w:bCs/>
          <w:sz w:val="22"/>
          <w:szCs w:val="22"/>
          <w:lang w:val="sr-Latn-ME"/>
        </w:rPr>
      </w:pPr>
      <w:r w:rsidRPr="00042A6C">
        <w:rPr>
          <w:bCs/>
          <w:sz w:val="22"/>
          <w:szCs w:val="22"/>
          <w:lang w:val="sr-Latn-ME"/>
        </w:rPr>
        <w:lastRenderedPageBreak/>
        <w:t xml:space="preserve">PV (neoplastin reagens), aPTV i anti-Xa test (sa kalibrisanim kvantitativnim testom) kod djece pokazuju usku korelaciju sa koncentracijama u plazmi. Korelacija između anti-Xa i koncentracija u plazmi je linearna, uz nagib pravca blizu 1. Mogu se javiti pojedinačna odstupanja prema višim ili nižim vrijednostima anti-Xa u odnosu na odgovarajuće koncentracije u plazmi. Nema potrebe za rutinskim praćenjem parametara koagulacije tokom kliničkog liječenja rivaroksabanom. Međutim, ako je klinički indikovano, koncentracije rivaroksabana mogu se izmjeriti kalibrisanim kvantitativnim anti-faktor Xa testovima u μg/l (za raspone zabilježenih koncentracija rivaroksabana u plazmi kod djece vidjeti tabelu 13 u </w:t>
      </w:r>
      <w:r w:rsidR="00B9681D" w:rsidRPr="00042A6C">
        <w:rPr>
          <w:bCs/>
          <w:sz w:val="22"/>
          <w:szCs w:val="22"/>
          <w:lang w:val="sr-Latn-ME"/>
        </w:rPr>
        <w:t xml:space="preserve">dijelu </w:t>
      </w:r>
      <w:r w:rsidRPr="00042A6C">
        <w:rPr>
          <w:bCs/>
          <w:sz w:val="22"/>
          <w:szCs w:val="22"/>
          <w:lang w:val="sr-Latn-ME"/>
        </w:rPr>
        <w:t>5.2). Kad se anti-Xa test primjenjuje za kvantifikovanje koncentracija rivaroksabana u plazmi kod djece, mora se uzeti u obzir donja granica kvantifikacije. Nije ustanovljen prag za efikasnost i bezbjednost primjene.</w:t>
      </w:r>
    </w:p>
    <w:p w:rsidR="00E02EDE" w:rsidRPr="00042A6C" w:rsidRDefault="00E02EDE" w:rsidP="00E02EDE">
      <w:pPr>
        <w:tabs>
          <w:tab w:val="left" w:pos="540"/>
          <w:tab w:val="left" w:pos="569"/>
        </w:tabs>
        <w:rPr>
          <w:b/>
          <w:bCs/>
          <w:sz w:val="22"/>
          <w:szCs w:val="22"/>
          <w:lang w:val="sr-Latn-ME"/>
        </w:rPr>
      </w:pPr>
    </w:p>
    <w:p w:rsidR="00E02EDE" w:rsidRPr="00042A6C" w:rsidRDefault="00E02EDE" w:rsidP="008C6E45">
      <w:pPr>
        <w:tabs>
          <w:tab w:val="left" w:pos="540"/>
          <w:tab w:val="left" w:pos="569"/>
        </w:tabs>
        <w:jc w:val="both"/>
        <w:rPr>
          <w:bCs/>
          <w:i/>
          <w:sz w:val="22"/>
          <w:szCs w:val="22"/>
          <w:lang w:val="sr-Latn-ME"/>
        </w:rPr>
      </w:pPr>
      <w:r w:rsidRPr="00042A6C">
        <w:rPr>
          <w:bCs/>
          <w:i/>
          <w:sz w:val="22"/>
          <w:szCs w:val="22"/>
          <w:u w:val="single"/>
          <w:lang w:val="sr-Latn-ME"/>
        </w:rPr>
        <w:t>Klinička efikasnost i bezbjednost</w:t>
      </w:r>
    </w:p>
    <w:p w:rsidR="00091295" w:rsidRPr="00042A6C" w:rsidRDefault="00E02EDE" w:rsidP="008C6E45">
      <w:pPr>
        <w:tabs>
          <w:tab w:val="left" w:pos="540"/>
          <w:tab w:val="left" w:pos="569"/>
        </w:tabs>
        <w:jc w:val="both"/>
        <w:rPr>
          <w:bCs/>
          <w:i/>
          <w:sz w:val="22"/>
          <w:szCs w:val="22"/>
          <w:lang w:val="sr-Latn-ME"/>
        </w:rPr>
      </w:pPr>
      <w:r w:rsidRPr="00042A6C">
        <w:rPr>
          <w:bCs/>
          <w:i/>
          <w:sz w:val="22"/>
          <w:szCs w:val="22"/>
          <w:u w:val="single"/>
          <w:lang w:val="sr-Latn-ME"/>
        </w:rPr>
        <w:t>Prevencija moždanog udara i sistemske embolije kod pacijenata sa nevalvularnom atrijalnom fibrilacijom</w:t>
      </w:r>
      <w:r w:rsidRPr="00042A6C">
        <w:rPr>
          <w:bCs/>
          <w:i/>
          <w:sz w:val="22"/>
          <w:szCs w:val="22"/>
          <w:lang w:val="sr-Latn-ME"/>
        </w:rPr>
        <w:t xml:space="preserve"> </w:t>
      </w:r>
    </w:p>
    <w:p w:rsidR="00E02EDE" w:rsidRPr="00042A6C" w:rsidRDefault="00E02EDE" w:rsidP="008C6E45">
      <w:pPr>
        <w:tabs>
          <w:tab w:val="left" w:pos="540"/>
          <w:tab w:val="left" w:pos="569"/>
        </w:tabs>
        <w:jc w:val="both"/>
        <w:rPr>
          <w:bCs/>
          <w:sz w:val="22"/>
          <w:szCs w:val="22"/>
          <w:lang w:val="sr-Latn-ME"/>
        </w:rPr>
      </w:pPr>
      <w:r w:rsidRPr="00042A6C">
        <w:rPr>
          <w:bCs/>
          <w:sz w:val="22"/>
          <w:szCs w:val="22"/>
          <w:lang w:val="sr-Latn-ME"/>
        </w:rPr>
        <w:t>Kliničko ispitivanje rivaroksabana dizajnirano je tako da se pokaže efikasnost rivaroksabana u prevenciji moždanog udara i sistemske embolije kod pacijenata sa nevalvularnom atrijalnom fibrilacijom. U pivotalnoj dvostruko sl</w:t>
      </w:r>
      <w:r w:rsidR="00B9681D" w:rsidRPr="00042A6C">
        <w:rPr>
          <w:bCs/>
          <w:sz w:val="22"/>
          <w:szCs w:val="22"/>
          <w:lang w:val="sr-Latn-ME"/>
        </w:rPr>
        <w:t>ij</w:t>
      </w:r>
      <w:r w:rsidRPr="00042A6C">
        <w:rPr>
          <w:bCs/>
          <w:sz w:val="22"/>
          <w:szCs w:val="22"/>
          <w:lang w:val="sr-Latn-ME"/>
        </w:rPr>
        <w:t>epoj studiji ROCKET AF bilo je 14264 pacijen</w:t>
      </w:r>
      <w:r w:rsidR="00FA68A1" w:rsidRPr="00042A6C">
        <w:rPr>
          <w:bCs/>
          <w:sz w:val="22"/>
          <w:szCs w:val="22"/>
          <w:lang w:val="sr-Latn-ME"/>
        </w:rPr>
        <w:t>a</w:t>
      </w:r>
      <w:r w:rsidRPr="00042A6C">
        <w:rPr>
          <w:bCs/>
          <w:sz w:val="22"/>
          <w:szCs w:val="22"/>
          <w:lang w:val="sr-Latn-ME"/>
        </w:rPr>
        <w:t xml:space="preserve">ta koji su primali ili rivaroksaban u dozi od 20 mg jednom dnevno (15 mg jednom dnevno kod pacijenata kod kojih je klirens kreatinina bio 30-49 ml/min) ili varfarin titriran do ciljne vrijednosti INR od 2,5 (terapijske vrijednosti 2,0 do 3,0). Medijana vremena trajanja terapije je iznosila 19 mjeseci, a ukupno trajanje terapije je bilo do 41 mjeseca, 34,9% pacijenata </w:t>
      </w:r>
      <w:r w:rsidR="00B9681D" w:rsidRPr="00042A6C">
        <w:rPr>
          <w:bCs/>
          <w:sz w:val="22"/>
          <w:szCs w:val="22"/>
          <w:lang w:val="sr-Latn-ME"/>
        </w:rPr>
        <w:t xml:space="preserve">je dobijalo </w:t>
      </w:r>
      <w:r w:rsidRPr="00042A6C">
        <w:rPr>
          <w:bCs/>
          <w:sz w:val="22"/>
          <w:szCs w:val="22"/>
          <w:lang w:val="sr-Latn-ME"/>
        </w:rPr>
        <w:t>acetilsalicilnu kiselinu, a 11,4% neki od antiaritmika klase III uključujući amjodaron.</w:t>
      </w:r>
    </w:p>
    <w:p w:rsidR="00E02EDE" w:rsidRPr="00042A6C" w:rsidRDefault="00E02EDE" w:rsidP="008C6E45">
      <w:pPr>
        <w:tabs>
          <w:tab w:val="left" w:pos="540"/>
          <w:tab w:val="left" w:pos="569"/>
        </w:tabs>
        <w:jc w:val="both"/>
        <w:rPr>
          <w:bCs/>
          <w:sz w:val="22"/>
          <w:szCs w:val="22"/>
          <w:lang w:val="sr-Latn-ME"/>
        </w:rPr>
      </w:pPr>
    </w:p>
    <w:p w:rsidR="00E02EDE" w:rsidRPr="00042A6C" w:rsidRDefault="00E02EDE" w:rsidP="008C6E45">
      <w:pPr>
        <w:tabs>
          <w:tab w:val="left" w:pos="540"/>
          <w:tab w:val="left" w:pos="569"/>
        </w:tabs>
        <w:jc w:val="both"/>
        <w:rPr>
          <w:bCs/>
          <w:sz w:val="22"/>
          <w:szCs w:val="22"/>
          <w:lang w:val="sr-Latn-ME"/>
        </w:rPr>
      </w:pPr>
      <w:r w:rsidRPr="00042A6C">
        <w:rPr>
          <w:bCs/>
          <w:sz w:val="22"/>
          <w:szCs w:val="22"/>
          <w:lang w:val="sr-Latn-ME"/>
        </w:rPr>
        <w:t>Rivaroksaban se pokazao neinferiornim u odnosu na varfarin u primarnom zbirnom ishodu efikasnosti kod moždanog udara i sistemske embolije koja nije povezana sa CNS-om. Kod pacijenata koji su bili na terapiji po protokolu, moždani udar ili sistemska embolija su se javili kod 188 pacijenata na rivaroksabanu (1,71% po godini) i 241 na varfarinu (2,16% po godini) (</w:t>
      </w:r>
      <w:r w:rsidR="00B9681D" w:rsidRPr="00042A6C">
        <w:rPr>
          <w:bCs/>
          <w:sz w:val="22"/>
          <w:szCs w:val="22"/>
          <w:lang w:val="sr-Latn-ME"/>
        </w:rPr>
        <w:t xml:space="preserve">engl. </w:t>
      </w:r>
      <w:r w:rsidRPr="00042A6C">
        <w:rPr>
          <w:bCs/>
          <w:i/>
          <w:sz w:val="22"/>
          <w:szCs w:val="22"/>
          <w:lang w:val="sr-Latn-ME"/>
        </w:rPr>
        <w:t xml:space="preserve">hazard ratio </w:t>
      </w:r>
      <w:r w:rsidRPr="00042A6C">
        <w:rPr>
          <w:bCs/>
          <w:sz w:val="22"/>
          <w:szCs w:val="22"/>
          <w:lang w:val="sr-Latn-ME"/>
        </w:rPr>
        <w:t xml:space="preserve">(HR) 0,79; 95% CI, 0,66 – 0,96; P&lt;0,001 za neinferiornost). Među svim randomizovanim pacijentima koji su analizirani u skladu sa ITT, primarni događaji su se dogodili kod 269 </w:t>
      </w:r>
      <w:r w:rsidR="00FA68A1" w:rsidRPr="00042A6C">
        <w:rPr>
          <w:bCs/>
          <w:sz w:val="22"/>
          <w:szCs w:val="22"/>
          <w:lang w:val="sr-Latn-ME"/>
        </w:rPr>
        <w:t xml:space="preserve">pacijenata </w:t>
      </w:r>
      <w:r w:rsidRPr="00042A6C">
        <w:rPr>
          <w:bCs/>
          <w:sz w:val="22"/>
          <w:szCs w:val="22"/>
          <w:lang w:val="sr-Latn-ME"/>
        </w:rPr>
        <w:t xml:space="preserve">na terapiji rivaroksabanom (2,12% po godini) i 306 </w:t>
      </w:r>
      <w:r w:rsidR="00FA68A1" w:rsidRPr="00042A6C">
        <w:rPr>
          <w:bCs/>
          <w:sz w:val="22"/>
          <w:szCs w:val="22"/>
          <w:lang w:val="sr-Latn-ME"/>
        </w:rPr>
        <w:t xml:space="preserve">pacijenata </w:t>
      </w:r>
      <w:r w:rsidRPr="00042A6C">
        <w:rPr>
          <w:bCs/>
          <w:sz w:val="22"/>
          <w:szCs w:val="22"/>
          <w:lang w:val="sr-Latn-ME"/>
        </w:rPr>
        <w:t>na terapiji varfarinom (2,42% po godini) (HR 0,88; 95% CI, 0,74 – 1,03; P&lt;0,001 za neinferiornost; P=0,117 za superiornost). Rezultati za sekundarne ishode testirane po hijerarhijskom rangu u ITT analizi su prikazani u Tabeli 4.</w:t>
      </w:r>
    </w:p>
    <w:p w:rsidR="00E02EDE" w:rsidRPr="00042A6C" w:rsidRDefault="00E02EDE" w:rsidP="008C6E45">
      <w:pPr>
        <w:tabs>
          <w:tab w:val="left" w:pos="540"/>
          <w:tab w:val="left" w:pos="569"/>
        </w:tabs>
        <w:jc w:val="both"/>
        <w:rPr>
          <w:bCs/>
          <w:sz w:val="22"/>
          <w:szCs w:val="22"/>
          <w:lang w:val="sr-Latn-ME"/>
        </w:rPr>
      </w:pPr>
    </w:p>
    <w:p w:rsidR="00E02EDE" w:rsidRPr="00042A6C" w:rsidRDefault="00E02EDE" w:rsidP="008C6E45">
      <w:pPr>
        <w:tabs>
          <w:tab w:val="left" w:pos="540"/>
          <w:tab w:val="left" w:pos="569"/>
        </w:tabs>
        <w:jc w:val="both"/>
        <w:rPr>
          <w:bCs/>
          <w:sz w:val="22"/>
          <w:szCs w:val="22"/>
          <w:lang w:val="sr-Latn-ME"/>
        </w:rPr>
      </w:pPr>
      <w:r w:rsidRPr="00042A6C">
        <w:rPr>
          <w:bCs/>
          <w:sz w:val="22"/>
          <w:szCs w:val="22"/>
          <w:lang w:val="sr-Latn-ME"/>
        </w:rPr>
        <w:t xml:space="preserve">Među pacijentima u varfarinskoj grupi, INR vrijednosti su bile unutar terapijskog opsega (2,0 do 3,0) u prosjeku 55% vremena (medijana, 58%; interkvartilni raspon, 43 do 71). Efekat rivaroksabana se nije razlikovao u odnosu na nivo centra TTR (engl. </w:t>
      </w:r>
      <w:r w:rsidRPr="00042A6C">
        <w:rPr>
          <w:bCs/>
          <w:i/>
          <w:sz w:val="22"/>
          <w:szCs w:val="22"/>
          <w:lang w:val="sr-Latn-ME"/>
        </w:rPr>
        <w:t xml:space="preserve">Time in Target INR Range - </w:t>
      </w:r>
      <w:r w:rsidRPr="00042A6C">
        <w:rPr>
          <w:bCs/>
          <w:sz w:val="22"/>
          <w:szCs w:val="22"/>
          <w:lang w:val="sr-Latn-ME"/>
        </w:rPr>
        <w:t xml:space="preserve">vrijeme u ciljnom INR rasponu od 2,0 – 3,0) u kvartilima podjednake veličine (P=0,74 za interakciju). Unutar najvećeg kvartila prema centru, </w:t>
      </w:r>
      <w:r w:rsidR="00B9681D" w:rsidRPr="00042A6C">
        <w:rPr>
          <w:bCs/>
          <w:sz w:val="22"/>
          <w:szCs w:val="22"/>
          <w:lang w:val="sr-Latn-ME"/>
        </w:rPr>
        <w:t>HR</w:t>
      </w:r>
      <w:r w:rsidRPr="00042A6C">
        <w:rPr>
          <w:bCs/>
          <w:i/>
          <w:sz w:val="22"/>
          <w:szCs w:val="22"/>
          <w:lang w:val="sr-Latn-ME"/>
        </w:rPr>
        <w:t xml:space="preserve"> </w:t>
      </w:r>
      <w:r w:rsidRPr="00042A6C">
        <w:rPr>
          <w:bCs/>
          <w:sz w:val="22"/>
          <w:szCs w:val="22"/>
          <w:lang w:val="sr-Latn-ME"/>
        </w:rPr>
        <w:t>sa rivaroksabanom prema varfarinu je bio 0,74 (95% CI, 0,49 – 1,12).</w:t>
      </w:r>
    </w:p>
    <w:p w:rsidR="00E02EDE" w:rsidRPr="00042A6C" w:rsidRDefault="00E02EDE" w:rsidP="008C6E45">
      <w:pPr>
        <w:tabs>
          <w:tab w:val="left" w:pos="540"/>
          <w:tab w:val="left" w:pos="569"/>
        </w:tabs>
        <w:jc w:val="both"/>
        <w:rPr>
          <w:bCs/>
          <w:sz w:val="22"/>
          <w:szCs w:val="22"/>
          <w:lang w:val="sr-Latn-ME"/>
        </w:rPr>
      </w:pPr>
      <w:r w:rsidRPr="00042A6C">
        <w:rPr>
          <w:bCs/>
          <w:sz w:val="22"/>
          <w:szCs w:val="22"/>
          <w:lang w:val="sr-Latn-ME"/>
        </w:rPr>
        <w:t>Stope učestalosti za glavni bezbjednosni ishod (</w:t>
      </w:r>
      <w:r w:rsidR="00B9681D" w:rsidRPr="00042A6C">
        <w:rPr>
          <w:bCs/>
          <w:sz w:val="22"/>
          <w:szCs w:val="22"/>
          <w:lang w:val="sr-Latn-ME"/>
        </w:rPr>
        <w:t xml:space="preserve">velika </w:t>
      </w:r>
      <w:r w:rsidRPr="00042A6C">
        <w:rPr>
          <w:bCs/>
          <w:sz w:val="22"/>
          <w:szCs w:val="22"/>
          <w:lang w:val="sr-Latn-ME"/>
        </w:rPr>
        <w:t xml:space="preserve">krvarenja ili klinički značajna </w:t>
      </w:r>
      <w:r w:rsidR="00B9681D" w:rsidRPr="00042A6C">
        <w:rPr>
          <w:bCs/>
          <w:sz w:val="22"/>
          <w:szCs w:val="22"/>
          <w:lang w:val="sr-Latn-ME"/>
        </w:rPr>
        <w:t xml:space="preserve">manja </w:t>
      </w:r>
      <w:r w:rsidRPr="00042A6C">
        <w:rPr>
          <w:bCs/>
          <w:sz w:val="22"/>
          <w:szCs w:val="22"/>
          <w:lang w:val="sr-Latn-ME"/>
        </w:rPr>
        <w:t>krvarenja) su bile slične za obje terapijske grupe (vid</w:t>
      </w:r>
      <w:r w:rsidR="008C6E45" w:rsidRPr="00042A6C">
        <w:rPr>
          <w:bCs/>
          <w:sz w:val="22"/>
          <w:szCs w:val="22"/>
          <w:lang w:val="sr-Latn-ME"/>
        </w:rPr>
        <w:t>jeti T</w:t>
      </w:r>
      <w:r w:rsidRPr="00042A6C">
        <w:rPr>
          <w:bCs/>
          <w:sz w:val="22"/>
          <w:szCs w:val="22"/>
          <w:lang w:val="sr-Latn-ME"/>
        </w:rPr>
        <w:t>abelu 5).</w:t>
      </w:r>
    </w:p>
    <w:p w:rsidR="00091295" w:rsidRPr="00042A6C" w:rsidRDefault="00091295" w:rsidP="008C6E45">
      <w:pPr>
        <w:tabs>
          <w:tab w:val="left" w:pos="540"/>
          <w:tab w:val="left" w:pos="569"/>
        </w:tabs>
        <w:jc w:val="both"/>
        <w:rPr>
          <w:bCs/>
          <w:sz w:val="22"/>
          <w:szCs w:val="22"/>
          <w:lang w:val="sr-Latn-ME"/>
        </w:rPr>
      </w:pPr>
    </w:p>
    <w:p w:rsidR="00091295" w:rsidRDefault="00091295" w:rsidP="00091295">
      <w:pPr>
        <w:tabs>
          <w:tab w:val="left" w:pos="540"/>
          <w:tab w:val="left" w:pos="569"/>
        </w:tabs>
        <w:rPr>
          <w:b/>
          <w:bCs/>
          <w:sz w:val="22"/>
          <w:szCs w:val="22"/>
          <w:lang w:val="sr-Latn-ME"/>
        </w:rPr>
      </w:pPr>
      <w:r w:rsidRPr="00042A6C">
        <w:rPr>
          <w:b/>
          <w:bCs/>
          <w:sz w:val="22"/>
          <w:szCs w:val="22"/>
          <w:lang w:val="sr-Latn-ME"/>
        </w:rPr>
        <w:t xml:space="preserve">Tabela 4: Rezultati efikasnosti iz </w:t>
      </w:r>
      <w:r w:rsidR="00B9681D" w:rsidRPr="00042A6C">
        <w:rPr>
          <w:b/>
          <w:bCs/>
          <w:sz w:val="22"/>
          <w:szCs w:val="22"/>
          <w:lang w:val="sr-Latn-ME"/>
        </w:rPr>
        <w:t xml:space="preserve">ispitivanja faze </w:t>
      </w:r>
      <w:r w:rsidRPr="00042A6C">
        <w:rPr>
          <w:b/>
          <w:bCs/>
          <w:sz w:val="22"/>
          <w:szCs w:val="22"/>
          <w:lang w:val="sr-Latn-ME"/>
        </w:rPr>
        <w:t>III ROCKET AF</w:t>
      </w:r>
    </w:p>
    <w:p w:rsidR="00F0540D" w:rsidRPr="00042A6C" w:rsidRDefault="00F0540D" w:rsidP="00091295">
      <w:pPr>
        <w:tabs>
          <w:tab w:val="left" w:pos="540"/>
          <w:tab w:val="left" w:pos="569"/>
        </w:tabs>
        <w:rPr>
          <w:b/>
          <w:bCs/>
          <w:sz w:val="22"/>
          <w:szCs w:val="22"/>
          <w:lang w:val="sr-Latn-ME"/>
        </w:rPr>
      </w:pPr>
    </w:p>
    <w:tbl>
      <w:tblPr>
        <w:tblStyle w:val="TableGrid"/>
        <w:tblW w:w="0" w:type="auto"/>
        <w:tblLook w:val="04A0" w:firstRow="1" w:lastRow="0" w:firstColumn="1" w:lastColumn="0" w:noHBand="0" w:noVBand="1"/>
      </w:tblPr>
      <w:tblGrid>
        <w:gridCol w:w="2265"/>
        <w:gridCol w:w="2266"/>
        <w:gridCol w:w="2266"/>
        <w:gridCol w:w="2266"/>
      </w:tblGrid>
      <w:tr w:rsidR="00091295" w:rsidRPr="00042A6C" w:rsidTr="00091295">
        <w:tc>
          <w:tcPr>
            <w:tcW w:w="2265" w:type="dxa"/>
            <w:vAlign w:val="center"/>
          </w:tcPr>
          <w:p w:rsidR="00091295" w:rsidRPr="004C49DB" w:rsidRDefault="00091295" w:rsidP="00091295">
            <w:pPr>
              <w:widowControl w:val="0"/>
              <w:autoSpaceDE w:val="0"/>
              <w:autoSpaceDN w:val="0"/>
              <w:spacing w:before="135"/>
              <w:rPr>
                <w:b/>
                <w:sz w:val="22"/>
                <w:szCs w:val="22"/>
                <w:lang w:val="sr-Latn-ME"/>
              </w:rPr>
            </w:pPr>
            <w:r w:rsidRPr="004C49DB">
              <w:rPr>
                <w:b/>
                <w:sz w:val="22"/>
                <w:szCs w:val="22"/>
                <w:lang w:val="sr-Latn-ME"/>
              </w:rPr>
              <w:t>Populacija uključena u studiju</w:t>
            </w:r>
          </w:p>
        </w:tc>
        <w:tc>
          <w:tcPr>
            <w:tcW w:w="6798" w:type="dxa"/>
            <w:gridSpan w:val="3"/>
            <w:vAlign w:val="center"/>
          </w:tcPr>
          <w:p w:rsidR="00091295" w:rsidRPr="004C49DB" w:rsidRDefault="00091295" w:rsidP="00091295">
            <w:pPr>
              <w:widowControl w:val="0"/>
              <w:autoSpaceDE w:val="0"/>
              <w:autoSpaceDN w:val="0"/>
              <w:spacing w:line="232" w:lineRule="auto"/>
              <w:ind w:right="227"/>
              <w:rPr>
                <w:b/>
                <w:sz w:val="22"/>
                <w:szCs w:val="22"/>
                <w:lang w:val="sr-Latn-ME"/>
              </w:rPr>
            </w:pPr>
            <w:r w:rsidRPr="004C49DB">
              <w:rPr>
                <w:b/>
                <w:sz w:val="22"/>
                <w:szCs w:val="22"/>
                <w:lang w:val="sr-Latn-ME"/>
              </w:rPr>
              <w:t>ITT analize efikasnost</w:t>
            </w:r>
            <w:r w:rsidR="00B9681D" w:rsidRPr="004C49DB">
              <w:rPr>
                <w:b/>
                <w:sz w:val="22"/>
                <w:szCs w:val="22"/>
                <w:lang w:val="sr-Latn-ME"/>
              </w:rPr>
              <w:t>i</w:t>
            </w:r>
            <w:r w:rsidRPr="004C49DB">
              <w:rPr>
                <w:b/>
                <w:sz w:val="22"/>
                <w:szCs w:val="22"/>
                <w:lang w:val="sr-Latn-ME"/>
              </w:rPr>
              <w:t xml:space="preserve"> kod pacijenata sa nevalvularnom atrijalnom fibrilacijom</w:t>
            </w:r>
          </w:p>
        </w:tc>
      </w:tr>
      <w:tr w:rsidR="00091295" w:rsidRPr="00042A6C" w:rsidTr="00A3510D">
        <w:tc>
          <w:tcPr>
            <w:tcW w:w="2265" w:type="dxa"/>
            <w:vAlign w:val="center"/>
          </w:tcPr>
          <w:p w:rsidR="00091295" w:rsidRPr="004C49DB" w:rsidRDefault="00091295" w:rsidP="00091295">
            <w:pPr>
              <w:tabs>
                <w:tab w:val="left" w:pos="540"/>
                <w:tab w:val="left" w:pos="569"/>
              </w:tabs>
              <w:rPr>
                <w:b/>
                <w:bCs/>
                <w:sz w:val="22"/>
                <w:szCs w:val="22"/>
                <w:lang w:val="sr-Latn-ME"/>
              </w:rPr>
            </w:pPr>
            <w:r w:rsidRPr="004C49DB">
              <w:rPr>
                <w:b/>
                <w:bCs/>
                <w:sz w:val="22"/>
                <w:szCs w:val="22"/>
                <w:lang w:val="sr-Latn-ME"/>
              </w:rPr>
              <w:t>Terapijska doza</w:t>
            </w:r>
          </w:p>
        </w:tc>
        <w:tc>
          <w:tcPr>
            <w:tcW w:w="2266" w:type="dxa"/>
            <w:vAlign w:val="center"/>
          </w:tcPr>
          <w:p w:rsidR="00091295" w:rsidRPr="004C49DB" w:rsidRDefault="00091295" w:rsidP="00A3510D">
            <w:pPr>
              <w:tabs>
                <w:tab w:val="left" w:pos="540"/>
                <w:tab w:val="left" w:pos="569"/>
              </w:tabs>
              <w:rPr>
                <w:b/>
                <w:bCs/>
                <w:sz w:val="22"/>
                <w:szCs w:val="22"/>
                <w:lang w:val="sr-Latn-ME"/>
              </w:rPr>
            </w:pPr>
            <w:r w:rsidRPr="004C49DB">
              <w:rPr>
                <w:b/>
                <w:bCs/>
                <w:sz w:val="22"/>
                <w:szCs w:val="22"/>
                <w:lang w:val="sr-Latn-ME"/>
              </w:rPr>
              <w:t xml:space="preserve">Rivaroksaban 20 mg jednom dnevno </w:t>
            </w:r>
          </w:p>
          <w:p w:rsidR="00091295" w:rsidRPr="004C49DB" w:rsidRDefault="00091295" w:rsidP="00A3510D">
            <w:pPr>
              <w:tabs>
                <w:tab w:val="left" w:pos="540"/>
                <w:tab w:val="left" w:pos="569"/>
              </w:tabs>
              <w:rPr>
                <w:b/>
                <w:bCs/>
                <w:sz w:val="22"/>
                <w:szCs w:val="22"/>
                <w:lang w:val="sr-Latn-ME"/>
              </w:rPr>
            </w:pPr>
            <w:r w:rsidRPr="004C49DB">
              <w:rPr>
                <w:b/>
                <w:bCs/>
                <w:sz w:val="22"/>
                <w:szCs w:val="22"/>
                <w:lang w:val="sr-Latn-ME"/>
              </w:rPr>
              <w:t>(15 mg jednom dnevno kod pacijenata sa umjerenim oštećenjem</w:t>
            </w:r>
          </w:p>
          <w:p w:rsidR="00091295" w:rsidRPr="004C49DB" w:rsidRDefault="00091295" w:rsidP="00A3510D">
            <w:pPr>
              <w:tabs>
                <w:tab w:val="left" w:pos="540"/>
                <w:tab w:val="left" w:pos="569"/>
              </w:tabs>
              <w:rPr>
                <w:b/>
                <w:bCs/>
                <w:sz w:val="22"/>
                <w:szCs w:val="22"/>
                <w:lang w:val="sr-Latn-ME"/>
              </w:rPr>
            </w:pPr>
            <w:r w:rsidRPr="004C49DB">
              <w:rPr>
                <w:b/>
                <w:bCs/>
                <w:sz w:val="22"/>
                <w:szCs w:val="22"/>
                <w:lang w:val="sr-Latn-ME"/>
              </w:rPr>
              <w:t>funkcije bubrega)</w:t>
            </w:r>
          </w:p>
          <w:p w:rsidR="00A3510D" w:rsidRPr="004C49DB" w:rsidRDefault="00A3510D" w:rsidP="00A3510D">
            <w:pPr>
              <w:tabs>
                <w:tab w:val="left" w:pos="540"/>
                <w:tab w:val="left" w:pos="569"/>
              </w:tabs>
              <w:rPr>
                <w:b/>
                <w:bCs/>
                <w:sz w:val="22"/>
                <w:szCs w:val="22"/>
                <w:lang w:val="sr-Latn-ME"/>
              </w:rPr>
            </w:pPr>
            <w:r w:rsidRPr="004C49DB">
              <w:rPr>
                <w:b/>
                <w:bCs/>
                <w:sz w:val="22"/>
                <w:szCs w:val="22"/>
                <w:lang w:val="sr-Latn-ME"/>
              </w:rPr>
              <w:t>Stopa događaja (100</w:t>
            </w:r>
            <w:r w:rsidRPr="004C49DB">
              <w:rPr>
                <w:b/>
                <w:sz w:val="22"/>
                <w:szCs w:val="22"/>
                <w:lang w:val="sr-Latn-ME"/>
              </w:rPr>
              <w:t xml:space="preserve"> </w:t>
            </w:r>
            <w:r w:rsidRPr="004C49DB">
              <w:rPr>
                <w:b/>
                <w:bCs/>
                <w:sz w:val="22"/>
                <w:szCs w:val="22"/>
                <w:lang w:val="sr-Latn-ME"/>
              </w:rPr>
              <w:t>pacijent-godina)</w:t>
            </w:r>
          </w:p>
        </w:tc>
        <w:tc>
          <w:tcPr>
            <w:tcW w:w="2266" w:type="dxa"/>
            <w:vAlign w:val="center"/>
          </w:tcPr>
          <w:p w:rsidR="00A3510D" w:rsidRPr="004C49DB" w:rsidRDefault="00A3510D" w:rsidP="00A3510D">
            <w:pPr>
              <w:tabs>
                <w:tab w:val="left" w:pos="540"/>
                <w:tab w:val="left" w:pos="569"/>
              </w:tabs>
              <w:rPr>
                <w:b/>
                <w:bCs/>
                <w:sz w:val="22"/>
                <w:szCs w:val="22"/>
                <w:lang w:val="sr-Latn-ME"/>
              </w:rPr>
            </w:pPr>
            <w:r w:rsidRPr="004C49DB">
              <w:rPr>
                <w:b/>
                <w:bCs/>
                <w:sz w:val="22"/>
                <w:szCs w:val="22"/>
                <w:lang w:val="sr-Latn-ME"/>
              </w:rPr>
              <w:t>Varfarin</w:t>
            </w:r>
          </w:p>
          <w:p w:rsidR="00A3510D" w:rsidRPr="004C49DB" w:rsidRDefault="00A3510D" w:rsidP="00A3510D">
            <w:pPr>
              <w:tabs>
                <w:tab w:val="left" w:pos="540"/>
                <w:tab w:val="left" w:pos="569"/>
              </w:tabs>
              <w:rPr>
                <w:b/>
                <w:bCs/>
                <w:sz w:val="22"/>
                <w:szCs w:val="22"/>
                <w:lang w:val="sr-Latn-ME"/>
              </w:rPr>
            </w:pPr>
            <w:r w:rsidRPr="004C49DB">
              <w:rPr>
                <w:b/>
                <w:bCs/>
                <w:sz w:val="22"/>
                <w:szCs w:val="22"/>
                <w:lang w:val="sr-Latn-ME"/>
              </w:rPr>
              <w:t>titriran do ciljnog INR 2,5 (terapijski raspon</w:t>
            </w:r>
          </w:p>
          <w:p w:rsidR="00A3510D" w:rsidRPr="004C49DB" w:rsidRDefault="00A3510D" w:rsidP="00A3510D">
            <w:pPr>
              <w:tabs>
                <w:tab w:val="left" w:pos="540"/>
                <w:tab w:val="left" w:pos="569"/>
              </w:tabs>
              <w:rPr>
                <w:b/>
                <w:bCs/>
                <w:sz w:val="22"/>
                <w:szCs w:val="22"/>
                <w:lang w:val="sr-Latn-ME"/>
              </w:rPr>
            </w:pPr>
            <w:r w:rsidRPr="004C49DB">
              <w:rPr>
                <w:b/>
                <w:bCs/>
                <w:sz w:val="22"/>
                <w:szCs w:val="22"/>
                <w:lang w:val="sr-Latn-ME"/>
              </w:rPr>
              <w:t>2,0 do 3,0)</w:t>
            </w:r>
          </w:p>
          <w:p w:rsidR="00091295" w:rsidRPr="00042A6C" w:rsidRDefault="00A3510D" w:rsidP="00A3510D">
            <w:pPr>
              <w:tabs>
                <w:tab w:val="left" w:pos="540"/>
                <w:tab w:val="left" w:pos="569"/>
              </w:tabs>
              <w:rPr>
                <w:b/>
                <w:bCs/>
                <w:sz w:val="22"/>
                <w:szCs w:val="22"/>
                <w:lang w:val="sr-Latn-ME"/>
              </w:rPr>
            </w:pPr>
            <w:r w:rsidRPr="004C49DB">
              <w:rPr>
                <w:b/>
                <w:bCs/>
                <w:sz w:val="22"/>
                <w:szCs w:val="22"/>
                <w:lang w:val="sr-Latn-ME"/>
              </w:rPr>
              <w:t>Stopa događaja (100 pacijent-godina)</w:t>
            </w:r>
          </w:p>
        </w:tc>
        <w:tc>
          <w:tcPr>
            <w:tcW w:w="2266" w:type="dxa"/>
            <w:vAlign w:val="center"/>
          </w:tcPr>
          <w:p w:rsidR="00091295" w:rsidRPr="004C49DB" w:rsidRDefault="00B9681D" w:rsidP="00480FB1">
            <w:pPr>
              <w:tabs>
                <w:tab w:val="left" w:pos="540"/>
                <w:tab w:val="left" w:pos="569"/>
              </w:tabs>
              <w:rPr>
                <w:b/>
                <w:bCs/>
                <w:sz w:val="22"/>
                <w:szCs w:val="22"/>
                <w:lang w:val="sr-Latn-ME"/>
              </w:rPr>
            </w:pPr>
            <w:r w:rsidRPr="004C49DB">
              <w:rPr>
                <w:b/>
                <w:bCs/>
                <w:sz w:val="22"/>
                <w:szCs w:val="22"/>
                <w:lang w:val="sr-Latn-ME"/>
              </w:rPr>
              <w:t>HR</w:t>
            </w:r>
            <w:r w:rsidR="00A3510D" w:rsidRPr="004C49DB">
              <w:rPr>
                <w:b/>
                <w:bCs/>
                <w:sz w:val="22"/>
                <w:szCs w:val="22"/>
                <w:lang w:val="sr-Latn-ME"/>
              </w:rPr>
              <w:t xml:space="preserve"> (95% CI) p-vrijednost, test superiornosti</w:t>
            </w:r>
          </w:p>
        </w:tc>
      </w:tr>
      <w:tr w:rsidR="00091295" w:rsidRPr="00042A6C" w:rsidTr="00A3510D">
        <w:tc>
          <w:tcPr>
            <w:tcW w:w="2265" w:type="dxa"/>
          </w:tcPr>
          <w:p w:rsidR="00091295" w:rsidRPr="00042A6C" w:rsidRDefault="00091295" w:rsidP="00091295">
            <w:pPr>
              <w:tabs>
                <w:tab w:val="left" w:pos="540"/>
                <w:tab w:val="left" w:pos="569"/>
              </w:tabs>
              <w:rPr>
                <w:bCs/>
                <w:sz w:val="22"/>
                <w:szCs w:val="22"/>
                <w:lang w:val="sr-Latn-ME"/>
              </w:rPr>
            </w:pPr>
            <w:r w:rsidRPr="00042A6C">
              <w:rPr>
                <w:bCs/>
                <w:sz w:val="22"/>
                <w:szCs w:val="22"/>
                <w:lang w:val="sr-Latn-ME"/>
              </w:rPr>
              <w:lastRenderedPageBreak/>
              <w:t>Moždani udar i sistemska</w:t>
            </w:r>
          </w:p>
          <w:p w:rsidR="00091295" w:rsidRPr="00042A6C" w:rsidRDefault="00091295" w:rsidP="00091295">
            <w:pPr>
              <w:tabs>
                <w:tab w:val="left" w:pos="540"/>
                <w:tab w:val="left" w:pos="569"/>
              </w:tabs>
              <w:rPr>
                <w:bCs/>
                <w:sz w:val="22"/>
                <w:szCs w:val="22"/>
                <w:lang w:val="sr-Latn-ME"/>
              </w:rPr>
            </w:pPr>
            <w:r w:rsidRPr="00042A6C">
              <w:rPr>
                <w:bCs/>
                <w:sz w:val="22"/>
                <w:szCs w:val="22"/>
                <w:lang w:val="sr-Latn-ME"/>
              </w:rPr>
              <w:t>embolija koja nije povezana sa CNS-om</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269</w:t>
            </w:r>
          </w:p>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(2,12)</w:t>
            </w:r>
          </w:p>
        </w:tc>
        <w:tc>
          <w:tcPr>
            <w:tcW w:w="2266" w:type="dxa"/>
            <w:vAlign w:val="center"/>
          </w:tcPr>
          <w:p w:rsidR="00A3510D" w:rsidRPr="00042A6C" w:rsidRDefault="00A3510D" w:rsidP="00A3510D">
            <w:pPr>
              <w:jc w:val="center"/>
              <w:rPr>
                <w:sz w:val="22"/>
                <w:szCs w:val="22"/>
                <w:lang w:val="sr-Latn-ME"/>
              </w:rPr>
            </w:pPr>
            <w:r w:rsidRPr="00042A6C">
              <w:rPr>
                <w:sz w:val="22"/>
                <w:szCs w:val="22"/>
                <w:lang w:val="sr-Latn-ME"/>
              </w:rPr>
              <w:t>306</w:t>
            </w:r>
          </w:p>
          <w:p w:rsidR="00091295" w:rsidRPr="00042A6C" w:rsidRDefault="00A3510D" w:rsidP="00A3510D">
            <w:pPr>
              <w:jc w:val="center"/>
              <w:rPr>
                <w:sz w:val="22"/>
                <w:szCs w:val="22"/>
                <w:lang w:val="sr-Latn-ME"/>
              </w:rPr>
            </w:pPr>
            <w:r w:rsidRPr="00042A6C">
              <w:rPr>
                <w:sz w:val="22"/>
                <w:szCs w:val="22"/>
                <w:lang w:val="sr-Latn-ME"/>
              </w:rPr>
              <w:t>(2,42)</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0,88</w:t>
            </w:r>
          </w:p>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(0,74 - 1,03)</w:t>
            </w:r>
          </w:p>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0,117</w:t>
            </w:r>
          </w:p>
        </w:tc>
      </w:tr>
      <w:tr w:rsidR="00091295" w:rsidRPr="00042A6C" w:rsidTr="00A3510D">
        <w:tc>
          <w:tcPr>
            <w:tcW w:w="2265" w:type="dxa"/>
            <w:vAlign w:val="center"/>
          </w:tcPr>
          <w:p w:rsidR="00091295" w:rsidRPr="00042A6C" w:rsidRDefault="00091295" w:rsidP="00091295">
            <w:pPr>
              <w:tabs>
                <w:tab w:val="left" w:pos="540"/>
                <w:tab w:val="left" w:pos="569"/>
              </w:tabs>
              <w:rPr>
                <w:bCs/>
                <w:sz w:val="22"/>
                <w:szCs w:val="22"/>
                <w:lang w:val="sr-Latn-ME"/>
              </w:rPr>
            </w:pPr>
            <w:r w:rsidRPr="00042A6C">
              <w:rPr>
                <w:bCs/>
                <w:sz w:val="22"/>
                <w:szCs w:val="22"/>
                <w:lang w:val="sr-Latn-ME"/>
              </w:rPr>
              <w:t>Moždani udar, sistemska</w:t>
            </w:r>
          </w:p>
          <w:p w:rsidR="00091295" w:rsidRPr="00042A6C" w:rsidRDefault="00091295" w:rsidP="00091295">
            <w:pPr>
              <w:tabs>
                <w:tab w:val="left" w:pos="540"/>
                <w:tab w:val="left" w:pos="569"/>
              </w:tabs>
              <w:rPr>
                <w:bCs/>
                <w:sz w:val="22"/>
                <w:szCs w:val="22"/>
                <w:lang w:val="sr-Latn-ME"/>
              </w:rPr>
            </w:pPr>
            <w:r w:rsidRPr="00042A6C">
              <w:rPr>
                <w:bCs/>
                <w:sz w:val="22"/>
                <w:szCs w:val="22"/>
                <w:lang w:val="sr-Latn-ME"/>
              </w:rPr>
              <w:t>embolija koja nije povezana sa CNS-om i vaskularna smrt</w:t>
            </w:r>
          </w:p>
        </w:tc>
        <w:tc>
          <w:tcPr>
            <w:tcW w:w="2266" w:type="dxa"/>
          </w:tcPr>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572</w:t>
            </w:r>
          </w:p>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(4,51)</w:t>
            </w:r>
          </w:p>
        </w:tc>
        <w:tc>
          <w:tcPr>
            <w:tcW w:w="2266" w:type="dxa"/>
          </w:tcPr>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609</w:t>
            </w:r>
          </w:p>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(4,81)</w:t>
            </w:r>
          </w:p>
        </w:tc>
        <w:tc>
          <w:tcPr>
            <w:tcW w:w="2266" w:type="dxa"/>
          </w:tcPr>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0,94</w:t>
            </w:r>
          </w:p>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(0,84-1,05)</w:t>
            </w:r>
          </w:p>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0,265</w:t>
            </w:r>
          </w:p>
        </w:tc>
      </w:tr>
      <w:tr w:rsidR="00091295" w:rsidRPr="00042A6C" w:rsidTr="00A3510D">
        <w:tc>
          <w:tcPr>
            <w:tcW w:w="2265" w:type="dxa"/>
            <w:vAlign w:val="center"/>
          </w:tcPr>
          <w:p w:rsidR="00091295" w:rsidRPr="00042A6C" w:rsidRDefault="00091295" w:rsidP="00091295">
            <w:pPr>
              <w:tabs>
                <w:tab w:val="left" w:pos="540"/>
                <w:tab w:val="left" w:pos="569"/>
              </w:tabs>
              <w:rPr>
                <w:bCs/>
                <w:sz w:val="22"/>
                <w:szCs w:val="22"/>
                <w:lang w:val="sr-Latn-ME"/>
              </w:rPr>
            </w:pPr>
            <w:r w:rsidRPr="00042A6C">
              <w:rPr>
                <w:bCs/>
                <w:sz w:val="22"/>
                <w:szCs w:val="22"/>
                <w:lang w:val="sr-Latn-ME"/>
              </w:rPr>
              <w:t>Moždani udar, sistemska embolija koja nije povezana sa CNS-om,</w:t>
            </w:r>
          </w:p>
          <w:p w:rsidR="00091295" w:rsidRPr="00042A6C" w:rsidRDefault="00091295" w:rsidP="00091295">
            <w:pPr>
              <w:tabs>
                <w:tab w:val="left" w:pos="540"/>
                <w:tab w:val="left" w:pos="569"/>
              </w:tabs>
              <w:rPr>
                <w:bCs/>
                <w:sz w:val="22"/>
                <w:szCs w:val="22"/>
                <w:lang w:val="sr-Latn-ME"/>
              </w:rPr>
            </w:pPr>
            <w:r w:rsidRPr="00042A6C">
              <w:rPr>
                <w:bCs/>
                <w:sz w:val="22"/>
                <w:szCs w:val="22"/>
                <w:lang w:val="sr-Latn-ME"/>
              </w:rPr>
              <w:t>vaskularna smrt i infarkt miokarda</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659</w:t>
            </w:r>
          </w:p>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(5,24)</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p>
          <w:p w:rsidR="00A3510D" w:rsidRPr="00042A6C" w:rsidRDefault="00A3510D" w:rsidP="00A3510D">
            <w:pPr>
              <w:jc w:val="center"/>
              <w:rPr>
                <w:sz w:val="22"/>
                <w:szCs w:val="22"/>
                <w:lang w:val="sr-Latn-ME"/>
              </w:rPr>
            </w:pPr>
            <w:r w:rsidRPr="00042A6C">
              <w:rPr>
                <w:sz w:val="22"/>
                <w:szCs w:val="22"/>
                <w:lang w:val="sr-Latn-ME"/>
              </w:rPr>
              <w:t>709</w:t>
            </w:r>
          </w:p>
          <w:p w:rsidR="00091295" w:rsidRPr="00042A6C" w:rsidRDefault="00A3510D" w:rsidP="00A3510D">
            <w:pPr>
              <w:jc w:val="center"/>
              <w:rPr>
                <w:sz w:val="22"/>
                <w:szCs w:val="22"/>
                <w:lang w:val="sr-Latn-ME"/>
              </w:rPr>
            </w:pPr>
            <w:r w:rsidRPr="00042A6C">
              <w:rPr>
                <w:sz w:val="22"/>
                <w:szCs w:val="22"/>
                <w:lang w:val="sr-Latn-ME"/>
              </w:rPr>
              <w:t>(5,65)</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0,93</w:t>
            </w:r>
          </w:p>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(0,83 - 1,03)</w:t>
            </w:r>
          </w:p>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0,158</w:t>
            </w:r>
          </w:p>
        </w:tc>
      </w:tr>
      <w:tr w:rsidR="00091295" w:rsidRPr="00042A6C" w:rsidTr="00A3510D">
        <w:tc>
          <w:tcPr>
            <w:tcW w:w="2265" w:type="dxa"/>
            <w:vAlign w:val="center"/>
          </w:tcPr>
          <w:p w:rsidR="00091295" w:rsidRPr="00042A6C" w:rsidRDefault="00091295" w:rsidP="00091295">
            <w:pPr>
              <w:tabs>
                <w:tab w:val="left" w:pos="540"/>
                <w:tab w:val="left" w:pos="569"/>
              </w:tabs>
              <w:rPr>
                <w:bCs/>
                <w:sz w:val="22"/>
                <w:szCs w:val="22"/>
                <w:lang w:val="sr-Latn-ME"/>
              </w:rPr>
            </w:pPr>
            <w:r w:rsidRPr="00042A6C">
              <w:rPr>
                <w:bCs/>
                <w:sz w:val="22"/>
                <w:szCs w:val="22"/>
                <w:lang w:val="sr-Latn-ME"/>
              </w:rPr>
              <w:t>Moždani udar</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253</w:t>
            </w:r>
          </w:p>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(1,99)</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281</w:t>
            </w:r>
          </w:p>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(2,22)</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0,90</w:t>
            </w:r>
          </w:p>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(0,76 - 1,07)</w:t>
            </w:r>
          </w:p>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0,221</w:t>
            </w:r>
          </w:p>
        </w:tc>
      </w:tr>
      <w:tr w:rsidR="00091295" w:rsidRPr="00042A6C" w:rsidTr="00A3510D">
        <w:tc>
          <w:tcPr>
            <w:tcW w:w="2265" w:type="dxa"/>
            <w:vAlign w:val="center"/>
          </w:tcPr>
          <w:p w:rsidR="00091295" w:rsidRPr="00042A6C" w:rsidRDefault="00091295" w:rsidP="00091295">
            <w:pPr>
              <w:tabs>
                <w:tab w:val="left" w:pos="540"/>
                <w:tab w:val="left" w:pos="569"/>
              </w:tabs>
              <w:rPr>
                <w:bCs/>
                <w:sz w:val="22"/>
                <w:szCs w:val="22"/>
                <w:lang w:val="sr-Latn-ME"/>
              </w:rPr>
            </w:pPr>
            <w:r w:rsidRPr="00042A6C">
              <w:rPr>
                <w:bCs/>
                <w:sz w:val="22"/>
                <w:szCs w:val="22"/>
                <w:lang w:val="sr-Latn-ME"/>
              </w:rPr>
              <w:t>Sistemska embolija koja nije povezana sa CNS-om</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20</w:t>
            </w:r>
          </w:p>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(0,16)</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27</w:t>
            </w:r>
          </w:p>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(0,21)</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0,74</w:t>
            </w:r>
          </w:p>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(0,42 - 1,32)</w:t>
            </w:r>
          </w:p>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0,308</w:t>
            </w:r>
          </w:p>
        </w:tc>
      </w:tr>
      <w:tr w:rsidR="00091295" w:rsidRPr="00042A6C" w:rsidTr="00A3510D">
        <w:trPr>
          <w:trHeight w:val="152"/>
        </w:trPr>
        <w:tc>
          <w:tcPr>
            <w:tcW w:w="2265" w:type="dxa"/>
            <w:vAlign w:val="center"/>
          </w:tcPr>
          <w:p w:rsidR="00091295" w:rsidRPr="00042A6C" w:rsidRDefault="00091295" w:rsidP="00091295">
            <w:pPr>
              <w:tabs>
                <w:tab w:val="left" w:pos="540"/>
                <w:tab w:val="left" w:pos="569"/>
              </w:tabs>
              <w:rPr>
                <w:bCs/>
                <w:sz w:val="22"/>
                <w:szCs w:val="22"/>
                <w:lang w:val="sr-Latn-ME"/>
              </w:rPr>
            </w:pPr>
            <w:r w:rsidRPr="00042A6C">
              <w:rPr>
                <w:bCs/>
                <w:sz w:val="22"/>
                <w:szCs w:val="22"/>
                <w:lang w:val="sr-Latn-ME"/>
              </w:rPr>
              <w:t>Infarkt miokarda</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130</w:t>
            </w:r>
          </w:p>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(1,02)</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142</w:t>
            </w:r>
          </w:p>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(1,11)</w:t>
            </w:r>
          </w:p>
        </w:tc>
        <w:tc>
          <w:tcPr>
            <w:tcW w:w="2266" w:type="dxa"/>
            <w:vAlign w:val="center"/>
          </w:tcPr>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0,91</w:t>
            </w:r>
          </w:p>
          <w:p w:rsidR="00A3510D" w:rsidRPr="00042A6C" w:rsidRDefault="00A3510D" w:rsidP="00A3510D">
            <w:pPr>
              <w:tabs>
                <w:tab w:val="left" w:pos="540"/>
                <w:tab w:val="left" w:pos="569"/>
              </w:tabs>
              <w:jc w:val="center"/>
              <w:rPr>
                <w:bCs/>
                <w:sz w:val="22"/>
                <w:szCs w:val="22"/>
                <w:lang w:val="sr-Latn-ME"/>
              </w:rPr>
            </w:pPr>
            <w:r w:rsidRPr="00042A6C">
              <w:rPr>
                <w:bCs/>
                <w:sz w:val="22"/>
                <w:szCs w:val="22"/>
                <w:lang w:val="sr-Latn-ME"/>
              </w:rPr>
              <w:t>(0,72 - 1,16)</w:t>
            </w:r>
          </w:p>
          <w:p w:rsidR="00091295" w:rsidRPr="00042A6C" w:rsidRDefault="00A3510D" w:rsidP="00A3510D">
            <w:pPr>
              <w:tabs>
                <w:tab w:val="left" w:pos="540"/>
                <w:tab w:val="left" w:pos="569"/>
              </w:tabs>
              <w:jc w:val="center"/>
              <w:rPr>
                <w:bCs/>
                <w:sz w:val="22"/>
                <w:szCs w:val="22"/>
                <w:lang w:val="sr-Latn-ME"/>
              </w:rPr>
            </w:pPr>
            <w:r w:rsidRPr="00042A6C">
              <w:rPr>
                <w:bCs/>
                <w:sz w:val="22"/>
                <w:szCs w:val="22"/>
                <w:lang w:val="sr-Latn-ME"/>
              </w:rPr>
              <w:t>0,464</w:t>
            </w:r>
          </w:p>
        </w:tc>
      </w:tr>
    </w:tbl>
    <w:p w:rsidR="00A3510D" w:rsidRPr="00042A6C" w:rsidRDefault="00A3510D" w:rsidP="00A3510D">
      <w:pPr>
        <w:tabs>
          <w:tab w:val="left" w:pos="540"/>
          <w:tab w:val="left" w:pos="569"/>
        </w:tabs>
        <w:rPr>
          <w:b/>
          <w:bCs/>
          <w:sz w:val="22"/>
          <w:szCs w:val="22"/>
          <w:lang w:val="sr-Latn-ME"/>
        </w:rPr>
      </w:pPr>
    </w:p>
    <w:p w:rsidR="00A3510D" w:rsidRPr="00042A6C" w:rsidRDefault="00A3510D" w:rsidP="00A3510D">
      <w:pPr>
        <w:tabs>
          <w:tab w:val="left" w:pos="540"/>
          <w:tab w:val="left" w:pos="569"/>
        </w:tabs>
        <w:rPr>
          <w:b/>
          <w:bCs/>
          <w:sz w:val="22"/>
          <w:szCs w:val="22"/>
          <w:lang w:val="sr-Latn-ME"/>
        </w:rPr>
      </w:pPr>
      <w:r w:rsidRPr="00042A6C">
        <w:rPr>
          <w:b/>
          <w:bCs/>
          <w:sz w:val="22"/>
          <w:szCs w:val="22"/>
          <w:lang w:val="sr-Latn-ME"/>
        </w:rPr>
        <w:t xml:space="preserve">Tabela 5: Rezultati bezbjednosti iz </w:t>
      </w:r>
      <w:r w:rsidR="00B9681D" w:rsidRPr="00042A6C">
        <w:rPr>
          <w:b/>
          <w:bCs/>
          <w:sz w:val="22"/>
          <w:szCs w:val="22"/>
          <w:lang w:val="sr-Latn-ME"/>
        </w:rPr>
        <w:t xml:space="preserve">ispitivanja faze </w:t>
      </w:r>
      <w:r w:rsidRPr="00042A6C">
        <w:rPr>
          <w:b/>
          <w:bCs/>
          <w:sz w:val="22"/>
          <w:szCs w:val="22"/>
          <w:lang w:val="sr-Latn-ME"/>
        </w:rPr>
        <w:t>III ROCKET AF</w:t>
      </w:r>
    </w:p>
    <w:tbl>
      <w:tblPr>
        <w:tblStyle w:val="TableGrid"/>
        <w:tblW w:w="0" w:type="auto"/>
        <w:tblLook w:val="04A0" w:firstRow="1" w:lastRow="0" w:firstColumn="1" w:lastColumn="0" w:noHBand="0" w:noVBand="1"/>
      </w:tblPr>
      <w:tblGrid>
        <w:gridCol w:w="2265"/>
        <w:gridCol w:w="2266"/>
        <w:gridCol w:w="2266"/>
        <w:gridCol w:w="2266"/>
      </w:tblGrid>
      <w:tr w:rsidR="0031666D" w:rsidRPr="00042A6C" w:rsidTr="0031666D">
        <w:tc>
          <w:tcPr>
            <w:tcW w:w="2265" w:type="dxa"/>
            <w:vAlign w:val="center"/>
          </w:tcPr>
          <w:p w:rsidR="0031666D" w:rsidRPr="004C49DB" w:rsidRDefault="0031666D" w:rsidP="0031666D">
            <w:pPr>
              <w:rPr>
                <w:b/>
                <w:sz w:val="22"/>
                <w:szCs w:val="22"/>
                <w:lang w:val="sr-Latn-ME"/>
              </w:rPr>
            </w:pPr>
            <w:r w:rsidRPr="004C49DB">
              <w:rPr>
                <w:b/>
                <w:sz w:val="22"/>
                <w:szCs w:val="22"/>
                <w:lang w:val="sr-Latn-ME"/>
              </w:rPr>
              <w:t>Populacija uključena u studiju</w:t>
            </w:r>
          </w:p>
        </w:tc>
        <w:tc>
          <w:tcPr>
            <w:tcW w:w="6798" w:type="dxa"/>
            <w:gridSpan w:val="3"/>
            <w:vAlign w:val="center"/>
          </w:tcPr>
          <w:p w:rsidR="0031666D" w:rsidRPr="004C49DB" w:rsidRDefault="0031666D" w:rsidP="0031666D">
            <w:pPr>
              <w:rPr>
                <w:b/>
                <w:sz w:val="22"/>
                <w:szCs w:val="22"/>
                <w:lang w:val="sr-Latn-ME"/>
              </w:rPr>
            </w:pPr>
            <w:r w:rsidRPr="004C49DB">
              <w:rPr>
                <w:b/>
                <w:sz w:val="22"/>
                <w:szCs w:val="22"/>
                <w:lang w:val="sr-Latn-ME"/>
              </w:rPr>
              <w:t>Pacijenti sa nevalvularnom atrijalnom fibrilacijom</w:t>
            </w:r>
            <w:r w:rsidRPr="004C49DB">
              <w:rPr>
                <w:b/>
                <w:sz w:val="22"/>
                <w:szCs w:val="22"/>
                <w:vertAlign w:val="superscript"/>
                <w:lang w:val="sr-Latn-ME"/>
              </w:rPr>
              <w:t>a</w:t>
            </w:r>
          </w:p>
        </w:tc>
      </w:tr>
      <w:tr w:rsidR="0031666D" w:rsidRPr="00042A6C" w:rsidTr="0031666D">
        <w:tc>
          <w:tcPr>
            <w:tcW w:w="2265" w:type="dxa"/>
            <w:vAlign w:val="center"/>
          </w:tcPr>
          <w:p w:rsidR="0031666D" w:rsidRPr="00042A6C" w:rsidRDefault="0031666D" w:rsidP="0031666D">
            <w:pPr>
              <w:widowControl w:val="0"/>
              <w:autoSpaceDE w:val="0"/>
              <w:autoSpaceDN w:val="0"/>
              <w:rPr>
                <w:b/>
                <w:sz w:val="22"/>
                <w:szCs w:val="22"/>
                <w:lang w:val="sr-Latn-ME"/>
              </w:rPr>
            </w:pPr>
          </w:p>
          <w:p w:rsidR="0031666D" w:rsidRPr="00042A6C" w:rsidRDefault="0031666D" w:rsidP="0031666D">
            <w:pPr>
              <w:widowControl w:val="0"/>
              <w:autoSpaceDE w:val="0"/>
              <w:autoSpaceDN w:val="0"/>
              <w:rPr>
                <w:b/>
                <w:sz w:val="22"/>
                <w:szCs w:val="22"/>
                <w:lang w:val="sr-Latn-ME"/>
              </w:rPr>
            </w:pPr>
          </w:p>
          <w:p w:rsidR="0031666D" w:rsidRPr="00042A6C" w:rsidRDefault="0031666D" w:rsidP="0031666D">
            <w:pPr>
              <w:widowControl w:val="0"/>
              <w:autoSpaceDE w:val="0"/>
              <w:autoSpaceDN w:val="0"/>
              <w:spacing w:before="7"/>
              <w:rPr>
                <w:b/>
                <w:sz w:val="22"/>
                <w:szCs w:val="22"/>
                <w:lang w:val="sr-Latn-ME"/>
              </w:rPr>
            </w:pPr>
          </w:p>
          <w:p w:rsidR="0031666D" w:rsidRPr="004C49DB" w:rsidRDefault="0031666D" w:rsidP="0031666D">
            <w:pPr>
              <w:widowControl w:val="0"/>
              <w:autoSpaceDE w:val="0"/>
              <w:autoSpaceDN w:val="0"/>
              <w:rPr>
                <w:b/>
                <w:sz w:val="22"/>
                <w:szCs w:val="22"/>
                <w:lang w:val="sr-Latn-ME"/>
              </w:rPr>
            </w:pPr>
            <w:r w:rsidRPr="004C49DB">
              <w:rPr>
                <w:b/>
                <w:sz w:val="22"/>
                <w:szCs w:val="22"/>
                <w:lang w:val="sr-Latn-ME"/>
              </w:rPr>
              <w:t>Terapijska doza</w:t>
            </w:r>
          </w:p>
        </w:tc>
        <w:tc>
          <w:tcPr>
            <w:tcW w:w="2266" w:type="dxa"/>
            <w:vAlign w:val="center"/>
          </w:tcPr>
          <w:p w:rsidR="0031666D" w:rsidRPr="004C49DB" w:rsidRDefault="0031666D" w:rsidP="0031666D">
            <w:pPr>
              <w:widowControl w:val="0"/>
              <w:autoSpaceDE w:val="0"/>
              <w:autoSpaceDN w:val="0"/>
              <w:spacing w:line="244" w:lineRule="exact"/>
              <w:rPr>
                <w:b/>
                <w:sz w:val="22"/>
                <w:szCs w:val="22"/>
                <w:lang w:val="sr-Latn-ME"/>
              </w:rPr>
            </w:pPr>
            <w:r w:rsidRPr="004C49DB">
              <w:rPr>
                <w:b/>
                <w:sz w:val="22"/>
                <w:szCs w:val="22"/>
                <w:lang w:val="sr-Latn-ME"/>
              </w:rPr>
              <w:t>Rivaroksaban</w:t>
            </w:r>
          </w:p>
          <w:p w:rsidR="0031666D" w:rsidRPr="004C49DB" w:rsidRDefault="0031666D" w:rsidP="0031666D">
            <w:pPr>
              <w:widowControl w:val="0"/>
              <w:autoSpaceDE w:val="0"/>
              <w:autoSpaceDN w:val="0"/>
              <w:spacing w:before="1"/>
              <w:ind w:right="106"/>
              <w:rPr>
                <w:b/>
                <w:sz w:val="22"/>
                <w:szCs w:val="22"/>
                <w:lang w:val="sr-Latn-ME"/>
              </w:rPr>
            </w:pPr>
            <w:r w:rsidRPr="004C49DB">
              <w:rPr>
                <w:b/>
                <w:sz w:val="22"/>
                <w:szCs w:val="22"/>
                <w:lang w:val="sr-Latn-ME"/>
              </w:rPr>
              <w:t>jednom dnevno 20 mg (15 mg jednom dnevno kod pacijenata sa umjerenom bubrežnom insuficijencijom)</w:t>
            </w:r>
          </w:p>
          <w:p w:rsidR="0031666D" w:rsidRPr="004C49DB" w:rsidRDefault="0031666D" w:rsidP="0031666D">
            <w:pPr>
              <w:widowControl w:val="0"/>
              <w:autoSpaceDE w:val="0"/>
              <w:autoSpaceDN w:val="0"/>
              <w:spacing w:before="12" w:line="250" w:lineRule="atLeast"/>
              <w:ind w:right="636"/>
              <w:rPr>
                <w:b/>
                <w:sz w:val="22"/>
                <w:szCs w:val="22"/>
                <w:lang w:val="sr-Latn-ME"/>
              </w:rPr>
            </w:pPr>
            <w:r w:rsidRPr="004C49DB">
              <w:rPr>
                <w:b/>
                <w:sz w:val="22"/>
                <w:szCs w:val="22"/>
                <w:lang w:val="sr-Latn-ME"/>
              </w:rPr>
              <w:t>Stopa događaja (100 pacijent-godina)</w:t>
            </w:r>
          </w:p>
        </w:tc>
        <w:tc>
          <w:tcPr>
            <w:tcW w:w="2266" w:type="dxa"/>
            <w:vAlign w:val="center"/>
          </w:tcPr>
          <w:p w:rsidR="0031666D" w:rsidRPr="00042A6C" w:rsidRDefault="0031666D" w:rsidP="0031666D">
            <w:pPr>
              <w:widowControl w:val="0"/>
              <w:autoSpaceDE w:val="0"/>
              <w:autoSpaceDN w:val="0"/>
              <w:spacing w:before="6"/>
              <w:rPr>
                <w:b/>
                <w:sz w:val="22"/>
                <w:szCs w:val="22"/>
                <w:lang w:val="sr-Latn-ME"/>
              </w:rPr>
            </w:pPr>
          </w:p>
          <w:p w:rsidR="0031666D" w:rsidRPr="004C49DB" w:rsidRDefault="0031666D" w:rsidP="0031666D">
            <w:pPr>
              <w:widowControl w:val="0"/>
              <w:autoSpaceDE w:val="0"/>
              <w:autoSpaceDN w:val="0"/>
              <w:rPr>
                <w:b/>
                <w:sz w:val="22"/>
                <w:szCs w:val="22"/>
                <w:lang w:val="sr-Latn-ME"/>
              </w:rPr>
            </w:pPr>
            <w:r w:rsidRPr="004C49DB">
              <w:rPr>
                <w:b/>
                <w:sz w:val="22"/>
                <w:szCs w:val="22"/>
                <w:lang w:val="sr-Latn-ME"/>
              </w:rPr>
              <w:t>Varfarin</w:t>
            </w:r>
          </w:p>
          <w:p w:rsidR="0031666D" w:rsidRPr="004C49DB" w:rsidRDefault="0031666D" w:rsidP="0031666D">
            <w:pPr>
              <w:widowControl w:val="0"/>
              <w:autoSpaceDE w:val="0"/>
              <w:autoSpaceDN w:val="0"/>
              <w:spacing w:before="1"/>
              <w:ind w:right="271"/>
              <w:rPr>
                <w:b/>
                <w:sz w:val="22"/>
                <w:szCs w:val="22"/>
                <w:lang w:val="sr-Latn-ME"/>
              </w:rPr>
            </w:pPr>
            <w:r w:rsidRPr="004C49DB">
              <w:rPr>
                <w:b/>
                <w:sz w:val="22"/>
                <w:szCs w:val="22"/>
                <w:lang w:val="sr-Latn-ME"/>
              </w:rPr>
              <w:t>titriran do ciljnog INR 2,5 (terapijski raspon</w:t>
            </w:r>
          </w:p>
          <w:p w:rsidR="0031666D" w:rsidRPr="004C49DB" w:rsidRDefault="0031666D" w:rsidP="0031666D">
            <w:pPr>
              <w:widowControl w:val="0"/>
              <w:autoSpaceDE w:val="0"/>
              <w:autoSpaceDN w:val="0"/>
              <w:spacing w:before="8" w:line="251" w:lineRule="exact"/>
              <w:rPr>
                <w:b/>
                <w:sz w:val="22"/>
                <w:szCs w:val="22"/>
                <w:lang w:val="sr-Latn-ME"/>
              </w:rPr>
            </w:pPr>
            <w:r w:rsidRPr="004C49DB">
              <w:rPr>
                <w:b/>
                <w:sz w:val="22"/>
                <w:szCs w:val="22"/>
                <w:lang w:val="sr-Latn-ME"/>
              </w:rPr>
              <w:t>2,0 do 3,0)</w:t>
            </w:r>
          </w:p>
          <w:p w:rsidR="0031666D" w:rsidRPr="004C49DB" w:rsidRDefault="0031666D" w:rsidP="0031666D">
            <w:pPr>
              <w:widowControl w:val="0"/>
              <w:autoSpaceDE w:val="0"/>
              <w:autoSpaceDN w:val="0"/>
              <w:spacing w:line="237" w:lineRule="auto"/>
              <w:ind w:right="506"/>
              <w:rPr>
                <w:b/>
                <w:sz w:val="22"/>
                <w:szCs w:val="22"/>
                <w:lang w:val="sr-Latn-ME"/>
              </w:rPr>
            </w:pPr>
            <w:r w:rsidRPr="004C49DB">
              <w:rPr>
                <w:b/>
                <w:sz w:val="22"/>
                <w:szCs w:val="22"/>
                <w:lang w:val="sr-Latn-ME"/>
              </w:rPr>
              <w:t>Stopa događaja</w:t>
            </w:r>
            <w:r w:rsidR="00B9681D" w:rsidRPr="00042A6C">
              <w:rPr>
                <w:b/>
                <w:sz w:val="22"/>
                <w:szCs w:val="22"/>
                <w:lang w:val="sr-Latn-ME"/>
              </w:rPr>
              <w:t xml:space="preserve"> </w:t>
            </w:r>
            <w:r w:rsidRPr="004C49DB">
              <w:rPr>
                <w:b/>
                <w:sz w:val="22"/>
                <w:szCs w:val="22"/>
                <w:lang w:val="sr-Latn-ME"/>
              </w:rPr>
              <w:t>(100 pacijent-godina)</w:t>
            </w:r>
          </w:p>
        </w:tc>
        <w:tc>
          <w:tcPr>
            <w:tcW w:w="2266" w:type="dxa"/>
            <w:vAlign w:val="center"/>
          </w:tcPr>
          <w:p w:rsidR="0031666D" w:rsidRPr="00042A6C" w:rsidRDefault="0031666D" w:rsidP="0031666D">
            <w:pPr>
              <w:widowControl w:val="0"/>
              <w:autoSpaceDE w:val="0"/>
              <w:autoSpaceDN w:val="0"/>
              <w:rPr>
                <w:b/>
                <w:sz w:val="22"/>
                <w:szCs w:val="22"/>
                <w:lang w:val="sr-Latn-ME"/>
              </w:rPr>
            </w:pPr>
          </w:p>
          <w:p w:rsidR="0031666D" w:rsidRPr="00042A6C" w:rsidRDefault="0031666D" w:rsidP="0031666D">
            <w:pPr>
              <w:widowControl w:val="0"/>
              <w:autoSpaceDE w:val="0"/>
              <w:autoSpaceDN w:val="0"/>
              <w:spacing w:before="5"/>
              <w:rPr>
                <w:b/>
                <w:sz w:val="22"/>
                <w:szCs w:val="22"/>
                <w:lang w:val="sr-Latn-ME"/>
              </w:rPr>
            </w:pPr>
          </w:p>
          <w:p w:rsidR="0031666D" w:rsidRPr="004C49DB" w:rsidRDefault="00B9681D" w:rsidP="0031666D">
            <w:pPr>
              <w:widowControl w:val="0"/>
              <w:autoSpaceDE w:val="0"/>
              <w:autoSpaceDN w:val="0"/>
              <w:ind w:right="268"/>
              <w:rPr>
                <w:b/>
                <w:sz w:val="22"/>
                <w:szCs w:val="22"/>
                <w:lang w:val="sr-Latn-ME"/>
              </w:rPr>
            </w:pPr>
            <w:r w:rsidRPr="00042A6C">
              <w:rPr>
                <w:b/>
                <w:sz w:val="22"/>
                <w:szCs w:val="22"/>
                <w:lang w:val="sr-Latn-ME"/>
              </w:rPr>
              <w:t>HR</w:t>
            </w:r>
            <w:r w:rsidR="0031666D" w:rsidRPr="004C49DB">
              <w:rPr>
                <w:b/>
                <w:i/>
                <w:sz w:val="22"/>
                <w:szCs w:val="22"/>
                <w:lang w:val="sr-Latn-ME"/>
              </w:rPr>
              <w:t xml:space="preserve"> </w:t>
            </w:r>
            <w:r w:rsidR="0031666D" w:rsidRPr="004C49DB">
              <w:rPr>
                <w:b/>
                <w:sz w:val="22"/>
                <w:szCs w:val="22"/>
                <w:lang w:val="sr-Latn-ME"/>
              </w:rPr>
              <w:t>(95% CI)</w:t>
            </w:r>
          </w:p>
          <w:p w:rsidR="0031666D" w:rsidRPr="004C49DB" w:rsidRDefault="0031666D" w:rsidP="0031666D">
            <w:pPr>
              <w:widowControl w:val="0"/>
              <w:autoSpaceDE w:val="0"/>
              <w:autoSpaceDN w:val="0"/>
              <w:spacing w:before="8"/>
              <w:rPr>
                <w:b/>
                <w:sz w:val="22"/>
                <w:szCs w:val="22"/>
                <w:lang w:val="sr-Latn-ME"/>
              </w:rPr>
            </w:pPr>
            <w:r w:rsidRPr="004C49DB">
              <w:rPr>
                <w:b/>
                <w:sz w:val="22"/>
                <w:szCs w:val="22"/>
                <w:lang w:val="sr-Latn-ME"/>
              </w:rPr>
              <w:t>p-vrijednost</w:t>
            </w:r>
          </w:p>
        </w:tc>
      </w:tr>
      <w:tr w:rsidR="0031666D" w:rsidRPr="00042A6C" w:rsidTr="0031666D">
        <w:tc>
          <w:tcPr>
            <w:tcW w:w="2265" w:type="dxa"/>
            <w:vAlign w:val="center"/>
          </w:tcPr>
          <w:p w:rsidR="0031666D" w:rsidRPr="00042A6C" w:rsidRDefault="00B9681D" w:rsidP="0031666D">
            <w:pPr>
              <w:widowControl w:val="0"/>
              <w:autoSpaceDE w:val="0"/>
              <w:autoSpaceDN w:val="0"/>
              <w:spacing w:line="242" w:lineRule="auto"/>
              <w:rPr>
                <w:sz w:val="22"/>
                <w:szCs w:val="22"/>
                <w:lang w:val="sr-Latn-ME"/>
              </w:rPr>
            </w:pPr>
            <w:r w:rsidRPr="00042A6C">
              <w:rPr>
                <w:sz w:val="22"/>
                <w:szCs w:val="22"/>
                <w:lang w:val="sr-Latn-ME"/>
              </w:rPr>
              <w:t xml:space="preserve">Velika </w:t>
            </w:r>
            <w:r w:rsidR="0031666D" w:rsidRPr="00042A6C">
              <w:rPr>
                <w:sz w:val="22"/>
                <w:szCs w:val="22"/>
                <w:lang w:val="sr-Latn-ME"/>
              </w:rPr>
              <w:t>krvarenja ili klinički značajna</w:t>
            </w:r>
          </w:p>
          <w:p w:rsidR="0031666D" w:rsidRPr="00042A6C" w:rsidRDefault="00B9681D" w:rsidP="00B9681D">
            <w:pPr>
              <w:widowControl w:val="0"/>
              <w:autoSpaceDE w:val="0"/>
              <w:autoSpaceDN w:val="0"/>
              <w:spacing w:line="250" w:lineRule="exact"/>
              <w:rPr>
                <w:sz w:val="22"/>
                <w:szCs w:val="22"/>
                <w:lang w:val="sr-Latn-ME"/>
              </w:rPr>
            </w:pPr>
            <w:r w:rsidRPr="00042A6C">
              <w:rPr>
                <w:sz w:val="22"/>
                <w:szCs w:val="22"/>
                <w:lang w:val="sr-Latn-ME"/>
              </w:rPr>
              <w:t xml:space="preserve">manja </w:t>
            </w:r>
            <w:r w:rsidR="0031666D" w:rsidRPr="00042A6C">
              <w:rPr>
                <w:sz w:val="22"/>
                <w:szCs w:val="22"/>
                <w:lang w:val="sr-Latn-ME"/>
              </w:rPr>
              <w:t>krvarenja</w:t>
            </w:r>
          </w:p>
        </w:tc>
        <w:tc>
          <w:tcPr>
            <w:tcW w:w="2266" w:type="dxa"/>
            <w:vAlign w:val="center"/>
          </w:tcPr>
          <w:p w:rsidR="0031666D" w:rsidRPr="00042A6C" w:rsidRDefault="0031666D" w:rsidP="0031666D">
            <w:pPr>
              <w:widowControl w:val="0"/>
              <w:autoSpaceDE w:val="0"/>
              <w:autoSpaceDN w:val="0"/>
              <w:spacing w:before="6"/>
              <w:jc w:val="center"/>
              <w:rPr>
                <w:b/>
                <w:sz w:val="22"/>
                <w:szCs w:val="22"/>
                <w:lang w:val="sr-Latn-ME"/>
              </w:rPr>
            </w:pPr>
          </w:p>
          <w:p w:rsidR="0031666D" w:rsidRPr="00042A6C" w:rsidRDefault="0031666D" w:rsidP="0031666D">
            <w:pPr>
              <w:widowControl w:val="0"/>
              <w:autoSpaceDE w:val="0"/>
              <w:autoSpaceDN w:val="0"/>
              <w:jc w:val="center"/>
              <w:rPr>
                <w:sz w:val="22"/>
                <w:szCs w:val="22"/>
                <w:lang w:val="sr-Latn-ME"/>
              </w:rPr>
            </w:pPr>
            <w:r w:rsidRPr="00042A6C">
              <w:rPr>
                <w:sz w:val="22"/>
                <w:szCs w:val="22"/>
                <w:lang w:val="sr-Latn-ME"/>
              </w:rPr>
              <w:t>1475</w:t>
            </w:r>
          </w:p>
          <w:p w:rsidR="0031666D" w:rsidRPr="00042A6C" w:rsidRDefault="0031666D" w:rsidP="0031666D">
            <w:pPr>
              <w:widowControl w:val="0"/>
              <w:autoSpaceDE w:val="0"/>
              <w:autoSpaceDN w:val="0"/>
              <w:spacing w:before="1"/>
              <w:jc w:val="center"/>
              <w:rPr>
                <w:sz w:val="22"/>
                <w:szCs w:val="22"/>
                <w:lang w:val="sr-Latn-ME"/>
              </w:rPr>
            </w:pPr>
            <w:r w:rsidRPr="00042A6C">
              <w:rPr>
                <w:sz w:val="22"/>
                <w:szCs w:val="22"/>
                <w:lang w:val="sr-Latn-ME"/>
              </w:rPr>
              <w:t>(14,91)</w:t>
            </w:r>
          </w:p>
        </w:tc>
        <w:tc>
          <w:tcPr>
            <w:tcW w:w="2266" w:type="dxa"/>
            <w:vAlign w:val="center"/>
          </w:tcPr>
          <w:p w:rsidR="0031666D" w:rsidRPr="00042A6C" w:rsidRDefault="0031666D" w:rsidP="0031666D">
            <w:pPr>
              <w:widowControl w:val="0"/>
              <w:autoSpaceDE w:val="0"/>
              <w:autoSpaceDN w:val="0"/>
              <w:spacing w:before="6"/>
              <w:jc w:val="center"/>
              <w:rPr>
                <w:b/>
                <w:sz w:val="22"/>
                <w:szCs w:val="22"/>
                <w:lang w:val="sr-Latn-ME"/>
              </w:rPr>
            </w:pPr>
          </w:p>
          <w:p w:rsidR="0031666D" w:rsidRPr="00042A6C" w:rsidRDefault="0031666D" w:rsidP="0031666D">
            <w:pPr>
              <w:widowControl w:val="0"/>
              <w:autoSpaceDE w:val="0"/>
              <w:autoSpaceDN w:val="0"/>
              <w:jc w:val="center"/>
              <w:rPr>
                <w:sz w:val="22"/>
                <w:szCs w:val="22"/>
                <w:lang w:val="sr-Latn-ME"/>
              </w:rPr>
            </w:pPr>
            <w:r w:rsidRPr="00042A6C">
              <w:rPr>
                <w:sz w:val="22"/>
                <w:szCs w:val="22"/>
                <w:lang w:val="sr-Latn-ME"/>
              </w:rPr>
              <w:t>1449</w:t>
            </w:r>
          </w:p>
          <w:p w:rsidR="0031666D" w:rsidRPr="00042A6C" w:rsidRDefault="0031666D" w:rsidP="0031666D">
            <w:pPr>
              <w:widowControl w:val="0"/>
              <w:autoSpaceDE w:val="0"/>
              <w:autoSpaceDN w:val="0"/>
              <w:spacing w:before="1"/>
              <w:jc w:val="center"/>
              <w:rPr>
                <w:sz w:val="22"/>
                <w:szCs w:val="22"/>
                <w:lang w:val="sr-Latn-ME"/>
              </w:rPr>
            </w:pPr>
            <w:r w:rsidRPr="00042A6C">
              <w:rPr>
                <w:sz w:val="22"/>
                <w:szCs w:val="22"/>
                <w:lang w:val="sr-Latn-ME"/>
              </w:rPr>
              <w:t>(14,52)</w:t>
            </w:r>
          </w:p>
        </w:tc>
        <w:tc>
          <w:tcPr>
            <w:tcW w:w="2266" w:type="dxa"/>
            <w:vAlign w:val="center"/>
          </w:tcPr>
          <w:p w:rsidR="0031666D" w:rsidRPr="00042A6C" w:rsidRDefault="0031666D" w:rsidP="0031666D">
            <w:pPr>
              <w:widowControl w:val="0"/>
              <w:autoSpaceDE w:val="0"/>
              <w:autoSpaceDN w:val="0"/>
              <w:spacing w:before="6"/>
              <w:jc w:val="center"/>
              <w:rPr>
                <w:b/>
                <w:sz w:val="22"/>
                <w:szCs w:val="22"/>
                <w:lang w:val="sr-Latn-ME"/>
              </w:rPr>
            </w:pPr>
          </w:p>
          <w:p w:rsidR="0031666D" w:rsidRPr="00042A6C" w:rsidRDefault="0031666D" w:rsidP="0031666D">
            <w:pPr>
              <w:widowControl w:val="0"/>
              <w:autoSpaceDE w:val="0"/>
              <w:autoSpaceDN w:val="0"/>
              <w:jc w:val="center"/>
              <w:rPr>
                <w:sz w:val="22"/>
                <w:szCs w:val="22"/>
                <w:lang w:val="sr-Latn-ME"/>
              </w:rPr>
            </w:pPr>
            <w:r w:rsidRPr="00042A6C">
              <w:rPr>
                <w:sz w:val="22"/>
                <w:szCs w:val="22"/>
                <w:lang w:val="sr-Latn-ME"/>
              </w:rPr>
              <w:t>1,03 (0,96 - 1,11)</w:t>
            </w:r>
          </w:p>
          <w:p w:rsidR="0031666D" w:rsidRPr="00042A6C" w:rsidRDefault="0031666D" w:rsidP="0031666D">
            <w:pPr>
              <w:widowControl w:val="0"/>
              <w:autoSpaceDE w:val="0"/>
              <w:autoSpaceDN w:val="0"/>
              <w:spacing w:before="1"/>
              <w:jc w:val="center"/>
              <w:rPr>
                <w:sz w:val="22"/>
                <w:szCs w:val="22"/>
                <w:lang w:val="sr-Latn-ME"/>
              </w:rPr>
            </w:pPr>
            <w:r w:rsidRPr="00042A6C">
              <w:rPr>
                <w:sz w:val="22"/>
                <w:szCs w:val="22"/>
                <w:lang w:val="sr-Latn-ME"/>
              </w:rPr>
              <w:t>0,442</w:t>
            </w:r>
          </w:p>
        </w:tc>
      </w:tr>
      <w:tr w:rsidR="0031666D" w:rsidRPr="00042A6C" w:rsidTr="0031666D">
        <w:tc>
          <w:tcPr>
            <w:tcW w:w="2265" w:type="dxa"/>
            <w:vAlign w:val="center"/>
          </w:tcPr>
          <w:p w:rsidR="0031666D" w:rsidRPr="00042A6C" w:rsidRDefault="00B9681D" w:rsidP="0031666D">
            <w:pPr>
              <w:widowControl w:val="0"/>
              <w:autoSpaceDE w:val="0"/>
              <w:autoSpaceDN w:val="0"/>
              <w:spacing w:line="223" w:lineRule="auto"/>
              <w:ind w:right="1216"/>
              <w:rPr>
                <w:sz w:val="22"/>
                <w:szCs w:val="22"/>
                <w:lang w:val="sr-Latn-ME"/>
              </w:rPr>
            </w:pPr>
            <w:r w:rsidRPr="00042A6C">
              <w:rPr>
                <w:sz w:val="22"/>
                <w:szCs w:val="22"/>
                <w:lang w:val="sr-Latn-ME"/>
              </w:rPr>
              <w:t xml:space="preserve">Velika </w:t>
            </w:r>
            <w:r w:rsidR="0031666D" w:rsidRPr="00042A6C">
              <w:rPr>
                <w:sz w:val="22"/>
                <w:szCs w:val="22"/>
                <w:lang w:val="sr-Latn-ME"/>
              </w:rPr>
              <w:t>krvarenja</w:t>
            </w:r>
          </w:p>
        </w:tc>
        <w:tc>
          <w:tcPr>
            <w:tcW w:w="2266" w:type="dxa"/>
            <w:vAlign w:val="center"/>
          </w:tcPr>
          <w:p w:rsidR="0031666D" w:rsidRPr="00042A6C" w:rsidRDefault="0031666D" w:rsidP="0031666D">
            <w:pPr>
              <w:widowControl w:val="0"/>
              <w:autoSpaceDE w:val="0"/>
              <w:autoSpaceDN w:val="0"/>
              <w:spacing w:line="230" w:lineRule="exact"/>
              <w:jc w:val="center"/>
              <w:rPr>
                <w:sz w:val="22"/>
                <w:szCs w:val="22"/>
                <w:lang w:val="sr-Latn-ME"/>
              </w:rPr>
            </w:pPr>
            <w:r w:rsidRPr="00042A6C">
              <w:rPr>
                <w:sz w:val="22"/>
                <w:szCs w:val="22"/>
                <w:lang w:val="sr-Latn-ME"/>
              </w:rPr>
              <w:t>395</w:t>
            </w:r>
          </w:p>
          <w:p w:rsidR="0031666D" w:rsidRPr="00042A6C" w:rsidRDefault="0031666D" w:rsidP="0031666D">
            <w:pPr>
              <w:widowControl w:val="0"/>
              <w:autoSpaceDE w:val="0"/>
              <w:autoSpaceDN w:val="0"/>
              <w:spacing w:line="244" w:lineRule="exact"/>
              <w:jc w:val="center"/>
              <w:rPr>
                <w:sz w:val="22"/>
                <w:szCs w:val="22"/>
                <w:lang w:val="sr-Latn-ME"/>
              </w:rPr>
            </w:pPr>
            <w:r w:rsidRPr="00042A6C">
              <w:rPr>
                <w:sz w:val="22"/>
                <w:szCs w:val="22"/>
                <w:lang w:val="sr-Latn-ME"/>
              </w:rPr>
              <w:t>(3,60)</w:t>
            </w:r>
          </w:p>
        </w:tc>
        <w:tc>
          <w:tcPr>
            <w:tcW w:w="2266" w:type="dxa"/>
            <w:vAlign w:val="center"/>
          </w:tcPr>
          <w:p w:rsidR="0031666D" w:rsidRPr="00042A6C" w:rsidRDefault="0031666D" w:rsidP="0031666D">
            <w:pPr>
              <w:widowControl w:val="0"/>
              <w:autoSpaceDE w:val="0"/>
              <w:autoSpaceDN w:val="0"/>
              <w:spacing w:line="230" w:lineRule="exact"/>
              <w:jc w:val="center"/>
              <w:rPr>
                <w:sz w:val="22"/>
                <w:szCs w:val="22"/>
                <w:lang w:val="sr-Latn-ME"/>
              </w:rPr>
            </w:pPr>
            <w:r w:rsidRPr="00042A6C">
              <w:rPr>
                <w:sz w:val="22"/>
                <w:szCs w:val="22"/>
                <w:lang w:val="sr-Latn-ME"/>
              </w:rPr>
              <w:t>386</w:t>
            </w:r>
          </w:p>
          <w:p w:rsidR="0031666D" w:rsidRPr="00042A6C" w:rsidRDefault="0031666D" w:rsidP="0031666D">
            <w:pPr>
              <w:widowControl w:val="0"/>
              <w:autoSpaceDE w:val="0"/>
              <w:autoSpaceDN w:val="0"/>
              <w:spacing w:line="244" w:lineRule="exact"/>
              <w:jc w:val="center"/>
              <w:rPr>
                <w:sz w:val="22"/>
                <w:szCs w:val="22"/>
                <w:lang w:val="sr-Latn-ME"/>
              </w:rPr>
            </w:pPr>
            <w:r w:rsidRPr="00042A6C">
              <w:rPr>
                <w:sz w:val="22"/>
                <w:szCs w:val="22"/>
                <w:lang w:val="sr-Latn-ME"/>
              </w:rPr>
              <w:t>(3,45)</w:t>
            </w:r>
          </w:p>
        </w:tc>
        <w:tc>
          <w:tcPr>
            <w:tcW w:w="2266" w:type="dxa"/>
            <w:vAlign w:val="center"/>
          </w:tcPr>
          <w:p w:rsidR="0031666D" w:rsidRPr="00042A6C" w:rsidRDefault="0031666D" w:rsidP="0031666D">
            <w:pPr>
              <w:widowControl w:val="0"/>
              <w:autoSpaceDE w:val="0"/>
              <w:autoSpaceDN w:val="0"/>
              <w:spacing w:line="230" w:lineRule="exact"/>
              <w:jc w:val="center"/>
              <w:rPr>
                <w:sz w:val="22"/>
                <w:szCs w:val="22"/>
                <w:lang w:val="sr-Latn-ME"/>
              </w:rPr>
            </w:pPr>
            <w:r w:rsidRPr="00042A6C">
              <w:rPr>
                <w:sz w:val="22"/>
                <w:szCs w:val="22"/>
                <w:lang w:val="sr-Latn-ME"/>
              </w:rPr>
              <w:t>1,04 (0,90 - 1,20)</w:t>
            </w:r>
          </w:p>
          <w:p w:rsidR="0031666D" w:rsidRPr="00042A6C" w:rsidRDefault="0031666D" w:rsidP="0031666D">
            <w:pPr>
              <w:widowControl w:val="0"/>
              <w:autoSpaceDE w:val="0"/>
              <w:autoSpaceDN w:val="0"/>
              <w:spacing w:line="244" w:lineRule="exact"/>
              <w:jc w:val="center"/>
              <w:rPr>
                <w:sz w:val="22"/>
                <w:szCs w:val="22"/>
                <w:lang w:val="sr-Latn-ME"/>
              </w:rPr>
            </w:pPr>
            <w:r w:rsidRPr="00042A6C">
              <w:rPr>
                <w:sz w:val="22"/>
                <w:szCs w:val="22"/>
                <w:lang w:val="sr-Latn-ME"/>
              </w:rPr>
              <w:t>0,576</w:t>
            </w:r>
          </w:p>
        </w:tc>
      </w:tr>
      <w:tr w:rsidR="0031666D" w:rsidRPr="00042A6C" w:rsidTr="0031666D">
        <w:tc>
          <w:tcPr>
            <w:tcW w:w="2265" w:type="dxa"/>
            <w:vAlign w:val="center"/>
          </w:tcPr>
          <w:p w:rsidR="0031666D" w:rsidRPr="00042A6C" w:rsidRDefault="0031666D" w:rsidP="004C49DB">
            <w:pPr>
              <w:widowControl w:val="0"/>
              <w:autoSpaceDE w:val="0"/>
              <w:autoSpaceDN w:val="0"/>
              <w:spacing w:before="116"/>
              <w:jc w:val="right"/>
              <w:rPr>
                <w:sz w:val="22"/>
                <w:szCs w:val="22"/>
                <w:lang w:val="sr-Latn-ME"/>
              </w:rPr>
            </w:pPr>
            <w:r w:rsidRPr="00042A6C">
              <w:rPr>
                <w:sz w:val="22"/>
                <w:szCs w:val="22"/>
                <w:lang w:val="sr-Latn-ME"/>
              </w:rPr>
              <w:t>Smrt usljed krvarenja*</w:t>
            </w:r>
          </w:p>
        </w:tc>
        <w:tc>
          <w:tcPr>
            <w:tcW w:w="2266" w:type="dxa"/>
            <w:vAlign w:val="center"/>
          </w:tcPr>
          <w:p w:rsidR="0031666D" w:rsidRPr="00042A6C" w:rsidRDefault="0031666D" w:rsidP="0031666D">
            <w:pPr>
              <w:widowControl w:val="0"/>
              <w:autoSpaceDE w:val="0"/>
              <w:autoSpaceDN w:val="0"/>
              <w:spacing w:line="242" w:lineRule="exact"/>
              <w:jc w:val="center"/>
              <w:rPr>
                <w:sz w:val="22"/>
                <w:szCs w:val="22"/>
                <w:lang w:val="sr-Latn-ME"/>
              </w:rPr>
            </w:pPr>
            <w:r w:rsidRPr="00042A6C">
              <w:rPr>
                <w:sz w:val="22"/>
                <w:szCs w:val="22"/>
                <w:lang w:val="sr-Latn-ME"/>
              </w:rPr>
              <w:t>27</w:t>
            </w:r>
          </w:p>
          <w:p w:rsidR="0031666D" w:rsidRPr="00042A6C" w:rsidRDefault="0031666D" w:rsidP="0031666D">
            <w:pPr>
              <w:widowControl w:val="0"/>
              <w:autoSpaceDE w:val="0"/>
              <w:autoSpaceDN w:val="0"/>
              <w:spacing w:line="246" w:lineRule="exact"/>
              <w:jc w:val="center"/>
              <w:rPr>
                <w:sz w:val="22"/>
                <w:szCs w:val="22"/>
                <w:lang w:val="sr-Latn-ME"/>
              </w:rPr>
            </w:pPr>
            <w:r w:rsidRPr="00042A6C">
              <w:rPr>
                <w:sz w:val="22"/>
                <w:szCs w:val="22"/>
                <w:lang w:val="sr-Latn-ME"/>
              </w:rPr>
              <w:t>(0,24)</w:t>
            </w:r>
          </w:p>
        </w:tc>
        <w:tc>
          <w:tcPr>
            <w:tcW w:w="2266" w:type="dxa"/>
            <w:vAlign w:val="center"/>
          </w:tcPr>
          <w:p w:rsidR="0031666D" w:rsidRPr="00042A6C" w:rsidRDefault="0031666D" w:rsidP="0031666D">
            <w:pPr>
              <w:widowControl w:val="0"/>
              <w:autoSpaceDE w:val="0"/>
              <w:autoSpaceDN w:val="0"/>
              <w:spacing w:line="242" w:lineRule="exact"/>
              <w:jc w:val="center"/>
              <w:rPr>
                <w:sz w:val="22"/>
                <w:szCs w:val="22"/>
                <w:lang w:val="sr-Latn-ME"/>
              </w:rPr>
            </w:pPr>
            <w:r w:rsidRPr="00042A6C">
              <w:rPr>
                <w:sz w:val="22"/>
                <w:szCs w:val="22"/>
                <w:lang w:val="sr-Latn-ME"/>
              </w:rPr>
              <w:t>55</w:t>
            </w:r>
          </w:p>
          <w:p w:rsidR="0031666D" w:rsidRPr="00042A6C" w:rsidRDefault="0031666D" w:rsidP="0031666D">
            <w:pPr>
              <w:widowControl w:val="0"/>
              <w:autoSpaceDE w:val="0"/>
              <w:autoSpaceDN w:val="0"/>
              <w:spacing w:line="246" w:lineRule="exact"/>
              <w:jc w:val="center"/>
              <w:rPr>
                <w:sz w:val="22"/>
                <w:szCs w:val="22"/>
                <w:lang w:val="sr-Latn-ME"/>
              </w:rPr>
            </w:pPr>
            <w:r w:rsidRPr="00042A6C">
              <w:rPr>
                <w:sz w:val="22"/>
                <w:szCs w:val="22"/>
                <w:lang w:val="sr-Latn-ME"/>
              </w:rPr>
              <w:t>(0,48)</w:t>
            </w:r>
          </w:p>
        </w:tc>
        <w:tc>
          <w:tcPr>
            <w:tcW w:w="2266" w:type="dxa"/>
            <w:vAlign w:val="center"/>
          </w:tcPr>
          <w:p w:rsidR="0031666D" w:rsidRPr="00042A6C" w:rsidRDefault="0031666D" w:rsidP="0031666D">
            <w:pPr>
              <w:widowControl w:val="0"/>
              <w:autoSpaceDE w:val="0"/>
              <w:autoSpaceDN w:val="0"/>
              <w:spacing w:line="242" w:lineRule="exact"/>
              <w:jc w:val="center"/>
              <w:rPr>
                <w:sz w:val="22"/>
                <w:szCs w:val="22"/>
                <w:lang w:val="sr-Latn-ME"/>
              </w:rPr>
            </w:pPr>
            <w:r w:rsidRPr="00042A6C">
              <w:rPr>
                <w:sz w:val="22"/>
                <w:szCs w:val="22"/>
                <w:lang w:val="sr-Latn-ME"/>
              </w:rPr>
              <w:t>0,50 (0,31 - 0,79)</w:t>
            </w:r>
          </w:p>
          <w:p w:rsidR="0031666D" w:rsidRPr="00042A6C" w:rsidRDefault="0031666D" w:rsidP="0031666D">
            <w:pPr>
              <w:widowControl w:val="0"/>
              <w:autoSpaceDE w:val="0"/>
              <w:autoSpaceDN w:val="0"/>
              <w:spacing w:line="246" w:lineRule="exact"/>
              <w:jc w:val="center"/>
              <w:rPr>
                <w:sz w:val="22"/>
                <w:szCs w:val="22"/>
                <w:lang w:val="sr-Latn-ME"/>
              </w:rPr>
            </w:pPr>
            <w:r w:rsidRPr="00042A6C">
              <w:rPr>
                <w:sz w:val="22"/>
                <w:szCs w:val="22"/>
                <w:lang w:val="sr-Latn-ME"/>
              </w:rPr>
              <w:t>0,003</w:t>
            </w:r>
          </w:p>
        </w:tc>
      </w:tr>
      <w:tr w:rsidR="0031666D" w:rsidRPr="00042A6C" w:rsidTr="0031666D">
        <w:tc>
          <w:tcPr>
            <w:tcW w:w="2265" w:type="dxa"/>
            <w:vAlign w:val="center"/>
          </w:tcPr>
          <w:p w:rsidR="0031666D" w:rsidRPr="00042A6C" w:rsidRDefault="0031666D" w:rsidP="004C49DB">
            <w:pPr>
              <w:widowControl w:val="0"/>
              <w:autoSpaceDE w:val="0"/>
              <w:autoSpaceDN w:val="0"/>
              <w:spacing w:line="228" w:lineRule="auto"/>
              <w:ind w:right="987"/>
              <w:jc w:val="right"/>
              <w:rPr>
                <w:sz w:val="22"/>
                <w:szCs w:val="22"/>
                <w:lang w:val="sr-Latn-ME"/>
              </w:rPr>
            </w:pPr>
            <w:r w:rsidRPr="00042A6C">
              <w:rPr>
                <w:sz w:val="22"/>
                <w:szCs w:val="22"/>
                <w:lang w:val="sr-Latn-ME"/>
              </w:rPr>
              <w:t>Kritično krvarenje organa*</w:t>
            </w:r>
          </w:p>
        </w:tc>
        <w:tc>
          <w:tcPr>
            <w:tcW w:w="2266" w:type="dxa"/>
            <w:vAlign w:val="center"/>
          </w:tcPr>
          <w:p w:rsidR="0031666D" w:rsidRPr="00042A6C" w:rsidRDefault="0031666D" w:rsidP="0031666D">
            <w:pPr>
              <w:widowControl w:val="0"/>
              <w:autoSpaceDE w:val="0"/>
              <w:autoSpaceDN w:val="0"/>
              <w:spacing w:line="233" w:lineRule="exact"/>
              <w:jc w:val="center"/>
              <w:rPr>
                <w:sz w:val="22"/>
                <w:szCs w:val="22"/>
                <w:lang w:val="sr-Latn-ME"/>
              </w:rPr>
            </w:pPr>
            <w:r w:rsidRPr="00042A6C">
              <w:rPr>
                <w:sz w:val="22"/>
                <w:szCs w:val="22"/>
                <w:lang w:val="sr-Latn-ME"/>
              </w:rPr>
              <w:t>91</w:t>
            </w:r>
          </w:p>
          <w:p w:rsidR="0031666D" w:rsidRPr="00042A6C" w:rsidRDefault="0031666D" w:rsidP="0031666D">
            <w:pPr>
              <w:widowControl w:val="0"/>
              <w:autoSpaceDE w:val="0"/>
              <w:autoSpaceDN w:val="0"/>
              <w:spacing w:line="246" w:lineRule="exact"/>
              <w:jc w:val="center"/>
              <w:rPr>
                <w:sz w:val="22"/>
                <w:szCs w:val="22"/>
                <w:lang w:val="sr-Latn-ME"/>
              </w:rPr>
            </w:pPr>
            <w:r w:rsidRPr="00042A6C">
              <w:rPr>
                <w:sz w:val="22"/>
                <w:szCs w:val="22"/>
                <w:lang w:val="sr-Latn-ME"/>
              </w:rPr>
              <w:t>(0,82)</w:t>
            </w:r>
          </w:p>
        </w:tc>
        <w:tc>
          <w:tcPr>
            <w:tcW w:w="2266" w:type="dxa"/>
            <w:vAlign w:val="center"/>
          </w:tcPr>
          <w:p w:rsidR="0031666D" w:rsidRPr="00042A6C" w:rsidRDefault="0031666D" w:rsidP="0031666D">
            <w:pPr>
              <w:widowControl w:val="0"/>
              <w:autoSpaceDE w:val="0"/>
              <w:autoSpaceDN w:val="0"/>
              <w:spacing w:line="233" w:lineRule="exact"/>
              <w:jc w:val="center"/>
              <w:rPr>
                <w:sz w:val="22"/>
                <w:szCs w:val="22"/>
                <w:lang w:val="sr-Latn-ME"/>
              </w:rPr>
            </w:pPr>
            <w:r w:rsidRPr="00042A6C">
              <w:rPr>
                <w:sz w:val="22"/>
                <w:szCs w:val="22"/>
                <w:lang w:val="sr-Latn-ME"/>
              </w:rPr>
              <w:t>133</w:t>
            </w:r>
          </w:p>
          <w:p w:rsidR="0031666D" w:rsidRPr="00042A6C" w:rsidRDefault="0031666D" w:rsidP="0031666D">
            <w:pPr>
              <w:widowControl w:val="0"/>
              <w:autoSpaceDE w:val="0"/>
              <w:autoSpaceDN w:val="0"/>
              <w:spacing w:line="246" w:lineRule="exact"/>
              <w:jc w:val="center"/>
              <w:rPr>
                <w:sz w:val="22"/>
                <w:szCs w:val="22"/>
                <w:lang w:val="sr-Latn-ME"/>
              </w:rPr>
            </w:pPr>
            <w:r w:rsidRPr="00042A6C">
              <w:rPr>
                <w:sz w:val="22"/>
                <w:szCs w:val="22"/>
                <w:lang w:val="sr-Latn-ME"/>
              </w:rPr>
              <w:t>(1,18)</w:t>
            </w:r>
          </w:p>
        </w:tc>
        <w:tc>
          <w:tcPr>
            <w:tcW w:w="2266" w:type="dxa"/>
            <w:vAlign w:val="center"/>
          </w:tcPr>
          <w:p w:rsidR="0031666D" w:rsidRPr="00042A6C" w:rsidRDefault="0031666D" w:rsidP="0031666D">
            <w:pPr>
              <w:widowControl w:val="0"/>
              <w:autoSpaceDE w:val="0"/>
              <w:autoSpaceDN w:val="0"/>
              <w:spacing w:line="233" w:lineRule="exact"/>
              <w:jc w:val="center"/>
              <w:rPr>
                <w:sz w:val="22"/>
                <w:szCs w:val="22"/>
                <w:lang w:val="sr-Latn-ME"/>
              </w:rPr>
            </w:pPr>
            <w:r w:rsidRPr="00042A6C">
              <w:rPr>
                <w:sz w:val="22"/>
                <w:szCs w:val="22"/>
                <w:lang w:val="sr-Latn-ME"/>
              </w:rPr>
              <w:t>0,69 (0,53 - 0,91)</w:t>
            </w:r>
          </w:p>
          <w:p w:rsidR="0031666D" w:rsidRPr="00042A6C" w:rsidRDefault="0031666D" w:rsidP="0031666D">
            <w:pPr>
              <w:widowControl w:val="0"/>
              <w:autoSpaceDE w:val="0"/>
              <w:autoSpaceDN w:val="0"/>
              <w:spacing w:line="246" w:lineRule="exact"/>
              <w:jc w:val="center"/>
              <w:rPr>
                <w:sz w:val="22"/>
                <w:szCs w:val="22"/>
                <w:lang w:val="sr-Latn-ME"/>
              </w:rPr>
            </w:pPr>
            <w:r w:rsidRPr="00042A6C">
              <w:rPr>
                <w:sz w:val="22"/>
                <w:szCs w:val="22"/>
                <w:lang w:val="sr-Latn-ME"/>
              </w:rPr>
              <w:t>0,007</w:t>
            </w:r>
          </w:p>
        </w:tc>
      </w:tr>
      <w:tr w:rsidR="0031666D" w:rsidRPr="00042A6C" w:rsidTr="0031666D">
        <w:tc>
          <w:tcPr>
            <w:tcW w:w="2265" w:type="dxa"/>
            <w:vAlign w:val="center"/>
          </w:tcPr>
          <w:p w:rsidR="0031666D" w:rsidRPr="00042A6C" w:rsidRDefault="0031666D" w:rsidP="004C49DB">
            <w:pPr>
              <w:widowControl w:val="0"/>
              <w:autoSpaceDE w:val="0"/>
              <w:autoSpaceDN w:val="0"/>
              <w:spacing w:line="249" w:lineRule="exact"/>
              <w:jc w:val="right"/>
              <w:rPr>
                <w:sz w:val="22"/>
                <w:szCs w:val="22"/>
                <w:lang w:val="sr-Latn-ME"/>
              </w:rPr>
            </w:pPr>
            <w:r w:rsidRPr="00042A6C">
              <w:rPr>
                <w:sz w:val="22"/>
                <w:szCs w:val="22"/>
                <w:lang w:val="sr-Latn-ME"/>
              </w:rPr>
              <w:t>Intrakranijalno krvarenje*</w:t>
            </w:r>
          </w:p>
        </w:tc>
        <w:tc>
          <w:tcPr>
            <w:tcW w:w="2266" w:type="dxa"/>
            <w:vAlign w:val="center"/>
          </w:tcPr>
          <w:p w:rsidR="0031666D" w:rsidRPr="00042A6C" w:rsidRDefault="0031666D" w:rsidP="0031666D">
            <w:pPr>
              <w:widowControl w:val="0"/>
              <w:autoSpaceDE w:val="0"/>
              <w:autoSpaceDN w:val="0"/>
              <w:spacing w:line="240" w:lineRule="exact"/>
              <w:jc w:val="center"/>
              <w:rPr>
                <w:sz w:val="22"/>
                <w:szCs w:val="22"/>
                <w:lang w:val="sr-Latn-ME"/>
              </w:rPr>
            </w:pPr>
            <w:r w:rsidRPr="00042A6C">
              <w:rPr>
                <w:sz w:val="22"/>
                <w:szCs w:val="22"/>
                <w:lang w:val="sr-Latn-ME"/>
              </w:rPr>
              <w:t>55</w:t>
            </w:r>
          </w:p>
          <w:p w:rsidR="0031666D" w:rsidRPr="00042A6C" w:rsidRDefault="0031666D" w:rsidP="0031666D">
            <w:pPr>
              <w:widowControl w:val="0"/>
              <w:autoSpaceDE w:val="0"/>
              <w:autoSpaceDN w:val="0"/>
              <w:spacing w:line="248" w:lineRule="exact"/>
              <w:jc w:val="center"/>
              <w:rPr>
                <w:sz w:val="22"/>
                <w:szCs w:val="22"/>
                <w:lang w:val="sr-Latn-ME"/>
              </w:rPr>
            </w:pPr>
            <w:r w:rsidRPr="00042A6C">
              <w:rPr>
                <w:sz w:val="22"/>
                <w:szCs w:val="22"/>
                <w:lang w:val="sr-Latn-ME"/>
              </w:rPr>
              <w:t>(0,49)</w:t>
            </w:r>
          </w:p>
        </w:tc>
        <w:tc>
          <w:tcPr>
            <w:tcW w:w="2266" w:type="dxa"/>
            <w:vAlign w:val="center"/>
          </w:tcPr>
          <w:p w:rsidR="0031666D" w:rsidRPr="00042A6C" w:rsidRDefault="0031666D" w:rsidP="0031666D">
            <w:pPr>
              <w:widowControl w:val="0"/>
              <w:autoSpaceDE w:val="0"/>
              <w:autoSpaceDN w:val="0"/>
              <w:spacing w:line="240" w:lineRule="exact"/>
              <w:jc w:val="center"/>
              <w:rPr>
                <w:sz w:val="22"/>
                <w:szCs w:val="22"/>
                <w:lang w:val="sr-Latn-ME"/>
              </w:rPr>
            </w:pPr>
            <w:r w:rsidRPr="00042A6C">
              <w:rPr>
                <w:sz w:val="22"/>
                <w:szCs w:val="22"/>
                <w:lang w:val="sr-Latn-ME"/>
              </w:rPr>
              <w:t>84</w:t>
            </w:r>
          </w:p>
          <w:p w:rsidR="0031666D" w:rsidRPr="00042A6C" w:rsidRDefault="0031666D" w:rsidP="0031666D">
            <w:pPr>
              <w:widowControl w:val="0"/>
              <w:autoSpaceDE w:val="0"/>
              <w:autoSpaceDN w:val="0"/>
              <w:spacing w:line="248" w:lineRule="exact"/>
              <w:jc w:val="center"/>
              <w:rPr>
                <w:sz w:val="22"/>
                <w:szCs w:val="22"/>
                <w:lang w:val="sr-Latn-ME"/>
              </w:rPr>
            </w:pPr>
            <w:r w:rsidRPr="00042A6C">
              <w:rPr>
                <w:sz w:val="22"/>
                <w:szCs w:val="22"/>
                <w:lang w:val="sr-Latn-ME"/>
              </w:rPr>
              <w:t>(0,74)</w:t>
            </w:r>
          </w:p>
        </w:tc>
        <w:tc>
          <w:tcPr>
            <w:tcW w:w="2266" w:type="dxa"/>
            <w:vAlign w:val="center"/>
          </w:tcPr>
          <w:p w:rsidR="0031666D" w:rsidRPr="00042A6C" w:rsidRDefault="0031666D" w:rsidP="0031666D">
            <w:pPr>
              <w:widowControl w:val="0"/>
              <w:autoSpaceDE w:val="0"/>
              <w:autoSpaceDN w:val="0"/>
              <w:spacing w:line="240" w:lineRule="exact"/>
              <w:jc w:val="center"/>
              <w:rPr>
                <w:sz w:val="22"/>
                <w:szCs w:val="22"/>
                <w:lang w:val="sr-Latn-ME"/>
              </w:rPr>
            </w:pPr>
            <w:r w:rsidRPr="00042A6C">
              <w:rPr>
                <w:sz w:val="22"/>
                <w:szCs w:val="22"/>
                <w:lang w:val="sr-Latn-ME"/>
              </w:rPr>
              <w:t>0,67 (0,47 - 0,93)</w:t>
            </w:r>
          </w:p>
          <w:p w:rsidR="0031666D" w:rsidRPr="00042A6C" w:rsidRDefault="0031666D" w:rsidP="0031666D">
            <w:pPr>
              <w:widowControl w:val="0"/>
              <w:autoSpaceDE w:val="0"/>
              <w:autoSpaceDN w:val="0"/>
              <w:spacing w:line="248" w:lineRule="exact"/>
              <w:jc w:val="center"/>
              <w:rPr>
                <w:sz w:val="22"/>
                <w:szCs w:val="22"/>
                <w:lang w:val="sr-Latn-ME"/>
              </w:rPr>
            </w:pPr>
            <w:r w:rsidRPr="00042A6C">
              <w:rPr>
                <w:sz w:val="22"/>
                <w:szCs w:val="22"/>
                <w:lang w:val="sr-Latn-ME"/>
              </w:rPr>
              <w:t>0,019</w:t>
            </w:r>
          </w:p>
        </w:tc>
      </w:tr>
      <w:tr w:rsidR="0031666D" w:rsidRPr="00042A6C" w:rsidTr="0031666D">
        <w:trPr>
          <w:trHeight w:val="152"/>
        </w:trPr>
        <w:tc>
          <w:tcPr>
            <w:tcW w:w="2265" w:type="dxa"/>
            <w:vAlign w:val="center"/>
          </w:tcPr>
          <w:p w:rsidR="0031666D" w:rsidRPr="00042A6C" w:rsidRDefault="0031666D" w:rsidP="004C49DB">
            <w:pPr>
              <w:widowControl w:val="0"/>
              <w:autoSpaceDE w:val="0"/>
              <w:autoSpaceDN w:val="0"/>
              <w:spacing w:before="106"/>
              <w:jc w:val="right"/>
              <w:rPr>
                <w:sz w:val="22"/>
                <w:szCs w:val="22"/>
                <w:lang w:val="sr-Latn-ME"/>
              </w:rPr>
            </w:pPr>
            <w:r w:rsidRPr="00042A6C">
              <w:rPr>
                <w:sz w:val="22"/>
                <w:szCs w:val="22"/>
                <w:lang w:val="sr-Latn-ME"/>
              </w:rPr>
              <w:t>Pad hemoglobina*</w:t>
            </w:r>
          </w:p>
        </w:tc>
        <w:tc>
          <w:tcPr>
            <w:tcW w:w="2266" w:type="dxa"/>
            <w:vAlign w:val="center"/>
          </w:tcPr>
          <w:p w:rsidR="0031666D" w:rsidRPr="00042A6C" w:rsidRDefault="0031666D" w:rsidP="0031666D">
            <w:pPr>
              <w:widowControl w:val="0"/>
              <w:autoSpaceDE w:val="0"/>
              <w:autoSpaceDN w:val="0"/>
              <w:spacing w:line="233" w:lineRule="exact"/>
              <w:jc w:val="center"/>
              <w:rPr>
                <w:sz w:val="22"/>
                <w:szCs w:val="22"/>
                <w:lang w:val="sr-Latn-ME"/>
              </w:rPr>
            </w:pPr>
            <w:r w:rsidRPr="00042A6C">
              <w:rPr>
                <w:sz w:val="22"/>
                <w:szCs w:val="22"/>
                <w:lang w:val="sr-Latn-ME"/>
              </w:rPr>
              <w:t>305</w:t>
            </w:r>
          </w:p>
          <w:p w:rsidR="0031666D" w:rsidRPr="00042A6C" w:rsidRDefault="0031666D" w:rsidP="0031666D">
            <w:pPr>
              <w:widowControl w:val="0"/>
              <w:autoSpaceDE w:val="0"/>
              <w:autoSpaceDN w:val="0"/>
              <w:spacing w:line="246" w:lineRule="exact"/>
              <w:jc w:val="center"/>
              <w:rPr>
                <w:sz w:val="22"/>
                <w:szCs w:val="22"/>
                <w:lang w:val="sr-Latn-ME"/>
              </w:rPr>
            </w:pPr>
            <w:r w:rsidRPr="00042A6C">
              <w:rPr>
                <w:sz w:val="22"/>
                <w:szCs w:val="22"/>
                <w:lang w:val="sr-Latn-ME"/>
              </w:rPr>
              <w:t>(2,77)</w:t>
            </w:r>
          </w:p>
        </w:tc>
        <w:tc>
          <w:tcPr>
            <w:tcW w:w="2266" w:type="dxa"/>
            <w:vAlign w:val="center"/>
          </w:tcPr>
          <w:p w:rsidR="0031666D" w:rsidRPr="00042A6C" w:rsidRDefault="0031666D" w:rsidP="0031666D">
            <w:pPr>
              <w:widowControl w:val="0"/>
              <w:autoSpaceDE w:val="0"/>
              <w:autoSpaceDN w:val="0"/>
              <w:spacing w:line="233" w:lineRule="exact"/>
              <w:jc w:val="center"/>
              <w:rPr>
                <w:sz w:val="22"/>
                <w:szCs w:val="22"/>
                <w:lang w:val="sr-Latn-ME"/>
              </w:rPr>
            </w:pPr>
            <w:r w:rsidRPr="00042A6C">
              <w:rPr>
                <w:sz w:val="22"/>
                <w:szCs w:val="22"/>
                <w:lang w:val="sr-Latn-ME"/>
              </w:rPr>
              <w:t>254</w:t>
            </w:r>
          </w:p>
          <w:p w:rsidR="0031666D" w:rsidRPr="00042A6C" w:rsidRDefault="0031666D" w:rsidP="0031666D">
            <w:pPr>
              <w:widowControl w:val="0"/>
              <w:autoSpaceDE w:val="0"/>
              <w:autoSpaceDN w:val="0"/>
              <w:spacing w:line="246" w:lineRule="exact"/>
              <w:jc w:val="center"/>
              <w:rPr>
                <w:sz w:val="22"/>
                <w:szCs w:val="22"/>
                <w:lang w:val="sr-Latn-ME"/>
              </w:rPr>
            </w:pPr>
            <w:r w:rsidRPr="00042A6C">
              <w:rPr>
                <w:sz w:val="22"/>
                <w:szCs w:val="22"/>
                <w:lang w:val="sr-Latn-ME"/>
              </w:rPr>
              <w:t>(2,26)</w:t>
            </w:r>
          </w:p>
        </w:tc>
        <w:tc>
          <w:tcPr>
            <w:tcW w:w="2266" w:type="dxa"/>
            <w:vAlign w:val="center"/>
          </w:tcPr>
          <w:p w:rsidR="0031666D" w:rsidRPr="00042A6C" w:rsidRDefault="0031666D" w:rsidP="0031666D">
            <w:pPr>
              <w:widowControl w:val="0"/>
              <w:autoSpaceDE w:val="0"/>
              <w:autoSpaceDN w:val="0"/>
              <w:spacing w:line="233" w:lineRule="exact"/>
              <w:jc w:val="center"/>
              <w:rPr>
                <w:sz w:val="22"/>
                <w:szCs w:val="22"/>
                <w:lang w:val="sr-Latn-ME"/>
              </w:rPr>
            </w:pPr>
            <w:r w:rsidRPr="00042A6C">
              <w:rPr>
                <w:sz w:val="22"/>
                <w:szCs w:val="22"/>
                <w:lang w:val="sr-Latn-ME"/>
              </w:rPr>
              <w:t>1,22 (1,03 - 1,44)</w:t>
            </w:r>
          </w:p>
          <w:p w:rsidR="0031666D" w:rsidRPr="00042A6C" w:rsidRDefault="0031666D" w:rsidP="0031666D">
            <w:pPr>
              <w:widowControl w:val="0"/>
              <w:autoSpaceDE w:val="0"/>
              <w:autoSpaceDN w:val="0"/>
              <w:spacing w:line="246" w:lineRule="exact"/>
              <w:jc w:val="center"/>
              <w:rPr>
                <w:sz w:val="22"/>
                <w:szCs w:val="22"/>
                <w:lang w:val="sr-Latn-ME"/>
              </w:rPr>
            </w:pPr>
            <w:r w:rsidRPr="00042A6C">
              <w:rPr>
                <w:sz w:val="22"/>
                <w:szCs w:val="22"/>
                <w:lang w:val="sr-Latn-ME"/>
              </w:rPr>
              <w:t>0,019</w:t>
            </w:r>
          </w:p>
        </w:tc>
      </w:tr>
      <w:tr w:rsidR="0031666D" w:rsidRPr="00042A6C" w:rsidTr="0031666D">
        <w:trPr>
          <w:trHeight w:val="152"/>
        </w:trPr>
        <w:tc>
          <w:tcPr>
            <w:tcW w:w="2265" w:type="dxa"/>
            <w:vAlign w:val="center"/>
          </w:tcPr>
          <w:p w:rsidR="0031666D" w:rsidRPr="00042A6C" w:rsidRDefault="0031666D" w:rsidP="004C49DB">
            <w:pPr>
              <w:widowControl w:val="0"/>
              <w:autoSpaceDE w:val="0"/>
              <w:autoSpaceDN w:val="0"/>
              <w:ind w:right="40"/>
              <w:jc w:val="right"/>
              <w:rPr>
                <w:sz w:val="22"/>
                <w:szCs w:val="22"/>
                <w:lang w:val="sr-Latn-ME"/>
              </w:rPr>
            </w:pPr>
            <w:r w:rsidRPr="00042A6C">
              <w:rPr>
                <w:sz w:val="22"/>
                <w:szCs w:val="22"/>
                <w:lang w:val="sr-Latn-ME"/>
              </w:rPr>
              <w:t xml:space="preserve">Transfuzija 2 ili više jedinica </w:t>
            </w:r>
            <w:r w:rsidR="00B9681D" w:rsidRPr="00042A6C">
              <w:rPr>
                <w:sz w:val="22"/>
                <w:szCs w:val="22"/>
                <w:lang w:val="sr-Latn-ME"/>
              </w:rPr>
              <w:lastRenderedPageBreak/>
              <w:t xml:space="preserve">koncentrovanih </w:t>
            </w:r>
            <w:r w:rsidRPr="00042A6C">
              <w:rPr>
                <w:sz w:val="22"/>
                <w:szCs w:val="22"/>
                <w:lang w:val="sr-Latn-ME"/>
              </w:rPr>
              <w:t>eritrocita ili pune krvi*</w:t>
            </w:r>
          </w:p>
        </w:tc>
        <w:tc>
          <w:tcPr>
            <w:tcW w:w="2266" w:type="dxa"/>
            <w:vAlign w:val="center"/>
          </w:tcPr>
          <w:p w:rsidR="0031666D" w:rsidRPr="00042A6C" w:rsidRDefault="0031666D" w:rsidP="0031666D">
            <w:pPr>
              <w:widowControl w:val="0"/>
              <w:autoSpaceDE w:val="0"/>
              <w:autoSpaceDN w:val="0"/>
              <w:spacing w:before="6"/>
              <w:jc w:val="center"/>
              <w:rPr>
                <w:b/>
                <w:sz w:val="22"/>
                <w:szCs w:val="22"/>
                <w:lang w:val="sr-Latn-ME"/>
              </w:rPr>
            </w:pPr>
          </w:p>
          <w:p w:rsidR="0031666D" w:rsidRPr="00042A6C" w:rsidRDefault="0031666D" w:rsidP="0031666D">
            <w:pPr>
              <w:widowControl w:val="0"/>
              <w:autoSpaceDE w:val="0"/>
              <w:autoSpaceDN w:val="0"/>
              <w:jc w:val="center"/>
              <w:rPr>
                <w:sz w:val="22"/>
                <w:szCs w:val="22"/>
                <w:lang w:val="sr-Latn-ME"/>
              </w:rPr>
            </w:pPr>
            <w:r w:rsidRPr="00042A6C">
              <w:rPr>
                <w:sz w:val="22"/>
                <w:szCs w:val="22"/>
                <w:lang w:val="sr-Latn-ME"/>
              </w:rPr>
              <w:t>183</w:t>
            </w:r>
          </w:p>
          <w:p w:rsidR="0031666D" w:rsidRPr="00042A6C" w:rsidRDefault="0031666D" w:rsidP="0031666D">
            <w:pPr>
              <w:widowControl w:val="0"/>
              <w:autoSpaceDE w:val="0"/>
              <w:autoSpaceDN w:val="0"/>
              <w:spacing w:before="1"/>
              <w:jc w:val="center"/>
              <w:rPr>
                <w:sz w:val="22"/>
                <w:szCs w:val="22"/>
                <w:lang w:val="sr-Latn-ME"/>
              </w:rPr>
            </w:pPr>
            <w:r w:rsidRPr="00042A6C">
              <w:rPr>
                <w:sz w:val="22"/>
                <w:szCs w:val="22"/>
                <w:lang w:val="sr-Latn-ME"/>
              </w:rPr>
              <w:lastRenderedPageBreak/>
              <w:t>(1,65)</w:t>
            </w:r>
          </w:p>
        </w:tc>
        <w:tc>
          <w:tcPr>
            <w:tcW w:w="2266" w:type="dxa"/>
            <w:vAlign w:val="center"/>
          </w:tcPr>
          <w:p w:rsidR="0031666D" w:rsidRPr="00042A6C" w:rsidRDefault="0031666D" w:rsidP="0031666D">
            <w:pPr>
              <w:widowControl w:val="0"/>
              <w:autoSpaceDE w:val="0"/>
              <w:autoSpaceDN w:val="0"/>
              <w:spacing w:before="6"/>
              <w:jc w:val="center"/>
              <w:rPr>
                <w:b/>
                <w:sz w:val="22"/>
                <w:szCs w:val="22"/>
                <w:lang w:val="sr-Latn-ME"/>
              </w:rPr>
            </w:pPr>
          </w:p>
          <w:p w:rsidR="0031666D" w:rsidRPr="00042A6C" w:rsidRDefault="0031666D" w:rsidP="0031666D">
            <w:pPr>
              <w:widowControl w:val="0"/>
              <w:autoSpaceDE w:val="0"/>
              <w:autoSpaceDN w:val="0"/>
              <w:jc w:val="center"/>
              <w:rPr>
                <w:sz w:val="22"/>
                <w:szCs w:val="22"/>
                <w:lang w:val="sr-Latn-ME"/>
              </w:rPr>
            </w:pPr>
            <w:r w:rsidRPr="00042A6C">
              <w:rPr>
                <w:sz w:val="22"/>
                <w:szCs w:val="22"/>
                <w:lang w:val="sr-Latn-ME"/>
              </w:rPr>
              <w:t>149</w:t>
            </w:r>
          </w:p>
          <w:p w:rsidR="0031666D" w:rsidRPr="00042A6C" w:rsidRDefault="0031666D" w:rsidP="0031666D">
            <w:pPr>
              <w:widowControl w:val="0"/>
              <w:autoSpaceDE w:val="0"/>
              <w:autoSpaceDN w:val="0"/>
              <w:spacing w:before="1"/>
              <w:jc w:val="center"/>
              <w:rPr>
                <w:sz w:val="22"/>
                <w:szCs w:val="22"/>
                <w:lang w:val="sr-Latn-ME"/>
              </w:rPr>
            </w:pPr>
            <w:r w:rsidRPr="00042A6C">
              <w:rPr>
                <w:sz w:val="22"/>
                <w:szCs w:val="22"/>
                <w:lang w:val="sr-Latn-ME"/>
              </w:rPr>
              <w:lastRenderedPageBreak/>
              <w:t>(1,32)</w:t>
            </w:r>
          </w:p>
        </w:tc>
        <w:tc>
          <w:tcPr>
            <w:tcW w:w="2266" w:type="dxa"/>
            <w:vAlign w:val="center"/>
          </w:tcPr>
          <w:p w:rsidR="0031666D" w:rsidRPr="00042A6C" w:rsidRDefault="0031666D" w:rsidP="0031666D">
            <w:pPr>
              <w:widowControl w:val="0"/>
              <w:autoSpaceDE w:val="0"/>
              <w:autoSpaceDN w:val="0"/>
              <w:spacing w:before="6"/>
              <w:jc w:val="center"/>
              <w:rPr>
                <w:b/>
                <w:sz w:val="22"/>
                <w:szCs w:val="22"/>
                <w:lang w:val="sr-Latn-ME"/>
              </w:rPr>
            </w:pPr>
          </w:p>
          <w:p w:rsidR="0031666D" w:rsidRPr="00042A6C" w:rsidRDefault="0031666D" w:rsidP="0031666D">
            <w:pPr>
              <w:widowControl w:val="0"/>
              <w:autoSpaceDE w:val="0"/>
              <w:autoSpaceDN w:val="0"/>
              <w:jc w:val="center"/>
              <w:rPr>
                <w:sz w:val="22"/>
                <w:szCs w:val="22"/>
                <w:lang w:val="sr-Latn-ME"/>
              </w:rPr>
            </w:pPr>
            <w:r w:rsidRPr="00042A6C">
              <w:rPr>
                <w:sz w:val="22"/>
                <w:szCs w:val="22"/>
                <w:lang w:val="sr-Latn-ME"/>
              </w:rPr>
              <w:t>1,25 (1,01 - 1,55)</w:t>
            </w:r>
          </w:p>
          <w:p w:rsidR="0031666D" w:rsidRPr="00042A6C" w:rsidRDefault="0031666D" w:rsidP="0031666D">
            <w:pPr>
              <w:widowControl w:val="0"/>
              <w:autoSpaceDE w:val="0"/>
              <w:autoSpaceDN w:val="0"/>
              <w:spacing w:before="1"/>
              <w:jc w:val="center"/>
              <w:rPr>
                <w:sz w:val="22"/>
                <w:szCs w:val="22"/>
                <w:lang w:val="sr-Latn-ME"/>
              </w:rPr>
            </w:pPr>
            <w:r w:rsidRPr="00042A6C">
              <w:rPr>
                <w:sz w:val="22"/>
                <w:szCs w:val="22"/>
                <w:lang w:val="sr-Latn-ME"/>
              </w:rPr>
              <w:lastRenderedPageBreak/>
              <w:t>0,044</w:t>
            </w:r>
          </w:p>
        </w:tc>
      </w:tr>
      <w:tr w:rsidR="0031666D" w:rsidRPr="00042A6C" w:rsidTr="0031666D">
        <w:trPr>
          <w:trHeight w:val="152"/>
        </w:trPr>
        <w:tc>
          <w:tcPr>
            <w:tcW w:w="2265" w:type="dxa"/>
            <w:vAlign w:val="center"/>
          </w:tcPr>
          <w:p w:rsidR="0031666D" w:rsidRPr="00042A6C" w:rsidRDefault="0031666D" w:rsidP="000F0E2A">
            <w:pPr>
              <w:widowControl w:val="0"/>
              <w:autoSpaceDE w:val="0"/>
              <w:autoSpaceDN w:val="0"/>
              <w:spacing w:line="236" w:lineRule="exact"/>
              <w:rPr>
                <w:sz w:val="22"/>
                <w:szCs w:val="22"/>
                <w:lang w:val="sr-Latn-ME"/>
              </w:rPr>
            </w:pPr>
            <w:r w:rsidRPr="00042A6C">
              <w:rPr>
                <w:sz w:val="22"/>
                <w:szCs w:val="22"/>
                <w:lang w:val="sr-Latn-ME"/>
              </w:rPr>
              <w:t xml:space="preserve">Klinički značajna </w:t>
            </w:r>
            <w:r w:rsidR="000F0E2A" w:rsidRPr="00042A6C">
              <w:rPr>
                <w:sz w:val="22"/>
                <w:szCs w:val="22"/>
                <w:lang w:val="sr-Latn-ME"/>
              </w:rPr>
              <w:t xml:space="preserve">manja </w:t>
            </w:r>
            <w:r w:rsidRPr="00042A6C">
              <w:rPr>
                <w:sz w:val="22"/>
                <w:szCs w:val="22"/>
                <w:lang w:val="sr-Latn-ME"/>
              </w:rPr>
              <w:t>krvarenja</w:t>
            </w:r>
          </w:p>
        </w:tc>
        <w:tc>
          <w:tcPr>
            <w:tcW w:w="2266" w:type="dxa"/>
            <w:vAlign w:val="center"/>
          </w:tcPr>
          <w:p w:rsidR="0031666D" w:rsidRPr="00042A6C" w:rsidRDefault="0031666D" w:rsidP="0031666D">
            <w:pPr>
              <w:widowControl w:val="0"/>
              <w:autoSpaceDE w:val="0"/>
              <w:autoSpaceDN w:val="0"/>
              <w:spacing w:before="116"/>
              <w:jc w:val="center"/>
              <w:rPr>
                <w:sz w:val="22"/>
                <w:szCs w:val="22"/>
                <w:lang w:val="sr-Latn-ME"/>
              </w:rPr>
            </w:pPr>
            <w:r w:rsidRPr="00042A6C">
              <w:rPr>
                <w:sz w:val="22"/>
                <w:szCs w:val="22"/>
                <w:lang w:val="sr-Latn-ME"/>
              </w:rPr>
              <w:t>1185</w:t>
            </w:r>
          </w:p>
          <w:p w:rsidR="0031666D" w:rsidRPr="00042A6C" w:rsidRDefault="0031666D" w:rsidP="0031666D">
            <w:pPr>
              <w:widowControl w:val="0"/>
              <w:autoSpaceDE w:val="0"/>
              <w:autoSpaceDN w:val="0"/>
              <w:spacing w:before="1"/>
              <w:jc w:val="center"/>
              <w:rPr>
                <w:sz w:val="22"/>
                <w:szCs w:val="22"/>
                <w:lang w:val="sr-Latn-ME"/>
              </w:rPr>
            </w:pPr>
            <w:r w:rsidRPr="00042A6C">
              <w:rPr>
                <w:sz w:val="22"/>
                <w:szCs w:val="22"/>
                <w:lang w:val="sr-Latn-ME"/>
              </w:rPr>
              <w:t>(11,80)</w:t>
            </w:r>
          </w:p>
        </w:tc>
        <w:tc>
          <w:tcPr>
            <w:tcW w:w="2266" w:type="dxa"/>
            <w:vAlign w:val="center"/>
          </w:tcPr>
          <w:p w:rsidR="0031666D" w:rsidRPr="00042A6C" w:rsidRDefault="0031666D" w:rsidP="0031666D">
            <w:pPr>
              <w:widowControl w:val="0"/>
              <w:autoSpaceDE w:val="0"/>
              <w:autoSpaceDN w:val="0"/>
              <w:spacing w:before="116"/>
              <w:jc w:val="center"/>
              <w:rPr>
                <w:sz w:val="22"/>
                <w:szCs w:val="22"/>
                <w:lang w:val="sr-Latn-ME"/>
              </w:rPr>
            </w:pPr>
            <w:r w:rsidRPr="00042A6C">
              <w:rPr>
                <w:sz w:val="22"/>
                <w:szCs w:val="22"/>
                <w:lang w:val="sr-Latn-ME"/>
              </w:rPr>
              <w:t>1151</w:t>
            </w:r>
          </w:p>
          <w:p w:rsidR="0031666D" w:rsidRPr="00042A6C" w:rsidRDefault="0031666D" w:rsidP="0031666D">
            <w:pPr>
              <w:widowControl w:val="0"/>
              <w:autoSpaceDE w:val="0"/>
              <w:autoSpaceDN w:val="0"/>
              <w:spacing w:before="1"/>
              <w:jc w:val="center"/>
              <w:rPr>
                <w:sz w:val="22"/>
                <w:szCs w:val="22"/>
                <w:lang w:val="sr-Latn-ME"/>
              </w:rPr>
            </w:pPr>
            <w:r w:rsidRPr="00042A6C">
              <w:rPr>
                <w:sz w:val="22"/>
                <w:szCs w:val="22"/>
                <w:lang w:val="sr-Latn-ME"/>
              </w:rPr>
              <w:t>(11,37)</w:t>
            </w:r>
          </w:p>
        </w:tc>
        <w:tc>
          <w:tcPr>
            <w:tcW w:w="2266" w:type="dxa"/>
            <w:vAlign w:val="center"/>
          </w:tcPr>
          <w:p w:rsidR="0031666D" w:rsidRPr="00042A6C" w:rsidRDefault="0031666D" w:rsidP="0031666D">
            <w:pPr>
              <w:widowControl w:val="0"/>
              <w:autoSpaceDE w:val="0"/>
              <w:autoSpaceDN w:val="0"/>
              <w:spacing w:before="116"/>
              <w:jc w:val="center"/>
              <w:rPr>
                <w:sz w:val="22"/>
                <w:szCs w:val="22"/>
                <w:lang w:val="sr-Latn-ME"/>
              </w:rPr>
            </w:pPr>
            <w:r w:rsidRPr="00042A6C">
              <w:rPr>
                <w:sz w:val="22"/>
                <w:szCs w:val="22"/>
                <w:lang w:val="sr-Latn-ME"/>
              </w:rPr>
              <w:t>1,04 (0,96 - 1,13)</w:t>
            </w:r>
          </w:p>
          <w:p w:rsidR="0031666D" w:rsidRPr="00042A6C" w:rsidRDefault="0031666D" w:rsidP="0031666D">
            <w:pPr>
              <w:widowControl w:val="0"/>
              <w:autoSpaceDE w:val="0"/>
              <w:autoSpaceDN w:val="0"/>
              <w:spacing w:before="1"/>
              <w:jc w:val="center"/>
              <w:rPr>
                <w:sz w:val="22"/>
                <w:szCs w:val="22"/>
                <w:lang w:val="sr-Latn-ME"/>
              </w:rPr>
            </w:pPr>
            <w:r w:rsidRPr="00042A6C">
              <w:rPr>
                <w:sz w:val="22"/>
                <w:szCs w:val="22"/>
                <w:lang w:val="sr-Latn-ME"/>
              </w:rPr>
              <w:t>0,345</w:t>
            </w:r>
          </w:p>
        </w:tc>
      </w:tr>
      <w:tr w:rsidR="0031666D" w:rsidRPr="00042A6C" w:rsidTr="0031666D">
        <w:trPr>
          <w:trHeight w:val="152"/>
        </w:trPr>
        <w:tc>
          <w:tcPr>
            <w:tcW w:w="2265" w:type="dxa"/>
            <w:vAlign w:val="center"/>
          </w:tcPr>
          <w:p w:rsidR="0031666D" w:rsidRPr="00042A6C" w:rsidRDefault="0031666D" w:rsidP="0031666D">
            <w:pPr>
              <w:widowControl w:val="0"/>
              <w:autoSpaceDE w:val="0"/>
              <w:autoSpaceDN w:val="0"/>
              <w:spacing w:line="228" w:lineRule="auto"/>
              <w:ind w:right="785"/>
              <w:rPr>
                <w:sz w:val="22"/>
                <w:szCs w:val="22"/>
                <w:lang w:val="sr-Latn-ME"/>
              </w:rPr>
            </w:pPr>
            <w:r w:rsidRPr="00042A6C">
              <w:rPr>
                <w:sz w:val="22"/>
                <w:szCs w:val="22"/>
                <w:lang w:val="sr-Latn-ME"/>
              </w:rPr>
              <w:t>Mortalitet usljed svih uzroka</w:t>
            </w:r>
          </w:p>
        </w:tc>
        <w:tc>
          <w:tcPr>
            <w:tcW w:w="2266" w:type="dxa"/>
            <w:vAlign w:val="center"/>
          </w:tcPr>
          <w:p w:rsidR="0031666D" w:rsidRPr="00042A6C" w:rsidRDefault="0031666D" w:rsidP="0031666D">
            <w:pPr>
              <w:widowControl w:val="0"/>
              <w:autoSpaceDE w:val="0"/>
              <w:autoSpaceDN w:val="0"/>
              <w:spacing w:line="233" w:lineRule="exact"/>
              <w:jc w:val="center"/>
              <w:rPr>
                <w:sz w:val="22"/>
                <w:szCs w:val="22"/>
                <w:lang w:val="sr-Latn-ME"/>
              </w:rPr>
            </w:pPr>
            <w:r w:rsidRPr="00042A6C">
              <w:rPr>
                <w:sz w:val="22"/>
                <w:szCs w:val="22"/>
                <w:lang w:val="sr-Latn-ME"/>
              </w:rPr>
              <w:t>208</w:t>
            </w:r>
          </w:p>
          <w:p w:rsidR="0031666D" w:rsidRPr="00042A6C" w:rsidRDefault="0031666D" w:rsidP="0031666D">
            <w:pPr>
              <w:widowControl w:val="0"/>
              <w:autoSpaceDE w:val="0"/>
              <w:autoSpaceDN w:val="0"/>
              <w:spacing w:line="246" w:lineRule="exact"/>
              <w:jc w:val="center"/>
              <w:rPr>
                <w:sz w:val="22"/>
                <w:szCs w:val="22"/>
                <w:lang w:val="sr-Latn-ME"/>
              </w:rPr>
            </w:pPr>
            <w:r w:rsidRPr="00042A6C">
              <w:rPr>
                <w:sz w:val="22"/>
                <w:szCs w:val="22"/>
                <w:lang w:val="sr-Latn-ME"/>
              </w:rPr>
              <w:t>(1,87)</w:t>
            </w:r>
          </w:p>
        </w:tc>
        <w:tc>
          <w:tcPr>
            <w:tcW w:w="2266" w:type="dxa"/>
            <w:vAlign w:val="center"/>
          </w:tcPr>
          <w:p w:rsidR="0031666D" w:rsidRPr="00042A6C" w:rsidRDefault="0031666D" w:rsidP="0031666D">
            <w:pPr>
              <w:widowControl w:val="0"/>
              <w:autoSpaceDE w:val="0"/>
              <w:autoSpaceDN w:val="0"/>
              <w:spacing w:line="233" w:lineRule="exact"/>
              <w:jc w:val="center"/>
              <w:rPr>
                <w:sz w:val="22"/>
                <w:szCs w:val="22"/>
                <w:lang w:val="sr-Latn-ME"/>
              </w:rPr>
            </w:pPr>
            <w:r w:rsidRPr="00042A6C">
              <w:rPr>
                <w:sz w:val="22"/>
                <w:szCs w:val="22"/>
                <w:lang w:val="sr-Latn-ME"/>
              </w:rPr>
              <w:t>250</w:t>
            </w:r>
          </w:p>
          <w:p w:rsidR="0031666D" w:rsidRPr="00042A6C" w:rsidRDefault="0031666D" w:rsidP="0031666D">
            <w:pPr>
              <w:widowControl w:val="0"/>
              <w:autoSpaceDE w:val="0"/>
              <w:autoSpaceDN w:val="0"/>
              <w:spacing w:line="246" w:lineRule="exact"/>
              <w:jc w:val="center"/>
              <w:rPr>
                <w:sz w:val="22"/>
                <w:szCs w:val="22"/>
                <w:lang w:val="sr-Latn-ME"/>
              </w:rPr>
            </w:pPr>
            <w:r w:rsidRPr="00042A6C">
              <w:rPr>
                <w:sz w:val="22"/>
                <w:szCs w:val="22"/>
                <w:lang w:val="sr-Latn-ME"/>
              </w:rPr>
              <w:t>(2,21)</w:t>
            </w:r>
          </w:p>
        </w:tc>
        <w:tc>
          <w:tcPr>
            <w:tcW w:w="2266" w:type="dxa"/>
            <w:vAlign w:val="center"/>
          </w:tcPr>
          <w:p w:rsidR="0031666D" w:rsidRPr="00042A6C" w:rsidRDefault="0031666D" w:rsidP="0031666D">
            <w:pPr>
              <w:widowControl w:val="0"/>
              <w:autoSpaceDE w:val="0"/>
              <w:autoSpaceDN w:val="0"/>
              <w:spacing w:line="233" w:lineRule="exact"/>
              <w:jc w:val="center"/>
              <w:rPr>
                <w:sz w:val="22"/>
                <w:szCs w:val="22"/>
                <w:lang w:val="sr-Latn-ME"/>
              </w:rPr>
            </w:pPr>
            <w:r w:rsidRPr="00042A6C">
              <w:rPr>
                <w:sz w:val="22"/>
                <w:szCs w:val="22"/>
                <w:lang w:val="sr-Latn-ME"/>
              </w:rPr>
              <w:t>0,85 (0,70 - 1,02)</w:t>
            </w:r>
          </w:p>
          <w:p w:rsidR="0031666D" w:rsidRPr="00042A6C" w:rsidRDefault="0031666D" w:rsidP="0031666D">
            <w:pPr>
              <w:widowControl w:val="0"/>
              <w:autoSpaceDE w:val="0"/>
              <w:autoSpaceDN w:val="0"/>
              <w:spacing w:line="246" w:lineRule="exact"/>
              <w:jc w:val="center"/>
              <w:rPr>
                <w:sz w:val="22"/>
                <w:szCs w:val="22"/>
                <w:lang w:val="sr-Latn-ME"/>
              </w:rPr>
            </w:pPr>
            <w:r w:rsidRPr="00042A6C">
              <w:rPr>
                <w:sz w:val="22"/>
                <w:szCs w:val="22"/>
                <w:lang w:val="sr-Latn-ME"/>
              </w:rPr>
              <w:t>0,073</w:t>
            </w:r>
          </w:p>
        </w:tc>
      </w:tr>
    </w:tbl>
    <w:p w:rsidR="0031666D" w:rsidRPr="00042A6C" w:rsidRDefault="0031666D" w:rsidP="0031666D">
      <w:pPr>
        <w:tabs>
          <w:tab w:val="left" w:pos="540"/>
          <w:tab w:val="left" w:pos="569"/>
        </w:tabs>
        <w:rPr>
          <w:bCs/>
          <w:sz w:val="22"/>
          <w:szCs w:val="22"/>
          <w:lang w:val="sr-Latn-ME"/>
        </w:rPr>
      </w:pPr>
      <w:r w:rsidRPr="00042A6C">
        <w:rPr>
          <w:bCs/>
          <w:sz w:val="22"/>
          <w:szCs w:val="22"/>
          <w:lang w:val="sr-Latn-ME"/>
        </w:rPr>
        <w:t>a) Populacija na kojoj se oc</w:t>
      </w:r>
      <w:r w:rsidR="000F0E2A" w:rsidRPr="00042A6C">
        <w:rPr>
          <w:bCs/>
          <w:sz w:val="22"/>
          <w:szCs w:val="22"/>
          <w:lang w:val="sr-Latn-ME"/>
        </w:rPr>
        <w:t>j</w:t>
      </w:r>
      <w:r w:rsidRPr="00042A6C">
        <w:rPr>
          <w:bCs/>
          <w:sz w:val="22"/>
          <w:szCs w:val="22"/>
          <w:lang w:val="sr-Latn-ME"/>
        </w:rPr>
        <w:t>enjuje bezbjednost, na terapiji</w:t>
      </w:r>
    </w:p>
    <w:p w:rsidR="0031666D" w:rsidRPr="00042A6C" w:rsidRDefault="0031666D" w:rsidP="0031666D">
      <w:pPr>
        <w:tabs>
          <w:tab w:val="left" w:pos="540"/>
          <w:tab w:val="left" w:pos="569"/>
        </w:tabs>
        <w:rPr>
          <w:bCs/>
          <w:sz w:val="22"/>
          <w:szCs w:val="22"/>
          <w:lang w:val="sr-Latn-ME"/>
        </w:rPr>
      </w:pPr>
      <w:r w:rsidRPr="00042A6C">
        <w:rPr>
          <w:bCs/>
          <w:sz w:val="22"/>
          <w:szCs w:val="22"/>
          <w:lang w:val="sr-Latn-ME"/>
        </w:rPr>
        <w:t>* Nominalno značajno</w:t>
      </w:r>
    </w:p>
    <w:p w:rsidR="00E02EDE" w:rsidRPr="00042A6C" w:rsidRDefault="00E02EDE" w:rsidP="00480FB1">
      <w:pPr>
        <w:tabs>
          <w:tab w:val="left" w:pos="540"/>
          <w:tab w:val="left" w:pos="569"/>
        </w:tabs>
        <w:rPr>
          <w:b/>
          <w:bCs/>
          <w:sz w:val="22"/>
          <w:szCs w:val="22"/>
          <w:lang w:val="sr-Latn-ME"/>
        </w:rPr>
      </w:pPr>
    </w:p>
    <w:p w:rsidR="0031666D" w:rsidRPr="00042A6C" w:rsidRDefault="0031666D" w:rsidP="0031666D">
      <w:pPr>
        <w:tabs>
          <w:tab w:val="left" w:pos="540"/>
          <w:tab w:val="left" w:pos="569"/>
        </w:tabs>
        <w:jc w:val="both"/>
        <w:rPr>
          <w:bCs/>
          <w:sz w:val="22"/>
          <w:szCs w:val="22"/>
          <w:lang w:val="sr-Latn-ME"/>
        </w:rPr>
      </w:pPr>
      <w:r w:rsidRPr="00042A6C">
        <w:rPr>
          <w:bCs/>
          <w:sz w:val="22"/>
          <w:szCs w:val="22"/>
          <w:lang w:val="sr-Latn-ME"/>
        </w:rPr>
        <w:t xml:space="preserve">Dodatno, uz ispitivanje faze III studije ROCKET AF, sprovedeno je prospektivno, neintervencijsko, otvoreno ispitivanje kohorte sa jednom grupom (XANTUS), nakon stavljanja lijeka u promet, sa centralnom ocjenom ishoda koji su uključivali tromboembolijske događaje i </w:t>
      </w:r>
      <w:r w:rsidR="000F0E2A" w:rsidRPr="00042A6C">
        <w:rPr>
          <w:bCs/>
          <w:sz w:val="22"/>
          <w:szCs w:val="22"/>
          <w:lang w:val="sr-Latn-ME"/>
        </w:rPr>
        <w:t xml:space="preserve">velika </w:t>
      </w:r>
      <w:r w:rsidRPr="00042A6C">
        <w:rPr>
          <w:bCs/>
          <w:sz w:val="22"/>
          <w:szCs w:val="22"/>
          <w:lang w:val="sr-Latn-ME"/>
        </w:rPr>
        <w:t xml:space="preserve">krvarenja. Bilo je uključeno 6785 pacijenata sa nevalvularnom atrijalnom fibrilacijom u cilju prevencije moždanog udara i sistemske embolije koja nije povezana sa CNS-om u kliničkoj praksi. U studiji </w:t>
      </w:r>
      <w:r w:rsidR="000F0E2A" w:rsidRPr="004C49DB">
        <w:rPr>
          <w:bCs/>
          <w:sz w:val="22"/>
          <w:szCs w:val="22"/>
          <w:lang w:val="sr-Latn-ME"/>
        </w:rPr>
        <w:t>XANTUS</w:t>
      </w:r>
      <w:r w:rsidRPr="00042A6C">
        <w:rPr>
          <w:bCs/>
          <w:sz w:val="22"/>
          <w:szCs w:val="22"/>
          <w:lang w:val="sr-Latn-ME"/>
        </w:rPr>
        <w:t>, srednja vrijednost i CHADS</w:t>
      </w:r>
      <w:r w:rsidRPr="00042A6C">
        <w:rPr>
          <w:bCs/>
          <w:sz w:val="22"/>
          <w:szCs w:val="22"/>
          <w:vertAlign w:val="subscript"/>
          <w:lang w:val="sr-Latn-ME"/>
        </w:rPr>
        <w:t>2</w:t>
      </w:r>
      <w:r w:rsidRPr="00042A6C">
        <w:rPr>
          <w:bCs/>
          <w:sz w:val="22"/>
          <w:szCs w:val="22"/>
          <w:lang w:val="sr-Latn-ME"/>
        </w:rPr>
        <w:t xml:space="preserve"> i HAS-BLED skora je bila 2,0 u odnosu na ROCKET AF studiju, gd</w:t>
      </w:r>
      <w:r w:rsidR="000F0E2A" w:rsidRPr="00042A6C">
        <w:rPr>
          <w:bCs/>
          <w:sz w:val="22"/>
          <w:szCs w:val="22"/>
          <w:lang w:val="sr-Latn-ME"/>
        </w:rPr>
        <w:t>j</w:t>
      </w:r>
      <w:r w:rsidRPr="00042A6C">
        <w:rPr>
          <w:bCs/>
          <w:sz w:val="22"/>
          <w:szCs w:val="22"/>
          <w:lang w:val="sr-Latn-ME"/>
        </w:rPr>
        <w:t>e je srednja vrijednost za CHADS</w:t>
      </w:r>
      <w:r w:rsidRPr="00042A6C">
        <w:rPr>
          <w:bCs/>
          <w:sz w:val="22"/>
          <w:szCs w:val="22"/>
          <w:vertAlign w:val="subscript"/>
          <w:lang w:val="sr-Latn-ME"/>
        </w:rPr>
        <w:t>2</w:t>
      </w:r>
      <w:r w:rsidRPr="00042A6C">
        <w:rPr>
          <w:bCs/>
          <w:sz w:val="22"/>
          <w:szCs w:val="22"/>
          <w:lang w:val="sr-Latn-ME"/>
        </w:rPr>
        <w:t xml:space="preserve"> skora bila 3,5 dok je srednja vrijednost HAS-BLED skora bila 2,8. </w:t>
      </w:r>
      <w:r w:rsidR="000F0E2A" w:rsidRPr="00042A6C">
        <w:rPr>
          <w:bCs/>
          <w:sz w:val="22"/>
          <w:szCs w:val="22"/>
          <w:lang w:val="sr-Latn-ME"/>
        </w:rPr>
        <w:t xml:space="preserve">Velika </w:t>
      </w:r>
      <w:r w:rsidRPr="00042A6C">
        <w:rPr>
          <w:bCs/>
          <w:sz w:val="22"/>
          <w:szCs w:val="22"/>
          <w:lang w:val="sr-Latn-ME"/>
        </w:rPr>
        <w:t>krvarenja su se javila kod 2,1 na 100 pacijent-godina. Krvarenje sa smrtnim ishodom je prijavljeno kod 0,2 na 100 pacijent-godina, a intrakranijalno krvarenje kod 0,4 na 100 pacijent- godina.</w:t>
      </w:r>
    </w:p>
    <w:p w:rsidR="0031666D" w:rsidRPr="00042A6C" w:rsidRDefault="0031666D" w:rsidP="0031666D">
      <w:pPr>
        <w:tabs>
          <w:tab w:val="left" w:pos="540"/>
          <w:tab w:val="left" w:pos="569"/>
        </w:tabs>
        <w:jc w:val="both"/>
        <w:rPr>
          <w:bCs/>
          <w:sz w:val="22"/>
          <w:szCs w:val="22"/>
          <w:lang w:val="sr-Latn-ME"/>
        </w:rPr>
      </w:pPr>
      <w:r w:rsidRPr="00042A6C">
        <w:rPr>
          <w:bCs/>
          <w:sz w:val="22"/>
          <w:szCs w:val="22"/>
          <w:lang w:val="sr-Latn-ME"/>
        </w:rPr>
        <w:t>Moždani udar ili sistemska embolija van CNS su zabilježeni kod 0,8 na 100 pacijent-godina.</w:t>
      </w:r>
    </w:p>
    <w:p w:rsidR="0031666D" w:rsidRPr="00042A6C" w:rsidRDefault="0031666D" w:rsidP="0031666D">
      <w:pPr>
        <w:tabs>
          <w:tab w:val="left" w:pos="540"/>
          <w:tab w:val="left" w:pos="569"/>
        </w:tabs>
        <w:jc w:val="both"/>
        <w:rPr>
          <w:bCs/>
          <w:sz w:val="22"/>
          <w:szCs w:val="22"/>
          <w:lang w:val="sr-Latn-ME"/>
        </w:rPr>
      </w:pPr>
      <w:r w:rsidRPr="00042A6C">
        <w:rPr>
          <w:bCs/>
          <w:sz w:val="22"/>
          <w:szCs w:val="22"/>
          <w:lang w:val="sr-Latn-ME"/>
        </w:rPr>
        <w:t>Ova opažanja u kliničkoj praksi su u skladu sa ustanovljenim bezbjednosnim profilom za ovu indikaciju.</w:t>
      </w:r>
    </w:p>
    <w:p w:rsidR="0031666D" w:rsidRPr="00042A6C" w:rsidRDefault="0031666D" w:rsidP="0031666D">
      <w:pPr>
        <w:tabs>
          <w:tab w:val="left" w:pos="540"/>
          <w:tab w:val="left" w:pos="569"/>
        </w:tabs>
        <w:rPr>
          <w:b/>
          <w:bCs/>
          <w:sz w:val="22"/>
          <w:szCs w:val="22"/>
          <w:lang w:val="sr-Latn-ME"/>
        </w:rPr>
      </w:pPr>
    </w:p>
    <w:p w:rsidR="0031666D" w:rsidRPr="00042A6C" w:rsidRDefault="0031666D" w:rsidP="0031666D">
      <w:pPr>
        <w:tabs>
          <w:tab w:val="left" w:pos="540"/>
          <w:tab w:val="left" w:pos="569"/>
        </w:tabs>
        <w:jc w:val="both"/>
        <w:rPr>
          <w:bCs/>
          <w:sz w:val="22"/>
          <w:szCs w:val="22"/>
          <w:lang w:val="sr-Latn-ME"/>
        </w:rPr>
      </w:pPr>
      <w:r w:rsidRPr="00042A6C">
        <w:rPr>
          <w:bCs/>
          <w:sz w:val="22"/>
          <w:szCs w:val="22"/>
          <w:u w:val="single"/>
          <w:lang w:val="sr-Latn-ME"/>
        </w:rPr>
        <w:t>Pacijenti koji se podvrgavaju kardioverziji</w:t>
      </w:r>
    </w:p>
    <w:p w:rsidR="0031666D" w:rsidRPr="00042A6C" w:rsidRDefault="0031666D" w:rsidP="0031666D">
      <w:pPr>
        <w:tabs>
          <w:tab w:val="left" w:pos="540"/>
          <w:tab w:val="left" w:pos="569"/>
        </w:tabs>
        <w:jc w:val="both"/>
        <w:rPr>
          <w:bCs/>
          <w:sz w:val="22"/>
          <w:szCs w:val="22"/>
          <w:lang w:val="sr-Latn-ME"/>
        </w:rPr>
      </w:pPr>
      <w:r w:rsidRPr="00042A6C">
        <w:rPr>
          <w:bCs/>
          <w:sz w:val="22"/>
          <w:szCs w:val="22"/>
          <w:lang w:val="sr-Latn-ME"/>
        </w:rPr>
        <w:t>Prospektivna, randomizovana, otvorena, multicentrična, eksplorativna studija sa slijepom završnom evaluacijom (X-VERT) je sprovedena na 1504 pacijenta (sa ili bez prethodne terapije antikoagulansima) sa nevalvularnom atrijalnom fibrilacijom, kojima je bila zakazana kardioverzija, u cilju poređenja rivaroksabana sa dozno prilagođenim VKA (randomizacija 2:1) u prevenciji kardiovaskularnih događaja. Prim</w:t>
      </w:r>
      <w:r w:rsidR="006A24CE" w:rsidRPr="00042A6C">
        <w:rPr>
          <w:bCs/>
          <w:sz w:val="22"/>
          <w:szCs w:val="22"/>
          <w:lang w:val="sr-Latn-ME"/>
        </w:rPr>
        <w:t>i</w:t>
      </w:r>
      <w:r w:rsidRPr="00042A6C">
        <w:rPr>
          <w:bCs/>
          <w:sz w:val="22"/>
          <w:szCs w:val="22"/>
          <w:lang w:val="sr-Latn-ME"/>
        </w:rPr>
        <w:t xml:space="preserve">jenjene metode su uključivale TEE vođenu (1-5 dana </w:t>
      </w:r>
      <w:r w:rsidR="006A24CE" w:rsidRPr="00042A6C">
        <w:rPr>
          <w:bCs/>
          <w:sz w:val="22"/>
          <w:szCs w:val="22"/>
          <w:lang w:val="sr-Latn-ME"/>
        </w:rPr>
        <w:t>prethodnog liječenja</w:t>
      </w:r>
      <w:r w:rsidRPr="00042A6C">
        <w:rPr>
          <w:bCs/>
          <w:sz w:val="22"/>
          <w:szCs w:val="22"/>
          <w:lang w:val="sr-Latn-ME"/>
        </w:rPr>
        <w:t>) ili konvencionalnu kardioverziju (najmanje tri ned</w:t>
      </w:r>
      <w:r w:rsidR="006A24CE" w:rsidRPr="00042A6C">
        <w:rPr>
          <w:bCs/>
          <w:sz w:val="22"/>
          <w:szCs w:val="22"/>
          <w:lang w:val="sr-Latn-ME"/>
        </w:rPr>
        <w:t>j</w:t>
      </w:r>
      <w:r w:rsidRPr="00042A6C">
        <w:rPr>
          <w:bCs/>
          <w:sz w:val="22"/>
          <w:szCs w:val="22"/>
          <w:lang w:val="sr-Latn-ME"/>
        </w:rPr>
        <w:t xml:space="preserve">elje </w:t>
      </w:r>
      <w:r w:rsidR="006A24CE" w:rsidRPr="00042A6C">
        <w:rPr>
          <w:bCs/>
          <w:sz w:val="22"/>
          <w:szCs w:val="22"/>
          <w:lang w:val="sr-Latn-ME"/>
        </w:rPr>
        <w:t>prethodnog liječenja</w:t>
      </w:r>
      <w:r w:rsidRPr="00042A6C">
        <w:rPr>
          <w:bCs/>
          <w:sz w:val="22"/>
          <w:szCs w:val="22"/>
          <w:lang w:val="sr-Latn-ME"/>
        </w:rPr>
        <w:t>). Glavni ishod efikasnosti (moždani udar, tranzitorni ishemijski napad, sistemska embolija izvan CNS-a, infarkt miokarda i kardiovaskularna smrt) se desio kod 5 (0,5%) pacijenata u rivaroksaban grupi (n=978) i 5 (1,0%) pacijenata u VKA grupi (n=492; RR 0,50; 95% CI 0,15 - 1,73; modifikovana ITT populacija). Glavni bezbjednosni ishod (</w:t>
      </w:r>
      <w:r w:rsidR="006A24CE" w:rsidRPr="00042A6C">
        <w:rPr>
          <w:bCs/>
          <w:sz w:val="22"/>
          <w:szCs w:val="22"/>
          <w:lang w:val="sr-Latn-ME"/>
        </w:rPr>
        <w:t xml:space="preserve">veliko </w:t>
      </w:r>
      <w:r w:rsidRPr="00042A6C">
        <w:rPr>
          <w:bCs/>
          <w:sz w:val="22"/>
          <w:szCs w:val="22"/>
          <w:lang w:val="sr-Latn-ME"/>
        </w:rPr>
        <w:t xml:space="preserve">krvarenje) se javio redom kod 6 (0,6%), i 4 (0,8%) pacijenta u rivaroksaban (n=988), </w:t>
      </w:r>
      <w:r w:rsidR="006A24CE" w:rsidRPr="00042A6C">
        <w:rPr>
          <w:bCs/>
          <w:sz w:val="22"/>
          <w:szCs w:val="22"/>
          <w:lang w:val="sr-Latn-ME"/>
        </w:rPr>
        <w:t xml:space="preserve">odnosno </w:t>
      </w:r>
      <w:r w:rsidRPr="00042A6C">
        <w:rPr>
          <w:bCs/>
          <w:sz w:val="22"/>
          <w:szCs w:val="22"/>
          <w:lang w:val="sr-Latn-ME"/>
        </w:rPr>
        <w:t>VKA (n=499) grupi (RR 0,76; 95% CI 0,21-2,67; bezbjednosna populacija). Ova eksplorativna studija je pokazala uporedivu efikasnost i bezbjednost između rivaroksabana i VKA terapijskih grupa u okolnostima kardioverzije.</w:t>
      </w:r>
    </w:p>
    <w:p w:rsidR="0031666D" w:rsidRPr="00042A6C" w:rsidRDefault="0031666D" w:rsidP="0031666D">
      <w:pPr>
        <w:tabs>
          <w:tab w:val="left" w:pos="540"/>
          <w:tab w:val="left" w:pos="569"/>
        </w:tabs>
        <w:rPr>
          <w:b/>
          <w:bCs/>
          <w:sz w:val="22"/>
          <w:szCs w:val="22"/>
          <w:lang w:val="sr-Latn-ME"/>
        </w:rPr>
      </w:pPr>
    </w:p>
    <w:p w:rsidR="0031666D" w:rsidRPr="00042A6C" w:rsidRDefault="0031666D" w:rsidP="0031666D">
      <w:pPr>
        <w:tabs>
          <w:tab w:val="left" w:pos="540"/>
          <w:tab w:val="left" w:pos="569"/>
        </w:tabs>
        <w:jc w:val="both"/>
        <w:rPr>
          <w:bCs/>
          <w:sz w:val="22"/>
          <w:szCs w:val="22"/>
          <w:lang w:val="sr-Latn-ME"/>
        </w:rPr>
      </w:pPr>
      <w:r w:rsidRPr="00042A6C">
        <w:rPr>
          <w:bCs/>
          <w:sz w:val="22"/>
          <w:szCs w:val="22"/>
          <w:u w:val="single"/>
          <w:lang w:val="sr-Latn-ME"/>
        </w:rPr>
        <w:t>Pacijenti sa nevalvularnom atrijalnom fibrilacijom koji se podvrgavaju PCI sa postavljanjem stenta</w:t>
      </w:r>
      <w:r w:rsidRPr="00042A6C">
        <w:rPr>
          <w:bCs/>
          <w:sz w:val="22"/>
          <w:szCs w:val="22"/>
          <w:lang w:val="sr-Latn-ME"/>
        </w:rPr>
        <w:t xml:space="preserve"> </w:t>
      </w:r>
    </w:p>
    <w:p w:rsidR="0031666D" w:rsidRPr="00042A6C" w:rsidRDefault="0031666D" w:rsidP="0031666D">
      <w:pPr>
        <w:tabs>
          <w:tab w:val="left" w:pos="540"/>
          <w:tab w:val="left" w:pos="569"/>
        </w:tabs>
        <w:jc w:val="both"/>
        <w:rPr>
          <w:bCs/>
          <w:sz w:val="22"/>
          <w:szCs w:val="22"/>
          <w:lang w:val="sr-Latn-ME"/>
        </w:rPr>
      </w:pPr>
      <w:r w:rsidRPr="00042A6C">
        <w:rPr>
          <w:bCs/>
          <w:sz w:val="22"/>
          <w:szCs w:val="22"/>
          <w:lang w:val="sr-Latn-ME"/>
        </w:rPr>
        <w:t>Randomizovana, otvorena, multicentrična studija (PIONEER AF-PCI) je sprovedena na 2124 pacijenta sa nevalvularnom atrijalnom fibrilacijom, koji su se podvrgli PCI sa postavljanjem stenta kod primarne ateroskleroze, u cilju poređenja bezbjednosti dva terapijska režima sa rivaroksabanom i jednog sa VKA. Pacijenti su nasumično raspoređivani u odnosu 1:1:1 za cjelokupnu 12-mjesečnu terapiju. Pacijenti sa moždanim udarom ili tranzitornim ishemijskim napadom u anamnezi su bili izuzeti iz studije.</w:t>
      </w:r>
    </w:p>
    <w:p w:rsidR="0031666D" w:rsidRPr="00042A6C" w:rsidRDefault="0031666D" w:rsidP="0031666D">
      <w:pPr>
        <w:tabs>
          <w:tab w:val="left" w:pos="540"/>
          <w:tab w:val="left" w:pos="569"/>
        </w:tabs>
        <w:rPr>
          <w:b/>
          <w:bCs/>
          <w:sz w:val="22"/>
          <w:szCs w:val="22"/>
          <w:lang w:val="sr-Latn-ME"/>
        </w:rPr>
      </w:pPr>
    </w:p>
    <w:p w:rsidR="0031666D" w:rsidRPr="00042A6C" w:rsidRDefault="0031666D" w:rsidP="0031666D">
      <w:pPr>
        <w:tabs>
          <w:tab w:val="left" w:pos="540"/>
          <w:tab w:val="left" w:pos="569"/>
        </w:tabs>
        <w:jc w:val="both"/>
        <w:rPr>
          <w:bCs/>
          <w:sz w:val="22"/>
          <w:szCs w:val="22"/>
          <w:lang w:val="sr-Latn-ME"/>
        </w:rPr>
      </w:pPr>
      <w:r w:rsidRPr="004C49DB">
        <w:rPr>
          <w:bCs/>
          <w:sz w:val="22"/>
          <w:szCs w:val="22"/>
          <w:lang w:val="sr-Latn-ME"/>
        </w:rPr>
        <w:t>Pacijenti u grupi 1 su dobijali 15 mg rivaroksabana jednom dnevno (odnosno 10 mg/dan kod</w:t>
      </w:r>
      <w:r w:rsidRPr="00042A6C">
        <w:rPr>
          <w:b/>
          <w:bCs/>
          <w:sz w:val="22"/>
          <w:szCs w:val="22"/>
          <w:lang w:val="sr-Latn-ME"/>
        </w:rPr>
        <w:t xml:space="preserve"> </w:t>
      </w:r>
      <w:r w:rsidRPr="00042A6C">
        <w:rPr>
          <w:bCs/>
          <w:sz w:val="22"/>
          <w:szCs w:val="22"/>
          <w:lang w:val="sr-Latn-ME"/>
        </w:rPr>
        <w:t>pacijenata sa klirensom kreatinina od 30-49 ml/min) u kombinaciji sa P2Y12 inhibitorom. Pacijenti u grupi 2 su dobijali 2,5 mg rivaroksabana dva puta dnevno uz DAPT (dvojna antitrombocitna terapija npr. klopidogrel 75 mg [ili alternativni P2Y12 inhibitor] uz malu dozu acetilsalicilne kiseline [ASK] tokom jednog, 6 ili 12 mjeseci, nakon čega je primjenjivan rivaroksaban u dozi od 15 mg (odnosno 10 mg kod ispitanika sa klirensom kreatinina od 30- 49 ml/min) jednom dnevno uz malu dozu ASK. Pacijenti u grupi 3 su dobijali prilagođenu dozu VKA uz DAPT tokom jednog, 6 ili 12 mjeseci, nakon čega su pacijenti prevođeni na terapiju prilagođenom dozom VKA uz malu dozu ASK.</w:t>
      </w:r>
    </w:p>
    <w:p w:rsidR="0031666D" w:rsidRPr="00042A6C" w:rsidRDefault="0031666D" w:rsidP="0031666D">
      <w:pPr>
        <w:tabs>
          <w:tab w:val="left" w:pos="540"/>
          <w:tab w:val="left" w:pos="569"/>
        </w:tabs>
        <w:jc w:val="both"/>
        <w:rPr>
          <w:bCs/>
          <w:sz w:val="22"/>
          <w:szCs w:val="22"/>
          <w:lang w:val="sr-Latn-ME"/>
        </w:rPr>
      </w:pPr>
    </w:p>
    <w:p w:rsidR="0031666D" w:rsidRPr="00042A6C" w:rsidRDefault="0031666D" w:rsidP="0031666D">
      <w:pPr>
        <w:tabs>
          <w:tab w:val="left" w:pos="540"/>
          <w:tab w:val="left" w:pos="569"/>
        </w:tabs>
        <w:jc w:val="both"/>
        <w:rPr>
          <w:bCs/>
          <w:sz w:val="22"/>
          <w:szCs w:val="22"/>
          <w:lang w:val="sr-Latn-ME"/>
        </w:rPr>
      </w:pPr>
      <w:r w:rsidRPr="00042A6C">
        <w:rPr>
          <w:bCs/>
          <w:sz w:val="22"/>
          <w:szCs w:val="22"/>
          <w:lang w:val="sr-Latn-ME"/>
        </w:rPr>
        <w:t xml:space="preserve">Primarni parametar praćenja bezbjednosti, klinički značajna krvarenja, su se javila redom kod 109 (15,7%), 117 (16,6%), odnosno kod 167 (24,0%) ispitanika u grupi 1, 2 i 3 (HR 0,59; 95% CI 0,47-0,76; </w:t>
      </w:r>
      <w:r w:rsidRPr="00042A6C">
        <w:rPr>
          <w:bCs/>
          <w:sz w:val="22"/>
          <w:szCs w:val="22"/>
          <w:lang w:val="sr-Latn-ME"/>
        </w:rPr>
        <w:lastRenderedPageBreak/>
        <w:t>p&lt;0,001 i HR 0,63; 95% CI 0,50-0,80; p&lt;0,001 redom). Sekundarni parametar praćenja (zbir kardiovaskularnih događaja</w:t>
      </w:r>
      <w:r w:rsidR="003E57EC" w:rsidRPr="00042A6C">
        <w:rPr>
          <w:bCs/>
          <w:sz w:val="22"/>
          <w:szCs w:val="22"/>
          <w:lang w:val="sr-Latn-ME"/>
        </w:rPr>
        <w:t xml:space="preserve"> </w:t>
      </w:r>
      <w:r w:rsidRPr="00042A6C">
        <w:rPr>
          <w:bCs/>
          <w:sz w:val="22"/>
          <w:szCs w:val="22"/>
          <w:lang w:val="sr-Latn-ME"/>
        </w:rPr>
        <w:t>- kardiovaskularna smrt, infarkt miokarda (IM) ili moždani udar) se javio kod 41 (5,9%) ispitanika iz grupe 1, 36 (5,1%) ispitanika iz grupe 2 i 36 (5,2%) ispitanika iz grupe 3 . Oba terapijska režima sa rivaroksabanom, pokazala su značajno smanjenje klinički značajnih krvarenja u poređenju sa VKA terapijskim režimom, kod pacijenata sa nevalvularnom atrijalnom fibrilacijom, koji su bili podvrgnuti PCI sa postavljanjem stenta.</w:t>
      </w:r>
    </w:p>
    <w:p w:rsidR="0031666D" w:rsidRPr="00042A6C" w:rsidRDefault="0031666D" w:rsidP="0031666D">
      <w:pPr>
        <w:tabs>
          <w:tab w:val="left" w:pos="540"/>
          <w:tab w:val="left" w:pos="569"/>
        </w:tabs>
        <w:jc w:val="both"/>
        <w:rPr>
          <w:bCs/>
          <w:sz w:val="22"/>
          <w:szCs w:val="22"/>
          <w:lang w:val="sr-Latn-ME"/>
        </w:rPr>
      </w:pPr>
    </w:p>
    <w:p w:rsidR="0031666D" w:rsidRPr="00042A6C" w:rsidRDefault="0031666D" w:rsidP="0031666D">
      <w:pPr>
        <w:tabs>
          <w:tab w:val="left" w:pos="540"/>
          <w:tab w:val="left" w:pos="569"/>
        </w:tabs>
        <w:jc w:val="both"/>
        <w:rPr>
          <w:bCs/>
          <w:sz w:val="22"/>
          <w:szCs w:val="22"/>
          <w:lang w:val="sr-Latn-ME"/>
        </w:rPr>
      </w:pPr>
      <w:r w:rsidRPr="00042A6C">
        <w:rPr>
          <w:bCs/>
          <w:sz w:val="22"/>
          <w:szCs w:val="22"/>
          <w:lang w:val="sr-Latn-ME"/>
        </w:rPr>
        <w:t xml:space="preserve">Osnovni cilj PIONEER AF-PCI studije je </w:t>
      </w:r>
      <w:r w:rsidR="003E57EC" w:rsidRPr="00042A6C">
        <w:rPr>
          <w:bCs/>
          <w:sz w:val="22"/>
          <w:szCs w:val="22"/>
          <w:lang w:val="sr-Latn-ME"/>
        </w:rPr>
        <w:t xml:space="preserve">bio </w:t>
      </w:r>
      <w:r w:rsidRPr="00042A6C">
        <w:rPr>
          <w:bCs/>
          <w:sz w:val="22"/>
          <w:szCs w:val="22"/>
          <w:lang w:val="sr-Latn-ME"/>
        </w:rPr>
        <w:t>procjena bezbjednosti. Podaci o efikasnosti (uključujući tromboembolijske događaje) u ovoj populaciji su ograničeni.</w:t>
      </w:r>
    </w:p>
    <w:p w:rsidR="0031666D" w:rsidRPr="00042A6C" w:rsidRDefault="0031666D" w:rsidP="0031666D">
      <w:pPr>
        <w:tabs>
          <w:tab w:val="left" w:pos="540"/>
          <w:tab w:val="left" w:pos="569"/>
        </w:tabs>
        <w:rPr>
          <w:b/>
          <w:bCs/>
          <w:sz w:val="22"/>
          <w:szCs w:val="22"/>
          <w:lang w:val="sr-Latn-ME"/>
        </w:rPr>
      </w:pPr>
    </w:p>
    <w:p w:rsidR="0031666D" w:rsidRPr="00042A6C" w:rsidRDefault="0031666D" w:rsidP="0031666D">
      <w:pPr>
        <w:tabs>
          <w:tab w:val="left" w:pos="540"/>
          <w:tab w:val="left" w:pos="569"/>
        </w:tabs>
        <w:jc w:val="both"/>
        <w:rPr>
          <w:bCs/>
          <w:i/>
          <w:sz w:val="22"/>
          <w:szCs w:val="22"/>
          <w:lang w:val="sr-Latn-ME"/>
        </w:rPr>
      </w:pPr>
      <w:r w:rsidRPr="00042A6C">
        <w:rPr>
          <w:bCs/>
          <w:i/>
          <w:sz w:val="22"/>
          <w:szCs w:val="22"/>
          <w:u w:val="single"/>
          <w:lang w:val="sr-Latn-ME"/>
        </w:rPr>
        <w:t>Terapija TDV, PE i prevencija rekurentnog TDV i PE</w:t>
      </w:r>
    </w:p>
    <w:p w:rsidR="0031666D" w:rsidRPr="00042A6C" w:rsidRDefault="0031666D" w:rsidP="0031666D">
      <w:pPr>
        <w:tabs>
          <w:tab w:val="left" w:pos="540"/>
          <w:tab w:val="left" w:pos="569"/>
        </w:tabs>
        <w:jc w:val="both"/>
        <w:rPr>
          <w:bCs/>
          <w:sz w:val="22"/>
          <w:szCs w:val="22"/>
          <w:lang w:val="sr-Latn-ME"/>
        </w:rPr>
      </w:pPr>
      <w:r w:rsidRPr="00042A6C">
        <w:rPr>
          <w:bCs/>
          <w:sz w:val="22"/>
          <w:szCs w:val="22"/>
          <w:lang w:val="sr-Latn-ME"/>
        </w:rPr>
        <w:t>Kliničko ispitivanje rivaroksabana dizajnirano je tako da pokaže efikasnost ovog lijeka u početnom i kontinuiranom liječenju akutne TDV i PE i u prevenciji rekurence.</w:t>
      </w:r>
    </w:p>
    <w:p w:rsidR="0031666D" w:rsidRPr="00042A6C" w:rsidRDefault="0031666D" w:rsidP="0031666D">
      <w:pPr>
        <w:tabs>
          <w:tab w:val="left" w:pos="540"/>
          <w:tab w:val="left" w:pos="569"/>
        </w:tabs>
        <w:jc w:val="both"/>
        <w:rPr>
          <w:bCs/>
          <w:sz w:val="22"/>
          <w:szCs w:val="22"/>
          <w:lang w:val="sr-Latn-ME"/>
        </w:rPr>
      </w:pPr>
      <w:r w:rsidRPr="00042A6C">
        <w:rPr>
          <w:bCs/>
          <w:sz w:val="22"/>
          <w:szCs w:val="22"/>
          <w:lang w:val="sr-Latn-ME"/>
        </w:rPr>
        <w:t>U ispitivanje je uključeno preko 12800 pacijenata u četiri randomizovane kontrolisane kliničke studije faze III (</w:t>
      </w:r>
      <w:r w:rsidRPr="00042A6C">
        <w:rPr>
          <w:bCs/>
          <w:i/>
          <w:sz w:val="22"/>
          <w:szCs w:val="22"/>
          <w:lang w:val="sr-Latn-ME"/>
        </w:rPr>
        <w:t xml:space="preserve">Einstein </w:t>
      </w:r>
      <w:r w:rsidRPr="00042A6C">
        <w:rPr>
          <w:bCs/>
          <w:sz w:val="22"/>
          <w:szCs w:val="22"/>
          <w:lang w:val="sr-Latn-ME"/>
        </w:rPr>
        <w:t xml:space="preserve">DVT, </w:t>
      </w:r>
      <w:r w:rsidRPr="00042A6C">
        <w:rPr>
          <w:bCs/>
          <w:i/>
          <w:sz w:val="22"/>
          <w:szCs w:val="22"/>
          <w:lang w:val="sr-Latn-ME"/>
        </w:rPr>
        <w:t xml:space="preserve">Einstein </w:t>
      </w:r>
      <w:r w:rsidRPr="00042A6C">
        <w:rPr>
          <w:bCs/>
          <w:sz w:val="22"/>
          <w:szCs w:val="22"/>
          <w:lang w:val="sr-Latn-ME"/>
        </w:rPr>
        <w:t xml:space="preserve">PE, </w:t>
      </w:r>
      <w:r w:rsidRPr="00042A6C">
        <w:rPr>
          <w:bCs/>
          <w:i/>
          <w:sz w:val="22"/>
          <w:szCs w:val="22"/>
          <w:lang w:val="sr-Latn-ME"/>
        </w:rPr>
        <w:t xml:space="preserve">Einstein Extension </w:t>
      </w:r>
      <w:r w:rsidRPr="00042A6C">
        <w:rPr>
          <w:bCs/>
          <w:sz w:val="22"/>
          <w:szCs w:val="22"/>
          <w:lang w:val="sr-Latn-ME"/>
        </w:rPr>
        <w:t xml:space="preserve">i </w:t>
      </w:r>
      <w:r w:rsidRPr="00042A6C">
        <w:rPr>
          <w:bCs/>
          <w:i/>
          <w:sz w:val="22"/>
          <w:szCs w:val="22"/>
          <w:lang w:val="sr-Latn-ME"/>
        </w:rPr>
        <w:t>Einstein Choice</w:t>
      </w:r>
      <w:r w:rsidRPr="00042A6C">
        <w:rPr>
          <w:bCs/>
          <w:sz w:val="22"/>
          <w:szCs w:val="22"/>
          <w:lang w:val="sr-Latn-ME"/>
        </w:rPr>
        <w:t xml:space="preserve">) a dodatno je sprovedena i unaprijed definisana zbirna analiza </w:t>
      </w:r>
      <w:r w:rsidRPr="00042A6C">
        <w:rPr>
          <w:bCs/>
          <w:i/>
          <w:sz w:val="22"/>
          <w:szCs w:val="22"/>
          <w:lang w:val="sr-Latn-ME"/>
        </w:rPr>
        <w:t xml:space="preserve">Einstein </w:t>
      </w:r>
      <w:r w:rsidRPr="00042A6C">
        <w:rPr>
          <w:bCs/>
          <w:sz w:val="22"/>
          <w:szCs w:val="22"/>
          <w:lang w:val="sr-Latn-ME"/>
        </w:rPr>
        <w:t xml:space="preserve">DVT i </w:t>
      </w:r>
      <w:r w:rsidRPr="00042A6C">
        <w:rPr>
          <w:bCs/>
          <w:i/>
          <w:sz w:val="22"/>
          <w:szCs w:val="22"/>
          <w:lang w:val="sr-Latn-ME"/>
        </w:rPr>
        <w:t xml:space="preserve">Einstein </w:t>
      </w:r>
      <w:r w:rsidRPr="00042A6C">
        <w:rPr>
          <w:bCs/>
          <w:sz w:val="22"/>
          <w:szCs w:val="22"/>
          <w:lang w:val="sr-Latn-ME"/>
        </w:rPr>
        <w:t>PE studija. Ukupno zbirno trajanje terapije u svim studijama je bilo do 21 mjesec.</w:t>
      </w:r>
    </w:p>
    <w:p w:rsidR="0031666D" w:rsidRPr="00042A6C" w:rsidRDefault="0031666D" w:rsidP="0031666D">
      <w:pPr>
        <w:tabs>
          <w:tab w:val="left" w:pos="540"/>
          <w:tab w:val="left" w:pos="569"/>
        </w:tabs>
        <w:jc w:val="both"/>
        <w:rPr>
          <w:bCs/>
          <w:sz w:val="22"/>
          <w:szCs w:val="22"/>
          <w:lang w:val="sr-Latn-ME"/>
        </w:rPr>
      </w:pPr>
    </w:p>
    <w:p w:rsidR="0031666D" w:rsidRPr="00042A6C" w:rsidRDefault="0031666D" w:rsidP="0031666D">
      <w:pPr>
        <w:tabs>
          <w:tab w:val="left" w:pos="540"/>
          <w:tab w:val="left" w:pos="569"/>
        </w:tabs>
        <w:jc w:val="both"/>
        <w:rPr>
          <w:bCs/>
          <w:sz w:val="22"/>
          <w:szCs w:val="22"/>
          <w:lang w:val="sr-Latn-ME"/>
        </w:rPr>
      </w:pPr>
      <w:r w:rsidRPr="00042A6C">
        <w:rPr>
          <w:bCs/>
          <w:sz w:val="22"/>
          <w:szCs w:val="22"/>
          <w:lang w:val="sr-Latn-ME"/>
        </w:rPr>
        <w:t xml:space="preserve">U </w:t>
      </w:r>
      <w:r w:rsidRPr="00042A6C">
        <w:rPr>
          <w:bCs/>
          <w:i/>
          <w:sz w:val="22"/>
          <w:szCs w:val="22"/>
          <w:lang w:val="sr-Latn-ME"/>
        </w:rPr>
        <w:t xml:space="preserve">Einstein DVT </w:t>
      </w:r>
      <w:r w:rsidR="00CA57A4" w:rsidRPr="00042A6C">
        <w:rPr>
          <w:bCs/>
          <w:sz w:val="22"/>
          <w:szCs w:val="22"/>
          <w:lang w:val="sr-Latn-ME"/>
        </w:rPr>
        <w:t xml:space="preserve">studiju </w:t>
      </w:r>
      <w:r w:rsidRPr="00042A6C">
        <w:rPr>
          <w:bCs/>
          <w:sz w:val="22"/>
          <w:szCs w:val="22"/>
          <w:lang w:val="sr-Latn-ME"/>
        </w:rPr>
        <w:t>uključeno je 3449 pacijenata sa akutnom TDV koji su bili na terapiji TDV i prevenciji rekurentne TDV i PE (pacijenti sa simptomatskim PE su bili isključeni iz ovog ispitivanja). Dužina terapije bila je 3, 6 ili 12 mjeseci</w:t>
      </w:r>
      <w:r w:rsidR="00CA57A4" w:rsidRPr="00042A6C">
        <w:rPr>
          <w:bCs/>
          <w:sz w:val="22"/>
          <w:szCs w:val="22"/>
          <w:lang w:val="sr-Latn-ME"/>
        </w:rPr>
        <w:t>,</w:t>
      </w:r>
      <w:r w:rsidRPr="00042A6C">
        <w:rPr>
          <w:bCs/>
          <w:sz w:val="22"/>
          <w:szCs w:val="22"/>
          <w:lang w:val="sr-Latn-ME"/>
        </w:rPr>
        <w:t xml:space="preserve"> zavisno od kliničke procjene ispitivača.</w:t>
      </w:r>
    </w:p>
    <w:p w:rsidR="0031666D" w:rsidRPr="00042A6C" w:rsidRDefault="0031666D" w:rsidP="0031666D">
      <w:pPr>
        <w:tabs>
          <w:tab w:val="left" w:pos="540"/>
          <w:tab w:val="left" w:pos="569"/>
        </w:tabs>
        <w:jc w:val="both"/>
        <w:rPr>
          <w:bCs/>
          <w:sz w:val="22"/>
          <w:szCs w:val="22"/>
          <w:lang w:val="sr-Latn-ME"/>
        </w:rPr>
      </w:pPr>
      <w:r w:rsidRPr="00042A6C">
        <w:rPr>
          <w:bCs/>
          <w:sz w:val="22"/>
          <w:szCs w:val="22"/>
          <w:lang w:val="sr-Latn-ME"/>
        </w:rPr>
        <w:t>Tokom prve 3 nedelje terapije akutne TDV, primjenjivan je rivaroksaban u dozi od 15 mg dva puta dnevno, a potom 20 mg jednom dnevno.</w:t>
      </w:r>
    </w:p>
    <w:p w:rsidR="0031666D" w:rsidRPr="00042A6C" w:rsidRDefault="0031666D" w:rsidP="0031666D">
      <w:pPr>
        <w:tabs>
          <w:tab w:val="left" w:pos="540"/>
          <w:tab w:val="left" w:pos="569"/>
        </w:tabs>
        <w:jc w:val="both"/>
        <w:rPr>
          <w:bCs/>
          <w:sz w:val="22"/>
          <w:szCs w:val="22"/>
          <w:lang w:val="sr-Latn-ME"/>
        </w:rPr>
      </w:pPr>
    </w:p>
    <w:p w:rsidR="0031666D" w:rsidRPr="00042A6C" w:rsidRDefault="0031666D" w:rsidP="0031666D">
      <w:pPr>
        <w:tabs>
          <w:tab w:val="left" w:pos="540"/>
          <w:tab w:val="left" w:pos="569"/>
        </w:tabs>
        <w:jc w:val="both"/>
        <w:rPr>
          <w:bCs/>
          <w:sz w:val="22"/>
          <w:szCs w:val="22"/>
          <w:lang w:val="sr-Latn-ME"/>
        </w:rPr>
      </w:pPr>
      <w:r w:rsidRPr="00042A6C">
        <w:rPr>
          <w:bCs/>
          <w:sz w:val="22"/>
          <w:szCs w:val="22"/>
          <w:lang w:val="sr-Latn-ME"/>
        </w:rPr>
        <w:t xml:space="preserve">U </w:t>
      </w:r>
      <w:r w:rsidRPr="00042A6C">
        <w:rPr>
          <w:bCs/>
          <w:i/>
          <w:sz w:val="22"/>
          <w:szCs w:val="22"/>
          <w:lang w:val="sr-Latn-ME"/>
        </w:rPr>
        <w:t xml:space="preserve">Einstain PE </w:t>
      </w:r>
      <w:r w:rsidRPr="00042A6C">
        <w:rPr>
          <w:bCs/>
          <w:sz w:val="22"/>
          <w:szCs w:val="22"/>
          <w:lang w:val="sr-Latn-ME"/>
        </w:rPr>
        <w:t>studiju uključeno je 4832 pacijenta sa akutnom PE koji su bili na terapiji PE i prevenciji reukrentne TDV i PE. Dužina terapije bila je 3,6 ili 12 mjeseci</w:t>
      </w:r>
      <w:r w:rsidR="00C90257" w:rsidRPr="00042A6C">
        <w:rPr>
          <w:bCs/>
          <w:sz w:val="22"/>
          <w:szCs w:val="22"/>
          <w:lang w:val="sr-Latn-ME"/>
        </w:rPr>
        <w:t>,</w:t>
      </w:r>
      <w:r w:rsidRPr="00042A6C">
        <w:rPr>
          <w:bCs/>
          <w:sz w:val="22"/>
          <w:szCs w:val="22"/>
          <w:lang w:val="sr-Latn-ME"/>
        </w:rPr>
        <w:t xml:space="preserve"> zavisno od kliničke procjene ispitivača.</w:t>
      </w:r>
    </w:p>
    <w:p w:rsidR="0031666D" w:rsidRPr="00042A6C" w:rsidRDefault="0031666D" w:rsidP="0031666D">
      <w:pPr>
        <w:tabs>
          <w:tab w:val="left" w:pos="540"/>
          <w:tab w:val="left" w:pos="569"/>
        </w:tabs>
        <w:jc w:val="both"/>
        <w:rPr>
          <w:bCs/>
          <w:sz w:val="22"/>
          <w:szCs w:val="22"/>
          <w:lang w:val="sr-Latn-ME"/>
        </w:rPr>
      </w:pPr>
      <w:r w:rsidRPr="00042A6C">
        <w:rPr>
          <w:bCs/>
          <w:sz w:val="22"/>
          <w:szCs w:val="22"/>
          <w:lang w:val="sr-Latn-ME"/>
        </w:rPr>
        <w:t>Za inicijalnu terapiju akutne PE dat je rivaroksaban 15 mg dnevno tokom tri ned</w:t>
      </w:r>
      <w:r w:rsidR="00CA57A4" w:rsidRPr="00042A6C">
        <w:rPr>
          <w:bCs/>
          <w:sz w:val="22"/>
          <w:szCs w:val="22"/>
          <w:lang w:val="sr-Latn-ME"/>
        </w:rPr>
        <w:t>j</w:t>
      </w:r>
      <w:r w:rsidRPr="00042A6C">
        <w:rPr>
          <w:bCs/>
          <w:sz w:val="22"/>
          <w:szCs w:val="22"/>
          <w:lang w:val="sr-Latn-ME"/>
        </w:rPr>
        <w:t>elje, a potom 20 mg  rivaroksabana jednom dnevno.</w:t>
      </w:r>
    </w:p>
    <w:p w:rsidR="0031666D" w:rsidRPr="00042A6C" w:rsidRDefault="0031666D" w:rsidP="0031666D">
      <w:pPr>
        <w:tabs>
          <w:tab w:val="left" w:pos="540"/>
          <w:tab w:val="left" w:pos="569"/>
        </w:tabs>
        <w:rPr>
          <w:b/>
          <w:bCs/>
          <w:sz w:val="22"/>
          <w:szCs w:val="22"/>
          <w:lang w:val="sr-Latn-ME"/>
        </w:rPr>
      </w:pPr>
    </w:p>
    <w:p w:rsidR="0031666D" w:rsidRPr="00042A6C" w:rsidRDefault="0031666D" w:rsidP="00D655B4">
      <w:pPr>
        <w:tabs>
          <w:tab w:val="left" w:pos="540"/>
          <w:tab w:val="left" w:pos="569"/>
        </w:tabs>
        <w:jc w:val="both"/>
        <w:rPr>
          <w:bCs/>
          <w:sz w:val="22"/>
          <w:szCs w:val="22"/>
          <w:lang w:val="sr-Latn-ME"/>
        </w:rPr>
      </w:pPr>
      <w:r w:rsidRPr="00042A6C">
        <w:rPr>
          <w:bCs/>
          <w:sz w:val="22"/>
          <w:szCs w:val="22"/>
          <w:lang w:val="sr-Latn-ME"/>
        </w:rPr>
        <w:t xml:space="preserve">U obje studije, </w:t>
      </w:r>
      <w:r w:rsidRPr="00042A6C">
        <w:rPr>
          <w:bCs/>
          <w:i/>
          <w:sz w:val="22"/>
          <w:szCs w:val="22"/>
          <w:lang w:val="sr-Latn-ME"/>
        </w:rPr>
        <w:t xml:space="preserve">Einstein DVT </w:t>
      </w:r>
      <w:r w:rsidRPr="00042A6C">
        <w:rPr>
          <w:bCs/>
          <w:sz w:val="22"/>
          <w:szCs w:val="22"/>
          <w:lang w:val="sr-Latn-ME"/>
        </w:rPr>
        <w:t xml:space="preserve">i </w:t>
      </w:r>
      <w:r w:rsidRPr="00042A6C">
        <w:rPr>
          <w:bCs/>
          <w:i/>
          <w:sz w:val="22"/>
          <w:szCs w:val="22"/>
          <w:lang w:val="sr-Latn-ME"/>
        </w:rPr>
        <w:t>E</w:t>
      </w:r>
      <w:r w:rsidR="00C90257" w:rsidRPr="00042A6C">
        <w:rPr>
          <w:bCs/>
          <w:i/>
          <w:sz w:val="22"/>
          <w:szCs w:val="22"/>
          <w:lang w:val="sr-Latn-ME"/>
        </w:rPr>
        <w:t>i</w:t>
      </w:r>
      <w:r w:rsidRPr="00042A6C">
        <w:rPr>
          <w:bCs/>
          <w:i/>
          <w:sz w:val="22"/>
          <w:szCs w:val="22"/>
          <w:lang w:val="sr-Latn-ME"/>
        </w:rPr>
        <w:t xml:space="preserve">nstein </w:t>
      </w:r>
      <w:r w:rsidRPr="00042A6C">
        <w:rPr>
          <w:bCs/>
          <w:sz w:val="22"/>
          <w:szCs w:val="22"/>
          <w:lang w:val="sr-Latn-ME"/>
        </w:rPr>
        <w:t>PE</w:t>
      </w:r>
      <w:r w:rsidR="00CA57A4" w:rsidRPr="00042A6C">
        <w:rPr>
          <w:bCs/>
          <w:sz w:val="22"/>
          <w:szCs w:val="22"/>
          <w:lang w:val="sr-Latn-ME"/>
        </w:rPr>
        <w:t>,</w:t>
      </w:r>
      <w:r w:rsidRPr="00042A6C">
        <w:rPr>
          <w:bCs/>
          <w:sz w:val="22"/>
          <w:szCs w:val="22"/>
          <w:lang w:val="sr-Latn-ME"/>
        </w:rPr>
        <w:t xml:space="preserve"> u kontrolnoj grupi terapija se sastojala od enoksaparina primijenjenog najmanje 5 dana u kombinaciji sa antagonistom vitamina K</w:t>
      </w:r>
      <w:r w:rsidR="00C90257" w:rsidRPr="00042A6C">
        <w:rPr>
          <w:bCs/>
          <w:sz w:val="22"/>
          <w:szCs w:val="22"/>
          <w:lang w:val="sr-Latn-ME"/>
        </w:rPr>
        <w:t>,</w:t>
      </w:r>
      <w:r w:rsidRPr="00042A6C">
        <w:rPr>
          <w:bCs/>
          <w:sz w:val="22"/>
          <w:szCs w:val="22"/>
          <w:lang w:val="sr-Latn-ME"/>
        </w:rPr>
        <w:t xml:space="preserve"> dok nije postignuta vrijednost PT/INR unutar terapijskog opsega (</w:t>
      </w:r>
      <w:r w:rsidR="00C90257" w:rsidRPr="00042A6C">
        <w:rPr>
          <w:bCs/>
          <w:sz w:val="22"/>
          <w:szCs w:val="22"/>
          <w:lang w:val="sr-Latn-ME"/>
        </w:rPr>
        <w:t>≥</w:t>
      </w:r>
      <w:r w:rsidRPr="00042A6C">
        <w:rPr>
          <w:bCs/>
          <w:sz w:val="22"/>
          <w:szCs w:val="22"/>
          <w:lang w:val="sr-Latn-ME"/>
        </w:rPr>
        <w:t xml:space="preserve"> 2,0). Terapija je nastavljena antagonistom vitamina K prilagođene doze radi održavanja PT/INR vrijednosti unutar terapijskog opsega od 2,0 do 3,0.</w:t>
      </w:r>
    </w:p>
    <w:p w:rsidR="00C90257" w:rsidRPr="00042A6C" w:rsidRDefault="00C90257" w:rsidP="00D655B4">
      <w:pPr>
        <w:tabs>
          <w:tab w:val="left" w:pos="540"/>
          <w:tab w:val="left" w:pos="569"/>
        </w:tabs>
        <w:jc w:val="both"/>
        <w:rPr>
          <w:bCs/>
          <w:sz w:val="22"/>
          <w:szCs w:val="22"/>
          <w:lang w:val="sr-Latn-ME"/>
        </w:rPr>
      </w:pPr>
    </w:p>
    <w:p w:rsidR="0031666D" w:rsidRPr="00042A6C" w:rsidRDefault="0031666D" w:rsidP="00D655B4">
      <w:pPr>
        <w:tabs>
          <w:tab w:val="left" w:pos="540"/>
          <w:tab w:val="left" w:pos="569"/>
        </w:tabs>
        <w:jc w:val="both"/>
        <w:rPr>
          <w:bCs/>
          <w:sz w:val="22"/>
          <w:szCs w:val="22"/>
          <w:lang w:val="sr-Latn-ME"/>
        </w:rPr>
      </w:pPr>
      <w:r w:rsidRPr="00042A6C">
        <w:rPr>
          <w:bCs/>
          <w:sz w:val="22"/>
          <w:szCs w:val="22"/>
          <w:lang w:val="sr-Latn-ME"/>
        </w:rPr>
        <w:t xml:space="preserve">U </w:t>
      </w:r>
      <w:r w:rsidRPr="00042A6C">
        <w:rPr>
          <w:bCs/>
          <w:i/>
          <w:sz w:val="22"/>
          <w:szCs w:val="22"/>
          <w:lang w:val="sr-Latn-ME"/>
        </w:rPr>
        <w:t xml:space="preserve">Einstein Extension </w:t>
      </w:r>
      <w:r w:rsidR="00C90257" w:rsidRPr="00042A6C">
        <w:rPr>
          <w:bCs/>
          <w:sz w:val="22"/>
          <w:szCs w:val="22"/>
          <w:lang w:val="sr-Latn-ME"/>
        </w:rPr>
        <w:t xml:space="preserve">studiji je </w:t>
      </w:r>
      <w:r w:rsidRPr="00042A6C">
        <w:rPr>
          <w:bCs/>
          <w:sz w:val="22"/>
          <w:szCs w:val="22"/>
          <w:lang w:val="sr-Latn-ME"/>
        </w:rPr>
        <w:t xml:space="preserve">kod 1197 pacijenata sa TDV ili PE ispitivana </w:t>
      </w:r>
      <w:r w:rsidR="00C90257" w:rsidRPr="00042A6C">
        <w:rPr>
          <w:bCs/>
          <w:sz w:val="22"/>
          <w:szCs w:val="22"/>
          <w:lang w:val="sr-Latn-ME"/>
        </w:rPr>
        <w:t xml:space="preserve">prevencija </w:t>
      </w:r>
      <w:r w:rsidRPr="00042A6C">
        <w:rPr>
          <w:bCs/>
          <w:sz w:val="22"/>
          <w:szCs w:val="22"/>
          <w:lang w:val="sr-Latn-ME"/>
        </w:rPr>
        <w:t>rekurentne TDV i PE. Dužina terapije trajala je dodatnih 6 ili 12 mjeseci, u zavisnosti od kliničke procjene ispitivača, a kod pacijenata koji su već završili 6 do 12 mjeseci terapije zbog venske tromboembolije. Primjena rivaroksabana u dozi od 20 mg jednom dnevno je upoređivana sa placebom.</w:t>
      </w:r>
    </w:p>
    <w:p w:rsidR="00C90257" w:rsidRPr="00042A6C" w:rsidRDefault="00C90257" w:rsidP="00D655B4">
      <w:pPr>
        <w:tabs>
          <w:tab w:val="left" w:pos="540"/>
          <w:tab w:val="left" w:pos="569"/>
        </w:tabs>
        <w:jc w:val="both"/>
        <w:rPr>
          <w:bCs/>
          <w:sz w:val="22"/>
          <w:szCs w:val="22"/>
          <w:lang w:val="sr-Latn-ME"/>
        </w:rPr>
      </w:pPr>
    </w:p>
    <w:p w:rsidR="0031666D" w:rsidRPr="00042A6C" w:rsidRDefault="0031666D" w:rsidP="00D655B4">
      <w:pPr>
        <w:tabs>
          <w:tab w:val="left" w:pos="540"/>
          <w:tab w:val="left" w:pos="569"/>
        </w:tabs>
        <w:jc w:val="both"/>
        <w:rPr>
          <w:bCs/>
          <w:sz w:val="22"/>
          <w:szCs w:val="22"/>
          <w:lang w:val="sr-Latn-ME"/>
        </w:rPr>
      </w:pPr>
      <w:r w:rsidRPr="00042A6C">
        <w:rPr>
          <w:bCs/>
          <w:sz w:val="22"/>
          <w:szCs w:val="22"/>
          <w:lang w:val="sr-Latn-ME"/>
        </w:rPr>
        <w:t xml:space="preserve">U studijama </w:t>
      </w:r>
      <w:r w:rsidRPr="00042A6C">
        <w:rPr>
          <w:bCs/>
          <w:i/>
          <w:sz w:val="22"/>
          <w:szCs w:val="22"/>
          <w:lang w:val="sr-Latn-ME"/>
        </w:rPr>
        <w:t>Einstein DVT</w:t>
      </w:r>
      <w:r w:rsidRPr="00042A6C">
        <w:rPr>
          <w:bCs/>
          <w:sz w:val="22"/>
          <w:szCs w:val="22"/>
          <w:lang w:val="sr-Latn-ME"/>
        </w:rPr>
        <w:t xml:space="preserve">, PE i </w:t>
      </w:r>
      <w:r w:rsidRPr="00042A6C">
        <w:rPr>
          <w:bCs/>
          <w:i/>
          <w:sz w:val="22"/>
          <w:szCs w:val="22"/>
          <w:lang w:val="sr-Latn-ME"/>
        </w:rPr>
        <w:t xml:space="preserve">Extension </w:t>
      </w:r>
      <w:r w:rsidRPr="00042A6C">
        <w:rPr>
          <w:bCs/>
          <w:sz w:val="22"/>
          <w:szCs w:val="22"/>
          <w:lang w:val="sr-Latn-ME"/>
        </w:rPr>
        <w:t xml:space="preserve">korišćeni su isti unaprijed definisani primarni i sekundarni ishodi efikasnosti. Primarni ishod efikasnosti je </w:t>
      </w:r>
      <w:r w:rsidR="00FA68A1" w:rsidRPr="00042A6C">
        <w:rPr>
          <w:bCs/>
          <w:sz w:val="22"/>
          <w:szCs w:val="22"/>
          <w:lang w:val="sr-Latn-ME"/>
        </w:rPr>
        <w:t xml:space="preserve">bio </w:t>
      </w:r>
      <w:r w:rsidRPr="00042A6C">
        <w:rPr>
          <w:bCs/>
          <w:sz w:val="22"/>
          <w:szCs w:val="22"/>
          <w:lang w:val="sr-Latn-ME"/>
        </w:rPr>
        <w:t>simptomatska rekurentna VTE definisana kao zbir rekurentnih TDV ili PE sa smrtnim ishodom ili PE bez smrtnog ishoda. Sekundarni ishod efikasnosti je definisan kao zbir rekurentne TDV, PE bez smrtnog ishoda i smrtnih ishoda usljed svih uzroka.</w:t>
      </w:r>
    </w:p>
    <w:p w:rsidR="0031666D" w:rsidRPr="00042A6C" w:rsidRDefault="0031666D" w:rsidP="00D655B4">
      <w:pPr>
        <w:tabs>
          <w:tab w:val="left" w:pos="540"/>
          <w:tab w:val="left" w:pos="569"/>
        </w:tabs>
        <w:jc w:val="both"/>
        <w:rPr>
          <w:bCs/>
          <w:sz w:val="22"/>
          <w:szCs w:val="22"/>
          <w:lang w:val="sr-Latn-ME"/>
        </w:rPr>
      </w:pPr>
    </w:p>
    <w:p w:rsidR="0031666D" w:rsidRPr="00042A6C" w:rsidRDefault="0031666D" w:rsidP="00D655B4">
      <w:pPr>
        <w:tabs>
          <w:tab w:val="left" w:pos="540"/>
          <w:tab w:val="left" w:pos="569"/>
        </w:tabs>
        <w:jc w:val="both"/>
        <w:rPr>
          <w:bCs/>
          <w:sz w:val="22"/>
          <w:szCs w:val="22"/>
          <w:lang w:val="sr-Latn-ME"/>
        </w:rPr>
      </w:pPr>
      <w:r w:rsidRPr="00042A6C">
        <w:rPr>
          <w:bCs/>
          <w:sz w:val="22"/>
          <w:szCs w:val="22"/>
          <w:lang w:val="sr-Latn-ME"/>
        </w:rPr>
        <w:t xml:space="preserve">U </w:t>
      </w:r>
      <w:r w:rsidRPr="00042A6C">
        <w:rPr>
          <w:bCs/>
          <w:i/>
          <w:sz w:val="22"/>
          <w:szCs w:val="22"/>
          <w:lang w:val="sr-Latn-ME"/>
        </w:rPr>
        <w:t xml:space="preserve">Einstein Choice </w:t>
      </w:r>
      <w:r w:rsidRPr="00042A6C">
        <w:rPr>
          <w:bCs/>
          <w:sz w:val="22"/>
          <w:szCs w:val="22"/>
          <w:lang w:val="sr-Latn-ME"/>
        </w:rPr>
        <w:t>studiji, kod 3396 pacijenata sa potvrđenom simptomatskom TDV i/ili PE, koji su završili 6-12 mjeseci antikoagulantne terapije, ispitivana je prevencija PE sa smrtnim ishodom ili simptomatske rekurentne TDV ili PE bez smrtnog ishoda. Pacijenti sa indikacijom za kontinuiranu terapiju antikoagulansima u terapijskim dozama bili su isključeni iz studije. Terapija je trajala do 12 mjeseci, u zavisnosti od individualnog datuma randomizacije (medijana: 351 dan). Urađeno je poređenje rivaroksabana u dozi od 20 mg i rivaroksabana u dozi od 10 mg primijenjenih jednom dnevno, sa 100 mg acetilsalicilne kiseline primijenjene jednom dnevno.</w:t>
      </w:r>
    </w:p>
    <w:p w:rsidR="0031666D" w:rsidRPr="00042A6C" w:rsidRDefault="0031666D" w:rsidP="00D655B4">
      <w:pPr>
        <w:tabs>
          <w:tab w:val="left" w:pos="540"/>
          <w:tab w:val="left" w:pos="569"/>
        </w:tabs>
        <w:jc w:val="both"/>
        <w:rPr>
          <w:bCs/>
          <w:sz w:val="22"/>
          <w:szCs w:val="22"/>
          <w:lang w:val="sr-Latn-ME"/>
        </w:rPr>
      </w:pPr>
      <w:r w:rsidRPr="00042A6C">
        <w:rPr>
          <w:bCs/>
          <w:sz w:val="22"/>
          <w:szCs w:val="22"/>
          <w:lang w:val="sr-Latn-ME"/>
        </w:rPr>
        <w:t xml:space="preserve">Primarni ishod efikasnosti je </w:t>
      </w:r>
      <w:r w:rsidR="00FA68A1" w:rsidRPr="00042A6C">
        <w:rPr>
          <w:bCs/>
          <w:sz w:val="22"/>
          <w:szCs w:val="22"/>
          <w:lang w:val="sr-Latn-ME"/>
        </w:rPr>
        <w:t xml:space="preserve">bio </w:t>
      </w:r>
      <w:r w:rsidRPr="00042A6C">
        <w:rPr>
          <w:bCs/>
          <w:sz w:val="22"/>
          <w:szCs w:val="22"/>
          <w:lang w:val="sr-Latn-ME"/>
        </w:rPr>
        <w:t>simptomatska rekurentna VTE definisana kao zbir rekurentnih TDV ili PE sa smrtnim ishodom ili PE bez smrtnog ishoda.</w:t>
      </w:r>
    </w:p>
    <w:p w:rsidR="0031666D" w:rsidRPr="00042A6C" w:rsidRDefault="0031666D" w:rsidP="0031666D">
      <w:pPr>
        <w:tabs>
          <w:tab w:val="left" w:pos="540"/>
          <w:tab w:val="left" w:pos="569"/>
        </w:tabs>
        <w:rPr>
          <w:b/>
          <w:bCs/>
          <w:sz w:val="22"/>
          <w:szCs w:val="22"/>
          <w:lang w:val="sr-Latn-ME"/>
        </w:rPr>
      </w:pPr>
    </w:p>
    <w:p w:rsidR="0031666D" w:rsidRPr="00042A6C" w:rsidRDefault="0031666D" w:rsidP="00D655B4">
      <w:pPr>
        <w:tabs>
          <w:tab w:val="left" w:pos="540"/>
          <w:tab w:val="left" w:pos="569"/>
        </w:tabs>
        <w:jc w:val="both"/>
        <w:rPr>
          <w:bCs/>
          <w:sz w:val="22"/>
          <w:szCs w:val="22"/>
          <w:lang w:val="sr-Latn-ME"/>
        </w:rPr>
      </w:pPr>
      <w:r w:rsidRPr="00042A6C">
        <w:rPr>
          <w:bCs/>
          <w:sz w:val="22"/>
          <w:szCs w:val="22"/>
          <w:lang w:val="sr-Latn-ME"/>
        </w:rPr>
        <w:t xml:space="preserve">U </w:t>
      </w:r>
      <w:r w:rsidRPr="00042A6C">
        <w:rPr>
          <w:bCs/>
          <w:i/>
          <w:sz w:val="22"/>
          <w:szCs w:val="22"/>
          <w:lang w:val="sr-Latn-ME"/>
        </w:rPr>
        <w:t xml:space="preserve">Einstein DVT </w:t>
      </w:r>
      <w:r w:rsidRPr="00042A6C">
        <w:rPr>
          <w:bCs/>
          <w:sz w:val="22"/>
          <w:szCs w:val="22"/>
          <w:lang w:val="sr-Latn-ME"/>
        </w:rPr>
        <w:t xml:space="preserve">studiji (vidjeti </w:t>
      </w:r>
      <w:r w:rsidR="00FA68A1" w:rsidRPr="00042A6C">
        <w:rPr>
          <w:bCs/>
          <w:sz w:val="22"/>
          <w:szCs w:val="22"/>
          <w:lang w:val="sr-Latn-ME"/>
        </w:rPr>
        <w:t xml:space="preserve">Tabelu </w:t>
      </w:r>
      <w:r w:rsidRPr="00042A6C">
        <w:rPr>
          <w:bCs/>
          <w:sz w:val="22"/>
          <w:szCs w:val="22"/>
          <w:lang w:val="sr-Latn-ME"/>
        </w:rPr>
        <w:t xml:space="preserve">6), pokazano je da rivaroksaban nije inferioran u odnosu na enoksaparin/VKA za primarni ishod efikasnosti (p &lt; 0,0001 (test neinferiornosti); </w:t>
      </w:r>
      <w:r w:rsidR="00C90257" w:rsidRPr="00042A6C">
        <w:rPr>
          <w:bCs/>
          <w:sz w:val="22"/>
          <w:szCs w:val="22"/>
          <w:lang w:val="sr-Latn-ME"/>
        </w:rPr>
        <w:t>HR</w:t>
      </w:r>
      <w:r w:rsidRPr="00042A6C">
        <w:rPr>
          <w:bCs/>
          <w:sz w:val="22"/>
          <w:szCs w:val="22"/>
          <w:lang w:val="sr-Latn-ME"/>
        </w:rPr>
        <w:t>: 0,680 (0,443</w:t>
      </w:r>
      <w:r w:rsidR="00D655B4" w:rsidRPr="00042A6C">
        <w:rPr>
          <w:bCs/>
          <w:sz w:val="22"/>
          <w:szCs w:val="22"/>
          <w:lang w:val="sr-Latn-ME"/>
        </w:rPr>
        <w:t xml:space="preserve"> </w:t>
      </w:r>
      <w:r w:rsidRPr="00042A6C">
        <w:rPr>
          <w:bCs/>
          <w:sz w:val="22"/>
          <w:szCs w:val="22"/>
          <w:lang w:val="sr-Latn-ME"/>
        </w:rPr>
        <w:t xml:space="preserve">– 1,042), p=0,076 (test superiornosti)). Unaprijed specifikovana ukupna klinička korist (primarni ishod </w:t>
      </w:r>
      <w:r w:rsidRPr="00042A6C">
        <w:rPr>
          <w:bCs/>
          <w:sz w:val="22"/>
          <w:szCs w:val="22"/>
          <w:lang w:val="sr-Latn-ME"/>
        </w:rPr>
        <w:lastRenderedPageBreak/>
        <w:t xml:space="preserve">efikasnosti plus </w:t>
      </w:r>
      <w:r w:rsidR="00C90257" w:rsidRPr="00042A6C">
        <w:rPr>
          <w:bCs/>
          <w:sz w:val="22"/>
          <w:szCs w:val="22"/>
          <w:lang w:val="sr-Latn-ME"/>
        </w:rPr>
        <w:t xml:space="preserve">velika </w:t>
      </w:r>
      <w:r w:rsidRPr="00042A6C">
        <w:rPr>
          <w:bCs/>
          <w:sz w:val="22"/>
          <w:szCs w:val="22"/>
          <w:lang w:val="sr-Latn-ME"/>
        </w:rPr>
        <w:t xml:space="preserve">krvarenja) je prijavljena uz </w:t>
      </w:r>
      <w:r w:rsidR="00C90257" w:rsidRPr="00042A6C">
        <w:rPr>
          <w:bCs/>
          <w:sz w:val="22"/>
          <w:szCs w:val="22"/>
          <w:lang w:val="sr-Latn-ME"/>
        </w:rPr>
        <w:t>HR</w:t>
      </w:r>
      <w:r w:rsidRPr="00042A6C">
        <w:rPr>
          <w:bCs/>
          <w:i/>
          <w:sz w:val="22"/>
          <w:szCs w:val="22"/>
          <w:lang w:val="sr-Latn-ME"/>
        </w:rPr>
        <w:t xml:space="preserve"> </w:t>
      </w:r>
      <w:r w:rsidRPr="00042A6C">
        <w:rPr>
          <w:bCs/>
          <w:sz w:val="22"/>
          <w:szCs w:val="22"/>
          <w:lang w:val="sr-Latn-ME"/>
        </w:rPr>
        <w:t>0,67 (95% CI= 0,47 – 0,95), nominalna p vrijednost p=0,027) u korist rivaroksabana. INR vrijednosti su bile unutar terapijskog opsega sa prosjekom 60,3% vremena za prosječno trajanje terapije od 189 dana i 55,4%, 60,1%, i 62,8% vremena u grupama namjeravane dužine terapije od 3, 6 odnosno 12 mjeseci. U enoksaparin/VKA grupi, nije bilo jasnog odnosa između nivoa prosječnog centra</w:t>
      </w:r>
      <w:r w:rsidR="00FA68A1" w:rsidRPr="00042A6C">
        <w:rPr>
          <w:bCs/>
          <w:sz w:val="22"/>
          <w:szCs w:val="22"/>
          <w:lang w:val="sr-Latn-ME"/>
        </w:rPr>
        <w:t>lnog</w:t>
      </w:r>
      <w:r w:rsidRPr="00042A6C">
        <w:rPr>
          <w:bCs/>
          <w:sz w:val="22"/>
          <w:szCs w:val="22"/>
          <w:lang w:val="sr-Latn-ME"/>
        </w:rPr>
        <w:t xml:space="preserve"> </w:t>
      </w:r>
      <w:r w:rsidR="00FA68A1" w:rsidRPr="00042A6C">
        <w:rPr>
          <w:bCs/>
          <w:sz w:val="22"/>
          <w:szCs w:val="22"/>
          <w:lang w:val="sr-Latn-ME"/>
        </w:rPr>
        <w:t>vremena unutar terapijskog raspona</w:t>
      </w:r>
      <w:r w:rsidRPr="00042A6C">
        <w:rPr>
          <w:bCs/>
          <w:sz w:val="22"/>
          <w:szCs w:val="22"/>
          <w:lang w:val="sr-Latn-ME"/>
        </w:rPr>
        <w:t xml:space="preserve"> (</w:t>
      </w:r>
      <w:r w:rsidR="00C90257" w:rsidRPr="00042A6C">
        <w:rPr>
          <w:bCs/>
          <w:sz w:val="22"/>
          <w:szCs w:val="22"/>
          <w:lang w:val="sr-Latn-ME"/>
        </w:rPr>
        <w:t xml:space="preserve">engl. </w:t>
      </w:r>
      <w:r w:rsidRPr="00042A6C">
        <w:rPr>
          <w:bCs/>
          <w:i/>
          <w:sz w:val="22"/>
          <w:szCs w:val="22"/>
          <w:lang w:val="sr-Latn-ME"/>
        </w:rPr>
        <w:t xml:space="preserve">Time in Target INR Range </w:t>
      </w:r>
      <w:r w:rsidRPr="00042A6C">
        <w:rPr>
          <w:bCs/>
          <w:sz w:val="22"/>
          <w:szCs w:val="22"/>
          <w:lang w:val="sr-Latn-ME"/>
        </w:rPr>
        <w:t xml:space="preserve">2,0 – 3,0) u tercilima podjednake veličine i sa učestalošću rekurentne VTE (P=0,932 za interakciju). Unutar najvišeg tercila prema centru, </w:t>
      </w:r>
      <w:r w:rsidR="00C90257" w:rsidRPr="00042A6C">
        <w:rPr>
          <w:bCs/>
          <w:sz w:val="22"/>
          <w:szCs w:val="22"/>
          <w:lang w:val="sr-Latn-ME"/>
        </w:rPr>
        <w:t>HR</w:t>
      </w:r>
      <w:r w:rsidRPr="00042A6C">
        <w:rPr>
          <w:bCs/>
          <w:i/>
          <w:sz w:val="22"/>
          <w:szCs w:val="22"/>
          <w:lang w:val="sr-Latn-ME"/>
        </w:rPr>
        <w:t xml:space="preserve"> </w:t>
      </w:r>
      <w:r w:rsidRPr="00042A6C">
        <w:rPr>
          <w:bCs/>
          <w:sz w:val="22"/>
          <w:szCs w:val="22"/>
          <w:lang w:val="sr-Latn-ME"/>
        </w:rPr>
        <w:t>sa rivaroksabanom prema varfarinu je bio 0,69 (95% CI : 0,35 – 1,35).</w:t>
      </w:r>
    </w:p>
    <w:p w:rsidR="0031666D" w:rsidRPr="00042A6C" w:rsidRDefault="0031666D" w:rsidP="0031666D">
      <w:pPr>
        <w:tabs>
          <w:tab w:val="left" w:pos="540"/>
          <w:tab w:val="left" w:pos="569"/>
        </w:tabs>
        <w:rPr>
          <w:b/>
          <w:bCs/>
          <w:sz w:val="22"/>
          <w:szCs w:val="22"/>
          <w:lang w:val="sr-Latn-ME"/>
        </w:rPr>
      </w:pP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Stope učestalosti za primarni ishod bezbjednosti (</w:t>
      </w:r>
      <w:r w:rsidR="00C90257" w:rsidRPr="00042A6C">
        <w:rPr>
          <w:bCs/>
          <w:sz w:val="22"/>
          <w:szCs w:val="22"/>
          <w:lang w:val="sr-Latn-ME"/>
        </w:rPr>
        <w:t xml:space="preserve">velika </w:t>
      </w:r>
      <w:r w:rsidRPr="00042A6C">
        <w:rPr>
          <w:bCs/>
          <w:sz w:val="22"/>
          <w:szCs w:val="22"/>
          <w:lang w:val="sr-Latn-ME"/>
        </w:rPr>
        <w:t xml:space="preserve">ili klinički značajna </w:t>
      </w:r>
      <w:r w:rsidR="00C90257" w:rsidRPr="00042A6C">
        <w:rPr>
          <w:bCs/>
          <w:sz w:val="22"/>
          <w:szCs w:val="22"/>
          <w:lang w:val="sr-Latn-ME"/>
        </w:rPr>
        <w:t xml:space="preserve">manja </w:t>
      </w:r>
      <w:r w:rsidRPr="00042A6C">
        <w:rPr>
          <w:bCs/>
          <w:sz w:val="22"/>
          <w:szCs w:val="22"/>
          <w:lang w:val="sr-Latn-ME"/>
        </w:rPr>
        <w:t>krvarenja), kao i za sekundarni ishod bezbjednosti (</w:t>
      </w:r>
      <w:r w:rsidR="00C90257" w:rsidRPr="00042A6C">
        <w:rPr>
          <w:bCs/>
          <w:sz w:val="22"/>
          <w:szCs w:val="22"/>
          <w:lang w:val="sr-Latn-ME"/>
        </w:rPr>
        <w:t xml:space="preserve">velika </w:t>
      </w:r>
      <w:r w:rsidRPr="00042A6C">
        <w:rPr>
          <w:bCs/>
          <w:sz w:val="22"/>
          <w:szCs w:val="22"/>
          <w:lang w:val="sr-Latn-ME"/>
        </w:rPr>
        <w:t>krvarenja) su bile slične za ob</w:t>
      </w:r>
      <w:r w:rsidR="00C90257" w:rsidRPr="00042A6C">
        <w:rPr>
          <w:bCs/>
          <w:sz w:val="22"/>
          <w:szCs w:val="22"/>
          <w:lang w:val="sr-Latn-ME"/>
        </w:rPr>
        <w:t>j</w:t>
      </w:r>
      <w:r w:rsidRPr="00042A6C">
        <w:rPr>
          <w:bCs/>
          <w:sz w:val="22"/>
          <w:szCs w:val="22"/>
          <w:lang w:val="sr-Latn-ME"/>
        </w:rPr>
        <w:t>e terapijske grupe.</w:t>
      </w:r>
    </w:p>
    <w:p w:rsidR="00D655B4" w:rsidRPr="00042A6C" w:rsidRDefault="00D655B4" w:rsidP="00D655B4">
      <w:pPr>
        <w:tabs>
          <w:tab w:val="left" w:pos="540"/>
          <w:tab w:val="left" w:pos="569"/>
        </w:tabs>
        <w:jc w:val="both"/>
        <w:rPr>
          <w:bCs/>
          <w:sz w:val="22"/>
          <w:szCs w:val="22"/>
          <w:lang w:val="sr-Latn-ME"/>
        </w:rPr>
      </w:pPr>
    </w:p>
    <w:p w:rsidR="00D655B4" w:rsidRPr="00042A6C" w:rsidRDefault="00D655B4" w:rsidP="00D655B4">
      <w:pPr>
        <w:tabs>
          <w:tab w:val="left" w:pos="540"/>
          <w:tab w:val="left" w:pos="569"/>
        </w:tabs>
        <w:rPr>
          <w:b/>
          <w:bCs/>
          <w:sz w:val="22"/>
          <w:szCs w:val="22"/>
          <w:lang w:val="sr-Latn-ME"/>
        </w:rPr>
      </w:pPr>
      <w:r w:rsidRPr="00042A6C">
        <w:rPr>
          <w:b/>
          <w:bCs/>
          <w:sz w:val="22"/>
          <w:szCs w:val="22"/>
          <w:lang w:val="sr-Latn-ME"/>
        </w:rPr>
        <w:t xml:space="preserve">Tabela 6: Rezultati efikasnosti i bezbjednosti iz </w:t>
      </w:r>
      <w:r w:rsidR="00C90257" w:rsidRPr="00042A6C">
        <w:rPr>
          <w:b/>
          <w:bCs/>
          <w:sz w:val="22"/>
          <w:szCs w:val="22"/>
          <w:lang w:val="sr-Latn-ME"/>
        </w:rPr>
        <w:t xml:space="preserve">ispitivanja faze III </w:t>
      </w:r>
      <w:r w:rsidRPr="00042A6C">
        <w:rPr>
          <w:b/>
          <w:bCs/>
          <w:i/>
          <w:sz w:val="22"/>
          <w:szCs w:val="22"/>
          <w:lang w:val="sr-Latn-ME"/>
        </w:rPr>
        <w:t xml:space="preserve">Einstein </w:t>
      </w:r>
      <w:r w:rsidRPr="00042A6C">
        <w:rPr>
          <w:b/>
          <w:bCs/>
          <w:sz w:val="22"/>
          <w:szCs w:val="22"/>
          <w:lang w:val="sr-Latn-ME"/>
        </w:rPr>
        <w:t xml:space="preserve">DVT </w:t>
      </w:r>
    </w:p>
    <w:tbl>
      <w:tblPr>
        <w:tblStyle w:val="TableGrid"/>
        <w:tblW w:w="0" w:type="auto"/>
        <w:tblLook w:val="04A0" w:firstRow="1" w:lastRow="0" w:firstColumn="1" w:lastColumn="0" w:noHBand="0" w:noVBand="1"/>
      </w:tblPr>
      <w:tblGrid>
        <w:gridCol w:w="2707"/>
        <w:gridCol w:w="3301"/>
        <w:gridCol w:w="3055"/>
      </w:tblGrid>
      <w:tr w:rsidR="00D655B4" w:rsidRPr="00042A6C" w:rsidTr="00B427F3">
        <w:tc>
          <w:tcPr>
            <w:tcW w:w="2707" w:type="dxa"/>
          </w:tcPr>
          <w:p w:rsidR="00D655B4" w:rsidRPr="004C49DB" w:rsidRDefault="00D655B4" w:rsidP="00B427F3">
            <w:pPr>
              <w:widowControl w:val="0"/>
              <w:autoSpaceDE w:val="0"/>
              <w:autoSpaceDN w:val="0"/>
              <w:spacing w:before="106"/>
              <w:ind w:left="9"/>
              <w:rPr>
                <w:b/>
                <w:sz w:val="22"/>
                <w:szCs w:val="22"/>
                <w:lang w:val="sr-Latn-ME"/>
              </w:rPr>
            </w:pPr>
            <w:r w:rsidRPr="004C49DB">
              <w:rPr>
                <w:b/>
                <w:sz w:val="22"/>
                <w:szCs w:val="22"/>
                <w:lang w:val="sr-Latn-ME"/>
              </w:rPr>
              <w:t>Populacija uključena u studiju</w:t>
            </w:r>
          </w:p>
        </w:tc>
        <w:tc>
          <w:tcPr>
            <w:tcW w:w="6356" w:type="dxa"/>
            <w:gridSpan w:val="2"/>
          </w:tcPr>
          <w:p w:rsidR="00D655B4" w:rsidRPr="004C49DB" w:rsidRDefault="00D655B4" w:rsidP="00B427F3">
            <w:pPr>
              <w:widowControl w:val="0"/>
              <w:autoSpaceDE w:val="0"/>
              <w:autoSpaceDN w:val="0"/>
              <w:spacing w:line="232" w:lineRule="auto"/>
              <w:ind w:left="9"/>
              <w:rPr>
                <w:b/>
                <w:sz w:val="22"/>
                <w:szCs w:val="22"/>
                <w:lang w:val="sr-Latn-ME"/>
              </w:rPr>
            </w:pPr>
            <w:r w:rsidRPr="004C49DB">
              <w:rPr>
                <w:b/>
                <w:sz w:val="22"/>
                <w:szCs w:val="22"/>
                <w:lang w:val="sr-Latn-ME"/>
              </w:rPr>
              <w:t>3449 pacijenata sa simptomatskom akutnom trombozom dubokih vena</w:t>
            </w:r>
          </w:p>
        </w:tc>
      </w:tr>
      <w:tr w:rsidR="00D655B4" w:rsidRPr="00042A6C" w:rsidTr="00B427F3">
        <w:tc>
          <w:tcPr>
            <w:tcW w:w="2707" w:type="dxa"/>
            <w:vAlign w:val="center"/>
          </w:tcPr>
          <w:p w:rsidR="00D655B4" w:rsidRPr="00042A6C" w:rsidRDefault="00D655B4" w:rsidP="00B427F3">
            <w:pPr>
              <w:widowControl w:val="0"/>
              <w:autoSpaceDE w:val="0"/>
              <w:autoSpaceDN w:val="0"/>
              <w:spacing w:before="10"/>
              <w:rPr>
                <w:b/>
                <w:i/>
                <w:sz w:val="20"/>
                <w:szCs w:val="22"/>
                <w:lang w:val="sr-Latn-ME"/>
              </w:rPr>
            </w:pPr>
          </w:p>
          <w:p w:rsidR="00D655B4" w:rsidRPr="004C49DB" w:rsidRDefault="00D655B4" w:rsidP="00B427F3">
            <w:pPr>
              <w:widowControl w:val="0"/>
              <w:autoSpaceDE w:val="0"/>
              <w:autoSpaceDN w:val="0"/>
              <w:spacing w:before="1"/>
              <w:ind w:left="9"/>
              <w:rPr>
                <w:b/>
                <w:sz w:val="22"/>
                <w:szCs w:val="22"/>
                <w:lang w:val="sr-Latn-ME"/>
              </w:rPr>
            </w:pPr>
            <w:r w:rsidRPr="004C49DB">
              <w:rPr>
                <w:b/>
                <w:sz w:val="22"/>
                <w:szCs w:val="22"/>
                <w:lang w:val="sr-Latn-ME"/>
              </w:rPr>
              <w:t>Terapijska doza i trajanje liječenja</w:t>
            </w:r>
          </w:p>
        </w:tc>
        <w:tc>
          <w:tcPr>
            <w:tcW w:w="3301" w:type="dxa"/>
            <w:vAlign w:val="center"/>
          </w:tcPr>
          <w:p w:rsidR="00D655B4" w:rsidRPr="004C49DB" w:rsidRDefault="00D655B4" w:rsidP="00B427F3">
            <w:pPr>
              <w:widowControl w:val="0"/>
              <w:autoSpaceDE w:val="0"/>
              <w:autoSpaceDN w:val="0"/>
              <w:spacing w:line="237" w:lineRule="auto"/>
              <w:ind w:left="9"/>
              <w:jc w:val="center"/>
              <w:rPr>
                <w:b/>
                <w:sz w:val="22"/>
                <w:szCs w:val="22"/>
                <w:lang w:val="sr-Latn-ME"/>
              </w:rPr>
            </w:pPr>
            <w:r w:rsidRPr="004C49DB">
              <w:rPr>
                <w:b/>
                <w:sz w:val="22"/>
                <w:szCs w:val="22"/>
                <w:lang w:val="sr-Latn-ME"/>
              </w:rPr>
              <w:t>Rivaroksaban</w:t>
            </w:r>
            <w:r w:rsidRPr="004C49DB">
              <w:rPr>
                <w:b/>
                <w:sz w:val="22"/>
                <w:szCs w:val="22"/>
                <w:vertAlign w:val="superscript"/>
                <w:lang w:val="sr-Latn-ME"/>
              </w:rPr>
              <w:t>a)</w:t>
            </w:r>
            <w:r w:rsidRPr="004C49DB">
              <w:rPr>
                <w:b/>
                <w:sz w:val="22"/>
                <w:szCs w:val="22"/>
                <w:lang w:val="sr-Latn-ME"/>
              </w:rPr>
              <w:t xml:space="preserve"> 3, 6 ili 12 mjeseci N=1731</w:t>
            </w:r>
          </w:p>
        </w:tc>
        <w:tc>
          <w:tcPr>
            <w:tcW w:w="3055" w:type="dxa"/>
            <w:vAlign w:val="center"/>
          </w:tcPr>
          <w:p w:rsidR="00D655B4" w:rsidRPr="004C49DB" w:rsidRDefault="00D655B4" w:rsidP="00B427F3">
            <w:pPr>
              <w:widowControl w:val="0"/>
              <w:autoSpaceDE w:val="0"/>
              <w:autoSpaceDN w:val="0"/>
              <w:spacing w:line="244" w:lineRule="auto"/>
              <w:ind w:left="3"/>
              <w:jc w:val="center"/>
              <w:rPr>
                <w:b/>
                <w:sz w:val="22"/>
                <w:szCs w:val="22"/>
                <w:lang w:val="sr-Latn-ME"/>
              </w:rPr>
            </w:pPr>
            <w:r w:rsidRPr="004C49DB">
              <w:rPr>
                <w:b/>
                <w:sz w:val="22"/>
                <w:szCs w:val="22"/>
                <w:lang w:val="sr-Latn-ME"/>
              </w:rPr>
              <w:t>Enoksaparin/VKA</w:t>
            </w:r>
            <w:r w:rsidRPr="004C49DB">
              <w:rPr>
                <w:b/>
                <w:sz w:val="22"/>
                <w:szCs w:val="22"/>
                <w:vertAlign w:val="superscript"/>
                <w:lang w:val="sr-Latn-ME"/>
              </w:rPr>
              <w:t>b)</w:t>
            </w:r>
            <w:r w:rsidR="00E814F9" w:rsidRPr="00042A6C">
              <w:rPr>
                <w:b/>
                <w:sz w:val="22"/>
                <w:szCs w:val="22"/>
                <w:vertAlign w:val="superscript"/>
                <w:lang w:val="sr-Latn-ME"/>
              </w:rPr>
              <w:t xml:space="preserve"> </w:t>
            </w:r>
            <w:r w:rsidRPr="004C49DB">
              <w:rPr>
                <w:b/>
                <w:sz w:val="22"/>
                <w:szCs w:val="22"/>
                <w:lang w:val="sr-Latn-ME"/>
              </w:rPr>
              <w:t>3, 6 ili 12 mjeseci</w:t>
            </w:r>
          </w:p>
          <w:p w:rsidR="00D655B4" w:rsidRPr="004C49DB" w:rsidRDefault="00D655B4" w:rsidP="00B427F3">
            <w:pPr>
              <w:widowControl w:val="0"/>
              <w:autoSpaceDE w:val="0"/>
              <w:autoSpaceDN w:val="0"/>
              <w:spacing w:line="226" w:lineRule="exact"/>
              <w:ind w:left="3"/>
              <w:jc w:val="center"/>
              <w:rPr>
                <w:b/>
                <w:sz w:val="22"/>
                <w:szCs w:val="22"/>
                <w:lang w:val="sr-Latn-ME"/>
              </w:rPr>
            </w:pPr>
            <w:r w:rsidRPr="004C49DB">
              <w:rPr>
                <w:b/>
                <w:sz w:val="22"/>
                <w:szCs w:val="22"/>
                <w:lang w:val="sr-Latn-ME"/>
              </w:rPr>
              <w:t>N=1718</w:t>
            </w:r>
          </w:p>
        </w:tc>
      </w:tr>
      <w:tr w:rsidR="00D655B4" w:rsidRPr="00042A6C" w:rsidTr="00B427F3">
        <w:tc>
          <w:tcPr>
            <w:tcW w:w="2707" w:type="dxa"/>
            <w:vAlign w:val="center"/>
          </w:tcPr>
          <w:p w:rsidR="00D655B4" w:rsidRPr="00042A6C" w:rsidRDefault="00D655B4" w:rsidP="00B427F3">
            <w:pPr>
              <w:widowControl w:val="0"/>
              <w:autoSpaceDE w:val="0"/>
              <w:autoSpaceDN w:val="0"/>
              <w:spacing w:before="111"/>
              <w:ind w:left="9"/>
              <w:rPr>
                <w:sz w:val="22"/>
                <w:szCs w:val="22"/>
                <w:lang w:val="sr-Latn-ME"/>
              </w:rPr>
            </w:pPr>
            <w:r w:rsidRPr="00042A6C">
              <w:rPr>
                <w:sz w:val="22"/>
                <w:szCs w:val="22"/>
                <w:lang w:val="sr-Latn-ME"/>
              </w:rPr>
              <w:t>Simptomatska rekurentna VTE*</w:t>
            </w:r>
          </w:p>
        </w:tc>
        <w:tc>
          <w:tcPr>
            <w:tcW w:w="3301" w:type="dxa"/>
            <w:vAlign w:val="center"/>
          </w:tcPr>
          <w:p w:rsidR="00D655B4" w:rsidRPr="00042A6C" w:rsidRDefault="00D655B4" w:rsidP="00B427F3">
            <w:pPr>
              <w:widowControl w:val="0"/>
              <w:autoSpaceDE w:val="0"/>
              <w:autoSpaceDN w:val="0"/>
              <w:spacing w:line="235" w:lineRule="exact"/>
              <w:ind w:left="1246" w:right="1233"/>
              <w:jc w:val="center"/>
              <w:rPr>
                <w:sz w:val="22"/>
                <w:szCs w:val="22"/>
                <w:lang w:val="sr-Latn-ME"/>
              </w:rPr>
            </w:pPr>
            <w:r w:rsidRPr="00042A6C">
              <w:rPr>
                <w:sz w:val="22"/>
                <w:szCs w:val="22"/>
                <w:lang w:val="sr-Latn-ME"/>
              </w:rPr>
              <w:t>36</w:t>
            </w:r>
          </w:p>
          <w:p w:rsidR="00D655B4" w:rsidRPr="00042A6C" w:rsidRDefault="00D655B4" w:rsidP="00B427F3">
            <w:pPr>
              <w:widowControl w:val="0"/>
              <w:autoSpaceDE w:val="0"/>
              <w:autoSpaceDN w:val="0"/>
              <w:spacing w:line="249" w:lineRule="exact"/>
              <w:ind w:left="1247" w:right="1233"/>
              <w:jc w:val="center"/>
              <w:rPr>
                <w:sz w:val="22"/>
                <w:szCs w:val="22"/>
                <w:lang w:val="sr-Latn-ME"/>
              </w:rPr>
            </w:pPr>
            <w:r w:rsidRPr="00042A6C">
              <w:rPr>
                <w:sz w:val="22"/>
                <w:szCs w:val="22"/>
                <w:lang w:val="sr-Latn-ME"/>
              </w:rPr>
              <w:t>(2,1%)</w:t>
            </w:r>
          </w:p>
        </w:tc>
        <w:tc>
          <w:tcPr>
            <w:tcW w:w="3055" w:type="dxa"/>
            <w:vAlign w:val="center"/>
          </w:tcPr>
          <w:p w:rsidR="00D655B4" w:rsidRPr="00042A6C" w:rsidRDefault="00D655B4" w:rsidP="00B427F3">
            <w:pPr>
              <w:widowControl w:val="0"/>
              <w:autoSpaceDE w:val="0"/>
              <w:autoSpaceDN w:val="0"/>
              <w:spacing w:line="235" w:lineRule="exact"/>
              <w:ind w:left="1120" w:right="1113"/>
              <w:jc w:val="center"/>
              <w:rPr>
                <w:sz w:val="22"/>
                <w:szCs w:val="22"/>
                <w:lang w:val="sr-Latn-ME"/>
              </w:rPr>
            </w:pPr>
            <w:r w:rsidRPr="00042A6C">
              <w:rPr>
                <w:sz w:val="22"/>
                <w:szCs w:val="22"/>
                <w:lang w:val="sr-Latn-ME"/>
              </w:rPr>
              <w:t>51</w:t>
            </w:r>
          </w:p>
          <w:p w:rsidR="00D655B4" w:rsidRPr="00042A6C" w:rsidRDefault="00D655B4" w:rsidP="00B427F3">
            <w:pPr>
              <w:widowControl w:val="0"/>
              <w:autoSpaceDE w:val="0"/>
              <w:autoSpaceDN w:val="0"/>
              <w:spacing w:line="249" w:lineRule="exact"/>
              <w:ind w:left="1121" w:right="1113"/>
              <w:jc w:val="center"/>
              <w:rPr>
                <w:sz w:val="22"/>
                <w:szCs w:val="22"/>
                <w:lang w:val="sr-Latn-ME"/>
              </w:rPr>
            </w:pPr>
            <w:r w:rsidRPr="00042A6C">
              <w:rPr>
                <w:sz w:val="22"/>
                <w:szCs w:val="22"/>
                <w:lang w:val="sr-Latn-ME"/>
              </w:rPr>
              <w:t>(3,0%)</w:t>
            </w:r>
          </w:p>
        </w:tc>
      </w:tr>
      <w:tr w:rsidR="00D655B4" w:rsidRPr="00042A6C" w:rsidTr="00B427F3">
        <w:tc>
          <w:tcPr>
            <w:tcW w:w="2707" w:type="dxa"/>
            <w:vAlign w:val="center"/>
          </w:tcPr>
          <w:p w:rsidR="00D655B4" w:rsidRPr="00042A6C" w:rsidRDefault="00D655B4" w:rsidP="00B427F3">
            <w:pPr>
              <w:widowControl w:val="0"/>
              <w:autoSpaceDE w:val="0"/>
              <w:autoSpaceDN w:val="0"/>
              <w:spacing w:before="106"/>
              <w:ind w:right="-29"/>
              <w:rPr>
                <w:sz w:val="22"/>
                <w:szCs w:val="22"/>
                <w:lang w:val="sr-Latn-ME"/>
              </w:rPr>
            </w:pPr>
            <w:r w:rsidRPr="00042A6C">
              <w:rPr>
                <w:sz w:val="22"/>
                <w:szCs w:val="22"/>
                <w:lang w:val="sr-Latn-ME"/>
              </w:rPr>
              <w:t>Simptomatska rekurentna PE</w:t>
            </w:r>
          </w:p>
        </w:tc>
        <w:tc>
          <w:tcPr>
            <w:tcW w:w="3301" w:type="dxa"/>
            <w:vAlign w:val="center"/>
          </w:tcPr>
          <w:p w:rsidR="00D655B4" w:rsidRPr="00042A6C" w:rsidRDefault="00D655B4" w:rsidP="00B427F3">
            <w:pPr>
              <w:widowControl w:val="0"/>
              <w:autoSpaceDE w:val="0"/>
              <w:autoSpaceDN w:val="0"/>
              <w:spacing w:line="233" w:lineRule="exact"/>
              <w:ind w:left="1246" w:right="1233"/>
              <w:jc w:val="center"/>
              <w:rPr>
                <w:sz w:val="22"/>
                <w:szCs w:val="22"/>
                <w:lang w:val="sr-Latn-ME"/>
              </w:rPr>
            </w:pPr>
            <w:r w:rsidRPr="00042A6C">
              <w:rPr>
                <w:sz w:val="22"/>
                <w:szCs w:val="22"/>
                <w:lang w:val="sr-Latn-ME"/>
              </w:rPr>
              <w:t>20</w:t>
            </w:r>
          </w:p>
          <w:p w:rsidR="00D655B4" w:rsidRPr="00042A6C" w:rsidRDefault="00D655B4" w:rsidP="00B427F3">
            <w:pPr>
              <w:widowControl w:val="0"/>
              <w:autoSpaceDE w:val="0"/>
              <w:autoSpaceDN w:val="0"/>
              <w:spacing w:line="246" w:lineRule="exact"/>
              <w:ind w:left="1247" w:right="1233"/>
              <w:jc w:val="center"/>
              <w:rPr>
                <w:sz w:val="22"/>
                <w:szCs w:val="22"/>
                <w:lang w:val="sr-Latn-ME"/>
              </w:rPr>
            </w:pPr>
            <w:r w:rsidRPr="00042A6C">
              <w:rPr>
                <w:sz w:val="22"/>
                <w:szCs w:val="22"/>
                <w:lang w:val="sr-Latn-ME"/>
              </w:rPr>
              <w:t>(1,2%)</w:t>
            </w:r>
          </w:p>
        </w:tc>
        <w:tc>
          <w:tcPr>
            <w:tcW w:w="3055" w:type="dxa"/>
            <w:vAlign w:val="center"/>
          </w:tcPr>
          <w:p w:rsidR="00D655B4" w:rsidRPr="00042A6C" w:rsidRDefault="00D655B4" w:rsidP="00B427F3">
            <w:pPr>
              <w:widowControl w:val="0"/>
              <w:autoSpaceDE w:val="0"/>
              <w:autoSpaceDN w:val="0"/>
              <w:spacing w:line="233" w:lineRule="exact"/>
              <w:ind w:left="1120" w:right="1113"/>
              <w:jc w:val="center"/>
              <w:rPr>
                <w:sz w:val="22"/>
                <w:szCs w:val="22"/>
                <w:lang w:val="sr-Latn-ME"/>
              </w:rPr>
            </w:pPr>
            <w:r w:rsidRPr="00042A6C">
              <w:rPr>
                <w:sz w:val="22"/>
                <w:szCs w:val="22"/>
                <w:lang w:val="sr-Latn-ME"/>
              </w:rPr>
              <w:t>18</w:t>
            </w:r>
          </w:p>
          <w:p w:rsidR="00D655B4" w:rsidRPr="00042A6C" w:rsidRDefault="00D655B4" w:rsidP="00B427F3">
            <w:pPr>
              <w:widowControl w:val="0"/>
              <w:autoSpaceDE w:val="0"/>
              <w:autoSpaceDN w:val="0"/>
              <w:spacing w:line="246" w:lineRule="exact"/>
              <w:ind w:left="1121" w:right="1113"/>
              <w:jc w:val="center"/>
              <w:rPr>
                <w:sz w:val="22"/>
                <w:szCs w:val="22"/>
                <w:lang w:val="sr-Latn-ME"/>
              </w:rPr>
            </w:pPr>
            <w:r w:rsidRPr="00042A6C">
              <w:rPr>
                <w:sz w:val="22"/>
                <w:szCs w:val="22"/>
                <w:lang w:val="sr-Latn-ME"/>
              </w:rPr>
              <w:t>(1,0%)</w:t>
            </w:r>
          </w:p>
        </w:tc>
      </w:tr>
      <w:tr w:rsidR="00D655B4" w:rsidRPr="00042A6C" w:rsidTr="00B427F3">
        <w:tc>
          <w:tcPr>
            <w:tcW w:w="2707" w:type="dxa"/>
            <w:vAlign w:val="center"/>
          </w:tcPr>
          <w:p w:rsidR="00D655B4" w:rsidRPr="00042A6C" w:rsidRDefault="00D655B4" w:rsidP="00B427F3">
            <w:pPr>
              <w:widowControl w:val="0"/>
              <w:autoSpaceDE w:val="0"/>
              <w:autoSpaceDN w:val="0"/>
              <w:spacing w:before="111"/>
              <w:ind w:right="-29"/>
              <w:rPr>
                <w:sz w:val="22"/>
                <w:szCs w:val="22"/>
                <w:lang w:val="sr-Latn-ME"/>
              </w:rPr>
            </w:pPr>
            <w:r w:rsidRPr="00042A6C">
              <w:rPr>
                <w:sz w:val="22"/>
                <w:szCs w:val="22"/>
                <w:lang w:val="sr-Latn-ME"/>
              </w:rPr>
              <w:t>Simptomatska rekurentna TDV</w:t>
            </w:r>
          </w:p>
        </w:tc>
        <w:tc>
          <w:tcPr>
            <w:tcW w:w="3301" w:type="dxa"/>
            <w:vAlign w:val="center"/>
          </w:tcPr>
          <w:p w:rsidR="00D655B4" w:rsidRPr="00042A6C" w:rsidRDefault="00D655B4" w:rsidP="00B427F3">
            <w:pPr>
              <w:widowControl w:val="0"/>
              <w:autoSpaceDE w:val="0"/>
              <w:autoSpaceDN w:val="0"/>
              <w:spacing w:line="235" w:lineRule="exact"/>
              <w:ind w:left="1246" w:right="1233"/>
              <w:jc w:val="center"/>
              <w:rPr>
                <w:sz w:val="22"/>
                <w:szCs w:val="22"/>
                <w:lang w:val="sr-Latn-ME"/>
              </w:rPr>
            </w:pPr>
            <w:r w:rsidRPr="00042A6C">
              <w:rPr>
                <w:sz w:val="22"/>
                <w:szCs w:val="22"/>
                <w:lang w:val="sr-Latn-ME"/>
              </w:rPr>
              <w:t>14</w:t>
            </w:r>
          </w:p>
          <w:p w:rsidR="00D655B4" w:rsidRPr="00042A6C" w:rsidRDefault="00D655B4" w:rsidP="00B427F3">
            <w:pPr>
              <w:widowControl w:val="0"/>
              <w:autoSpaceDE w:val="0"/>
              <w:autoSpaceDN w:val="0"/>
              <w:spacing w:line="249" w:lineRule="exact"/>
              <w:ind w:left="1247" w:right="1233"/>
              <w:jc w:val="center"/>
              <w:rPr>
                <w:sz w:val="22"/>
                <w:szCs w:val="22"/>
                <w:lang w:val="sr-Latn-ME"/>
              </w:rPr>
            </w:pPr>
            <w:r w:rsidRPr="00042A6C">
              <w:rPr>
                <w:sz w:val="22"/>
                <w:szCs w:val="22"/>
                <w:lang w:val="sr-Latn-ME"/>
              </w:rPr>
              <w:t>(0,8%)</w:t>
            </w:r>
          </w:p>
        </w:tc>
        <w:tc>
          <w:tcPr>
            <w:tcW w:w="3055" w:type="dxa"/>
            <w:vAlign w:val="center"/>
          </w:tcPr>
          <w:p w:rsidR="00D655B4" w:rsidRPr="00042A6C" w:rsidRDefault="00D655B4" w:rsidP="00B427F3">
            <w:pPr>
              <w:widowControl w:val="0"/>
              <w:autoSpaceDE w:val="0"/>
              <w:autoSpaceDN w:val="0"/>
              <w:spacing w:line="235" w:lineRule="exact"/>
              <w:ind w:left="1120" w:right="1113"/>
              <w:jc w:val="center"/>
              <w:rPr>
                <w:sz w:val="22"/>
                <w:szCs w:val="22"/>
                <w:lang w:val="sr-Latn-ME"/>
              </w:rPr>
            </w:pPr>
            <w:r w:rsidRPr="00042A6C">
              <w:rPr>
                <w:sz w:val="22"/>
                <w:szCs w:val="22"/>
                <w:lang w:val="sr-Latn-ME"/>
              </w:rPr>
              <w:t>28</w:t>
            </w:r>
          </w:p>
          <w:p w:rsidR="00D655B4" w:rsidRPr="00042A6C" w:rsidRDefault="00D655B4" w:rsidP="00B427F3">
            <w:pPr>
              <w:widowControl w:val="0"/>
              <w:autoSpaceDE w:val="0"/>
              <w:autoSpaceDN w:val="0"/>
              <w:spacing w:line="249" w:lineRule="exact"/>
              <w:ind w:left="1121" w:right="1113"/>
              <w:jc w:val="center"/>
              <w:rPr>
                <w:sz w:val="22"/>
                <w:szCs w:val="22"/>
                <w:lang w:val="sr-Latn-ME"/>
              </w:rPr>
            </w:pPr>
            <w:r w:rsidRPr="00042A6C">
              <w:rPr>
                <w:sz w:val="22"/>
                <w:szCs w:val="22"/>
                <w:lang w:val="sr-Latn-ME"/>
              </w:rPr>
              <w:t>(1,6%)</w:t>
            </w:r>
          </w:p>
        </w:tc>
      </w:tr>
      <w:tr w:rsidR="00D655B4" w:rsidRPr="00042A6C" w:rsidTr="00B427F3">
        <w:tc>
          <w:tcPr>
            <w:tcW w:w="2707" w:type="dxa"/>
            <w:vAlign w:val="center"/>
          </w:tcPr>
          <w:p w:rsidR="00D655B4" w:rsidRPr="00042A6C" w:rsidRDefault="00D655B4" w:rsidP="00B427F3">
            <w:pPr>
              <w:widowControl w:val="0"/>
              <w:autoSpaceDE w:val="0"/>
              <w:autoSpaceDN w:val="0"/>
              <w:spacing w:before="106"/>
              <w:ind w:right="-29"/>
              <w:rPr>
                <w:sz w:val="22"/>
                <w:szCs w:val="22"/>
                <w:lang w:val="sr-Latn-ME"/>
              </w:rPr>
            </w:pPr>
            <w:r w:rsidRPr="00042A6C">
              <w:rPr>
                <w:sz w:val="22"/>
                <w:szCs w:val="22"/>
                <w:lang w:val="sr-Latn-ME"/>
              </w:rPr>
              <w:t>Simptomatski PE i TDV</w:t>
            </w:r>
          </w:p>
        </w:tc>
        <w:tc>
          <w:tcPr>
            <w:tcW w:w="3301" w:type="dxa"/>
            <w:vAlign w:val="center"/>
          </w:tcPr>
          <w:p w:rsidR="00D655B4" w:rsidRPr="00042A6C" w:rsidRDefault="00D655B4" w:rsidP="00B427F3">
            <w:pPr>
              <w:widowControl w:val="0"/>
              <w:autoSpaceDE w:val="0"/>
              <w:autoSpaceDN w:val="0"/>
              <w:spacing w:line="233" w:lineRule="exact"/>
              <w:ind w:left="8"/>
              <w:jc w:val="center"/>
              <w:rPr>
                <w:sz w:val="22"/>
                <w:szCs w:val="22"/>
                <w:lang w:val="sr-Latn-ME"/>
              </w:rPr>
            </w:pPr>
            <w:r w:rsidRPr="00042A6C">
              <w:rPr>
                <w:sz w:val="22"/>
                <w:szCs w:val="22"/>
                <w:lang w:val="sr-Latn-ME"/>
              </w:rPr>
              <w:t>1</w:t>
            </w:r>
          </w:p>
          <w:p w:rsidR="00D655B4" w:rsidRPr="00042A6C" w:rsidRDefault="00D655B4" w:rsidP="00B427F3">
            <w:pPr>
              <w:widowControl w:val="0"/>
              <w:autoSpaceDE w:val="0"/>
              <w:autoSpaceDN w:val="0"/>
              <w:spacing w:line="246" w:lineRule="exact"/>
              <w:ind w:left="1247" w:right="1233"/>
              <w:jc w:val="center"/>
              <w:rPr>
                <w:sz w:val="22"/>
                <w:szCs w:val="22"/>
                <w:lang w:val="sr-Latn-ME"/>
              </w:rPr>
            </w:pPr>
            <w:r w:rsidRPr="00042A6C">
              <w:rPr>
                <w:sz w:val="22"/>
                <w:szCs w:val="22"/>
                <w:lang w:val="sr-Latn-ME"/>
              </w:rPr>
              <w:t>(0,1%)</w:t>
            </w:r>
          </w:p>
        </w:tc>
        <w:tc>
          <w:tcPr>
            <w:tcW w:w="3055" w:type="dxa"/>
            <w:vAlign w:val="center"/>
          </w:tcPr>
          <w:p w:rsidR="00D655B4" w:rsidRPr="00042A6C" w:rsidRDefault="00D655B4" w:rsidP="00B427F3">
            <w:pPr>
              <w:widowControl w:val="0"/>
              <w:autoSpaceDE w:val="0"/>
              <w:autoSpaceDN w:val="0"/>
              <w:spacing w:before="106"/>
              <w:ind w:left="2"/>
              <w:jc w:val="center"/>
              <w:rPr>
                <w:sz w:val="22"/>
                <w:szCs w:val="22"/>
                <w:lang w:val="sr-Latn-ME"/>
              </w:rPr>
            </w:pPr>
            <w:r w:rsidRPr="00042A6C">
              <w:rPr>
                <w:sz w:val="22"/>
                <w:szCs w:val="22"/>
                <w:lang w:val="sr-Latn-ME"/>
              </w:rPr>
              <w:t>0</w:t>
            </w:r>
          </w:p>
        </w:tc>
      </w:tr>
      <w:tr w:rsidR="00D655B4" w:rsidRPr="00042A6C" w:rsidTr="00B427F3">
        <w:tc>
          <w:tcPr>
            <w:tcW w:w="2707" w:type="dxa"/>
            <w:vAlign w:val="center"/>
          </w:tcPr>
          <w:p w:rsidR="00D655B4" w:rsidRPr="00042A6C" w:rsidRDefault="00D655B4" w:rsidP="00B427F3">
            <w:pPr>
              <w:widowControl w:val="0"/>
              <w:tabs>
                <w:tab w:val="left" w:pos="695"/>
              </w:tabs>
              <w:autoSpaceDE w:val="0"/>
              <w:autoSpaceDN w:val="0"/>
              <w:spacing w:line="232" w:lineRule="auto"/>
              <w:ind w:right="-29"/>
              <w:rPr>
                <w:sz w:val="22"/>
                <w:szCs w:val="22"/>
                <w:lang w:val="sr-Latn-ME"/>
              </w:rPr>
            </w:pPr>
            <w:r w:rsidRPr="00042A6C">
              <w:rPr>
                <w:sz w:val="22"/>
                <w:szCs w:val="22"/>
                <w:lang w:val="sr-Latn-ME"/>
              </w:rPr>
              <w:t xml:space="preserve">PE sa smrtnim ishodom/smrt pri kojoj </w:t>
            </w:r>
            <w:r w:rsidRPr="00042A6C">
              <w:rPr>
                <w:spacing w:val="2"/>
                <w:sz w:val="22"/>
                <w:szCs w:val="22"/>
                <w:lang w:val="sr-Latn-ME"/>
              </w:rPr>
              <w:t xml:space="preserve">se </w:t>
            </w:r>
            <w:r w:rsidRPr="00042A6C">
              <w:rPr>
                <w:sz w:val="22"/>
                <w:szCs w:val="22"/>
                <w:lang w:val="sr-Latn-ME"/>
              </w:rPr>
              <w:t>ne može isključiti</w:t>
            </w:r>
            <w:r w:rsidRPr="00042A6C">
              <w:rPr>
                <w:spacing w:val="-35"/>
                <w:sz w:val="22"/>
                <w:szCs w:val="22"/>
                <w:lang w:val="sr-Latn-ME"/>
              </w:rPr>
              <w:t xml:space="preserve"> </w:t>
            </w:r>
            <w:r w:rsidRPr="00042A6C">
              <w:rPr>
                <w:sz w:val="22"/>
                <w:szCs w:val="22"/>
                <w:lang w:val="sr-Latn-ME"/>
              </w:rPr>
              <w:t>PE</w:t>
            </w:r>
          </w:p>
        </w:tc>
        <w:tc>
          <w:tcPr>
            <w:tcW w:w="3301" w:type="dxa"/>
            <w:vAlign w:val="center"/>
          </w:tcPr>
          <w:p w:rsidR="00D655B4" w:rsidRPr="00042A6C" w:rsidRDefault="00D655B4" w:rsidP="00B427F3">
            <w:pPr>
              <w:widowControl w:val="0"/>
              <w:autoSpaceDE w:val="0"/>
              <w:autoSpaceDN w:val="0"/>
              <w:spacing w:line="235" w:lineRule="exact"/>
              <w:ind w:left="8"/>
              <w:jc w:val="center"/>
              <w:rPr>
                <w:sz w:val="22"/>
                <w:szCs w:val="22"/>
                <w:lang w:val="sr-Latn-ME"/>
              </w:rPr>
            </w:pPr>
            <w:r w:rsidRPr="00042A6C">
              <w:rPr>
                <w:sz w:val="22"/>
                <w:szCs w:val="22"/>
                <w:lang w:val="sr-Latn-ME"/>
              </w:rPr>
              <w:t>4</w:t>
            </w:r>
          </w:p>
          <w:p w:rsidR="00D655B4" w:rsidRPr="00042A6C" w:rsidRDefault="00D655B4" w:rsidP="00B427F3">
            <w:pPr>
              <w:widowControl w:val="0"/>
              <w:autoSpaceDE w:val="0"/>
              <w:autoSpaceDN w:val="0"/>
              <w:spacing w:line="249" w:lineRule="exact"/>
              <w:ind w:left="1247" w:right="1233"/>
              <w:jc w:val="center"/>
              <w:rPr>
                <w:sz w:val="22"/>
                <w:szCs w:val="22"/>
                <w:lang w:val="sr-Latn-ME"/>
              </w:rPr>
            </w:pPr>
            <w:r w:rsidRPr="00042A6C">
              <w:rPr>
                <w:sz w:val="22"/>
                <w:szCs w:val="22"/>
                <w:lang w:val="sr-Latn-ME"/>
              </w:rPr>
              <w:t>(0,2%)</w:t>
            </w:r>
          </w:p>
        </w:tc>
        <w:tc>
          <w:tcPr>
            <w:tcW w:w="3055" w:type="dxa"/>
            <w:vAlign w:val="center"/>
          </w:tcPr>
          <w:p w:rsidR="00D655B4" w:rsidRPr="00042A6C" w:rsidRDefault="00D655B4" w:rsidP="00B427F3">
            <w:pPr>
              <w:widowControl w:val="0"/>
              <w:autoSpaceDE w:val="0"/>
              <w:autoSpaceDN w:val="0"/>
              <w:spacing w:line="235" w:lineRule="exact"/>
              <w:ind w:left="2"/>
              <w:jc w:val="center"/>
              <w:rPr>
                <w:sz w:val="22"/>
                <w:szCs w:val="22"/>
                <w:lang w:val="sr-Latn-ME"/>
              </w:rPr>
            </w:pPr>
            <w:r w:rsidRPr="00042A6C">
              <w:rPr>
                <w:sz w:val="22"/>
                <w:szCs w:val="22"/>
                <w:lang w:val="sr-Latn-ME"/>
              </w:rPr>
              <w:t>6</w:t>
            </w:r>
          </w:p>
          <w:p w:rsidR="00D655B4" w:rsidRPr="00042A6C" w:rsidRDefault="00D655B4" w:rsidP="00B427F3">
            <w:pPr>
              <w:widowControl w:val="0"/>
              <w:autoSpaceDE w:val="0"/>
              <w:autoSpaceDN w:val="0"/>
              <w:spacing w:line="249" w:lineRule="exact"/>
              <w:ind w:left="1121" w:right="1113"/>
              <w:jc w:val="center"/>
              <w:rPr>
                <w:sz w:val="22"/>
                <w:szCs w:val="22"/>
                <w:lang w:val="sr-Latn-ME"/>
              </w:rPr>
            </w:pPr>
            <w:r w:rsidRPr="00042A6C">
              <w:rPr>
                <w:sz w:val="22"/>
                <w:szCs w:val="22"/>
                <w:lang w:val="sr-Latn-ME"/>
              </w:rPr>
              <w:t>(0,3%)</w:t>
            </w:r>
          </w:p>
        </w:tc>
      </w:tr>
      <w:tr w:rsidR="00D655B4" w:rsidRPr="00042A6C" w:rsidTr="00B427F3">
        <w:tc>
          <w:tcPr>
            <w:tcW w:w="2707" w:type="dxa"/>
            <w:vAlign w:val="center"/>
          </w:tcPr>
          <w:p w:rsidR="00D655B4" w:rsidRPr="00042A6C" w:rsidRDefault="001851FA" w:rsidP="001851FA">
            <w:pPr>
              <w:widowControl w:val="0"/>
              <w:tabs>
                <w:tab w:val="left" w:pos="1070"/>
                <w:tab w:val="left" w:pos="1468"/>
                <w:tab w:val="left" w:pos="2476"/>
              </w:tabs>
              <w:autoSpaceDE w:val="0"/>
              <w:autoSpaceDN w:val="0"/>
              <w:spacing w:before="5" w:line="223" w:lineRule="auto"/>
              <w:ind w:left="9" w:right="88"/>
              <w:rPr>
                <w:sz w:val="22"/>
                <w:szCs w:val="22"/>
                <w:lang w:val="sr-Latn-ME"/>
              </w:rPr>
            </w:pPr>
            <w:r w:rsidRPr="00042A6C">
              <w:rPr>
                <w:sz w:val="22"/>
                <w:szCs w:val="22"/>
                <w:lang w:val="sr-Latn-ME"/>
              </w:rPr>
              <w:t xml:space="preserve">Velika </w:t>
            </w:r>
            <w:r w:rsidR="00D655B4" w:rsidRPr="00042A6C">
              <w:rPr>
                <w:sz w:val="22"/>
                <w:szCs w:val="22"/>
                <w:lang w:val="sr-Latn-ME"/>
              </w:rPr>
              <w:t xml:space="preserve">ili klinički značajna </w:t>
            </w:r>
            <w:r w:rsidRPr="00042A6C">
              <w:rPr>
                <w:sz w:val="22"/>
                <w:szCs w:val="22"/>
                <w:lang w:val="sr-Latn-ME"/>
              </w:rPr>
              <w:t xml:space="preserve">manja </w:t>
            </w:r>
            <w:r w:rsidR="00D655B4" w:rsidRPr="00042A6C">
              <w:rPr>
                <w:sz w:val="22"/>
                <w:szCs w:val="22"/>
                <w:lang w:val="sr-Latn-ME"/>
              </w:rPr>
              <w:t>krvarenja</w:t>
            </w:r>
          </w:p>
        </w:tc>
        <w:tc>
          <w:tcPr>
            <w:tcW w:w="3301" w:type="dxa"/>
            <w:vAlign w:val="center"/>
          </w:tcPr>
          <w:p w:rsidR="00D655B4" w:rsidRPr="00042A6C" w:rsidRDefault="00D655B4" w:rsidP="00D655B4">
            <w:pPr>
              <w:pStyle w:val="TableParagraph"/>
              <w:spacing w:line="226" w:lineRule="exact"/>
              <w:ind w:left="1241" w:right="1233"/>
              <w:jc w:val="center"/>
              <w:rPr>
                <w:lang w:val="sr-Latn-ME"/>
              </w:rPr>
            </w:pPr>
            <w:r w:rsidRPr="00042A6C">
              <w:rPr>
                <w:lang w:val="sr-Latn-ME"/>
              </w:rPr>
              <w:t>139</w:t>
            </w:r>
          </w:p>
          <w:p w:rsidR="00D655B4" w:rsidRPr="00042A6C" w:rsidRDefault="00D655B4" w:rsidP="00D655B4">
            <w:pPr>
              <w:pStyle w:val="TableParagraph"/>
              <w:spacing w:line="246" w:lineRule="exact"/>
              <w:ind w:left="1247" w:right="1233"/>
              <w:jc w:val="center"/>
              <w:rPr>
                <w:lang w:val="sr-Latn-ME"/>
              </w:rPr>
            </w:pPr>
            <w:r w:rsidRPr="00042A6C">
              <w:rPr>
                <w:lang w:val="sr-Latn-ME"/>
              </w:rPr>
              <w:t>(8,1%)</w:t>
            </w:r>
          </w:p>
        </w:tc>
        <w:tc>
          <w:tcPr>
            <w:tcW w:w="3055" w:type="dxa"/>
            <w:vAlign w:val="center"/>
          </w:tcPr>
          <w:p w:rsidR="00D655B4" w:rsidRPr="00042A6C" w:rsidRDefault="00D655B4" w:rsidP="00D655B4">
            <w:pPr>
              <w:pStyle w:val="TableParagraph"/>
              <w:spacing w:line="226" w:lineRule="exact"/>
              <w:ind w:left="1115" w:right="1113"/>
              <w:jc w:val="center"/>
              <w:rPr>
                <w:lang w:val="sr-Latn-ME"/>
              </w:rPr>
            </w:pPr>
            <w:r w:rsidRPr="00042A6C">
              <w:rPr>
                <w:lang w:val="sr-Latn-ME"/>
              </w:rPr>
              <w:t>138</w:t>
            </w:r>
          </w:p>
          <w:p w:rsidR="00D655B4" w:rsidRPr="00042A6C" w:rsidRDefault="00D655B4" w:rsidP="00D655B4">
            <w:pPr>
              <w:pStyle w:val="TableParagraph"/>
              <w:spacing w:line="246" w:lineRule="exact"/>
              <w:ind w:left="1121" w:right="1113"/>
              <w:jc w:val="center"/>
              <w:rPr>
                <w:lang w:val="sr-Latn-ME"/>
              </w:rPr>
            </w:pPr>
            <w:r w:rsidRPr="00042A6C">
              <w:rPr>
                <w:lang w:val="sr-Latn-ME"/>
              </w:rPr>
              <w:t>(8,1%)</w:t>
            </w:r>
          </w:p>
        </w:tc>
      </w:tr>
      <w:tr w:rsidR="00D655B4" w:rsidRPr="00042A6C" w:rsidTr="00B427F3">
        <w:tc>
          <w:tcPr>
            <w:tcW w:w="2707" w:type="dxa"/>
            <w:vAlign w:val="center"/>
          </w:tcPr>
          <w:p w:rsidR="00D655B4" w:rsidRPr="00042A6C" w:rsidRDefault="00D655B4" w:rsidP="001851FA">
            <w:pPr>
              <w:pStyle w:val="TableParagraph"/>
              <w:tabs>
                <w:tab w:val="left" w:pos="1031"/>
                <w:tab w:val="left" w:pos="1516"/>
                <w:tab w:val="left" w:pos="2486"/>
              </w:tabs>
              <w:spacing w:line="228" w:lineRule="auto"/>
              <w:ind w:right="106"/>
              <w:rPr>
                <w:lang w:val="sr-Latn-ME"/>
              </w:rPr>
            </w:pPr>
            <w:r w:rsidRPr="00042A6C">
              <w:rPr>
                <w:lang w:val="sr-Latn-ME"/>
              </w:rPr>
              <w:t xml:space="preserve">Događaji </w:t>
            </w:r>
            <w:r w:rsidR="001851FA" w:rsidRPr="00042A6C">
              <w:rPr>
                <w:lang w:val="sr-Latn-ME"/>
              </w:rPr>
              <w:t xml:space="preserve">velikih </w:t>
            </w:r>
            <w:r w:rsidRPr="00042A6C">
              <w:rPr>
                <w:lang w:val="sr-Latn-ME"/>
              </w:rPr>
              <w:t>krvarenja</w:t>
            </w:r>
          </w:p>
        </w:tc>
        <w:tc>
          <w:tcPr>
            <w:tcW w:w="3301" w:type="dxa"/>
            <w:vAlign w:val="center"/>
          </w:tcPr>
          <w:p w:rsidR="00D655B4" w:rsidRPr="00042A6C" w:rsidRDefault="00D655B4" w:rsidP="00B427F3">
            <w:pPr>
              <w:pStyle w:val="TableParagraph"/>
              <w:spacing w:line="226" w:lineRule="exact"/>
              <w:ind w:left="1241" w:right="1233"/>
              <w:jc w:val="center"/>
              <w:rPr>
                <w:lang w:val="sr-Latn-ME"/>
              </w:rPr>
            </w:pPr>
            <w:r w:rsidRPr="00042A6C">
              <w:rPr>
                <w:lang w:val="sr-Latn-ME"/>
              </w:rPr>
              <w:t>14</w:t>
            </w:r>
          </w:p>
          <w:p w:rsidR="00D655B4" w:rsidRPr="00042A6C" w:rsidRDefault="00D655B4" w:rsidP="00B427F3">
            <w:pPr>
              <w:pStyle w:val="TableParagraph"/>
              <w:spacing w:line="226" w:lineRule="exact"/>
              <w:ind w:left="1241" w:right="1233"/>
              <w:jc w:val="center"/>
              <w:rPr>
                <w:lang w:val="sr-Latn-ME"/>
              </w:rPr>
            </w:pPr>
            <w:r w:rsidRPr="00042A6C">
              <w:rPr>
                <w:lang w:val="sr-Latn-ME"/>
              </w:rPr>
              <w:t>(0,8%)</w:t>
            </w:r>
          </w:p>
        </w:tc>
        <w:tc>
          <w:tcPr>
            <w:tcW w:w="3055" w:type="dxa"/>
            <w:vAlign w:val="center"/>
          </w:tcPr>
          <w:p w:rsidR="00D655B4" w:rsidRPr="00042A6C" w:rsidRDefault="00D655B4" w:rsidP="00B427F3">
            <w:pPr>
              <w:pStyle w:val="TableParagraph"/>
              <w:spacing w:line="226" w:lineRule="exact"/>
              <w:ind w:left="1115" w:right="1113"/>
              <w:jc w:val="center"/>
              <w:rPr>
                <w:lang w:val="sr-Latn-ME"/>
              </w:rPr>
            </w:pPr>
            <w:r w:rsidRPr="00042A6C">
              <w:rPr>
                <w:lang w:val="sr-Latn-ME"/>
              </w:rPr>
              <w:t>20</w:t>
            </w:r>
          </w:p>
          <w:p w:rsidR="00D655B4" w:rsidRPr="00042A6C" w:rsidRDefault="00D655B4" w:rsidP="00B427F3">
            <w:pPr>
              <w:pStyle w:val="TableParagraph"/>
              <w:spacing w:line="226" w:lineRule="exact"/>
              <w:ind w:left="1115" w:right="1113"/>
              <w:jc w:val="center"/>
              <w:rPr>
                <w:lang w:val="sr-Latn-ME"/>
              </w:rPr>
            </w:pPr>
            <w:r w:rsidRPr="00042A6C">
              <w:rPr>
                <w:lang w:val="sr-Latn-ME"/>
              </w:rPr>
              <w:t>(1,2%)</w:t>
            </w:r>
          </w:p>
        </w:tc>
      </w:tr>
    </w:tbl>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a)</w:t>
      </w:r>
      <w:r w:rsidRPr="00042A6C">
        <w:rPr>
          <w:bCs/>
          <w:sz w:val="22"/>
          <w:szCs w:val="22"/>
          <w:lang w:val="sr-Latn-ME"/>
        </w:rPr>
        <w:tab/>
        <w:t>Rivaroksaban u dozi od 15 mg dva puta dnevno tokom 3 nedjelje</w:t>
      </w:r>
      <w:r w:rsidR="001851FA" w:rsidRPr="00042A6C">
        <w:rPr>
          <w:bCs/>
          <w:sz w:val="22"/>
          <w:szCs w:val="22"/>
          <w:lang w:val="sr-Latn-ME"/>
        </w:rPr>
        <w:t>,</w:t>
      </w:r>
      <w:r w:rsidRPr="00042A6C">
        <w:rPr>
          <w:bCs/>
          <w:sz w:val="22"/>
          <w:szCs w:val="22"/>
          <w:lang w:val="sr-Latn-ME"/>
        </w:rPr>
        <w:t xml:space="preserve"> nakon čega slijedi doza od 20 mg jednom dnevno</w:t>
      </w:r>
      <w:r w:rsidR="001851FA" w:rsidRPr="00042A6C">
        <w:rPr>
          <w:bCs/>
          <w:sz w:val="22"/>
          <w:szCs w:val="22"/>
          <w:lang w:val="sr-Latn-ME"/>
        </w:rPr>
        <w:t>.</w:t>
      </w: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b)</w:t>
      </w:r>
      <w:r w:rsidRPr="00042A6C">
        <w:rPr>
          <w:bCs/>
          <w:sz w:val="22"/>
          <w:szCs w:val="22"/>
          <w:lang w:val="sr-Latn-ME"/>
        </w:rPr>
        <w:tab/>
        <w:t xml:space="preserve">Enoksaparin tokom najmanje 5 dana, preklapa se </w:t>
      </w:r>
      <w:r w:rsidR="001851FA" w:rsidRPr="00042A6C">
        <w:rPr>
          <w:bCs/>
          <w:sz w:val="22"/>
          <w:szCs w:val="22"/>
          <w:lang w:val="sr-Latn-ME"/>
        </w:rPr>
        <w:t>i nastavlja sa</w:t>
      </w:r>
      <w:r w:rsidRPr="00042A6C">
        <w:rPr>
          <w:bCs/>
          <w:sz w:val="22"/>
          <w:szCs w:val="22"/>
          <w:lang w:val="sr-Latn-ME"/>
        </w:rPr>
        <w:t xml:space="preserve"> VKA</w:t>
      </w:r>
      <w:r w:rsidR="001851FA" w:rsidRPr="00042A6C">
        <w:rPr>
          <w:bCs/>
          <w:sz w:val="22"/>
          <w:szCs w:val="22"/>
          <w:lang w:val="sr-Latn-ME"/>
        </w:rPr>
        <w:t>.</w:t>
      </w: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*p &lt; 0,0001 (neinferiornost u odnosu na unaprijed određeni HR 2,0); HR: 0,680 (0,443 – 1,042),p=0,076 (superiornost)</w:t>
      </w:r>
    </w:p>
    <w:p w:rsidR="00D655B4" w:rsidRPr="00042A6C" w:rsidRDefault="00D655B4" w:rsidP="00D655B4">
      <w:pPr>
        <w:tabs>
          <w:tab w:val="left" w:pos="540"/>
          <w:tab w:val="left" w:pos="569"/>
        </w:tabs>
        <w:jc w:val="both"/>
        <w:rPr>
          <w:bCs/>
          <w:sz w:val="22"/>
          <w:szCs w:val="22"/>
          <w:lang w:val="sr-Latn-ME"/>
        </w:rPr>
      </w:pP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 xml:space="preserve">U </w:t>
      </w:r>
      <w:r w:rsidRPr="00042A6C">
        <w:rPr>
          <w:bCs/>
          <w:i/>
          <w:sz w:val="22"/>
          <w:szCs w:val="22"/>
          <w:lang w:val="sr-Latn-ME"/>
        </w:rPr>
        <w:t>Einstain</w:t>
      </w:r>
      <w:r w:rsidRPr="00042A6C">
        <w:rPr>
          <w:bCs/>
          <w:sz w:val="22"/>
          <w:szCs w:val="22"/>
          <w:lang w:val="sr-Latn-ME"/>
        </w:rPr>
        <w:t xml:space="preserve"> PE studiji (vidjeti Tabelu 7) pokazano je da rivaroksaban nije inferioran u odnosu na enoksaparin/VKA za primarni ishod efikasnosti (p=0,0026 (test za neinferiornost); HR 1,123 (0,749-1,684)). Unaprijed definisana ukupna klinička korist (primarni ishod efikasnosti plus </w:t>
      </w:r>
      <w:r w:rsidR="00E814F9" w:rsidRPr="00042A6C">
        <w:rPr>
          <w:bCs/>
          <w:sz w:val="22"/>
          <w:szCs w:val="22"/>
          <w:lang w:val="sr-Latn-ME"/>
        </w:rPr>
        <w:t xml:space="preserve">velika </w:t>
      </w:r>
      <w:r w:rsidRPr="00042A6C">
        <w:rPr>
          <w:bCs/>
          <w:sz w:val="22"/>
          <w:szCs w:val="22"/>
          <w:lang w:val="sr-Latn-ME"/>
        </w:rPr>
        <w:t xml:space="preserve">krvarenja) zabilježena je sa HR 0,849 (95%CI: 0,633 – 1,139) nominalna p vrijednost p=0,275). INR vrijednosti su bile unutar terapijskog opsega sa prosjekom 63% vremena za prosječno trajanje terapije od 215 dana i 57%, 62% i 65% vremena u grupama namjeravanog trajanja terapije od 3, 6, odnosno 12 mjeseci. U enoksaparin/VKA grupi nije bilo jasnog odnosa između nivoa prosječnog centralnog vremena unutar terapijskog raspona (TTR </w:t>
      </w:r>
      <w:r w:rsidR="00E814F9" w:rsidRPr="00042A6C">
        <w:rPr>
          <w:bCs/>
          <w:sz w:val="22"/>
          <w:szCs w:val="22"/>
          <w:lang w:val="sr-Latn-ME"/>
        </w:rPr>
        <w:t>–</w:t>
      </w:r>
      <w:r w:rsidRPr="00042A6C">
        <w:rPr>
          <w:bCs/>
          <w:sz w:val="22"/>
          <w:szCs w:val="22"/>
          <w:lang w:val="sr-Latn-ME"/>
        </w:rPr>
        <w:t xml:space="preserve"> </w:t>
      </w:r>
      <w:r w:rsidR="00E814F9" w:rsidRPr="00042A6C">
        <w:rPr>
          <w:bCs/>
          <w:sz w:val="22"/>
          <w:szCs w:val="22"/>
          <w:lang w:val="sr-Latn-ME"/>
        </w:rPr>
        <w:t xml:space="preserve">engl. </w:t>
      </w:r>
      <w:r w:rsidRPr="004C49DB">
        <w:rPr>
          <w:bCs/>
          <w:i/>
          <w:sz w:val="22"/>
          <w:szCs w:val="22"/>
          <w:lang w:val="sr-Latn-ME"/>
        </w:rPr>
        <w:t>Time in Target INR Range</w:t>
      </w:r>
      <w:r w:rsidRPr="00042A6C">
        <w:rPr>
          <w:bCs/>
          <w:sz w:val="22"/>
          <w:szCs w:val="22"/>
          <w:lang w:val="sr-Latn-ME"/>
        </w:rPr>
        <w:t xml:space="preserve"> 2,0 – 3,0) u tercilima podjednake veličine i sa učestalošću rekurentne VTE (</w:t>
      </w:r>
      <w:r w:rsidR="00E814F9" w:rsidRPr="00042A6C">
        <w:rPr>
          <w:bCs/>
          <w:sz w:val="22"/>
          <w:szCs w:val="22"/>
          <w:lang w:val="sr-Latn-ME"/>
        </w:rPr>
        <w:t>p</w:t>
      </w:r>
      <w:r w:rsidRPr="00042A6C">
        <w:rPr>
          <w:bCs/>
          <w:sz w:val="22"/>
          <w:szCs w:val="22"/>
          <w:lang w:val="sr-Latn-ME"/>
        </w:rPr>
        <w:t>=0,082 za interakciju). Unutar najvećeg tercila prema centru, HR sa rivaroksabanom prema varfarinu je bio 0,642 (95% CI: 0,277 – 1,484).</w:t>
      </w:r>
    </w:p>
    <w:p w:rsidR="00D655B4" w:rsidRPr="00042A6C" w:rsidRDefault="00D655B4" w:rsidP="00D655B4">
      <w:pPr>
        <w:tabs>
          <w:tab w:val="left" w:pos="540"/>
          <w:tab w:val="left" w:pos="569"/>
        </w:tabs>
        <w:jc w:val="both"/>
        <w:rPr>
          <w:bCs/>
          <w:sz w:val="22"/>
          <w:szCs w:val="22"/>
          <w:lang w:val="sr-Latn-ME"/>
        </w:rPr>
      </w:pP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Stope incidenci za primarni ishod bezbjednosti (</w:t>
      </w:r>
      <w:r w:rsidR="00E814F9" w:rsidRPr="00042A6C">
        <w:rPr>
          <w:bCs/>
          <w:sz w:val="22"/>
          <w:szCs w:val="22"/>
          <w:lang w:val="sr-Latn-ME"/>
        </w:rPr>
        <w:t xml:space="preserve">velika </w:t>
      </w:r>
      <w:r w:rsidRPr="00042A6C">
        <w:rPr>
          <w:bCs/>
          <w:sz w:val="22"/>
          <w:szCs w:val="22"/>
          <w:lang w:val="sr-Latn-ME"/>
        </w:rPr>
        <w:t xml:space="preserve">ili klinički značajna </w:t>
      </w:r>
      <w:r w:rsidR="00E814F9" w:rsidRPr="00042A6C">
        <w:rPr>
          <w:bCs/>
          <w:sz w:val="22"/>
          <w:szCs w:val="22"/>
          <w:lang w:val="sr-Latn-ME"/>
        </w:rPr>
        <w:t xml:space="preserve">manja </w:t>
      </w:r>
      <w:r w:rsidRPr="00042A6C">
        <w:rPr>
          <w:bCs/>
          <w:sz w:val="22"/>
          <w:szCs w:val="22"/>
          <w:lang w:val="sr-Latn-ME"/>
        </w:rPr>
        <w:t xml:space="preserve">krvarenja) bile su neznatno manje u rivaroksaban terapijskoj grupi (10,3% (249/2412) nego u enoksaparin/VKA terapijskoj grupi (11,4% (274/2405)). Incidenca sekundarnog ishoda bezbjednosti (događaji </w:t>
      </w:r>
      <w:r w:rsidR="00E814F9" w:rsidRPr="00042A6C">
        <w:rPr>
          <w:bCs/>
          <w:sz w:val="22"/>
          <w:szCs w:val="22"/>
          <w:lang w:val="sr-Latn-ME"/>
        </w:rPr>
        <w:t xml:space="preserve">velikog </w:t>
      </w:r>
      <w:r w:rsidRPr="00042A6C">
        <w:rPr>
          <w:bCs/>
          <w:sz w:val="22"/>
          <w:szCs w:val="22"/>
          <w:lang w:val="sr-Latn-ME"/>
        </w:rPr>
        <w:t>krvarenja) bila je manja u rivaroksaban grupi (1,1% (26/2412)) nego u enoksaparin/VKA grupi (2,2% (52/2405) uz HR 0,493 (95%CI: 0,308 – 0,789).</w:t>
      </w:r>
    </w:p>
    <w:p w:rsidR="00D655B4" w:rsidRPr="00042A6C" w:rsidRDefault="00D655B4" w:rsidP="00D655B4">
      <w:pPr>
        <w:tabs>
          <w:tab w:val="left" w:pos="540"/>
          <w:tab w:val="left" w:pos="569"/>
        </w:tabs>
        <w:jc w:val="both"/>
        <w:rPr>
          <w:bCs/>
          <w:sz w:val="22"/>
          <w:szCs w:val="22"/>
          <w:lang w:val="sr-Latn-ME"/>
        </w:rPr>
      </w:pPr>
    </w:p>
    <w:p w:rsidR="00D655B4" w:rsidRPr="00042A6C" w:rsidRDefault="00D655B4" w:rsidP="00D655B4">
      <w:pPr>
        <w:tabs>
          <w:tab w:val="left" w:pos="540"/>
          <w:tab w:val="left" w:pos="569"/>
        </w:tabs>
        <w:rPr>
          <w:b/>
          <w:bCs/>
          <w:i/>
          <w:sz w:val="22"/>
          <w:szCs w:val="22"/>
          <w:lang w:val="sr-Latn-ME"/>
        </w:rPr>
      </w:pPr>
      <w:r w:rsidRPr="00042A6C">
        <w:rPr>
          <w:b/>
          <w:bCs/>
          <w:sz w:val="22"/>
          <w:szCs w:val="22"/>
          <w:lang w:val="sr-Latn-ME"/>
        </w:rPr>
        <w:t xml:space="preserve">Tabela 7: Rezultati efikasnosti i bezbjednosti iz studije </w:t>
      </w:r>
      <w:r w:rsidR="00E814F9" w:rsidRPr="00042A6C">
        <w:rPr>
          <w:b/>
          <w:bCs/>
          <w:sz w:val="22"/>
          <w:szCs w:val="22"/>
          <w:lang w:val="sr-Latn-ME"/>
        </w:rPr>
        <w:t xml:space="preserve">faze III </w:t>
      </w:r>
      <w:r w:rsidRPr="00042A6C">
        <w:rPr>
          <w:b/>
          <w:bCs/>
          <w:i/>
          <w:sz w:val="22"/>
          <w:szCs w:val="22"/>
          <w:lang w:val="sr-Latn-ME"/>
        </w:rPr>
        <w:t>Einstein PE</w:t>
      </w:r>
    </w:p>
    <w:tbl>
      <w:tblPr>
        <w:tblStyle w:val="TableGrid"/>
        <w:tblW w:w="0" w:type="auto"/>
        <w:tblLook w:val="04A0" w:firstRow="1" w:lastRow="0" w:firstColumn="1" w:lastColumn="0" w:noHBand="0" w:noVBand="1"/>
      </w:tblPr>
      <w:tblGrid>
        <w:gridCol w:w="3021"/>
        <w:gridCol w:w="3021"/>
        <w:gridCol w:w="3021"/>
      </w:tblGrid>
      <w:tr w:rsidR="00D655B4" w:rsidRPr="00042A6C" w:rsidTr="00B427F3">
        <w:tc>
          <w:tcPr>
            <w:tcW w:w="3021" w:type="dxa"/>
          </w:tcPr>
          <w:p w:rsidR="00D655B4" w:rsidRPr="004C49DB" w:rsidRDefault="00D655B4" w:rsidP="00B427F3">
            <w:pPr>
              <w:widowControl w:val="0"/>
              <w:autoSpaceDE w:val="0"/>
              <w:autoSpaceDN w:val="0"/>
              <w:spacing w:line="234" w:lineRule="exact"/>
              <w:ind w:left="9"/>
              <w:rPr>
                <w:b/>
                <w:sz w:val="22"/>
                <w:szCs w:val="22"/>
                <w:lang w:val="sr-Latn-ME"/>
              </w:rPr>
            </w:pPr>
            <w:r w:rsidRPr="004C49DB">
              <w:rPr>
                <w:b/>
                <w:sz w:val="22"/>
                <w:szCs w:val="22"/>
                <w:lang w:val="sr-Latn-ME"/>
              </w:rPr>
              <w:t>Populacija uključena u studiju</w:t>
            </w:r>
          </w:p>
        </w:tc>
        <w:tc>
          <w:tcPr>
            <w:tcW w:w="6042" w:type="dxa"/>
            <w:gridSpan w:val="2"/>
          </w:tcPr>
          <w:p w:rsidR="00D655B4" w:rsidRPr="004C49DB" w:rsidRDefault="00D655B4" w:rsidP="00B427F3">
            <w:pPr>
              <w:widowControl w:val="0"/>
              <w:autoSpaceDE w:val="0"/>
              <w:autoSpaceDN w:val="0"/>
              <w:spacing w:line="234" w:lineRule="exact"/>
              <w:ind w:left="9"/>
              <w:rPr>
                <w:b/>
                <w:sz w:val="22"/>
                <w:szCs w:val="22"/>
                <w:lang w:val="sr-Latn-ME"/>
              </w:rPr>
            </w:pPr>
            <w:r w:rsidRPr="004C49DB">
              <w:rPr>
                <w:b/>
                <w:sz w:val="22"/>
                <w:szCs w:val="22"/>
                <w:lang w:val="sr-Latn-ME"/>
              </w:rPr>
              <w:t>4832 pacijenta sa akutnom simptomatskom PE</w:t>
            </w:r>
          </w:p>
        </w:tc>
      </w:tr>
      <w:tr w:rsidR="00D655B4" w:rsidRPr="00042A6C" w:rsidTr="00B427F3">
        <w:tc>
          <w:tcPr>
            <w:tcW w:w="3021" w:type="dxa"/>
            <w:vAlign w:val="center"/>
          </w:tcPr>
          <w:p w:rsidR="00D655B4" w:rsidRPr="00042A6C" w:rsidRDefault="00D655B4" w:rsidP="00B427F3">
            <w:pPr>
              <w:widowControl w:val="0"/>
              <w:autoSpaceDE w:val="0"/>
              <w:autoSpaceDN w:val="0"/>
              <w:spacing w:before="6"/>
              <w:rPr>
                <w:b/>
                <w:i/>
                <w:sz w:val="20"/>
                <w:szCs w:val="22"/>
                <w:lang w:val="sr-Latn-ME"/>
              </w:rPr>
            </w:pPr>
          </w:p>
          <w:p w:rsidR="00D655B4" w:rsidRPr="004C49DB" w:rsidRDefault="00D655B4" w:rsidP="00B427F3">
            <w:pPr>
              <w:widowControl w:val="0"/>
              <w:autoSpaceDE w:val="0"/>
              <w:autoSpaceDN w:val="0"/>
              <w:ind w:left="9"/>
              <w:rPr>
                <w:b/>
                <w:sz w:val="22"/>
                <w:szCs w:val="22"/>
                <w:lang w:val="sr-Latn-ME"/>
              </w:rPr>
            </w:pPr>
            <w:r w:rsidRPr="004C49DB">
              <w:rPr>
                <w:b/>
                <w:sz w:val="22"/>
                <w:szCs w:val="22"/>
                <w:lang w:val="sr-Latn-ME"/>
              </w:rPr>
              <w:t>Terapijska doza i trajanje liječenja</w:t>
            </w:r>
          </w:p>
        </w:tc>
        <w:tc>
          <w:tcPr>
            <w:tcW w:w="3021" w:type="dxa"/>
            <w:vAlign w:val="center"/>
          </w:tcPr>
          <w:p w:rsidR="00D655B4" w:rsidRPr="004C49DB" w:rsidRDefault="00D655B4" w:rsidP="00B427F3">
            <w:pPr>
              <w:tabs>
                <w:tab w:val="left" w:pos="540"/>
                <w:tab w:val="left" w:pos="569"/>
              </w:tabs>
              <w:jc w:val="center"/>
              <w:rPr>
                <w:b/>
                <w:bCs/>
                <w:sz w:val="22"/>
                <w:szCs w:val="22"/>
                <w:lang w:val="sr-Latn-ME"/>
              </w:rPr>
            </w:pPr>
            <w:r w:rsidRPr="004C49DB">
              <w:rPr>
                <w:b/>
                <w:bCs/>
                <w:sz w:val="22"/>
                <w:szCs w:val="22"/>
                <w:lang w:val="sr-Latn-ME"/>
              </w:rPr>
              <w:t>Rivaroksaban</w:t>
            </w:r>
            <w:r w:rsidRPr="004C49DB">
              <w:rPr>
                <w:b/>
                <w:bCs/>
                <w:sz w:val="22"/>
                <w:szCs w:val="22"/>
                <w:vertAlign w:val="superscript"/>
                <w:lang w:val="sr-Latn-ME"/>
              </w:rPr>
              <w:t>a)</w:t>
            </w:r>
            <w:r w:rsidRPr="004C49DB">
              <w:rPr>
                <w:b/>
                <w:bCs/>
                <w:sz w:val="22"/>
                <w:szCs w:val="22"/>
                <w:lang w:val="sr-Latn-ME"/>
              </w:rPr>
              <w:t xml:space="preserve"> 3,</w:t>
            </w:r>
            <w:r w:rsidR="00E814F9" w:rsidRPr="00042A6C">
              <w:rPr>
                <w:b/>
                <w:bCs/>
                <w:sz w:val="22"/>
                <w:szCs w:val="22"/>
                <w:lang w:val="sr-Latn-ME"/>
              </w:rPr>
              <w:t xml:space="preserve"> </w:t>
            </w:r>
            <w:r w:rsidRPr="004C49DB">
              <w:rPr>
                <w:b/>
                <w:bCs/>
                <w:sz w:val="22"/>
                <w:szCs w:val="22"/>
                <w:lang w:val="sr-Latn-ME"/>
              </w:rPr>
              <w:t>6 ili 12 mjeseci</w:t>
            </w:r>
          </w:p>
          <w:p w:rsidR="00D655B4" w:rsidRPr="004C49DB" w:rsidRDefault="00D655B4" w:rsidP="00B427F3">
            <w:pPr>
              <w:tabs>
                <w:tab w:val="left" w:pos="540"/>
                <w:tab w:val="left" w:pos="569"/>
              </w:tabs>
              <w:jc w:val="center"/>
              <w:rPr>
                <w:b/>
                <w:bCs/>
                <w:sz w:val="22"/>
                <w:szCs w:val="22"/>
                <w:lang w:val="sr-Latn-ME"/>
              </w:rPr>
            </w:pPr>
            <w:r w:rsidRPr="004C49DB">
              <w:rPr>
                <w:b/>
                <w:bCs/>
                <w:sz w:val="22"/>
                <w:szCs w:val="22"/>
                <w:lang w:val="sr-Latn-ME"/>
              </w:rPr>
              <w:t>N=2419</w:t>
            </w:r>
          </w:p>
        </w:tc>
        <w:tc>
          <w:tcPr>
            <w:tcW w:w="3021" w:type="dxa"/>
            <w:vAlign w:val="center"/>
          </w:tcPr>
          <w:p w:rsidR="00D655B4" w:rsidRPr="004C49DB" w:rsidRDefault="00D655B4" w:rsidP="00B427F3">
            <w:pPr>
              <w:tabs>
                <w:tab w:val="left" w:pos="540"/>
                <w:tab w:val="left" w:pos="569"/>
              </w:tabs>
              <w:jc w:val="center"/>
              <w:rPr>
                <w:b/>
                <w:bCs/>
                <w:sz w:val="22"/>
                <w:szCs w:val="22"/>
                <w:lang w:val="sr-Latn-ME"/>
              </w:rPr>
            </w:pPr>
            <w:r w:rsidRPr="004C49DB">
              <w:rPr>
                <w:b/>
                <w:bCs/>
                <w:sz w:val="22"/>
                <w:szCs w:val="22"/>
                <w:lang w:val="sr-Latn-ME"/>
              </w:rPr>
              <w:t>Enoksaparin/VKA</w:t>
            </w:r>
            <w:r w:rsidRPr="004C49DB">
              <w:rPr>
                <w:b/>
                <w:bCs/>
                <w:sz w:val="22"/>
                <w:szCs w:val="22"/>
                <w:vertAlign w:val="superscript"/>
                <w:lang w:val="sr-Latn-ME"/>
              </w:rPr>
              <w:t>b)</w:t>
            </w:r>
            <w:r w:rsidR="00E814F9" w:rsidRPr="00042A6C">
              <w:rPr>
                <w:b/>
                <w:bCs/>
                <w:sz w:val="22"/>
                <w:szCs w:val="22"/>
                <w:vertAlign w:val="superscript"/>
                <w:lang w:val="sr-Latn-ME"/>
              </w:rPr>
              <w:t xml:space="preserve"> </w:t>
            </w:r>
            <w:r w:rsidRPr="004C49DB">
              <w:rPr>
                <w:b/>
                <w:bCs/>
                <w:sz w:val="22"/>
                <w:szCs w:val="22"/>
                <w:lang w:val="sr-Latn-ME"/>
              </w:rPr>
              <w:t>3,</w:t>
            </w:r>
            <w:r w:rsidR="00E814F9" w:rsidRPr="00042A6C">
              <w:rPr>
                <w:b/>
                <w:bCs/>
                <w:sz w:val="22"/>
                <w:szCs w:val="22"/>
                <w:lang w:val="sr-Latn-ME"/>
              </w:rPr>
              <w:t xml:space="preserve"> </w:t>
            </w:r>
            <w:r w:rsidRPr="004C49DB">
              <w:rPr>
                <w:b/>
                <w:bCs/>
                <w:sz w:val="22"/>
                <w:szCs w:val="22"/>
                <w:lang w:val="sr-Latn-ME"/>
              </w:rPr>
              <w:t>6 ili 12 mjeseci</w:t>
            </w:r>
          </w:p>
          <w:p w:rsidR="00D655B4" w:rsidRPr="004C49DB" w:rsidRDefault="00D655B4" w:rsidP="00B427F3">
            <w:pPr>
              <w:tabs>
                <w:tab w:val="left" w:pos="540"/>
                <w:tab w:val="left" w:pos="569"/>
              </w:tabs>
              <w:jc w:val="center"/>
              <w:rPr>
                <w:b/>
                <w:bCs/>
                <w:sz w:val="22"/>
                <w:szCs w:val="22"/>
                <w:lang w:val="sr-Latn-ME"/>
              </w:rPr>
            </w:pPr>
            <w:r w:rsidRPr="004C49DB">
              <w:rPr>
                <w:b/>
                <w:bCs/>
                <w:sz w:val="22"/>
                <w:szCs w:val="22"/>
                <w:lang w:val="sr-Latn-ME"/>
              </w:rPr>
              <w:t>N=2413</w:t>
            </w:r>
          </w:p>
        </w:tc>
      </w:tr>
      <w:tr w:rsidR="00D655B4" w:rsidRPr="00042A6C" w:rsidTr="00B427F3">
        <w:tc>
          <w:tcPr>
            <w:tcW w:w="3021" w:type="dxa"/>
            <w:vAlign w:val="center"/>
          </w:tcPr>
          <w:p w:rsidR="00D655B4" w:rsidRPr="00042A6C" w:rsidRDefault="00D655B4" w:rsidP="00B427F3">
            <w:pPr>
              <w:widowControl w:val="0"/>
              <w:autoSpaceDE w:val="0"/>
              <w:autoSpaceDN w:val="0"/>
              <w:spacing w:line="235" w:lineRule="exact"/>
              <w:ind w:left="9"/>
              <w:rPr>
                <w:sz w:val="22"/>
                <w:szCs w:val="22"/>
                <w:lang w:val="sr-Latn-ME"/>
              </w:rPr>
            </w:pPr>
            <w:r w:rsidRPr="00042A6C">
              <w:rPr>
                <w:sz w:val="22"/>
                <w:szCs w:val="22"/>
                <w:lang w:val="sr-Latn-ME"/>
              </w:rPr>
              <w:t>Simptomatska rekurentna VTE*</w:t>
            </w:r>
          </w:p>
        </w:tc>
        <w:tc>
          <w:tcPr>
            <w:tcW w:w="3021" w:type="dxa"/>
            <w:vAlign w:val="center"/>
          </w:tcPr>
          <w:p w:rsidR="00D655B4" w:rsidRPr="00042A6C" w:rsidRDefault="00D655B4" w:rsidP="00B427F3">
            <w:pPr>
              <w:widowControl w:val="0"/>
              <w:autoSpaceDE w:val="0"/>
              <w:autoSpaceDN w:val="0"/>
              <w:spacing w:line="226" w:lineRule="exact"/>
              <w:ind w:left="425" w:right="406"/>
              <w:jc w:val="center"/>
              <w:rPr>
                <w:sz w:val="22"/>
                <w:szCs w:val="22"/>
                <w:lang w:val="sr-Latn-ME"/>
              </w:rPr>
            </w:pPr>
            <w:r w:rsidRPr="00042A6C">
              <w:rPr>
                <w:sz w:val="22"/>
                <w:szCs w:val="22"/>
                <w:lang w:val="sr-Latn-ME"/>
              </w:rPr>
              <w:t>50</w:t>
            </w:r>
          </w:p>
          <w:p w:rsidR="00D655B4" w:rsidRPr="00042A6C" w:rsidRDefault="00D655B4" w:rsidP="00B427F3">
            <w:pPr>
              <w:widowControl w:val="0"/>
              <w:autoSpaceDE w:val="0"/>
              <w:autoSpaceDN w:val="0"/>
              <w:spacing w:line="224" w:lineRule="exact"/>
              <w:ind w:left="425" w:right="405"/>
              <w:jc w:val="center"/>
              <w:rPr>
                <w:sz w:val="22"/>
                <w:szCs w:val="22"/>
                <w:lang w:val="sr-Latn-ME"/>
              </w:rPr>
            </w:pPr>
            <w:r w:rsidRPr="00042A6C">
              <w:rPr>
                <w:sz w:val="22"/>
                <w:szCs w:val="22"/>
                <w:lang w:val="sr-Latn-ME"/>
              </w:rPr>
              <w:t>(2,1%)</w:t>
            </w:r>
          </w:p>
        </w:tc>
        <w:tc>
          <w:tcPr>
            <w:tcW w:w="3021" w:type="dxa"/>
            <w:vAlign w:val="center"/>
          </w:tcPr>
          <w:p w:rsidR="00D655B4" w:rsidRPr="00042A6C" w:rsidRDefault="00D655B4" w:rsidP="00B427F3">
            <w:pPr>
              <w:widowControl w:val="0"/>
              <w:autoSpaceDE w:val="0"/>
              <w:autoSpaceDN w:val="0"/>
              <w:spacing w:line="226" w:lineRule="exact"/>
              <w:ind w:left="156" w:right="137"/>
              <w:jc w:val="center"/>
              <w:rPr>
                <w:sz w:val="22"/>
                <w:szCs w:val="22"/>
                <w:lang w:val="sr-Latn-ME"/>
              </w:rPr>
            </w:pPr>
            <w:r w:rsidRPr="00042A6C">
              <w:rPr>
                <w:sz w:val="22"/>
                <w:szCs w:val="22"/>
                <w:lang w:val="sr-Latn-ME"/>
              </w:rPr>
              <w:t>44</w:t>
            </w:r>
          </w:p>
          <w:p w:rsidR="00D655B4" w:rsidRPr="00042A6C" w:rsidRDefault="00D655B4" w:rsidP="00B427F3">
            <w:pPr>
              <w:widowControl w:val="0"/>
              <w:autoSpaceDE w:val="0"/>
              <w:autoSpaceDN w:val="0"/>
              <w:spacing w:line="224" w:lineRule="exact"/>
              <w:ind w:left="157" w:right="137"/>
              <w:jc w:val="center"/>
              <w:rPr>
                <w:sz w:val="22"/>
                <w:szCs w:val="22"/>
                <w:lang w:val="sr-Latn-ME"/>
              </w:rPr>
            </w:pPr>
            <w:r w:rsidRPr="00042A6C">
              <w:rPr>
                <w:sz w:val="22"/>
                <w:szCs w:val="22"/>
                <w:lang w:val="sr-Latn-ME"/>
              </w:rPr>
              <w:t>(1,8%)</w:t>
            </w:r>
          </w:p>
        </w:tc>
      </w:tr>
      <w:tr w:rsidR="00D655B4" w:rsidRPr="00042A6C" w:rsidTr="00B427F3">
        <w:tc>
          <w:tcPr>
            <w:tcW w:w="3021" w:type="dxa"/>
            <w:vAlign w:val="center"/>
          </w:tcPr>
          <w:p w:rsidR="00D655B4" w:rsidRPr="00042A6C" w:rsidRDefault="00D655B4" w:rsidP="004C49DB">
            <w:pPr>
              <w:widowControl w:val="0"/>
              <w:autoSpaceDE w:val="0"/>
              <w:autoSpaceDN w:val="0"/>
              <w:spacing w:line="235" w:lineRule="exact"/>
              <w:ind w:left="9"/>
              <w:jc w:val="right"/>
              <w:rPr>
                <w:sz w:val="22"/>
                <w:szCs w:val="22"/>
                <w:lang w:val="sr-Latn-ME"/>
              </w:rPr>
            </w:pPr>
            <w:r w:rsidRPr="00042A6C">
              <w:rPr>
                <w:sz w:val="22"/>
                <w:szCs w:val="22"/>
                <w:lang w:val="sr-Latn-ME"/>
              </w:rPr>
              <w:t>Simptomatska rekurentna PE</w:t>
            </w:r>
          </w:p>
        </w:tc>
        <w:tc>
          <w:tcPr>
            <w:tcW w:w="3021" w:type="dxa"/>
            <w:vAlign w:val="center"/>
          </w:tcPr>
          <w:p w:rsidR="00D655B4" w:rsidRPr="00042A6C" w:rsidRDefault="00D655B4" w:rsidP="00B427F3">
            <w:pPr>
              <w:widowControl w:val="0"/>
              <w:autoSpaceDE w:val="0"/>
              <w:autoSpaceDN w:val="0"/>
              <w:spacing w:line="226" w:lineRule="exact"/>
              <w:ind w:left="425" w:right="406"/>
              <w:jc w:val="center"/>
              <w:rPr>
                <w:sz w:val="22"/>
                <w:szCs w:val="22"/>
                <w:lang w:val="sr-Latn-ME"/>
              </w:rPr>
            </w:pPr>
            <w:r w:rsidRPr="00042A6C">
              <w:rPr>
                <w:sz w:val="22"/>
                <w:szCs w:val="22"/>
                <w:lang w:val="sr-Latn-ME"/>
              </w:rPr>
              <w:t>23</w:t>
            </w:r>
          </w:p>
          <w:p w:rsidR="00D655B4" w:rsidRPr="00042A6C" w:rsidRDefault="00D655B4" w:rsidP="00B427F3">
            <w:pPr>
              <w:widowControl w:val="0"/>
              <w:autoSpaceDE w:val="0"/>
              <w:autoSpaceDN w:val="0"/>
              <w:spacing w:line="220" w:lineRule="exact"/>
              <w:ind w:left="425" w:right="405"/>
              <w:jc w:val="center"/>
              <w:rPr>
                <w:sz w:val="22"/>
                <w:szCs w:val="22"/>
                <w:lang w:val="sr-Latn-ME"/>
              </w:rPr>
            </w:pPr>
            <w:r w:rsidRPr="00042A6C">
              <w:rPr>
                <w:sz w:val="22"/>
                <w:szCs w:val="22"/>
                <w:lang w:val="sr-Latn-ME"/>
              </w:rPr>
              <w:t>(1,0%)</w:t>
            </w:r>
          </w:p>
        </w:tc>
        <w:tc>
          <w:tcPr>
            <w:tcW w:w="3021" w:type="dxa"/>
            <w:vAlign w:val="center"/>
          </w:tcPr>
          <w:p w:rsidR="00D655B4" w:rsidRPr="00042A6C" w:rsidRDefault="00D655B4" w:rsidP="00B427F3">
            <w:pPr>
              <w:widowControl w:val="0"/>
              <w:autoSpaceDE w:val="0"/>
              <w:autoSpaceDN w:val="0"/>
              <w:spacing w:line="226" w:lineRule="exact"/>
              <w:ind w:left="156" w:right="137"/>
              <w:jc w:val="center"/>
              <w:rPr>
                <w:sz w:val="22"/>
                <w:szCs w:val="22"/>
                <w:lang w:val="sr-Latn-ME"/>
              </w:rPr>
            </w:pPr>
            <w:r w:rsidRPr="00042A6C">
              <w:rPr>
                <w:sz w:val="22"/>
                <w:szCs w:val="22"/>
                <w:lang w:val="sr-Latn-ME"/>
              </w:rPr>
              <w:t>20</w:t>
            </w:r>
          </w:p>
          <w:p w:rsidR="00D655B4" w:rsidRPr="00042A6C" w:rsidRDefault="00D655B4" w:rsidP="00B427F3">
            <w:pPr>
              <w:widowControl w:val="0"/>
              <w:autoSpaceDE w:val="0"/>
              <w:autoSpaceDN w:val="0"/>
              <w:spacing w:line="220" w:lineRule="exact"/>
              <w:ind w:left="157" w:right="137"/>
              <w:jc w:val="center"/>
              <w:rPr>
                <w:sz w:val="22"/>
                <w:szCs w:val="22"/>
                <w:lang w:val="sr-Latn-ME"/>
              </w:rPr>
            </w:pPr>
            <w:r w:rsidRPr="00042A6C">
              <w:rPr>
                <w:sz w:val="22"/>
                <w:szCs w:val="22"/>
                <w:lang w:val="sr-Latn-ME"/>
              </w:rPr>
              <w:t>(0,8%)</w:t>
            </w:r>
          </w:p>
        </w:tc>
      </w:tr>
      <w:tr w:rsidR="00D655B4" w:rsidRPr="00042A6C" w:rsidTr="00B427F3">
        <w:tc>
          <w:tcPr>
            <w:tcW w:w="3021" w:type="dxa"/>
            <w:vAlign w:val="center"/>
          </w:tcPr>
          <w:p w:rsidR="00D655B4" w:rsidRPr="00042A6C" w:rsidRDefault="00D655B4" w:rsidP="004C49DB">
            <w:pPr>
              <w:widowControl w:val="0"/>
              <w:autoSpaceDE w:val="0"/>
              <w:autoSpaceDN w:val="0"/>
              <w:spacing w:line="239" w:lineRule="exact"/>
              <w:ind w:left="9"/>
              <w:jc w:val="right"/>
              <w:rPr>
                <w:sz w:val="22"/>
                <w:szCs w:val="22"/>
                <w:lang w:val="sr-Latn-ME"/>
              </w:rPr>
            </w:pPr>
            <w:r w:rsidRPr="00042A6C">
              <w:rPr>
                <w:sz w:val="22"/>
                <w:szCs w:val="22"/>
                <w:lang w:val="sr-Latn-ME"/>
              </w:rPr>
              <w:t>Simptomatska rekurentna TDV</w:t>
            </w:r>
          </w:p>
        </w:tc>
        <w:tc>
          <w:tcPr>
            <w:tcW w:w="3021" w:type="dxa"/>
            <w:vAlign w:val="center"/>
          </w:tcPr>
          <w:p w:rsidR="00D655B4" w:rsidRPr="00042A6C" w:rsidRDefault="00D655B4" w:rsidP="00B427F3">
            <w:pPr>
              <w:widowControl w:val="0"/>
              <w:autoSpaceDE w:val="0"/>
              <w:autoSpaceDN w:val="0"/>
              <w:spacing w:line="228" w:lineRule="exact"/>
              <w:ind w:left="425" w:right="406"/>
              <w:jc w:val="center"/>
              <w:rPr>
                <w:sz w:val="22"/>
                <w:szCs w:val="22"/>
                <w:lang w:val="sr-Latn-ME"/>
              </w:rPr>
            </w:pPr>
            <w:r w:rsidRPr="00042A6C">
              <w:rPr>
                <w:sz w:val="22"/>
                <w:szCs w:val="22"/>
                <w:lang w:val="sr-Latn-ME"/>
              </w:rPr>
              <w:t>18</w:t>
            </w:r>
          </w:p>
          <w:p w:rsidR="00D655B4" w:rsidRPr="00042A6C" w:rsidRDefault="00D655B4" w:rsidP="00B427F3">
            <w:pPr>
              <w:widowControl w:val="0"/>
              <w:autoSpaceDE w:val="0"/>
              <w:autoSpaceDN w:val="0"/>
              <w:spacing w:line="222" w:lineRule="exact"/>
              <w:ind w:left="425" w:right="405"/>
              <w:jc w:val="center"/>
              <w:rPr>
                <w:sz w:val="22"/>
                <w:szCs w:val="22"/>
                <w:lang w:val="sr-Latn-ME"/>
              </w:rPr>
            </w:pPr>
            <w:r w:rsidRPr="00042A6C">
              <w:rPr>
                <w:sz w:val="22"/>
                <w:szCs w:val="22"/>
                <w:lang w:val="sr-Latn-ME"/>
              </w:rPr>
              <w:t>(0,7%)</w:t>
            </w:r>
          </w:p>
        </w:tc>
        <w:tc>
          <w:tcPr>
            <w:tcW w:w="3021" w:type="dxa"/>
            <w:vAlign w:val="center"/>
          </w:tcPr>
          <w:p w:rsidR="00D655B4" w:rsidRPr="00042A6C" w:rsidRDefault="00D655B4" w:rsidP="00B427F3">
            <w:pPr>
              <w:widowControl w:val="0"/>
              <w:autoSpaceDE w:val="0"/>
              <w:autoSpaceDN w:val="0"/>
              <w:spacing w:line="228" w:lineRule="exact"/>
              <w:ind w:left="156" w:right="137"/>
              <w:jc w:val="center"/>
              <w:rPr>
                <w:sz w:val="22"/>
                <w:szCs w:val="22"/>
                <w:lang w:val="sr-Latn-ME"/>
              </w:rPr>
            </w:pPr>
            <w:r w:rsidRPr="00042A6C">
              <w:rPr>
                <w:sz w:val="22"/>
                <w:szCs w:val="22"/>
                <w:lang w:val="sr-Latn-ME"/>
              </w:rPr>
              <w:t>17</w:t>
            </w:r>
          </w:p>
          <w:p w:rsidR="00D655B4" w:rsidRPr="00042A6C" w:rsidRDefault="00D655B4" w:rsidP="00B427F3">
            <w:pPr>
              <w:widowControl w:val="0"/>
              <w:autoSpaceDE w:val="0"/>
              <w:autoSpaceDN w:val="0"/>
              <w:spacing w:line="222" w:lineRule="exact"/>
              <w:ind w:left="157" w:right="137"/>
              <w:jc w:val="center"/>
              <w:rPr>
                <w:sz w:val="22"/>
                <w:szCs w:val="22"/>
                <w:lang w:val="sr-Latn-ME"/>
              </w:rPr>
            </w:pPr>
            <w:r w:rsidRPr="00042A6C">
              <w:rPr>
                <w:sz w:val="22"/>
                <w:szCs w:val="22"/>
                <w:lang w:val="sr-Latn-ME"/>
              </w:rPr>
              <w:t>(0,7%)</w:t>
            </w:r>
          </w:p>
        </w:tc>
      </w:tr>
      <w:tr w:rsidR="00D655B4" w:rsidRPr="00042A6C" w:rsidTr="00B427F3">
        <w:tc>
          <w:tcPr>
            <w:tcW w:w="3021" w:type="dxa"/>
            <w:vAlign w:val="center"/>
          </w:tcPr>
          <w:p w:rsidR="00D655B4" w:rsidRPr="00042A6C" w:rsidRDefault="00D655B4" w:rsidP="004C49DB">
            <w:pPr>
              <w:widowControl w:val="0"/>
              <w:autoSpaceDE w:val="0"/>
              <w:autoSpaceDN w:val="0"/>
              <w:spacing w:line="230" w:lineRule="exact"/>
              <w:ind w:left="9"/>
              <w:jc w:val="right"/>
              <w:rPr>
                <w:sz w:val="22"/>
                <w:szCs w:val="22"/>
                <w:lang w:val="sr-Latn-ME"/>
              </w:rPr>
            </w:pPr>
            <w:r w:rsidRPr="00042A6C">
              <w:rPr>
                <w:sz w:val="22"/>
                <w:szCs w:val="22"/>
                <w:lang w:val="sr-Latn-ME"/>
              </w:rPr>
              <w:t>Simptomatska PE i TDV</w:t>
            </w:r>
          </w:p>
        </w:tc>
        <w:tc>
          <w:tcPr>
            <w:tcW w:w="3021" w:type="dxa"/>
            <w:vAlign w:val="center"/>
          </w:tcPr>
          <w:p w:rsidR="00D655B4" w:rsidRPr="00042A6C" w:rsidRDefault="00D655B4" w:rsidP="00B427F3">
            <w:pPr>
              <w:widowControl w:val="0"/>
              <w:autoSpaceDE w:val="0"/>
              <w:autoSpaceDN w:val="0"/>
              <w:spacing w:line="230" w:lineRule="exact"/>
              <w:ind w:left="14"/>
              <w:jc w:val="center"/>
              <w:rPr>
                <w:sz w:val="22"/>
                <w:szCs w:val="22"/>
                <w:lang w:val="sr-Latn-ME"/>
              </w:rPr>
            </w:pPr>
            <w:r w:rsidRPr="00042A6C">
              <w:rPr>
                <w:sz w:val="22"/>
                <w:szCs w:val="22"/>
                <w:lang w:val="sr-Latn-ME"/>
              </w:rPr>
              <w:t>0</w:t>
            </w:r>
          </w:p>
        </w:tc>
        <w:tc>
          <w:tcPr>
            <w:tcW w:w="3021" w:type="dxa"/>
            <w:vAlign w:val="center"/>
          </w:tcPr>
          <w:p w:rsidR="00D655B4" w:rsidRPr="00042A6C" w:rsidRDefault="00D655B4" w:rsidP="00B427F3">
            <w:pPr>
              <w:widowControl w:val="0"/>
              <w:autoSpaceDE w:val="0"/>
              <w:autoSpaceDN w:val="0"/>
              <w:spacing w:line="218" w:lineRule="exact"/>
              <w:ind w:left="14"/>
              <w:jc w:val="center"/>
              <w:rPr>
                <w:sz w:val="22"/>
                <w:szCs w:val="22"/>
                <w:lang w:val="sr-Latn-ME"/>
              </w:rPr>
            </w:pPr>
            <w:r w:rsidRPr="00042A6C">
              <w:rPr>
                <w:sz w:val="22"/>
                <w:szCs w:val="22"/>
                <w:lang w:val="sr-Latn-ME"/>
              </w:rPr>
              <w:t>2</w:t>
            </w:r>
          </w:p>
          <w:p w:rsidR="00D655B4" w:rsidRPr="00042A6C" w:rsidRDefault="00D655B4" w:rsidP="00B427F3">
            <w:pPr>
              <w:widowControl w:val="0"/>
              <w:autoSpaceDE w:val="0"/>
              <w:autoSpaceDN w:val="0"/>
              <w:spacing w:line="222" w:lineRule="exact"/>
              <w:ind w:left="157" w:right="137"/>
              <w:jc w:val="center"/>
              <w:rPr>
                <w:sz w:val="22"/>
                <w:szCs w:val="22"/>
                <w:lang w:val="sr-Latn-ME"/>
              </w:rPr>
            </w:pPr>
            <w:r w:rsidRPr="00042A6C">
              <w:rPr>
                <w:sz w:val="22"/>
                <w:szCs w:val="22"/>
                <w:lang w:val="sr-Latn-ME"/>
              </w:rPr>
              <w:t>(&lt;0,1%)</w:t>
            </w:r>
          </w:p>
        </w:tc>
      </w:tr>
      <w:tr w:rsidR="00D655B4" w:rsidRPr="00042A6C" w:rsidTr="00B427F3">
        <w:tc>
          <w:tcPr>
            <w:tcW w:w="3021" w:type="dxa"/>
            <w:vAlign w:val="center"/>
          </w:tcPr>
          <w:p w:rsidR="00D655B4" w:rsidRPr="00042A6C" w:rsidRDefault="00D655B4" w:rsidP="004C49DB">
            <w:pPr>
              <w:widowControl w:val="0"/>
              <w:autoSpaceDE w:val="0"/>
              <w:autoSpaceDN w:val="0"/>
              <w:spacing w:line="237" w:lineRule="auto"/>
              <w:ind w:left="9" w:right="154"/>
              <w:jc w:val="right"/>
              <w:rPr>
                <w:sz w:val="22"/>
                <w:szCs w:val="22"/>
                <w:lang w:val="sr-Latn-ME"/>
              </w:rPr>
            </w:pPr>
            <w:r w:rsidRPr="00042A6C">
              <w:rPr>
                <w:sz w:val="22"/>
                <w:szCs w:val="22"/>
                <w:lang w:val="sr-Latn-ME"/>
              </w:rPr>
              <w:t>PE sa smrtnim ishodom/smrt pri kojoj se PE ne može isključiti</w:t>
            </w:r>
          </w:p>
        </w:tc>
        <w:tc>
          <w:tcPr>
            <w:tcW w:w="3021" w:type="dxa"/>
            <w:vAlign w:val="center"/>
          </w:tcPr>
          <w:p w:rsidR="00D655B4" w:rsidRPr="00042A6C" w:rsidRDefault="00D655B4" w:rsidP="00B427F3">
            <w:pPr>
              <w:tabs>
                <w:tab w:val="left" w:pos="540"/>
                <w:tab w:val="left" w:pos="569"/>
              </w:tabs>
              <w:jc w:val="center"/>
              <w:rPr>
                <w:bCs/>
                <w:sz w:val="22"/>
                <w:szCs w:val="22"/>
                <w:lang w:val="sr-Latn-ME"/>
              </w:rPr>
            </w:pPr>
            <w:r w:rsidRPr="00042A6C">
              <w:rPr>
                <w:bCs/>
                <w:sz w:val="22"/>
                <w:szCs w:val="22"/>
                <w:lang w:val="sr-Latn-ME"/>
              </w:rPr>
              <w:t>11</w:t>
            </w:r>
          </w:p>
          <w:p w:rsidR="00D655B4" w:rsidRPr="00042A6C" w:rsidRDefault="00D655B4" w:rsidP="00B427F3">
            <w:pPr>
              <w:tabs>
                <w:tab w:val="left" w:pos="540"/>
                <w:tab w:val="left" w:pos="569"/>
              </w:tabs>
              <w:jc w:val="center"/>
              <w:rPr>
                <w:bCs/>
                <w:sz w:val="22"/>
                <w:szCs w:val="22"/>
                <w:lang w:val="sr-Latn-ME"/>
              </w:rPr>
            </w:pPr>
            <w:r w:rsidRPr="00042A6C">
              <w:rPr>
                <w:bCs/>
                <w:sz w:val="22"/>
                <w:szCs w:val="22"/>
                <w:lang w:val="sr-Latn-ME"/>
              </w:rPr>
              <w:t>(0,5%)</w:t>
            </w:r>
          </w:p>
        </w:tc>
        <w:tc>
          <w:tcPr>
            <w:tcW w:w="3021" w:type="dxa"/>
            <w:vAlign w:val="center"/>
          </w:tcPr>
          <w:p w:rsidR="00D655B4" w:rsidRPr="00042A6C" w:rsidRDefault="00D655B4" w:rsidP="00B427F3">
            <w:pPr>
              <w:tabs>
                <w:tab w:val="left" w:pos="540"/>
                <w:tab w:val="left" w:pos="569"/>
              </w:tabs>
              <w:jc w:val="center"/>
              <w:rPr>
                <w:bCs/>
                <w:sz w:val="22"/>
                <w:szCs w:val="22"/>
                <w:lang w:val="sr-Latn-ME"/>
              </w:rPr>
            </w:pPr>
            <w:r w:rsidRPr="00042A6C">
              <w:rPr>
                <w:bCs/>
                <w:sz w:val="22"/>
                <w:szCs w:val="22"/>
                <w:lang w:val="sr-Latn-ME"/>
              </w:rPr>
              <w:t>7</w:t>
            </w:r>
          </w:p>
          <w:p w:rsidR="00D655B4" w:rsidRPr="00042A6C" w:rsidRDefault="00D655B4" w:rsidP="00B427F3">
            <w:pPr>
              <w:tabs>
                <w:tab w:val="left" w:pos="540"/>
                <w:tab w:val="left" w:pos="569"/>
              </w:tabs>
              <w:jc w:val="center"/>
              <w:rPr>
                <w:bCs/>
                <w:sz w:val="22"/>
                <w:szCs w:val="22"/>
                <w:lang w:val="sr-Latn-ME"/>
              </w:rPr>
            </w:pPr>
            <w:r w:rsidRPr="00042A6C">
              <w:rPr>
                <w:bCs/>
                <w:sz w:val="22"/>
                <w:szCs w:val="22"/>
                <w:lang w:val="sr-Latn-ME"/>
              </w:rPr>
              <w:t>(0,3%)</w:t>
            </w:r>
          </w:p>
        </w:tc>
      </w:tr>
      <w:tr w:rsidR="00D655B4" w:rsidRPr="00042A6C" w:rsidTr="00B427F3">
        <w:tc>
          <w:tcPr>
            <w:tcW w:w="3021" w:type="dxa"/>
            <w:vAlign w:val="center"/>
          </w:tcPr>
          <w:p w:rsidR="00D655B4" w:rsidRPr="00042A6C" w:rsidRDefault="00751CC3" w:rsidP="00751CC3">
            <w:pPr>
              <w:widowControl w:val="0"/>
              <w:tabs>
                <w:tab w:val="left" w:pos="1070"/>
                <w:tab w:val="left" w:pos="1468"/>
                <w:tab w:val="left" w:pos="2476"/>
              </w:tabs>
              <w:autoSpaceDE w:val="0"/>
              <w:autoSpaceDN w:val="0"/>
              <w:spacing w:before="5" w:line="223" w:lineRule="auto"/>
              <w:ind w:left="9" w:right="88"/>
              <w:rPr>
                <w:sz w:val="22"/>
                <w:szCs w:val="22"/>
                <w:lang w:val="sr-Latn-ME"/>
              </w:rPr>
            </w:pPr>
            <w:r w:rsidRPr="00042A6C">
              <w:rPr>
                <w:sz w:val="22"/>
                <w:szCs w:val="22"/>
                <w:lang w:val="sr-Latn-ME"/>
              </w:rPr>
              <w:t xml:space="preserve">Velika </w:t>
            </w:r>
            <w:r w:rsidR="00D655B4" w:rsidRPr="00042A6C">
              <w:rPr>
                <w:sz w:val="22"/>
                <w:szCs w:val="22"/>
                <w:lang w:val="sr-Latn-ME"/>
              </w:rPr>
              <w:t xml:space="preserve">ili klinički značajna </w:t>
            </w:r>
            <w:r w:rsidRPr="00042A6C">
              <w:rPr>
                <w:sz w:val="22"/>
                <w:szCs w:val="22"/>
                <w:lang w:val="sr-Latn-ME"/>
              </w:rPr>
              <w:t xml:space="preserve">manja </w:t>
            </w:r>
            <w:r w:rsidR="00D655B4" w:rsidRPr="00042A6C">
              <w:rPr>
                <w:sz w:val="22"/>
                <w:szCs w:val="22"/>
                <w:lang w:val="sr-Latn-ME"/>
              </w:rPr>
              <w:t>krvarenja</w:t>
            </w:r>
          </w:p>
        </w:tc>
        <w:tc>
          <w:tcPr>
            <w:tcW w:w="3021" w:type="dxa"/>
            <w:vAlign w:val="center"/>
          </w:tcPr>
          <w:p w:rsidR="00D655B4" w:rsidRPr="00042A6C" w:rsidRDefault="00D655B4" w:rsidP="00B427F3">
            <w:pPr>
              <w:tabs>
                <w:tab w:val="left" w:pos="540"/>
                <w:tab w:val="left" w:pos="569"/>
              </w:tabs>
              <w:jc w:val="center"/>
              <w:rPr>
                <w:bCs/>
                <w:sz w:val="22"/>
                <w:szCs w:val="22"/>
                <w:lang w:val="sr-Latn-ME"/>
              </w:rPr>
            </w:pPr>
            <w:r w:rsidRPr="00042A6C">
              <w:rPr>
                <w:bCs/>
                <w:sz w:val="22"/>
                <w:szCs w:val="22"/>
                <w:lang w:val="sr-Latn-ME"/>
              </w:rPr>
              <w:t>249</w:t>
            </w:r>
          </w:p>
          <w:p w:rsidR="00D655B4" w:rsidRPr="00042A6C" w:rsidRDefault="00D655B4" w:rsidP="00B427F3">
            <w:pPr>
              <w:tabs>
                <w:tab w:val="left" w:pos="540"/>
                <w:tab w:val="left" w:pos="569"/>
              </w:tabs>
              <w:jc w:val="center"/>
              <w:rPr>
                <w:bCs/>
                <w:sz w:val="22"/>
                <w:szCs w:val="22"/>
                <w:lang w:val="sr-Latn-ME"/>
              </w:rPr>
            </w:pPr>
            <w:r w:rsidRPr="00042A6C">
              <w:rPr>
                <w:bCs/>
                <w:sz w:val="22"/>
                <w:szCs w:val="22"/>
                <w:lang w:val="sr-Latn-ME"/>
              </w:rPr>
              <w:t>(10,3%)</w:t>
            </w:r>
          </w:p>
        </w:tc>
        <w:tc>
          <w:tcPr>
            <w:tcW w:w="3021" w:type="dxa"/>
            <w:vAlign w:val="center"/>
          </w:tcPr>
          <w:p w:rsidR="00D655B4" w:rsidRPr="00042A6C" w:rsidRDefault="00D655B4" w:rsidP="00B427F3">
            <w:pPr>
              <w:tabs>
                <w:tab w:val="left" w:pos="540"/>
                <w:tab w:val="left" w:pos="569"/>
              </w:tabs>
              <w:jc w:val="center"/>
              <w:rPr>
                <w:bCs/>
                <w:sz w:val="22"/>
                <w:szCs w:val="22"/>
                <w:lang w:val="sr-Latn-ME"/>
              </w:rPr>
            </w:pPr>
            <w:r w:rsidRPr="00042A6C">
              <w:rPr>
                <w:bCs/>
                <w:sz w:val="22"/>
                <w:szCs w:val="22"/>
                <w:lang w:val="sr-Latn-ME"/>
              </w:rPr>
              <w:t>274</w:t>
            </w:r>
          </w:p>
          <w:p w:rsidR="00D655B4" w:rsidRPr="00042A6C" w:rsidRDefault="00D655B4" w:rsidP="00B427F3">
            <w:pPr>
              <w:tabs>
                <w:tab w:val="left" w:pos="540"/>
                <w:tab w:val="left" w:pos="569"/>
              </w:tabs>
              <w:jc w:val="center"/>
              <w:rPr>
                <w:bCs/>
                <w:sz w:val="22"/>
                <w:szCs w:val="22"/>
                <w:lang w:val="sr-Latn-ME"/>
              </w:rPr>
            </w:pPr>
            <w:r w:rsidRPr="00042A6C">
              <w:rPr>
                <w:bCs/>
                <w:sz w:val="22"/>
                <w:szCs w:val="22"/>
                <w:lang w:val="sr-Latn-ME"/>
              </w:rPr>
              <w:t>(11,4%)</w:t>
            </w:r>
          </w:p>
        </w:tc>
      </w:tr>
      <w:tr w:rsidR="00D655B4" w:rsidRPr="00042A6C" w:rsidTr="00B427F3">
        <w:tc>
          <w:tcPr>
            <w:tcW w:w="3021" w:type="dxa"/>
            <w:vAlign w:val="center"/>
          </w:tcPr>
          <w:p w:rsidR="00D655B4" w:rsidRPr="00042A6C" w:rsidRDefault="00D655B4" w:rsidP="00751CC3">
            <w:pPr>
              <w:widowControl w:val="0"/>
              <w:autoSpaceDE w:val="0"/>
              <w:autoSpaceDN w:val="0"/>
              <w:spacing w:line="235" w:lineRule="exact"/>
              <w:ind w:left="9"/>
              <w:rPr>
                <w:sz w:val="22"/>
                <w:szCs w:val="22"/>
                <w:lang w:val="sr-Latn-ME"/>
              </w:rPr>
            </w:pPr>
            <w:r w:rsidRPr="00042A6C">
              <w:rPr>
                <w:sz w:val="22"/>
                <w:szCs w:val="22"/>
                <w:lang w:val="sr-Latn-ME"/>
              </w:rPr>
              <w:t xml:space="preserve">Događaji </w:t>
            </w:r>
            <w:r w:rsidR="00751CC3" w:rsidRPr="00042A6C">
              <w:rPr>
                <w:sz w:val="22"/>
                <w:szCs w:val="22"/>
                <w:lang w:val="sr-Latn-ME"/>
              </w:rPr>
              <w:t xml:space="preserve">velikih </w:t>
            </w:r>
            <w:r w:rsidRPr="00042A6C">
              <w:rPr>
                <w:sz w:val="22"/>
                <w:szCs w:val="22"/>
                <w:lang w:val="sr-Latn-ME"/>
              </w:rPr>
              <w:t>krvarenja</w:t>
            </w:r>
          </w:p>
        </w:tc>
        <w:tc>
          <w:tcPr>
            <w:tcW w:w="3021" w:type="dxa"/>
            <w:vAlign w:val="center"/>
          </w:tcPr>
          <w:p w:rsidR="00D655B4" w:rsidRPr="00042A6C" w:rsidRDefault="00D655B4" w:rsidP="00B427F3">
            <w:pPr>
              <w:tabs>
                <w:tab w:val="left" w:pos="540"/>
                <w:tab w:val="left" w:pos="569"/>
              </w:tabs>
              <w:jc w:val="center"/>
              <w:rPr>
                <w:bCs/>
                <w:sz w:val="22"/>
                <w:szCs w:val="22"/>
                <w:lang w:val="sr-Latn-ME"/>
              </w:rPr>
            </w:pPr>
            <w:r w:rsidRPr="00042A6C">
              <w:rPr>
                <w:bCs/>
                <w:sz w:val="22"/>
                <w:szCs w:val="22"/>
                <w:lang w:val="sr-Latn-ME"/>
              </w:rPr>
              <w:t>26</w:t>
            </w:r>
          </w:p>
          <w:p w:rsidR="00D655B4" w:rsidRPr="00042A6C" w:rsidRDefault="00D655B4" w:rsidP="00B427F3">
            <w:pPr>
              <w:tabs>
                <w:tab w:val="left" w:pos="540"/>
                <w:tab w:val="left" w:pos="569"/>
              </w:tabs>
              <w:jc w:val="center"/>
              <w:rPr>
                <w:bCs/>
                <w:sz w:val="22"/>
                <w:szCs w:val="22"/>
                <w:lang w:val="sr-Latn-ME"/>
              </w:rPr>
            </w:pPr>
            <w:r w:rsidRPr="00042A6C">
              <w:rPr>
                <w:bCs/>
                <w:sz w:val="22"/>
                <w:szCs w:val="22"/>
                <w:lang w:val="sr-Latn-ME"/>
              </w:rPr>
              <w:t>(1,1%)</w:t>
            </w:r>
          </w:p>
        </w:tc>
        <w:tc>
          <w:tcPr>
            <w:tcW w:w="3021" w:type="dxa"/>
            <w:vAlign w:val="center"/>
          </w:tcPr>
          <w:p w:rsidR="00D655B4" w:rsidRPr="00042A6C" w:rsidRDefault="00D655B4" w:rsidP="00B427F3">
            <w:pPr>
              <w:tabs>
                <w:tab w:val="left" w:pos="540"/>
                <w:tab w:val="left" w:pos="569"/>
              </w:tabs>
              <w:jc w:val="center"/>
              <w:rPr>
                <w:bCs/>
                <w:sz w:val="22"/>
                <w:szCs w:val="22"/>
                <w:lang w:val="sr-Latn-ME"/>
              </w:rPr>
            </w:pPr>
            <w:r w:rsidRPr="00042A6C">
              <w:rPr>
                <w:bCs/>
                <w:sz w:val="22"/>
                <w:szCs w:val="22"/>
                <w:lang w:val="sr-Latn-ME"/>
              </w:rPr>
              <w:t>52</w:t>
            </w:r>
          </w:p>
          <w:p w:rsidR="00D655B4" w:rsidRPr="00042A6C" w:rsidRDefault="00D655B4" w:rsidP="00B427F3">
            <w:pPr>
              <w:tabs>
                <w:tab w:val="left" w:pos="540"/>
                <w:tab w:val="left" w:pos="569"/>
              </w:tabs>
              <w:jc w:val="center"/>
              <w:rPr>
                <w:bCs/>
                <w:sz w:val="22"/>
                <w:szCs w:val="22"/>
                <w:lang w:val="sr-Latn-ME"/>
              </w:rPr>
            </w:pPr>
            <w:r w:rsidRPr="00042A6C">
              <w:rPr>
                <w:bCs/>
                <w:sz w:val="22"/>
                <w:szCs w:val="22"/>
                <w:lang w:val="sr-Latn-ME"/>
              </w:rPr>
              <w:t>(2,2%)</w:t>
            </w:r>
          </w:p>
        </w:tc>
      </w:tr>
    </w:tbl>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a)</w:t>
      </w:r>
      <w:r w:rsidRPr="00042A6C">
        <w:rPr>
          <w:bCs/>
          <w:sz w:val="22"/>
          <w:szCs w:val="22"/>
          <w:lang w:val="sr-Latn-ME"/>
        </w:rPr>
        <w:tab/>
        <w:t xml:space="preserve">Rivaroksaban u dozi od 15 mg dva puta dnevno tokom 3 </w:t>
      </w:r>
      <w:r w:rsidR="00751CC3" w:rsidRPr="00042A6C">
        <w:rPr>
          <w:bCs/>
          <w:sz w:val="22"/>
          <w:szCs w:val="22"/>
          <w:lang w:val="sr-Latn-ME"/>
        </w:rPr>
        <w:t>nedjelje</w:t>
      </w:r>
      <w:r w:rsidRPr="00042A6C">
        <w:rPr>
          <w:bCs/>
          <w:sz w:val="22"/>
          <w:szCs w:val="22"/>
          <w:lang w:val="sr-Latn-ME"/>
        </w:rPr>
        <w:t>, nakon toga 20 mg jednom dnevno</w:t>
      </w:r>
      <w:r w:rsidR="00751CC3" w:rsidRPr="00042A6C">
        <w:rPr>
          <w:bCs/>
          <w:sz w:val="22"/>
          <w:szCs w:val="22"/>
          <w:lang w:val="sr-Latn-ME"/>
        </w:rPr>
        <w:t>.</w:t>
      </w: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b)</w:t>
      </w:r>
      <w:r w:rsidRPr="00042A6C">
        <w:rPr>
          <w:bCs/>
          <w:sz w:val="22"/>
          <w:szCs w:val="22"/>
          <w:lang w:val="sr-Latn-ME"/>
        </w:rPr>
        <w:tab/>
        <w:t>Enoksaparin tokom najmanje 5 dana preklapa se i nastavlja sa VKA</w:t>
      </w:r>
      <w:r w:rsidR="00751CC3" w:rsidRPr="00042A6C">
        <w:rPr>
          <w:bCs/>
          <w:sz w:val="22"/>
          <w:szCs w:val="22"/>
          <w:lang w:val="sr-Latn-ME"/>
        </w:rPr>
        <w:t>.</w:t>
      </w: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w:t>
      </w:r>
      <w:r w:rsidRPr="00042A6C">
        <w:rPr>
          <w:bCs/>
          <w:sz w:val="22"/>
          <w:szCs w:val="22"/>
          <w:lang w:val="sr-Latn-ME"/>
        </w:rPr>
        <w:tab/>
        <w:t>p &lt; 0,0026 (neinferiornost u odnosu na unaprijed definisani HR od 2,0); HR: 1,123 (0,749 – 1,684)</w:t>
      </w:r>
    </w:p>
    <w:p w:rsidR="00D655B4" w:rsidRPr="00042A6C" w:rsidRDefault="00D655B4" w:rsidP="00D655B4">
      <w:pPr>
        <w:tabs>
          <w:tab w:val="left" w:pos="540"/>
          <w:tab w:val="left" w:pos="569"/>
        </w:tabs>
        <w:jc w:val="both"/>
        <w:rPr>
          <w:bCs/>
          <w:sz w:val="22"/>
          <w:szCs w:val="22"/>
          <w:lang w:val="sr-Latn-ME"/>
        </w:rPr>
      </w:pP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Sprovedena je unaprijed definisana objedinjena analiza ishoda Einstein DVT i Einstein PE studija (vidjeti Tabelu 8).</w:t>
      </w:r>
    </w:p>
    <w:p w:rsidR="00D655B4" w:rsidRPr="00042A6C" w:rsidRDefault="00D655B4" w:rsidP="00D655B4">
      <w:pPr>
        <w:tabs>
          <w:tab w:val="left" w:pos="540"/>
          <w:tab w:val="left" w:pos="569"/>
        </w:tabs>
        <w:jc w:val="both"/>
        <w:rPr>
          <w:bCs/>
          <w:sz w:val="22"/>
          <w:szCs w:val="22"/>
          <w:lang w:val="sr-Latn-ME"/>
        </w:rPr>
      </w:pPr>
    </w:p>
    <w:p w:rsidR="00D655B4" w:rsidRPr="00042A6C" w:rsidRDefault="00D655B4" w:rsidP="00D655B4">
      <w:pPr>
        <w:tabs>
          <w:tab w:val="left" w:pos="540"/>
          <w:tab w:val="left" w:pos="569"/>
        </w:tabs>
        <w:jc w:val="both"/>
        <w:rPr>
          <w:b/>
          <w:bCs/>
          <w:sz w:val="22"/>
          <w:szCs w:val="22"/>
          <w:lang w:val="sr-Latn-ME"/>
        </w:rPr>
      </w:pPr>
      <w:r w:rsidRPr="00042A6C">
        <w:rPr>
          <w:b/>
          <w:bCs/>
          <w:sz w:val="22"/>
          <w:szCs w:val="22"/>
          <w:lang w:val="sr-Latn-ME"/>
        </w:rPr>
        <w:t xml:space="preserve">Tabela 8: Rezultati efikasnosti i bezbjednosti iz objedinjene analize studija </w:t>
      </w:r>
      <w:r w:rsidR="00751CC3" w:rsidRPr="00042A6C">
        <w:rPr>
          <w:b/>
          <w:bCs/>
          <w:sz w:val="22"/>
          <w:szCs w:val="22"/>
          <w:lang w:val="sr-Latn-ME"/>
        </w:rPr>
        <w:t xml:space="preserve">faze III </w:t>
      </w:r>
      <w:r w:rsidRPr="00042A6C">
        <w:rPr>
          <w:b/>
          <w:bCs/>
          <w:i/>
          <w:sz w:val="22"/>
          <w:szCs w:val="22"/>
          <w:lang w:val="sr-Latn-ME"/>
        </w:rPr>
        <w:t xml:space="preserve">Einstein DVT </w:t>
      </w:r>
      <w:r w:rsidRPr="00042A6C">
        <w:rPr>
          <w:b/>
          <w:bCs/>
          <w:sz w:val="22"/>
          <w:szCs w:val="22"/>
          <w:lang w:val="sr-Latn-ME"/>
        </w:rPr>
        <w:t xml:space="preserve">i </w:t>
      </w:r>
      <w:r w:rsidRPr="00042A6C">
        <w:rPr>
          <w:b/>
          <w:bCs/>
          <w:i/>
          <w:sz w:val="22"/>
          <w:szCs w:val="22"/>
          <w:lang w:val="sr-Latn-ME"/>
        </w:rPr>
        <w:t>Einstein PE</w:t>
      </w:r>
    </w:p>
    <w:tbl>
      <w:tblPr>
        <w:tblStyle w:val="TableGrid"/>
        <w:tblW w:w="0" w:type="auto"/>
        <w:tblLook w:val="04A0" w:firstRow="1" w:lastRow="0" w:firstColumn="1" w:lastColumn="0" w:noHBand="0" w:noVBand="1"/>
      </w:tblPr>
      <w:tblGrid>
        <w:gridCol w:w="3021"/>
        <w:gridCol w:w="3021"/>
        <w:gridCol w:w="3021"/>
      </w:tblGrid>
      <w:tr w:rsidR="00D655B4" w:rsidRPr="00042A6C" w:rsidTr="00B427F3">
        <w:tc>
          <w:tcPr>
            <w:tcW w:w="3021" w:type="dxa"/>
          </w:tcPr>
          <w:p w:rsidR="00D655B4" w:rsidRPr="004C49DB" w:rsidRDefault="00D655B4" w:rsidP="00B427F3">
            <w:pPr>
              <w:widowControl w:val="0"/>
              <w:autoSpaceDE w:val="0"/>
              <w:autoSpaceDN w:val="0"/>
              <w:spacing w:line="234" w:lineRule="exact"/>
              <w:ind w:left="9"/>
              <w:rPr>
                <w:b/>
                <w:sz w:val="22"/>
                <w:szCs w:val="22"/>
                <w:lang w:val="sr-Latn-ME"/>
              </w:rPr>
            </w:pPr>
            <w:r w:rsidRPr="004C49DB">
              <w:rPr>
                <w:b/>
                <w:sz w:val="22"/>
                <w:szCs w:val="22"/>
                <w:lang w:val="sr-Latn-ME"/>
              </w:rPr>
              <w:t>Populacija uključena u studiju</w:t>
            </w:r>
          </w:p>
        </w:tc>
        <w:tc>
          <w:tcPr>
            <w:tcW w:w="6042" w:type="dxa"/>
            <w:gridSpan w:val="2"/>
          </w:tcPr>
          <w:p w:rsidR="00D655B4" w:rsidRPr="004C49DB" w:rsidRDefault="00D655B4" w:rsidP="00B427F3">
            <w:pPr>
              <w:widowControl w:val="0"/>
              <w:autoSpaceDE w:val="0"/>
              <w:autoSpaceDN w:val="0"/>
              <w:spacing w:line="234" w:lineRule="exact"/>
              <w:ind w:left="9"/>
              <w:rPr>
                <w:b/>
                <w:sz w:val="22"/>
                <w:szCs w:val="22"/>
                <w:lang w:val="sr-Latn-ME"/>
              </w:rPr>
            </w:pPr>
            <w:r w:rsidRPr="004C49DB">
              <w:rPr>
                <w:b/>
                <w:sz w:val="22"/>
                <w:szCs w:val="22"/>
                <w:lang w:val="sr-Latn-ME"/>
              </w:rPr>
              <w:t>8281 pacijenata sa akutnom simptomatskom TDV ili PE</w:t>
            </w:r>
          </w:p>
        </w:tc>
      </w:tr>
      <w:tr w:rsidR="00D655B4" w:rsidRPr="00042A6C" w:rsidTr="00B427F3">
        <w:tc>
          <w:tcPr>
            <w:tcW w:w="3021" w:type="dxa"/>
            <w:vAlign w:val="center"/>
          </w:tcPr>
          <w:p w:rsidR="00D655B4" w:rsidRPr="004C49DB" w:rsidRDefault="00D655B4" w:rsidP="00B427F3">
            <w:pPr>
              <w:widowControl w:val="0"/>
              <w:autoSpaceDE w:val="0"/>
              <w:autoSpaceDN w:val="0"/>
              <w:rPr>
                <w:b/>
                <w:sz w:val="22"/>
                <w:szCs w:val="22"/>
                <w:lang w:val="sr-Latn-ME"/>
              </w:rPr>
            </w:pPr>
            <w:r w:rsidRPr="004C49DB">
              <w:rPr>
                <w:b/>
                <w:sz w:val="22"/>
                <w:szCs w:val="22"/>
                <w:lang w:val="sr-Latn-ME"/>
              </w:rPr>
              <w:t>Terapijska doza i trajanje liječenja</w:t>
            </w:r>
          </w:p>
        </w:tc>
        <w:tc>
          <w:tcPr>
            <w:tcW w:w="3021" w:type="dxa"/>
            <w:vAlign w:val="center"/>
          </w:tcPr>
          <w:p w:rsidR="00D655B4" w:rsidRPr="004C49DB" w:rsidRDefault="00D655B4" w:rsidP="00B427F3">
            <w:pPr>
              <w:widowControl w:val="0"/>
              <w:autoSpaceDE w:val="0"/>
              <w:autoSpaceDN w:val="0"/>
              <w:spacing w:line="238" w:lineRule="exact"/>
              <w:ind w:left="414" w:right="411"/>
              <w:jc w:val="center"/>
              <w:rPr>
                <w:b/>
                <w:sz w:val="22"/>
                <w:szCs w:val="22"/>
                <w:lang w:val="sr-Latn-ME"/>
              </w:rPr>
            </w:pPr>
            <w:r w:rsidRPr="004C49DB">
              <w:rPr>
                <w:b/>
                <w:sz w:val="22"/>
                <w:szCs w:val="22"/>
                <w:lang w:val="sr-Latn-ME"/>
              </w:rPr>
              <w:t>Rivaroksaban</w:t>
            </w:r>
            <w:r w:rsidRPr="004C49DB">
              <w:rPr>
                <w:b/>
                <w:sz w:val="22"/>
                <w:szCs w:val="22"/>
                <w:vertAlign w:val="superscript"/>
                <w:lang w:val="sr-Latn-ME"/>
              </w:rPr>
              <w:t>a)</w:t>
            </w:r>
          </w:p>
          <w:p w:rsidR="00D655B4" w:rsidRPr="004C49DB" w:rsidRDefault="00D655B4" w:rsidP="00B427F3">
            <w:pPr>
              <w:widowControl w:val="0"/>
              <w:autoSpaceDE w:val="0"/>
              <w:autoSpaceDN w:val="0"/>
              <w:spacing w:line="251" w:lineRule="exact"/>
              <w:ind w:left="425" w:right="411"/>
              <w:jc w:val="center"/>
              <w:rPr>
                <w:b/>
                <w:sz w:val="22"/>
                <w:szCs w:val="22"/>
                <w:lang w:val="sr-Latn-ME"/>
              </w:rPr>
            </w:pPr>
            <w:r w:rsidRPr="004C49DB">
              <w:rPr>
                <w:b/>
                <w:sz w:val="22"/>
                <w:szCs w:val="22"/>
                <w:lang w:val="sr-Latn-ME"/>
              </w:rPr>
              <w:t>3, 6 ili 12 mjeseci N=4150</w:t>
            </w:r>
          </w:p>
        </w:tc>
        <w:tc>
          <w:tcPr>
            <w:tcW w:w="3021" w:type="dxa"/>
            <w:vAlign w:val="center"/>
          </w:tcPr>
          <w:p w:rsidR="00D655B4" w:rsidRPr="004C49DB" w:rsidRDefault="00D655B4" w:rsidP="00B427F3">
            <w:pPr>
              <w:widowControl w:val="0"/>
              <w:autoSpaceDE w:val="0"/>
              <w:autoSpaceDN w:val="0"/>
              <w:spacing w:line="238" w:lineRule="exact"/>
              <w:ind w:left="147" w:right="137"/>
              <w:jc w:val="center"/>
              <w:rPr>
                <w:b/>
                <w:sz w:val="22"/>
                <w:szCs w:val="22"/>
                <w:lang w:val="sr-Latn-ME"/>
              </w:rPr>
            </w:pPr>
            <w:r w:rsidRPr="004C49DB">
              <w:rPr>
                <w:b/>
                <w:sz w:val="22"/>
                <w:szCs w:val="22"/>
                <w:lang w:val="sr-Latn-ME"/>
              </w:rPr>
              <w:t>Enoksaparin/VKA</w:t>
            </w:r>
            <w:r w:rsidRPr="004C49DB">
              <w:rPr>
                <w:b/>
                <w:sz w:val="22"/>
                <w:szCs w:val="22"/>
                <w:vertAlign w:val="superscript"/>
                <w:lang w:val="sr-Latn-ME"/>
              </w:rPr>
              <w:t>b)</w:t>
            </w:r>
          </w:p>
          <w:p w:rsidR="00751CC3" w:rsidRPr="00042A6C" w:rsidRDefault="00D655B4" w:rsidP="00B427F3">
            <w:pPr>
              <w:widowControl w:val="0"/>
              <w:autoSpaceDE w:val="0"/>
              <w:autoSpaceDN w:val="0"/>
              <w:spacing w:line="251" w:lineRule="exact"/>
              <w:ind w:left="151" w:right="137"/>
              <w:jc w:val="center"/>
              <w:rPr>
                <w:b/>
                <w:sz w:val="22"/>
                <w:szCs w:val="22"/>
                <w:lang w:val="sr-Latn-ME"/>
              </w:rPr>
            </w:pPr>
            <w:r w:rsidRPr="004C49DB">
              <w:rPr>
                <w:b/>
                <w:sz w:val="22"/>
                <w:szCs w:val="22"/>
                <w:lang w:val="sr-Latn-ME"/>
              </w:rPr>
              <w:t xml:space="preserve">3, 6 ili 12 mjeseci </w:t>
            </w:r>
          </w:p>
          <w:p w:rsidR="00D655B4" w:rsidRPr="004C49DB" w:rsidRDefault="00D655B4" w:rsidP="00B427F3">
            <w:pPr>
              <w:widowControl w:val="0"/>
              <w:autoSpaceDE w:val="0"/>
              <w:autoSpaceDN w:val="0"/>
              <w:spacing w:line="251" w:lineRule="exact"/>
              <w:ind w:left="151" w:right="137"/>
              <w:jc w:val="center"/>
              <w:rPr>
                <w:b/>
                <w:sz w:val="22"/>
                <w:szCs w:val="22"/>
                <w:lang w:val="sr-Latn-ME"/>
              </w:rPr>
            </w:pPr>
            <w:r w:rsidRPr="004C49DB">
              <w:rPr>
                <w:b/>
                <w:sz w:val="22"/>
                <w:szCs w:val="22"/>
                <w:lang w:val="sr-Latn-ME"/>
              </w:rPr>
              <w:t>N=4131</w:t>
            </w:r>
          </w:p>
        </w:tc>
      </w:tr>
      <w:tr w:rsidR="00D655B4" w:rsidRPr="00042A6C" w:rsidTr="00B427F3">
        <w:tc>
          <w:tcPr>
            <w:tcW w:w="3021" w:type="dxa"/>
            <w:vAlign w:val="center"/>
          </w:tcPr>
          <w:p w:rsidR="00D655B4" w:rsidRPr="00042A6C" w:rsidRDefault="00D655B4" w:rsidP="00B427F3">
            <w:pPr>
              <w:widowControl w:val="0"/>
              <w:autoSpaceDE w:val="0"/>
              <w:autoSpaceDN w:val="0"/>
              <w:spacing w:line="235" w:lineRule="exact"/>
              <w:ind w:left="9"/>
              <w:rPr>
                <w:sz w:val="22"/>
                <w:szCs w:val="22"/>
                <w:lang w:val="sr-Latn-ME"/>
              </w:rPr>
            </w:pPr>
            <w:r w:rsidRPr="00042A6C">
              <w:rPr>
                <w:sz w:val="22"/>
                <w:szCs w:val="22"/>
                <w:lang w:val="sr-Latn-ME"/>
              </w:rPr>
              <w:t>Simptomatska rekurentna VTE*</w:t>
            </w:r>
          </w:p>
        </w:tc>
        <w:tc>
          <w:tcPr>
            <w:tcW w:w="3021" w:type="dxa"/>
            <w:vAlign w:val="center"/>
          </w:tcPr>
          <w:p w:rsidR="00D655B4" w:rsidRPr="00042A6C" w:rsidRDefault="00D655B4" w:rsidP="00B427F3">
            <w:pPr>
              <w:widowControl w:val="0"/>
              <w:autoSpaceDE w:val="0"/>
              <w:autoSpaceDN w:val="0"/>
              <w:spacing w:line="226" w:lineRule="exact"/>
              <w:ind w:left="425" w:right="406"/>
              <w:jc w:val="center"/>
              <w:rPr>
                <w:sz w:val="22"/>
                <w:szCs w:val="22"/>
                <w:lang w:val="sr-Latn-ME"/>
              </w:rPr>
            </w:pPr>
            <w:r w:rsidRPr="00042A6C">
              <w:rPr>
                <w:sz w:val="22"/>
                <w:szCs w:val="22"/>
                <w:lang w:val="sr-Latn-ME"/>
              </w:rPr>
              <w:t>86</w:t>
            </w:r>
          </w:p>
          <w:p w:rsidR="00D655B4" w:rsidRPr="00042A6C" w:rsidRDefault="00D655B4" w:rsidP="00B427F3">
            <w:pPr>
              <w:widowControl w:val="0"/>
              <w:autoSpaceDE w:val="0"/>
              <w:autoSpaceDN w:val="0"/>
              <w:spacing w:line="224" w:lineRule="exact"/>
              <w:ind w:left="425" w:right="405"/>
              <w:jc w:val="center"/>
              <w:rPr>
                <w:sz w:val="22"/>
                <w:szCs w:val="22"/>
                <w:lang w:val="sr-Latn-ME"/>
              </w:rPr>
            </w:pPr>
            <w:r w:rsidRPr="00042A6C">
              <w:rPr>
                <w:sz w:val="22"/>
                <w:szCs w:val="22"/>
                <w:lang w:val="sr-Latn-ME"/>
              </w:rPr>
              <w:t>(2,1%)</w:t>
            </w:r>
          </w:p>
        </w:tc>
        <w:tc>
          <w:tcPr>
            <w:tcW w:w="3021" w:type="dxa"/>
            <w:vAlign w:val="center"/>
          </w:tcPr>
          <w:p w:rsidR="00D655B4" w:rsidRPr="00042A6C" w:rsidRDefault="00D655B4" w:rsidP="00B427F3">
            <w:pPr>
              <w:widowControl w:val="0"/>
              <w:autoSpaceDE w:val="0"/>
              <w:autoSpaceDN w:val="0"/>
              <w:spacing w:line="226" w:lineRule="exact"/>
              <w:ind w:left="156" w:right="137"/>
              <w:jc w:val="center"/>
              <w:rPr>
                <w:sz w:val="22"/>
                <w:szCs w:val="22"/>
                <w:lang w:val="sr-Latn-ME"/>
              </w:rPr>
            </w:pPr>
            <w:r w:rsidRPr="00042A6C">
              <w:rPr>
                <w:sz w:val="22"/>
                <w:szCs w:val="22"/>
                <w:lang w:val="sr-Latn-ME"/>
              </w:rPr>
              <w:t>95</w:t>
            </w:r>
          </w:p>
          <w:p w:rsidR="00D655B4" w:rsidRPr="00042A6C" w:rsidRDefault="00D655B4" w:rsidP="00B427F3">
            <w:pPr>
              <w:widowControl w:val="0"/>
              <w:autoSpaceDE w:val="0"/>
              <w:autoSpaceDN w:val="0"/>
              <w:spacing w:line="224" w:lineRule="exact"/>
              <w:ind w:left="157" w:right="137"/>
              <w:jc w:val="center"/>
              <w:rPr>
                <w:sz w:val="22"/>
                <w:szCs w:val="22"/>
                <w:lang w:val="sr-Latn-ME"/>
              </w:rPr>
            </w:pPr>
            <w:r w:rsidRPr="00042A6C">
              <w:rPr>
                <w:sz w:val="22"/>
                <w:szCs w:val="22"/>
                <w:lang w:val="sr-Latn-ME"/>
              </w:rPr>
              <w:t>(2,3%)</w:t>
            </w:r>
          </w:p>
        </w:tc>
      </w:tr>
      <w:tr w:rsidR="00D655B4" w:rsidRPr="00042A6C" w:rsidTr="00B427F3">
        <w:tc>
          <w:tcPr>
            <w:tcW w:w="3021" w:type="dxa"/>
            <w:vAlign w:val="center"/>
          </w:tcPr>
          <w:p w:rsidR="00D655B4" w:rsidRPr="00042A6C" w:rsidRDefault="00D655B4" w:rsidP="004C49DB">
            <w:pPr>
              <w:widowControl w:val="0"/>
              <w:autoSpaceDE w:val="0"/>
              <w:autoSpaceDN w:val="0"/>
              <w:spacing w:line="235" w:lineRule="exact"/>
              <w:ind w:left="9"/>
              <w:jc w:val="right"/>
              <w:rPr>
                <w:sz w:val="22"/>
                <w:szCs w:val="22"/>
                <w:lang w:val="sr-Latn-ME"/>
              </w:rPr>
            </w:pPr>
            <w:r w:rsidRPr="00042A6C">
              <w:rPr>
                <w:sz w:val="22"/>
                <w:szCs w:val="22"/>
                <w:lang w:val="sr-Latn-ME"/>
              </w:rPr>
              <w:t>Simptomatska rekurentna PE</w:t>
            </w:r>
          </w:p>
        </w:tc>
        <w:tc>
          <w:tcPr>
            <w:tcW w:w="3021" w:type="dxa"/>
            <w:vAlign w:val="center"/>
          </w:tcPr>
          <w:p w:rsidR="00D655B4" w:rsidRPr="00042A6C" w:rsidRDefault="00D655B4" w:rsidP="00B427F3">
            <w:pPr>
              <w:widowControl w:val="0"/>
              <w:autoSpaceDE w:val="0"/>
              <w:autoSpaceDN w:val="0"/>
              <w:spacing w:line="226" w:lineRule="exact"/>
              <w:ind w:left="425" w:right="406"/>
              <w:jc w:val="center"/>
              <w:rPr>
                <w:sz w:val="22"/>
                <w:szCs w:val="22"/>
                <w:lang w:val="sr-Latn-ME"/>
              </w:rPr>
            </w:pPr>
            <w:r w:rsidRPr="00042A6C">
              <w:rPr>
                <w:sz w:val="22"/>
                <w:szCs w:val="22"/>
                <w:lang w:val="sr-Latn-ME"/>
              </w:rPr>
              <w:t>43</w:t>
            </w:r>
          </w:p>
          <w:p w:rsidR="00D655B4" w:rsidRPr="00042A6C" w:rsidRDefault="00D655B4" w:rsidP="00B427F3">
            <w:pPr>
              <w:widowControl w:val="0"/>
              <w:autoSpaceDE w:val="0"/>
              <w:autoSpaceDN w:val="0"/>
              <w:spacing w:line="224" w:lineRule="exact"/>
              <w:ind w:left="425" w:right="405"/>
              <w:jc w:val="center"/>
              <w:rPr>
                <w:sz w:val="22"/>
                <w:szCs w:val="22"/>
                <w:lang w:val="sr-Latn-ME"/>
              </w:rPr>
            </w:pPr>
            <w:r w:rsidRPr="00042A6C">
              <w:rPr>
                <w:sz w:val="22"/>
                <w:szCs w:val="22"/>
                <w:lang w:val="sr-Latn-ME"/>
              </w:rPr>
              <w:t>(1,0%)</w:t>
            </w:r>
          </w:p>
        </w:tc>
        <w:tc>
          <w:tcPr>
            <w:tcW w:w="3021" w:type="dxa"/>
            <w:vAlign w:val="center"/>
          </w:tcPr>
          <w:p w:rsidR="00D655B4" w:rsidRPr="00042A6C" w:rsidRDefault="00D655B4" w:rsidP="00B427F3">
            <w:pPr>
              <w:widowControl w:val="0"/>
              <w:autoSpaceDE w:val="0"/>
              <w:autoSpaceDN w:val="0"/>
              <w:spacing w:line="226" w:lineRule="exact"/>
              <w:ind w:left="156" w:right="137"/>
              <w:jc w:val="center"/>
              <w:rPr>
                <w:sz w:val="22"/>
                <w:szCs w:val="22"/>
                <w:lang w:val="sr-Latn-ME"/>
              </w:rPr>
            </w:pPr>
            <w:r w:rsidRPr="00042A6C">
              <w:rPr>
                <w:sz w:val="22"/>
                <w:szCs w:val="22"/>
                <w:lang w:val="sr-Latn-ME"/>
              </w:rPr>
              <w:t>38</w:t>
            </w:r>
          </w:p>
          <w:p w:rsidR="00D655B4" w:rsidRPr="00042A6C" w:rsidRDefault="00D655B4" w:rsidP="00B427F3">
            <w:pPr>
              <w:widowControl w:val="0"/>
              <w:autoSpaceDE w:val="0"/>
              <w:autoSpaceDN w:val="0"/>
              <w:spacing w:line="224" w:lineRule="exact"/>
              <w:ind w:left="157" w:right="137"/>
              <w:jc w:val="center"/>
              <w:rPr>
                <w:sz w:val="22"/>
                <w:szCs w:val="22"/>
                <w:lang w:val="sr-Latn-ME"/>
              </w:rPr>
            </w:pPr>
            <w:r w:rsidRPr="00042A6C">
              <w:rPr>
                <w:sz w:val="22"/>
                <w:szCs w:val="22"/>
                <w:lang w:val="sr-Latn-ME"/>
              </w:rPr>
              <w:t>(0,9%)</w:t>
            </w:r>
          </w:p>
        </w:tc>
      </w:tr>
      <w:tr w:rsidR="00D655B4" w:rsidRPr="00042A6C" w:rsidTr="00B427F3">
        <w:tc>
          <w:tcPr>
            <w:tcW w:w="3021" w:type="dxa"/>
            <w:vAlign w:val="center"/>
          </w:tcPr>
          <w:p w:rsidR="00D655B4" w:rsidRPr="00042A6C" w:rsidRDefault="00D655B4" w:rsidP="004C49DB">
            <w:pPr>
              <w:widowControl w:val="0"/>
              <w:autoSpaceDE w:val="0"/>
              <w:autoSpaceDN w:val="0"/>
              <w:spacing w:line="230" w:lineRule="exact"/>
              <w:ind w:left="9"/>
              <w:jc w:val="right"/>
              <w:rPr>
                <w:sz w:val="22"/>
                <w:szCs w:val="22"/>
                <w:lang w:val="sr-Latn-ME"/>
              </w:rPr>
            </w:pPr>
            <w:r w:rsidRPr="00042A6C">
              <w:rPr>
                <w:sz w:val="22"/>
                <w:szCs w:val="22"/>
                <w:lang w:val="sr-Latn-ME"/>
              </w:rPr>
              <w:t>Simptomatska rekurentna TDV</w:t>
            </w:r>
          </w:p>
        </w:tc>
        <w:tc>
          <w:tcPr>
            <w:tcW w:w="3021" w:type="dxa"/>
            <w:vAlign w:val="center"/>
          </w:tcPr>
          <w:p w:rsidR="00D655B4" w:rsidRPr="00042A6C" w:rsidRDefault="00D655B4" w:rsidP="00B427F3">
            <w:pPr>
              <w:widowControl w:val="0"/>
              <w:autoSpaceDE w:val="0"/>
              <w:autoSpaceDN w:val="0"/>
              <w:spacing w:line="216" w:lineRule="exact"/>
              <w:ind w:left="425" w:right="406"/>
              <w:jc w:val="center"/>
              <w:rPr>
                <w:sz w:val="22"/>
                <w:szCs w:val="22"/>
                <w:lang w:val="sr-Latn-ME"/>
              </w:rPr>
            </w:pPr>
            <w:r w:rsidRPr="00042A6C">
              <w:rPr>
                <w:sz w:val="22"/>
                <w:szCs w:val="22"/>
                <w:lang w:val="sr-Latn-ME"/>
              </w:rPr>
              <w:t>32</w:t>
            </w:r>
          </w:p>
          <w:p w:rsidR="00D655B4" w:rsidRPr="00042A6C" w:rsidRDefault="00D655B4" w:rsidP="00B427F3">
            <w:pPr>
              <w:widowControl w:val="0"/>
              <w:autoSpaceDE w:val="0"/>
              <w:autoSpaceDN w:val="0"/>
              <w:spacing w:line="220" w:lineRule="exact"/>
              <w:ind w:left="425" w:right="405"/>
              <w:jc w:val="center"/>
              <w:rPr>
                <w:sz w:val="22"/>
                <w:szCs w:val="22"/>
                <w:lang w:val="sr-Latn-ME"/>
              </w:rPr>
            </w:pPr>
            <w:r w:rsidRPr="00042A6C">
              <w:rPr>
                <w:sz w:val="22"/>
                <w:szCs w:val="22"/>
                <w:lang w:val="sr-Latn-ME"/>
              </w:rPr>
              <w:t>(0,8%)</w:t>
            </w:r>
          </w:p>
        </w:tc>
        <w:tc>
          <w:tcPr>
            <w:tcW w:w="3021" w:type="dxa"/>
            <w:vAlign w:val="center"/>
          </w:tcPr>
          <w:p w:rsidR="00D655B4" w:rsidRPr="00042A6C" w:rsidRDefault="00D655B4" w:rsidP="00B427F3">
            <w:pPr>
              <w:widowControl w:val="0"/>
              <w:autoSpaceDE w:val="0"/>
              <w:autoSpaceDN w:val="0"/>
              <w:spacing w:line="216" w:lineRule="exact"/>
              <w:ind w:left="156" w:right="137"/>
              <w:jc w:val="center"/>
              <w:rPr>
                <w:sz w:val="22"/>
                <w:szCs w:val="22"/>
                <w:lang w:val="sr-Latn-ME"/>
              </w:rPr>
            </w:pPr>
            <w:r w:rsidRPr="00042A6C">
              <w:rPr>
                <w:sz w:val="22"/>
                <w:szCs w:val="22"/>
                <w:lang w:val="sr-Latn-ME"/>
              </w:rPr>
              <w:t>45</w:t>
            </w:r>
          </w:p>
          <w:p w:rsidR="00D655B4" w:rsidRPr="00042A6C" w:rsidRDefault="00D655B4" w:rsidP="00B427F3">
            <w:pPr>
              <w:widowControl w:val="0"/>
              <w:autoSpaceDE w:val="0"/>
              <w:autoSpaceDN w:val="0"/>
              <w:spacing w:line="220" w:lineRule="exact"/>
              <w:ind w:left="157" w:right="137"/>
              <w:jc w:val="center"/>
              <w:rPr>
                <w:sz w:val="22"/>
                <w:szCs w:val="22"/>
                <w:lang w:val="sr-Latn-ME"/>
              </w:rPr>
            </w:pPr>
            <w:r w:rsidRPr="00042A6C">
              <w:rPr>
                <w:sz w:val="22"/>
                <w:szCs w:val="22"/>
                <w:lang w:val="sr-Latn-ME"/>
              </w:rPr>
              <w:t>(1,1%)</w:t>
            </w:r>
          </w:p>
        </w:tc>
      </w:tr>
      <w:tr w:rsidR="00D655B4" w:rsidRPr="00042A6C" w:rsidTr="00B427F3">
        <w:tc>
          <w:tcPr>
            <w:tcW w:w="3021" w:type="dxa"/>
            <w:vAlign w:val="center"/>
          </w:tcPr>
          <w:p w:rsidR="00D655B4" w:rsidRPr="00042A6C" w:rsidRDefault="00D655B4" w:rsidP="004C49DB">
            <w:pPr>
              <w:widowControl w:val="0"/>
              <w:autoSpaceDE w:val="0"/>
              <w:autoSpaceDN w:val="0"/>
              <w:spacing w:line="235" w:lineRule="exact"/>
              <w:ind w:left="9"/>
              <w:jc w:val="right"/>
              <w:rPr>
                <w:sz w:val="22"/>
                <w:szCs w:val="22"/>
                <w:lang w:val="sr-Latn-ME"/>
              </w:rPr>
            </w:pPr>
            <w:r w:rsidRPr="00042A6C">
              <w:rPr>
                <w:sz w:val="22"/>
                <w:szCs w:val="22"/>
                <w:lang w:val="sr-Latn-ME"/>
              </w:rPr>
              <w:t>Simptomatska PE i TDV</w:t>
            </w:r>
          </w:p>
        </w:tc>
        <w:tc>
          <w:tcPr>
            <w:tcW w:w="3021" w:type="dxa"/>
            <w:vAlign w:val="center"/>
          </w:tcPr>
          <w:p w:rsidR="00D655B4" w:rsidRPr="00042A6C" w:rsidRDefault="00D655B4" w:rsidP="00B427F3">
            <w:pPr>
              <w:widowControl w:val="0"/>
              <w:autoSpaceDE w:val="0"/>
              <w:autoSpaceDN w:val="0"/>
              <w:spacing w:line="226" w:lineRule="exact"/>
              <w:ind w:left="14"/>
              <w:jc w:val="center"/>
              <w:rPr>
                <w:sz w:val="22"/>
                <w:szCs w:val="22"/>
                <w:lang w:val="sr-Latn-ME"/>
              </w:rPr>
            </w:pPr>
            <w:r w:rsidRPr="00042A6C">
              <w:rPr>
                <w:sz w:val="22"/>
                <w:szCs w:val="22"/>
                <w:lang w:val="sr-Latn-ME"/>
              </w:rPr>
              <w:t>1</w:t>
            </w:r>
          </w:p>
          <w:p w:rsidR="00D655B4" w:rsidRPr="00042A6C" w:rsidRDefault="00D655B4" w:rsidP="00B427F3">
            <w:pPr>
              <w:widowControl w:val="0"/>
              <w:autoSpaceDE w:val="0"/>
              <w:autoSpaceDN w:val="0"/>
              <w:spacing w:line="224" w:lineRule="exact"/>
              <w:ind w:left="425" w:right="405"/>
              <w:jc w:val="center"/>
              <w:rPr>
                <w:sz w:val="22"/>
                <w:szCs w:val="22"/>
                <w:lang w:val="sr-Latn-ME"/>
              </w:rPr>
            </w:pPr>
            <w:r w:rsidRPr="00042A6C">
              <w:rPr>
                <w:sz w:val="22"/>
                <w:szCs w:val="22"/>
                <w:lang w:val="sr-Latn-ME"/>
              </w:rPr>
              <w:t>(&lt;0,1%)</w:t>
            </w:r>
          </w:p>
        </w:tc>
        <w:tc>
          <w:tcPr>
            <w:tcW w:w="3021" w:type="dxa"/>
            <w:vAlign w:val="center"/>
          </w:tcPr>
          <w:p w:rsidR="00D655B4" w:rsidRPr="00042A6C" w:rsidRDefault="00D655B4" w:rsidP="00B427F3">
            <w:pPr>
              <w:widowControl w:val="0"/>
              <w:autoSpaceDE w:val="0"/>
              <w:autoSpaceDN w:val="0"/>
              <w:spacing w:line="226" w:lineRule="exact"/>
              <w:ind w:left="14"/>
              <w:jc w:val="center"/>
              <w:rPr>
                <w:sz w:val="22"/>
                <w:szCs w:val="22"/>
                <w:lang w:val="sr-Latn-ME"/>
              </w:rPr>
            </w:pPr>
            <w:r w:rsidRPr="00042A6C">
              <w:rPr>
                <w:sz w:val="22"/>
                <w:szCs w:val="22"/>
                <w:lang w:val="sr-Latn-ME"/>
              </w:rPr>
              <w:t>2</w:t>
            </w:r>
          </w:p>
          <w:p w:rsidR="00D655B4" w:rsidRPr="00042A6C" w:rsidRDefault="00D655B4" w:rsidP="00B427F3">
            <w:pPr>
              <w:widowControl w:val="0"/>
              <w:autoSpaceDE w:val="0"/>
              <w:autoSpaceDN w:val="0"/>
              <w:spacing w:line="224" w:lineRule="exact"/>
              <w:ind w:left="157" w:right="137"/>
              <w:jc w:val="center"/>
              <w:rPr>
                <w:sz w:val="22"/>
                <w:szCs w:val="22"/>
                <w:lang w:val="sr-Latn-ME"/>
              </w:rPr>
            </w:pPr>
            <w:r w:rsidRPr="00042A6C">
              <w:rPr>
                <w:sz w:val="22"/>
                <w:szCs w:val="22"/>
                <w:lang w:val="sr-Latn-ME"/>
              </w:rPr>
              <w:t>(&lt;0,1%)</w:t>
            </w:r>
          </w:p>
        </w:tc>
      </w:tr>
      <w:tr w:rsidR="00D655B4" w:rsidRPr="00042A6C" w:rsidTr="00B427F3">
        <w:tc>
          <w:tcPr>
            <w:tcW w:w="3021" w:type="dxa"/>
            <w:vAlign w:val="center"/>
          </w:tcPr>
          <w:p w:rsidR="00D655B4" w:rsidRPr="00042A6C" w:rsidRDefault="00D655B4" w:rsidP="004C49DB">
            <w:pPr>
              <w:widowControl w:val="0"/>
              <w:autoSpaceDE w:val="0"/>
              <w:autoSpaceDN w:val="0"/>
              <w:spacing w:line="228" w:lineRule="auto"/>
              <w:ind w:left="9" w:right="154"/>
              <w:jc w:val="right"/>
              <w:rPr>
                <w:sz w:val="22"/>
                <w:szCs w:val="22"/>
                <w:lang w:val="sr-Latn-ME"/>
              </w:rPr>
            </w:pPr>
            <w:r w:rsidRPr="00042A6C">
              <w:rPr>
                <w:sz w:val="22"/>
                <w:szCs w:val="22"/>
                <w:lang w:val="sr-Latn-ME"/>
              </w:rPr>
              <w:t>PE sa smrtnim ishodom/smrt pri kojoj se PE ne može isključiti</w:t>
            </w:r>
          </w:p>
        </w:tc>
        <w:tc>
          <w:tcPr>
            <w:tcW w:w="3021" w:type="dxa"/>
            <w:vAlign w:val="center"/>
          </w:tcPr>
          <w:p w:rsidR="00D655B4" w:rsidRPr="00042A6C" w:rsidRDefault="00D655B4" w:rsidP="00B427F3">
            <w:pPr>
              <w:widowControl w:val="0"/>
              <w:autoSpaceDE w:val="0"/>
              <w:autoSpaceDN w:val="0"/>
              <w:spacing w:before="111"/>
              <w:ind w:left="425" w:right="406"/>
              <w:jc w:val="center"/>
              <w:rPr>
                <w:sz w:val="22"/>
                <w:szCs w:val="22"/>
                <w:lang w:val="sr-Latn-ME"/>
              </w:rPr>
            </w:pPr>
            <w:r w:rsidRPr="00042A6C">
              <w:rPr>
                <w:sz w:val="22"/>
                <w:szCs w:val="22"/>
                <w:lang w:val="sr-Latn-ME"/>
              </w:rPr>
              <w:t>15</w:t>
            </w:r>
          </w:p>
          <w:p w:rsidR="00D655B4" w:rsidRPr="00042A6C" w:rsidRDefault="00D655B4" w:rsidP="00B427F3">
            <w:pPr>
              <w:widowControl w:val="0"/>
              <w:autoSpaceDE w:val="0"/>
              <w:autoSpaceDN w:val="0"/>
              <w:spacing w:before="121" w:line="238" w:lineRule="exact"/>
              <w:ind w:left="425" w:right="405"/>
              <w:jc w:val="center"/>
              <w:rPr>
                <w:sz w:val="22"/>
                <w:szCs w:val="22"/>
                <w:lang w:val="sr-Latn-ME"/>
              </w:rPr>
            </w:pPr>
            <w:r w:rsidRPr="00042A6C">
              <w:rPr>
                <w:sz w:val="22"/>
                <w:szCs w:val="22"/>
                <w:lang w:val="sr-Latn-ME"/>
              </w:rPr>
              <w:t>(0,4%)</w:t>
            </w:r>
          </w:p>
        </w:tc>
        <w:tc>
          <w:tcPr>
            <w:tcW w:w="3021" w:type="dxa"/>
            <w:vAlign w:val="center"/>
          </w:tcPr>
          <w:p w:rsidR="00D655B4" w:rsidRPr="00042A6C" w:rsidRDefault="00D655B4" w:rsidP="00B427F3">
            <w:pPr>
              <w:widowControl w:val="0"/>
              <w:autoSpaceDE w:val="0"/>
              <w:autoSpaceDN w:val="0"/>
              <w:spacing w:before="111"/>
              <w:ind w:left="156" w:right="137"/>
              <w:jc w:val="center"/>
              <w:rPr>
                <w:sz w:val="22"/>
                <w:szCs w:val="22"/>
                <w:lang w:val="sr-Latn-ME"/>
              </w:rPr>
            </w:pPr>
            <w:r w:rsidRPr="00042A6C">
              <w:rPr>
                <w:sz w:val="22"/>
                <w:szCs w:val="22"/>
                <w:lang w:val="sr-Latn-ME"/>
              </w:rPr>
              <w:t>13</w:t>
            </w:r>
          </w:p>
          <w:p w:rsidR="00D655B4" w:rsidRPr="00042A6C" w:rsidRDefault="00D655B4" w:rsidP="00B427F3">
            <w:pPr>
              <w:widowControl w:val="0"/>
              <w:autoSpaceDE w:val="0"/>
              <w:autoSpaceDN w:val="0"/>
              <w:spacing w:before="121" w:line="238" w:lineRule="exact"/>
              <w:ind w:left="157" w:right="137"/>
              <w:jc w:val="center"/>
              <w:rPr>
                <w:sz w:val="22"/>
                <w:szCs w:val="22"/>
                <w:lang w:val="sr-Latn-ME"/>
              </w:rPr>
            </w:pPr>
            <w:r w:rsidRPr="00042A6C">
              <w:rPr>
                <w:sz w:val="22"/>
                <w:szCs w:val="22"/>
                <w:lang w:val="sr-Latn-ME"/>
              </w:rPr>
              <w:t>(0,3%)</w:t>
            </w:r>
          </w:p>
        </w:tc>
      </w:tr>
      <w:tr w:rsidR="00D655B4" w:rsidRPr="00042A6C" w:rsidTr="00B427F3">
        <w:tc>
          <w:tcPr>
            <w:tcW w:w="3021" w:type="dxa"/>
            <w:vAlign w:val="center"/>
          </w:tcPr>
          <w:p w:rsidR="00D655B4" w:rsidRPr="00042A6C" w:rsidRDefault="00751CC3" w:rsidP="00751CC3">
            <w:pPr>
              <w:widowControl w:val="0"/>
              <w:tabs>
                <w:tab w:val="left" w:pos="1070"/>
                <w:tab w:val="left" w:pos="1468"/>
                <w:tab w:val="left" w:pos="2476"/>
              </w:tabs>
              <w:autoSpaceDE w:val="0"/>
              <w:autoSpaceDN w:val="0"/>
              <w:spacing w:before="5" w:line="223" w:lineRule="auto"/>
              <w:ind w:left="9" w:right="88"/>
              <w:rPr>
                <w:sz w:val="22"/>
                <w:szCs w:val="22"/>
                <w:lang w:val="sr-Latn-ME"/>
              </w:rPr>
            </w:pPr>
            <w:r w:rsidRPr="00042A6C">
              <w:rPr>
                <w:sz w:val="22"/>
                <w:szCs w:val="22"/>
                <w:lang w:val="sr-Latn-ME"/>
              </w:rPr>
              <w:t xml:space="preserve">Velika </w:t>
            </w:r>
            <w:r w:rsidR="00D655B4" w:rsidRPr="00042A6C">
              <w:rPr>
                <w:sz w:val="22"/>
                <w:szCs w:val="22"/>
                <w:lang w:val="sr-Latn-ME"/>
              </w:rPr>
              <w:t xml:space="preserve">ili klinički značajna </w:t>
            </w:r>
            <w:r w:rsidRPr="00042A6C">
              <w:rPr>
                <w:sz w:val="22"/>
                <w:szCs w:val="22"/>
                <w:lang w:val="sr-Latn-ME"/>
              </w:rPr>
              <w:t xml:space="preserve">manja </w:t>
            </w:r>
            <w:r w:rsidR="00D655B4" w:rsidRPr="00042A6C">
              <w:rPr>
                <w:sz w:val="22"/>
                <w:szCs w:val="22"/>
                <w:lang w:val="sr-Latn-ME"/>
              </w:rPr>
              <w:t>krvarenja</w:t>
            </w:r>
          </w:p>
        </w:tc>
        <w:tc>
          <w:tcPr>
            <w:tcW w:w="3021" w:type="dxa"/>
            <w:vAlign w:val="center"/>
          </w:tcPr>
          <w:p w:rsidR="00D655B4" w:rsidRPr="00042A6C" w:rsidRDefault="00D655B4" w:rsidP="00D655B4">
            <w:pPr>
              <w:widowControl w:val="0"/>
              <w:autoSpaceDE w:val="0"/>
              <w:autoSpaceDN w:val="0"/>
              <w:spacing w:before="111"/>
              <w:ind w:left="425" w:right="411"/>
              <w:jc w:val="center"/>
              <w:rPr>
                <w:sz w:val="22"/>
                <w:szCs w:val="22"/>
                <w:lang w:val="sr-Latn-ME"/>
              </w:rPr>
            </w:pPr>
            <w:r w:rsidRPr="00042A6C">
              <w:rPr>
                <w:sz w:val="22"/>
                <w:szCs w:val="22"/>
                <w:lang w:val="sr-Latn-ME"/>
              </w:rPr>
              <w:t>388</w:t>
            </w:r>
          </w:p>
          <w:p w:rsidR="00D655B4" w:rsidRPr="00042A6C" w:rsidRDefault="00D655B4" w:rsidP="00D655B4">
            <w:pPr>
              <w:widowControl w:val="0"/>
              <w:autoSpaceDE w:val="0"/>
              <w:autoSpaceDN w:val="0"/>
              <w:spacing w:before="112" w:line="243" w:lineRule="exact"/>
              <w:ind w:left="425" w:right="405"/>
              <w:jc w:val="center"/>
              <w:rPr>
                <w:sz w:val="22"/>
                <w:szCs w:val="22"/>
                <w:lang w:val="sr-Latn-ME"/>
              </w:rPr>
            </w:pPr>
            <w:r w:rsidRPr="00042A6C">
              <w:rPr>
                <w:sz w:val="22"/>
                <w:szCs w:val="22"/>
                <w:lang w:val="sr-Latn-ME"/>
              </w:rPr>
              <w:t>(9,4%)</w:t>
            </w:r>
          </w:p>
        </w:tc>
        <w:tc>
          <w:tcPr>
            <w:tcW w:w="3021" w:type="dxa"/>
            <w:vAlign w:val="center"/>
          </w:tcPr>
          <w:p w:rsidR="00D655B4" w:rsidRPr="00042A6C" w:rsidRDefault="00D655B4" w:rsidP="00D655B4">
            <w:pPr>
              <w:widowControl w:val="0"/>
              <w:autoSpaceDE w:val="0"/>
              <w:autoSpaceDN w:val="0"/>
              <w:spacing w:before="111"/>
              <w:ind w:left="151" w:right="137"/>
              <w:jc w:val="center"/>
              <w:rPr>
                <w:sz w:val="22"/>
                <w:szCs w:val="22"/>
                <w:lang w:val="sr-Latn-ME"/>
              </w:rPr>
            </w:pPr>
            <w:r w:rsidRPr="00042A6C">
              <w:rPr>
                <w:sz w:val="22"/>
                <w:szCs w:val="22"/>
                <w:lang w:val="sr-Latn-ME"/>
              </w:rPr>
              <w:t>412</w:t>
            </w:r>
          </w:p>
          <w:p w:rsidR="00D655B4" w:rsidRPr="00042A6C" w:rsidRDefault="00D655B4" w:rsidP="00D655B4">
            <w:pPr>
              <w:widowControl w:val="0"/>
              <w:autoSpaceDE w:val="0"/>
              <w:autoSpaceDN w:val="0"/>
              <w:spacing w:before="112" w:line="243" w:lineRule="exact"/>
              <w:ind w:left="152" w:right="137"/>
              <w:jc w:val="center"/>
              <w:rPr>
                <w:sz w:val="22"/>
                <w:szCs w:val="22"/>
                <w:lang w:val="sr-Latn-ME"/>
              </w:rPr>
            </w:pPr>
            <w:r w:rsidRPr="00042A6C">
              <w:rPr>
                <w:sz w:val="22"/>
                <w:szCs w:val="22"/>
                <w:lang w:val="sr-Latn-ME"/>
              </w:rPr>
              <w:t>(10,0%)</w:t>
            </w:r>
          </w:p>
        </w:tc>
      </w:tr>
      <w:tr w:rsidR="00D655B4" w:rsidRPr="00042A6C" w:rsidTr="00B427F3">
        <w:tc>
          <w:tcPr>
            <w:tcW w:w="3021" w:type="dxa"/>
            <w:vAlign w:val="center"/>
          </w:tcPr>
          <w:p w:rsidR="00D655B4" w:rsidRPr="00042A6C" w:rsidRDefault="00D655B4" w:rsidP="00751CC3">
            <w:pPr>
              <w:widowControl w:val="0"/>
              <w:autoSpaceDE w:val="0"/>
              <w:autoSpaceDN w:val="0"/>
              <w:spacing w:line="235" w:lineRule="exact"/>
              <w:ind w:left="9"/>
              <w:rPr>
                <w:sz w:val="22"/>
                <w:szCs w:val="22"/>
                <w:lang w:val="sr-Latn-ME"/>
              </w:rPr>
            </w:pPr>
            <w:r w:rsidRPr="00042A6C">
              <w:rPr>
                <w:sz w:val="22"/>
                <w:szCs w:val="22"/>
                <w:lang w:val="sr-Latn-ME"/>
              </w:rPr>
              <w:t xml:space="preserve">Događaji </w:t>
            </w:r>
            <w:r w:rsidR="00751CC3" w:rsidRPr="00042A6C">
              <w:rPr>
                <w:sz w:val="22"/>
                <w:szCs w:val="22"/>
                <w:lang w:val="sr-Latn-ME"/>
              </w:rPr>
              <w:t xml:space="preserve">velikog </w:t>
            </w:r>
            <w:r w:rsidRPr="00042A6C">
              <w:rPr>
                <w:sz w:val="22"/>
                <w:szCs w:val="22"/>
                <w:lang w:val="sr-Latn-ME"/>
              </w:rPr>
              <w:t>krvarenja</w:t>
            </w:r>
          </w:p>
        </w:tc>
        <w:tc>
          <w:tcPr>
            <w:tcW w:w="3021" w:type="dxa"/>
            <w:vAlign w:val="center"/>
          </w:tcPr>
          <w:p w:rsidR="00D655B4" w:rsidRPr="00042A6C" w:rsidRDefault="00D655B4" w:rsidP="00B427F3">
            <w:pPr>
              <w:widowControl w:val="0"/>
              <w:autoSpaceDE w:val="0"/>
              <w:autoSpaceDN w:val="0"/>
              <w:spacing w:line="226" w:lineRule="exact"/>
              <w:ind w:left="425" w:right="406"/>
              <w:jc w:val="center"/>
              <w:rPr>
                <w:sz w:val="22"/>
                <w:szCs w:val="22"/>
                <w:lang w:val="sr-Latn-ME"/>
              </w:rPr>
            </w:pPr>
            <w:r w:rsidRPr="00042A6C">
              <w:rPr>
                <w:sz w:val="22"/>
                <w:szCs w:val="22"/>
                <w:lang w:val="sr-Latn-ME"/>
              </w:rPr>
              <w:t>40</w:t>
            </w:r>
          </w:p>
          <w:p w:rsidR="00D655B4" w:rsidRPr="00042A6C" w:rsidRDefault="00D655B4" w:rsidP="00B427F3">
            <w:pPr>
              <w:widowControl w:val="0"/>
              <w:autoSpaceDE w:val="0"/>
              <w:autoSpaceDN w:val="0"/>
              <w:spacing w:line="224" w:lineRule="exact"/>
              <w:ind w:left="425" w:right="405"/>
              <w:jc w:val="center"/>
              <w:rPr>
                <w:sz w:val="22"/>
                <w:szCs w:val="22"/>
                <w:lang w:val="sr-Latn-ME"/>
              </w:rPr>
            </w:pPr>
            <w:r w:rsidRPr="00042A6C">
              <w:rPr>
                <w:sz w:val="22"/>
                <w:szCs w:val="22"/>
                <w:lang w:val="sr-Latn-ME"/>
              </w:rPr>
              <w:t>(1,0%)</w:t>
            </w:r>
          </w:p>
        </w:tc>
        <w:tc>
          <w:tcPr>
            <w:tcW w:w="3021" w:type="dxa"/>
            <w:vAlign w:val="center"/>
          </w:tcPr>
          <w:p w:rsidR="00D655B4" w:rsidRPr="00042A6C" w:rsidRDefault="00D655B4" w:rsidP="00B427F3">
            <w:pPr>
              <w:widowControl w:val="0"/>
              <w:autoSpaceDE w:val="0"/>
              <w:autoSpaceDN w:val="0"/>
              <w:spacing w:line="226" w:lineRule="exact"/>
              <w:ind w:left="156" w:right="137"/>
              <w:jc w:val="center"/>
              <w:rPr>
                <w:sz w:val="22"/>
                <w:szCs w:val="22"/>
                <w:lang w:val="sr-Latn-ME"/>
              </w:rPr>
            </w:pPr>
            <w:r w:rsidRPr="00042A6C">
              <w:rPr>
                <w:sz w:val="22"/>
                <w:szCs w:val="22"/>
                <w:lang w:val="sr-Latn-ME"/>
              </w:rPr>
              <w:t>72</w:t>
            </w:r>
          </w:p>
          <w:p w:rsidR="00D655B4" w:rsidRPr="00042A6C" w:rsidRDefault="00D655B4" w:rsidP="00B427F3">
            <w:pPr>
              <w:widowControl w:val="0"/>
              <w:autoSpaceDE w:val="0"/>
              <w:autoSpaceDN w:val="0"/>
              <w:spacing w:line="224" w:lineRule="exact"/>
              <w:ind w:left="157" w:right="137"/>
              <w:jc w:val="center"/>
              <w:rPr>
                <w:sz w:val="22"/>
                <w:szCs w:val="22"/>
                <w:lang w:val="sr-Latn-ME"/>
              </w:rPr>
            </w:pPr>
            <w:r w:rsidRPr="00042A6C">
              <w:rPr>
                <w:sz w:val="22"/>
                <w:szCs w:val="22"/>
                <w:lang w:val="sr-Latn-ME"/>
              </w:rPr>
              <w:t>(1,7%)</w:t>
            </w:r>
          </w:p>
        </w:tc>
      </w:tr>
    </w:tbl>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a)</w:t>
      </w:r>
      <w:r w:rsidRPr="00042A6C">
        <w:rPr>
          <w:bCs/>
          <w:sz w:val="22"/>
          <w:szCs w:val="22"/>
          <w:lang w:val="sr-Latn-ME"/>
        </w:rPr>
        <w:tab/>
        <w:t>Rivaroksaban u dozi od 15 mg dva puta dnevno tokom 3 nedjelje, nakon toga doza od 20 mg jednom dnevno</w:t>
      </w:r>
      <w:r w:rsidR="00751CC3" w:rsidRPr="00042A6C">
        <w:rPr>
          <w:bCs/>
          <w:sz w:val="22"/>
          <w:szCs w:val="22"/>
          <w:lang w:val="sr-Latn-ME"/>
        </w:rPr>
        <w:t>.</w:t>
      </w: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b)</w:t>
      </w:r>
      <w:r w:rsidRPr="00042A6C">
        <w:rPr>
          <w:bCs/>
          <w:sz w:val="22"/>
          <w:szCs w:val="22"/>
          <w:lang w:val="sr-Latn-ME"/>
        </w:rPr>
        <w:tab/>
        <w:t>Enoksaparin tokom najmanje 5 dana, preklapa se i nastavlja sa VKA</w:t>
      </w:r>
      <w:r w:rsidR="00751CC3" w:rsidRPr="00042A6C">
        <w:rPr>
          <w:bCs/>
          <w:sz w:val="22"/>
          <w:szCs w:val="22"/>
          <w:lang w:val="sr-Latn-ME"/>
        </w:rPr>
        <w:t>.</w:t>
      </w: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w:t>
      </w:r>
      <w:r w:rsidRPr="00042A6C">
        <w:rPr>
          <w:bCs/>
          <w:sz w:val="22"/>
          <w:szCs w:val="22"/>
          <w:lang w:val="sr-Latn-ME"/>
        </w:rPr>
        <w:tab/>
        <w:t>p &lt; 0,0001 (neinferiornost u odnosu na unaprijed definisani HR 1,75); HR: 0,886 (0,661 – 1,186)</w:t>
      </w:r>
    </w:p>
    <w:p w:rsidR="00D655B4" w:rsidRPr="00042A6C" w:rsidRDefault="00D655B4" w:rsidP="00D655B4">
      <w:pPr>
        <w:tabs>
          <w:tab w:val="left" w:pos="540"/>
          <w:tab w:val="left" w:pos="569"/>
        </w:tabs>
        <w:rPr>
          <w:b/>
          <w:bCs/>
          <w:sz w:val="22"/>
          <w:szCs w:val="22"/>
          <w:lang w:val="sr-Latn-ME"/>
        </w:rPr>
      </w:pP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lastRenderedPageBreak/>
        <w:t xml:space="preserve">Unaprijed definisana ukupna klinička korist (primarni ishod efikasnosti plus događaji </w:t>
      </w:r>
      <w:r w:rsidR="00751CC3" w:rsidRPr="00042A6C">
        <w:rPr>
          <w:bCs/>
          <w:sz w:val="22"/>
          <w:szCs w:val="22"/>
          <w:lang w:val="sr-Latn-ME"/>
        </w:rPr>
        <w:t xml:space="preserve">velikog </w:t>
      </w:r>
      <w:r w:rsidRPr="00042A6C">
        <w:rPr>
          <w:bCs/>
          <w:sz w:val="22"/>
          <w:szCs w:val="22"/>
          <w:lang w:val="sr-Latn-ME"/>
        </w:rPr>
        <w:t>krvarenja) objedinjene analize prijavljena je uz HR 0,771 (95% CI: 0,614 – 0,967) nominalna p vrijednost p=0,0244).</w:t>
      </w:r>
    </w:p>
    <w:p w:rsidR="00D655B4" w:rsidRPr="00042A6C" w:rsidRDefault="00D655B4" w:rsidP="00D655B4">
      <w:pPr>
        <w:tabs>
          <w:tab w:val="left" w:pos="540"/>
          <w:tab w:val="left" w:pos="569"/>
        </w:tabs>
        <w:jc w:val="both"/>
        <w:rPr>
          <w:bCs/>
          <w:sz w:val="22"/>
          <w:szCs w:val="22"/>
          <w:lang w:val="sr-Latn-ME"/>
        </w:rPr>
      </w:pP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 xml:space="preserve">U </w:t>
      </w:r>
      <w:r w:rsidRPr="00042A6C">
        <w:rPr>
          <w:bCs/>
          <w:i/>
          <w:sz w:val="22"/>
          <w:szCs w:val="22"/>
          <w:lang w:val="sr-Latn-ME"/>
        </w:rPr>
        <w:t>Einstein</w:t>
      </w:r>
      <w:r w:rsidRPr="00042A6C">
        <w:rPr>
          <w:bCs/>
          <w:sz w:val="22"/>
          <w:szCs w:val="22"/>
          <w:lang w:val="sr-Latn-ME"/>
        </w:rPr>
        <w:t xml:space="preserve"> </w:t>
      </w:r>
      <w:r w:rsidRPr="00042A6C">
        <w:rPr>
          <w:bCs/>
          <w:i/>
          <w:sz w:val="22"/>
          <w:szCs w:val="22"/>
          <w:lang w:val="sr-Latn-ME"/>
        </w:rPr>
        <w:t>Extension</w:t>
      </w:r>
      <w:r w:rsidR="00D21C47" w:rsidRPr="00042A6C">
        <w:rPr>
          <w:bCs/>
          <w:sz w:val="22"/>
          <w:szCs w:val="22"/>
          <w:lang w:val="sr-Latn-ME"/>
        </w:rPr>
        <w:t xml:space="preserve"> studiji (vidjeti Tabelu 9</w:t>
      </w:r>
      <w:r w:rsidRPr="00042A6C">
        <w:rPr>
          <w:bCs/>
          <w:sz w:val="22"/>
          <w:szCs w:val="22"/>
          <w:lang w:val="sr-Latn-ME"/>
        </w:rPr>
        <w:t xml:space="preserve">), rivaroksaban se pokazao superiornim u odnosu na placebo za primarne i sekundarne ishode efikasnosti. Za primarni ishod bezbjednosti (događaji </w:t>
      </w:r>
      <w:r w:rsidR="00751CC3" w:rsidRPr="00042A6C">
        <w:rPr>
          <w:bCs/>
          <w:sz w:val="22"/>
          <w:szCs w:val="22"/>
          <w:lang w:val="sr-Latn-ME"/>
        </w:rPr>
        <w:t xml:space="preserve">velikog </w:t>
      </w:r>
      <w:r w:rsidRPr="00042A6C">
        <w:rPr>
          <w:bCs/>
          <w:sz w:val="22"/>
          <w:szCs w:val="22"/>
          <w:lang w:val="sr-Latn-ME"/>
        </w:rPr>
        <w:t>krvarenja) nije postojala značajno brojno veća stopa učestalosti za pacijente na terapiji rivaroksabanom u dozi od 20 mg jednom dnevno, u poređenju sa placebom. Sekundarni ishod bezbjednosti (</w:t>
      </w:r>
      <w:r w:rsidR="00751CC3" w:rsidRPr="00042A6C">
        <w:rPr>
          <w:bCs/>
          <w:sz w:val="22"/>
          <w:szCs w:val="22"/>
          <w:lang w:val="sr-Latn-ME"/>
        </w:rPr>
        <w:t xml:space="preserve">velika </w:t>
      </w:r>
      <w:r w:rsidRPr="00042A6C">
        <w:rPr>
          <w:bCs/>
          <w:sz w:val="22"/>
          <w:szCs w:val="22"/>
          <w:lang w:val="sr-Latn-ME"/>
        </w:rPr>
        <w:t xml:space="preserve">i klinički značajna </w:t>
      </w:r>
      <w:r w:rsidR="00751CC3" w:rsidRPr="00042A6C">
        <w:rPr>
          <w:bCs/>
          <w:sz w:val="22"/>
          <w:szCs w:val="22"/>
          <w:lang w:val="sr-Latn-ME"/>
        </w:rPr>
        <w:t xml:space="preserve">manja </w:t>
      </w:r>
      <w:r w:rsidRPr="00042A6C">
        <w:rPr>
          <w:bCs/>
          <w:sz w:val="22"/>
          <w:szCs w:val="22"/>
          <w:lang w:val="sr-Latn-ME"/>
        </w:rPr>
        <w:t>krvarenja) pokazao je veće stope za pacijente na terapiji rivaroksabanom u dozi od 20 mg jednom dnevno u poređenju sa placebom.</w:t>
      </w:r>
    </w:p>
    <w:p w:rsidR="00D655B4" w:rsidRPr="00042A6C" w:rsidRDefault="00D655B4" w:rsidP="00D655B4">
      <w:pPr>
        <w:tabs>
          <w:tab w:val="left" w:pos="540"/>
          <w:tab w:val="left" w:pos="569"/>
        </w:tabs>
        <w:jc w:val="both"/>
        <w:rPr>
          <w:bCs/>
          <w:sz w:val="22"/>
          <w:szCs w:val="22"/>
          <w:lang w:val="sr-Latn-ME"/>
        </w:rPr>
      </w:pPr>
    </w:p>
    <w:p w:rsidR="00D655B4" w:rsidRPr="00042A6C" w:rsidRDefault="00D21C47" w:rsidP="00D655B4">
      <w:pPr>
        <w:tabs>
          <w:tab w:val="left" w:pos="540"/>
          <w:tab w:val="left" w:pos="569"/>
        </w:tabs>
        <w:rPr>
          <w:b/>
          <w:bCs/>
          <w:i/>
          <w:sz w:val="22"/>
          <w:szCs w:val="22"/>
          <w:lang w:val="sr-Latn-ME"/>
        </w:rPr>
      </w:pPr>
      <w:r w:rsidRPr="00042A6C">
        <w:rPr>
          <w:b/>
          <w:bCs/>
          <w:sz w:val="22"/>
          <w:szCs w:val="22"/>
          <w:lang w:val="sr-Latn-ME"/>
        </w:rPr>
        <w:t>Tabela 9</w:t>
      </w:r>
      <w:r w:rsidR="00D655B4" w:rsidRPr="00042A6C">
        <w:rPr>
          <w:b/>
          <w:bCs/>
          <w:sz w:val="22"/>
          <w:szCs w:val="22"/>
          <w:lang w:val="sr-Latn-ME"/>
        </w:rPr>
        <w:t xml:space="preserve">: Rezultati efikasnosti i bezbjednosti iz studije </w:t>
      </w:r>
      <w:r w:rsidR="00751CC3" w:rsidRPr="00042A6C">
        <w:rPr>
          <w:b/>
          <w:bCs/>
          <w:sz w:val="22"/>
          <w:szCs w:val="22"/>
          <w:lang w:val="sr-Latn-ME"/>
        </w:rPr>
        <w:t xml:space="preserve">faze III </w:t>
      </w:r>
      <w:r w:rsidR="00D655B4" w:rsidRPr="00042A6C">
        <w:rPr>
          <w:b/>
          <w:bCs/>
          <w:i/>
          <w:sz w:val="22"/>
          <w:szCs w:val="22"/>
          <w:lang w:val="sr-Latn-ME"/>
        </w:rPr>
        <w:t>Einstein Extension</w:t>
      </w:r>
    </w:p>
    <w:tbl>
      <w:tblPr>
        <w:tblStyle w:val="TableGrid"/>
        <w:tblW w:w="0" w:type="auto"/>
        <w:tblLook w:val="04A0" w:firstRow="1" w:lastRow="0" w:firstColumn="1" w:lastColumn="0" w:noHBand="0" w:noVBand="1"/>
      </w:tblPr>
      <w:tblGrid>
        <w:gridCol w:w="3021"/>
        <w:gridCol w:w="3021"/>
        <w:gridCol w:w="3021"/>
      </w:tblGrid>
      <w:tr w:rsidR="00D655B4" w:rsidRPr="00042A6C" w:rsidTr="00B427F3">
        <w:tc>
          <w:tcPr>
            <w:tcW w:w="3021" w:type="dxa"/>
          </w:tcPr>
          <w:p w:rsidR="00D655B4" w:rsidRPr="004C49DB" w:rsidRDefault="00D655B4" w:rsidP="00B427F3">
            <w:pPr>
              <w:widowControl w:val="0"/>
              <w:autoSpaceDE w:val="0"/>
              <w:autoSpaceDN w:val="0"/>
              <w:spacing w:before="111"/>
              <w:ind w:left="9"/>
              <w:rPr>
                <w:b/>
                <w:sz w:val="22"/>
                <w:szCs w:val="22"/>
                <w:lang w:val="sr-Latn-ME"/>
              </w:rPr>
            </w:pPr>
            <w:r w:rsidRPr="004C49DB">
              <w:rPr>
                <w:b/>
                <w:sz w:val="22"/>
                <w:szCs w:val="22"/>
                <w:lang w:val="sr-Latn-ME"/>
              </w:rPr>
              <w:t>Populacija uključena u studiju</w:t>
            </w:r>
          </w:p>
        </w:tc>
        <w:tc>
          <w:tcPr>
            <w:tcW w:w="6042" w:type="dxa"/>
            <w:gridSpan w:val="2"/>
          </w:tcPr>
          <w:p w:rsidR="00D655B4" w:rsidRPr="004C49DB" w:rsidRDefault="00D655B4" w:rsidP="00B427F3">
            <w:pPr>
              <w:widowControl w:val="0"/>
              <w:autoSpaceDE w:val="0"/>
              <w:autoSpaceDN w:val="0"/>
              <w:spacing w:line="232" w:lineRule="auto"/>
              <w:ind w:left="9"/>
              <w:rPr>
                <w:b/>
                <w:sz w:val="22"/>
                <w:szCs w:val="22"/>
                <w:lang w:val="sr-Latn-ME"/>
              </w:rPr>
            </w:pPr>
            <w:r w:rsidRPr="004C49DB">
              <w:rPr>
                <w:b/>
                <w:sz w:val="22"/>
                <w:szCs w:val="22"/>
                <w:lang w:val="sr-Latn-ME"/>
              </w:rPr>
              <w:t>1197 pacijenata koji su nastavili terapiju i prevenciju rekurentne venske tromboembolije</w:t>
            </w:r>
          </w:p>
        </w:tc>
      </w:tr>
      <w:tr w:rsidR="00D655B4" w:rsidRPr="00042A6C" w:rsidTr="00B427F3">
        <w:tc>
          <w:tcPr>
            <w:tcW w:w="3021" w:type="dxa"/>
            <w:vAlign w:val="center"/>
          </w:tcPr>
          <w:p w:rsidR="00D655B4" w:rsidRPr="004C49DB" w:rsidRDefault="00D655B4" w:rsidP="00B427F3">
            <w:pPr>
              <w:widowControl w:val="0"/>
              <w:autoSpaceDE w:val="0"/>
              <w:autoSpaceDN w:val="0"/>
              <w:rPr>
                <w:b/>
                <w:sz w:val="22"/>
                <w:szCs w:val="22"/>
                <w:lang w:val="sr-Latn-ME"/>
              </w:rPr>
            </w:pPr>
            <w:r w:rsidRPr="004C49DB">
              <w:rPr>
                <w:b/>
                <w:sz w:val="22"/>
                <w:szCs w:val="22"/>
                <w:lang w:val="sr-Latn-ME"/>
              </w:rPr>
              <w:t>Terapijska doza i trajanje liječenja</w:t>
            </w:r>
          </w:p>
        </w:tc>
        <w:tc>
          <w:tcPr>
            <w:tcW w:w="3021" w:type="dxa"/>
            <w:vAlign w:val="center"/>
          </w:tcPr>
          <w:p w:rsidR="00D655B4" w:rsidRPr="004C49DB" w:rsidRDefault="00D655B4" w:rsidP="00B427F3">
            <w:pPr>
              <w:widowControl w:val="0"/>
              <w:autoSpaceDE w:val="0"/>
              <w:autoSpaceDN w:val="0"/>
              <w:spacing w:line="251" w:lineRule="exact"/>
              <w:ind w:left="425" w:right="411"/>
              <w:jc w:val="center"/>
              <w:rPr>
                <w:b/>
                <w:sz w:val="22"/>
                <w:szCs w:val="22"/>
                <w:lang w:val="sr-Latn-ME"/>
              </w:rPr>
            </w:pPr>
            <w:r w:rsidRPr="004C49DB">
              <w:rPr>
                <w:b/>
                <w:sz w:val="22"/>
                <w:szCs w:val="22"/>
                <w:lang w:val="sr-Latn-ME"/>
              </w:rPr>
              <w:t>Rivaroksaban</w:t>
            </w:r>
            <w:r w:rsidRPr="004C49DB">
              <w:rPr>
                <w:b/>
                <w:sz w:val="22"/>
                <w:szCs w:val="22"/>
                <w:vertAlign w:val="superscript"/>
                <w:lang w:val="sr-Latn-ME"/>
              </w:rPr>
              <w:t>a)</w:t>
            </w:r>
            <w:r w:rsidRPr="004C49DB">
              <w:rPr>
                <w:b/>
                <w:sz w:val="22"/>
                <w:szCs w:val="22"/>
                <w:lang w:val="sr-Latn-ME"/>
              </w:rPr>
              <w:t xml:space="preserve"> 6 ili 12 mjeseci </w:t>
            </w:r>
          </w:p>
          <w:p w:rsidR="00D655B4" w:rsidRPr="004C49DB" w:rsidRDefault="00D655B4" w:rsidP="00B427F3">
            <w:pPr>
              <w:widowControl w:val="0"/>
              <w:autoSpaceDE w:val="0"/>
              <w:autoSpaceDN w:val="0"/>
              <w:spacing w:line="251" w:lineRule="exact"/>
              <w:ind w:left="425" w:right="411"/>
              <w:jc w:val="center"/>
              <w:rPr>
                <w:b/>
                <w:sz w:val="22"/>
                <w:szCs w:val="22"/>
                <w:lang w:val="sr-Latn-ME"/>
              </w:rPr>
            </w:pPr>
            <w:r w:rsidRPr="004C49DB">
              <w:rPr>
                <w:b/>
                <w:sz w:val="22"/>
                <w:szCs w:val="22"/>
                <w:lang w:val="sr-Latn-ME"/>
              </w:rPr>
              <w:t>N=602</w:t>
            </w:r>
          </w:p>
        </w:tc>
        <w:tc>
          <w:tcPr>
            <w:tcW w:w="3021" w:type="dxa"/>
            <w:vAlign w:val="center"/>
          </w:tcPr>
          <w:p w:rsidR="00D655B4" w:rsidRPr="004C49DB" w:rsidRDefault="00D655B4" w:rsidP="00B427F3">
            <w:pPr>
              <w:widowControl w:val="0"/>
              <w:autoSpaceDE w:val="0"/>
              <w:autoSpaceDN w:val="0"/>
              <w:spacing w:line="251" w:lineRule="exact"/>
              <w:ind w:left="151" w:right="137"/>
              <w:jc w:val="center"/>
              <w:rPr>
                <w:b/>
                <w:sz w:val="22"/>
                <w:szCs w:val="22"/>
                <w:lang w:val="sr-Latn-ME"/>
              </w:rPr>
            </w:pPr>
            <w:r w:rsidRPr="004C49DB">
              <w:rPr>
                <w:b/>
                <w:sz w:val="22"/>
                <w:szCs w:val="22"/>
                <w:lang w:val="sr-Latn-ME"/>
              </w:rPr>
              <w:t>Placebo</w:t>
            </w:r>
          </w:p>
          <w:p w:rsidR="00D655B4" w:rsidRPr="004C49DB" w:rsidRDefault="00D655B4" w:rsidP="00B427F3">
            <w:pPr>
              <w:widowControl w:val="0"/>
              <w:autoSpaceDE w:val="0"/>
              <w:autoSpaceDN w:val="0"/>
              <w:spacing w:line="251" w:lineRule="exact"/>
              <w:ind w:left="151" w:right="137"/>
              <w:jc w:val="center"/>
              <w:rPr>
                <w:b/>
                <w:sz w:val="22"/>
                <w:szCs w:val="22"/>
                <w:lang w:val="sr-Latn-ME"/>
              </w:rPr>
            </w:pPr>
            <w:r w:rsidRPr="004C49DB">
              <w:rPr>
                <w:b/>
                <w:sz w:val="22"/>
                <w:szCs w:val="22"/>
                <w:lang w:val="sr-Latn-ME"/>
              </w:rPr>
              <w:t>6 ili 12 mjeseci</w:t>
            </w:r>
          </w:p>
          <w:p w:rsidR="00D655B4" w:rsidRPr="004C49DB" w:rsidRDefault="00D655B4" w:rsidP="00B427F3">
            <w:pPr>
              <w:widowControl w:val="0"/>
              <w:autoSpaceDE w:val="0"/>
              <w:autoSpaceDN w:val="0"/>
              <w:spacing w:line="251" w:lineRule="exact"/>
              <w:ind w:left="151" w:right="137"/>
              <w:jc w:val="center"/>
              <w:rPr>
                <w:b/>
                <w:sz w:val="22"/>
                <w:szCs w:val="22"/>
                <w:lang w:val="sr-Latn-ME"/>
              </w:rPr>
            </w:pPr>
            <w:r w:rsidRPr="004C49DB">
              <w:rPr>
                <w:b/>
                <w:sz w:val="22"/>
                <w:szCs w:val="22"/>
                <w:lang w:val="sr-Latn-ME"/>
              </w:rPr>
              <w:t>N=594</w:t>
            </w:r>
          </w:p>
        </w:tc>
      </w:tr>
      <w:tr w:rsidR="00D655B4" w:rsidRPr="00042A6C" w:rsidTr="00B427F3">
        <w:tc>
          <w:tcPr>
            <w:tcW w:w="3021" w:type="dxa"/>
            <w:vAlign w:val="center"/>
          </w:tcPr>
          <w:p w:rsidR="00D655B4" w:rsidRPr="00042A6C" w:rsidRDefault="00D655B4" w:rsidP="00B427F3">
            <w:pPr>
              <w:widowControl w:val="0"/>
              <w:autoSpaceDE w:val="0"/>
              <w:autoSpaceDN w:val="0"/>
              <w:spacing w:line="235" w:lineRule="exact"/>
              <w:ind w:left="9"/>
              <w:rPr>
                <w:sz w:val="22"/>
                <w:szCs w:val="22"/>
                <w:lang w:val="sr-Latn-ME"/>
              </w:rPr>
            </w:pPr>
            <w:r w:rsidRPr="00042A6C">
              <w:rPr>
                <w:sz w:val="22"/>
                <w:szCs w:val="22"/>
                <w:lang w:val="sr-Latn-ME"/>
              </w:rPr>
              <w:t>Simptomatska rekurentna VTE*</w:t>
            </w:r>
          </w:p>
        </w:tc>
        <w:tc>
          <w:tcPr>
            <w:tcW w:w="3021" w:type="dxa"/>
            <w:vAlign w:val="center"/>
          </w:tcPr>
          <w:p w:rsidR="00D655B4" w:rsidRPr="00042A6C" w:rsidRDefault="00D655B4" w:rsidP="00B427F3">
            <w:pPr>
              <w:widowControl w:val="0"/>
              <w:autoSpaceDE w:val="0"/>
              <w:autoSpaceDN w:val="0"/>
              <w:spacing w:line="224" w:lineRule="exact"/>
              <w:ind w:left="425" w:right="405"/>
              <w:jc w:val="center"/>
              <w:rPr>
                <w:sz w:val="22"/>
                <w:szCs w:val="22"/>
                <w:lang w:val="sr-Latn-ME"/>
              </w:rPr>
            </w:pPr>
            <w:r w:rsidRPr="00042A6C">
              <w:rPr>
                <w:sz w:val="22"/>
                <w:szCs w:val="22"/>
                <w:lang w:val="sr-Latn-ME"/>
              </w:rPr>
              <w:t>8</w:t>
            </w:r>
          </w:p>
          <w:p w:rsidR="00D655B4" w:rsidRPr="00042A6C" w:rsidRDefault="00D655B4" w:rsidP="00B427F3">
            <w:pPr>
              <w:widowControl w:val="0"/>
              <w:autoSpaceDE w:val="0"/>
              <w:autoSpaceDN w:val="0"/>
              <w:spacing w:line="224" w:lineRule="exact"/>
              <w:ind w:left="425" w:right="405"/>
              <w:jc w:val="center"/>
              <w:rPr>
                <w:sz w:val="22"/>
                <w:szCs w:val="22"/>
                <w:lang w:val="sr-Latn-ME"/>
              </w:rPr>
            </w:pPr>
            <w:r w:rsidRPr="00042A6C">
              <w:rPr>
                <w:sz w:val="22"/>
                <w:szCs w:val="22"/>
                <w:lang w:val="sr-Latn-ME"/>
              </w:rPr>
              <w:t>(1,3%)</w:t>
            </w:r>
          </w:p>
        </w:tc>
        <w:tc>
          <w:tcPr>
            <w:tcW w:w="3021" w:type="dxa"/>
            <w:vAlign w:val="center"/>
          </w:tcPr>
          <w:p w:rsidR="00D655B4" w:rsidRPr="00042A6C" w:rsidRDefault="00D655B4" w:rsidP="00B427F3">
            <w:pPr>
              <w:widowControl w:val="0"/>
              <w:autoSpaceDE w:val="0"/>
              <w:autoSpaceDN w:val="0"/>
              <w:spacing w:line="224" w:lineRule="exact"/>
              <w:ind w:left="157" w:right="137"/>
              <w:jc w:val="center"/>
              <w:rPr>
                <w:sz w:val="22"/>
                <w:szCs w:val="22"/>
                <w:lang w:val="sr-Latn-ME"/>
              </w:rPr>
            </w:pPr>
            <w:r w:rsidRPr="00042A6C">
              <w:rPr>
                <w:sz w:val="22"/>
                <w:szCs w:val="22"/>
                <w:lang w:val="sr-Latn-ME"/>
              </w:rPr>
              <w:t>42</w:t>
            </w:r>
          </w:p>
          <w:p w:rsidR="00D655B4" w:rsidRPr="00042A6C" w:rsidRDefault="00D655B4" w:rsidP="00B427F3">
            <w:pPr>
              <w:widowControl w:val="0"/>
              <w:autoSpaceDE w:val="0"/>
              <w:autoSpaceDN w:val="0"/>
              <w:spacing w:line="224" w:lineRule="exact"/>
              <w:ind w:left="157" w:right="137"/>
              <w:jc w:val="center"/>
              <w:rPr>
                <w:sz w:val="22"/>
                <w:szCs w:val="22"/>
                <w:lang w:val="sr-Latn-ME"/>
              </w:rPr>
            </w:pPr>
            <w:r w:rsidRPr="00042A6C">
              <w:rPr>
                <w:sz w:val="22"/>
                <w:szCs w:val="22"/>
                <w:lang w:val="sr-Latn-ME"/>
              </w:rPr>
              <w:t>(7,1%)</w:t>
            </w:r>
          </w:p>
        </w:tc>
      </w:tr>
      <w:tr w:rsidR="00D655B4" w:rsidRPr="00042A6C" w:rsidTr="00B427F3">
        <w:tc>
          <w:tcPr>
            <w:tcW w:w="3021" w:type="dxa"/>
            <w:vAlign w:val="center"/>
          </w:tcPr>
          <w:p w:rsidR="00D655B4" w:rsidRPr="00042A6C" w:rsidRDefault="00D655B4" w:rsidP="004C49DB">
            <w:pPr>
              <w:widowControl w:val="0"/>
              <w:autoSpaceDE w:val="0"/>
              <w:autoSpaceDN w:val="0"/>
              <w:spacing w:line="235" w:lineRule="exact"/>
              <w:ind w:left="9"/>
              <w:jc w:val="right"/>
              <w:rPr>
                <w:sz w:val="22"/>
                <w:szCs w:val="22"/>
                <w:lang w:val="sr-Latn-ME"/>
              </w:rPr>
            </w:pPr>
            <w:r w:rsidRPr="00042A6C">
              <w:rPr>
                <w:sz w:val="22"/>
                <w:szCs w:val="22"/>
                <w:lang w:val="sr-Latn-ME"/>
              </w:rPr>
              <w:t>Simptomatska rekurentna PE</w:t>
            </w:r>
          </w:p>
        </w:tc>
        <w:tc>
          <w:tcPr>
            <w:tcW w:w="3021" w:type="dxa"/>
            <w:vAlign w:val="center"/>
          </w:tcPr>
          <w:p w:rsidR="00D655B4" w:rsidRPr="00042A6C" w:rsidRDefault="00D655B4" w:rsidP="00B427F3">
            <w:pPr>
              <w:widowControl w:val="0"/>
              <w:autoSpaceDE w:val="0"/>
              <w:autoSpaceDN w:val="0"/>
              <w:spacing w:line="224" w:lineRule="exact"/>
              <w:ind w:left="425" w:right="405"/>
              <w:jc w:val="center"/>
              <w:rPr>
                <w:sz w:val="22"/>
                <w:szCs w:val="22"/>
                <w:lang w:val="sr-Latn-ME"/>
              </w:rPr>
            </w:pPr>
            <w:r w:rsidRPr="00042A6C">
              <w:rPr>
                <w:sz w:val="22"/>
                <w:szCs w:val="22"/>
                <w:lang w:val="sr-Latn-ME"/>
              </w:rPr>
              <w:t>2</w:t>
            </w:r>
          </w:p>
          <w:p w:rsidR="00D655B4" w:rsidRPr="00042A6C" w:rsidRDefault="00D655B4" w:rsidP="00B427F3">
            <w:pPr>
              <w:widowControl w:val="0"/>
              <w:autoSpaceDE w:val="0"/>
              <w:autoSpaceDN w:val="0"/>
              <w:spacing w:line="224" w:lineRule="exact"/>
              <w:ind w:left="425" w:right="405"/>
              <w:jc w:val="center"/>
              <w:rPr>
                <w:sz w:val="22"/>
                <w:szCs w:val="22"/>
                <w:lang w:val="sr-Latn-ME"/>
              </w:rPr>
            </w:pPr>
            <w:r w:rsidRPr="00042A6C">
              <w:rPr>
                <w:sz w:val="22"/>
                <w:szCs w:val="22"/>
                <w:lang w:val="sr-Latn-ME"/>
              </w:rPr>
              <w:t>(0,%)</w:t>
            </w:r>
          </w:p>
        </w:tc>
        <w:tc>
          <w:tcPr>
            <w:tcW w:w="3021" w:type="dxa"/>
            <w:vAlign w:val="center"/>
          </w:tcPr>
          <w:p w:rsidR="00D655B4" w:rsidRPr="00042A6C" w:rsidRDefault="00D655B4" w:rsidP="00B427F3">
            <w:pPr>
              <w:widowControl w:val="0"/>
              <w:autoSpaceDE w:val="0"/>
              <w:autoSpaceDN w:val="0"/>
              <w:spacing w:line="224" w:lineRule="exact"/>
              <w:ind w:left="157" w:right="137"/>
              <w:jc w:val="center"/>
              <w:rPr>
                <w:sz w:val="22"/>
                <w:szCs w:val="22"/>
                <w:lang w:val="sr-Latn-ME"/>
              </w:rPr>
            </w:pPr>
            <w:r w:rsidRPr="00042A6C">
              <w:rPr>
                <w:sz w:val="22"/>
                <w:szCs w:val="22"/>
                <w:lang w:val="sr-Latn-ME"/>
              </w:rPr>
              <w:t>13</w:t>
            </w:r>
          </w:p>
          <w:p w:rsidR="00D655B4" w:rsidRPr="00042A6C" w:rsidRDefault="00D655B4" w:rsidP="00B427F3">
            <w:pPr>
              <w:widowControl w:val="0"/>
              <w:autoSpaceDE w:val="0"/>
              <w:autoSpaceDN w:val="0"/>
              <w:spacing w:line="224" w:lineRule="exact"/>
              <w:ind w:left="157" w:right="137"/>
              <w:jc w:val="center"/>
              <w:rPr>
                <w:sz w:val="22"/>
                <w:szCs w:val="22"/>
                <w:lang w:val="sr-Latn-ME"/>
              </w:rPr>
            </w:pPr>
            <w:r w:rsidRPr="00042A6C">
              <w:rPr>
                <w:sz w:val="22"/>
                <w:szCs w:val="22"/>
                <w:lang w:val="sr-Latn-ME"/>
              </w:rPr>
              <w:t>(2,2%)</w:t>
            </w:r>
          </w:p>
        </w:tc>
      </w:tr>
      <w:tr w:rsidR="00D655B4" w:rsidRPr="00042A6C" w:rsidTr="00B427F3">
        <w:tc>
          <w:tcPr>
            <w:tcW w:w="3021" w:type="dxa"/>
            <w:vAlign w:val="center"/>
          </w:tcPr>
          <w:p w:rsidR="00D655B4" w:rsidRPr="00042A6C" w:rsidRDefault="00D655B4" w:rsidP="004C49DB">
            <w:pPr>
              <w:widowControl w:val="0"/>
              <w:autoSpaceDE w:val="0"/>
              <w:autoSpaceDN w:val="0"/>
              <w:spacing w:line="230" w:lineRule="exact"/>
              <w:ind w:left="9"/>
              <w:jc w:val="right"/>
              <w:rPr>
                <w:sz w:val="22"/>
                <w:szCs w:val="22"/>
                <w:lang w:val="sr-Latn-ME"/>
              </w:rPr>
            </w:pPr>
            <w:r w:rsidRPr="00042A6C">
              <w:rPr>
                <w:sz w:val="22"/>
                <w:szCs w:val="22"/>
                <w:lang w:val="sr-Latn-ME"/>
              </w:rPr>
              <w:t>Simptomatska rekurentna TDV</w:t>
            </w:r>
          </w:p>
        </w:tc>
        <w:tc>
          <w:tcPr>
            <w:tcW w:w="3021" w:type="dxa"/>
            <w:vAlign w:val="center"/>
          </w:tcPr>
          <w:p w:rsidR="00D655B4" w:rsidRPr="00042A6C" w:rsidRDefault="00D655B4" w:rsidP="00B427F3">
            <w:pPr>
              <w:widowControl w:val="0"/>
              <w:autoSpaceDE w:val="0"/>
              <w:autoSpaceDN w:val="0"/>
              <w:spacing w:line="220" w:lineRule="exact"/>
              <w:ind w:left="425" w:right="405"/>
              <w:jc w:val="center"/>
              <w:rPr>
                <w:sz w:val="22"/>
                <w:szCs w:val="22"/>
                <w:lang w:val="sr-Latn-ME"/>
              </w:rPr>
            </w:pPr>
            <w:r w:rsidRPr="00042A6C">
              <w:rPr>
                <w:sz w:val="22"/>
                <w:szCs w:val="22"/>
                <w:lang w:val="sr-Latn-ME"/>
              </w:rPr>
              <w:t>5</w:t>
            </w:r>
          </w:p>
          <w:p w:rsidR="00D655B4" w:rsidRPr="00042A6C" w:rsidRDefault="00D655B4" w:rsidP="00B427F3">
            <w:pPr>
              <w:widowControl w:val="0"/>
              <w:autoSpaceDE w:val="0"/>
              <w:autoSpaceDN w:val="0"/>
              <w:spacing w:line="220" w:lineRule="exact"/>
              <w:ind w:left="425" w:right="405"/>
              <w:jc w:val="center"/>
              <w:rPr>
                <w:sz w:val="22"/>
                <w:szCs w:val="22"/>
                <w:lang w:val="sr-Latn-ME"/>
              </w:rPr>
            </w:pPr>
            <w:r w:rsidRPr="00042A6C">
              <w:rPr>
                <w:sz w:val="22"/>
                <w:szCs w:val="22"/>
                <w:lang w:val="sr-Latn-ME"/>
              </w:rPr>
              <w:t>(0,8%)</w:t>
            </w:r>
          </w:p>
        </w:tc>
        <w:tc>
          <w:tcPr>
            <w:tcW w:w="3021" w:type="dxa"/>
            <w:vAlign w:val="center"/>
          </w:tcPr>
          <w:p w:rsidR="00D655B4" w:rsidRPr="00042A6C" w:rsidRDefault="00D655B4" w:rsidP="00B427F3">
            <w:pPr>
              <w:widowControl w:val="0"/>
              <w:autoSpaceDE w:val="0"/>
              <w:autoSpaceDN w:val="0"/>
              <w:spacing w:line="220" w:lineRule="exact"/>
              <w:ind w:left="157" w:right="137"/>
              <w:jc w:val="center"/>
              <w:rPr>
                <w:sz w:val="22"/>
                <w:szCs w:val="22"/>
                <w:lang w:val="sr-Latn-ME"/>
              </w:rPr>
            </w:pPr>
            <w:r w:rsidRPr="00042A6C">
              <w:rPr>
                <w:sz w:val="22"/>
                <w:szCs w:val="22"/>
                <w:lang w:val="sr-Latn-ME"/>
              </w:rPr>
              <w:t>31</w:t>
            </w:r>
          </w:p>
          <w:p w:rsidR="00D655B4" w:rsidRPr="00042A6C" w:rsidRDefault="00D655B4" w:rsidP="00B427F3">
            <w:pPr>
              <w:widowControl w:val="0"/>
              <w:autoSpaceDE w:val="0"/>
              <w:autoSpaceDN w:val="0"/>
              <w:spacing w:line="220" w:lineRule="exact"/>
              <w:ind w:left="157" w:right="137"/>
              <w:jc w:val="center"/>
              <w:rPr>
                <w:sz w:val="22"/>
                <w:szCs w:val="22"/>
                <w:lang w:val="sr-Latn-ME"/>
              </w:rPr>
            </w:pPr>
            <w:r w:rsidRPr="00042A6C">
              <w:rPr>
                <w:sz w:val="22"/>
                <w:szCs w:val="22"/>
                <w:lang w:val="sr-Latn-ME"/>
              </w:rPr>
              <w:t>(5,2%)</w:t>
            </w:r>
          </w:p>
        </w:tc>
      </w:tr>
      <w:tr w:rsidR="00D655B4" w:rsidRPr="00042A6C" w:rsidTr="00B427F3">
        <w:tc>
          <w:tcPr>
            <w:tcW w:w="3021" w:type="dxa"/>
            <w:vAlign w:val="center"/>
          </w:tcPr>
          <w:p w:rsidR="00D655B4" w:rsidRPr="00042A6C" w:rsidRDefault="00D655B4" w:rsidP="004C49DB">
            <w:pPr>
              <w:widowControl w:val="0"/>
              <w:autoSpaceDE w:val="0"/>
              <w:autoSpaceDN w:val="0"/>
              <w:spacing w:line="235" w:lineRule="exact"/>
              <w:ind w:left="9"/>
              <w:jc w:val="right"/>
              <w:rPr>
                <w:sz w:val="22"/>
                <w:szCs w:val="22"/>
                <w:lang w:val="sr-Latn-ME"/>
              </w:rPr>
            </w:pPr>
            <w:r w:rsidRPr="00042A6C">
              <w:rPr>
                <w:sz w:val="22"/>
                <w:szCs w:val="22"/>
                <w:lang w:val="sr-Latn-ME"/>
              </w:rPr>
              <w:t>PE sa smrtnim ishodom/smrt pri kojoj se PE ne može isključiti</w:t>
            </w:r>
          </w:p>
        </w:tc>
        <w:tc>
          <w:tcPr>
            <w:tcW w:w="3021" w:type="dxa"/>
            <w:vAlign w:val="center"/>
          </w:tcPr>
          <w:p w:rsidR="00D655B4" w:rsidRPr="00042A6C" w:rsidRDefault="00D655B4" w:rsidP="00B427F3">
            <w:pPr>
              <w:widowControl w:val="0"/>
              <w:autoSpaceDE w:val="0"/>
              <w:autoSpaceDN w:val="0"/>
              <w:spacing w:line="224" w:lineRule="exact"/>
              <w:ind w:left="425" w:right="405"/>
              <w:jc w:val="center"/>
              <w:rPr>
                <w:sz w:val="22"/>
                <w:szCs w:val="22"/>
                <w:lang w:val="sr-Latn-ME"/>
              </w:rPr>
            </w:pPr>
            <w:r w:rsidRPr="00042A6C">
              <w:rPr>
                <w:sz w:val="22"/>
                <w:szCs w:val="22"/>
                <w:lang w:val="sr-Latn-ME"/>
              </w:rPr>
              <w:t>1</w:t>
            </w:r>
          </w:p>
          <w:p w:rsidR="00D655B4" w:rsidRPr="00042A6C" w:rsidRDefault="00D655B4" w:rsidP="00B427F3">
            <w:pPr>
              <w:widowControl w:val="0"/>
              <w:autoSpaceDE w:val="0"/>
              <w:autoSpaceDN w:val="0"/>
              <w:spacing w:line="224" w:lineRule="exact"/>
              <w:ind w:left="425" w:right="405"/>
              <w:jc w:val="center"/>
              <w:rPr>
                <w:sz w:val="22"/>
                <w:szCs w:val="22"/>
                <w:lang w:val="sr-Latn-ME"/>
              </w:rPr>
            </w:pPr>
            <w:r w:rsidRPr="00042A6C">
              <w:rPr>
                <w:sz w:val="22"/>
                <w:szCs w:val="22"/>
                <w:lang w:val="sr-Latn-ME"/>
              </w:rPr>
              <w:t>(0,2%)</w:t>
            </w:r>
          </w:p>
        </w:tc>
        <w:tc>
          <w:tcPr>
            <w:tcW w:w="3021" w:type="dxa"/>
            <w:vAlign w:val="center"/>
          </w:tcPr>
          <w:p w:rsidR="00D655B4" w:rsidRPr="00042A6C" w:rsidRDefault="00D655B4" w:rsidP="00B427F3">
            <w:pPr>
              <w:widowControl w:val="0"/>
              <w:autoSpaceDE w:val="0"/>
              <w:autoSpaceDN w:val="0"/>
              <w:spacing w:line="224" w:lineRule="exact"/>
              <w:ind w:left="157" w:right="137"/>
              <w:jc w:val="center"/>
              <w:rPr>
                <w:sz w:val="22"/>
                <w:szCs w:val="22"/>
                <w:lang w:val="sr-Latn-ME"/>
              </w:rPr>
            </w:pPr>
            <w:r w:rsidRPr="00042A6C">
              <w:rPr>
                <w:sz w:val="22"/>
                <w:szCs w:val="22"/>
                <w:lang w:val="sr-Latn-ME"/>
              </w:rPr>
              <w:t>1</w:t>
            </w:r>
          </w:p>
          <w:p w:rsidR="00D655B4" w:rsidRPr="00042A6C" w:rsidRDefault="00D655B4" w:rsidP="00B427F3">
            <w:pPr>
              <w:widowControl w:val="0"/>
              <w:autoSpaceDE w:val="0"/>
              <w:autoSpaceDN w:val="0"/>
              <w:spacing w:line="224" w:lineRule="exact"/>
              <w:ind w:left="157" w:right="137"/>
              <w:jc w:val="center"/>
              <w:rPr>
                <w:sz w:val="22"/>
                <w:szCs w:val="22"/>
                <w:lang w:val="sr-Latn-ME"/>
              </w:rPr>
            </w:pPr>
            <w:r w:rsidRPr="00042A6C">
              <w:rPr>
                <w:sz w:val="22"/>
                <w:szCs w:val="22"/>
                <w:lang w:val="sr-Latn-ME"/>
              </w:rPr>
              <w:t>(0,%)</w:t>
            </w:r>
          </w:p>
        </w:tc>
      </w:tr>
      <w:tr w:rsidR="00D655B4" w:rsidRPr="00042A6C" w:rsidTr="00B427F3">
        <w:tc>
          <w:tcPr>
            <w:tcW w:w="3021" w:type="dxa"/>
            <w:vAlign w:val="center"/>
          </w:tcPr>
          <w:p w:rsidR="00D655B4" w:rsidRPr="00042A6C" w:rsidRDefault="00D655B4" w:rsidP="004C49DB">
            <w:pPr>
              <w:widowControl w:val="0"/>
              <w:autoSpaceDE w:val="0"/>
              <w:autoSpaceDN w:val="0"/>
              <w:spacing w:line="228" w:lineRule="auto"/>
              <w:ind w:left="9" w:right="154"/>
              <w:jc w:val="right"/>
              <w:rPr>
                <w:sz w:val="22"/>
                <w:szCs w:val="22"/>
                <w:lang w:val="sr-Latn-ME"/>
              </w:rPr>
            </w:pPr>
            <w:r w:rsidRPr="00042A6C">
              <w:rPr>
                <w:sz w:val="22"/>
                <w:szCs w:val="22"/>
                <w:lang w:val="sr-Latn-ME"/>
              </w:rPr>
              <w:t xml:space="preserve">Događaji </w:t>
            </w:r>
            <w:r w:rsidR="00751CC3" w:rsidRPr="00042A6C">
              <w:rPr>
                <w:sz w:val="22"/>
                <w:szCs w:val="22"/>
                <w:lang w:val="sr-Latn-ME"/>
              </w:rPr>
              <w:t xml:space="preserve">velikog </w:t>
            </w:r>
            <w:r w:rsidRPr="00042A6C">
              <w:rPr>
                <w:sz w:val="22"/>
                <w:szCs w:val="22"/>
                <w:lang w:val="sr-Latn-ME"/>
              </w:rPr>
              <w:t>krvarenja</w:t>
            </w:r>
          </w:p>
        </w:tc>
        <w:tc>
          <w:tcPr>
            <w:tcW w:w="3021" w:type="dxa"/>
            <w:vAlign w:val="center"/>
          </w:tcPr>
          <w:p w:rsidR="00D655B4" w:rsidRPr="00042A6C" w:rsidRDefault="00D655B4" w:rsidP="00B427F3">
            <w:pPr>
              <w:widowControl w:val="0"/>
              <w:autoSpaceDE w:val="0"/>
              <w:autoSpaceDN w:val="0"/>
              <w:spacing w:before="121" w:line="238" w:lineRule="exact"/>
              <w:ind w:left="425" w:right="405"/>
              <w:jc w:val="center"/>
              <w:rPr>
                <w:sz w:val="22"/>
                <w:szCs w:val="22"/>
                <w:lang w:val="sr-Latn-ME"/>
              </w:rPr>
            </w:pPr>
            <w:r w:rsidRPr="00042A6C">
              <w:rPr>
                <w:sz w:val="22"/>
                <w:szCs w:val="22"/>
                <w:lang w:val="sr-Latn-ME"/>
              </w:rPr>
              <w:t>4</w:t>
            </w:r>
          </w:p>
          <w:p w:rsidR="00D655B4" w:rsidRPr="00042A6C" w:rsidRDefault="00D655B4" w:rsidP="00B427F3">
            <w:pPr>
              <w:widowControl w:val="0"/>
              <w:autoSpaceDE w:val="0"/>
              <w:autoSpaceDN w:val="0"/>
              <w:spacing w:before="121" w:line="238" w:lineRule="exact"/>
              <w:ind w:left="425" w:right="405"/>
              <w:jc w:val="center"/>
              <w:rPr>
                <w:sz w:val="22"/>
                <w:szCs w:val="22"/>
                <w:lang w:val="sr-Latn-ME"/>
              </w:rPr>
            </w:pPr>
            <w:r w:rsidRPr="00042A6C">
              <w:rPr>
                <w:sz w:val="22"/>
                <w:szCs w:val="22"/>
                <w:lang w:val="sr-Latn-ME"/>
              </w:rPr>
              <w:t>(0,7%)</w:t>
            </w:r>
          </w:p>
        </w:tc>
        <w:tc>
          <w:tcPr>
            <w:tcW w:w="3021" w:type="dxa"/>
            <w:vAlign w:val="center"/>
          </w:tcPr>
          <w:p w:rsidR="00D655B4" w:rsidRPr="00042A6C" w:rsidRDefault="00D655B4" w:rsidP="00B427F3">
            <w:pPr>
              <w:widowControl w:val="0"/>
              <w:autoSpaceDE w:val="0"/>
              <w:autoSpaceDN w:val="0"/>
              <w:spacing w:before="121" w:line="238" w:lineRule="exact"/>
              <w:ind w:left="157" w:right="137"/>
              <w:jc w:val="center"/>
              <w:rPr>
                <w:sz w:val="22"/>
                <w:szCs w:val="22"/>
                <w:lang w:val="sr-Latn-ME"/>
              </w:rPr>
            </w:pPr>
            <w:r w:rsidRPr="00042A6C">
              <w:rPr>
                <w:sz w:val="22"/>
                <w:szCs w:val="22"/>
                <w:lang w:val="sr-Latn-ME"/>
              </w:rPr>
              <w:t>0</w:t>
            </w:r>
          </w:p>
        </w:tc>
      </w:tr>
      <w:tr w:rsidR="00D21C47" w:rsidRPr="00042A6C" w:rsidTr="00B427F3">
        <w:tc>
          <w:tcPr>
            <w:tcW w:w="3021" w:type="dxa"/>
            <w:vAlign w:val="center"/>
          </w:tcPr>
          <w:p w:rsidR="00D21C47" w:rsidRPr="00042A6C" w:rsidRDefault="00D21C47" w:rsidP="00751CC3">
            <w:pPr>
              <w:widowControl w:val="0"/>
              <w:tabs>
                <w:tab w:val="left" w:pos="1070"/>
                <w:tab w:val="left" w:pos="1468"/>
                <w:tab w:val="left" w:pos="2476"/>
              </w:tabs>
              <w:autoSpaceDE w:val="0"/>
              <w:autoSpaceDN w:val="0"/>
              <w:spacing w:before="5" w:line="223" w:lineRule="auto"/>
              <w:ind w:left="9" w:right="88"/>
              <w:rPr>
                <w:sz w:val="22"/>
                <w:szCs w:val="22"/>
                <w:lang w:val="sr-Latn-ME"/>
              </w:rPr>
            </w:pPr>
            <w:r w:rsidRPr="00042A6C">
              <w:rPr>
                <w:sz w:val="22"/>
                <w:szCs w:val="22"/>
                <w:lang w:val="sr-Latn-ME"/>
              </w:rPr>
              <w:t xml:space="preserve">Klinički značajna </w:t>
            </w:r>
            <w:r w:rsidR="00751CC3" w:rsidRPr="00042A6C">
              <w:rPr>
                <w:sz w:val="22"/>
                <w:szCs w:val="22"/>
                <w:lang w:val="sr-Latn-ME"/>
              </w:rPr>
              <w:t xml:space="preserve">manja </w:t>
            </w:r>
            <w:r w:rsidRPr="00042A6C">
              <w:rPr>
                <w:sz w:val="22"/>
                <w:szCs w:val="22"/>
                <w:lang w:val="sr-Latn-ME"/>
              </w:rPr>
              <w:t>krvarenja</w:t>
            </w:r>
          </w:p>
        </w:tc>
        <w:tc>
          <w:tcPr>
            <w:tcW w:w="3021" w:type="dxa"/>
            <w:vAlign w:val="center"/>
          </w:tcPr>
          <w:p w:rsidR="00D21C47" w:rsidRPr="00042A6C" w:rsidRDefault="00D21C47" w:rsidP="00D21C47">
            <w:pPr>
              <w:widowControl w:val="0"/>
              <w:autoSpaceDE w:val="0"/>
              <w:autoSpaceDN w:val="0"/>
              <w:spacing w:before="112" w:line="243" w:lineRule="exact"/>
              <w:ind w:left="425" w:right="405"/>
              <w:jc w:val="center"/>
              <w:rPr>
                <w:sz w:val="22"/>
                <w:szCs w:val="22"/>
                <w:lang w:val="sr-Latn-ME"/>
              </w:rPr>
            </w:pPr>
            <w:r w:rsidRPr="00042A6C">
              <w:rPr>
                <w:sz w:val="22"/>
                <w:szCs w:val="22"/>
                <w:lang w:val="sr-Latn-ME"/>
              </w:rPr>
              <w:t>32</w:t>
            </w:r>
          </w:p>
          <w:p w:rsidR="00D21C47" w:rsidRPr="00042A6C" w:rsidRDefault="00D21C47" w:rsidP="00D21C47">
            <w:pPr>
              <w:widowControl w:val="0"/>
              <w:autoSpaceDE w:val="0"/>
              <w:autoSpaceDN w:val="0"/>
              <w:spacing w:before="112" w:line="243" w:lineRule="exact"/>
              <w:ind w:left="425" w:right="405"/>
              <w:jc w:val="center"/>
              <w:rPr>
                <w:sz w:val="22"/>
                <w:szCs w:val="22"/>
                <w:lang w:val="sr-Latn-ME"/>
              </w:rPr>
            </w:pPr>
            <w:r w:rsidRPr="00042A6C">
              <w:rPr>
                <w:sz w:val="22"/>
                <w:szCs w:val="22"/>
                <w:lang w:val="sr-Latn-ME"/>
              </w:rPr>
              <w:t>(5,4%)</w:t>
            </w:r>
          </w:p>
        </w:tc>
        <w:tc>
          <w:tcPr>
            <w:tcW w:w="3021" w:type="dxa"/>
            <w:vAlign w:val="center"/>
          </w:tcPr>
          <w:p w:rsidR="00D21C47" w:rsidRPr="00042A6C" w:rsidRDefault="00D21C47" w:rsidP="00D21C47">
            <w:pPr>
              <w:widowControl w:val="0"/>
              <w:autoSpaceDE w:val="0"/>
              <w:autoSpaceDN w:val="0"/>
              <w:spacing w:before="112" w:line="243" w:lineRule="exact"/>
              <w:ind w:left="152" w:right="137"/>
              <w:jc w:val="center"/>
              <w:rPr>
                <w:sz w:val="22"/>
                <w:szCs w:val="22"/>
                <w:lang w:val="sr-Latn-ME"/>
              </w:rPr>
            </w:pPr>
            <w:r w:rsidRPr="00042A6C">
              <w:rPr>
                <w:sz w:val="22"/>
                <w:szCs w:val="22"/>
                <w:lang w:val="sr-Latn-ME"/>
              </w:rPr>
              <w:t>7</w:t>
            </w:r>
          </w:p>
          <w:p w:rsidR="00D21C47" w:rsidRPr="00042A6C" w:rsidRDefault="00D21C47" w:rsidP="00D21C47">
            <w:pPr>
              <w:widowControl w:val="0"/>
              <w:autoSpaceDE w:val="0"/>
              <w:autoSpaceDN w:val="0"/>
              <w:spacing w:before="112" w:line="243" w:lineRule="exact"/>
              <w:ind w:left="152" w:right="137"/>
              <w:jc w:val="center"/>
              <w:rPr>
                <w:sz w:val="22"/>
                <w:szCs w:val="22"/>
                <w:lang w:val="sr-Latn-ME"/>
              </w:rPr>
            </w:pPr>
            <w:r w:rsidRPr="00042A6C">
              <w:rPr>
                <w:sz w:val="22"/>
                <w:szCs w:val="22"/>
                <w:lang w:val="sr-Latn-ME"/>
              </w:rPr>
              <w:t>(1,2%)</w:t>
            </w:r>
          </w:p>
        </w:tc>
      </w:tr>
    </w:tbl>
    <w:p w:rsidR="00D655B4" w:rsidRPr="00042A6C" w:rsidRDefault="00D655B4" w:rsidP="00D655B4">
      <w:pPr>
        <w:tabs>
          <w:tab w:val="left" w:pos="540"/>
          <w:tab w:val="left" w:pos="569"/>
        </w:tabs>
        <w:rPr>
          <w:bCs/>
          <w:sz w:val="22"/>
          <w:szCs w:val="22"/>
          <w:lang w:val="sr-Latn-ME"/>
        </w:rPr>
      </w:pPr>
      <w:r w:rsidRPr="00042A6C">
        <w:rPr>
          <w:bCs/>
          <w:sz w:val="22"/>
          <w:szCs w:val="22"/>
          <w:lang w:val="sr-Latn-ME"/>
        </w:rPr>
        <w:t>a)</w:t>
      </w:r>
      <w:r w:rsidRPr="00042A6C">
        <w:rPr>
          <w:bCs/>
          <w:sz w:val="22"/>
          <w:szCs w:val="22"/>
          <w:lang w:val="sr-Latn-ME"/>
        </w:rPr>
        <w:tab/>
        <w:t>Rivaroksaban u dozi od 20 mg jednom dnevno</w:t>
      </w:r>
      <w:r w:rsidR="00751CC3" w:rsidRPr="00042A6C">
        <w:rPr>
          <w:bCs/>
          <w:sz w:val="22"/>
          <w:szCs w:val="22"/>
          <w:lang w:val="sr-Latn-ME"/>
        </w:rPr>
        <w:t>.</w:t>
      </w:r>
    </w:p>
    <w:p w:rsidR="00D655B4" w:rsidRPr="00042A6C" w:rsidRDefault="00D655B4" w:rsidP="00D655B4">
      <w:pPr>
        <w:tabs>
          <w:tab w:val="left" w:pos="540"/>
          <w:tab w:val="left" w:pos="569"/>
        </w:tabs>
        <w:rPr>
          <w:bCs/>
          <w:sz w:val="22"/>
          <w:szCs w:val="22"/>
          <w:lang w:val="sr-Latn-ME"/>
        </w:rPr>
      </w:pPr>
      <w:r w:rsidRPr="00042A6C">
        <w:rPr>
          <w:bCs/>
          <w:sz w:val="22"/>
          <w:szCs w:val="22"/>
          <w:lang w:val="sr-Latn-ME"/>
        </w:rPr>
        <w:t>*</w:t>
      </w:r>
      <w:r w:rsidRPr="00042A6C">
        <w:rPr>
          <w:bCs/>
          <w:sz w:val="22"/>
          <w:szCs w:val="22"/>
          <w:lang w:val="sr-Latn-ME"/>
        </w:rPr>
        <w:tab/>
        <w:t>p &lt; 0,0001 (superiornost), HR: 0,185 (0,087 – 0,393)</w:t>
      </w:r>
    </w:p>
    <w:p w:rsidR="00D655B4" w:rsidRPr="00042A6C" w:rsidRDefault="00D655B4" w:rsidP="00D655B4">
      <w:pPr>
        <w:tabs>
          <w:tab w:val="left" w:pos="540"/>
          <w:tab w:val="left" w:pos="569"/>
        </w:tabs>
        <w:rPr>
          <w:bCs/>
          <w:sz w:val="22"/>
          <w:szCs w:val="22"/>
          <w:lang w:val="sr-Latn-ME"/>
        </w:rPr>
      </w:pP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 xml:space="preserve">U </w:t>
      </w:r>
      <w:r w:rsidRPr="00042A6C">
        <w:rPr>
          <w:bCs/>
          <w:i/>
          <w:sz w:val="22"/>
          <w:szCs w:val="22"/>
          <w:lang w:val="sr-Latn-ME"/>
        </w:rPr>
        <w:t xml:space="preserve">Einstein Choice </w:t>
      </w:r>
      <w:r w:rsidR="00D21C47" w:rsidRPr="00042A6C">
        <w:rPr>
          <w:bCs/>
          <w:sz w:val="22"/>
          <w:szCs w:val="22"/>
          <w:lang w:val="sr-Latn-ME"/>
        </w:rPr>
        <w:t>studiji (vidjeti Tabelu 10</w:t>
      </w:r>
      <w:r w:rsidRPr="00042A6C">
        <w:rPr>
          <w:bCs/>
          <w:sz w:val="22"/>
          <w:szCs w:val="22"/>
          <w:lang w:val="sr-Latn-ME"/>
        </w:rPr>
        <w:t xml:space="preserve">) </w:t>
      </w:r>
      <w:r w:rsidR="00751CC3" w:rsidRPr="00042A6C">
        <w:rPr>
          <w:bCs/>
          <w:sz w:val="22"/>
          <w:szCs w:val="22"/>
          <w:lang w:val="sr-Latn-ME"/>
        </w:rPr>
        <w:t xml:space="preserve">su </w:t>
      </w:r>
      <w:r w:rsidRPr="00042A6C">
        <w:rPr>
          <w:bCs/>
          <w:sz w:val="22"/>
          <w:szCs w:val="22"/>
          <w:lang w:val="sr-Latn-ME"/>
        </w:rPr>
        <w:t xml:space="preserve">rivaroksaban u dozi od 20 mg i u dozi od 10 mg pokazali superiornost u pogledu primarnog ishoda efikasnosti u odnosu na acetilsalicilnu kiselinu u dozi od 100 mg. Glavni ishod bezbjednosti (događaji </w:t>
      </w:r>
      <w:r w:rsidR="00960545" w:rsidRPr="00042A6C">
        <w:rPr>
          <w:bCs/>
          <w:sz w:val="22"/>
          <w:szCs w:val="22"/>
          <w:lang w:val="sr-Latn-ME"/>
        </w:rPr>
        <w:t xml:space="preserve">velikog </w:t>
      </w:r>
      <w:r w:rsidRPr="00042A6C">
        <w:rPr>
          <w:bCs/>
          <w:sz w:val="22"/>
          <w:szCs w:val="22"/>
          <w:lang w:val="sr-Latn-ME"/>
        </w:rPr>
        <w:t>krvarenja) kod pacijenata na terapiji rivaroksabanom u dozama od 20 mg i 10 mg jednom dnevno, je bio sličan onom kod pacijenata koji su bili na terapiji sa 100 mg acetilsalicilne kiseline.</w:t>
      </w:r>
    </w:p>
    <w:p w:rsidR="00D655B4" w:rsidRPr="00042A6C" w:rsidRDefault="00D655B4" w:rsidP="00D655B4">
      <w:pPr>
        <w:tabs>
          <w:tab w:val="left" w:pos="540"/>
          <w:tab w:val="left" w:pos="569"/>
        </w:tabs>
        <w:jc w:val="both"/>
        <w:rPr>
          <w:bCs/>
          <w:sz w:val="22"/>
          <w:szCs w:val="22"/>
          <w:lang w:val="sr-Latn-ME"/>
        </w:rPr>
      </w:pPr>
    </w:p>
    <w:p w:rsidR="00D655B4" w:rsidRPr="00042A6C" w:rsidRDefault="00D21C47" w:rsidP="00D655B4">
      <w:pPr>
        <w:tabs>
          <w:tab w:val="left" w:pos="540"/>
          <w:tab w:val="left" w:pos="569"/>
        </w:tabs>
        <w:jc w:val="both"/>
        <w:rPr>
          <w:b/>
          <w:bCs/>
          <w:sz w:val="22"/>
          <w:szCs w:val="22"/>
          <w:lang w:val="sr-Latn-ME"/>
        </w:rPr>
      </w:pPr>
      <w:r w:rsidRPr="00042A6C">
        <w:rPr>
          <w:b/>
          <w:bCs/>
          <w:sz w:val="22"/>
          <w:szCs w:val="22"/>
          <w:lang w:val="sr-Latn-ME"/>
        </w:rPr>
        <w:t>Tabela 10</w:t>
      </w:r>
      <w:r w:rsidR="00D655B4" w:rsidRPr="00042A6C">
        <w:rPr>
          <w:b/>
          <w:bCs/>
          <w:sz w:val="22"/>
          <w:szCs w:val="22"/>
          <w:lang w:val="sr-Latn-ME"/>
        </w:rPr>
        <w:t xml:space="preserve">: Rezultati efikasnosti i bezbjednosti iz studije </w:t>
      </w:r>
      <w:r w:rsidR="00960545" w:rsidRPr="00042A6C">
        <w:rPr>
          <w:b/>
          <w:bCs/>
          <w:sz w:val="22"/>
          <w:szCs w:val="22"/>
          <w:lang w:val="sr-Latn-ME"/>
        </w:rPr>
        <w:t xml:space="preserve">faze III </w:t>
      </w:r>
      <w:r w:rsidR="00D655B4" w:rsidRPr="00042A6C">
        <w:rPr>
          <w:b/>
          <w:bCs/>
          <w:i/>
          <w:sz w:val="22"/>
          <w:szCs w:val="22"/>
          <w:lang w:val="sr-Latn-ME"/>
        </w:rPr>
        <w:t>Einstein Choice</w:t>
      </w:r>
    </w:p>
    <w:tbl>
      <w:tblPr>
        <w:tblStyle w:val="TableGrid"/>
        <w:tblW w:w="0" w:type="auto"/>
        <w:tblLook w:val="04A0" w:firstRow="1" w:lastRow="0" w:firstColumn="1" w:lastColumn="0" w:noHBand="0" w:noVBand="1"/>
      </w:tblPr>
      <w:tblGrid>
        <w:gridCol w:w="2265"/>
        <w:gridCol w:w="2266"/>
        <w:gridCol w:w="2266"/>
        <w:gridCol w:w="2266"/>
      </w:tblGrid>
      <w:tr w:rsidR="00D655B4" w:rsidRPr="00042A6C" w:rsidTr="00B427F3">
        <w:tc>
          <w:tcPr>
            <w:tcW w:w="2265" w:type="dxa"/>
          </w:tcPr>
          <w:p w:rsidR="00D655B4" w:rsidRPr="004C49DB" w:rsidRDefault="00D655B4" w:rsidP="00B427F3">
            <w:pPr>
              <w:widowControl w:val="0"/>
              <w:autoSpaceDE w:val="0"/>
              <w:autoSpaceDN w:val="0"/>
              <w:spacing w:line="244" w:lineRule="exact"/>
              <w:ind w:left="9"/>
              <w:rPr>
                <w:b/>
                <w:sz w:val="22"/>
                <w:szCs w:val="22"/>
                <w:lang w:val="sr-Latn-ME"/>
              </w:rPr>
            </w:pPr>
            <w:r w:rsidRPr="004C49DB">
              <w:rPr>
                <w:b/>
                <w:sz w:val="22"/>
                <w:szCs w:val="22"/>
                <w:lang w:val="sr-Latn-ME"/>
              </w:rPr>
              <w:t>Populacija uključena u studiju</w:t>
            </w:r>
          </w:p>
        </w:tc>
        <w:tc>
          <w:tcPr>
            <w:tcW w:w="6798" w:type="dxa"/>
            <w:gridSpan w:val="3"/>
          </w:tcPr>
          <w:p w:rsidR="00D655B4" w:rsidRPr="004C49DB" w:rsidRDefault="00D655B4" w:rsidP="00B427F3">
            <w:pPr>
              <w:widowControl w:val="0"/>
              <w:autoSpaceDE w:val="0"/>
              <w:autoSpaceDN w:val="0"/>
              <w:spacing w:before="1" w:line="228" w:lineRule="auto"/>
              <w:ind w:left="9"/>
              <w:rPr>
                <w:b/>
                <w:sz w:val="22"/>
                <w:szCs w:val="22"/>
                <w:lang w:val="sr-Latn-ME"/>
              </w:rPr>
            </w:pPr>
            <w:r w:rsidRPr="004C49DB">
              <w:rPr>
                <w:b/>
                <w:sz w:val="22"/>
                <w:szCs w:val="22"/>
                <w:lang w:val="sr-Latn-ME"/>
              </w:rPr>
              <w:t>3396 pacijenata koji su nastavili terapiju i prevenciju rekurentne venske tromboembolije</w:t>
            </w:r>
          </w:p>
        </w:tc>
      </w:tr>
      <w:tr w:rsidR="00D655B4" w:rsidRPr="00042A6C" w:rsidTr="004B0614">
        <w:tc>
          <w:tcPr>
            <w:tcW w:w="2265" w:type="dxa"/>
            <w:vAlign w:val="center"/>
          </w:tcPr>
          <w:p w:rsidR="00D655B4" w:rsidRPr="004C49DB" w:rsidRDefault="00D655B4" w:rsidP="00B427F3">
            <w:pPr>
              <w:widowControl w:val="0"/>
              <w:autoSpaceDE w:val="0"/>
              <w:autoSpaceDN w:val="0"/>
              <w:spacing w:line="244" w:lineRule="exact"/>
              <w:ind w:left="9"/>
              <w:rPr>
                <w:b/>
                <w:sz w:val="22"/>
                <w:szCs w:val="22"/>
                <w:lang w:val="sr-Latn-ME"/>
              </w:rPr>
            </w:pPr>
            <w:r w:rsidRPr="004C49DB">
              <w:rPr>
                <w:b/>
                <w:sz w:val="22"/>
                <w:szCs w:val="22"/>
                <w:lang w:val="sr-Latn-ME"/>
              </w:rPr>
              <w:t>Terapijska doza</w:t>
            </w:r>
          </w:p>
        </w:tc>
        <w:tc>
          <w:tcPr>
            <w:tcW w:w="2266" w:type="dxa"/>
          </w:tcPr>
          <w:p w:rsidR="00D655B4" w:rsidRPr="004C49DB" w:rsidRDefault="00D655B4" w:rsidP="00B427F3">
            <w:pPr>
              <w:widowControl w:val="0"/>
              <w:autoSpaceDE w:val="0"/>
              <w:autoSpaceDN w:val="0"/>
              <w:spacing w:line="242" w:lineRule="exact"/>
              <w:ind w:left="9"/>
              <w:jc w:val="center"/>
              <w:rPr>
                <w:b/>
                <w:sz w:val="22"/>
                <w:szCs w:val="22"/>
                <w:lang w:val="sr-Latn-ME"/>
              </w:rPr>
            </w:pPr>
            <w:r w:rsidRPr="004C49DB">
              <w:rPr>
                <w:b/>
                <w:sz w:val="22"/>
                <w:szCs w:val="22"/>
                <w:lang w:val="sr-Latn-ME"/>
              </w:rPr>
              <w:t>Rivaroksaban 20 mg</w:t>
            </w:r>
          </w:p>
          <w:p w:rsidR="00D655B4" w:rsidRPr="004C49DB" w:rsidRDefault="00D655B4" w:rsidP="00B427F3">
            <w:pPr>
              <w:widowControl w:val="0"/>
              <w:autoSpaceDE w:val="0"/>
              <w:autoSpaceDN w:val="0"/>
              <w:spacing w:before="8" w:line="244" w:lineRule="exact"/>
              <w:ind w:left="9"/>
              <w:jc w:val="center"/>
              <w:rPr>
                <w:b/>
                <w:sz w:val="22"/>
                <w:szCs w:val="22"/>
                <w:lang w:val="sr-Latn-ME"/>
              </w:rPr>
            </w:pPr>
            <w:r w:rsidRPr="004C49DB">
              <w:rPr>
                <w:b/>
                <w:sz w:val="22"/>
                <w:szCs w:val="22"/>
                <w:lang w:val="sr-Latn-ME"/>
              </w:rPr>
              <w:t>jednom dnevno N=1107</w:t>
            </w:r>
          </w:p>
        </w:tc>
        <w:tc>
          <w:tcPr>
            <w:tcW w:w="2266" w:type="dxa"/>
          </w:tcPr>
          <w:p w:rsidR="00D655B4" w:rsidRPr="004C49DB" w:rsidRDefault="00D655B4" w:rsidP="00B427F3">
            <w:pPr>
              <w:widowControl w:val="0"/>
              <w:autoSpaceDE w:val="0"/>
              <w:autoSpaceDN w:val="0"/>
              <w:spacing w:line="242" w:lineRule="exact"/>
              <w:ind w:left="9"/>
              <w:jc w:val="center"/>
              <w:rPr>
                <w:b/>
                <w:sz w:val="22"/>
                <w:szCs w:val="22"/>
                <w:lang w:val="sr-Latn-ME"/>
              </w:rPr>
            </w:pPr>
            <w:r w:rsidRPr="004C49DB">
              <w:rPr>
                <w:b/>
                <w:sz w:val="22"/>
                <w:szCs w:val="22"/>
                <w:lang w:val="sr-Latn-ME"/>
              </w:rPr>
              <w:t>Rivaroksaban 10 mg</w:t>
            </w:r>
          </w:p>
          <w:p w:rsidR="00D655B4" w:rsidRPr="004C49DB" w:rsidRDefault="00D655B4" w:rsidP="00B427F3">
            <w:pPr>
              <w:widowControl w:val="0"/>
              <w:autoSpaceDE w:val="0"/>
              <w:autoSpaceDN w:val="0"/>
              <w:spacing w:before="8" w:line="244" w:lineRule="exact"/>
              <w:ind w:left="9"/>
              <w:jc w:val="center"/>
              <w:rPr>
                <w:b/>
                <w:sz w:val="22"/>
                <w:szCs w:val="22"/>
                <w:lang w:val="sr-Latn-ME"/>
              </w:rPr>
            </w:pPr>
            <w:r w:rsidRPr="004C49DB">
              <w:rPr>
                <w:b/>
                <w:sz w:val="22"/>
                <w:szCs w:val="22"/>
                <w:lang w:val="sr-Latn-ME"/>
              </w:rPr>
              <w:t>jednom dnevno N=1127</w:t>
            </w:r>
          </w:p>
        </w:tc>
        <w:tc>
          <w:tcPr>
            <w:tcW w:w="2266" w:type="dxa"/>
          </w:tcPr>
          <w:p w:rsidR="00D655B4" w:rsidRPr="004C49DB" w:rsidRDefault="00D655B4" w:rsidP="00B427F3">
            <w:pPr>
              <w:widowControl w:val="0"/>
              <w:autoSpaceDE w:val="0"/>
              <w:autoSpaceDN w:val="0"/>
              <w:spacing w:line="242" w:lineRule="exact"/>
              <w:ind w:left="10"/>
              <w:jc w:val="center"/>
              <w:rPr>
                <w:b/>
                <w:sz w:val="22"/>
                <w:szCs w:val="22"/>
                <w:lang w:val="sr-Latn-ME"/>
              </w:rPr>
            </w:pPr>
            <w:r w:rsidRPr="004C49DB">
              <w:rPr>
                <w:b/>
                <w:sz w:val="22"/>
                <w:szCs w:val="22"/>
                <w:lang w:val="sr-Latn-ME"/>
              </w:rPr>
              <w:t>ASK 100 mg</w:t>
            </w:r>
          </w:p>
          <w:p w:rsidR="00D655B4" w:rsidRPr="004C49DB" w:rsidRDefault="00D655B4" w:rsidP="00B427F3">
            <w:pPr>
              <w:widowControl w:val="0"/>
              <w:autoSpaceDE w:val="0"/>
              <w:autoSpaceDN w:val="0"/>
              <w:spacing w:line="254" w:lineRule="exact"/>
              <w:ind w:left="10"/>
              <w:jc w:val="center"/>
              <w:rPr>
                <w:b/>
                <w:sz w:val="22"/>
                <w:szCs w:val="22"/>
                <w:lang w:val="sr-Latn-ME"/>
              </w:rPr>
            </w:pPr>
            <w:r w:rsidRPr="004C49DB">
              <w:rPr>
                <w:b/>
                <w:sz w:val="22"/>
                <w:szCs w:val="22"/>
                <w:lang w:val="sr-Latn-ME"/>
              </w:rPr>
              <w:t>jednom dnevno N=1131</w:t>
            </w:r>
          </w:p>
        </w:tc>
      </w:tr>
      <w:tr w:rsidR="00D655B4" w:rsidRPr="00042A6C" w:rsidTr="00B427F3">
        <w:tc>
          <w:tcPr>
            <w:tcW w:w="2265" w:type="dxa"/>
          </w:tcPr>
          <w:p w:rsidR="00D655B4" w:rsidRPr="00042A6C" w:rsidRDefault="00D655B4" w:rsidP="00B427F3">
            <w:pPr>
              <w:widowControl w:val="0"/>
              <w:autoSpaceDE w:val="0"/>
              <w:autoSpaceDN w:val="0"/>
              <w:spacing w:before="1" w:line="244" w:lineRule="exact"/>
              <w:ind w:left="9"/>
              <w:rPr>
                <w:sz w:val="22"/>
                <w:szCs w:val="22"/>
                <w:lang w:val="sr-Latn-ME"/>
              </w:rPr>
            </w:pPr>
            <w:r w:rsidRPr="00042A6C">
              <w:rPr>
                <w:sz w:val="22"/>
                <w:szCs w:val="22"/>
                <w:lang w:val="sr-Latn-ME"/>
              </w:rPr>
              <w:t>Trajanje terapije medijana (interkvartilni raspon)</w:t>
            </w:r>
          </w:p>
        </w:tc>
        <w:tc>
          <w:tcPr>
            <w:tcW w:w="2266" w:type="dxa"/>
            <w:vAlign w:val="center"/>
          </w:tcPr>
          <w:p w:rsidR="00D655B4" w:rsidRPr="00042A6C" w:rsidRDefault="00D655B4" w:rsidP="00B427F3">
            <w:pPr>
              <w:widowControl w:val="0"/>
              <w:autoSpaceDE w:val="0"/>
              <w:autoSpaceDN w:val="0"/>
              <w:spacing w:line="244" w:lineRule="exact"/>
              <w:ind w:left="9"/>
              <w:jc w:val="center"/>
              <w:rPr>
                <w:sz w:val="22"/>
                <w:szCs w:val="22"/>
                <w:lang w:val="sr-Latn-ME"/>
              </w:rPr>
            </w:pPr>
            <w:r w:rsidRPr="00042A6C">
              <w:rPr>
                <w:sz w:val="22"/>
                <w:szCs w:val="22"/>
                <w:lang w:val="sr-Latn-ME"/>
              </w:rPr>
              <w:t>349 [189-362] dana</w:t>
            </w:r>
          </w:p>
        </w:tc>
        <w:tc>
          <w:tcPr>
            <w:tcW w:w="2266" w:type="dxa"/>
            <w:vAlign w:val="center"/>
          </w:tcPr>
          <w:p w:rsidR="00D655B4" w:rsidRPr="00042A6C" w:rsidRDefault="00D655B4" w:rsidP="00B427F3">
            <w:pPr>
              <w:widowControl w:val="0"/>
              <w:autoSpaceDE w:val="0"/>
              <w:autoSpaceDN w:val="0"/>
              <w:spacing w:line="244" w:lineRule="exact"/>
              <w:ind w:left="9"/>
              <w:jc w:val="center"/>
              <w:rPr>
                <w:sz w:val="22"/>
                <w:szCs w:val="22"/>
                <w:lang w:val="sr-Latn-ME"/>
              </w:rPr>
            </w:pPr>
            <w:r w:rsidRPr="00042A6C">
              <w:rPr>
                <w:sz w:val="22"/>
                <w:szCs w:val="22"/>
                <w:lang w:val="sr-Latn-ME"/>
              </w:rPr>
              <w:t>353 [190-362] dana</w:t>
            </w:r>
          </w:p>
        </w:tc>
        <w:tc>
          <w:tcPr>
            <w:tcW w:w="2266" w:type="dxa"/>
            <w:vAlign w:val="center"/>
          </w:tcPr>
          <w:p w:rsidR="00D655B4" w:rsidRPr="00042A6C" w:rsidRDefault="00D655B4" w:rsidP="00B427F3">
            <w:pPr>
              <w:widowControl w:val="0"/>
              <w:autoSpaceDE w:val="0"/>
              <w:autoSpaceDN w:val="0"/>
              <w:spacing w:line="244" w:lineRule="exact"/>
              <w:ind w:left="10"/>
              <w:jc w:val="center"/>
              <w:rPr>
                <w:sz w:val="22"/>
                <w:szCs w:val="22"/>
                <w:lang w:val="sr-Latn-ME"/>
              </w:rPr>
            </w:pPr>
            <w:r w:rsidRPr="00042A6C">
              <w:rPr>
                <w:sz w:val="22"/>
                <w:szCs w:val="22"/>
                <w:lang w:val="sr-Latn-ME"/>
              </w:rPr>
              <w:t>350 [186-362] dana</w:t>
            </w:r>
          </w:p>
        </w:tc>
      </w:tr>
      <w:tr w:rsidR="00D655B4" w:rsidRPr="00042A6C" w:rsidTr="00B427F3">
        <w:tc>
          <w:tcPr>
            <w:tcW w:w="2265" w:type="dxa"/>
          </w:tcPr>
          <w:p w:rsidR="00D655B4" w:rsidRPr="00042A6C" w:rsidRDefault="00D655B4" w:rsidP="00B427F3">
            <w:pPr>
              <w:widowControl w:val="0"/>
              <w:autoSpaceDE w:val="0"/>
              <w:autoSpaceDN w:val="0"/>
              <w:spacing w:line="235" w:lineRule="exact"/>
              <w:ind w:left="9"/>
              <w:rPr>
                <w:sz w:val="22"/>
                <w:szCs w:val="22"/>
                <w:lang w:val="sr-Latn-ME"/>
              </w:rPr>
            </w:pPr>
            <w:r w:rsidRPr="00042A6C">
              <w:rPr>
                <w:sz w:val="22"/>
                <w:szCs w:val="22"/>
                <w:lang w:val="sr-Latn-ME"/>
              </w:rPr>
              <w:t>Simptomatska rekurentna VTE</w:t>
            </w:r>
          </w:p>
        </w:tc>
        <w:tc>
          <w:tcPr>
            <w:tcW w:w="2266" w:type="dxa"/>
            <w:vAlign w:val="center"/>
          </w:tcPr>
          <w:p w:rsidR="00D655B4" w:rsidRPr="00042A6C" w:rsidRDefault="00D655B4" w:rsidP="00B427F3">
            <w:pPr>
              <w:widowControl w:val="0"/>
              <w:autoSpaceDE w:val="0"/>
              <w:autoSpaceDN w:val="0"/>
              <w:spacing w:line="226" w:lineRule="exact"/>
              <w:ind w:left="565" w:right="546"/>
              <w:jc w:val="center"/>
              <w:rPr>
                <w:sz w:val="22"/>
                <w:szCs w:val="22"/>
                <w:lang w:val="sr-Latn-ME"/>
              </w:rPr>
            </w:pPr>
            <w:r w:rsidRPr="00042A6C">
              <w:rPr>
                <w:sz w:val="22"/>
                <w:szCs w:val="22"/>
                <w:lang w:val="sr-Latn-ME"/>
              </w:rPr>
              <w:t>17</w:t>
            </w:r>
          </w:p>
          <w:p w:rsidR="00D655B4" w:rsidRPr="00042A6C" w:rsidRDefault="00D655B4" w:rsidP="00B427F3">
            <w:pPr>
              <w:widowControl w:val="0"/>
              <w:autoSpaceDE w:val="0"/>
              <w:autoSpaceDN w:val="0"/>
              <w:spacing w:line="224" w:lineRule="exact"/>
              <w:ind w:left="565" w:right="545"/>
              <w:jc w:val="center"/>
              <w:rPr>
                <w:sz w:val="22"/>
                <w:szCs w:val="22"/>
                <w:lang w:val="sr-Latn-ME"/>
              </w:rPr>
            </w:pPr>
            <w:r w:rsidRPr="00042A6C">
              <w:rPr>
                <w:sz w:val="22"/>
                <w:szCs w:val="22"/>
                <w:lang w:val="sr-Latn-ME"/>
              </w:rPr>
              <w:t>(1,5%)*</w:t>
            </w:r>
          </w:p>
        </w:tc>
        <w:tc>
          <w:tcPr>
            <w:tcW w:w="2266" w:type="dxa"/>
            <w:vAlign w:val="center"/>
          </w:tcPr>
          <w:p w:rsidR="00D655B4" w:rsidRPr="00042A6C" w:rsidRDefault="00D655B4" w:rsidP="00B427F3">
            <w:pPr>
              <w:widowControl w:val="0"/>
              <w:autoSpaceDE w:val="0"/>
              <w:autoSpaceDN w:val="0"/>
              <w:spacing w:line="226" w:lineRule="exact"/>
              <w:ind w:left="565" w:right="545"/>
              <w:jc w:val="center"/>
              <w:rPr>
                <w:sz w:val="22"/>
                <w:szCs w:val="22"/>
                <w:lang w:val="sr-Latn-ME"/>
              </w:rPr>
            </w:pPr>
            <w:r w:rsidRPr="00042A6C">
              <w:rPr>
                <w:sz w:val="22"/>
                <w:szCs w:val="22"/>
                <w:lang w:val="sr-Latn-ME"/>
              </w:rPr>
              <w:t>13</w:t>
            </w:r>
          </w:p>
          <w:p w:rsidR="00D655B4" w:rsidRPr="00042A6C" w:rsidRDefault="00D655B4" w:rsidP="00B427F3">
            <w:pPr>
              <w:widowControl w:val="0"/>
              <w:autoSpaceDE w:val="0"/>
              <w:autoSpaceDN w:val="0"/>
              <w:spacing w:line="224" w:lineRule="exact"/>
              <w:ind w:left="565" w:right="546"/>
              <w:jc w:val="center"/>
              <w:rPr>
                <w:sz w:val="22"/>
                <w:szCs w:val="22"/>
                <w:lang w:val="sr-Latn-ME"/>
              </w:rPr>
            </w:pPr>
            <w:r w:rsidRPr="00042A6C">
              <w:rPr>
                <w:sz w:val="22"/>
                <w:szCs w:val="22"/>
                <w:lang w:val="sr-Latn-ME"/>
              </w:rPr>
              <w:t>(1,2%)**</w:t>
            </w:r>
          </w:p>
        </w:tc>
        <w:tc>
          <w:tcPr>
            <w:tcW w:w="2266" w:type="dxa"/>
            <w:vAlign w:val="center"/>
          </w:tcPr>
          <w:p w:rsidR="00D655B4" w:rsidRPr="00042A6C" w:rsidRDefault="00D655B4" w:rsidP="00B427F3">
            <w:pPr>
              <w:widowControl w:val="0"/>
              <w:autoSpaceDE w:val="0"/>
              <w:autoSpaceDN w:val="0"/>
              <w:spacing w:line="226" w:lineRule="exact"/>
              <w:ind w:left="565" w:right="545"/>
              <w:jc w:val="center"/>
              <w:rPr>
                <w:sz w:val="22"/>
                <w:szCs w:val="22"/>
                <w:lang w:val="sr-Latn-ME"/>
              </w:rPr>
            </w:pPr>
            <w:r w:rsidRPr="00042A6C">
              <w:rPr>
                <w:sz w:val="22"/>
                <w:szCs w:val="22"/>
                <w:lang w:val="sr-Latn-ME"/>
              </w:rPr>
              <w:t>50</w:t>
            </w:r>
          </w:p>
          <w:p w:rsidR="00D655B4" w:rsidRPr="00042A6C" w:rsidRDefault="00D655B4" w:rsidP="00B427F3">
            <w:pPr>
              <w:widowControl w:val="0"/>
              <w:autoSpaceDE w:val="0"/>
              <w:autoSpaceDN w:val="0"/>
              <w:spacing w:line="224" w:lineRule="exact"/>
              <w:ind w:left="565" w:right="543"/>
              <w:jc w:val="center"/>
              <w:rPr>
                <w:sz w:val="22"/>
                <w:szCs w:val="22"/>
                <w:lang w:val="sr-Latn-ME"/>
              </w:rPr>
            </w:pPr>
            <w:r w:rsidRPr="00042A6C">
              <w:rPr>
                <w:sz w:val="22"/>
                <w:szCs w:val="22"/>
                <w:lang w:val="sr-Latn-ME"/>
              </w:rPr>
              <w:t>(4,4%)</w:t>
            </w:r>
          </w:p>
        </w:tc>
      </w:tr>
      <w:tr w:rsidR="00D655B4" w:rsidRPr="00042A6C" w:rsidTr="00B427F3">
        <w:tc>
          <w:tcPr>
            <w:tcW w:w="2265" w:type="dxa"/>
          </w:tcPr>
          <w:p w:rsidR="00D655B4" w:rsidRPr="00042A6C" w:rsidRDefault="00D655B4" w:rsidP="004C49DB">
            <w:pPr>
              <w:widowControl w:val="0"/>
              <w:autoSpaceDE w:val="0"/>
              <w:autoSpaceDN w:val="0"/>
              <w:spacing w:line="235" w:lineRule="exact"/>
              <w:ind w:left="9"/>
              <w:jc w:val="right"/>
              <w:rPr>
                <w:sz w:val="22"/>
                <w:szCs w:val="22"/>
                <w:lang w:val="sr-Latn-ME"/>
              </w:rPr>
            </w:pPr>
            <w:r w:rsidRPr="00042A6C">
              <w:rPr>
                <w:sz w:val="22"/>
                <w:szCs w:val="22"/>
                <w:lang w:val="sr-Latn-ME"/>
              </w:rPr>
              <w:t>Simptomatska rekurentna PE</w:t>
            </w:r>
          </w:p>
        </w:tc>
        <w:tc>
          <w:tcPr>
            <w:tcW w:w="2266" w:type="dxa"/>
            <w:vAlign w:val="center"/>
          </w:tcPr>
          <w:p w:rsidR="00D655B4" w:rsidRPr="00042A6C" w:rsidRDefault="00D655B4" w:rsidP="00B427F3">
            <w:pPr>
              <w:widowControl w:val="0"/>
              <w:autoSpaceDE w:val="0"/>
              <w:autoSpaceDN w:val="0"/>
              <w:spacing w:line="226" w:lineRule="exact"/>
              <w:ind w:left="15"/>
              <w:jc w:val="center"/>
              <w:rPr>
                <w:sz w:val="22"/>
                <w:szCs w:val="22"/>
                <w:lang w:val="sr-Latn-ME"/>
              </w:rPr>
            </w:pPr>
            <w:r w:rsidRPr="00042A6C">
              <w:rPr>
                <w:sz w:val="22"/>
                <w:szCs w:val="22"/>
                <w:lang w:val="sr-Latn-ME"/>
              </w:rPr>
              <w:t>6</w:t>
            </w:r>
          </w:p>
          <w:p w:rsidR="00D655B4" w:rsidRPr="00042A6C" w:rsidRDefault="00D655B4" w:rsidP="00B427F3">
            <w:pPr>
              <w:widowControl w:val="0"/>
              <w:autoSpaceDE w:val="0"/>
              <w:autoSpaceDN w:val="0"/>
              <w:spacing w:line="220" w:lineRule="exact"/>
              <w:ind w:left="565" w:right="544"/>
              <w:jc w:val="center"/>
              <w:rPr>
                <w:sz w:val="22"/>
                <w:szCs w:val="22"/>
                <w:lang w:val="sr-Latn-ME"/>
              </w:rPr>
            </w:pPr>
            <w:r w:rsidRPr="00042A6C">
              <w:rPr>
                <w:sz w:val="22"/>
                <w:szCs w:val="22"/>
                <w:lang w:val="sr-Latn-ME"/>
              </w:rPr>
              <w:t>(0,5%)</w:t>
            </w:r>
          </w:p>
        </w:tc>
        <w:tc>
          <w:tcPr>
            <w:tcW w:w="2266" w:type="dxa"/>
            <w:vAlign w:val="center"/>
          </w:tcPr>
          <w:p w:rsidR="00D655B4" w:rsidRPr="00042A6C" w:rsidRDefault="00D655B4" w:rsidP="00B427F3">
            <w:pPr>
              <w:widowControl w:val="0"/>
              <w:autoSpaceDE w:val="0"/>
              <w:autoSpaceDN w:val="0"/>
              <w:spacing w:line="226" w:lineRule="exact"/>
              <w:ind w:left="15"/>
              <w:jc w:val="center"/>
              <w:rPr>
                <w:sz w:val="22"/>
                <w:szCs w:val="22"/>
                <w:lang w:val="sr-Latn-ME"/>
              </w:rPr>
            </w:pPr>
            <w:r w:rsidRPr="00042A6C">
              <w:rPr>
                <w:sz w:val="22"/>
                <w:szCs w:val="22"/>
                <w:lang w:val="sr-Latn-ME"/>
              </w:rPr>
              <w:t>6</w:t>
            </w:r>
          </w:p>
          <w:p w:rsidR="00D655B4" w:rsidRPr="00042A6C" w:rsidRDefault="00D655B4" w:rsidP="00B427F3">
            <w:pPr>
              <w:widowControl w:val="0"/>
              <w:autoSpaceDE w:val="0"/>
              <w:autoSpaceDN w:val="0"/>
              <w:spacing w:line="220" w:lineRule="exact"/>
              <w:ind w:left="565" w:right="544"/>
              <w:jc w:val="center"/>
              <w:rPr>
                <w:sz w:val="22"/>
                <w:szCs w:val="22"/>
                <w:lang w:val="sr-Latn-ME"/>
              </w:rPr>
            </w:pPr>
            <w:r w:rsidRPr="00042A6C">
              <w:rPr>
                <w:sz w:val="22"/>
                <w:szCs w:val="22"/>
                <w:lang w:val="sr-Latn-ME"/>
              </w:rPr>
              <w:t>(0,5%)</w:t>
            </w:r>
          </w:p>
        </w:tc>
        <w:tc>
          <w:tcPr>
            <w:tcW w:w="2266" w:type="dxa"/>
            <w:vAlign w:val="center"/>
          </w:tcPr>
          <w:p w:rsidR="00D655B4" w:rsidRPr="00042A6C" w:rsidRDefault="00D655B4" w:rsidP="00B427F3">
            <w:pPr>
              <w:widowControl w:val="0"/>
              <w:autoSpaceDE w:val="0"/>
              <w:autoSpaceDN w:val="0"/>
              <w:spacing w:line="226" w:lineRule="exact"/>
              <w:ind w:left="565" w:right="545"/>
              <w:jc w:val="center"/>
              <w:rPr>
                <w:sz w:val="22"/>
                <w:szCs w:val="22"/>
                <w:lang w:val="sr-Latn-ME"/>
              </w:rPr>
            </w:pPr>
            <w:r w:rsidRPr="00042A6C">
              <w:rPr>
                <w:sz w:val="22"/>
                <w:szCs w:val="22"/>
                <w:lang w:val="sr-Latn-ME"/>
              </w:rPr>
              <w:t>19</w:t>
            </w:r>
          </w:p>
          <w:p w:rsidR="00D655B4" w:rsidRPr="00042A6C" w:rsidRDefault="00D655B4" w:rsidP="00B427F3">
            <w:pPr>
              <w:widowControl w:val="0"/>
              <w:autoSpaceDE w:val="0"/>
              <w:autoSpaceDN w:val="0"/>
              <w:spacing w:line="220" w:lineRule="exact"/>
              <w:ind w:left="565" w:right="543"/>
              <w:jc w:val="center"/>
              <w:rPr>
                <w:sz w:val="22"/>
                <w:szCs w:val="22"/>
                <w:lang w:val="sr-Latn-ME"/>
              </w:rPr>
            </w:pPr>
            <w:r w:rsidRPr="00042A6C">
              <w:rPr>
                <w:sz w:val="22"/>
                <w:szCs w:val="22"/>
                <w:lang w:val="sr-Latn-ME"/>
              </w:rPr>
              <w:t>(1,7%)</w:t>
            </w:r>
          </w:p>
        </w:tc>
      </w:tr>
      <w:tr w:rsidR="00D655B4" w:rsidRPr="00042A6C" w:rsidTr="00B427F3">
        <w:tc>
          <w:tcPr>
            <w:tcW w:w="2265" w:type="dxa"/>
          </w:tcPr>
          <w:p w:rsidR="00D655B4" w:rsidRPr="00042A6C" w:rsidRDefault="00D655B4" w:rsidP="004C49DB">
            <w:pPr>
              <w:widowControl w:val="0"/>
              <w:autoSpaceDE w:val="0"/>
              <w:autoSpaceDN w:val="0"/>
              <w:spacing w:line="235" w:lineRule="exact"/>
              <w:ind w:left="9"/>
              <w:jc w:val="right"/>
              <w:rPr>
                <w:sz w:val="22"/>
                <w:szCs w:val="22"/>
                <w:lang w:val="sr-Latn-ME"/>
              </w:rPr>
            </w:pPr>
            <w:r w:rsidRPr="00042A6C">
              <w:rPr>
                <w:sz w:val="22"/>
                <w:szCs w:val="22"/>
                <w:lang w:val="sr-Latn-ME"/>
              </w:rPr>
              <w:t>Simptomatska rekurentna TDV</w:t>
            </w:r>
          </w:p>
        </w:tc>
        <w:tc>
          <w:tcPr>
            <w:tcW w:w="2266" w:type="dxa"/>
            <w:vAlign w:val="center"/>
          </w:tcPr>
          <w:p w:rsidR="00D655B4" w:rsidRPr="00042A6C" w:rsidRDefault="00D655B4" w:rsidP="00B427F3">
            <w:pPr>
              <w:widowControl w:val="0"/>
              <w:autoSpaceDE w:val="0"/>
              <w:autoSpaceDN w:val="0"/>
              <w:spacing w:line="226" w:lineRule="exact"/>
              <w:ind w:left="15"/>
              <w:jc w:val="center"/>
              <w:rPr>
                <w:sz w:val="22"/>
                <w:szCs w:val="22"/>
                <w:lang w:val="sr-Latn-ME"/>
              </w:rPr>
            </w:pPr>
            <w:r w:rsidRPr="00042A6C">
              <w:rPr>
                <w:sz w:val="22"/>
                <w:szCs w:val="22"/>
                <w:lang w:val="sr-Latn-ME"/>
              </w:rPr>
              <w:t>9</w:t>
            </w:r>
          </w:p>
          <w:p w:rsidR="00D655B4" w:rsidRPr="00042A6C" w:rsidRDefault="00D655B4" w:rsidP="00B427F3">
            <w:pPr>
              <w:widowControl w:val="0"/>
              <w:autoSpaceDE w:val="0"/>
              <w:autoSpaceDN w:val="0"/>
              <w:spacing w:line="224" w:lineRule="exact"/>
              <w:ind w:left="565" w:right="544"/>
              <w:jc w:val="center"/>
              <w:rPr>
                <w:sz w:val="22"/>
                <w:szCs w:val="22"/>
                <w:lang w:val="sr-Latn-ME"/>
              </w:rPr>
            </w:pPr>
            <w:r w:rsidRPr="00042A6C">
              <w:rPr>
                <w:sz w:val="22"/>
                <w:szCs w:val="22"/>
                <w:lang w:val="sr-Latn-ME"/>
              </w:rPr>
              <w:t>(0,8%)</w:t>
            </w:r>
          </w:p>
        </w:tc>
        <w:tc>
          <w:tcPr>
            <w:tcW w:w="2266" w:type="dxa"/>
            <w:vAlign w:val="center"/>
          </w:tcPr>
          <w:p w:rsidR="00D655B4" w:rsidRPr="00042A6C" w:rsidRDefault="00D655B4" w:rsidP="00B427F3">
            <w:pPr>
              <w:widowControl w:val="0"/>
              <w:autoSpaceDE w:val="0"/>
              <w:autoSpaceDN w:val="0"/>
              <w:spacing w:line="226" w:lineRule="exact"/>
              <w:ind w:left="15"/>
              <w:jc w:val="center"/>
              <w:rPr>
                <w:sz w:val="22"/>
                <w:szCs w:val="22"/>
                <w:lang w:val="sr-Latn-ME"/>
              </w:rPr>
            </w:pPr>
            <w:r w:rsidRPr="00042A6C">
              <w:rPr>
                <w:sz w:val="22"/>
                <w:szCs w:val="22"/>
                <w:lang w:val="sr-Latn-ME"/>
              </w:rPr>
              <w:t>8</w:t>
            </w:r>
          </w:p>
          <w:p w:rsidR="00D655B4" w:rsidRPr="00042A6C" w:rsidRDefault="00D655B4" w:rsidP="00B427F3">
            <w:pPr>
              <w:widowControl w:val="0"/>
              <w:autoSpaceDE w:val="0"/>
              <w:autoSpaceDN w:val="0"/>
              <w:spacing w:line="224" w:lineRule="exact"/>
              <w:ind w:left="565" w:right="544"/>
              <w:jc w:val="center"/>
              <w:rPr>
                <w:sz w:val="22"/>
                <w:szCs w:val="22"/>
                <w:lang w:val="sr-Latn-ME"/>
              </w:rPr>
            </w:pPr>
            <w:r w:rsidRPr="00042A6C">
              <w:rPr>
                <w:sz w:val="22"/>
                <w:szCs w:val="22"/>
                <w:lang w:val="sr-Latn-ME"/>
              </w:rPr>
              <w:t>(0,7%)</w:t>
            </w:r>
          </w:p>
        </w:tc>
        <w:tc>
          <w:tcPr>
            <w:tcW w:w="2266" w:type="dxa"/>
            <w:vAlign w:val="center"/>
          </w:tcPr>
          <w:p w:rsidR="00D655B4" w:rsidRPr="00042A6C" w:rsidRDefault="00D655B4" w:rsidP="00B427F3">
            <w:pPr>
              <w:widowControl w:val="0"/>
              <w:autoSpaceDE w:val="0"/>
              <w:autoSpaceDN w:val="0"/>
              <w:spacing w:line="226" w:lineRule="exact"/>
              <w:ind w:left="565" w:right="545"/>
              <w:jc w:val="center"/>
              <w:rPr>
                <w:sz w:val="22"/>
                <w:szCs w:val="22"/>
                <w:lang w:val="sr-Latn-ME"/>
              </w:rPr>
            </w:pPr>
            <w:r w:rsidRPr="00042A6C">
              <w:rPr>
                <w:sz w:val="22"/>
                <w:szCs w:val="22"/>
                <w:lang w:val="sr-Latn-ME"/>
              </w:rPr>
              <w:t>30</w:t>
            </w:r>
          </w:p>
          <w:p w:rsidR="00D655B4" w:rsidRPr="00042A6C" w:rsidRDefault="00D655B4" w:rsidP="00B427F3">
            <w:pPr>
              <w:widowControl w:val="0"/>
              <w:autoSpaceDE w:val="0"/>
              <w:autoSpaceDN w:val="0"/>
              <w:spacing w:line="224" w:lineRule="exact"/>
              <w:ind w:left="565" w:right="543"/>
              <w:jc w:val="center"/>
              <w:rPr>
                <w:sz w:val="22"/>
                <w:szCs w:val="22"/>
                <w:lang w:val="sr-Latn-ME"/>
              </w:rPr>
            </w:pPr>
            <w:r w:rsidRPr="00042A6C">
              <w:rPr>
                <w:sz w:val="22"/>
                <w:szCs w:val="22"/>
                <w:lang w:val="sr-Latn-ME"/>
              </w:rPr>
              <w:t>(2,7%)</w:t>
            </w:r>
          </w:p>
        </w:tc>
      </w:tr>
      <w:tr w:rsidR="00D655B4" w:rsidRPr="00042A6C" w:rsidTr="00B427F3">
        <w:tc>
          <w:tcPr>
            <w:tcW w:w="2265" w:type="dxa"/>
          </w:tcPr>
          <w:p w:rsidR="00D655B4" w:rsidRPr="00042A6C" w:rsidRDefault="00D655B4" w:rsidP="004C49DB">
            <w:pPr>
              <w:widowControl w:val="0"/>
              <w:autoSpaceDE w:val="0"/>
              <w:autoSpaceDN w:val="0"/>
              <w:spacing w:before="5" w:line="223" w:lineRule="auto"/>
              <w:ind w:left="9"/>
              <w:jc w:val="right"/>
              <w:rPr>
                <w:sz w:val="22"/>
                <w:szCs w:val="22"/>
                <w:lang w:val="sr-Latn-ME"/>
              </w:rPr>
            </w:pPr>
            <w:r w:rsidRPr="00042A6C">
              <w:rPr>
                <w:sz w:val="22"/>
                <w:szCs w:val="22"/>
                <w:lang w:val="sr-Latn-ME"/>
              </w:rPr>
              <w:t xml:space="preserve">PE sa smrtnim </w:t>
            </w:r>
            <w:r w:rsidRPr="00042A6C">
              <w:rPr>
                <w:sz w:val="22"/>
                <w:szCs w:val="22"/>
                <w:lang w:val="sr-Latn-ME"/>
              </w:rPr>
              <w:lastRenderedPageBreak/>
              <w:t>ishodom/smrt pri kojoj se PE ne može isključiti</w:t>
            </w:r>
          </w:p>
        </w:tc>
        <w:tc>
          <w:tcPr>
            <w:tcW w:w="2266" w:type="dxa"/>
            <w:vAlign w:val="center"/>
          </w:tcPr>
          <w:p w:rsidR="00D655B4" w:rsidRPr="00042A6C" w:rsidRDefault="00D655B4" w:rsidP="00B427F3">
            <w:pPr>
              <w:widowControl w:val="0"/>
              <w:autoSpaceDE w:val="0"/>
              <w:autoSpaceDN w:val="0"/>
              <w:spacing w:line="240" w:lineRule="exact"/>
              <w:ind w:left="15"/>
              <w:jc w:val="center"/>
              <w:rPr>
                <w:sz w:val="22"/>
                <w:szCs w:val="22"/>
                <w:lang w:val="sr-Latn-ME"/>
              </w:rPr>
            </w:pPr>
            <w:r w:rsidRPr="00042A6C">
              <w:rPr>
                <w:sz w:val="22"/>
                <w:szCs w:val="22"/>
                <w:lang w:val="sr-Latn-ME"/>
              </w:rPr>
              <w:lastRenderedPageBreak/>
              <w:t>2</w:t>
            </w:r>
          </w:p>
          <w:p w:rsidR="00D655B4" w:rsidRPr="00042A6C" w:rsidRDefault="00D655B4" w:rsidP="00B427F3">
            <w:pPr>
              <w:widowControl w:val="0"/>
              <w:autoSpaceDE w:val="0"/>
              <w:autoSpaceDN w:val="0"/>
              <w:spacing w:line="244" w:lineRule="exact"/>
              <w:ind w:left="565" w:right="544"/>
              <w:jc w:val="center"/>
              <w:rPr>
                <w:sz w:val="22"/>
                <w:szCs w:val="22"/>
                <w:lang w:val="sr-Latn-ME"/>
              </w:rPr>
            </w:pPr>
            <w:r w:rsidRPr="00042A6C">
              <w:rPr>
                <w:sz w:val="22"/>
                <w:szCs w:val="22"/>
                <w:lang w:val="sr-Latn-ME"/>
              </w:rPr>
              <w:lastRenderedPageBreak/>
              <w:t>(0,2%)</w:t>
            </w:r>
          </w:p>
        </w:tc>
        <w:tc>
          <w:tcPr>
            <w:tcW w:w="2266" w:type="dxa"/>
            <w:vAlign w:val="center"/>
          </w:tcPr>
          <w:p w:rsidR="00D655B4" w:rsidRPr="00042A6C" w:rsidRDefault="00D655B4" w:rsidP="00B427F3">
            <w:pPr>
              <w:widowControl w:val="0"/>
              <w:autoSpaceDE w:val="0"/>
              <w:autoSpaceDN w:val="0"/>
              <w:spacing w:line="244" w:lineRule="exact"/>
              <w:ind w:left="15"/>
              <w:jc w:val="center"/>
              <w:rPr>
                <w:sz w:val="22"/>
                <w:szCs w:val="22"/>
                <w:lang w:val="sr-Latn-ME"/>
              </w:rPr>
            </w:pPr>
            <w:r w:rsidRPr="00042A6C">
              <w:rPr>
                <w:sz w:val="22"/>
                <w:szCs w:val="22"/>
                <w:lang w:val="sr-Latn-ME"/>
              </w:rPr>
              <w:lastRenderedPageBreak/>
              <w:t>0</w:t>
            </w:r>
          </w:p>
          <w:p w:rsidR="00E33413" w:rsidRPr="00042A6C" w:rsidRDefault="00E33413" w:rsidP="00B427F3">
            <w:pPr>
              <w:widowControl w:val="0"/>
              <w:autoSpaceDE w:val="0"/>
              <w:autoSpaceDN w:val="0"/>
              <w:spacing w:line="244" w:lineRule="exact"/>
              <w:ind w:left="15"/>
              <w:jc w:val="center"/>
              <w:rPr>
                <w:sz w:val="22"/>
                <w:szCs w:val="22"/>
                <w:lang w:val="sr-Latn-ME"/>
              </w:rPr>
            </w:pPr>
            <w:r w:rsidRPr="00042A6C">
              <w:rPr>
                <w:sz w:val="22"/>
                <w:szCs w:val="22"/>
                <w:lang w:val="sr-Latn-ME"/>
              </w:rPr>
              <w:lastRenderedPageBreak/>
              <w:t>(0,0%)</w:t>
            </w:r>
          </w:p>
        </w:tc>
        <w:tc>
          <w:tcPr>
            <w:tcW w:w="2266" w:type="dxa"/>
            <w:vAlign w:val="center"/>
          </w:tcPr>
          <w:p w:rsidR="00D655B4" w:rsidRPr="00042A6C" w:rsidRDefault="00D655B4" w:rsidP="00B427F3">
            <w:pPr>
              <w:widowControl w:val="0"/>
              <w:autoSpaceDE w:val="0"/>
              <w:autoSpaceDN w:val="0"/>
              <w:spacing w:line="240" w:lineRule="exact"/>
              <w:ind w:left="15"/>
              <w:jc w:val="center"/>
              <w:rPr>
                <w:sz w:val="22"/>
                <w:szCs w:val="22"/>
                <w:lang w:val="sr-Latn-ME"/>
              </w:rPr>
            </w:pPr>
            <w:r w:rsidRPr="00042A6C">
              <w:rPr>
                <w:sz w:val="22"/>
                <w:szCs w:val="22"/>
                <w:lang w:val="sr-Latn-ME"/>
              </w:rPr>
              <w:lastRenderedPageBreak/>
              <w:t>2</w:t>
            </w:r>
          </w:p>
          <w:p w:rsidR="00D655B4" w:rsidRPr="00042A6C" w:rsidRDefault="00D655B4" w:rsidP="00B427F3">
            <w:pPr>
              <w:widowControl w:val="0"/>
              <w:autoSpaceDE w:val="0"/>
              <w:autoSpaceDN w:val="0"/>
              <w:spacing w:line="244" w:lineRule="exact"/>
              <w:ind w:left="565" w:right="543"/>
              <w:jc w:val="center"/>
              <w:rPr>
                <w:sz w:val="22"/>
                <w:szCs w:val="22"/>
                <w:lang w:val="sr-Latn-ME"/>
              </w:rPr>
            </w:pPr>
            <w:r w:rsidRPr="00042A6C">
              <w:rPr>
                <w:sz w:val="22"/>
                <w:szCs w:val="22"/>
                <w:lang w:val="sr-Latn-ME"/>
              </w:rPr>
              <w:lastRenderedPageBreak/>
              <w:t>(0,2%)</w:t>
            </w:r>
          </w:p>
        </w:tc>
      </w:tr>
      <w:tr w:rsidR="00D655B4" w:rsidRPr="00042A6C" w:rsidTr="00B427F3">
        <w:tc>
          <w:tcPr>
            <w:tcW w:w="2265" w:type="dxa"/>
          </w:tcPr>
          <w:p w:rsidR="00D655B4" w:rsidRPr="00042A6C" w:rsidRDefault="00D655B4" w:rsidP="00B427F3">
            <w:pPr>
              <w:widowControl w:val="0"/>
              <w:autoSpaceDE w:val="0"/>
              <w:autoSpaceDN w:val="0"/>
              <w:spacing w:line="242" w:lineRule="auto"/>
              <w:ind w:left="9"/>
              <w:rPr>
                <w:sz w:val="22"/>
                <w:szCs w:val="22"/>
                <w:lang w:val="sr-Latn-ME"/>
              </w:rPr>
            </w:pPr>
            <w:r w:rsidRPr="00042A6C">
              <w:rPr>
                <w:sz w:val="22"/>
                <w:szCs w:val="22"/>
                <w:lang w:val="sr-Latn-ME"/>
              </w:rPr>
              <w:lastRenderedPageBreak/>
              <w:t>Simptomatska rekurentna VTE, infarkt miokarda, moždani udar</w:t>
            </w:r>
          </w:p>
          <w:p w:rsidR="00D655B4" w:rsidRPr="00042A6C" w:rsidRDefault="00D655B4" w:rsidP="00B427F3">
            <w:pPr>
              <w:widowControl w:val="0"/>
              <w:autoSpaceDE w:val="0"/>
              <w:autoSpaceDN w:val="0"/>
              <w:spacing w:line="250" w:lineRule="exact"/>
              <w:ind w:left="9" w:right="460"/>
              <w:rPr>
                <w:sz w:val="22"/>
                <w:szCs w:val="22"/>
                <w:lang w:val="sr-Latn-ME"/>
              </w:rPr>
            </w:pPr>
            <w:r w:rsidRPr="00042A6C">
              <w:rPr>
                <w:sz w:val="22"/>
                <w:szCs w:val="22"/>
                <w:lang w:val="sr-Latn-ME"/>
              </w:rPr>
              <w:t>ili sistemska embolija koja ne obuhvata CNS</w:t>
            </w:r>
          </w:p>
        </w:tc>
        <w:tc>
          <w:tcPr>
            <w:tcW w:w="2266" w:type="dxa"/>
            <w:vAlign w:val="center"/>
          </w:tcPr>
          <w:p w:rsidR="00D655B4" w:rsidRPr="00042A6C" w:rsidRDefault="00D655B4" w:rsidP="00B427F3">
            <w:pPr>
              <w:widowControl w:val="0"/>
              <w:autoSpaceDE w:val="0"/>
              <w:autoSpaceDN w:val="0"/>
              <w:spacing w:line="240" w:lineRule="exact"/>
              <w:ind w:left="565" w:right="546"/>
              <w:jc w:val="center"/>
              <w:rPr>
                <w:sz w:val="22"/>
                <w:szCs w:val="22"/>
                <w:lang w:val="sr-Latn-ME"/>
              </w:rPr>
            </w:pPr>
            <w:r w:rsidRPr="00042A6C">
              <w:rPr>
                <w:sz w:val="22"/>
                <w:szCs w:val="22"/>
                <w:lang w:val="sr-Latn-ME"/>
              </w:rPr>
              <w:t>19</w:t>
            </w:r>
          </w:p>
          <w:p w:rsidR="00D655B4" w:rsidRPr="00042A6C" w:rsidRDefault="00D655B4" w:rsidP="00B427F3">
            <w:pPr>
              <w:widowControl w:val="0"/>
              <w:autoSpaceDE w:val="0"/>
              <w:autoSpaceDN w:val="0"/>
              <w:spacing w:line="249" w:lineRule="exact"/>
              <w:ind w:left="565" w:right="544"/>
              <w:jc w:val="center"/>
              <w:rPr>
                <w:sz w:val="22"/>
                <w:szCs w:val="22"/>
                <w:lang w:val="sr-Latn-ME"/>
              </w:rPr>
            </w:pPr>
            <w:r w:rsidRPr="00042A6C">
              <w:rPr>
                <w:sz w:val="22"/>
                <w:szCs w:val="22"/>
                <w:lang w:val="sr-Latn-ME"/>
              </w:rPr>
              <w:t>(1,7%)</w:t>
            </w:r>
          </w:p>
        </w:tc>
        <w:tc>
          <w:tcPr>
            <w:tcW w:w="2266" w:type="dxa"/>
            <w:vAlign w:val="center"/>
          </w:tcPr>
          <w:p w:rsidR="00D655B4" w:rsidRPr="00042A6C" w:rsidRDefault="00D655B4" w:rsidP="00B427F3">
            <w:pPr>
              <w:widowControl w:val="0"/>
              <w:autoSpaceDE w:val="0"/>
              <w:autoSpaceDN w:val="0"/>
              <w:spacing w:line="240" w:lineRule="exact"/>
              <w:ind w:left="565" w:right="545"/>
              <w:jc w:val="center"/>
              <w:rPr>
                <w:sz w:val="22"/>
                <w:szCs w:val="22"/>
                <w:lang w:val="sr-Latn-ME"/>
              </w:rPr>
            </w:pPr>
            <w:r w:rsidRPr="00042A6C">
              <w:rPr>
                <w:sz w:val="22"/>
                <w:szCs w:val="22"/>
                <w:lang w:val="sr-Latn-ME"/>
              </w:rPr>
              <w:t>18</w:t>
            </w:r>
          </w:p>
          <w:p w:rsidR="00D655B4" w:rsidRPr="00042A6C" w:rsidRDefault="00D655B4" w:rsidP="00B427F3">
            <w:pPr>
              <w:widowControl w:val="0"/>
              <w:autoSpaceDE w:val="0"/>
              <w:autoSpaceDN w:val="0"/>
              <w:spacing w:line="249" w:lineRule="exact"/>
              <w:ind w:left="565" w:right="544"/>
              <w:jc w:val="center"/>
              <w:rPr>
                <w:sz w:val="22"/>
                <w:szCs w:val="22"/>
                <w:lang w:val="sr-Latn-ME"/>
              </w:rPr>
            </w:pPr>
            <w:r w:rsidRPr="00042A6C">
              <w:rPr>
                <w:sz w:val="22"/>
                <w:szCs w:val="22"/>
                <w:lang w:val="sr-Latn-ME"/>
              </w:rPr>
              <w:t>(1,6%)</w:t>
            </w:r>
          </w:p>
        </w:tc>
        <w:tc>
          <w:tcPr>
            <w:tcW w:w="2266" w:type="dxa"/>
            <w:vAlign w:val="center"/>
          </w:tcPr>
          <w:p w:rsidR="00D655B4" w:rsidRPr="00042A6C" w:rsidRDefault="00D655B4" w:rsidP="00B427F3">
            <w:pPr>
              <w:widowControl w:val="0"/>
              <w:autoSpaceDE w:val="0"/>
              <w:autoSpaceDN w:val="0"/>
              <w:spacing w:line="240" w:lineRule="exact"/>
              <w:ind w:left="565" w:right="545"/>
              <w:jc w:val="center"/>
              <w:rPr>
                <w:sz w:val="22"/>
                <w:szCs w:val="22"/>
                <w:lang w:val="sr-Latn-ME"/>
              </w:rPr>
            </w:pPr>
            <w:r w:rsidRPr="00042A6C">
              <w:rPr>
                <w:sz w:val="22"/>
                <w:szCs w:val="22"/>
                <w:lang w:val="sr-Latn-ME"/>
              </w:rPr>
              <w:t>56</w:t>
            </w:r>
          </w:p>
          <w:p w:rsidR="00D655B4" w:rsidRPr="00042A6C" w:rsidRDefault="00D655B4" w:rsidP="00B427F3">
            <w:pPr>
              <w:widowControl w:val="0"/>
              <w:autoSpaceDE w:val="0"/>
              <w:autoSpaceDN w:val="0"/>
              <w:spacing w:line="249" w:lineRule="exact"/>
              <w:ind w:left="565" w:right="543"/>
              <w:jc w:val="center"/>
              <w:rPr>
                <w:sz w:val="22"/>
                <w:szCs w:val="22"/>
                <w:lang w:val="sr-Latn-ME"/>
              </w:rPr>
            </w:pPr>
            <w:r w:rsidRPr="00042A6C">
              <w:rPr>
                <w:sz w:val="22"/>
                <w:szCs w:val="22"/>
                <w:lang w:val="sr-Latn-ME"/>
              </w:rPr>
              <w:t>(5,0%)</w:t>
            </w:r>
          </w:p>
        </w:tc>
      </w:tr>
      <w:tr w:rsidR="00D655B4" w:rsidRPr="00042A6C" w:rsidTr="00B427F3">
        <w:tc>
          <w:tcPr>
            <w:tcW w:w="2265" w:type="dxa"/>
          </w:tcPr>
          <w:p w:rsidR="00D655B4" w:rsidRPr="00042A6C" w:rsidRDefault="00D655B4" w:rsidP="00960545">
            <w:pPr>
              <w:widowControl w:val="0"/>
              <w:autoSpaceDE w:val="0"/>
              <w:autoSpaceDN w:val="0"/>
              <w:spacing w:line="235" w:lineRule="exact"/>
              <w:ind w:left="9"/>
              <w:rPr>
                <w:sz w:val="22"/>
                <w:szCs w:val="22"/>
                <w:lang w:val="sr-Latn-ME"/>
              </w:rPr>
            </w:pPr>
            <w:r w:rsidRPr="00042A6C">
              <w:rPr>
                <w:sz w:val="22"/>
                <w:szCs w:val="22"/>
                <w:lang w:val="sr-Latn-ME"/>
              </w:rPr>
              <w:t xml:space="preserve">Događaji </w:t>
            </w:r>
            <w:r w:rsidR="00960545" w:rsidRPr="00042A6C">
              <w:rPr>
                <w:sz w:val="22"/>
                <w:szCs w:val="22"/>
                <w:lang w:val="sr-Latn-ME"/>
              </w:rPr>
              <w:t xml:space="preserve">velikog </w:t>
            </w:r>
            <w:r w:rsidRPr="00042A6C">
              <w:rPr>
                <w:sz w:val="22"/>
                <w:szCs w:val="22"/>
                <w:lang w:val="sr-Latn-ME"/>
              </w:rPr>
              <w:t>krvarenja</w:t>
            </w:r>
          </w:p>
        </w:tc>
        <w:tc>
          <w:tcPr>
            <w:tcW w:w="2266" w:type="dxa"/>
            <w:vAlign w:val="center"/>
          </w:tcPr>
          <w:p w:rsidR="00D655B4" w:rsidRPr="00042A6C" w:rsidRDefault="00D655B4" w:rsidP="00B427F3">
            <w:pPr>
              <w:widowControl w:val="0"/>
              <w:autoSpaceDE w:val="0"/>
              <w:autoSpaceDN w:val="0"/>
              <w:spacing w:line="226" w:lineRule="exact"/>
              <w:ind w:left="15"/>
              <w:jc w:val="center"/>
              <w:rPr>
                <w:sz w:val="22"/>
                <w:szCs w:val="22"/>
                <w:lang w:val="sr-Latn-ME"/>
              </w:rPr>
            </w:pPr>
            <w:r w:rsidRPr="00042A6C">
              <w:rPr>
                <w:sz w:val="22"/>
                <w:szCs w:val="22"/>
                <w:lang w:val="sr-Latn-ME"/>
              </w:rPr>
              <w:t>6</w:t>
            </w:r>
          </w:p>
          <w:p w:rsidR="00D655B4" w:rsidRPr="00042A6C" w:rsidRDefault="00D655B4" w:rsidP="00B427F3">
            <w:pPr>
              <w:widowControl w:val="0"/>
              <w:autoSpaceDE w:val="0"/>
              <w:autoSpaceDN w:val="0"/>
              <w:spacing w:line="220" w:lineRule="exact"/>
              <w:ind w:left="565" w:right="544"/>
              <w:jc w:val="center"/>
              <w:rPr>
                <w:sz w:val="22"/>
                <w:szCs w:val="22"/>
                <w:lang w:val="sr-Latn-ME"/>
              </w:rPr>
            </w:pPr>
            <w:r w:rsidRPr="00042A6C">
              <w:rPr>
                <w:sz w:val="22"/>
                <w:szCs w:val="22"/>
                <w:lang w:val="sr-Latn-ME"/>
              </w:rPr>
              <w:t>(0,5%)</w:t>
            </w:r>
          </w:p>
        </w:tc>
        <w:tc>
          <w:tcPr>
            <w:tcW w:w="2266" w:type="dxa"/>
            <w:vAlign w:val="center"/>
          </w:tcPr>
          <w:p w:rsidR="00D655B4" w:rsidRPr="00042A6C" w:rsidRDefault="00D655B4" w:rsidP="00B427F3">
            <w:pPr>
              <w:widowControl w:val="0"/>
              <w:autoSpaceDE w:val="0"/>
              <w:autoSpaceDN w:val="0"/>
              <w:spacing w:line="226" w:lineRule="exact"/>
              <w:ind w:left="15"/>
              <w:jc w:val="center"/>
              <w:rPr>
                <w:sz w:val="22"/>
                <w:szCs w:val="22"/>
                <w:lang w:val="sr-Latn-ME"/>
              </w:rPr>
            </w:pPr>
            <w:r w:rsidRPr="00042A6C">
              <w:rPr>
                <w:sz w:val="22"/>
                <w:szCs w:val="22"/>
                <w:lang w:val="sr-Latn-ME"/>
              </w:rPr>
              <w:t>5</w:t>
            </w:r>
          </w:p>
          <w:p w:rsidR="00D655B4" w:rsidRPr="00042A6C" w:rsidRDefault="00D655B4" w:rsidP="00B427F3">
            <w:pPr>
              <w:widowControl w:val="0"/>
              <w:autoSpaceDE w:val="0"/>
              <w:autoSpaceDN w:val="0"/>
              <w:spacing w:line="220" w:lineRule="exact"/>
              <w:ind w:left="565" w:right="544"/>
              <w:jc w:val="center"/>
              <w:rPr>
                <w:sz w:val="22"/>
                <w:szCs w:val="22"/>
                <w:lang w:val="sr-Latn-ME"/>
              </w:rPr>
            </w:pPr>
            <w:r w:rsidRPr="00042A6C">
              <w:rPr>
                <w:sz w:val="22"/>
                <w:szCs w:val="22"/>
                <w:lang w:val="sr-Latn-ME"/>
              </w:rPr>
              <w:t>(0,4%)</w:t>
            </w:r>
          </w:p>
        </w:tc>
        <w:tc>
          <w:tcPr>
            <w:tcW w:w="2266" w:type="dxa"/>
            <w:vAlign w:val="center"/>
          </w:tcPr>
          <w:p w:rsidR="00D655B4" w:rsidRPr="00042A6C" w:rsidRDefault="00D655B4" w:rsidP="00B427F3">
            <w:pPr>
              <w:widowControl w:val="0"/>
              <w:autoSpaceDE w:val="0"/>
              <w:autoSpaceDN w:val="0"/>
              <w:spacing w:line="226" w:lineRule="exact"/>
              <w:ind w:left="15"/>
              <w:jc w:val="center"/>
              <w:rPr>
                <w:sz w:val="22"/>
                <w:szCs w:val="22"/>
                <w:lang w:val="sr-Latn-ME"/>
              </w:rPr>
            </w:pPr>
            <w:r w:rsidRPr="00042A6C">
              <w:rPr>
                <w:sz w:val="22"/>
                <w:szCs w:val="22"/>
                <w:lang w:val="sr-Latn-ME"/>
              </w:rPr>
              <w:t>3</w:t>
            </w:r>
          </w:p>
          <w:p w:rsidR="00D655B4" w:rsidRPr="00042A6C" w:rsidRDefault="00D655B4" w:rsidP="00B427F3">
            <w:pPr>
              <w:widowControl w:val="0"/>
              <w:autoSpaceDE w:val="0"/>
              <w:autoSpaceDN w:val="0"/>
              <w:spacing w:line="220" w:lineRule="exact"/>
              <w:ind w:left="565" w:right="543"/>
              <w:jc w:val="center"/>
              <w:rPr>
                <w:sz w:val="22"/>
                <w:szCs w:val="22"/>
                <w:lang w:val="sr-Latn-ME"/>
              </w:rPr>
            </w:pPr>
            <w:r w:rsidRPr="00042A6C">
              <w:rPr>
                <w:sz w:val="22"/>
                <w:szCs w:val="22"/>
                <w:lang w:val="sr-Latn-ME"/>
              </w:rPr>
              <w:t>(0,3%)</w:t>
            </w:r>
          </w:p>
        </w:tc>
      </w:tr>
      <w:tr w:rsidR="00D21C47" w:rsidRPr="00042A6C" w:rsidTr="00B427F3">
        <w:tc>
          <w:tcPr>
            <w:tcW w:w="2265" w:type="dxa"/>
            <w:vAlign w:val="center"/>
          </w:tcPr>
          <w:p w:rsidR="00D21C47" w:rsidRPr="00042A6C" w:rsidRDefault="00D21C47" w:rsidP="00960545">
            <w:pPr>
              <w:widowControl w:val="0"/>
              <w:tabs>
                <w:tab w:val="left" w:pos="1070"/>
                <w:tab w:val="left" w:pos="1468"/>
                <w:tab w:val="left" w:pos="2476"/>
              </w:tabs>
              <w:autoSpaceDE w:val="0"/>
              <w:autoSpaceDN w:val="0"/>
              <w:spacing w:before="5" w:line="223" w:lineRule="auto"/>
              <w:ind w:left="9" w:right="88"/>
              <w:rPr>
                <w:sz w:val="22"/>
                <w:szCs w:val="22"/>
                <w:lang w:val="sr-Latn-ME"/>
              </w:rPr>
            </w:pPr>
            <w:r w:rsidRPr="00042A6C">
              <w:rPr>
                <w:sz w:val="22"/>
                <w:szCs w:val="22"/>
                <w:lang w:val="sr-Latn-ME"/>
              </w:rPr>
              <w:t xml:space="preserve">Klinički značajna </w:t>
            </w:r>
            <w:r w:rsidR="00960545" w:rsidRPr="00042A6C">
              <w:rPr>
                <w:sz w:val="22"/>
                <w:szCs w:val="22"/>
                <w:lang w:val="sr-Latn-ME"/>
              </w:rPr>
              <w:t xml:space="preserve">manja </w:t>
            </w:r>
            <w:r w:rsidRPr="00042A6C">
              <w:rPr>
                <w:sz w:val="22"/>
                <w:szCs w:val="22"/>
                <w:lang w:val="sr-Latn-ME"/>
              </w:rPr>
              <w:t>krvarenja</w:t>
            </w:r>
          </w:p>
        </w:tc>
        <w:tc>
          <w:tcPr>
            <w:tcW w:w="2266" w:type="dxa"/>
            <w:vAlign w:val="center"/>
          </w:tcPr>
          <w:p w:rsidR="00D21C47" w:rsidRPr="00042A6C" w:rsidRDefault="00D21C47" w:rsidP="00D21C47">
            <w:pPr>
              <w:widowControl w:val="0"/>
              <w:autoSpaceDE w:val="0"/>
              <w:autoSpaceDN w:val="0"/>
              <w:spacing w:line="242" w:lineRule="exact"/>
              <w:ind w:left="565" w:right="546"/>
              <w:jc w:val="center"/>
              <w:rPr>
                <w:sz w:val="22"/>
                <w:szCs w:val="22"/>
                <w:lang w:val="sr-Latn-ME"/>
              </w:rPr>
            </w:pPr>
            <w:r w:rsidRPr="00042A6C">
              <w:rPr>
                <w:sz w:val="22"/>
                <w:szCs w:val="22"/>
                <w:lang w:val="sr-Latn-ME"/>
              </w:rPr>
              <w:t>30</w:t>
            </w:r>
          </w:p>
          <w:p w:rsidR="00D21C47" w:rsidRPr="00042A6C" w:rsidRDefault="00D21C47" w:rsidP="00D21C47">
            <w:pPr>
              <w:widowControl w:val="0"/>
              <w:autoSpaceDE w:val="0"/>
              <w:autoSpaceDN w:val="0"/>
              <w:spacing w:line="241" w:lineRule="exact"/>
              <w:ind w:left="565" w:right="544"/>
              <w:jc w:val="center"/>
              <w:rPr>
                <w:sz w:val="22"/>
                <w:szCs w:val="22"/>
                <w:lang w:val="sr-Latn-ME"/>
              </w:rPr>
            </w:pPr>
            <w:r w:rsidRPr="00042A6C">
              <w:rPr>
                <w:sz w:val="22"/>
                <w:szCs w:val="22"/>
                <w:lang w:val="sr-Latn-ME"/>
              </w:rPr>
              <w:t>(2.7%)</w:t>
            </w:r>
          </w:p>
        </w:tc>
        <w:tc>
          <w:tcPr>
            <w:tcW w:w="2266" w:type="dxa"/>
            <w:vAlign w:val="center"/>
          </w:tcPr>
          <w:p w:rsidR="00D21C47" w:rsidRPr="00042A6C" w:rsidRDefault="00D21C47" w:rsidP="00D21C47">
            <w:pPr>
              <w:widowControl w:val="0"/>
              <w:autoSpaceDE w:val="0"/>
              <w:autoSpaceDN w:val="0"/>
              <w:spacing w:line="242" w:lineRule="exact"/>
              <w:ind w:left="565" w:right="545"/>
              <w:jc w:val="center"/>
              <w:rPr>
                <w:sz w:val="22"/>
                <w:szCs w:val="22"/>
                <w:lang w:val="sr-Latn-ME"/>
              </w:rPr>
            </w:pPr>
            <w:r w:rsidRPr="00042A6C">
              <w:rPr>
                <w:sz w:val="22"/>
                <w:szCs w:val="22"/>
                <w:lang w:val="sr-Latn-ME"/>
              </w:rPr>
              <w:t>22</w:t>
            </w:r>
          </w:p>
          <w:p w:rsidR="00D21C47" w:rsidRPr="00042A6C" w:rsidRDefault="00D21C47" w:rsidP="00D21C47">
            <w:pPr>
              <w:widowControl w:val="0"/>
              <w:autoSpaceDE w:val="0"/>
              <w:autoSpaceDN w:val="0"/>
              <w:spacing w:line="241" w:lineRule="exact"/>
              <w:ind w:left="565" w:right="544"/>
              <w:jc w:val="center"/>
              <w:rPr>
                <w:sz w:val="22"/>
                <w:szCs w:val="22"/>
                <w:lang w:val="sr-Latn-ME"/>
              </w:rPr>
            </w:pPr>
            <w:r w:rsidRPr="00042A6C">
              <w:rPr>
                <w:sz w:val="22"/>
                <w:szCs w:val="22"/>
                <w:lang w:val="sr-Latn-ME"/>
              </w:rPr>
              <w:t>(2.0%)</w:t>
            </w:r>
          </w:p>
        </w:tc>
        <w:tc>
          <w:tcPr>
            <w:tcW w:w="2266" w:type="dxa"/>
            <w:vAlign w:val="center"/>
          </w:tcPr>
          <w:p w:rsidR="00D21C47" w:rsidRPr="00042A6C" w:rsidRDefault="00D21C47" w:rsidP="00D21C47">
            <w:pPr>
              <w:widowControl w:val="0"/>
              <w:autoSpaceDE w:val="0"/>
              <w:autoSpaceDN w:val="0"/>
              <w:spacing w:line="242" w:lineRule="exact"/>
              <w:ind w:left="565" w:right="545"/>
              <w:jc w:val="center"/>
              <w:rPr>
                <w:sz w:val="22"/>
                <w:szCs w:val="22"/>
                <w:lang w:val="sr-Latn-ME"/>
              </w:rPr>
            </w:pPr>
            <w:r w:rsidRPr="00042A6C">
              <w:rPr>
                <w:sz w:val="22"/>
                <w:szCs w:val="22"/>
                <w:lang w:val="sr-Latn-ME"/>
              </w:rPr>
              <w:t>20</w:t>
            </w:r>
          </w:p>
          <w:p w:rsidR="00D21C47" w:rsidRPr="00042A6C" w:rsidRDefault="00D21C47" w:rsidP="00D21C47">
            <w:pPr>
              <w:widowControl w:val="0"/>
              <w:autoSpaceDE w:val="0"/>
              <w:autoSpaceDN w:val="0"/>
              <w:spacing w:line="241" w:lineRule="exact"/>
              <w:ind w:left="565" w:right="543"/>
              <w:jc w:val="center"/>
              <w:rPr>
                <w:sz w:val="22"/>
                <w:szCs w:val="22"/>
                <w:lang w:val="sr-Latn-ME"/>
              </w:rPr>
            </w:pPr>
            <w:r w:rsidRPr="00042A6C">
              <w:rPr>
                <w:sz w:val="22"/>
                <w:szCs w:val="22"/>
                <w:lang w:val="sr-Latn-ME"/>
              </w:rPr>
              <w:t>(1.8%)</w:t>
            </w:r>
          </w:p>
        </w:tc>
      </w:tr>
      <w:tr w:rsidR="00D655B4" w:rsidRPr="00042A6C" w:rsidTr="00B427F3">
        <w:tc>
          <w:tcPr>
            <w:tcW w:w="2265" w:type="dxa"/>
          </w:tcPr>
          <w:p w:rsidR="00D655B4" w:rsidRPr="00042A6C" w:rsidRDefault="00D655B4" w:rsidP="00B427F3">
            <w:pPr>
              <w:widowControl w:val="0"/>
              <w:autoSpaceDE w:val="0"/>
              <w:autoSpaceDN w:val="0"/>
              <w:spacing w:line="249" w:lineRule="exact"/>
              <w:ind w:left="9"/>
              <w:rPr>
                <w:sz w:val="22"/>
                <w:szCs w:val="22"/>
                <w:lang w:val="sr-Latn-ME"/>
              </w:rPr>
            </w:pPr>
            <w:r w:rsidRPr="00042A6C">
              <w:rPr>
                <w:sz w:val="22"/>
                <w:szCs w:val="22"/>
                <w:lang w:val="sr-Latn-ME"/>
              </w:rPr>
              <w:t>Simptomatska rekurentna VTE ili</w:t>
            </w:r>
          </w:p>
          <w:p w:rsidR="00D655B4" w:rsidRPr="00042A6C" w:rsidRDefault="00960545" w:rsidP="00B427F3">
            <w:pPr>
              <w:widowControl w:val="0"/>
              <w:autoSpaceDE w:val="0"/>
              <w:autoSpaceDN w:val="0"/>
              <w:spacing w:before="11" w:line="244" w:lineRule="exact"/>
              <w:ind w:left="9" w:right="460"/>
              <w:rPr>
                <w:sz w:val="22"/>
                <w:szCs w:val="22"/>
                <w:lang w:val="sr-Latn-ME"/>
              </w:rPr>
            </w:pPr>
            <w:r w:rsidRPr="00042A6C">
              <w:rPr>
                <w:sz w:val="22"/>
                <w:szCs w:val="22"/>
                <w:lang w:val="sr-Latn-ME"/>
              </w:rPr>
              <w:t xml:space="preserve">velika </w:t>
            </w:r>
            <w:r w:rsidR="00D655B4" w:rsidRPr="00042A6C">
              <w:rPr>
                <w:sz w:val="22"/>
                <w:szCs w:val="22"/>
                <w:lang w:val="sr-Latn-ME"/>
              </w:rPr>
              <w:t>krvarenja (ukupna klinička korist)</w:t>
            </w:r>
          </w:p>
        </w:tc>
        <w:tc>
          <w:tcPr>
            <w:tcW w:w="2266" w:type="dxa"/>
            <w:vAlign w:val="center"/>
          </w:tcPr>
          <w:p w:rsidR="00D655B4" w:rsidRPr="00042A6C" w:rsidRDefault="00D655B4" w:rsidP="00B427F3">
            <w:pPr>
              <w:widowControl w:val="0"/>
              <w:autoSpaceDE w:val="0"/>
              <w:autoSpaceDN w:val="0"/>
              <w:spacing w:line="242" w:lineRule="exact"/>
              <w:ind w:left="565" w:right="546"/>
              <w:jc w:val="center"/>
              <w:rPr>
                <w:sz w:val="22"/>
                <w:szCs w:val="22"/>
                <w:lang w:val="sr-Latn-ME"/>
              </w:rPr>
            </w:pPr>
            <w:r w:rsidRPr="00042A6C">
              <w:rPr>
                <w:sz w:val="22"/>
                <w:szCs w:val="22"/>
                <w:lang w:val="sr-Latn-ME"/>
              </w:rPr>
              <w:t>23</w:t>
            </w:r>
          </w:p>
          <w:p w:rsidR="00D655B4" w:rsidRPr="00042A6C" w:rsidRDefault="00D655B4" w:rsidP="00B427F3">
            <w:pPr>
              <w:widowControl w:val="0"/>
              <w:autoSpaceDE w:val="0"/>
              <w:autoSpaceDN w:val="0"/>
              <w:spacing w:line="251" w:lineRule="exact"/>
              <w:ind w:left="565" w:right="544"/>
              <w:jc w:val="center"/>
              <w:rPr>
                <w:sz w:val="22"/>
                <w:szCs w:val="22"/>
                <w:lang w:val="sr-Latn-ME"/>
              </w:rPr>
            </w:pPr>
            <w:r w:rsidRPr="00042A6C">
              <w:rPr>
                <w:sz w:val="22"/>
                <w:szCs w:val="22"/>
                <w:lang w:val="sr-Latn-ME"/>
              </w:rPr>
              <w:t>(2,1%)</w:t>
            </w:r>
            <w:r w:rsidRPr="00042A6C">
              <w:rPr>
                <w:sz w:val="22"/>
                <w:szCs w:val="22"/>
                <w:vertAlign w:val="superscript"/>
                <w:lang w:val="sr-Latn-ME"/>
              </w:rPr>
              <w:t>+</w:t>
            </w:r>
          </w:p>
        </w:tc>
        <w:tc>
          <w:tcPr>
            <w:tcW w:w="2266" w:type="dxa"/>
            <w:vAlign w:val="center"/>
          </w:tcPr>
          <w:p w:rsidR="00D655B4" w:rsidRPr="00042A6C" w:rsidRDefault="00D655B4" w:rsidP="00B427F3">
            <w:pPr>
              <w:widowControl w:val="0"/>
              <w:autoSpaceDE w:val="0"/>
              <w:autoSpaceDN w:val="0"/>
              <w:spacing w:line="242" w:lineRule="exact"/>
              <w:ind w:left="565" w:right="545"/>
              <w:jc w:val="center"/>
              <w:rPr>
                <w:sz w:val="22"/>
                <w:szCs w:val="22"/>
                <w:lang w:val="sr-Latn-ME"/>
              </w:rPr>
            </w:pPr>
            <w:r w:rsidRPr="00042A6C">
              <w:rPr>
                <w:sz w:val="22"/>
                <w:szCs w:val="22"/>
                <w:lang w:val="sr-Latn-ME"/>
              </w:rPr>
              <w:t>17</w:t>
            </w:r>
          </w:p>
          <w:p w:rsidR="00D655B4" w:rsidRPr="00042A6C" w:rsidRDefault="00D655B4" w:rsidP="00B427F3">
            <w:pPr>
              <w:widowControl w:val="0"/>
              <w:autoSpaceDE w:val="0"/>
              <w:autoSpaceDN w:val="0"/>
              <w:spacing w:line="251" w:lineRule="exact"/>
              <w:ind w:left="556" w:right="546"/>
              <w:jc w:val="center"/>
              <w:rPr>
                <w:sz w:val="22"/>
                <w:szCs w:val="22"/>
                <w:lang w:val="sr-Latn-ME"/>
              </w:rPr>
            </w:pPr>
            <w:r w:rsidRPr="00042A6C">
              <w:rPr>
                <w:sz w:val="22"/>
                <w:szCs w:val="22"/>
                <w:lang w:val="sr-Latn-ME"/>
              </w:rPr>
              <w:t>(1,5%)</w:t>
            </w:r>
            <w:r w:rsidRPr="00042A6C">
              <w:rPr>
                <w:sz w:val="22"/>
                <w:szCs w:val="22"/>
                <w:vertAlign w:val="superscript"/>
                <w:lang w:val="sr-Latn-ME"/>
              </w:rPr>
              <w:t>++</w:t>
            </w:r>
          </w:p>
        </w:tc>
        <w:tc>
          <w:tcPr>
            <w:tcW w:w="2266" w:type="dxa"/>
            <w:vAlign w:val="center"/>
          </w:tcPr>
          <w:p w:rsidR="00D655B4" w:rsidRPr="00042A6C" w:rsidRDefault="00D655B4" w:rsidP="00B427F3">
            <w:pPr>
              <w:widowControl w:val="0"/>
              <w:autoSpaceDE w:val="0"/>
              <w:autoSpaceDN w:val="0"/>
              <w:spacing w:line="242" w:lineRule="exact"/>
              <w:ind w:left="565" w:right="545"/>
              <w:jc w:val="center"/>
              <w:rPr>
                <w:sz w:val="22"/>
                <w:szCs w:val="22"/>
                <w:lang w:val="sr-Latn-ME"/>
              </w:rPr>
            </w:pPr>
            <w:r w:rsidRPr="00042A6C">
              <w:rPr>
                <w:sz w:val="22"/>
                <w:szCs w:val="22"/>
                <w:lang w:val="sr-Latn-ME"/>
              </w:rPr>
              <w:t>53</w:t>
            </w:r>
          </w:p>
          <w:p w:rsidR="00D655B4" w:rsidRPr="00042A6C" w:rsidRDefault="00D655B4" w:rsidP="00B427F3">
            <w:pPr>
              <w:widowControl w:val="0"/>
              <w:autoSpaceDE w:val="0"/>
              <w:autoSpaceDN w:val="0"/>
              <w:spacing w:line="251" w:lineRule="exact"/>
              <w:ind w:left="565" w:right="543"/>
              <w:jc w:val="center"/>
              <w:rPr>
                <w:sz w:val="22"/>
                <w:szCs w:val="22"/>
                <w:lang w:val="sr-Latn-ME"/>
              </w:rPr>
            </w:pPr>
            <w:r w:rsidRPr="00042A6C">
              <w:rPr>
                <w:sz w:val="22"/>
                <w:szCs w:val="22"/>
                <w:lang w:val="sr-Latn-ME"/>
              </w:rPr>
              <w:t>(4,7%)</w:t>
            </w:r>
          </w:p>
        </w:tc>
      </w:tr>
    </w:tbl>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*p&lt;0,001 (superiornost) rivaroksaban u dozi od 20 mg jednom dnevno u odnosu na ASK u dozi od 100 mg jednom dnevno; HR =0,34 (0,20-0,59)</w:t>
      </w: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**p&lt;0,001 (superiornost) rivaroksaban u dozi od 10 mg jednom dnevno u odnosu na ASK u dozi od 100 mg jednom dnevno; HR=0,26 (0,14-0,47)</w:t>
      </w: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+Rivaroksaban u dozi od 20 mg jednom dnevno u odnosu na ASK u dozi od 100 mg jednom dnevno;</w:t>
      </w:r>
      <w:r w:rsidR="00960545" w:rsidRPr="00042A6C">
        <w:rPr>
          <w:bCs/>
          <w:sz w:val="22"/>
          <w:szCs w:val="22"/>
          <w:lang w:val="sr-Latn-ME"/>
        </w:rPr>
        <w:t xml:space="preserve"> </w:t>
      </w:r>
      <w:r w:rsidRPr="00042A6C">
        <w:rPr>
          <w:bCs/>
          <w:sz w:val="22"/>
          <w:szCs w:val="22"/>
          <w:lang w:val="sr-Latn-ME"/>
        </w:rPr>
        <w:t>HR=0,44 (0,27-0,71), p=0,0009 (nominalno)</w:t>
      </w:r>
    </w:p>
    <w:p w:rsidR="00D655B4" w:rsidRPr="00042A6C" w:rsidRDefault="00D655B4" w:rsidP="00D655B4">
      <w:pPr>
        <w:tabs>
          <w:tab w:val="left" w:pos="540"/>
          <w:tab w:val="left" w:pos="569"/>
        </w:tabs>
        <w:jc w:val="both"/>
        <w:rPr>
          <w:b/>
          <w:bCs/>
          <w:sz w:val="22"/>
          <w:szCs w:val="22"/>
          <w:lang w:val="sr-Latn-ME"/>
        </w:rPr>
      </w:pPr>
      <w:r w:rsidRPr="00042A6C">
        <w:rPr>
          <w:bCs/>
          <w:sz w:val="22"/>
          <w:szCs w:val="22"/>
          <w:lang w:val="sr-Latn-ME"/>
        </w:rPr>
        <w:t>++ Rivaroksaban u dozi od 10 mg jednom dnevno u odnosu na ASK u dozi od 100 mg jednom dnevno;</w:t>
      </w:r>
      <w:r w:rsidR="00960545" w:rsidRPr="00042A6C">
        <w:rPr>
          <w:bCs/>
          <w:sz w:val="22"/>
          <w:szCs w:val="22"/>
          <w:lang w:val="sr-Latn-ME"/>
        </w:rPr>
        <w:t xml:space="preserve"> </w:t>
      </w:r>
      <w:r w:rsidRPr="00042A6C">
        <w:rPr>
          <w:bCs/>
          <w:sz w:val="22"/>
          <w:szCs w:val="22"/>
          <w:lang w:val="sr-Latn-ME"/>
        </w:rPr>
        <w:t>HR=0,32 (0,18-0,55), p&lt;0,0001 (nominalno</w:t>
      </w:r>
      <w:r w:rsidRPr="00042A6C">
        <w:rPr>
          <w:b/>
          <w:bCs/>
          <w:sz w:val="22"/>
          <w:szCs w:val="22"/>
          <w:lang w:val="sr-Latn-ME"/>
        </w:rPr>
        <w:t>)</w:t>
      </w:r>
    </w:p>
    <w:p w:rsidR="00D655B4" w:rsidRPr="00042A6C" w:rsidRDefault="00D655B4" w:rsidP="00D655B4">
      <w:pPr>
        <w:tabs>
          <w:tab w:val="left" w:pos="540"/>
          <w:tab w:val="left" w:pos="569"/>
        </w:tabs>
        <w:rPr>
          <w:b/>
          <w:bCs/>
          <w:sz w:val="22"/>
          <w:szCs w:val="22"/>
          <w:lang w:val="sr-Latn-ME"/>
        </w:rPr>
      </w:pP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 xml:space="preserve">Dodatno uz studije faze III </w:t>
      </w:r>
      <w:r w:rsidRPr="00042A6C">
        <w:rPr>
          <w:bCs/>
          <w:i/>
          <w:sz w:val="22"/>
          <w:szCs w:val="22"/>
          <w:lang w:val="sr-Latn-ME"/>
        </w:rPr>
        <w:t xml:space="preserve">EINSTEIN </w:t>
      </w:r>
      <w:r w:rsidRPr="00042A6C">
        <w:rPr>
          <w:bCs/>
          <w:sz w:val="22"/>
          <w:szCs w:val="22"/>
          <w:lang w:val="sr-Latn-ME"/>
        </w:rPr>
        <w:t>program</w:t>
      </w:r>
      <w:r w:rsidR="00FA68A1" w:rsidRPr="00042A6C">
        <w:rPr>
          <w:bCs/>
          <w:sz w:val="22"/>
          <w:szCs w:val="22"/>
          <w:lang w:val="sr-Latn-ME"/>
        </w:rPr>
        <w:t>a</w:t>
      </w:r>
      <w:r w:rsidRPr="00042A6C">
        <w:rPr>
          <w:bCs/>
          <w:sz w:val="22"/>
          <w:szCs w:val="22"/>
          <w:lang w:val="sr-Latn-ME"/>
        </w:rPr>
        <w:t>, sprovedeno je i prospektivn</w:t>
      </w:r>
      <w:r w:rsidR="00D21C47" w:rsidRPr="00042A6C">
        <w:rPr>
          <w:bCs/>
          <w:sz w:val="22"/>
          <w:szCs w:val="22"/>
          <w:lang w:val="sr-Latn-ME"/>
        </w:rPr>
        <w:t>o</w:t>
      </w:r>
      <w:r w:rsidRPr="00042A6C">
        <w:rPr>
          <w:bCs/>
          <w:sz w:val="22"/>
          <w:szCs w:val="22"/>
          <w:lang w:val="sr-Latn-ME"/>
        </w:rPr>
        <w:t xml:space="preserve">, neintervencijsko, otvoreno ispitivanje kohorti (XALIA), sa centralnom ocjenom ishoda koji su uključivali rekurentne VTE, obilno krvarenje i smrt. Bilo je uključeno 5142 pacijenta sa akutnom TDV kako bi se ispitala bezbjednost dugotrajne primjene rivaroksabana u odnosu na standardnu antikoagulantnu terapiju u kliničkoj praksi. Za rivaroksaban, stopa </w:t>
      </w:r>
      <w:r w:rsidR="00960545" w:rsidRPr="00042A6C">
        <w:rPr>
          <w:bCs/>
          <w:sz w:val="22"/>
          <w:szCs w:val="22"/>
          <w:lang w:val="sr-Latn-ME"/>
        </w:rPr>
        <w:t xml:space="preserve">velikih </w:t>
      </w:r>
      <w:r w:rsidRPr="00042A6C">
        <w:rPr>
          <w:bCs/>
          <w:sz w:val="22"/>
          <w:szCs w:val="22"/>
          <w:lang w:val="sr-Latn-ME"/>
        </w:rPr>
        <w:t xml:space="preserve">krvarenja je bila 0,7%, rekurentne VTE 1,4%, a smrtnosti usljed svih uzroka 0,5%. Bilo je razlika u početnim karakteristikama pacijenata, uključujući godine starosti, </w:t>
      </w:r>
      <w:r w:rsidR="00960545" w:rsidRPr="00042A6C">
        <w:rPr>
          <w:bCs/>
          <w:sz w:val="22"/>
          <w:szCs w:val="22"/>
          <w:lang w:val="sr-Latn-ME"/>
        </w:rPr>
        <w:t xml:space="preserve">karcinom </w:t>
      </w:r>
      <w:r w:rsidRPr="00042A6C">
        <w:rPr>
          <w:bCs/>
          <w:sz w:val="22"/>
          <w:szCs w:val="22"/>
          <w:lang w:val="sr-Latn-ME"/>
        </w:rPr>
        <w:t xml:space="preserve">i </w:t>
      </w:r>
      <w:r w:rsidR="007C7DBC" w:rsidRPr="00042A6C">
        <w:rPr>
          <w:bCs/>
          <w:sz w:val="22"/>
          <w:szCs w:val="22"/>
          <w:lang w:val="sr-Latn-ME"/>
        </w:rPr>
        <w:t xml:space="preserve">oštećenje </w:t>
      </w:r>
      <w:r w:rsidRPr="00042A6C">
        <w:rPr>
          <w:bCs/>
          <w:sz w:val="22"/>
          <w:szCs w:val="22"/>
          <w:lang w:val="sr-Latn-ME"/>
        </w:rPr>
        <w:t>funkcije bubrega. Korišćena je unaprijed određena stratifikovana analiza procjene sklonosti (eng</w:t>
      </w:r>
      <w:r w:rsidR="00960545" w:rsidRPr="00042A6C">
        <w:rPr>
          <w:bCs/>
          <w:sz w:val="22"/>
          <w:szCs w:val="22"/>
          <w:lang w:val="sr-Latn-ME"/>
        </w:rPr>
        <w:t>l</w:t>
      </w:r>
      <w:r w:rsidRPr="00042A6C">
        <w:rPr>
          <w:bCs/>
          <w:sz w:val="22"/>
          <w:szCs w:val="22"/>
          <w:lang w:val="sr-Latn-ME"/>
        </w:rPr>
        <w:t xml:space="preserve">. </w:t>
      </w:r>
      <w:r w:rsidRPr="00042A6C">
        <w:rPr>
          <w:bCs/>
          <w:i/>
          <w:sz w:val="22"/>
          <w:szCs w:val="22"/>
          <w:lang w:val="sr-Latn-ME"/>
        </w:rPr>
        <w:t>propensity score</w:t>
      </w:r>
      <w:r w:rsidRPr="00042A6C">
        <w:rPr>
          <w:bCs/>
          <w:sz w:val="22"/>
          <w:szCs w:val="22"/>
          <w:lang w:val="sr-Latn-ME"/>
        </w:rPr>
        <w:t>) kako bi se prilagodile izmjerene početne razlike, ali ostali ometajući činioci (eng</w:t>
      </w:r>
      <w:r w:rsidR="00960545" w:rsidRPr="00042A6C">
        <w:rPr>
          <w:bCs/>
          <w:sz w:val="22"/>
          <w:szCs w:val="22"/>
          <w:lang w:val="sr-Latn-ME"/>
        </w:rPr>
        <w:t>l</w:t>
      </w:r>
      <w:r w:rsidRPr="00042A6C">
        <w:rPr>
          <w:bCs/>
          <w:sz w:val="22"/>
          <w:szCs w:val="22"/>
          <w:lang w:val="sr-Latn-ME"/>
        </w:rPr>
        <w:t xml:space="preserve">. </w:t>
      </w:r>
      <w:r w:rsidRPr="00042A6C">
        <w:rPr>
          <w:bCs/>
          <w:i/>
          <w:sz w:val="22"/>
          <w:szCs w:val="22"/>
          <w:lang w:val="sr-Latn-ME"/>
        </w:rPr>
        <w:t>residual confounding</w:t>
      </w:r>
      <w:r w:rsidRPr="00042A6C">
        <w:rPr>
          <w:bCs/>
          <w:sz w:val="22"/>
          <w:szCs w:val="22"/>
          <w:lang w:val="sr-Latn-ME"/>
        </w:rPr>
        <w:t xml:space="preserve">) mogu, uprkos tome, uticati na rezultate. Prilagođene vrijednosti HR za rivaroksaban i standardnu terapiju, bile su za </w:t>
      </w:r>
      <w:r w:rsidR="00960545" w:rsidRPr="00042A6C">
        <w:rPr>
          <w:bCs/>
          <w:sz w:val="22"/>
          <w:szCs w:val="22"/>
          <w:lang w:val="sr-Latn-ME"/>
        </w:rPr>
        <w:t xml:space="preserve">velika </w:t>
      </w:r>
      <w:r w:rsidRPr="00042A6C">
        <w:rPr>
          <w:bCs/>
          <w:sz w:val="22"/>
          <w:szCs w:val="22"/>
          <w:lang w:val="sr-Latn-ME"/>
        </w:rPr>
        <w:t>krvarenja 0,77 (95% CI 0,40-1,50), za ponovljene VTE 0,91 (95% CI 0,54-1,54), a za smrtnost usljed svih uzroka 0,51 (95% CI 0,24-1,07).</w:t>
      </w:r>
    </w:p>
    <w:p w:rsidR="00D655B4" w:rsidRPr="00042A6C" w:rsidRDefault="00D655B4" w:rsidP="00D655B4">
      <w:pPr>
        <w:tabs>
          <w:tab w:val="left" w:pos="540"/>
          <w:tab w:val="left" w:pos="569"/>
        </w:tabs>
        <w:jc w:val="both"/>
        <w:rPr>
          <w:bCs/>
          <w:sz w:val="22"/>
          <w:szCs w:val="22"/>
          <w:lang w:val="sr-Latn-ME"/>
        </w:rPr>
      </w:pPr>
      <w:r w:rsidRPr="00042A6C">
        <w:rPr>
          <w:bCs/>
          <w:sz w:val="22"/>
          <w:szCs w:val="22"/>
          <w:lang w:val="sr-Latn-ME"/>
        </w:rPr>
        <w:t>Ovi rezultati u kliničkoj praksi su u skladu sa ustanovljenim bezbjednosnim profilom za ovu indikaciju.</w:t>
      </w:r>
    </w:p>
    <w:p w:rsidR="0031666D" w:rsidRPr="00042A6C" w:rsidRDefault="0031666D" w:rsidP="00480FB1">
      <w:pPr>
        <w:tabs>
          <w:tab w:val="left" w:pos="540"/>
          <w:tab w:val="left" w:pos="569"/>
        </w:tabs>
        <w:rPr>
          <w:b/>
          <w:bCs/>
          <w:sz w:val="22"/>
          <w:szCs w:val="22"/>
          <w:lang w:val="sr-Latn-ME"/>
        </w:rPr>
      </w:pPr>
    </w:p>
    <w:p w:rsidR="00D21C47" w:rsidRPr="00042A6C" w:rsidRDefault="00D21C47" w:rsidP="00D21C47">
      <w:pPr>
        <w:tabs>
          <w:tab w:val="left" w:pos="540"/>
          <w:tab w:val="left" w:pos="569"/>
        </w:tabs>
        <w:jc w:val="both"/>
        <w:rPr>
          <w:bCs/>
          <w:sz w:val="22"/>
          <w:szCs w:val="22"/>
          <w:u w:val="single"/>
          <w:lang w:val="sr-Latn-ME"/>
        </w:rPr>
      </w:pPr>
      <w:r w:rsidRPr="00042A6C">
        <w:rPr>
          <w:bCs/>
          <w:sz w:val="22"/>
          <w:szCs w:val="22"/>
          <w:u w:val="single"/>
          <w:lang w:val="sr-Latn-ME"/>
        </w:rPr>
        <w:t>Pedijatrijska populacija</w:t>
      </w:r>
    </w:p>
    <w:p w:rsidR="00D21C47" w:rsidRPr="00042A6C" w:rsidRDefault="00D21C47" w:rsidP="00D21C47">
      <w:pPr>
        <w:tabs>
          <w:tab w:val="left" w:pos="540"/>
          <w:tab w:val="left" w:pos="569"/>
        </w:tabs>
        <w:jc w:val="both"/>
        <w:rPr>
          <w:bCs/>
          <w:i/>
          <w:iCs/>
          <w:sz w:val="22"/>
          <w:szCs w:val="22"/>
          <w:lang w:val="sr-Latn-ME"/>
        </w:rPr>
      </w:pPr>
      <w:r w:rsidRPr="00042A6C">
        <w:rPr>
          <w:bCs/>
          <w:i/>
          <w:iCs/>
          <w:sz w:val="22"/>
          <w:szCs w:val="22"/>
          <w:lang w:val="sr-Latn-ME"/>
        </w:rPr>
        <w:t>Liječenje VTE i prevencija rekurentne VTE kod pedijatrijskih pacijenata</w:t>
      </w:r>
    </w:p>
    <w:p w:rsidR="00D21C47" w:rsidRPr="00042A6C" w:rsidRDefault="00D21C47" w:rsidP="00D21C47">
      <w:pPr>
        <w:tabs>
          <w:tab w:val="left" w:pos="540"/>
          <w:tab w:val="left" w:pos="569"/>
        </w:tabs>
        <w:jc w:val="both"/>
        <w:rPr>
          <w:bCs/>
          <w:sz w:val="22"/>
          <w:szCs w:val="22"/>
          <w:lang w:val="sr-Latn-ME"/>
        </w:rPr>
      </w:pPr>
      <w:r w:rsidRPr="00042A6C">
        <w:rPr>
          <w:bCs/>
          <w:sz w:val="22"/>
          <w:szCs w:val="22"/>
          <w:lang w:val="sr-Latn-ME"/>
        </w:rPr>
        <w:t xml:space="preserve">Kroz 6 otvorenih, multicentričnih pedijatrijskih studija ispitano je ukupno 727 djece sa potvrđenom akutnom VTE, od kojih je 528 primilo rivaroksaban. Doziranje prilagođeno tjelesnoj težini pacijenata uzrasta od rođenja do manje od 18 godina rezultiralo je izloženošću rivaroksabanu koja je bila slična onoj zabilježenoj kod odraslih pacijenata sa DVT liječenih rivaroksabanom u dozi od 20 mg jednom dnevno, kako je potvrđeno u ispitivanju faze III (vidjeti </w:t>
      </w:r>
      <w:r w:rsidR="00960545" w:rsidRPr="00042A6C">
        <w:rPr>
          <w:bCs/>
          <w:sz w:val="22"/>
          <w:szCs w:val="22"/>
          <w:lang w:val="sr-Latn-ME"/>
        </w:rPr>
        <w:t xml:space="preserve">dio </w:t>
      </w:r>
      <w:r w:rsidRPr="00042A6C">
        <w:rPr>
          <w:bCs/>
          <w:sz w:val="22"/>
          <w:szCs w:val="22"/>
          <w:lang w:val="sr-Latn-ME"/>
        </w:rPr>
        <w:t>5.2).</w:t>
      </w:r>
    </w:p>
    <w:p w:rsidR="00D21C47" w:rsidRPr="00042A6C" w:rsidRDefault="00D21C47" w:rsidP="00D21C47">
      <w:pPr>
        <w:tabs>
          <w:tab w:val="left" w:pos="540"/>
          <w:tab w:val="left" w:pos="569"/>
        </w:tabs>
        <w:jc w:val="both"/>
        <w:rPr>
          <w:bCs/>
          <w:sz w:val="22"/>
          <w:szCs w:val="22"/>
          <w:lang w:val="sr-Latn-ME"/>
        </w:rPr>
      </w:pPr>
    </w:p>
    <w:p w:rsidR="00D21C47" w:rsidRPr="00042A6C" w:rsidRDefault="00D21C47" w:rsidP="00D21C47">
      <w:pPr>
        <w:tabs>
          <w:tab w:val="left" w:pos="540"/>
          <w:tab w:val="left" w:pos="569"/>
        </w:tabs>
        <w:jc w:val="both"/>
        <w:rPr>
          <w:bCs/>
          <w:sz w:val="22"/>
          <w:szCs w:val="22"/>
          <w:lang w:val="sr-Latn-ME"/>
        </w:rPr>
      </w:pPr>
      <w:r w:rsidRPr="00042A6C">
        <w:rPr>
          <w:bCs/>
          <w:sz w:val="22"/>
          <w:szCs w:val="22"/>
          <w:lang w:val="sr-Latn-ME"/>
        </w:rPr>
        <w:t xml:space="preserve">Studija faze III pod nazivom </w:t>
      </w:r>
      <w:r w:rsidRPr="00042A6C">
        <w:rPr>
          <w:bCs/>
          <w:i/>
          <w:sz w:val="22"/>
          <w:szCs w:val="22"/>
          <w:lang w:val="sr-Latn-ME"/>
        </w:rPr>
        <w:t>EINSTEIN Junior</w:t>
      </w:r>
      <w:r w:rsidRPr="00042A6C">
        <w:rPr>
          <w:bCs/>
          <w:sz w:val="22"/>
          <w:szCs w:val="22"/>
          <w:lang w:val="sr-Latn-ME"/>
        </w:rPr>
        <w:t xml:space="preserve"> bila je randomizovana, otvorena, multicentrična klinička studija kontrolisana aktivnim komparatorom kod 500 pedijatrijskih pacijenata (uzrasta od rođenja do &lt; 18 godina) sa potvrđenom akutnom VTE.</w:t>
      </w:r>
    </w:p>
    <w:p w:rsidR="00D21C47" w:rsidRPr="00042A6C" w:rsidRDefault="00D21C47" w:rsidP="00D21C47">
      <w:pPr>
        <w:tabs>
          <w:tab w:val="left" w:pos="540"/>
          <w:tab w:val="left" w:pos="569"/>
        </w:tabs>
        <w:jc w:val="both"/>
        <w:rPr>
          <w:bCs/>
          <w:sz w:val="22"/>
          <w:szCs w:val="22"/>
          <w:lang w:val="sr-Latn-ME"/>
        </w:rPr>
      </w:pPr>
    </w:p>
    <w:p w:rsidR="00D21C47" w:rsidRPr="00042A6C" w:rsidRDefault="00D21C47" w:rsidP="00D21C47">
      <w:pPr>
        <w:tabs>
          <w:tab w:val="left" w:pos="540"/>
          <w:tab w:val="left" w:pos="569"/>
        </w:tabs>
        <w:jc w:val="both"/>
        <w:rPr>
          <w:bCs/>
          <w:sz w:val="22"/>
          <w:szCs w:val="22"/>
          <w:lang w:val="sr-Latn-ME"/>
        </w:rPr>
      </w:pPr>
      <w:r w:rsidRPr="00042A6C">
        <w:rPr>
          <w:bCs/>
          <w:sz w:val="22"/>
          <w:szCs w:val="22"/>
          <w:lang w:val="sr-Latn-ME"/>
        </w:rPr>
        <w:t>Bilo je 276 djece uzrasta od 12 do &lt; 18 godina, 101 dijete uzrasta od 6 do &lt; 12 godina, 69 djece uzrasta od 2 do &lt; 6 godina</w:t>
      </w:r>
      <w:r w:rsidR="007C7DBC" w:rsidRPr="00042A6C">
        <w:rPr>
          <w:bCs/>
          <w:sz w:val="22"/>
          <w:szCs w:val="22"/>
          <w:lang w:val="sr-Latn-ME"/>
        </w:rPr>
        <w:t>,</w:t>
      </w:r>
      <w:r w:rsidRPr="00042A6C">
        <w:rPr>
          <w:bCs/>
          <w:sz w:val="22"/>
          <w:szCs w:val="22"/>
          <w:lang w:val="sr-Latn-ME"/>
        </w:rPr>
        <w:t xml:space="preserve"> i 54 djeteta uzrasta &lt; 2 godine.</w:t>
      </w:r>
    </w:p>
    <w:p w:rsidR="00D21C47" w:rsidRPr="00042A6C" w:rsidRDefault="00D21C47" w:rsidP="00D21C47">
      <w:pPr>
        <w:tabs>
          <w:tab w:val="left" w:pos="540"/>
          <w:tab w:val="left" w:pos="569"/>
        </w:tabs>
        <w:jc w:val="both"/>
        <w:rPr>
          <w:bCs/>
          <w:sz w:val="22"/>
          <w:szCs w:val="22"/>
          <w:lang w:val="sr-Latn-ME"/>
        </w:rPr>
      </w:pPr>
    </w:p>
    <w:p w:rsidR="00D21C47" w:rsidRPr="00042A6C" w:rsidRDefault="00D21C47" w:rsidP="00D21C47">
      <w:pPr>
        <w:tabs>
          <w:tab w:val="left" w:pos="540"/>
          <w:tab w:val="left" w:pos="569"/>
        </w:tabs>
        <w:jc w:val="both"/>
        <w:rPr>
          <w:bCs/>
          <w:sz w:val="22"/>
          <w:szCs w:val="22"/>
          <w:lang w:val="sr-Latn-ME"/>
        </w:rPr>
      </w:pPr>
      <w:r w:rsidRPr="00042A6C">
        <w:rPr>
          <w:bCs/>
          <w:sz w:val="22"/>
          <w:szCs w:val="22"/>
          <w:lang w:val="sr-Latn-ME"/>
        </w:rPr>
        <w:lastRenderedPageBreak/>
        <w:t>Prva VTE bila je kategorizovana ili kao VTE povezana sa centralnim venskim kateterom (CVC-VTE; 90/335 pacijenata u grupi koja je primala rivaroksaban, 37/165 pacijenata u grupi koja je primala komparator), tromboza moždanih vena i venskih sinusa (</w:t>
      </w:r>
      <w:r w:rsidR="004B0614" w:rsidRPr="00042A6C">
        <w:rPr>
          <w:bCs/>
          <w:sz w:val="22"/>
          <w:szCs w:val="22"/>
          <w:lang w:val="sr-Latn-ME"/>
        </w:rPr>
        <w:t>CVST, 74/335 pacijenata u grupi</w:t>
      </w:r>
      <w:r w:rsidRPr="00042A6C">
        <w:rPr>
          <w:bCs/>
          <w:sz w:val="22"/>
          <w:szCs w:val="22"/>
          <w:lang w:val="sr-Latn-ME"/>
        </w:rPr>
        <w:t xml:space="preserve"> koja je primala rivaroksaban, 43/165 pacijenata u grupi koja je primala komparator) ili kao svi drugi uključujući DVT i PE (ne-CVC-VTE, 171/335 pacijenata u grupi koja je primala rivaroksaban, 84/165 pacijenata u grupi koja je primala komparator). Najčešća manifestacija prve tromboze kod djece uzrasta od 12 do &lt; 18 godina bio je ne-CVC-VTE, i to kod 211 (76,4%) djece; kod djece uzrasta od 6 do &lt; 12 godina i od 2 do &lt; 6 godina to je bio CVST, i to kod 48 (47,5%), odnosno 35 (50,7%) djece, a kod djece uzrasta od &lt; 2 godine to je bio CVC-VTE, kod njih 37 (68,5%). U grupi koja je primala rivaroksaban nije bilo djece &lt; 6 mjeseci sa CVST-om. 22 pacijenta sa CVST-om imalo je infekcije centralnog nervnog sistema (13 pacijenata u grupi koja je primala rivaroksaban i 9 pacijenata u grupi koja je primala komparator).</w:t>
      </w:r>
    </w:p>
    <w:p w:rsidR="00D21C47" w:rsidRPr="00042A6C" w:rsidRDefault="00D21C47" w:rsidP="00D21C47">
      <w:pPr>
        <w:tabs>
          <w:tab w:val="left" w:pos="540"/>
          <w:tab w:val="left" w:pos="569"/>
        </w:tabs>
        <w:jc w:val="both"/>
        <w:rPr>
          <w:bCs/>
          <w:sz w:val="22"/>
          <w:szCs w:val="22"/>
          <w:lang w:val="sr-Latn-ME"/>
        </w:rPr>
      </w:pPr>
    </w:p>
    <w:p w:rsidR="00D21C47" w:rsidRPr="00042A6C" w:rsidRDefault="00D21C47" w:rsidP="00D21C47">
      <w:pPr>
        <w:tabs>
          <w:tab w:val="left" w:pos="540"/>
          <w:tab w:val="left" w:pos="569"/>
        </w:tabs>
        <w:jc w:val="both"/>
        <w:rPr>
          <w:bCs/>
          <w:sz w:val="22"/>
          <w:szCs w:val="22"/>
          <w:lang w:val="sr-Latn-ME"/>
        </w:rPr>
      </w:pPr>
      <w:r w:rsidRPr="00042A6C">
        <w:rPr>
          <w:bCs/>
          <w:sz w:val="22"/>
          <w:szCs w:val="22"/>
          <w:lang w:val="sr-Latn-ME"/>
        </w:rPr>
        <w:t>VTE je bila izazvana trajnim, prolaznim</w:t>
      </w:r>
      <w:r w:rsidR="007C7DBC" w:rsidRPr="00042A6C">
        <w:rPr>
          <w:bCs/>
          <w:sz w:val="22"/>
          <w:szCs w:val="22"/>
          <w:lang w:val="sr-Latn-ME"/>
        </w:rPr>
        <w:t>,</w:t>
      </w:r>
      <w:r w:rsidRPr="00042A6C">
        <w:rPr>
          <w:bCs/>
          <w:sz w:val="22"/>
          <w:szCs w:val="22"/>
          <w:lang w:val="sr-Latn-ME"/>
        </w:rPr>
        <w:t xml:space="preserve"> ili i trajnim i prolaznim faktorima rizika kod 438 (87,6%) djece.</w:t>
      </w:r>
    </w:p>
    <w:p w:rsidR="00D21C47" w:rsidRPr="00042A6C" w:rsidRDefault="00D21C47" w:rsidP="00D21C47">
      <w:pPr>
        <w:tabs>
          <w:tab w:val="left" w:pos="540"/>
          <w:tab w:val="left" w:pos="569"/>
        </w:tabs>
        <w:jc w:val="both"/>
        <w:rPr>
          <w:bCs/>
          <w:sz w:val="22"/>
          <w:szCs w:val="22"/>
          <w:lang w:val="sr-Latn-ME"/>
        </w:rPr>
      </w:pPr>
    </w:p>
    <w:p w:rsidR="00D21C47" w:rsidRPr="00042A6C" w:rsidRDefault="00D21C47" w:rsidP="00D21C47">
      <w:pPr>
        <w:tabs>
          <w:tab w:val="left" w:pos="540"/>
          <w:tab w:val="left" w:pos="569"/>
        </w:tabs>
        <w:jc w:val="both"/>
        <w:rPr>
          <w:bCs/>
          <w:sz w:val="22"/>
          <w:szCs w:val="22"/>
          <w:lang w:val="sr-Latn-ME"/>
        </w:rPr>
      </w:pPr>
      <w:r w:rsidRPr="00042A6C">
        <w:rPr>
          <w:bCs/>
          <w:sz w:val="22"/>
          <w:szCs w:val="22"/>
          <w:lang w:val="sr-Latn-ME"/>
        </w:rPr>
        <w:t xml:space="preserve">Pacijenti su prvo liječeni terapijskim dozama nefrakcioniranog heparina (engl. </w:t>
      </w:r>
      <w:r w:rsidRPr="00042A6C">
        <w:rPr>
          <w:bCs/>
          <w:i/>
          <w:iCs/>
          <w:sz w:val="22"/>
          <w:szCs w:val="22"/>
          <w:lang w:val="sr-Latn-ME"/>
        </w:rPr>
        <w:t>unfractionated heparin</w:t>
      </w:r>
      <w:r w:rsidRPr="00042A6C">
        <w:rPr>
          <w:bCs/>
          <w:sz w:val="22"/>
          <w:szCs w:val="22"/>
          <w:lang w:val="sr-Latn-ME"/>
        </w:rPr>
        <w:t xml:space="preserve">, UFH), niskomolekularnog heparina (engl. </w:t>
      </w:r>
      <w:r w:rsidRPr="00042A6C">
        <w:rPr>
          <w:bCs/>
          <w:i/>
          <w:iCs/>
          <w:sz w:val="22"/>
          <w:szCs w:val="22"/>
          <w:lang w:val="sr-Latn-ME"/>
        </w:rPr>
        <w:t>low-molecular-weight heparin</w:t>
      </w:r>
      <w:r w:rsidRPr="00042A6C">
        <w:rPr>
          <w:bCs/>
          <w:sz w:val="22"/>
          <w:szCs w:val="22"/>
          <w:lang w:val="sr-Latn-ME"/>
        </w:rPr>
        <w:t>, LMWH) ili fondaparinuksa tokom najmanje 5 dana i potom randomizovani u odnosu 2:1 u grupu koja je primala rivaroksaban u dozama prilagođenima tjelesnoj težini ili grupu koja je primala komparator (heparin, antagonist vitamina K) u glavnom razdoblju ispitivanog liječenja od 3 mjeseca (1 mjesec za djecu uzrasta &lt; 2 godine sa CVC-VTE-om). Na kraju glavnog razdoblja ispitivanog liječenja ponovljeno je dijagnostičko snimanje, sprovedeno na početku ispitivanja, ako je to bilo klinički moguće. Ispitivano se liječenje moglo zaustaviti u toj tački, ili se prema procjeni ispitivača moglo nastaviti do ukupno 12 mjeseci (za djecu uzrasta &lt; 2 godine sa CVC-VTE-om do 3 mjeseca).</w:t>
      </w:r>
    </w:p>
    <w:p w:rsidR="00D21C47" w:rsidRPr="00042A6C" w:rsidRDefault="00D21C47" w:rsidP="00D21C47">
      <w:pPr>
        <w:tabs>
          <w:tab w:val="left" w:pos="540"/>
          <w:tab w:val="left" w:pos="569"/>
        </w:tabs>
        <w:jc w:val="both"/>
        <w:rPr>
          <w:bCs/>
          <w:sz w:val="22"/>
          <w:szCs w:val="22"/>
          <w:lang w:val="sr-Latn-ME"/>
        </w:rPr>
      </w:pPr>
    </w:p>
    <w:p w:rsidR="00D21C47" w:rsidRPr="00042A6C" w:rsidRDefault="00D21C47" w:rsidP="00D21C47">
      <w:pPr>
        <w:tabs>
          <w:tab w:val="left" w:pos="540"/>
          <w:tab w:val="left" w:pos="569"/>
        </w:tabs>
        <w:jc w:val="both"/>
        <w:rPr>
          <w:bCs/>
          <w:sz w:val="22"/>
          <w:szCs w:val="22"/>
          <w:lang w:val="sr-Latn-ME"/>
        </w:rPr>
      </w:pPr>
      <w:r w:rsidRPr="00042A6C">
        <w:rPr>
          <w:bCs/>
          <w:sz w:val="22"/>
          <w:szCs w:val="22"/>
          <w:lang w:val="sr-Latn-ME"/>
        </w:rPr>
        <w:t xml:space="preserve">Primarni ishod efikasnosti bila je simptomatska rekurentna VTE. Primarni ishod bezbjednosti primjene bio je kompozitna mjera sastavljena od velikog i klinički značajnog manjeg krvarenja (engl. </w:t>
      </w:r>
      <w:r w:rsidRPr="00042A6C">
        <w:rPr>
          <w:bCs/>
          <w:i/>
          <w:iCs/>
          <w:sz w:val="22"/>
          <w:szCs w:val="22"/>
          <w:lang w:val="sr-Latn-ME"/>
        </w:rPr>
        <w:t>clinically relevant non-major bleeding</w:t>
      </w:r>
      <w:r w:rsidRPr="00042A6C">
        <w:rPr>
          <w:bCs/>
          <w:sz w:val="22"/>
          <w:szCs w:val="22"/>
          <w:lang w:val="sr-Latn-ME"/>
        </w:rPr>
        <w:t>, CRNMB). Sve ishode efikasnosti i bezbjednosti primjene procijenila je nezavisna komisija zaslijepljena za dodijeljenu terapiju. Rezultati za efikasnost i bezbj</w:t>
      </w:r>
      <w:r w:rsidR="004B0614" w:rsidRPr="00042A6C">
        <w:rPr>
          <w:bCs/>
          <w:sz w:val="22"/>
          <w:szCs w:val="22"/>
          <w:lang w:val="sr-Latn-ME"/>
        </w:rPr>
        <w:t>ednost primjene prikazani su u T</w:t>
      </w:r>
      <w:r w:rsidRPr="00042A6C">
        <w:rPr>
          <w:bCs/>
          <w:sz w:val="22"/>
          <w:szCs w:val="22"/>
          <w:lang w:val="sr-Latn-ME"/>
        </w:rPr>
        <w:t>abelama 11 i 12 u daljem tekstu.</w:t>
      </w:r>
    </w:p>
    <w:p w:rsidR="00D21C47" w:rsidRPr="00042A6C" w:rsidRDefault="00D21C47" w:rsidP="00D21C47">
      <w:pPr>
        <w:tabs>
          <w:tab w:val="left" w:pos="540"/>
          <w:tab w:val="left" w:pos="569"/>
        </w:tabs>
        <w:jc w:val="both"/>
        <w:rPr>
          <w:bCs/>
          <w:sz w:val="22"/>
          <w:szCs w:val="22"/>
          <w:lang w:val="sr-Latn-ME"/>
        </w:rPr>
      </w:pPr>
    </w:p>
    <w:p w:rsidR="00D21C47" w:rsidRPr="00042A6C" w:rsidRDefault="00D21C47" w:rsidP="00D21C47">
      <w:pPr>
        <w:tabs>
          <w:tab w:val="left" w:pos="540"/>
          <w:tab w:val="left" w:pos="569"/>
        </w:tabs>
        <w:jc w:val="both"/>
        <w:rPr>
          <w:bCs/>
          <w:sz w:val="22"/>
          <w:szCs w:val="22"/>
          <w:lang w:val="sr-Latn-ME"/>
        </w:rPr>
      </w:pPr>
      <w:r w:rsidRPr="00042A6C">
        <w:rPr>
          <w:bCs/>
          <w:sz w:val="22"/>
          <w:szCs w:val="22"/>
          <w:lang w:val="sr-Latn-ME"/>
        </w:rPr>
        <w:t>Rekurentna VTE u grupi koja je primala rivaroksaban dogodila se kod 4 od 335 pacijenata, a u grupi koja je primala komparator kod 5 od 165 pacijenata. Kompozitna mjera sastavljena od velikog krvarenja i CRNMB-a prijavljena je kod 10 od 329 pacijenata (3%) liječenih rivaroksabanom, i kod 3 od 162 pacijenata (1,9%) liječenih komparatorom. Neto klinička korist (simptomatska ponavljajuća VTE plus događaji velikog krvarenja) prijavljena je u grupi liječenoj rivaroksabanom kod 4 od 335 pacijenta, i u grupi liječenoj komparatorom kod 7 od 165 pacijenata. Normalizacija opterećenja tromba na ponovljenim snimanjima javila se kod 128 od 335 pacijenata liječenih rivaroksabanom</w:t>
      </w:r>
      <w:r w:rsidR="00F55384" w:rsidRPr="00042A6C">
        <w:rPr>
          <w:bCs/>
          <w:sz w:val="22"/>
          <w:szCs w:val="22"/>
          <w:lang w:val="sr-Latn-ME"/>
        </w:rPr>
        <w:t>,</w:t>
      </w:r>
      <w:r w:rsidRPr="00042A6C">
        <w:rPr>
          <w:bCs/>
          <w:sz w:val="22"/>
          <w:szCs w:val="22"/>
          <w:lang w:val="sr-Latn-ME"/>
        </w:rPr>
        <w:t xml:space="preserve"> kao i kod 43 od 165 pacijenata liječenih komparatorom. Ti su nalazi bili uglavnom slični u svim starosnim grupama. Bilo je 119 (36,2%) djece sa bilo kojim krvarenjem nastalim tokom liječenja u grupi koja je primala rivaroksaban</w:t>
      </w:r>
      <w:r w:rsidR="00F55384" w:rsidRPr="00042A6C">
        <w:rPr>
          <w:bCs/>
          <w:sz w:val="22"/>
          <w:szCs w:val="22"/>
          <w:lang w:val="sr-Latn-ME"/>
        </w:rPr>
        <w:t>,</w:t>
      </w:r>
      <w:r w:rsidRPr="00042A6C">
        <w:rPr>
          <w:bCs/>
          <w:sz w:val="22"/>
          <w:szCs w:val="22"/>
          <w:lang w:val="sr-Latn-ME"/>
        </w:rPr>
        <w:t xml:space="preserve"> i 45 (27,8%) djece u grupi koja je primala komparator.</w:t>
      </w:r>
    </w:p>
    <w:p w:rsidR="00D21C47" w:rsidRPr="00042A6C" w:rsidRDefault="00D21C47" w:rsidP="00D21C47">
      <w:pPr>
        <w:tabs>
          <w:tab w:val="left" w:pos="540"/>
          <w:tab w:val="left" w:pos="569"/>
        </w:tabs>
        <w:jc w:val="both"/>
        <w:rPr>
          <w:bCs/>
          <w:sz w:val="22"/>
          <w:szCs w:val="22"/>
          <w:lang w:val="sr-Latn-ME"/>
        </w:rPr>
      </w:pPr>
    </w:p>
    <w:p w:rsidR="00F0540D" w:rsidRDefault="00F0540D" w:rsidP="004B0614">
      <w:pPr>
        <w:tabs>
          <w:tab w:val="left" w:pos="540"/>
          <w:tab w:val="left" w:pos="569"/>
        </w:tabs>
        <w:jc w:val="both"/>
        <w:rPr>
          <w:b/>
          <w:bCs/>
          <w:sz w:val="22"/>
          <w:szCs w:val="22"/>
          <w:lang w:val="sr-Latn-ME"/>
        </w:rPr>
      </w:pPr>
    </w:p>
    <w:p w:rsidR="004B0614" w:rsidRDefault="004B0614" w:rsidP="004B0614">
      <w:pPr>
        <w:tabs>
          <w:tab w:val="left" w:pos="540"/>
          <w:tab w:val="left" w:pos="569"/>
        </w:tabs>
        <w:jc w:val="both"/>
        <w:rPr>
          <w:b/>
          <w:bCs/>
          <w:sz w:val="22"/>
          <w:szCs w:val="22"/>
          <w:lang w:val="sr-Latn-ME"/>
        </w:rPr>
      </w:pPr>
      <w:r w:rsidRPr="00042A6C">
        <w:rPr>
          <w:b/>
          <w:bCs/>
          <w:sz w:val="22"/>
          <w:szCs w:val="22"/>
          <w:lang w:val="sr-Latn-ME"/>
        </w:rPr>
        <w:t>Tabela 11: Rezultati za efikasnost na kraju glavnog razdoblja liječenja</w:t>
      </w:r>
    </w:p>
    <w:p w:rsidR="00F0540D" w:rsidRPr="00042A6C" w:rsidRDefault="00F0540D" w:rsidP="004B0614">
      <w:pPr>
        <w:tabs>
          <w:tab w:val="left" w:pos="540"/>
          <w:tab w:val="left" w:pos="569"/>
        </w:tabs>
        <w:jc w:val="both"/>
        <w:rPr>
          <w:b/>
          <w:bCs/>
          <w:sz w:val="22"/>
          <w:szCs w:val="22"/>
          <w:lang w:val="sr-Latn-ME"/>
        </w:rPr>
      </w:pPr>
    </w:p>
    <w:tbl>
      <w:tblPr>
        <w:tblW w:w="9072" w:type="dxa"/>
        <w:tblInd w:w="-5" w:type="dxa"/>
        <w:tblLayout w:type="fixed"/>
        <w:tblCellMar>
          <w:left w:w="0" w:type="dxa"/>
          <w:right w:w="0" w:type="dxa"/>
        </w:tblCellMar>
        <w:tblLook w:val="04A0" w:firstRow="1" w:lastRow="0" w:firstColumn="1" w:lastColumn="0" w:noHBand="0" w:noVBand="1"/>
      </w:tblPr>
      <w:tblGrid>
        <w:gridCol w:w="5345"/>
        <w:gridCol w:w="1885"/>
        <w:gridCol w:w="1842"/>
      </w:tblGrid>
      <w:tr w:rsidR="004476F6" w:rsidRPr="00042A6C" w:rsidTr="004476F6">
        <w:trPr>
          <w:trHeight w:val="505"/>
        </w:trPr>
        <w:tc>
          <w:tcPr>
            <w:tcW w:w="5345" w:type="dxa"/>
            <w:tcBorders>
              <w:top w:val="single" w:sz="4" w:space="0" w:color="7E7E7E"/>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b/>
                <w:bCs/>
                <w:sz w:val="22"/>
                <w:szCs w:val="22"/>
                <w:lang w:val="sr-Latn-ME"/>
              </w:rPr>
            </w:pPr>
            <w:r w:rsidRPr="00042A6C">
              <w:rPr>
                <w:b/>
                <w:bCs/>
                <w:sz w:val="22"/>
                <w:szCs w:val="22"/>
                <w:lang w:val="sr-Latn-ME"/>
              </w:rPr>
              <w:t>Događaj</w:t>
            </w:r>
          </w:p>
        </w:tc>
        <w:tc>
          <w:tcPr>
            <w:tcW w:w="1885" w:type="dxa"/>
            <w:tcBorders>
              <w:top w:val="single" w:sz="4" w:space="0" w:color="7E7E7E"/>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b/>
                <w:bCs/>
                <w:sz w:val="22"/>
                <w:szCs w:val="22"/>
                <w:lang w:val="sr-Latn-ME"/>
              </w:rPr>
            </w:pPr>
            <w:r w:rsidRPr="00042A6C">
              <w:rPr>
                <w:b/>
                <w:bCs/>
                <w:sz w:val="22"/>
                <w:szCs w:val="22"/>
                <w:lang w:val="sr-Latn-ME"/>
              </w:rPr>
              <w:t>Rivaroksaban</w:t>
            </w:r>
          </w:p>
          <w:p w:rsidR="004476F6" w:rsidRPr="00042A6C" w:rsidRDefault="004476F6" w:rsidP="004476F6">
            <w:pPr>
              <w:widowControl w:val="0"/>
              <w:autoSpaceDE w:val="0"/>
              <w:autoSpaceDN w:val="0"/>
              <w:spacing w:before="1"/>
              <w:ind w:left="102"/>
              <w:rPr>
                <w:b/>
                <w:bCs/>
                <w:sz w:val="22"/>
                <w:szCs w:val="22"/>
                <w:lang w:val="sr-Latn-ME"/>
              </w:rPr>
            </w:pPr>
            <w:r w:rsidRPr="00042A6C">
              <w:rPr>
                <w:b/>
                <w:bCs/>
                <w:sz w:val="22"/>
                <w:szCs w:val="22"/>
                <w:lang w:val="sr-Latn-ME"/>
              </w:rPr>
              <w:t>N=335*</w:t>
            </w:r>
          </w:p>
        </w:tc>
        <w:tc>
          <w:tcPr>
            <w:tcW w:w="1842" w:type="dxa"/>
            <w:tcBorders>
              <w:top w:val="single" w:sz="4" w:space="0" w:color="7E7E7E"/>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b/>
                <w:bCs/>
                <w:sz w:val="22"/>
                <w:szCs w:val="22"/>
                <w:lang w:val="sr-Latn-ME"/>
              </w:rPr>
              <w:t>Komparator</w:t>
            </w:r>
          </w:p>
          <w:p w:rsidR="004476F6" w:rsidRPr="00042A6C" w:rsidRDefault="004476F6" w:rsidP="004476F6">
            <w:pPr>
              <w:widowControl w:val="0"/>
              <w:autoSpaceDE w:val="0"/>
              <w:autoSpaceDN w:val="0"/>
              <w:spacing w:before="1"/>
              <w:ind w:left="102"/>
              <w:rPr>
                <w:b/>
                <w:bCs/>
                <w:sz w:val="22"/>
                <w:szCs w:val="22"/>
                <w:lang w:val="sr-Latn-ME"/>
              </w:rPr>
            </w:pPr>
            <w:r w:rsidRPr="00042A6C">
              <w:rPr>
                <w:b/>
                <w:bCs/>
                <w:sz w:val="22"/>
                <w:szCs w:val="22"/>
                <w:lang w:val="sr-Latn-ME"/>
              </w:rPr>
              <w:t>N=165*</w:t>
            </w:r>
          </w:p>
        </w:tc>
      </w:tr>
      <w:tr w:rsidR="004476F6" w:rsidRPr="00042A6C" w:rsidTr="004476F6">
        <w:trPr>
          <w:trHeight w:val="255"/>
        </w:trPr>
        <w:tc>
          <w:tcPr>
            <w:tcW w:w="5345" w:type="dxa"/>
            <w:vMerge w:val="restart"/>
            <w:tcBorders>
              <w:top w:val="single" w:sz="4" w:space="0" w:color="7E7E7E"/>
              <w:left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Rekurentna VTE (primarni ishod efikasnosti)</w:t>
            </w:r>
          </w:p>
        </w:tc>
        <w:tc>
          <w:tcPr>
            <w:tcW w:w="1885"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4</w:t>
            </w:r>
          </w:p>
        </w:tc>
        <w:tc>
          <w:tcPr>
            <w:tcW w:w="1842"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5</w:t>
            </w:r>
          </w:p>
        </w:tc>
      </w:tr>
      <w:tr w:rsidR="004476F6" w:rsidRPr="00042A6C" w:rsidTr="004476F6">
        <w:trPr>
          <w:trHeight w:val="253"/>
        </w:trPr>
        <w:tc>
          <w:tcPr>
            <w:tcW w:w="5345" w:type="dxa"/>
            <w:vMerge/>
            <w:tcBorders>
              <w:left w:val="single" w:sz="4" w:space="0" w:color="7E7E7E"/>
              <w:right w:val="single" w:sz="4" w:space="0" w:color="7E7E7E"/>
            </w:tcBorders>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(1,2%, 95% CI</w:t>
            </w:r>
          </w:p>
        </w:tc>
        <w:tc>
          <w:tcPr>
            <w:tcW w:w="1842"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(3,0%, 95% CI</w:t>
            </w:r>
          </w:p>
        </w:tc>
      </w:tr>
      <w:tr w:rsidR="004476F6" w:rsidRPr="00042A6C" w:rsidTr="004476F6">
        <w:trPr>
          <w:trHeight w:val="248"/>
        </w:trPr>
        <w:tc>
          <w:tcPr>
            <w:tcW w:w="5345" w:type="dxa"/>
            <w:vMerge/>
            <w:tcBorders>
              <w:left w:val="single" w:sz="4" w:space="0" w:color="7E7E7E"/>
              <w:bottom w:val="single" w:sz="4" w:space="0" w:color="7E7E7E"/>
              <w:right w:val="single" w:sz="4" w:space="0" w:color="7E7E7E"/>
            </w:tcBorders>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0,4% – 3,0%)</w:t>
            </w:r>
          </w:p>
        </w:tc>
        <w:tc>
          <w:tcPr>
            <w:tcW w:w="1842"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1,2% - 6,6%)</w:t>
            </w:r>
          </w:p>
        </w:tc>
      </w:tr>
      <w:tr w:rsidR="004476F6" w:rsidRPr="00042A6C" w:rsidTr="004476F6">
        <w:trPr>
          <w:trHeight w:val="257"/>
        </w:trPr>
        <w:tc>
          <w:tcPr>
            <w:tcW w:w="5345" w:type="dxa"/>
            <w:vMerge w:val="restart"/>
            <w:tcBorders>
              <w:top w:val="single" w:sz="4" w:space="0" w:color="7E7E7E"/>
              <w:left w:val="single" w:sz="4" w:space="0" w:color="7E7E7E"/>
              <w:right w:val="single" w:sz="4" w:space="0" w:color="7E7E7E"/>
            </w:tcBorders>
            <w:hideMark/>
          </w:tcPr>
          <w:p w:rsidR="004476F6" w:rsidRPr="00042A6C" w:rsidRDefault="004476F6" w:rsidP="00F55384">
            <w:pPr>
              <w:widowControl w:val="0"/>
              <w:autoSpaceDE w:val="0"/>
              <w:autoSpaceDN w:val="0"/>
              <w:spacing w:before="1"/>
              <w:ind w:left="102"/>
              <w:rPr>
                <w:sz w:val="22"/>
                <w:szCs w:val="22"/>
                <w:lang w:val="sr-Latn-ME"/>
              </w:rPr>
            </w:pPr>
            <w:r w:rsidRPr="00042A6C">
              <w:rPr>
                <w:sz w:val="22"/>
                <w:szCs w:val="22"/>
                <w:lang w:val="sr-Latn-ME"/>
              </w:rPr>
              <w:t xml:space="preserve">Kompozitna mjera: simptomatska rekurentna VTE + asimptomatsko pogoršanje na </w:t>
            </w:r>
            <w:r w:rsidR="00F55384" w:rsidRPr="00042A6C">
              <w:rPr>
                <w:sz w:val="22"/>
                <w:szCs w:val="22"/>
                <w:lang w:val="sr-Latn-ME"/>
              </w:rPr>
              <w:t>ponovljenom snimanju</w:t>
            </w:r>
          </w:p>
        </w:tc>
        <w:tc>
          <w:tcPr>
            <w:tcW w:w="1885"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5</w:t>
            </w:r>
          </w:p>
        </w:tc>
        <w:tc>
          <w:tcPr>
            <w:tcW w:w="1842"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6</w:t>
            </w:r>
          </w:p>
        </w:tc>
      </w:tr>
      <w:tr w:rsidR="004476F6" w:rsidRPr="00042A6C" w:rsidTr="004476F6">
        <w:trPr>
          <w:trHeight w:val="252"/>
        </w:trPr>
        <w:tc>
          <w:tcPr>
            <w:tcW w:w="5345" w:type="dxa"/>
            <w:vMerge/>
            <w:tcBorders>
              <w:left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(1,5%, 95% CI</w:t>
            </w:r>
          </w:p>
        </w:tc>
        <w:tc>
          <w:tcPr>
            <w:tcW w:w="1842"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(3,6%, 95% CI</w:t>
            </w:r>
          </w:p>
        </w:tc>
      </w:tr>
      <w:tr w:rsidR="004476F6" w:rsidRPr="00042A6C" w:rsidTr="004476F6">
        <w:trPr>
          <w:trHeight w:val="248"/>
        </w:trPr>
        <w:tc>
          <w:tcPr>
            <w:tcW w:w="5345" w:type="dxa"/>
            <w:vMerge/>
            <w:tcBorders>
              <w:left w:val="single" w:sz="4" w:space="0" w:color="7E7E7E"/>
              <w:bottom w:val="single" w:sz="4" w:space="0" w:color="7E7E7E"/>
              <w:right w:val="single" w:sz="4" w:space="0" w:color="7E7E7E"/>
            </w:tcBorders>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0,6% – 3,4%)</w:t>
            </w:r>
          </w:p>
        </w:tc>
        <w:tc>
          <w:tcPr>
            <w:tcW w:w="1842"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1,6% – 7,6%)</w:t>
            </w:r>
          </w:p>
        </w:tc>
      </w:tr>
      <w:tr w:rsidR="004476F6" w:rsidRPr="00042A6C" w:rsidTr="004476F6">
        <w:trPr>
          <w:trHeight w:val="257"/>
        </w:trPr>
        <w:tc>
          <w:tcPr>
            <w:tcW w:w="5345" w:type="dxa"/>
            <w:vMerge w:val="restart"/>
            <w:tcBorders>
              <w:top w:val="single" w:sz="4" w:space="0" w:color="7E7E7E"/>
              <w:left w:val="single" w:sz="4" w:space="0" w:color="7E7E7E"/>
              <w:right w:val="single" w:sz="4" w:space="0" w:color="7E7E7E"/>
            </w:tcBorders>
            <w:hideMark/>
          </w:tcPr>
          <w:p w:rsidR="004476F6" w:rsidRPr="00042A6C" w:rsidRDefault="004476F6" w:rsidP="00F55384">
            <w:pPr>
              <w:widowControl w:val="0"/>
              <w:autoSpaceDE w:val="0"/>
              <w:autoSpaceDN w:val="0"/>
              <w:spacing w:before="1"/>
              <w:ind w:left="102"/>
              <w:rPr>
                <w:sz w:val="22"/>
                <w:szCs w:val="22"/>
                <w:lang w:val="sr-Latn-ME"/>
              </w:rPr>
            </w:pPr>
            <w:r w:rsidRPr="00042A6C">
              <w:rPr>
                <w:sz w:val="22"/>
                <w:szCs w:val="22"/>
                <w:lang w:val="sr-Latn-ME"/>
              </w:rPr>
              <w:t xml:space="preserve">Kompozitna mjera: simptomatska rekurentna VTE + asimptomatsko pogoršanje + bez promjene na </w:t>
            </w:r>
            <w:r w:rsidR="00F55384" w:rsidRPr="00042A6C">
              <w:rPr>
                <w:sz w:val="22"/>
                <w:szCs w:val="22"/>
                <w:lang w:val="sr-Latn-ME"/>
              </w:rPr>
              <w:t>ponovljenom snimanju</w:t>
            </w:r>
          </w:p>
        </w:tc>
        <w:tc>
          <w:tcPr>
            <w:tcW w:w="1885"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21</w:t>
            </w:r>
          </w:p>
        </w:tc>
        <w:tc>
          <w:tcPr>
            <w:tcW w:w="1842"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19</w:t>
            </w:r>
          </w:p>
        </w:tc>
      </w:tr>
      <w:tr w:rsidR="004476F6" w:rsidRPr="00042A6C" w:rsidTr="004476F6">
        <w:trPr>
          <w:trHeight w:val="253"/>
        </w:trPr>
        <w:tc>
          <w:tcPr>
            <w:tcW w:w="5345" w:type="dxa"/>
            <w:vMerge/>
            <w:tcBorders>
              <w:left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(6,3%, 95% CI</w:t>
            </w:r>
          </w:p>
        </w:tc>
        <w:tc>
          <w:tcPr>
            <w:tcW w:w="1842"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(11,5%, 95% CI</w:t>
            </w:r>
          </w:p>
        </w:tc>
      </w:tr>
      <w:tr w:rsidR="004476F6" w:rsidRPr="00042A6C" w:rsidTr="004476F6">
        <w:trPr>
          <w:trHeight w:val="309"/>
        </w:trPr>
        <w:tc>
          <w:tcPr>
            <w:tcW w:w="5345" w:type="dxa"/>
            <w:vMerge/>
            <w:tcBorders>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4,0% – 9,2%)</w:t>
            </w:r>
          </w:p>
        </w:tc>
        <w:tc>
          <w:tcPr>
            <w:tcW w:w="1842"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7,3% – 17,4%)</w:t>
            </w:r>
          </w:p>
        </w:tc>
      </w:tr>
      <w:tr w:rsidR="004476F6" w:rsidRPr="00042A6C" w:rsidTr="004476F6">
        <w:trPr>
          <w:trHeight w:val="257"/>
        </w:trPr>
        <w:tc>
          <w:tcPr>
            <w:tcW w:w="5345" w:type="dxa"/>
            <w:vMerge w:val="restart"/>
            <w:tcBorders>
              <w:top w:val="single" w:sz="4" w:space="0" w:color="7E7E7E"/>
              <w:left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lastRenderedPageBreak/>
              <w:t>Normalizacija na ponovljenom snimanju</w:t>
            </w:r>
          </w:p>
        </w:tc>
        <w:tc>
          <w:tcPr>
            <w:tcW w:w="1885"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128</w:t>
            </w:r>
          </w:p>
        </w:tc>
        <w:tc>
          <w:tcPr>
            <w:tcW w:w="1842"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43</w:t>
            </w:r>
          </w:p>
        </w:tc>
      </w:tr>
      <w:tr w:rsidR="004476F6" w:rsidRPr="00042A6C" w:rsidTr="004476F6">
        <w:trPr>
          <w:trHeight w:val="253"/>
        </w:trPr>
        <w:tc>
          <w:tcPr>
            <w:tcW w:w="5345" w:type="dxa"/>
            <w:vMerge/>
            <w:tcBorders>
              <w:left w:val="single" w:sz="4" w:space="0" w:color="7E7E7E"/>
              <w:right w:val="single" w:sz="4" w:space="0" w:color="7E7E7E"/>
            </w:tcBorders>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(38,2%, 95% CI</w:t>
            </w:r>
          </w:p>
        </w:tc>
        <w:tc>
          <w:tcPr>
            <w:tcW w:w="1842"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(26,1%, 95% CI</w:t>
            </w:r>
          </w:p>
        </w:tc>
      </w:tr>
      <w:tr w:rsidR="004476F6" w:rsidRPr="00042A6C" w:rsidTr="004476F6">
        <w:trPr>
          <w:trHeight w:val="281"/>
        </w:trPr>
        <w:tc>
          <w:tcPr>
            <w:tcW w:w="5345" w:type="dxa"/>
            <w:vMerge/>
            <w:tcBorders>
              <w:left w:val="single" w:sz="4" w:space="0" w:color="7E7E7E"/>
              <w:bottom w:val="single" w:sz="4" w:space="0" w:color="7E7E7E"/>
              <w:right w:val="single" w:sz="4" w:space="0" w:color="7E7E7E"/>
            </w:tcBorders>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33,0% - 43,5%)</w:t>
            </w:r>
          </w:p>
        </w:tc>
        <w:tc>
          <w:tcPr>
            <w:tcW w:w="1842"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19,8% - 33,0%)</w:t>
            </w:r>
          </w:p>
        </w:tc>
      </w:tr>
      <w:tr w:rsidR="004476F6" w:rsidRPr="00042A6C" w:rsidTr="004476F6">
        <w:trPr>
          <w:trHeight w:val="257"/>
        </w:trPr>
        <w:tc>
          <w:tcPr>
            <w:tcW w:w="5345" w:type="dxa"/>
            <w:vMerge w:val="restart"/>
            <w:tcBorders>
              <w:top w:val="single" w:sz="4" w:space="0" w:color="7E7E7E"/>
              <w:left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Kompozitna mjera: simptomatska rekurentna VTE + veliko krvarenje (neto klinička korist)</w:t>
            </w:r>
          </w:p>
        </w:tc>
        <w:tc>
          <w:tcPr>
            <w:tcW w:w="1885"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4</w:t>
            </w:r>
          </w:p>
        </w:tc>
        <w:tc>
          <w:tcPr>
            <w:tcW w:w="1842"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7</w:t>
            </w:r>
          </w:p>
        </w:tc>
      </w:tr>
      <w:tr w:rsidR="004476F6" w:rsidRPr="00042A6C" w:rsidTr="004476F6">
        <w:trPr>
          <w:trHeight w:val="253"/>
        </w:trPr>
        <w:tc>
          <w:tcPr>
            <w:tcW w:w="5345" w:type="dxa"/>
            <w:vMerge/>
            <w:tcBorders>
              <w:left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(1,2%, 95% CI</w:t>
            </w:r>
          </w:p>
        </w:tc>
        <w:tc>
          <w:tcPr>
            <w:tcW w:w="1842"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(4,2%, 95% CI</w:t>
            </w:r>
          </w:p>
        </w:tc>
      </w:tr>
      <w:tr w:rsidR="004476F6" w:rsidRPr="00042A6C" w:rsidTr="004476F6">
        <w:trPr>
          <w:trHeight w:val="321"/>
        </w:trPr>
        <w:tc>
          <w:tcPr>
            <w:tcW w:w="5345" w:type="dxa"/>
            <w:vMerge/>
            <w:tcBorders>
              <w:left w:val="single" w:sz="4" w:space="0" w:color="7E7E7E"/>
              <w:bottom w:val="single" w:sz="4" w:space="0" w:color="7E7E7E"/>
              <w:right w:val="single" w:sz="4" w:space="0" w:color="7E7E7E"/>
            </w:tcBorders>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0,4% - 3,0%)</w:t>
            </w:r>
          </w:p>
        </w:tc>
        <w:tc>
          <w:tcPr>
            <w:tcW w:w="1842"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2,0% - 8,4%)</w:t>
            </w:r>
          </w:p>
        </w:tc>
      </w:tr>
      <w:tr w:rsidR="004476F6" w:rsidRPr="00042A6C" w:rsidTr="004476F6">
        <w:trPr>
          <w:trHeight w:val="256"/>
        </w:trPr>
        <w:tc>
          <w:tcPr>
            <w:tcW w:w="5345" w:type="dxa"/>
            <w:vMerge w:val="restart"/>
            <w:tcBorders>
              <w:top w:val="single" w:sz="4" w:space="0" w:color="7E7E7E"/>
              <w:left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Plućna embolija sa smrtnim ishodom ili bez smrtnog ishoda</w:t>
            </w:r>
          </w:p>
        </w:tc>
        <w:tc>
          <w:tcPr>
            <w:tcW w:w="1885"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w:t>
            </w:r>
          </w:p>
        </w:tc>
        <w:tc>
          <w:tcPr>
            <w:tcW w:w="1842"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w:t>
            </w:r>
          </w:p>
        </w:tc>
      </w:tr>
      <w:tr w:rsidR="004476F6" w:rsidRPr="00042A6C" w:rsidTr="004476F6">
        <w:trPr>
          <w:trHeight w:val="252"/>
        </w:trPr>
        <w:tc>
          <w:tcPr>
            <w:tcW w:w="5345" w:type="dxa"/>
            <w:vMerge/>
            <w:tcBorders>
              <w:left w:val="single" w:sz="4" w:space="0" w:color="7E7E7E"/>
              <w:right w:val="single" w:sz="4" w:space="0" w:color="7E7E7E"/>
            </w:tcBorders>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(0,3%, 95% CI</w:t>
            </w:r>
          </w:p>
        </w:tc>
        <w:tc>
          <w:tcPr>
            <w:tcW w:w="1842"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(0,6%, 95% CI</w:t>
            </w:r>
          </w:p>
        </w:tc>
      </w:tr>
      <w:tr w:rsidR="004476F6" w:rsidRPr="00042A6C" w:rsidTr="004476F6">
        <w:trPr>
          <w:trHeight w:val="335"/>
        </w:trPr>
        <w:tc>
          <w:tcPr>
            <w:tcW w:w="5345" w:type="dxa"/>
            <w:vMerge/>
            <w:tcBorders>
              <w:left w:val="single" w:sz="4" w:space="0" w:color="7E7E7E"/>
              <w:bottom w:val="single" w:sz="4" w:space="0" w:color="000000"/>
              <w:right w:val="single" w:sz="4" w:space="0" w:color="7E7E7E"/>
            </w:tcBorders>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000000"/>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0,0% – 1,6%)</w:t>
            </w:r>
          </w:p>
        </w:tc>
        <w:tc>
          <w:tcPr>
            <w:tcW w:w="1842" w:type="dxa"/>
            <w:tcBorders>
              <w:top w:val="nil"/>
              <w:left w:val="single" w:sz="4" w:space="0" w:color="7E7E7E"/>
              <w:bottom w:val="single" w:sz="4" w:space="0" w:color="000000"/>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0,0% – 3,1%)</w:t>
            </w:r>
          </w:p>
        </w:tc>
      </w:tr>
    </w:tbl>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w:t>
      </w:r>
      <w:r w:rsidRPr="00042A6C">
        <w:rPr>
          <w:bCs/>
          <w:sz w:val="22"/>
          <w:szCs w:val="22"/>
          <w:lang w:val="sr-Latn-ME"/>
        </w:rPr>
        <w:tab/>
        <w:t xml:space="preserve">FAS (engl. </w:t>
      </w:r>
      <w:r w:rsidRPr="00042A6C">
        <w:rPr>
          <w:bCs/>
          <w:i/>
          <w:iCs/>
          <w:sz w:val="22"/>
          <w:szCs w:val="22"/>
          <w:lang w:val="sr-Latn-ME"/>
        </w:rPr>
        <w:t>full analysis set</w:t>
      </w:r>
      <w:r w:rsidRPr="00042A6C">
        <w:rPr>
          <w:bCs/>
          <w:sz w:val="22"/>
          <w:szCs w:val="22"/>
          <w:lang w:val="sr-Latn-ME"/>
        </w:rPr>
        <w:t>) = potpuni skup podataka za analizu, sva djeca koja su bila randomizovana</w:t>
      </w:r>
    </w:p>
    <w:p w:rsidR="004476F6" w:rsidRPr="00042A6C" w:rsidRDefault="004476F6" w:rsidP="004476F6">
      <w:pPr>
        <w:tabs>
          <w:tab w:val="left" w:pos="540"/>
          <w:tab w:val="left" w:pos="569"/>
        </w:tabs>
        <w:jc w:val="both"/>
        <w:rPr>
          <w:bCs/>
          <w:sz w:val="22"/>
          <w:szCs w:val="22"/>
          <w:lang w:val="sr-Latn-ME"/>
        </w:rPr>
      </w:pPr>
    </w:p>
    <w:p w:rsidR="004B0614" w:rsidRPr="00042A6C" w:rsidRDefault="004476F6" w:rsidP="00D21C47">
      <w:pPr>
        <w:tabs>
          <w:tab w:val="left" w:pos="540"/>
          <w:tab w:val="left" w:pos="569"/>
        </w:tabs>
        <w:jc w:val="both"/>
        <w:rPr>
          <w:bCs/>
          <w:sz w:val="22"/>
          <w:szCs w:val="22"/>
          <w:lang w:val="sr-Latn-ME"/>
        </w:rPr>
      </w:pPr>
      <w:r w:rsidRPr="00042A6C">
        <w:rPr>
          <w:b/>
          <w:bCs/>
          <w:sz w:val="22"/>
          <w:szCs w:val="22"/>
          <w:lang w:val="sr-Latn-ME"/>
        </w:rPr>
        <w:t>Tabela 12: Rezultati za bezbjednost primjene na kraju glavnog razdoblja liječenja</w:t>
      </w:r>
    </w:p>
    <w:tbl>
      <w:tblPr>
        <w:tblW w:w="9072" w:type="dxa"/>
        <w:tblInd w:w="-5" w:type="dxa"/>
        <w:tblLayout w:type="fixed"/>
        <w:tblCellMar>
          <w:left w:w="0" w:type="dxa"/>
          <w:right w:w="0" w:type="dxa"/>
        </w:tblCellMar>
        <w:tblLook w:val="04A0" w:firstRow="1" w:lastRow="0" w:firstColumn="1" w:lastColumn="0" w:noHBand="0" w:noVBand="1"/>
      </w:tblPr>
      <w:tblGrid>
        <w:gridCol w:w="5345"/>
        <w:gridCol w:w="1885"/>
        <w:gridCol w:w="1842"/>
      </w:tblGrid>
      <w:tr w:rsidR="004476F6" w:rsidRPr="00042A6C" w:rsidTr="004476F6">
        <w:trPr>
          <w:trHeight w:val="506"/>
        </w:trPr>
        <w:tc>
          <w:tcPr>
            <w:tcW w:w="5345" w:type="dxa"/>
            <w:tcBorders>
              <w:top w:val="single" w:sz="4" w:space="0" w:color="7E7E7E"/>
              <w:left w:val="single" w:sz="4" w:space="0" w:color="7E7E7E"/>
              <w:bottom w:val="single" w:sz="4" w:space="0" w:color="7E7E7E"/>
              <w:right w:val="single" w:sz="4" w:space="0" w:color="7E7E7E"/>
            </w:tcBorders>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single" w:sz="4" w:space="0" w:color="7E7E7E"/>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b/>
                <w:bCs/>
                <w:sz w:val="22"/>
                <w:szCs w:val="22"/>
                <w:lang w:val="sr-Latn-ME"/>
              </w:rPr>
            </w:pPr>
            <w:r w:rsidRPr="00042A6C">
              <w:rPr>
                <w:b/>
                <w:bCs/>
                <w:sz w:val="22"/>
                <w:szCs w:val="22"/>
                <w:lang w:val="sr-Latn-ME"/>
              </w:rPr>
              <w:t>Rivaroksaban</w:t>
            </w:r>
          </w:p>
          <w:p w:rsidR="004476F6" w:rsidRPr="00042A6C" w:rsidRDefault="004476F6" w:rsidP="004476F6">
            <w:pPr>
              <w:widowControl w:val="0"/>
              <w:autoSpaceDE w:val="0"/>
              <w:autoSpaceDN w:val="0"/>
              <w:spacing w:before="1"/>
              <w:ind w:left="102"/>
              <w:rPr>
                <w:b/>
                <w:bCs/>
                <w:sz w:val="22"/>
                <w:szCs w:val="22"/>
                <w:lang w:val="sr-Latn-ME"/>
              </w:rPr>
            </w:pPr>
            <w:r w:rsidRPr="00042A6C">
              <w:rPr>
                <w:b/>
                <w:bCs/>
                <w:sz w:val="22"/>
                <w:szCs w:val="22"/>
                <w:lang w:val="sr-Latn-ME"/>
              </w:rPr>
              <w:t>N=329*</w:t>
            </w:r>
          </w:p>
        </w:tc>
        <w:tc>
          <w:tcPr>
            <w:tcW w:w="1842" w:type="dxa"/>
            <w:tcBorders>
              <w:top w:val="single" w:sz="4" w:space="0" w:color="7E7E7E"/>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b/>
                <w:bCs/>
                <w:sz w:val="22"/>
                <w:szCs w:val="22"/>
                <w:lang w:val="sr-Latn-ME"/>
              </w:rPr>
              <w:t>Komparator</w:t>
            </w:r>
          </w:p>
          <w:p w:rsidR="004476F6" w:rsidRPr="00042A6C" w:rsidRDefault="004476F6" w:rsidP="004476F6">
            <w:pPr>
              <w:widowControl w:val="0"/>
              <w:autoSpaceDE w:val="0"/>
              <w:autoSpaceDN w:val="0"/>
              <w:spacing w:before="1"/>
              <w:ind w:left="102"/>
              <w:rPr>
                <w:b/>
                <w:bCs/>
                <w:sz w:val="22"/>
                <w:szCs w:val="22"/>
                <w:lang w:val="sr-Latn-ME"/>
              </w:rPr>
            </w:pPr>
            <w:r w:rsidRPr="00042A6C">
              <w:rPr>
                <w:b/>
                <w:bCs/>
                <w:sz w:val="22"/>
                <w:szCs w:val="22"/>
                <w:lang w:val="sr-Latn-ME"/>
              </w:rPr>
              <w:t>N=162*</w:t>
            </w:r>
          </w:p>
        </w:tc>
      </w:tr>
      <w:tr w:rsidR="004476F6" w:rsidRPr="00042A6C" w:rsidTr="004476F6">
        <w:trPr>
          <w:trHeight w:val="255"/>
        </w:trPr>
        <w:tc>
          <w:tcPr>
            <w:tcW w:w="5345" w:type="dxa"/>
            <w:vMerge w:val="restart"/>
            <w:tcBorders>
              <w:top w:val="single" w:sz="4" w:space="0" w:color="7E7E7E"/>
              <w:left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Kompozitna mjera: veliko krvarenje + CRNMB (primarni ishod bezbjednosti primjene)</w:t>
            </w:r>
          </w:p>
        </w:tc>
        <w:tc>
          <w:tcPr>
            <w:tcW w:w="1885"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10</w:t>
            </w:r>
          </w:p>
        </w:tc>
        <w:tc>
          <w:tcPr>
            <w:tcW w:w="1842"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3</w:t>
            </w:r>
          </w:p>
        </w:tc>
      </w:tr>
      <w:tr w:rsidR="004476F6" w:rsidRPr="00042A6C" w:rsidTr="004476F6">
        <w:trPr>
          <w:trHeight w:val="252"/>
        </w:trPr>
        <w:tc>
          <w:tcPr>
            <w:tcW w:w="5345" w:type="dxa"/>
            <w:vMerge/>
            <w:tcBorders>
              <w:left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(3,0%, 95% CI</w:t>
            </w:r>
          </w:p>
        </w:tc>
        <w:tc>
          <w:tcPr>
            <w:tcW w:w="1842"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(1,9%, 95% CI</w:t>
            </w:r>
          </w:p>
        </w:tc>
      </w:tr>
      <w:tr w:rsidR="004476F6" w:rsidRPr="00042A6C" w:rsidTr="004476F6">
        <w:trPr>
          <w:trHeight w:val="248"/>
        </w:trPr>
        <w:tc>
          <w:tcPr>
            <w:tcW w:w="5345" w:type="dxa"/>
            <w:vMerge/>
            <w:tcBorders>
              <w:left w:val="single" w:sz="4" w:space="0" w:color="7E7E7E"/>
              <w:bottom w:val="single" w:sz="4" w:space="0" w:color="7E7E7E"/>
              <w:right w:val="single" w:sz="4" w:space="0" w:color="7E7E7E"/>
            </w:tcBorders>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1,6% - 5,5%)</w:t>
            </w:r>
          </w:p>
        </w:tc>
        <w:tc>
          <w:tcPr>
            <w:tcW w:w="1842"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0,5% - 5,3%)</w:t>
            </w:r>
          </w:p>
        </w:tc>
      </w:tr>
      <w:tr w:rsidR="004476F6" w:rsidRPr="00042A6C" w:rsidTr="004476F6">
        <w:trPr>
          <w:trHeight w:val="257"/>
        </w:trPr>
        <w:tc>
          <w:tcPr>
            <w:tcW w:w="5345" w:type="dxa"/>
            <w:vMerge w:val="restart"/>
            <w:tcBorders>
              <w:top w:val="single" w:sz="4" w:space="0" w:color="7E7E7E"/>
              <w:left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Veliko krvarenje</w:t>
            </w:r>
          </w:p>
        </w:tc>
        <w:tc>
          <w:tcPr>
            <w:tcW w:w="1885"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0</w:t>
            </w:r>
          </w:p>
        </w:tc>
        <w:tc>
          <w:tcPr>
            <w:tcW w:w="1842" w:type="dxa"/>
            <w:tcBorders>
              <w:top w:val="single" w:sz="4" w:space="0" w:color="7E7E7E"/>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2</w:t>
            </w:r>
          </w:p>
        </w:tc>
      </w:tr>
      <w:tr w:rsidR="004476F6" w:rsidRPr="00042A6C" w:rsidTr="004476F6">
        <w:trPr>
          <w:trHeight w:val="252"/>
        </w:trPr>
        <w:tc>
          <w:tcPr>
            <w:tcW w:w="5345" w:type="dxa"/>
            <w:vMerge/>
            <w:tcBorders>
              <w:left w:val="single" w:sz="4" w:space="0" w:color="7E7E7E"/>
              <w:right w:val="single" w:sz="4" w:space="0" w:color="7E7E7E"/>
            </w:tcBorders>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(0,0%, 95% CI</w:t>
            </w:r>
          </w:p>
        </w:tc>
        <w:tc>
          <w:tcPr>
            <w:tcW w:w="1842" w:type="dxa"/>
            <w:tcBorders>
              <w:top w:val="nil"/>
              <w:left w:val="single" w:sz="4" w:space="0" w:color="7E7E7E"/>
              <w:bottom w:val="nil"/>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(1,2%, 95% CI</w:t>
            </w:r>
          </w:p>
        </w:tc>
      </w:tr>
      <w:tr w:rsidR="004476F6" w:rsidRPr="00042A6C" w:rsidTr="004476F6">
        <w:trPr>
          <w:trHeight w:val="248"/>
        </w:trPr>
        <w:tc>
          <w:tcPr>
            <w:tcW w:w="5345" w:type="dxa"/>
            <w:vMerge/>
            <w:tcBorders>
              <w:left w:val="single" w:sz="4" w:space="0" w:color="7E7E7E"/>
              <w:bottom w:val="single" w:sz="4" w:space="0" w:color="7E7E7E"/>
              <w:right w:val="single" w:sz="4" w:space="0" w:color="7E7E7E"/>
            </w:tcBorders>
          </w:tcPr>
          <w:p w:rsidR="004476F6" w:rsidRPr="00042A6C" w:rsidRDefault="004476F6" w:rsidP="004476F6">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0,0% - 1,1%)</w:t>
            </w:r>
          </w:p>
        </w:tc>
        <w:tc>
          <w:tcPr>
            <w:tcW w:w="1842" w:type="dxa"/>
            <w:tcBorders>
              <w:top w:val="nil"/>
              <w:left w:val="single" w:sz="4" w:space="0" w:color="7E7E7E"/>
              <w:bottom w:val="single" w:sz="4" w:space="0" w:color="7E7E7E"/>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0,2% - 4,3%)</w:t>
            </w:r>
          </w:p>
        </w:tc>
      </w:tr>
      <w:tr w:rsidR="004476F6" w:rsidRPr="00042A6C" w:rsidTr="004476F6">
        <w:trPr>
          <w:trHeight w:val="252"/>
        </w:trPr>
        <w:tc>
          <w:tcPr>
            <w:tcW w:w="5345" w:type="dxa"/>
            <w:tcBorders>
              <w:top w:val="single" w:sz="4" w:space="0" w:color="7E7E7E"/>
              <w:left w:val="single" w:sz="4" w:space="0" w:color="7E7E7E"/>
              <w:bottom w:val="single" w:sz="4" w:space="0" w:color="000000"/>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Bilo koje krvarenje nastalo tokom liječenja</w:t>
            </w:r>
          </w:p>
        </w:tc>
        <w:tc>
          <w:tcPr>
            <w:tcW w:w="1885" w:type="dxa"/>
            <w:tcBorders>
              <w:top w:val="single" w:sz="4" w:space="0" w:color="7E7E7E"/>
              <w:left w:val="single" w:sz="4" w:space="0" w:color="7E7E7E"/>
              <w:bottom w:val="single" w:sz="4" w:space="0" w:color="000000"/>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119 (36,2%)</w:t>
            </w:r>
          </w:p>
        </w:tc>
        <w:tc>
          <w:tcPr>
            <w:tcW w:w="1842" w:type="dxa"/>
            <w:tcBorders>
              <w:top w:val="single" w:sz="4" w:space="0" w:color="7E7E7E"/>
              <w:left w:val="single" w:sz="4" w:space="0" w:color="7E7E7E"/>
              <w:bottom w:val="single" w:sz="4" w:space="0" w:color="000000"/>
              <w:right w:val="single" w:sz="4" w:space="0" w:color="7E7E7E"/>
            </w:tcBorders>
            <w:hideMark/>
          </w:tcPr>
          <w:p w:rsidR="004476F6" w:rsidRPr="00042A6C" w:rsidRDefault="004476F6" w:rsidP="004476F6">
            <w:pPr>
              <w:widowControl w:val="0"/>
              <w:autoSpaceDE w:val="0"/>
              <w:autoSpaceDN w:val="0"/>
              <w:spacing w:before="1"/>
              <w:ind w:left="102"/>
              <w:rPr>
                <w:sz w:val="22"/>
                <w:szCs w:val="22"/>
                <w:lang w:val="sr-Latn-ME"/>
              </w:rPr>
            </w:pPr>
            <w:r w:rsidRPr="00042A6C">
              <w:rPr>
                <w:sz w:val="22"/>
                <w:szCs w:val="22"/>
                <w:lang w:val="sr-Latn-ME"/>
              </w:rPr>
              <w:t>45 (27,8%)</w:t>
            </w:r>
          </w:p>
        </w:tc>
      </w:tr>
    </w:tbl>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w:t>
      </w:r>
      <w:r w:rsidRPr="00042A6C">
        <w:rPr>
          <w:bCs/>
          <w:sz w:val="22"/>
          <w:szCs w:val="22"/>
          <w:lang w:val="sr-Latn-ME"/>
        </w:rPr>
        <w:tab/>
        <w:t xml:space="preserve">SAF (engl. </w:t>
      </w:r>
      <w:r w:rsidRPr="00042A6C">
        <w:rPr>
          <w:bCs/>
          <w:i/>
          <w:sz w:val="22"/>
          <w:szCs w:val="22"/>
          <w:lang w:val="sr-Latn-ME"/>
        </w:rPr>
        <w:t>Safety Analysis Set</w:t>
      </w:r>
      <w:r w:rsidRPr="00042A6C">
        <w:rPr>
          <w:bCs/>
          <w:sz w:val="22"/>
          <w:szCs w:val="22"/>
          <w:lang w:val="sr-Latn-ME"/>
        </w:rPr>
        <w:t>) = skup podataka za analizu bezbjednosti primjene, sva djeca koja su bila randomizovana i primila najmanje 1 dozu ispitivanog lijeka</w:t>
      </w:r>
      <w:r w:rsidR="00647F27" w:rsidRPr="00042A6C">
        <w:rPr>
          <w:bCs/>
          <w:sz w:val="22"/>
          <w:szCs w:val="22"/>
          <w:lang w:val="sr-Latn-ME"/>
        </w:rPr>
        <w:t>.</w:t>
      </w:r>
    </w:p>
    <w:p w:rsidR="00E02EDE" w:rsidRPr="00042A6C" w:rsidRDefault="00E02EDE" w:rsidP="00480FB1">
      <w:pPr>
        <w:tabs>
          <w:tab w:val="left" w:pos="540"/>
          <w:tab w:val="left" w:pos="569"/>
        </w:tabs>
        <w:rPr>
          <w:b/>
          <w:bCs/>
          <w:sz w:val="22"/>
          <w:szCs w:val="22"/>
          <w:lang w:val="sr-Latn-ME"/>
        </w:rPr>
      </w:pP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Profil efikasnosti i bezbjednosti primjene rivaroksabana u pedijatrijskoj populaciji sa VTE bio je umnogome sličan onome kod odrasle populacije sa DVT/PE, međutim, odnos ispitanika sa bilo kojim krvarenjem bio je veći u pedijatrijskoj populaciji sa VTE, u poređenju sa odraslom populacijom sa DVT/PE.</w:t>
      </w:r>
    </w:p>
    <w:p w:rsidR="004476F6" w:rsidRPr="00042A6C" w:rsidRDefault="004476F6" w:rsidP="00480FB1">
      <w:pPr>
        <w:tabs>
          <w:tab w:val="left" w:pos="540"/>
          <w:tab w:val="left" w:pos="569"/>
        </w:tabs>
        <w:rPr>
          <w:b/>
          <w:bCs/>
          <w:sz w:val="22"/>
          <w:szCs w:val="22"/>
          <w:lang w:val="sr-Latn-ME"/>
        </w:rPr>
      </w:pPr>
    </w:p>
    <w:p w:rsidR="004476F6" w:rsidRPr="00042A6C" w:rsidRDefault="004476F6" w:rsidP="004476F6">
      <w:pPr>
        <w:tabs>
          <w:tab w:val="left" w:pos="540"/>
          <w:tab w:val="left" w:pos="569"/>
        </w:tabs>
        <w:jc w:val="both"/>
        <w:rPr>
          <w:bCs/>
          <w:sz w:val="22"/>
          <w:szCs w:val="22"/>
          <w:lang w:val="sr-Latn-ME"/>
        </w:rPr>
      </w:pPr>
      <w:r w:rsidRPr="00042A6C">
        <w:rPr>
          <w:bCs/>
          <w:sz w:val="22"/>
          <w:szCs w:val="22"/>
          <w:u w:val="single"/>
          <w:lang w:val="sr-Latn-ME"/>
        </w:rPr>
        <w:t>Pacijenti sa visokorizičnim trostruko pozitivnim antifosfolipidnim sindromom</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 xml:space="preserve">U randomizovanoj, multicentričnoj otvorenoj studiji sponzorisanoj od strane ispitivača, sa </w:t>
      </w:r>
      <w:r w:rsidR="00100527" w:rsidRPr="00042A6C">
        <w:rPr>
          <w:bCs/>
          <w:sz w:val="22"/>
          <w:szCs w:val="22"/>
          <w:lang w:val="sr-Latn-ME"/>
        </w:rPr>
        <w:t>za</w:t>
      </w:r>
      <w:r w:rsidRPr="00042A6C">
        <w:rPr>
          <w:bCs/>
          <w:sz w:val="22"/>
          <w:szCs w:val="22"/>
          <w:lang w:val="sr-Latn-ME"/>
        </w:rPr>
        <w:t>slijep</w:t>
      </w:r>
      <w:r w:rsidR="00100527" w:rsidRPr="00042A6C">
        <w:rPr>
          <w:bCs/>
          <w:sz w:val="22"/>
          <w:szCs w:val="22"/>
          <w:lang w:val="sr-Latn-ME"/>
        </w:rPr>
        <w:t>ljen</w:t>
      </w:r>
      <w:r w:rsidRPr="00042A6C">
        <w:rPr>
          <w:bCs/>
          <w:sz w:val="22"/>
          <w:szCs w:val="22"/>
          <w:lang w:val="sr-Latn-ME"/>
        </w:rPr>
        <w:t>om procjenom mjera ishoda, rivaroksaban je upoređen sa  varfarinom  kod  pacijenata  sa  anamnezom  tromboze kojima je dijagnostikovan antifosfolipidni sindrom tako da imaju visoki rizik od tromboembolijskih događaja (pozitivni na sva tri testa za antifosfolipidni sindrom: lupus antikoagulans, antikardiolipinska antitijela i anti-beta 2-glikoprotein-I antitijela). Studija je nakon uključivanja 120 pacijenata završena prijevremeno zbog velikog broja događaja u grupi koja je primala rivaroksaban. Srednja vrijednost perioda praćenja iznosila je 569 dana. U grupu u kojoj su pacijenti primali 20 mg rivaroksabana randomizovano je 59 ispitanika (15 mg kod pacijenata sa klirensom kreatinina (CrCl) &lt; 50 ml/min), a u grupu koja je primala varfarin 61 pacijent (INR 2,0 – 3,0). Tromboembolijski događaji pojavili su se kod 12% pacijenata randomizovanih u grupu koja je primala rivaroksaban (4 ishemijska moždana udara i 3 infarkta miokarda). Kod pacijenata randomizovanih u grupu koja je primala varfarin nije bilo prijavljenih događaja. Kod 4 pacijenta (7%) iz grupe koja je primala rivaroksaban i 2 pacijenta (3 %) iz grupe koja je primala varfarin došlo je do obilnog krvarenja.</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sz w:val="22"/>
          <w:szCs w:val="22"/>
          <w:lang w:val="sr-Latn-ME"/>
        </w:rPr>
      </w:pPr>
      <w:r w:rsidRPr="00042A6C">
        <w:rPr>
          <w:bCs/>
          <w:sz w:val="22"/>
          <w:szCs w:val="22"/>
          <w:u w:val="single"/>
          <w:lang w:val="sr-Latn-ME"/>
        </w:rPr>
        <w:t>Pedijatrijska populacija</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 xml:space="preserve">Evropska agencija za ljekove je odobrila izostavljanje podnošenja rezultata studija sa rivaroksabanom u svim podgrupama pedijatrijske populacije za prevenciju tromboembolijskih događaja (vidjeti </w:t>
      </w:r>
      <w:r w:rsidR="00100527" w:rsidRPr="00042A6C">
        <w:rPr>
          <w:bCs/>
          <w:sz w:val="22"/>
          <w:szCs w:val="22"/>
          <w:lang w:val="sr-Latn-ME"/>
        </w:rPr>
        <w:t xml:space="preserve">dio </w:t>
      </w:r>
      <w:r w:rsidRPr="00042A6C">
        <w:rPr>
          <w:bCs/>
          <w:sz w:val="22"/>
          <w:szCs w:val="22"/>
          <w:lang w:val="sr-Latn-ME"/>
        </w:rPr>
        <w:t>4.2 za informacije o upotrebi u pedijatriji).</w:t>
      </w:r>
    </w:p>
    <w:p w:rsidR="004476F6" w:rsidRPr="00042A6C" w:rsidRDefault="004476F6" w:rsidP="00480FB1">
      <w:pPr>
        <w:tabs>
          <w:tab w:val="left" w:pos="540"/>
          <w:tab w:val="left" w:pos="569"/>
        </w:tabs>
        <w:rPr>
          <w:b/>
          <w:bCs/>
          <w:sz w:val="22"/>
          <w:szCs w:val="22"/>
          <w:lang w:val="sr-Latn-ME"/>
        </w:rPr>
      </w:pPr>
    </w:p>
    <w:p w:rsidR="0072020E" w:rsidRPr="00042A6C" w:rsidRDefault="0072020E" w:rsidP="00480FB1">
      <w:pPr>
        <w:tabs>
          <w:tab w:val="left" w:pos="540"/>
          <w:tab w:val="left" w:pos="569"/>
        </w:tabs>
        <w:rPr>
          <w:b/>
          <w:bCs/>
          <w:sz w:val="22"/>
          <w:szCs w:val="22"/>
          <w:lang w:val="sr-Latn-ME"/>
        </w:rPr>
      </w:pPr>
      <w:r w:rsidRPr="00042A6C">
        <w:rPr>
          <w:b/>
          <w:bCs/>
          <w:sz w:val="22"/>
          <w:szCs w:val="22"/>
          <w:lang w:val="sr-Latn-ME"/>
        </w:rPr>
        <w:t xml:space="preserve">5.2. </w:t>
      </w:r>
      <w:r w:rsidR="00480FB1" w:rsidRPr="00042A6C">
        <w:rPr>
          <w:b/>
          <w:bCs/>
          <w:sz w:val="22"/>
          <w:szCs w:val="22"/>
          <w:lang w:val="sr-Latn-ME"/>
        </w:rPr>
        <w:tab/>
      </w:r>
      <w:r w:rsidRPr="00042A6C">
        <w:rPr>
          <w:b/>
          <w:bCs/>
          <w:sz w:val="22"/>
          <w:szCs w:val="22"/>
          <w:lang w:val="sr-Latn-ME"/>
        </w:rPr>
        <w:t>Farmakokinetički podaci</w:t>
      </w:r>
      <w:r w:rsidR="003A7059" w:rsidRPr="00042A6C">
        <w:rPr>
          <w:b/>
          <w:bCs/>
          <w:sz w:val="22"/>
          <w:szCs w:val="22"/>
          <w:lang w:val="sr-Latn-ME"/>
        </w:rPr>
        <w:t xml:space="preserve"> </w:t>
      </w:r>
    </w:p>
    <w:p w:rsidR="0072020E" w:rsidRPr="00042A6C" w:rsidRDefault="0072020E" w:rsidP="00480FB1">
      <w:pPr>
        <w:tabs>
          <w:tab w:val="left" w:pos="540"/>
          <w:tab w:val="left" w:pos="569"/>
        </w:tabs>
        <w:rPr>
          <w:bCs/>
          <w:sz w:val="22"/>
          <w:szCs w:val="22"/>
          <w:lang w:val="sr-Latn-ME"/>
        </w:rPr>
      </w:pPr>
    </w:p>
    <w:p w:rsidR="004476F6" w:rsidRPr="00042A6C" w:rsidRDefault="004476F6" w:rsidP="004476F6">
      <w:pPr>
        <w:tabs>
          <w:tab w:val="left" w:pos="540"/>
          <w:tab w:val="left" w:pos="569"/>
        </w:tabs>
        <w:jc w:val="both"/>
        <w:rPr>
          <w:bCs/>
          <w:sz w:val="22"/>
          <w:szCs w:val="22"/>
          <w:u w:val="single"/>
          <w:lang w:val="sr-Latn-ME"/>
        </w:rPr>
      </w:pPr>
      <w:r w:rsidRPr="00042A6C">
        <w:rPr>
          <w:bCs/>
          <w:sz w:val="22"/>
          <w:szCs w:val="22"/>
          <w:u w:val="single"/>
          <w:lang w:val="sr-Latn-ME"/>
        </w:rPr>
        <w:t>Resorpcija</w:t>
      </w:r>
    </w:p>
    <w:p w:rsidR="004476F6" w:rsidRPr="00042A6C" w:rsidRDefault="004476F6" w:rsidP="004476F6">
      <w:pPr>
        <w:tabs>
          <w:tab w:val="left" w:pos="540"/>
          <w:tab w:val="left" w:pos="569"/>
        </w:tabs>
        <w:jc w:val="both"/>
        <w:rPr>
          <w:bCs/>
          <w:sz w:val="22"/>
          <w:szCs w:val="22"/>
          <w:lang w:val="sr-Latn-ME"/>
        </w:rPr>
      </w:pPr>
      <w:r w:rsidRPr="004C49DB">
        <w:rPr>
          <w:bCs/>
          <w:sz w:val="22"/>
          <w:szCs w:val="22"/>
          <w:lang w:val="sr-Latn-ME"/>
        </w:rPr>
        <w:t>Sl</w:t>
      </w:r>
      <w:r w:rsidR="00CE3ACA" w:rsidRPr="004C49DB">
        <w:rPr>
          <w:bCs/>
          <w:sz w:val="22"/>
          <w:szCs w:val="22"/>
          <w:lang w:val="sr-Latn-ME"/>
        </w:rPr>
        <w:t>j</w:t>
      </w:r>
      <w:r w:rsidRPr="004C49DB">
        <w:rPr>
          <w:bCs/>
          <w:sz w:val="22"/>
          <w:szCs w:val="22"/>
          <w:lang w:val="sr-Latn-ME"/>
        </w:rPr>
        <w:t>edeće informacije zasnivaju se na podacima dobijenim kod odraslih pacijenata.</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lastRenderedPageBreak/>
        <w:t>Rivaroksaban se brzo resorbuje</w:t>
      </w:r>
      <w:r w:rsidR="00CE3ACA" w:rsidRPr="00042A6C">
        <w:rPr>
          <w:bCs/>
          <w:sz w:val="22"/>
          <w:szCs w:val="22"/>
          <w:lang w:val="sr-Latn-ME"/>
        </w:rPr>
        <w:t>,</w:t>
      </w:r>
      <w:r w:rsidRPr="00042A6C">
        <w:rPr>
          <w:bCs/>
          <w:sz w:val="22"/>
          <w:szCs w:val="22"/>
          <w:lang w:val="sr-Latn-ME"/>
        </w:rPr>
        <w:t xml:space="preserve"> sa maksimalnom koncentracijom (C</w:t>
      </w:r>
      <w:r w:rsidRPr="00042A6C">
        <w:rPr>
          <w:bCs/>
          <w:sz w:val="22"/>
          <w:szCs w:val="22"/>
          <w:vertAlign w:val="subscript"/>
          <w:lang w:val="sr-Latn-ME"/>
        </w:rPr>
        <w:t>max</w:t>
      </w:r>
      <w:r w:rsidRPr="00042A6C">
        <w:rPr>
          <w:bCs/>
          <w:sz w:val="22"/>
          <w:szCs w:val="22"/>
          <w:lang w:val="sr-Latn-ME"/>
        </w:rPr>
        <w:t>) koja se postiže 2-4 sata poslije unosa tablete.</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Resorpcija rivaroksabana nakon oralne primjene je skoro potpuna i bioraspoloživost nakon oralne primjene je velika (80-100%) za tablete od 2,5 mg i 10 mg, bez obzira na uslove - natašte/poslije obroka. Unošenje lijeka uz obrok ne utiče na vrijednosti PIK ili C</w:t>
      </w:r>
      <w:r w:rsidRPr="00042A6C">
        <w:rPr>
          <w:bCs/>
          <w:sz w:val="22"/>
          <w:szCs w:val="22"/>
          <w:vertAlign w:val="subscript"/>
          <w:lang w:val="sr-Latn-ME"/>
        </w:rPr>
        <w:t>max</w:t>
      </w:r>
      <w:r w:rsidRPr="00042A6C">
        <w:rPr>
          <w:bCs/>
          <w:sz w:val="22"/>
          <w:szCs w:val="22"/>
          <w:lang w:val="sr-Latn-ME"/>
        </w:rPr>
        <w:t xml:space="preserve"> rivaroksabana u dozi od 2,5 i 10 mg.</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Usljed smanjenog obima resorpcije ustanovljena je oralna bioraspoloživost od 66% za tabletu od 20 mg u uslovima uzimanja natašte. Kada se rivaroksaban 20 mg tablete uzimaju zajedno sa hranom</w:t>
      </w:r>
      <w:r w:rsidR="00CE3ACA" w:rsidRPr="00042A6C">
        <w:rPr>
          <w:bCs/>
          <w:sz w:val="22"/>
          <w:szCs w:val="22"/>
          <w:lang w:val="sr-Latn-ME"/>
        </w:rPr>
        <w:t>,</w:t>
      </w:r>
      <w:r w:rsidRPr="00042A6C">
        <w:rPr>
          <w:bCs/>
          <w:sz w:val="22"/>
          <w:szCs w:val="22"/>
          <w:lang w:val="sr-Latn-ME"/>
        </w:rPr>
        <w:t xml:space="preserve"> uočeno je povećanje prosječne vrijednosti za PIK od 39%</w:t>
      </w:r>
      <w:r w:rsidR="00CE3ACA" w:rsidRPr="00042A6C">
        <w:rPr>
          <w:bCs/>
          <w:sz w:val="22"/>
          <w:szCs w:val="22"/>
          <w:lang w:val="sr-Latn-ME"/>
        </w:rPr>
        <w:t>,</w:t>
      </w:r>
      <w:r w:rsidRPr="00042A6C">
        <w:rPr>
          <w:bCs/>
          <w:sz w:val="22"/>
          <w:szCs w:val="22"/>
          <w:lang w:val="sr-Latn-ME"/>
        </w:rPr>
        <w:t xml:space="preserve"> u poređenju sa uzimanjem tableta natašte, ukazujući na gotovo potpunu resorpciju i visoku oralnu bioraspoloživost. Rivaroksaban tablete od 15 mg i 20 mg treba uzimati uz obrok (vidjeti </w:t>
      </w:r>
      <w:r w:rsidR="00CE3ACA" w:rsidRPr="00042A6C">
        <w:rPr>
          <w:bCs/>
          <w:sz w:val="22"/>
          <w:szCs w:val="22"/>
          <w:lang w:val="sr-Latn-ME"/>
        </w:rPr>
        <w:t xml:space="preserve">dio </w:t>
      </w:r>
      <w:r w:rsidRPr="00042A6C">
        <w:rPr>
          <w:bCs/>
          <w:sz w:val="22"/>
          <w:szCs w:val="22"/>
          <w:lang w:val="sr-Latn-ME"/>
        </w:rPr>
        <w:t>4.2). Farmakokinetika rivaroksabana je približno linearna u dozama do oko 15 mg jednom dnevno u uslovima natašte. Rivaroksaban tablete od 10 mg, 15 mg i 20 mg uzete poslije obroka su pokazale proporcionalnost sa dozom. U većim dozama, resorpcija rivaroksabana je ograničena brzinom rastvaranja tablete, smanjenom bioraspoloživošću i smanjenjem brzine resorpcije sa povećanjem doze.</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Varijabilnost farmakokinetike rivaroksabana je umjerena sa interindividualnom varijabilnošću između pojedinaca (CV%) u rasponu od 30% do 40%.</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Resorpcija rivaroksabana zavisi od mjesta njegovog oslobađanja u gastrointestinalnom traktu. Smanjenje od 29% i 56% vrijednosti PIK, odnosno vrijednosti C</w:t>
      </w:r>
      <w:r w:rsidRPr="00042A6C">
        <w:rPr>
          <w:bCs/>
          <w:sz w:val="22"/>
          <w:szCs w:val="22"/>
          <w:vertAlign w:val="subscript"/>
          <w:lang w:val="sr-Latn-ME"/>
        </w:rPr>
        <w:t>max</w:t>
      </w:r>
      <w:r w:rsidRPr="00042A6C">
        <w:rPr>
          <w:bCs/>
          <w:sz w:val="22"/>
          <w:szCs w:val="22"/>
          <w:lang w:val="sr-Latn-ME"/>
        </w:rPr>
        <w:t xml:space="preserve"> je uočeno u poređenju tablete i rivoraksaban granula koje se oslobađaju u proksimalnom dijelu tankog crijeva. Izloženost je dalje smanjena kada se rivoraksaban oslobađa u distalnom dijelu tankog crijeva ili u početnom dijelu kolona. Zbog toga, primjenu rivaroksabana distalno od želuca treba izb</w:t>
      </w:r>
      <w:r w:rsidR="00E20CFB" w:rsidRPr="00042A6C">
        <w:rPr>
          <w:bCs/>
          <w:sz w:val="22"/>
          <w:szCs w:val="22"/>
          <w:lang w:val="sr-Latn-ME"/>
        </w:rPr>
        <w:t>j</w:t>
      </w:r>
      <w:r w:rsidRPr="00042A6C">
        <w:rPr>
          <w:bCs/>
          <w:sz w:val="22"/>
          <w:szCs w:val="22"/>
          <w:lang w:val="sr-Latn-ME"/>
        </w:rPr>
        <w:t>egavati, jer to vodi smanjenoj resorpciji i izloženosti rivaroksabanu. Bioraspoloživost (izražena preko vrijednosti PIK i C</w:t>
      </w:r>
      <w:r w:rsidRPr="004C49DB">
        <w:rPr>
          <w:bCs/>
          <w:sz w:val="22"/>
          <w:szCs w:val="22"/>
          <w:vertAlign w:val="subscript"/>
          <w:lang w:val="sr-Latn-ME"/>
        </w:rPr>
        <w:t>max</w:t>
      </w:r>
      <w:r w:rsidRPr="00042A6C">
        <w:rPr>
          <w:bCs/>
          <w:sz w:val="22"/>
          <w:szCs w:val="22"/>
          <w:lang w:val="sr-Latn-ME"/>
        </w:rPr>
        <w:t>) je uporediva za 20 mg rivaroksabana uzetog oralno kao usitnjena tableta pomiješana sa kašom od jabuke, ili suspendovanog u vodi i uzetog pomoću gastrične sonde, nakon čega je unijet tečni obrok, u odnosu na primjenu cijele tablete. Oslanjajući se na dozno-proporcionalni farmakokinetički profil rivaroksabana, rezultati bioraspoloživosti iz ove studije se mogu prim</w:t>
      </w:r>
      <w:r w:rsidR="00CE3ACA" w:rsidRPr="00042A6C">
        <w:rPr>
          <w:bCs/>
          <w:sz w:val="22"/>
          <w:szCs w:val="22"/>
          <w:lang w:val="sr-Latn-ME"/>
        </w:rPr>
        <w:t>i</w:t>
      </w:r>
      <w:r w:rsidRPr="00042A6C">
        <w:rPr>
          <w:bCs/>
          <w:sz w:val="22"/>
          <w:szCs w:val="22"/>
          <w:lang w:val="sr-Latn-ME"/>
        </w:rPr>
        <w:t>jeniti i na niže doze rivaroksabana.</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i/>
          <w:iCs/>
          <w:sz w:val="22"/>
          <w:szCs w:val="22"/>
          <w:lang w:val="sr-Latn-ME"/>
        </w:rPr>
      </w:pPr>
      <w:r w:rsidRPr="00042A6C">
        <w:rPr>
          <w:bCs/>
          <w:i/>
          <w:iCs/>
          <w:sz w:val="22"/>
          <w:szCs w:val="22"/>
          <w:lang w:val="sr-Latn-ME"/>
        </w:rPr>
        <w:t>Pedijatrijska populacija</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 xml:space="preserve">Djeca su </w:t>
      </w:r>
      <w:r w:rsidR="00BD56F0" w:rsidRPr="00042A6C">
        <w:rPr>
          <w:bCs/>
          <w:sz w:val="22"/>
          <w:szCs w:val="22"/>
          <w:lang w:val="sr-Latn-ME"/>
        </w:rPr>
        <w:t xml:space="preserve">primala </w:t>
      </w:r>
      <w:r w:rsidRPr="00042A6C">
        <w:rPr>
          <w:bCs/>
          <w:sz w:val="22"/>
          <w:szCs w:val="22"/>
          <w:lang w:val="sr-Latn-ME"/>
        </w:rPr>
        <w:t>rivaroksaban u tableti ili oralnoj suspenziji tokom ili neposredno nakon dohrane ili uzimanja hrane</w:t>
      </w:r>
      <w:r w:rsidR="00BD56F0" w:rsidRPr="00042A6C">
        <w:rPr>
          <w:bCs/>
          <w:sz w:val="22"/>
          <w:szCs w:val="22"/>
          <w:lang w:val="sr-Latn-ME"/>
        </w:rPr>
        <w:t>,</w:t>
      </w:r>
      <w:r w:rsidRPr="00042A6C">
        <w:rPr>
          <w:bCs/>
          <w:sz w:val="22"/>
          <w:szCs w:val="22"/>
          <w:lang w:val="sr-Latn-ME"/>
        </w:rPr>
        <w:t xml:space="preserve"> kao i uz odgovarajuću količinu tečnosti, kako bi se osiguralo pouzdano doziranje kod djece. Kao i kod odraslih, kod djece se rivaroksaban brzo resorbuje nakon oralne primjene u obliku tablete ili granula za oralnu suspenziju. Nije zabilježena nikakva razlika u brzini resorpcije ili opsegu resorpcije između formulacija u obliku tablete i granula za oralnu suspenziju. Nema dostupnih podataka o farmakokinetici nakon intravenske primjene kod djece, tako da nije poznata apsolutna bioraspoloživost rivaroksabana kod djece. Pronađeno je smanjenje relativne bioraspoloživosti zbog povećanja doza (u mg/kg tjelesne težin</w:t>
      </w:r>
      <w:r w:rsidR="00E20CFB" w:rsidRPr="00042A6C">
        <w:rPr>
          <w:bCs/>
          <w:sz w:val="22"/>
          <w:szCs w:val="22"/>
          <w:lang w:val="sr-Latn-ME"/>
        </w:rPr>
        <w:t>e), što upućuje na to da za veće</w:t>
      </w:r>
      <w:r w:rsidRPr="00042A6C">
        <w:rPr>
          <w:bCs/>
          <w:sz w:val="22"/>
          <w:szCs w:val="22"/>
          <w:lang w:val="sr-Latn-ME"/>
        </w:rPr>
        <w:t xml:space="preserve"> doze postoji ograničenje resorpcije, čak i kada se uzimaju sa hranom.</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 xml:space="preserve">Rivaroksaban 15 mg tablete potrebno je uzimati sa dohranom ili hranom (vidjeti </w:t>
      </w:r>
      <w:r w:rsidR="00BD56F0" w:rsidRPr="00042A6C">
        <w:rPr>
          <w:bCs/>
          <w:sz w:val="22"/>
          <w:szCs w:val="22"/>
          <w:lang w:val="sr-Latn-ME"/>
        </w:rPr>
        <w:t xml:space="preserve">dio </w:t>
      </w:r>
      <w:r w:rsidRPr="00042A6C">
        <w:rPr>
          <w:bCs/>
          <w:sz w:val="22"/>
          <w:szCs w:val="22"/>
          <w:lang w:val="sr-Latn-ME"/>
        </w:rPr>
        <w:t>4.2).</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sz w:val="22"/>
          <w:szCs w:val="22"/>
          <w:lang w:val="sr-Latn-ME"/>
        </w:rPr>
      </w:pPr>
      <w:r w:rsidRPr="00042A6C">
        <w:rPr>
          <w:bCs/>
          <w:sz w:val="22"/>
          <w:szCs w:val="22"/>
          <w:u w:val="single"/>
          <w:lang w:val="sr-Latn-ME"/>
        </w:rPr>
        <w:t>Distribucija</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Stepen vezivanja za proteine plazme kod odraslih ljudi je visok i dostiže približno 92-95%, sa serumskim albuminima kao glavnim prenosiocima. Volumen distribucije je srednje veličine, sa V</w:t>
      </w:r>
      <w:r w:rsidRPr="00042A6C">
        <w:rPr>
          <w:bCs/>
          <w:sz w:val="22"/>
          <w:szCs w:val="22"/>
          <w:vertAlign w:val="subscript"/>
          <w:lang w:val="sr-Latn-ME"/>
        </w:rPr>
        <w:t>SS</w:t>
      </w:r>
      <w:r w:rsidRPr="00042A6C">
        <w:rPr>
          <w:bCs/>
          <w:sz w:val="22"/>
          <w:szCs w:val="22"/>
          <w:lang w:val="sr-Latn-ME"/>
        </w:rPr>
        <w:t xml:space="preserve"> od približno 50 litara.</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i/>
          <w:iCs/>
          <w:sz w:val="22"/>
          <w:szCs w:val="22"/>
          <w:lang w:val="sr-Latn-ME"/>
        </w:rPr>
      </w:pPr>
      <w:r w:rsidRPr="00042A6C">
        <w:rPr>
          <w:bCs/>
          <w:i/>
          <w:iCs/>
          <w:sz w:val="22"/>
          <w:szCs w:val="22"/>
          <w:lang w:val="sr-Latn-ME"/>
        </w:rPr>
        <w:t>Pedijatrijska populacija</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Nema dostupnih podataka o vezivanju rivaroksabana za proteine plazme specifičnih za djecu. Nema dostupnih podataka o farmakokinetici nakon intravenske primjene rivaroksabana kod djece. Procjena V</w:t>
      </w:r>
      <w:r w:rsidRPr="00042A6C">
        <w:rPr>
          <w:bCs/>
          <w:sz w:val="22"/>
          <w:szCs w:val="22"/>
          <w:vertAlign w:val="subscript"/>
          <w:lang w:val="sr-Latn-ME"/>
        </w:rPr>
        <w:t>ss</w:t>
      </w:r>
      <w:r w:rsidRPr="00042A6C">
        <w:rPr>
          <w:bCs/>
          <w:sz w:val="22"/>
          <w:szCs w:val="22"/>
          <w:lang w:val="sr-Latn-ME"/>
        </w:rPr>
        <w:t xml:space="preserve"> pomoću populacionog farmakokinetičkog modeliranja kod djece (raspon uzrasta od 0 do &lt; 18 godina) nakon peroralne primjene rivaroksabana zavisi od tjelesne težine i može se opisati alometrijskom funkcijom, uz prosjek od 113 l za ispitanika tjelesne težine 82,8 kg.</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sz w:val="22"/>
          <w:szCs w:val="22"/>
          <w:lang w:val="sr-Latn-ME"/>
        </w:rPr>
      </w:pPr>
      <w:r w:rsidRPr="00042A6C">
        <w:rPr>
          <w:bCs/>
          <w:sz w:val="22"/>
          <w:szCs w:val="22"/>
          <w:u w:val="single"/>
          <w:lang w:val="sr-Latn-ME"/>
        </w:rPr>
        <w:t>Biotransformacija i eliminacija</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Kod odraslih, približno 2/3 unijete doze rivaroksabana podliježe metaboličkoj razgradnji, a zatim se polovina nastalih metabolita eliminiše putem bubrega, a polovina fecesom. Preostala 1/3 uni</w:t>
      </w:r>
      <w:r w:rsidR="00144F36" w:rsidRPr="00042A6C">
        <w:rPr>
          <w:bCs/>
          <w:sz w:val="22"/>
          <w:szCs w:val="22"/>
          <w:lang w:val="sr-Latn-ME"/>
        </w:rPr>
        <w:t>j</w:t>
      </w:r>
      <w:r w:rsidRPr="00042A6C">
        <w:rPr>
          <w:bCs/>
          <w:sz w:val="22"/>
          <w:szCs w:val="22"/>
          <w:lang w:val="sr-Latn-ME"/>
        </w:rPr>
        <w:t xml:space="preserve">ete doze </w:t>
      </w:r>
      <w:r w:rsidRPr="00042A6C">
        <w:rPr>
          <w:bCs/>
          <w:sz w:val="22"/>
          <w:szCs w:val="22"/>
          <w:lang w:val="sr-Latn-ME"/>
        </w:rPr>
        <w:lastRenderedPageBreak/>
        <w:t xml:space="preserve">lijeka izlučuje se direktno putem bubrega, u neizmijenjenom aktivnom obliku koji se može naći u urinu, pretežno </w:t>
      </w:r>
      <w:r w:rsidR="00FA68A1" w:rsidRPr="00042A6C">
        <w:rPr>
          <w:bCs/>
          <w:sz w:val="22"/>
          <w:szCs w:val="22"/>
          <w:lang w:val="sr-Latn-ME"/>
        </w:rPr>
        <w:t>aktivnom renalnom sekrecijom</w:t>
      </w:r>
      <w:r w:rsidRPr="00042A6C">
        <w:rPr>
          <w:bCs/>
          <w:sz w:val="22"/>
          <w:szCs w:val="22"/>
          <w:lang w:val="sr-Latn-ME"/>
        </w:rPr>
        <w:t>.</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 xml:space="preserve">Rivaroksaban se metaboliše preko CYP3A4, CYP2J2 i CYP-nezavisnih mehanizama. Oksidativna razgradnja morfolinonskog dijela molekula i hidroliza amidnih veza predstavljaju glavne puteve biotransformacije. Prema rezultatima </w:t>
      </w:r>
      <w:r w:rsidRPr="00042A6C">
        <w:rPr>
          <w:bCs/>
          <w:i/>
          <w:sz w:val="22"/>
          <w:szCs w:val="22"/>
          <w:lang w:val="sr-Latn-ME"/>
        </w:rPr>
        <w:t xml:space="preserve">in vitro </w:t>
      </w:r>
      <w:r w:rsidRPr="00042A6C">
        <w:rPr>
          <w:bCs/>
          <w:sz w:val="22"/>
          <w:szCs w:val="22"/>
          <w:lang w:val="sr-Latn-ME"/>
        </w:rPr>
        <w:t>studija, rivaroksaban je supstrat za transportne proteine P-gp (</w:t>
      </w:r>
      <w:r w:rsidR="00144F36" w:rsidRPr="00042A6C">
        <w:rPr>
          <w:bCs/>
          <w:sz w:val="22"/>
          <w:szCs w:val="22"/>
          <w:lang w:val="sr-Latn-ME"/>
        </w:rPr>
        <w:t xml:space="preserve">engl. </w:t>
      </w:r>
      <w:r w:rsidRPr="00042A6C">
        <w:rPr>
          <w:bCs/>
          <w:i/>
          <w:sz w:val="22"/>
          <w:szCs w:val="22"/>
          <w:lang w:val="sr-Latn-ME"/>
        </w:rPr>
        <w:t>P-glycoprotein</w:t>
      </w:r>
      <w:r w:rsidRPr="00042A6C">
        <w:rPr>
          <w:bCs/>
          <w:sz w:val="22"/>
          <w:szCs w:val="22"/>
          <w:lang w:val="sr-Latn-ME"/>
        </w:rPr>
        <w:t>) i Bcrp (</w:t>
      </w:r>
      <w:r w:rsidR="00144F36" w:rsidRPr="00042A6C">
        <w:rPr>
          <w:bCs/>
          <w:sz w:val="22"/>
          <w:szCs w:val="22"/>
          <w:lang w:val="sr-Latn-ME"/>
        </w:rPr>
        <w:t xml:space="preserve">engl. </w:t>
      </w:r>
      <w:r w:rsidRPr="00042A6C">
        <w:rPr>
          <w:bCs/>
          <w:i/>
          <w:sz w:val="22"/>
          <w:szCs w:val="22"/>
          <w:lang w:val="sr-Latn-ME"/>
        </w:rPr>
        <w:t>Breast cancer resistance protein</w:t>
      </w:r>
      <w:r w:rsidRPr="00042A6C">
        <w:rPr>
          <w:bCs/>
          <w:sz w:val="22"/>
          <w:szCs w:val="22"/>
          <w:lang w:val="sr-Latn-ME"/>
        </w:rPr>
        <w:t>).</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 xml:space="preserve">Neizmijenjeni rivaroksaban je najznačajnije jedinjenje u plazmi, bez drugih glavnih ili aktivnih cirkulišućih metabolita. Sa sistemskim (ukupnim) klirensom od približno 10 </w:t>
      </w:r>
      <w:r w:rsidR="00144F36" w:rsidRPr="00042A6C">
        <w:rPr>
          <w:bCs/>
          <w:sz w:val="22"/>
          <w:szCs w:val="22"/>
          <w:lang w:val="sr-Latn-ME"/>
        </w:rPr>
        <w:t>l</w:t>
      </w:r>
      <w:r w:rsidRPr="00042A6C">
        <w:rPr>
          <w:bCs/>
          <w:sz w:val="22"/>
          <w:szCs w:val="22"/>
          <w:lang w:val="sr-Latn-ME"/>
        </w:rPr>
        <w:t>/h, rivaroksaban se može svrstati u ljekove sa malim klirensom. Poslije intravenske primjene doze od 1 mg, poluvrijeme eliminacije iznosi 4,5 sata. Nakon oralne primjene</w:t>
      </w:r>
      <w:r w:rsidR="00144F36" w:rsidRPr="00042A6C">
        <w:rPr>
          <w:bCs/>
          <w:sz w:val="22"/>
          <w:szCs w:val="22"/>
          <w:lang w:val="sr-Latn-ME"/>
        </w:rPr>
        <w:t>,</w:t>
      </w:r>
      <w:r w:rsidRPr="00042A6C">
        <w:rPr>
          <w:bCs/>
          <w:sz w:val="22"/>
          <w:szCs w:val="22"/>
          <w:lang w:val="sr-Latn-ME"/>
        </w:rPr>
        <w:t xml:space="preserve"> eliminacija zavisi od brzine resorpcije lijeka. Eliminacija rivaroksabana iz plazme se odvija sa terminalnim poluvremenom eliminacije od 5 do 9 sati kod mlađih osoba</w:t>
      </w:r>
      <w:r w:rsidR="00144F36" w:rsidRPr="00042A6C">
        <w:rPr>
          <w:bCs/>
          <w:sz w:val="22"/>
          <w:szCs w:val="22"/>
          <w:lang w:val="sr-Latn-ME"/>
        </w:rPr>
        <w:t>,</w:t>
      </w:r>
      <w:r w:rsidRPr="00042A6C">
        <w:rPr>
          <w:bCs/>
          <w:sz w:val="22"/>
          <w:szCs w:val="22"/>
          <w:lang w:val="sr-Latn-ME"/>
        </w:rPr>
        <w:t xml:space="preserve"> i sa terminalnim poluvremenom eliminacije od 11 do 13 sati kod starijih.</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i/>
          <w:iCs/>
          <w:sz w:val="22"/>
          <w:szCs w:val="22"/>
          <w:lang w:val="sr-Latn-ME"/>
        </w:rPr>
      </w:pPr>
      <w:r w:rsidRPr="00042A6C">
        <w:rPr>
          <w:bCs/>
          <w:i/>
          <w:iCs/>
          <w:sz w:val="22"/>
          <w:szCs w:val="22"/>
          <w:lang w:val="sr-Latn-ME"/>
        </w:rPr>
        <w:t>Pedijatrijska populacija</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Nema dostupnih podataka o metabolizmu specifičnih za djecu. Nema dostupnih podataka o farmakokinetici nakon intravenske primjene rivaroksabana kod djece. Procjena CL pomoću populacionog farmakokinetičkog modeliranja kod djece (raspon uzrasta od 0 do &lt; 18 godina) nakon peroralne primjene rivaroksabana zavisi od tjelesne težine i može se opisati alometrijskom funkcijom, uz prosjek od 8 l/h za ispitanika tjelesne težine 82,8 kg. Geometrijske srednje vrijednosti poluvremena (t</w:t>
      </w:r>
      <w:r w:rsidRPr="00042A6C">
        <w:rPr>
          <w:bCs/>
          <w:sz w:val="22"/>
          <w:szCs w:val="22"/>
          <w:vertAlign w:val="subscript"/>
          <w:lang w:val="sr-Latn-ME"/>
        </w:rPr>
        <w:t>1/2</w:t>
      </w:r>
      <w:r w:rsidRPr="00042A6C">
        <w:rPr>
          <w:bCs/>
          <w:sz w:val="22"/>
          <w:szCs w:val="22"/>
          <w:lang w:val="sr-Latn-ME"/>
        </w:rPr>
        <w:t>) dispozicije procijenjene pomoću populacionog farmakokinetičkog modeliranja smanjuju se kako se smanjuje uzrast, i to u rasponu od 4,2 h kod adolescenata do približno 3 h kod djece uzrasta od 2-12 godina, pa sve do 1,9 h i 1,6 h kod djece uzrasta od 0,5 do &lt; 2 godine, odnosno manje od 0,5 godina.</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sz w:val="22"/>
          <w:szCs w:val="22"/>
          <w:u w:val="single"/>
          <w:lang w:val="sr-Latn-ME"/>
        </w:rPr>
      </w:pPr>
      <w:r w:rsidRPr="00042A6C">
        <w:rPr>
          <w:bCs/>
          <w:sz w:val="22"/>
          <w:szCs w:val="22"/>
          <w:u w:val="single"/>
          <w:lang w:val="sr-Latn-ME"/>
        </w:rPr>
        <w:t>Posebne grupe pacijenata</w:t>
      </w:r>
    </w:p>
    <w:p w:rsidR="00E20CFB" w:rsidRPr="00042A6C" w:rsidRDefault="00E20CFB"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i/>
          <w:sz w:val="22"/>
          <w:szCs w:val="22"/>
          <w:lang w:val="sr-Latn-ME"/>
        </w:rPr>
      </w:pPr>
      <w:r w:rsidRPr="00042A6C">
        <w:rPr>
          <w:bCs/>
          <w:i/>
          <w:sz w:val="22"/>
          <w:szCs w:val="22"/>
          <w:u w:val="single"/>
          <w:lang w:val="sr-Latn-ME"/>
        </w:rPr>
        <w:t>Pol</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Kod odraslih nisu uočene klinički značajne razlike u farmakokinetici i farmakodinamici između pacijenata muškog i ženskog pola. Eksplorativna analiza nije otkrila relevantne razlike u izloženosti rivaroksabanu između dječaka i djevojčica.</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i/>
          <w:sz w:val="22"/>
          <w:szCs w:val="22"/>
          <w:lang w:val="sr-Latn-ME"/>
        </w:rPr>
      </w:pPr>
      <w:r w:rsidRPr="00042A6C">
        <w:rPr>
          <w:bCs/>
          <w:i/>
          <w:sz w:val="22"/>
          <w:szCs w:val="22"/>
          <w:u w:val="single"/>
          <w:lang w:val="sr-Latn-ME"/>
        </w:rPr>
        <w:t>Stariji pacijenti</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Kod starijih pacijenata, koncentracije u plazmi su veće nego kod mlađih, sa srednjim PIK vrijednostima koje su povećane približno 1,5 puta, prije svega zbog smanjenja (prividnog) ukupnog i renalnog klirensa. Nije potrebno bilo kakvo prilagođavanje doze.</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i/>
          <w:sz w:val="22"/>
          <w:szCs w:val="22"/>
          <w:lang w:val="sr-Latn-ME"/>
        </w:rPr>
      </w:pPr>
      <w:r w:rsidRPr="00042A6C">
        <w:rPr>
          <w:bCs/>
          <w:i/>
          <w:sz w:val="22"/>
          <w:szCs w:val="22"/>
          <w:u w:val="single"/>
          <w:lang w:val="sr-Latn-ME"/>
        </w:rPr>
        <w:t>Različite kategorije prema tjelesnoj masi</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Kod odraslih su ekstremne tjelesne mase (&lt;50 kg ili &gt;120 kg) imale</w:t>
      </w:r>
      <w:r w:rsidR="00144F36" w:rsidRPr="00042A6C">
        <w:rPr>
          <w:bCs/>
          <w:sz w:val="22"/>
          <w:szCs w:val="22"/>
          <w:lang w:val="sr-Latn-ME"/>
        </w:rPr>
        <w:t xml:space="preserve"> </w:t>
      </w:r>
      <w:r w:rsidRPr="00042A6C">
        <w:rPr>
          <w:bCs/>
          <w:sz w:val="22"/>
          <w:szCs w:val="22"/>
          <w:lang w:val="sr-Latn-ME"/>
        </w:rPr>
        <w:t>mali uticaj na koncentracije rivaroksabana u plazmi (manje od 25%). Nije potrebno prilagođavanje doze.</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 xml:space="preserve">Kod djece se rivaroksaban dozira na osnovu tjelesne težine. Eksplorativna analiza nije pokazala relevantan uticaj pothranjenosti ili </w:t>
      </w:r>
      <w:r w:rsidR="00144F36" w:rsidRPr="00042A6C">
        <w:rPr>
          <w:bCs/>
          <w:sz w:val="22"/>
          <w:szCs w:val="22"/>
          <w:lang w:val="sr-Latn-ME"/>
        </w:rPr>
        <w:t xml:space="preserve">gojaznosti </w:t>
      </w:r>
      <w:r w:rsidRPr="00042A6C">
        <w:rPr>
          <w:bCs/>
          <w:sz w:val="22"/>
          <w:szCs w:val="22"/>
          <w:lang w:val="sr-Latn-ME"/>
        </w:rPr>
        <w:t>na izloženost rivaroksabanu kod djece.</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i/>
          <w:sz w:val="22"/>
          <w:szCs w:val="22"/>
          <w:u w:val="single"/>
          <w:lang w:val="sr-Latn-ME"/>
        </w:rPr>
      </w:pPr>
      <w:r w:rsidRPr="00042A6C">
        <w:rPr>
          <w:bCs/>
          <w:i/>
          <w:sz w:val="22"/>
          <w:szCs w:val="22"/>
          <w:u w:val="single"/>
          <w:lang w:val="sr-Latn-ME"/>
        </w:rPr>
        <w:t>Etničke razlike</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Kod odraslih nisu uočene klinički značajne međurasne razlike u farmakokinetici ni u farmakodinamici rivaroksabana između bijelih, afroameričkih, latinoameričkih, japanskih i kineskih pacijenata.</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Eksplorativna analiza nije pokazala relevantne međurasne razlike u izloženosti rivaroksabanu između japanske, kineske i azijske djece izvan Japana i Kine u poređenju sa odgovarajućom ukupnom pedijatrijskom populacijom.</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i/>
          <w:sz w:val="22"/>
          <w:szCs w:val="22"/>
          <w:lang w:val="sr-Latn-ME"/>
        </w:rPr>
      </w:pPr>
      <w:r w:rsidRPr="00042A6C">
        <w:rPr>
          <w:bCs/>
          <w:i/>
          <w:sz w:val="22"/>
          <w:szCs w:val="22"/>
          <w:u w:val="single"/>
          <w:lang w:val="sr-Latn-ME"/>
        </w:rPr>
        <w:t>Oštećenje funkcije jetre</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 xml:space="preserve">Odrasli pacijenti sa cirozom i blago oštećenom funkcijom jetre (klasifikovana kao </w:t>
      </w:r>
      <w:r w:rsidRPr="00042A6C">
        <w:rPr>
          <w:bCs/>
          <w:i/>
          <w:sz w:val="22"/>
          <w:szCs w:val="22"/>
          <w:lang w:val="sr-Latn-ME"/>
        </w:rPr>
        <w:t>Child</w:t>
      </w:r>
      <w:r w:rsidR="00144F36" w:rsidRPr="00042A6C">
        <w:rPr>
          <w:bCs/>
          <w:i/>
          <w:sz w:val="22"/>
          <w:szCs w:val="22"/>
          <w:lang w:val="sr-Latn-ME"/>
        </w:rPr>
        <w:t>-</w:t>
      </w:r>
      <w:r w:rsidRPr="00042A6C">
        <w:rPr>
          <w:bCs/>
          <w:i/>
          <w:sz w:val="22"/>
          <w:szCs w:val="22"/>
          <w:lang w:val="sr-Latn-ME"/>
        </w:rPr>
        <w:t xml:space="preserve">Pugh </w:t>
      </w:r>
      <w:r w:rsidRPr="00042A6C">
        <w:rPr>
          <w:bCs/>
          <w:sz w:val="22"/>
          <w:szCs w:val="22"/>
          <w:lang w:val="sr-Latn-ME"/>
        </w:rPr>
        <w:t xml:space="preserve">A) ispoljavaju male razlike u farmakokinetici rivaroksabana (u prosjeku, povećanje vrijednosti PIK rivaroksabana 1,2 puta), što je približno uporedivo sa vrijednostima kod odgovarajućih zdravih ispitanika u kontrolnoj grupi. Kod pacijenata sa cirozom i umjerenim oštećenjem funkcije jetre (klasifikovana kao </w:t>
      </w:r>
      <w:r w:rsidRPr="00042A6C">
        <w:rPr>
          <w:bCs/>
          <w:i/>
          <w:sz w:val="22"/>
          <w:szCs w:val="22"/>
          <w:lang w:val="sr-Latn-ME"/>
        </w:rPr>
        <w:t>Child</w:t>
      </w:r>
      <w:r w:rsidR="00144F36" w:rsidRPr="00042A6C">
        <w:rPr>
          <w:bCs/>
          <w:i/>
          <w:sz w:val="22"/>
          <w:szCs w:val="22"/>
          <w:lang w:val="sr-Latn-ME"/>
        </w:rPr>
        <w:t>-</w:t>
      </w:r>
      <w:r w:rsidRPr="00042A6C">
        <w:rPr>
          <w:bCs/>
          <w:i/>
          <w:sz w:val="22"/>
          <w:szCs w:val="22"/>
          <w:lang w:val="sr-Latn-ME"/>
        </w:rPr>
        <w:t xml:space="preserve">Pugh </w:t>
      </w:r>
      <w:r w:rsidRPr="00042A6C">
        <w:rPr>
          <w:bCs/>
          <w:sz w:val="22"/>
          <w:szCs w:val="22"/>
          <w:lang w:val="sr-Latn-ME"/>
        </w:rPr>
        <w:t xml:space="preserve">B), srednja vrijednost PIK-a rivaroksabana značajno je bila povećana (2,3 puta) u poređenju sa vrijednostima kod zdravih ispitanika. Vrijednost PIK slobodne frakcije lijeka </w:t>
      </w:r>
      <w:r w:rsidR="00FA68A1" w:rsidRPr="00042A6C">
        <w:rPr>
          <w:bCs/>
          <w:sz w:val="22"/>
          <w:szCs w:val="22"/>
          <w:lang w:val="sr-Latn-ME"/>
        </w:rPr>
        <w:t xml:space="preserve">bila </w:t>
      </w:r>
      <w:r w:rsidRPr="00042A6C">
        <w:rPr>
          <w:bCs/>
          <w:sz w:val="22"/>
          <w:szCs w:val="22"/>
          <w:lang w:val="sr-Latn-ME"/>
        </w:rPr>
        <w:t xml:space="preserve">je </w:t>
      </w:r>
      <w:r w:rsidR="00FA68A1" w:rsidRPr="00042A6C">
        <w:rPr>
          <w:bCs/>
          <w:sz w:val="22"/>
          <w:szCs w:val="22"/>
          <w:lang w:val="sr-Latn-ME"/>
        </w:rPr>
        <w:t xml:space="preserve">veća </w:t>
      </w:r>
      <w:r w:rsidRPr="00042A6C">
        <w:rPr>
          <w:bCs/>
          <w:sz w:val="22"/>
          <w:szCs w:val="22"/>
          <w:lang w:val="sr-Latn-ME"/>
        </w:rPr>
        <w:t xml:space="preserve">2,6 puta. Kod ovih pacijenata, bila je manja i eliminacija rivaroksabana putem bubrega, </w:t>
      </w:r>
      <w:r w:rsidRPr="00042A6C">
        <w:rPr>
          <w:bCs/>
          <w:sz w:val="22"/>
          <w:szCs w:val="22"/>
          <w:lang w:val="sr-Latn-ME"/>
        </w:rPr>
        <w:lastRenderedPageBreak/>
        <w:t>slično kao kod pacijenata sa umjerenim oštećenjem funkcije bubrega. Nema podataka za pacijente sa teškim oštećenjem funkcije jetre.</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Inhibicija aktivnosti faktora Xa bila je povećana za faktor 2,6 kod pacijenata sa umjerenim oštećenjem funkcije jetre u poređenju sa zdravim ispitanicima; PT je bilo produženo za sličnu vrijednost (faktor 2,1). Pacijenti sa umjerenim oštećenjem funkcije jetre bili su osjetljiviji na dejstvo rivaroksabana, što je imalo za posljedicu strmiji farmakokinetsko/farmakodinamski (FK/FD) odnos između koncentracije i PT.</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 xml:space="preserve">Primjena rivaroksabana je kontraindikovana kod pacijenata sa oboljenjem jetre koje je udruženo sa koagulopatijom i klinički značajnim rizikom od krvarenja, uključujući pacijente sa cirozom sa stadijumom </w:t>
      </w:r>
      <w:r w:rsidRPr="00042A6C">
        <w:rPr>
          <w:bCs/>
          <w:i/>
          <w:sz w:val="22"/>
          <w:szCs w:val="22"/>
          <w:lang w:val="sr-Latn-ME"/>
        </w:rPr>
        <w:t>Child</w:t>
      </w:r>
      <w:r w:rsidR="00144F36" w:rsidRPr="00042A6C">
        <w:rPr>
          <w:bCs/>
          <w:i/>
          <w:sz w:val="22"/>
          <w:szCs w:val="22"/>
          <w:lang w:val="sr-Latn-ME"/>
        </w:rPr>
        <w:t>-</w:t>
      </w:r>
      <w:r w:rsidRPr="00042A6C">
        <w:rPr>
          <w:bCs/>
          <w:i/>
          <w:sz w:val="22"/>
          <w:szCs w:val="22"/>
          <w:lang w:val="sr-Latn-ME"/>
        </w:rPr>
        <w:t xml:space="preserve">Pugh </w:t>
      </w:r>
      <w:r w:rsidRPr="00042A6C">
        <w:rPr>
          <w:bCs/>
          <w:sz w:val="22"/>
          <w:szCs w:val="22"/>
          <w:lang w:val="sr-Latn-ME"/>
        </w:rPr>
        <w:t xml:space="preserve">B i C (vidjeti </w:t>
      </w:r>
      <w:r w:rsidR="00144F36" w:rsidRPr="00042A6C">
        <w:rPr>
          <w:bCs/>
          <w:sz w:val="22"/>
          <w:szCs w:val="22"/>
          <w:lang w:val="sr-Latn-ME"/>
        </w:rPr>
        <w:t xml:space="preserve">dio </w:t>
      </w:r>
      <w:r w:rsidRPr="00042A6C">
        <w:rPr>
          <w:bCs/>
          <w:sz w:val="22"/>
          <w:szCs w:val="22"/>
          <w:lang w:val="sr-Latn-ME"/>
        </w:rPr>
        <w:t>4.3).</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Nema dostupnih kliničkih podataka kod djece sa oštećenjem fu</w:t>
      </w:r>
      <w:r w:rsidR="00071D9E" w:rsidRPr="00042A6C">
        <w:rPr>
          <w:bCs/>
          <w:sz w:val="22"/>
          <w:szCs w:val="22"/>
          <w:lang w:val="sr-Latn-ME"/>
        </w:rPr>
        <w:t>n</w:t>
      </w:r>
      <w:r w:rsidRPr="00042A6C">
        <w:rPr>
          <w:bCs/>
          <w:sz w:val="22"/>
          <w:szCs w:val="22"/>
          <w:lang w:val="sr-Latn-ME"/>
        </w:rPr>
        <w:t>kcije jetre.</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i/>
          <w:sz w:val="22"/>
          <w:szCs w:val="22"/>
          <w:lang w:val="sr-Latn-ME"/>
        </w:rPr>
      </w:pPr>
      <w:r w:rsidRPr="00042A6C">
        <w:rPr>
          <w:bCs/>
          <w:i/>
          <w:sz w:val="22"/>
          <w:szCs w:val="22"/>
          <w:u w:val="single"/>
          <w:lang w:val="sr-Latn-ME"/>
        </w:rPr>
        <w:t>Oštećenje funkcije bubrega</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Kod odraslih se izloženost rivaroksabanu povećava u korelaciji sa smanjenjem funkcije bubrega, koja je procijenjena na osnovu klirensa kreatinina. Kod osoba sa blagim (klirens kreatinina 50-80 ml/min), umjerenim (klirens kreatinina 30-49 ml/min) i teškim (klirens kreatinina 15-29 ml/min) oštećenjem funkcije bubrega, koncentracije rivaroksabana u plazmi (vrijednost PIK) bile su povećane 1,4; 1,5 i 1,6 puta, redom. Odgovarajući porast farmakodinamskog odgovora bio je više izražen. Kod osoba sa blagim, umjerenim i teškim oštećenjem funkcije bubrega, ukupna inhibicija aktivnosti faktora Xa bila je povećana za faktor 1,5; 1,9 i 2,0, redom, u poređenju sa zdravim dobrovoljcima; produžavanje PT bilo je povećano u sličnoj mjeri, za faktor 1,3; 2,2 i 2,4. Nema podataka za pacijente sa klirensom kreatinina &lt; 15 ml/min.</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Ne očekuje se da se rivaroksaban gubi pri dijalizi</w:t>
      </w:r>
      <w:r w:rsidR="00E6150C" w:rsidRPr="00042A6C">
        <w:rPr>
          <w:bCs/>
          <w:sz w:val="22"/>
          <w:szCs w:val="22"/>
          <w:lang w:val="sr-Latn-ME"/>
        </w:rPr>
        <w:t>,</w:t>
      </w:r>
      <w:r w:rsidRPr="00042A6C">
        <w:rPr>
          <w:bCs/>
          <w:sz w:val="22"/>
          <w:szCs w:val="22"/>
          <w:lang w:val="sr-Latn-ME"/>
        </w:rPr>
        <w:t xml:space="preserve"> zbog toga što se u velikoj mjeri vezuje za proteine plazme.</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 xml:space="preserve">Ne preporučuje se primjena ovog lijeka kod pacijenata čiji je klirens kreatinina &lt; 15 ml/min. Rivaroksaban se primjenjuje uz mjere opreza kod pacijenata sa klirensom kreatinina od 15-29 ml/min (vidjeti </w:t>
      </w:r>
      <w:r w:rsidR="0047457A" w:rsidRPr="00042A6C">
        <w:rPr>
          <w:bCs/>
          <w:sz w:val="22"/>
          <w:szCs w:val="22"/>
          <w:lang w:val="sr-Latn-ME"/>
        </w:rPr>
        <w:t xml:space="preserve">dio </w:t>
      </w:r>
      <w:r w:rsidRPr="00042A6C">
        <w:rPr>
          <w:bCs/>
          <w:sz w:val="22"/>
          <w:szCs w:val="22"/>
          <w:lang w:val="sr-Latn-ME"/>
        </w:rPr>
        <w:t>4.4).</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Nema dostupnih kliničkih podataka kod djece uzrasta od 1 godine ili starije sa umjerenim ili teškim oštećenjem funkcije bubrega (brzina glomerularne filtracije &lt; 50 ml/min/1,73 m</w:t>
      </w:r>
      <w:r w:rsidRPr="00042A6C">
        <w:rPr>
          <w:bCs/>
          <w:sz w:val="22"/>
          <w:szCs w:val="22"/>
          <w:vertAlign w:val="superscript"/>
          <w:lang w:val="sr-Latn-ME"/>
        </w:rPr>
        <w:t>2</w:t>
      </w:r>
      <w:r w:rsidRPr="00042A6C">
        <w:rPr>
          <w:bCs/>
          <w:sz w:val="22"/>
          <w:szCs w:val="22"/>
          <w:lang w:val="sr-Latn-ME"/>
        </w:rPr>
        <w:t>).</w:t>
      </w:r>
    </w:p>
    <w:p w:rsidR="004476F6" w:rsidRPr="00042A6C" w:rsidRDefault="004476F6" w:rsidP="004476F6">
      <w:pPr>
        <w:tabs>
          <w:tab w:val="left" w:pos="540"/>
          <w:tab w:val="left" w:pos="569"/>
        </w:tabs>
        <w:jc w:val="both"/>
        <w:rPr>
          <w:bCs/>
          <w:sz w:val="22"/>
          <w:szCs w:val="22"/>
          <w:lang w:val="sr-Latn-ME"/>
        </w:rPr>
      </w:pPr>
    </w:p>
    <w:p w:rsidR="004476F6" w:rsidRPr="00042A6C" w:rsidRDefault="004476F6" w:rsidP="004476F6">
      <w:pPr>
        <w:tabs>
          <w:tab w:val="left" w:pos="540"/>
          <w:tab w:val="left" w:pos="569"/>
        </w:tabs>
        <w:jc w:val="both"/>
        <w:rPr>
          <w:bCs/>
          <w:sz w:val="22"/>
          <w:szCs w:val="22"/>
          <w:lang w:val="sr-Latn-ME"/>
        </w:rPr>
      </w:pPr>
      <w:r w:rsidRPr="00042A6C">
        <w:rPr>
          <w:bCs/>
          <w:sz w:val="22"/>
          <w:szCs w:val="22"/>
          <w:u w:val="single"/>
          <w:lang w:val="sr-Latn-ME"/>
        </w:rPr>
        <w:t>Farmakokinetički podaci kod pacijenata</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Kod pacijenata koji primaju rivaroksaban u dozi od 20 mg jednom dnevno u terapiji akutne TDV, geometrijska srednja vrijednost koncentracije (90% interval predviđanja) od 2 do 4 sata i oko 24 sata nakon uzimanja doze (što grubo predstavlja maksimalnu i minimalnu koncentraciju tokom intervala doziranja) je iznosila 215 (22 - 535) odnosno 32 (6 - 239) mikrograma/</w:t>
      </w:r>
      <w:r w:rsidR="0047457A" w:rsidRPr="00042A6C">
        <w:rPr>
          <w:bCs/>
          <w:sz w:val="22"/>
          <w:szCs w:val="22"/>
          <w:lang w:val="sr-Latn-ME"/>
        </w:rPr>
        <w:t>l</w:t>
      </w:r>
      <w:r w:rsidRPr="00042A6C">
        <w:rPr>
          <w:bCs/>
          <w:sz w:val="22"/>
          <w:szCs w:val="22"/>
          <w:lang w:val="sr-Latn-ME"/>
        </w:rPr>
        <w:t>.</w:t>
      </w:r>
    </w:p>
    <w:p w:rsidR="004476F6" w:rsidRPr="00042A6C" w:rsidRDefault="004476F6" w:rsidP="004476F6">
      <w:pPr>
        <w:tabs>
          <w:tab w:val="left" w:pos="540"/>
          <w:tab w:val="left" w:pos="569"/>
        </w:tabs>
        <w:jc w:val="both"/>
        <w:rPr>
          <w:bCs/>
          <w:sz w:val="22"/>
          <w:szCs w:val="22"/>
          <w:lang w:val="sr-Latn-ME"/>
        </w:rPr>
      </w:pPr>
      <w:r w:rsidRPr="00042A6C">
        <w:rPr>
          <w:bCs/>
          <w:sz w:val="22"/>
          <w:szCs w:val="22"/>
          <w:lang w:val="sr-Latn-ME"/>
        </w:rPr>
        <w:t xml:space="preserve">Kod pedijatrijskih pacijenata sa akutnom VTE koji su primali rivaroksaban u dozi prilagođenoj njihovoj tjelesnoj težini, koja je dovela do izloženosti </w:t>
      </w:r>
      <w:r w:rsidR="00FA68A1" w:rsidRPr="00042A6C">
        <w:rPr>
          <w:bCs/>
          <w:sz w:val="22"/>
          <w:szCs w:val="22"/>
          <w:lang w:val="sr-Latn-ME"/>
        </w:rPr>
        <w:t xml:space="preserve">sličnoj </w:t>
      </w:r>
      <w:r w:rsidRPr="00042A6C">
        <w:rPr>
          <w:bCs/>
          <w:sz w:val="22"/>
          <w:szCs w:val="22"/>
          <w:lang w:val="sr-Latn-ME"/>
        </w:rPr>
        <w:t>onoj kod odraslih pacijenata sa DVT koji su primali dnevnu dozu od 20 mg jednom dnevno, geometrijske srednje vrijednosti koncentracije (90% interval) u vrijeme uzimanja uzoraka, koje približno predstavljaju najviše i najniže koncentracije tokom intervala doziranja, sažeto su pr</w:t>
      </w:r>
      <w:r w:rsidR="00C82733" w:rsidRPr="00042A6C">
        <w:rPr>
          <w:bCs/>
          <w:sz w:val="22"/>
          <w:szCs w:val="22"/>
          <w:lang w:val="sr-Latn-ME"/>
        </w:rPr>
        <w:t>ikazane u T</w:t>
      </w:r>
      <w:r w:rsidRPr="00042A6C">
        <w:rPr>
          <w:bCs/>
          <w:sz w:val="22"/>
          <w:szCs w:val="22"/>
          <w:lang w:val="sr-Latn-ME"/>
        </w:rPr>
        <w:t>abeli 13.</w:t>
      </w:r>
    </w:p>
    <w:p w:rsidR="00E20CFB" w:rsidRPr="00042A6C" w:rsidRDefault="00E20CFB" w:rsidP="004476F6">
      <w:pPr>
        <w:tabs>
          <w:tab w:val="left" w:pos="540"/>
          <w:tab w:val="left" w:pos="569"/>
        </w:tabs>
        <w:jc w:val="both"/>
        <w:rPr>
          <w:bCs/>
          <w:sz w:val="22"/>
          <w:szCs w:val="22"/>
          <w:lang w:val="sr-Latn-ME"/>
        </w:rPr>
      </w:pPr>
    </w:p>
    <w:p w:rsidR="00E20CFB" w:rsidRPr="00042A6C" w:rsidRDefault="00E20CFB" w:rsidP="00E20CFB">
      <w:pPr>
        <w:tabs>
          <w:tab w:val="left" w:pos="540"/>
          <w:tab w:val="left" w:pos="569"/>
        </w:tabs>
        <w:jc w:val="both"/>
        <w:rPr>
          <w:b/>
          <w:bCs/>
          <w:sz w:val="22"/>
          <w:szCs w:val="22"/>
          <w:lang w:val="sr-Latn-ME"/>
        </w:rPr>
      </w:pPr>
      <w:r w:rsidRPr="00042A6C">
        <w:rPr>
          <w:b/>
          <w:bCs/>
          <w:sz w:val="22"/>
          <w:szCs w:val="22"/>
          <w:lang w:val="sr-Latn-ME"/>
        </w:rPr>
        <w:t>Tabela 13: Sažetak prikazanih vrijednosti (geometrijska srednja vrijednost (90% interval)) koncentracija (μg/l) rivaroksabana u plazmi u stanju dinamičke ravnoteže prema režimu doziranja i uzrastu</w:t>
      </w:r>
    </w:p>
    <w:p w:rsidR="004476F6" w:rsidRPr="00042A6C" w:rsidRDefault="004476F6" w:rsidP="004476F6">
      <w:pPr>
        <w:tabs>
          <w:tab w:val="left" w:pos="540"/>
          <w:tab w:val="left" w:pos="569"/>
        </w:tabs>
        <w:jc w:val="both"/>
        <w:rPr>
          <w:bCs/>
          <w:sz w:val="22"/>
          <w:szCs w:val="22"/>
          <w:lang w:val="sr-Latn-M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08"/>
        <w:gridCol w:w="1276"/>
        <w:gridCol w:w="567"/>
        <w:gridCol w:w="1276"/>
        <w:gridCol w:w="567"/>
        <w:gridCol w:w="1134"/>
        <w:gridCol w:w="709"/>
        <w:gridCol w:w="1275"/>
      </w:tblGrid>
      <w:tr w:rsidR="00E20CFB" w:rsidRPr="00042A6C" w:rsidTr="00E20CFB">
        <w:tc>
          <w:tcPr>
            <w:tcW w:w="1560" w:type="dxa"/>
            <w:shd w:val="clear" w:color="auto" w:fill="auto"/>
          </w:tcPr>
          <w:p w:rsidR="00E20CFB" w:rsidRPr="00042A6C" w:rsidRDefault="00E20CFB" w:rsidP="00E20CFB">
            <w:pPr>
              <w:autoSpaceDE w:val="0"/>
              <w:autoSpaceDN w:val="0"/>
              <w:adjustRightInd w:val="0"/>
              <w:rPr>
                <w:b/>
                <w:bCs/>
                <w:sz w:val="22"/>
                <w:szCs w:val="22"/>
                <w:lang w:val="sr-Latn-ME" w:eastAsia="en-GB"/>
              </w:rPr>
            </w:pPr>
            <w:r w:rsidRPr="00042A6C">
              <w:rPr>
                <w:b/>
                <w:bCs/>
                <w:sz w:val="22"/>
                <w:szCs w:val="22"/>
                <w:lang w:val="sr-Latn-ME" w:eastAsia="en-GB"/>
              </w:rPr>
              <w:t>Vremenski razmaci</w:t>
            </w:r>
          </w:p>
        </w:tc>
        <w:tc>
          <w:tcPr>
            <w:tcW w:w="708" w:type="dxa"/>
            <w:shd w:val="clear" w:color="auto" w:fill="auto"/>
          </w:tcPr>
          <w:p w:rsidR="00E20CFB" w:rsidRPr="00042A6C" w:rsidRDefault="00E20CFB" w:rsidP="00E20CFB">
            <w:pPr>
              <w:autoSpaceDE w:val="0"/>
              <w:autoSpaceDN w:val="0"/>
              <w:adjustRightInd w:val="0"/>
              <w:rPr>
                <w:b/>
                <w:bCs/>
                <w:sz w:val="22"/>
                <w:szCs w:val="22"/>
                <w:lang w:val="sr-Latn-ME" w:eastAsia="en-GB"/>
              </w:rPr>
            </w:pPr>
          </w:p>
        </w:tc>
        <w:tc>
          <w:tcPr>
            <w:tcW w:w="1276" w:type="dxa"/>
            <w:shd w:val="clear" w:color="auto" w:fill="auto"/>
          </w:tcPr>
          <w:p w:rsidR="00E20CFB" w:rsidRPr="00042A6C" w:rsidRDefault="00E20CFB" w:rsidP="00E20CFB">
            <w:pPr>
              <w:autoSpaceDE w:val="0"/>
              <w:autoSpaceDN w:val="0"/>
              <w:adjustRightInd w:val="0"/>
              <w:rPr>
                <w:b/>
                <w:bCs/>
                <w:sz w:val="22"/>
                <w:szCs w:val="22"/>
                <w:lang w:val="sr-Latn-ME" w:eastAsia="en-GB"/>
              </w:rPr>
            </w:pPr>
          </w:p>
        </w:tc>
        <w:tc>
          <w:tcPr>
            <w:tcW w:w="567" w:type="dxa"/>
            <w:shd w:val="clear" w:color="auto" w:fill="auto"/>
          </w:tcPr>
          <w:p w:rsidR="00E20CFB" w:rsidRPr="00042A6C" w:rsidRDefault="00E20CFB" w:rsidP="00E20CFB">
            <w:pPr>
              <w:autoSpaceDE w:val="0"/>
              <w:autoSpaceDN w:val="0"/>
              <w:adjustRightInd w:val="0"/>
              <w:rPr>
                <w:b/>
                <w:bCs/>
                <w:sz w:val="22"/>
                <w:szCs w:val="22"/>
                <w:lang w:val="sr-Latn-ME" w:eastAsia="en-GB"/>
              </w:rPr>
            </w:pPr>
          </w:p>
        </w:tc>
        <w:tc>
          <w:tcPr>
            <w:tcW w:w="1276" w:type="dxa"/>
            <w:shd w:val="clear" w:color="auto" w:fill="auto"/>
          </w:tcPr>
          <w:p w:rsidR="00E20CFB" w:rsidRPr="00042A6C" w:rsidRDefault="00E20CFB" w:rsidP="00E20CFB">
            <w:pPr>
              <w:autoSpaceDE w:val="0"/>
              <w:autoSpaceDN w:val="0"/>
              <w:adjustRightInd w:val="0"/>
              <w:rPr>
                <w:b/>
                <w:bCs/>
                <w:sz w:val="22"/>
                <w:szCs w:val="22"/>
                <w:lang w:val="sr-Latn-ME" w:eastAsia="en-GB"/>
              </w:rPr>
            </w:pPr>
          </w:p>
        </w:tc>
        <w:tc>
          <w:tcPr>
            <w:tcW w:w="567" w:type="dxa"/>
            <w:shd w:val="clear" w:color="auto" w:fill="auto"/>
          </w:tcPr>
          <w:p w:rsidR="00E20CFB" w:rsidRPr="00042A6C" w:rsidRDefault="00E20CFB" w:rsidP="00E20CFB">
            <w:pPr>
              <w:autoSpaceDE w:val="0"/>
              <w:autoSpaceDN w:val="0"/>
              <w:adjustRightInd w:val="0"/>
              <w:rPr>
                <w:b/>
                <w:bCs/>
                <w:sz w:val="22"/>
                <w:szCs w:val="22"/>
                <w:lang w:val="sr-Latn-ME" w:eastAsia="en-GB"/>
              </w:rPr>
            </w:pPr>
          </w:p>
        </w:tc>
        <w:tc>
          <w:tcPr>
            <w:tcW w:w="1134" w:type="dxa"/>
            <w:shd w:val="clear" w:color="auto" w:fill="auto"/>
          </w:tcPr>
          <w:p w:rsidR="00E20CFB" w:rsidRPr="00042A6C" w:rsidRDefault="00E20CFB" w:rsidP="00E20CFB">
            <w:pPr>
              <w:autoSpaceDE w:val="0"/>
              <w:autoSpaceDN w:val="0"/>
              <w:adjustRightInd w:val="0"/>
              <w:rPr>
                <w:b/>
                <w:bCs/>
                <w:sz w:val="22"/>
                <w:szCs w:val="22"/>
                <w:lang w:val="sr-Latn-ME" w:eastAsia="en-GB"/>
              </w:rPr>
            </w:pPr>
          </w:p>
        </w:tc>
        <w:tc>
          <w:tcPr>
            <w:tcW w:w="709" w:type="dxa"/>
            <w:shd w:val="clear" w:color="auto" w:fill="auto"/>
          </w:tcPr>
          <w:p w:rsidR="00E20CFB" w:rsidRPr="00042A6C" w:rsidRDefault="00E20CFB" w:rsidP="00E20CFB">
            <w:pPr>
              <w:autoSpaceDE w:val="0"/>
              <w:autoSpaceDN w:val="0"/>
              <w:adjustRightInd w:val="0"/>
              <w:rPr>
                <w:b/>
                <w:bCs/>
                <w:sz w:val="22"/>
                <w:szCs w:val="22"/>
                <w:lang w:val="sr-Latn-ME" w:eastAsia="en-GB"/>
              </w:rPr>
            </w:pPr>
          </w:p>
        </w:tc>
        <w:tc>
          <w:tcPr>
            <w:tcW w:w="1275" w:type="dxa"/>
            <w:shd w:val="clear" w:color="auto" w:fill="auto"/>
          </w:tcPr>
          <w:p w:rsidR="00E20CFB" w:rsidRPr="00042A6C" w:rsidRDefault="00E20CFB" w:rsidP="00E20CFB">
            <w:pPr>
              <w:autoSpaceDE w:val="0"/>
              <w:autoSpaceDN w:val="0"/>
              <w:adjustRightInd w:val="0"/>
              <w:rPr>
                <w:b/>
                <w:bCs/>
                <w:sz w:val="22"/>
                <w:szCs w:val="22"/>
                <w:lang w:val="sr-Latn-ME" w:eastAsia="en-GB"/>
              </w:rPr>
            </w:pPr>
          </w:p>
        </w:tc>
      </w:tr>
      <w:tr w:rsidR="00E20CFB" w:rsidRPr="00042A6C" w:rsidTr="00E20CFB">
        <w:tc>
          <w:tcPr>
            <w:tcW w:w="1560" w:type="dxa"/>
            <w:shd w:val="clear" w:color="auto" w:fill="auto"/>
          </w:tcPr>
          <w:p w:rsidR="00E20CFB" w:rsidRPr="00042A6C" w:rsidRDefault="00E20CFB" w:rsidP="00E20CFB">
            <w:pPr>
              <w:autoSpaceDE w:val="0"/>
              <w:autoSpaceDN w:val="0"/>
              <w:adjustRightInd w:val="0"/>
              <w:rPr>
                <w:b/>
                <w:bCs/>
                <w:sz w:val="22"/>
                <w:szCs w:val="22"/>
                <w:lang w:val="sr-Latn-ME" w:eastAsia="en-GB"/>
              </w:rPr>
            </w:pPr>
            <w:r w:rsidRPr="00042A6C">
              <w:rPr>
                <w:b/>
                <w:sz w:val="22"/>
                <w:szCs w:val="22"/>
                <w:lang w:val="sr-Latn-ME" w:eastAsia="en-GB"/>
              </w:rPr>
              <w:t>o.d.</w:t>
            </w:r>
          </w:p>
        </w:tc>
        <w:tc>
          <w:tcPr>
            <w:tcW w:w="708" w:type="dxa"/>
            <w:shd w:val="clear" w:color="auto" w:fill="auto"/>
          </w:tcPr>
          <w:p w:rsidR="00E20CFB" w:rsidRPr="00042A6C" w:rsidRDefault="00E20CFB" w:rsidP="00E20CFB">
            <w:pPr>
              <w:autoSpaceDE w:val="0"/>
              <w:autoSpaceDN w:val="0"/>
              <w:adjustRightInd w:val="0"/>
              <w:rPr>
                <w:b/>
                <w:bCs/>
                <w:sz w:val="22"/>
                <w:szCs w:val="22"/>
                <w:lang w:val="sr-Latn-ME" w:eastAsia="en-GB"/>
              </w:rPr>
            </w:pPr>
            <w:r w:rsidRPr="00042A6C">
              <w:rPr>
                <w:b/>
                <w:bCs/>
                <w:sz w:val="22"/>
                <w:szCs w:val="22"/>
                <w:lang w:val="sr-Latn-ME" w:eastAsia="en-GB"/>
              </w:rPr>
              <w:t>N</w:t>
            </w:r>
          </w:p>
        </w:tc>
        <w:tc>
          <w:tcPr>
            <w:tcW w:w="1276" w:type="dxa"/>
            <w:shd w:val="clear" w:color="auto" w:fill="auto"/>
          </w:tcPr>
          <w:p w:rsidR="00E20CFB" w:rsidRPr="00042A6C" w:rsidRDefault="00E20CFB" w:rsidP="00E20CFB">
            <w:pPr>
              <w:autoSpaceDE w:val="0"/>
              <w:autoSpaceDN w:val="0"/>
              <w:adjustRightInd w:val="0"/>
              <w:rPr>
                <w:b/>
                <w:sz w:val="22"/>
                <w:szCs w:val="22"/>
                <w:lang w:val="sr-Latn-ME" w:eastAsia="en-GB"/>
              </w:rPr>
            </w:pPr>
            <w:r w:rsidRPr="00042A6C">
              <w:rPr>
                <w:b/>
                <w:sz w:val="22"/>
                <w:szCs w:val="22"/>
                <w:lang w:val="sr-Latn-ME" w:eastAsia="en-GB"/>
              </w:rPr>
              <w:t>12 -&lt; 18 godina</w:t>
            </w:r>
          </w:p>
        </w:tc>
        <w:tc>
          <w:tcPr>
            <w:tcW w:w="567" w:type="dxa"/>
            <w:shd w:val="clear" w:color="auto" w:fill="auto"/>
          </w:tcPr>
          <w:p w:rsidR="00E20CFB" w:rsidRPr="00042A6C" w:rsidRDefault="00E20CFB" w:rsidP="00E20CFB">
            <w:pPr>
              <w:autoSpaceDE w:val="0"/>
              <w:autoSpaceDN w:val="0"/>
              <w:adjustRightInd w:val="0"/>
              <w:rPr>
                <w:b/>
                <w:bCs/>
                <w:sz w:val="22"/>
                <w:szCs w:val="22"/>
                <w:lang w:val="sr-Latn-ME" w:eastAsia="en-GB"/>
              </w:rPr>
            </w:pPr>
            <w:r w:rsidRPr="00042A6C">
              <w:rPr>
                <w:b/>
                <w:bCs/>
                <w:sz w:val="22"/>
                <w:szCs w:val="22"/>
                <w:lang w:val="sr-Latn-ME" w:eastAsia="en-GB"/>
              </w:rPr>
              <w:t>N</w:t>
            </w:r>
          </w:p>
        </w:tc>
        <w:tc>
          <w:tcPr>
            <w:tcW w:w="1276" w:type="dxa"/>
            <w:shd w:val="clear" w:color="auto" w:fill="auto"/>
          </w:tcPr>
          <w:p w:rsidR="00E20CFB" w:rsidRPr="00042A6C" w:rsidRDefault="00E20CFB" w:rsidP="00E20CFB">
            <w:pPr>
              <w:autoSpaceDE w:val="0"/>
              <w:autoSpaceDN w:val="0"/>
              <w:adjustRightInd w:val="0"/>
              <w:rPr>
                <w:b/>
                <w:sz w:val="22"/>
                <w:szCs w:val="22"/>
                <w:lang w:val="sr-Latn-ME" w:eastAsia="en-GB"/>
              </w:rPr>
            </w:pPr>
            <w:r w:rsidRPr="00042A6C">
              <w:rPr>
                <w:b/>
                <w:sz w:val="22"/>
                <w:szCs w:val="22"/>
                <w:lang w:val="sr-Latn-ME" w:eastAsia="en-GB"/>
              </w:rPr>
              <w:t>6 -&lt; 12 godina</w:t>
            </w:r>
          </w:p>
        </w:tc>
        <w:tc>
          <w:tcPr>
            <w:tcW w:w="567" w:type="dxa"/>
            <w:shd w:val="clear" w:color="auto" w:fill="auto"/>
          </w:tcPr>
          <w:p w:rsidR="00E20CFB" w:rsidRPr="00042A6C" w:rsidRDefault="00E20CFB" w:rsidP="00E20CFB">
            <w:pPr>
              <w:autoSpaceDE w:val="0"/>
              <w:autoSpaceDN w:val="0"/>
              <w:adjustRightInd w:val="0"/>
              <w:rPr>
                <w:b/>
                <w:bCs/>
                <w:sz w:val="22"/>
                <w:szCs w:val="22"/>
                <w:lang w:val="sr-Latn-ME" w:eastAsia="en-GB"/>
              </w:rPr>
            </w:pPr>
          </w:p>
        </w:tc>
        <w:tc>
          <w:tcPr>
            <w:tcW w:w="1134" w:type="dxa"/>
            <w:shd w:val="clear" w:color="auto" w:fill="auto"/>
          </w:tcPr>
          <w:p w:rsidR="00E20CFB" w:rsidRPr="00042A6C" w:rsidRDefault="00E20CFB" w:rsidP="00E20CFB">
            <w:pPr>
              <w:autoSpaceDE w:val="0"/>
              <w:autoSpaceDN w:val="0"/>
              <w:adjustRightInd w:val="0"/>
              <w:rPr>
                <w:b/>
                <w:bCs/>
                <w:sz w:val="22"/>
                <w:szCs w:val="22"/>
                <w:lang w:val="sr-Latn-ME" w:eastAsia="en-GB"/>
              </w:rPr>
            </w:pPr>
          </w:p>
        </w:tc>
        <w:tc>
          <w:tcPr>
            <w:tcW w:w="709" w:type="dxa"/>
            <w:shd w:val="clear" w:color="auto" w:fill="auto"/>
          </w:tcPr>
          <w:p w:rsidR="00E20CFB" w:rsidRPr="00042A6C" w:rsidRDefault="00E20CFB" w:rsidP="00E20CFB">
            <w:pPr>
              <w:autoSpaceDE w:val="0"/>
              <w:autoSpaceDN w:val="0"/>
              <w:adjustRightInd w:val="0"/>
              <w:rPr>
                <w:b/>
                <w:bCs/>
                <w:sz w:val="22"/>
                <w:szCs w:val="22"/>
                <w:lang w:val="sr-Latn-ME" w:eastAsia="en-GB"/>
              </w:rPr>
            </w:pPr>
          </w:p>
        </w:tc>
        <w:tc>
          <w:tcPr>
            <w:tcW w:w="1275" w:type="dxa"/>
            <w:shd w:val="clear" w:color="auto" w:fill="auto"/>
          </w:tcPr>
          <w:p w:rsidR="00E20CFB" w:rsidRPr="00042A6C" w:rsidRDefault="00E20CFB" w:rsidP="00E20CFB">
            <w:pPr>
              <w:autoSpaceDE w:val="0"/>
              <w:autoSpaceDN w:val="0"/>
              <w:adjustRightInd w:val="0"/>
              <w:rPr>
                <w:b/>
                <w:bCs/>
                <w:sz w:val="22"/>
                <w:szCs w:val="22"/>
                <w:lang w:val="sr-Latn-ME" w:eastAsia="en-GB"/>
              </w:rPr>
            </w:pPr>
          </w:p>
        </w:tc>
      </w:tr>
      <w:tr w:rsidR="00E20CFB" w:rsidRPr="00042A6C" w:rsidTr="00E20CFB">
        <w:tc>
          <w:tcPr>
            <w:tcW w:w="1560"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sz w:val="22"/>
                <w:szCs w:val="22"/>
                <w:lang w:val="sr-Latn-ME" w:eastAsia="en-GB"/>
              </w:rPr>
              <w:t>2,5-4h post</w:t>
            </w:r>
          </w:p>
        </w:tc>
        <w:tc>
          <w:tcPr>
            <w:tcW w:w="708"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171</w:t>
            </w:r>
          </w:p>
        </w:tc>
        <w:tc>
          <w:tcPr>
            <w:tcW w:w="1276"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241,5</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(105-484)</w:t>
            </w:r>
          </w:p>
        </w:tc>
        <w:tc>
          <w:tcPr>
            <w:tcW w:w="567"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24</w:t>
            </w:r>
          </w:p>
        </w:tc>
        <w:tc>
          <w:tcPr>
            <w:tcW w:w="1276"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229,7</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(91,5-777)</w:t>
            </w:r>
          </w:p>
        </w:tc>
        <w:tc>
          <w:tcPr>
            <w:tcW w:w="567" w:type="dxa"/>
            <w:shd w:val="clear" w:color="auto" w:fill="auto"/>
          </w:tcPr>
          <w:p w:rsidR="00E20CFB" w:rsidRPr="00042A6C" w:rsidRDefault="00E20CFB" w:rsidP="00E20CFB">
            <w:pPr>
              <w:autoSpaceDE w:val="0"/>
              <w:autoSpaceDN w:val="0"/>
              <w:adjustRightInd w:val="0"/>
              <w:rPr>
                <w:bCs/>
                <w:sz w:val="22"/>
                <w:szCs w:val="22"/>
                <w:lang w:val="sr-Latn-ME" w:eastAsia="en-GB"/>
              </w:rPr>
            </w:pPr>
          </w:p>
        </w:tc>
        <w:tc>
          <w:tcPr>
            <w:tcW w:w="1134" w:type="dxa"/>
            <w:shd w:val="clear" w:color="auto" w:fill="auto"/>
          </w:tcPr>
          <w:p w:rsidR="00E20CFB" w:rsidRPr="00042A6C" w:rsidRDefault="00E20CFB" w:rsidP="00E20CFB">
            <w:pPr>
              <w:autoSpaceDE w:val="0"/>
              <w:autoSpaceDN w:val="0"/>
              <w:adjustRightInd w:val="0"/>
              <w:rPr>
                <w:bCs/>
                <w:sz w:val="22"/>
                <w:szCs w:val="22"/>
                <w:lang w:val="sr-Latn-ME" w:eastAsia="en-GB"/>
              </w:rPr>
            </w:pPr>
          </w:p>
        </w:tc>
        <w:tc>
          <w:tcPr>
            <w:tcW w:w="709" w:type="dxa"/>
            <w:shd w:val="clear" w:color="auto" w:fill="auto"/>
          </w:tcPr>
          <w:p w:rsidR="00E20CFB" w:rsidRPr="00042A6C" w:rsidRDefault="00E20CFB" w:rsidP="00E20CFB">
            <w:pPr>
              <w:autoSpaceDE w:val="0"/>
              <w:autoSpaceDN w:val="0"/>
              <w:adjustRightInd w:val="0"/>
              <w:rPr>
                <w:bCs/>
                <w:sz w:val="22"/>
                <w:szCs w:val="22"/>
                <w:lang w:val="sr-Latn-ME" w:eastAsia="en-GB"/>
              </w:rPr>
            </w:pPr>
          </w:p>
        </w:tc>
        <w:tc>
          <w:tcPr>
            <w:tcW w:w="1275" w:type="dxa"/>
            <w:shd w:val="clear" w:color="auto" w:fill="auto"/>
          </w:tcPr>
          <w:p w:rsidR="00E20CFB" w:rsidRPr="00042A6C" w:rsidRDefault="00E20CFB" w:rsidP="00E20CFB">
            <w:pPr>
              <w:autoSpaceDE w:val="0"/>
              <w:autoSpaceDN w:val="0"/>
              <w:adjustRightInd w:val="0"/>
              <w:rPr>
                <w:bCs/>
                <w:sz w:val="22"/>
                <w:szCs w:val="22"/>
                <w:lang w:val="sr-Latn-ME" w:eastAsia="en-GB"/>
              </w:rPr>
            </w:pPr>
          </w:p>
        </w:tc>
      </w:tr>
      <w:tr w:rsidR="00E20CFB" w:rsidRPr="00042A6C" w:rsidTr="00E20CFB">
        <w:tc>
          <w:tcPr>
            <w:tcW w:w="1560"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sz w:val="22"/>
                <w:szCs w:val="22"/>
                <w:lang w:val="sr-Latn-ME" w:eastAsia="en-GB"/>
              </w:rPr>
              <w:t>20-24h post</w:t>
            </w:r>
          </w:p>
        </w:tc>
        <w:tc>
          <w:tcPr>
            <w:tcW w:w="708"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151</w:t>
            </w:r>
          </w:p>
        </w:tc>
        <w:tc>
          <w:tcPr>
            <w:tcW w:w="1276"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20,6</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(5,69-66,5)</w:t>
            </w:r>
          </w:p>
        </w:tc>
        <w:tc>
          <w:tcPr>
            <w:tcW w:w="567"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24</w:t>
            </w:r>
          </w:p>
        </w:tc>
        <w:tc>
          <w:tcPr>
            <w:tcW w:w="1276"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15,9</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(3,42-45,5)</w:t>
            </w:r>
          </w:p>
        </w:tc>
        <w:tc>
          <w:tcPr>
            <w:tcW w:w="567" w:type="dxa"/>
            <w:shd w:val="clear" w:color="auto" w:fill="auto"/>
          </w:tcPr>
          <w:p w:rsidR="00E20CFB" w:rsidRPr="00042A6C" w:rsidRDefault="00E20CFB" w:rsidP="00E20CFB">
            <w:pPr>
              <w:autoSpaceDE w:val="0"/>
              <w:autoSpaceDN w:val="0"/>
              <w:adjustRightInd w:val="0"/>
              <w:rPr>
                <w:bCs/>
                <w:sz w:val="22"/>
                <w:szCs w:val="22"/>
                <w:lang w:val="sr-Latn-ME" w:eastAsia="en-GB"/>
              </w:rPr>
            </w:pPr>
          </w:p>
        </w:tc>
        <w:tc>
          <w:tcPr>
            <w:tcW w:w="1134" w:type="dxa"/>
            <w:shd w:val="clear" w:color="auto" w:fill="auto"/>
          </w:tcPr>
          <w:p w:rsidR="00E20CFB" w:rsidRPr="00042A6C" w:rsidRDefault="00E20CFB" w:rsidP="00E20CFB">
            <w:pPr>
              <w:autoSpaceDE w:val="0"/>
              <w:autoSpaceDN w:val="0"/>
              <w:adjustRightInd w:val="0"/>
              <w:rPr>
                <w:bCs/>
                <w:sz w:val="22"/>
                <w:szCs w:val="22"/>
                <w:lang w:val="sr-Latn-ME" w:eastAsia="en-GB"/>
              </w:rPr>
            </w:pPr>
          </w:p>
        </w:tc>
        <w:tc>
          <w:tcPr>
            <w:tcW w:w="709" w:type="dxa"/>
            <w:shd w:val="clear" w:color="auto" w:fill="auto"/>
          </w:tcPr>
          <w:p w:rsidR="00E20CFB" w:rsidRPr="00042A6C" w:rsidRDefault="00E20CFB" w:rsidP="00E20CFB">
            <w:pPr>
              <w:autoSpaceDE w:val="0"/>
              <w:autoSpaceDN w:val="0"/>
              <w:adjustRightInd w:val="0"/>
              <w:rPr>
                <w:bCs/>
                <w:sz w:val="22"/>
                <w:szCs w:val="22"/>
                <w:lang w:val="sr-Latn-ME" w:eastAsia="en-GB"/>
              </w:rPr>
            </w:pPr>
          </w:p>
        </w:tc>
        <w:tc>
          <w:tcPr>
            <w:tcW w:w="1275" w:type="dxa"/>
            <w:shd w:val="clear" w:color="auto" w:fill="auto"/>
          </w:tcPr>
          <w:p w:rsidR="00E20CFB" w:rsidRPr="00042A6C" w:rsidRDefault="00E20CFB" w:rsidP="00E20CFB">
            <w:pPr>
              <w:autoSpaceDE w:val="0"/>
              <w:autoSpaceDN w:val="0"/>
              <w:adjustRightInd w:val="0"/>
              <w:rPr>
                <w:bCs/>
                <w:sz w:val="22"/>
                <w:szCs w:val="22"/>
                <w:lang w:val="sr-Latn-ME" w:eastAsia="en-GB"/>
              </w:rPr>
            </w:pPr>
          </w:p>
        </w:tc>
      </w:tr>
      <w:tr w:rsidR="00E20CFB" w:rsidRPr="00042A6C" w:rsidTr="00E20CFB">
        <w:tc>
          <w:tcPr>
            <w:tcW w:w="1560" w:type="dxa"/>
            <w:shd w:val="clear" w:color="auto" w:fill="auto"/>
          </w:tcPr>
          <w:p w:rsidR="00E20CFB" w:rsidRPr="00042A6C" w:rsidRDefault="00E20CFB" w:rsidP="00E20CFB">
            <w:pPr>
              <w:autoSpaceDE w:val="0"/>
              <w:autoSpaceDN w:val="0"/>
              <w:adjustRightInd w:val="0"/>
              <w:rPr>
                <w:b/>
                <w:bCs/>
                <w:sz w:val="22"/>
                <w:szCs w:val="22"/>
                <w:lang w:val="sr-Latn-ME" w:eastAsia="en-GB"/>
              </w:rPr>
            </w:pPr>
            <w:r w:rsidRPr="00042A6C">
              <w:rPr>
                <w:b/>
                <w:sz w:val="22"/>
                <w:szCs w:val="22"/>
                <w:lang w:val="sr-Latn-ME" w:eastAsia="en-GB"/>
              </w:rPr>
              <w:t>b.i.d.</w:t>
            </w:r>
          </w:p>
        </w:tc>
        <w:tc>
          <w:tcPr>
            <w:tcW w:w="708" w:type="dxa"/>
            <w:shd w:val="clear" w:color="auto" w:fill="auto"/>
          </w:tcPr>
          <w:p w:rsidR="00E20CFB" w:rsidRPr="00042A6C" w:rsidRDefault="00E20CFB" w:rsidP="00E20CFB">
            <w:pPr>
              <w:autoSpaceDE w:val="0"/>
              <w:autoSpaceDN w:val="0"/>
              <w:adjustRightInd w:val="0"/>
              <w:rPr>
                <w:b/>
                <w:bCs/>
                <w:sz w:val="22"/>
                <w:szCs w:val="22"/>
                <w:lang w:val="sr-Latn-ME" w:eastAsia="en-GB"/>
              </w:rPr>
            </w:pPr>
            <w:r w:rsidRPr="00042A6C">
              <w:rPr>
                <w:b/>
                <w:bCs/>
                <w:sz w:val="22"/>
                <w:szCs w:val="22"/>
                <w:lang w:val="sr-Latn-ME" w:eastAsia="en-GB"/>
              </w:rPr>
              <w:t>N</w:t>
            </w:r>
          </w:p>
        </w:tc>
        <w:tc>
          <w:tcPr>
            <w:tcW w:w="1276" w:type="dxa"/>
            <w:shd w:val="clear" w:color="auto" w:fill="auto"/>
          </w:tcPr>
          <w:p w:rsidR="00E20CFB" w:rsidRPr="00042A6C" w:rsidRDefault="00E20CFB" w:rsidP="00E20CFB">
            <w:pPr>
              <w:autoSpaceDE w:val="0"/>
              <w:autoSpaceDN w:val="0"/>
              <w:adjustRightInd w:val="0"/>
              <w:rPr>
                <w:b/>
                <w:sz w:val="22"/>
                <w:szCs w:val="22"/>
                <w:lang w:val="sr-Latn-ME" w:eastAsia="en-GB"/>
              </w:rPr>
            </w:pPr>
            <w:r w:rsidRPr="00042A6C">
              <w:rPr>
                <w:b/>
                <w:sz w:val="22"/>
                <w:szCs w:val="22"/>
                <w:lang w:val="sr-Latn-ME" w:eastAsia="en-GB"/>
              </w:rPr>
              <w:t>6 -&lt; 12 godina</w:t>
            </w:r>
          </w:p>
        </w:tc>
        <w:tc>
          <w:tcPr>
            <w:tcW w:w="567" w:type="dxa"/>
            <w:shd w:val="clear" w:color="auto" w:fill="auto"/>
          </w:tcPr>
          <w:p w:rsidR="00E20CFB" w:rsidRPr="00042A6C" w:rsidRDefault="00E20CFB" w:rsidP="00E20CFB">
            <w:pPr>
              <w:autoSpaceDE w:val="0"/>
              <w:autoSpaceDN w:val="0"/>
              <w:adjustRightInd w:val="0"/>
              <w:rPr>
                <w:b/>
                <w:bCs/>
                <w:sz w:val="22"/>
                <w:szCs w:val="22"/>
                <w:lang w:val="sr-Latn-ME" w:eastAsia="en-GB"/>
              </w:rPr>
            </w:pPr>
            <w:r w:rsidRPr="00042A6C">
              <w:rPr>
                <w:b/>
                <w:bCs/>
                <w:sz w:val="22"/>
                <w:szCs w:val="22"/>
                <w:lang w:val="sr-Latn-ME" w:eastAsia="en-GB"/>
              </w:rPr>
              <w:t>N</w:t>
            </w:r>
          </w:p>
        </w:tc>
        <w:tc>
          <w:tcPr>
            <w:tcW w:w="1276" w:type="dxa"/>
            <w:shd w:val="clear" w:color="auto" w:fill="auto"/>
          </w:tcPr>
          <w:p w:rsidR="00E20CFB" w:rsidRPr="00042A6C" w:rsidRDefault="00E20CFB" w:rsidP="00E20CFB">
            <w:pPr>
              <w:autoSpaceDE w:val="0"/>
              <w:autoSpaceDN w:val="0"/>
              <w:adjustRightInd w:val="0"/>
              <w:rPr>
                <w:b/>
                <w:sz w:val="22"/>
                <w:szCs w:val="22"/>
                <w:lang w:val="sr-Latn-ME" w:eastAsia="en-GB"/>
              </w:rPr>
            </w:pPr>
            <w:r w:rsidRPr="00042A6C">
              <w:rPr>
                <w:b/>
                <w:sz w:val="22"/>
                <w:szCs w:val="22"/>
                <w:lang w:val="sr-Latn-ME" w:eastAsia="en-GB"/>
              </w:rPr>
              <w:t>2 -&lt; 6 godina</w:t>
            </w:r>
          </w:p>
        </w:tc>
        <w:tc>
          <w:tcPr>
            <w:tcW w:w="567" w:type="dxa"/>
            <w:shd w:val="clear" w:color="auto" w:fill="auto"/>
          </w:tcPr>
          <w:p w:rsidR="00E20CFB" w:rsidRPr="00042A6C" w:rsidRDefault="00E20CFB" w:rsidP="00E20CFB">
            <w:pPr>
              <w:autoSpaceDE w:val="0"/>
              <w:autoSpaceDN w:val="0"/>
              <w:adjustRightInd w:val="0"/>
              <w:rPr>
                <w:b/>
                <w:bCs/>
                <w:sz w:val="22"/>
                <w:szCs w:val="22"/>
                <w:lang w:val="sr-Latn-ME" w:eastAsia="en-GB"/>
              </w:rPr>
            </w:pPr>
            <w:r w:rsidRPr="00042A6C">
              <w:rPr>
                <w:b/>
                <w:bCs/>
                <w:sz w:val="22"/>
                <w:szCs w:val="22"/>
                <w:lang w:val="sr-Latn-ME" w:eastAsia="en-GB"/>
              </w:rPr>
              <w:t>N</w:t>
            </w:r>
          </w:p>
        </w:tc>
        <w:tc>
          <w:tcPr>
            <w:tcW w:w="1134" w:type="dxa"/>
            <w:shd w:val="clear" w:color="auto" w:fill="auto"/>
          </w:tcPr>
          <w:p w:rsidR="00E20CFB" w:rsidRPr="00042A6C" w:rsidRDefault="00E20CFB" w:rsidP="00704D97">
            <w:pPr>
              <w:autoSpaceDE w:val="0"/>
              <w:autoSpaceDN w:val="0"/>
              <w:adjustRightInd w:val="0"/>
              <w:rPr>
                <w:b/>
                <w:sz w:val="22"/>
                <w:szCs w:val="22"/>
                <w:lang w:val="sr-Latn-ME" w:eastAsia="en-GB"/>
              </w:rPr>
            </w:pPr>
            <w:r w:rsidRPr="00042A6C">
              <w:rPr>
                <w:b/>
                <w:sz w:val="22"/>
                <w:szCs w:val="22"/>
                <w:lang w:val="sr-Latn-ME" w:eastAsia="en-GB"/>
              </w:rPr>
              <w:t>0</w:t>
            </w:r>
            <w:r w:rsidR="00704D97" w:rsidRPr="00042A6C">
              <w:rPr>
                <w:b/>
                <w:sz w:val="22"/>
                <w:szCs w:val="22"/>
                <w:lang w:val="sr-Latn-ME" w:eastAsia="en-GB"/>
              </w:rPr>
              <w:t>,</w:t>
            </w:r>
            <w:r w:rsidRPr="00042A6C">
              <w:rPr>
                <w:b/>
                <w:sz w:val="22"/>
                <w:szCs w:val="22"/>
                <w:lang w:val="sr-Latn-ME" w:eastAsia="en-GB"/>
              </w:rPr>
              <w:t>5 -&lt; 2 godina</w:t>
            </w:r>
          </w:p>
        </w:tc>
        <w:tc>
          <w:tcPr>
            <w:tcW w:w="709" w:type="dxa"/>
            <w:shd w:val="clear" w:color="auto" w:fill="auto"/>
          </w:tcPr>
          <w:p w:rsidR="00E20CFB" w:rsidRPr="00042A6C" w:rsidRDefault="00E20CFB" w:rsidP="00E20CFB">
            <w:pPr>
              <w:autoSpaceDE w:val="0"/>
              <w:autoSpaceDN w:val="0"/>
              <w:adjustRightInd w:val="0"/>
              <w:rPr>
                <w:b/>
                <w:bCs/>
                <w:sz w:val="22"/>
                <w:szCs w:val="22"/>
                <w:lang w:val="sr-Latn-ME" w:eastAsia="en-GB"/>
              </w:rPr>
            </w:pPr>
          </w:p>
        </w:tc>
        <w:tc>
          <w:tcPr>
            <w:tcW w:w="1275" w:type="dxa"/>
            <w:shd w:val="clear" w:color="auto" w:fill="auto"/>
          </w:tcPr>
          <w:p w:rsidR="00E20CFB" w:rsidRPr="00042A6C" w:rsidRDefault="00E20CFB" w:rsidP="00E20CFB">
            <w:pPr>
              <w:autoSpaceDE w:val="0"/>
              <w:autoSpaceDN w:val="0"/>
              <w:adjustRightInd w:val="0"/>
              <w:rPr>
                <w:bCs/>
                <w:sz w:val="22"/>
                <w:szCs w:val="22"/>
                <w:lang w:val="sr-Latn-ME" w:eastAsia="en-GB"/>
              </w:rPr>
            </w:pPr>
          </w:p>
        </w:tc>
      </w:tr>
      <w:tr w:rsidR="00E20CFB" w:rsidRPr="00042A6C" w:rsidTr="00E20CFB">
        <w:tc>
          <w:tcPr>
            <w:tcW w:w="1560"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sz w:val="22"/>
                <w:szCs w:val="22"/>
                <w:lang w:val="sr-Latn-ME" w:eastAsia="en-GB"/>
              </w:rPr>
              <w:lastRenderedPageBreak/>
              <w:t>2,5-4h post</w:t>
            </w:r>
          </w:p>
        </w:tc>
        <w:tc>
          <w:tcPr>
            <w:tcW w:w="708"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36</w:t>
            </w:r>
          </w:p>
        </w:tc>
        <w:tc>
          <w:tcPr>
            <w:tcW w:w="1276"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145,4</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(46,0-343)</w:t>
            </w:r>
          </w:p>
        </w:tc>
        <w:tc>
          <w:tcPr>
            <w:tcW w:w="567"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38</w:t>
            </w:r>
          </w:p>
        </w:tc>
        <w:tc>
          <w:tcPr>
            <w:tcW w:w="1276"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171,8</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(70,7-438)</w:t>
            </w:r>
          </w:p>
        </w:tc>
        <w:tc>
          <w:tcPr>
            <w:tcW w:w="567"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2</w:t>
            </w:r>
          </w:p>
        </w:tc>
        <w:tc>
          <w:tcPr>
            <w:tcW w:w="1134"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n.c.</w:t>
            </w:r>
          </w:p>
        </w:tc>
        <w:tc>
          <w:tcPr>
            <w:tcW w:w="709" w:type="dxa"/>
            <w:shd w:val="clear" w:color="auto" w:fill="auto"/>
          </w:tcPr>
          <w:p w:rsidR="00E20CFB" w:rsidRPr="00042A6C" w:rsidRDefault="00E20CFB" w:rsidP="00E20CFB">
            <w:pPr>
              <w:autoSpaceDE w:val="0"/>
              <w:autoSpaceDN w:val="0"/>
              <w:adjustRightInd w:val="0"/>
              <w:rPr>
                <w:bCs/>
                <w:sz w:val="22"/>
                <w:szCs w:val="22"/>
                <w:lang w:val="sr-Latn-ME" w:eastAsia="en-GB"/>
              </w:rPr>
            </w:pPr>
          </w:p>
        </w:tc>
        <w:tc>
          <w:tcPr>
            <w:tcW w:w="1275" w:type="dxa"/>
            <w:shd w:val="clear" w:color="auto" w:fill="auto"/>
          </w:tcPr>
          <w:p w:rsidR="00E20CFB" w:rsidRPr="00042A6C" w:rsidRDefault="00E20CFB" w:rsidP="00E20CFB">
            <w:pPr>
              <w:autoSpaceDE w:val="0"/>
              <w:autoSpaceDN w:val="0"/>
              <w:adjustRightInd w:val="0"/>
              <w:rPr>
                <w:bCs/>
                <w:sz w:val="22"/>
                <w:szCs w:val="22"/>
                <w:lang w:val="sr-Latn-ME" w:eastAsia="en-GB"/>
              </w:rPr>
            </w:pPr>
          </w:p>
        </w:tc>
      </w:tr>
      <w:tr w:rsidR="00E20CFB" w:rsidRPr="00042A6C" w:rsidTr="00E20CFB">
        <w:tc>
          <w:tcPr>
            <w:tcW w:w="1560"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sz w:val="22"/>
                <w:szCs w:val="22"/>
                <w:lang w:val="sr-Latn-ME" w:eastAsia="en-GB"/>
              </w:rPr>
              <w:t>10-16h post</w:t>
            </w:r>
          </w:p>
        </w:tc>
        <w:tc>
          <w:tcPr>
            <w:tcW w:w="708"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33</w:t>
            </w:r>
          </w:p>
        </w:tc>
        <w:tc>
          <w:tcPr>
            <w:tcW w:w="1276"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26,0</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(7,99-94,9)</w:t>
            </w:r>
          </w:p>
        </w:tc>
        <w:tc>
          <w:tcPr>
            <w:tcW w:w="567"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37</w:t>
            </w:r>
          </w:p>
        </w:tc>
        <w:tc>
          <w:tcPr>
            <w:tcW w:w="1276"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22,2</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(0,25-127)</w:t>
            </w:r>
          </w:p>
        </w:tc>
        <w:tc>
          <w:tcPr>
            <w:tcW w:w="567"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3</w:t>
            </w:r>
          </w:p>
        </w:tc>
        <w:tc>
          <w:tcPr>
            <w:tcW w:w="1134"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10,7</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(n.c.-n.c.)</w:t>
            </w:r>
          </w:p>
        </w:tc>
        <w:tc>
          <w:tcPr>
            <w:tcW w:w="709" w:type="dxa"/>
            <w:shd w:val="clear" w:color="auto" w:fill="auto"/>
          </w:tcPr>
          <w:p w:rsidR="00E20CFB" w:rsidRPr="00042A6C" w:rsidRDefault="00E20CFB" w:rsidP="00E20CFB">
            <w:pPr>
              <w:autoSpaceDE w:val="0"/>
              <w:autoSpaceDN w:val="0"/>
              <w:adjustRightInd w:val="0"/>
              <w:rPr>
                <w:bCs/>
                <w:sz w:val="22"/>
                <w:szCs w:val="22"/>
                <w:lang w:val="sr-Latn-ME" w:eastAsia="en-GB"/>
              </w:rPr>
            </w:pPr>
          </w:p>
        </w:tc>
        <w:tc>
          <w:tcPr>
            <w:tcW w:w="1275" w:type="dxa"/>
            <w:shd w:val="clear" w:color="auto" w:fill="auto"/>
          </w:tcPr>
          <w:p w:rsidR="00E20CFB" w:rsidRPr="00042A6C" w:rsidRDefault="00E20CFB" w:rsidP="00E20CFB">
            <w:pPr>
              <w:autoSpaceDE w:val="0"/>
              <w:autoSpaceDN w:val="0"/>
              <w:adjustRightInd w:val="0"/>
              <w:rPr>
                <w:bCs/>
                <w:sz w:val="22"/>
                <w:szCs w:val="22"/>
                <w:lang w:val="sr-Latn-ME" w:eastAsia="en-GB"/>
              </w:rPr>
            </w:pPr>
          </w:p>
        </w:tc>
      </w:tr>
      <w:tr w:rsidR="00E20CFB" w:rsidRPr="00042A6C" w:rsidTr="00E20CFB">
        <w:tc>
          <w:tcPr>
            <w:tcW w:w="1560" w:type="dxa"/>
            <w:shd w:val="clear" w:color="auto" w:fill="auto"/>
          </w:tcPr>
          <w:p w:rsidR="00E20CFB" w:rsidRPr="00042A6C" w:rsidRDefault="00E20CFB" w:rsidP="00E20CFB">
            <w:pPr>
              <w:autoSpaceDE w:val="0"/>
              <w:autoSpaceDN w:val="0"/>
              <w:adjustRightInd w:val="0"/>
              <w:rPr>
                <w:b/>
                <w:bCs/>
                <w:sz w:val="22"/>
                <w:szCs w:val="22"/>
                <w:lang w:val="sr-Latn-ME" w:eastAsia="en-GB"/>
              </w:rPr>
            </w:pPr>
            <w:r w:rsidRPr="00042A6C">
              <w:rPr>
                <w:b/>
                <w:sz w:val="22"/>
                <w:szCs w:val="22"/>
                <w:lang w:val="sr-Latn-ME" w:eastAsia="en-GB"/>
              </w:rPr>
              <w:t>t.i.d.</w:t>
            </w:r>
          </w:p>
        </w:tc>
        <w:tc>
          <w:tcPr>
            <w:tcW w:w="708" w:type="dxa"/>
            <w:shd w:val="clear" w:color="auto" w:fill="auto"/>
          </w:tcPr>
          <w:p w:rsidR="00E20CFB" w:rsidRPr="00042A6C" w:rsidRDefault="00E20CFB" w:rsidP="00E20CFB">
            <w:pPr>
              <w:autoSpaceDE w:val="0"/>
              <w:autoSpaceDN w:val="0"/>
              <w:adjustRightInd w:val="0"/>
              <w:rPr>
                <w:b/>
                <w:bCs/>
                <w:sz w:val="22"/>
                <w:szCs w:val="22"/>
                <w:lang w:val="sr-Latn-ME" w:eastAsia="en-GB"/>
              </w:rPr>
            </w:pPr>
            <w:r w:rsidRPr="00042A6C">
              <w:rPr>
                <w:b/>
                <w:bCs/>
                <w:sz w:val="22"/>
                <w:szCs w:val="22"/>
                <w:lang w:val="sr-Latn-ME" w:eastAsia="en-GB"/>
              </w:rPr>
              <w:t>N</w:t>
            </w:r>
          </w:p>
        </w:tc>
        <w:tc>
          <w:tcPr>
            <w:tcW w:w="1276" w:type="dxa"/>
            <w:shd w:val="clear" w:color="auto" w:fill="auto"/>
          </w:tcPr>
          <w:p w:rsidR="00E20CFB" w:rsidRPr="00042A6C" w:rsidRDefault="00E20CFB" w:rsidP="00E20CFB">
            <w:pPr>
              <w:autoSpaceDE w:val="0"/>
              <w:autoSpaceDN w:val="0"/>
              <w:adjustRightInd w:val="0"/>
              <w:rPr>
                <w:b/>
                <w:sz w:val="22"/>
                <w:szCs w:val="22"/>
                <w:lang w:val="sr-Latn-ME" w:eastAsia="en-GB"/>
              </w:rPr>
            </w:pPr>
            <w:r w:rsidRPr="00042A6C">
              <w:rPr>
                <w:b/>
                <w:sz w:val="22"/>
                <w:szCs w:val="22"/>
                <w:lang w:val="sr-Latn-ME" w:eastAsia="en-GB"/>
              </w:rPr>
              <w:t>2 -&lt; 6 godina</w:t>
            </w:r>
          </w:p>
        </w:tc>
        <w:tc>
          <w:tcPr>
            <w:tcW w:w="567" w:type="dxa"/>
            <w:shd w:val="clear" w:color="auto" w:fill="auto"/>
          </w:tcPr>
          <w:p w:rsidR="00E20CFB" w:rsidRPr="00042A6C" w:rsidRDefault="00E20CFB" w:rsidP="00E20CFB">
            <w:pPr>
              <w:autoSpaceDE w:val="0"/>
              <w:autoSpaceDN w:val="0"/>
              <w:adjustRightInd w:val="0"/>
              <w:rPr>
                <w:b/>
                <w:bCs/>
                <w:sz w:val="22"/>
                <w:szCs w:val="22"/>
                <w:lang w:val="sr-Latn-ME" w:eastAsia="en-GB"/>
              </w:rPr>
            </w:pPr>
            <w:r w:rsidRPr="00042A6C">
              <w:rPr>
                <w:b/>
                <w:bCs/>
                <w:sz w:val="22"/>
                <w:szCs w:val="22"/>
                <w:lang w:val="sr-Latn-ME" w:eastAsia="en-GB"/>
              </w:rPr>
              <w:t>N</w:t>
            </w:r>
          </w:p>
        </w:tc>
        <w:tc>
          <w:tcPr>
            <w:tcW w:w="1276" w:type="dxa"/>
            <w:shd w:val="clear" w:color="auto" w:fill="auto"/>
          </w:tcPr>
          <w:p w:rsidR="00E20CFB" w:rsidRPr="00042A6C" w:rsidRDefault="00E20CFB" w:rsidP="00E20CFB">
            <w:pPr>
              <w:autoSpaceDE w:val="0"/>
              <w:autoSpaceDN w:val="0"/>
              <w:adjustRightInd w:val="0"/>
              <w:rPr>
                <w:b/>
                <w:sz w:val="22"/>
                <w:szCs w:val="22"/>
                <w:lang w:val="sr-Latn-ME" w:eastAsia="en-GB"/>
              </w:rPr>
            </w:pPr>
            <w:r w:rsidRPr="00042A6C">
              <w:rPr>
                <w:b/>
                <w:sz w:val="22"/>
                <w:szCs w:val="22"/>
                <w:lang w:val="sr-Latn-ME" w:eastAsia="en-GB"/>
              </w:rPr>
              <w:t>rođenje -&lt; 2 godina</w:t>
            </w:r>
          </w:p>
        </w:tc>
        <w:tc>
          <w:tcPr>
            <w:tcW w:w="567" w:type="dxa"/>
            <w:shd w:val="clear" w:color="auto" w:fill="auto"/>
          </w:tcPr>
          <w:p w:rsidR="00E20CFB" w:rsidRPr="00042A6C" w:rsidRDefault="00E20CFB" w:rsidP="00E20CFB">
            <w:pPr>
              <w:autoSpaceDE w:val="0"/>
              <w:autoSpaceDN w:val="0"/>
              <w:adjustRightInd w:val="0"/>
              <w:rPr>
                <w:b/>
                <w:bCs/>
                <w:sz w:val="22"/>
                <w:szCs w:val="22"/>
                <w:lang w:val="sr-Latn-ME" w:eastAsia="en-GB"/>
              </w:rPr>
            </w:pPr>
            <w:r w:rsidRPr="00042A6C">
              <w:rPr>
                <w:b/>
                <w:bCs/>
                <w:sz w:val="22"/>
                <w:szCs w:val="22"/>
                <w:lang w:val="sr-Latn-ME" w:eastAsia="en-GB"/>
              </w:rPr>
              <w:t>N</w:t>
            </w:r>
          </w:p>
        </w:tc>
        <w:tc>
          <w:tcPr>
            <w:tcW w:w="1134" w:type="dxa"/>
            <w:shd w:val="clear" w:color="auto" w:fill="auto"/>
          </w:tcPr>
          <w:p w:rsidR="00E20CFB" w:rsidRPr="00042A6C" w:rsidRDefault="00E20CFB" w:rsidP="00704D97">
            <w:pPr>
              <w:autoSpaceDE w:val="0"/>
              <w:autoSpaceDN w:val="0"/>
              <w:adjustRightInd w:val="0"/>
              <w:rPr>
                <w:b/>
                <w:sz w:val="22"/>
                <w:szCs w:val="22"/>
                <w:lang w:val="sr-Latn-ME" w:eastAsia="en-GB"/>
              </w:rPr>
            </w:pPr>
            <w:r w:rsidRPr="00042A6C">
              <w:rPr>
                <w:b/>
                <w:sz w:val="22"/>
                <w:szCs w:val="22"/>
                <w:lang w:val="sr-Latn-ME" w:eastAsia="en-GB"/>
              </w:rPr>
              <w:t>0</w:t>
            </w:r>
            <w:r w:rsidR="00704D97" w:rsidRPr="00042A6C">
              <w:rPr>
                <w:b/>
                <w:sz w:val="22"/>
                <w:szCs w:val="22"/>
                <w:lang w:val="sr-Latn-ME" w:eastAsia="en-GB"/>
              </w:rPr>
              <w:t>,</w:t>
            </w:r>
            <w:r w:rsidRPr="00042A6C">
              <w:rPr>
                <w:b/>
                <w:sz w:val="22"/>
                <w:szCs w:val="22"/>
                <w:lang w:val="sr-Latn-ME" w:eastAsia="en-GB"/>
              </w:rPr>
              <w:t>5 -&lt; 2 godina</w:t>
            </w:r>
          </w:p>
        </w:tc>
        <w:tc>
          <w:tcPr>
            <w:tcW w:w="709" w:type="dxa"/>
            <w:shd w:val="clear" w:color="auto" w:fill="auto"/>
          </w:tcPr>
          <w:p w:rsidR="00E20CFB" w:rsidRPr="00042A6C" w:rsidRDefault="00E20CFB" w:rsidP="00E20CFB">
            <w:pPr>
              <w:autoSpaceDE w:val="0"/>
              <w:autoSpaceDN w:val="0"/>
              <w:adjustRightInd w:val="0"/>
              <w:rPr>
                <w:b/>
                <w:bCs/>
                <w:sz w:val="22"/>
                <w:szCs w:val="22"/>
                <w:lang w:val="sr-Latn-ME" w:eastAsia="en-GB"/>
              </w:rPr>
            </w:pPr>
            <w:r w:rsidRPr="00042A6C">
              <w:rPr>
                <w:b/>
                <w:bCs/>
                <w:sz w:val="22"/>
                <w:szCs w:val="22"/>
                <w:lang w:val="sr-Latn-ME" w:eastAsia="en-GB"/>
              </w:rPr>
              <w:t>N</w:t>
            </w:r>
          </w:p>
        </w:tc>
        <w:tc>
          <w:tcPr>
            <w:tcW w:w="1275" w:type="dxa"/>
            <w:shd w:val="clear" w:color="auto" w:fill="auto"/>
          </w:tcPr>
          <w:p w:rsidR="00E20CFB" w:rsidRPr="00042A6C" w:rsidRDefault="00E20CFB" w:rsidP="00704D97">
            <w:pPr>
              <w:autoSpaceDE w:val="0"/>
              <w:autoSpaceDN w:val="0"/>
              <w:adjustRightInd w:val="0"/>
              <w:rPr>
                <w:b/>
                <w:sz w:val="22"/>
                <w:szCs w:val="22"/>
                <w:lang w:val="sr-Latn-ME" w:eastAsia="en-GB"/>
              </w:rPr>
            </w:pPr>
            <w:r w:rsidRPr="00042A6C">
              <w:rPr>
                <w:b/>
                <w:sz w:val="22"/>
                <w:szCs w:val="22"/>
                <w:lang w:val="sr-Latn-ME" w:eastAsia="en-GB"/>
              </w:rPr>
              <w:t>rođenje -&lt; 0</w:t>
            </w:r>
            <w:r w:rsidR="00704D97" w:rsidRPr="00042A6C">
              <w:rPr>
                <w:b/>
                <w:sz w:val="22"/>
                <w:szCs w:val="22"/>
                <w:lang w:val="sr-Latn-ME" w:eastAsia="en-GB"/>
              </w:rPr>
              <w:t>,</w:t>
            </w:r>
            <w:r w:rsidRPr="00042A6C">
              <w:rPr>
                <w:b/>
                <w:sz w:val="22"/>
                <w:szCs w:val="22"/>
                <w:lang w:val="sr-Latn-ME" w:eastAsia="en-GB"/>
              </w:rPr>
              <w:t>5 godina</w:t>
            </w:r>
          </w:p>
        </w:tc>
      </w:tr>
      <w:tr w:rsidR="00E20CFB" w:rsidRPr="00042A6C" w:rsidTr="00E20CFB">
        <w:tc>
          <w:tcPr>
            <w:tcW w:w="1560"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sz w:val="22"/>
                <w:szCs w:val="22"/>
                <w:lang w:val="sr-Latn-ME" w:eastAsia="en-GB"/>
              </w:rPr>
              <w:t>0,5-3h post</w:t>
            </w:r>
          </w:p>
        </w:tc>
        <w:tc>
          <w:tcPr>
            <w:tcW w:w="708"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5</w:t>
            </w:r>
          </w:p>
        </w:tc>
        <w:tc>
          <w:tcPr>
            <w:tcW w:w="1276"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164,7</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(108-283)</w:t>
            </w:r>
          </w:p>
        </w:tc>
        <w:tc>
          <w:tcPr>
            <w:tcW w:w="567"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25</w:t>
            </w:r>
          </w:p>
        </w:tc>
        <w:tc>
          <w:tcPr>
            <w:tcW w:w="1276"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111,2</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(22,9-320)</w:t>
            </w:r>
          </w:p>
        </w:tc>
        <w:tc>
          <w:tcPr>
            <w:tcW w:w="567"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13</w:t>
            </w:r>
          </w:p>
        </w:tc>
        <w:tc>
          <w:tcPr>
            <w:tcW w:w="1134"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114,3</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(22,9-346)</w:t>
            </w:r>
          </w:p>
        </w:tc>
        <w:tc>
          <w:tcPr>
            <w:tcW w:w="709"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12</w:t>
            </w:r>
          </w:p>
        </w:tc>
        <w:tc>
          <w:tcPr>
            <w:tcW w:w="1275"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108,0</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(19,2-320)</w:t>
            </w:r>
          </w:p>
        </w:tc>
      </w:tr>
      <w:tr w:rsidR="00E20CFB" w:rsidRPr="00042A6C" w:rsidTr="00E20CFB">
        <w:tc>
          <w:tcPr>
            <w:tcW w:w="1560"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sz w:val="22"/>
                <w:szCs w:val="22"/>
                <w:lang w:val="sr-Latn-ME" w:eastAsia="en-GB"/>
              </w:rPr>
              <w:t>7-8h post</w:t>
            </w:r>
          </w:p>
        </w:tc>
        <w:tc>
          <w:tcPr>
            <w:tcW w:w="708"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3</w:t>
            </w:r>
          </w:p>
        </w:tc>
        <w:tc>
          <w:tcPr>
            <w:tcW w:w="1276"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33,2</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(18,7-99,7)</w:t>
            </w:r>
          </w:p>
        </w:tc>
        <w:tc>
          <w:tcPr>
            <w:tcW w:w="567"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23</w:t>
            </w:r>
          </w:p>
        </w:tc>
        <w:tc>
          <w:tcPr>
            <w:tcW w:w="1276"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18,7</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(10,1-36,5)</w:t>
            </w:r>
          </w:p>
        </w:tc>
        <w:tc>
          <w:tcPr>
            <w:tcW w:w="567"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12</w:t>
            </w:r>
          </w:p>
        </w:tc>
        <w:tc>
          <w:tcPr>
            <w:tcW w:w="1134"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21,4</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(10,5-65,6)</w:t>
            </w:r>
          </w:p>
        </w:tc>
        <w:tc>
          <w:tcPr>
            <w:tcW w:w="709" w:type="dxa"/>
            <w:shd w:val="clear" w:color="auto" w:fill="auto"/>
          </w:tcPr>
          <w:p w:rsidR="00E20CFB" w:rsidRPr="00042A6C" w:rsidRDefault="00E20CFB" w:rsidP="00E20CFB">
            <w:pPr>
              <w:autoSpaceDE w:val="0"/>
              <w:autoSpaceDN w:val="0"/>
              <w:adjustRightInd w:val="0"/>
              <w:rPr>
                <w:bCs/>
                <w:sz w:val="22"/>
                <w:szCs w:val="22"/>
                <w:lang w:val="sr-Latn-ME" w:eastAsia="en-GB"/>
              </w:rPr>
            </w:pPr>
            <w:r w:rsidRPr="00042A6C">
              <w:rPr>
                <w:bCs/>
                <w:sz w:val="22"/>
                <w:szCs w:val="22"/>
                <w:lang w:val="sr-Latn-ME" w:eastAsia="en-GB"/>
              </w:rPr>
              <w:t>11</w:t>
            </w:r>
          </w:p>
        </w:tc>
        <w:tc>
          <w:tcPr>
            <w:tcW w:w="1275" w:type="dxa"/>
            <w:shd w:val="clear" w:color="auto" w:fill="auto"/>
          </w:tcPr>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16,1</w:t>
            </w:r>
          </w:p>
          <w:p w:rsidR="00E20CFB" w:rsidRPr="00042A6C" w:rsidRDefault="00E20CFB" w:rsidP="00E20CFB">
            <w:pPr>
              <w:autoSpaceDE w:val="0"/>
              <w:autoSpaceDN w:val="0"/>
              <w:adjustRightInd w:val="0"/>
              <w:rPr>
                <w:sz w:val="22"/>
                <w:szCs w:val="22"/>
                <w:lang w:val="sr-Latn-ME" w:eastAsia="en-GB"/>
              </w:rPr>
            </w:pPr>
            <w:r w:rsidRPr="00042A6C">
              <w:rPr>
                <w:sz w:val="22"/>
                <w:szCs w:val="22"/>
                <w:lang w:val="sr-Latn-ME" w:eastAsia="en-GB"/>
              </w:rPr>
              <w:t>(1,03-33,6)</w:t>
            </w:r>
          </w:p>
        </w:tc>
      </w:tr>
    </w:tbl>
    <w:p w:rsidR="00E20CFB" w:rsidRPr="00042A6C" w:rsidRDefault="00E20CFB" w:rsidP="00E20CFB">
      <w:pPr>
        <w:tabs>
          <w:tab w:val="left" w:pos="540"/>
          <w:tab w:val="left" w:pos="569"/>
        </w:tabs>
        <w:jc w:val="both"/>
        <w:rPr>
          <w:bCs/>
          <w:sz w:val="22"/>
          <w:szCs w:val="22"/>
          <w:lang w:val="sr-Latn-ME"/>
        </w:rPr>
      </w:pPr>
      <w:r w:rsidRPr="00042A6C">
        <w:rPr>
          <w:bCs/>
          <w:sz w:val="22"/>
          <w:szCs w:val="22"/>
          <w:lang w:val="sr-Latn-ME"/>
        </w:rPr>
        <w:t xml:space="preserve">o.d. = jednom dnevno, b.i.d. = dvaput dnevno, t.i.d. = triput dnevno, n.c. = nije </w:t>
      </w:r>
      <w:r w:rsidR="00FA68A1" w:rsidRPr="00042A6C">
        <w:rPr>
          <w:bCs/>
          <w:sz w:val="22"/>
          <w:szCs w:val="22"/>
          <w:lang w:val="sr-Latn-ME"/>
        </w:rPr>
        <w:t>izračunato</w:t>
      </w:r>
      <w:r w:rsidRPr="00042A6C">
        <w:rPr>
          <w:bCs/>
          <w:sz w:val="22"/>
          <w:szCs w:val="22"/>
          <w:lang w:val="sr-Latn-ME"/>
        </w:rPr>
        <w:t>, post = nakon doziranja</w:t>
      </w:r>
    </w:p>
    <w:p w:rsidR="004476F6" w:rsidRPr="00042A6C" w:rsidRDefault="004476F6" w:rsidP="004476F6">
      <w:pPr>
        <w:tabs>
          <w:tab w:val="left" w:pos="540"/>
          <w:tab w:val="left" w:pos="569"/>
        </w:tabs>
        <w:jc w:val="both"/>
        <w:rPr>
          <w:bCs/>
          <w:sz w:val="22"/>
          <w:szCs w:val="22"/>
          <w:lang w:val="sr-Latn-ME"/>
        </w:rPr>
      </w:pPr>
    </w:p>
    <w:p w:rsidR="00E20CFB" w:rsidRPr="00042A6C" w:rsidRDefault="00E20CFB" w:rsidP="00E20CFB">
      <w:pPr>
        <w:tabs>
          <w:tab w:val="left" w:pos="540"/>
          <w:tab w:val="left" w:pos="569"/>
        </w:tabs>
        <w:jc w:val="both"/>
        <w:rPr>
          <w:bCs/>
          <w:sz w:val="22"/>
          <w:szCs w:val="22"/>
          <w:lang w:val="sr-Latn-ME"/>
        </w:rPr>
      </w:pPr>
      <w:r w:rsidRPr="00042A6C">
        <w:rPr>
          <w:bCs/>
          <w:sz w:val="22"/>
          <w:szCs w:val="22"/>
          <w:lang w:val="sr-Latn-ME"/>
        </w:rPr>
        <w:t xml:space="preserve">Vrijednosti niže od donje granice kvantifikacije (engl. </w:t>
      </w:r>
      <w:r w:rsidRPr="00042A6C">
        <w:rPr>
          <w:bCs/>
          <w:i/>
          <w:iCs/>
          <w:sz w:val="22"/>
          <w:szCs w:val="22"/>
          <w:lang w:val="sr-Latn-ME"/>
        </w:rPr>
        <w:t>lower limit of quantification</w:t>
      </w:r>
      <w:r w:rsidRPr="00042A6C">
        <w:rPr>
          <w:bCs/>
          <w:sz w:val="22"/>
          <w:szCs w:val="22"/>
          <w:lang w:val="sr-Latn-ME"/>
        </w:rPr>
        <w:t>, LLOQ) bile su zamijenjene vrijednostima 1/2 LLOQ za izračunavanje statističkih podataka (LLOQ = 0,5 μg/l).</w:t>
      </w:r>
    </w:p>
    <w:p w:rsidR="00E20CFB" w:rsidRPr="00042A6C" w:rsidRDefault="00E20CFB" w:rsidP="00E20CFB">
      <w:pPr>
        <w:tabs>
          <w:tab w:val="left" w:pos="540"/>
          <w:tab w:val="left" w:pos="569"/>
        </w:tabs>
        <w:jc w:val="both"/>
        <w:rPr>
          <w:bCs/>
          <w:sz w:val="22"/>
          <w:szCs w:val="22"/>
          <w:lang w:val="sr-Latn-ME"/>
        </w:rPr>
      </w:pPr>
    </w:p>
    <w:p w:rsidR="00E20CFB" w:rsidRPr="00042A6C" w:rsidRDefault="00E20CFB" w:rsidP="00E20CFB">
      <w:pPr>
        <w:tabs>
          <w:tab w:val="left" w:pos="540"/>
          <w:tab w:val="left" w:pos="569"/>
        </w:tabs>
        <w:jc w:val="both"/>
        <w:rPr>
          <w:bCs/>
          <w:sz w:val="22"/>
          <w:szCs w:val="22"/>
          <w:lang w:val="sr-Latn-ME"/>
        </w:rPr>
      </w:pPr>
      <w:r w:rsidRPr="00042A6C">
        <w:rPr>
          <w:bCs/>
          <w:sz w:val="22"/>
          <w:szCs w:val="22"/>
          <w:u w:val="single"/>
          <w:lang w:val="sr-Latn-ME"/>
        </w:rPr>
        <w:t>Farmakokinetsko/farmakodinamski odnos</w:t>
      </w:r>
    </w:p>
    <w:p w:rsidR="00E20CFB" w:rsidRPr="00042A6C" w:rsidRDefault="00E20CFB" w:rsidP="00E20CFB">
      <w:pPr>
        <w:tabs>
          <w:tab w:val="left" w:pos="540"/>
          <w:tab w:val="left" w:pos="569"/>
        </w:tabs>
        <w:jc w:val="both"/>
        <w:rPr>
          <w:bCs/>
          <w:sz w:val="22"/>
          <w:szCs w:val="22"/>
          <w:lang w:val="sr-Latn-ME"/>
        </w:rPr>
      </w:pPr>
      <w:r w:rsidRPr="00042A6C">
        <w:rPr>
          <w:bCs/>
          <w:sz w:val="22"/>
          <w:szCs w:val="22"/>
          <w:lang w:val="sr-Latn-ME"/>
        </w:rPr>
        <w:t>Ispitivan je odnos farmakokinetike i farmakodinamike lijeka (FK/FD) između koncentracija rivaroksabana u plazmi i nekih ciljnih farmakodinamskih parametara (inhibicija faktora Xa, PT, aPTT, Heptest) poslije primjene širokog raspona doza (5-30 mg dva puta dnevno). Odnos između koncentracija rivaroksabana i aktivnosti faktora Xa najbolje se opisuje E</w:t>
      </w:r>
      <w:r w:rsidRPr="00042A6C">
        <w:rPr>
          <w:bCs/>
          <w:sz w:val="22"/>
          <w:szCs w:val="22"/>
          <w:vertAlign w:val="subscript"/>
          <w:lang w:val="sr-Latn-ME"/>
        </w:rPr>
        <w:t>max</w:t>
      </w:r>
      <w:r w:rsidRPr="00042A6C">
        <w:rPr>
          <w:bCs/>
          <w:sz w:val="22"/>
          <w:szCs w:val="22"/>
          <w:lang w:val="sr-Latn-ME"/>
        </w:rPr>
        <w:t xml:space="preserve"> modelom. U principu, za PT, vrijednosti bolje opisuje linearni model (</w:t>
      </w:r>
      <w:r w:rsidR="00704D97" w:rsidRPr="00042A6C">
        <w:rPr>
          <w:bCs/>
          <w:sz w:val="22"/>
          <w:szCs w:val="22"/>
          <w:lang w:val="sr-Latn-ME"/>
        </w:rPr>
        <w:t xml:space="preserve">engl. </w:t>
      </w:r>
      <w:r w:rsidRPr="00042A6C">
        <w:rPr>
          <w:bCs/>
          <w:i/>
          <w:sz w:val="22"/>
          <w:szCs w:val="22"/>
          <w:lang w:val="sr-Latn-ME"/>
        </w:rPr>
        <w:t>linear intercept model</w:t>
      </w:r>
      <w:r w:rsidRPr="00042A6C">
        <w:rPr>
          <w:bCs/>
          <w:sz w:val="22"/>
          <w:szCs w:val="22"/>
          <w:lang w:val="sr-Latn-ME"/>
        </w:rPr>
        <w:t>). Nagib značajno varira u zavisnosti od toga koji je PT reagens u pitanju. Kada je korišćen Neoplastin PT, početna PT vrijednost bila je oko 13 s, a nagib je bio oko 3-4 s/(100 mikrograma/</w:t>
      </w:r>
      <w:r w:rsidR="00704D97" w:rsidRPr="00042A6C">
        <w:rPr>
          <w:bCs/>
          <w:sz w:val="22"/>
          <w:szCs w:val="22"/>
          <w:lang w:val="sr-Latn-ME"/>
        </w:rPr>
        <w:t>l</w:t>
      </w:r>
      <w:r w:rsidRPr="00042A6C">
        <w:rPr>
          <w:bCs/>
          <w:sz w:val="22"/>
          <w:szCs w:val="22"/>
          <w:lang w:val="sr-Latn-ME"/>
        </w:rPr>
        <w:t xml:space="preserve">). Rezultati FK/FD analize u studijama faze </w:t>
      </w:r>
      <w:r w:rsidR="00704D97" w:rsidRPr="00042A6C">
        <w:rPr>
          <w:bCs/>
          <w:sz w:val="22"/>
          <w:szCs w:val="22"/>
          <w:lang w:val="sr-Latn-ME"/>
        </w:rPr>
        <w:t xml:space="preserve">II i III </w:t>
      </w:r>
      <w:r w:rsidRPr="00042A6C">
        <w:rPr>
          <w:bCs/>
          <w:sz w:val="22"/>
          <w:szCs w:val="22"/>
          <w:lang w:val="sr-Latn-ME"/>
        </w:rPr>
        <w:t>bili su u skladu sa podacima dobijenim na zdravim ispitanicima.</w:t>
      </w:r>
    </w:p>
    <w:p w:rsidR="00E20CFB" w:rsidRPr="00042A6C" w:rsidRDefault="00E20CFB" w:rsidP="00E20CFB">
      <w:pPr>
        <w:tabs>
          <w:tab w:val="left" w:pos="540"/>
          <w:tab w:val="left" w:pos="569"/>
        </w:tabs>
        <w:jc w:val="both"/>
        <w:rPr>
          <w:bCs/>
          <w:sz w:val="22"/>
          <w:szCs w:val="22"/>
          <w:lang w:val="sr-Latn-ME"/>
        </w:rPr>
      </w:pPr>
    </w:p>
    <w:p w:rsidR="00E20CFB" w:rsidRPr="00042A6C" w:rsidRDefault="00E20CFB" w:rsidP="00E20CFB">
      <w:pPr>
        <w:tabs>
          <w:tab w:val="left" w:pos="540"/>
          <w:tab w:val="left" w:pos="569"/>
        </w:tabs>
        <w:jc w:val="both"/>
        <w:rPr>
          <w:bCs/>
          <w:sz w:val="22"/>
          <w:szCs w:val="22"/>
          <w:lang w:val="sr-Latn-ME"/>
        </w:rPr>
      </w:pPr>
      <w:r w:rsidRPr="00042A6C">
        <w:rPr>
          <w:bCs/>
          <w:sz w:val="22"/>
          <w:szCs w:val="22"/>
          <w:u w:val="single"/>
          <w:lang w:val="sr-Latn-ME"/>
        </w:rPr>
        <w:t>Pedijatrijska populacija</w:t>
      </w:r>
    </w:p>
    <w:p w:rsidR="00E20CFB" w:rsidRPr="00042A6C" w:rsidRDefault="00E20CFB" w:rsidP="004476F6">
      <w:pPr>
        <w:tabs>
          <w:tab w:val="left" w:pos="540"/>
          <w:tab w:val="left" w:pos="569"/>
        </w:tabs>
        <w:jc w:val="both"/>
        <w:rPr>
          <w:bCs/>
          <w:sz w:val="22"/>
          <w:szCs w:val="22"/>
          <w:lang w:val="sr-Latn-ME"/>
        </w:rPr>
      </w:pPr>
      <w:r w:rsidRPr="00042A6C">
        <w:rPr>
          <w:bCs/>
          <w:sz w:val="22"/>
          <w:szCs w:val="22"/>
          <w:lang w:val="sr-Latn-ME"/>
        </w:rPr>
        <w:t xml:space="preserve">Bezbjednost i efikasnost kod djece i adolescenata uzrasta do 18 godina nisu ustanovljeni u indikaciji prevencije moždanog udara i sistemske embolije kod pacijenata sa nevalvularnom </w:t>
      </w:r>
      <w:r w:rsidR="00C368DC" w:rsidRPr="00042A6C">
        <w:rPr>
          <w:bCs/>
          <w:sz w:val="22"/>
          <w:szCs w:val="22"/>
          <w:lang w:val="sr-Latn-ME"/>
        </w:rPr>
        <w:t xml:space="preserve">atrijalnom </w:t>
      </w:r>
      <w:r w:rsidRPr="00042A6C">
        <w:rPr>
          <w:bCs/>
          <w:sz w:val="22"/>
          <w:szCs w:val="22"/>
          <w:lang w:val="sr-Latn-ME"/>
        </w:rPr>
        <w:t>fibrilacijom.</w:t>
      </w:r>
    </w:p>
    <w:p w:rsidR="00E20CFB" w:rsidRPr="00042A6C" w:rsidRDefault="00E20CFB" w:rsidP="004476F6">
      <w:pPr>
        <w:tabs>
          <w:tab w:val="left" w:pos="540"/>
          <w:tab w:val="left" w:pos="569"/>
        </w:tabs>
        <w:jc w:val="both"/>
        <w:rPr>
          <w:bCs/>
          <w:sz w:val="22"/>
          <w:szCs w:val="22"/>
          <w:lang w:val="sr-Latn-ME"/>
        </w:rPr>
      </w:pPr>
    </w:p>
    <w:p w:rsidR="0072020E" w:rsidRPr="00042A6C" w:rsidRDefault="0072020E" w:rsidP="00480FB1">
      <w:pPr>
        <w:tabs>
          <w:tab w:val="left" w:pos="540"/>
          <w:tab w:val="left" w:pos="569"/>
        </w:tabs>
        <w:rPr>
          <w:b/>
          <w:bCs/>
          <w:sz w:val="22"/>
          <w:szCs w:val="22"/>
          <w:lang w:val="sr-Latn-ME"/>
        </w:rPr>
      </w:pPr>
      <w:r w:rsidRPr="00042A6C">
        <w:rPr>
          <w:b/>
          <w:bCs/>
          <w:sz w:val="22"/>
          <w:szCs w:val="22"/>
          <w:lang w:val="sr-Latn-ME"/>
        </w:rPr>
        <w:t xml:space="preserve">5.3. </w:t>
      </w:r>
      <w:r w:rsidR="00480FB1" w:rsidRPr="00042A6C">
        <w:rPr>
          <w:b/>
          <w:bCs/>
          <w:sz w:val="22"/>
          <w:szCs w:val="22"/>
          <w:lang w:val="sr-Latn-ME"/>
        </w:rPr>
        <w:tab/>
      </w:r>
      <w:r w:rsidRPr="00042A6C">
        <w:rPr>
          <w:b/>
          <w:bCs/>
          <w:sz w:val="22"/>
          <w:szCs w:val="22"/>
          <w:lang w:val="sr-Latn-ME"/>
        </w:rPr>
        <w:t xml:space="preserve">Pretklinički podaci o bezbjednosti </w:t>
      </w:r>
    </w:p>
    <w:p w:rsidR="00836B35" w:rsidRPr="00042A6C" w:rsidRDefault="00836B35" w:rsidP="00480FB1">
      <w:pPr>
        <w:tabs>
          <w:tab w:val="left" w:pos="540"/>
          <w:tab w:val="left" w:pos="569"/>
        </w:tabs>
        <w:rPr>
          <w:bCs/>
          <w:sz w:val="22"/>
          <w:szCs w:val="22"/>
          <w:lang w:val="sr-Latn-ME"/>
        </w:rPr>
      </w:pPr>
    </w:p>
    <w:p w:rsidR="00E20CFB" w:rsidRPr="00042A6C" w:rsidRDefault="00E20CFB" w:rsidP="00E20CFB">
      <w:pPr>
        <w:tabs>
          <w:tab w:val="left" w:pos="540"/>
          <w:tab w:val="left" w:pos="569"/>
        </w:tabs>
        <w:jc w:val="both"/>
        <w:rPr>
          <w:bCs/>
          <w:sz w:val="22"/>
          <w:szCs w:val="22"/>
          <w:lang w:val="sr-Latn-ME"/>
        </w:rPr>
      </w:pPr>
      <w:r w:rsidRPr="00042A6C">
        <w:rPr>
          <w:bCs/>
          <w:sz w:val="22"/>
          <w:szCs w:val="22"/>
          <w:lang w:val="sr-Latn-ME"/>
        </w:rPr>
        <w:t xml:space="preserve">Pretklinički podaci dobijeni na osnovu standardnih ispitivanja bezbjednosne farmakologije, ispitivanja toksičnosti pojedinačne doze, </w:t>
      </w:r>
      <w:r w:rsidR="00FA68A1" w:rsidRPr="00042A6C">
        <w:rPr>
          <w:bCs/>
          <w:sz w:val="22"/>
          <w:szCs w:val="22"/>
          <w:lang w:val="sr-Latn-ME"/>
        </w:rPr>
        <w:t>fototoksičnosti</w:t>
      </w:r>
      <w:r w:rsidRPr="00042A6C">
        <w:rPr>
          <w:bCs/>
          <w:sz w:val="22"/>
          <w:szCs w:val="22"/>
          <w:lang w:val="sr-Latn-ME"/>
        </w:rPr>
        <w:t>, genotoksičnosti, karcinogenog potencijala i juvenilne toksičnosti, ne ukazuju na posebne rizike pri primjeni lijeka kod ljudi.</w:t>
      </w:r>
    </w:p>
    <w:p w:rsidR="00E20CFB" w:rsidRPr="00042A6C" w:rsidRDefault="00E20CFB" w:rsidP="00E20CFB">
      <w:pPr>
        <w:tabs>
          <w:tab w:val="left" w:pos="540"/>
          <w:tab w:val="left" w:pos="569"/>
        </w:tabs>
        <w:jc w:val="both"/>
        <w:rPr>
          <w:bCs/>
          <w:sz w:val="22"/>
          <w:szCs w:val="22"/>
          <w:lang w:val="sr-Latn-ME"/>
        </w:rPr>
      </w:pPr>
    </w:p>
    <w:p w:rsidR="00E20CFB" w:rsidRPr="00042A6C" w:rsidRDefault="00E20CFB" w:rsidP="00E20CFB">
      <w:pPr>
        <w:tabs>
          <w:tab w:val="left" w:pos="540"/>
          <w:tab w:val="left" w:pos="569"/>
        </w:tabs>
        <w:jc w:val="both"/>
        <w:rPr>
          <w:bCs/>
          <w:sz w:val="22"/>
          <w:szCs w:val="22"/>
          <w:lang w:val="sr-Latn-ME"/>
        </w:rPr>
      </w:pPr>
      <w:r w:rsidRPr="00042A6C">
        <w:rPr>
          <w:bCs/>
          <w:sz w:val="22"/>
          <w:szCs w:val="22"/>
          <w:lang w:val="sr-Latn-ME"/>
        </w:rPr>
        <w:t>Efekti uočeni u ispitivanjima toksičnosti ponovljene doze uglavnom su rezultat povećane farmakodinamske aktivnosti rivaroksabana. Kod pacova, primijećeno je povećanje koncentracije IgG i IgA u plazmi sa klinički značajnim vrijednostima izloženosti.</w:t>
      </w:r>
    </w:p>
    <w:p w:rsidR="00E20CFB" w:rsidRPr="00042A6C" w:rsidRDefault="00E20CFB" w:rsidP="00E20CFB">
      <w:pPr>
        <w:tabs>
          <w:tab w:val="left" w:pos="540"/>
          <w:tab w:val="left" w:pos="569"/>
        </w:tabs>
        <w:jc w:val="both"/>
        <w:rPr>
          <w:bCs/>
          <w:sz w:val="22"/>
          <w:szCs w:val="22"/>
          <w:lang w:val="sr-Latn-ME"/>
        </w:rPr>
      </w:pPr>
      <w:r w:rsidRPr="00042A6C">
        <w:rPr>
          <w:bCs/>
          <w:sz w:val="22"/>
          <w:szCs w:val="22"/>
          <w:lang w:val="sr-Latn-ME"/>
        </w:rPr>
        <w:t xml:space="preserve">Nije primijećen uticaj na plodnost mužjaka ni ženki pacova. Studije na životinjama pokazuju reproduktivnu toksičnost koja je rezultat farmakološkog mehanizma dejstva rivaroksabana (npr. hemoragijske komplikacije). Embrio-fetalna toksičnost (gubitak poslije implantacije, usporena/ubrzana osifikacija, multiple svijetle mrlje na jetri) i povećana učestalost </w:t>
      </w:r>
      <w:r w:rsidR="00FA68A1" w:rsidRPr="00042A6C">
        <w:rPr>
          <w:bCs/>
          <w:sz w:val="22"/>
          <w:szCs w:val="22"/>
          <w:lang w:val="sr-Latn-ME"/>
        </w:rPr>
        <w:t xml:space="preserve">čestih </w:t>
      </w:r>
      <w:r w:rsidRPr="00042A6C">
        <w:rPr>
          <w:bCs/>
          <w:sz w:val="22"/>
          <w:szCs w:val="22"/>
          <w:lang w:val="sr-Latn-ME"/>
        </w:rPr>
        <w:t>malformacija, kao i promjene na placenti, zapažene su pri klinički značajnim koncentracijama lijeka u plazmi. U studijama pre- i postnatalnog razvoja na pacovima, primijećena je smanjena</w:t>
      </w:r>
      <w:bookmarkStart w:id="1" w:name="FARMACEUTSKI_PODACI"/>
      <w:bookmarkEnd w:id="1"/>
      <w:r w:rsidRPr="00042A6C">
        <w:rPr>
          <w:bCs/>
          <w:sz w:val="22"/>
          <w:szCs w:val="22"/>
          <w:lang w:val="sr-Latn-ME"/>
        </w:rPr>
        <w:t xml:space="preserve"> sposobnost preživljavanja okota u dozama koje su bile toksične za gravidne ženke.</w:t>
      </w:r>
    </w:p>
    <w:p w:rsidR="00E20CFB" w:rsidRPr="00042A6C" w:rsidRDefault="00E20CFB" w:rsidP="00E20CFB">
      <w:pPr>
        <w:tabs>
          <w:tab w:val="left" w:pos="540"/>
          <w:tab w:val="left" w:pos="569"/>
        </w:tabs>
        <w:jc w:val="both"/>
        <w:rPr>
          <w:bCs/>
          <w:sz w:val="22"/>
          <w:szCs w:val="22"/>
          <w:lang w:val="sr-Latn-ME"/>
        </w:rPr>
      </w:pPr>
    </w:p>
    <w:p w:rsidR="00E20CFB" w:rsidRPr="00042A6C" w:rsidRDefault="00E20CFB" w:rsidP="00E20CFB">
      <w:pPr>
        <w:tabs>
          <w:tab w:val="left" w:pos="540"/>
          <w:tab w:val="left" w:pos="569"/>
        </w:tabs>
        <w:jc w:val="both"/>
        <w:rPr>
          <w:bCs/>
          <w:sz w:val="22"/>
          <w:szCs w:val="22"/>
          <w:lang w:val="sr-Latn-ME"/>
        </w:rPr>
      </w:pPr>
      <w:r w:rsidRPr="00042A6C">
        <w:rPr>
          <w:bCs/>
          <w:sz w:val="22"/>
          <w:szCs w:val="22"/>
          <w:lang w:val="sr-Latn-ME"/>
        </w:rPr>
        <w:t xml:space="preserve">Rivaroksaban je ispitan na juvenilnim pacovima tretiranim od 4. postnatalnog dana u trajanju do 3 mjeseca, pokazujući povećanje krvarenja u </w:t>
      </w:r>
      <w:r w:rsidR="007F4AB4" w:rsidRPr="00042A6C">
        <w:rPr>
          <w:bCs/>
          <w:sz w:val="22"/>
          <w:szCs w:val="22"/>
          <w:lang w:val="sr-Latn-ME"/>
        </w:rPr>
        <w:t xml:space="preserve">periinsularnom </w:t>
      </w:r>
      <w:r w:rsidRPr="00042A6C">
        <w:rPr>
          <w:bCs/>
          <w:sz w:val="22"/>
          <w:szCs w:val="22"/>
          <w:lang w:val="sr-Latn-ME"/>
        </w:rPr>
        <w:t>području, koje je nezavisno od doze. Nisu zabilježeni znaci toksičnosti za neki određeni organ.</w:t>
      </w:r>
    </w:p>
    <w:p w:rsidR="00396DFD" w:rsidRDefault="00396DFD" w:rsidP="00480FB1">
      <w:pPr>
        <w:tabs>
          <w:tab w:val="left" w:pos="540"/>
          <w:tab w:val="left" w:pos="569"/>
        </w:tabs>
        <w:rPr>
          <w:b/>
          <w:bCs/>
          <w:sz w:val="22"/>
          <w:szCs w:val="22"/>
          <w:lang w:val="sr-Latn-ME"/>
        </w:rPr>
      </w:pPr>
    </w:p>
    <w:p w:rsidR="00F0540D" w:rsidRDefault="00F0540D" w:rsidP="00480FB1">
      <w:pPr>
        <w:tabs>
          <w:tab w:val="left" w:pos="540"/>
          <w:tab w:val="left" w:pos="569"/>
        </w:tabs>
        <w:rPr>
          <w:b/>
          <w:bCs/>
          <w:sz w:val="22"/>
          <w:szCs w:val="22"/>
          <w:lang w:val="sr-Latn-ME"/>
        </w:rPr>
      </w:pPr>
    </w:p>
    <w:p w:rsidR="00F0540D" w:rsidRPr="00042A6C" w:rsidRDefault="00F0540D" w:rsidP="00480FB1">
      <w:pPr>
        <w:tabs>
          <w:tab w:val="left" w:pos="540"/>
          <w:tab w:val="left" w:pos="569"/>
        </w:tabs>
        <w:rPr>
          <w:b/>
          <w:bCs/>
          <w:sz w:val="22"/>
          <w:szCs w:val="22"/>
          <w:lang w:val="sr-Latn-ME"/>
        </w:rPr>
      </w:pPr>
    </w:p>
    <w:p w:rsidR="0072020E" w:rsidRPr="00042A6C" w:rsidRDefault="0072020E" w:rsidP="00480FB1">
      <w:pPr>
        <w:tabs>
          <w:tab w:val="left" w:pos="540"/>
          <w:tab w:val="left" w:pos="569"/>
        </w:tabs>
        <w:rPr>
          <w:b/>
          <w:bCs/>
          <w:sz w:val="22"/>
          <w:szCs w:val="22"/>
          <w:lang w:val="sr-Latn-ME"/>
        </w:rPr>
      </w:pPr>
      <w:r w:rsidRPr="00042A6C">
        <w:rPr>
          <w:b/>
          <w:bCs/>
          <w:sz w:val="22"/>
          <w:szCs w:val="22"/>
          <w:lang w:val="sr-Latn-ME"/>
        </w:rPr>
        <w:lastRenderedPageBreak/>
        <w:t xml:space="preserve">6. </w:t>
      </w:r>
      <w:r w:rsidR="00480FB1" w:rsidRPr="00042A6C">
        <w:rPr>
          <w:b/>
          <w:bCs/>
          <w:sz w:val="22"/>
          <w:szCs w:val="22"/>
          <w:lang w:val="sr-Latn-ME"/>
        </w:rPr>
        <w:tab/>
      </w:r>
      <w:r w:rsidRPr="00042A6C">
        <w:rPr>
          <w:b/>
          <w:bCs/>
          <w:sz w:val="22"/>
          <w:szCs w:val="22"/>
          <w:lang w:val="sr-Latn-ME"/>
        </w:rPr>
        <w:t>FARMACEUTSKI PODACI</w:t>
      </w:r>
    </w:p>
    <w:p w:rsidR="00836B35" w:rsidRPr="00042A6C" w:rsidRDefault="00836B35" w:rsidP="00480FB1">
      <w:pPr>
        <w:tabs>
          <w:tab w:val="left" w:pos="540"/>
          <w:tab w:val="left" w:pos="569"/>
        </w:tabs>
        <w:rPr>
          <w:bCs/>
          <w:sz w:val="22"/>
          <w:szCs w:val="22"/>
          <w:lang w:val="sr-Latn-ME"/>
        </w:rPr>
      </w:pPr>
    </w:p>
    <w:p w:rsidR="0072020E" w:rsidRPr="00042A6C" w:rsidRDefault="0072020E" w:rsidP="00480FB1">
      <w:pPr>
        <w:tabs>
          <w:tab w:val="left" w:pos="540"/>
          <w:tab w:val="left" w:pos="569"/>
        </w:tabs>
        <w:rPr>
          <w:b/>
          <w:bCs/>
          <w:sz w:val="22"/>
          <w:szCs w:val="22"/>
          <w:lang w:val="sr-Latn-ME"/>
        </w:rPr>
      </w:pPr>
      <w:r w:rsidRPr="00042A6C">
        <w:rPr>
          <w:b/>
          <w:bCs/>
          <w:sz w:val="22"/>
          <w:szCs w:val="22"/>
          <w:lang w:val="sr-Latn-ME"/>
        </w:rPr>
        <w:t xml:space="preserve">6.1. </w:t>
      </w:r>
      <w:r w:rsidR="00480FB1" w:rsidRPr="00042A6C">
        <w:rPr>
          <w:b/>
          <w:bCs/>
          <w:sz w:val="22"/>
          <w:szCs w:val="22"/>
          <w:lang w:val="sr-Latn-ME"/>
        </w:rPr>
        <w:tab/>
      </w:r>
      <w:r w:rsidRPr="00042A6C">
        <w:rPr>
          <w:b/>
          <w:bCs/>
          <w:sz w:val="22"/>
          <w:szCs w:val="22"/>
          <w:lang w:val="sr-Latn-ME"/>
        </w:rPr>
        <w:t>Lista pomoćnih supstanci</w:t>
      </w:r>
      <w:r w:rsidR="002E0135" w:rsidRPr="00042A6C">
        <w:rPr>
          <w:b/>
          <w:bCs/>
          <w:sz w:val="22"/>
          <w:szCs w:val="22"/>
          <w:lang w:val="sr-Latn-ME"/>
        </w:rPr>
        <w:t xml:space="preserve"> (ekscipijenasa)</w:t>
      </w:r>
    </w:p>
    <w:p w:rsidR="00E20CFB" w:rsidRPr="00042A6C" w:rsidRDefault="00E20CFB" w:rsidP="00480FB1">
      <w:pPr>
        <w:tabs>
          <w:tab w:val="left" w:pos="540"/>
          <w:tab w:val="left" w:pos="569"/>
        </w:tabs>
        <w:rPr>
          <w:b/>
          <w:bCs/>
          <w:sz w:val="22"/>
          <w:szCs w:val="22"/>
          <w:lang w:val="sr-Latn-ME"/>
        </w:rPr>
      </w:pPr>
    </w:p>
    <w:p w:rsidR="00E20CFB" w:rsidRPr="00042A6C" w:rsidRDefault="00E20CFB" w:rsidP="00E20CFB">
      <w:pPr>
        <w:tabs>
          <w:tab w:val="left" w:pos="540"/>
          <w:tab w:val="left" w:pos="569"/>
        </w:tabs>
        <w:rPr>
          <w:bCs/>
          <w:i/>
          <w:sz w:val="22"/>
          <w:szCs w:val="22"/>
          <w:lang w:val="sr-Latn-ME"/>
        </w:rPr>
      </w:pPr>
      <w:r w:rsidRPr="00042A6C">
        <w:rPr>
          <w:bCs/>
          <w:i/>
          <w:sz w:val="22"/>
          <w:szCs w:val="22"/>
          <w:lang w:val="sr-Latn-ME"/>
        </w:rPr>
        <w:t>Jezgro tablete:</w:t>
      </w:r>
    </w:p>
    <w:p w:rsidR="00E20CFB" w:rsidRPr="00042A6C" w:rsidRDefault="00E20CFB" w:rsidP="00E20CFB">
      <w:pPr>
        <w:tabs>
          <w:tab w:val="left" w:pos="540"/>
          <w:tab w:val="left" w:pos="569"/>
        </w:tabs>
        <w:rPr>
          <w:bCs/>
          <w:sz w:val="22"/>
          <w:szCs w:val="22"/>
          <w:lang w:val="sr-Latn-ME"/>
        </w:rPr>
      </w:pPr>
      <w:r w:rsidRPr="00042A6C">
        <w:rPr>
          <w:bCs/>
          <w:sz w:val="22"/>
          <w:szCs w:val="22"/>
          <w:lang w:val="sr-Latn-ME"/>
        </w:rPr>
        <w:t xml:space="preserve">Natrijum laurilsulfat </w:t>
      </w:r>
    </w:p>
    <w:p w:rsidR="00E20CFB" w:rsidRPr="00042A6C" w:rsidRDefault="00E20CFB" w:rsidP="00E20CFB">
      <w:pPr>
        <w:tabs>
          <w:tab w:val="left" w:pos="540"/>
          <w:tab w:val="left" w:pos="569"/>
        </w:tabs>
        <w:rPr>
          <w:bCs/>
          <w:sz w:val="22"/>
          <w:szCs w:val="22"/>
          <w:lang w:val="sr-Latn-ME"/>
        </w:rPr>
      </w:pPr>
      <w:r w:rsidRPr="00042A6C">
        <w:rPr>
          <w:bCs/>
          <w:sz w:val="22"/>
          <w:szCs w:val="22"/>
          <w:lang w:val="sr-Latn-ME"/>
        </w:rPr>
        <w:t xml:space="preserve">Laktoza, monohidrat </w:t>
      </w:r>
    </w:p>
    <w:p w:rsidR="00E20CFB" w:rsidRPr="00042A6C" w:rsidRDefault="00E20CFB" w:rsidP="00E20CFB">
      <w:pPr>
        <w:tabs>
          <w:tab w:val="left" w:pos="540"/>
          <w:tab w:val="left" w:pos="569"/>
        </w:tabs>
        <w:rPr>
          <w:bCs/>
          <w:sz w:val="22"/>
          <w:szCs w:val="22"/>
          <w:lang w:val="sr-Latn-ME"/>
        </w:rPr>
      </w:pPr>
      <w:r w:rsidRPr="00042A6C">
        <w:rPr>
          <w:bCs/>
          <w:sz w:val="22"/>
          <w:szCs w:val="22"/>
          <w:lang w:val="sr-Latn-ME"/>
        </w:rPr>
        <w:t xml:space="preserve">Hipromeloza </w:t>
      </w:r>
    </w:p>
    <w:p w:rsidR="00E20CFB" w:rsidRPr="00042A6C" w:rsidRDefault="00E20CFB" w:rsidP="00E20CFB">
      <w:pPr>
        <w:tabs>
          <w:tab w:val="left" w:pos="540"/>
          <w:tab w:val="left" w:pos="569"/>
        </w:tabs>
        <w:rPr>
          <w:bCs/>
          <w:sz w:val="22"/>
          <w:szCs w:val="22"/>
          <w:lang w:val="sr-Latn-ME"/>
        </w:rPr>
      </w:pPr>
      <w:r w:rsidRPr="00042A6C">
        <w:rPr>
          <w:bCs/>
          <w:sz w:val="22"/>
          <w:szCs w:val="22"/>
          <w:lang w:val="sr-Latn-ME"/>
        </w:rPr>
        <w:t xml:space="preserve">Kroskarmeloza natrijum </w:t>
      </w:r>
    </w:p>
    <w:p w:rsidR="00E20CFB" w:rsidRPr="00042A6C" w:rsidRDefault="00E20CFB" w:rsidP="00E20CFB">
      <w:pPr>
        <w:tabs>
          <w:tab w:val="left" w:pos="540"/>
          <w:tab w:val="left" w:pos="569"/>
        </w:tabs>
        <w:rPr>
          <w:bCs/>
          <w:sz w:val="22"/>
          <w:szCs w:val="22"/>
          <w:lang w:val="sr-Latn-ME"/>
        </w:rPr>
      </w:pPr>
      <w:r w:rsidRPr="00042A6C">
        <w:rPr>
          <w:bCs/>
          <w:sz w:val="22"/>
          <w:szCs w:val="22"/>
          <w:lang w:val="sr-Latn-ME"/>
        </w:rPr>
        <w:t>Magnezijum stearat.</w:t>
      </w:r>
    </w:p>
    <w:p w:rsidR="00E20CFB" w:rsidRPr="00042A6C" w:rsidRDefault="00E20CFB" w:rsidP="00E20CFB">
      <w:pPr>
        <w:tabs>
          <w:tab w:val="left" w:pos="540"/>
          <w:tab w:val="left" w:pos="569"/>
        </w:tabs>
        <w:rPr>
          <w:bCs/>
          <w:sz w:val="22"/>
          <w:szCs w:val="22"/>
          <w:lang w:val="sr-Latn-ME"/>
        </w:rPr>
      </w:pPr>
    </w:p>
    <w:p w:rsidR="00E20CFB" w:rsidRPr="00042A6C" w:rsidRDefault="00E20CFB" w:rsidP="00E20CFB">
      <w:pPr>
        <w:tabs>
          <w:tab w:val="left" w:pos="540"/>
          <w:tab w:val="left" w:pos="569"/>
        </w:tabs>
        <w:rPr>
          <w:bCs/>
          <w:i/>
          <w:sz w:val="22"/>
          <w:szCs w:val="22"/>
          <w:lang w:val="sr-Latn-ME"/>
        </w:rPr>
      </w:pPr>
      <w:r w:rsidRPr="00042A6C">
        <w:rPr>
          <w:bCs/>
          <w:i/>
          <w:sz w:val="22"/>
          <w:szCs w:val="22"/>
          <w:lang w:val="sr-Latn-ME"/>
        </w:rPr>
        <w:t>Film obloga tablete:</w:t>
      </w:r>
    </w:p>
    <w:p w:rsidR="00E20CFB" w:rsidRPr="00042A6C" w:rsidRDefault="00E20CFB" w:rsidP="00E20CFB">
      <w:pPr>
        <w:tabs>
          <w:tab w:val="left" w:pos="540"/>
          <w:tab w:val="left" w:pos="569"/>
        </w:tabs>
        <w:rPr>
          <w:bCs/>
          <w:sz w:val="22"/>
          <w:szCs w:val="22"/>
          <w:lang w:val="sr-Latn-ME"/>
        </w:rPr>
      </w:pPr>
      <w:r w:rsidRPr="00042A6C">
        <w:rPr>
          <w:bCs/>
          <w:i/>
          <w:sz w:val="22"/>
          <w:szCs w:val="22"/>
          <w:lang w:val="sr-Latn-ME"/>
        </w:rPr>
        <w:t>Opadry II 85F230074 Orange</w:t>
      </w:r>
      <w:r w:rsidRPr="00042A6C">
        <w:rPr>
          <w:bCs/>
          <w:sz w:val="22"/>
          <w:szCs w:val="22"/>
          <w:lang w:val="sr-Latn-ME"/>
        </w:rPr>
        <w:t xml:space="preserve">, sastava: </w:t>
      </w:r>
    </w:p>
    <w:p w:rsidR="00E20CFB" w:rsidRPr="00042A6C" w:rsidRDefault="00E20CFB" w:rsidP="00E20CFB">
      <w:pPr>
        <w:tabs>
          <w:tab w:val="left" w:pos="540"/>
          <w:tab w:val="left" w:pos="569"/>
        </w:tabs>
        <w:rPr>
          <w:bCs/>
          <w:sz w:val="22"/>
          <w:szCs w:val="22"/>
          <w:lang w:val="sr-Latn-ME"/>
        </w:rPr>
      </w:pPr>
      <w:r w:rsidRPr="00042A6C">
        <w:rPr>
          <w:bCs/>
          <w:sz w:val="22"/>
          <w:szCs w:val="22"/>
          <w:lang w:val="sr-Latn-ME"/>
        </w:rPr>
        <w:t>Polivinil</w:t>
      </w:r>
      <w:r w:rsidR="00042A6C">
        <w:rPr>
          <w:bCs/>
          <w:sz w:val="22"/>
          <w:szCs w:val="22"/>
          <w:lang w:val="sr-Latn-ME"/>
        </w:rPr>
        <w:t xml:space="preserve"> </w:t>
      </w:r>
      <w:r w:rsidRPr="00042A6C">
        <w:rPr>
          <w:bCs/>
          <w:sz w:val="22"/>
          <w:szCs w:val="22"/>
          <w:lang w:val="sr-Latn-ME"/>
        </w:rPr>
        <w:t xml:space="preserve">alkohol, parcijalno hidrolizovani (E1203) </w:t>
      </w:r>
    </w:p>
    <w:p w:rsidR="00E20CFB" w:rsidRPr="00042A6C" w:rsidRDefault="00E20CFB" w:rsidP="00E20CFB">
      <w:pPr>
        <w:tabs>
          <w:tab w:val="left" w:pos="540"/>
          <w:tab w:val="left" w:pos="569"/>
        </w:tabs>
        <w:rPr>
          <w:bCs/>
          <w:sz w:val="22"/>
          <w:szCs w:val="22"/>
          <w:lang w:val="sr-Latn-ME"/>
        </w:rPr>
      </w:pPr>
      <w:r w:rsidRPr="00042A6C">
        <w:rPr>
          <w:bCs/>
          <w:sz w:val="22"/>
          <w:szCs w:val="22"/>
          <w:lang w:val="sr-Latn-ME"/>
        </w:rPr>
        <w:t>Makrogol/PEG (MW 3350)</w:t>
      </w:r>
    </w:p>
    <w:p w:rsidR="00E20CFB" w:rsidRPr="00042A6C" w:rsidRDefault="00E20CFB" w:rsidP="00E20CFB">
      <w:pPr>
        <w:tabs>
          <w:tab w:val="left" w:pos="540"/>
          <w:tab w:val="left" w:pos="569"/>
        </w:tabs>
        <w:rPr>
          <w:bCs/>
          <w:sz w:val="22"/>
          <w:szCs w:val="22"/>
          <w:lang w:val="sr-Latn-ME"/>
        </w:rPr>
      </w:pPr>
      <w:r w:rsidRPr="00042A6C">
        <w:rPr>
          <w:bCs/>
          <w:sz w:val="22"/>
          <w:szCs w:val="22"/>
          <w:lang w:val="sr-Latn-ME"/>
        </w:rPr>
        <w:t>Talk (E553b)</w:t>
      </w:r>
    </w:p>
    <w:p w:rsidR="00E20CFB" w:rsidRPr="00042A6C" w:rsidRDefault="00E20CFB" w:rsidP="00E20CFB">
      <w:pPr>
        <w:tabs>
          <w:tab w:val="left" w:pos="540"/>
          <w:tab w:val="left" w:pos="569"/>
        </w:tabs>
        <w:rPr>
          <w:bCs/>
          <w:sz w:val="22"/>
          <w:szCs w:val="22"/>
          <w:lang w:val="sr-Latn-ME"/>
        </w:rPr>
      </w:pPr>
      <w:r w:rsidRPr="00042A6C">
        <w:rPr>
          <w:bCs/>
          <w:sz w:val="22"/>
          <w:szCs w:val="22"/>
          <w:lang w:val="sr-Latn-ME"/>
        </w:rPr>
        <w:t>Titan dioksid (E171)</w:t>
      </w:r>
    </w:p>
    <w:p w:rsidR="00E20CFB" w:rsidRPr="00042A6C" w:rsidRDefault="00E20CFB" w:rsidP="00E20CFB">
      <w:pPr>
        <w:tabs>
          <w:tab w:val="left" w:pos="540"/>
          <w:tab w:val="left" w:pos="569"/>
        </w:tabs>
        <w:rPr>
          <w:bCs/>
          <w:sz w:val="22"/>
          <w:szCs w:val="22"/>
          <w:lang w:val="sr-Latn-ME"/>
        </w:rPr>
      </w:pPr>
      <w:r w:rsidRPr="00042A6C">
        <w:rPr>
          <w:bCs/>
          <w:sz w:val="22"/>
          <w:szCs w:val="22"/>
          <w:lang w:val="sr-Latn-ME"/>
        </w:rPr>
        <w:t xml:space="preserve">Gvožđe (III) oksid, crveni (E172) </w:t>
      </w:r>
    </w:p>
    <w:p w:rsidR="00E20CFB" w:rsidRPr="00042A6C" w:rsidRDefault="00E20CFB" w:rsidP="00E20CFB">
      <w:pPr>
        <w:tabs>
          <w:tab w:val="left" w:pos="540"/>
          <w:tab w:val="left" w:pos="569"/>
        </w:tabs>
        <w:rPr>
          <w:bCs/>
          <w:sz w:val="22"/>
          <w:szCs w:val="22"/>
          <w:lang w:val="sr-Latn-ME"/>
        </w:rPr>
      </w:pPr>
      <w:r w:rsidRPr="00042A6C">
        <w:rPr>
          <w:bCs/>
          <w:sz w:val="22"/>
          <w:szCs w:val="22"/>
          <w:lang w:val="sr-Latn-ME"/>
        </w:rPr>
        <w:t>Gvožđe (III) oksid, žuti (E172).</w:t>
      </w:r>
    </w:p>
    <w:p w:rsidR="0072020E" w:rsidRPr="00042A6C" w:rsidRDefault="0072020E" w:rsidP="00480FB1">
      <w:pPr>
        <w:tabs>
          <w:tab w:val="left" w:pos="540"/>
          <w:tab w:val="left" w:pos="569"/>
        </w:tabs>
        <w:rPr>
          <w:bCs/>
          <w:sz w:val="22"/>
          <w:szCs w:val="22"/>
          <w:lang w:val="sr-Latn-ME"/>
        </w:rPr>
      </w:pPr>
    </w:p>
    <w:p w:rsidR="0072020E" w:rsidRPr="00042A6C" w:rsidRDefault="0072020E" w:rsidP="00480FB1">
      <w:pPr>
        <w:tabs>
          <w:tab w:val="left" w:pos="540"/>
          <w:tab w:val="left" w:pos="569"/>
        </w:tabs>
        <w:rPr>
          <w:b/>
          <w:bCs/>
          <w:sz w:val="22"/>
          <w:szCs w:val="22"/>
          <w:lang w:val="sr-Latn-ME"/>
        </w:rPr>
      </w:pPr>
      <w:r w:rsidRPr="00042A6C">
        <w:rPr>
          <w:b/>
          <w:bCs/>
          <w:sz w:val="22"/>
          <w:szCs w:val="22"/>
          <w:lang w:val="sr-Latn-ME"/>
        </w:rPr>
        <w:t xml:space="preserve">6.2. </w:t>
      </w:r>
      <w:r w:rsidR="00480FB1" w:rsidRPr="00042A6C">
        <w:rPr>
          <w:b/>
          <w:bCs/>
          <w:sz w:val="22"/>
          <w:szCs w:val="22"/>
          <w:lang w:val="sr-Latn-ME"/>
        </w:rPr>
        <w:tab/>
      </w:r>
      <w:r w:rsidRPr="00042A6C">
        <w:rPr>
          <w:b/>
          <w:bCs/>
          <w:sz w:val="22"/>
          <w:szCs w:val="22"/>
          <w:lang w:val="sr-Latn-ME"/>
        </w:rPr>
        <w:t>Inkompatibilnost</w:t>
      </w:r>
      <w:r w:rsidR="002846DB" w:rsidRPr="00042A6C">
        <w:rPr>
          <w:b/>
          <w:bCs/>
          <w:sz w:val="22"/>
          <w:szCs w:val="22"/>
          <w:lang w:val="sr-Latn-ME"/>
        </w:rPr>
        <w:t>i</w:t>
      </w:r>
    </w:p>
    <w:p w:rsidR="0072020E" w:rsidRPr="00042A6C" w:rsidRDefault="0072020E" w:rsidP="00480FB1">
      <w:pPr>
        <w:tabs>
          <w:tab w:val="left" w:pos="540"/>
          <w:tab w:val="left" w:pos="569"/>
        </w:tabs>
        <w:rPr>
          <w:bCs/>
          <w:sz w:val="22"/>
          <w:szCs w:val="22"/>
          <w:lang w:val="sr-Latn-ME"/>
        </w:rPr>
      </w:pPr>
    </w:p>
    <w:p w:rsidR="00E20CFB" w:rsidRPr="00042A6C" w:rsidRDefault="00E20CFB" w:rsidP="00480FB1">
      <w:pPr>
        <w:tabs>
          <w:tab w:val="left" w:pos="540"/>
          <w:tab w:val="left" w:pos="569"/>
        </w:tabs>
        <w:rPr>
          <w:bCs/>
          <w:sz w:val="22"/>
          <w:szCs w:val="22"/>
          <w:lang w:val="sr-Latn-ME"/>
        </w:rPr>
      </w:pPr>
      <w:r w:rsidRPr="00042A6C">
        <w:rPr>
          <w:bCs/>
          <w:sz w:val="22"/>
          <w:szCs w:val="22"/>
          <w:lang w:val="sr-Latn-ME"/>
        </w:rPr>
        <w:t>Nije primjenljivo.</w:t>
      </w:r>
    </w:p>
    <w:p w:rsidR="00E20CFB" w:rsidRPr="00042A6C" w:rsidRDefault="00E20CFB" w:rsidP="00480FB1">
      <w:pPr>
        <w:tabs>
          <w:tab w:val="left" w:pos="540"/>
          <w:tab w:val="left" w:pos="569"/>
        </w:tabs>
        <w:rPr>
          <w:bCs/>
          <w:sz w:val="22"/>
          <w:szCs w:val="22"/>
          <w:lang w:val="sr-Latn-ME"/>
        </w:rPr>
      </w:pPr>
    </w:p>
    <w:p w:rsidR="0072020E" w:rsidRPr="00042A6C" w:rsidRDefault="0072020E" w:rsidP="00480FB1">
      <w:pPr>
        <w:tabs>
          <w:tab w:val="left" w:pos="540"/>
          <w:tab w:val="left" w:pos="569"/>
        </w:tabs>
        <w:rPr>
          <w:b/>
          <w:bCs/>
          <w:sz w:val="22"/>
          <w:szCs w:val="22"/>
          <w:lang w:val="sr-Latn-ME"/>
        </w:rPr>
      </w:pPr>
      <w:r w:rsidRPr="00042A6C">
        <w:rPr>
          <w:b/>
          <w:bCs/>
          <w:sz w:val="22"/>
          <w:szCs w:val="22"/>
          <w:lang w:val="sr-Latn-ME"/>
        </w:rPr>
        <w:t>6.3.</w:t>
      </w:r>
      <w:r w:rsidR="00C05DF8" w:rsidRPr="00042A6C">
        <w:rPr>
          <w:b/>
          <w:bCs/>
          <w:sz w:val="22"/>
          <w:szCs w:val="22"/>
          <w:lang w:val="sr-Latn-ME"/>
        </w:rPr>
        <w:t xml:space="preserve"> </w:t>
      </w:r>
      <w:r w:rsidR="00480FB1" w:rsidRPr="00042A6C">
        <w:rPr>
          <w:b/>
          <w:bCs/>
          <w:sz w:val="22"/>
          <w:szCs w:val="22"/>
          <w:lang w:val="sr-Latn-ME"/>
        </w:rPr>
        <w:tab/>
      </w:r>
      <w:r w:rsidRPr="00042A6C">
        <w:rPr>
          <w:b/>
          <w:bCs/>
          <w:sz w:val="22"/>
          <w:szCs w:val="22"/>
          <w:lang w:val="sr-Latn-ME"/>
        </w:rPr>
        <w:t>Rok upotrebe</w:t>
      </w:r>
    </w:p>
    <w:p w:rsidR="0072020E" w:rsidRPr="00042A6C" w:rsidRDefault="0072020E" w:rsidP="00480FB1">
      <w:pPr>
        <w:tabs>
          <w:tab w:val="left" w:pos="540"/>
          <w:tab w:val="left" w:pos="569"/>
        </w:tabs>
        <w:rPr>
          <w:bCs/>
          <w:sz w:val="22"/>
          <w:szCs w:val="22"/>
          <w:lang w:val="sr-Latn-ME"/>
        </w:rPr>
      </w:pPr>
    </w:p>
    <w:p w:rsidR="00E20CFB" w:rsidRPr="00042A6C" w:rsidRDefault="00E20CFB" w:rsidP="00480FB1">
      <w:pPr>
        <w:tabs>
          <w:tab w:val="left" w:pos="540"/>
          <w:tab w:val="left" w:pos="569"/>
        </w:tabs>
        <w:rPr>
          <w:bCs/>
          <w:sz w:val="22"/>
          <w:szCs w:val="22"/>
          <w:lang w:val="sr-Latn-ME"/>
        </w:rPr>
      </w:pPr>
      <w:r w:rsidRPr="00042A6C">
        <w:rPr>
          <w:bCs/>
          <w:sz w:val="22"/>
          <w:szCs w:val="22"/>
          <w:lang w:val="sr-Latn-ME"/>
        </w:rPr>
        <w:t>2 godine.</w:t>
      </w:r>
    </w:p>
    <w:p w:rsidR="00E20CFB" w:rsidRPr="00042A6C" w:rsidRDefault="00E20CFB" w:rsidP="00480FB1">
      <w:pPr>
        <w:tabs>
          <w:tab w:val="left" w:pos="540"/>
          <w:tab w:val="left" w:pos="569"/>
        </w:tabs>
        <w:rPr>
          <w:bCs/>
          <w:sz w:val="22"/>
          <w:szCs w:val="22"/>
          <w:lang w:val="sr-Latn-ME"/>
        </w:rPr>
      </w:pPr>
    </w:p>
    <w:p w:rsidR="0072020E" w:rsidRPr="00042A6C" w:rsidRDefault="0072020E" w:rsidP="00480FB1">
      <w:pPr>
        <w:tabs>
          <w:tab w:val="left" w:pos="540"/>
          <w:tab w:val="left" w:pos="569"/>
        </w:tabs>
        <w:rPr>
          <w:b/>
          <w:bCs/>
          <w:sz w:val="22"/>
          <w:szCs w:val="22"/>
          <w:lang w:val="sr-Latn-ME"/>
        </w:rPr>
      </w:pPr>
      <w:r w:rsidRPr="00042A6C">
        <w:rPr>
          <w:b/>
          <w:bCs/>
          <w:sz w:val="22"/>
          <w:szCs w:val="22"/>
          <w:lang w:val="sr-Latn-ME"/>
        </w:rPr>
        <w:t xml:space="preserve">6.4. </w:t>
      </w:r>
      <w:r w:rsidR="00480FB1" w:rsidRPr="00042A6C">
        <w:rPr>
          <w:b/>
          <w:bCs/>
          <w:sz w:val="22"/>
          <w:szCs w:val="22"/>
          <w:lang w:val="sr-Latn-ME"/>
        </w:rPr>
        <w:tab/>
      </w:r>
      <w:r w:rsidRPr="00042A6C">
        <w:rPr>
          <w:b/>
          <w:bCs/>
          <w:sz w:val="22"/>
          <w:szCs w:val="22"/>
          <w:lang w:val="sr-Latn-ME"/>
        </w:rPr>
        <w:t>Posebne mjere upozorenja pri čuvanju</w:t>
      </w:r>
      <w:r w:rsidR="00F8570A" w:rsidRPr="00042A6C">
        <w:rPr>
          <w:b/>
          <w:bCs/>
          <w:sz w:val="22"/>
          <w:szCs w:val="22"/>
          <w:lang w:val="sr-Latn-ME"/>
        </w:rPr>
        <w:t xml:space="preserve"> lijeka</w:t>
      </w:r>
    </w:p>
    <w:p w:rsidR="00EC2532" w:rsidRPr="00042A6C" w:rsidRDefault="00EC2532" w:rsidP="00480FB1">
      <w:pPr>
        <w:tabs>
          <w:tab w:val="left" w:pos="540"/>
          <w:tab w:val="left" w:pos="569"/>
        </w:tabs>
        <w:rPr>
          <w:bCs/>
          <w:sz w:val="22"/>
          <w:szCs w:val="22"/>
          <w:lang w:val="sr-Latn-ME"/>
        </w:rPr>
      </w:pPr>
    </w:p>
    <w:p w:rsidR="00E20CFB" w:rsidRPr="00042A6C" w:rsidRDefault="00E20CFB" w:rsidP="00480FB1">
      <w:pPr>
        <w:tabs>
          <w:tab w:val="left" w:pos="540"/>
          <w:tab w:val="left" w:pos="569"/>
        </w:tabs>
        <w:rPr>
          <w:bCs/>
          <w:sz w:val="22"/>
          <w:szCs w:val="22"/>
          <w:lang w:val="sr-Latn-ME"/>
        </w:rPr>
      </w:pPr>
      <w:r w:rsidRPr="00042A6C">
        <w:rPr>
          <w:bCs/>
          <w:sz w:val="22"/>
          <w:szCs w:val="22"/>
          <w:lang w:val="sr-Latn-ME"/>
        </w:rPr>
        <w:t>Ovaj lijek ne zahtijeva posebne uslove čuvanja.</w:t>
      </w:r>
    </w:p>
    <w:p w:rsidR="00E20CFB" w:rsidRPr="00042A6C" w:rsidRDefault="00E20CFB" w:rsidP="00480FB1">
      <w:pPr>
        <w:tabs>
          <w:tab w:val="left" w:pos="540"/>
          <w:tab w:val="left" w:pos="569"/>
        </w:tabs>
        <w:rPr>
          <w:bCs/>
          <w:sz w:val="22"/>
          <w:szCs w:val="22"/>
          <w:lang w:val="sr-Latn-ME"/>
        </w:rPr>
      </w:pPr>
    </w:p>
    <w:p w:rsidR="0072020E" w:rsidRPr="00042A6C" w:rsidRDefault="0072020E" w:rsidP="00480FB1">
      <w:pPr>
        <w:tabs>
          <w:tab w:val="left" w:pos="540"/>
          <w:tab w:val="left" w:pos="569"/>
        </w:tabs>
        <w:rPr>
          <w:b/>
          <w:bCs/>
          <w:sz w:val="22"/>
          <w:szCs w:val="22"/>
          <w:lang w:val="sr-Latn-ME"/>
        </w:rPr>
      </w:pPr>
      <w:r w:rsidRPr="00042A6C">
        <w:rPr>
          <w:b/>
          <w:bCs/>
          <w:sz w:val="22"/>
          <w:szCs w:val="22"/>
          <w:lang w:val="sr-Latn-ME"/>
        </w:rPr>
        <w:t xml:space="preserve">6.5. </w:t>
      </w:r>
      <w:r w:rsidR="00480FB1" w:rsidRPr="00042A6C">
        <w:rPr>
          <w:b/>
          <w:bCs/>
          <w:sz w:val="22"/>
          <w:szCs w:val="22"/>
          <w:lang w:val="sr-Latn-ME"/>
        </w:rPr>
        <w:tab/>
      </w:r>
      <w:r w:rsidR="002846DB" w:rsidRPr="00042A6C">
        <w:rPr>
          <w:b/>
          <w:bCs/>
          <w:sz w:val="22"/>
          <w:szCs w:val="22"/>
          <w:lang w:val="sr-Latn-ME"/>
        </w:rPr>
        <w:t xml:space="preserve">Vrsta i sadržaj </w:t>
      </w:r>
      <w:r w:rsidR="00F8570A" w:rsidRPr="00042A6C">
        <w:rPr>
          <w:b/>
          <w:bCs/>
          <w:sz w:val="22"/>
          <w:szCs w:val="22"/>
          <w:lang w:val="sr-Latn-ME"/>
        </w:rPr>
        <w:t>pakovanja</w:t>
      </w:r>
      <w:r w:rsidR="00C06864" w:rsidRPr="00042A6C">
        <w:rPr>
          <w:b/>
          <w:bCs/>
          <w:sz w:val="22"/>
          <w:szCs w:val="22"/>
          <w:lang w:val="sr-Latn-ME"/>
        </w:rPr>
        <w:t xml:space="preserve"> </w:t>
      </w:r>
    </w:p>
    <w:p w:rsidR="00E20CFB" w:rsidRPr="00042A6C" w:rsidRDefault="00E20CFB" w:rsidP="00480FB1">
      <w:pPr>
        <w:tabs>
          <w:tab w:val="left" w:pos="540"/>
          <w:tab w:val="left" w:pos="569"/>
        </w:tabs>
        <w:rPr>
          <w:b/>
          <w:bCs/>
          <w:sz w:val="22"/>
          <w:szCs w:val="22"/>
          <w:lang w:val="sr-Latn-ME"/>
        </w:rPr>
      </w:pPr>
    </w:p>
    <w:p w:rsidR="00E20CFB" w:rsidRPr="00042A6C" w:rsidRDefault="00E20CFB" w:rsidP="00E20CFB">
      <w:pPr>
        <w:tabs>
          <w:tab w:val="left" w:pos="540"/>
          <w:tab w:val="left" w:pos="569"/>
        </w:tabs>
        <w:jc w:val="both"/>
        <w:rPr>
          <w:bCs/>
          <w:sz w:val="22"/>
          <w:szCs w:val="22"/>
          <w:lang w:val="sr-Latn-ME"/>
        </w:rPr>
      </w:pPr>
      <w:r w:rsidRPr="00042A6C">
        <w:rPr>
          <w:bCs/>
          <w:sz w:val="22"/>
          <w:szCs w:val="22"/>
          <w:lang w:val="sr-Latn-ME"/>
        </w:rPr>
        <w:t>Unutrašnje pakovanje je PVC/PVDC-Aluminijum blister koji sadrži 10 film tableta.</w:t>
      </w:r>
    </w:p>
    <w:p w:rsidR="0072020E" w:rsidRPr="00042A6C" w:rsidRDefault="00E20CFB" w:rsidP="00E20CFB">
      <w:pPr>
        <w:tabs>
          <w:tab w:val="left" w:pos="540"/>
          <w:tab w:val="left" w:pos="569"/>
        </w:tabs>
        <w:jc w:val="both"/>
        <w:rPr>
          <w:bCs/>
          <w:sz w:val="22"/>
          <w:szCs w:val="22"/>
          <w:lang w:val="sr-Latn-ME"/>
        </w:rPr>
      </w:pPr>
      <w:r w:rsidRPr="00042A6C">
        <w:rPr>
          <w:bCs/>
          <w:sz w:val="22"/>
          <w:szCs w:val="22"/>
          <w:lang w:val="sr-Latn-ME"/>
        </w:rPr>
        <w:t>Spoljašnje pakovanje je složiva kartonska kutija u kojoj se nalaze 3 blistera sa po 10 film tableta (ukupno 30 film tableta), Uputstvo za lijek i Kartica sa upozorenjima za pacijente.</w:t>
      </w:r>
    </w:p>
    <w:p w:rsidR="00E20CFB" w:rsidRPr="00042A6C" w:rsidRDefault="00E20CFB" w:rsidP="00E20CFB">
      <w:pPr>
        <w:tabs>
          <w:tab w:val="left" w:pos="540"/>
          <w:tab w:val="left" w:pos="569"/>
        </w:tabs>
        <w:rPr>
          <w:bCs/>
          <w:sz w:val="22"/>
          <w:szCs w:val="22"/>
          <w:lang w:val="sr-Latn-ME"/>
        </w:rPr>
      </w:pPr>
    </w:p>
    <w:p w:rsidR="002846DB" w:rsidRPr="00042A6C" w:rsidRDefault="0072020E" w:rsidP="00480FB1">
      <w:pPr>
        <w:tabs>
          <w:tab w:val="left" w:pos="540"/>
          <w:tab w:val="left" w:pos="569"/>
        </w:tabs>
        <w:rPr>
          <w:b/>
          <w:bCs/>
          <w:sz w:val="22"/>
          <w:szCs w:val="22"/>
          <w:lang w:val="sr-Latn-ME"/>
        </w:rPr>
      </w:pPr>
      <w:r w:rsidRPr="00042A6C">
        <w:rPr>
          <w:b/>
          <w:bCs/>
          <w:sz w:val="22"/>
          <w:szCs w:val="22"/>
          <w:lang w:val="sr-Latn-ME"/>
        </w:rPr>
        <w:t xml:space="preserve">6.6. </w:t>
      </w:r>
      <w:r w:rsidR="00480FB1" w:rsidRPr="00042A6C">
        <w:rPr>
          <w:b/>
          <w:bCs/>
          <w:sz w:val="22"/>
          <w:szCs w:val="22"/>
          <w:lang w:val="sr-Latn-ME"/>
        </w:rPr>
        <w:tab/>
      </w:r>
      <w:r w:rsidRPr="00042A6C">
        <w:rPr>
          <w:b/>
          <w:bCs/>
          <w:color w:val="000000"/>
          <w:sz w:val="22"/>
          <w:szCs w:val="22"/>
          <w:lang w:val="sr-Latn-ME"/>
        </w:rPr>
        <w:t>Posebne mjere opreza pri odlaganju materijala koji treba odbaciti nakon primjene lijeka</w:t>
      </w:r>
      <w:r w:rsidRPr="00042A6C">
        <w:rPr>
          <w:b/>
          <w:bCs/>
          <w:sz w:val="22"/>
          <w:szCs w:val="22"/>
          <w:lang w:val="sr-Latn-ME"/>
        </w:rPr>
        <w:t xml:space="preserve"> </w:t>
      </w:r>
      <w:r w:rsidR="00310F03" w:rsidRPr="00042A6C">
        <w:rPr>
          <w:b/>
          <w:bCs/>
          <w:sz w:val="22"/>
          <w:szCs w:val="22"/>
          <w:lang w:val="sr-Latn-ME"/>
        </w:rPr>
        <w:t>(i druga uputs</w:t>
      </w:r>
      <w:r w:rsidR="004109FA" w:rsidRPr="00042A6C">
        <w:rPr>
          <w:b/>
          <w:bCs/>
          <w:sz w:val="22"/>
          <w:szCs w:val="22"/>
          <w:lang w:val="sr-Latn-ME"/>
        </w:rPr>
        <w:t>t</w:t>
      </w:r>
      <w:r w:rsidR="00310F03" w:rsidRPr="00042A6C">
        <w:rPr>
          <w:b/>
          <w:bCs/>
          <w:sz w:val="22"/>
          <w:szCs w:val="22"/>
          <w:lang w:val="sr-Latn-ME"/>
        </w:rPr>
        <w:t xml:space="preserve">va za rukovanje lijekom) </w:t>
      </w:r>
    </w:p>
    <w:p w:rsidR="00E20CFB" w:rsidRPr="00042A6C" w:rsidRDefault="00E20CFB" w:rsidP="00480FB1">
      <w:pPr>
        <w:tabs>
          <w:tab w:val="left" w:pos="540"/>
          <w:tab w:val="left" w:pos="569"/>
        </w:tabs>
        <w:rPr>
          <w:b/>
          <w:bCs/>
          <w:sz w:val="22"/>
          <w:szCs w:val="22"/>
          <w:lang w:val="sr-Latn-ME"/>
        </w:rPr>
      </w:pPr>
    </w:p>
    <w:p w:rsidR="00E20CFB" w:rsidRPr="00042A6C" w:rsidRDefault="00E20CFB" w:rsidP="00E20CFB">
      <w:pPr>
        <w:tabs>
          <w:tab w:val="left" w:pos="540"/>
          <w:tab w:val="left" w:pos="569"/>
        </w:tabs>
        <w:jc w:val="both"/>
        <w:rPr>
          <w:bCs/>
          <w:sz w:val="22"/>
          <w:szCs w:val="22"/>
          <w:lang w:val="sr-Latn-ME"/>
        </w:rPr>
      </w:pPr>
      <w:r w:rsidRPr="00042A6C">
        <w:rPr>
          <w:bCs/>
          <w:sz w:val="22"/>
          <w:szCs w:val="22"/>
          <w:lang w:val="sr-Latn-ME"/>
        </w:rPr>
        <w:t>Svu neiskorišćenu količinu lijeka ili otpadnog materijala nakon njegove upotrebe treba ukloniti u skladu sa važećim propisima.</w:t>
      </w:r>
    </w:p>
    <w:p w:rsidR="00E20CFB" w:rsidRPr="00042A6C" w:rsidRDefault="00E20CFB" w:rsidP="00E20CFB">
      <w:pPr>
        <w:tabs>
          <w:tab w:val="left" w:pos="540"/>
          <w:tab w:val="left" w:pos="569"/>
        </w:tabs>
        <w:jc w:val="both"/>
        <w:rPr>
          <w:bCs/>
          <w:sz w:val="22"/>
          <w:szCs w:val="22"/>
          <w:lang w:val="sr-Latn-ME"/>
        </w:rPr>
      </w:pPr>
    </w:p>
    <w:p w:rsidR="00E20CFB" w:rsidRPr="00042A6C" w:rsidRDefault="00464788" w:rsidP="00E20CFB">
      <w:pPr>
        <w:tabs>
          <w:tab w:val="left" w:pos="540"/>
          <w:tab w:val="left" w:pos="569"/>
        </w:tabs>
        <w:jc w:val="both"/>
        <w:rPr>
          <w:bCs/>
          <w:sz w:val="22"/>
          <w:szCs w:val="22"/>
          <w:u w:val="single"/>
          <w:lang w:val="sr-Latn-ME"/>
        </w:rPr>
      </w:pPr>
      <w:r w:rsidRPr="00042A6C">
        <w:rPr>
          <w:bCs/>
          <w:sz w:val="22"/>
          <w:szCs w:val="22"/>
          <w:u w:val="single"/>
          <w:lang w:val="sr-Latn-ME"/>
        </w:rPr>
        <w:t>Usit</w:t>
      </w:r>
      <w:r w:rsidR="00E20CFB" w:rsidRPr="00042A6C">
        <w:rPr>
          <w:bCs/>
          <w:sz w:val="22"/>
          <w:szCs w:val="22"/>
          <w:u w:val="single"/>
          <w:lang w:val="sr-Latn-ME"/>
        </w:rPr>
        <w:t>njavanje tableta</w:t>
      </w:r>
    </w:p>
    <w:p w:rsidR="00B66A70" w:rsidRPr="00042A6C" w:rsidRDefault="00E20CFB" w:rsidP="00E20CFB">
      <w:pPr>
        <w:tabs>
          <w:tab w:val="left" w:pos="540"/>
          <w:tab w:val="left" w:pos="569"/>
        </w:tabs>
        <w:jc w:val="both"/>
        <w:rPr>
          <w:bCs/>
          <w:sz w:val="22"/>
          <w:szCs w:val="22"/>
          <w:lang w:val="sr-Latn-ME"/>
        </w:rPr>
      </w:pPr>
      <w:r w:rsidRPr="00042A6C">
        <w:rPr>
          <w:bCs/>
          <w:sz w:val="22"/>
          <w:szCs w:val="22"/>
          <w:lang w:val="sr-Latn-ME"/>
        </w:rPr>
        <w:t xml:space="preserve">Tablete rivaroksabana se mogu usitniti i suspendovati u 50 mL vode i </w:t>
      </w:r>
      <w:r w:rsidR="00042A6C">
        <w:rPr>
          <w:bCs/>
          <w:sz w:val="22"/>
          <w:szCs w:val="22"/>
          <w:lang w:val="sr-Latn-ME"/>
        </w:rPr>
        <w:t>primjeniti</w:t>
      </w:r>
      <w:r w:rsidR="00042A6C" w:rsidRPr="00042A6C">
        <w:rPr>
          <w:bCs/>
          <w:sz w:val="22"/>
          <w:szCs w:val="22"/>
          <w:lang w:val="sr-Latn-ME"/>
        </w:rPr>
        <w:t xml:space="preserve"> </w:t>
      </w:r>
      <w:r w:rsidRPr="00042A6C">
        <w:rPr>
          <w:bCs/>
          <w:sz w:val="22"/>
          <w:szCs w:val="22"/>
          <w:lang w:val="sr-Latn-ME"/>
        </w:rPr>
        <w:t>preko nazogastrične sonde ili gastrične sonde za hranjenje nakon potvrde pravilnog postavljanja sonde u želudac. Nakon toga, sondu treba isprati vodom. Pošto apsorpcija rivaroksabana zavisi od mjesta oslobađanja aktivne supstance, treba izbjegavati davanje rivaroksabana distalno od želuca, jer to može dovesti do smanjene apsorpcije, a time i do smanjene izloženosti aktivnoj supstanci. Nakon primjene doze pripremljene od zdrobljenih tableta rivaroksabana od 15 mg ili 20 mg odmah mora uslijediti enteralna ishrana.</w:t>
      </w:r>
    </w:p>
    <w:p w:rsidR="0072020E" w:rsidRPr="00042A6C" w:rsidRDefault="0072020E" w:rsidP="00480FB1">
      <w:pPr>
        <w:tabs>
          <w:tab w:val="left" w:pos="540"/>
          <w:tab w:val="left" w:pos="569"/>
        </w:tabs>
        <w:rPr>
          <w:bCs/>
          <w:sz w:val="22"/>
          <w:szCs w:val="22"/>
          <w:lang w:val="sr-Latn-ME"/>
        </w:rPr>
      </w:pPr>
    </w:p>
    <w:p w:rsidR="00F8570A" w:rsidRPr="00042A6C" w:rsidRDefault="0072020E" w:rsidP="00480FB1">
      <w:pPr>
        <w:tabs>
          <w:tab w:val="left" w:pos="540"/>
          <w:tab w:val="left" w:pos="569"/>
        </w:tabs>
        <w:rPr>
          <w:b/>
          <w:bCs/>
          <w:sz w:val="22"/>
          <w:szCs w:val="22"/>
          <w:lang w:val="sr-Latn-ME"/>
        </w:rPr>
      </w:pPr>
      <w:r w:rsidRPr="00042A6C">
        <w:rPr>
          <w:b/>
          <w:bCs/>
          <w:sz w:val="22"/>
          <w:szCs w:val="22"/>
          <w:lang w:val="sr-Latn-ME"/>
        </w:rPr>
        <w:t xml:space="preserve">7. </w:t>
      </w:r>
      <w:r w:rsidR="00480FB1" w:rsidRPr="00042A6C">
        <w:rPr>
          <w:b/>
          <w:bCs/>
          <w:sz w:val="22"/>
          <w:szCs w:val="22"/>
          <w:lang w:val="sr-Latn-ME"/>
        </w:rPr>
        <w:tab/>
      </w:r>
      <w:r w:rsidRPr="00042A6C">
        <w:rPr>
          <w:b/>
          <w:bCs/>
          <w:sz w:val="22"/>
          <w:szCs w:val="22"/>
          <w:lang w:val="sr-Latn-ME"/>
        </w:rPr>
        <w:t>NOSILAC DOZVOLE</w:t>
      </w:r>
      <w:r w:rsidR="00483928" w:rsidRPr="00042A6C">
        <w:rPr>
          <w:b/>
          <w:bCs/>
          <w:sz w:val="22"/>
          <w:szCs w:val="22"/>
          <w:lang w:val="sr-Latn-ME"/>
        </w:rPr>
        <w:t xml:space="preserve"> </w:t>
      </w:r>
    </w:p>
    <w:p w:rsidR="00C61BE0" w:rsidRPr="00042A6C" w:rsidRDefault="00C61BE0" w:rsidP="00480FB1">
      <w:pPr>
        <w:tabs>
          <w:tab w:val="left" w:pos="540"/>
          <w:tab w:val="left" w:pos="569"/>
        </w:tabs>
        <w:rPr>
          <w:bCs/>
          <w:sz w:val="22"/>
          <w:szCs w:val="22"/>
          <w:lang w:val="sr-Latn-ME"/>
        </w:rPr>
      </w:pPr>
    </w:p>
    <w:p w:rsidR="00E20CFB" w:rsidRPr="00042A6C" w:rsidRDefault="00E20CFB" w:rsidP="00E20CFB">
      <w:pPr>
        <w:tabs>
          <w:tab w:val="left" w:pos="540"/>
          <w:tab w:val="left" w:pos="569"/>
        </w:tabs>
        <w:rPr>
          <w:bCs/>
          <w:sz w:val="22"/>
          <w:szCs w:val="22"/>
          <w:lang w:val="sr-Latn-ME"/>
        </w:rPr>
      </w:pPr>
      <w:r w:rsidRPr="00042A6C">
        <w:rPr>
          <w:bCs/>
          <w:sz w:val="22"/>
          <w:szCs w:val="22"/>
          <w:lang w:val="sr-Latn-ME"/>
        </w:rPr>
        <w:t>Evropa Lek Pharma d.o.o.</w:t>
      </w:r>
      <w:r w:rsidR="000D357C">
        <w:rPr>
          <w:bCs/>
          <w:sz w:val="22"/>
          <w:szCs w:val="22"/>
          <w:lang w:val="sr-Latn-ME"/>
        </w:rPr>
        <w:t xml:space="preserve"> </w:t>
      </w:r>
      <w:r w:rsidRPr="00042A6C">
        <w:rPr>
          <w:bCs/>
          <w:sz w:val="22"/>
          <w:szCs w:val="22"/>
          <w:lang w:val="sr-Latn-ME"/>
        </w:rPr>
        <w:t>Podgorica</w:t>
      </w:r>
    </w:p>
    <w:p w:rsidR="00E20CFB" w:rsidRPr="00042A6C" w:rsidRDefault="00E20CFB" w:rsidP="00E20CFB">
      <w:pPr>
        <w:tabs>
          <w:tab w:val="left" w:pos="540"/>
          <w:tab w:val="left" w:pos="569"/>
        </w:tabs>
        <w:rPr>
          <w:bCs/>
          <w:sz w:val="22"/>
          <w:szCs w:val="22"/>
          <w:lang w:val="sr-Latn-ME"/>
        </w:rPr>
      </w:pPr>
      <w:r w:rsidRPr="00042A6C">
        <w:rPr>
          <w:bCs/>
          <w:sz w:val="22"/>
          <w:szCs w:val="22"/>
          <w:lang w:val="sr-Latn-ME"/>
        </w:rPr>
        <w:t>Kritskog odreda 4/1, Podgorica, Crna Gora</w:t>
      </w:r>
    </w:p>
    <w:p w:rsidR="00C37FD7" w:rsidRPr="00042A6C" w:rsidRDefault="00C37FD7" w:rsidP="00480FB1">
      <w:pPr>
        <w:tabs>
          <w:tab w:val="left" w:pos="540"/>
          <w:tab w:val="left" w:pos="569"/>
        </w:tabs>
        <w:rPr>
          <w:bCs/>
          <w:sz w:val="22"/>
          <w:szCs w:val="22"/>
          <w:lang w:val="sr-Latn-ME"/>
        </w:rPr>
      </w:pPr>
    </w:p>
    <w:p w:rsidR="0072020E" w:rsidRPr="00042A6C" w:rsidRDefault="0072020E" w:rsidP="00480FB1">
      <w:pPr>
        <w:tabs>
          <w:tab w:val="left" w:pos="540"/>
          <w:tab w:val="left" w:pos="569"/>
        </w:tabs>
        <w:rPr>
          <w:b/>
          <w:bCs/>
          <w:sz w:val="22"/>
          <w:szCs w:val="22"/>
          <w:lang w:val="sr-Latn-ME"/>
        </w:rPr>
      </w:pPr>
      <w:r w:rsidRPr="00042A6C">
        <w:rPr>
          <w:b/>
          <w:bCs/>
          <w:sz w:val="22"/>
          <w:szCs w:val="22"/>
          <w:lang w:val="sr-Latn-ME"/>
        </w:rPr>
        <w:lastRenderedPageBreak/>
        <w:t xml:space="preserve">8. </w:t>
      </w:r>
      <w:r w:rsidR="00480FB1" w:rsidRPr="00042A6C">
        <w:rPr>
          <w:b/>
          <w:bCs/>
          <w:sz w:val="22"/>
          <w:szCs w:val="22"/>
          <w:lang w:val="sr-Latn-ME"/>
        </w:rPr>
        <w:tab/>
      </w:r>
      <w:r w:rsidRPr="00042A6C">
        <w:rPr>
          <w:b/>
          <w:bCs/>
          <w:sz w:val="22"/>
          <w:szCs w:val="22"/>
          <w:lang w:val="sr-Latn-ME"/>
        </w:rPr>
        <w:t>BROJ DOZVOLE</w:t>
      </w:r>
      <w:r w:rsidR="008A6D43" w:rsidRPr="00042A6C">
        <w:rPr>
          <w:b/>
          <w:bCs/>
          <w:sz w:val="22"/>
          <w:szCs w:val="22"/>
          <w:lang w:val="sr-Latn-ME"/>
        </w:rPr>
        <w:t xml:space="preserve"> ZA STAVLJANJE LIJEKA U PROMET</w:t>
      </w:r>
    </w:p>
    <w:p w:rsidR="00A95B5E" w:rsidRDefault="00A95B5E" w:rsidP="00480FB1">
      <w:pPr>
        <w:tabs>
          <w:tab w:val="left" w:pos="540"/>
          <w:tab w:val="left" w:pos="569"/>
        </w:tabs>
        <w:rPr>
          <w:sz w:val="22"/>
          <w:szCs w:val="22"/>
          <w:lang w:val="sr-Latn-ME"/>
        </w:rPr>
      </w:pPr>
    </w:p>
    <w:p w:rsidR="00F45F77" w:rsidRDefault="00A95B5E" w:rsidP="00480FB1">
      <w:pPr>
        <w:tabs>
          <w:tab w:val="left" w:pos="540"/>
          <w:tab w:val="left" w:pos="569"/>
        </w:tabs>
        <w:rPr>
          <w:sz w:val="22"/>
          <w:szCs w:val="22"/>
          <w:lang w:val="sr-Latn-ME"/>
        </w:rPr>
      </w:pPr>
      <w:r w:rsidRPr="00A50276">
        <w:rPr>
          <w:sz w:val="22"/>
          <w:szCs w:val="22"/>
          <w:lang w:val="sr-Latn-ME"/>
        </w:rPr>
        <w:t xml:space="preserve">2030/22/2359 </w:t>
      </w:r>
      <w:r>
        <w:rPr>
          <w:sz w:val="22"/>
          <w:szCs w:val="22"/>
          <w:lang w:val="sr-Latn-ME"/>
        </w:rPr>
        <w:t xml:space="preserve">– </w:t>
      </w:r>
      <w:r w:rsidRPr="00A50276">
        <w:rPr>
          <w:sz w:val="22"/>
          <w:szCs w:val="22"/>
          <w:lang w:val="sr-Latn-ME"/>
        </w:rPr>
        <w:t>5603</w:t>
      </w:r>
    </w:p>
    <w:p w:rsidR="00A95B5E" w:rsidRDefault="00A95B5E" w:rsidP="00480FB1">
      <w:pPr>
        <w:tabs>
          <w:tab w:val="left" w:pos="540"/>
          <w:tab w:val="left" w:pos="569"/>
        </w:tabs>
        <w:rPr>
          <w:bCs/>
          <w:sz w:val="22"/>
          <w:szCs w:val="22"/>
          <w:lang w:val="sr-Latn-ME"/>
        </w:rPr>
      </w:pPr>
    </w:p>
    <w:p w:rsidR="00F0540D" w:rsidRPr="00042A6C" w:rsidRDefault="00F0540D" w:rsidP="00480FB1">
      <w:pPr>
        <w:tabs>
          <w:tab w:val="left" w:pos="540"/>
          <w:tab w:val="left" w:pos="569"/>
        </w:tabs>
        <w:rPr>
          <w:bCs/>
          <w:sz w:val="22"/>
          <w:szCs w:val="22"/>
          <w:lang w:val="sr-Latn-ME"/>
        </w:rPr>
      </w:pPr>
    </w:p>
    <w:p w:rsidR="0072020E" w:rsidRPr="00042A6C" w:rsidRDefault="0072020E" w:rsidP="00480FB1">
      <w:pPr>
        <w:tabs>
          <w:tab w:val="left" w:pos="540"/>
          <w:tab w:val="left" w:pos="569"/>
        </w:tabs>
        <w:rPr>
          <w:b/>
          <w:bCs/>
          <w:sz w:val="22"/>
          <w:szCs w:val="22"/>
          <w:lang w:val="sr-Latn-ME"/>
        </w:rPr>
      </w:pPr>
      <w:r w:rsidRPr="00042A6C">
        <w:rPr>
          <w:b/>
          <w:bCs/>
          <w:sz w:val="22"/>
          <w:szCs w:val="22"/>
          <w:lang w:val="sr-Latn-ME"/>
        </w:rPr>
        <w:t xml:space="preserve">9. </w:t>
      </w:r>
      <w:r w:rsidR="00480FB1" w:rsidRPr="00042A6C">
        <w:rPr>
          <w:b/>
          <w:bCs/>
          <w:sz w:val="22"/>
          <w:szCs w:val="22"/>
          <w:lang w:val="sr-Latn-ME"/>
        </w:rPr>
        <w:tab/>
      </w:r>
      <w:r w:rsidRPr="00042A6C">
        <w:rPr>
          <w:b/>
          <w:bCs/>
          <w:sz w:val="22"/>
          <w:szCs w:val="22"/>
          <w:lang w:val="sr-Latn-ME"/>
        </w:rPr>
        <w:t xml:space="preserve">DATUM </w:t>
      </w:r>
      <w:r w:rsidR="00C05DF8" w:rsidRPr="00042A6C">
        <w:rPr>
          <w:b/>
          <w:bCs/>
          <w:sz w:val="22"/>
          <w:szCs w:val="22"/>
          <w:lang w:val="sr-Latn-ME"/>
        </w:rPr>
        <w:t xml:space="preserve">PRVE </w:t>
      </w:r>
      <w:r w:rsidR="008A6D43" w:rsidRPr="00042A6C">
        <w:rPr>
          <w:b/>
          <w:bCs/>
          <w:sz w:val="22"/>
          <w:szCs w:val="22"/>
          <w:lang w:val="sr-Latn-ME"/>
        </w:rPr>
        <w:t>DOZVOLE</w:t>
      </w:r>
      <w:r w:rsidR="00C05DF8" w:rsidRPr="00042A6C">
        <w:rPr>
          <w:b/>
          <w:bCs/>
          <w:sz w:val="22"/>
          <w:szCs w:val="22"/>
          <w:lang w:val="sr-Latn-ME"/>
        </w:rPr>
        <w:t>/OBNOVE DOZVOLE</w:t>
      </w:r>
      <w:r w:rsidR="008A6D43" w:rsidRPr="00042A6C">
        <w:rPr>
          <w:b/>
          <w:bCs/>
          <w:sz w:val="22"/>
          <w:szCs w:val="22"/>
          <w:lang w:val="sr-Latn-ME"/>
        </w:rPr>
        <w:t xml:space="preserve"> ZA STAVLJANJE LIJEKA U PROMET</w:t>
      </w:r>
    </w:p>
    <w:p w:rsidR="0072020E" w:rsidRPr="00042A6C" w:rsidRDefault="0072020E" w:rsidP="00480FB1">
      <w:pPr>
        <w:tabs>
          <w:tab w:val="left" w:pos="540"/>
          <w:tab w:val="left" w:pos="569"/>
        </w:tabs>
        <w:rPr>
          <w:bCs/>
          <w:sz w:val="22"/>
          <w:szCs w:val="22"/>
          <w:lang w:val="sr-Latn-ME"/>
        </w:rPr>
      </w:pPr>
    </w:p>
    <w:p w:rsidR="00836B35" w:rsidRDefault="00A95B5E" w:rsidP="00480FB1">
      <w:pPr>
        <w:tabs>
          <w:tab w:val="left" w:pos="540"/>
          <w:tab w:val="left" w:pos="569"/>
        </w:tabs>
        <w:rPr>
          <w:bCs/>
          <w:sz w:val="22"/>
          <w:szCs w:val="22"/>
          <w:lang w:val="sr-Latn-ME"/>
        </w:rPr>
      </w:pPr>
      <w:r w:rsidRPr="00A95B5E">
        <w:rPr>
          <w:bCs/>
          <w:sz w:val="22"/>
          <w:szCs w:val="22"/>
          <w:lang w:val="sr-Latn-ME"/>
        </w:rPr>
        <w:t>27.09.2022. godine</w:t>
      </w:r>
    </w:p>
    <w:p w:rsidR="00A95B5E" w:rsidRDefault="00A95B5E" w:rsidP="00480FB1">
      <w:pPr>
        <w:tabs>
          <w:tab w:val="left" w:pos="540"/>
          <w:tab w:val="left" w:pos="569"/>
        </w:tabs>
        <w:rPr>
          <w:bCs/>
          <w:sz w:val="22"/>
          <w:szCs w:val="22"/>
          <w:lang w:val="sr-Latn-ME"/>
        </w:rPr>
      </w:pPr>
    </w:p>
    <w:p w:rsidR="00F0540D" w:rsidRPr="00042A6C" w:rsidRDefault="00F0540D" w:rsidP="00480FB1">
      <w:pPr>
        <w:tabs>
          <w:tab w:val="left" w:pos="540"/>
          <w:tab w:val="left" w:pos="569"/>
        </w:tabs>
        <w:rPr>
          <w:bCs/>
          <w:sz w:val="22"/>
          <w:szCs w:val="22"/>
          <w:lang w:val="sr-Latn-ME"/>
        </w:rPr>
      </w:pPr>
      <w:bookmarkStart w:id="2" w:name="_GoBack"/>
      <w:bookmarkEnd w:id="2"/>
    </w:p>
    <w:p w:rsidR="003F6A59" w:rsidRPr="00042A6C" w:rsidRDefault="0072020E" w:rsidP="00C05DF8">
      <w:pPr>
        <w:tabs>
          <w:tab w:val="left" w:pos="540"/>
          <w:tab w:val="left" w:pos="569"/>
        </w:tabs>
        <w:ind w:left="540" w:hanging="540"/>
        <w:rPr>
          <w:bCs/>
          <w:sz w:val="22"/>
          <w:szCs w:val="22"/>
          <w:lang w:val="sr-Latn-ME"/>
        </w:rPr>
      </w:pPr>
      <w:r w:rsidRPr="00042A6C">
        <w:rPr>
          <w:b/>
          <w:bCs/>
          <w:sz w:val="22"/>
          <w:szCs w:val="22"/>
          <w:lang w:val="sr-Latn-ME"/>
        </w:rPr>
        <w:t xml:space="preserve">10. </w:t>
      </w:r>
      <w:r w:rsidR="00480FB1" w:rsidRPr="00042A6C">
        <w:rPr>
          <w:b/>
          <w:bCs/>
          <w:sz w:val="22"/>
          <w:szCs w:val="22"/>
          <w:lang w:val="sr-Latn-ME"/>
        </w:rPr>
        <w:tab/>
      </w:r>
      <w:r w:rsidR="002846DB" w:rsidRPr="00042A6C">
        <w:rPr>
          <w:b/>
          <w:bCs/>
          <w:sz w:val="22"/>
          <w:szCs w:val="22"/>
          <w:lang w:val="sr-Latn-ME"/>
        </w:rPr>
        <w:t>D</w:t>
      </w:r>
      <w:r w:rsidR="00EC2532" w:rsidRPr="00042A6C">
        <w:rPr>
          <w:b/>
          <w:bCs/>
          <w:sz w:val="22"/>
          <w:szCs w:val="22"/>
          <w:lang w:val="sr-Latn-ME"/>
        </w:rPr>
        <w:t xml:space="preserve">ATUM REVIZIJE TEKSTA </w:t>
      </w:r>
    </w:p>
    <w:p w:rsidR="00A95B5E" w:rsidRDefault="00A95B5E" w:rsidP="00A95B5E">
      <w:pPr>
        <w:rPr>
          <w:bCs/>
          <w:sz w:val="22"/>
          <w:szCs w:val="22"/>
          <w:lang w:val="sr-Latn-ME"/>
        </w:rPr>
      </w:pPr>
    </w:p>
    <w:p w:rsidR="003F6A59" w:rsidRPr="00042A6C" w:rsidRDefault="00A95B5E" w:rsidP="00DE3F5C">
      <w:pPr>
        <w:rPr>
          <w:sz w:val="22"/>
          <w:szCs w:val="22"/>
          <w:lang w:val="sr-Latn-ME"/>
        </w:rPr>
      </w:pPr>
      <w:r w:rsidRPr="00A95B5E">
        <w:rPr>
          <w:bCs/>
          <w:sz w:val="22"/>
          <w:szCs w:val="22"/>
          <w:lang w:val="sr-Latn-ME"/>
        </w:rPr>
        <w:t>Septembar, 2022. godine</w:t>
      </w:r>
    </w:p>
    <w:sectPr w:rsidR="003F6A59" w:rsidRPr="00042A6C"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8F6" w:rsidRDefault="004448F6">
      <w:r>
        <w:separator/>
      </w:r>
    </w:p>
  </w:endnote>
  <w:endnote w:type="continuationSeparator" w:id="0">
    <w:p w:rsidR="004448F6" w:rsidRDefault="0044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CEB" w:rsidRPr="00B23F69" w:rsidRDefault="00C66CE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0540D">
      <w:rPr>
        <w:noProof/>
        <w:sz w:val="22"/>
        <w:szCs w:val="22"/>
      </w:rPr>
      <w:t>31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0540D">
      <w:rPr>
        <w:noProof/>
        <w:sz w:val="22"/>
        <w:szCs w:val="22"/>
      </w:rPr>
      <w:t>33</w:t>
    </w:r>
    <w:r w:rsidRPr="00B23F69">
      <w:rPr>
        <w:sz w:val="22"/>
        <w:szCs w:val="22"/>
      </w:rPr>
      <w:fldChar w:fldCharType="end"/>
    </w:r>
  </w:p>
  <w:p w:rsidR="00C66CEB" w:rsidRDefault="00C66C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8F6" w:rsidRDefault="004448F6">
      <w:r>
        <w:separator/>
      </w:r>
    </w:p>
  </w:footnote>
  <w:footnote w:type="continuationSeparator" w:id="0">
    <w:p w:rsidR="004448F6" w:rsidRDefault="00444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13.5pt;visibility:visible" o:bullet="t">
        <v:imagedata r:id="rId1" o:title="BT_1000x858px"/>
      </v:shape>
    </w:pict>
  </w:numPicBullet>
  <w:abstractNum w:abstractNumId="0" w15:restartNumberingAfterBreak="0">
    <w:nsid w:val="094E173F"/>
    <w:multiLevelType w:val="hybridMultilevel"/>
    <w:tmpl w:val="DDE2E5BE"/>
    <w:lvl w:ilvl="0" w:tplc="01DCBFA4">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233094"/>
    <w:multiLevelType w:val="hybridMultilevel"/>
    <w:tmpl w:val="A48037E6"/>
    <w:lvl w:ilvl="0" w:tplc="D4E289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28A059E"/>
    <w:multiLevelType w:val="hybridMultilevel"/>
    <w:tmpl w:val="689469E0"/>
    <w:lvl w:ilvl="0" w:tplc="5830B326">
      <w:numFmt w:val="bullet"/>
      <w:lvlText w:val="-"/>
      <w:lvlJc w:val="left"/>
      <w:pPr>
        <w:ind w:left="102" w:hanging="504"/>
      </w:pPr>
      <w:rPr>
        <w:rFonts w:ascii="Arial" w:eastAsia="Arial" w:hAnsi="Arial" w:cs="Arial" w:hint="default"/>
        <w:w w:val="100"/>
        <w:sz w:val="22"/>
        <w:szCs w:val="22"/>
      </w:rPr>
    </w:lvl>
    <w:lvl w:ilvl="1" w:tplc="7022498C">
      <w:numFmt w:val="bullet"/>
      <w:lvlText w:val="•"/>
      <w:lvlJc w:val="left"/>
      <w:pPr>
        <w:ind w:left="1122" w:hanging="504"/>
      </w:pPr>
      <w:rPr>
        <w:rFonts w:hint="default"/>
      </w:rPr>
    </w:lvl>
    <w:lvl w:ilvl="2" w:tplc="14B4B3E6">
      <w:numFmt w:val="bullet"/>
      <w:lvlText w:val="•"/>
      <w:lvlJc w:val="left"/>
      <w:pPr>
        <w:ind w:left="2145" w:hanging="504"/>
      </w:pPr>
      <w:rPr>
        <w:rFonts w:hint="default"/>
      </w:rPr>
    </w:lvl>
    <w:lvl w:ilvl="3" w:tplc="EFA07A96">
      <w:numFmt w:val="bullet"/>
      <w:lvlText w:val="•"/>
      <w:lvlJc w:val="left"/>
      <w:pPr>
        <w:ind w:left="3167" w:hanging="504"/>
      </w:pPr>
      <w:rPr>
        <w:rFonts w:hint="default"/>
      </w:rPr>
    </w:lvl>
    <w:lvl w:ilvl="4" w:tplc="31C8425E">
      <w:numFmt w:val="bullet"/>
      <w:lvlText w:val="•"/>
      <w:lvlJc w:val="left"/>
      <w:pPr>
        <w:ind w:left="4190" w:hanging="504"/>
      </w:pPr>
      <w:rPr>
        <w:rFonts w:hint="default"/>
      </w:rPr>
    </w:lvl>
    <w:lvl w:ilvl="5" w:tplc="93F0DCBE">
      <w:numFmt w:val="bullet"/>
      <w:lvlText w:val="•"/>
      <w:lvlJc w:val="left"/>
      <w:pPr>
        <w:ind w:left="5212" w:hanging="504"/>
      </w:pPr>
      <w:rPr>
        <w:rFonts w:hint="default"/>
      </w:rPr>
    </w:lvl>
    <w:lvl w:ilvl="6" w:tplc="094042AE">
      <w:numFmt w:val="bullet"/>
      <w:lvlText w:val="•"/>
      <w:lvlJc w:val="left"/>
      <w:pPr>
        <w:ind w:left="6235" w:hanging="504"/>
      </w:pPr>
      <w:rPr>
        <w:rFonts w:hint="default"/>
      </w:rPr>
    </w:lvl>
    <w:lvl w:ilvl="7" w:tplc="61B019CE">
      <w:numFmt w:val="bullet"/>
      <w:lvlText w:val="•"/>
      <w:lvlJc w:val="left"/>
      <w:pPr>
        <w:ind w:left="7257" w:hanging="504"/>
      </w:pPr>
      <w:rPr>
        <w:rFonts w:hint="default"/>
      </w:rPr>
    </w:lvl>
    <w:lvl w:ilvl="8" w:tplc="74D20166">
      <w:numFmt w:val="bullet"/>
      <w:lvlText w:val="•"/>
      <w:lvlJc w:val="left"/>
      <w:pPr>
        <w:ind w:left="8280" w:hanging="504"/>
      </w:pPr>
      <w:rPr>
        <w:rFonts w:hint="default"/>
      </w:rPr>
    </w:lvl>
  </w:abstractNum>
  <w:abstractNum w:abstractNumId="10" w15:restartNumberingAfterBreak="0">
    <w:nsid w:val="38CE7F4C"/>
    <w:multiLevelType w:val="hybridMultilevel"/>
    <w:tmpl w:val="B17A26A8"/>
    <w:lvl w:ilvl="0" w:tplc="5830B326">
      <w:numFmt w:val="bullet"/>
      <w:lvlText w:val="-"/>
      <w:lvlJc w:val="left"/>
      <w:pPr>
        <w:ind w:left="720" w:hanging="360"/>
      </w:pPr>
      <w:rPr>
        <w:rFonts w:ascii="Arial" w:eastAsia="Arial" w:hAnsi="Arial" w:cs="Aria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24D98"/>
    <w:multiLevelType w:val="hybridMultilevel"/>
    <w:tmpl w:val="82DEEB3A"/>
    <w:lvl w:ilvl="0" w:tplc="F5DA51A0">
      <w:numFmt w:val="bullet"/>
      <w:lvlText w:val="•"/>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DEF0DBB"/>
    <w:multiLevelType w:val="hybridMultilevel"/>
    <w:tmpl w:val="EAEC179C"/>
    <w:lvl w:ilvl="0" w:tplc="F5DA51A0">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AE776E"/>
    <w:multiLevelType w:val="hybridMultilevel"/>
    <w:tmpl w:val="D0CA82CA"/>
    <w:lvl w:ilvl="0" w:tplc="5830B326">
      <w:numFmt w:val="bullet"/>
      <w:lvlText w:val="-"/>
      <w:lvlJc w:val="left"/>
      <w:pPr>
        <w:ind w:left="720" w:hanging="360"/>
      </w:pPr>
      <w:rPr>
        <w:rFonts w:ascii="Arial" w:eastAsia="Arial" w:hAnsi="Arial" w:cs="Aria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407DBF"/>
    <w:multiLevelType w:val="hybridMultilevel"/>
    <w:tmpl w:val="DB0AA214"/>
    <w:lvl w:ilvl="0" w:tplc="835E2184">
      <w:numFmt w:val="bullet"/>
      <w:lvlText w:val=""/>
      <w:lvlJc w:val="left"/>
      <w:pPr>
        <w:ind w:left="102" w:hanging="504"/>
      </w:pPr>
      <w:rPr>
        <w:rFonts w:ascii="Symbol" w:eastAsia="Symbol" w:hAnsi="Symbol" w:cs="Symbol" w:hint="default"/>
        <w:w w:val="100"/>
        <w:sz w:val="22"/>
        <w:szCs w:val="22"/>
      </w:rPr>
    </w:lvl>
    <w:lvl w:ilvl="1" w:tplc="05501D0C">
      <w:numFmt w:val="bullet"/>
      <w:lvlText w:val="•"/>
      <w:lvlJc w:val="left"/>
      <w:pPr>
        <w:ind w:left="1122" w:hanging="504"/>
      </w:pPr>
      <w:rPr>
        <w:rFonts w:hint="default"/>
      </w:rPr>
    </w:lvl>
    <w:lvl w:ilvl="2" w:tplc="DDA22D14">
      <w:numFmt w:val="bullet"/>
      <w:lvlText w:val="•"/>
      <w:lvlJc w:val="left"/>
      <w:pPr>
        <w:ind w:left="2145" w:hanging="504"/>
      </w:pPr>
      <w:rPr>
        <w:rFonts w:hint="default"/>
      </w:rPr>
    </w:lvl>
    <w:lvl w:ilvl="3" w:tplc="AA4CAFD6">
      <w:numFmt w:val="bullet"/>
      <w:lvlText w:val="•"/>
      <w:lvlJc w:val="left"/>
      <w:pPr>
        <w:ind w:left="3167" w:hanging="504"/>
      </w:pPr>
      <w:rPr>
        <w:rFonts w:hint="default"/>
      </w:rPr>
    </w:lvl>
    <w:lvl w:ilvl="4" w:tplc="2A684216">
      <w:numFmt w:val="bullet"/>
      <w:lvlText w:val="•"/>
      <w:lvlJc w:val="left"/>
      <w:pPr>
        <w:ind w:left="4190" w:hanging="504"/>
      </w:pPr>
      <w:rPr>
        <w:rFonts w:hint="default"/>
      </w:rPr>
    </w:lvl>
    <w:lvl w:ilvl="5" w:tplc="9AF2B45C">
      <w:numFmt w:val="bullet"/>
      <w:lvlText w:val="•"/>
      <w:lvlJc w:val="left"/>
      <w:pPr>
        <w:ind w:left="5212" w:hanging="504"/>
      </w:pPr>
      <w:rPr>
        <w:rFonts w:hint="default"/>
      </w:rPr>
    </w:lvl>
    <w:lvl w:ilvl="6" w:tplc="C5B4385E">
      <w:numFmt w:val="bullet"/>
      <w:lvlText w:val="•"/>
      <w:lvlJc w:val="left"/>
      <w:pPr>
        <w:ind w:left="6235" w:hanging="504"/>
      </w:pPr>
      <w:rPr>
        <w:rFonts w:hint="default"/>
      </w:rPr>
    </w:lvl>
    <w:lvl w:ilvl="7" w:tplc="BDCCBD3A">
      <w:numFmt w:val="bullet"/>
      <w:lvlText w:val="•"/>
      <w:lvlJc w:val="left"/>
      <w:pPr>
        <w:ind w:left="7257" w:hanging="504"/>
      </w:pPr>
      <w:rPr>
        <w:rFonts w:hint="default"/>
      </w:rPr>
    </w:lvl>
    <w:lvl w:ilvl="8" w:tplc="0E9CBCD0">
      <w:numFmt w:val="bullet"/>
      <w:lvlText w:val="•"/>
      <w:lvlJc w:val="left"/>
      <w:pPr>
        <w:ind w:left="8280" w:hanging="504"/>
      </w:pPr>
      <w:rPr>
        <w:rFonts w:hint="default"/>
      </w:rPr>
    </w:lvl>
  </w:abstractNum>
  <w:abstractNum w:abstractNumId="19" w15:restartNumberingAfterBreak="0">
    <w:nsid w:val="7A5E4C98"/>
    <w:multiLevelType w:val="hybridMultilevel"/>
    <w:tmpl w:val="7A7ED9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
  </w:num>
  <w:num w:numId="2">
    <w:abstractNumId w:val="16"/>
  </w:num>
  <w:num w:numId="3">
    <w:abstractNumId w:val="1"/>
  </w:num>
  <w:num w:numId="4">
    <w:abstractNumId w:val="14"/>
  </w:num>
  <w:num w:numId="5">
    <w:abstractNumId w:val="6"/>
  </w:num>
  <w:num w:numId="6">
    <w:abstractNumId w:val="2"/>
  </w:num>
  <w:num w:numId="7">
    <w:abstractNumId w:val="12"/>
  </w:num>
  <w:num w:numId="8">
    <w:abstractNumId w:val="5"/>
  </w:num>
  <w:num w:numId="9">
    <w:abstractNumId w:val="8"/>
  </w:num>
  <w:num w:numId="10">
    <w:abstractNumId w:val="17"/>
  </w:num>
  <w:num w:numId="11">
    <w:abstractNumId w:val="7"/>
  </w:num>
  <w:num w:numId="12">
    <w:abstractNumId w:val="18"/>
  </w:num>
  <w:num w:numId="13">
    <w:abstractNumId w:val="13"/>
  </w:num>
  <w:num w:numId="14">
    <w:abstractNumId w:val="19"/>
  </w:num>
  <w:num w:numId="15">
    <w:abstractNumId w:val="11"/>
  </w:num>
  <w:num w:numId="16">
    <w:abstractNumId w:val="9"/>
  </w:num>
  <w:num w:numId="17">
    <w:abstractNumId w:val="0"/>
  </w:num>
  <w:num w:numId="18">
    <w:abstractNumId w:val="15"/>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42A6C"/>
    <w:rsid w:val="000500D6"/>
    <w:rsid w:val="00057E35"/>
    <w:rsid w:val="000674E2"/>
    <w:rsid w:val="00071D9E"/>
    <w:rsid w:val="00076726"/>
    <w:rsid w:val="00080303"/>
    <w:rsid w:val="00091295"/>
    <w:rsid w:val="000A3F58"/>
    <w:rsid w:val="000B5BD8"/>
    <w:rsid w:val="000D2343"/>
    <w:rsid w:val="000D3449"/>
    <w:rsid w:val="000D357C"/>
    <w:rsid w:val="000D425A"/>
    <w:rsid w:val="000D60CC"/>
    <w:rsid w:val="000E2084"/>
    <w:rsid w:val="000E6F55"/>
    <w:rsid w:val="000F0E2A"/>
    <w:rsid w:val="000F7071"/>
    <w:rsid w:val="000F77FA"/>
    <w:rsid w:val="00100527"/>
    <w:rsid w:val="00107BF7"/>
    <w:rsid w:val="00120C1F"/>
    <w:rsid w:val="00126F53"/>
    <w:rsid w:val="00144F36"/>
    <w:rsid w:val="0014766D"/>
    <w:rsid w:val="00150856"/>
    <w:rsid w:val="001536CC"/>
    <w:rsid w:val="001553BA"/>
    <w:rsid w:val="00181CB9"/>
    <w:rsid w:val="001851FA"/>
    <w:rsid w:val="001A3FBA"/>
    <w:rsid w:val="001A5518"/>
    <w:rsid w:val="001B1C6A"/>
    <w:rsid w:val="001C1263"/>
    <w:rsid w:val="001C1417"/>
    <w:rsid w:val="001E390B"/>
    <w:rsid w:val="001F42FB"/>
    <w:rsid w:val="001F719A"/>
    <w:rsid w:val="002031B3"/>
    <w:rsid w:val="0021379C"/>
    <w:rsid w:val="00215931"/>
    <w:rsid w:val="00224C91"/>
    <w:rsid w:val="00227BDB"/>
    <w:rsid w:val="00234CB1"/>
    <w:rsid w:val="002352F8"/>
    <w:rsid w:val="002510A5"/>
    <w:rsid w:val="00254A0A"/>
    <w:rsid w:val="00266046"/>
    <w:rsid w:val="00266C99"/>
    <w:rsid w:val="002846DB"/>
    <w:rsid w:val="00284CCD"/>
    <w:rsid w:val="002C3B72"/>
    <w:rsid w:val="002C6637"/>
    <w:rsid w:val="002D7065"/>
    <w:rsid w:val="002E0135"/>
    <w:rsid w:val="002E37A5"/>
    <w:rsid w:val="00307E1C"/>
    <w:rsid w:val="00310F03"/>
    <w:rsid w:val="0031666D"/>
    <w:rsid w:val="003247D2"/>
    <w:rsid w:val="003445C1"/>
    <w:rsid w:val="0035550D"/>
    <w:rsid w:val="00355B61"/>
    <w:rsid w:val="00362686"/>
    <w:rsid w:val="00364B10"/>
    <w:rsid w:val="00371510"/>
    <w:rsid w:val="00396DFD"/>
    <w:rsid w:val="003A7059"/>
    <w:rsid w:val="003B7A36"/>
    <w:rsid w:val="003C17AB"/>
    <w:rsid w:val="003C7823"/>
    <w:rsid w:val="003E1DCC"/>
    <w:rsid w:val="003E57EC"/>
    <w:rsid w:val="003F11A1"/>
    <w:rsid w:val="003F6A59"/>
    <w:rsid w:val="004065C8"/>
    <w:rsid w:val="004109FA"/>
    <w:rsid w:val="00411B4B"/>
    <w:rsid w:val="00415BEE"/>
    <w:rsid w:val="00427F85"/>
    <w:rsid w:val="00436F42"/>
    <w:rsid w:val="004378B4"/>
    <w:rsid w:val="004448F6"/>
    <w:rsid w:val="004476F6"/>
    <w:rsid w:val="00451314"/>
    <w:rsid w:val="00452E9D"/>
    <w:rsid w:val="004534C7"/>
    <w:rsid w:val="00464788"/>
    <w:rsid w:val="004671AA"/>
    <w:rsid w:val="0047457A"/>
    <w:rsid w:val="00480FB1"/>
    <w:rsid w:val="00483928"/>
    <w:rsid w:val="004A406F"/>
    <w:rsid w:val="004B0614"/>
    <w:rsid w:val="004C331F"/>
    <w:rsid w:val="004C49DB"/>
    <w:rsid w:val="004D6103"/>
    <w:rsid w:val="004E3BCE"/>
    <w:rsid w:val="004E70AD"/>
    <w:rsid w:val="004F0E97"/>
    <w:rsid w:val="00501DD1"/>
    <w:rsid w:val="00515C21"/>
    <w:rsid w:val="00530BD7"/>
    <w:rsid w:val="00545CD2"/>
    <w:rsid w:val="005476F3"/>
    <w:rsid w:val="00561817"/>
    <w:rsid w:val="005678C5"/>
    <w:rsid w:val="00572527"/>
    <w:rsid w:val="00573E40"/>
    <w:rsid w:val="00576348"/>
    <w:rsid w:val="005A0B2E"/>
    <w:rsid w:val="005A23D2"/>
    <w:rsid w:val="005A36CB"/>
    <w:rsid w:val="005A4D0F"/>
    <w:rsid w:val="005B49B8"/>
    <w:rsid w:val="005C0741"/>
    <w:rsid w:val="005C5EF4"/>
    <w:rsid w:val="005E2E0B"/>
    <w:rsid w:val="005E7A7D"/>
    <w:rsid w:val="00602457"/>
    <w:rsid w:val="00644FC3"/>
    <w:rsid w:val="00646BD1"/>
    <w:rsid w:val="00647F27"/>
    <w:rsid w:val="006561C2"/>
    <w:rsid w:val="00671CB3"/>
    <w:rsid w:val="00674BAF"/>
    <w:rsid w:val="00682200"/>
    <w:rsid w:val="00692BF6"/>
    <w:rsid w:val="006A1497"/>
    <w:rsid w:val="006A24CE"/>
    <w:rsid w:val="006B0BD1"/>
    <w:rsid w:val="006B5404"/>
    <w:rsid w:val="006D20A5"/>
    <w:rsid w:val="006D37BF"/>
    <w:rsid w:val="006F7D7B"/>
    <w:rsid w:val="00702E22"/>
    <w:rsid w:val="00704D97"/>
    <w:rsid w:val="0072020E"/>
    <w:rsid w:val="00751CC3"/>
    <w:rsid w:val="00786071"/>
    <w:rsid w:val="007A3ECB"/>
    <w:rsid w:val="007C7DBC"/>
    <w:rsid w:val="007D7BB3"/>
    <w:rsid w:val="007F4AB4"/>
    <w:rsid w:val="00824AB9"/>
    <w:rsid w:val="00826B70"/>
    <w:rsid w:val="00836B35"/>
    <w:rsid w:val="00840A61"/>
    <w:rsid w:val="00843BDE"/>
    <w:rsid w:val="0087026C"/>
    <w:rsid w:val="0087588C"/>
    <w:rsid w:val="0089705C"/>
    <w:rsid w:val="008A6D43"/>
    <w:rsid w:val="008B491E"/>
    <w:rsid w:val="008C1A28"/>
    <w:rsid w:val="008C2E98"/>
    <w:rsid w:val="008C6E45"/>
    <w:rsid w:val="008E0DC9"/>
    <w:rsid w:val="008E49BD"/>
    <w:rsid w:val="008E53E9"/>
    <w:rsid w:val="008E5771"/>
    <w:rsid w:val="008F4ACF"/>
    <w:rsid w:val="00924166"/>
    <w:rsid w:val="00933F6B"/>
    <w:rsid w:val="00940B9B"/>
    <w:rsid w:val="0095676E"/>
    <w:rsid w:val="00956983"/>
    <w:rsid w:val="00960545"/>
    <w:rsid w:val="009629BC"/>
    <w:rsid w:val="00963CF0"/>
    <w:rsid w:val="00964BB1"/>
    <w:rsid w:val="009705B3"/>
    <w:rsid w:val="00974BFD"/>
    <w:rsid w:val="009775D9"/>
    <w:rsid w:val="00997175"/>
    <w:rsid w:val="009A1847"/>
    <w:rsid w:val="009B062A"/>
    <w:rsid w:val="009C5BD3"/>
    <w:rsid w:val="009E7C6F"/>
    <w:rsid w:val="009F1793"/>
    <w:rsid w:val="009F1AD2"/>
    <w:rsid w:val="009F2D23"/>
    <w:rsid w:val="00A01D69"/>
    <w:rsid w:val="00A02335"/>
    <w:rsid w:val="00A3510D"/>
    <w:rsid w:val="00A46C9A"/>
    <w:rsid w:val="00A619F3"/>
    <w:rsid w:val="00A62A73"/>
    <w:rsid w:val="00A86F3E"/>
    <w:rsid w:val="00A87FF6"/>
    <w:rsid w:val="00A91E0C"/>
    <w:rsid w:val="00A95B5E"/>
    <w:rsid w:val="00AA0A3B"/>
    <w:rsid w:val="00AA2763"/>
    <w:rsid w:val="00AA33B6"/>
    <w:rsid w:val="00AB50CA"/>
    <w:rsid w:val="00AB6D64"/>
    <w:rsid w:val="00AC53CE"/>
    <w:rsid w:val="00AD2193"/>
    <w:rsid w:val="00AF2AC7"/>
    <w:rsid w:val="00AF74CE"/>
    <w:rsid w:val="00B208DB"/>
    <w:rsid w:val="00B23F69"/>
    <w:rsid w:val="00B427F3"/>
    <w:rsid w:val="00B60619"/>
    <w:rsid w:val="00B66A70"/>
    <w:rsid w:val="00B67366"/>
    <w:rsid w:val="00B76617"/>
    <w:rsid w:val="00B80EE1"/>
    <w:rsid w:val="00B83FEA"/>
    <w:rsid w:val="00B84135"/>
    <w:rsid w:val="00B9681D"/>
    <w:rsid w:val="00BD15F3"/>
    <w:rsid w:val="00BD56F0"/>
    <w:rsid w:val="00BF760B"/>
    <w:rsid w:val="00C04D34"/>
    <w:rsid w:val="00C05DF8"/>
    <w:rsid w:val="00C06864"/>
    <w:rsid w:val="00C10F54"/>
    <w:rsid w:val="00C23D8D"/>
    <w:rsid w:val="00C368DC"/>
    <w:rsid w:val="00C37AA3"/>
    <w:rsid w:val="00C37FD7"/>
    <w:rsid w:val="00C43419"/>
    <w:rsid w:val="00C44CF3"/>
    <w:rsid w:val="00C61BE0"/>
    <w:rsid w:val="00C66CEB"/>
    <w:rsid w:val="00C6707E"/>
    <w:rsid w:val="00C70B0E"/>
    <w:rsid w:val="00C70EBC"/>
    <w:rsid w:val="00C773CA"/>
    <w:rsid w:val="00C82733"/>
    <w:rsid w:val="00C83785"/>
    <w:rsid w:val="00C90257"/>
    <w:rsid w:val="00C94C0D"/>
    <w:rsid w:val="00CA1FEB"/>
    <w:rsid w:val="00CA57A4"/>
    <w:rsid w:val="00CB2FF8"/>
    <w:rsid w:val="00CC0113"/>
    <w:rsid w:val="00CD4F85"/>
    <w:rsid w:val="00CD6F02"/>
    <w:rsid w:val="00CE246D"/>
    <w:rsid w:val="00CE3ACA"/>
    <w:rsid w:val="00CF07A0"/>
    <w:rsid w:val="00CF3E03"/>
    <w:rsid w:val="00CF581F"/>
    <w:rsid w:val="00D0082A"/>
    <w:rsid w:val="00D151C6"/>
    <w:rsid w:val="00D21455"/>
    <w:rsid w:val="00D21C47"/>
    <w:rsid w:val="00D47634"/>
    <w:rsid w:val="00D655B4"/>
    <w:rsid w:val="00D709B3"/>
    <w:rsid w:val="00D904F7"/>
    <w:rsid w:val="00DA2ED6"/>
    <w:rsid w:val="00DB76B8"/>
    <w:rsid w:val="00DC2EA1"/>
    <w:rsid w:val="00DD6AAF"/>
    <w:rsid w:val="00DE3F5C"/>
    <w:rsid w:val="00DF1D20"/>
    <w:rsid w:val="00E02EDE"/>
    <w:rsid w:val="00E15D25"/>
    <w:rsid w:val="00E20CFB"/>
    <w:rsid w:val="00E21324"/>
    <w:rsid w:val="00E246B9"/>
    <w:rsid w:val="00E31FEA"/>
    <w:rsid w:val="00E33413"/>
    <w:rsid w:val="00E45169"/>
    <w:rsid w:val="00E47787"/>
    <w:rsid w:val="00E51C30"/>
    <w:rsid w:val="00E6150C"/>
    <w:rsid w:val="00E64180"/>
    <w:rsid w:val="00E74AEE"/>
    <w:rsid w:val="00E814F9"/>
    <w:rsid w:val="00E868E5"/>
    <w:rsid w:val="00E9237A"/>
    <w:rsid w:val="00E939FA"/>
    <w:rsid w:val="00EA5765"/>
    <w:rsid w:val="00EC2532"/>
    <w:rsid w:val="00ED7812"/>
    <w:rsid w:val="00EF3B86"/>
    <w:rsid w:val="00EF74D6"/>
    <w:rsid w:val="00F022B6"/>
    <w:rsid w:val="00F0540D"/>
    <w:rsid w:val="00F162C4"/>
    <w:rsid w:val="00F317E9"/>
    <w:rsid w:val="00F34554"/>
    <w:rsid w:val="00F45F77"/>
    <w:rsid w:val="00F5167F"/>
    <w:rsid w:val="00F52258"/>
    <w:rsid w:val="00F55384"/>
    <w:rsid w:val="00F6450D"/>
    <w:rsid w:val="00F82488"/>
    <w:rsid w:val="00F8570A"/>
    <w:rsid w:val="00F91C7B"/>
    <w:rsid w:val="00FA0DA1"/>
    <w:rsid w:val="00FA3E99"/>
    <w:rsid w:val="00FA68A1"/>
    <w:rsid w:val="00FC6572"/>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29D9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D904F7"/>
    <w:pPr>
      <w:ind w:left="720"/>
      <w:contextualSpacing/>
    </w:pPr>
  </w:style>
  <w:style w:type="table" w:styleId="TableGrid">
    <w:name w:val="Table Grid"/>
    <w:basedOn w:val="TableNormal"/>
    <w:rsid w:val="00B76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55B4"/>
    <w:pPr>
      <w:widowControl w:val="0"/>
      <w:autoSpaceDE w:val="0"/>
      <w:autoSpaceDN w:val="0"/>
      <w:ind w:left="9"/>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D7C9F-B027-4D47-B7BE-B1A71EBD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15577</Words>
  <Characters>88791</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104160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4</cp:revision>
  <dcterms:created xsi:type="dcterms:W3CDTF">2022-09-27T05:57:00Z</dcterms:created>
  <dcterms:modified xsi:type="dcterms:W3CDTF">2022-09-27T09:44:00Z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