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A3624" w14:textId="77777777" w:rsidR="001A5518" w:rsidRPr="00E814B7" w:rsidRDefault="001A5518" w:rsidP="00E814B7">
      <w:pPr>
        <w:rPr>
          <w:rFonts w:asciiTheme="majorBidi" w:hAnsiTheme="majorBidi" w:cstheme="majorBidi"/>
          <w:b/>
          <w:bCs/>
          <w:i/>
          <w:iCs/>
          <w:sz w:val="22"/>
          <w:szCs w:val="22"/>
          <w:u w:val="single"/>
          <w:lang w:val="sr-Latn-ME"/>
        </w:rPr>
      </w:pPr>
    </w:p>
    <w:p w14:paraId="3E0B6B28" w14:textId="77777777" w:rsidR="002510A5" w:rsidRPr="00E814B7" w:rsidRDefault="002510A5" w:rsidP="00E814B7">
      <w:pPr>
        <w:jc w:val="center"/>
        <w:rPr>
          <w:rFonts w:asciiTheme="majorBidi" w:hAnsiTheme="majorBidi" w:cstheme="majorBidi"/>
          <w:b/>
          <w:bCs/>
          <w:iCs/>
          <w:sz w:val="22"/>
          <w:szCs w:val="22"/>
          <w:u w:val="single"/>
          <w:lang w:val="sr-Latn-ME"/>
        </w:rPr>
      </w:pPr>
      <w:r w:rsidRPr="00E814B7">
        <w:rPr>
          <w:rFonts w:asciiTheme="majorBidi" w:hAnsiTheme="majorBidi" w:cstheme="majorBidi"/>
          <w:b/>
          <w:bCs/>
          <w:iCs/>
          <w:sz w:val="22"/>
          <w:szCs w:val="22"/>
          <w:u w:val="single"/>
          <w:lang w:val="sr-Latn-ME"/>
        </w:rPr>
        <w:t>SAŽETAK KARAKTERISTIKA LIJEKA</w:t>
      </w:r>
    </w:p>
    <w:p w14:paraId="571AC515" w14:textId="77777777" w:rsidR="002510A5" w:rsidRPr="00E814B7" w:rsidRDefault="002510A5" w:rsidP="00E814B7">
      <w:pPr>
        <w:rPr>
          <w:rFonts w:asciiTheme="majorBidi" w:hAnsiTheme="majorBidi" w:cstheme="majorBidi"/>
          <w:b/>
          <w:bCs/>
          <w:i/>
          <w:iCs/>
          <w:sz w:val="22"/>
          <w:szCs w:val="22"/>
          <w:u w:val="single"/>
          <w:lang w:val="sr-Latn-ME"/>
        </w:rPr>
      </w:pPr>
    </w:p>
    <w:p w14:paraId="3D4530DC" w14:textId="77777777" w:rsidR="00C37FD7" w:rsidRPr="00E814B7" w:rsidRDefault="00C37FD7" w:rsidP="00E814B7">
      <w:pPr>
        <w:tabs>
          <w:tab w:val="left" w:pos="540"/>
          <w:tab w:val="left" w:pos="569"/>
        </w:tabs>
        <w:rPr>
          <w:rFonts w:asciiTheme="majorBidi" w:hAnsiTheme="majorBidi" w:cstheme="majorBidi"/>
          <w:bCs/>
          <w:sz w:val="22"/>
          <w:szCs w:val="22"/>
          <w:lang w:val="sr-Latn-ME"/>
        </w:rPr>
      </w:pPr>
    </w:p>
    <w:p w14:paraId="22702FB5" w14:textId="77777777" w:rsidR="00411B4B" w:rsidRPr="00E814B7" w:rsidRDefault="00411B4B"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1.</w:t>
      </w:r>
      <w:r w:rsidR="00F5167F" w:rsidRPr="00E814B7">
        <w:rPr>
          <w:rFonts w:asciiTheme="majorBidi" w:hAnsiTheme="majorBidi" w:cstheme="majorBidi"/>
          <w:b/>
          <w:bCs/>
          <w:sz w:val="22"/>
          <w:szCs w:val="22"/>
          <w:lang w:val="sr-Latn-ME"/>
        </w:rPr>
        <w:tab/>
      </w:r>
      <w:r w:rsidR="002846DB" w:rsidRPr="00E814B7">
        <w:rPr>
          <w:rFonts w:asciiTheme="majorBidi" w:hAnsiTheme="majorBidi" w:cstheme="majorBidi"/>
          <w:b/>
          <w:bCs/>
          <w:sz w:val="22"/>
          <w:szCs w:val="22"/>
          <w:lang w:val="sr-Latn-ME"/>
        </w:rPr>
        <w:t xml:space="preserve">NAZIV </w:t>
      </w:r>
      <w:r w:rsidRPr="00E814B7">
        <w:rPr>
          <w:rFonts w:asciiTheme="majorBidi" w:hAnsiTheme="majorBidi" w:cstheme="majorBidi"/>
          <w:b/>
          <w:bCs/>
          <w:sz w:val="22"/>
          <w:szCs w:val="22"/>
          <w:lang w:val="sr-Latn-ME"/>
        </w:rPr>
        <w:t>LIJEKA</w:t>
      </w:r>
    </w:p>
    <w:p w14:paraId="44E2E6AE" w14:textId="77777777" w:rsidR="00EC2532" w:rsidRPr="00E814B7" w:rsidRDefault="00EC2532" w:rsidP="00E814B7">
      <w:pPr>
        <w:rPr>
          <w:rFonts w:asciiTheme="majorBidi" w:hAnsiTheme="majorBidi" w:cstheme="majorBidi"/>
          <w:sz w:val="22"/>
          <w:szCs w:val="22"/>
          <w:lang w:val="sr-Latn-ME"/>
        </w:rPr>
      </w:pPr>
    </w:p>
    <w:p w14:paraId="1EE74A79" w14:textId="395DC1D6" w:rsidR="002D6FC5" w:rsidRPr="00E814B7" w:rsidRDefault="002D6FC5"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Inopran, 100 mg, film tableta</w:t>
      </w:r>
    </w:p>
    <w:p w14:paraId="2B4CA728" w14:textId="062668C2" w:rsidR="002D6FC5" w:rsidRPr="00E814B7" w:rsidRDefault="002D6FC5"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Inopran, 150 mg, film tableta</w:t>
      </w:r>
    </w:p>
    <w:p w14:paraId="72A05B8A" w14:textId="0F52648E" w:rsidR="000D425A" w:rsidRPr="00E814B7" w:rsidRDefault="000D425A" w:rsidP="00E814B7">
      <w:pPr>
        <w:rPr>
          <w:rFonts w:asciiTheme="majorBidi" w:hAnsiTheme="majorBidi" w:cstheme="majorBidi"/>
          <w:bCs/>
          <w:sz w:val="22"/>
          <w:szCs w:val="22"/>
          <w:lang w:val="sr-Latn-ME"/>
        </w:rPr>
      </w:pPr>
    </w:p>
    <w:p w14:paraId="0CE4B3F9" w14:textId="28F26DB4" w:rsidR="006D20A5" w:rsidRPr="00E814B7" w:rsidRDefault="006D20A5" w:rsidP="00E814B7">
      <w:pPr>
        <w:rPr>
          <w:rFonts w:asciiTheme="majorBidi" w:hAnsiTheme="majorBidi" w:cstheme="majorBidi"/>
          <w:sz w:val="22"/>
          <w:szCs w:val="22"/>
          <w:lang w:val="sr-Latn-ME"/>
        </w:rPr>
      </w:pPr>
      <w:r w:rsidRPr="00E814B7">
        <w:rPr>
          <w:rFonts w:asciiTheme="majorBidi" w:hAnsiTheme="majorBidi" w:cstheme="majorBidi"/>
          <w:sz w:val="22"/>
          <w:szCs w:val="22"/>
          <w:lang w:val="sr-Latn-ME"/>
        </w:rPr>
        <w:t>INN:</w:t>
      </w:r>
      <w:r w:rsidR="002D6FC5" w:rsidRPr="00E814B7">
        <w:rPr>
          <w:rFonts w:asciiTheme="majorBidi" w:hAnsiTheme="majorBidi" w:cstheme="majorBidi"/>
          <w:sz w:val="22"/>
          <w:szCs w:val="22"/>
          <w:lang w:val="sr-Latn-ME"/>
        </w:rPr>
        <w:t xml:space="preserve"> erlotinib</w:t>
      </w:r>
    </w:p>
    <w:p w14:paraId="3CD90E3B" w14:textId="77777777" w:rsidR="006D20A5" w:rsidRPr="00E814B7" w:rsidRDefault="006D20A5" w:rsidP="00E814B7">
      <w:pPr>
        <w:rPr>
          <w:rFonts w:asciiTheme="majorBidi" w:hAnsiTheme="majorBidi" w:cstheme="majorBidi"/>
          <w:bCs/>
          <w:sz w:val="22"/>
          <w:szCs w:val="22"/>
          <w:lang w:val="sr-Latn-ME"/>
        </w:rPr>
      </w:pPr>
    </w:p>
    <w:p w14:paraId="6E03BECE" w14:textId="77777777" w:rsidR="00530BD7" w:rsidRPr="00E814B7" w:rsidRDefault="00530BD7" w:rsidP="00E814B7">
      <w:pPr>
        <w:rPr>
          <w:rFonts w:asciiTheme="majorBidi" w:hAnsiTheme="majorBidi" w:cstheme="majorBidi"/>
          <w:bCs/>
          <w:sz w:val="22"/>
          <w:szCs w:val="22"/>
          <w:lang w:val="sr-Latn-ME"/>
        </w:rPr>
      </w:pPr>
    </w:p>
    <w:p w14:paraId="20BBC8B8" w14:textId="77777777" w:rsidR="00411B4B" w:rsidRPr="00E814B7" w:rsidRDefault="00411B4B"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2. </w:t>
      </w:r>
      <w:r w:rsidR="00F5167F"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KVALITATIVNI I KVANTITATIVNI SASTAV</w:t>
      </w:r>
    </w:p>
    <w:p w14:paraId="36C0C6FB" w14:textId="77777777" w:rsidR="002D6FC5" w:rsidRPr="00E814B7" w:rsidRDefault="002D6FC5" w:rsidP="00E814B7">
      <w:pPr>
        <w:tabs>
          <w:tab w:val="left" w:pos="284"/>
        </w:tabs>
        <w:jc w:val="both"/>
        <w:rPr>
          <w:rFonts w:asciiTheme="majorBidi" w:hAnsiTheme="majorBidi" w:cstheme="majorBidi"/>
          <w:bCs/>
          <w:iCs/>
          <w:sz w:val="22"/>
          <w:szCs w:val="22"/>
          <w:lang w:val="sr-Latn-ME"/>
        </w:rPr>
      </w:pPr>
    </w:p>
    <w:p w14:paraId="3DBBCF35" w14:textId="0A8D9560" w:rsidR="004F02F7" w:rsidRPr="00E814B7" w:rsidRDefault="004F02F7" w:rsidP="00E814B7">
      <w:pPr>
        <w:tabs>
          <w:tab w:val="left" w:pos="284"/>
        </w:tabs>
        <w:jc w:val="both"/>
        <w:rPr>
          <w:rFonts w:asciiTheme="majorBidi" w:hAnsiTheme="majorBidi" w:cstheme="majorBidi"/>
          <w:bCs/>
          <w:i/>
          <w:sz w:val="22"/>
          <w:szCs w:val="22"/>
          <w:lang w:val="sr-Latn-ME"/>
        </w:rPr>
      </w:pPr>
      <w:r w:rsidRPr="00E814B7">
        <w:rPr>
          <w:rFonts w:asciiTheme="majorBidi" w:hAnsiTheme="majorBidi" w:cstheme="majorBidi"/>
          <w:bCs/>
          <w:i/>
          <w:sz w:val="22"/>
          <w:szCs w:val="22"/>
          <w:lang w:val="sr-Latn-ME"/>
        </w:rPr>
        <w:t>Inopran, 100 mg, film tableta</w:t>
      </w:r>
    </w:p>
    <w:p w14:paraId="530E9254" w14:textId="120335DE" w:rsidR="002D6FC5" w:rsidRPr="00E814B7" w:rsidRDefault="002D6FC5"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 xml:space="preserve">Jedna film tableta sadrži 100 mg erlotiniba (u obliku erlotinib hidrohlorida). </w:t>
      </w:r>
    </w:p>
    <w:p w14:paraId="406B314E" w14:textId="59B0A471" w:rsidR="004F02F7" w:rsidRPr="00E814B7" w:rsidRDefault="004F02F7" w:rsidP="00E814B7">
      <w:pPr>
        <w:tabs>
          <w:tab w:val="left" w:pos="284"/>
        </w:tabs>
        <w:jc w:val="both"/>
        <w:rPr>
          <w:rFonts w:asciiTheme="majorBidi" w:hAnsiTheme="majorBidi" w:cstheme="majorBidi"/>
          <w:bCs/>
          <w:iCs/>
          <w:sz w:val="22"/>
          <w:szCs w:val="22"/>
          <w:u w:val="single"/>
          <w:lang w:val="sr-Latn-ME"/>
        </w:rPr>
      </w:pPr>
      <w:r w:rsidRPr="00E814B7">
        <w:rPr>
          <w:rFonts w:asciiTheme="majorBidi" w:hAnsiTheme="majorBidi" w:cstheme="majorBidi"/>
          <w:bCs/>
          <w:iCs/>
          <w:sz w:val="22"/>
          <w:szCs w:val="22"/>
          <w:u w:val="single"/>
          <w:lang w:val="sr-Latn-ME"/>
        </w:rPr>
        <w:t>Pomoćna supstanca sa poznatim dejstvom:</w:t>
      </w:r>
    </w:p>
    <w:p w14:paraId="1587EA72" w14:textId="5E76E384" w:rsidR="004F02F7" w:rsidRPr="00E814B7" w:rsidRDefault="004F02F7"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Jedna film tableta sadrži 95,93 mg laktoza monohidrata.</w:t>
      </w:r>
    </w:p>
    <w:p w14:paraId="365FFC0B" w14:textId="232FA000" w:rsidR="004F02F7" w:rsidRPr="00E814B7" w:rsidRDefault="004F02F7" w:rsidP="00E814B7">
      <w:pPr>
        <w:tabs>
          <w:tab w:val="left" w:pos="284"/>
        </w:tabs>
        <w:jc w:val="both"/>
        <w:rPr>
          <w:rFonts w:asciiTheme="majorBidi" w:hAnsiTheme="majorBidi" w:cstheme="majorBidi"/>
          <w:bCs/>
          <w:iCs/>
          <w:sz w:val="22"/>
          <w:szCs w:val="22"/>
          <w:lang w:val="sr-Latn-ME"/>
        </w:rPr>
      </w:pPr>
    </w:p>
    <w:p w14:paraId="73185DC2" w14:textId="74A82E82" w:rsidR="004F02F7" w:rsidRPr="00E814B7" w:rsidRDefault="004F02F7" w:rsidP="00E814B7">
      <w:pPr>
        <w:tabs>
          <w:tab w:val="left" w:pos="284"/>
        </w:tabs>
        <w:jc w:val="both"/>
        <w:rPr>
          <w:rFonts w:asciiTheme="majorBidi" w:hAnsiTheme="majorBidi" w:cstheme="majorBidi"/>
          <w:bCs/>
          <w:i/>
          <w:sz w:val="22"/>
          <w:szCs w:val="22"/>
          <w:lang w:val="sr-Latn-ME"/>
        </w:rPr>
      </w:pPr>
      <w:r w:rsidRPr="00E814B7">
        <w:rPr>
          <w:rFonts w:asciiTheme="majorBidi" w:hAnsiTheme="majorBidi" w:cstheme="majorBidi"/>
          <w:bCs/>
          <w:i/>
          <w:sz w:val="22"/>
          <w:szCs w:val="22"/>
          <w:lang w:val="sr-Latn-ME"/>
        </w:rPr>
        <w:t>Inopran, 150 mg, film tableta</w:t>
      </w:r>
    </w:p>
    <w:p w14:paraId="71108657" w14:textId="61E34C99" w:rsidR="002D6FC5" w:rsidRPr="00E814B7" w:rsidRDefault="004F02F7"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J</w:t>
      </w:r>
      <w:r w:rsidR="002D6FC5" w:rsidRPr="00E814B7">
        <w:rPr>
          <w:rFonts w:asciiTheme="majorBidi" w:hAnsiTheme="majorBidi" w:cstheme="majorBidi"/>
          <w:bCs/>
          <w:iCs/>
          <w:sz w:val="22"/>
          <w:szCs w:val="22"/>
          <w:lang w:val="sr-Latn-ME"/>
        </w:rPr>
        <w:t>edna film tableta sadrži 150 mg erlotiniba (u obliku erlotinib hidrohlorida).</w:t>
      </w:r>
    </w:p>
    <w:p w14:paraId="23A5F09A" w14:textId="5BD12CA8" w:rsidR="004F02F7" w:rsidRPr="00E814B7" w:rsidRDefault="004F02F7" w:rsidP="00E814B7">
      <w:pPr>
        <w:tabs>
          <w:tab w:val="left" w:pos="284"/>
        </w:tabs>
        <w:jc w:val="both"/>
        <w:rPr>
          <w:rFonts w:asciiTheme="majorBidi" w:hAnsiTheme="majorBidi" w:cstheme="majorBidi"/>
          <w:bCs/>
          <w:iCs/>
          <w:sz w:val="22"/>
          <w:szCs w:val="22"/>
          <w:u w:val="single"/>
          <w:lang w:val="sr-Latn-ME"/>
        </w:rPr>
      </w:pPr>
      <w:r w:rsidRPr="00E814B7">
        <w:rPr>
          <w:rFonts w:asciiTheme="majorBidi" w:hAnsiTheme="majorBidi" w:cstheme="majorBidi"/>
          <w:bCs/>
          <w:iCs/>
          <w:sz w:val="22"/>
          <w:szCs w:val="22"/>
          <w:u w:val="single"/>
          <w:lang w:val="sr-Latn-ME"/>
        </w:rPr>
        <w:t>Pomoćna supstanca sa poznatim dejstvom:</w:t>
      </w:r>
    </w:p>
    <w:p w14:paraId="17CF9790" w14:textId="0D5D931E" w:rsidR="002D6FC5" w:rsidRPr="00E814B7" w:rsidRDefault="002D6FC5" w:rsidP="00E814B7">
      <w:pPr>
        <w:tabs>
          <w:tab w:val="left" w:pos="284"/>
        </w:tabs>
        <w:jc w:val="both"/>
        <w:rPr>
          <w:rFonts w:asciiTheme="majorBidi" w:hAnsiTheme="majorBidi" w:cstheme="majorBidi"/>
          <w:bCs/>
          <w:iCs/>
          <w:sz w:val="22"/>
          <w:szCs w:val="22"/>
          <w:lang w:val="sr-Latn-ME"/>
        </w:rPr>
      </w:pPr>
      <w:r w:rsidRPr="00E814B7">
        <w:rPr>
          <w:rFonts w:asciiTheme="majorBidi" w:hAnsiTheme="majorBidi" w:cstheme="majorBidi"/>
          <w:bCs/>
          <w:iCs/>
          <w:sz w:val="22"/>
          <w:szCs w:val="22"/>
          <w:lang w:val="sr-Latn-ME"/>
        </w:rPr>
        <w:t>Jedna film tableta sadrži 143,90 mg laktoza monohidrata.</w:t>
      </w:r>
    </w:p>
    <w:p w14:paraId="5F0FF343" w14:textId="77777777" w:rsidR="005A0B2E" w:rsidRPr="00E814B7" w:rsidRDefault="005A0B2E" w:rsidP="00E814B7">
      <w:pPr>
        <w:rPr>
          <w:rFonts w:asciiTheme="majorBidi" w:hAnsiTheme="majorBidi" w:cstheme="majorBidi"/>
          <w:sz w:val="22"/>
          <w:szCs w:val="22"/>
          <w:lang w:val="sr-Latn-ME"/>
        </w:rPr>
      </w:pPr>
    </w:p>
    <w:p w14:paraId="01F448EE" w14:textId="77777777" w:rsidR="0003793F" w:rsidRPr="00E814B7" w:rsidRDefault="0003793F" w:rsidP="00E814B7">
      <w:pPr>
        <w:rPr>
          <w:rFonts w:asciiTheme="majorBidi" w:hAnsiTheme="majorBidi" w:cstheme="majorBidi"/>
          <w:sz w:val="22"/>
          <w:szCs w:val="22"/>
          <w:lang w:val="sr-Latn-ME"/>
        </w:rPr>
      </w:pPr>
      <w:r w:rsidRPr="00E814B7">
        <w:rPr>
          <w:rFonts w:asciiTheme="majorBidi" w:hAnsiTheme="majorBidi" w:cstheme="majorBidi"/>
          <w:sz w:val="22"/>
          <w:szCs w:val="22"/>
          <w:lang w:val="sr-Latn-ME"/>
        </w:rPr>
        <w:t>Za spisak svih ekscipijenasa, pogledati dio 6.1.</w:t>
      </w:r>
    </w:p>
    <w:p w14:paraId="42EFA096" w14:textId="77777777" w:rsidR="00C37FD7" w:rsidRPr="00E814B7" w:rsidRDefault="00C37FD7" w:rsidP="00E814B7">
      <w:pPr>
        <w:rPr>
          <w:rFonts w:asciiTheme="majorBidi" w:hAnsiTheme="majorBidi" w:cstheme="majorBidi"/>
          <w:sz w:val="22"/>
          <w:szCs w:val="22"/>
          <w:lang w:val="sr-Latn-ME"/>
        </w:rPr>
      </w:pPr>
    </w:p>
    <w:p w14:paraId="02A60D05" w14:textId="77777777" w:rsidR="008E4E25" w:rsidRPr="00E814B7" w:rsidRDefault="00411B4B"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3. </w:t>
      </w:r>
      <w:r w:rsidR="00F5167F"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FARMACEUTSKI OBLIK</w:t>
      </w:r>
      <w:r w:rsidR="009F2D23" w:rsidRPr="00E814B7">
        <w:rPr>
          <w:rFonts w:asciiTheme="majorBidi" w:hAnsiTheme="majorBidi" w:cstheme="majorBidi"/>
          <w:b/>
          <w:bCs/>
          <w:sz w:val="22"/>
          <w:szCs w:val="22"/>
          <w:lang w:val="sr-Latn-ME"/>
        </w:rPr>
        <w:t xml:space="preserve"> </w:t>
      </w:r>
    </w:p>
    <w:p w14:paraId="4F05B3E6" w14:textId="77777777" w:rsidR="008E4E25" w:rsidRPr="00E814B7" w:rsidRDefault="008E4E25" w:rsidP="00E814B7">
      <w:pPr>
        <w:tabs>
          <w:tab w:val="left" w:pos="540"/>
          <w:tab w:val="left" w:pos="569"/>
        </w:tabs>
        <w:rPr>
          <w:rFonts w:asciiTheme="majorBidi" w:hAnsiTheme="majorBidi" w:cstheme="majorBidi"/>
          <w:b/>
          <w:bCs/>
          <w:sz w:val="22"/>
          <w:szCs w:val="22"/>
          <w:lang w:val="sr-Latn-ME"/>
        </w:rPr>
      </w:pPr>
    </w:p>
    <w:p w14:paraId="2A2E6E6D" w14:textId="7299BA9E" w:rsidR="002D6FC5" w:rsidRPr="00E814B7" w:rsidRDefault="002D6FC5" w:rsidP="00E814B7">
      <w:pPr>
        <w:tabs>
          <w:tab w:val="left" w:pos="540"/>
          <w:tab w:val="left" w:pos="569"/>
        </w:tabs>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Film tableta.</w:t>
      </w:r>
    </w:p>
    <w:p w14:paraId="0E993C4F" w14:textId="77777777" w:rsidR="008E4E25" w:rsidRPr="00E814B7" w:rsidRDefault="008E4E25" w:rsidP="00E814B7">
      <w:pPr>
        <w:tabs>
          <w:tab w:val="left" w:pos="540"/>
          <w:tab w:val="left" w:pos="569"/>
        </w:tabs>
        <w:rPr>
          <w:rFonts w:asciiTheme="majorBidi" w:hAnsiTheme="majorBidi" w:cstheme="majorBidi"/>
          <w:b/>
          <w:bCs/>
          <w:sz w:val="22"/>
          <w:szCs w:val="22"/>
          <w:lang w:val="sr-Latn-ME"/>
        </w:rPr>
      </w:pPr>
    </w:p>
    <w:p w14:paraId="6ADABE08" w14:textId="730D18A0" w:rsidR="008E4E25" w:rsidRPr="00E814B7" w:rsidRDefault="008E4E25" w:rsidP="00E814B7">
      <w:pPr>
        <w:tabs>
          <w:tab w:val="left" w:pos="284"/>
        </w:tabs>
        <w:jc w:val="both"/>
        <w:rPr>
          <w:rFonts w:asciiTheme="majorBidi" w:hAnsiTheme="majorBidi" w:cstheme="majorBidi"/>
          <w:bCs/>
          <w:i/>
          <w:sz w:val="22"/>
          <w:szCs w:val="22"/>
          <w:lang w:val="sr-Latn-ME"/>
        </w:rPr>
      </w:pPr>
      <w:r w:rsidRPr="00E814B7">
        <w:rPr>
          <w:rFonts w:asciiTheme="majorBidi" w:hAnsiTheme="majorBidi" w:cstheme="majorBidi"/>
          <w:bCs/>
          <w:i/>
          <w:sz w:val="22"/>
          <w:szCs w:val="22"/>
          <w:lang w:val="sr-Latn-ME"/>
        </w:rPr>
        <w:t>Inopran, 100 mg, film tableta</w:t>
      </w:r>
    </w:p>
    <w:p w14:paraId="524F031E" w14:textId="60E8BE39" w:rsidR="002D6FC5" w:rsidRPr="00E814B7" w:rsidRDefault="002D6FC5"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Okrugle, bikonveksne film tablete, bijele do svijetložute boje sa </w:t>
      </w:r>
      <w:r w:rsidR="00855FBF" w:rsidRPr="00E814B7">
        <w:rPr>
          <w:rFonts w:asciiTheme="majorBidi" w:eastAsiaTheme="minorHAnsi" w:hAnsiTheme="majorBidi" w:cstheme="majorBidi"/>
          <w:sz w:val="22"/>
          <w:szCs w:val="22"/>
          <w:lang w:val="sr-Latn-ME"/>
        </w:rPr>
        <w:t xml:space="preserve">utisnutom </w:t>
      </w:r>
      <w:r w:rsidRPr="00E814B7">
        <w:rPr>
          <w:rFonts w:asciiTheme="majorBidi" w:eastAsiaTheme="minorHAnsi" w:hAnsiTheme="majorBidi" w:cstheme="majorBidi"/>
          <w:sz w:val="22"/>
          <w:szCs w:val="22"/>
          <w:lang w:val="sr-Latn-ME"/>
        </w:rPr>
        <w:t xml:space="preserve">oznakom „100“ na jednoj strani. Prečnik tablete iznosi 8,9 mm ± 5 %. </w:t>
      </w:r>
    </w:p>
    <w:p w14:paraId="36590A5B" w14:textId="5876A570" w:rsidR="008E4E25" w:rsidRPr="00E814B7" w:rsidRDefault="008E4E25" w:rsidP="00E814B7">
      <w:pPr>
        <w:tabs>
          <w:tab w:val="left" w:pos="284"/>
        </w:tabs>
        <w:jc w:val="both"/>
        <w:rPr>
          <w:rFonts w:asciiTheme="majorBidi" w:hAnsiTheme="majorBidi" w:cstheme="majorBidi"/>
          <w:bCs/>
          <w:i/>
          <w:sz w:val="22"/>
          <w:szCs w:val="22"/>
          <w:lang w:val="sr-Latn-ME"/>
        </w:rPr>
      </w:pPr>
      <w:r w:rsidRPr="00E814B7">
        <w:rPr>
          <w:rFonts w:asciiTheme="majorBidi" w:hAnsiTheme="majorBidi" w:cstheme="majorBidi"/>
          <w:bCs/>
          <w:i/>
          <w:sz w:val="22"/>
          <w:szCs w:val="22"/>
          <w:lang w:val="sr-Latn-ME"/>
        </w:rPr>
        <w:t>Inopran, 150 mg, film tableta</w:t>
      </w:r>
    </w:p>
    <w:p w14:paraId="0DAB870B" w14:textId="5BD6727D" w:rsidR="00411B4B" w:rsidRPr="00E814B7" w:rsidRDefault="002D6FC5"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Okrugle, bikonveksne film tablete, bijele do svijetložute boje sa </w:t>
      </w:r>
      <w:r w:rsidR="00855FBF" w:rsidRPr="00E814B7">
        <w:rPr>
          <w:rFonts w:asciiTheme="majorBidi" w:eastAsiaTheme="minorHAnsi" w:hAnsiTheme="majorBidi" w:cstheme="majorBidi"/>
          <w:sz w:val="22"/>
          <w:szCs w:val="22"/>
          <w:lang w:val="sr-Latn-ME"/>
        </w:rPr>
        <w:t xml:space="preserve">utisnutom </w:t>
      </w:r>
      <w:r w:rsidRPr="00E814B7">
        <w:rPr>
          <w:rFonts w:asciiTheme="majorBidi" w:eastAsiaTheme="minorHAnsi" w:hAnsiTheme="majorBidi" w:cstheme="majorBidi"/>
          <w:sz w:val="22"/>
          <w:szCs w:val="22"/>
          <w:lang w:val="sr-Latn-ME"/>
        </w:rPr>
        <w:t>oznakom „150“ na jednoj strani. Prečnik tablete iznosi 10,5 mm ± 5 %.</w:t>
      </w:r>
    </w:p>
    <w:p w14:paraId="086874F6" w14:textId="77777777" w:rsidR="00EC2532" w:rsidRPr="00E814B7" w:rsidRDefault="00EC2532" w:rsidP="00E814B7">
      <w:pPr>
        <w:rPr>
          <w:rFonts w:asciiTheme="majorBidi" w:hAnsiTheme="majorBidi" w:cstheme="majorBidi"/>
          <w:bCs/>
          <w:sz w:val="22"/>
          <w:szCs w:val="22"/>
          <w:lang w:val="sr-Latn-ME"/>
        </w:rPr>
      </w:pPr>
    </w:p>
    <w:p w14:paraId="2A5BAB2E" w14:textId="77777777" w:rsidR="00411B4B"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KLINIČKI PODACI</w:t>
      </w:r>
    </w:p>
    <w:p w14:paraId="19C2C4D4" w14:textId="77777777" w:rsidR="00CD6F02" w:rsidRPr="00E814B7" w:rsidRDefault="00CD6F02" w:rsidP="00E814B7">
      <w:pPr>
        <w:tabs>
          <w:tab w:val="left" w:pos="540"/>
          <w:tab w:val="left" w:pos="569"/>
        </w:tabs>
        <w:jc w:val="both"/>
        <w:rPr>
          <w:rFonts w:asciiTheme="majorBidi" w:hAnsiTheme="majorBidi" w:cstheme="majorBidi"/>
          <w:bCs/>
          <w:sz w:val="22"/>
          <w:szCs w:val="22"/>
          <w:lang w:val="sr-Latn-ME"/>
        </w:rPr>
      </w:pPr>
    </w:p>
    <w:p w14:paraId="6005A692" w14:textId="77777777" w:rsidR="00411B4B"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4.1.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Terapijske indikacije</w:t>
      </w:r>
    </w:p>
    <w:p w14:paraId="29C1A04F" w14:textId="77777777" w:rsidR="007F62C9" w:rsidRPr="00E814B7" w:rsidRDefault="007F62C9" w:rsidP="00E814B7">
      <w:pPr>
        <w:jc w:val="both"/>
        <w:rPr>
          <w:rFonts w:asciiTheme="majorBidi" w:eastAsia="Calibri" w:hAnsiTheme="majorBidi" w:cstheme="majorBidi"/>
          <w:sz w:val="22"/>
          <w:szCs w:val="22"/>
          <w:u w:val="single"/>
          <w:lang w:val="sr-Latn-ME"/>
        </w:rPr>
      </w:pPr>
    </w:p>
    <w:p w14:paraId="315FBDA0" w14:textId="1A77DF19" w:rsidR="007F62C9" w:rsidRPr="00E814B7" w:rsidRDefault="007F62C9"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u w:val="single"/>
          <w:lang w:val="sr-Latn-ME"/>
        </w:rPr>
        <w:t>Nemikro</w:t>
      </w:r>
      <w:r w:rsidR="00784AD5" w:rsidRPr="00E814B7">
        <w:rPr>
          <w:rFonts w:asciiTheme="majorBidi" w:eastAsia="Calibri" w:hAnsiTheme="majorBidi" w:cstheme="majorBidi"/>
          <w:sz w:val="22"/>
          <w:szCs w:val="22"/>
          <w:u w:val="single"/>
          <w:lang w:val="sr-Latn-ME"/>
        </w:rPr>
        <w:t>celularni</w:t>
      </w:r>
      <w:r w:rsidRPr="00E814B7">
        <w:rPr>
          <w:rFonts w:asciiTheme="majorBidi" w:eastAsia="Calibri" w:hAnsiTheme="majorBidi" w:cstheme="majorBidi"/>
          <w:sz w:val="22"/>
          <w:szCs w:val="22"/>
          <w:u w:val="single"/>
          <w:lang w:val="sr-Latn-ME"/>
        </w:rPr>
        <w:t xml:space="preserve"> karcinom pluća (</w:t>
      </w:r>
      <w:r w:rsidRPr="00E814B7">
        <w:rPr>
          <w:rFonts w:asciiTheme="majorBidi" w:eastAsia="Calibri" w:hAnsiTheme="majorBidi" w:cstheme="majorBidi"/>
          <w:i/>
          <w:sz w:val="22"/>
          <w:szCs w:val="22"/>
          <w:u w:val="single"/>
          <w:lang w:val="sr-Latn-ME"/>
        </w:rPr>
        <w:t xml:space="preserve">Non-Small Cell Lung Cancer </w:t>
      </w:r>
      <w:r w:rsidRPr="00E814B7">
        <w:rPr>
          <w:rFonts w:asciiTheme="majorBidi" w:eastAsia="Calibri" w:hAnsiTheme="majorBidi" w:cstheme="majorBidi"/>
          <w:sz w:val="22"/>
          <w:szCs w:val="22"/>
          <w:u w:val="single"/>
          <w:lang w:val="sr-Latn-ME"/>
        </w:rPr>
        <w:t>- NSCLC)</w:t>
      </w:r>
      <w:r w:rsidRPr="00E814B7">
        <w:rPr>
          <w:rFonts w:asciiTheme="majorBidi" w:eastAsia="Calibri" w:hAnsiTheme="majorBidi" w:cstheme="majorBidi"/>
          <w:sz w:val="22"/>
          <w:szCs w:val="22"/>
          <w:lang w:val="sr-Latn-ME"/>
        </w:rPr>
        <w:t>:</w:t>
      </w:r>
    </w:p>
    <w:p w14:paraId="40FA6297" w14:textId="1CA4994E" w:rsidR="007F62C9" w:rsidRPr="00E814B7" w:rsidRDefault="007F62C9" w:rsidP="00E814B7">
      <w:pPr>
        <w:spacing w:after="160"/>
        <w:jc w:val="both"/>
        <w:rPr>
          <w:rFonts w:asciiTheme="majorBidi" w:eastAsia="Calibri" w:hAnsiTheme="majorBidi" w:cstheme="majorBidi"/>
          <w:sz w:val="22"/>
          <w:szCs w:val="22"/>
          <w:lang w:val="sr-Latn-ME"/>
        </w:rPr>
      </w:pPr>
      <w:r w:rsidRPr="00E814B7">
        <w:rPr>
          <w:rFonts w:asciiTheme="majorBidi" w:eastAsiaTheme="minorHAnsi" w:hAnsiTheme="majorBidi" w:cstheme="majorBidi"/>
          <w:sz w:val="22"/>
          <w:szCs w:val="22"/>
          <w:lang w:val="sr-Latn-ME" w:eastAsia="ja-JP"/>
        </w:rPr>
        <w:t>Lijek Inopran</w:t>
      </w:r>
      <w:r w:rsidRPr="00E814B7">
        <w:rPr>
          <w:rFonts w:asciiTheme="majorBidi" w:eastAsiaTheme="minorHAnsi" w:hAnsiTheme="majorBidi" w:cstheme="majorBidi"/>
          <w:sz w:val="22"/>
          <w:szCs w:val="22"/>
          <w:lang w:val="sr-Latn-ME"/>
        </w:rPr>
        <w:t xml:space="preserve"> je indikovan</w:t>
      </w:r>
      <w:r w:rsidRPr="00E814B7">
        <w:rPr>
          <w:rFonts w:asciiTheme="majorBidi" w:eastAsia="Calibri" w:hAnsiTheme="majorBidi" w:cstheme="majorBidi"/>
          <w:sz w:val="22"/>
          <w:szCs w:val="22"/>
          <w:lang w:val="sr-Latn-ME"/>
        </w:rPr>
        <w:t xml:space="preserve"> kao terapija prve linije kod pacijenata sa lokalno uznapredovalim ili metastatskim nemikro</w:t>
      </w:r>
      <w:r w:rsidR="00784AD5" w:rsidRPr="00E814B7">
        <w:rPr>
          <w:rFonts w:asciiTheme="majorBidi" w:eastAsia="Calibri" w:hAnsiTheme="majorBidi" w:cstheme="majorBidi"/>
          <w:sz w:val="22"/>
          <w:szCs w:val="22"/>
          <w:lang w:val="sr-Latn-ME"/>
        </w:rPr>
        <w:t>celularnim</w:t>
      </w:r>
      <w:r w:rsidRPr="00E814B7">
        <w:rPr>
          <w:rFonts w:asciiTheme="majorBidi" w:eastAsia="Calibri" w:hAnsiTheme="majorBidi" w:cstheme="majorBidi"/>
          <w:sz w:val="22"/>
          <w:szCs w:val="22"/>
          <w:lang w:val="sr-Latn-ME"/>
        </w:rPr>
        <w:t xml:space="preserve"> karcinomom pluća (NSCLC) sa EGFR aktivirajućim mutacijama</w:t>
      </w:r>
      <w:r w:rsidRPr="00E814B7">
        <w:rPr>
          <w:rFonts w:asciiTheme="majorBidi" w:eastAsiaTheme="minorHAnsi" w:hAnsiTheme="majorBidi" w:cstheme="majorBidi"/>
          <w:sz w:val="22"/>
          <w:szCs w:val="22"/>
          <w:lang w:val="sr-Latn-ME"/>
        </w:rPr>
        <w:t>.</w:t>
      </w:r>
    </w:p>
    <w:p w14:paraId="60A50EEC" w14:textId="4CF300D2" w:rsidR="007F62C9" w:rsidRPr="00E814B7" w:rsidRDefault="007F62C9" w:rsidP="00E814B7">
      <w:pPr>
        <w:spacing w:after="160"/>
        <w:jc w:val="both"/>
        <w:rPr>
          <w:rFonts w:asciiTheme="majorBidi" w:eastAsia="Calibri" w:hAnsiTheme="majorBidi" w:cstheme="majorBidi"/>
          <w:sz w:val="22"/>
          <w:szCs w:val="22"/>
          <w:lang w:val="sr-Latn-ME"/>
        </w:rPr>
      </w:pPr>
      <w:r w:rsidRPr="00E814B7">
        <w:rPr>
          <w:rFonts w:asciiTheme="majorBidi" w:eastAsiaTheme="minorHAnsi" w:hAnsiTheme="majorBidi" w:cstheme="majorBidi"/>
          <w:sz w:val="22"/>
          <w:szCs w:val="22"/>
          <w:lang w:val="sr-Latn-ME" w:eastAsia="ja-JP"/>
        </w:rPr>
        <w:t xml:space="preserve">Lijek Inopran </w:t>
      </w:r>
      <w:r w:rsidRPr="00E814B7">
        <w:rPr>
          <w:rFonts w:asciiTheme="majorBidi" w:eastAsia="Calibri" w:hAnsiTheme="majorBidi" w:cstheme="majorBidi"/>
          <w:sz w:val="22"/>
          <w:szCs w:val="22"/>
          <w:lang w:val="sr-Latn-ME"/>
        </w:rPr>
        <w:t>je takođe indikova</w:t>
      </w:r>
      <w:r w:rsidRPr="00E814B7">
        <w:rPr>
          <w:rFonts w:asciiTheme="majorBidi" w:eastAsiaTheme="minorHAnsi" w:hAnsiTheme="majorBidi" w:cstheme="majorBidi"/>
          <w:sz w:val="22"/>
          <w:szCs w:val="22"/>
          <w:lang w:val="sr-Latn-ME"/>
        </w:rPr>
        <w:t>n</w:t>
      </w:r>
      <w:r w:rsidRPr="00E814B7">
        <w:rPr>
          <w:rFonts w:asciiTheme="majorBidi" w:eastAsia="Calibri" w:hAnsiTheme="majorBidi" w:cstheme="majorBidi"/>
          <w:sz w:val="22"/>
          <w:szCs w:val="22"/>
          <w:lang w:val="sr-Latn-ME"/>
        </w:rPr>
        <w:t xml:space="preserve"> za terapiju održavanja kod pacijenata sa lokalno uznapr</w:t>
      </w:r>
      <w:r w:rsidRPr="00E814B7">
        <w:rPr>
          <w:rFonts w:asciiTheme="majorBidi" w:eastAsiaTheme="minorHAnsi" w:hAnsiTheme="majorBidi" w:cstheme="majorBidi"/>
          <w:sz w:val="22"/>
          <w:szCs w:val="22"/>
          <w:lang w:val="sr-Latn-ME"/>
        </w:rPr>
        <w:t xml:space="preserve">edovalim ili metastatskim NSCLC </w:t>
      </w:r>
      <w:r w:rsidRPr="00E814B7">
        <w:rPr>
          <w:rFonts w:asciiTheme="majorBidi" w:eastAsia="Calibri" w:hAnsiTheme="majorBidi" w:cstheme="majorBidi"/>
          <w:sz w:val="22"/>
          <w:szCs w:val="22"/>
          <w:lang w:val="sr-Latn-ME"/>
        </w:rPr>
        <w:t xml:space="preserve">sa EGFR aktivirajućim mutacijama i stabilnom bolešću nakon prve linije hemioterapije koja nije uključivala erlotinib (engl. </w:t>
      </w:r>
      <w:r w:rsidRPr="00E814B7">
        <w:rPr>
          <w:rFonts w:asciiTheme="majorBidi" w:eastAsia="TimesNewRoman" w:hAnsiTheme="majorBidi" w:cstheme="majorBidi"/>
          <w:i/>
          <w:sz w:val="22"/>
          <w:szCs w:val="22"/>
          <w:lang w:val="sr-Latn-ME"/>
        </w:rPr>
        <w:t>switch maintenance)</w:t>
      </w:r>
      <w:r w:rsidRPr="00E814B7">
        <w:rPr>
          <w:rFonts w:asciiTheme="majorBidi" w:eastAsia="Calibri" w:hAnsiTheme="majorBidi" w:cstheme="majorBidi"/>
          <w:sz w:val="22"/>
          <w:szCs w:val="22"/>
          <w:lang w:val="sr-Latn-ME"/>
        </w:rPr>
        <w:t>.</w:t>
      </w:r>
    </w:p>
    <w:p w14:paraId="373A6C4B" w14:textId="21736935"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eastAsia="ja-JP"/>
        </w:rPr>
        <w:t xml:space="preserve">Lijek Inopran </w:t>
      </w:r>
      <w:r w:rsidRPr="00E814B7">
        <w:rPr>
          <w:rFonts w:asciiTheme="majorBidi" w:eastAsia="Calibri" w:hAnsiTheme="majorBidi" w:cstheme="majorBidi"/>
          <w:sz w:val="22"/>
          <w:szCs w:val="22"/>
          <w:lang w:val="sr-Latn-ME"/>
        </w:rPr>
        <w:t>je takođe indikova</w:t>
      </w:r>
      <w:r w:rsidRPr="00E814B7">
        <w:rPr>
          <w:rFonts w:asciiTheme="majorBidi" w:eastAsiaTheme="minorHAnsi" w:hAnsiTheme="majorBidi" w:cstheme="majorBidi"/>
          <w:sz w:val="22"/>
          <w:szCs w:val="22"/>
          <w:lang w:val="sr-Latn-ME"/>
        </w:rPr>
        <w:t>n</w:t>
      </w:r>
      <w:r w:rsidRPr="00E814B7">
        <w:rPr>
          <w:rFonts w:asciiTheme="majorBidi" w:eastAsia="Calibri" w:hAnsiTheme="majorBidi" w:cstheme="majorBidi"/>
          <w:sz w:val="22"/>
          <w:szCs w:val="22"/>
          <w:lang w:val="sr-Latn-ME"/>
        </w:rPr>
        <w:t xml:space="preserve"> za terapiju </w:t>
      </w:r>
      <w:r w:rsidRPr="00E814B7">
        <w:rPr>
          <w:rFonts w:asciiTheme="majorBidi" w:eastAsiaTheme="minorHAnsi" w:hAnsiTheme="majorBidi" w:cstheme="majorBidi"/>
          <w:sz w:val="22"/>
          <w:szCs w:val="22"/>
          <w:lang w:val="sr-Latn-ME"/>
        </w:rPr>
        <w:t xml:space="preserve">pacijenata sa lokalno uznapredovalim ili metastatskim NSCLC nakon neuspješnog liječenja najmanje jednim hemioterapijskim protokolom. Kod pacijenata sa tumorima bez EGFR aktivirajućih mutacija, lijek Inopran je indikovan kada se druge opcije liječenja ne smatraju prikladnima. </w:t>
      </w:r>
    </w:p>
    <w:p w14:paraId="57595D0D" w14:textId="77777777"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Prilikom propisivanja lijeka </w:t>
      </w:r>
      <w:r w:rsidRPr="00E814B7">
        <w:rPr>
          <w:rFonts w:asciiTheme="majorBidi" w:eastAsiaTheme="minorHAnsi" w:hAnsiTheme="majorBidi" w:cstheme="majorBidi"/>
          <w:sz w:val="22"/>
          <w:szCs w:val="22"/>
          <w:lang w:val="sr-Latn-ME" w:eastAsia="ja-JP"/>
        </w:rPr>
        <w:t>Inopran</w:t>
      </w:r>
      <w:r w:rsidRPr="00E814B7">
        <w:rPr>
          <w:rFonts w:asciiTheme="majorBidi" w:eastAsiaTheme="minorHAnsi" w:hAnsiTheme="majorBidi" w:cstheme="majorBidi"/>
          <w:sz w:val="22"/>
          <w:szCs w:val="22"/>
          <w:lang w:val="sr-Latn-ME"/>
        </w:rPr>
        <w:t xml:space="preserve"> treba uzeti u obzir faktore koji su povezani sa produženim preživljavanjem. </w:t>
      </w:r>
    </w:p>
    <w:p w14:paraId="1A539377" w14:textId="6F7A6B22"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lastRenderedPageBreak/>
        <w:t>Kod pacijenata sa tumorima koji ne eksprimiraju receptor za epidermalni faktor rasta (EGFR-IHC negativni tumori) nije pokazana prednost u preživljavanju niti drugi klinički značajni efekti terapije (vidjeti dio 5.1).</w:t>
      </w:r>
    </w:p>
    <w:p w14:paraId="134D0A9C" w14:textId="77777777"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u w:val="single"/>
          <w:lang w:val="sr-Latn-ME"/>
        </w:rPr>
        <w:t>Karcinom pankreasa</w:t>
      </w:r>
      <w:r w:rsidRPr="00E814B7">
        <w:rPr>
          <w:rFonts w:asciiTheme="majorBidi" w:eastAsiaTheme="minorHAnsi" w:hAnsiTheme="majorBidi" w:cstheme="majorBidi"/>
          <w:sz w:val="22"/>
          <w:szCs w:val="22"/>
          <w:lang w:val="sr-Latn-ME"/>
        </w:rPr>
        <w:t xml:space="preserve">: </w:t>
      </w:r>
    </w:p>
    <w:p w14:paraId="4FFEE1BC" w14:textId="08E307D5"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eastAsia="ja-JP"/>
        </w:rPr>
        <w:t>Lijek Inopran</w:t>
      </w:r>
      <w:r w:rsidRPr="00E814B7">
        <w:rPr>
          <w:rFonts w:asciiTheme="majorBidi" w:eastAsiaTheme="minorHAnsi" w:hAnsiTheme="majorBidi" w:cstheme="majorBidi"/>
          <w:sz w:val="22"/>
          <w:szCs w:val="22"/>
          <w:lang w:val="sr-Latn-ME"/>
        </w:rPr>
        <w:t xml:space="preserve"> u kombinaciji sa gemcitabinom indikovan je za liječenje pacijenata sa metastatskim karcinomom pankreasa. </w:t>
      </w:r>
    </w:p>
    <w:p w14:paraId="0026CAEF" w14:textId="6B736011" w:rsidR="007F62C9" w:rsidRPr="00E814B7" w:rsidRDefault="007F62C9" w:rsidP="00E814B7">
      <w:pPr>
        <w:spacing w:after="16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Prilikom propisivanja lijeka Inopran treba uzeti u obzir faktore koji su povezani sa produženim preživljavanjem (vidjeti dio 4.2 i 5.1). </w:t>
      </w:r>
    </w:p>
    <w:p w14:paraId="6B43D9EF" w14:textId="77777777" w:rsidR="007F62C9" w:rsidRPr="00E814B7" w:rsidRDefault="007F62C9"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Kod pacijenata sa lokalno uznapredovalom bolešću nije pokazano produženje preživljavanja. </w:t>
      </w:r>
    </w:p>
    <w:p w14:paraId="53D419A9" w14:textId="77777777" w:rsidR="00411B4B" w:rsidRPr="00E814B7" w:rsidRDefault="00411B4B" w:rsidP="00E814B7">
      <w:pPr>
        <w:tabs>
          <w:tab w:val="left" w:pos="540"/>
          <w:tab w:val="left" w:pos="569"/>
        </w:tabs>
        <w:jc w:val="both"/>
        <w:rPr>
          <w:rFonts w:asciiTheme="majorBidi" w:hAnsiTheme="majorBidi" w:cstheme="majorBidi"/>
          <w:bCs/>
          <w:sz w:val="22"/>
          <w:szCs w:val="22"/>
          <w:lang w:val="sr-Latn-ME"/>
        </w:rPr>
      </w:pPr>
    </w:p>
    <w:p w14:paraId="0AE95472" w14:textId="77777777" w:rsidR="00411B4B"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4.2.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Doziranje i način primjene</w:t>
      </w:r>
    </w:p>
    <w:p w14:paraId="34594A0B" w14:textId="5A6DD645"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42C1F81F" w14:textId="2E6D6165" w:rsidR="007F62C9"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Liječenje</w:t>
      </w:r>
      <w:r w:rsidR="007F62C9" w:rsidRPr="00E814B7">
        <w:rPr>
          <w:rFonts w:asciiTheme="majorBidi" w:eastAsia="Calibri" w:hAnsiTheme="majorBidi" w:cstheme="majorBidi"/>
          <w:sz w:val="22"/>
          <w:szCs w:val="22"/>
          <w:lang w:val="sr-Latn-ME"/>
        </w:rPr>
        <w:t xml:space="preserve"> lijekom Inopran treba da nadzire ljekar </w:t>
      </w:r>
      <w:r w:rsidRPr="00E814B7">
        <w:rPr>
          <w:rFonts w:asciiTheme="majorBidi" w:eastAsia="Calibri" w:hAnsiTheme="majorBidi" w:cstheme="majorBidi"/>
          <w:sz w:val="22"/>
          <w:szCs w:val="22"/>
          <w:lang w:val="sr-Latn-ME"/>
        </w:rPr>
        <w:t>s iskustvom u primjeni antineoplastičnih ljekova.</w:t>
      </w:r>
      <w:r w:rsidR="007F62C9" w:rsidRPr="00E814B7">
        <w:rPr>
          <w:rFonts w:asciiTheme="majorBidi" w:eastAsia="Calibri" w:hAnsiTheme="majorBidi" w:cstheme="majorBidi"/>
          <w:sz w:val="22"/>
          <w:szCs w:val="22"/>
          <w:lang w:val="sr-Latn-ME"/>
        </w:rPr>
        <w:t xml:space="preserve"> </w:t>
      </w:r>
    </w:p>
    <w:p w14:paraId="5527C226" w14:textId="7ABA8027" w:rsidR="00452171" w:rsidRPr="00E814B7" w:rsidRDefault="00452E9D" w:rsidP="00E814B7">
      <w:pPr>
        <w:tabs>
          <w:tab w:val="left" w:pos="540"/>
          <w:tab w:val="left" w:pos="569"/>
        </w:tabs>
        <w:jc w:val="both"/>
        <w:rPr>
          <w:rFonts w:asciiTheme="majorBidi" w:hAnsiTheme="majorBidi" w:cstheme="majorBidi"/>
          <w:bCs/>
          <w:sz w:val="22"/>
          <w:szCs w:val="22"/>
          <w:u w:val="single"/>
          <w:lang w:val="sr-Latn-ME"/>
        </w:rPr>
      </w:pPr>
      <w:r w:rsidRPr="00E814B7">
        <w:rPr>
          <w:rFonts w:asciiTheme="majorBidi" w:hAnsiTheme="majorBidi" w:cstheme="majorBidi"/>
          <w:bCs/>
          <w:sz w:val="22"/>
          <w:szCs w:val="22"/>
          <w:u w:val="single"/>
          <w:lang w:val="sr-Latn-ME"/>
        </w:rPr>
        <w:t>Doziranje</w:t>
      </w:r>
    </w:p>
    <w:p w14:paraId="5FD35EF6" w14:textId="77777777" w:rsidR="006F4656" w:rsidRPr="00E814B7" w:rsidRDefault="006F4656" w:rsidP="00E814B7">
      <w:pPr>
        <w:tabs>
          <w:tab w:val="left" w:pos="540"/>
          <w:tab w:val="left" w:pos="569"/>
        </w:tabs>
        <w:jc w:val="both"/>
        <w:rPr>
          <w:rFonts w:asciiTheme="majorBidi" w:hAnsiTheme="majorBidi" w:cstheme="majorBidi"/>
          <w:bCs/>
          <w:sz w:val="22"/>
          <w:szCs w:val="22"/>
          <w:u w:val="single"/>
          <w:lang w:val="sr-Latn-ME"/>
        </w:rPr>
      </w:pPr>
    </w:p>
    <w:p w14:paraId="4B681E97" w14:textId="5DE041A4" w:rsidR="00452171" w:rsidRPr="00E814B7" w:rsidRDefault="00452171" w:rsidP="00E814B7">
      <w:pPr>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u w:val="single"/>
          <w:lang w:val="sr-Latn-ME"/>
        </w:rPr>
        <w:t>Pacijenti sa nemikro</w:t>
      </w:r>
      <w:r w:rsidR="00784AD5" w:rsidRPr="00E814B7">
        <w:rPr>
          <w:rFonts w:asciiTheme="majorBidi" w:eastAsia="Calibri" w:hAnsiTheme="majorBidi" w:cstheme="majorBidi"/>
          <w:sz w:val="22"/>
          <w:szCs w:val="22"/>
          <w:u w:val="single"/>
          <w:lang w:val="sr-Latn-ME"/>
        </w:rPr>
        <w:t>celularnim</w:t>
      </w:r>
      <w:r w:rsidRPr="00E814B7">
        <w:rPr>
          <w:rFonts w:asciiTheme="majorBidi" w:eastAsia="Calibri" w:hAnsiTheme="majorBidi" w:cstheme="majorBidi"/>
          <w:sz w:val="22"/>
          <w:szCs w:val="22"/>
          <w:u w:val="single"/>
          <w:lang w:val="sr-Latn-ME"/>
        </w:rPr>
        <w:t xml:space="preserve"> karcinomom pluća (</w:t>
      </w:r>
      <w:r w:rsidRPr="00E814B7">
        <w:rPr>
          <w:rFonts w:asciiTheme="majorBidi" w:eastAsia="Calibri" w:hAnsiTheme="majorBidi" w:cstheme="majorBidi"/>
          <w:i/>
          <w:sz w:val="22"/>
          <w:szCs w:val="22"/>
          <w:u w:val="single"/>
          <w:lang w:val="sr-Latn-ME"/>
        </w:rPr>
        <w:t>Non-Small Cell Lung Cancer</w:t>
      </w:r>
      <w:r w:rsidRPr="00E814B7">
        <w:rPr>
          <w:rFonts w:asciiTheme="majorBidi" w:eastAsia="Calibri" w:hAnsiTheme="majorBidi" w:cstheme="majorBidi"/>
          <w:sz w:val="22"/>
          <w:szCs w:val="22"/>
          <w:u w:val="single"/>
          <w:lang w:val="sr-Latn-ME"/>
        </w:rPr>
        <w:t xml:space="preserve"> - NSCLC)</w:t>
      </w:r>
    </w:p>
    <w:p w14:paraId="3100B358" w14:textId="526405EE"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Treba sprovesti testiranje na EGFR mutacije u skladu sa odobrenim indikacijama (vidjeti dio 4.1).</w:t>
      </w:r>
      <w:r w:rsidR="006F4656" w:rsidRPr="00E814B7">
        <w:rPr>
          <w:rFonts w:asciiTheme="majorBidi" w:eastAsia="Calibri" w:hAnsiTheme="majorBidi" w:cstheme="majorBidi"/>
          <w:sz w:val="22"/>
          <w:szCs w:val="22"/>
          <w:lang w:val="sr-Latn-ME"/>
        </w:rPr>
        <w:t xml:space="preserve"> </w:t>
      </w:r>
      <w:r w:rsidRPr="00E814B7">
        <w:rPr>
          <w:rFonts w:asciiTheme="majorBidi" w:eastAsia="Calibri" w:hAnsiTheme="majorBidi" w:cstheme="majorBidi"/>
          <w:sz w:val="22"/>
          <w:szCs w:val="22"/>
          <w:lang w:val="sr-Latn-ME"/>
        </w:rPr>
        <w:t xml:space="preserve">Preporučena dnevna doza lijeka </w:t>
      </w:r>
      <w:r w:rsidRPr="00E814B7">
        <w:rPr>
          <w:rFonts w:asciiTheme="majorBidi" w:eastAsiaTheme="minorHAnsi" w:hAnsiTheme="majorBidi" w:cstheme="majorBidi"/>
          <w:sz w:val="22"/>
          <w:szCs w:val="22"/>
          <w:lang w:val="sr-Latn-ME" w:eastAsia="ja-JP"/>
        </w:rPr>
        <w:t>Inopran</w:t>
      </w:r>
      <w:r w:rsidRPr="00E814B7">
        <w:rPr>
          <w:rFonts w:asciiTheme="majorBidi" w:eastAsia="Calibri" w:hAnsiTheme="majorBidi" w:cstheme="majorBidi"/>
          <w:sz w:val="22"/>
          <w:szCs w:val="22"/>
          <w:lang w:val="sr-Latn-ME"/>
        </w:rPr>
        <w:t xml:space="preserve"> iznosi 150 mg, a uzima se najmanje jedan sat prije ili dva sata poslije unošenja hrane.</w:t>
      </w:r>
    </w:p>
    <w:p w14:paraId="02ED0B6B" w14:textId="1B27BB56" w:rsidR="00452171" w:rsidRPr="00E814B7" w:rsidRDefault="00452171" w:rsidP="00E814B7">
      <w:pPr>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u w:val="single"/>
          <w:lang w:val="sr-Latn-ME"/>
        </w:rPr>
        <w:t>Pacijenti sa karcinomom pankreasa</w:t>
      </w:r>
    </w:p>
    <w:p w14:paraId="5F932AD2" w14:textId="40DC1B6B" w:rsidR="00452171" w:rsidRPr="00E814B7" w:rsidRDefault="00452171" w:rsidP="00E814B7">
      <w:pPr>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 xml:space="preserve">Preporučena dnevna doza lijeka </w:t>
      </w:r>
      <w:r w:rsidRPr="00E814B7">
        <w:rPr>
          <w:rFonts w:asciiTheme="majorBidi" w:eastAsiaTheme="minorHAnsi" w:hAnsiTheme="majorBidi" w:cstheme="majorBidi"/>
          <w:sz w:val="22"/>
          <w:szCs w:val="22"/>
          <w:lang w:val="sr-Latn-ME" w:eastAsia="ja-JP"/>
        </w:rPr>
        <w:t>Inopran</w:t>
      </w:r>
      <w:r w:rsidRPr="00E814B7">
        <w:rPr>
          <w:rFonts w:asciiTheme="majorBidi" w:eastAsia="Calibri" w:hAnsiTheme="majorBidi" w:cstheme="majorBidi"/>
          <w:sz w:val="22"/>
          <w:szCs w:val="22"/>
          <w:lang w:val="sr-Latn-ME"/>
        </w:rPr>
        <w:t xml:space="preserve"> je 100 mg primjenjenih najmanje jedan sat prije ili dva sata poslije unošenja hrane, u kombinaciji sa gemcitabinom (pogledajte Sažetak karakteristika lijeka gemcitabina za indikaciju karcinom pankreasa).</w:t>
      </w:r>
    </w:p>
    <w:p w14:paraId="5ADBB02E" w14:textId="78A8A630"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 xml:space="preserve">Kod pacijenata kod kojih se kožni osip ne razvije u prvih 4-8 nedjelja terapije, dalji tretman lijekom </w:t>
      </w:r>
      <w:r w:rsidRPr="00E814B7">
        <w:rPr>
          <w:rFonts w:asciiTheme="majorBidi" w:eastAsiaTheme="minorHAnsi" w:hAnsiTheme="majorBidi" w:cstheme="majorBidi"/>
          <w:sz w:val="22"/>
          <w:szCs w:val="22"/>
          <w:lang w:val="sr-Latn-ME" w:eastAsia="ja-JP"/>
        </w:rPr>
        <w:t>Inopran</w:t>
      </w:r>
      <w:r w:rsidRPr="00E814B7">
        <w:rPr>
          <w:rFonts w:asciiTheme="majorBidi" w:eastAsia="Calibri" w:hAnsiTheme="majorBidi" w:cstheme="majorBidi"/>
          <w:sz w:val="22"/>
          <w:szCs w:val="22"/>
          <w:lang w:val="sr-Latn-ME"/>
        </w:rPr>
        <w:t xml:space="preserve"> treba ponovo proc</w:t>
      </w:r>
      <w:r w:rsidR="007A4EF7" w:rsidRPr="00E814B7">
        <w:rPr>
          <w:rFonts w:asciiTheme="majorBidi" w:eastAsia="Calibri" w:hAnsiTheme="majorBidi" w:cstheme="majorBidi"/>
          <w:sz w:val="22"/>
          <w:szCs w:val="22"/>
          <w:lang w:val="sr-Latn-ME"/>
        </w:rPr>
        <w:t>i</w:t>
      </w:r>
      <w:r w:rsidRPr="00E814B7">
        <w:rPr>
          <w:rFonts w:asciiTheme="majorBidi" w:eastAsia="Calibri" w:hAnsiTheme="majorBidi" w:cstheme="majorBidi"/>
          <w:sz w:val="22"/>
          <w:szCs w:val="22"/>
          <w:lang w:val="sr-Latn-ME"/>
        </w:rPr>
        <w:t>jeniti (vidjeti dio 5.1).</w:t>
      </w:r>
    </w:p>
    <w:p w14:paraId="3902CA47" w14:textId="3F51D4C3"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Kada je neophodno podešavanje doze, dozu treba smanjivati za po 50 mg, postepeno (vidjeti dio 4.4).</w:t>
      </w:r>
    </w:p>
    <w:p w14:paraId="3B16D00C" w14:textId="415C2477"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Theme="minorHAnsi" w:hAnsiTheme="majorBidi" w:cstheme="majorBidi"/>
          <w:sz w:val="22"/>
          <w:szCs w:val="22"/>
          <w:lang w:val="sr-Latn-ME" w:eastAsia="ja-JP"/>
        </w:rPr>
        <w:t>Lijek Inopran</w:t>
      </w:r>
      <w:r w:rsidRPr="00E814B7">
        <w:rPr>
          <w:rFonts w:asciiTheme="majorBidi" w:eastAsia="Calibr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je dostupan</w:t>
      </w:r>
      <w:r w:rsidRPr="00E814B7">
        <w:rPr>
          <w:rFonts w:asciiTheme="majorBidi" w:eastAsia="Calibri" w:hAnsiTheme="majorBidi" w:cstheme="majorBidi"/>
          <w:sz w:val="22"/>
          <w:szCs w:val="22"/>
          <w:lang w:val="sr-Latn-ME"/>
        </w:rPr>
        <w:t xml:space="preserve"> u jačinama od 100 mg i 150 mg.</w:t>
      </w:r>
    </w:p>
    <w:p w14:paraId="7538366C" w14:textId="78FC6B8E" w:rsidR="00452171" w:rsidRPr="00E814B7" w:rsidRDefault="00452171" w:rsidP="00E814B7">
      <w:pPr>
        <w:spacing w:after="160"/>
        <w:jc w:val="both"/>
        <w:rPr>
          <w:rFonts w:asciiTheme="majorBidi" w:eastAsiaTheme="minorHAnsi" w:hAnsiTheme="majorBidi" w:cstheme="majorBidi"/>
          <w:sz w:val="22"/>
          <w:szCs w:val="22"/>
          <w:lang w:val="sr-Latn-ME"/>
        </w:rPr>
      </w:pPr>
      <w:r w:rsidRPr="00E814B7">
        <w:rPr>
          <w:rFonts w:asciiTheme="majorBidi" w:eastAsia="Calibri" w:hAnsiTheme="majorBidi" w:cstheme="majorBidi"/>
          <w:sz w:val="22"/>
          <w:szCs w:val="22"/>
          <w:lang w:val="sr-Latn-ME"/>
        </w:rPr>
        <w:t>Istovremena upotreba supstrata i induktora ili inhibitora CYP3A4, može da zaht</w:t>
      </w:r>
      <w:r w:rsidR="007A4EF7" w:rsidRPr="00E814B7">
        <w:rPr>
          <w:rFonts w:asciiTheme="majorBidi" w:eastAsia="Calibri" w:hAnsiTheme="majorBidi" w:cstheme="majorBidi"/>
          <w:sz w:val="22"/>
          <w:szCs w:val="22"/>
          <w:lang w:val="sr-Latn-ME"/>
        </w:rPr>
        <w:t>i</w:t>
      </w:r>
      <w:r w:rsidRPr="00E814B7">
        <w:rPr>
          <w:rFonts w:asciiTheme="majorBidi" w:eastAsia="Calibri" w:hAnsiTheme="majorBidi" w:cstheme="majorBidi"/>
          <w:sz w:val="22"/>
          <w:szCs w:val="22"/>
          <w:lang w:val="sr-Latn-ME"/>
        </w:rPr>
        <w:t xml:space="preserve">jeva podešavanje doze (vidjeti dio 4.5). </w:t>
      </w:r>
    </w:p>
    <w:p w14:paraId="335B02A8" w14:textId="77777777" w:rsidR="00452171" w:rsidRPr="00E814B7" w:rsidRDefault="00452171" w:rsidP="00E814B7">
      <w:pPr>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u w:val="single"/>
          <w:lang w:val="sr-Latn-ME"/>
        </w:rPr>
        <w:t>Pacijenti</w:t>
      </w:r>
      <w:r w:rsidRPr="00E814B7">
        <w:rPr>
          <w:rFonts w:asciiTheme="majorBidi" w:eastAsiaTheme="minorHAnsi" w:hAnsiTheme="majorBidi" w:cstheme="majorBidi"/>
          <w:sz w:val="22"/>
          <w:szCs w:val="22"/>
          <w:u w:val="single"/>
          <w:lang w:val="sr-Latn-ME"/>
        </w:rPr>
        <w:t xml:space="preserve"> </w:t>
      </w:r>
      <w:r w:rsidRPr="00E814B7">
        <w:rPr>
          <w:rFonts w:asciiTheme="majorBidi" w:eastAsia="Calibri" w:hAnsiTheme="majorBidi" w:cstheme="majorBidi"/>
          <w:sz w:val="22"/>
          <w:szCs w:val="22"/>
          <w:u w:val="single"/>
          <w:lang w:val="sr-Latn-ME"/>
        </w:rPr>
        <w:t>sa oštećenom funkcijom jetre</w:t>
      </w:r>
    </w:p>
    <w:p w14:paraId="088CB3D1" w14:textId="3CF021A2"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 xml:space="preserve">Erlotinib se eliminiše hepatičkim metabolizmom i bilijarnom ekskrecijom. Mada je izloženost erlotinibu kod pacijenata sa umjereno oštećenom funkcijom jetre (Child-Pugh skor 7-9) bila slična kao kod pacijenata sa normalnom funkcijom jetre, savjetuje se oprez prilikom primjene lijeka Inopran kod pacijenata sa oštećenjem jetre. </w:t>
      </w:r>
      <w:r w:rsidRPr="00E814B7">
        <w:rPr>
          <w:rFonts w:asciiTheme="majorBidi" w:eastAsiaTheme="minorHAnsi" w:hAnsiTheme="majorBidi" w:cstheme="majorBidi"/>
          <w:sz w:val="22"/>
          <w:szCs w:val="22"/>
          <w:lang w:val="sr-Latn-ME"/>
        </w:rPr>
        <w:t xml:space="preserve">Ako se pojave ozbiljne neželjene reakcije, treba razmotriti smanjenje doze ili prekid terapije lijekom Inopran. </w:t>
      </w:r>
      <w:r w:rsidRPr="00E814B7">
        <w:rPr>
          <w:rFonts w:asciiTheme="majorBidi" w:eastAsia="Calibri" w:hAnsiTheme="majorBidi" w:cstheme="majorBidi"/>
          <w:sz w:val="22"/>
          <w:szCs w:val="22"/>
          <w:lang w:val="sr-Latn-ME"/>
        </w:rPr>
        <w:t>Bezbjednost i efikasnost primjene erlotiniba nije ispitivana kod pacijenata sa teškom disfunkcijom jetr</w:t>
      </w:r>
      <w:r w:rsidRPr="00E814B7">
        <w:rPr>
          <w:rFonts w:asciiTheme="majorBidi" w:eastAsiaTheme="minorHAnsi" w:hAnsiTheme="majorBidi" w:cstheme="majorBidi"/>
          <w:sz w:val="22"/>
          <w:szCs w:val="22"/>
          <w:lang w:val="sr-Latn-ME"/>
        </w:rPr>
        <w:t>e (AST/SGOT i ALT/SGPT &gt;5 x</w:t>
      </w:r>
      <w:r w:rsidRPr="00E814B7">
        <w:rPr>
          <w:rFonts w:asciiTheme="majorBidi" w:eastAsia="Calibri" w:hAnsiTheme="majorBidi" w:cstheme="majorBidi"/>
          <w:sz w:val="22"/>
          <w:szCs w:val="22"/>
          <w:lang w:val="sr-Latn-ME"/>
        </w:rPr>
        <w:t xml:space="preserve"> gornj</w:t>
      </w:r>
      <w:r w:rsidRPr="00E814B7">
        <w:rPr>
          <w:rFonts w:asciiTheme="majorBidi" w:eastAsiaTheme="minorHAnsi" w:hAnsiTheme="majorBidi" w:cstheme="majorBidi"/>
          <w:sz w:val="22"/>
          <w:szCs w:val="22"/>
          <w:lang w:val="sr-Latn-ME"/>
        </w:rPr>
        <w:t>a</w:t>
      </w:r>
      <w:r w:rsidRPr="00E814B7">
        <w:rPr>
          <w:rFonts w:asciiTheme="majorBidi" w:eastAsia="Calibri" w:hAnsiTheme="majorBidi" w:cstheme="majorBidi"/>
          <w:sz w:val="22"/>
          <w:szCs w:val="22"/>
          <w:lang w:val="sr-Latn-ME"/>
        </w:rPr>
        <w:t xml:space="preserve"> granic</w:t>
      </w:r>
      <w:r w:rsidRPr="00E814B7">
        <w:rPr>
          <w:rFonts w:asciiTheme="majorBidi" w:eastAsiaTheme="minorHAnsi" w:hAnsiTheme="majorBidi" w:cstheme="majorBidi"/>
          <w:sz w:val="22"/>
          <w:szCs w:val="22"/>
          <w:lang w:val="sr-Latn-ME"/>
        </w:rPr>
        <w:t>a</w:t>
      </w:r>
      <w:r w:rsidRPr="00E814B7">
        <w:rPr>
          <w:rFonts w:asciiTheme="majorBidi" w:eastAsia="Calibri" w:hAnsiTheme="majorBidi" w:cstheme="majorBidi"/>
          <w:sz w:val="22"/>
          <w:szCs w:val="22"/>
          <w:lang w:val="sr-Latn-ME"/>
        </w:rPr>
        <w:t xml:space="preserve"> normal</w:t>
      </w:r>
      <w:r w:rsidRPr="00E814B7">
        <w:rPr>
          <w:rFonts w:asciiTheme="majorBidi" w:eastAsiaTheme="minorHAnsi" w:hAnsiTheme="majorBidi" w:cstheme="majorBidi"/>
          <w:sz w:val="22"/>
          <w:szCs w:val="22"/>
          <w:lang w:val="sr-Latn-ME"/>
        </w:rPr>
        <w:t>nih vrijednosti</w:t>
      </w:r>
      <w:r w:rsidRPr="00E814B7">
        <w:rPr>
          <w:rFonts w:asciiTheme="majorBidi" w:eastAsia="Calibri" w:hAnsiTheme="majorBidi" w:cstheme="majorBidi"/>
          <w:sz w:val="22"/>
          <w:szCs w:val="22"/>
          <w:lang w:val="sr-Latn-ME"/>
        </w:rPr>
        <w:t>). Ne preporučuje se kod pacijenata sa tešk</w:t>
      </w:r>
      <w:r w:rsidRPr="00E814B7">
        <w:rPr>
          <w:rFonts w:asciiTheme="majorBidi" w:eastAsiaTheme="minorHAnsi" w:hAnsiTheme="majorBidi" w:cstheme="majorBidi"/>
          <w:sz w:val="22"/>
          <w:szCs w:val="22"/>
          <w:lang w:val="sr-Latn-ME"/>
        </w:rPr>
        <w:t>i</w:t>
      </w:r>
      <w:r w:rsidRPr="00E814B7">
        <w:rPr>
          <w:rFonts w:asciiTheme="majorBidi" w:eastAsia="Calibri" w:hAnsiTheme="majorBidi" w:cstheme="majorBidi"/>
          <w:sz w:val="22"/>
          <w:szCs w:val="22"/>
          <w:lang w:val="sr-Latn-ME"/>
        </w:rPr>
        <w:t xml:space="preserve">m </w:t>
      </w:r>
      <w:r w:rsidRPr="00E814B7">
        <w:rPr>
          <w:rFonts w:asciiTheme="majorBidi" w:eastAsiaTheme="minorHAnsi" w:hAnsiTheme="majorBidi" w:cstheme="majorBidi"/>
          <w:sz w:val="22"/>
          <w:szCs w:val="22"/>
          <w:lang w:val="sr-Latn-ME"/>
        </w:rPr>
        <w:t>poremećajem funkcije</w:t>
      </w:r>
      <w:r w:rsidRPr="00E814B7">
        <w:rPr>
          <w:rFonts w:asciiTheme="majorBidi" w:eastAsia="Calibri" w:hAnsiTheme="majorBidi" w:cstheme="majorBidi"/>
          <w:sz w:val="22"/>
          <w:szCs w:val="22"/>
          <w:lang w:val="sr-Latn-ME"/>
        </w:rPr>
        <w:t xml:space="preserve"> jetre (vidjeti dio 5.2).</w:t>
      </w:r>
    </w:p>
    <w:p w14:paraId="5DF06E66" w14:textId="77777777" w:rsidR="00452171" w:rsidRPr="00E814B7" w:rsidRDefault="00452171" w:rsidP="00E814B7">
      <w:pPr>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u w:val="single"/>
          <w:lang w:val="sr-Latn-ME"/>
        </w:rPr>
        <w:t>Pacijenti sa oštećenom funkcijom bubrega</w:t>
      </w:r>
    </w:p>
    <w:p w14:paraId="18DAFFAB" w14:textId="3985E65D" w:rsidR="00452171" w:rsidRPr="00E814B7" w:rsidRDefault="00452171" w:rsidP="00E814B7">
      <w:pPr>
        <w:spacing w:after="16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Bezbjednost i efikasnost primjene erlotiniba ni</w:t>
      </w:r>
      <w:r w:rsidR="00227C5B" w:rsidRPr="00E814B7">
        <w:rPr>
          <w:rFonts w:asciiTheme="majorBidi" w:eastAsia="Calibri" w:hAnsiTheme="majorBidi" w:cstheme="majorBidi"/>
          <w:sz w:val="22"/>
          <w:szCs w:val="22"/>
          <w:lang w:val="sr-Latn-ME"/>
        </w:rPr>
        <w:t>je</w:t>
      </w:r>
      <w:r w:rsidRPr="00E814B7">
        <w:rPr>
          <w:rFonts w:asciiTheme="majorBidi" w:eastAsia="Calibri" w:hAnsiTheme="majorBidi" w:cstheme="majorBidi"/>
          <w:sz w:val="22"/>
          <w:szCs w:val="22"/>
          <w:lang w:val="sr-Latn-ME"/>
        </w:rPr>
        <w:t>su ispitivani kod pacijenata sa oštećenom funkcijom bubrega (koncentracija kreatinina u serumu &gt;1,5 puta veća od gornje granice normale). Na osnovu farmakokinetičkih podataka, čini se da nije potrebno podešavanje doze kod pacijenata sa blagim ili umjerenim oštećenjem bubrežne funkcije (vidjeti dio 5.2). Ne preporučuje se primjena kod pacijenata sa teškim oštećenjem funkcije bubrega.</w:t>
      </w:r>
    </w:p>
    <w:p w14:paraId="41B15C5F" w14:textId="77777777" w:rsidR="00452171" w:rsidRPr="00E814B7" w:rsidRDefault="00452171" w:rsidP="00E814B7">
      <w:pPr>
        <w:tabs>
          <w:tab w:val="left" w:pos="540"/>
          <w:tab w:val="left" w:pos="569"/>
        </w:tabs>
        <w:jc w:val="both"/>
        <w:rPr>
          <w:rFonts w:asciiTheme="majorBidi" w:hAnsiTheme="majorBidi" w:cstheme="majorBidi"/>
          <w:bCs/>
          <w:iCs/>
          <w:sz w:val="22"/>
          <w:szCs w:val="22"/>
          <w:u w:val="single"/>
          <w:lang w:val="sr-Latn-ME"/>
        </w:rPr>
      </w:pPr>
      <w:r w:rsidRPr="00E814B7">
        <w:rPr>
          <w:rFonts w:asciiTheme="majorBidi" w:hAnsiTheme="majorBidi" w:cstheme="majorBidi"/>
          <w:bCs/>
          <w:iCs/>
          <w:sz w:val="22"/>
          <w:szCs w:val="22"/>
          <w:u w:val="single"/>
          <w:lang w:val="sr-Latn-ME"/>
        </w:rPr>
        <w:t xml:space="preserve">Pedijatrijska populacija </w:t>
      </w:r>
    </w:p>
    <w:p w14:paraId="4C316CFF" w14:textId="7E02D0BE" w:rsidR="00452171" w:rsidRPr="00E814B7" w:rsidRDefault="00DC0EB6" w:rsidP="00E814B7">
      <w:pPr>
        <w:tabs>
          <w:tab w:val="left" w:pos="540"/>
          <w:tab w:val="left" w:pos="569"/>
        </w:tabs>
        <w:jc w:val="both"/>
        <w:rPr>
          <w:rFonts w:asciiTheme="majorBidi" w:hAnsiTheme="majorBidi" w:cstheme="majorBidi"/>
          <w:bCs/>
          <w:sz w:val="22"/>
          <w:szCs w:val="22"/>
          <w:lang w:val="sr-Latn-ME"/>
        </w:rPr>
      </w:pPr>
      <w:r w:rsidRPr="00E814B7">
        <w:rPr>
          <w:rFonts w:asciiTheme="majorBidi" w:hAnsiTheme="majorBidi" w:cstheme="majorBidi"/>
          <w:bCs/>
          <w:sz w:val="22"/>
          <w:szCs w:val="22"/>
          <w:lang w:val="sr-Latn-ME"/>
        </w:rPr>
        <w:t>Bezbjednost i efikasnost erlotiniba u odobrenim indikacijama ni</w:t>
      </w:r>
      <w:r w:rsidR="00227C5B" w:rsidRPr="00E814B7">
        <w:rPr>
          <w:rFonts w:asciiTheme="majorBidi" w:hAnsiTheme="majorBidi" w:cstheme="majorBidi"/>
          <w:bCs/>
          <w:sz w:val="22"/>
          <w:szCs w:val="22"/>
          <w:lang w:val="sr-Latn-ME"/>
        </w:rPr>
        <w:t>je</w:t>
      </w:r>
      <w:r w:rsidRPr="00E814B7">
        <w:rPr>
          <w:rFonts w:asciiTheme="majorBidi" w:hAnsiTheme="majorBidi" w:cstheme="majorBidi"/>
          <w:bCs/>
          <w:sz w:val="22"/>
          <w:szCs w:val="22"/>
          <w:lang w:val="sr-Latn-ME"/>
        </w:rPr>
        <w:t>su ustanovljeni kod pacijenata mlađih od 18 godina. Ne preporučuje se primjena lijeka Inopran kod pedijatrijskih pacijenata.</w:t>
      </w:r>
    </w:p>
    <w:p w14:paraId="138BC4DC" w14:textId="77777777" w:rsidR="00452171" w:rsidRPr="00E814B7" w:rsidRDefault="00452171" w:rsidP="00E814B7">
      <w:pPr>
        <w:tabs>
          <w:tab w:val="left" w:pos="540"/>
          <w:tab w:val="left" w:pos="569"/>
        </w:tabs>
        <w:jc w:val="both"/>
        <w:rPr>
          <w:rFonts w:asciiTheme="majorBidi" w:hAnsiTheme="majorBidi" w:cstheme="majorBidi"/>
          <w:bCs/>
          <w:i/>
          <w:iCs/>
          <w:sz w:val="22"/>
          <w:szCs w:val="22"/>
          <w:lang w:val="sr-Latn-ME"/>
        </w:rPr>
      </w:pPr>
    </w:p>
    <w:p w14:paraId="07B2FF9D" w14:textId="77777777" w:rsidR="00E814B7" w:rsidRDefault="00E814B7" w:rsidP="00E814B7">
      <w:pPr>
        <w:tabs>
          <w:tab w:val="left" w:pos="540"/>
          <w:tab w:val="left" w:pos="569"/>
        </w:tabs>
        <w:jc w:val="both"/>
        <w:rPr>
          <w:rFonts w:asciiTheme="majorBidi" w:hAnsiTheme="majorBidi" w:cstheme="majorBidi"/>
          <w:bCs/>
          <w:sz w:val="22"/>
          <w:szCs w:val="22"/>
          <w:u w:val="single"/>
          <w:lang w:val="sr-Latn-ME"/>
        </w:rPr>
      </w:pPr>
    </w:p>
    <w:p w14:paraId="26F68B0A" w14:textId="77777777" w:rsidR="00E814B7" w:rsidRDefault="00E814B7" w:rsidP="00E814B7">
      <w:pPr>
        <w:tabs>
          <w:tab w:val="left" w:pos="540"/>
          <w:tab w:val="left" w:pos="569"/>
        </w:tabs>
        <w:jc w:val="both"/>
        <w:rPr>
          <w:rFonts w:asciiTheme="majorBidi" w:hAnsiTheme="majorBidi" w:cstheme="majorBidi"/>
          <w:bCs/>
          <w:sz w:val="22"/>
          <w:szCs w:val="22"/>
          <w:u w:val="single"/>
          <w:lang w:val="sr-Latn-ME"/>
        </w:rPr>
      </w:pPr>
    </w:p>
    <w:p w14:paraId="59AEAD72" w14:textId="45AA07B5" w:rsidR="00452171" w:rsidRPr="00E814B7" w:rsidRDefault="00452171" w:rsidP="00E814B7">
      <w:pPr>
        <w:tabs>
          <w:tab w:val="left" w:pos="540"/>
          <w:tab w:val="left" w:pos="569"/>
        </w:tabs>
        <w:jc w:val="both"/>
        <w:rPr>
          <w:rFonts w:asciiTheme="majorBidi" w:hAnsiTheme="majorBidi" w:cstheme="majorBidi"/>
          <w:bCs/>
          <w:sz w:val="22"/>
          <w:szCs w:val="22"/>
          <w:u w:val="single"/>
          <w:lang w:val="sr-Latn-ME"/>
        </w:rPr>
      </w:pPr>
      <w:r w:rsidRPr="00E814B7">
        <w:rPr>
          <w:rFonts w:asciiTheme="majorBidi" w:hAnsiTheme="majorBidi" w:cstheme="majorBidi"/>
          <w:bCs/>
          <w:sz w:val="22"/>
          <w:szCs w:val="22"/>
          <w:u w:val="single"/>
          <w:lang w:val="sr-Latn-ME"/>
        </w:rPr>
        <w:lastRenderedPageBreak/>
        <w:t>Pušači</w:t>
      </w:r>
    </w:p>
    <w:p w14:paraId="1F2F4D3A" w14:textId="54F7B1D6" w:rsidR="00452171" w:rsidRPr="00E814B7" w:rsidRDefault="00452171"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Cs/>
          <w:sz w:val="22"/>
          <w:szCs w:val="22"/>
          <w:lang w:val="sr-Latn-ME"/>
        </w:rPr>
        <w:t xml:space="preserve">Pokazano je da pušenje cigareta smanjuje izloženost erlotinibu za 50% do 60%. Maksimalna doza podnošljivosti </w:t>
      </w:r>
      <w:r w:rsidR="00DC0EB6" w:rsidRPr="00E814B7">
        <w:rPr>
          <w:rFonts w:asciiTheme="majorBidi" w:hAnsiTheme="majorBidi" w:cstheme="majorBidi"/>
          <w:bCs/>
          <w:sz w:val="22"/>
          <w:szCs w:val="22"/>
          <w:lang w:val="sr-Latn-ME"/>
        </w:rPr>
        <w:t>erlotiniba</w:t>
      </w:r>
      <w:r w:rsidRPr="00E814B7">
        <w:rPr>
          <w:rFonts w:asciiTheme="majorBidi" w:hAnsiTheme="majorBidi" w:cstheme="majorBidi"/>
          <w:bCs/>
          <w:sz w:val="22"/>
          <w:szCs w:val="22"/>
          <w:lang w:val="sr-Latn-ME"/>
        </w:rPr>
        <w:t xml:space="preserve"> kod NSCLC pacijenta koji su pušači je 300 mg. </w:t>
      </w:r>
      <w:r w:rsidR="00DC0EB6" w:rsidRPr="00E814B7">
        <w:rPr>
          <w:rFonts w:asciiTheme="majorBidi" w:hAnsiTheme="majorBidi" w:cstheme="majorBidi"/>
          <w:bCs/>
          <w:sz w:val="22"/>
          <w:szCs w:val="22"/>
          <w:lang w:val="sr-Latn-ME"/>
        </w:rPr>
        <w:t>Kod pacijenata koji nastave pušiti cigarete, doza od 300 mg u poređenju sa preporučenom dozom od 150 mg nije pokazala bolju efikasnost u drugoj liniji liječenja nakon neuspješne hemioterapije. Podaci o bezbjednosti doza od 300 mg i 150 mg bili su uporedivi; međutim, kod pacijenata koji su primali višu dozu erlotiniba zab</w:t>
      </w:r>
      <w:r w:rsidR="007A4EF7" w:rsidRPr="00E814B7">
        <w:rPr>
          <w:rFonts w:asciiTheme="majorBidi" w:hAnsiTheme="majorBidi" w:cstheme="majorBidi"/>
          <w:bCs/>
          <w:sz w:val="22"/>
          <w:szCs w:val="22"/>
          <w:lang w:val="sr-Latn-ME"/>
        </w:rPr>
        <w:t>i</w:t>
      </w:r>
      <w:r w:rsidR="00DC0EB6" w:rsidRPr="00E814B7">
        <w:rPr>
          <w:rFonts w:asciiTheme="majorBidi" w:hAnsiTheme="majorBidi" w:cstheme="majorBidi"/>
          <w:bCs/>
          <w:sz w:val="22"/>
          <w:szCs w:val="22"/>
          <w:lang w:val="sr-Latn-ME"/>
        </w:rPr>
        <w:t>lježeno je brojčano povećanje incidencije osipa, intersticijske bolesti pluća i dijareje. Pušačima treba savjetovati da prestanu pušiti (vid</w:t>
      </w:r>
      <w:r w:rsidR="007A4EF7" w:rsidRPr="00E814B7">
        <w:rPr>
          <w:rFonts w:asciiTheme="majorBidi" w:hAnsiTheme="majorBidi" w:cstheme="majorBidi"/>
          <w:bCs/>
          <w:sz w:val="22"/>
          <w:szCs w:val="22"/>
          <w:lang w:val="sr-Latn-ME"/>
        </w:rPr>
        <w:t>j</w:t>
      </w:r>
      <w:r w:rsidR="00DC0EB6" w:rsidRPr="00E814B7">
        <w:rPr>
          <w:rFonts w:asciiTheme="majorBidi" w:hAnsiTheme="majorBidi" w:cstheme="majorBidi"/>
          <w:bCs/>
          <w:sz w:val="22"/>
          <w:szCs w:val="22"/>
          <w:lang w:val="sr-Latn-ME"/>
        </w:rPr>
        <w:t>eti djelove 4.4, 4.5, 5.1 i 5.2).</w:t>
      </w:r>
    </w:p>
    <w:p w14:paraId="515E880B" w14:textId="77777777" w:rsidR="00452E9D" w:rsidRPr="00E814B7" w:rsidRDefault="00452E9D" w:rsidP="00E814B7">
      <w:pPr>
        <w:tabs>
          <w:tab w:val="left" w:pos="540"/>
          <w:tab w:val="left" w:pos="569"/>
        </w:tabs>
        <w:jc w:val="both"/>
        <w:rPr>
          <w:rFonts w:asciiTheme="majorBidi" w:hAnsiTheme="majorBidi" w:cstheme="majorBidi"/>
          <w:bCs/>
          <w:sz w:val="22"/>
          <w:szCs w:val="22"/>
          <w:u w:val="single"/>
          <w:lang w:val="sr-Latn-ME"/>
        </w:rPr>
      </w:pPr>
    </w:p>
    <w:p w14:paraId="3295F459" w14:textId="07ADB5C8" w:rsidR="00452E9D" w:rsidRPr="00E814B7" w:rsidRDefault="00452E9D" w:rsidP="00E814B7">
      <w:pPr>
        <w:tabs>
          <w:tab w:val="left" w:pos="540"/>
          <w:tab w:val="left" w:pos="569"/>
        </w:tabs>
        <w:jc w:val="both"/>
        <w:rPr>
          <w:rFonts w:asciiTheme="majorBidi" w:hAnsiTheme="majorBidi" w:cstheme="majorBidi"/>
          <w:bCs/>
          <w:sz w:val="22"/>
          <w:szCs w:val="22"/>
          <w:u w:val="single"/>
          <w:lang w:val="sr-Latn-ME"/>
        </w:rPr>
      </w:pPr>
      <w:r w:rsidRPr="00E814B7">
        <w:rPr>
          <w:rFonts w:asciiTheme="majorBidi" w:hAnsiTheme="majorBidi" w:cstheme="majorBidi"/>
          <w:bCs/>
          <w:sz w:val="22"/>
          <w:szCs w:val="22"/>
          <w:u w:val="single"/>
          <w:lang w:val="sr-Latn-ME"/>
        </w:rPr>
        <w:t>Način primjene</w:t>
      </w:r>
    </w:p>
    <w:p w14:paraId="0DD7B3C2" w14:textId="5759009C" w:rsidR="00452171" w:rsidRPr="00E814B7" w:rsidRDefault="00452171" w:rsidP="00E814B7">
      <w:pPr>
        <w:tabs>
          <w:tab w:val="left" w:pos="540"/>
          <w:tab w:val="left" w:pos="569"/>
        </w:tabs>
        <w:jc w:val="both"/>
        <w:rPr>
          <w:rFonts w:asciiTheme="majorBidi" w:hAnsiTheme="majorBidi" w:cstheme="majorBidi"/>
          <w:bCs/>
          <w:sz w:val="22"/>
          <w:szCs w:val="22"/>
          <w:u w:val="single"/>
          <w:lang w:val="sr-Latn-ME"/>
        </w:rPr>
      </w:pPr>
      <w:r w:rsidRPr="00E814B7">
        <w:rPr>
          <w:rFonts w:asciiTheme="majorBidi" w:hAnsiTheme="majorBidi" w:cstheme="majorBidi"/>
          <w:bCs/>
          <w:sz w:val="22"/>
          <w:szCs w:val="22"/>
          <w:lang w:val="sr-Latn-ME"/>
        </w:rPr>
        <w:t>Za peroralnu primjenu</w:t>
      </w:r>
      <w:r w:rsidR="00DC0EB6" w:rsidRPr="00E814B7">
        <w:rPr>
          <w:rFonts w:asciiTheme="majorBidi" w:hAnsiTheme="majorBidi" w:cstheme="majorBidi"/>
          <w:bCs/>
          <w:sz w:val="22"/>
          <w:szCs w:val="22"/>
          <w:lang w:val="sr-Latn-ME"/>
        </w:rPr>
        <w:t>.</w:t>
      </w:r>
    </w:p>
    <w:p w14:paraId="3DCBD8D1" w14:textId="77777777" w:rsidR="00452E9D" w:rsidRPr="00E814B7" w:rsidRDefault="00452E9D" w:rsidP="00E814B7">
      <w:pPr>
        <w:tabs>
          <w:tab w:val="left" w:pos="540"/>
          <w:tab w:val="left" w:pos="569"/>
        </w:tabs>
        <w:jc w:val="both"/>
        <w:rPr>
          <w:rFonts w:asciiTheme="majorBidi" w:hAnsiTheme="majorBidi" w:cstheme="majorBidi"/>
          <w:bCs/>
          <w:sz w:val="22"/>
          <w:szCs w:val="22"/>
          <w:lang w:val="sr-Latn-ME"/>
        </w:rPr>
      </w:pPr>
    </w:p>
    <w:p w14:paraId="3D0D74B5" w14:textId="77777777" w:rsidR="00DC0EB6"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4.3.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Kontraindikacije</w:t>
      </w:r>
    </w:p>
    <w:p w14:paraId="50A82F57" w14:textId="77777777" w:rsidR="00DC0EB6" w:rsidRPr="00E814B7" w:rsidRDefault="00DC0EB6" w:rsidP="00E814B7">
      <w:pPr>
        <w:tabs>
          <w:tab w:val="left" w:pos="540"/>
          <w:tab w:val="left" w:pos="569"/>
        </w:tabs>
        <w:jc w:val="both"/>
        <w:rPr>
          <w:rFonts w:asciiTheme="majorBidi" w:hAnsiTheme="majorBidi" w:cstheme="majorBidi"/>
          <w:b/>
          <w:bCs/>
          <w:sz w:val="22"/>
          <w:szCs w:val="22"/>
          <w:lang w:val="sr-Latn-ME"/>
        </w:rPr>
      </w:pPr>
    </w:p>
    <w:p w14:paraId="60C10AD9" w14:textId="4D53460B" w:rsidR="00DC0EB6" w:rsidRPr="00E814B7" w:rsidRDefault="00DC0EB6" w:rsidP="00E814B7">
      <w:pPr>
        <w:tabs>
          <w:tab w:val="left" w:pos="540"/>
          <w:tab w:val="left" w:pos="569"/>
        </w:tabs>
        <w:jc w:val="both"/>
        <w:rPr>
          <w:rFonts w:asciiTheme="majorBidi" w:hAnsiTheme="majorBidi" w:cstheme="majorBidi"/>
          <w:b/>
          <w:bCs/>
          <w:sz w:val="22"/>
          <w:szCs w:val="22"/>
          <w:lang w:val="sr-Latn-ME"/>
        </w:rPr>
      </w:pPr>
      <w:r w:rsidRPr="00E814B7">
        <w:rPr>
          <w:rFonts w:asciiTheme="majorBidi" w:eastAsia="Calibri" w:hAnsiTheme="majorBidi" w:cstheme="majorBidi"/>
          <w:sz w:val="22"/>
          <w:szCs w:val="22"/>
          <w:lang w:val="sr-Latn-ME"/>
        </w:rPr>
        <w:t xml:space="preserve">Preosjetljivost na erlotinib ili na bilo koju od pomoćnih </w:t>
      </w:r>
      <w:r w:rsidRPr="00E814B7">
        <w:rPr>
          <w:rFonts w:asciiTheme="majorBidi" w:eastAsiaTheme="minorHAnsi" w:hAnsiTheme="majorBidi" w:cstheme="majorBidi"/>
          <w:sz w:val="22"/>
          <w:szCs w:val="22"/>
          <w:lang w:val="sr-Latn-ME"/>
        </w:rPr>
        <w:t>supstanci</w:t>
      </w:r>
      <w:r w:rsidRPr="00E814B7">
        <w:rPr>
          <w:rFonts w:asciiTheme="majorBidi" w:eastAsia="Calibri" w:hAnsiTheme="majorBidi" w:cstheme="majorBidi"/>
          <w:sz w:val="22"/>
          <w:szCs w:val="22"/>
          <w:lang w:val="sr-Latn-ME"/>
        </w:rPr>
        <w:t xml:space="preserve"> navedenih u dijelu 6.1. </w:t>
      </w:r>
      <w:r w:rsidRPr="00E814B7">
        <w:rPr>
          <w:rFonts w:asciiTheme="majorBidi" w:hAnsiTheme="majorBidi" w:cstheme="majorBidi"/>
          <w:spacing w:val="-1"/>
          <w:sz w:val="22"/>
          <w:szCs w:val="22"/>
          <w:lang w:val="sr-Latn-ME"/>
        </w:rPr>
        <w:t xml:space="preserve">  </w:t>
      </w:r>
    </w:p>
    <w:p w14:paraId="346444A5" w14:textId="77777777"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05AA2D09" w14:textId="77777777" w:rsidR="00411B4B"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4.4.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Posebna upozorenja i mjere opreza pri upotrebi lijeka</w:t>
      </w:r>
    </w:p>
    <w:p w14:paraId="6C8E637F" w14:textId="77777777"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72E48751" w14:textId="552AD8BF" w:rsidR="00791602" w:rsidRPr="00E814B7" w:rsidRDefault="00791602"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Procjena statusa EGFR mutacija</w:t>
      </w:r>
    </w:p>
    <w:p w14:paraId="3DBC0A78" w14:textId="14AF4E1F" w:rsidR="00791602" w:rsidRPr="00E814B7" w:rsidRDefault="00791602"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Kada se razmatra primjena lijeka Inopran kao prve linije liječenja ili terapije održavanja za lokalno uznapredovali ili metastatski NSCLC važno je odrediti status EGFR mutacije.</w:t>
      </w:r>
    </w:p>
    <w:p w14:paraId="2454AF44" w14:textId="5558CC1B" w:rsidR="00791602" w:rsidRPr="00E814B7" w:rsidRDefault="00791602"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Potrebno je provesti validiran, robustan, pouzdan i osjetljiv test koji ima unaprijed određen prag za pozitivan rezultat i koji je dokazano koristan za utvrđivanje statusa EGFR mutacije, koristeći ili tumorsku DNK dobijenu i</w:t>
      </w:r>
      <w:r w:rsidR="00227C5B" w:rsidRPr="00E814B7">
        <w:rPr>
          <w:rFonts w:asciiTheme="majorBidi" w:hAnsiTheme="majorBidi" w:cstheme="majorBidi"/>
          <w:sz w:val="22"/>
          <w:szCs w:val="22"/>
          <w:lang w:val="sr-Latn-ME"/>
        </w:rPr>
        <w:t>z</w:t>
      </w:r>
      <w:r w:rsidRPr="00E814B7">
        <w:rPr>
          <w:rFonts w:asciiTheme="majorBidi" w:hAnsiTheme="majorBidi" w:cstheme="majorBidi"/>
          <w:sz w:val="22"/>
          <w:szCs w:val="22"/>
          <w:lang w:val="sr-Latn-ME"/>
        </w:rPr>
        <w:t xml:space="preserve"> uzorka tkiva ili cirkulišuću slobodnu DNK (cDNK) dobijenu i</w:t>
      </w:r>
      <w:r w:rsidR="00227C5B" w:rsidRPr="00E814B7">
        <w:rPr>
          <w:rFonts w:asciiTheme="majorBidi" w:hAnsiTheme="majorBidi" w:cstheme="majorBidi"/>
          <w:sz w:val="22"/>
          <w:szCs w:val="22"/>
          <w:lang w:val="sr-Latn-ME"/>
        </w:rPr>
        <w:t>z</w:t>
      </w:r>
      <w:r w:rsidRPr="00E814B7">
        <w:rPr>
          <w:rFonts w:asciiTheme="majorBidi" w:hAnsiTheme="majorBidi" w:cstheme="majorBidi"/>
          <w:sz w:val="22"/>
          <w:szCs w:val="22"/>
          <w:lang w:val="sr-Latn-ME"/>
        </w:rPr>
        <w:t xml:space="preserve"> uzorka krvi (plazme), u składu sa lokalnom medicinskom praksom.</w:t>
      </w:r>
    </w:p>
    <w:p w14:paraId="2EF571C7" w14:textId="76DDC17B" w:rsidR="00791602" w:rsidRPr="00E814B7" w:rsidRDefault="00791602"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Ako se sprovodi test plazmatske cfDNK i dobije negativan nalaz na aktivirajuće mutacije, kad god je moguće treba sprovesti i test na uzorku tumorskog tkiva zbog mogućeg lažno negativnog nalaza testa na plazmatskom uzorku.</w:t>
      </w:r>
    </w:p>
    <w:p w14:paraId="3454806C" w14:textId="28CF8913" w:rsidR="00791602" w:rsidRPr="00E814B7" w:rsidRDefault="00791602" w:rsidP="00E814B7">
      <w:pPr>
        <w:tabs>
          <w:tab w:val="left" w:pos="540"/>
          <w:tab w:val="left" w:pos="569"/>
        </w:tabs>
        <w:jc w:val="both"/>
        <w:rPr>
          <w:rFonts w:asciiTheme="majorBidi" w:hAnsiTheme="majorBidi" w:cstheme="majorBidi"/>
          <w:sz w:val="22"/>
          <w:szCs w:val="22"/>
          <w:lang w:val="sr-Latn-ME"/>
        </w:rPr>
      </w:pPr>
    </w:p>
    <w:p w14:paraId="3CCA6F93" w14:textId="13EA7C3B" w:rsidR="00791602" w:rsidRPr="00E814B7" w:rsidRDefault="00791602"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Pušači</w:t>
      </w:r>
    </w:p>
    <w:p w14:paraId="25ACB269" w14:textId="22E832BA" w:rsidR="00791602" w:rsidRPr="00E814B7" w:rsidRDefault="00791602"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Pušačima treba savjetovati da prestanu pušiti, jer je koncentracija erlotiniba u plazmi pušača značajno manja u poređenju sa koncentracijom erlotiniba kod nepušača. Stepen navedenog smanjenja vjerovatno je klinički značajan (vidjeti djelove 4.2, 4.5, 5.1 i 5.2).</w:t>
      </w:r>
    </w:p>
    <w:p w14:paraId="27FD910A" w14:textId="77777777" w:rsidR="00791602" w:rsidRPr="00E814B7" w:rsidRDefault="00791602" w:rsidP="00E814B7">
      <w:pPr>
        <w:jc w:val="both"/>
        <w:rPr>
          <w:rFonts w:asciiTheme="majorBidi" w:eastAsiaTheme="minorHAnsi" w:hAnsiTheme="majorBidi" w:cstheme="majorBidi"/>
          <w:i/>
          <w:sz w:val="22"/>
          <w:szCs w:val="22"/>
          <w:u w:val="single"/>
          <w:lang w:val="sr-Latn-ME"/>
        </w:rPr>
      </w:pPr>
    </w:p>
    <w:p w14:paraId="7CE383EA" w14:textId="0C2CA689" w:rsidR="00791602" w:rsidRPr="00E814B7" w:rsidRDefault="00791602"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Intersticijalna bolest pluća</w:t>
      </w:r>
    </w:p>
    <w:p w14:paraId="3F48A297" w14:textId="62CFC5E3" w:rsidR="00791602" w:rsidRPr="00E814B7" w:rsidRDefault="00791602"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Slučajevi slični intersticijalnoj bolesti pluća (engl. </w:t>
      </w:r>
      <w:r w:rsidRPr="00E814B7">
        <w:rPr>
          <w:rFonts w:asciiTheme="majorBidi" w:eastAsiaTheme="minorHAnsi" w:hAnsiTheme="majorBidi" w:cstheme="majorBidi"/>
          <w:i/>
          <w:sz w:val="22"/>
          <w:szCs w:val="22"/>
          <w:lang w:val="sr-Latn-ME"/>
        </w:rPr>
        <w:t xml:space="preserve">interstitial lung disease - </w:t>
      </w:r>
      <w:r w:rsidRPr="00E814B7">
        <w:rPr>
          <w:rFonts w:asciiTheme="majorBidi" w:eastAsiaTheme="minorHAnsi" w:hAnsiTheme="majorBidi" w:cstheme="majorBidi"/>
          <w:sz w:val="22"/>
          <w:szCs w:val="22"/>
          <w:lang w:val="sr-Latn-ME"/>
        </w:rPr>
        <w:t xml:space="preserve">ILD), </w:t>
      </w:r>
      <w:r w:rsidR="00784AD5" w:rsidRPr="00E814B7">
        <w:rPr>
          <w:rFonts w:asciiTheme="majorBidi" w:eastAsiaTheme="minorHAnsi" w:hAnsiTheme="majorBidi" w:cstheme="majorBidi"/>
          <w:sz w:val="22"/>
          <w:szCs w:val="22"/>
          <w:lang w:val="sr-Latn-ME"/>
        </w:rPr>
        <w:t>uključujući i smrtni ishod, ni</w:t>
      </w:r>
      <w:r w:rsidR="00227C5B" w:rsidRPr="00E814B7">
        <w:rPr>
          <w:rFonts w:asciiTheme="majorBidi" w:eastAsiaTheme="minorHAnsi" w:hAnsiTheme="majorBidi" w:cstheme="majorBidi"/>
          <w:sz w:val="22"/>
          <w:szCs w:val="22"/>
          <w:lang w:val="sr-Latn-ME"/>
        </w:rPr>
        <w:t>je</w:t>
      </w:r>
      <w:r w:rsidR="00784AD5" w:rsidRPr="00E814B7">
        <w:rPr>
          <w:rFonts w:asciiTheme="majorBidi" w:eastAsiaTheme="minorHAnsi" w:hAnsiTheme="majorBidi" w:cstheme="majorBidi"/>
          <w:sz w:val="22"/>
          <w:szCs w:val="22"/>
          <w:lang w:val="sr-Latn-ME"/>
        </w:rPr>
        <w:t>su uobičajeni kod pacijenata koji primaju erlotinib za liječenje nemikrocelularnog karcinoma pluća (NSCLC), karcinoma pankreasa ili drugih uznapredovalih solidnih tumora.</w:t>
      </w:r>
      <w:r w:rsidRPr="00E814B7">
        <w:rPr>
          <w:rFonts w:asciiTheme="majorBidi" w:eastAsiaTheme="minorHAnsi" w:hAnsiTheme="majorBidi" w:cstheme="majorBidi"/>
          <w:sz w:val="22"/>
          <w:szCs w:val="22"/>
          <w:lang w:val="sr-Latn-ME"/>
        </w:rPr>
        <w:t xml:space="preserve"> U </w:t>
      </w:r>
      <w:r w:rsidR="00784AD5" w:rsidRPr="00E814B7">
        <w:rPr>
          <w:rFonts w:asciiTheme="majorBidi" w:eastAsiaTheme="minorHAnsi" w:hAnsiTheme="majorBidi" w:cstheme="majorBidi"/>
          <w:sz w:val="22"/>
          <w:szCs w:val="22"/>
          <w:lang w:val="sr-Latn-ME"/>
        </w:rPr>
        <w:t>kliničkom</w:t>
      </w:r>
      <w:r w:rsidRPr="00E814B7">
        <w:rPr>
          <w:rFonts w:asciiTheme="majorBidi" w:eastAsiaTheme="minorHAnsi" w:hAnsiTheme="majorBidi" w:cstheme="majorBidi"/>
          <w:sz w:val="22"/>
          <w:szCs w:val="22"/>
          <w:lang w:val="sr-Latn-ME"/>
        </w:rPr>
        <w:t xml:space="preserve"> </w:t>
      </w:r>
      <w:r w:rsidR="00784AD5" w:rsidRPr="00E814B7">
        <w:rPr>
          <w:rFonts w:asciiTheme="majorBidi" w:eastAsiaTheme="minorHAnsi" w:hAnsiTheme="majorBidi" w:cstheme="majorBidi"/>
          <w:sz w:val="22"/>
          <w:szCs w:val="22"/>
          <w:lang w:val="sr-Latn-ME"/>
        </w:rPr>
        <w:t>ispitivanju</w:t>
      </w:r>
      <w:r w:rsidRPr="00E814B7">
        <w:rPr>
          <w:rFonts w:asciiTheme="majorBidi" w:eastAsiaTheme="minorHAnsi" w:hAnsiTheme="majorBidi" w:cstheme="majorBidi"/>
          <w:sz w:val="22"/>
          <w:szCs w:val="22"/>
          <w:lang w:val="sr-Latn-ME"/>
        </w:rPr>
        <w:t xml:space="preserve"> BR.21 kod pacijenata sa </w:t>
      </w:r>
      <w:r w:rsidR="00784AD5" w:rsidRPr="00E814B7">
        <w:rPr>
          <w:rFonts w:asciiTheme="majorBidi" w:eastAsiaTheme="minorHAnsi" w:hAnsiTheme="majorBidi" w:cstheme="majorBidi"/>
          <w:sz w:val="22"/>
          <w:szCs w:val="22"/>
          <w:lang w:val="sr-Latn-ME"/>
        </w:rPr>
        <w:t>nemikrocelularnim karcinomom pluća</w:t>
      </w:r>
      <w:r w:rsidRPr="00E814B7">
        <w:rPr>
          <w:rFonts w:asciiTheme="majorBidi" w:eastAsiaTheme="minorHAnsi" w:hAnsiTheme="majorBidi" w:cstheme="majorBidi"/>
          <w:sz w:val="22"/>
          <w:szCs w:val="22"/>
          <w:lang w:val="sr-Latn-ME"/>
        </w:rPr>
        <w:t xml:space="preserve">, incidenca pojave </w:t>
      </w:r>
      <w:r w:rsidR="00784AD5" w:rsidRPr="00E814B7">
        <w:rPr>
          <w:rFonts w:asciiTheme="majorBidi" w:eastAsiaTheme="minorHAnsi" w:hAnsiTheme="majorBidi" w:cstheme="majorBidi"/>
          <w:sz w:val="22"/>
          <w:szCs w:val="22"/>
          <w:lang w:val="sr-Latn-ME"/>
        </w:rPr>
        <w:t>intersticijalne bolesti pluća</w:t>
      </w:r>
      <w:r w:rsidRPr="00E814B7">
        <w:rPr>
          <w:rFonts w:asciiTheme="majorBidi" w:eastAsiaTheme="minorHAnsi" w:hAnsiTheme="majorBidi" w:cstheme="majorBidi"/>
          <w:sz w:val="22"/>
          <w:szCs w:val="22"/>
          <w:lang w:val="sr-Latn-ME"/>
        </w:rPr>
        <w:t xml:space="preserve"> (0,8%) bila je ista i u grupi koja je primala placebo i u grupama koje su primale erlotinib. U </w:t>
      </w:r>
      <w:r w:rsidR="00784AD5" w:rsidRPr="00E814B7">
        <w:rPr>
          <w:rFonts w:asciiTheme="majorBidi" w:eastAsiaTheme="minorHAnsi" w:hAnsiTheme="majorBidi" w:cstheme="majorBidi"/>
          <w:sz w:val="22"/>
          <w:szCs w:val="22"/>
          <w:lang w:val="sr-Latn-ME"/>
        </w:rPr>
        <w:t>meta analizi randomizovanih kontrolisanih kliničkih ispitivanja</w:t>
      </w:r>
      <w:r w:rsidRPr="00E814B7">
        <w:rPr>
          <w:rFonts w:asciiTheme="majorBidi" w:eastAsiaTheme="minorHAnsi" w:hAnsiTheme="majorBidi" w:cstheme="majorBidi"/>
          <w:sz w:val="22"/>
          <w:szCs w:val="22"/>
          <w:lang w:val="sr-Latn-ME"/>
        </w:rPr>
        <w:t xml:space="preserve"> kod pacijenata sa</w:t>
      </w:r>
      <w:r w:rsidR="00784AD5" w:rsidRPr="00E814B7">
        <w:rPr>
          <w:rFonts w:asciiTheme="majorBidi" w:eastAsiaTheme="minorHAnsi" w:hAnsiTheme="majorBidi" w:cstheme="majorBidi"/>
          <w:sz w:val="22"/>
          <w:szCs w:val="22"/>
          <w:lang w:val="sr-Latn-ME"/>
        </w:rPr>
        <w:t xml:space="preserve"> NSCLC-om (isključujući ispitivanja faze I i ispitivanja faze II s</w:t>
      </w:r>
      <w:r w:rsidR="00227C5B" w:rsidRPr="00E814B7">
        <w:rPr>
          <w:rFonts w:asciiTheme="majorBidi" w:eastAsiaTheme="minorHAnsi" w:hAnsiTheme="majorBidi" w:cstheme="majorBidi"/>
          <w:sz w:val="22"/>
          <w:szCs w:val="22"/>
          <w:lang w:val="sr-Latn-ME"/>
        </w:rPr>
        <w:t>a</w:t>
      </w:r>
      <w:r w:rsidR="00784AD5" w:rsidRPr="00E814B7">
        <w:rPr>
          <w:rFonts w:asciiTheme="majorBidi" w:eastAsiaTheme="minorHAnsi" w:hAnsiTheme="majorBidi" w:cstheme="majorBidi"/>
          <w:sz w:val="22"/>
          <w:szCs w:val="22"/>
          <w:lang w:val="sr-Latn-ME"/>
        </w:rPr>
        <w:t xml:space="preserve"> jednom grupom, jer nije bilo kontrolne grupe), incidencija događaja nalik IBP iznosila je 0,9% uz erlotinib, u poređenju sa 0,4% kod pacijenata u kontrolnim grupama. U ispitivanju sprovedenom kod pacijenata sa karcinomom pankreasa, incidencija pojave simptoma nalik intersticijskoj bolesti pluća iznosila je 2,5% u grupi koja je primala erlotinib u kombinaciji s</w:t>
      </w:r>
      <w:r w:rsidR="00227C5B" w:rsidRPr="00E814B7">
        <w:rPr>
          <w:rFonts w:asciiTheme="majorBidi" w:eastAsiaTheme="minorHAnsi" w:hAnsiTheme="majorBidi" w:cstheme="majorBidi"/>
          <w:sz w:val="22"/>
          <w:szCs w:val="22"/>
          <w:lang w:val="sr-Latn-ME"/>
        </w:rPr>
        <w:t>a</w:t>
      </w:r>
      <w:r w:rsidR="00784AD5" w:rsidRPr="00E814B7">
        <w:rPr>
          <w:rFonts w:asciiTheme="majorBidi" w:eastAsiaTheme="minorHAnsi" w:hAnsiTheme="majorBidi" w:cstheme="majorBidi"/>
          <w:sz w:val="22"/>
          <w:szCs w:val="22"/>
          <w:lang w:val="sr-Latn-ME"/>
        </w:rPr>
        <w:t xml:space="preserve"> gemcitabinom, odnosno 0,4% u grupi liječenoj placebom u kombinaciji sa gemcitabinom.</w:t>
      </w:r>
      <w:r w:rsidR="003A36E0"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 xml:space="preserve">Kod pacijenata za koje se sumnjalo da imaju </w:t>
      </w:r>
      <w:r w:rsidR="003A36E0" w:rsidRPr="00E814B7">
        <w:rPr>
          <w:rFonts w:asciiTheme="majorBidi" w:eastAsiaTheme="minorHAnsi" w:hAnsiTheme="majorBidi" w:cstheme="majorBidi"/>
          <w:sz w:val="22"/>
          <w:szCs w:val="22"/>
          <w:lang w:val="sr-Latn-ME"/>
        </w:rPr>
        <w:t>simptome</w:t>
      </w:r>
      <w:r w:rsidRPr="00E814B7">
        <w:rPr>
          <w:rFonts w:asciiTheme="majorBidi" w:eastAsiaTheme="minorHAnsi" w:hAnsiTheme="majorBidi" w:cstheme="majorBidi"/>
          <w:sz w:val="22"/>
          <w:szCs w:val="22"/>
          <w:lang w:val="sr-Latn-ME"/>
        </w:rPr>
        <w:t xml:space="preserve"> slično </w:t>
      </w:r>
      <w:r w:rsidR="003A36E0" w:rsidRPr="00E814B7">
        <w:rPr>
          <w:rFonts w:asciiTheme="majorBidi" w:eastAsiaTheme="minorHAnsi" w:hAnsiTheme="majorBidi" w:cstheme="majorBidi"/>
          <w:sz w:val="22"/>
          <w:szCs w:val="22"/>
          <w:lang w:val="sr-Latn-ME"/>
        </w:rPr>
        <w:t>IBP</w:t>
      </w:r>
      <w:r w:rsidRPr="00E814B7">
        <w:rPr>
          <w:rFonts w:asciiTheme="majorBidi" w:eastAsiaTheme="minorHAnsi" w:hAnsiTheme="majorBidi" w:cstheme="majorBidi"/>
          <w:sz w:val="22"/>
          <w:szCs w:val="22"/>
          <w:lang w:val="sr-Latn-ME"/>
        </w:rPr>
        <w:t xml:space="preserve">, prijavljeni su pneumonitis, radijacioni pneumonitis, hipersenzitivni pneumonitis, intersticijalna pneumonija, intersticijalna bolest pluća, obliterirajući bronhiolitis, plućna fibroza, akutni respiratorni distres sindrom (ARDS), alveolitis i infiltracija pluća. Simptomi su počeli da se javljaju od nekoliko dana do nekoliko mjeseci od početka terapije erlotinibom. Učestali su bili i </w:t>
      </w:r>
      <w:r w:rsidR="003A36E0" w:rsidRPr="00E814B7">
        <w:rPr>
          <w:rFonts w:asciiTheme="majorBidi" w:eastAsiaTheme="minorHAnsi" w:hAnsiTheme="majorBidi" w:cstheme="majorBidi"/>
          <w:sz w:val="22"/>
          <w:szCs w:val="22"/>
          <w:lang w:val="sr-Latn-ME"/>
        </w:rPr>
        <w:t>šumovi ili neki potpomažući</w:t>
      </w:r>
      <w:r w:rsidRPr="00E814B7">
        <w:rPr>
          <w:rFonts w:asciiTheme="majorBidi" w:eastAsiaTheme="minorHAnsi" w:hAnsiTheme="majorBidi" w:cstheme="majorBidi"/>
          <w:sz w:val="22"/>
          <w:szCs w:val="22"/>
          <w:lang w:val="sr-Latn-ME"/>
        </w:rPr>
        <w:t xml:space="preserve"> faktori</w:t>
      </w:r>
      <w:r w:rsidR="003A36E0" w:rsidRPr="00E814B7">
        <w:rPr>
          <w:rFonts w:asciiTheme="majorBidi" w:eastAsiaTheme="minorHAnsi" w:hAnsiTheme="majorBidi" w:cstheme="majorBidi"/>
          <w:sz w:val="22"/>
          <w:szCs w:val="22"/>
          <w:lang w:val="sr-Latn-ME"/>
        </w:rPr>
        <w:t xml:space="preserve">, poput </w:t>
      </w:r>
      <w:r w:rsidRPr="00E814B7">
        <w:rPr>
          <w:rFonts w:asciiTheme="majorBidi" w:eastAsiaTheme="minorHAnsi" w:hAnsiTheme="majorBidi" w:cstheme="majorBidi"/>
          <w:sz w:val="22"/>
          <w:szCs w:val="22"/>
          <w:lang w:val="sr-Latn-ME"/>
        </w:rPr>
        <w:t>istovremen</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xml:space="preserve"> ili prethodn</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xml:space="preserve"> hemioterapij</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prethodn</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xml:space="preserve"> radijacion</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xml:space="preserve"> terapij</w:t>
      </w:r>
      <w:r w:rsidR="003A36E0" w:rsidRPr="00E814B7">
        <w:rPr>
          <w:rFonts w:asciiTheme="majorBidi" w:eastAsiaTheme="minorHAnsi" w:hAnsiTheme="majorBidi" w:cstheme="majorBidi"/>
          <w:sz w:val="22"/>
          <w:szCs w:val="22"/>
          <w:lang w:val="sr-Latn-ME"/>
        </w:rPr>
        <w:t>e</w:t>
      </w:r>
      <w:r w:rsidRPr="00E814B7">
        <w:rPr>
          <w:rFonts w:asciiTheme="majorBidi" w:eastAsiaTheme="minorHAnsi" w:hAnsiTheme="majorBidi" w:cstheme="majorBidi"/>
          <w:sz w:val="22"/>
          <w:szCs w:val="22"/>
          <w:lang w:val="sr-Latn-ME"/>
        </w:rPr>
        <w:t xml:space="preserve">, prethodno postojeće </w:t>
      </w:r>
      <w:r w:rsidR="003A36E0" w:rsidRPr="00E814B7">
        <w:rPr>
          <w:rFonts w:asciiTheme="majorBidi" w:eastAsiaTheme="minorHAnsi" w:hAnsiTheme="majorBidi" w:cstheme="majorBidi"/>
          <w:sz w:val="22"/>
          <w:szCs w:val="22"/>
          <w:lang w:val="sr-Latn-ME"/>
        </w:rPr>
        <w:t>oštećenje</w:t>
      </w:r>
      <w:r w:rsidRPr="00E814B7">
        <w:rPr>
          <w:rFonts w:asciiTheme="majorBidi" w:eastAsiaTheme="minorHAnsi" w:hAnsiTheme="majorBidi" w:cstheme="majorBidi"/>
          <w:sz w:val="22"/>
          <w:szCs w:val="22"/>
          <w:lang w:val="sr-Latn-ME"/>
        </w:rPr>
        <w:t xml:space="preserve"> plućnog parenhima, metastatsko</w:t>
      </w:r>
      <w:r w:rsidR="003A36E0" w:rsidRPr="00E814B7">
        <w:rPr>
          <w:rFonts w:asciiTheme="majorBidi" w:eastAsiaTheme="minorHAnsi" w:hAnsiTheme="majorBidi" w:cstheme="majorBidi"/>
          <w:sz w:val="22"/>
          <w:szCs w:val="22"/>
          <w:lang w:val="sr-Latn-ME"/>
        </w:rPr>
        <w:t>g</w:t>
      </w:r>
      <w:r w:rsidRPr="00E814B7">
        <w:rPr>
          <w:rFonts w:asciiTheme="majorBidi" w:eastAsiaTheme="minorHAnsi" w:hAnsiTheme="majorBidi" w:cstheme="majorBidi"/>
          <w:sz w:val="22"/>
          <w:szCs w:val="22"/>
          <w:lang w:val="sr-Latn-ME"/>
        </w:rPr>
        <w:t xml:space="preserve"> oboljenj</w:t>
      </w:r>
      <w:r w:rsidR="003A36E0"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pluća ili plućn</w:t>
      </w:r>
      <w:r w:rsidR="003A36E0" w:rsidRPr="00E814B7">
        <w:rPr>
          <w:rFonts w:asciiTheme="majorBidi" w:eastAsiaTheme="minorHAnsi" w:hAnsiTheme="majorBidi" w:cstheme="majorBidi"/>
          <w:sz w:val="22"/>
          <w:szCs w:val="22"/>
          <w:lang w:val="sr-Latn-ME"/>
        </w:rPr>
        <w:t>ih</w:t>
      </w:r>
      <w:r w:rsidRPr="00E814B7">
        <w:rPr>
          <w:rFonts w:asciiTheme="majorBidi" w:eastAsiaTheme="minorHAnsi" w:hAnsiTheme="majorBidi" w:cstheme="majorBidi"/>
          <w:sz w:val="22"/>
          <w:szCs w:val="22"/>
          <w:lang w:val="sr-Latn-ME"/>
        </w:rPr>
        <w:t xml:space="preserve"> infekcij</w:t>
      </w:r>
      <w:r w:rsidR="003A36E0"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Veća incidencija </w:t>
      </w:r>
      <w:r w:rsidR="003A36E0" w:rsidRPr="00E814B7">
        <w:rPr>
          <w:rFonts w:asciiTheme="majorBidi" w:eastAsiaTheme="minorHAnsi" w:hAnsiTheme="majorBidi" w:cstheme="majorBidi"/>
          <w:sz w:val="22"/>
          <w:szCs w:val="22"/>
          <w:lang w:val="sr-Latn-ME"/>
        </w:rPr>
        <w:t>IBP</w:t>
      </w:r>
      <w:r w:rsidRPr="00E814B7">
        <w:rPr>
          <w:rFonts w:asciiTheme="majorBidi" w:eastAsiaTheme="minorHAnsi" w:hAnsiTheme="majorBidi" w:cstheme="majorBidi"/>
          <w:sz w:val="22"/>
          <w:szCs w:val="22"/>
          <w:lang w:val="sr-Latn-ME"/>
        </w:rPr>
        <w:t xml:space="preserve"> (</w:t>
      </w:r>
      <w:r w:rsidR="003A36E0" w:rsidRPr="00E814B7">
        <w:rPr>
          <w:rFonts w:asciiTheme="majorBidi" w:eastAsiaTheme="minorHAnsi" w:hAnsiTheme="majorBidi" w:cstheme="majorBidi"/>
          <w:sz w:val="22"/>
          <w:szCs w:val="22"/>
          <w:lang w:val="sr-Latn-ME"/>
        </w:rPr>
        <w:t>oko</w:t>
      </w:r>
      <w:r w:rsidRPr="00E814B7">
        <w:rPr>
          <w:rFonts w:asciiTheme="majorBidi" w:eastAsiaTheme="minorHAnsi" w:hAnsiTheme="majorBidi" w:cstheme="majorBidi"/>
          <w:sz w:val="22"/>
          <w:szCs w:val="22"/>
          <w:lang w:val="sr-Latn-ME"/>
        </w:rPr>
        <w:t xml:space="preserve"> 5% sa stopom smrtnosti od 1,5%) uočena je među pacijentima </w:t>
      </w:r>
      <w:r w:rsidR="003A36E0" w:rsidRPr="00E814B7">
        <w:rPr>
          <w:rFonts w:asciiTheme="majorBidi" w:eastAsiaTheme="minorHAnsi" w:hAnsiTheme="majorBidi" w:cstheme="majorBidi"/>
          <w:sz w:val="22"/>
          <w:szCs w:val="22"/>
          <w:lang w:val="sr-Latn-ME"/>
        </w:rPr>
        <w:t>u ispitivanjima sprovedenim u Japanu.</w:t>
      </w:r>
    </w:p>
    <w:p w14:paraId="105FD6CB" w14:textId="77777777" w:rsidR="00227C5B" w:rsidRPr="00E814B7" w:rsidRDefault="00227C5B" w:rsidP="00E814B7">
      <w:pPr>
        <w:jc w:val="both"/>
        <w:rPr>
          <w:rFonts w:asciiTheme="majorBidi" w:eastAsiaTheme="minorHAnsi" w:hAnsiTheme="majorBidi" w:cstheme="majorBidi"/>
          <w:sz w:val="22"/>
          <w:szCs w:val="22"/>
          <w:lang w:val="sr-Latn-ME"/>
        </w:rPr>
      </w:pPr>
    </w:p>
    <w:p w14:paraId="60925AFD" w14:textId="4674F821" w:rsidR="00791602" w:rsidRPr="00E814B7" w:rsidRDefault="00791602"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Kod pacijenata kod kojih se razviju akutni novi i/ili progresivni neobjašnjivi plućni simptomi, kao što su dispneja, kašalj i povišena tjelesna temperatura, treba odmah obustaviti terapiju lijekom Inopran, dok </w:t>
      </w:r>
      <w:r w:rsidRPr="00E814B7">
        <w:rPr>
          <w:rFonts w:asciiTheme="majorBidi" w:eastAsiaTheme="minorHAnsi" w:hAnsiTheme="majorBidi" w:cstheme="majorBidi"/>
          <w:sz w:val="22"/>
          <w:szCs w:val="22"/>
          <w:lang w:val="sr-Latn-ME"/>
        </w:rPr>
        <w:lastRenderedPageBreak/>
        <w:t xml:space="preserve">se ne izvrši dijagnostička procjena. Pacijente koji se istovremeno liječe erlotinibom i gemcitabinom treba pažljivo pratiti, usljed mogućnosti razvoja toksičnosti sličnoj </w:t>
      </w:r>
      <w:r w:rsidR="003A36E0" w:rsidRPr="00E814B7">
        <w:rPr>
          <w:rFonts w:asciiTheme="majorBidi" w:eastAsiaTheme="minorHAnsi" w:hAnsiTheme="majorBidi" w:cstheme="majorBidi"/>
          <w:sz w:val="22"/>
          <w:szCs w:val="22"/>
          <w:lang w:val="sr-Latn-ME"/>
        </w:rPr>
        <w:t>intersticijalnoj bolesti pluća</w:t>
      </w:r>
      <w:r w:rsidRPr="00E814B7">
        <w:rPr>
          <w:rFonts w:asciiTheme="majorBidi" w:eastAsiaTheme="minorHAnsi" w:hAnsiTheme="majorBidi" w:cstheme="majorBidi"/>
          <w:sz w:val="22"/>
          <w:szCs w:val="22"/>
          <w:lang w:val="sr-Latn-ME"/>
        </w:rPr>
        <w:t xml:space="preserve">. Ako se utvrdi dijagnoza </w:t>
      </w:r>
      <w:r w:rsidR="003A36E0" w:rsidRPr="00E814B7">
        <w:rPr>
          <w:rFonts w:asciiTheme="majorBidi" w:eastAsiaTheme="minorHAnsi" w:hAnsiTheme="majorBidi" w:cstheme="majorBidi"/>
          <w:sz w:val="22"/>
          <w:szCs w:val="22"/>
          <w:lang w:val="sr-Latn-ME"/>
        </w:rPr>
        <w:t>IBP</w:t>
      </w:r>
      <w:r w:rsidRPr="00E814B7">
        <w:rPr>
          <w:rFonts w:asciiTheme="majorBidi" w:eastAsiaTheme="minorHAnsi" w:hAnsiTheme="majorBidi" w:cstheme="majorBidi"/>
          <w:sz w:val="22"/>
          <w:szCs w:val="22"/>
          <w:lang w:val="sr-Latn-ME"/>
        </w:rPr>
        <w:t xml:space="preserve">, </w:t>
      </w:r>
      <w:r w:rsidR="003A36E0" w:rsidRPr="00E814B7">
        <w:rPr>
          <w:rFonts w:asciiTheme="majorBidi" w:eastAsiaTheme="minorHAnsi" w:hAnsiTheme="majorBidi" w:cstheme="majorBidi"/>
          <w:sz w:val="22"/>
          <w:szCs w:val="22"/>
          <w:lang w:val="sr-Latn-ME"/>
        </w:rPr>
        <w:t>potrebno je prekinuti terapiju lijekom Inopran i započeti odgovarajuće liječenje</w:t>
      </w:r>
      <w:r w:rsidRPr="00E814B7">
        <w:rPr>
          <w:rFonts w:asciiTheme="majorBidi" w:eastAsiaTheme="minorHAnsi" w:hAnsiTheme="majorBidi" w:cstheme="majorBidi"/>
          <w:sz w:val="22"/>
          <w:szCs w:val="22"/>
          <w:lang w:val="sr-Latn-ME"/>
        </w:rPr>
        <w:t xml:space="preserve"> (vidjeti </w:t>
      </w:r>
      <w:r w:rsidR="003A36E0" w:rsidRPr="00E814B7">
        <w:rPr>
          <w:rFonts w:asciiTheme="majorBidi" w:eastAsiaTheme="minorHAnsi" w:hAnsiTheme="majorBidi" w:cstheme="majorBidi"/>
          <w:sz w:val="22"/>
          <w:szCs w:val="22"/>
          <w:lang w:val="sr-Latn-ME"/>
        </w:rPr>
        <w:t>dio</w:t>
      </w:r>
      <w:r w:rsidRPr="00E814B7">
        <w:rPr>
          <w:rFonts w:asciiTheme="majorBidi" w:eastAsiaTheme="minorHAnsi" w:hAnsiTheme="majorBidi" w:cstheme="majorBidi"/>
          <w:sz w:val="22"/>
          <w:szCs w:val="22"/>
          <w:lang w:val="sr-Latn-ME"/>
        </w:rPr>
        <w:t xml:space="preserve"> 4.8).</w:t>
      </w:r>
    </w:p>
    <w:p w14:paraId="26EB7594" w14:textId="77777777" w:rsidR="003A36E0" w:rsidRPr="00E814B7" w:rsidRDefault="003A36E0" w:rsidP="00E814B7">
      <w:pPr>
        <w:jc w:val="both"/>
        <w:rPr>
          <w:rFonts w:asciiTheme="majorBidi" w:eastAsiaTheme="minorHAnsi" w:hAnsiTheme="majorBidi" w:cstheme="majorBidi"/>
          <w:i/>
          <w:sz w:val="22"/>
          <w:szCs w:val="22"/>
          <w:u w:val="single"/>
          <w:lang w:val="sr-Latn-ME"/>
        </w:rPr>
      </w:pPr>
    </w:p>
    <w:p w14:paraId="50BAD14E" w14:textId="75D92849" w:rsidR="003A36E0" w:rsidRPr="00E814B7" w:rsidRDefault="003A36E0"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Dijareja, dehidracija, elektrolitni disbalans i bubrežna insuficijencija</w:t>
      </w:r>
    </w:p>
    <w:p w14:paraId="29FC7886" w14:textId="4A9B1CB2" w:rsidR="003A36E0" w:rsidRPr="00E814B7" w:rsidRDefault="003A36E0" w:rsidP="00E814B7">
      <w:pPr>
        <w:autoSpaceDE w:val="0"/>
        <w:autoSpaceDN w:val="0"/>
        <w:adjustRightInd w:val="0"/>
        <w:jc w:val="both"/>
        <w:rPr>
          <w:rFonts w:asciiTheme="majorBidi" w:eastAsia="TimesNewRoman" w:hAnsiTheme="majorBidi" w:cstheme="majorBidi"/>
          <w:sz w:val="22"/>
          <w:szCs w:val="22"/>
          <w:lang w:val="sr-Latn-ME"/>
        </w:rPr>
      </w:pPr>
      <w:r w:rsidRPr="00E814B7">
        <w:rPr>
          <w:rFonts w:asciiTheme="majorBidi" w:eastAsiaTheme="minorHAnsi" w:hAnsiTheme="majorBidi" w:cstheme="majorBidi"/>
          <w:sz w:val="22"/>
          <w:szCs w:val="22"/>
          <w:lang w:val="sr-Latn-ME"/>
        </w:rPr>
        <w:t>Dijareja (uključujući veoma rijetke slučajeve sa fatalnim ishodom) zabilježena je kod približno 50% pacijenata koji su koristili erlotinib, a umjerenu ili tešku dijareju bilo je potrebno liječiti npr. loperamidom. U nekim slučajevima potrebno je smanjiti dozu. U klini</w:t>
      </w:r>
      <w:r w:rsidRPr="00E814B7">
        <w:rPr>
          <w:rFonts w:asciiTheme="majorBidi" w:eastAsia="TimesNewRomanPSMT" w:hAnsiTheme="majorBidi" w:cstheme="majorBidi"/>
          <w:sz w:val="22"/>
          <w:szCs w:val="22"/>
          <w:lang w:val="sr-Latn-ME"/>
        </w:rPr>
        <w:t>č</w:t>
      </w:r>
      <w:r w:rsidRPr="00E814B7">
        <w:rPr>
          <w:rFonts w:asciiTheme="majorBidi" w:eastAsiaTheme="minorHAnsi" w:hAnsiTheme="majorBidi" w:cstheme="majorBidi"/>
          <w:sz w:val="22"/>
          <w:szCs w:val="22"/>
          <w:lang w:val="sr-Latn-ME"/>
        </w:rPr>
        <w:t xml:space="preserve">kim studijama doze su smanjene postupno za po 50 mg. </w:t>
      </w:r>
      <w:r w:rsidRPr="00E814B7">
        <w:rPr>
          <w:rFonts w:asciiTheme="majorBidi" w:eastAsia="TimesNewRoman" w:hAnsiTheme="majorBidi" w:cstheme="majorBidi"/>
          <w:sz w:val="22"/>
          <w:szCs w:val="22"/>
          <w:lang w:val="sr-Latn-ME"/>
        </w:rPr>
        <w:t>Ni</w:t>
      </w:r>
      <w:r w:rsidR="00292781" w:rsidRPr="00E814B7">
        <w:rPr>
          <w:rFonts w:asciiTheme="majorBidi" w:eastAsia="TimesNewRoman" w:hAnsiTheme="majorBidi" w:cstheme="majorBidi"/>
          <w:sz w:val="22"/>
          <w:szCs w:val="22"/>
          <w:lang w:val="sr-Latn-ME"/>
        </w:rPr>
        <w:t>je</w:t>
      </w:r>
      <w:r w:rsidRPr="00E814B7">
        <w:rPr>
          <w:rFonts w:asciiTheme="majorBidi" w:eastAsia="TimesNewRoman" w:hAnsiTheme="majorBidi" w:cstheme="majorBidi"/>
          <w:sz w:val="22"/>
          <w:szCs w:val="22"/>
          <w:lang w:val="sr-Latn-ME"/>
        </w:rPr>
        <w:t xml:space="preserve">su ispitani slučajevi smanjenja doze za po 25 mg. U slučaju teške ili </w:t>
      </w:r>
      <w:r w:rsidR="00AA79CB" w:rsidRPr="00E814B7">
        <w:rPr>
          <w:rFonts w:asciiTheme="majorBidi" w:eastAsia="TimesNewRoman" w:hAnsiTheme="majorBidi" w:cstheme="majorBidi"/>
          <w:sz w:val="22"/>
          <w:szCs w:val="22"/>
          <w:lang w:val="sr-Latn-ME"/>
        </w:rPr>
        <w:t>dugotrajne</w:t>
      </w:r>
      <w:r w:rsidRPr="00E814B7">
        <w:rPr>
          <w:rFonts w:asciiTheme="majorBidi" w:eastAsia="TimesNewRoman" w:hAnsiTheme="majorBidi" w:cstheme="majorBidi"/>
          <w:sz w:val="22"/>
          <w:szCs w:val="22"/>
          <w:lang w:val="sr-Latn-ME"/>
        </w:rPr>
        <w:t xml:space="preserve"> dijareje, mučnine, anoreksije ili povraćanja praćenih dehidratacijom, </w:t>
      </w:r>
      <w:r w:rsidR="00AA79CB" w:rsidRPr="00E814B7">
        <w:rPr>
          <w:rFonts w:asciiTheme="majorBidi" w:eastAsia="TimesNewRoman" w:hAnsiTheme="majorBidi" w:cstheme="majorBidi"/>
          <w:sz w:val="22"/>
          <w:szCs w:val="22"/>
          <w:lang w:val="sr-Latn-ME"/>
        </w:rPr>
        <w:t>potrebno je obustaviti terapiju lijekom Inopran i preduzeti odgovarajuće mjere za liječenje dehidracije</w:t>
      </w:r>
      <w:r w:rsidRPr="00E814B7">
        <w:rPr>
          <w:rFonts w:asciiTheme="majorBidi" w:eastAsia="TimesNewRoman" w:hAnsiTheme="majorBidi" w:cstheme="majorBidi"/>
          <w:sz w:val="22"/>
          <w:szCs w:val="22"/>
          <w:lang w:val="sr-Latn-ME"/>
        </w:rPr>
        <w:t xml:space="preserve"> (vidjeti </w:t>
      </w:r>
      <w:r w:rsidR="00AA79CB" w:rsidRPr="00E814B7">
        <w:rPr>
          <w:rFonts w:asciiTheme="majorBidi" w:eastAsia="TimesNewRoman" w:hAnsiTheme="majorBidi" w:cstheme="majorBidi"/>
          <w:sz w:val="22"/>
          <w:szCs w:val="22"/>
          <w:lang w:val="sr-Latn-ME"/>
        </w:rPr>
        <w:t>dio</w:t>
      </w:r>
      <w:r w:rsidRPr="00E814B7">
        <w:rPr>
          <w:rFonts w:asciiTheme="majorBidi" w:eastAsia="TimesNewRoman" w:hAnsiTheme="majorBidi" w:cstheme="majorBidi"/>
          <w:sz w:val="22"/>
          <w:szCs w:val="22"/>
          <w:lang w:val="sr-Latn-ME"/>
        </w:rPr>
        <w:t xml:space="preserve"> 4.8). </w:t>
      </w:r>
      <w:r w:rsidR="00AA79CB" w:rsidRPr="00E814B7">
        <w:rPr>
          <w:rFonts w:asciiTheme="majorBidi" w:eastAsia="TimesNewRoman" w:hAnsiTheme="majorBidi" w:cstheme="majorBidi"/>
          <w:sz w:val="22"/>
          <w:szCs w:val="22"/>
          <w:lang w:val="sr-Latn-ME"/>
        </w:rPr>
        <w:t>Zabilježeni</w:t>
      </w:r>
      <w:r w:rsidRPr="00E814B7">
        <w:rPr>
          <w:rFonts w:asciiTheme="majorBidi" w:eastAsia="TimesNewRoman" w:hAnsiTheme="majorBidi" w:cstheme="majorBidi"/>
          <w:sz w:val="22"/>
          <w:szCs w:val="22"/>
          <w:lang w:val="sr-Latn-ME"/>
        </w:rPr>
        <w:t xml:space="preserve"> su rijetki slučajevi hipokalijemije i bubrežne insuficijencije (uključujući smrtne slučajeve). </w:t>
      </w:r>
      <w:r w:rsidR="00AA79CB" w:rsidRPr="00E814B7">
        <w:rPr>
          <w:rFonts w:asciiTheme="majorBidi" w:eastAsia="TimesNewRoman" w:hAnsiTheme="majorBidi" w:cstheme="majorBidi"/>
          <w:sz w:val="22"/>
          <w:szCs w:val="22"/>
          <w:lang w:val="sr-Latn-ME"/>
        </w:rPr>
        <w:t>Do nekih slučajeva došlo je nakon</w:t>
      </w:r>
      <w:r w:rsidRPr="00E814B7">
        <w:rPr>
          <w:rFonts w:asciiTheme="majorBidi" w:eastAsia="TimesNewRoman" w:hAnsiTheme="majorBidi" w:cstheme="majorBidi"/>
          <w:sz w:val="22"/>
          <w:szCs w:val="22"/>
          <w:lang w:val="sr-Latn-ME"/>
        </w:rPr>
        <w:t xml:space="preserve"> teške dehidratacije usl</w:t>
      </w:r>
      <w:r w:rsidR="00292781" w:rsidRPr="00E814B7">
        <w:rPr>
          <w:rFonts w:asciiTheme="majorBidi" w:eastAsia="TimesNewRoman" w:hAnsiTheme="majorBidi" w:cstheme="majorBidi"/>
          <w:sz w:val="22"/>
          <w:szCs w:val="22"/>
          <w:lang w:val="sr-Latn-ME"/>
        </w:rPr>
        <w:t>j</w:t>
      </w:r>
      <w:r w:rsidRPr="00E814B7">
        <w:rPr>
          <w:rFonts w:asciiTheme="majorBidi" w:eastAsia="TimesNewRoman" w:hAnsiTheme="majorBidi" w:cstheme="majorBidi"/>
          <w:sz w:val="22"/>
          <w:szCs w:val="22"/>
          <w:lang w:val="sr-Latn-ME"/>
        </w:rPr>
        <w:t xml:space="preserve">ed dijareje, povraćanja i/ili anoreksije, </w:t>
      </w:r>
      <w:r w:rsidR="00AA79CB" w:rsidRPr="00E814B7">
        <w:rPr>
          <w:rFonts w:asciiTheme="majorBidi" w:eastAsia="TimesNewRoman" w:hAnsiTheme="majorBidi" w:cstheme="majorBidi"/>
          <w:sz w:val="22"/>
          <w:szCs w:val="22"/>
          <w:lang w:val="sr-Latn-ME"/>
        </w:rPr>
        <w:t>dok su neki uzroci nejasni zbog istovremenog primanja hemioterapije</w:t>
      </w:r>
      <w:r w:rsidRPr="00E814B7">
        <w:rPr>
          <w:rFonts w:asciiTheme="majorBidi" w:eastAsia="TimesNewRoman" w:hAnsiTheme="majorBidi" w:cstheme="majorBidi"/>
          <w:sz w:val="22"/>
          <w:szCs w:val="22"/>
          <w:lang w:val="sr-Latn-ME"/>
        </w:rPr>
        <w:t xml:space="preserve">. U težim ili dugotrajnijim </w:t>
      </w:r>
      <w:r w:rsidR="00AA79CB" w:rsidRPr="00E814B7">
        <w:rPr>
          <w:rFonts w:asciiTheme="majorBidi" w:eastAsia="TimesNewRoman" w:hAnsiTheme="majorBidi" w:cstheme="majorBidi"/>
          <w:sz w:val="22"/>
          <w:szCs w:val="22"/>
          <w:lang w:val="sr-Latn-ME"/>
        </w:rPr>
        <w:t xml:space="preserve">slučajevima </w:t>
      </w:r>
      <w:r w:rsidRPr="00E814B7">
        <w:rPr>
          <w:rFonts w:asciiTheme="majorBidi" w:eastAsia="TimesNewRoman" w:hAnsiTheme="majorBidi" w:cstheme="majorBidi"/>
          <w:sz w:val="22"/>
          <w:szCs w:val="22"/>
          <w:lang w:val="sr-Latn-ME"/>
        </w:rPr>
        <w:t xml:space="preserve">dijareja ili stanjima koja dovode do dehidratacije, posebno u grupama pacijenata sa </w:t>
      </w:r>
      <w:r w:rsidR="00AA79CB" w:rsidRPr="00E814B7">
        <w:rPr>
          <w:rFonts w:asciiTheme="majorBidi" w:eastAsia="TimesNewRoman" w:hAnsiTheme="majorBidi" w:cstheme="majorBidi"/>
          <w:sz w:val="22"/>
          <w:szCs w:val="22"/>
          <w:lang w:val="sr-Latn-ME"/>
        </w:rPr>
        <w:t>dodatnim</w:t>
      </w:r>
      <w:r w:rsidRPr="00E814B7">
        <w:rPr>
          <w:rFonts w:asciiTheme="majorBidi" w:eastAsia="TimesNewRoman" w:hAnsiTheme="majorBidi" w:cstheme="majorBidi"/>
          <w:sz w:val="22"/>
          <w:szCs w:val="22"/>
          <w:lang w:val="sr-Latn-ME"/>
        </w:rPr>
        <w:t xml:space="preserve"> faktorima rizika (posebno istovremena hemioterapija </w:t>
      </w:r>
      <w:r w:rsidR="00AA79CB" w:rsidRPr="00E814B7">
        <w:rPr>
          <w:rFonts w:asciiTheme="majorBidi" w:eastAsia="TimesNewRoman" w:hAnsiTheme="majorBidi" w:cstheme="majorBidi"/>
          <w:sz w:val="22"/>
          <w:szCs w:val="22"/>
          <w:lang w:val="sr-Latn-ME"/>
        </w:rPr>
        <w:t xml:space="preserve">i </w:t>
      </w:r>
      <w:r w:rsidRPr="00E814B7">
        <w:rPr>
          <w:rFonts w:asciiTheme="majorBidi" w:eastAsia="TimesNewRoman" w:hAnsiTheme="majorBidi" w:cstheme="majorBidi"/>
          <w:sz w:val="22"/>
          <w:szCs w:val="22"/>
          <w:lang w:val="sr-Latn-ME"/>
        </w:rPr>
        <w:t xml:space="preserve">primjena drugih ljekova, simptomi ili oboljenja ili druga predisponirajuća stanja, uključujući i starije životno doba), </w:t>
      </w:r>
      <w:r w:rsidR="00AA79CB" w:rsidRPr="00E814B7">
        <w:rPr>
          <w:rFonts w:asciiTheme="majorBidi" w:eastAsia="TimesNewRoman" w:hAnsiTheme="majorBidi" w:cstheme="majorBidi"/>
          <w:sz w:val="22"/>
          <w:szCs w:val="22"/>
          <w:lang w:val="sr-Latn-ME"/>
        </w:rPr>
        <w:t>potrebno je prekinuti terapiju lijekom Inopran i preduzeti odgovarajuće mjere za intenzivnu intravensku rehidrataciju pacijenta.</w:t>
      </w:r>
      <w:r w:rsidRPr="00E814B7">
        <w:rPr>
          <w:rFonts w:asciiTheme="majorBidi" w:eastAsia="TimesNewRoman" w:hAnsiTheme="majorBidi" w:cstheme="majorBidi"/>
          <w:sz w:val="22"/>
          <w:szCs w:val="22"/>
          <w:lang w:val="sr-Latn-ME"/>
        </w:rPr>
        <w:t xml:space="preserve"> </w:t>
      </w:r>
      <w:r w:rsidR="00AA79CB" w:rsidRPr="00E814B7">
        <w:rPr>
          <w:rFonts w:asciiTheme="majorBidi" w:eastAsia="TimesNewRoman" w:hAnsiTheme="majorBidi" w:cstheme="majorBidi"/>
          <w:sz w:val="22"/>
          <w:szCs w:val="22"/>
          <w:lang w:val="sr-Latn-ME"/>
        </w:rPr>
        <w:t>Osim toga</w:t>
      </w:r>
      <w:r w:rsidRPr="00E814B7">
        <w:rPr>
          <w:rFonts w:asciiTheme="majorBidi" w:eastAsia="TimesNewRoman" w:hAnsiTheme="majorBidi" w:cstheme="majorBidi"/>
          <w:sz w:val="22"/>
          <w:szCs w:val="22"/>
          <w:lang w:val="sr-Latn-ME"/>
        </w:rPr>
        <w:t xml:space="preserve">, kod pacijenata </w:t>
      </w:r>
      <w:r w:rsidR="00AA79CB" w:rsidRPr="00E814B7">
        <w:rPr>
          <w:rFonts w:asciiTheme="majorBidi" w:eastAsia="TimesNewRoman" w:hAnsiTheme="majorBidi" w:cstheme="majorBidi"/>
          <w:sz w:val="22"/>
          <w:szCs w:val="22"/>
          <w:lang w:val="sr-Latn-ME"/>
        </w:rPr>
        <w:t>kod kojih</w:t>
      </w:r>
      <w:r w:rsidRPr="00E814B7">
        <w:rPr>
          <w:rFonts w:asciiTheme="majorBidi" w:eastAsia="TimesNewRoman" w:hAnsiTheme="majorBidi" w:cstheme="majorBidi"/>
          <w:sz w:val="22"/>
          <w:szCs w:val="22"/>
          <w:lang w:val="sr-Latn-ME"/>
        </w:rPr>
        <w:t xml:space="preserve"> postoji rizik od dehidratacije, treba pratiti funkciju bubrega i elektrolite u serumu, uključujući kalijum.</w:t>
      </w:r>
    </w:p>
    <w:p w14:paraId="35ABDDF0" w14:textId="77777777" w:rsidR="00AA79CB" w:rsidRPr="00E814B7" w:rsidRDefault="00AA79CB" w:rsidP="00E814B7">
      <w:pPr>
        <w:jc w:val="both"/>
        <w:rPr>
          <w:rFonts w:asciiTheme="majorBidi" w:eastAsiaTheme="minorHAnsi" w:hAnsiTheme="majorBidi" w:cstheme="majorBidi"/>
          <w:i/>
          <w:sz w:val="22"/>
          <w:szCs w:val="22"/>
          <w:u w:val="single"/>
          <w:lang w:val="sr-Latn-ME"/>
        </w:rPr>
      </w:pPr>
    </w:p>
    <w:p w14:paraId="71FF0615" w14:textId="6A7C17D9" w:rsidR="00AA79CB" w:rsidRPr="00E814B7" w:rsidRDefault="00AA79CB"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Hepatitis, insuficijencija jetre</w:t>
      </w:r>
    </w:p>
    <w:p w14:paraId="5F993A0E" w14:textId="3BA8C04A" w:rsidR="00AA79CB" w:rsidRPr="00E814B7" w:rsidRDefault="00AA79CB" w:rsidP="00E814B7">
      <w:pPr>
        <w:autoSpaceDE w:val="0"/>
        <w:autoSpaceDN w:val="0"/>
        <w:adjustRightInd w:val="0"/>
        <w:jc w:val="both"/>
        <w:rPr>
          <w:rFonts w:asciiTheme="majorBidi" w:eastAsia="TimesNewRoman" w:hAnsiTheme="majorBidi" w:cstheme="majorBidi"/>
          <w:sz w:val="22"/>
          <w:szCs w:val="22"/>
          <w:lang w:val="sr-Latn-ME"/>
        </w:rPr>
      </w:pPr>
      <w:r w:rsidRPr="00E814B7">
        <w:rPr>
          <w:rFonts w:asciiTheme="majorBidi" w:eastAsia="TimesNewRoman" w:hAnsiTheme="majorBidi" w:cstheme="majorBidi"/>
          <w:sz w:val="22"/>
          <w:szCs w:val="22"/>
          <w:lang w:val="sr-Latn-ME"/>
        </w:rPr>
        <w:t>Postoje izvještaji o rijetkim slučajevima insuficijencije jetre (uključujući smrtne slučajeve) tokom primjene erlotiniba. Doprinoseći faktori uključivali su prethodno postojeća oboljenja jetre ili istovremenu primjenu hepatotoksičnih ljekova. Stoga, kod ovakvih pacijenata, treba razmotriti redovno testiranje funkcije jetre. Terapiju lijekom Inopran treba prekinuti ako su promjene funkcije jetre teške (vidjeti dio 4.8). Ne preporučuje se primjena lijeka Inopran kod pacijenata sa teškom disfunkcijom jetre</w:t>
      </w:r>
      <w:r w:rsidRPr="00E814B7">
        <w:rPr>
          <w:rFonts w:asciiTheme="majorBidi" w:eastAsiaTheme="minorHAnsi" w:hAnsiTheme="majorBidi" w:cstheme="majorBidi"/>
          <w:sz w:val="22"/>
          <w:szCs w:val="22"/>
          <w:lang w:val="sr-Latn-ME"/>
        </w:rPr>
        <w:t>.</w:t>
      </w:r>
    </w:p>
    <w:p w14:paraId="4B09CC10" w14:textId="77777777" w:rsidR="00AA79CB" w:rsidRPr="00E814B7" w:rsidRDefault="00AA79CB" w:rsidP="00E814B7">
      <w:pPr>
        <w:jc w:val="both"/>
        <w:rPr>
          <w:rFonts w:asciiTheme="majorBidi" w:eastAsiaTheme="minorHAnsi" w:hAnsiTheme="majorBidi" w:cstheme="majorBidi"/>
          <w:i/>
          <w:sz w:val="22"/>
          <w:szCs w:val="22"/>
          <w:u w:val="single"/>
          <w:lang w:val="sr-Latn-ME"/>
        </w:rPr>
      </w:pPr>
    </w:p>
    <w:p w14:paraId="63A034F3" w14:textId="5DB07304" w:rsidR="00AA79CB" w:rsidRPr="00E814B7" w:rsidRDefault="00AA79CB"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Gastrointestinaln</w:t>
      </w:r>
      <w:r w:rsidR="0052293A" w:rsidRPr="00E814B7">
        <w:rPr>
          <w:rFonts w:asciiTheme="majorBidi" w:eastAsiaTheme="minorHAnsi" w:hAnsiTheme="majorBidi" w:cstheme="majorBidi"/>
          <w:iCs/>
          <w:sz w:val="22"/>
          <w:szCs w:val="22"/>
          <w:u w:val="single"/>
          <w:lang w:val="sr-Latn-ME"/>
        </w:rPr>
        <w:t>a</w:t>
      </w:r>
      <w:r w:rsidRPr="00E814B7">
        <w:rPr>
          <w:rFonts w:asciiTheme="majorBidi" w:eastAsiaTheme="minorHAnsi" w:hAnsiTheme="majorBidi" w:cstheme="majorBidi"/>
          <w:iCs/>
          <w:sz w:val="22"/>
          <w:szCs w:val="22"/>
          <w:u w:val="single"/>
          <w:lang w:val="sr-Latn-ME"/>
        </w:rPr>
        <w:t xml:space="preserve"> perforacij</w:t>
      </w:r>
      <w:r w:rsidR="0052293A" w:rsidRPr="00E814B7">
        <w:rPr>
          <w:rFonts w:asciiTheme="majorBidi" w:eastAsiaTheme="minorHAnsi" w:hAnsiTheme="majorBidi" w:cstheme="majorBidi"/>
          <w:iCs/>
          <w:sz w:val="22"/>
          <w:szCs w:val="22"/>
          <w:u w:val="single"/>
          <w:lang w:val="sr-Latn-ME"/>
        </w:rPr>
        <w:t>a</w:t>
      </w:r>
    </w:p>
    <w:p w14:paraId="141C4CE9" w14:textId="53E5B8BD" w:rsidR="00AA79CB" w:rsidRPr="00E814B7" w:rsidRDefault="00AA79CB"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Pacijenti koji primaju </w:t>
      </w:r>
      <w:r w:rsidR="0052293A" w:rsidRPr="00E814B7">
        <w:rPr>
          <w:rFonts w:asciiTheme="majorBidi" w:eastAsiaTheme="minorHAnsi" w:hAnsiTheme="majorBidi" w:cstheme="majorBidi"/>
          <w:sz w:val="22"/>
          <w:szCs w:val="22"/>
          <w:lang w:val="sr-Latn-ME"/>
        </w:rPr>
        <w:t>erlotinib</w:t>
      </w:r>
      <w:r w:rsidRPr="00E814B7">
        <w:rPr>
          <w:rFonts w:asciiTheme="majorBidi" w:eastAsiaTheme="minorHAnsi" w:hAnsiTheme="majorBidi" w:cstheme="majorBidi"/>
          <w:sz w:val="22"/>
          <w:szCs w:val="22"/>
          <w:lang w:val="sr-Latn-ME"/>
        </w:rPr>
        <w:t xml:space="preserve"> imaju povećan rizik od razvoja gastrointestinalne perforacije, koja je zapažena </w:t>
      </w:r>
      <w:r w:rsidR="0052293A" w:rsidRPr="00E814B7">
        <w:rPr>
          <w:rFonts w:asciiTheme="majorBidi" w:eastAsiaTheme="minorHAnsi" w:hAnsiTheme="majorBidi" w:cstheme="majorBidi"/>
          <w:sz w:val="22"/>
          <w:szCs w:val="22"/>
          <w:lang w:val="sr-Latn-ME"/>
        </w:rPr>
        <w:t xml:space="preserve">kao manje česta </w:t>
      </w:r>
      <w:r w:rsidRPr="00E814B7">
        <w:rPr>
          <w:rFonts w:asciiTheme="majorBidi" w:eastAsiaTheme="minorHAnsi" w:hAnsiTheme="majorBidi" w:cstheme="majorBidi"/>
          <w:sz w:val="22"/>
          <w:szCs w:val="22"/>
          <w:lang w:val="sr-Latn-ME"/>
        </w:rPr>
        <w:t xml:space="preserve">(uključujući </w:t>
      </w:r>
      <w:r w:rsidR="0052293A" w:rsidRPr="00E814B7">
        <w:rPr>
          <w:rFonts w:asciiTheme="majorBidi" w:eastAsiaTheme="minorHAnsi" w:hAnsiTheme="majorBidi" w:cstheme="majorBidi"/>
          <w:sz w:val="22"/>
          <w:szCs w:val="22"/>
          <w:lang w:val="sr-Latn-ME"/>
        </w:rPr>
        <w:t>pojedine</w:t>
      </w:r>
      <w:r w:rsidRPr="00E814B7">
        <w:rPr>
          <w:rFonts w:asciiTheme="majorBidi" w:eastAsiaTheme="minorHAnsi" w:hAnsiTheme="majorBidi" w:cstheme="majorBidi"/>
          <w:sz w:val="22"/>
          <w:szCs w:val="22"/>
          <w:lang w:val="sr-Latn-ME"/>
        </w:rPr>
        <w:t xml:space="preserve"> slučajeve sa smtnim ishodom). </w:t>
      </w:r>
      <w:r w:rsidR="0052293A" w:rsidRPr="00E814B7">
        <w:rPr>
          <w:rFonts w:asciiTheme="majorBidi" w:eastAsia="TimesNewRoman" w:hAnsiTheme="majorBidi" w:cstheme="majorBidi"/>
          <w:sz w:val="22"/>
          <w:szCs w:val="22"/>
          <w:lang w:val="sr-Latn-ME"/>
        </w:rPr>
        <w:t>P</w:t>
      </w:r>
      <w:r w:rsidRPr="00E814B7">
        <w:rPr>
          <w:rFonts w:asciiTheme="majorBidi" w:eastAsia="TimesNewRoman" w:hAnsiTheme="majorBidi" w:cstheme="majorBidi"/>
          <w:sz w:val="22"/>
          <w:szCs w:val="22"/>
          <w:lang w:val="sr-Latn-ME"/>
        </w:rPr>
        <w:t>acijenti koji istovremeno primaju antiangiogene</w:t>
      </w:r>
      <w:r w:rsidRPr="00E814B7">
        <w:rPr>
          <w:rFonts w:asciiTheme="majorBidi" w:eastAsiaTheme="minorHAnsi" w:hAnsiTheme="majorBidi" w:cstheme="majorBidi"/>
          <w:sz w:val="22"/>
          <w:szCs w:val="22"/>
          <w:lang w:val="sr-Latn-ME"/>
        </w:rPr>
        <w:t xml:space="preserve"> </w:t>
      </w:r>
      <w:r w:rsidRPr="00E814B7">
        <w:rPr>
          <w:rFonts w:asciiTheme="majorBidi" w:eastAsia="TimesNewRoman" w:hAnsiTheme="majorBidi" w:cstheme="majorBidi"/>
          <w:sz w:val="22"/>
          <w:szCs w:val="22"/>
          <w:lang w:val="sr-Latn-ME"/>
        </w:rPr>
        <w:t>ljekove, kortikosteroide, NSAIL i/ili hemoterapiju baziranu na taksanima, ili koji u anamnezi imaju peptične ulceracije ili divertikuloznu bolest</w:t>
      </w:r>
      <w:r w:rsidR="0052293A" w:rsidRPr="00E814B7">
        <w:rPr>
          <w:rFonts w:asciiTheme="majorBidi" w:eastAsia="TimesNewRoman" w:hAnsiTheme="majorBidi" w:cstheme="majorBidi"/>
          <w:sz w:val="22"/>
          <w:szCs w:val="22"/>
          <w:lang w:val="sr-Latn-ME"/>
        </w:rPr>
        <w:t>, imaju povećan rizik</w:t>
      </w:r>
      <w:r w:rsidRPr="00E814B7">
        <w:rPr>
          <w:rFonts w:asciiTheme="majorBidi" w:eastAsia="TimesNewRoman" w:hAnsiTheme="majorBidi" w:cstheme="majorBidi"/>
          <w:sz w:val="22"/>
          <w:szCs w:val="22"/>
          <w:lang w:val="sr-Latn-ME"/>
        </w:rPr>
        <w:t xml:space="preserve">. Primjenu lijeka Inopran </w:t>
      </w:r>
      <w:r w:rsidR="0052293A" w:rsidRPr="00E814B7">
        <w:rPr>
          <w:rFonts w:asciiTheme="majorBidi" w:eastAsia="TimesNewRoman" w:hAnsiTheme="majorBidi" w:cstheme="majorBidi"/>
          <w:sz w:val="22"/>
          <w:szCs w:val="22"/>
          <w:lang w:val="sr-Latn-ME"/>
        </w:rPr>
        <w:t>bi trebalo</w:t>
      </w:r>
      <w:r w:rsidRPr="00E814B7">
        <w:rPr>
          <w:rFonts w:asciiTheme="majorBidi" w:eastAsia="TimesNewRoman" w:hAnsiTheme="majorBidi" w:cstheme="majorBidi"/>
          <w:sz w:val="22"/>
          <w:szCs w:val="22"/>
          <w:lang w:val="sr-Latn-ME"/>
        </w:rPr>
        <w:t xml:space="preserve"> trajno prekinuti kod</w:t>
      </w:r>
      <w:r w:rsidRPr="00E814B7">
        <w:rPr>
          <w:rFonts w:asciiTheme="majorBidi" w:eastAsiaTheme="minorHAnsi" w:hAnsiTheme="majorBidi" w:cstheme="majorBidi"/>
          <w:sz w:val="22"/>
          <w:szCs w:val="22"/>
          <w:lang w:val="sr-Latn-ME"/>
        </w:rPr>
        <w:t xml:space="preserve"> </w:t>
      </w:r>
      <w:r w:rsidRPr="00E814B7">
        <w:rPr>
          <w:rFonts w:asciiTheme="majorBidi" w:eastAsia="TimesNewRoman" w:hAnsiTheme="majorBidi" w:cstheme="majorBidi"/>
          <w:sz w:val="22"/>
          <w:szCs w:val="22"/>
          <w:lang w:val="sr-Latn-ME"/>
        </w:rPr>
        <w:t xml:space="preserve">pacijenata kod kojih se razvije gastrointestinalna perforacija (vidjeti </w:t>
      </w:r>
      <w:r w:rsidR="0052293A" w:rsidRPr="00E814B7">
        <w:rPr>
          <w:rFonts w:asciiTheme="majorBidi" w:eastAsia="TimesNewRoman" w:hAnsiTheme="majorBidi" w:cstheme="majorBidi"/>
          <w:sz w:val="22"/>
          <w:szCs w:val="22"/>
          <w:lang w:val="sr-Latn-ME"/>
        </w:rPr>
        <w:t>dio</w:t>
      </w:r>
      <w:r w:rsidRPr="00E814B7">
        <w:rPr>
          <w:rFonts w:asciiTheme="majorBidi" w:eastAsia="TimesNewRoman" w:hAnsiTheme="majorBidi" w:cstheme="majorBidi"/>
          <w:sz w:val="22"/>
          <w:szCs w:val="22"/>
          <w:lang w:val="sr-Latn-ME"/>
        </w:rPr>
        <w:t xml:space="preserve"> 4.8).</w:t>
      </w:r>
    </w:p>
    <w:p w14:paraId="73F41CE8" w14:textId="77777777" w:rsidR="0052293A" w:rsidRPr="00E814B7" w:rsidRDefault="0052293A" w:rsidP="00E814B7">
      <w:pPr>
        <w:jc w:val="both"/>
        <w:rPr>
          <w:rFonts w:asciiTheme="majorBidi" w:eastAsiaTheme="minorHAnsi" w:hAnsiTheme="majorBidi" w:cstheme="majorBidi"/>
          <w:i/>
          <w:sz w:val="22"/>
          <w:szCs w:val="22"/>
          <w:u w:val="single"/>
          <w:lang w:val="sr-Latn-ME"/>
        </w:rPr>
      </w:pPr>
    </w:p>
    <w:p w14:paraId="2A72BA13" w14:textId="4A7B5AA5" w:rsidR="0052293A" w:rsidRPr="00E814B7" w:rsidRDefault="0052293A"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Bulozne i eksfolijativne prom</w:t>
      </w:r>
      <w:r w:rsidR="00380C42" w:rsidRPr="00E814B7">
        <w:rPr>
          <w:rFonts w:asciiTheme="majorBidi" w:eastAsiaTheme="minorHAnsi" w:hAnsiTheme="majorBidi" w:cstheme="majorBidi"/>
          <w:iCs/>
          <w:sz w:val="22"/>
          <w:szCs w:val="22"/>
          <w:u w:val="single"/>
          <w:lang w:val="sr-Latn-ME"/>
        </w:rPr>
        <w:t>j</w:t>
      </w:r>
      <w:r w:rsidRPr="00E814B7">
        <w:rPr>
          <w:rFonts w:asciiTheme="majorBidi" w:eastAsiaTheme="minorHAnsi" w:hAnsiTheme="majorBidi" w:cstheme="majorBidi"/>
          <w:iCs/>
          <w:sz w:val="22"/>
          <w:szCs w:val="22"/>
          <w:u w:val="single"/>
          <w:lang w:val="sr-Latn-ME"/>
        </w:rPr>
        <w:t xml:space="preserve">ene na koži </w:t>
      </w:r>
    </w:p>
    <w:p w14:paraId="0E5938AE" w14:textId="48A6DFE5" w:rsidR="0052293A" w:rsidRPr="00E814B7" w:rsidRDefault="0052293A"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Prijavljene su bulozne, eksfolijativne i vezikulozne promjene na koži, uključujući vrlo rijetke slučajeve koji upućuju na </w:t>
      </w:r>
      <w:r w:rsidRPr="00E814B7">
        <w:rPr>
          <w:rFonts w:asciiTheme="majorBidi" w:eastAsiaTheme="minorHAnsi" w:hAnsiTheme="majorBidi" w:cstheme="majorBidi"/>
          <w:i/>
          <w:sz w:val="22"/>
          <w:szCs w:val="22"/>
          <w:lang w:val="sr-Latn-ME"/>
        </w:rPr>
        <w:t>Stevens-Johnson</w:t>
      </w:r>
      <w:r w:rsidRPr="00E814B7">
        <w:rPr>
          <w:rFonts w:asciiTheme="majorBidi" w:eastAsiaTheme="minorHAnsi" w:hAnsiTheme="majorBidi" w:cstheme="majorBidi"/>
          <w:sz w:val="22"/>
          <w:szCs w:val="22"/>
          <w:lang w:val="sr-Latn-ME"/>
        </w:rPr>
        <w:t>-ov sindrom/toksičnu epidermalnu nekrolizu, koji su u nekim slučajevima imali smrtni ishod (vidjeti dio 4.8). Liječenje lijekom Inopran mora se prekinuti ukoliko pacijent razvije teške bulozne, eksfolijativne ili vezikulozne promjene na  koži. Pacijente sa buloznim ili eksfolijativnim promjenama na koži treba testirati na kožne infekcije i lije</w:t>
      </w:r>
      <w:r w:rsidRPr="00E814B7">
        <w:rPr>
          <w:rFonts w:asciiTheme="majorBidi" w:eastAsia="TimesNewRomanPSMT" w:hAnsiTheme="majorBidi" w:cstheme="majorBidi"/>
          <w:sz w:val="22"/>
          <w:szCs w:val="22"/>
          <w:lang w:val="sr-Latn-ME"/>
        </w:rPr>
        <w:t>č</w:t>
      </w:r>
      <w:r w:rsidRPr="00E814B7">
        <w:rPr>
          <w:rFonts w:asciiTheme="majorBidi" w:eastAsiaTheme="minorHAnsi" w:hAnsiTheme="majorBidi" w:cstheme="majorBidi"/>
          <w:sz w:val="22"/>
          <w:szCs w:val="22"/>
          <w:lang w:val="sr-Latn-ME"/>
        </w:rPr>
        <w:t>iti u skladu sa lokalnim smjernicama.</w:t>
      </w:r>
    </w:p>
    <w:p w14:paraId="28F07955" w14:textId="77777777" w:rsidR="0052293A" w:rsidRPr="00E814B7" w:rsidRDefault="0052293A" w:rsidP="00E814B7">
      <w:pPr>
        <w:jc w:val="both"/>
        <w:rPr>
          <w:rFonts w:asciiTheme="majorBidi" w:eastAsiaTheme="minorHAnsi" w:hAnsiTheme="majorBidi" w:cstheme="majorBidi"/>
          <w:i/>
          <w:sz w:val="22"/>
          <w:szCs w:val="22"/>
          <w:u w:val="single"/>
          <w:lang w:val="sr-Latn-ME"/>
        </w:rPr>
      </w:pPr>
    </w:p>
    <w:p w14:paraId="4A9F3E6E" w14:textId="0E63E262" w:rsidR="0052293A" w:rsidRPr="00E814B7" w:rsidRDefault="0052293A"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Poremećaji oka</w:t>
      </w:r>
    </w:p>
    <w:p w14:paraId="5A2AE1B8" w14:textId="4EE1071B" w:rsidR="0052293A" w:rsidRPr="00E814B7" w:rsidRDefault="0052293A" w:rsidP="00E814B7">
      <w:pPr>
        <w:autoSpaceDE w:val="0"/>
        <w:autoSpaceDN w:val="0"/>
        <w:adjustRightInd w:val="0"/>
        <w:jc w:val="both"/>
        <w:rPr>
          <w:rFonts w:asciiTheme="majorBidi" w:eastAsia="TimesNewRoman" w:hAnsiTheme="majorBidi" w:cstheme="majorBidi"/>
          <w:sz w:val="22"/>
          <w:szCs w:val="22"/>
          <w:lang w:val="sr-Latn-ME"/>
        </w:rPr>
      </w:pPr>
      <w:r w:rsidRPr="00E814B7">
        <w:rPr>
          <w:rFonts w:asciiTheme="majorBidi" w:eastAsiaTheme="minorHAnsi" w:hAnsiTheme="majorBidi" w:cstheme="majorBidi"/>
          <w:sz w:val="22"/>
          <w:szCs w:val="22"/>
          <w:lang w:val="sr-Latn-ME"/>
        </w:rPr>
        <w:t>Pacijente sa znakovima i simptomima koji ukazuju na keratitis, poput akutnog ili pogoršanja postojeće: upale oka, suzenja, osjetljivosti na svjetlost, zamućenog vida, bola u oku i/ili crvenila oka, treba odmah uputiti oftalmologu.</w:t>
      </w:r>
      <w:r w:rsidRPr="00E814B7">
        <w:rPr>
          <w:rFonts w:asciiTheme="majorBidi" w:eastAsia="TimesNewRoman" w:hAnsiTheme="majorBidi" w:cstheme="majorBidi"/>
          <w:sz w:val="22"/>
          <w:szCs w:val="22"/>
          <w:lang w:val="sr-Latn-ME"/>
        </w:rPr>
        <w:t xml:space="preserve"> Ukoliko se potvrdi dijagnoza ulceroznog keratitisa, terapiju lijekom Inopran treba privremeno ili trajno prekinuti. U slučaju da se postavi dijagnoza keratitisa, treba pažljivo razmotriti koristi i rizike nastavka terapije. Potreban je oprez pri primjeni lijeka Inopran kod pacijenata koji su ranije bolovali od  keratitisa, ulceroznog keratitisa ili težeg oblika suvog oka. Primjena kontaktnih sočiva takođe je faktor rizika za pojavu keratitisa i ulceracija. Prijavljeni su vrlo rijetki slučajevi perforacije rožnjače ili ulceracije tokom primjene erlotiniba (vidjeti dio 4.8).</w:t>
      </w:r>
    </w:p>
    <w:p w14:paraId="42E8C85B" w14:textId="77777777" w:rsidR="0052293A" w:rsidRPr="00E814B7" w:rsidRDefault="0052293A" w:rsidP="00E814B7">
      <w:pPr>
        <w:jc w:val="both"/>
        <w:rPr>
          <w:rFonts w:asciiTheme="majorBidi" w:eastAsiaTheme="minorHAnsi" w:hAnsiTheme="majorBidi" w:cstheme="majorBidi"/>
          <w:bCs/>
          <w:i/>
          <w:sz w:val="22"/>
          <w:szCs w:val="22"/>
          <w:u w:val="single"/>
          <w:lang w:val="sr-Latn-ME"/>
        </w:rPr>
      </w:pPr>
    </w:p>
    <w:p w14:paraId="25A3EB7F" w14:textId="77777777" w:rsidR="00E814B7" w:rsidRDefault="00E814B7" w:rsidP="00E814B7">
      <w:pPr>
        <w:jc w:val="both"/>
        <w:rPr>
          <w:rFonts w:asciiTheme="majorBidi" w:eastAsiaTheme="minorHAnsi" w:hAnsiTheme="majorBidi" w:cstheme="majorBidi"/>
          <w:bCs/>
          <w:iCs/>
          <w:sz w:val="22"/>
          <w:szCs w:val="22"/>
          <w:u w:val="single"/>
          <w:lang w:val="sr-Latn-ME"/>
        </w:rPr>
      </w:pPr>
    </w:p>
    <w:p w14:paraId="5B949C67" w14:textId="77777777" w:rsidR="00E814B7" w:rsidRDefault="00E814B7" w:rsidP="00E814B7">
      <w:pPr>
        <w:jc w:val="both"/>
        <w:rPr>
          <w:rFonts w:asciiTheme="majorBidi" w:eastAsiaTheme="minorHAnsi" w:hAnsiTheme="majorBidi" w:cstheme="majorBidi"/>
          <w:bCs/>
          <w:iCs/>
          <w:sz w:val="22"/>
          <w:szCs w:val="22"/>
          <w:u w:val="single"/>
          <w:lang w:val="sr-Latn-ME"/>
        </w:rPr>
      </w:pPr>
    </w:p>
    <w:p w14:paraId="70B4863D" w14:textId="1CAE08CF" w:rsidR="0052293A" w:rsidRPr="00E814B7" w:rsidRDefault="0052293A" w:rsidP="00E814B7">
      <w:pPr>
        <w:jc w:val="both"/>
        <w:rPr>
          <w:rFonts w:asciiTheme="majorBidi" w:eastAsiaTheme="minorHAnsi" w:hAnsiTheme="majorBidi" w:cstheme="majorBidi"/>
          <w:bCs/>
          <w:iCs/>
          <w:sz w:val="22"/>
          <w:szCs w:val="22"/>
          <w:u w:val="single"/>
          <w:lang w:val="sr-Latn-ME"/>
        </w:rPr>
      </w:pPr>
      <w:r w:rsidRPr="00E814B7">
        <w:rPr>
          <w:rFonts w:asciiTheme="majorBidi" w:eastAsiaTheme="minorHAnsi" w:hAnsiTheme="majorBidi" w:cstheme="majorBidi"/>
          <w:bCs/>
          <w:iCs/>
          <w:sz w:val="22"/>
          <w:szCs w:val="22"/>
          <w:u w:val="single"/>
          <w:lang w:val="sr-Latn-ME"/>
        </w:rPr>
        <w:lastRenderedPageBreak/>
        <w:t xml:space="preserve">Interakcije sa drugim ljekovima </w:t>
      </w:r>
    </w:p>
    <w:p w14:paraId="588EB584" w14:textId="674C852B" w:rsidR="0052293A" w:rsidRPr="00E814B7" w:rsidRDefault="0052293A" w:rsidP="00E814B7">
      <w:pPr>
        <w:jc w:val="both"/>
        <w:rPr>
          <w:rFonts w:asciiTheme="majorBidi" w:eastAsiaTheme="minorHAnsi" w:hAnsiTheme="majorBidi" w:cstheme="majorBidi"/>
          <w:color w:val="000000"/>
          <w:sz w:val="22"/>
          <w:szCs w:val="22"/>
          <w:lang w:val="sr-Latn-ME"/>
        </w:rPr>
      </w:pPr>
      <w:r w:rsidRPr="00E814B7">
        <w:rPr>
          <w:rFonts w:asciiTheme="majorBidi" w:eastAsiaTheme="minorHAnsi" w:hAnsiTheme="majorBidi" w:cstheme="majorBidi"/>
          <w:color w:val="000000"/>
          <w:sz w:val="22"/>
          <w:szCs w:val="22"/>
          <w:lang w:val="sr-Latn-ME"/>
        </w:rPr>
        <w:t xml:space="preserve">Snažni induktori CYP3A4 mogu da smanje efikasnost erlotiniba, dok snažni inhibitori CYP3A4 mogu da dovedu do povećane toksičnosti. </w:t>
      </w:r>
      <w:r w:rsidR="00723C71" w:rsidRPr="00E814B7">
        <w:rPr>
          <w:rFonts w:asciiTheme="majorBidi" w:eastAsiaTheme="minorHAnsi" w:hAnsiTheme="majorBidi" w:cstheme="majorBidi"/>
          <w:color w:val="000000"/>
          <w:sz w:val="22"/>
          <w:szCs w:val="22"/>
          <w:lang w:val="sr-Latn-ME"/>
        </w:rPr>
        <w:t>Stoga je potrebno izbjegavati njihovu i</w:t>
      </w:r>
      <w:r w:rsidRPr="00E814B7">
        <w:rPr>
          <w:rFonts w:asciiTheme="majorBidi" w:eastAsiaTheme="minorHAnsi" w:hAnsiTheme="majorBidi" w:cstheme="majorBidi"/>
          <w:color w:val="000000"/>
          <w:sz w:val="22"/>
          <w:szCs w:val="22"/>
          <w:lang w:val="sr-Latn-ME"/>
        </w:rPr>
        <w:t xml:space="preserve">stovremenu </w:t>
      </w:r>
      <w:r w:rsidR="00723C71" w:rsidRPr="00E814B7">
        <w:rPr>
          <w:rFonts w:asciiTheme="majorBidi" w:eastAsiaTheme="minorHAnsi" w:hAnsiTheme="majorBidi" w:cstheme="majorBidi"/>
          <w:color w:val="000000"/>
          <w:sz w:val="22"/>
          <w:szCs w:val="22"/>
          <w:lang w:val="sr-Latn-ME"/>
        </w:rPr>
        <w:t>primjenu</w:t>
      </w:r>
      <w:r w:rsidRPr="00E814B7">
        <w:rPr>
          <w:rFonts w:asciiTheme="majorBidi" w:eastAsiaTheme="minorHAnsi" w:hAnsiTheme="majorBidi" w:cstheme="majorBidi"/>
          <w:color w:val="000000"/>
          <w:sz w:val="22"/>
          <w:szCs w:val="22"/>
          <w:lang w:val="sr-Latn-ME"/>
        </w:rPr>
        <w:t xml:space="preserve"> </w:t>
      </w:r>
      <w:r w:rsidR="00723C71" w:rsidRPr="00E814B7">
        <w:rPr>
          <w:rFonts w:asciiTheme="majorBidi" w:eastAsiaTheme="minorHAnsi" w:hAnsiTheme="majorBidi" w:cstheme="majorBidi"/>
          <w:color w:val="000000"/>
          <w:sz w:val="22"/>
          <w:szCs w:val="22"/>
          <w:lang w:val="sr-Latn-ME"/>
        </w:rPr>
        <w:t>sa lijekom Inopran</w:t>
      </w:r>
      <w:r w:rsidRPr="00E814B7">
        <w:rPr>
          <w:rFonts w:asciiTheme="majorBidi" w:eastAsiaTheme="minorHAnsi" w:hAnsiTheme="majorBidi" w:cstheme="majorBidi"/>
          <w:color w:val="000000"/>
          <w:sz w:val="22"/>
          <w:szCs w:val="22"/>
          <w:lang w:val="sr-Latn-ME"/>
        </w:rPr>
        <w:t xml:space="preserve"> (vidjeti </w:t>
      </w:r>
      <w:r w:rsidR="00723C71" w:rsidRPr="00E814B7">
        <w:rPr>
          <w:rFonts w:asciiTheme="majorBidi" w:eastAsiaTheme="minorHAnsi" w:hAnsiTheme="majorBidi" w:cstheme="majorBidi"/>
          <w:color w:val="000000"/>
          <w:sz w:val="22"/>
          <w:szCs w:val="22"/>
          <w:lang w:val="sr-Latn-ME"/>
        </w:rPr>
        <w:t>dio</w:t>
      </w:r>
      <w:r w:rsidRPr="00E814B7">
        <w:rPr>
          <w:rFonts w:asciiTheme="majorBidi" w:eastAsiaTheme="minorHAnsi" w:hAnsiTheme="majorBidi" w:cstheme="majorBidi"/>
          <w:color w:val="000000"/>
          <w:sz w:val="22"/>
          <w:szCs w:val="22"/>
          <w:lang w:val="sr-Latn-ME"/>
        </w:rPr>
        <w:t xml:space="preserve"> 4.5).</w:t>
      </w:r>
    </w:p>
    <w:p w14:paraId="60B788C9" w14:textId="77777777" w:rsidR="00723C71" w:rsidRPr="00E814B7" w:rsidRDefault="00723C71" w:rsidP="00E814B7">
      <w:pPr>
        <w:jc w:val="both"/>
        <w:rPr>
          <w:rFonts w:asciiTheme="majorBidi" w:eastAsiaTheme="minorHAnsi" w:hAnsiTheme="majorBidi" w:cstheme="majorBidi"/>
          <w:i/>
          <w:color w:val="000000"/>
          <w:sz w:val="22"/>
          <w:szCs w:val="22"/>
          <w:u w:val="single"/>
          <w:lang w:val="sr-Latn-ME"/>
        </w:rPr>
      </w:pPr>
    </w:p>
    <w:p w14:paraId="2F04EE09" w14:textId="4C4CAD14" w:rsidR="00723C71" w:rsidRPr="00E814B7" w:rsidRDefault="00723C71" w:rsidP="00E814B7">
      <w:pPr>
        <w:jc w:val="both"/>
        <w:rPr>
          <w:rFonts w:asciiTheme="majorBidi" w:eastAsiaTheme="minorHAnsi" w:hAnsiTheme="majorBidi" w:cstheme="majorBidi"/>
          <w:iCs/>
          <w:color w:val="000000"/>
          <w:sz w:val="22"/>
          <w:szCs w:val="22"/>
          <w:u w:val="single"/>
          <w:lang w:val="sr-Latn-ME"/>
        </w:rPr>
      </w:pPr>
      <w:r w:rsidRPr="00E814B7">
        <w:rPr>
          <w:rFonts w:asciiTheme="majorBidi" w:eastAsiaTheme="minorHAnsi" w:hAnsiTheme="majorBidi" w:cstheme="majorBidi"/>
          <w:iCs/>
          <w:color w:val="000000"/>
          <w:sz w:val="22"/>
          <w:szCs w:val="22"/>
          <w:u w:val="single"/>
          <w:lang w:val="sr-Latn-ME"/>
        </w:rPr>
        <w:t>Ostali oblici interakcija</w:t>
      </w:r>
    </w:p>
    <w:p w14:paraId="6B2C99AC" w14:textId="571A256D" w:rsidR="00723C71" w:rsidRPr="00E814B7" w:rsidRDefault="00723C71" w:rsidP="00E814B7">
      <w:pPr>
        <w:autoSpaceDE w:val="0"/>
        <w:autoSpaceDN w:val="0"/>
        <w:adjustRightInd w:val="0"/>
        <w:jc w:val="both"/>
        <w:rPr>
          <w:rFonts w:asciiTheme="majorBidi" w:eastAsia="TimesNewRoman" w:hAnsiTheme="majorBidi" w:cstheme="majorBidi"/>
          <w:sz w:val="22"/>
          <w:szCs w:val="22"/>
          <w:lang w:val="sr-Latn-ME"/>
        </w:rPr>
      </w:pPr>
      <w:r w:rsidRPr="00E814B7">
        <w:rPr>
          <w:rFonts w:asciiTheme="majorBidi" w:eastAsiaTheme="minorHAnsi" w:hAnsiTheme="majorBidi" w:cstheme="majorBidi"/>
          <w:color w:val="000000"/>
          <w:sz w:val="22"/>
          <w:szCs w:val="22"/>
          <w:lang w:val="sr-Latn-ME"/>
        </w:rPr>
        <w:t xml:space="preserve">Karakteristika erlotiniba je smanjena rastvorljivost pri pH vrijednostima </w:t>
      </w:r>
      <w:r w:rsidRPr="00E814B7">
        <w:rPr>
          <w:rFonts w:asciiTheme="majorBidi" w:eastAsiaTheme="minorHAnsi" w:hAnsiTheme="majorBidi" w:cstheme="majorBidi"/>
          <w:sz w:val="22"/>
          <w:szCs w:val="22"/>
          <w:lang w:val="sr-Latn-ME"/>
        </w:rPr>
        <w:t>iznad 5. Ljekovi koji m</w:t>
      </w:r>
      <w:r w:rsidR="00292781"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jenjaju pH vrijednost u gornjim djelovima gastrointestinalnog trakta, kao inhibitori protonske pumpe, H2 antagonisti i antacidi, mogu prom</w:t>
      </w:r>
      <w:r w:rsidR="00292781"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 xml:space="preserve">jeniti rastvorljivost erlotiniba, a time i njegovu bioraspoloživost. </w:t>
      </w:r>
      <w:r w:rsidRPr="00E814B7">
        <w:rPr>
          <w:rFonts w:asciiTheme="majorBidi" w:eastAsia="TimesNewRoman" w:hAnsiTheme="majorBidi" w:cstheme="majorBidi"/>
          <w:sz w:val="22"/>
          <w:szCs w:val="22"/>
          <w:lang w:val="sr-Latn-ME"/>
        </w:rPr>
        <w:t>Povećanje doze erlotiniba pri istovremenoj primjeni sa takvim ljekovima vjerovatno neće nadoknaditi gubitak izloženosti lijeku. Treba izb</w:t>
      </w:r>
      <w:r w:rsidR="00380C42" w:rsidRPr="00E814B7">
        <w:rPr>
          <w:rFonts w:asciiTheme="majorBidi" w:eastAsia="TimesNewRoman" w:hAnsiTheme="majorBidi" w:cstheme="majorBidi"/>
          <w:sz w:val="22"/>
          <w:szCs w:val="22"/>
          <w:lang w:val="sr-Latn-ME"/>
        </w:rPr>
        <w:t>j</w:t>
      </w:r>
      <w:r w:rsidRPr="00E814B7">
        <w:rPr>
          <w:rFonts w:asciiTheme="majorBidi" w:eastAsia="TimesNewRoman" w:hAnsiTheme="majorBidi" w:cstheme="majorBidi"/>
          <w:sz w:val="22"/>
          <w:szCs w:val="22"/>
          <w:lang w:val="sr-Latn-ME"/>
        </w:rPr>
        <w:t>egavati kombinaciju erlotiniba i inhibitora protonske pumpe. Efekti istovremene primjene erlotiniba sa H2 antagonistima i antacidima ni</w:t>
      </w:r>
      <w:r w:rsidR="00292781" w:rsidRPr="00E814B7">
        <w:rPr>
          <w:rFonts w:asciiTheme="majorBidi" w:eastAsia="TimesNewRoman" w:hAnsiTheme="majorBidi" w:cstheme="majorBidi"/>
          <w:sz w:val="22"/>
          <w:szCs w:val="22"/>
          <w:lang w:val="sr-Latn-ME"/>
        </w:rPr>
        <w:t>je</w:t>
      </w:r>
      <w:r w:rsidRPr="00E814B7">
        <w:rPr>
          <w:rFonts w:asciiTheme="majorBidi" w:eastAsia="TimesNewRoman" w:hAnsiTheme="majorBidi" w:cstheme="majorBidi"/>
          <w:sz w:val="22"/>
          <w:szCs w:val="22"/>
          <w:lang w:val="sr-Latn-ME"/>
        </w:rPr>
        <w:t>su poznati, ali je moguće smanjenje bioraspoloživosti. Stoga treba izbjegavati istovremenu primjenu tih kombinacija (vidjeti dio 4.5). Ako je primjena antacida nu</w:t>
      </w:r>
      <w:r w:rsidR="00E3042F" w:rsidRPr="00E814B7">
        <w:rPr>
          <w:rFonts w:asciiTheme="majorBidi" w:eastAsia="TimesNewRoman" w:hAnsiTheme="majorBidi" w:cstheme="majorBidi"/>
          <w:sz w:val="22"/>
          <w:szCs w:val="22"/>
          <w:lang w:val="sr-Latn-ME"/>
        </w:rPr>
        <w:t>ž</w:t>
      </w:r>
      <w:r w:rsidRPr="00E814B7">
        <w:rPr>
          <w:rFonts w:asciiTheme="majorBidi" w:eastAsia="TimesNewRoman" w:hAnsiTheme="majorBidi" w:cstheme="majorBidi"/>
          <w:sz w:val="22"/>
          <w:szCs w:val="22"/>
          <w:lang w:val="sr-Latn-ME"/>
        </w:rPr>
        <w:t xml:space="preserve">na tokom terapije lijekom Inopran, treba ih uzimati najmanje 4 sata prije odnosno 2 sata nakon dnevne doze lijeka Inopran. </w:t>
      </w:r>
    </w:p>
    <w:p w14:paraId="3CEC2FAC" w14:textId="77777777" w:rsidR="00E3042F" w:rsidRPr="00E814B7" w:rsidRDefault="00E3042F" w:rsidP="00E814B7">
      <w:pPr>
        <w:tabs>
          <w:tab w:val="left" w:pos="540"/>
          <w:tab w:val="left" w:pos="569"/>
        </w:tabs>
        <w:jc w:val="both"/>
        <w:rPr>
          <w:rFonts w:asciiTheme="majorBidi" w:hAnsiTheme="majorBidi" w:cstheme="majorBidi"/>
          <w:sz w:val="22"/>
          <w:szCs w:val="22"/>
          <w:u w:val="single"/>
          <w:lang w:val="sr-Latn-ME"/>
        </w:rPr>
      </w:pPr>
    </w:p>
    <w:p w14:paraId="1FD5DA41" w14:textId="4EFF8DB5" w:rsidR="00E3042F" w:rsidRPr="00E814B7" w:rsidRDefault="00E3042F"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Pedijatrijska populacija</w:t>
      </w:r>
    </w:p>
    <w:p w14:paraId="5BEBFE15" w14:textId="3F8030B9" w:rsidR="007730F0" w:rsidRPr="00E814B7" w:rsidRDefault="007730F0" w:rsidP="00E814B7">
      <w:pPr>
        <w:tabs>
          <w:tab w:val="left" w:pos="540"/>
          <w:tab w:val="left" w:pos="569"/>
        </w:tabs>
        <w:jc w:val="both"/>
        <w:rPr>
          <w:rFonts w:asciiTheme="majorBidi" w:hAnsiTheme="majorBidi" w:cstheme="majorBidi"/>
          <w:bCs/>
          <w:sz w:val="22"/>
          <w:szCs w:val="22"/>
          <w:lang w:val="sr-Latn-ME"/>
        </w:rPr>
      </w:pPr>
      <w:r w:rsidRPr="00E814B7">
        <w:rPr>
          <w:rFonts w:asciiTheme="majorBidi" w:hAnsiTheme="majorBidi" w:cstheme="majorBidi"/>
          <w:bCs/>
          <w:sz w:val="22"/>
          <w:szCs w:val="22"/>
          <w:lang w:val="sr-Latn-ME"/>
        </w:rPr>
        <w:t>Bezbjednost i efikasnost erlotiniba u odobrenim indikacijama ni</w:t>
      </w:r>
      <w:r w:rsidR="00292781" w:rsidRPr="00E814B7">
        <w:rPr>
          <w:rFonts w:asciiTheme="majorBidi" w:hAnsiTheme="majorBidi" w:cstheme="majorBidi"/>
          <w:bCs/>
          <w:sz w:val="22"/>
          <w:szCs w:val="22"/>
          <w:lang w:val="sr-Latn-ME"/>
        </w:rPr>
        <w:t>je</w:t>
      </w:r>
      <w:r w:rsidRPr="00E814B7">
        <w:rPr>
          <w:rFonts w:asciiTheme="majorBidi" w:hAnsiTheme="majorBidi" w:cstheme="majorBidi"/>
          <w:bCs/>
          <w:sz w:val="22"/>
          <w:szCs w:val="22"/>
          <w:lang w:val="sr-Latn-ME"/>
        </w:rPr>
        <w:t>su ustanovljeni kod pacijenata mlađih od 18 godina. Ne preporučuje se primjena lijeka Inopran kod pedijatrijskih pacijenata.</w:t>
      </w:r>
    </w:p>
    <w:p w14:paraId="4055E72A" w14:textId="77777777" w:rsidR="00E3042F" w:rsidRPr="00E814B7" w:rsidRDefault="00E3042F" w:rsidP="00E814B7">
      <w:pPr>
        <w:jc w:val="both"/>
        <w:rPr>
          <w:rFonts w:asciiTheme="majorBidi" w:eastAsia="TimesNewRoman" w:hAnsiTheme="majorBidi" w:cstheme="majorBidi"/>
          <w:sz w:val="22"/>
          <w:szCs w:val="22"/>
          <w:lang w:val="sr-Latn-ME"/>
        </w:rPr>
      </w:pPr>
    </w:p>
    <w:p w14:paraId="11985A1F" w14:textId="0E17C10E" w:rsidR="00723C71" w:rsidRPr="00E814B7" w:rsidRDefault="00723C71" w:rsidP="00E814B7">
      <w:pPr>
        <w:jc w:val="both"/>
        <w:rPr>
          <w:rFonts w:asciiTheme="majorBidi" w:eastAsia="TimesNewRoman" w:hAnsiTheme="majorBidi" w:cstheme="majorBidi"/>
          <w:sz w:val="22"/>
          <w:szCs w:val="22"/>
          <w:u w:val="single"/>
          <w:lang w:val="sr-Latn-ME"/>
        </w:rPr>
      </w:pPr>
      <w:r w:rsidRPr="00E814B7">
        <w:rPr>
          <w:rFonts w:asciiTheme="majorBidi" w:eastAsia="TimesNewRoman" w:hAnsiTheme="majorBidi" w:cstheme="majorBidi"/>
          <w:sz w:val="22"/>
          <w:szCs w:val="22"/>
          <w:u w:val="single"/>
          <w:lang w:val="sr-Latn-ME"/>
        </w:rPr>
        <w:t>Pomoćne supstance</w:t>
      </w:r>
    </w:p>
    <w:p w14:paraId="2910437D" w14:textId="1C71601E" w:rsidR="00723C71" w:rsidRPr="00E814B7" w:rsidRDefault="00723C71" w:rsidP="00E814B7">
      <w:pPr>
        <w:jc w:val="both"/>
        <w:rPr>
          <w:rFonts w:asciiTheme="majorBidi" w:eastAsia="TimesNewRoman" w:hAnsiTheme="majorBidi" w:cstheme="majorBidi"/>
          <w:sz w:val="22"/>
          <w:szCs w:val="22"/>
          <w:lang w:val="sr-Latn-ME"/>
        </w:rPr>
      </w:pPr>
      <w:r w:rsidRPr="00E814B7">
        <w:rPr>
          <w:rFonts w:asciiTheme="majorBidi" w:eastAsia="TimesNewRoman" w:hAnsiTheme="majorBidi" w:cstheme="majorBidi"/>
          <w:sz w:val="22"/>
          <w:szCs w:val="22"/>
          <w:lang w:val="sr-Latn-ME"/>
        </w:rPr>
        <w:t>Tablete sadrže laktozu i ne smiju se primjenjivati kod pacijenata koji boluju od rijetkih nasl</w:t>
      </w:r>
      <w:r w:rsidR="00292781" w:rsidRPr="00E814B7">
        <w:rPr>
          <w:rFonts w:asciiTheme="majorBidi" w:eastAsia="TimesNewRoman" w:hAnsiTheme="majorBidi" w:cstheme="majorBidi"/>
          <w:sz w:val="22"/>
          <w:szCs w:val="22"/>
          <w:lang w:val="sr-Latn-ME"/>
        </w:rPr>
        <w:t>j</w:t>
      </w:r>
      <w:r w:rsidRPr="00E814B7">
        <w:rPr>
          <w:rFonts w:asciiTheme="majorBidi" w:eastAsia="TimesNewRoman" w:hAnsiTheme="majorBidi" w:cstheme="majorBidi"/>
          <w:sz w:val="22"/>
          <w:szCs w:val="22"/>
          <w:lang w:val="sr-Latn-ME"/>
        </w:rPr>
        <w:t>ednih poremećaja nepodnošenja galaktoze, potpunim nedostatkom laktaze ili malapsorpcije glukoze-galaktoze.</w:t>
      </w:r>
    </w:p>
    <w:p w14:paraId="6B010A1E" w14:textId="77777777" w:rsidR="00057E35" w:rsidRPr="00E814B7" w:rsidRDefault="00057E35" w:rsidP="00E814B7">
      <w:pPr>
        <w:tabs>
          <w:tab w:val="left" w:pos="540"/>
          <w:tab w:val="left" w:pos="569"/>
        </w:tabs>
        <w:jc w:val="both"/>
        <w:rPr>
          <w:rFonts w:asciiTheme="majorBidi" w:hAnsiTheme="majorBidi" w:cstheme="majorBidi"/>
          <w:bCs/>
          <w:sz w:val="22"/>
          <w:szCs w:val="22"/>
          <w:lang w:val="sr-Latn-ME"/>
        </w:rPr>
      </w:pPr>
    </w:p>
    <w:p w14:paraId="21EE0A40" w14:textId="2E8B83C8" w:rsidR="00411B4B" w:rsidRPr="00E814B7" w:rsidRDefault="00411B4B"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4.5.</w:t>
      </w:r>
      <w:r w:rsidR="000D60CC"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Interakcije sa drugim ljekovima i druge vrste interakcija</w:t>
      </w:r>
    </w:p>
    <w:p w14:paraId="394B4D2C" w14:textId="18DC6FB2" w:rsidR="00723C71" w:rsidRPr="00E814B7" w:rsidRDefault="00723C71" w:rsidP="00E814B7">
      <w:pPr>
        <w:tabs>
          <w:tab w:val="left" w:pos="540"/>
          <w:tab w:val="left" w:pos="569"/>
        </w:tabs>
        <w:jc w:val="both"/>
        <w:rPr>
          <w:rFonts w:asciiTheme="majorBidi" w:hAnsiTheme="majorBidi" w:cstheme="majorBidi"/>
          <w:b/>
          <w:bCs/>
          <w:sz w:val="22"/>
          <w:szCs w:val="22"/>
          <w:lang w:val="sr-Latn-ME"/>
        </w:rPr>
      </w:pPr>
    </w:p>
    <w:p w14:paraId="5BB5C9EB" w14:textId="5EE55504" w:rsidR="00723C71" w:rsidRPr="00E814B7" w:rsidRDefault="00723C71"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Ispitivanja interakcija sprovedena su samo kod odraslih.</w:t>
      </w:r>
    </w:p>
    <w:p w14:paraId="1EFB600F" w14:textId="45080E74" w:rsidR="00723C71" w:rsidRPr="00E814B7" w:rsidRDefault="00723C71" w:rsidP="00E814B7">
      <w:pPr>
        <w:tabs>
          <w:tab w:val="left" w:pos="540"/>
          <w:tab w:val="left" w:pos="569"/>
        </w:tabs>
        <w:jc w:val="both"/>
        <w:rPr>
          <w:rFonts w:asciiTheme="majorBidi" w:hAnsiTheme="majorBidi" w:cstheme="majorBidi"/>
          <w:sz w:val="22"/>
          <w:szCs w:val="22"/>
          <w:lang w:val="sr-Latn-ME"/>
        </w:rPr>
      </w:pPr>
    </w:p>
    <w:p w14:paraId="09A17B79" w14:textId="77777777" w:rsidR="00723C71" w:rsidRPr="00E814B7" w:rsidRDefault="00723C71"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drugi CYP supstrati</w:t>
      </w:r>
    </w:p>
    <w:p w14:paraId="130A77A0" w14:textId="7D9CF2D6"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Erlotinib je snažan inhibitor CYP1A1 i umjereni inhibitor CYP3A4 i CYP2C8, kao i snažan inhibitor glukuronidacije UGT1A1 </w:t>
      </w:r>
      <w:r w:rsidRPr="00E814B7">
        <w:rPr>
          <w:rFonts w:asciiTheme="majorBidi" w:eastAsiaTheme="minorHAnsi" w:hAnsiTheme="majorBidi" w:cstheme="majorBidi"/>
          <w:i/>
          <w:sz w:val="22"/>
          <w:szCs w:val="22"/>
          <w:lang w:val="sr-Latn-ME"/>
        </w:rPr>
        <w:t>in vitro</w:t>
      </w:r>
      <w:r w:rsidRPr="00E814B7">
        <w:rPr>
          <w:rFonts w:asciiTheme="majorBidi" w:eastAsiaTheme="minorHAnsi" w:hAnsiTheme="majorBidi" w:cstheme="majorBidi"/>
          <w:sz w:val="22"/>
          <w:szCs w:val="22"/>
          <w:lang w:val="sr-Latn-ME"/>
        </w:rPr>
        <w:t xml:space="preserve">. </w:t>
      </w:r>
    </w:p>
    <w:p w14:paraId="139BDE1D" w14:textId="77777777"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Fiziološka važnost snažne inhibicije CYP1A1 nije poznata zbog veoma ograničene ekspresije CYP1A1 u tkivima čovjeka. </w:t>
      </w:r>
    </w:p>
    <w:p w14:paraId="60C24595" w14:textId="77777777" w:rsidR="00DD1F01" w:rsidRPr="00E814B7" w:rsidRDefault="00DD1F01" w:rsidP="00E814B7">
      <w:pPr>
        <w:jc w:val="both"/>
        <w:rPr>
          <w:rFonts w:asciiTheme="majorBidi" w:eastAsiaTheme="minorHAnsi" w:hAnsiTheme="majorBidi" w:cstheme="majorBidi"/>
          <w:sz w:val="22"/>
          <w:szCs w:val="22"/>
          <w:lang w:val="sr-Latn-ME"/>
        </w:rPr>
      </w:pPr>
    </w:p>
    <w:p w14:paraId="5DA4BFB9" w14:textId="3086AFA3"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Kada se erlotinib primjenjuje istovremeno sa ciprofloksacinom, umjerenim CYP1A2 inhibitorom, raspolo</w:t>
      </w:r>
      <w:r w:rsidR="00A463F7" w:rsidRPr="00E814B7">
        <w:rPr>
          <w:rFonts w:asciiTheme="majorBidi" w:eastAsiaTheme="minorHAnsi" w:hAnsiTheme="majorBidi" w:cstheme="majorBidi"/>
          <w:sz w:val="22"/>
          <w:szCs w:val="22"/>
          <w:lang w:val="sr-Latn-ME"/>
        </w:rPr>
        <w:t>ž</w:t>
      </w:r>
      <w:r w:rsidRPr="00E814B7">
        <w:rPr>
          <w:rFonts w:asciiTheme="majorBidi" w:eastAsiaTheme="minorHAnsi" w:hAnsiTheme="majorBidi" w:cstheme="majorBidi"/>
          <w:sz w:val="22"/>
          <w:szCs w:val="22"/>
          <w:lang w:val="sr-Latn-ME"/>
        </w:rPr>
        <w:t>ivost erlotiniba (AUC) značajno se povećala za 39%, dok nije uočena statistički značajna promjena vrijednosti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Slično tome, </w:t>
      </w:r>
      <w:r w:rsidR="00DD1F01" w:rsidRPr="00E814B7">
        <w:rPr>
          <w:rFonts w:asciiTheme="majorBidi" w:eastAsiaTheme="minorHAnsi" w:hAnsiTheme="majorBidi" w:cstheme="majorBidi"/>
          <w:sz w:val="22"/>
          <w:szCs w:val="22"/>
          <w:lang w:val="sr-Latn-ME"/>
        </w:rPr>
        <w:t>raspoloživost</w:t>
      </w:r>
      <w:r w:rsidRPr="00E814B7">
        <w:rPr>
          <w:rFonts w:asciiTheme="majorBidi" w:eastAsiaTheme="minorHAnsi" w:hAnsiTheme="majorBidi" w:cstheme="majorBidi"/>
          <w:sz w:val="22"/>
          <w:szCs w:val="22"/>
          <w:lang w:val="sr-Latn-ME"/>
        </w:rPr>
        <w:t xml:space="preserve"> aktivno</w:t>
      </w:r>
      <w:r w:rsidR="00DD1F01" w:rsidRPr="00E814B7">
        <w:rPr>
          <w:rFonts w:asciiTheme="majorBidi" w:eastAsiaTheme="minorHAnsi" w:hAnsiTheme="majorBidi" w:cstheme="majorBidi"/>
          <w:sz w:val="22"/>
          <w:szCs w:val="22"/>
          <w:lang w:val="sr-Latn-ME"/>
        </w:rPr>
        <w:t>g</w:t>
      </w:r>
      <w:r w:rsidRPr="00E814B7">
        <w:rPr>
          <w:rFonts w:asciiTheme="majorBidi" w:eastAsiaTheme="minorHAnsi" w:hAnsiTheme="majorBidi" w:cstheme="majorBidi"/>
          <w:sz w:val="22"/>
          <w:szCs w:val="22"/>
          <w:lang w:val="sr-Latn-ME"/>
        </w:rPr>
        <w:t xml:space="preserve"> metabolit</w:t>
      </w:r>
      <w:r w:rsidR="00DD1F01"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w:t>
      </w:r>
      <w:r w:rsidR="00DD1F01" w:rsidRPr="00E814B7">
        <w:rPr>
          <w:rFonts w:asciiTheme="majorBidi" w:eastAsiaTheme="minorHAnsi" w:hAnsiTheme="majorBidi" w:cstheme="majorBidi"/>
          <w:sz w:val="22"/>
          <w:szCs w:val="22"/>
          <w:lang w:val="sr-Latn-ME"/>
        </w:rPr>
        <w:t>se povećala</w:t>
      </w:r>
      <w:r w:rsidRPr="00E814B7">
        <w:rPr>
          <w:rFonts w:asciiTheme="majorBidi" w:eastAsiaTheme="minorHAnsi" w:hAnsiTheme="majorBidi" w:cstheme="majorBidi"/>
          <w:sz w:val="22"/>
          <w:szCs w:val="22"/>
          <w:lang w:val="sr-Latn-ME"/>
        </w:rPr>
        <w:t xml:space="preserve"> za oko 60% (AUC) i 48%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w:t>
      </w:r>
      <w:r w:rsidR="00DD1F01" w:rsidRPr="00E814B7">
        <w:rPr>
          <w:rFonts w:asciiTheme="majorBidi" w:eastAsiaTheme="minorHAnsi" w:hAnsiTheme="majorBidi" w:cstheme="majorBidi"/>
          <w:sz w:val="22"/>
          <w:szCs w:val="22"/>
          <w:lang w:val="sr-Latn-ME"/>
        </w:rPr>
        <w:t>Klinička va</w:t>
      </w:r>
      <w:r w:rsidR="00A463F7" w:rsidRPr="00E814B7">
        <w:rPr>
          <w:rFonts w:asciiTheme="majorBidi" w:eastAsiaTheme="minorHAnsi" w:hAnsiTheme="majorBidi" w:cstheme="majorBidi"/>
          <w:sz w:val="22"/>
          <w:szCs w:val="22"/>
          <w:lang w:val="sr-Latn-ME"/>
        </w:rPr>
        <w:t>ž</w:t>
      </w:r>
      <w:r w:rsidR="00DD1F01" w:rsidRPr="00E814B7">
        <w:rPr>
          <w:rFonts w:asciiTheme="majorBidi" w:eastAsiaTheme="minorHAnsi" w:hAnsiTheme="majorBidi" w:cstheme="majorBidi"/>
          <w:sz w:val="22"/>
          <w:szCs w:val="22"/>
          <w:lang w:val="sr-Latn-ME"/>
        </w:rPr>
        <w:t>nost tog povećanja nije utvrđena</w:t>
      </w:r>
      <w:r w:rsidRPr="00E814B7">
        <w:rPr>
          <w:rFonts w:asciiTheme="majorBidi" w:eastAsiaTheme="minorHAnsi" w:hAnsiTheme="majorBidi" w:cstheme="majorBidi"/>
          <w:sz w:val="22"/>
          <w:szCs w:val="22"/>
          <w:lang w:val="sr-Latn-ME"/>
        </w:rPr>
        <w:t xml:space="preserve">. </w:t>
      </w:r>
      <w:r w:rsidR="00DD1F01" w:rsidRPr="00E814B7">
        <w:rPr>
          <w:rFonts w:asciiTheme="majorBidi" w:eastAsiaTheme="minorHAnsi" w:hAnsiTheme="majorBidi" w:cstheme="majorBidi"/>
          <w:sz w:val="22"/>
          <w:szCs w:val="22"/>
          <w:lang w:val="sr-Latn-ME"/>
        </w:rPr>
        <w:t>Potreban je oprez</w:t>
      </w:r>
      <w:r w:rsidRPr="00E814B7">
        <w:rPr>
          <w:rFonts w:asciiTheme="majorBidi" w:eastAsiaTheme="minorHAnsi" w:hAnsiTheme="majorBidi" w:cstheme="majorBidi"/>
          <w:sz w:val="22"/>
          <w:szCs w:val="22"/>
          <w:lang w:val="sr-Latn-ME"/>
        </w:rPr>
        <w:t xml:space="preserve"> </w:t>
      </w:r>
      <w:r w:rsidR="00DD1F01" w:rsidRPr="00E814B7">
        <w:rPr>
          <w:rFonts w:asciiTheme="majorBidi" w:eastAsiaTheme="minorHAnsi" w:hAnsiTheme="majorBidi" w:cstheme="majorBidi"/>
          <w:sz w:val="22"/>
          <w:szCs w:val="22"/>
          <w:lang w:val="sr-Latn-ME"/>
        </w:rPr>
        <w:t>ako</w:t>
      </w:r>
      <w:r w:rsidRPr="00E814B7">
        <w:rPr>
          <w:rFonts w:asciiTheme="majorBidi" w:eastAsiaTheme="minorHAnsi" w:hAnsiTheme="majorBidi" w:cstheme="majorBidi"/>
          <w:sz w:val="22"/>
          <w:szCs w:val="22"/>
          <w:lang w:val="sr-Latn-ME"/>
        </w:rPr>
        <w:t xml:space="preserve"> se ciprofloksacin ili </w:t>
      </w:r>
      <w:r w:rsidR="00DD1F01" w:rsidRPr="00E814B7">
        <w:rPr>
          <w:rFonts w:asciiTheme="majorBidi" w:eastAsiaTheme="minorHAnsi" w:hAnsiTheme="majorBidi" w:cstheme="majorBidi"/>
          <w:sz w:val="22"/>
          <w:szCs w:val="22"/>
          <w:lang w:val="sr-Latn-ME"/>
        </w:rPr>
        <w:t>jaki</w:t>
      </w:r>
      <w:r w:rsidRPr="00E814B7">
        <w:rPr>
          <w:rFonts w:asciiTheme="majorBidi" w:eastAsiaTheme="minorHAnsi" w:hAnsiTheme="majorBidi" w:cstheme="majorBidi"/>
          <w:sz w:val="22"/>
          <w:szCs w:val="22"/>
          <w:lang w:val="sr-Latn-ME"/>
        </w:rPr>
        <w:t xml:space="preserve"> CYP1A2 inibitori (npr. fluvoksamin) kombinuju sa erlotinibom. Ukoliko se primjete neželjene reakcije </w:t>
      </w:r>
      <w:r w:rsidR="00DD1F01" w:rsidRPr="00E814B7">
        <w:rPr>
          <w:rFonts w:asciiTheme="majorBidi" w:eastAsiaTheme="minorHAnsi" w:hAnsiTheme="majorBidi" w:cstheme="majorBidi"/>
          <w:sz w:val="22"/>
          <w:szCs w:val="22"/>
          <w:lang w:val="sr-Latn-ME"/>
        </w:rPr>
        <w:t>vezane z</w:t>
      </w:r>
      <w:r w:rsidRPr="00E814B7">
        <w:rPr>
          <w:rFonts w:asciiTheme="majorBidi" w:eastAsiaTheme="minorHAnsi" w:hAnsiTheme="majorBidi" w:cstheme="majorBidi"/>
          <w:sz w:val="22"/>
          <w:szCs w:val="22"/>
          <w:lang w:val="sr-Latn-ME"/>
        </w:rPr>
        <w:t>a erlotinib, doza erlotiniba se može smanjiti.</w:t>
      </w:r>
    </w:p>
    <w:p w14:paraId="18E75A02" w14:textId="77777777" w:rsidR="00DD1F01" w:rsidRPr="00E814B7" w:rsidRDefault="00DD1F01" w:rsidP="00E814B7">
      <w:pPr>
        <w:jc w:val="both"/>
        <w:rPr>
          <w:rFonts w:asciiTheme="majorBidi" w:eastAsiaTheme="minorHAnsi" w:hAnsiTheme="majorBidi" w:cstheme="majorBidi"/>
          <w:sz w:val="22"/>
          <w:szCs w:val="22"/>
          <w:lang w:val="sr-Latn-ME"/>
        </w:rPr>
      </w:pPr>
    </w:p>
    <w:p w14:paraId="145BF719" w14:textId="64E174A2"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Prethodna ili istovremena primjena </w:t>
      </w:r>
      <w:r w:rsidR="00DD1F01" w:rsidRPr="00E814B7">
        <w:rPr>
          <w:rFonts w:asciiTheme="majorBidi" w:eastAsiaTheme="minorHAnsi" w:hAnsiTheme="majorBidi" w:cstheme="majorBidi"/>
          <w:sz w:val="22"/>
          <w:szCs w:val="22"/>
          <w:lang w:val="sr-Latn-ME"/>
        </w:rPr>
        <w:t>erlotiniba</w:t>
      </w:r>
      <w:r w:rsidRPr="00E814B7">
        <w:rPr>
          <w:rFonts w:asciiTheme="majorBidi" w:eastAsiaTheme="minorHAnsi" w:hAnsiTheme="majorBidi" w:cstheme="majorBidi"/>
          <w:sz w:val="22"/>
          <w:szCs w:val="22"/>
          <w:lang w:val="sr-Latn-ME"/>
        </w:rPr>
        <w:t xml:space="preserve"> nije uticala na klirens prototipnih supstrata CYP3A4, midazolama i eritromicina, ali se čini da je smanjilo oralnu biorasp</w:t>
      </w:r>
      <w:r w:rsidR="00DD1F01" w:rsidRPr="00E814B7">
        <w:rPr>
          <w:rFonts w:asciiTheme="majorBidi" w:eastAsiaTheme="minorHAnsi" w:hAnsiTheme="majorBidi" w:cstheme="majorBidi"/>
          <w:sz w:val="22"/>
          <w:szCs w:val="22"/>
          <w:lang w:val="sr-Latn-ME"/>
        </w:rPr>
        <w:t>o</w:t>
      </w:r>
      <w:r w:rsidRPr="00E814B7">
        <w:rPr>
          <w:rFonts w:asciiTheme="majorBidi" w:eastAsiaTheme="minorHAnsi" w:hAnsiTheme="majorBidi" w:cstheme="majorBidi"/>
          <w:sz w:val="22"/>
          <w:szCs w:val="22"/>
          <w:lang w:val="sr-Latn-ME"/>
        </w:rPr>
        <w:t>loživost midazolama za do 24%. U drugo</w:t>
      </w:r>
      <w:r w:rsidR="00DD1F01" w:rsidRPr="00E814B7">
        <w:rPr>
          <w:rFonts w:asciiTheme="majorBidi" w:eastAsiaTheme="minorHAnsi" w:hAnsiTheme="majorBidi" w:cstheme="majorBidi"/>
          <w:sz w:val="22"/>
          <w:szCs w:val="22"/>
          <w:lang w:val="sr-Latn-ME"/>
        </w:rPr>
        <w:t>m</w:t>
      </w:r>
      <w:r w:rsidRPr="00E814B7">
        <w:rPr>
          <w:rFonts w:asciiTheme="majorBidi" w:eastAsiaTheme="minorHAnsi" w:hAnsiTheme="majorBidi" w:cstheme="majorBidi"/>
          <w:sz w:val="22"/>
          <w:szCs w:val="22"/>
          <w:lang w:val="sr-Latn-ME"/>
        </w:rPr>
        <w:t xml:space="preserve"> kliničko</w:t>
      </w:r>
      <w:r w:rsidR="00DD1F01" w:rsidRPr="00E814B7">
        <w:rPr>
          <w:rFonts w:asciiTheme="majorBidi" w:eastAsiaTheme="minorHAnsi" w:hAnsiTheme="majorBidi" w:cstheme="majorBidi"/>
          <w:sz w:val="22"/>
          <w:szCs w:val="22"/>
          <w:lang w:val="sr-Latn-ME"/>
        </w:rPr>
        <w:t>m</w:t>
      </w:r>
      <w:r w:rsidRPr="00E814B7">
        <w:rPr>
          <w:rFonts w:asciiTheme="majorBidi" w:eastAsiaTheme="minorHAnsi" w:hAnsiTheme="majorBidi" w:cstheme="majorBidi"/>
          <w:sz w:val="22"/>
          <w:szCs w:val="22"/>
          <w:lang w:val="sr-Latn-ME"/>
        </w:rPr>
        <w:t xml:space="preserve"> </w:t>
      </w:r>
      <w:r w:rsidR="00DD1F01" w:rsidRPr="00E814B7">
        <w:rPr>
          <w:rFonts w:asciiTheme="majorBidi" w:eastAsiaTheme="minorHAnsi" w:hAnsiTheme="majorBidi" w:cstheme="majorBidi"/>
          <w:sz w:val="22"/>
          <w:szCs w:val="22"/>
          <w:lang w:val="sr-Latn-ME"/>
        </w:rPr>
        <w:t>ispitivanju</w:t>
      </w:r>
      <w:r w:rsidRPr="00E814B7">
        <w:rPr>
          <w:rFonts w:asciiTheme="majorBidi" w:eastAsiaTheme="minorHAnsi" w:hAnsiTheme="majorBidi" w:cstheme="majorBidi"/>
          <w:sz w:val="22"/>
          <w:szCs w:val="22"/>
          <w:lang w:val="sr-Latn-ME"/>
        </w:rPr>
        <w:t xml:space="preserve"> pokazalo se da erlotinib ne utiče na farmakokinetiku istovremeno prim</w:t>
      </w:r>
      <w:r w:rsidR="00380C42"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jenjenog CYP3A4/2C8 su</w:t>
      </w:r>
      <w:r w:rsidR="00DD1F01" w:rsidRPr="00E814B7">
        <w:rPr>
          <w:rFonts w:asciiTheme="majorBidi" w:eastAsiaTheme="minorHAnsi" w:hAnsiTheme="majorBidi" w:cstheme="majorBidi"/>
          <w:sz w:val="22"/>
          <w:szCs w:val="22"/>
          <w:lang w:val="sr-Latn-ME"/>
        </w:rPr>
        <w:t>p</w:t>
      </w:r>
      <w:r w:rsidRPr="00E814B7">
        <w:rPr>
          <w:rFonts w:asciiTheme="majorBidi" w:eastAsiaTheme="minorHAnsi" w:hAnsiTheme="majorBidi" w:cstheme="majorBidi"/>
          <w:sz w:val="22"/>
          <w:szCs w:val="22"/>
          <w:lang w:val="sr-Latn-ME"/>
        </w:rPr>
        <w:t>strata paklitaksela. Stoga nije vjerovatan značajan uticaj na klirens ostalih CYP3A4 supstrata.</w:t>
      </w:r>
    </w:p>
    <w:p w14:paraId="58F76191" w14:textId="77777777" w:rsidR="00DD1F01" w:rsidRPr="00E814B7" w:rsidRDefault="00DD1F01" w:rsidP="00E814B7">
      <w:pPr>
        <w:jc w:val="both"/>
        <w:rPr>
          <w:rFonts w:asciiTheme="majorBidi" w:eastAsiaTheme="minorHAnsi" w:hAnsiTheme="majorBidi" w:cstheme="majorBidi"/>
          <w:sz w:val="22"/>
          <w:szCs w:val="22"/>
          <w:lang w:val="sr-Latn-ME"/>
        </w:rPr>
      </w:pPr>
    </w:p>
    <w:p w14:paraId="6BFF77B1" w14:textId="38445A6C" w:rsidR="00DD1F0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Inhib</w:t>
      </w:r>
      <w:r w:rsidR="00DD1F01"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cija gluk</w:t>
      </w:r>
      <w:r w:rsidR="00A463F7" w:rsidRPr="00E814B7">
        <w:rPr>
          <w:rFonts w:asciiTheme="majorBidi" w:eastAsiaTheme="minorHAnsi" w:hAnsiTheme="majorBidi" w:cstheme="majorBidi"/>
          <w:sz w:val="22"/>
          <w:szCs w:val="22"/>
          <w:lang w:val="sr-Latn-ME"/>
        </w:rPr>
        <w:t>u</w:t>
      </w:r>
      <w:r w:rsidRPr="00E814B7">
        <w:rPr>
          <w:rFonts w:asciiTheme="majorBidi" w:eastAsiaTheme="minorHAnsi" w:hAnsiTheme="majorBidi" w:cstheme="majorBidi"/>
          <w:sz w:val="22"/>
          <w:szCs w:val="22"/>
          <w:lang w:val="sr-Latn-ME"/>
        </w:rPr>
        <w:t>r</w:t>
      </w:r>
      <w:r w:rsidR="00A463F7" w:rsidRPr="00E814B7">
        <w:rPr>
          <w:rFonts w:asciiTheme="majorBidi" w:eastAsiaTheme="minorHAnsi" w:hAnsiTheme="majorBidi" w:cstheme="majorBidi"/>
          <w:sz w:val="22"/>
          <w:szCs w:val="22"/>
          <w:lang w:val="sr-Latn-ME"/>
        </w:rPr>
        <w:t>o</w:t>
      </w:r>
      <w:r w:rsidRPr="00E814B7">
        <w:rPr>
          <w:rFonts w:asciiTheme="majorBidi" w:eastAsiaTheme="minorHAnsi" w:hAnsiTheme="majorBidi" w:cstheme="majorBidi"/>
          <w:sz w:val="22"/>
          <w:szCs w:val="22"/>
          <w:lang w:val="sr-Latn-ME"/>
        </w:rPr>
        <w:t xml:space="preserve">nidacije može dovesti do interakcije sa ljekovima koji su supstrati UGT1A1 i koji se  </w:t>
      </w:r>
      <w:r w:rsidR="00DD1F01" w:rsidRPr="00E814B7">
        <w:rPr>
          <w:rFonts w:asciiTheme="majorBidi" w:eastAsiaTheme="minorHAnsi" w:hAnsiTheme="majorBidi" w:cstheme="majorBidi"/>
          <w:sz w:val="22"/>
          <w:szCs w:val="22"/>
          <w:lang w:val="sr-Latn-ME"/>
        </w:rPr>
        <w:t>uklanjaju</w:t>
      </w:r>
      <w:r w:rsidRPr="00E814B7">
        <w:rPr>
          <w:rFonts w:asciiTheme="majorBidi" w:eastAsiaTheme="minorHAnsi" w:hAnsiTheme="majorBidi" w:cstheme="majorBidi"/>
          <w:sz w:val="22"/>
          <w:szCs w:val="22"/>
          <w:lang w:val="sr-Latn-ME"/>
        </w:rPr>
        <w:t xml:space="preserve"> isključivo tim putem. Pacijenti sa niskim nivoom ekspresije UGT1A1 ili genetskim poremećajima glukuronidacije (npr. Gilbertova bolest) </w:t>
      </w:r>
      <w:r w:rsidR="00DD1F01" w:rsidRPr="00E814B7">
        <w:rPr>
          <w:rFonts w:asciiTheme="majorBidi" w:eastAsiaTheme="minorHAnsi" w:hAnsiTheme="majorBidi" w:cstheme="majorBidi"/>
          <w:sz w:val="22"/>
          <w:szCs w:val="22"/>
          <w:lang w:val="sr-Latn-ME"/>
        </w:rPr>
        <w:t>može doći do</w:t>
      </w:r>
      <w:r w:rsidRPr="00E814B7">
        <w:rPr>
          <w:rFonts w:asciiTheme="majorBidi" w:eastAsiaTheme="minorHAnsi" w:hAnsiTheme="majorBidi" w:cstheme="majorBidi"/>
          <w:sz w:val="22"/>
          <w:szCs w:val="22"/>
          <w:lang w:val="sr-Latn-ME"/>
        </w:rPr>
        <w:t xml:space="preserve"> pov</w:t>
      </w:r>
      <w:r w:rsidR="00DD1F01" w:rsidRPr="00E814B7">
        <w:rPr>
          <w:rFonts w:asciiTheme="majorBidi" w:eastAsiaTheme="minorHAnsi" w:hAnsiTheme="majorBidi" w:cstheme="majorBidi"/>
          <w:sz w:val="22"/>
          <w:szCs w:val="22"/>
          <w:lang w:val="sr-Latn-ME"/>
        </w:rPr>
        <w:t>ećane</w:t>
      </w:r>
      <w:r w:rsidRPr="00E814B7">
        <w:rPr>
          <w:rFonts w:asciiTheme="majorBidi" w:eastAsiaTheme="minorHAnsi" w:hAnsiTheme="majorBidi" w:cstheme="majorBidi"/>
          <w:sz w:val="22"/>
          <w:szCs w:val="22"/>
          <w:lang w:val="sr-Latn-ME"/>
        </w:rPr>
        <w:t xml:space="preserve"> koncentracije bilirubina u serumu, pa </w:t>
      </w:r>
      <w:r w:rsidR="00DD1F01" w:rsidRPr="00E814B7">
        <w:rPr>
          <w:rFonts w:asciiTheme="majorBidi" w:eastAsiaTheme="minorHAnsi" w:hAnsiTheme="majorBidi" w:cstheme="majorBidi"/>
          <w:sz w:val="22"/>
          <w:szCs w:val="22"/>
          <w:lang w:val="sr-Latn-ME"/>
        </w:rPr>
        <w:t>je potreban oprez pri liječenju.</w:t>
      </w:r>
    </w:p>
    <w:p w14:paraId="27233A39" w14:textId="05F6E6C3"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 </w:t>
      </w:r>
    </w:p>
    <w:p w14:paraId="0D7D62C5" w14:textId="37CD735C"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Erlotinib se kod ljudi metabolizuje u jetri putem hepatičkih citohroma, </w:t>
      </w:r>
      <w:r w:rsidR="003E7532" w:rsidRPr="00E814B7">
        <w:rPr>
          <w:rFonts w:asciiTheme="majorBidi" w:eastAsiaTheme="minorHAnsi" w:hAnsiTheme="majorBidi" w:cstheme="majorBidi"/>
          <w:sz w:val="22"/>
          <w:szCs w:val="22"/>
          <w:lang w:val="sr-Latn-ME"/>
        </w:rPr>
        <w:t>kod ljudi prije svega</w:t>
      </w:r>
      <w:r w:rsidRPr="00E814B7">
        <w:rPr>
          <w:rFonts w:asciiTheme="majorBidi" w:eastAsiaTheme="minorHAnsi" w:hAnsiTheme="majorBidi" w:cstheme="majorBidi"/>
          <w:sz w:val="22"/>
          <w:szCs w:val="22"/>
          <w:lang w:val="sr-Latn-ME"/>
        </w:rPr>
        <w:t xml:space="preserve"> CYP3A4 i </w:t>
      </w:r>
      <w:r w:rsidR="003E7532" w:rsidRPr="00E814B7">
        <w:rPr>
          <w:rFonts w:asciiTheme="majorBidi" w:eastAsiaTheme="minorHAnsi" w:hAnsiTheme="majorBidi" w:cstheme="majorBidi"/>
          <w:sz w:val="22"/>
          <w:szCs w:val="22"/>
          <w:lang w:val="sr-Latn-ME"/>
        </w:rPr>
        <w:t>nešto manje</w:t>
      </w:r>
      <w:r w:rsidRPr="00E814B7">
        <w:rPr>
          <w:rFonts w:asciiTheme="majorBidi" w:eastAsiaTheme="minorHAnsi" w:hAnsiTheme="majorBidi" w:cstheme="majorBidi"/>
          <w:sz w:val="22"/>
          <w:szCs w:val="22"/>
          <w:lang w:val="sr-Latn-ME"/>
        </w:rPr>
        <w:t xml:space="preserve"> CYP1A2. </w:t>
      </w:r>
      <w:r w:rsidR="003E7532" w:rsidRPr="00E814B7">
        <w:rPr>
          <w:rFonts w:asciiTheme="majorBidi" w:eastAsiaTheme="minorHAnsi" w:hAnsiTheme="majorBidi" w:cstheme="majorBidi"/>
          <w:sz w:val="22"/>
          <w:szCs w:val="22"/>
          <w:lang w:val="sr-Latn-ME"/>
        </w:rPr>
        <w:t xml:space="preserve">Klirensu erlotiniba potencijalno doprinosi i metabolizam izvan jetre, </w:t>
      </w:r>
      <w:r w:rsidRPr="00E814B7">
        <w:rPr>
          <w:rFonts w:asciiTheme="majorBidi" w:eastAsiaTheme="minorHAnsi" w:hAnsiTheme="majorBidi" w:cstheme="majorBidi"/>
          <w:sz w:val="22"/>
          <w:szCs w:val="22"/>
          <w:lang w:val="sr-Latn-ME"/>
        </w:rPr>
        <w:t>CYP3A4 u crijevima, CYP1A1 u plućima i CYP1B1 u tumorskom tkivu</w:t>
      </w:r>
      <w:r w:rsidR="003E7532"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 xml:space="preserve">Potencijalne interakcije mogu se pojaviti </w:t>
      </w:r>
      <w:r w:rsidRPr="00E814B7">
        <w:rPr>
          <w:rFonts w:asciiTheme="majorBidi" w:eastAsiaTheme="minorHAnsi" w:hAnsiTheme="majorBidi" w:cstheme="majorBidi"/>
          <w:sz w:val="22"/>
          <w:szCs w:val="22"/>
          <w:lang w:val="sr-Latn-ME"/>
        </w:rPr>
        <w:lastRenderedPageBreak/>
        <w:t>sa aktivnim supstancama koje se metabolizuju preko ovih enzima ili su pak njihovi inhibitori ili indukt</w:t>
      </w:r>
      <w:r w:rsidR="00A463F7" w:rsidRPr="00E814B7">
        <w:rPr>
          <w:rFonts w:asciiTheme="majorBidi" w:eastAsiaTheme="minorHAnsi" w:hAnsiTheme="majorBidi" w:cstheme="majorBidi"/>
          <w:sz w:val="22"/>
          <w:szCs w:val="22"/>
          <w:lang w:val="sr-Latn-ME"/>
        </w:rPr>
        <w:t>o</w:t>
      </w:r>
      <w:r w:rsidRPr="00E814B7">
        <w:rPr>
          <w:rFonts w:asciiTheme="majorBidi" w:eastAsiaTheme="minorHAnsi" w:hAnsiTheme="majorBidi" w:cstheme="majorBidi"/>
          <w:sz w:val="22"/>
          <w:szCs w:val="22"/>
          <w:lang w:val="sr-Latn-ME"/>
        </w:rPr>
        <w:t>ri.</w:t>
      </w:r>
    </w:p>
    <w:p w14:paraId="3DD10042" w14:textId="77777777" w:rsidR="003E7532" w:rsidRPr="00E814B7" w:rsidRDefault="003E7532" w:rsidP="00E814B7">
      <w:pPr>
        <w:jc w:val="both"/>
        <w:rPr>
          <w:rFonts w:asciiTheme="majorBidi" w:eastAsiaTheme="minorHAnsi" w:hAnsiTheme="majorBidi" w:cstheme="majorBidi"/>
          <w:sz w:val="22"/>
          <w:szCs w:val="22"/>
          <w:lang w:val="sr-Latn-ME"/>
        </w:rPr>
      </w:pPr>
    </w:p>
    <w:p w14:paraId="1E42CCAD" w14:textId="0AF81D24" w:rsidR="00723C71" w:rsidRPr="00E814B7" w:rsidRDefault="00723C71"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Jaki inhibitori CYP3A4 aktivnosti smanjuju metabolizam erlotiniba i povećavaju koncentracij</w:t>
      </w:r>
      <w:r w:rsidR="00042AE2" w:rsidRPr="00E814B7">
        <w:rPr>
          <w:rFonts w:asciiTheme="majorBidi" w:eastAsiaTheme="minorHAnsi" w:hAnsiTheme="majorBidi" w:cstheme="majorBidi"/>
          <w:sz w:val="22"/>
          <w:szCs w:val="22"/>
          <w:lang w:val="sr-Latn-ME"/>
        </w:rPr>
        <w:t>u</w:t>
      </w:r>
      <w:r w:rsidRPr="00E814B7">
        <w:rPr>
          <w:rFonts w:asciiTheme="majorBidi" w:eastAsiaTheme="minorHAnsi" w:hAnsiTheme="majorBidi" w:cstheme="majorBidi"/>
          <w:sz w:val="22"/>
          <w:szCs w:val="22"/>
          <w:lang w:val="sr-Latn-ME"/>
        </w:rPr>
        <w:t xml:space="preserve"> erlotiniba u plazmi. U </w:t>
      </w:r>
      <w:r w:rsidR="00042AE2" w:rsidRPr="00E814B7">
        <w:rPr>
          <w:rFonts w:asciiTheme="majorBidi" w:eastAsiaTheme="minorHAnsi" w:hAnsiTheme="majorBidi" w:cstheme="majorBidi"/>
          <w:sz w:val="22"/>
          <w:szCs w:val="22"/>
          <w:lang w:val="sr-Latn-ME"/>
        </w:rPr>
        <w:t>kliničkom ispitivanju pokazalo se da</w:t>
      </w:r>
      <w:r w:rsidRPr="00E814B7">
        <w:rPr>
          <w:rFonts w:asciiTheme="majorBidi" w:eastAsiaTheme="minorHAnsi" w:hAnsiTheme="majorBidi" w:cstheme="majorBidi"/>
          <w:sz w:val="22"/>
          <w:szCs w:val="22"/>
          <w:lang w:val="sr-Latn-ME"/>
        </w:rPr>
        <w:t xml:space="preserve"> istovremena primjena erlotiniba sa ketokonazolom (200 mg oralno, dva puta na dan, tokom 5 dana), jakim inhibitorom CYP3A4, </w:t>
      </w:r>
      <w:r w:rsidR="00042AE2" w:rsidRPr="00E814B7">
        <w:rPr>
          <w:rFonts w:asciiTheme="majorBidi" w:eastAsiaTheme="minorHAnsi" w:hAnsiTheme="majorBidi" w:cstheme="majorBidi"/>
          <w:sz w:val="22"/>
          <w:szCs w:val="22"/>
          <w:lang w:val="sr-Latn-ME"/>
        </w:rPr>
        <w:t xml:space="preserve">dovodi </w:t>
      </w:r>
      <w:r w:rsidRPr="00E814B7">
        <w:rPr>
          <w:rFonts w:asciiTheme="majorBidi" w:eastAsiaTheme="minorHAnsi" w:hAnsiTheme="majorBidi" w:cstheme="majorBidi"/>
          <w:sz w:val="22"/>
          <w:szCs w:val="22"/>
          <w:lang w:val="sr-Latn-ME"/>
        </w:rPr>
        <w:t xml:space="preserve"> do povećan</w:t>
      </w:r>
      <w:r w:rsidR="00042AE2" w:rsidRPr="00E814B7">
        <w:rPr>
          <w:rFonts w:asciiTheme="majorBidi" w:eastAsiaTheme="minorHAnsi" w:hAnsiTheme="majorBidi" w:cstheme="majorBidi"/>
          <w:sz w:val="22"/>
          <w:szCs w:val="22"/>
          <w:lang w:val="sr-Latn-ME"/>
        </w:rPr>
        <w:t>ja</w:t>
      </w:r>
      <w:r w:rsidRPr="00E814B7">
        <w:rPr>
          <w:rFonts w:asciiTheme="majorBidi" w:eastAsiaTheme="minorHAnsi" w:hAnsiTheme="majorBidi" w:cstheme="majorBidi"/>
          <w:sz w:val="22"/>
          <w:szCs w:val="22"/>
          <w:lang w:val="sr-Latn-ME"/>
        </w:rPr>
        <w:t xml:space="preserve"> </w:t>
      </w:r>
      <w:r w:rsidR="00042AE2" w:rsidRPr="00E814B7">
        <w:rPr>
          <w:rFonts w:asciiTheme="majorBidi" w:eastAsiaTheme="minorHAnsi" w:hAnsiTheme="majorBidi" w:cstheme="majorBidi"/>
          <w:sz w:val="22"/>
          <w:szCs w:val="22"/>
          <w:lang w:val="sr-Latn-ME"/>
        </w:rPr>
        <w:t>izlaganju</w:t>
      </w:r>
      <w:r w:rsidRPr="00E814B7">
        <w:rPr>
          <w:rFonts w:asciiTheme="majorBidi" w:eastAsiaTheme="minorHAnsi" w:hAnsiTheme="majorBidi" w:cstheme="majorBidi"/>
          <w:sz w:val="22"/>
          <w:szCs w:val="22"/>
          <w:lang w:val="sr-Latn-ME"/>
        </w:rPr>
        <w:t xml:space="preserve"> erlotinib</w:t>
      </w:r>
      <w:r w:rsidR="00042AE2"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(86% od AUC-a i 69% od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w:t>
      </w:r>
      <w:r w:rsidR="00042AE2" w:rsidRPr="00E814B7">
        <w:rPr>
          <w:rFonts w:asciiTheme="majorBidi" w:eastAsiaTheme="minorHAnsi" w:hAnsiTheme="majorBidi" w:cstheme="majorBidi"/>
          <w:sz w:val="22"/>
          <w:szCs w:val="22"/>
          <w:lang w:val="sr-Latn-ME"/>
        </w:rPr>
        <w:t>Stoga je</w:t>
      </w:r>
      <w:r w:rsidRPr="00E814B7">
        <w:rPr>
          <w:rFonts w:asciiTheme="majorBidi" w:eastAsiaTheme="minorHAnsi" w:hAnsiTheme="majorBidi" w:cstheme="majorBidi"/>
          <w:sz w:val="22"/>
          <w:szCs w:val="22"/>
          <w:lang w:val="sr-Latn-ME"/>
        </w:rPr>
        <w:t xml:space="preserve"> potreban oprez </w:t>
      </w:r>
      <w:r w:rsidR="00042AE2" w:rsidRPr="00E814B7">
        <w:rPr>
          <w:rFonts w:asciiTheme="majorBidi" w:eastAsiaTheme="minorHAnsi" w:hAnsiTheme="majorBidi" w:cstheme="majorBidi"/>
          <w:sz w:val="22"/>
          <w:szCs w:val="22"/>
          <w:lang w:val="sr-Latn-ME"/>
        </w:rPr>
        <w:t>prilikom kombinovanja</w:t>
      </w:r>
      <w:r w:rsidRPr="00E814B7">
        <w:rPr>
          <w:rFonts w:asciiTheme="majorBidi" w:eastAsiaTheme="minorHAnsi" w:hAnsiTheme="majorBidi" w:cstheme="majorBidi"/>
          <w:sz w:val="22"/>
          <w:szCs w:val="22"/>
          <w:lang w:val="sr-Latn-ME"/>
        </w:rPr>
        <w:t xml:space="preserve"> </w:t>
      </w:r>
      <w:r w:rsidR="00042AE2" w:rsidRPr="00E814B7">
        <w:rPr>
          <w:rFonts w:asciiTheme="majorBidi" w:eastAsiaTheme="minorHAnsi" w:hAnsiTheme="majorBidi" w:cstheme="majorBidi"/>
          <w:sz w:val="22"/>
          <w:szCs w:val="22"/>
          <w:lang w:val="sr-Latn-ME"/>
        </w:rPr>
        <w:t xml:space="preserve">erlotiniba </w:t>
      </w:r>
      <w:r w:rsidRPr="00E814B7">
        <w:rPr>
          <w:rFonts w:asciiTheme="majorBidi" w:eastAsiaTheme="minorHAnsi" w:hAnsiTheme="majorBidi" w:cstheme="majorBidi"/>
          <w:sz w:val="22"/>
          <w:szCs w:val="22"/>
          <w:lang w:val="sr-Latn-ME"/>
        </w:rPr>
        <w:t xml:space="preserve">sa jakim  CYP3A4 inhibitorom, npr. azolnim antifungalnim ljekovima (tj. ketokonazolom, itrakonazolom, vorikonazolom), inhibitorima proteaze, eritromicinom ili klaritromicinom. </w:t>
      </w:r>
      <w:r w:rsidR="00042AE2" w:rsidRPr="00E814B7">
        <w:rPr>
          <w:rFonts w:asciiTheme="majorBidi" w:eastAsiaTheme="minorHAnsi" w:hAnsiTheme="majorBidi" w:cstheme="majorBidi"/>
          <w:sz w:val="22"/>
          <w:szCs w:val="22"/>
          <w:lang w:val="sr-Latn-ME"/>
        </w:rPr>
        <w:t xml:space="preserve">Po potrebi se </w:t>
      </w:r>
      <w:r w:rsidRPr="00E814B7">
        <w:rPr>
          <w:rFonts w:asciiTheme="majorBidi" w:eastAsiaTheme="minorHAnsi" w:hAnsiTheme="majorBidi" w:cstheme="majorBidi"/>
          <w:sz w:val="22"/>
          <w:szCs w:val="22"/>
          <w:lang w:val="sr-Latn-ME"/>
        </w:rPr>
        <w:t>doz</w:t>
      </w:r>
      <w:r w:rsidR="00042AE2"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erlotiniba </w:t>
      </w:r>
      <w:r w:rsidR="00042AE2" w:rsidRPr="00E814B7">
        <w:rPr>
          <w:rFonts w:asciiTheme="majorBidi" w:eastAsiaTheme="minorHAnsi" w:hAnsiTheme="majorBidi" w:cstheme="majorBidi"/>
          <w:sz w:val="22"/>
          <w:szCs w:val="22"/>
          <w:lang w:val="sr-Latn-ME"/>
        </w:rPr>
        <w:t>može</w:t>
      </w:r>
      <w:r w:rsidRPr="00E814B7">
        <w:rPr>
          <w:rFonts w:asciiTheme="majorBidi" w:eastAsiaTheme="minorHAnsi" w:hAnsiTheme="majorBidi" w:cstheme="majorBidi"/>
          <w:sz w:val="22"/>
          <w:szCs w:val="22"/>
          <w:lang w:val="sr-Latn-ME"/>
        </w:rPr>
        <w:t xml:space="preserve"> smanjiti, posebno ako se prim</w:t>
      </w:r>
      <w:r w:rsidR="00380C42"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jete znaci toksičnosti.</w:t>
      </w:r>
    </w:p>
    <w:p w14:paraId="690D161C" w14:textId="77777777" w:rsidR="00042AE2" w:rsidRPr="00E814B7" w:rsidRDefault="00042AE2" w:rsidP="00E814B7">
      <w:pPr>
        <w:jc w:val="both"/>
        <w:rPr>
          <w:rFonts w:asciiTheme="majorBidi" w:eastAsiaTheme="minorHAnsi" w:hAnsiTheme="majorBidi" w:cstheme="majorBidi"/>
          <w:sz w:val="22"/>
          <w:szCs w:val="22"/>
          <w:lang w:val="sr-Latn-ME"/>
        </w:rPr>
      </w:pPr>
    </w:p>
    <w:p w14:paraId="03B2C9AA" w14:textId="3CA68DF8" w:rsidR="00723C71" w:rsidRPr="00E814B7" w:rsidRDefault="00723C71" w:rsidP="00E814B7">
      <w:pPr>
        <w:widowControl w:val="0"/>
        <w:autoSpaceDE w:val="0"/>
        <w:autoSpaceDN w:val="0"/>
        <w:adjustRightInd w:val="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Jaki induktori CYP3A4 aktivnosti povećavaju metabolizam erlotiniba i znatno smanjuju koncentracij</w:t>
      </w:r>
      <w:r w:rsidR="00042AE2" w:rsidRPr="00E814B7">
        <w:rPr>
          <w:rFonts w:asciiTheme="majorBidi" w:eastAsiaTheme="minorHAnsi" w:hAnsiTheme="majorBidi" w:cstheme="majorBidi"/>
          <w:sz w:val="22"/>
          <w:szCs w:val="22"/>
          <w:lang w:val="sr-Latn-ME"/>
        </w:rPr>
        <w:t>u</w:t>
      </w:r>
      <w:r w:rsidRPr="00E814B7">
        <w:rPr>
          <w:rFonts w:asciiTheme="majorBidi" w:eastAsiaTheme="minorHAnsi" w:hAnsiTheme="majorBidi" w:cstheme="majorBidi"/>
          <w:sz w:val="22"/>
          <w:szCs w:val="22"/>
          <w:lang w:val="sr-Latn-ME"/>
        </w:rPr>
        <w:t xml:space="preserve"> erlotiniba u plazmi. U </w:t>
      </w:r>
      <w:r w:rsidR="00042AE2" w:rsidRPr="00E814B7">
        <w:rPr>
          <w:rFonts w:asciiTheme="majorBidi" w:eastAsiaTheme="minorHAnsi" w:hAnsiTheme="majorBidi" w:cstheme="majorBidi"/>
          <w:sz w:val="22"/>
          <w:szCs w:val="22"/>
          <w:lang w:val="sr-Latn-ME"/>
        </w:rPr>
        <w:t>kliničkim ispitivanjima pokazalo se da</w:t>
      </w:r>
      <w:r w:rsidRPr="00E814B7">
        <w:rPr>
          <w:rFonts w:asciiTheme="majorBidi" w:eastAsiaTheme="minorHAnsi" w:hAnsiTheme="majorBidi" w:cstheme="majorBidi"/>
          <w:sz w:val="22"/>
          <w:szCs w:val="22"/>
          <w:lang w:val="sr-Latn-ME"/>
        </w:rPr>
        <w:t xml:space="preserve"> istovremena primjena erlotiniba i rifampicina (600 mg oralno, jednom dnevno, tokom 7 dana), jakog induktora CYP3A4, </w:t>
      </w:r>
      <w:r w:rsidR="00042AE2" w:rsidRPr="00E814B7">
        <w:rPr>
          <w:rFonts w:asciiTheme="majorBidi" w:eastAsiaTheme="minorHAnsi" w:hAnsiTheme="majorBidi" w:cstheme="majorBidi"/>
          <w:sz w:val="22"/>
          <w:szCs w:val="22"/>
          <w:lang w:val="sr-Latn-ME"/>
        </w:rPr>
        <w:t>dovodi</w:t>
      </w:r>
      <w:r w:rsidRPr="00E814B7">
        <w:rPr>
          <w:rFonts w:asciiTheme="majorBidi" w:eastAsiaTheme="minorHAnsi" w:hAnsiTheme="majorBidi" w:cstheme="majorBidi"/>
          <w:sz w:val="22"/>
          <w:szCs w:val="22"/>
          <w:lang w:val="sr-Latn-ME"/>
        </w:rPr>
        <w:t xml:space="preserve"> do 69%-tnog smanjenja srednje vrijednosti AUC-a erlotiniba. Istovremena primjena rifampicina sa jednom dozom </w:t>
      </w:r>
      <w:r w:rsidR="00042AE2" w:rsidRPr="00E814B7">
        <w:rPr>
          <w:rFonts w:asciiTheme="majorBidi" w:eastAsiaTheme="minorHAnsi" w:hAnsiTheme="majorBidi" w:cstheme="majorBidi"/>
          <w:sz w:val="22"/>
          <w:szCs w:val="22"/>
          <w:lang w:val="sr-Latn-ME"/>
        </w:rPr>
        <w:t xml:space="preserve">erlotiniba </w:t>
      </w:r>
      <w:r w:rsidRPr="00E814B7">
        <w:rPr>
          <w:rFonts w:asciiTheme="majorBidi" w:eastAsiaTheme="minorHAnsi" w:hAnsiTheme="majorBidi" w:cstheme="majorBidi"/>
          <w:sz w:val="22"/>
          <w:szCs w:val="22"/>
          <w:lang w:val="sr-Latn-ME"/>
        </w:rPr>
        <w:t>od 450 mg rezultirala je prosječnom izloženošću erlotinibu (AUC) od 57</w:t>
      </w:r>
      <w:r w:rsidR="00042AE2"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 xml:space="preserve">5% </w:t>
      </w:r>
      <w:r w:rsidR="00042AE2" w:rsidRPr="00E814B7">
        <w:rPr>
          <w:rFonts w:asciiTheme="majorBidi" w:eastAsiaTheme="minorHAnsi" w:hAnsiTheme="majorBidi" w:cstheme="majorBidi"/>
          <w:sz w:val="22"/>
          <w:szCs w:val="22"/>
          <w:lang w:val="sr-Latn-ME"/>
        </w:rPr>
        <w:t>raspoloživosti</w:t>
      </w:r>
      <w:r w:rsidRPr="00E814B7">
        <w:rPr>
          <w:rFonts w:asciiTheme="majorBidi" w:eastAsiaTheme="minorHAnsi" w:hAnsiTheme="majorBidi" w:cstheme="majorBidi"/>
          <w:sz w:val="22"/>
          <w:szCs w:val="22"/>
          <w:lang w:val="sr-Latn-ME"/>
        </w:rPr>
        <w:t xml:space="preserve"> nakon jedne doze </w:t>
      </w:r>
      <w:r w:rsidR="00042AE2" w:rsidRPr="00E814B7">
        <w:rPr>
          <w:rFonts w:asciiTheme="majorBidi" w:eastAsiaTheme="minorHAnsi" w:hAnsiTheme="majorBidi" w:cstheme="majorBidi"/>
          <w:sz w:val="22"/>
          <w:szCs w:val="22"/>
          <w:lang w:val="sr-Latn-ME"/>
        </w:rPr>
        <w:t>erlotiniba</w:t>
      </w:r>
      <w:r w:rsidRPr="00E814B7">
        <w:rPr>
          <w:rFonts w:asciiTheme="majorBidi" w:eastAsiaTheme="minorHAnsi" w:hAnsiTheme="majorBidi" w:cstheme="majorBidi"/>
          <w:sz w:val="22"/>
          <w:szCs w:val="22"/>
          <w:lang w:val="sr-Latn-ME"/>
        </w:rPr>
        <w:t xml:space="preserve"> od 150 mg bez rifampicina. Stoga treba izbjegavati istovremenu primjenu </w:t>
      </w:r>
      <w:r w:rsidR="00042AE2" w:rsidRPr="00E814B7">
        <w:rPr>
          <w:rFonts w:asciiTheme="majorBidi" w:eastAsiaTheme="minorHAnsi" w:hAnsiTheme="majorBidi" w:cstheme="majorBidi"/>
          <w:sz w:val="22"/>
          <w:szCs w:val="22"/>
          <w:lang w:val="sr-Latn-ME"/>
        </w:rPr>
        <w:t>erlotiniba</w:t>
      </w:r>
      <w:r w:rsidRPr="00E814B7">
        <w:rPr>
          <w:rFonts w:asciiTheme="majorBidi" w:eastAsiaTheme="minorHAnsi" w:hAnsiTheme="majorBidi" w:cstheme="majorBidi"/>
          <w:sz w:val="22"/>
          <w:szCs w:val="22"/>
          <w:lang w:val="sr-Latn-ME"/>
        </w:rPr>
        <w:t xml:space="preserve"> </w:t>
      </w:r>
      <w:r w:rsidR="00042AE2"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 xml:space="preserve"> CYP3A4 induktor</w:t>
      </w:r>
      <w:r w:rsidR="00042AE2"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Kod pacijenata kojima je potrebno istovremen</w:t>
      </w:r>
      <w:r w:rsidR="00042AE2" w:rsidRPr="00E814B7">
        <w:rPr>
          <w:rFonts w:asciiTheme="majorBidi" w:eastAsiaTheme="minorHAnsi" w:hAnsiTheme="majorBidi" w:cstheme="majorBidi"/>
          <w:sz w:val="22"/>
          <w:szCs w:val="22"/>
          <w:lang w:val="sr-Latn-ME"/>
        </w:rPr>
        <w:t>o liječenje lijekom Inopran</w:t>
      </w:r>
      <w:r w:rsidRPr="00E814B7">
        <w:rPr>
          <w:rFonts w:asciiTheme="majorBidi" w:eastAsiaTheme="minorHAnsi" w:hAnsiTheme="majorBidi" w:cstheme="majorBidi"/>
          <w:sz w:val="22"/>
          <w:szCs w:val="22"/>
          <w:lang w:val="sr-Latn-ME"/>
        </w:rPr>
        <w:t xml:space="preserve"> i </w:t>
      </w:r>
      <w:r w:rsidR="00042AE2" w:rsidRPr="00E814B7">
        <w:rPr>
          <w:rFonts w:asciiTheme="majorBidi" w:eastAsiaTheme="minorHAnsi" w:hAnsiTheme="majorBidi" w:cstheme="majorBidi"/>
          <w:sz w:val="22"/>
          <w:szCs w:val="22"/>
          <w:lang w:val="sr-Latn-ME"/>
        </w:rPr>
        <w:t>snažnim induktorom CYP3A4 poput</w:t>
      </w:r>
      <w:r w:rsidR="001E3EB8"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rifampicin</w:t>
      </w:r>
      <w:r w:rsidR="001E3EB8" w:rsidRPr="00E814B7">
        <w:rPr>
          <w:rFonts w:asciiTheme="majorBidi" w:eastAsiaTheme="minorHAnsi" w:hAnsiTheme="majorBidi" w:cstheme="majorBidi"/>
          <w:sz w:val="22"/>
          <w:szCs w:val="22"/>
          <w:lang w:val="sr-Latn-ME"/>
        </w:rPr>
        <w:t>a</w:t>
      </w:r>
      <w:r w:rsidRPr="00E814B7">
        <w:rPr>
          <w:rFonts w:asciiTheme="majorBidi" w:eastAsiaTheme="minorHAnsi" w:hAnsiTheme="majorBidi" w:cstheme="majorBidi"/>
          <w:sz w:val="22"/>
          <w:szCs w:val="22"/>
          <w:lang w:val="sr-Latn-ME"/>
        </w:rPr>
        <w:t xml:space="preserve">, treba razmotriti povećanje doze na 300 mg pri čemu je potrebno </w:t>
      </w:r>
      <w:r w:rsidR="001E3EB8" w:rsidRPr="00E814B7">
        <w:rPr>
          <w:rFonts w:asciiTheme="majorBidi" w:eastAsiaTheme="minorHAnsi" w:hAnsiTheme="majorBidi" w:cstheme="majorBidi"/>
          <w:sz w:val="22"/>
          <w:szCs w:val="22"/>
          <w:lang w:val="sr-Latn-ME"/>
        </w:rPr>
        <w:t>paziti na</w:t>
      </w:r>
      <w:r w:rsidRPr="00E814B7">
        <w:rPr>
          <w:rFonts w:asciiTheme="majorBidi" w:eastAsiaTheme="minorHAnsi" w:hAnsiTheme="majorBidi" w:cstheme="majorBidi"/>
          <w:sz w:val="22"/>
          <w:szCs w:val="22"/>
          <w:lang w:val="sr-Latn-ME"/>
        </w:rPr>
        <w:t xml:space="preserve"> bezbjednost</w:t>
      </w:r>
      <w:r w:rsidR="001E3EB8" w:rsidRPr="00E814B7">
        <w:rPr>
          <w:rFonts w:asciiTheme="majorBidi" w:eastAsiaTheme="minorHAnsi" w:hAnsiTheme="majorBidi" w:cstheme="majorBidi"/>
          <w:sz w:val="22"/>
          <w:szCs w:val="22"/>
          <w:lang w:val="sr-Latn-ME"/>
        </w:rPr>
        <w:t xml:space="preserve"> pacijenata</w:t>
      </w:r>
      <w:r w:rsidRPr="00E814B7">
        <w:rPr>
          <w:rFonts w:asciiTheme="majorBidi" w:eastAsiaTheme="minorHAnsi" w:hAnsiTheme="majorBidi" w:cstheme="majorBidi"/>
          <w:sz w:val="22"/>
          <w:szCs w:val="22"/>
          <w:lang w:val="sr-Latn-ME"/>
        </w:rPr>
        <w:t xml:space="preserve"> (uključujući funkcije bubrega i jetre, kao i elektrolite u serumu). Ukoliko se pokaže da pacijent dobro podnosi tu kombinaciju u periodu dužem od 2 nedjelje, može se  razmotriti dalje povećanje doze na 450 mg uz daljnje pažljivo praćenje bezbjednosti pacijenta. Smanjena </w:t>
      </w:r>
      <w:r w:rsidR="001E3EB8" w:rsidRPr="00E814B7">
        <w:rPr>
          <w:rFonts w:asciiTheme="majorBidi" w:eastAsiaTheme="minorHAnsi" w:hAnsiTheme="majorBidi" w:cstheme="majorBidi"/>
          <w:sz w:val="22"/>
          <w:szCs w:val="22"/>
          <w:lang w:val="sr-Latn-ME"/>
        </w:rPr>
        <w:t>raspoloživost</w:t>
      </w:r>
      <w:r w:rsidRPr="00E814B7">
        <w:rPr>
          <w:rFonts w:asciiTheme="majorBidi" w:eastAsiaTheme="minorHAnsi" w:hAnsiTheme="majorBidi" w:cstheme="majorBidi"/>
          <w:sz w:val="22"/>
          <w:szCs w:val="22"/>
          <w:lang w:val="sr-Latn-ME"/>
        </w:rPr>
        <w:t xml:space="preserve"> može se pojaviti kod primjene erlotiniba sa ostalim induktorima, npr. fenitoinom, karbamazepinom, barbituratima ili kantarionom (</w:t>
      </w:r>
      <w:r w:rsidR="001E3EB8" w:rsidRPr="00E814B7">
        <w:rPr>
          <w:rFonts w:asciiTheme="majorBidi" w:eastAsiaTheme="minorHAnsi" w:hAnsiTheme="majorBidi" w:cstheme="majorBidi"/>
          <w:i/>
          <w:sz w:val="22"/>
          <w:szCs w:val="22"/>
          <w:lang w:val="sr-Latn-ME"/>
        </w:rPr>
        <w:t>H</w:t>
      </w:r>
      <w:r w:rsidRPr="00E814B7">
        <w:rPr>
          <w:rFonts w:asciiTheme="majorBidi" w:eastAsiaTheme="minorHAnsi" w:hAnsiTheme="majorBidi" w:cstheme="majorBidi"/>
          <w:i/>
          <w:sz w:val="22"/>
          <w:szCs w:val="22"/>
          <w:lang w:val="sr-Latn-ME"/>
        </w:rPr>
        <w:t>ypericum perforatum</w:t>
      </w:r>
      <w:r w:rsidRPr="00E814B7">
        <w:rPr>
          <w:rFonts w:asciiTheme="majorBidi" w:eastAsiaTheme="minorHAnsi" w:hAnsiTheme="majorBidi" w:cstheme="majorBidi"/>
          <w:sz w:val="22"/>
          <w:szCs w:val="22"/>
          <w:lang w:val="sr-Latn-ME"/>
        </w:rPr>
        <w:t>). Treba biti oprezan kada se ove aktivne supstance kombinuju sa erlotinibom. Potrebno je uzeti u obzir alternativne terapijske opcije koje nemaju jaku CYP3A4 induktivnu aktivnost</w:t>
      </w:r>
      <w:r w:rsidR="001E3EB8" w:rsidRPr="00E814B7">
        <w:rPr>
          <w:rFonts w:asciiTheme="majorBidi" w:eastAsiaTheme="minorHAnsi" w:hAnsiTheme="majorBidi" w:cstheme="majorBidi"/>
          <w:sz w:val="22"/>
          <w:szCs w:val="22"/>
          <w:lang w:val="sr-Latn-ME"/>
        </w:rPr>
        <w:t>.</w:t>
      </w:r>
    </w:p>
    <w:p w14:paraId="42C6B8AF" w14:textId="77777777" w:rsidR="001E3EB8" w:rsidRPr="00E814B7" w:rsidRDefault="001E3EB8" w:rsidP="00E814B7">
      <w:pPr>
        <w:jc w:val="both"/>
        <w:rPr>
          <w:rFonts w:asciiTheme="majorBidi" w:eastAsiaTheme="minorHAnsi" w:hAnsiTheme="majorBidi" w:cstheme="majorBidi"/>
          <w:i/>
          <w:sz w:val="22"/>
          <w:szCs w:val="22"/>
          <w:u w:val="single"/>
          <w:lang w:val="sr-Latn-ME"/>
        </w:rPr>
      </w:pPr>
    </w:p>
    <w:p w14:paraId="3995B940" w14:textId="7B7B4303" w:rsidR="001E3EB8" w:rsidRPr="00E814B7" w:rsidRDefault="001E3EB8"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kumarinski antikoagulansi</w:t>
      </w:r>
    </w:p>
    <w:p w14:paraId="3FF09754" w14:textId="7A6BD9FC" w:rsidR="001E3EB8" w:rsidRPr="00E814B7" w:rsidRDefault="001E3EB8"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Kod pacijenata koji su primali erlotinib prijavljene su interakcije sa kumarinskim antikoagulansima, uključujući varfarin, koje su dovele do povećanja INR-a  (engl. </w:t>
      </w:r>
      <w:r w:rsidRPr="00E814B7">
        <w:rPr>
          <w:rFonts w:asciiTheme="majorBidi" w:eastAsiaTheme="minorHAnsi" w:hAnsiTheme="majorBidi" w:cstheme="majorBidi"/>
          <w:i/>
          <w:iCs/>
          <w:sz w:val="22"/>
          <w:szCs w:val="22"/>
          <w:lang w:val="sr-Latn-ME"/>
        </w:rPr>
        <w:t>International Normalized Ratio</w:t>
      </w:r>
      <w:r w:rsidRPr="00E814B7">
        <w:rPr>
          <w:rFonts w:asciiTheme="majorBidi" w:eastAsiaTheme="minorHAnsi" w:hAnsiTheme="majorBidi" w:cstheme="majorBidi"/>
          <w:sz w:val="22"/>
          <w:szCs w:val="22"/>
          <w:lang w:val="sr-Latn-ME"/>
        </w:rPr>
        <w:t xml:space="preserve">) i krvarenja koja su u pojedinim slučajevima imala smrtni ishod. Pacijente koji uzimaju kumarinske antikoagulanse potrebno je redovno pratiti i kontrolisati bilo kakve promjene u protrombinskom vremenu ili INR-u. </w:t>
      </w:r>
    </w:p>
    <w:p w14:paraId="16BA93DA" w14:textId="77777777" w:rsidR="001E3EB8" w:rsidRPr="00E814B7" w:rsidRDefault="001E3EB8" w:rsidP="00E814B7">
      <w:pPr>
        <w:jc w:val="both"/>
        <w:rPr>
          <w:rFonts w:asciiTheme="majorBidi" w:eastAsiaTheme="minorHAnsi" w:hAnsiTheme="majorBidi" w:cstheme="majorBidi"/>
          <w:i/>
          <w:sz w:val="22"/>
          <w:szCs w:val="22"/>
          <w:u w:val="single"/>
          <w:lang w:val="sr-Latn-ME"/>
        </w:rPr>
      </w:pPr>
    </w:p>
    <w:p w14:paraId="6ED6E163" w14:textId="3A7E34C1" w:rsidR="001E3EB8" w:rsidRPr="00E814B7" w:rsidRDefault="001E3EB8"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statini</w:t>
      </w:r>
    </w:p>
    <w:p w14:paraId="44918262" w14:textId="23D877F3" w:rsidR="001E3EB8" w:rsidRPr="00E814B7" w:rsidRDefault="001E3EB8"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Kombinacija erlotiniba i statina može da poveća rizik od razvoja statinima indukovane miopatije, uključujući rabdomiolizu, što je rijetko zapaženo.</w:t>
      </w:r>
    </w:p>
    <w:p w14:paraId="28554BCA" w14:textId="77777777" w:rsidR="001E3EB8" w:rsidRPr="00E814B7" w:rsidRDefault="001E3EB8" w:rsidP="00E814B7">
      <w:pPr>
        <w:jc w:val="both"/>
        <w:rPr>
          <w:rFonts w:asciiTheme="majorBidi" w:eastAsiaTheme="minorHAnsi" w:hAnsiTheme="majorBidi" w:cstheme="majorBidi"/>
          <w:i/>
          <w:sz w:val="22"/>
          <w:szCs w:val="22"/>
          <w:u w:val="single"/>
          <w:lang w:val="sr-Latn-ME"/>
        </w:rPr>
      </w:pPr>
    </w:p>
    <w:p w14:paraId="04400ECE" w14:textId="07C8403E" w:rsidR="001E3EB8" w:rsidRPr="00E814B7" w:rsidRDefault="001E3EB8"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pušači</w:t>
      </w:r>
    </w:p>
    <w:p w14:paraId="288499C7" w14:textId="211ABCE9" w:rsidR="001E3EB8" w:rsidRPr="00E814B7" w:rsidRDefault="001E3EB8"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Rezultati ispitivanja farmakokinetičkih interakcija kod zdravih ispitanika pušača i nep</w:t>
      </w:r>
      <w:r w:rsidR="00A463F7" w:rsidRPr="00E814B7">
        <w:rPr>
          <w:rFonts w:asciiTheme="majorBidi" w:eastAsiaTheme="minorHAnsi" w:hAnsiTheme="majorBidi" w:cstheme="majorBidi"/>
          <w:sz w:val="22"/>
          <w:szCs w:val="22"/>
          <w:lang w:val="sr-Latn-ME"/>
        </w:rPr>
        <w:t>u</w:t>
      </w:r>
      <w:r w:rsidRPr="00E814B7">
        <w:rPr>
          <w:rFonts w:asciiTheme="majorBidi" w:eastAsiaTheme="minorHAnsi" w:hAnsiTheme="majorBidi" w:cstheme="majorBidi"/>
          <w:sz w:val="22"/>
          <w:szCs w:val="22"/>
          <w:lang w:val="sr-Latn-ME"/>
        </w:rPr>
        <w:t>šača pokazuju da pušenje značajno smanjuje AUC</w:t>
      </w:r>
      <w:r w:rsidRPr="00E814B7">
        <w:rPr>
          <w:rFonts w:asciiTheme="majorBidi" w:eastAsiaTheme="minorHAnsi" w:hAnsiTheme="majorBidi" w:cstheme="majorBidi"/>
          <w:sz w:val="22"/>
          <w:szCs w:val="22"/>
          <w:vertAlign w:val="subscript"/>
          <w:lang w:val="sr-Latn-ME"/>
        </w:rPr>
        <w:t>inf</w:t>
      </w:r>
      <w:r w:rsidRPr="00E814B7">
        <w:rPr>
          <w:rFonts w:asciiTheme="majorBidi" w:eastAsiaTheme="minorHAnsi" w:hAnsiTheme="majorBidi" w:cstheme="majorBidi"/>
          <w:sz w:val="22"/>
          <w:szCs w:val="22"/>
          <w:lang w:val="sr-Latn-ME"/>
        </w:rPr>
        <w:t>,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i koncentracije u plazmi mjereno nakon 24 sata (2.8, 1.5 odnosno 9 puta). Stoga pacijente koji puše treba savjetovati da prestanu da puše što je ranije moguće prije započinjanja terapije lijekom Inopran, jer u protivnom može doći do smanjenja koncentracije lijeka u plazmi. Prema podacima iz ispitivanja CURRENTS, nije bilo dokaza da je korist liječenja kod aktivnih pušača veća kod primjene više doze erlotiniba (300 mg) nego kod primjene preporučene doze od 150 mg. Podaci o </w:t>
      </w:r>
      <w:r w:rsidR="00C47D83" w:rsidRPr="00E814B7">
        <w:rPr>
          <w:rFonts w:asciiTheme="majorBidi" w:eastAsiaTheme="minorHAnsi" w:hAnsiTheme="majorBidi" w:cstheme="majorBidi"/>
          <w:sz w:val="22"/>
          <w:szCs w:val="22"/>
          <w:lang w:val="sr-Latn-ME"/>
        </w:rPr>
        <w:t xml:space="preserve">bezbjednosti </w:t>
      </w:r>
      <w:r w:rsidRPr="00E814B7">
        <w:rPr>
          <w:rFonts w:asciiTheme="majorBidi" w:eastAsiaTheme="minorHAnsi" w:hAnsiTheme="majorBidi" w:cstheme="majorBidi"/>
          <w:sz w:val="22"/>
          <w:szCs w:val="22"/>
          <w:lang w:val="sr-Latn-ME"/>
        </w:rPr>
        <w:t>za doze od 300 mg i 150 mg bili su uporedivi; međutim, kod pacijenata koji su primali višu dozu erlotiniba zab</w:t>
      </w:r>
      <w:r w:rsidR="0072377E"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lježeno je brojčano povećanje incidencije osipa, intersticijske bolesti pluća i dijareje (vidjeti djelove 4.2, 4.4, 5.1 i 5.2).</w:t>
      </w:r>
    </w:p>
    <w:p w14:paraId="66D5D9C9" w14:textId="09FEE496" w:rsidR="001A141F" w:rsidRPr="00E814B7" w:rsidRDefault="001A141F" w:rsidP="00E814B7">
      <w:pPr>
        <w:jc w:val="both"/>
        <w:rPr>
          <w:rFonts w:asciiTheme="majorBidi" w:eastAsiaTheme="minorHAnsi" w:hAnsiTheme="majorBidi" w:cstheme="majorBidi"/>
          <w:sz w:val="22"/>
          <w:szCs w:val="22"/>
          <w:lang w:val="sr-Latn-ME"/>
        </w:rPr>
      </w:pPr>
    </w:p>
    <w:p w14:paraId="0304E39B" w14:textId="77777777" w:rsidR="001A141F" w:rsidRPr="00E814B7" w:rsidRDefault="001A141F"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inhibitori P-glikoproteina</w:t>
      </w:r>
    </w:p>
    <w:p w14:paraId="611F5234" w14:textId="48701AD3" w:rsidR="00723C71" w:rsidRPr="00E814B7" w:rsidRDefault="001A141F"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Erlotinib je supstrat za P-glikoprotein (Pgp), koji je nosilac aktivne supstance. Istovremena primjena Pgp inhibitora, npr. ciklosporina i verapamila, može da dovede do izm</w:t>
      </w:r>
      <w:r w:rsidR="00C47D83" w:rsidRPr="00E814B7">
        <w:rPr>
          <w:rFonts w:asciiTheme="majorBidi" w:eastAsiaTheme="minorHAnsi" w:hAnsiTheme="majorBidi" w:cstheme="majorBidi"/>
          <w:sz w:val="22"/>
          <w:szCs w:val="22"/>
          <w:lang w:val="sr-Latn-ME"/>
        </w:rPr>
        <w:t>ij</w:t>
      </w:r>
      <w:r w:rsidRPr="00E814B7">
        <w:rPr>
          <w:rFonts w:asciiTheme="majorBidi" w:eastAsiaTheme="minorHAnsi" w:hAnsiTheme="majorBidi" w:cstheme="majorBidi"/>
          <w:sz w:val="22"/>
          <w:szCs w:val="22"/>
          <w:lang w:val="sr-Latn-ME"/>
        </w:rPr>
        <w:t>enjene distribucije i/ili eliminacije erlotiniba. Posl</w:t>
      </w:r>
      <w:r w:rsidR="00C47D83"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edice takve interakcije za npr. toksična oštećenja CNS-a još uvijek ni</w:t>
      </w:r>
      <w:r w:rsidR="00C47D83"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utvrđene. U takvim slučajevima potreban je oprez.</w:t>
      </w:r>
    </w:p>
    <w:p w14:paraId="2C07076A" w14:textId="24B42E3F" w:rsidR="001A141F" w:rsidRPr="00E814B7" w:rsidRDefault="001A141F" w:rsidP="00E814B7">
      <w:pPr>
        <w:jc w:val="both"/>
        <w:rPr>
          <w:rFonts w:asciiTheme="majorBidi" w:eastAsiaTheme="minorHAnsi" w:hAnsiTheme="majorBidi" w:cstheme="majorBidi"/>
          <w:sz w:val="22"/>
          <w:szCs w:val="22"/>
          <w:lang w:val="sr-Latn-ME"/>
        </w:rPr>
      </w:pPr>
    </w:p>
    <w:p w14:paraId="75EDDE6E" w14:textId="77777777" w:rsidR="00E814B7" w:rsidRDefault="00E814B7" w:rsidP="00E814B7">
      <w:pPr>
        <w:jc w:val="both"/>
        <w:rPr>
          <w:rFonts w:asciiTheme="majorBidi" w:eastAsiaTheme="minorHAnsi" w:hAnsiTheme="majorBidi" w:cstheme="majorBidi"/>
          <w:iCs/>
          <w:sz w:val="22"/>
          <w:szCs w:val="22"/>
          <w:u w:val="single"/>
          <w:lang w:val="sr-Latn-ME"/>
        </w:rPr>
      </w:pPr>
    </w:p>
    <w:p w14:paraId="671801C1" w14:textId="77777777" w:rsidR="00E814B7" w:rsidRDefault="00E814B7" w:rsidP="00E814B7">
      <w:pPr>
        <w:jc w:val="both"/>
        <w:rPr>
          <w:rFonts w:asciiTheme="majorBidi" w:eastAsiaTheme="minorHAnsi" w:hAnsiTheme="majorBidi" w:cstheme="majorBidi"/>
          <w:iCs/>
          <w:sz w:val="22"/>
          <w:szCs w:val="22"/>
          <w:u w:val="single"/>
          <w:lang w:val="sr-Latn-ME"/>
        </w:rPr>
      </w:pPr>
    </w:p>
    <w:p w14:paraId="635D88BE" w14:textId="35A3C70D" w:rsidR="001A141F" w:rsidRPr="00E814B7" w:rsidRDefault="001A141F"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lastRenderedPageBreak/>
        <w:t>Erlotinib i ljekovi koji m</w:t>
      </w:r>
      <w:r w:rsidR="00067610" w:rsidRPr="00E814B7">
        <w:rPr>
          <w:rFonts w:asciiTheme="majorBidi" w:eastAsiaTheme="minorHAnsi" w:hAnsiTheme="majorBidi" w:cstheme="majorBidi"/>
          <w:iCs/>
          <w:sz w:val="22"/>
          <w:szCs w:val="22"/>
          <w:u w:val="single"/>
          <w:lang w:val="sr-Latn-ME"/>
        </w:rPr>
        <w:t>ij</w:t>
      </w:r>
      <w:r w:rsidRPr="00E814B7">
        <w:rPr>
          <w:rFonts w:asciiTheme="majorBidi" w:eastAsiaTheme="minorHAnsi" w:hAnsiTheme="majorBidi" w:cstheme="majorBidi"/>
          <w:iCs/>
          <w:sz w:val="22"/>
          <w:szCs w:val="22"/>
          <w:u w:val="single"/>
          <w:lang w:val="sr-Latn-ME"/>
        </w:rPr>
        <w:t>enjaju pH vrijednost</w:t>
      </w:r>
    </w:p>
    <w:p w14:paraId="2F5EFE54" w14:textId="04C00D25" w:rsidR="001A141F" w:rsidRPr="00E814B7" w:rsidRDefault="001A141F" w:rsidP="00E814B7">
      <w:pPr>
        <w:jc w:val="both"/>
        <w:rPr>
          <w:rFonts w:asciiTheme="majorBidi" w:eastAsia="TimesNewRoman" w:hAnsiTheme="majorBidi" w:cstheme="majorBidi"/>
          <w:sz w:val="22"/>
          <w:szCs w:val="22"/>
          <w:lang w:val="sr-Latn-ME"/>
        </w:rPr>
      </w:pPr>
      <w:r w:rsidRPr="00E814B7">
        <w:rPr>
          <w:rFonts w:asciiTheme="majorBidi" w:eastAsiaTheme="minorHAnsi" w:hAnsiTheme="majorBidi" w:cstheme="majorBidi"/>
          <w:sz w:val="22"/>
          <w:szCs w:val="22"/>
          <w:lang w:val="sr-Latn-ME"/>
        </w:rPr>
        <w:t>Karakteristika erlotiniba je smanjena rastvorljivost pri pH vrijednostima iznad 5. Ljekovi koji mjenjaju pH vrijednost u gornjim djelovima gastrointestinalnog trakta mogu prom</w:t>
      </w:r>
      <w:r w:rsidR="007210BA"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jeniti rastvorljivost erlotiniba, a time i njegovu bioraspoloživost. Istovremenom primjenom erlotiniba i omeprazola, inhibitora protonske pumpe, došlo je do smanjenja raspoloživosti erlotiniba [AUC] za 46% i maksimalne koncentracije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za 61%. Nije bilo promjena vrijednosti T</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niti poluvremena eliminacije. Istovremena primjena erlotiniba sa 300 mg ranitidina, antagonista H2 receptora, smanjuje izloženost erlotinibu [AUC] za 33% i maksimalne koncentracije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za 54%. Povećanje doze erlotiniba pri istovremenoj primjeni sa takvim ljekovima v</w:t>
      </w:r>
      <w:r w:rsidR="007210BA"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erovatno neće nadoknaditi  gubitak izloženosti lijeku. Međutim, kada se erlotinib primjenjuje načinom naizmjenično 2 sata prije ili 10 sati poslije primjene ranitidina dva puta dnevno, izloženost erlotinibu se smanjuje samo za [AUC] 15% i maksimalnu koncentraciju za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17%. Nije ispitan efekat antacida na </w:t>
      </w:r>
      <w:r w:rsidR="00C47D83" w:rsidRPr="00E814B7">
        <w:rPr>
          <w:rFonts w:asciiTheme="majorBidi" w:eastAsiaTheme="minorHAnsi" w:hAnsiTheme="majorBidi" w:cstheme="majorBidi"/>
          <w:sz w:val="22"/>
          <w:szCs w:val="22"/>
          <w:lang w:val="sr-Latn-ME"/>
        </w:rPr>
        <w:t>re</w:t>
      </w:r>
      <w:r w:rsidRPr="00E814B7">
        <w:rPr>
          <w:rFonts w:asciiTheme="majorBidi" w:eastAsiaTheme="minorHAnsi" w:hAnsiTheme="majorBidi" w:cstheme="majorBidi"/>
          <w:sz w:val="22"/>
          <w:szCs w:val="22"/>
          <w:lang w:val="sr-Latn-ME"/>
        </w:rPr>
        <w:t xml:space="preserve">sorpciju erlotiniba, ali može doći do poremećaja </w:t>
      </w:r>
      <w:r w:rsidR="00C47D83" w:rsidRPr="00E814B7">
        <w:rPr>
          <w:rFonts w:asciiTheme="majorBidi" w:eastAsiaTheme="minorHAnsi" w:hAnsiTheme="majorBidi" w:cstheme="majorBidi"/>
          <w:sz w:val="22"/>
          <w:szCs w:val="22"/>
          <w:lang w:val="sr-Latn-ME"/>
        </w:rPr>
        <w:t>re</w:t>
      </w:r>
      <w:r w:rsidRPr="00E814B7">
        <w:rPr>
          <w:rFonts w:asciiTheme="majorBidi" w:eastAsiaTheme="minorHAnsi" w:hAnsiTheme="majorBidi" w:cstheme="majorBidi"/>
          <w:sz w:val="22"/>
          <w:szCs w:val="22"/>
          <w:lang w:val="sr-Latn-ME"/>
        </w:rPr>
        <w:t xml:space="preserve">sorpcije, što dovodi do nižih nivoa lijeka u plazmi. Treba izbjegavati kombinaciju erlotiniba i inhibitora protonske pumpe. </w:t>
      </w:r>
      <w:r w:rsidRPr="00E814B7">
        <w:rPr>
          <w:rFonts w:asciiTheme="majorBidi" w:eastAsia="TimesNewRoman" w:hAnsiTheme="majorBidi" w:cstheme="majorBidi"/>
          <w:sz w:val="22"/>
          <w:szCs w:val="22"/>
          <w:lang w:val="sr-Latn-ME"/>
        </w:rPr>
        <w:t>Ukoliko je tokom terapije lijekom Inopran neophodna primjena antacida, treba ih uzimati najmanje 4 sata prije ili 2 sata nakon primjene dnevne doze lijeka Inopran. Ako je potrebno uzimati ranitidin, treba ga uzimati načinom naizm</w:t>
      </w:r>
      <w:r w:rsidR="00133155" w:rsidRPr="00E814B7">
        <w:rPr>
          <w:rFonts w:asciiTheme="majorBidi" w:eastAsia="TimesNewRoman" w:hAnsiTheme="majorBidi" w:cstheme="majorBidi"/>
          <w:sz w:val="22"/>
          <w:szCs w:val="22"/>
          <w:lang w:val="sr-Latn-ME"/>
        </w:rPr>
        <w:t>j</w:t>
      </w:r>
      <w:r w:rsidRPr="00E814B7">
        <w:rPr>
          <w:rFonts w:asciiTheme="majorBidi" w:eastAsia="TimesNewRoman" w:hAnsiTheme="majorBidi" w:cstheme="majorBidi"/>
          <w:sz w:val="22"/>
          <w:szCs w:val="22"/>
          <w:lang w:val="sr-Latn-ME"/>
        </w:rPr>
        <w:t>enično, npr. Inopran se mora uzimati najmanje 2 sata prije ili 10 sati nakon primjene ranitidina.</w:t>
      </w:r>
    </w:p>
    <w:p w14:paraId="3ED2ED13" w14:textId="3CDDDABA" w:rsidR="001A141F" w:rsidRPr="00E814B7" w:rsidRDefault="001A141F" w:rsidP="00E814B7">
      <w:pPr>
        <w:jc w:val="both"/>
        <w:rPr>
          <w:rFonts w:asciiTheme="majorBidi" w:eastAsia="TimesNewRoman" w:hAnsiTheme="majorBidi" w:cstheme="majorBidi"/>
          <w:sz w:val="22"/>
          <w:szCs w:val="22"/>
          <w:lang w:val="sr-Latn-ME"/>
        </w:rPr>
      </w:pPr>
    </w:p>
    <w:p w14:paraId="62C9589D" w14:textId="77777777" w:rsidR="001A141F" w:rsidRPr="00E814B7" w:rsidRDefault="001A141F"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gemcitabin</w:t>
      </w:r>
    </w:p>
    <w:p w14:paraId="61596131" w14:textId="5BEC551D" w:rsidR="001A141F" w:rsidRPr="00E814B7" w:rsidRDefault="001A141F"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U studiji faze Ib ni</w:t>
      </w:r>
      <w:r w:rsidR="00C47D83"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 xml:space="preserve">su ustanovljeni značajni </w:t>
      </w:r>
      <w:r w:rsidR="00C47D83" w:rsidRPr="00E814B7">
        <w:rPr>
          <w:rFonts w:asciiTheme="majorBidi" w:eastAsiaTheme="minorHAnsi" w:hAnsiTheme="majorBidi" w:cstheme="majorBidi"/>
          <w:sz w:val="22"/>
          <w:szCs w:val="22"/>
          <w:lang w:val="sr-Latn-ME"/>
        </w:rPr>
        <w:t xml:space="preserve">efekti </w:t>
      </w:r>
      <w:r w:rsidRPr="00E814B7">
        <w:rPr>
          <w:rFonts w:asciiTheme="majorBidi" w:eastAsiaTheme="minorHAnsi" w:hAnsiTheme="majorBidi" w:cstheme="majorBidi"/>
          <w:sz w:val="22"/>
          <w:szCs w:val="22"/>
          <w:lang w:val="sr-Latn-ME"/>
        </w:rPr>
        <w:t>gemcitabina na farmakokinetiku erlotiniba, niti erlotiniba na farmakokinetiku gemcitabina.</w:t>
      </w:r>
    </w:p>
    <w:p w14:paraId="63A0FDF1" w14:textId="77777777" w:rsidR="001A141F" w:rsidRPr="00E814B7" w:rsidRDefault="001A141F" w:rsidP="00E814B7">
      <w:pPr>
        <w:jc w:val="both"/>
        <w:rPr>
          <w:rFonts w:asciiTheme="majorBidi" w:eastAsiaTheme="minorHAnsi" w:hAnsiTheme="majorBidi" w:cstheme="majorBidi"/>
          <w:i/>
          <w:sz w:val="22"/>
          <w:szCs w:val="22"/>
          <w:u w:val="single"/>
          <w:lang w:val="sr-Latn-ME"/>
        </w:rPr>
      </w:pPr>
    </w:p>
    <w:p w14:paraId="2BAECD05" w14:textId="4E9FCDA4" w:rsidR="001A141F" w:rsidRPr="00E814B7" w:rsidRDefault="001A141F"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karboplatin/paklitaksel</w:t>
      </w:r>
    </w:p>
    <w:p w14:paraId="6BFBF189" w14:textId="4232C66A" w:rsidR="001A141F" w:rsidRPr="00E814B7" w:rsidRDefault="00564B9B"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Erlotinib povećava koncentraciju platine</w:t>
      </w:r>
      <w:r w:rsidR="001A141F" w:rsidRPr="00E814B7">
        <w:rPr>
          <w:rFonts w:asciiTheme="majorBidi" w:eastAsiaTheme="minorHAnsi" w:hAnsiTheme="majorBidi" w:cstheme="majorBidi"/>
          <w:sz w:val="22"/>
          <w:szCs w:val="22"/>
          <w:lang w:val="sr-Latn-ME"/>
        </w:rPr>
        <w:t>. U kliničk</w:t>
      </w:r>
      <w:r w:rsidRPr="00E814B7">
        <w:rPr>
          <w:rFonts w:asciiTheme="majorBidi" w:eastAsiaTheme="minorHAnsi" w:hAnsiTheme="majorBidi" w:cstheme="majorBidi"/>
          <w:sz w:val="22"/>
          <w:szCs w:val="22"/>
          <w:lang w:val="sr-Latn-ME"/>
        </w:rPr>
        <w:t>om ispitivanju</w:t>
      </w:r>
      <w:r w:rsidR="001A141F" w:rsidRPr="00E814B7">
        <w:rPr>
          <w:rFonts w:asciiTheme="majorBidi" w:eastAsiaTheme="minorHAnsi" w:hAnsiTheme="majorBidi" w:cstheme="majorBidi"/>
          <w:sz w:val="22"/>
          <w:szCs w:val="22"/>
          <w:lang w:val="sr-Latn-ME"/>
        </w:rPr>
        <w:t>, istovremena upotreba erlotiniba sa karboplatinom i paklitakselom dovela je do povećanja ukupnog AUC</w:t>
      </w:r>
      <w:r w:rsidR="001A141F" w:rsidRPr="00E814B7">
        <w:rPr>
          <w:rFonts w:asciiTheme="majorBidi" w:eastAsiaTheme="minorHAnsi" w:hAnsiTheme="majorBidi" w:cstheme="majorBidi"/>
          <w:sz w:val="22"/>
          <w:szCs w:val="22"/>
          <w:vertAlign w:val="subscript"/>
          <w:lang w:val="sr-Latn-ME"/>
        </w:rPr>
        <w:t xml:space="preserve">0-48 </w:t>
      </w:r>
      <w:r w:rsidR="001A141F" w:rsidRPr="00E814B7">
        <w:rPr>
          <w:rFonts w:asciiTheme="majorBidi" w:eastAsiaTheme="minorHAnsi" w:hAnsiTheme="majorBidi" w:cstheme="majorBidi"/>
          <w:sz w:val="22"/>
          <w:szCs w:val="22"/>
          <w:lang w:val="sr-Latn-ME"/>
        </w:rPr>
        <w:t xml:space="preserve"> platine od 10.6%. Iako statistički značajna, ova razlika se ne smatra klinički značajnom. U kliničkoj praksi moguće je da postoje drugi kofaktori koji </w:t>
      </w:r>
      <w:r w:rsidRPr="00E814B7">
        <w:rPr>
          <w:rFonts w:asciiTheme="majorBidi" w:eastAsiaTheme="minorHAnsi" w:hAnsiTheme="majorBidi" w:cstheme="majorBidi"/>
          <w:sz w:val="22"/>
          <w:szCs w:val="22"/>
          <w:lang w:val="sr-Latn-ME"/>
        </w:rPr>
        <w:t>uzrokuju</w:t>
      </w:r>
      <w:r w:rsidR="001A141F" w:rsidRPr="00E814B7">
        <w:rPr>
          <w:rFonts w:asciiTheme="majorBidi" w:eastAsiaTheme="minorHAnsi" w:hAnsiTheme="majorBidi" w:cstheme="majorBidi"/>
          <w:sz w:val="22"/>
          <w:szCs w:val="22"/>
          <w:lang w:val="sr-Latn-ME"/>
        </w:rPr>
        <w:t xml:space="preserve"> povećan</w:t>
      </w:r>
      <w:r w:rsidRPr="00E814B7">
        <w:rPr>
          <w:rFonts w:asciiTheme="majorBidi" w:eastAsiaTheme="minorHAnsi" w:hAnsiTheme="majorBidi" w:cstheme="majorBidi"/>
          <w:sz w:val="22"/>
          <w:szCs w:val="22"/>
          <w:lang w:val="sr-Latn-ME"/>
        </w:rPr>
        <w:t>u</w:t>
      </w:r>
      <w:r w:rsidR="001A141F" w:rsidRPr="00E814B7">
        <w:rPr>
          <w:rFonts w:asciiTheme="majorBidi" w:eastAsiaTheme="minorHAnsi" w:hAnsiTheme="majorBidi" w:cstheme="majorBidi"/>
          <w:sz w:val="22"/>
          <w:szCs w:val="22"/>
          <w:lang w:val="sr-Latn-ME"/>
        </w:rPr>
        <w:t xml:space="preserve"> izloženost karboplatin</w:t>
      </w:r>
      <w:r w:rsidRPr="00E814B7">
        <w:rPr>
          <w:rFonts w:asciiTheme="majorBidi" w:eastAsiaTheme="minorHAnsi" w:hAnsiTheme="majorBidi" w:cstheme="majorBidi"/>
          <w:sz w:val="22"/>
          <w:szCs w:val="22"/>
          <w:lang w:val="sr-Latn-ME"/>
        </w:rPr>
        <w:t>u</w:t>
      </w:r>
      <w:r w:rsidR="001A141F"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poput</w:t>
      </w:r>
      <w:r w:rsidR="001A141F"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rPr>
        <w:t>narušene</w:t>
      </w:r>
      <w:r w:rsidR="001A141F" w:rsidRPr="00E814B7">
        <w:rPr>
          <w:rFonts w:asciiTheme="majorBidi" w:eastAsiaTheme="minorHAnsi" w:hAnsiTheme="majorBidi" w:cstheme="majorBidi"/>
          <w:sz w:val="22"/>
          <w:szCs w:val="22"/>
          <w:lang w:val="sr-Latn-ME"/>
        </w:rPr>
        <w:t xml:space="preserve"> funkcije bubrega. </w:t>
      </w:r>
      <w:r w:rsidRPr="00E814B7">
        <w:rPr>
          <w:rFonts w:asciiTheme="majorBidi" w:eastAsiaTheme="minorHAnsi" w:hAnsiTheme="majorBidi" w:cstheme="majorBidi"/>
          <w:sz w:val="22"/>
          <w:szCs w:val="22"/>
          <w:lang w:val="sr-Latn-ME"/>
        </w:rPr>
        <w:t>Ni</w:t>
      </w:r>
      <w:r w:rsidR="00C47D83"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uočeni</w:t>
      </w:r>
      <w:r w:rsidR="001A141F" w:rsidRPr="00E814B7">
        <w:rPr>
          <w:rFonts w:asciiTheme="majorBidi" w:eastAsiaTheme="minorHAnsi" w:hAnsiTheme="majorBidi" w:cstheme="majorBidi"/>
          <w:sz w:val="22"/>
          <w:szCs w:val="22"/>
          <w:lang w:val="sr-Latn-ME"/>
        </w:rPr>
        <w:t xml:space="preserve"> značajni efek</w:t>
      </w:r>
      <w:r w:rsidRPr="00E814B7">
        <w:rPr>
          <w:rFonts w:asciiTheme="majorBidi" w:eastAsiaTheme="minorHAnsi" w:hAnsiTheme="majorBidi" w:cstheme="majorBidi"/>
          <w:sz w:val="22"/>
          <w:szCs w:val="22"/>
          <w:lang w:val="sr-Latn-ME"/>
        </w:rPr>
        <w:t>ti</w:t>
      </w:r>
      <w:r w:rsidR="001A141F" w:rsidRPr="00E814B7">
        <w:rPr>
          <w:rFonts w:asciiTheme="majorBidi" w:eastAsiaTheme="minorHAnsi" w:hAnsiTheme="majorBidi" w:cstheme="majorBidi"/>
          <w:sz w:val="22"/>
          <w:szCs w:val="22"/>
          <w:lang w:val="sr-Latn-ME"/>
        </w:rPr>
        <w:t xml:space="preserve"> karboplatina ili paklitaksela na farmakokinetiku erlotiniba.</w:t>
      </w:r>
    </w:p>
    <w:p w14:paraId="261CEFD5" w14:textId="5CB3418E" w:rsidR="001A141F" w:rsidRPr="00E814B7" w:rsidRDefault="001A141F" w:rsidP="00E814B7">
      <w:pPr>
        <w:jc w:val="both"/>
        <w:rPr>
          <w:rFonts w:asciiTheme="majorBidi" w:eastAsia="TimesNewRoman" w:hAnsiTheme="majorBidi" w:cstheme="majorBidi"/>
          <w:sz w:val="22"/>
          <w:szCs w:val="22"/>
          <w:lang w:val="sr-Latn-ME"/>
        </w:rPr>
      </w:pPr>
    </w:p>
    <w:p w14:paraId="4D8CB5B8" w14:textId="77777777" w:rsidR="00564B9B" w:rsidRPr="00E814B7" w:rsidRDefault="00564B9B" w:rsidP="00E814B7">
      <w:pPr>
        <w:jc w:val="both"/>
        <w:rPr>
          <w:rFonts w:asciiTheme="majorBidi" w:eastAsiaTheme="minorHAnsi" w:hAnsiTheme="majorBidi" w:cstheme="majorBidi"/>
          <w:iCs/>
          <w:sz w:val="22"/>
          <w:szCs w:val="22"/>
          <w:u w:val="single"/>
          <w:lang w:val="sr-Latn-ME"/>
        </w:rPr>
      </w:pPr>
      <w:r w:rsidRPr="00E814B7">
        <w:rPr>
          <w:rFonts w:asciiTheme="majorBidi" w:eastAsiaTheme="minorHAnsi" w:hAnsiTheme="majorBidi" w:cstheme="majorBidi"/>
          <w:iCs/>
          <w:sz w:val="22"/>
          <w:szCs w:val="22"/>
          <w:u w:val="single"/>
          <w:lang w:val="sr-Latn-ME"/>
        </w:rPr>
        <w:t>Erlotinib i kapecitabin</w:t>
      </w:r>
    </w:p>
    <w:p w14:paraId="2A243C38" w14:textId="77777777" w:rsidR="00564B9B" w:rsidRPr="00E814B7" w:rsidRDefault="00564B9B"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Kapecitabin može da poveća koncentraciju erlotiniba. Kada je erlotinib dat u kombinaciji sa kapecitabinom, došlo je do statistički značajnog povećanja AUC-a erlotiniba i graničnog povećanja  C</w:t>
      </w:r>
      <w:r w:rsidRPr="00E814B7">
        <w:rPr>
          <w:rFonts w:asciiTheme="majorBidi" w:eastAsiaTheme="minorHAnsi" w:hAnsiTheme="majorBidi" w:cstheme="majorBidi"/>
          <w:sz w:val="22"/>
          <w:szCs w:val="22"/>
          <w:vertAlign w:val="subscript"/>
          <w:lang w:val="sr-Latn-ME"/>
        </w:rPr>
        <w:t xml:space="preserve">max  </w:t>
      </w:r>
      <w:r w:rsidRPr="00E814B7">
        <w:rPr>
          <w:rFonts w:asciiTheme="majorBidi" w:eastAsiaTheme="minorHAnsi" w:hAnsiTheme="majorBidi" w:cstheme="majorBidi"/>
          <w:sz w:val="22"/>
          <w:szCs w:val="22"/>
          <w:lang w:val="sr-Latn-ME"/>
        </w:rPr>
        <w:t>u poređenju sa vrijednostima uočenim u drugoj studiji u kojoj je erlotinib primjenjivan samostalno. Nije bilo značajnog uticaja erlotiniba na farmakokinetiku kapecitabina.</w:t>
      </w:r>
    </w:p>
    <w:p w14:paraId="63E6D3DA" w14:textId="7E944C42" w:rsidR="00564B9B" w:rsidRPr="00E814B7" w:rsidRDefault="00564B9B" w:rsidP="00E814B7">
      <w:pPr>
        <w:jc w:val="both"/>
        <w:rPr>
          <w:rFonts w:asciiTheme="majorBidi" w:eastAsia="TimesNewRoman" w:hAnsiTheme="majorBidi" w:cstheme="majorBidi"/>
          <w:sz w:val="22"/>
          <w:szCs w:val="22"/>
          <w:lang w:val="sr-Latn-ME"/>
        </w:rPr>
      </w:pPr>
    </w:p>
    <w:p w14:paraId="572C3A44" w14:textId="77777777" w:rsidR="00564B9B" w:rsidRPr="00E814B7" w:rsidRDefault="00564B9B" w:rsidP="00E814B7">
      <w:pPr>
        <w:tabs>
          <w:tab w:val="left" w:pos="284"/>
        </w:tabs>
        <w:jc w:val="both"/>
        <w:rPr>
          <w:rFonts w:asciiTheme="majorBidi" w:hAnsiTheme="majorBidi" w:cstheme="majorBidi"/>
          <w:iCs/>
          <w:sz w:val="22"/>
          <w:szCs w:val="22"/>
          <w:u w:val="single"/>
          <w:lang w:val="sr-Latn-ME"/>
        </w:rPr>
      </w:pPr>
      <w:r w:rsidRPr="00E814B7">
        <w:rPr>
          <w:rFonts w:asciiTheme="majorBidi" w:hAnsiTheme="majorBidi" w:cstheme="majorBidi"/>
          <w:iCs/>
          <w:sz w:val="22"/>
          <w:szCs w:val="22"/>
          <w:u w:val="single"/>
          <w:lang w:val="sr-Latn-ME"/>
        </w:rPr>
        <w:t>Erlotinib i inhibitori proteazoma</w:t>
      </w:r>
    </w:p>
    <w:p w14:paraId="1A3E7F5B" w14:textId="5AFC652A" w:rsidR="00564B9B" w:rsidRPr="00E814B7" w:rsidRDefault="00564B9B"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Zbog njihovog mehanizma djelovanja, može se očekivati da uticaj inhibitora proteazoma, uključujući bortezomib, na efekat inhibitora EGFR (</w:t>
      </w:r>
      <w:r w:rsidRPr="00E814B7">
        <w:rPr>
          <w:rFonts w:asciiTheme="majorBidi" w:eastAsiaTheme="minorHAnsi" w:hAnsiTheme="majorBidi" w:cstheme="majorBidi"/>
          <w:i/>
          <w:sz w:val="22"/>
          <w:szCs w:val="22"/>
          <w:lang w:val="sr-Latn-ME"/>
        </w:rPr>
        <w:t>epidermal growth factor receptor</w:t>
      </w:r>
      <w:r w:rsidRPr="00E814B7">
        <w:rPr>
          <w:rFonts w:asciiTheme="majorBidi" w:eastAsiaTheme="minorHAnsi" w:hAnsiTheme="majorBidi" w:cstheme="majorBidi"/>
          <w:sz w:val="22"/>
          <w:szCs w:val="22"/>
          <w:lang w:val="sr-Latn-ME"/>
        </w:rPr>
        <w:t xml:space="preserve">), uključujući erlotinib. Taj uticaj podržavaju ograničeni klinički podaci i pretklinička ispitivanja koja pokazuju degradaciju EGFR djelovanjem proteazoma. </w:t>
      </w:r>
    </w:p>
    <w:p w14:paraId="440BFBB6" w14:textId="77777777"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1AC45361" w14:textId="77777777" w:rsidR="0072020E" w:rsidRPr="00E814B7" w:rsidRDefault="0072020E" w:rsidP="00E814B7">
      <w:pPr>
        <w:tabs>
          <w:tab w:val="left" w:pos="540"/>
          <w:tab w:val="left" w:pos="569"/>
        </w:tabs>
        <w:jc w:val="both"/>
        <w:rPr>
          <w:rFonts w:asciiTheme="majorBidi" w:hAnsiTheme="majorBidi" w:cstheme="majorBidi"/>
          <w:b/>
          <w:sz w:val="22"/>
          <w:szCs w:val="22"/>
          <w:lang w:val="sr-Latn-ME"/>
        </w:rPr>
      </w:pPr>
      <w:r w:rsidRPr="00E814B7">
        <w:rPr>
          <w:rFonts w:asciiTheme="majorBidi" w:hAnsiTheme="majorBidi" w:cstheme="majorBidi"/>
          <w:b/>
          <w:bCs/>
          <w:sz w:val="22"/>
          <w:szCs w:val="22"/>
          <w:lang w:val="sr-Latn-ME"/>
        </w:rPr>
        <w:t xml:space="preserve">4.6. </w:t>
      </w:r>
      <w:r w:rsidR="00480FB1" w:rsidRPr="00E814B7">
        <w:rPr>
          <w:rFonts w:asciiTheme="majorBidi" w:hAnsiTheme="majorBidi" w:cstheme="majorBidi"/>
          <w:b/>
          <w:bCs/>
          <w:sz w:val="22"/>
          <w:szCs w:val="22"/>
          <w:lang w:val="sr-Latn-ME"/>
        </w:rPr>
        <w:tab/>
      </w:r>
      <w:r w:rsidR="006D20A5" w:rsidRPr="00E814B7">
        <w:rPr>
          <w:rFonts w:asciiTheme="majorBidi" w:hAnsiTheme="majorBidi" w:cstheme="majorBidi"/>
          <w:b/>
          <w:sz w:val="22"/>
          <w:szCs w:val="22"/>
          <w:lang w:val="sr-Latn-ME"/>
        </w:rPr>
        <w:t>Plodnost, trudnoća i dojenje</w:t>
      </w:r>
    </w:p>
    <w:p w14:paraId="78BF770B" w14:textId="77777777" w:rsidR="002031B3" w:rsidRPr="00E814B7" w:rsidRDefault="002031B3" w:rsidP="00E814B7">
      <w:pPr>
        <w:tabs>
          <w:tab w:val="left" w:pos="540"/>
          <w:tab w:val="left" w:pos="569"/>
        </w:tabs>
        <w:jc w:val="both"/>
        <w:rPr>
          <w:rFonts w:asciiTheme="majorBidi" w:hAnsiTheme="majorBidi" w:cstheme="majorBidi"/>
          <w:sz w:val="22"/>
          <w:szCs w:val="22"/>
          <w:u w:val="single"/>
          <w:lang w:val="sr-Latn-ME"/>
        </w:rPr>
      </w:pPr>
    </w:p>
    <w:p w14:paraId="65F0C689" w14:textId="77777777" w:rsidR="00B8540D" w:rsidRPr="00E814B7" w:rsidRDefault="00B8540D" w:rsidP="00E814B7">
      <w:pPr>
        <w:jc w:val="both"/>
        <w:rPr>
          <w:rFonts w:asciiTheme="majorBidi" w:hAnsiTheme="majorBidi" w:cstheme="majorBidi"/>
          <w:iCs/>
          <w:sz w:val="22"/>
          <w:szCs w:val="22"/>
          <w:u w:val="single"/>
          <w:lang w:val="sr-Latn-ME"/>
        </w:rPr>
      </w:pPr>
      <w:r w:rsidRPr="00E814B7">
        <w:rPr>
          <w:rFonts w:asciiTheme="majorBidi" w:hAnsiTheme="majorBidi" w:cstheme="majorBidi"/>
          <w:iCs/>
          <w:sz w:val="22"/>
          <w:szCs w:val="22"/>
          <w:u w:val="single"/>
          <w:lang w:val="sr-Latn-ME"/>
        </w:rPr>
        <w:t>Žene u reproduktivnom periodu</w:t>
      </w:r>
    </w:p>
    <w:p w14:paraId="60FD609E" w14:textId="77777777" w:rsidR="00B8540D" w:rsidRPr="00E814B7" w:rsidRDefault="00B8540D" w:rsidP="00E814B7">
      <w:pPr>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Ženama u reproduktivnom periodu se mora savjetovati da izbjegavaju trudnoću za vrijeme terapije lijekom Inopran. Za vrijeme liječenja trebalo bi koristiti odgovarajuću kontracepciju i sa njom nastaviti najmanje 2 nedjelje po završetku ove terapije. Terapiju kod trudnica treba nastaviti samo ako je potencijalna korist za majku veća od rizika po fetus. </w:t>
      </w:r>
    </w:p>
    <w:p w14:paraId="29A97B6D" w14:textId="77777777" w:rsidR="00B8540D" w:rsidRPr="00E814B7" w:rsidRDefault="00B8540D" w:rsidP="00E814B7">
      <w:pPr>
        <w:tabs>
          <w:tab w:val="left" w:pos="540"/>
          <w:tab w:val="left" w:pos="569"/>
        </w:tabs>
        <w:jc w:val="both"/>
        <w:rPr>
          <w:rFonts w:asciiTheme="majorBidi" w:hAnsiTheme="majorBidi" w:cstheme="majorBidi"/>
          <w:sz w:val="22"/>
          <w:szCs w:val="22"/>
          <w:u w:val="single"/>
          <w:lang w:val="sr-Latn-ME"/>
        </w:rPr>
      </w:pPr>
    </w:p>
    <w:p w14:paraId="6446D3C9" w14:textId="01D37E86" w:rsidR="002031B3" w:rsidRPr="00E814B7" w:rsidRDefault="002031B3"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Plodnost</w:t>
      </w:r>
    </w:p>
    <w:p w14:paraId="7DC673D8" w14:textId="5C280840" w:rsidR="00B8540D" w:rsidRPr="00E814B7" w:rsidRDefault="00B8540D" w:rsidP="00E814B7">
      <w:pPr>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Ispitivanja na životinjama ni</w:t>
      </w:r>
      <w:r w:rsidR="00C47D83" w:rsidRPr="00E814B7">
        <w:rPr>
          <w:rFonts w:asciiTheme="majorBidi" w:hAnsiTheme="majorBidi" w:cstheme="majorBidi"/>
          <w:sz w:val="22"/>
          <w:szCs w:val="22"/>
          <w:lang w:val="sr-Latn-ME"/>
        </w:rPr>
        <w:t>je</w:t>
      </w:r>
      <w:r w:rsidRPr="00E814B7">
        <w:rPr>
          <w:rFonts w:asciiTheme="majorBidi" w:hAnsiTheme="majorBidi" w:cstheme="majorBidi"/>
          <w:sz w:val="22"/>
          <w:szCs w:val="22"/>
          <w:lang w:val="sr-Latn-ME"/>
        </w:rPr>
        <w:t>su pokazala znake smanjene plodnosti. Međutim, štetan uticaj na plodnost se ne može isključiti, jer su studije na životinjama pokazale uticaj na reproduktivne parametre (vidjeti dio 5.3). Mogući rizik za čovjeka nije poznat.</w:t>
      </w:r>
    </w:p>
    <w:p w14:paraId="0C37AA5A" w14:textId="77777777" w:rsidR="002031B3" w:rsidRPr="00E814B7" w:rsidRDefault="002031B3" w:rsidP="00E814B7">
      <w:pPr>
        <w:tabs>
          <w:tab w:val="left" w:pos="540"/>
          <w:tab w:val="left" w:pos="569"/>
        </w:tabs>
        <w:jc w:val="both"/>
        <w:rPr>
          <w:rFonts w:asciiTheme="majorBidi" w:hAnsiTheme="majorBidi" w:cstheme="majorBidi"/>
          <w:sz w:val="22"/>
          <w:szCs w:val="22"/>
          <w:u w:val="single"/>
          <w:lang w:val="sr-Latn-ME"/>
        </w:rPr>
      </w:pPr>
    </w:p>
    <w:p w14:paraId="4E8EFA7D" w14:textId="77777777" w:rsidR="007A3ECB" w:rsidRPr="00E814B7" w:rsidRDefault="007A3ECB"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Trudnoća</w:t>
      </w:r>
    </w:p>
    <w:p w14:paraId="19B86BEB" w14:textId="110D506E" w:rsidR="00B8540D" w:rsidRPr="00E814B7" w:rsidRDefault="00B8540D" w:rsidP="00E814B7">
      <w:pPr>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Nema dostupnih podataka o primjeni erlotiniba kod trudnica. Studije na životinjama ni</w:t>
      </w:r>
      <w:r w:rsidR="00C47D83" w:rsidRPr="00E814B7">
        <w:rPr>
          <w:rFonts w:asciiTheme="majorBidi" w:hAnsiTheme="majorBidi" w:cstheme="majorBidi"/>
          <w:sz w:val="22"/>
          <w:szCs w:val="22"/>
          <w:lang w:val="sr-Latn-ME"/>
        </w:rPr>
        <w:t>je</w:t>
      </w:r>
      <w:r w:rsidRPr="00E814B7">
        <w:rPr>
          <w:rFonts w:asciiTheme="majorBidi" w:hAnsiTheme="majorBidi" w:cstheme="majorBidi"/>
          <w:sz w:val="22"/>
          <w:szCs w:val="22"/>
          <w:lang w:val="sr-Latn-ME"/>
        </w:rPr>
        <w:t xml:space="preserve">su pokazale znake  teratogenosti ili abnormalnosti pri porođaju. Međutim, štetan uticaj na trudnoću se ne može </w:t>
      </w:r>
      <w:r w:rsidRPr="00E814B7">
        <w:rPr>
          <w:rFonts w:asciiTheme="majorBidi" w:hAnsiTheme="majorBidi" w:cstheme="majorBidi"/>
          <w:sz w:val="22"/>
          <w:szCs w:val="22"/>
          <w:lang w:val="sr-Latn-ME"/>
        </w:rPr>
        <w:lastRenderedPageBreak/>
        <w:t xml:space="preserve">isključiti, pošto su studije na pacovima i </w:t>
      </w:r>
      <w:r w:rsidR="00C47D83" w:rsidRPr="00E814B7">
        <w:rPr>
          <w:rFonts w:asciiTheme="majorBidi" w:hAnsiTheme="majorBidi" w:cstheme="majorBidi"/>
          <w:sz w:val="22"/>
          <w:szCs w:val="22"/>
          <w:lang w:val="sr-Latn-ME"/>
        </w:rPr>
        <w:t xml:space="preserve">kunićima </w:t>
      </w:r>
      <w:r w:rsidRPr="00E814B7">
        <w:rPr>
          <w:rFonts w:asciiTheme="majorBidi" w:hAnsiTheme="majorBidi" w:cstheme="majorBidi"/>
          <w:sz w:val="22"/>
          <w:szCs w:val="22"/>
          <w:lang w:val="sr-Latn-ME"/>
        </w:rPr>
        <w:t>pokazale povećanu embrio/fetalnu smrtnost (vidjeti dio 5.3). Potencijalni rizik za ljude nije poznat.</w:t>
      </w:r>
    </w:p>
    <w:p w14:paraId="5E2C654D" w14:textId="77777777" w:rsidR="002031B3" w:rsidRPr="00E814B7" w:rsidRDefault="002031B3" w:rsidP="00E814B7">
      <w:pPr>
        <w:tabs>
          <w:tab w:val="left" w:pos="540"/>
          <w:tab w:val="left" w:pos="569"/>
        </w:tabs>
        <w:jc w:val="both"/>
        <w:rPr>
          <w:rFonts w:asciiTheme="majorBidi" w:hAnsiTheme="majorBidi" w:cstheme="majorBidi"/>
          <w:sz w:val="22"/>
          <w:szCs w:val="22"/>
          <w:u w:val="single"/>
          <w:lang w:val="sr-Latn-ME"/>
        </w:rPr>
      </w:pPr>
    </w:p>
    <w:p w14:paraId="68371748" w14:textId="29E7A029" w:rsidR="0072020E" w:rsidRPr="00E814B7" w:rsidRDefault="007A3ECB"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Dojenje</w:t>
      </w:r>
    </w:p>
    <w:p w14:paraId="35F81585" w14:textId="62E1046D" w:rsidR="00B8540D" w:rsidRPr="00E814B7" w:rsidRDefault="00B8540D" w:rsidP="00E814B7">
      <w:pPr>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Nije poznato da li se erlotinib izlučuje u majčino mlijeko. Ni</w:t>
      </w:r>
      <w:r w:rsidR="00C47D83" w:rsidRPr="00E814B7">
        <w:rPr>
          <w:rFonts w:asciiTheme="majorBidi" w:hAnsiTheme="majorBidi" w:cstheme="majorBidi"/>
          <w:sz w:val="22"/>
          <w:szCs w:val="22"/>
          <w:lang w:val="sr-Latn-ME"/>
        </w:rPr>
        <w:t>je</w:t>
      </w:r>
      <w:r w:rsidRPr="00E814B7">
        <w:rPr>
          <w:rFonts w:asciiTheme="majorBidi" w:hAnsiTheme="majorBidi" w:cstheme="majorBidi"/>
          <w:sz w:val="22"/>
          <w:szCs w:val="22"/>
          <w:lang w:val="sr-Latn-ME"/>
        </w:rPr>
        <w:t>su sprovedena ispitivanja koja bi ocijenila uticaj erlotiniba na proizvodnju mlijeka ili njegovu prisutnost u majčinom mlijeku. Budući da potencijalna opasnost za odojče nije poznata, majke je potrebno savjetovati da ne doje za vrijeme primjene erlotiniba i još najmanje 2 nedjelje nakon posl</w:t>
      </w:r>
      <w:r w:rsidR="00C47D83"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ednje doze lijeka.</w:t>
      </w:r>
    </w:p>
    <w:p w14:paraId="24851CF8" w14:textId="77777777" w:rsidR="00227BDB" w:rsidRPr="00E814B7" w:rsidRDefault="00227BDB" w:rsidP="00E814B7">
      <w:pPr>
        <w:tabs>
          <w:tab w:val="left" w:pos="540"/>
          <w:tab w:val="left" w:pos="569"/>
        </w:tabs>
        <w:ind w:left="540" w:hanging="540"/>
        <w:jc w:val="both"/>
        <w:rPr>
          <w:rFonts w:asciiTheme="majorBidi" w:hAnsiTheme="majorBidi" w:cstheme="majorBidi"/>
          <w:b/>
          <w:bCs/>
          <w:sz w:val="22"/>
          <w:szCs w:val="22"/>
          <w:lang w:val="sr-Latn-ME"/>
        </w:rPr>
      </w:pPr>
    </w:p>
    <w:p w14:paraId="21B51A95" w14:textId="028738AF" w:rsidR="0072020E" w:rsidRPr="00E814B7" w:rsidRDefault="0072020E" w:rsidP="00E814B7">
      <w:pPr>
        <w:tabs>
          <w:tab w:val="left" w:pos="540"/>
          <w:tab w:val="left" w:pos="569"/>
        </w:tabs>
        <w:ind w:left="540" w:hanging="540"/>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4.7.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 xml:space="preserve">Uticaj na </w:t>
      </w:r>
      <w:r w:rsidR="002031B3" w:rsidRPr="00E814B7">
        <w:rPr>
          <w:rFonts w:asciiTheme="majorBidi" w:hAnsiTheme="majorBidi" w:cstheme="majorBidi"/>
          <w:b/>
          <w:bCs/>
          <w:sz w:val="22"/>
          <w:szCs w:val="22"/>
          <w:lang w:val="sr-Latn-ME"/>
        </w:rPr>
        <w:t xml:space="preserve">sposobnost </w:t>
      </w:r>
      <w:r w:rsidR="00F34554" w:rsidRPr="00E814B7">
        <w:rPr>
          <w:rFonts w:asciiTheme="majorBidi" w:hAnsiTheme="majorBidi" w:cstheme="majorBidi"/>
          <w:b/>
          <w:bCs/>
          <w:sz w:val="22"/>
          <w:szCs w:val="22"/>
          <w:lang w:val="sr-Latn-ME"/>
        </w:rPr>
        <w:t>upravljanja vozili</w:t>
      </w:r>
      <w:r w:rsidRPr="00E814B7">
        <w:rPr>
          <w:rFonts w:asciiTheme="majorBidi" w:hAnsiTheme="majorBidi" w:cstheme="majorBidi"/>
          <w:b/>
          <w:bCs/>
          <w:sz w:val="22"/>
          <w:szCs w:val="22"/>
          <w:lang w:val="sr-Latn-ME"/>
        </w:rPr>
        <w:t>m</w:t>
      </w:r>
      <w:r w:rsidR="00F34554" w:rsidRPr="00E814B7">
        <w:rPr>
          <w:rFonts w:asciiTheme="majorBidi" w:hAnsiTheme="majorBidi" w:cstheme="majorBidi"/>
          <w:b/>
          <w:bCs/>
          <w:sz w:val="22"/>
          <w:szCs w:val="22"/>
          <w:lang w:val="sr-Latn-ME"/>
        </w:rPr>
        <w:t>a</w:t>
      </w:r>
      <w:r w:rsidRPr="00E814B7">
        <w:rPr>
          <w:rFonts w:asciiTheme="majorBidi" w:hAnsiTheme="majorBidi" w:cstheme="majorBidi"/>
          <w:b/>
          <w:bCs/>
          <w:sz w:val="22"/>
          <w:szCs w:val="22"/>
          <w:lang w:val="sr-Latn-ME"/>
        </w:rPr>
        <w:t xml:space="preserve"> i </w:t>
      </w:r>
      <w:r w:rsidR="000D3449" w:rsidRPr="00E814B7">
        <w:rPr>
          <w:rFonts w:asciiTheme="majorBidi" w:hAnsiTheme="majorBidi" w:cstheme="majorBidi"/>
          <w:b/>
          <w:bCs/>
          <w:sz w:val="22"/>
          <w:szCs w:val="22"/>
          <w:lang w:val="sr-Latn-ME"/>
        </w:rPr>
        <w:t xml:space="preserve">rukovanje </w:t>
      </w:r>
      <w:r w:rsidRPr="00E814B7">
        <w:rPr>
          <w:rFonts w:asciiTheme="majorBidi" w:hAnsiTheme="majorBidi" w:cstheme="majorBidi"/>
          <w:b/>
          <w:bCs/>
          <w:sz w:val="22"/>
          <w:szCs w:val="22"/>
          <w:lang w:val="sr-Latn-ME"/>
        </w:rPr>
        <w:t>mašinama</w:t>
      </w:r>
    </w:p>
    <w:p w14:paraId="18964859" w14:textId="58624FB5" w:rsidR="00C50172" w:rsidRPr="00E814B7" w:rsidRDefault="00C50172" w:rsidP="00E814B7">
      <w:pPr>
        <w:tabs>
          <w:tab w:val="left" w:pos="540"/>
          <w:tab w:val="left" w:pos="569"/>
        </w:tabs>
        <w:ind w:left="540" w:hanging="540"/>
        <w:jc w:val="both"/>
        <w:rPr>
          <w:rFonts w:asciiTheme="majorBidi" w:hAnsiTheme="majorBidi" w:cstheme="majorBidi"/>
          <w:b/>
          <w:bCs/>
          <w:sz w:val="22"/>
          <w:szCs w:val="22"/>
          <w:lang w:val="sr-Latn-ME"/>
        </w:rPr>
      </w:pPr>
    </w:p>
    <w:p w14:paraId="4E98A746" w14:textId="356C6163" w:rsidR="00C50172" w:rsidRPr="00E814B7" w:rsidRDefault="00C50172"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Ni</w:t>
      </w:r>
      <w:r w:rsidR="00C47D83"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sprovedene studije o uticaju na sposobnost upravljanja motornim vozilima i rada na mašinama, ali se erlotinib ne povezuje sa smanjenjem mentalnih sposobnosti.</w:t>
      </w:r>
    </w:p>
    <w:p w14:paraId="3BC97A5B"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p>
    <w:p w14:paraId="3B67BFB0"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4.8.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Neželjena dejstva</w:t>
      </w:r>
    </w:p>
    <w:p w14:paraId="1631997C" w14:textId="5DDF42D3" w:rsidR="004E70AD" w:rsidRPr="00E814B7" w:rsidRDefault="004E70AD" w:rsidP="00E814B7">
      <w:pPr>
        <w:tabs>
          <w:tab w:val="left" w:pos="540"/>
          <w:tab w:val="left" w:pos="569"/>
        </w:tabs>
        <w:jc w:val="both"/>
        <w:rPr>
          <w:rFonts w:asciiTheme="majorBidi" w:hAnsiTheme="majorBidi" w:cstheme="majorBidi"/>
          <w:b/>
          <w:bCs/>
          <w:sz w:val="22"/>
          <w:szCs w:val="22"/>
          <w:lang w:val="sr-Latn-ME"/>
        </w:rPr>
      </w:pPr>
    </w:p>
    <w:p w14:paraId="591371D1" w14:textId="15735711" w:rsidR="00995B55" w:rsidRPr="00E814B7" w:rsidRDefault="00995B55"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Ocjena bezbjednosti erlotiniba temelji se na podacima prikupljenima u više od 1500 pacijenata liječenih najmanje jednom dozom erlotiniba od 150 mg u monoterapiji i više od 300 pacijenata koji su primali erlotinib u dozi od 100 mg ili 150 mg u kombinaciji sa gemcitabinom.</w:t>
      </w:r>
    </w:p>
    <w:p w14:paraId="04DFF721" w14:textId="1F185933" w:rsidR="00995B55" w:rsidRPr="00E814B7" w:rsidRDefault="00995B55" w:rsidP="00E814B7">
      <w:pPr>
        <w:tabs>
          <w:tab w:val="left" w:pos="540"/>
          <w:tab w:val="left" w:pos="569"/>
        </w:tabs>
        <w:jc w:val="both"/>
        <w:rPr>
          <w:rFonts w:asciiTheme="majorBidi" w:hAnsiTheme="majorBidi" w:cstheme="majorBidi"/>
          <w:sz w:val="22"/>
          <w:szCs w:val="22"/>
          <w:lang w:val="sr-Latn-ME"/>
        </w:rPr>
      </w:pPr>
    </w:p>
    <w:p w14:paraId="0422B373" w14:textId="46D335D9" w:rsidR="00995B55" w:rsidRPr="00E814B7" w:rsidRDefault="00995B55"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Incidencija neželjenih dejstava lijeka prijavljenih u kliničkim ispitivanjima kod primjene erlotiniba u monoterapiji ili u kombinaciji sa hemioterapijom sažeto je prikazana u Tabeli 1 prema stepenu toksičnosti u skladu sa Zajedničkim kriterijumima toksičnosti Nacionalnog instituta za kancer (</w:t>
      </w:r>
      <w:r w:rsidRPr="00E814B7">
        <w:rPr>
          <w:rFonts w:asciiTheme="majorBidi" w:hAnsiTheme="majorBidi" w:cstheme="majorBidi"/>
          <w:i/>
          <w:sz w:val="22"/>
          <w:szCs w:val="22"/>
          <w:lang w:val="sr-Latn-ME"/>
        </w:rPr>
        <w:t>National Cancer Institute-Common Toxicity Criteria</w:t>
      </w:r>
      <w:r w:rsidRPr="00E814B7">
        <w:rPr>
          <w:rFonts w:asciiTheme="majorBidi" w:hAnsiTheme="majorBidi" w:cstheme="majorBidi"/>
          <w:sz w:val="22"/>
          <w:szCs w:val="22"/>
          <w:lang w:val="sr-Latn-ME"/>
        </w:rPr>
        <w:t>, NCI-CTC). Navedena su neželjena dejstva koja su prijavljena kod najmanje 10% pacijenata (u grupi liječenoj erlotinibom) i koje su se javljale češće (≥3%) kod pacijenata lije</w:t>
      </w:r>
      <w:r w:rsidR="00DB6EE3" w:rsidRPr="00E814B7">
        <w:rPr>
          <w:rFonts w:asciiTheme="majorBidi" w:hAnsiTheme="majorBidi" w:cstheme="majorBidi"/>
          <w:sz w:val="22"/>
          <w:szCs w:val="22"/>
          <w:lang w:val="sr-Latn-ME"/>
        </w:rPr>
        <w:t>č</w:t>
      </w:r>
      <w:r w:rsidRPr="00E814B7">
        <w:rPr>
          <w:rFonts w:asciiTheme="majorBidi" w:hAnsiTheme="majorBidi" w:cstheme="majorBidi"/>
          <w:sz w:val="22"/>
          <w:szCs w:val="22"/>
          <w:lang w:val="sr-Latn-ME"/>
        </w:rPr>
        <w:t>enih erlotinibom nego u uporednoj grupi. Ostala neželjena dejstva, uključujući ona iz drugih ispitivanja, sažeto su prikazana u Tabeli 2.</w:t>
      </w:r>
    </w:p>
    <w:p w14:paraId="792FF531" w14:textId="3FDE5256" w:rsidR="00995B55" w:rsidRPr="00E814B7" w:rsidRDefault="00995B55" w:rsidP="00E814B7">
      <w:pPr>
        <w:tabs>
          <w:tab w:val="left" w:pos="540"/>
          <w:tab w:val="left" w:pos="569"/>
        </w:tabs>
        <w:jc w:val="both"/>
        <w:rPr>
          <w:rFonts w:asciiTheme="majorBidi" w:hAnsiTheme="majorBidi" w:cstheme="majorBidi"/>
          <w:sz w:val="22"/>
          <w:szCs w:val="22"/>
          <w:lang w:val="sr-Latn-ME"/>
        </w:rPr>
      </w:pPr>
    </w:p>
    <w:p w14:paraId="4F0978B2" w14:textId="2FC58DEA" w:rsidR="00995B55" w:rsidRPr="00E814B7" w:rsidRDefault="00995B55"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Neželjena dejstva lijeka iz kliničkih ispitivanja (Tabela 1) navedena su prema Me</w:t>
      </w:r>
      <w:r w:rsidR="00AC35E5" w:rsidRPr="00E814B7">
        <w:rPr>
          <w:rFonts w:asciiTheme="majorBidi" w:hAnsiTheme="majorBidi" w:cstheme="majorBidi"/>
          <w:sz w:val="22"/>
          <w:szCs w:val="22"/>
          <w:lang w:val="sr-Latn-ME"/>
        </w:rPr>
        <w:t>d</w:t>
      </w:r>
      <w:r w:rsidRPr="00E814B7">
        <w:rPr>
          <w:rFonts w:asciiTheme="majorBidi" w:hAnsiTheme="majorBidi" w:cstheme="majorBidi"/>
          <w:sz w:val="22"/>
          <w:szCs w:val="22"/>
          <w:lang w:val="sr-Latn-ME"/>
        </w:rPr>
        <w:t xml:space="preserve">DRA klasifikaciji sistema organa. Pripadajuće kategorije učestalosti za svako neželjeno dejstvo </w:t>
      </w:r>
      <w:r w:rsidR="00DB6EE3" w:rsidRPr="00E814B7">
        <w:rPr>
          <w:rFonts w:asciiTheme="majorBidi" w:hAnsiTheme="majorBidi" w:cstheme="majorBidi"/>
          <w:sz w:val="22"/>
          <w:szCs w:val="22"/>
          <w:lang w:val="sr-Latn-ME"/>
        </w:rPr>
        <w:t xml:space="preserve">zasniva </w:t>
      </w:r>
      <w:r w:rsidR="00B12E75" w:rsidRPr="00E814B7">
        <w:rPr>
          <w:rFonts w:asciiTheme="majorBidi" w:hAnsiTheme="majorBidi" w:cstheme="majorBidi"/>
          <w:sz w:val="22"/>
          <w:szCs w:val="22"/>
          <w:lang w:val="sr-Latn-ME"/>
        </w:rPr>
        <w:t>se na sl</w:t>
      </w:r>
      <w:r w:rsidR="00DB6EE3" w:rsidRPr="00E814B7">
        <w:rPr>
          <w:rFonts w:asciiTheme="majorBidi" w:hAnsiTheme="majorBidi" w:cstheme="majorBidi"/>
          <w:sz w:val="22"/>
          <w:szCs w:val="22"/>
          <w:lang w:val="sr-Latn-ME"/>
        </w:rPr>
        <w:t>j</w:t>
      </w:r>
      <w:r w:rsidR="00B12E75" w:rsidRPr="00E814B7">
        <w:rPr>
          <w:rFonts w:asciiTheme="majorBidi" w:hAnsiTheme="majorBidi" w:cstheme="majorBidi"/>
          <w:sz w:val="22"/>
          <w:szCs w:val="22"/>
          <w:lang w:val="sr-Latn-ME"/>
        </w:rPr>
        <w:t xml:space="preserve">edećim kategorijama: </w:t>
      </w:r>
      <w:r w:rsidR="002D40F4" w:rsidRPr="00E814B7">
        <w:rPr>
          <w:rFonts w:asciiTheme="majorBidi" w:hAnsiTheme="majorBidi" w:cstheme="majorBidi"/>
          <w:sz w:val="22"/>
          <w:szCs w:val="22"/>
          <w:lang w:val="sr-Latn-ME"/>
        </w:rPr>
        <w:t>veoma</w:t>
      </w:r>
      <w:r w:rsidR="00B12E75" w:rsidRPr="00E814B7">
        <w:rPr>
          <w:rFonts w:asciiTheme="majorBidi" w:hAnsiTheme="majorBidi" w:cstheme="majorBidi"/>
          <w:sz w:val="22"/>
          <w:szCs w:val="22"/>
          <w:lang w:val="sr-Latn-ME"/>
        </w:rPr>
        <w:t xml:space="preserve"> često</w:t>
      </w:r>
      <w:r w:rsidR="002D40F4" w:rsidRPr="00E814B7">
        <w:rPr>
          <w:rFonts w:asciiTheme="majorBidi" w:hAnsiTheme="majorBidi" w:cstheme="majorBidi"/>
          <w:sz w:val="22"/>
          <w:szCs w:val="22"/>
          <w:lang w:val="sr-Latn-ME"/>
        </w:rPr>
        <w:t xml:space="preserve"> (≥1/10)</w:t>
      </w:r>
      <w:r w:rsidR="00B12E75" w:rsidRPr="00E814B7">
        <w:rPr>
          <w:rFonts w:asciiTheme="majorBidi" w:hAnsiTheme="majorBidi" w:cstheme="majorBidi"/>
          <w:sz w:val="22"/>
          <w:szCs w:val="22"/>
          <w:lang w:val="sr-Latn-ME"/>
        </w:rPr>
        <w:t>, često</w:t>
      </w:r>
      <w:r w:rsidR="002D40F4" w:rsidRPr="00E814B7">
        <w:rPr>
          <w:rFonts w:asciiTheme="majorBidi" w:hAnsiTheme="majorBidi" w:cstheme="majorBidi"/>
          <w:sz w:val="22"/>
          <w:szCs w:val="22"/>
          <w:lang w:val="sr-Latn-ME"/>
        </w:rPr>
        <w:t xml:space="preserve"> (≥1/100 i &lt;1/10),</w:t>
      </w:r>
      <w:r w:rsidR="00B12E75" w:rsidRPr="00E814B7">
        <w:rPr>
          <w:rFonts w:asciiTheme="majorBidi" w:hAnsiTheme="majorBidi" w:cstheme="majorBidi"/>
          <w:sz w:val="22"/>
          <w:szCs w:val="22"/>
          <w:lang w:val="sr-Latn-ME"/>
        </w:rPr>
        <w:t xml:space="preserve"> povremeno</w:t>
      </w:r>
      <w:r w:rsidR="002D40F4" w:rsidRPr="00E814B7">
        <w:rPr>
          <w:rFonts w:asciiTheme="majorBidi" w:hAnsiTheme="majorBidi" w:cstheme="majorBidi"/>
          <w:sz w:val="22"/>
          <w:szCs w:val="22"/>
          <w:lang w:val="sr-Latn-ME"/>
        </w:rPr>
        <w:t xml:space="preserve"> (≥1/1000 i &lt;1/100)</w:t>
      </w:r>
      <w:r w:rsidR="00B12E75" w:rsidRPr="00E814B7">
        <w:rPr>
          <w:rFonts w:asciiTheme="majorBidi" w:hAnsiTheme="majorBidi" w:cstheme="majorBidi"/>
          <w:sz w:val="22"/>
          <w:szCs w:val="22"/>
          <w:lang w:val="sr-Latn-ME"/>
        </w:rPr>
        <w:t>, rijetko</w:t>
      </w:r>
      <w:r w:rsidR="002D40F4" w:rsidRPr="00E814B7">
        <w:rPr>
          <w:rFonts w:asciiTheme="majorBidi" w:hAnsiTheme="majorBidi" w:cstheme="majorBidi"/>
          <w:sz w:val="22"/>
          <w:szCs w:val="22"/>
          <w:lang w:val="sr-Latn-ME"/>
        </w:rPr>
        <w:t xml:space="preserve"> (≥1/10 000 i &lt;1/1000)</w:t>
      </w:r>
      <w:r w:rsidR="00B12E75" w:rsidRPr="00E814B7">
        <w:rPr>
          <w:rFonts w:asciiTheme="majorBidi" w:hAnsiTheme="majorBidi" w:cstheme="majorBidi"/>
          <w:sz w:val="22"/>
          <w:szCs w:val="22"/>
          <w:lang w:val="sr-Latn-ME"/>
        </w:rPr>
        <w:t>, vrlo rijetko</w:t>
      </w:r>
      <w:r w:rsidR="002D40F4" w:rsidRPr="00E814B7">
        <w:rPr>
          <w:rFonts w:asciiTheme="majorBidi" w:hAnsiTheme="majorBidi" w:cstheme="majorBidi"/>
          <w:sz w:val="22"/>
          <w:szCs w:val="22"/>
          <w:lang w:val="sr-Latn-ME"/>
        </w:rPr>
        <w:t xml:space="preserve"> (&lt;1/10 000)</w:t>
      </w:r>
      <w:r w:rsidR="00B12E75" w:rsidRPr="00E814B7">
        <w:rPr>
          <w:rFonts w:asciiTheme="majorBidi" w:hAnsiTheme="majorBidi" w:cstheme="majorBidi"/>
          <w:sz w:val="22"/>
          <w:szCs w:val="22"/>
          <w:lang w:val="sr-Latn-ME"/>
        </w:rPr>
        <w:t>.</w:t>
      </w:r>
    </w:p>
    <w:p w14:paraId="5CCF8520" w14:textId="20330142" w:rsidR="00B12E75" w:rsidRPr="00E814B7" w:rsidRDefault="00B12E75" w:rsidP="00E814B7">
      <w:pPr>
        <w:tabs>
          <w:tab w:val="left" w:pos="540"/>
          <w:tab w:val="left" w:pos="569"/>
        </w:tabs>
        <w:jc w:val="both"/>
        <w:rPr>
          <w:rFonts w:asciiTheme="majorBidi" w:hAnsiTheme="majorBidi" w:cstheme="majorBidi"/>
          <w:sz w:val="22"/>
          <w:szCs w:val="22"/>
          <w:lang w:val="sr-Latn-ME"/>
        </w:rPr>
      </w:pPr>
    </w:p>
    <w:p w14:paraId="5FC3F247" w14:textId="4099508D" w:rsidR="00B12E75" w:rsidRPr="00E814B7" w:rsidRDefault="00B12E75"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Unutar svake kategorije učestalosti, neželjena dejstva su prikazana po opadajućem nizu prema ozbiljnosti.</w:t>
      </w:r>
    </w:p>
    <w:p w14:paraId="54B411A8" w14:textId="1B162B1B" w:rsidR="00B12E75" w:rsidRPr="00E814B7" w:rsidRDefault="00B12E75" w:rsidP="00E814B7">
      <w:pPr>
        <w:tabs>
          <w:tab w:val="left" w:pos="540"/>
          <w:tab w:val="left" w:pos="569"/>
        </w:tabs>
        <w:jc w:val="both"/>
        <w:rPr>
          <w:rFonts w:asciiTheme="majorBidi" w:hAnsiTheme="majorBidi" w:cstheme="majorBidi"/>
          <w:sz w:val="22"/>
          <w:szCs w:val="22"/>
          <w:lang w:val="sr-Latn-ME"/>
        </w:rPr>
      </w:pPr>
    </w:p>
    <w:p w14:paraId="3C8072D1" w14:textId="16621EE2" w:rsidR="00B12E75" w:rsidRPr="00E814B7" w:rsidRDefault="00B12E75" w:rsidP="00E814B7">
      <w:pPr>
        <w:tabs>
          <w:tab w:val="left" w:pos="540"/>
          <w:tab w:val="left" w:pos="569"/>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Nemikrocelularni karcinom pluća (primjena erlotiniba kao monoterapije):</w:t>
      </w:r>
    </w:p>
    <w:p w14:paraId="4D47800B" w14:textId="21A99868" w:rsidR="00B12E75" w:rsidRPr="00E814B7" w:rsidRDefault="00B12E75" w:rsidP="00E814B7">
      <w:pPr>
        <w:tabs>
          <w:tab w:val="left" w:pos="540"/>
          <w:tab w:val="left" w:pos="569"/>
        </w:tabs>
        <w:jc w:val="both"/>
        <w:rPr>
          <w:rFonts w:asciiTheme="majorBidi" w:hAnsiTheme="majorBidi" w:cstheme="majorBidi"/>
          <w:sz w:val="22"/>
          <w:szCs w:val="22"/>
          <w:lang w:val="sr-Latn-ME"/>
        </w:rPr>
      </w:pPr>
    </w:p>
    <w:p w14:paraId="02488B3A" w14:textId="59995835" w:rsidR="00B12E75" w:rsidRPr="00E814B7" w:rsidRDefault="00B12E75" w:rsidP="00E814B7">
      <w:pPr>
        <w:tabs>
          <w:tab w:val="left" w:pos="540"/>
          <w:tab w:val="left" w:pos="569"/>
        </w:tabs>
        <w:jc w:val="both"/>
        <w:rPr>
          <w:rFonts w:asciiTheme="majorBidi" w:hAnsiTheme="majorBidi" w:cstheme="majorBidi"/>
          <w:i/>
          <w:iCs/>
          <w:sz w:val="22"/>
          <w:szCs w:val="22"/>
          <w:u w:val="single"/>
          <w:lang w:val="sr-Latn-ME"/>
        </w:rPr>
      </w:pPr>
      <w:r w:rsidRPr="00E814B7">
        <w:rPr>
          <w:rFonts w:asciiTheme="majorBidi" w:hAnsiTheme="majorBidi" w:cstheme="majorBidi"/>
          <w:i/>
          <w:iCs/>
          <w:sz w:val="22"/>
          <w:szCs w:val="22"/>
          <w:u w:val="single"/>
          <w:lang w:val="sr-Latn-ME"/>
        </w:rPr>
        <w:t>Prva linija liječenja pacijenata sa mutacijama EGFR-a</w:t>
      </w:r>
    </w:p>
    <w:p w14:paraId="6AD9C62A" w14:textId="77777777" w:rsidR="002E2C12" w:rsidRPr="00E814B7" w:rsidRDefault="002E2C12" w:rsidP="00E814B7">
      <w:pPr>
        <w:tabs>
          <w:tab w:val="left" w:pos="540"/>
          <w:tab w:val="left" w:pos="569"/>
        </w:tabs>
        <w:jc w:val="both"/>
        <w:rPr>
          <w:rFonts w:asciiTheme="majorBidi" w:hAnsiTheme="majorBidi" w:cstheme="majorBidi"/>
          <w:i/>
          <w:iCs/>
          <w:sz w:val="22"/>
          <w:szCs w:val="22"/>
          <w:lang w:val="sr-Latn-ME"/>
        </w:rPr>
      </w:pPr>
    </w:p>
    <w:p w14:paraId="35EF309A" w14:textId="4561A7B3" w:rsidR="00B12E75" w:rsidRPr="00E814B7" w:rsidRDefault="00B12E75"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U ispitivanju ML20650 – otvorenom, randomizovanom ispitivanju faze III sprovedenom na 154 pacijenta, bezbjednost erlotiniba u prvoj liniji liječenja pacijenata sa NSCLC-om i aktivirajućim mutacijama EGFR-a ocijenjena je kod 75 </w:t>
      </w:r>
      <w:r w:rsidR="002E2C12" w:rsidRPr="00E814B7">
        <w:rPr>
          <w:rFonts w:asciiTheme="majorBidi" w:hAnsiTheme="majorBidi" w:cstheme="majorBidi"/>
          <w:sz w:val="22"/>
          <w:szCs w:val="22"/>
          <w:lang w:val="sr-Latn-ME"/>
        </w:rPr>
        <w:t>pacijenata; ni</w:t>
      </w:r>
      <w:r w:rsidR="00DB6EE3" w:rsidRPr="00E814B7">
        <w:rPr>
          <w:rFonts w:asciiTheme="majorBidi" w:hAnsiTheme="majorBidi" w:cstheme="majorBidi"/>
          <w:sz w:val="22"/>
          <w:szCs w:val="22"/>
          <w:lang w:val="sr-Latn-ME"/>
        </w:rPr>
        <w:t>je</w:t>
      </w:r>
      <w:r w:rsidR="002E2C12" w:rsidRPr="00E814B7">
        <w:rPr>
          <w:rFonts w:asciiTheme="majorBidi" w:hAnsiTheme="majorBidi" w:cstheme="majorBidi"/>
          <w:sz w:val="22"/>
          <w:szCs w:val="22"/>
          <w:lang w:val="sr-Latn-ME"/>
        </w:rPr>
        <w:t>su uočeni novi bezbjednosni signali kod tih pacijenata.</w:t>
      </w:r>
    </w:p>
    <w:p w14:paraId="0EBA71BA" w14:textId="56F10AFD" w:rsidR="00B12E75" w:rsidRPr="00E814B7" w:rsidRDefault="002E2C12"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Najčešća neželjena dejstva lijeka primijećena kod pacijenata liječenih erlotinibom u ispitivanju ML20650 bili su osip i dijareja (bilo kog stepena kod 80%, odnosno 57% pacijenata), koji su većinom bili stepena težine </w:t>
      </w:r>
      <w:r w:rsidR="00EC1C74" w:rsidRPr="00E814B7">
        <w:rPr>
          <w:rFonts w:asciiTheme="majorBidi" w:hAnsiTheme="majorBidi" w:cstheme="majorBidi"/>
          <w:sz w:val="22"/>
          <w:szCs w:val="22"/>
          <w:lang w:val="sr-Latn-ME"/>
        </w:rPr>
        <w:t>1/2</w:t>
      </w:r>
      <w:r w:rsidRPr="00E814B7">
        <w:rPr>
          <w:rFonts w:asciiTheme="majorBidi" w:hAnsiTheme="majorBidi" w:cstheme="majorBidi"/>
          <w:sz w:val="22"/>
          <w:szCs w:val="22"/>
          <w:lang w:val="sr-Latn-ME"/>
        </w:rPr>
        <w:t xml:space="preserve"> i mogli su se zbrinuti </w:t>
      </w:r>
      <w:r w:rsidR="00EC1C74" w:rsidRPr="00E814B7">
        <w:rPr>
          <w:rFonts w:asciiTheme="majorBidi" w:hAnsiTheme="majorBidi" w:cstheme="majorBidi"/>
          <w:sz w:val="22"/>
          <w:szCs w:val="22"/>
          <w:lang w:val="sr-Latn-ME"/>
        </w:rPr>
        <w:t>b</w:t>
      </w:r>
      <w:r w:rsidRPr="00E814B7">
        <w:rPr>
          <w:rFonts w:asciiTheme="majorBidi" w:hAnsiTheme="majorBidi" w:cstheme="majorBidi"/>
          <w:sz w:val="22"/>
          <w:szCs w:val="22"/>
          <w:lang w:val="sr-Latn-ME"/>
        </w:rPr>
        <w:t>ez medicinske intervencije. Osip i dijareja stepena 3 javili su se u 9%, odnosno 4% pacijenata. Nije zab</w:t>
      </w:r>
      <w:r w:rsidR="002A3C35" w:rsidRPr="00E814B7">
        <w:rPr>
          <w:rFonts w:asciiTheme="majorBidi" w:hAnsiTheme="majorBidi" w:cstheme="majorBidi"/>
          <w:sz w:val="22"/>
          <w:szCs w:val="22"/>
          <w:lang w:val="sr-Latn-ME"/>
        </w:rPr>
        <w:t>ilj</w:t>
      </w:r>
      <w:r w:rsidRPr="00E814B7">
        <w:rPr>
          <w:rFonts w:asciiTheme="majorBidi" w:hAnsiTheme="majorBidi" w:cstheme="majorBidi"/>
          <w:sz w:val="22"/>
          <w:szCs w:val="22"/>
          <w:lang w:val="sr-Latn-ME"/>
        </w:rPr>
        <w:t xml:space="preserve">ležen osip ni dijareja stepena 4. </w:t>
      </w:r>
      <w:r w:rsidR="002D40F4" w:rsidRPr="00E814B7">
        <w:rPr>
          <w:rFonts w:asciiTheme="majorBidi" w:hAnsiTheme="majorBidi" w:cstheme="majorBidi"/>
          <w:sz w:val="22"/>
          <w:szCs w:val="22"/>
          <w:lang w:val="sr-Latn-ME"/>
        </w:rPr>
        <w:t>I</w:t>
      </w:r>
      <w:r w:rsidRPr="00E814B7">
        <w:rPr>
          <w:rFonts w:asciiTheme="majorBidi" w:hAnsiTheme="majorBidi" w:cstheme="majorBidi"/>
          <w:sz w:val="22"/>
          <w:szCs w:val="22"/>
          <w:lang w:val="sr-Latn-ME"/>
        </w:rPr>
        <w:t xml:space="preserve"> osip i dijareja doveli su do prekida liječenja erlotinibom u 1% pacijenata. Prilagođavanje doze (privremeni prekid primjene ili smanjenje doze) zbog osipa i dijareje bilo je potrebno kod 11%, odnosno 7% pacijenata.</w:t>
      </w:r>
    </w:p>
    <w:p w14:paraId="6B45D404" w14:textId="70E39DBA" w:rsidR="002E2C12" w:rsidRPr="00E814B7" w:rsidRDefault="002E2C12" w:rsidP="00E814B7">
      <w:pPr>
        <w:tabs>
          <w:tab w:val="left" w:pos="540"/>
          <w:tab w:val="left" w:pos="569"/>
        </w:tabs>
        <w:jc w:val="both"/>
        <w:rPr>
          <w:rFonts w:asciiTheme="majorBidi" w:hAnsiTheme="majorBidi" w:cstheme="majorBidi"/>
          <w:sz w:val="22"/>
          <w:szCs w:val="22"/>
          <w:lang w:val="sr-Latn-ME"/>
        </w:rPr>
      </w:pPr>
    </w:p>
    <w:p w14:paraId="6726E792" w14:textId="1A87FBDB" w:rsidR="002E2C12" w:rsidRPr="00E814B7" w:rsidRDefault="002E2C12" w:rsidP="00E814B7">
      <w:pPr>
        <w:tabs>
          <w:tab w:val="left" w:pos="540"/>
          <w:tab w:val="left" w:pos="569"/>
        </w:tabs>
        <w:jc w:val="both"/>
        <w:rPr>
          <w:rFonts w:asciiTheme="majorBidi" w:hAnsiTheme="majorBidi" w:cstheme="majorBidi"/>
          <w:i/>
          <w:iCs/>
          <w:sz w:val="22"/>
          <w:szCs w:val="22"/>
          <w:u w:val="single"/>
          <w:lang w:val="sr-Latn-ME"/>
        </w:rPr>
      </w:pPr>
      <w:r w:rsidRPr="00E814B7">
        <w:rPr>
          <w:rFonts w:asciiTheme="majorBidi" w:hAnsiTheme="majorBidi" w:cstheme="majorBidi"/>
          <w:i/>
          <w:iCs/>
          <w:sz w:val="22"/>
          <w:szCs w:val="22"/>
          <w:u w:val="single"/>
          <w:lang w:val="sr-Latn-ME"/>
        </w:rPr>
        <w:t>Terapija održavanja</w:t>
      </w:r>
    </w:p>
    <w:p w14:paraId="6DD5AEA3" w14:textId="77777777" w:rsidR="008E1EA0" w:rsidRPr="00E814B7" w:rsidRDefault="008E1EA0" w:rsidP="00E814B7">
      <w:pPr>
        <w:tabs>
          <w:tab w:val="left" w:pos="540"/>
          <w:tab w:val="left" w:pos="569"/>
        </w:tabs>
        <w:jc w:val="both"/>
        <w:rPr>
          <w:rFonts w:asciiTheme="majorBidi" w:hAnsiTheme="majorBidi" w:cstheme="majorBidi"/>
          <w:i/>
          <w:iCs/>
          <w:sz w:val="22"/>
          <w:szCs w:val="22"/>
          <w:lang w:val="sr-Latn-ME"/>
        </w:rPr>
      </w:pPr>
    </w:p>
    <w:p w14:paraId="3C53557C" w14:textId="44BEA2D1" w:rsidR="008E1EA0" w:rsidRPr="00E814B7" w:rsidRDefault="008E1EA0"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xml:space="preserve">U druge dvije dvostruko slijepe, randomizovane, placebo kontrolisane studije faze III - BO 18192 (SATURN) i BO25460 (IUNO) erlotinib je primjenjivan kao terapija održavanja nakon prve linije hemioterapije. Ove studije su sprovedene na ukupno 1532 pacijenta sa uznapredovalim, rekurentnim ili </w:t>
      </w:r>
      <w:r w:rsidRPr="00E814B7">
        <w:rPr>
          <w:rFonts w:asciiTheme="majorBidi" w:hAnsiTheme="majorBidi" w:cstheme="majorBidi"/>
          <w:sz w:val="22"/>
          <w:szCs w:val="22"/>
          <w:lang w:val="sr-Latn-ME" w:eastAsia="sr-Latn-CS"/>
        </w:rPr>
        <w:lastRenderedPageBreak/>
        <w:t>metastatskim NSCLC-om poslije primjene prve linije standardne hemioterapije na bazi platine. Ni</w:t>
      </w:r>
      <w:r w:rsidR="00DB6EE3" w:rsidRPr="00E814B7">
        <w:rPr>
          <w:rFonts w:asciiTheme="majorBidi" w:hAnsiTheme="majorBidi" w:cstheme="majorBidi"/>
          <w:sz w:val="22"/>
          <w:szCs w:val="22"/>
          <w:lang w:val="sr-Latn-ME" w:eastAsia="sr-Latn-CS"/>
        </w:rPr>
        <w:t>je</w:t>
      </w:r>
      <w:r w:rsidRPr="00E814B7">
        <w:rPr>
          <w:rFonts w:asciiTheme="majorBidi" w:hAnsiTheme="majorBidi" w:cstheme="majorBidi"/>
          <w:sz w:val="22"/>
          <w:szCs w:val="22"/>
          <w:lang w:val="sr-Latn-ME" w:eastAsia="sr-Latn-CS"/>
        </w:rPr>
        <w:t>su uočeni novi bezbjednosni signali.</w:t>
      </w:r>
    </w:p>
    <w:p w14:paraId="64034B9D" w14:textId="30CDA0F7" w:rsidR="008E1EA0" w:rsidRPr="00E814B7" w:rsidRDefault="008E1EA0"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Najčešće neželjene reakcije uočene kod pacijenata liječenih erlotinibom u studijama BO18192 i BO25460 bile su osip (BO18192 – bilo kog stepena: 49,2%; stepena 3: 6,0%; BO25460 – bilo kog stepena; 39,4%; stepena 3: 5,0%) i dijareja (BO18192 – bilo kog stepena; 20,3%; stepena 3; 1,8%; BO25460 – bilo kog stepena: 24,2%</w:t>
      </w:r>
      <w:r w:rsidR="00EC1C74" w:rsidRPr="00E814B7">
        <w:rPr>
          <w:rFonts w:asciiTheme="majorBidi" w:hAnsiTheme="majorBidi" w:cstheme="majorBidi"/>
          <w:sz w:val="22"/>
          <w:szCs w:val="22"/>
          <w:lang w:val="sr-Latn-ME" w:eastAsia="sr-Latn-CS"/>
        </w:rPr>
        <w:t>, stepena 3: 2,5%).</w:t>
      </w:r>
      <w:r w:rsidRPr="00E814B7">
        <w:rPr>
          <w:rFonts w:asciiTheme="majorBidi" w:hAnsiTheme="majorBidi" w:cstheme="majorBidi"/>
          <w:sz w:val="22"/>
          <w:szCs w:val="22"/>
          <w:lang w:val="sr-Latn-ME" w:eastAsia="sr-Latn-CS"/>
        </w:rPr>
        <w:t xml:space="preserve"> </w:t>
      </w:r>
      <w:r w:rsidR="00EC1C74" w:rsidRPr="00E814B7">
        <w:rPr>
          <w:rFonts w:asciiTheme="majorBidi" w:hAnsiTheme="majorBidi" w:cstheme="majorBidi"/>
          <w:sz w:val="22"/>
          <w:szCs w:val="22"/>
          <w:lang w:val="sr-Latn-ME" w:eastAsia="sr-Latn-CS"/>
        </w:rPr>
        <w:t xml:space="preserve"> Ni u jednom od ta dva ispitivanja ni</w:t>
      </w:r>
      <w:r w:rsidR="00DB6EE3" w:rsidRPr="00E814B7">
        <w:rPr>
          <w:rFonts w:asciiTheme="majorBidi" w:hAnsiTheme="majorBidi" w:cstheme="majorBidi"/>
          <w:sz w:val="22"/>
          <w:szCs w:val="22"/>
          <w:lang w:val="sr-Latn-ME" w:eastAsia="sr-Latn-CS"/>
        </w:rPr>
        <w:t>je</w:t>
      </w:r>
      <w:r w:rsidR="00EC1C74" w:rsidRPr="00E814B7">
        <w:rPr>
          <w:rFonts w:asciiTheme="majorBidi" w:hAnsiTheme="majorBidi" w:cstheme="majorBidi"/>
          <w:sz w:val="22"/>
          <w:szCs w:val="22"/>
          <w:lang w:val="sr-Latn-ME" w:eastAsia="sr-Latn-CS"/>
        </w:rPr>
        <w:t>su primijećeni ni osip, ni dijareja stepena 4.</w:t>
      </w:r>
      <w:r w:rsidRPr="00E814B7">
        <w:rPr>
          <w:rFonts w:asciiTheme="majorBidi" w:hAnsiTheme="majorBidi" w:cstheme="majorBidi"/>
          <w:sz w:val="22"/>
          <w:szCs w:val="22"/>
          <w:lang w:val="sr-Latn-ME" w:eastAsia="sr-Latn-CS"/>
        </w:rPr>
        <w:t xml:space="preserve"> </w:t>
      </w:r>
      <w:r w:rsidR="00EC1C74" w:rsidRPr="00E814B7">
        <w:rPr>
          <w:rFonts w:asciiTheme="majorBidi" w:hAnsiTheme="majorBidi" w:cstheme="majorBidi"/>
          <w:sz w:val="22"/>
          <w:szCs w:val="22"/>
          <w:lang w:val="sr-Latn-ME" w:eastAsia="sr-Latn-CS"/>
        </w:rPr>
        <w:t>O</w:t>
      </w:r>
      <w:r w:rsidRPr="00E814B7">
        <w:rPr>
          <w:rFonts w:asciiTheme="majorBidi" w:hAnsiTheme="majorBidi" w:cstheme="majorBidi"/>
          <w:sz w:val="22"/>
          <w:szCs w:val="22"/>
          <w:lang w:val="sr-Latn-ME" w:eastAsia="sr-Latn-CS"/>
        </w:rPr>
        <w:t xml:space="preserve">sip i dijareja su bili uzrok obustavljanja terapije erlotinibom kod 1%, odnosno &lt;1% pacijenata u studiji BO18192, dok u studiji BO25460 nijednom pacijentu terapija nije bila obustavljena zbog osipa ili dijareje. </w:t>
      </w:r>
      <w:r w:rsidR="00EC1C74" w:rsidRPr="00E814B7">
        <w:rPr>
          <w:rFonts w:asciiTheme="majorBidi" w:hAnsiTheme="majorBidi" w:cstheme="majorBidi"/>
          <w:sz w:val="22"/>
          <w:szCs w:val="22"/>
          <w:lang w:val="sr-Latn-ME" w:eastAsia="sr-Latn-CS"/>
        </w:rPr>
        <w:t>Prilagođavanje doze</w:t>
      </w:r>
      <w:r w:rsidRPr="00E814B7">
        <w:rPr>
          <w:rFonts w:asciiTheme="majorBidi" w:hAnsiTheme="majorBidi" w:cstheme="majorBidi"/>
          <w:sz w:val="22"/>
          <w:szCs w:val="22"/>
          <w:lang w:val="sr-Latn-ME" w:eastAsia="sr-Latn-CS"/>
        </w:rPr>
        <w:t xml:space="preserve"> (</w:t>
      </w:r>
      <w:r w:rsidR="00EC1C74" w:rsidRPr="00E814B7">
        <w:rPr>
          <w:rFonts w:asciiTheme="majorBidi" w:hAnsiTheme="majorBidi" w:cstheme="majorBidi"/>
          <w:sz w:val="22"/>
          <w:szCs w:val="22"/>
          <w:lang w:val="sr-Latn-ME" w:eastAsia="sr-Latn-CS"/>
        </w:rPr>
        <w:t xml:space="preserve">privremeni </w:t>
      </w:r>
      <w:r w:rsidRPr="00E814B7">
        <w:rPr>
          <w:rFonts w:asciiTheme="majorBidi" w:hAnsiTheme="majorBidi" w:cstheme="majorBidi"/>
          <w:sz w:val="22"/>
          <w:szCs w:val="22"/>
          <w:lang w:val="sr-Latn-ME" w:eastAsia="sr-Latn-CS"/>
        </w:rPr>
        <w:t>prekidi ili smanjenja doze) zbog osipa i dijareje bile su potrebne kod 8.3%, odnosno 3% pacijenata u studiji BO18192 i kod 5</w:t>
      </w:r>
      <w:r w:rsidR="005168B0" w:rsidRPr="00E814B7">
        <w:rPr>
          <w:rFonts w:asciiTheme="majorBidi" w:hAnsiTheme="majorBidi" w:cstheme="majorBidi"/>
          <w:sz w:val="22"/>
          <w:szCs w:val="22"/>
          <w:lang w:val="sr-Latn-ME" w:eastAsia="sr-Latn-CS"/>
        </w:rPr>
        <w:t>,</w:t>
      </w:r>
      <w:r w:rsidRPr="00E814B7">
        <w:rPr>
          <w:rFonts w:asciiTheme="majorBidi" w:hAnsiTheme="majorBidi" w:cstheme="majorBidi"/>
          <w:sz w:val="22"/>
          <w:szCs w:val="22"/>
          <w:lang w:val="sr-Latn-ME" w:eastAsia="sr-Latn-CS"/>
        </w:rPr>
        <w:t>6%, odnosno 2</w:t>
      </w:r>
      <w:r w:rsidR="005168B0" w:rsidRPr="00E814B7">
        <w:rPr>
          <w:rFonts w:asciiTheme="majorBidi" w:hAnsiTheme="majorBidi" w:cstheme="majorBidi"/>
          <w:sz w:val="22"/>
          <w:szCs w:val="22"/>
          <w:lang w:val="sr-Latn-ME" w:eastAsia="sr-Latn-CS"/>
        </w:rPr>
        <w:t>,</w:t>
      </w:r>
      <w:r w:rsidRPr="00E814B7">
        <w:rPr>
          <w:rFonts w:asciiTheme="majorBidi" w:hAnsiTheme="majorBidi" w:cstheme="majorBidi"/>
          <w:sz w:val="22"/>
          <w:szCs w:val="22"/>
          <w:lang w:val="sr-Latn-ME" w:eastAsia="sr-Latn-CS"/>
        </w:rPr>
        <w:t>8% pacijenata u studiji BO25460.</w:t>
      </w:r>
    </w:p>
    <w:p w14:paraId="757D0130" w14:textId="57A389B2" w:rsidR="00EC1C74" w:rsidRPr="00E814B7" w:rsidRDefault="00EC1C74" w:rsidP="00E814B7">
      <w:pPr>
        <w:autoSpaceDE w:val="0"/>
        <w:autoSpaceDN w:val="0"/>
        <w:adjustRightInd w:val="0"/>
        <w:jc w:val="both"/>
        <w:rPr>
          <w:rFonts w:asciiTheme="majorBidi" w:hAnsiTheme="majorBidi" w:cstheme="majorBidi"/>
          <w:sz w:val="22"/>
          <w:szCs w:val="22"/>
          <w:lang w:val="sr-Latn-ME" w:eastAsia="sr-Latn-CS"/>
        </w:rPr>
      </w:pPr>
    </w:p>
    <w:p w14:paraId="37E643DC" w14:textId="34D2F58B" w:rsidR="00EC1C74" w:rsidRPr="00E814B7" w:rsidRDefault="008E79FC" w:rsidP="00E814B7">
      <w:pPr>
        <w:autoSpaceDE w:val="0"/>
        <w:autoSpaceDN w:val="0"/>
        <w:adjustRightInd w:val="0"/>
        <w:jc w:val="both"/>
        <w:rPr>
          <w:rFonts w:asciiTheme="majorBidi" w:hAnsiTheme="majorBidi" w:cstheme="majorBidi"/>
          <w:i/>
          <w:iCs/>
          <w:sz w:val="22"/>
          <w:szCs w:val="22"/>
          <w:u w:val="single"/>
          <w:lang w:val="sr-Latn-ME" w:eastAsia="sr-Latn-CS"/>
        </w:rPr>
      </w:pPr>
      <w:r w:rsidRPr="00E814B7">
        <w:rPr>
          <w:rFonts w:asciiTheme="majorBidi" w:hAnsiTheme="majorBidi" w:cstheme="majorBidi"/>
          <w:i/>
          <w:iCs/>
          <w:sz w:val="22"/>
          <w:szCs w:val="22"/>
          <w:u w:val="single"/>
          <w:lang w:val="sr-Latn-ME" w:eastAsia="sr-Latn-CS"/>
        </w:rPr>
        <w:t>Druga i daljnje linije l</w:t>
      </w:r>
      <w:r w:rsidR="002A3C35" w:rsidRPr="00E814B7">
        <w:rPr>
          <w:rFonts w:asciiTheme="majorBidi" w:hAnsiTheme="majorBidi" w:cstheme="majorBidi"/>
          <w:i/>
          <w:iCs/>
          <w:sz w:val="22"/>
          <w:szCs w:val="22"/>
          <w:u w:val="single"/>
          <w:lang w:val="sr-Latn-ME" w:eastAsia="sr-Latn-CS"/>
        </w:rPr>
        <w:t>ij</w:t>
      </w:r>
      <w:r w:rsidRPr="00E814B7">
        <w:rPr>
          <w:rFonts w:asciiTheme="majorBidi" w:hAnsiTheme="majorBidi" w:cstheme="majorBidi"/>
          <w:i/>
          <w:iCs/>
          <w:sz w:val="22"/>
          <w:szCs w:val="22"/>
          <w:u w:val="single"/>
          <w:lang w:val="sr-Latn-ME" w:eastAsia="sr-Latn-CS"/>
        </w:rPr>
        <w:t>ečenja</w:t>
      </w:r>
    </w:p>
    <w:p w14:paraId="79678C7B" w14:textId="1485560E"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p>
    <w:p w14:paraId="5A4304DE" w14:textId="1C2294AA"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U randomizovanoj, dvostruko slijepoj studiji (BR.21; erlotinib kao druga linija terapije), najčešće prijavljena neželjena dejstva bila su osip (75%) i dijareja (54%). Neželjena dejstva su bila najčešće gradusa 1/2, te ih je moguće otkloniti bez upotrebe ljekova. Osip i dijareja gradusa 3/4 zapaženi su u 9%, odnosno 6% pacijenata koji su uzimali erlotinib,</w:t>
      </w:r>
      <w:r w:rsidR="002D40F4" w:rsidRPr="00E814B7">
        <w:rPr>
          <w:rFonts w:asciiTheme="majorBidi" w:hAnsiTheme="majorBidi" w:cstheme="majorBidi"/>
          <w:sz w:val="22"/>
          <w:szCs w:val="22"/>
          <w:lang w:val="sr-Latn-ME" w:eastAsia="sr-Latn-CS"/>
        </w:rPr>
        <w:t xml:space="preserve"> </w:t>
      </w:r>
      <w:r w:rsidRPr="00E814B7">
        <w:rPr>
          <w:rFonts w:asciiTheme="majorBidi" w:hAnsiTheme="majorBidi" w:cstheme="majorBidi"/>
          <w:sz w:val="22"/>
          <w:szCs w:val="22"/>
          <w:lang w:val="sr-Latn-ME" w:eastAsia="sr-Latn-CS"/>
        </w:rPr>
        <w:t>a oba neželjena dejstva su dovela do obustavljanja terapije kod 1% pacijenata. Smanjenje doze zbog osipa i dijareje bilo je potrebno kod 6%, odnosno 1% pacijenata. U studiji BR.21 pokazalo se da je srednje vrijeme do pojave osipa bilo 8 dana, a srednje vrijeme do pojave dijareje 12 dana.</w:t>
      </w:r>
    </w:p>
    <w:p w14:paraId="19A110F6" w14:textId="5314755F"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p>
    <w:p w14:paraId="0614CA26" w14:textId="75ADF5F3"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Uopšteno, kožni osip se manifestuje kao blagi do umjereni eritematozni i papulopustulozni osip, koji se može pojaviti ili pogoršati na djelovima tijela koji su izloženi suncu. Za pacijente koji su izloženi suncu, poželjna je zaštitna odjeća i/ili upotreba sredstva za zaštitu od sunca (npr. koji sadrže minerale).</w:t>
      </w:r>
    </w:p>
    <w:p w14:paraId="24169843" w14:textId="11DC19B6"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p>
    <w:p w14:paraId="43D306A7" w14:textId="5D2C96C0" w:rsidR="008E79FC" w:rsidRPr="00E814B7" w:rsidRDefault="008E79FC" w:rsidP="00E814B7">
      <w:pPr>
        <w:autoSpaceDE w:val="0"/>
        <w:autoSpaceDN w:val="0"/>
        <w:adjustRightInd w:val="0"/>
        <w:jc w:val="both"/>
        <w:rPr>
          <w:rFonts w:asciiTheme="majorBidi" w:hAnsiTheme="majorBidi" w:cstheme="majorBidi"/>
          <w:sz w:val="22"/>
          <w:szCs w:val="22"/>
          <w:u w:val="single"/>
          <w:lang w:val="sr-Latn-ME" w:eastAsia="sr-Latn-CS"/>
        </w:rPr>
      </w:pPr>
      <w:r w:rsidRPr="00E814B7">
        <w:rPr>
          <w:rFonts w:asciiTheme="majorBidi" w:hAnsiTheme="majorBidi" w:cstheme="majorBidi"/>
          <w:sz w:val="22"/>
          <w:szCs w:val="22"/>
          <w:u w:val="single"/>
          <w:lang w:val="sr-Latn-ME" w:eastAsia="sr-Latn-CS"/>
        </w:rPr>
        <w:t>Karcinom pankreasa (primjena erlotiniba u kombinaciji sa gemcitabinom):</w:t>
      </w:r>
    </w:p>
    <w:p w14:paraId="12A01E57" w14:textId="23B8BA3C" w:rsidR="008E79FC" w:rsidRPr="00E814B7" w:rsidRDefault="008E79FC" w:rsidP="00E814B7">
      <w:pPr>
        <w:autoSpaceDE w:val="0"/>
        <w:autoSpaceDN w:val="0"/>
        <w:adjustRightInd w:val="0"/>
        <w:jc w:val="both"/>
        <w:rPr>
          <w:rFonts w:asciiTheme="majorBidi" w:hAnsiTheme="majorBidi" w:cstheme="majorBidi"/>
          <w:sz w:val="22"/>
          <w:szCs w:val="22"/>
          <w:u w:val="single"/>
          <w:lang w:val="sr-Latn-ME" w:eastAsia="sr-Latn-CS"/>
        </w:rPr>
      </w:pPr>
    </w:p>
    <w:p w14:paraId="00CD6658" w14:textId="48E219CE" w:rsidR="008E79FC" w:rsidRPr="00E814B7" w:rsidRDefault="008E79FC"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xml:space="preserve">Najčešća neželjena dejstva u </w:t>
      </w:r>
      <w:r w:rsidR="00DB6EE3" w:rsidRPr="00E814B7">
        <w:rPr>
          <w:rFonts w:asciiTheme="majorBidi" w:hAnsiTheme="majorBidi" w:cstheme="majorBidi"/>
          <w:sz w:val="22"/>
          <w:szCs w:val="22"/>
          <w:lang w:val="sr-Latn-ME" w:eastAsia="sr-Latn-CS"/>
        </w:rPr>
        <w:t xml:space="preserve">centralnom </w:t>
      </w:r>
      <w:r w:rsidRPr="00E814B7">
        <w:rPr>
          <w:rFonts w:asciiTheme="majorBidi" w:hAnsiTheme="majorBidi" w:cstheme="majorBidi"/>
          <w:sz w:val="22"/>
          <w:szCs w:val="22"/>
          <w:lang w:val="sr-Latn-ME" w:eastAsia="sr-Latn-CS"/>
        </w:rPr>
        <w:t xml:space="preserve">ispitivanju PA.3 kod pacijenata sa karcinomom pankreasa koji su primali erlotinib 100 mg u kombinaciji sa gemcitabinom bila su umor, osip i dijareja. U grupi </w:t>
      </w:r>
      <w:r w:rsidR="00EA3E4C" w:rsidRPr="00E814B7">
        <w:rPr>
          <w:rFonts w:asciiTheme="majorBidi" w:hAnsiTheme="majorBidi" w:cstheme="majorBidi"/>
          <w:sz w:val="22"/>
          <w:szCs w:val="22"/>
          <w:lang w:val="sr-Latn-ME" w:eastAsia="sr-Latn-CS"/>
        </w:rPr>
        <w:t>koja je primala erlotinib i gemcitabin osip i dijareja stepena 3/4 prijavljeni su kod 5% pacijenata. Srednje vrijeme do pojave osipa i dijareje iznosilo je 10, odnosno 15 dana. Kod 2% pacijenata koji su primali erlotinib i gemcitabin zbog osipa i dijareje doza se morala smanjiti, a kod 1% pacijenata ispitivanje je prekinuto.</w:t>
      </w:r>
    </w:p>
    <w:p w14:paraId="2F11331C" w14:textId="41E292C9" w:rsidR="00EA3E4C" w:rsidRPr="00E814B7" w:rsidRDefault="00EA3E4C" w:rsidP="00E814B7">
      <w:pPr>
        <w:autoSpaceDE w:val="0"/>
        <w:autoSpaceDN w:val="0"/>
        <w:adjustRightInd w:val="0"/>
        <w:jc w:val="both"/>
        <w:rPr>
          <w:rFonts w:asciiTheme="majorBidi" w:hAnsiTheme="majorBidi" w:cstheme="majorBidi"/>
          <w:sz w:val="22"/>
          <w:szCs w:val="22"/>
          <w:lang w:val="sr-Latn-ME" w:eastAsia="sr-Latn-CS"/>
        </w:rPr>
      </w:pPr>
    </w:p>
    <w:p w14:paraId="2C260C27" w14:textId="530DB8F3" w:rsidR="00EA3E4C" w:rsidRPr="00E814B7" w:rsidRDefault="00EA3E4C"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Tabela 1: Neželjena dejstva koja su se javila kod ≥10% pacijenata u ispitivanjima BR.21 (liječenih lijekom erlotinib) i PA.3 (liječenih erlotinibom i gemcitabinom) i neželjena dejstva koja su se javljala češće (≥3%) nego uz placebo u ispitivanjima BR.21 (liječenje erlotinibom) i PA.3 (liječenje erlotinibom i gemcitabinom).</w:t>
      </w:r>
    </w:p>
    <w:p w14:paraId="0EE71B44" w14:textId="4296CEC4" w:rsidR="00EA3E4C" w:rsidRPr="00E814B7" w:rsidRDefault="00EA3E4C" w:rsidP="00E814B7">
      <w:pPr>
        <w:jc w:val="both"/>
        <w:rPr>
          <w:rFonts w:asciiTheme="majorBidi" w:hAnsiTheme="majorBidi" w:cstheme="majorBidi"/>
          <w:sz w:val="22"/>
          <w:szCs w:val="22"/>
          <w:lang w:val="sr-Latn-ME" w:eastAsia="sr-Latn-CS"/>
        </w:rPr>
      </w:pPr>
    </w:p>
    <w:tbl>
      <w:tblPr>
        <w:tblStyle w:val="TableGrid"/>
        <w:tblW w:w="0" w:type="auto"/>
        <w:tblLook w:val="04A0" w:firstRow="1" w:lastRow="0" w:firstColumn="1" w:lastColumn="0" w:noHBand="0" w:noVBand="1"/>
      </w:tblPr>
      <w:tblGrid>
        <w:gridCol w:w="1989"/>
        <w:gridCol w:w="1085"/>
        <w:gridCol w:w="878"/>
        <w:gridCol w:w="709"/>
        <w:gridCol w:w="993"/>
        <w:gridCol w:w="872"/>
        <w:gridCol w:w="1132"/>
        <w:gridCol w:w="1405"/>
      </w:tblGrid>
      <w:tr w:rsidR="00EA3E4C" w:rsidRPr="00E814B7" w14:paraId="523CB4CA" w14:textId="77777777" w:rsidTr="00551134">
        <w:tc>
          <w:tcPr>
            <w:tcW w:w="1989" w:type="dxa"/>
          </w:tcPr>
          <w:p w14:paraId="292B0CD7" w14:textId="77777777"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p>
        </w:tc>
        <w:tc>
          <w:tcPr>
            <w:tcW w:w="2672" w:type="dxa"/>
            <w:gridSpan w:val="3"/>
          </w:tcPr>
          <w:p w14:paraId="547526AB" w14:textId="77777777" w:rsidR="00EA3E4C" w:rsidRPr="00E814B7" w:rsidRDefault="00EA3E4C" w:rsidP="00E814B7">
            <w:pPr>
              <w:autoSpaceDE w:val="0"/>
              <w:autoSpaceDN w:val="0"/>
              <w:adjustRightInd w:val="0"/>
              <w:jc w:val="center"/>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Erlotinib (BR.21)</w:t>
            </w:r>
          </w:p>
          <w:p w14:paraId="2F861FF1" w14:textId="459AD987" w:rsidR="00EA3E4C" w:rsidRPr="00E814B7" w:rsidRDefault="00EA3E4C" w:rsidP="00E814B7">
            <w:pPr>
              <w:autoSpaceDE w:val="0"/>
              <w:autoSpaceDN w:val="0"/>
              <w:adjustRightInd w:val="0"/>
              <w:jc w:val="center"/>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N = 485</w:t>
            </w:r>
          </w:p>
        </w:tc>
        <w:tc>
          <w:tcPr>
            <w:tcW w:w="2997" w:type="dxa"/>
            <w:gridSpan w:val="3"/>
          </w:tcPr>
          <w:p w14:paraId="6D133A83" w14:textId="1F88A894" w:rsidR="00EA3E4C" w:rsidRPr="00E814B7" w:rsidRDefault="00EA3E4C" w:rsidP="00E814B7">
            <w:pPr>
              <w:autoSpaceDE w:val="0"/>
              <w:autoSpaceDN w:val="0"/>
              <w:adjustRightInd w:val="0"/>
              <w:jc w:val="center"/>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Erlotinib (PA.3)</w:t>
            </w:r>
          </w:p>
          <w:p w14:paraId="37492AE9" w14:textId="4D4BC8F9" w:rsidR="00EA3E4C" w:rsidRPr="00E814B7" w:rsidRDefault="00EA3E4C" w:rsidP="00E814B7">
            <w:pPr>
              <w:autoSpaceDE w:val="0"/>
              <w:autoSpaceDN w:val="0"/>
              <w:adjustRightInd w:val="0"/>
              <w:jc w:val="center"/>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N = 259</w:t>
            </w:r>
          </w:p>
        </w:tc>
        <w:tc>
          <w:tcPr>
            <w:tcW w:w="1405" w:type="dxa"/>
            <w:vMerge w:val="restart"/>
          </w:tcPr>
          <w:p w14:paraId="0CFFF3E8" w14:textId="0E860BC3"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Kategorija najveće učestalosti</w:t>
            </w:r>
          </w:p>
        </w:tc>
      </w:tr>
      <w:tr w:rsidR="00551134" w:rsidRPr="00E814B7" w14:paraId="686A440C" w14:textId="77777777" w:rsidTr="00551134">
        <w:tc>
          <w:tcPr>
            <w:tcW w:w="1989" w:type="dxa"/>
          </w:tcPr>
          <w:p w14:paraId="7DF09B58" w14:textId="22B72881"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NCI-CTC stupanj</w:t>
            </w:r>
          </w:p>
        </w:tc>
        <w:tc>
          <w:tcPr>
            <w:tcW w:w="1085" w:type="dxa"/>
          </w:tcPr>
          <w:p w14:paraId="128489BD" w14:textId="0E169AB7" w:rsidR="00EA3E4C" w:rsidRPr="00E814B7" w:rsidRDefault="00EA3E4C" w:rsidP="00E814B7">
            <w:pPr>
              <w:autoSpaceDE w:val="0"/>
              <w:autoSpaceDN w:val="0"/>
              <w:adjustRightInd w:val="0"/>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 xml:space="preserve">Bilo koji </w:t>
            </w:r>
            <w:r w:rsidR="00DB6EE3" w:rsidRPr="00E814B7">
              <w:rPr>
                <w:rFonts w:asciiTheme="majorBidi" w:hAnsiTheme="majorBidi" w:cstheme="majorBidi"/>
                <w:b/>
                <w:bCs/>
                <w:sz w:val="22"/>
                <w:szCs w:val="22"/>
                <w:lang w:val="sr-Latn-ME" w:eastAsia="sr-Latn-CS"/>
              </w:rPr>
              <w:t>stepen</w:t>
            </w:r>
          </w:p>
        </w:tc>
        <w:tc>
          <w:tcPr>
            <w:tcW w:w="878" w:type="dxa"/>
          </w:tcPr>
          <w:p w14:paraId="31C1AC2D" w14:textId="395FA425"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3</w:t>
            </w:r>
          </w:p>
        </w:tc>
        <w:tc>
          <w:tcPr>
            <w:tcW w:w="709" w:type="dxa"/>
          </w:tcPr>
          <w:p w14:paraId="4B5ACEED" w14:textId="2528E86C"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4</w:t>
            </w:r>
          </w:p>
        </w:tc>
        <w:tc>
          <w:tcPr>
            <w:tcW w:w="993" w:type="dxa"/>
          </w:tcPr>
          <w:p w14:paraId="42407630" w14:textId="143A0632" w:rsidR="00EA3E4C" w:rsidRPr="00E814B7" w:rsidRDefault="00EA3E4C" w:rsidP="00E814B7">
            <w:pPr>
              <w:autoSpaceDE w:val="0"/>
              <w:autoSpaceDN w:val="0"/>
              <w:adjustRightInd w:val="0"/>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 xml:space="preserve">Bilo koji </w:t>
            </w:r>
            <w:r w:rsidR="00DB6EE3" w:rsidRPr="00E814B7">
              <w:rPr>
                <w:rFonts w:asciiTheme="majorBidi" w:hAnsiTheme="majorBidi" w:cstheme="majorBidi"/>
                <w:b/>
                <w:bCs/>
                <w:sz w:val="22"/>
                <w:szCs w:val="22"/>
                <w:lang w:val="sr-Latn-ME" w:eastAsia="sr-Latn-CS"/>
              </w:rPr>
              <w:t>stepen</w:t>
            </w:r>
          </w:p>
        </w:tc>
        <w:tc>
          <w:tcPr>
            <w:tcW w:w="872" w:type="dxa"/>
          </w:tcPr>
          <w:p w14:paraId="4ACC405D" w14:textId="2CB68075"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3</w:t>
            </w:r>
          </w:p>
        </w:tc>
        <w:tc>
          <w:tcPr>
            <w:tcW w:w="1132" w:type="dxa"/>
          </w:tcPr>
          <w:p w14:paraId="01A4DA6D" w14:textId="706ACEB6"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4</w:t>
            </w:r>
          </w:p>
        </w:tc>
        <w:tc>
          <w:tcPr>
            <w:tcW w:w="1405" w:type="dxa"/>
            <w:vMerge/>
          </w:tcPr>
          <w:p w14:paraId="2C5C3501" w14:textId="77777777" w:rsidR="00EA3E4C" w:rsidRPr="00E814B7" w:rsidRDefault="00EA3E4C" w:rsidP="00E814B7">
            <w:pPr>
              <w:autoSpaceDE w:val="0"/>
              <w:autoSpaceDN w:val="0"/>
              <w:adjustRightInd w:val="0"/>
              <w:jc w:val="both"/>
              <w:rPr>
                <w:rFonts w:asciiTheme="majorBidi" w:hAnsiTheme="majorBidi" w:cstheme="majorBidi"/>
                <w:sz w:val="22"/>
                <w:szCs w:val="22"/>
                <w:lang w:val="sr-Latn-ME" w:eastAsia="sr-Latn-CS"/>
              </w:rPr>
            </w:pPr>
          </w:p>
        </w:tc>
      </w:tr>
      <w:tr w:rsidR="00551134" w:rsidRPr="00E814B7" w14:paraId="0BED6BA2" w14:textId="77777777" w:rsidTr="00551134">
        <w:tc>
          <w:tcPr>
            <w:tcW w:w="1989" w:type="dxa"/>
          </w:tcPr>
          <w:p w14:paraId="4FC18026" w14:textId="6D1147EE"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MedDRA preporučeni izraz</w:t>
            </w:r>
          </w:p>
        </w:tc>
        <w:tc>
          <w:tcPr>
            <w:tcW w:w="1085" w:type="dxa"/>
          </w:tcPr>
          <w:p w14:paraId="4D5E16A8" w14:textId="4B0179DC"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878" w:type="dxa"/>
          </w:tcPr>
          <w:p w14:paraId="50E5E6C4" w14:textId="0B374D2B"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709" w:type="dxa"/>
          </w:tcPr>
          <w:p w14:paraId="30C86FEA" w14:textId="6398315A"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993" w:type="dxa"/>
          </w:tcPr>
          <w:p w14:paraId="444146E4" w14:textId="60AA3584"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872" w:type="dxa"/>
          </w:tcPr>
          <w:p w14:paraId="525AB570" w14:textId="7CD3F166"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1132" w:type="dxa"/>
          </w:tcPr>
          <w:p w14:paraId="2D98179B" w14:textId="69E0DE32" w:rsidR="00EA3E4C" w:rsidRPr="00E814B7" w:rsidRDefault="00EA3E4C" w:rsidP="00E814B7">
            <w:pPr>
              <w:autoSpaceDE w:val="0"/>
              <w:autoSpaceDN w:val="0"/>
              <w:adjustRightInd w:val="0"/>
              <w:jc w:val="both"/>
              <w:rPr>
                <w:rFonts w:asciiTheme="majorBidi" w:hAnsiTheme="majorBidi" w:cstheme="majorBidi"/>
                <w:b/>
                <w:bCs/>
                <w:sz w:val="22"/>
                <w:szCs w:val="22"/>
                <w:lang w:val="sr-Latn-ME" w:eastAsia="sr-Latn-CS"/>
              </w:rPr>
            </w:pPr>
            <w:r w:rsidRPr="00E814B7">
              <w:rPr>
                <w:rFonts w:asciiTheme="majorBidi" w:hAnsiTheme="majorBidi" w:cstheme="majorBidi"/>
                <w:b/>
                <w:bCs/>
                <w:sz w:val="22"/>
                <w:szCs w:val="22"/>
                <w:lang w:val="sr-Latn-ME" w:eastAsia="sr-Latn-CS"/>
              </w:rPr>
              <w:t>%</w:t>
            </w:r>
          </w:p>
        </w:tc>
        <w:tc>
          <w:tcPr>
            <w:tcW w:w="1405" w:type="dxa"/>
            <w:vMerge/>
          </w:tcPr>
          <w:p w14:paraId="3ECE505A" w14:textId="77777777" w:rsidR="00EA3E4C" w:rsidRPr="00E814B7" w:rsidRDefault="00EA3E4C" w:rsidP="00E814B7">
            <w:pPr>
              <w:autoSpaceDE w:val="0"/>
              <w:autoSpaceDN w:val="0"/>
              <w:adjustRightInd w:val="0"/>
              <w:jc w:val="both"/>
              <w:rPr>
                <w:rFonts w:asciiTheme="majorBidi" w:hAnsiTheme="majorBidi" w:cstheme="majorBidi"/>
                <w:sz w:val="22"/>
                <w:szCs w:val="22"/>
                <w:lang w:val="sr-Latn-ME" w:eastAsia="sr-Latn-CS"/>
              </w:rPr>
            </w:pPr>
          </w:p>
        </w:tc>
      </w:tr>
      <w:tr w:rsidR="00551134" w:rsidRPr="00E814B7" w14:paraId="74B84379" w14:textId="77777777" w:rsidTr="00551134">
        <w:tc>
          <w:tcPr>
            <w:tcW w:w="1989" w:type="dxa"/>
          </w:tcPr>
          <w:p w14:paraId="2E46DEA6" w14:textId="1104FF4F"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Infekcije i infestacije</w:t>
            </w:r>
          </w:p>
        </w:tc>
        <w:tc>
          <w:tcPr>
            <w:tcW w:w="7074" w:type="dxa"/>
            <w:gridSpan w:val="7"/>
          </w:tcPr>
          <w:p w14:paraId="11BF58A4" w14:textId="77777777" w:rsidR="00551134" w:rsidRPr="00E814B7" w:rsidRDefault="00551134" w:rsidP="00E814B7">
            <w:pPr>
              <w:autoSpaceDE w:val="0"/>
              <w:autoSpaceDN w:val="0"/>
              <w:adjustRightInd w:val="0"/>
              <w:jc w:val="both"/>
              <w:rPr>
                <w:rFonts w:asciiTheme="majorBidi" w:hAnsiTheme="majorBidi" w:cstheme="majorBidi"/>
                <w:sz w:val="22"/>
                <w:szCs w:val="22"/>
                <w:lang w:val="sr-Latn-ME" w:eastAsia="sr-Latn-CS"/>
              </w:rPr>
            </w:pPr>
          </w:p>
        </w:tc>
      </w:tr>
      <w:tr w:rsidR="00551134" w:rsidRPr="00E814B7" w14:paraId="569E58B9" w14:textId="77777777" w:rsidTr="00551134">
        <w:tc>
          <w:tcPr>
            <w:tcW w:w="1989" w:type="dxa"/>
          </w:tcPr>
          <w:p w14:paraId="5C016620" w14:textId="3506C6DE" w:rsidR="00EA3E4C" w:rsidRPr="00E814B7" w:rsidRDefault="00551134"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infekcije*</w:t>
            </w:r>
          </w:p>
        </w:tc>
        <w:tc>
          <w:tcPr>
            <w:tcW w:w="1085" w:type="dxa"/>
          </w:tcPr>
          <w:p w14:paraId="3CB7CC7E" w14:textId="30B9DEBD"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24</w:t>
            </w:r>
          </w:p>
        </w:tc>
        <w:tc>
          <w:tcPr>
            <w:tcW w:w="878" w:type="dxa"/>
          </w:tcPr>
          <w:p w14:paraId="56371164" w14:textId="65A2BB45"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4</w:t>
            </w:r>
          </w:p>
        </w:tc>
        <w:tc>
          <w:tcPr>
            <w:tcW w:w="709" w:type="dxa"/>
          </w:tcPr>
          <w:p w14:paraId="43DBB10E" w14:textId="2EF73244"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10EC86FE" w14:textId="07E6393F"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31</w:t>
            </w:r>
          </w:p>
        </w:tc>
        <w:tc>
          <w:tcPr>
            <w:tcW w:w="872" w:type="dxa"/>
          </w:tcPr>
          <w:p w14:paraId="7A30C18B" w14:textId="262EDCD0"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w:t>
            </w:r>
          </w:p>
        </w:tc>
        <w:tc>
          <w:tcPr>
            <w:tcW w:w="1132" w:type="dxa"/>
          </w:tcPr>
          <w:p w14:paraId="722CC2B4" w14:textId="3520E6DD" w:rsidR="00EA3E4C"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405" w:type="dxa"/>
          </w:tcPr>
          <w:p w14:paraId="3A3677CA" w14:textId="6543949A" w:rsidR="00EA3E4C"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w:t>
            </w:r>
            <w:r w:rsidR="00551134" w:rsidRPr="00E814B7">
              <w:rPr>
                <w:rFonts w:asciiTheme="majorBidi" w:hAnsiTheme="majorBidi" w:cstheme="majorBidi"/>
                <w:sz w:val="22"/>
                <w:szCs w:val="22"/>
                <w:lang w:val="sr-Latn-ME" w:eastAsia="sr-Latn-CS"/>
              </w:rPr>
              <w:t xml:space="preserve"> često</w:t>
            </w:r>
          </w:p>
        </w:tc>
      </w:tr>
      <w:tr w:rsidR="00551134" w:rsidRPr="00E814B7" w14:paraId="7BF81DA4" w14:textId="77777777" w:rsidTr="00BC1F5D">
        <w:tc>
          <w:tcPr>
            <w:tcW w:w="1989" w:type="dxa"/>
          </w:tcPr>
          <w:p w14:paraId="13BE90F8" w14:textId="5F15C3E1"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metabolizma i prehrane</w:t>
            </w:r>
          </w:p>
        </w:tc>
        <w:tc>
          <w:tcPr>
            <w:tcW w:w="7074" w:type="dxa"/>
            <w:gridSpan w:val="7"/>
          </w:tcPr>
          <w:p w14:paraId="44F812DA" w14:textId="77777777" w:rsidR="00551134" w:rsidRPr="00E814B7" w:rsidRDefault="00551134" w:rsidP="00E814B7">
            <w:pPr>
              <w:autoSpaceDE w:val="0"/>
              <w:autoSpaceDN w:val="0"/>
              <w:adjustRightInd w:val="0"/>
              <w:jc w:val="both"/>
              <w:rPr>
                <w:rFonts w:asciiTheme="majorBidi" w:hAnsiTheme="majorBidi" w:cstheme="majorBidi"/>
                <w:sz w:val="22"/>
                <w:szCs w:val="22"/>
                <w:lang w:val="sr-Latn-ME" w:eastAsia="sr-Latn-CS"/>
              </w:rPr>
            </w:pPr>
          </w:p>
        </w:tc>
      </w:tr>
      <w:tr w:rsidR="00E11A1A" w:rsidRPr="00E814B7" w14:paraId="65A22D2F" w14:textId="77777777" w:rsidTr="00551134">
        <w:tc>
          <w:tcPr>
            <w:tcW w:w="1989" w:type="dxa"/>
          </w:tcPr>
          <w:p w14:paraId="789624B8" w14:textId="6E558B1F"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anoreksija</w:t>
            </w:r>
          </w:p>
        </w:tc>
        <w:tc>
          <w:tcPr>
            <w:tcW w:w="1085" w:type="dxa"/>
          </w:tcPr>
          <w:p w14:paraId="330BA8B2" w14:textId="28A535B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52</w:t>
            </w:r>
          </w:p>
        </w:tc>
        <w:tc>
          <w:tcPr>
            <w:tcW w:w="878" w:type="dxa"/>
          </w:tcPr>
          <w:p w14:paraId="1AC73B23" w14:textId="6509695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8</w:t>
            </w:r>
          </w:p>
        </w:tc>
        <w:tc>
          <w:tcPr>
            <w:tcW w:w="709" w:type="dxa"/>
          </w:tcPr>
          <w:p w14:paraId="74133774" w14:textId="351A341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w:t>
            </w:r>
          </w:p>
        </w:tc>
        <w:tc>
          <w:tcPr>
            <w:tcW w:w="993" w:type="dxa"/>
          </w:tcPr>
          <w:p w14:paraId="72817D3A" w14:textId="494D7D9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3FF29702" w14:textId="3CD81A3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61538642" w14:textId="4973973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5C528AC2" w14:textId="26278FB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47885F72" w14:textId="77777777" w:rsidTr="00551134">
        <w:tc>
          <w:tcPr>
            <w:tcW w:w="1989" w:type="dxa"/>
          </w:tcPr>
          <w:p w14:paraId="19AC55D1" w14:textId="670A7049"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smanjenje težine</w:t>
            </w:r>
          </w:p>
        </w:tc>
        <w:tc>
          <w:tcPr>
            <w:tcW w:w="1085" w:type="dxa"/>
          </w:tcPr>
          <w:p w14:paraId="0365026E" w14:textId="62C4208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12626154" w14:textId="1921EF2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3A3B4E94" w14:textId="45DFB56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44771040" w14:textId="17A1466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39</w:t>
            </w:r>
          </w:p>
        </w:tc>
        <w:tc>
          <w:tcPr>
            <w:tcW w:w="872" w:type="dxa"/>
          </w:tcPr>
          <w:p w14:paraId="43CEA8A1" w14:textId="211742C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w:t>
            </w:r>
          </w:p>
        </w:tc>
        <w:tc>
          <w:tcPr>
            <w:tcW w:w="1132" w:type="dxa"/>
          </w:tcPr>
          <w:p w14:paraId="551ADEB9" w14:textId="14697FD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02DF31DB" w14:textId="49AD5F6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551134" w:rsidRPr="00E814B7" w14:paraId="51F179D7" w14:textId="77777777" w:rsidTr="00BC1F5D">
        <w:tc>
          <w:tcPr>
            <w:tcW w:w="1989" w:type="dxa"/>
          </w:tcPr>
          <w:p w14:paraId="55C27DCB" w14:textId="6C9214E5"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oka</w:t>
            </w:r>
          </w:p>
        </w:tc>
        <w:tc>
          <w:tcPr>
            <w:tcW w:w="7074" w:type="dxa"/>
            <w:gridSpan w:val="7"/>
          </w:tcPr>
          <w:p w14:paraId="5E287A87" w14:textId="77777777"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5E124B8F" w14:textId="77777777" w:rsidTr="00551134">
        <w:tc>
          <w:tcPr>
            <w:tcW w:w="1989" w:type="dxa"/>
          </w:tcPr>
          <w:p w14:paraId="37DBFD0E" w14:textId="0B35FDD6"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lastRenderedPageBreak/>
              <w:t>keratokonjunktivitis sicca</w:t>
            </w:r>
          </w:p>
        </w:tc>
        <w:tc>
          <w:tcPr>
            <w:tcW w:w="1085" w:type="dxa"/>
          </w:tcPr>
          <w:p w14:paraId="0D87D4A9" w14:textId="0E33D30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12</w:t>
            </w:r>
          </w:p>
        </w:tc>
        <w:tc>
          <w:tcPr>
            <w:tcW w:w="878" w:type="dxa"/>
          </w:tcPr>
          <w:p w14:paraId="359FFFCA" w14:textId="7533C26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709" w:type="dxa"/>
          </w:tcPr>
          <w:p w14:paraId="6CB0046E" w14:textId="5DB6DEB6"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1A7EC914" w14:textId="4B8AC38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2EEB7DFF" w14:textId="257D1DD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2EF61151" w14:textId="4BED9EB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31031390" w14:textId="4727C6A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D8463F9" w14:textId="77777777" w:rsidTr="00551134">
        <w:tc>
          <w:tcPr>
            <w:tcW w:w="1989" w:type="dxa"/>
          </w:tcPr>
          <w:p w14:paraId="7EE99B64" w14:textId="2243FE05"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konjunktivitis</w:t>
            </w:r>
          </w:p>
        </w:tc>
        <w:tc>
          <w:tcPr>
            <w:tcW w:w="1085" w:type="dxa"/>
          </w:tcPr>
          <w:p w14:paraId="62FB417D" w14:textId="7F4A92E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12</w:t>
            </w:r>
          </w:p>
        </w:tc>
        <w:tc>
          <w:tcPr>
            <w:tcW w:w="878" w:type="dxa"/>
          </w:tcPr>
          <w:p w14:paraId="67269533" w14:textId="7EEB482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709" w:type="dxa"/>
          </w:tcPr>
          <w:p w14:paraId="75BE509A" w14:textId="233CB1C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45A3245B" w14:textId="6A7DDC0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4D2E7CC0" w14:textId="796E576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5C0C437B" w14:textId="191CBF8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5D85B52D" w14:textId="0E3A4F8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551134" w:rsidRPr="00E814B7" w14:paraId="01200974" w14:textId="77777777" w:rsidTr="00BC1F5D">
        <w:tc>
          <w:tcPr>
            <w:tcW w:w="1989" w:type="dxa"/>
          </w:tcPr>
          <w:p w14:paraId="0AFC457D" w14:textId="2EBF30DD"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Psihijatrijski poremećaji</w:t>
            </w:r>
          </w:p>
        </w:tc>
        <w:tc>
          <w:tcPr>
            <w:tcW w:w="7074" w:type="dxa"/>
            <w:gridSpan w:val="7"/>
          </w:tcPr>
          <w:p w14:paraId="1E4967CE" w14:textId="77777777"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p>
        </w:tc>
      </w:tr>
      <w:tr w:rsidR="00551134" w:rsidRPr="00E814B7" w14:paraId="257D092C" w14:textId="77777777" w:rsidTr="00551134">
        <w:tc>
          <w:tcPr>
            <w:tcW w:w="1989" w:type="dxa"/>
          </w:tcPr>
          <w:p w14:paraId="63572F0F" w14:textId="5ED2C4AF" w:rsidR="00551134" w:rsidRPr="00E814B7" w:rsidRDefault="00551134"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depresija</w:t>
            </w:r>
          </w:p>
        </w:tc>
        <w:tc>
          <w:tcPr>
            <w:tcW w:w="1085" w:type="dxa"/>
          </w:tcPr>
          <w:p w14:paraId="22B5326F" w14:textId="56D04AC9"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1C5C99F4" w14:textId="0FD1D95D"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278AE003" w14:textId="008C7E2F"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15C099AD" w14:textId="09A01DD9"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19</w:t>
            </w:r>
          </w:p>
        </w:tc>
        <w:tc>
          <w:tcPr>
            <w:tcW w:w="872" w:type="dxa"/>
          </w:tcPr>
          <w:p w14:paraId="18D4395F" w14:textId="5EA5B86D"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w:t>
            </w:r>
          </w:p>
        </w:tc>
        <w:tc>
          <w:tcPr>
            <w:tcW w:w="1132" w:type="dxa"/>
          </w:tcPr>
          <w:p w14:paraId="20A9BBD8" w14:textId="16A124B3"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2A980824" w14:textId="5780AE90" w:rsidR="00551134"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551134" w:rsidRPr="00E814B7" w14:paraId="30539D77" w14:textId="77777777" w:rsidTr="00BC1F5D">
        <w:tc>
          <w:tcPr>
            <w:tcW w:w="1989" w:type="dxa"/>
          </w:tcPr>
          <w:p w14:paraId="64B6C087" w14:textId="42B5CDFC"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nervnog sistema</w:t>
            </w:r>
          </w:p>
        </w:tc>
        <w:tc>
          <w:tcPr>
            <w:tcW w:w="7074" w:type="dxa"/>
            <w:gridSpan w:val="7"/>
          </w:tcPr>
          <w:p w14:paraId="288FD10D" w14:textId="77777777"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014E689D" w14:textId="77777777" w:rsidTr="00551134">
        <w:tc>
          <w:tcPr>
            <w:tcW w:w="1989" w:type="dxa"/>
          </w:tcPr>
          <w:p w14:paraId="7DDF44C4" w14:textId="4FBC20A6"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neuropatija</w:t>
            </w:r>
          </w:p>
        </w:tc>
        <w:tc>
          <w:tcPr>
            <w:tcW w:w="1085" w:type="dxa"/>
          </w:tcPr>
          <w:p w14:paraId="795E0145" w14:textId="4A32D01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2663ADD4" w14:textId="1A66C5A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591057EF" w14:textId="73BA28D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630A5552" w14:textId="6847D07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13</w:t>
            </w:r>
          </w:p>
        </w:tc>
        <w:tc>
          <w:tcPr>
            <w:tcW w:w="872" w:type="dxa"/>
          </w:tcPr>
          <w:p w14:paraId="1E782167" w14:textId="2615832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w:t>
            </w:r>
          </w:p>
        </w:tc>
        <w:tc>
          <w:tcPr>
            <w:tcW w:w="1132" w:type="dxa"/>
          </w:tcPr>
          <w:p w14:paraId="01A63481" w14:textId="578A8AD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405" w:type="dxa"/>
          </w:tcPr>
          <w:p w14:paraId="6038E24C" w14:textId="2B4BE7F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5209094C" w14:textId="77777777" w:rsidTr="00551134">
        <w:tc>
          <w:tcPr>
            <w:tcW w:w="1989" w:type="dxa"/>
          </w:tcPr>
          <w:p w14:paraId="074017FD" w14:textId="0E861DD3"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glavobolja</w:t>
            </w:r>
          </w:p>
        </w:tc>
        <w:tc>
          <w:tcPr>
            <w:tcW w:w="1085" w:type="dxa"/>
          </w:tcPr>
          <w:p w14:paraId="40E4FD7B" w14:textId="3CB022A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2BDD36D8" w14:textId="4C2D1D6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608DCA2B" w14:textId="79CDEAF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3A91BB53" w14:textId="3CABDC9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15</w:t>
            </w:r>
          </w:p>
        </w:tc>
        <w:tc>
          <w:tcPr>
            <w:tcW w:w="872" w:type="dxa"/>
          </w:tcPr>
          <w:p w14:paraId="03CC219E" w14:textId="78FC2C1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132" w:type="dxa"/>
          </w:tcPr>
          <w:p w14:paraId="4932624B" w14:textId="283B49E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2CF1C46B" w14:textId="2897D89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551134" w:rsidRPr="00E814B7" w14:paraId="691AACCE" w14:textId="77777777" w:rsidTr="00BC1F5D">
        <w:tc>
          <w:tcPr>
            <w:tcW w:w="1989" w:type="dxa"/>
          </w:tcPr>
          <w:p w14:paraId="3A104324" w14:textId="10774449"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plućnog sistema, grudi i sredogruđa</w:t>
            </w:r>
          </w:p>
        </w:tc>
        <w:tc>
          <w:tcPr>
            <w:tcW w:w="7074" w:type="dxa"/>
            <w:gridSpan w:val="7"/>
          </w:tcPr>
          <w:p w14:paraId="4AC0FF9B" w14:textId="77777777"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435FD4F7" w14:textId="77777777" w:rsidTr="00551134">
        <w:tc>
          <w:tcPr>
            <w:tcW w:w="1989" w:type="dxa"/>
          </w:tcPr>
          <w:p w14:paraId="55D32AA5" w14:textId="4BC27AFF"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dispneja</w:t>
            </w:r>
          </w:p>
        </w:tc>
        <w:tc>
          <w:tcPr>
            <w:tcW w:w="1085" w:type="dxa"/>
          </w:tcPr>
          <w:p w14:paraId="2117CDD7" w14:textId="75195ED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41</w:t>
            </w:r>
          </w:p>
        </w:tc>
        <w:tc>
          <w:tcPr>
            <w:tcW w:w="878" w:type="dxa"/>
          </w:tcPr>
          <w:p w14:paraId="2940790A" w14:textId="7CED7C9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17</w:t>
            </w:r>
          </w:p>
        </w:tc>
        <w:tc>
          <w:tcPr>
            <w:tcW w:w="709" w:type="dxa"/>
          </w:tcPr>
          <w:p w14:paraId="2970367F" w14:textId="52C078F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11</w:t>
            </w:r>
          </w:p>
        </w:tc>
        <w:tc>
          <w:tcPr>
            <w:tcW w:w="993" w:type="dxa"/>
          </w:tcPr>
          <w:p w14:paraId="50E77303" w14:textId="3CEDC31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5A3421DD" w14:textId="08634DD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1D040B15" w14:textId="64AEC35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3F29D868" w14:textId="74A1AEE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7EE3D6A" w14:textId="77777777" w:rsidTr="00551134">
        <w:tc>
          <w:tcPr>
            <w:tcW w:w="1989" w:type="dxa"/>
          </w:tcPr>
          <w:p w14:paraId="3F8B78FF" w14:textId="362B4977"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kašalj</w:t>
            </w:r>
          </w:p>
        </w:tc>
        <w:tc>
          <w:tcPr>
            <w:tcW w:w="1085" w:type="dxa"/>
          </w:tcPr>
          <w:p w14:paraId="64ADB330" w14:textId="6005C3C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33</w:t>
            </w:r>
          </w:p>
        </w:tc>
        <w:tc>
          <w:tcPr>
            <w:tcW w:w="878" w:type="dxa"/>
          </w:tcPr>
          <w:p w14:paraId="76C02F7F" w14:textId="5835855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4</w:t>
            </w:r>
          </w:p>
        </w:tc>
        <w:tc>
          <w:tcPr>
            <w:tcW w:w="709" w:type="dxa"/>
          </w:tcPr>
          <w:p w14:paraId="45EB0D07" w14:textId="1849035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655FA2FA" w14:textId="27EBF60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16</w:t>
            </w:r>
          </w:p>
        </w:tc>
        <w:tc>
          <w:tcPr>
            <w:tcW w:w="872" w:type="dxa"/>
          </w:tcPr>
          <w:p w14:paraId="20FC3E11" w14:textId="22491D0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132" w:type="dxa"/>
          </w:tcPr>
          <w:p w14:paraId="07E5E593" w14:textId="69EAF31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19A4F240" w14:textId="37FB46B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551134" w:rsidRPr="00E814B7" w14:paraId="1408DA74" w14:textId="77777777" w:rsidTr="00BC1F5D">
        <w:tc>
          <w:tcPr>
            <w:tcW w:w="1989" w:type="dxa"/>
          </w:tcPr>
          <w:p w14:paraId="28BB44C2" w14:textId="5A461880" w:rsidR="00551134" w:rsidRPr="00E814B7" w:rsidRDefault="00551134"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digestivnog trakta</w:t>
            </w:r>
          </w:p>
        </w:tc>
        <w:tc>
          <w:tcPr>
            <w:tcW w:w="7074" w:type="dxa"/>
            <w:gridSpan w:val="7"/>
          </w:tcPr>
          <w:p w14:paraId="31B8A7C4" w14:textId="77777777" w:rsidR="00551134" w:rsidRPr="00E814B7" w:rsidRDefault="00551134"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68509C80" w14:textId="77777777" w:rsidTr="00551134">
        <w:tc>
          <w:tcPr>
            <w:tcW w:w="1989" w:type="dxa"/>
          </w:tcPr>
          <w:p w14:paraId="4C868394" w14:textId="1169C9FB"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proliv**</w:t>
            </w:r>
          </w:p>
        </w:tc>
        <w:tc>
          <w:tcPr>
            <w:tcW w:w="1085" w:type="dxa"/>
          </w:tcPr>
          <w:p w14:paraId="5F729576" w14:textId="3854021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54</w:t>
            </w:r>
          </w:p>
        </w:tc>
        <w:tc>
          <w:tcPr>
            <w:tcW w:w="878" w:type="dxa"/>
          </w:tcPr>
          <w:p w14:paraId="49DCC1C2" w14:textId="09E045B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6</w:t>
            </w:r>
          </w:p>
        </w:tc>
        <w:tc>
          <w:tcPr>
            <w:tcW w:w="709" w:type="dxa"/>
          </w:tcPr>
          <w:p w14:paraId="35020CEA" w14:textId="3AEDCB4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993" w:type="dxa"/>
          </w:tcPr>
          <w:p w14:paraId="2AB633E4" w14:textId="0C3DDA5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48</w:t>
            </w:r>
          </w:p>
        </w:tc>
        <w:tc>
          <w:tcPr>
            <w:tcW w:w="872" w:type="dxa"/>
          </w:tcPr>
          <w:p w14:paraId="2AF1853A" w14:textId="3BECDA4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5</w:t>
            </w:r>
          </w:p>
        </w:tc>
        <w:tc>
          <w:tcPr>
            <w:tcW w:w="1132" w:type="dxa"/>
          </w:tcPr>
          <w:p w14:paraId="0E90BBEB" w14:textId="087F680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405" w:type="dxa"/>
          </w:tcPr>
          <w:p w14:paraId="6185E289" w14:textId="355A6C1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FD38F32" w14:textId="77777777" w:rsidTr="00551134">
        <w:tc>
          <w:tcPr>
            <w:tcW w:w="1989" w:type="dxa"/>
          </w:tcPr>
          <w:p w14:paraId="44CF114F" w14:textId="278D24F5"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mučnina</w:t>
            </w:r>
          </w:p>
        </w:tc>
        <w:tc>
          <w:tcPr>
            <w:tcW w:w="1085" w:type="dxa"/>
          </w:tcPr>
          <w:p w14:paraId="56D7D8F7" w14:textId="57BD01F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33</w:t>
            </w:r>
          </w:p>
        </w:tc>
        <w:tc>
          <w:tcPr>
            <w:tcW w:w="878" w:type="dxa"/>
          </w:tcPr>
          <w:p w14:paraId="31AB70B2" w14:textId="09023CC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w:t>
            </w:r>
          </w:p>
        </w:tc>
        <w:tc>
          <w:tcPr>
            <w:tcW w:w="709" w:type="dxa"/>
          </w:tcPr>
          <w:p w14:paraId="190F24E6" w14:textId="35E2470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750742EC" w14:textId="44CCB6B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329F60DB" w14:textId="7C8B0B2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2753749F" w14:textId="7D38EF7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47ADC10B" w14:textId="2C1E6DA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16F1E848" w14:textId="77777777" w:rsidTr="00551134">
        <w:tc>
          <w:tcPr>
            <w:tcW w:w="1989" w:type="dxa"/>
          </w:tcPr>
          <w:p w14:paraId="08754B1C" w14:textId="75CF4832"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povraćanje</w:t>
            </w:r>
          </w:p>
        </w:tc>
        <w:tc>
          <w:tcPr>
            <w:tcW w:w="1085" w:type="dxa"/>
          </w:tcPr>
          <w:p w14:paraId="16CF2447" w14:textId="1BB7D4B6"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23</w:t>
            </w:r>
          </w:p>
        </w:tc>
        <w:tc>
          <w:tcPr>
            <w:tcW w:w="878" w:type="dxa"/>
          </w:tcPr>
          <w:p w14:paraId="23AF66A0" w14:textId="7668082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w:t>
            </w:r>
          </w:p>
        </w:tc>
        <w:tc>
          <w:tcPr>
            <w:tcW w:w="709" w:type="dxa"/>
          </w:tcPr>
          <w:p w14:paraId="1B00CFC2" w14:textId="100DCFA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993" w:type="dxa"/>
          </w:tcPr>
          <w:p w14:paraId="092F11D5" w14:textId="7CE433D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6DCBCF60" w14:textId="59A6FC0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3EDF7C27" w14:textId="761F88D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1EAABBC3" w14:textId="31FEB5D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2A127F53" w14:textId="77777777" w:rsidTr="00551134">
        <w:tc>
          <w:tcPr>
            <w:tcW w:w="1989" w:type="dxa"/>
          </w:tcPr>
          <w:p w14:paraId="7C4D34B3" w14:textId="162DE4D6"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stomatitis</w:t>
            </w:r>
          </w:p>
        </w:tc>
        <w:tc>
          <w:tcPr>
            <w:tcW w:w="1085" w:type="dxa"/>
          </w:tcPr>
          <w:p w14:paraId="38EBB462" w14:textId="084D199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17</w:t>
            </w:r>
          </w:p>
        </w:tc>
        <w:tc>
          <w:tcPr>
            <w:tcW w:w="878" w:type="dxa"/>
          </w:tcPr>
          <w:p w14:paraId="4573E918" w14:textId="63735D6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709" w:type="dxa"/>
          </w:tcPr>
          <w:p w14:paraId="0AC2213A" w14:textId="5A2429E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548169F0" w14:textId="3E5887E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22</w:t>
            </w:r>
          </w:p>
        </w:tc>
        <w:tc>
          <w:tcPr>
            <w:tcW w:w="872" w:type="dxa"/>
          </w:tcPr>
          <w:p w14:paraId="03C9FB0D" w14:textId="5BD2BA1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132" w:type="dxa"/>
          </w:tcPr>
          <w:p w14:paraId="76B0D38C" w14:textId="6561E97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78B09A0B" w14:textId="2F0DA0C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3D00942" w14:textId="77777777" w:rsidTr="00551134">
        <w:tc>
          <w:tcPr>
            <w:tcW w:w="1989" w:type="dxa"/>
          </w:tcPr>
          <w:p w14:paraId="39EB79B7" w14:textId="4DE666A2"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bol u abdomenu</w:t>
            </w:r>
          </w:p>
        </w:tc>
        <w:tc>
          <w:tcPr>
            <w:tcW w:w="1085" w:type="dxa"/>
          </w:tcPr>
          <w:p w14:paraId="19A93B9F" w14:textId="2CB224E6"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11</w:t>
            </w:r>
          </w:p>
        </w:tc>
        <w:tc>
          <w:tcPr>
            <w:tcW w:w="878" w:type="dxa"/>
          </w:tcPr>
          <w:p w14:paraId="0C6109F2" w14:textId="493E5A9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w:t>
            </w:r>
          </w:p>
        </w:tc>
        <w:tc>
          <w:tcPr>
            <w:tcW w:w="709" w:type="dxa"/>
          </w:tcPr>
          <w:p w14:paraId="01C751D3" w14:textId="3E38F7D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993" w:type="dxa"/>
          </w:tcPr>
          <w:p w14:paraId="569AB503" w14:textId="7826B7F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081F1820" w14:textId="006D29E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2BED3A8D" w14:textId="76EE017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46EBEC2B" w14:textId="05CBEB4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11DF4DF3" w14:textId="77777777" w:rsidTr="00551134">
        <w:tc>
          <w:tcPr>
            <w:tcW w:w="1989" w:type="dxa"/>
          </w:tcPr>
          <w:p w14:paraId="4F37C3D1" w14:textId="38C32E25"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dispepsija</w:t>
            </w:r>
          </w:p>
        </w:tc>
        <w:tc>
          <w:tcPr>
            <w:tcW w:w="1085" w:type="dxa"/>
          </w:tcPr>
          <w:p w14:paraId="29600923" w14:textId="23BA73E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644B3FE1" w14:textId="42FCD26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35DE9579" w14:textId="7820E52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37190AAA" w14:textId="2F00004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17</w:t>
            </w:r>
          </w:p>
        </w:tc>
        <w:tc>
          <w:tcPr>
            <w:tcW w:w="872" w:type="dxa"/>
          </w:tcPr>
          <w:p w14:paraId="56BAEF14" w14:textId="2A89C36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1132" w:type="dxa"/>
          </w:tcPr>
          <w:p w14:paraId="5C72AB81" w14:textId="2E16F96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362A5A84" w14:textId="3B8B4F7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784ACB5D" w14:textId="77777777" w:rsidTr="00551134">
        <w:tc>
          <w:tcPr>
            <w:tcW w:w="1989" w:type="dxa"/>
          </w:tcPr>
          <w:p w14:paraId="4E107579" w14:textId="008A16F2"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flatulencija</w:t>
            </w:r>
          </w:p>
        </w:tc>
        <w:tc>
          <w:tcPr>
            <w:tcW w:w="1085" w:type="dxa"/>
          </w:tcPr>
          <w:p w14:paraId="68778D6E" w14:textId="426A05C9"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4D799312" w14:textId="786CBA0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4C0BF8C6" w14:textId="7E2A49E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0253989A" w14:textId="2671D210"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13</w:t>
            </w:r>
          </w:p>
        </w:tc>
        <w:tc>
          <w:tcPr>
            <w:tcW w:w="872" w:type="dxa"/>
          </w:tcPr>
          <w:p w14:paraId="5C120929" w14:textId="7794663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132" w:type="dxa"/>
          </w:tcPr>
          <w:p w14:paraId="3AF65319" w14:textId="1321FA8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16DEB176" w14:textId="2AF24F8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BC1F5D" w:rsidRPr="00E814B7" w14:paraId="50C0ED99" w14:textId="77777777" w:rsidTr="00BC1F5D">
        <w:tc>
          <w:tcPr>
            <w:tcW w:w="1989" w:type="dxa"/>
          </w:tcPr>
          <w:p w14:paraId="5F30032E" w14:textId="331923C3" w:rsidR="00BC1F5D" w:rsidRPr="00E814B7" w:rsidRDefault="00BC1F5D"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Poremećaji kože i potkožnog tkiva</w:t>
            </w:r>
          </w:p>
        </w:tc>
        <w:tc>
          <w:tcPr>
            <w:tcW w:w="7074" w:type="dxa"/>
            <w:gridSpan w:val="7"/>
          </w:tcPr>
          <w:p w14:paraId="7FFABA10" w14:textId="77777777" w:rsidR="00BC1F5D" w:rsidRPr="00E814B7" w:rsidRDefault="00BC1F5D"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22A8AA11" w14:textId="77777777" w:rsidTr="00551134">
        <w:tc>
          <w:tcPr>
            <w:tcW w:w="1989" w:type="dxa"/>
          </w:tcPr>
          <w:p w14:paraId="2E21A285" w14:textId="002B512D"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osip**</w:t>
            </w:r>
          </w:p>
        </w:tc>
        <w:tc>
          <w:tcPr>
            <w:tcW w:w="1085" w:type="dxa"/>
          </w:tcPr>
          <w:p w14:paraId="5B6481A3" w14:textId="24ED4CC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75</w:t>
            </w:r>
          </w:p>
        </w:tc>
        <w:tc>
          <w:tcPr>
            <w:tcW w:w="878" w:type="dxa"/>
          </w:tcPr>
          <w:p w14:paraId="39CE2255" w14:textId="3EA7CD9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8</w:t>
            </w:r>
          </w:p>
        </w:tc>
        <w:tc>
          <w:tcPr>
            <w:tcW w:w="709" w:type="dxa"/>
          </w:tcPr>
          <w:p w14:paraId="3407E1BC" w14:textId="3DBC2D6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993" w:type="dxa"/>
          </w:tcPr>
          <w:p w14:paraId="2D6BAE62" w14:textId="0FBE2CD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69</w:t>
            </w:r>
          </w:p>
        </w:tc>
        <w:tc>
          <w:tcPr>
            <w:tcW w:w="872" w:type="dxa"/>
          </w:tcPr>
          <w:p w14:paraId="170DAB36" w14:textId="0DCB86B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5</w:t>
            </w:r>
          </w:p>
        </w:tc>
        <w:tc>
          <w:tcPr>
            <w:tcW w:w="1132" w:type="dxa"/>
          </w:tcPr>
          <w:p w14:paraId="026E06A5" w14:textId="53FC7E1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52019B1E" w14:textId="790ABAB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5404E45" w14:textId="77777777" w:rsidTr="00551134">
        <w:tc>
          <w:tcPr>
            <w:tcW w:w="1989" w:type="dxa"/>
          </w:tcPr>
          <w:p w14:paraId="19FAD055" w14:textId="1642D769"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svrab</w:t>
            </w:r>
          </w:p>
        </w:tc>
        <w:tc>
          <w:tcPr>
            <w:tcW w:w="1085" w:type="dxa"/>
          </w:tcPr>
          <w:p w14:paraId="46170A78" w14:textId="5908982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13</w:t>
            </w:r>
          </w:p>
        </w:tc>
        <w:tc>
          <w:tcPr>
            <w:tcW w:w="878" w:type="dxa"/>
          </w:tcPr>
          <w:p w14:paraId="7CF98345" w14:textId="39C3361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&lt;1</w:t>
            </w:r>
          </w:p>
        </w:tc>
        <w:tc>
          <w:tcPr>
            <w:tcW w:w="709" w:type="dxa"/>
          </w:tcPr>
          <w:p w14:paraId="0B2DDA91" w14:textId="10FEE33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7926A0BF" w14:textId="1D5FFDD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59F1C8CE" w14:textId="069AE04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2BB165C6" w14:textId="7E9BBBB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4F9A15BA" w14:textId="23122FE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7F52A8AB" w14:textId="77777777" w:rsidTr="00551134">
        <w:tc>
          <w:tcPr>
            <w:tcW w:w="1989" w:type="dxa"/>
          </w:tcPr>
          <w:p w14:paraId="1A6B10E0" w14:textId="5186BFFB"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suva koža</w:t>
            </w:r>
          </w:p>
        </w:tc>
        <w:tc>
          <w:tcPr>
            <w:tcW w:w="1085" w:type="dxa"/>
          </w:tcPr>
          <w:p w14:paraId="18731095" w14:textId="602D2F2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12</w:t>
            </w:r>
          </w:p>
        </w:tc>
        <w:tc>
          <w:tcPr>
            <w:tcW w:w="878" w:type="dxa"/>
          </w:tcPr>
          <w:p w14:paraId="114FE83E" w14:textId="4076788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709" w:type="dxa"/>
          </w:tcPr>
          <w:p w14:paraId="418D4A45" w14:textId="1BF9D37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993" w:type="dxa"/>
          </w:tcPr>
          <w:p w14:paraId="6467184C" w14:textId="5A31631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2" w:type="dxa"/>
          </w:tcPr>
          <w:p w14:paraId="621C16A4" w14:textId="33B2C59E"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132" w:type="dxa"/>
          </w:tcPr>
          <w:p w14:paraId="6A9D7528" w14:textId="6C53FF9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1405" w:type="dxa"/>
          </w:tcPr>
          <w:p w14:paraId="35A468BB" w14:textId="0028462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32CF0F29" w14:textId="77777777" w:rsidTr="00551134">
        <w:tc>
          <w:tcPr>
            <w:tcW w:w="1989" w:type="dxa"/>
          </w:tcPr>
          <w:p w14:paraId="67BE5344" w14:textId="32EF7659"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alopecija</w:t>
            </w:r>
          </w:p>
        </w:tc>
        <w:tc>
          <w:tcPr>
            <w:tcW w:w="1085" w:type="dxa"/>
          </w:tcPr>
          <w:p w14:paraId="0B8D330B" w14:textId="6D80F86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42EBF095" w14:textId="07C587D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707957D2" w14:textId="3FF82A07"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7A2B0F5E" w14:textId="459FEF5A"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14</w:t>
            </w:r>
          </w:p>
        </w:tc>
        <w:tc>
          <w:tcPr>
            <w:tcW w:w="872" w:type="dxa"/>
          </w:tcPr>
          <w:p w14:paraId="60F9818E" w14:textId="23AE2AF6"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132" w:type="dxa"/>
          </w:tcPr>
          <w:p w14:paraId="5EEC20E4" w14:textId="6BB2DBF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23B6B1C8" w14:textId="2391F69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73548E" w:rsidRPr="00E814B7" w14:paraId="2AAD4E50" w14:textId="77777777" w:rsidTr="006F0EBA">
        <w:tc>
          <w:tcPr>
            <w:tcW w:w="1989" w:type="dxa"/>
          </w:tcPr>
          <w:p w14:paraId="6E1BC246" w14:textId="05C2CE5D" w:rsidR="0073548E" w:rsidRPr="00E814B7" w:rsidRDefault="0073548E" w:rsidP="00E814B7">
            <w:pPr>
              <w:autoSpaceDE w:val="0"/>
              <w:autoSpaceDN w:val="0"/>
              <w:adjustRightInd w:val="0"/>
              <w:rPr>
                <w:rFonts w:asciiTheme="majorBidi" w:hAnsiTheme="majorBidi" w:cstheme="majorBidi"/>
                <w:i/>
                <w:iCs/>
                <w:sz w:val="22"/>
                <w:szCs w:val="22"/>
                <w:lang w:val="sr-Latn-ME" w:eastAsia="sr-Latn-CS"/>
              </w:rPr>
            </w:pPr>
            <w:r w:rsidRPr="00E814B7">
              <w:rPr>
                <w:rFonts w:asciiTheme="majorBidi" w:hAnsiTheme="majorBidi" w:cstheme="majorBidi"/>
                <w:i/>
                <w:iCs/>
                <w:sz w:val="22"/>
                <w:szCs w:val="22"/>
                <w:lang w:val="sr-Latn-ME" w:eastAsia="sr-Latn-CS"/>
              </w:rPr>
              <w:t>Opšti poremećaji i reakcije na mjestu primjene</w:t>
            </w:r>
          </w:p>
        </w:tc>
        <w:tc>
          <w:tcPr>
            <w:tcW w:w="7074" w:type="dxa"/>
            <w:gridSpan w:val="7"/>
          </w:tcPr>
          <w:p w14:paraId="43A1A114" w14:textId="77777777" w:rsidR="0073548E" w:rsidRPr="00E814B7" w:rsidRDefault="0073548E" w:rsidP="00E814B7">
            <w:pPr>
              <w:autoSpaceDE w:val="0"/>
              <w:autoSpaceDN w:val="0"/>
              <w:adjustRightInd w:val="0"/>
              <w:jc w:val="center"/>
              <w:rPr>
                <w:rFonts w:asciiTheme="majorBidi" w:hAnsiTheme="majorBidi" w:cstheme="majorBidi"/>
                <w:sz w:val="22"/>
                <w:szCs w:val="22"/>
                <w:lang w:val="sr-Latn-ME" w:eastAsia="sr-Latn-CS"/>
              </w:rPr>
            </w:pPr>
          </w:p>
        </w:tc>
      </w:tr>
      <w:tr w:rsidR="00E11A1A" w:rsidRPr="00E814B7" w14:paraId="2969CC85" w14:textId="77777777" w:rsidTr="00551134">
        <w:tc>
          <w:tcPr>
            <w:tcW w:w="1989" w:type="dxa"/>
          </w:tcPr>
          <w:p w14:paraId="36A7D20B" w14:textId="67C9FE33"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umor</w:t>
            </w:r>
          </w:p>
        </w:tc>
        <w:tc>
          <w:tcPr>
            <w:tcW w:w="1085" w:type="dxa"/>
          </w:tcPr>
          <w:p w14:paraId="5F31C1E4" w14:textId="4564E623"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52</w:t>
            </w:r>
          </w:p>
        </w:tc>
        <w:tc>
          <w:tcPr>
            <w:tcW w:w="878" w:type="dxa"/>
          </w:tcPr>
          <w:p w14:paraId="12E83620" w14:textId="3F0FE331"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14</w:t>
            </w:r>
          </w:p>
        </w:tc>
        <w:tc>
          <w:tcPr>
            <w:tcW w:w="709" w:type="dxa"/>
          </w:tcPr>
          <w:p w14:paraId="71712B7C" w14:textId="5F8B971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4</w:t>
            </w:r>
          </w:p>
        </w:tc>
        <w:tc>
          <w:tcPr>
            <w:tcW w:w="993" w:type="dxa"/>
          </w:tcPr>
          <w:p w14:paraId="1D9E274A" w14:textId="2FFC3F3A"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73</w:t>
            </w:r>
          </w:p>
        </w:tc>
        <w:tc>
          <w:tcPr>
            <w:tcW w:w="872" w:type="dxa"/>
          </w:tcPr>
          <w:p w14:paraId="57560372" w14:textId="09AE1C3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14</w:t>
            </w:r>
          </w:p>
        </w:tc>
        <w:tc>
          <w:tcPr>
            <w:tcW w:w="1132" w:type="dxa"/>
          </w:tcPr>
          <w:p w14:paraId="19CF03C8" w14:textId="777E5CCC"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2</w:t>
            </w:r>
          </w:p>
        </w:tc>
        <w:tc>
          <w:tcPr>
            <w:tcW w:w="1405" w:type="dxa"/>
          </w:tcPr>
          <w:p w14:paraId="35D0E18E" w14:textId="6C8EC8B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6F7F2893" w14:textId="77777777" w:rsidTr="00551134">
        <w:tc>
          <w:tcPr>
            <w:tcW w:w="1989" w:type="dxa"/>
          </w:tcPr>
          <w:p w14:paraId="56421ACA" w14:textId="6264FCFF"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pireksija</w:t>
            </w:r>
          </w:p>
        </w:tc>
        <w:tc>
          <w:tcPr>
            <w:tcW w:w="1085" w:type="dxa"/>
          </w:tcPr>
          <w:p w14:paraId="410A89A8" w14:textId="3161F8B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4C4FB671" w14:textId="1690771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2916E0AC" w14:textId="240ECAE6"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6DB5F53B" w14:textId="668A8F34"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36</w:t>
            </w:r>
          </w:p>
        </w:tc>
        <w:tc>
          <w:tcPr>
            <w:tcW w:w="872" w:type="dxa"/>
          </w:tcPr>
          <w:p w14:paraId="788DD4F6" w14:textId="01AE2EFD"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3</w:t>
            </w:r>
          </w:p>
        </w:tc>
        <w:tc>
          <w:tcPr>
            <w:tcW w:w="1132" w:type="dxa"/>
          </w:tcPr>
          <w:p w14:paraId="742FDD5F" w14:textId="124D52CA"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6B4C7707" w14:textId="776515F2"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r w:rsidR="00E11A1A" w:rsidRPr="00E814B7" w14:paraId="1E622622" w14:textId="77777777" w:rsidTr="00551134">
        <w:tc>
          <w:tcPr>
            <w:tcW w:w="1989" w:type="dxa"/>
          </w:tcPr>
          <w:p w14:paraId="4951204D" w14:textId="42B57471" w:rsidR="00E11A1A" w:rsidRPr="00E814B7" w:rsidRDefault="00E11A1A" w:rsidP="00E814B7">
            <w:pPr>
              <w:autoSpaceDE w:val="0"/>
              <w:autoSpaceDN w:val="0"/>
              <w:adjustRightInd w:val="0"/>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tremor</w:t>
            </w:r>
          </w:p>
        </w:tc>
        <w:tc>
          <w:tcPr>
            <w:tcW w:w="1085" w:type="dxa"/>
          </w:tcPr>
          <w:p w14:paraId="48510CCE" w14:textId="7EC4E47A"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878" w:type="dxa"/>
          </w:tcPr>
          <w:p w14:paraId="686504B7" w14:textId="627E2B3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709" w:type="dxa"/>
          </w:tcPr>
          <w:p w14:paraId="0672BE12" w14:textId="1D4C791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w:t>
            </w:r>
          </w:p>
        </w:tc>
        <w:tc>
          <w:tcPr>
            <w:tcW w:w="993" w:type="dxa"/>
          </w:tcPr>
          <w:p w14:paraId="7AF266FE" w14:textId="08124BDB"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12</w:t>
            </w:r>
          </w:p>
        </w:tc>
        <w:tc>
          <w:tcPr>
            <w:tcW w:w="872" w:type="dxa"/>
          </w:tcPr>
          <w:p w14:paraId="40660FCA" w14:textId="40F4B69F"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132" w:type="dxa"/>
          </w:tcPr>
          <w:p w14:paraId="2678996B" w14:textId="070ED618"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0</w:t>
            </w:r>
          </w:p>
        </w:tc>
        <w:tc>
          <w:tcPr>
            <w:tcW w:w="1405" w:type="dxa"/>
          </w:tcPr>
          <w:p w14:paraId="7BA259F6" w14:textId="5446F495" w:rsidR="00E11A1A" w:rsidRPr="00E814B7" w:rsidRDefault="00E11A1A" w:rsidP="00E814B7">
            <w:pPr>
              <w:autoSpaceDE w:val="0"/>
              <w:autoSpaceDN w:val="0"/>
              <w:adjustRightInd w:val="0"/>
              <w:jc w:val="center"/>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veoma često</w:t>
            </w:r>
          </w:p>
        </w:tc>
      </w:tr>
    </w:tbl>
    <w:p w14:paraId="72207E6C" w14:textId="51043B89" w:rsidR="00EA3E4C" w:rsidRPr="00E814B7" w:rsidRDefault="0073548E"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Teške infekcije, sa neutropenijom ili bez nje, obuhvatale su upalu pluća, sepsu i celulitis.</w:t>
      </w:r>
    </w:p>
    <w:p w14:paraId="2A6CD7BA" w14:textId="700F6D51" w:rsidR="0073548E" w:rsidRPr="00E814B7" w:rsidRDefault="0073548E"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Može prouzrokovati dehidraciju, hipokal</w:t>
      </w:r>
      <w:r w:rsidR="001221B6" w:rsidRPr="00E814B7">
        <w:rPr>
          <w:rFonts w:asciiTheme="majorBidi" w:hAnsiTheme="majorBidi" w:cstheme="majorBidi"/>
          <w:sz w:val="22"/>
          <w:szCs w:val="22"/>
          <w:lang w:val="sr-Latn-ME" w:eastAsia="sr-Latn-CS"/>
        </w:rPr>
        <w:t>ij</w:t>
      </w:r>
      <w:r w:rsidRPr="00E814B7">
        <w:rPr>
          <w:rFonts w:asciiTheme="majorBidi" w:hAnsiTheme="majorBidi" w:cstheme="majorBidi"/>
          <w:sz w:val="22"/>
          <w:szCs w:val="22"/>
          <w:lang w:val="sr-Latn-ME" w:eastAsia="sr-Latn-CS"/>
        </w:rPr>
        <w:t>emiju i insuficijenciju bubrega.</w:t>
      </w:r>
    </w:p>
    <w:p w14:paraId="19A6FCDC" w14:textId="2761B8EF" w:rsidR="0073548E" w:rsidRPr="00E814B7" w:rsidRDefault="0073548E"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Osipi su obuhvatali dermatitis acneiformis.</w:t>
      </w:r>
    </w:p>
    <w:p w14:paraId="6B008090" w14:textId="3D173BD5" w:rsidR="0073548E" w:rsidRPr="00E814B7" w:rsidRDefault="0073548E" w:rsidP="00E814B7">
      <w:pPr>
        <w:autoSpaceDE w:val="0"/>
        <w:autoSpaceDN w:val="0"/>
        <w:adjustRightInd w:val="0"/>
        <w:jc w:val="both"/>
        <w:rPr>
          <w:rFonts w:asciiTheme="majorBidi" w:hAnsiTheme="majorBidi" w:cstheme="majorBidi"/>
          <w:sz w:val="22"/>
          <w:szCs w:val="22"/>
          <w:lang w:val="sr-Latn-ME" w:eastAsia="sr-Latn-CS"/>
        </w:rPr>
      </w:pPr>
      <w:r w:rsidRPr="00E814B7">
        <w:rPr>
          <w:rFonts w:asciiTheme="majorBidi" w:hAnsiTheme="majorBidi" w:cstheme="majorBidi"/>
          <w:sz w:val="22"/>
          <w:szCs w:val="22"/>
          <w:lang w:val="sr-Latn-ME" w:eastAsia="sr-Latn-CS"/>
        </w:rPr>
        <w:t xml:space="preserve">- </w:t>
      </w:r>
      <w:r w:rsidR="00D852E5" w:rsidRPr="00E814B7">
        <w:rPr>
          <w:rFonts w:asciiTheme="majorBidi" w:hAnsiTheme="majorBidi" w:cstheme="majorBidi"/>
          <w:sz w:val="22"/>
          <w:szCs w:val="22"/>
          <w:lang w:val="sr-Latn-ME" w:eastAsia="sr-Latn-CS"/>
        </w:rPr>
        <w:t>O</w:t>
      </w:r>
      <w:r w:rsidRPr="00E814B7">
        <w:rPr>
          <w:rFonts w:asciiTheme="majorBidi" w:hAnsiTheme="majorBidi" w:cstheme="majorBidi"/>
          <w:sz w:val="22"/>
          <w:szCs w:val="22"/>
          <w:lang w:val="sr-Latn-ME" w:eastAsia="sr-Latn-CS"/>
        </w:rPr>
        <w:t>značava procenat ispod praga</w:t>
      </w:r>
      <w:r w:rsidR="00D852E5" w:rsidRPr="00E814B7">
        <w:rPr>
          <w:rFonts w:asciiTheme="majorBidi" w:hAnsiTheme="majorBidi" w:cstheme="majorBidi"/>
          <w:sz w:val="22"/>
          <w:szCs w:val="22"/>
          <w:lang w:val="sr-Latn-ME" w:eastAsia="sr-Latn-CS"/>
        </w:rPr>
        <w:t>.</w:t>
      </w:r>
    </w:p>
    <w:p w14:paraId="24A767E3" w14:textId="448176A5" w:rsidR="002E2C12" w:rsidRPr="00E814B7" w:rsidRDefault="002E2C12" w:rsidP="00E814B7">
      <w:pPr>
        <w:tabs>
          <w:tab w:val="left" w:pos="540"/>
          <w:tab w:val="left" w:pos="569"/>
        </w:tabs>
        <w:rPr>
          <w:rFonts w:asciiTheme="majorBidi" w:hAnsiTheme="majorBidi" w:cstheme="majorBidi"/>
          <w:sz w:val="22"/>
          <w:szCs w:val="22"/>
          <w:lang w:val="sr-Latn-ME"/>
        </w:rPr>
      </w:pPr>
    </w:p>
    <w:p w14:paraId="35B17108" w14:textId="24A105BF" w:rsidR="0073548E" w:rsidRPr="00E814B7" w:rsidRDefault="0073548E"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Tabela 2: Sažeti prikaz neželjenih dejstava na lijek prema kategoriji učestalosti:</w:t>
      </w:r>
    </w:p>
    <w:tbl>
      <w:tblPr>
        <w:tblStyle w:val="TableGrid"/>
        <w:tblW w:w="0" w:type="auto"/>
        <w:tblLook w:val="04A0" w:firstRow="1" w:lastRow="0" w:firstColumn="1" w:lastColumn="0" w:noHBand="0" w:noVBand="1"/>
      </w:tblPr>
      <w:tblGrid>
        <w:gridCol w:w="1626"/>
        <w:gridCol w:w="1307"/>
        <w:gridCol w:w="1573"/>
        <w:gridCol w:w="1593"/>
        <w:gridCol w:w="1434"/>
        <w:gridCol w:w="1530"/>
      </w:tblGrid>
      <w:tr w:rsidR="006F0EBA" w:rsidRPr="00E814B7" w14:paraId="7C5A7AAB" w14:textId="77777777" w:rsidTr="00CC03B6">
        <w:tc>
          <w:tcPr>
            <w:tcW w:w="1626" w:type="dxa"/>
          </w:tcPr>
          <w:p w14:paraId="5452C0F3" w14:textId="666FD338"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Organski sistem</w:t>
            </w:r>
          </w:p>
        </w:tc>
        <w:tc>
          <w:tcPr>
            <w:tcW w:w="1204" w:type="dxa"/>
          </w:tcPr>
          <w:p w14:paraId="22106E36" w14:textId="3F9A588A"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V</w:t>
            </w:r>
            <w:r w:rsidR="00E11A1A" w:rsidRPr="00E814B7">
              <w:rPr>
                <w:rFonts w:asciiTheme="majorBidi" w:hAnsiTheme="majorBidi" w:cstheme="majorBidi"/>
                <w:b/>
                <w:bCs/>
                <w:sz w:val="22"/>
                <w:szCs w:val="22"/>
                <w:lang w:val="sr-Latn-ME"/>
              </w:rPr>
              <w:t>eoma</w:t>
            </w:r>
            <w:r w:rsidRPr="00E814B7">
              <w:rPr>
                <w:rFonts w:asciiTheme="majorBidi" w:hAnsiTheme="majorBidi" w:cstheme="majorBidi"/>
                <w:b/>
                <w:bCs/>
                <w:sz w:val="22"/>
                <w:szCs w:val="22"/>
                <w:lang w:val="sr-Latn-ME"/>
              </w:rPr>
              <w:t xml:space="preserve"> često</w:t>
            </w:r>
          </w:p>
          <w:p w14:paraId="05C114FB" w14:textId="64BDF45A"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(≥1/10)</w:t>
            </w:r>
          </w:p>
        </w:tc>
        <w:tc>
          <w:tcPr>
            <w:tcW w:w="1676" w:type="dxa"/>
          </w:tcPr>
          <w:p w14:paraId="3F4EE4FA" w14:textId="77777777"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Često</w:t>
            </w:r>
          </w:p>
          <w:p w14:paraId="5B4E8778" w14:textId="33EC53D4"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(≥1/100 do &lt;1/10)</w:t>
            </w:r>
          </w:p>
        </w:tc>
        <w:tc>
          <w:tcPr>
            <w:tcW w:w="1593" w:type="dxa"/>
          </w:tcPr>
          <w:p w14:paraId="42DF48EC" w14:textId="77777777"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Povremeno</w:t>
            </w:r>
          </w:p>
          <w:p w14:paraId="6EAFFFD3" w14:textId="72C6D1FD"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(≥1/1000 do &lt;1/100)</w:t>
            </w:r>
          </w:p>
        </w:tc>
        <w:tc>
          <w:tcPr>
            <w:tcW w:w="1434" w:type="dxa"/>
          </w:tcPr>
          <w:p w14:paraId="25EAE621" w14:textId="2C9F7B2E"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R</w:t>
            </w:r>
            <w:r w:rsidR="00996C22" w:rsidRPr="00E814B7">
              <w:rPr>
                <w:rFonts w:asciiTheme="majorBidi" w:hAnsiTheme="majorBidi" w:cstheme="majorBidi"/>
                <w:b/>
                <w:bCs/>
                <w:sz w:val="22"/>
                <w:szCs w:val="22"/>
                <w:lang w:val="sr-Latn-ME"/>
              </w:rPr>
              <w:t>ij</w:t>
            </w:r>
            <w:r w:rsidRPr="00E814B7">
              <w:rPr>
                <w:rFonts w:asciiTheme="majorBidi" w:hAnsiTheme="majorBidi" w:cstheme="majorBidi"/>
                <w:b/>
                <w:bCs/>
                <w:sz w:val="22"/>
                <w:szCs w:val="22"/>
                <w:lang w:val="sr-Latn-ME"/>
              </w:rPr>
              <w:t>etko</w:t>
            </w:r>
          </w:p>
          <w:p w14:paraId="70F63DCE" w14:textId="5F0C9F19"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(≥1/10 000 do &lt;1/1000)</w:t>
            </w:r>
          </w:p>
        </w:tc>
        <w:tc>
          <w:tcPr>
            <w:tcW w:w="1530" w:type="dxa"/>
          </w:tcPr>
          <w:p w14:paraId="25DFCF98" w14:textId="6BA26ABA"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V</w:t>
            </w:r>
            <w:r w:rsidR="00D852E5" w:rsidRPr="00E814B7">
              <w:rPr>
                <w:rFonts w:asciiTheme="majorBidi" w:hAnsiTheme="majorBidi" w:cstheme="majorBidi"/>
                <w:b/>
                <w:bCs/>
                <w:sz w:val="22"/>
                <w:szCs w:val="22"/>
                <w:lang w:val="sr-Latn-ME"/>
              </w:rPr>
              <w:t>eoma</w:t>
            </w:r>
            <w:r w:rsidRPr="00E814B7">
              <w:rPr>
                <w:rFonts w:asciiTheme="majorBidi" w:hAnsiTheme="majorBidi" w:cstheme="majorBidi"/>
                <w:b/>
                <w:bCs/>
                <w:sz w:val="22"/>
                <w:szCs w:val="22"/>
                <w:lang w:val="sr-Latn-ME"/>
              </w:rPr>
              <w:t xml:space="preserve"> r</w:t>
            </w:r>
            <w:r w:rsidR="00996C22" w:rsidRPr="00E814B7">
              <w:rPr>
                <w:rFonts w:asciiTheme="majorBidi" w:hAnsiTheme="majorBidi" w:cstheme="majorBidi"/>
                <w:b/>
                <w:bCs/>
                <w:sz w:val="22"/>
                <w:szCs w:val="22"/>
                <w:lang w:val="sr-Latn-ME"/>
              </w:rPr>
              <w:t>ij</w:t>
            </w:r>
            <w:r w:rsidRPr="00E814B7">
              <w:rPr>
                <w:rFonts w:asciiTheme="majorBidi" w:hAnsiTheme="majorBidi" w:cstheme="majorBidi"/>
                <w:b/>
                <w:bCs/>
                <w:sz w:val="22"/>
                <w:szCs w:val="22"/>
                <w:lang w:val="sr-Latn-ME"/>
              </w:rPr>
              <w:t>etko</w:t>
            </w:r>
          </w:p>
          <w:p w14:paraId="31AE074A" w14:textId="5570FDE7" w:rsidR="0073548E" w:rsidRPr="00E814B7" w:rsidRDefault="0073548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(&lt;1/10 000)</w:t>
            </w:r>
          </w:p>
        </w:tc>
      </w:tr>
      <w:tr w:rsidR="006F0EBA" w:rsidRPr="00E814B7" w14:paraId="4A755F8C" w14:textId="77777777" w:rsidTr="00CC03B6">
        <w:tc>
          <w:tcPr>
            <w:tcW w:w="1626" w:type="dxa"/>
          </w:tcPr>
          <w:p w14:paraId="3620FBB1" w14:textId="1F8C9B09" w:rsidR="0073548E"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t>Poremećaji oka</w:t>
            </w:r>
          </w:p>
        </w:tc>
        <w:tc>
          <w:tcPr>
            <w:tcW w:w="1204" w:type="dxa"/>
          </w:tcPr>
          <w:p w14:paraId="2A647BA9"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676" w:type="dxa"/>
          </w:tcPr>
          <w:p w14:paraId="2F636F54" w14:textId="4A4D5186"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keratitis</w:t>
            </w:r>
          </w:p>
          <w:p w14:paraId="6BE8CB5F" w14:textId="110C69FC" w:rsidR="006F0EBA" w:rsidRPr="00E814B7" w:rsidRDefault="006F0EBA" w:rsidP="00E814B7">
            <w:pPr>
              <w:tabs>
                <w:tab w:val="left" w:pos="540"/>
                <w:tab w:val="left" w:pos="569"/>
              </w:tabs>
              <w:rPr>
                <w:rFonts w:asciiTheme="majorBidi" w:hAnsiTheme="majorBidi" w:cstheme="majorBidi"/>
                <w:sz w:val="22"/>
                <w:szCs w:val="22"/>
                <w:vertAlign w:val="superscript"/>
                <w:lang w:val="sr-Latn-ME"/>
              </w:rPr>
            </w:pPr>
            <w:r w:rsidRPr="00E814B7">
              <w:rPr>
                <w:rFonts w:asciiTheme="majorBidi" w:hAnsiTheme="majorBidi" w:cstheme="majorBidi"/>
                <w:sz w:val="22"/>
                <w:szCs w:val="22"/>
                <w:lang w:val="sr-Latn-ME"/>
              </w:rPr>
              <w:t>konjunktivitis</w:t>
            </w:r>
            <w:r w:rsidRPr="00E814B7">
              <w:rPr>
                <w:rFonts w:asciiTheme="majorBidi" w:hAnsiTheme="majorBidi" w:cstheme="majorBidi"/>
                <w:sz w:val="22"/>
                <w:szCs w:val="22"/>
                <w:vertAlign w:val="superscript"/>
                <w:lang w:val="sr-Latn-ME"/>
              </w:rPr>
              <w:t>1</w:t>
            </w:r>
          </w:p>
        </w:tc>
        <w:tc>
          <w:tcPr>
            <w:tcW w:w="1593" w:type="dxa"/>
          </w:tcPr>
          <w:p w14:paraId="5CCEF891" w14:textId="6574C8AB" w:rsidR="0073548E" w:rsidRPr="00E814B7" w:rsidRDefault="006F0EBA" w:rsidP="00E814B7">
            <w:pPr>
              <w:tabs>
                <w:tab w:val="left" w:pos="540"/>
                <w:tab w:val="left" w:pos="569"/>
              </w:tabs>
              <w:rPr>
                <w:rFonts w:asciiTheme="majorBidi" w:hAnsiTheme="majorBidi" w:cstheme="majorBidi"/>
                <w:sz w:val="22"/>
                <w:szCs w:val="22"/>
                <w:vertAlign w:val="superscript"/>
                <w:lang w:val="sr-Latn-ME"/>
              </w:rPr>
            </w:pPr>
            <w:r w:rsidRPr="00E814B7">
              <w:rPr>
                <w:rFonts w:asciiTheme="majorBidi" w:hAnsiTheme="majorBidi" w:cstheme="majorBidi"/>
                <w:sz w:val="22"/>
                <w:szCs w:val="22"/>
                <w:lang w:val="sr-Latn-ME"/>
              </w:rPr>
              <w:t>- promjene na trepavicama</w:t>
            </w:r>
            <w:r w:rsidRPr="00E814B7">
              <w:rPr>
                <w:rFonts w:asciiTheme="majorBidi" w:hAnsiTheme="majorBidi" w:cstheme="majorBidi"/>
                <w:sz w:val="22"/>
                <w:szCs w:val="22"/>
                <w:vertAlign w:val="superscript"/>
                <w:lang w:val="sr-Latn-ME"/>
              </w:rPr>
              <w:t>2</w:t>
            </w:r>
          </w:p>
        </w:tc>
        <w:tc>
          <w:tcPr>
            <w:tcW w:w="1434" w:type="dxa"/>
          </w:tcPr>
          <w:p w14:paraId="0B22B2AA"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530" w:type="dxa"/>
          </w:tcPr>
          <w:p w14:paraId="3705EAF8" w14:textId="4B82721A"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ulceracije rožnjače</w:t>
            </w:r>
          </w:p>
          <w:p w14:paraId="63F5570A" w14:textId="1153703F"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perforacije rožnjače</w:t>
            </w:r>
          </w:p>
          <w:p w14:paraId="4D2CCB05" w14:textId="029C23D6"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uveitis</w:t>
            </w:r>
          </w:p>
        </w:tc>
      </w:tr>
      <w:tr w:rsidR="006F0EBA" w:rsidRPr="00E814B7" w14:paraId="618E701C" w14:textId="77777777" w:rsidTr="00CC03B6">
        <w:tc>
          <w:tcPr>
            <w:tcW w:w="1626" w:type="dxa"/>
          </w:tcPr>
          <w:p w14:paraId="13DF6ACF" w14:textId="0A63D050" w:rsidR="0073548E"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t>Poremećaji disajn</w:t>
            </w:r>
            <w:r w:rsidR="00D852E5" w:rsidRPr="00E814B7">
              <w:rPr>
                <w:rFonts w:asciiTheme="majorBidi" w:hAnsiTheme="majorBidi" w:cstheme="majorBidi"/>
                <w:i/>
                <w:iCs/>
                <w:sz w:val="22"/>
                <w:szCs w:val="22"/>
                <w:lang w:val="sr-Latn-ME"/>
              </w:rPr>
              <w:t>o</w:t>
            </w:r>
            <w:r w:rsidRPr="00E814B7">
              <w:rPr>
                <w:rFonts w:asciiTheme="majorBidi" w:hAnsiTheme="majorBidi" w:cstheme="majorBidi"/>
                <w:i/>
                <w:iCs/>
                <w:sz w:val="22"/>
                <w:szCs w:val="22"/>
                <w:lang w:val="sr-Latn-ME"/>
              </w:rPr>
              <w:t>g sistema, grudi i sredogruđa</w:t>
            </w:r>
          </w:p>
        </w:tc>
        <w:tc>
          <w:tcPr>
            <w:tcW w:w="1204" w:type="dxa"/>
          </w:tcPr>
          <w:p w14:paraId="7D113EB8"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676" w:type="dxa"/>
          </w:tcPr>
          <w:p w14:paraId="19A0098A" w14:textId="0F5B7E24"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epistaksa</w:t>
            </w:r>
          </w:p>
        </w:tc>
        <w:tc>
          <w:tcPr>
            <w:tcW w:w="1593" w:type="dxa"/>
          </w:tcPr>
          <w:p w14:paraId="2B9AADCE" w14:textId="6B2E9F6C"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interstic</w:t>
            </w:r>
            <w:r w:rsidR="00D852E5" w:rsidRPr="00E814B7">
              <w:rPr>
                <w:rFonts w:asciiTheme="majorBidi" w:hAnsiTheme="majorBidi" w:cstheme="majorBidi"/>
                <w:sz w:val="22"/>
                <w:szCs w:val="22"/>
                <w:lang w:val="sr-Latn-ME"/>
              </w:rPr>
              <w:t xml:space="preserve">ijalna </w:t>
            </w:r>
            <w:r w:rsidRPr="00E814B7">
              <w:rPr>
                <w:rFonts w:asciiTheme="majorBidi" w:hAnsiTheme="majorBidi" w:cstheme="majorBidi"/>
                <w:sz w:val="22"/>
                <w:szCs w:val="22"/>
                <w:lang w:val="sr-Latn-ME"/>
              </w:rPr>
              <w:t>bolest pluća (IBP)</w:t>
            </w:r>
            <w:r w:rsidRPr="00E814B7">
              <w:rPr>
                <w:rFonts w:asciiTheme="majorBidi" w:hAnsiTheme="majorBidi" w:cstheme="majorBidi"/>
                <w:sz w:val="22"/>
                <w:szCs w:val="22"/>
                <w:vertAlign w:val="superscript"/>
                <w:lang w:val="sr-Latn-ME"/>
              </w:rPr>
              <w:t>3</w:t>
            </w:r>
          </w:p>
        </w:tc>
        <w:tc>
          <w:tcPr>
            <w:tcW w:w="1434" w:type="dxa"/>
          </w:tcPr>
          <w:p w14:paraId="680A73ED"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530" w:type="dxa"/>
          </w:tcPr>
          <w:p w14:paraId="740E3EDC"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r>
      <w:tr w:rsidR="006F0EBA" w:rsidRPr="00E814B7" w14:paraId="2F191569" w14:textId="77777777" w:rsidTr="00CC03B6">
        <w:tc>
          <w:tcPr>
            <w:tcW w:w="1626" w:type="dxa"/>
          </w:tcPr>
          <w:p w14:paraId="306FDB7B" w14:textId="56A4FCAA" w:rsidR="006F0EBA"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lastRenderedPageBreak/>
              <w:t>Poremećaji gatrointestinalnog sistema</w:t>
            </w:r>
          </w:p>
        </w:tc>
        <w:tc>
          <w:tcPr>
            <w:tcW w:w="1204" w:type="dxa"/>
          </w:tcPr>
          <w:p w14:paraId="4E43DA72" w14:textId="76A6F235"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dijareja</w:t>
            </w:r>
            <w:r w:rsidR="00D852E5" w:rsidRPr="00E814B7">
              <w:rPr>
                <w:rFonts w:asciiTheme="majorBidi" w:hAnsiTheme="majorBidi" w:cstheme="majorBidi"/>
                <w:sz w:val="22"/>
                <w:szCs w:val="22"/>
                <w:vertAlign w:val="superscript"/>
                <w:lang w:val="sr-Latn-ME"/>
              </w:rPr>
              <w:t>7</w:t>
            </w:r>
          </w:p>
        </w:tc>
        <w:tc>
          <w:tcPr>
            <w:tcW w:w="1676" w:type="dxa"/>
          </w:tcPr>
          <w:p w14:paraId="1C201C4F" w14:textId="244A9668"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gastrointestinalno krvarenje</w:t>
            </w:r>
            <w:r w:rsidRPr="00E814B7">
              <w:rPr>
                <w:rFonts w:asciiTheme="majorBidi" w:hAnsiTheme="majorBidi" w:cstheme="majorBidi"/>
                <w:sz w:val="22"/>
                <w:szCs w:val="22"/>
                <w:vertAlign w:val="superscript"/>
                <w:lang w:val="sr-Latn-ME"/>
              </w:rPr>
              <w:t>4,7</w:t>
            </w:r>
          </w:p>
        </w:tc>
        <w:tc>
          <w:tcPr>
            <w:tcW w:w="1593" w:type="dxa"/>
          </w:tcPr>
          <w:p w14:paraId="16EAD4D3" w14:textId="5C78CD8D"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gastrointestinalne perforacije</w:t>
            </w:r>
            <w:r w:rsidRPr="00E814B7">
              <w:rPr>
                <w:rFonts w:asciiTheme="majorBidi" w:hAnsiTheme="majorBidi" w:cstheme="majorBidi"/>
                <w:sz w:val="22"/>
                <w:szCs w:val="22"/>
                <w:vertAlign w:val="superscript"/>
                <w:lang w:val="sr-Latn-ME"/>
              </w:rPr>
              <w:t>7</w:t>
            </w:r>
          </w:p>
        </w:tc>
        <w:tc>
          <w:tcPr>
            <w:tcW w:w="1434" w:type="dxa"/>
          </w:tcPr>
          <w:p w14:paraId="49F35920"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530" w:type="dxa"/>
          </w:tcPr>
          <w:p w14:paraId="17AEFC7D"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r>
      <w:tr w:rsidR="006F0EBA" w:rsidRPr="00E814B7" w14:paraId="0B36C52E" w14:textId="77777777" w:rsidTr="00CC03B6">
        <w:trPr>
          <w:trHeight w:val="1216"/>
        </w:trPr>
        <w:tc>
          <w:tcPr>
            <w:tcW w:w="1626" w:type="dxa"/>
          </w:tcPr>
          <w:p w14:paraId="70573A5A" w14:textId="6801D561" w:rsidR="0073548E"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t>Poremećaji jetre i žuči</w:t>
            </w:r>
          </w:p>
        </w:tc>
        <w:tc>
          <w:tcPr>
            <w:tcW w:w="1204" w:type="dxa"/>
          </w:tcPr>
          <w:p w14:paraId="5D668D66" w14:textId="217275CA"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abnormalnosti nalaza testova</w:t>
            </w:r>
          </w:p>
        </w:tc>
        <w:tc>
          <w:tcPr>
            <w:tcW w:w="1676" w:type="dxa"/>
          </w:tcPr>
          <w:p w14:paraId="424B61E3"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593" w:type="dxa"/>
          </w:tcPr>
          <w:p w14:paraId="60F72784"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434" w:type="dxa"/>
          </w:tcPr>
          <w:p w14:paraId="04B3DBEE" w14:textId="3F1D7883"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insuficijencija jetre</w:t>
            </w:r>
            <w:r w:rsidRPr="00E814B7">
              <w:rPr>
                <w:rFonts w:asciiTheme="majorBidi" w:hAnsiTheme="majorBidi" w:cstheme="majorBidi"/>
                <w:sz w:val="22"/>
                <w:szCs w:val="22"/>
                <w:vertAlign w:val="superscript"/>
                <w:lang w:val="sr-Latn-ME"/>
              </w:rPr>
              <w:t>6</w:t>
            </w:r>
          </w:p>
        </w:tc>
        <w:tc>
          <w:tcPr>
            <w:tcW w:w="1530" w:type="dxa"/>
          </w:tcPr>
          <w:p w14:paraId="0308FF4C"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r>
      <w:tr w:rsidR="006F0EBA" w:rsidRPr="00E814B7" w14:paraId="260356FB" w14:textId="77777777" w:rsidTr="00CC03B6">
        <w:trPr>
          <w:trHeight w:val="2321"/>
        </w:trPr>
        <w:tc>
          <w:tcPr>
            <w:tcW w:w="1626" w:type="dxa"/>
          </w:tcPr>
          <w:p w14:paraId="4F371C87" w14:textId="54ABB6BA" w:rsidR="0073548E"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t>Poremećaji kože i potkoćnog tkiva</w:t>
            </w:r>
          </w:p>
        </w:tc>
        <w:tc>
          <w:tcPr>
            <w:tcW w:w="1204" w:type="dxa"/>
          </w:tcPr>
          <w:p w14:paraId="104E34F6" w14:textId="4EC396D5"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osip</w:t>
            </w:r>
          </w:p>
        </w:tc>
        <w:tc>
          <w:tcPr>
            <w:tcW w:w="1676" w:type="dxa"/>
          </w:tcPr>
          <w:p w14:paraId="75DAE018" w14:textId="495830D3"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alopecija</w:t>
            </w:r>
          </w:p>
          <w:p w14:paraId="7983198C" w14:textId="134C97E6"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suva koža</w:t>
            </w:r>
            <w:r w:rsidRPr="00E814B7">
              <w:rPr>
                <w:rFonts w:asciiTheme="majorBidi" w:hAnsiTheme="majorBidi" w:cstheme="majorBidi"/>
                <w:sz w:val="22"/>
                <w:szCs w:val="22"/>
                <w:vertAlign w:val="superscript"/>
                <w:lang w:val="sr-Latn-ME"/>
              </w:rPr>
              <w:t>1</w:t>
            </w:r>
          </w:p>
          <w:p w14:paraId="3B9A62F2" w14:textId="5AC24973"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paronihija</w:t>
            </w:r>
          </w:p>
          <w:p w14:paraId="0D70A18C" w14:textId="1A633A3D"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folikulitis</w:t>
            </w:r>
          </w:p>
          <w:p w14:paraId="31EAD4EA" w14:textId="724286A8"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akne/akneiformni dermatitis</w:t>
            </w:r>
          </w:p>
          <w:p w14:paraId="23528854" w14:textId="6E21F1AE"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kožne fisure</w:t>
            </w:r>
          </w:p>
        </w:tc>
        <w:tc>
          <w:tcPr>
            <w:tcW w:w="1593" w:type="dxa"/>
          </w:tcPr>
          <w:p w14:paraId="0620385C" w14:textId="1C1B4F9A"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hirzutizam</w:t>
            </w:r>
          </w:p>
          <w:p w14:paraId="0A44E6A0" w14:textId="7427DEDC"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promjene na obrvama</w:t>
            </w:r>
          </w:p>
          <w:p w14:paraId="41F48D05" w14:textId="0DF98F24"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lomljivi i labavi nokti</w:t>
            </w:r>
          </w:p>
          <w:p w14:paraId="3044B284" w14:textId="0B1C1D7E"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blaga reakcija kože poput hiperpigmentacija</w:t>
            </w:r>
          </w:p>
        </w:tc>
        <w:tc>
          <w:tcPr>
            <w:tcW w:w="1434" w:type="dxa"/>
          </w:tcPr>
          <w:p w14:paraId="56814E0A" w14:textId="41BC3F59"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sindrom palmarno-plantarne eritrodizestezije</w:t>
            </w:r>
          </w:p>
        </w:tc>
        <w:tc>
          <w:tcPr>
            <w:tcW w:w="1530" w:type="dxa"/>
          </w:tcPr>
          <w:p w14:paraId="399BB88A" w14:textId="6CE80919" w:rsidR="0073548E"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Stevens-Johnsonov sindrom/toksična epidermalna nekroliza</w:t>
            </w:r>
            <w:r w:rsidRPr="00E814B7">
              <w:rPr>
                <w:rFonts w:asciiTheme="majorBidi" w:hAnsiTheme="majorBidi" w:cstheme="majorBidi"/>
                <w:sz w:val="22"/>
                <w:szCs w:val="22"/>
                <w:vertAlign w:val="superscript"/>
                <w:lang w:val="sr-Latn-ME"/>
              </w:rPr>
              <w:t>7</w:t>
            </w:r>
          </w:p>
        </w:tc>
      </w:tr>
      <w:tr w:rsidR="006F0EBA" w:rsidRPr="00E814B7" w14:paraId="1F423EF4" w14:textId="77777777" w:rsidTr="00CC03B6">
        <w:trPr>
          <w:trHeight w:val="1178"/>
        </w:trPr>
        <w:tc>
          <w:tcPr>
            <w:tcW w:w="1626" w:type="dxa"/>
          </w:tcPr>
          <w:p w14:paraId="692CB4A5" w14:textId="02C3ED0E" w:rsidR="0073548E" w:rsidRPr="00E814B7" w:rsidRDefault="006F0EBA" w:rsidP="00E814B7">
            <w:pPr>
              <w:tabs>
                <w:tab w:val="left" w:pos="540"/>
                <w:tab w:val="left" w:pos="569"/>
              </w:tabs>
              <w:rPr>
                <w:rFonts w:asciiTheme="majorBidi" w:hAnsiTheme="majorBidi" w:cstheme="majorBidi"/>
                <w:i/>
                <w:iCs/>
                <w:sz w:val="22"/>
                <w:szCs w:val="22"/>
                <w:lang w:val="sr-Latn-ME"/>
              </w:rPr>
            </w:pPr>
            <w:r w:rsidRPr="00E814B7">
              <w:rPr>
                <w:rFonts w:asciiTheme="majorBidi" w:hAnsiTheme="majorBidi" w:cstheme="majorBidi"/>
                <w:i/>
                <w:iCs/>
                <w:sz w:val="22"/>
                <w:szCs w:val="22"/>
                <w:lang w:val="sr-Latn-ME"/>
              </w:rPr>
              <w:t>Poremećaji bubrega i urinarnog sistema</w:t>
            </w:r>
          </w:p>
        </w:tc>
        <w:tc>
          <w:tcPr>
            <w:tcW w:w="1204" w:type="dxa"/>
          </w:tcPr>
          <w:p w14:paraId="731B197F"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676" w:type="dxa"/>
          </w:tcPr>
          <w:p w14:paraId="71AE0B21" w14:textId="704AA514" w:rsidR="0073548E" w:rsidRPr="00E814B7" w:rsidRDefault="006F0EBA" w:rsidP="00E814B7">
            <w:pPr>
              <w:tabs>
                <w:tab w:val="left" w:pos="540"/>
                <w:tab w:val="left" w:pos="569"/>
              </w:tabs>
              <w:rPr>
                <w:rFonts w:asciiTheme="majorBidi" w:hAnsiTheme="majorBidi" w:cstheme="majorBidi"/>
                <w:sz w:val="22"/>
                <w:szCs w:val="22"/>
                <w:vertAlign w:val="superscript"/>
                <w:lang w:val="sr-Latn-ME"/>
              </w:rPr>
            </w:pPr>
            <w:r w:rsidRPr="00E814B7">
              <w:rPr>
                <w:rFonts w:asciiTheme="majorBidi" w:hAnsiTheme="majorBidi" w:cstheme="majorBidi"/>
                <w:sz w:val="22"/>
                <w:szCs w:val="22"/>
                <w:lang w:val="sr-Latn-ME"/>
              </w:rPr>
              <w:t>- renalna insuficijencija</w:t>
            </w:r>
            <w:r w:rsidRPr="00E814B7">
              <w:rPr>
                <w:rFonts w:asciiTheme="majorBidi" w:hAnsiTheme="majorBidi" w:cstheme="majorBidi"/>
                <w:sz w:val="22"/>
                <w:szCs w:val="22"/>
                <w:vertAlign w:val="superscript"/>
                <w:lang w:val="sr-Latn-ME"/>
              </w:rPr>
              <w:t>1</w:t>
            </w:r>
          </w:p>
        </w:tc>
        <w:tc>
          <w:tcPr>
            <w:tcW w:w="1593" w:type="dxa"/>
          </w:tcPr>
          <w:p w14:paraId="451B99D8" w14:textId="31885984" w:rsidR="0073548E" w:rsidRPr="00E814B7" w:rsidRDefault="006F0EBA" w:rsidP="00E814B7">
            <w:pPr>
              <w:tabs>
                <w:tab w:val="left" w:pos="540"/>
                <w:tab w:val="left" w:pos="569"/>
              </w:tabs>
              <w:rPr>
                <w:rFonts w:asciiTheme="majorBidi" w:hAnsiTheme="majorBidi" w:cstheme="majorBidi"/>
                <w:sz w:val="22"/>
                <w:szCs w:val="22"/>
                <w:vertAlign w:val="superscript"/>
                <w:lang w:val="sr-Latn-ME"/>
              </w:rPr>
            </w:pPr>
            <w:r w:rsidRPr="00E814B7">
              <w:rPr>
                <w:rFonts w:asciiTheme="majorBidi" w:hAnsiTheme="majorBidi" w:cstheme="majorBidi"/>
                <w:sz w:val="22"/>
                <w:szCs w:val="22"/>
                <w:lang w:val="sr-Latn-ME"/>
              </w:rPr>
              <w:t>- nefritis</w:t>
            </w:r>
            <w:r w:rsidRPr="00E814B7">
              <w:rPr>
                <w:rFonts w:asciiTheme="majorBidi" w:hAnsiTheme="majorBidi" w:cstheme="majorBidi"/>
                <w:sz w:val="22"/>
                <w:szCs w:val="22"/>
                <w:vertAlign w:val="superscript"/>
                <w:lang w:val="sr-Latn-ME"/>
              </w:rPr>
              <w:t>1</w:t>
            </w:r>
          </w:p>
          <w:p w14:paraId="3CEDE3B4" w14:textId="41F6A3B2" w:rsidR="006F0EBA" w:rsidRPr="00E814B7" w:rsidRDefault="006F0EBA"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 proteinurija</w:t>
            </w:r>
            <w:r w:rsidRPr="00E814B7">
              <w:rPr>
                <w:rFonts w:asciiTheme="majorBidi" w:hAnsiTheme="majorBidi" w:cstheme="majorBidi"/>
                <w:sz w:val="22"/>
                <w:szCs w:val="22"/>
                <w:vertAlign w:val="superscript"/>
                <w:lang w:val="sr-Latn-ME"/>
              </w:rPr>
              <w:t>1</w:t>
            </w:r>
          </w:p>
        </w:tc>
        <w:tc>
          <w:tcPr>
            <w:tcW w:w="1434" w:type="dxa"/>
          </w:tcPr>
          <w:p w14:paraId="0D454DD4"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c>
          <w:tcPr>
            <w:tcW w:w="1530" w:type="dxa"/>
          </w:tcPr>
          <w:p w14:paraId="36C784E6" w14:textId="77777777" w:rsidR="0073548E" w:rsidRPr="00E814B7" w:rsidRDefault="0073548E" w:rsidP="00E814B7">
            <w:pPr>
              <w:tabs>
                <w:tab w:val="left" w:pos="540"/>
                <w:tab w:val="left" w:pos="569"/>
              </w:tabs>
              <w:rPr>
                <w:rFonts w:asciiTheme="majorBidi" w:hAnsiTheme="majorBidi" w:cstheme="majorBidi"/>
                <w:sz w:val="22"/>
                <w:szCs w:val="22"/>
                <w:lang w:val="sr-Latn-ME"/>
              </w:rPr>
            </w:pPr>
          </w:p>
        </w:tc>
      </w:tr>
    </w:tbl>
    <w:p w14:paraId="506636AC" w14:textId="7CCB6B83" w:rsidR="0073548E"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1</w:t>
      </w:r>
      <w:r w:rsidRPr="00E814B7">
        <w:rPr>
          <w:rFonts w:asciiTheme="majorBidi" w:hAnsiTheme="majorBidi" w:cstheme="majorBidi"/>
          <w:sz w:val="22"/>
          <w:szCs w:val="22"/>
          <w:lang w:val="sr-Latn-ME"/>
        </w:rPr>
        <w:t xml:space="preserve"> U kliničkom ispitivanju PA.3.</w:t>
      </w:r>
    </w:p>
    <w:p w14:paraId="103329BE" w14:textId="04B3B24A"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2</w:t>
      </w:r>
      <w:r w:rsidRPr="00E814B7">
        <w:rPr>
          <w:rFonts w:asciiTheme="majorBidi" w:hAnsiTheme="majorBidi" w:cstheme="majorBidi"/>
          <w:sz w:val="22"/>
          <w:szCs w:val="22"/>
          <w:lang w:val="sr-Latn-ME"/>
        </w:rPr>
        <w:t xml:space="preserve"> Uključujući rast trepavica prema oku, pojačan rast i zadebljanje trepavica.</w:t>
      </w:r>
    </w:p>
    <w:p w14:paraId="4B0E96BA" w14:textId="50E562AC"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3</w:t>
      </w:r>
      <w:r w:rsidRPr="00E814B7">
        <w:rPr>
          <w:rFonts w:asciiTheme="majorBidi" w:hAnsiTheme="majorBidi" w:cstheme="majorBidi"/>
          <w:sz w:val="22"/>
          <w:szCs w:val="22"/>
          <w:lang w:val="sr-Latn-ME"/>
        </w:rPr>
        <w:t xml:space="preserve"> Uključujući smrtne slučajeve, kod pacijenata koji su primali erlotinib zbog liječenja</w:t>
      </w:r>
      <w:r w:rsidR="00D852E5" w:rsidRPr="00E814B7">
        <w:rPr>
          <w:rFonts w:asciiTheme="majorBidi" w:hAnsiTheme="majorBidi" w:cstheme="majorBidi"/>
          <w:sz w:val="22"/>
          <w:szCs w:val="22"/>
          <w:lang w:val="sr-Latn-ME"/>
        </w:rPr>
        <w:t xml:space="preserve"> </w:t>
      </w:r>
      <w:r w:rsidRPr="00E814B7">
        <w:rPr>
          <w:rFonts w:asciiTheme="majorBidi" w:hAnsiTheme="majorBidi" w:cstheme="majorBidi"/>
          <w:sz w:val="22"/>
          <w:szCs w:val="22"/>
          <w:lang w:val="sr-Latn-ME"/>
        </w:rPr>
        <w:t>nemikrocelularnog karcinoma pluća ili drugih uznapredovalih solidnih tumora (vidjeti dio 4.4). Veća incidencija je uočena među pacijentima u Japanu (vid</w:t>
      </w:r>
      <w:r w:rsidR="00996C22"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eti dio 4.4).</w:t>
      </w:r>
    </w:p>
    <w:p w14:paraId="7954A40F" w14:textId="0B073921"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4</w:t>
      </w:r>
      <w:r w:rsidRPr="00E814B7">
        <w:rPr>
          <w:rFonts w:asciiTheme="majorBidi" w:hAnsiTheme="majorBidi" w:cstheme="majorBidi"/>
          <w:sz w:val="22"/>
          <w:szCs w:val="22"/>
          <w:lang w:val="sr-Latn-ME"/>
        </w:rPr>
        <w:t xml:space="preserve"> U kliničkim ispitivanjima neki slučajevi povezani su sa istovremenom primjenom varfarina, a neki sa istovremenom prim</w:t>
      </w:r>
      <w:r w:rsidR="00996C22"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enom NSAIL (vidjeti dio 4.5).</w:t>
      </w:r>
    </w:p>
    <w:p w14:paraId="7E912E0C" w14:textId="6C44AB0D"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5</w:t>
      </w:r>
      <w:r w:rsidRPr="00E814B7">
        <w:rPr>
          <w:rFonts w:asciiTheme="majorBidi" w:hAnsiTheme="majorBidi" w:cstheme="majorBidi"/>
          <w:sz w:val="22"/>
          <w:szCs w:val="22"/>
          <w:lang w:val="sr-Latn-ME"/>
        </w:rPr>
        <w:t xml:space="preserve"> Uključujući povišenje alanin aminotransferaze [ALT], asp</w:t>
      </w:r>
      <w:r w:rsidR="00D852E5" w:rsidRPr="00E814B7">
        <w:rPr>
          <w:rFonts w:asciiTheme="majorBidi" w:hAnsiTheme="majorBidi" w:cstheme="majorBidi"/>
          <w:sz w:val="22"/>
          <w:szCs w:val="22"/>
          <w:lang w:val="sr-Latn-ME"/>
        </w:rPr>
        <w:t>a</w:t>
      </w:r>
      <w:r w:rsidRPr="00E814B7">
        <w:rPr>
          <w:rFonts w:asciiTheme="majorBidi" w:hAnsiTheme="majorBidi" w:cstheme="majorBidi"/>
          <w:sz w:val="22"/>
          <w:szCs w:val="22"/>
          <w:lang w:val="sr-Latn-ME"/>
        </w:rPr>
        <w:t>rtat aminotransferaze [AST], bilirubina. Ona su bila vrlo česta u kliničkom ispitivanju PA.3 i česta u ispitivanju BR.21. Uglavnom su bile blagog ili umjerenog intenziteta, prolazne ili povezane sa metastazama u jetri.</w:t>
      </w:r>
    </w:p>
    <w:p w14:paraId="17ABB079" w14:textId="68A500EB"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6</w:t>
      </w:r>
      <w:r w:rsidRPr="00E814B7">
        <w:rPr>
          <w:rFonts w:asciiTheme="majorBidi" w:hAnsiTheme="majorBidi" w:cstheme="majorBidi"/>
          <w:sz w:val="22"/>
          <w:szCs w:val="22"/>
          <w:lang w:val="sr-Latn-ME"/>
        </w:rPr>
        <w:t xml:space="preserve"> Uključujući smrtne slučajeve. Tome su doprinosili faktori poput postojeće bolesti jetre ili istovremeno uzimanje hepatotoksičnih ljekova (vidjeti dio 4.4).</w:t>
      </w:r>
    </w:p>
    <w:p w14:paraId="79F2EC71" w14:textId="7B7E023D" w:rsidR="006F0EBA" w:rsidRPr="00E814B7" w:rsidRDefault="006F0EBA" w:rsidP="00E814B7">
      <w:pPr>
        <w:tabs>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vertAlign w:val="superscript"/>
          <w:lang w:val="sr-Latn-ME"/>
        </w:rPr>
        <w:t>7</w:t>
      </w:r>
      <w:r w:rsidRPr="00E814B7">
        <w:rPr>
          <w:rFonts w:asciiTheme="majorBidi" w:hAnsiTheme="majorBidi" w:cstheme="majorBidi"/>
          <w:sz w:val="22"/>
          <w:szCs w:val="22"/>
          <w:lang w:val="sr-Latn-ME"/>
        </w:rPr>
        <w:t xml:space="preserve"> Uključujući smrtne slučajeve (vidjeti dio 4.4).</w:t>
      </w:r>
    </w:p>
    <w:p w14:paraId="53939896" w14:textId="77777777" w:rsidR="006F0EBA" w:rsidRPr="00E814B7" w:rsidRDefault="006F0EBA" w:rsidP="00E814B7">
      <w:pPr>
        <w:tabs>
          <w:tab w:val="left" w:pos="540"/>
          <w:tab w:val="left" w:pos="569"/>
        </w:tabs>
        <w:jc w:val="both"/>
        <w:rPr>
          <w:rFonts w:asciiTheme="majorBidi" w:hAnsiTheme="majorBidi" w:cstheme="majorBidi"/>
          <w:sz w:val="22"/>
          <w:szCs w:val="22"/>
          <w:lang w:val="sr-Latn-ME"/>
        </w:rPr>
      </w:pPr>
    </w:p>
    <w:p w14:paraId="07D9D5A9" w14:textId="77777777" w:rsidR="005A23D2" w:rsidRPr="00E814B7" w:rsidRDefault="005A23D2" w:rsidP="00E814B7">
      <w:pPr>
        <w:spacing w:after="200"/>
        <w:jc w:val="both"/>
        <w:rPr>
          <w:rFonts w:asciiTheme="majorBidi" w:eastAsia="Calibri" w:hAnsiTheme="majorBidi" w:cstheme="majorBidi"/>
          <w:sz w:val="22"/>
          <w:szCs w:val="22"/>
          <w:u w:val="single"/>
          <w:lang w:val="sr-Latn-ME"/>
        </w:rPr>
      </w:pPr>
      <w:r w:rsidRPr="00E814B7">
        <w:rPr>
          <w:rFonts w:asciiTheme="majorBidi" w:eastAsia="Calibri" w:hAnsiTheme="majorBidi" w:cstheme="majorBidi"/>
          <w:sz w:val="22"/>
          <w:szCs w:val="22"/>
          <w:u w:val="single"/>
          <w:lang w:val="sr-Latn-ME"/>
        </w:rPr>
        <w:t>Prijavljivanje sumnji na neželjena dejstva</w:t>
      </w:r>
    </w:p>
    <w:p w14:paraId="4AE65CEE" w14:textId="77777777" w:rsidR="005A23D2" w:rsidRPr="00E814B7" w:rsidRDefault="005A23D2" w:rsidP="00E814B7">
      <w:pPr>
        <w:spacing w:after="200"/>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Prijavljivanje neželjenih dejstava nakon dobijanja dozvole je od velikog značaja jer obezbjeđuje kont</w:t>
      </w:r>
      <w:r w:rsidR="00EA5765" w:rsidRPr="00E814B7">
        <w:rPr>
          <w:rFonts w:asciiTheme="majorBidi" w:eastAsia="Calibri" w:hAnsiTheme="majorBidi" w:cstheme="majorBidi"/>
          <w:sz w:val="22"/>
          <w:szCs w:val="22"/>
          <w:lang w:val="sr-Latn-ME"/>
        </w:rPr>
        <w:t>inuirano praćenje odnosa korist</w:t>
      </w:r>
      <w:r w:rsidRPr="00E814B7">
        <w:rPr>
          <w:rFonts w:asciiTheme="majorBidi" w:eastAsia="Calibri" w:hAnsiTheme="majorBidi" w:cstheme="majorBidi"/>
          <w:sz w:val="22"/>
          <w:szCs w:val="22"/>
          <w:lang w:val="sr-Latn-ME"/>
        </w:rPr>
        <w:t>/rizik primjene lijeka. Zdravstveni radnici treba da prijave svaku sumnju na neželjeno</w:t>
      </w:r>
      <w:r w:rsidR="009B062A" w:rsidRPr="00E814B7">
        <w:rPr>
          <w:rFonts w:asciiTheme="majorBidi" w:eastAsia="Calibri" w:hAnsiTheme="majorBidi" w:cstheme="majorBidi"/>
          <w:sz w:val="22"/>
          <w:szCs w:val="22"/>
          <w:lang w:val="sr-Latn-ME"/>
        </w:rPr>
        <w:t xml:space="preserve"> </w:t>
      </w:r>
      <w:r w:rsidRPr="00E814B7">
        <w:rPr>
          <w:rFonts w:asciiTheme="majorBidi" w:eastAsia="Calibri" w:hAnsiTheme="majorBidi" w:cstheme="majorBidi"/>
          <w:sz w:val="22"/>
          <w:szCs w:val="22"/>
          <w:lang w:val="sr-Latn-ME"/>
        </w:rPr>
        <w:t xml:space="preserve">dejstvo ovog lijeka </w:t>
      </w:r>
      <w:r w:rsidR="004E70AD" w:rsidRPr="00E814B7">
        <w:rPr>
          <w:rFonts w:asciiTheme="majorBidi" w:eastAsia="Calibri" w:hAnsiTheme="majorBidi" w:cstheme="majorBidi"/>
          <w:sz w:val="22"/>
          <w:szCs w:val="22"/>
          <w:lang w:val="sr-Latn-ME"/>
        </w:rPr>
        <w:t>Institutu</w:t>
      </w:r>
      <w:r w:rsidRPr="00E814B7">
        <w:rPr>
          <w:rFonts w:asciiTheme="majorBidi" w:eastAsia="Calibri" w:hAnsiTheme="majorBidi" w:cstheme="majorBidi"/>
          <w:sz w:val="22"/>
          <w:szCs w:val="22"/>
          <w:lang w:val="sr-Latn-ME"/>
        </w:rPr>
        <w:t xml:space="preserve"> za ljekove i medicinska sredstva</w:t>
      </w:r>
      <w:r w:rsidR="004E70AD" w:rsidRPr="00E814B7">
        <w:rPr>
          <w:rFonts w:asciiTheme="majorBidi" w:eastAsia="Calibri" w:hAnsiTheme="majorBidi" w:cstheme="majorBidi"/>
          <w:sz w:val="22"/>
          <w:szCs w:val="22"/>
          <w:lang w:val="sr-Latn-ME"/>
        </w:rPr>
        <w:t xml:space="preserve"> </w:t>
      </w:r>
      <w:r w:rsidRPr="00E814B7">
        <w:rPr>
          <w:rFonts w:asciiTheme="majorBidi" w:eastAsia="Calibri" w:hAnsiTheme="majorBidi" w:cstheme="majorBidi"/>
          <w:sz w:val="22"/>
          <w:szCs w:val="22"/>
          <w:lang w:val="sr-Latn-ME"/>
        </w:rPr>
        <w:t>(</w:t>
      </w:r>
      <w:r w:rsidR="004E70AD" w:rsidRPr="00E814B7">
        <w:rPr>
          <w:rFonts w:asciiTheme="majorBidi" w:eastAsia="Calibri" w:hAnsiTheme="majorBidi" w:cstheme="majorBidi"/>
          <w:sz w:val="22"/>
          <w:szCs w:val="22"/>
          <w:lang w:val="sr-Latn-ME"/>
        </w:rPr>
        <w:t>CInMED</w:t>
      </w:r>
      <w:r w:rsidRPr="00E814B7">
        <w:rPr>
          <w:rFonts w:asciiTheme="majorBidi" w:eastAsia="Calibri" w:hAnsiTheme="majorBidi" w:cstheme="majorBidi"/>
          <w:sz w:val="22"/>
          <w:szCs w:val="22"/>
          <w:lang w:val="sr-Latn-ME"/>
        </w:rPr>
        <w:t>):</w:t>
      </w:r>
    </w:p>
    <w:p w14:paraId="0287FA92" w14:textId="77777777" w:rsidR="005A23D2" w:rsidRPr="00E814B7" w:rsidRDefault="004E70AD"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 xml:space="preserve">Institut </w:t>
      </w:r>
      <w:r w:rsidR="005A23D2" w:rsidRPr="00E814B7">
        <w:rPr>
          <w:rFonts w:asciiTheme="majorBidi" w:eastAsia="Calibri" w:hAnsiTheme="majorBidi" w:cstheme="majorBidi"/>
          <w:sz w:val="22"/>
          <w:szCs w:val="22"/>
          <w:lang w:val="sr-Latn-ME"/>
        </w:rPr>
        <w:t xml:space="preserve">za ljekove i medicinska sredstva </w:t>
      </w:r>
    </w:p>
    <w:p w14:paraId="35A459EE" w14:textId="77777777" w:rsidR="005A23D2" w:rsidRPr="00E814B7" w:rsidRDefault="005A23D2"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Odjeljenje za farmakovigilancu</w:t>
      </w:r>
    </w:p>
    <w:p w14:paraId="7D1ABD5A" w14:textId="77777777" w:rsidR="00EA5765" w:rsidRPr="00E814B7" w:rsidRDefault="005A23D2"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Bulevar Ivana Crnojevića 64a, 81000 Podgorica</w:t>
      </w:r>
    </w:p>
    <w:p w14:paraId="05DF17E4" w14:textId="77777777" w:rsidR="00EA5765" w:rsidRPr="00E814B7" w:rsidRDefault="00EA5765" w:rsidP="00E814B7">
      <w:pPr>
        <w:pStyle w:val="NoSpacing"/>
        <w:jc w:val="both"/>
        <w:rPr>
          <w:rFonts w:asciiTheme="majorBidi" w:eastAsia="Calibri" w:hAnsiTheme="majorBidi" w:cstheme="majorBidi"/>
          <w:sz w:val="22"/>
          <w:szCs w:val="22"/>
          <w:lang w:val="sr-Latn-ME"/>
        </w:rPr>
      </w:pPr>
    </w:p>
    <w:p w14:paraId="5AA43269" w14:textId="77777777" w:rsidR="005A23D2" w:rsidRPr="00E814B7" w:rsidRDefault="005A23D2"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tel: +382 (0) 20 310 280</w:t>
      </w:r>
    </w:p>
    <w:p w14:paraId="682EC2E7" w14:textId="77777777" w:rsidR="00EA5765" w:rsidRPr="00E814B7" w:rsidRDefault="005A23D2"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fax:</w:t>
      </w:r>
      <w:r w:rsidR="00EA5765" w:rsidRPr="00E814B7">
        <w:rPr>
          <w:rFonts w:asciiTheme="majorBidi" w:eastAsia="Calibri" w:hAnsiTheme="majorBidi" w:cstheme="majorBidi"/>
          <w:sz w:val="22"/>
          <w:szCs w:val="22"/>
          <w:lang w:val="sr-Latn-ME"/>
        </w:rPr>
        <w:t xml:space="preserve"> </w:t>
      </w:r>
      <w:r w:rsidRPr="00E814B7">
        <w:rPr>
          <w:rFonts w:asciiTheme="majorBidi" w:eastAsia="Calibri" w:hAnsiTheme="majorBidi" w:cstheme="majorBidi"/>
          <w:sz w:val="22"/>
          <w:szCs w:val="22"/>
          <w:lang w:val="sr-Latn-ME"/>
        </w:rPr>
        <w:t>+382 (0) 20 310 581</w:t>
      </w:r>
    </w:p>
    <w:p w14:paraId="64F8132C" w14:textId="77777777" w:rsidR="005A23D2" w:rsidRPr="00E814B7" w:rsidRDefault="003522F3" w:rsidP="00E814B7">
      <w:pPr>
        <w:pStyle w:val="NoSpacing"/>
        <w:jc w:val="both"/>
        <w:rPr>
          <w:rFonts w:asciiTheme="majorBidi" w:eastAsia="Calibri" w:hAnsiTheme="majorBidi" w:cstheme="majorBidi"/>
          <w:sz w:val="22"/>
          <w:szCs w:val="22"/>
          <w:lang w:val="sr-Latn-ME"/>
        </w:rPr>
      </w:pPr>
      <w:hyperlink r:id="rId8" w:history="1">
        <w:r w:rsidR="004E70AD" w:rsidRPr="00E814B7">
          <w:rPr>
            <w:rStyle w:val="Hyperlink"/>
            <w:rFonts w:asciiTheme="majorBidi" w:eastAsia="Calibri" w:hAnsiTheme="majorBidi" w:cstheme="majorBidi"/>
            <w:sz w:val="22"/>
            <w:szCs w:val="22"/>
            <w:lang w:val="sr-Latn-ME"/>
          </w:rPr>
          <w:t>www.cinmed.me</w:t>
        </w:r>
      </w:hyperlink>
    </w:p>
    <w:p w14:paraId="1C047779" w14:textId="77777777" w:rsidR="00EA5765" w:rsidRPr="00E814B7" w:rsidRDefault="003522F3" w:rsidP="00E814B7">
      <w:pPr>
        <w:pStyle w:val="NoSpacing"/>
        <w:jc w:val="both"/>
        <w:rPr>
          <w:rFonts w:asciiTheme="majorBidi" w:eastAsia="Calibri" w:hAnsiTheme="majorBidi" w:cstheme="majorBidi"/>
          <w:color w:val="0000FF"/>
          <w:sz w:val="22"/>
          <w:szCs w:val="22"/>
          <w:u w:val="single"/>
          <w:lang w:val="sr-Latn-ME"/>
        </w:rPr>
      </w:pPr>
      <w:hyperlink r:id="rId9" w:history="1">
        <w:r w:rsidR="004E70AD" w:rsidRPr="00E814B7">
          <w:rPr>
            <w:rStyle w:val="Hyperlink"/>
            <w:rFonts w:asciiTheme="majorBidi" w:eastAsia="Calibri" w:hAnsiTheme="majorBidi" w:cstheme="majorBidi"/>
            <w:sz w:val="22"/>
            <w:szCs w:val="22"/>
            <w:lang w:val="sr-Latn-ME"/>
          </w:rPr>
          <w:t>nezeljenadejstva@cinmed.me</w:t>
        </w:r>
      </w:hyperlink>
    </w:p>
    <w:p w14:paraId="7268136D" w14:textId="77777777" w:rsidR="005A23D2" w:rsidRPr="00E814B7" w:rsidRDefault="005A23D2" w:rsidP="00E814B7">
      <w:pPr>
        <w:pStyle w:val="NoSpacing"/>
        <w:jc w:val="both"/>
        <w:rPr>
          <w:rFonts w:asciiTheme="majorBidi" w:eastAsia="Calibri" w:hAnsiTheme="majorBidi" w:cstheme="majorBidi"/>
          <w:sz w:val="22"/>
          <w:szCs w:val="22"/>
          <w:lang w:val="sr-Latn-ME"/>
        </w:rPr>
      </w:pPr>
      <w:r w:rsidRPr="00E814B7">
        <w:rPr>
          <w:rFonts w:asciiTheme="majorBidi" w:eastAsia="Calibri" w:hAnsiTheme="majorBidi" w:cstheme="majorBidi"/>
          <w:sz w:val="22"/>
          <w:szCs w:val="22"/>
          <w:lang w:val="sr-Latn-ME"/>
        </w:rPr>
        <w:t>putem IS zdravstvene zaštite</w:t>
      </w:r>
    </w:p>
    <w:p w14:paraId="1DBE3ED3" w14:textId="77777777" w:rsidR="00836B35" w:rsidRPr="00E814B7" w:rsidRDefault="00836B35" w:rsidP="00E814B7">
      <w:pPr>
        <w:tabs>
          <w:tab w:val="left" w:pos="540"/>
          <w:tab w:val="left" w:pos="569"/>
        </w:tabs>
        <w:rPr>
          <w:rFonts w:asciiTheme="majorBidi" w:hAnsiTheme="majorBidi" w:cstheme="majorBidi"/>
          <w:b/>
          <w:bCs/>
          <w:sz w:val="22"/>
          <w:szCs w:val="22"/>
          <w:lang w:val="sr-Latn-ME"/>
        </w:rPr>
      </w:pPr>
    </w:p>
    <w:p w14:paraId="267CF2CE" w14:textId="77777777" w:rsidR="00CD6F02"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4.9.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Predoziranje</w:t>
      </w:r>
      <w:r w:rsidR="002846DB" w:rsidRPr="00E814B7">
        <w:rPr>
          <w:rFonts w:asciiTheme="majorBidi" w:hAnsiTheme="majorBidi" w:cstheme="majorBidi"/>
          <w:b/>
          <w:bCs/>
          <w:sz w:val="22"/>
          <w:szCs w:val="22"/>
          <w:lang w:val="sr-Latn-ME"/>
        </w:rPr>
        <w:t xml:space="preserve"> </w:t>
      </w:r>
    </w:p>
    <w:p w14:paraId="227B8D9F" w14:textId="2375C2AC" w:rsidR="00CD6F02" w:rsidRPr="00E814B7" w:rsidRDefault="00CD6F02" w:rsidP="00E814B7">
      <w:pPr>
        <w:tabs>
          <w:tab w:val="left" w:pos="540"/>
          <w:tab w:val="left" w:pos="569"/>
        </w:tabs>
        <w:jc w:val="both"/>
        <w:rPr>
          <w:rFonts w:asciiTheme="majorBidi" w:hAnsiTheme="majorBidi" w:cstheme="majorBidi"/>
          <w:b/>
          <w:bCs/>
          <w:sz w:val="22"/>
          <w:szCs w:val="22"/>
          <w:lang w:val="sr-Latn-ME"/>
        </w:rPr>
      </w:pPr>
    </w:p>
    <w:p w14:paraId="5960C801" w14:textId="77777777" w:rsidR="00BB5AFF" w:rsidRPr="00E814B7" w:rsidRDefault="00BB5AFF" w:rsidP="00E814B7">
      <w:pPr>
        <w:tabs>
          <w:tab w:val="left" w:pos="284"/>
        </w:tabs>
        <w:jc w:val="both"/>
        <w:rPr>
          <w:rFonts w:asciiTheme="majorBidi" w:hAnsiTheme="majorBidi" w:cstheme="majorBidi"/>
          <w:sz w:val="22"/>
          <w:szCs w:val="22"/>
          <w:u w:val="single"/>
          <w:lang w:val="sr-Latn-ME"/>
        </w:rPr>
      </w:pPr>
      <w:r w:rsidRPr="00E814B7">
        <w:rPr>
          <w:rFonts w:asciiTheme="majorBidi" w:hAnsiTheme="majorBidi" w:cstheme="majorBidi"/>
          <w:sz w:val="22"/>
          <w:szCs w:val="22"/>
          <w:u w:val="single"/>
          <w:lang w:val="sr-Latn-ME"/>
        </w:rPr>
        <w:t>Simptomi</w:t>
      </w:r>
    </w:p>
    <w:p w14:paraId="70E5C08D" w14:textId="7262B978" w:rsidR="00BB5AFF" w:rsidRPr="00E814B7" w:rsidRDefault="00BB5AFF"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Pojedinačna oralna doza erlotiniba do 1000 mg erlotiniba kod zdravih osoba i do 1600 mg kod pacijenata oboljelih od raka dobro se podnosi. Zdrave osobe su loše podnijele ponovljenu dvostruku dnevnu dozu od 200 mg, i to poslije samo nekoliko dana doziranja. Na osnovu podataka iz tih ispitivanja, uzimanjem </w:t>
      </w:r>
      <w:r w:rsidRPr="00E814B7">
        <w:rPr>
          <w:rFonts w:asciiTheme="majorBidi" w:hAnsiTheme="majorBidi" w:cstheme="majorBidi"/>
          <w:sz w:val="22"/>
          <w:szCs w:val="22"/>
          <w:lang w:val="sr-Latn-ME"/>
        </w:rPr>
        <w:lastRenderedPageBreak/>
        <w:t>većih doza od preporučenih može doći do ozbiljnih neželjenih reakcija, kao što su dijareja, kožni osip i moguće povećana aktivnost aminotransferaza jetre.</w:t>
      </w:r>
    </w:p>
    <w:p w14:paraId="434A50AF" w14:textId="77777777" w:rsidR="00BB5AFF" w:rsidRPr="00E814B7" w:rsidRDefault="00BB5AFF" w:rsidP="00E814B7">
      <w:pPr>
        <w:tabs>
          <w:tab w:val="left" w:pos="284"/>
        </w:tabs>
        <w:jc w:val="both"/>
        <w:rPr>
          <w:rFonts w:asciiTheme="majorBidi" w:hAnsiTheme="majorBidi" w:cstheme="majorBidi"/>
          <w:iCs/>
          <w:sz w:val="22"/>
          <w:szCs w:val="22"/>
          <w:u w:val="single"/>
          <w:lang w:val="sr-Latn-ME"/>
        </w:rPr>
      </w:pPr>
    </w:p>
    <w:p w14:paraId="3918DA88" w14:textId="0B5E7F67" w:rsidR="00BB5AFF" w:rsidRPr="00E814B7" w:rsidRDefault="00BB5AFF" w:rsidP="00E814B7">
      <w:pPr>
        <w:tabs>
          <w:tab w:val="left" w:pos="284"/>
        </w:tabs>
        <w:jc w:val="both"/>
        <w:rPr>
          <w:rFonts w:asciiTheme="majorBidi" w:hAnsiTheme="majorBidi" w:cstheme="majorBidi"/>
          <w:iCs/>
          <w:sz w:val="22"/>
          <w:szCs w:val="22"/>
          <w:u w:val="single"/>
          <w:lang w:val="sr-Latn-ME"/>
        </w:rPr>
      </w:pPr>
      <w:r w:rsidRPr="00E814B7">
        <w:rPr>
          <w:rFonts w:asciiTheme="majorBidi" w:hAnsiTheme="majorBidi" w:cstheme="majorBidi"/>
          <w:iCs/>
          <w:sz w:val="22"/>
          <w:szCs w:val="22"/>
          <w:u w:val="single"/>
          <w:lang w:val="sr-Latn-ME"/>
        </w:rPr>
        <w:t>Zbrinjavanje</w:t>
      </w:r>
    </w:p>
    <w:p w14:paraId="77BA07D0" w14:textId="0984703F" w:rsidR="00BB5AFF" w:rsidRPr="00E814B7" w:rsidRDefault="00BB5AFF"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sz w:val="22"/>
          <w:szCs w:val="22"/>
          <w:lang w:val="sr-Latn-ME"/>
        </w:rPr>
        <w:t>U slučaju sumnje na predoziranje, treba obustaviti primjenu lijeka Inopran i započeti simptomatsku terapiju.</w:t>
      </w:r>
    </w:p>
    <w:p w14:paraId="78F4DCDB" w14:textId="1A1A6A83" w:rsidR="00227BDB" w:rsidRDefault="00227BDB" w:rsidP="00E814B7">
      <w:pPr>
        <w:tabs>
          <w:tab w:val="left" w:pos="540"/>
          <w:tab w:val="left" w:pos="569"/>
        </w:tabs>
        <w:jc w:val="both"/>
        <w:rPr>
          <w:rFonts w:asciiTheme="majorBidi" w:hAnsiTheme="majorBidi" w:cstheme="majorBidi"/>
          <w:b/>
          <w:bCs/>
          <w:sz w:val="22"/>
          <w:szCs w:val="22"/>
          <w:lang w:val="sr-Latn-ME"/>
        </w:rPr>
      </w:pPr>
    </w:p>
    <w:p w14:paraId="0274E801" w14:textId="77777777" w:rsidR="00E814B7" w:rsidRPr="00E814B7" w:rsidRDefault="00E814B7" w:rsidP="00E814B7">
      <w:pPr>
        <w:tabs>
          <w:tab w:val="left" w:pos="540"/>
          <w:tab w:val="left" w:pos="569"/>
        </w:tabs>
        <w:jc w:val="both"/>
        <w:rPr>
          <w:rFonts w:asciiTheme="majorBidi" w:hAnsiTheme="majorBidi" w:cstheme="majorBidi"/>
          <w:b/>
          <w:bCs/>
          <w:sz w:val="22"/>
          <w:szCs w:val="22"/>
          <w:lang w:val="sr-Latn-ME"/>
        </w:rPr>
      </w:pPr>
    </w:p>
    <w:p w14:paraId="64C9C46D"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5.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FARMAKOLOŠK</w:t>
      </w:r>
      <w:r w:rsidR="000D425A" w:rsidRPr="00E814B7">
        <w:rPr>
          <w:rFonts w:asciiTheme="majorBidi" w:hAnsiTheme="majorBidi" w:cstheme="majorBidi"/>
          <w:b/>
          <w:bCs/>
          <w:sz w:val="22"/>
          <w:szCs w:val="22"/>
          <w:lang w:val="sr-Latn-ME"/>
        </w:rPr>
        <w:t>I</w:t>
      </w:r>
      <w:r w:rsidRPr="00E814B7">
        <w:rPr>
          <w:rFonts w:asciiTheme="majorBidi" w:hAnsiTheme="majorBidi" w:cstheme="majorBidi"/>
          <w:b/>
          <w:bCs/>
          <w:sz w:val="22"/>
          <w:szCs w:val="22"/>
          <w:lang w:val="sr-Latn-ME"/>
        </w:rPr>
        <w:t xml:space="preserve"> PODACI</w:t>
      </w:r>
    </w:p>
    <w:p w14:paraId="2B818801"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p>
    <w:p w14:paraId="234B5240"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5.1.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Farmakodinamski podaci</w:t>
      </w:r>
      <w:r w:rsidR="003A7059" w:rsidRPr="00E814B7">
        <w:rPr>
          <w:rFonts w:asciiTheme="majorBidi" w:hAnsiTheme="majorBidi" w:cstheme="majorBidi"/>
          <w:b/>
          <w:bCs/>
          <w:sz w:val="22"/>
          <w:szCs w:val="22"/>
          <w:lang w:val="sr-Latn-ME"/>
        </w:rPr>
        <w:t xml:space="preserve"> </w:t>
      </w:r>
    </w:p>
    <w:p w14:paraId="1B9F2A75" w14:textId="77777777" w:rsidR="00F45F77" w:rsidRPr="00E814B7" w:rsidRDefault="00F45F77" w:rsidP="00E814B7">
      <w:pPr>
        <w:tabs>
          <w:tab w:val="left" w:pos="540"/>
          <w:tab w:val="left" w:pos="569"/>
        </w:tabs>
        <w:jc w:val="both"/>
        <w:rPr>
          <w:rFonts w:asciiTheme="majorBidi" w:hAnsiTheme="majorBidi" w:cstheme="majorBidi"/>
          <w:b/>
          <w:bCs/>
          <w:sz w:val="22"/>
          <w:szCs w:val="22"/>
          <w:lang w:val="sr-Latn-ME"/>
        </w:rPr>
      </w:pPr>
    </w:p>
    <w:p w14:paraId="442C8FBD" w14:textId="097AA15D" w:rsidR="0072020E" w:rsidRPr="00E814B7" w:rsidRDefault="0072020E" w:rsidP="00E814B7">
      <w:pPr>
        <w:tabs>
          <w:tab w:val="left" w:pos="540"/>
          <w:tab w:val="left" w:pos="569"/>
        </w:tabs>
        <w:jc w:val="both"/>
        <w:rPr>
          <w:rFonts w:asciiTheme="majorBidi" w:hAnsiTheme="majorBidi" w:cstheme="majorBidi"/>
          <w:bCs/>
          <w:sz w:val="22"/>
          <w:szCs w:val="22"/>
          <w:lang w:val="sr-Latn-ME"/>
        </w:rPr>
      </w:pPr>
      <w:r w:rsidRPr="00E814B7">
        <w:rPr>
          <w:rFonts w:asciiTheme="majorBidi" w:hAnsiTheme="majorBidi" w:cstheme="majorBidi"/>
          <w:bCs/>
          <w:sz w:val="22"/>
          <w:szCs w:val="22"/>
          <w:lang w:val="sr-Latn-ME"/>
        </w:rPr>
        <w:t>Farmakoterapijska grupa:</w:t>
      </w:r>
      <w:r w:rsidR="00BB5AFF" w:rsidRPr="00E814B7">
        <w:rPr>
          <w:rFonts w:asciiTheme="majorBidi" w:hAnsiTheme="majorBidi" w:cstheme="majorBidi"/>
          <w:bCs/>
          <w:sz w:val="22"/>
          <w:szCs w:val="22"/>
          <w:lang w:val="sr-Latn-ME"/>
        </w:rPr>
        <w:t xml:space="preserve"> Antineoplasti</w:t>
      </w:r>
      <w:r w:rsidR="001221B6" w:rsidRPr="00E814B7">
        <w:rPr>
          <w:rFonts w:asciiTheme="majorBidi" w:hAnsiTheme="majorBidi" w:cstheme="majorBidi"/>
          <w:bCs/>
          <w:sz w:val="22"/>
          <w:szCs w:val="22"/>
          <w:lang w:val="sr-Latn-ME"/>
        </w:rPr>
        <w:t>ci</w:t>
      </w:r>
      <w:r w:rsidR="00BB5AFF" w:rsidRPr="00E814B7">
        <w:rPr>
          <w:rFonts w:asciiTheme="majorBidi" w:hAnsiTheme="majorBidi" w:cstheme="majorBidi"/>
          <w:bCs/>
          <w:sz w:val="22"/>
          <w:szCs w:val="22"/>
          <w:lang w:val="sr-Latn-ME"/>
        </w:rPr>
        <w:t>, inhibitor protein kinaze</w:t>
      </w:r>
    </w:p>
    <w:p w14:paraId="7C931934" w14:textId="77777777"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323ACE09" w14:textId="408D2BF3" w:rsidR="0072020E" w:rsidRPr="00E814B7" w:rsidRDefault="0072020E" w:rsidP="00E814B7">
      <w:pPr>
        <w:tabs>
          <w:tab w:val="left" w:pos="540"/>
          <w:tab w:val="left" w:pos="569"/>
        </w:tabs>
        <w:jc w:val="both"/>
        <w:rPr>
          <w:rFonts w:asciiTheme="majorBidi" w:hAnsiTheme="majorBidi" w:cstheme="majorBidi"/>
          <w:bCs/>
          <w:sz w:val="22"/>
          <w:szCs w:val="22"/>
          <w:lang w:val="sr-Latn-ME"/>
        </w:rPr>
      </w:pPr>
      <w:r w:rsidRPr="00E814B7">
        <w:rPr>
          <w:rFonts w:asciiTheme="majorBidi" w:hAnsiTheme="majorBidi" w:cstheme="majorBidi"/>
          <w:bCs/>
          <w:sz w:val="22"/>
          <w:szCs w:val="22"/>
          <w:lang w:val="sr-Latn-ME"/>
        </w:rPr>
        <w:t>ATC kod:</w:t>
      </w:r>
      <w:r w:rsidR="00BB5AFF" w:rsidRPr="00E814B7">
        <w:rPr>
          <w:rFonts w:asciiTheme="majorBidi" w:hAnsiTheme="majorBidi" w:cstheme="majorBidi"/>
          <w:bCs/>
          <w:sz w:val="22"/>
          <w:szCs w:val="22"/>
          <w:lang w:val="sr-Latn-ME"/>
        </w:rPr>
        <w:t xml:space="preserve"> L01</w:t>
      </w:r>
      <w:r w:rsidR="00855FBF" w:rsidRPr="00E814B7">
        <w:rPr>
          <w:rFonts w:asciiTheme="majorBidi" w:hAnsiTheme="majorBidi" w:cstheme="majorBidi"/>
          <w:bCs/>
          <w:sz w:val="22"/>
          <w:szCs w:val="22"/>
          <w:lang w:val="sr-Latn-ME"/>
        </w:rPr>
        <w:t>EB02</w:t>
      </w:r>
    </w:p>
    <w:p w14:paraId="05C44225" w14:textId="552A3E29" w:rsidR="00BB5AFF" w:rsidRPr="00E814B7" w:rsidRDefault="00BB5AFF" w:rsidP="00E814B7">
      <w:pPr>
        <w:tabs>
          <w:tab w:val="left" w:pos="540"/>
          <w:tab w:val="left" w:pos="569"/>
        </w:tabs>
        <w:jc w:val="both"/>
        <w:rPr>
          <w:rFonts w:asciiTheme="majorBidi" w:hAnsiTheme="majorBidi" w:cstheme="majorBidi"/>
          <w:bCs/>
          <w:sz w:val="22"/>
          <w:szCs w:val="22"/>
          <w:lang w:val="sr-Latn-ME"/>
        </w:rPr>
      </w:pPr>
    </w:p>
    <w:p w14:paraId="48F51202" w14:textId="77777777" w:rsidR="00BB5AFF" w:rsidRPr="00E814B7" w:rsidRDefault="00BB5AFF"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Mehanizam djelovanja</w:t>
      </w:r>
    </w:p>
    <w:p w14:paraId="7CC0A64C" w14:textId="4959DF6C" w:rsidR="00BB5AFF" w:rsidRPr="00E814B7" w:rsidRDefault="00BB5AFF"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Erlotinib je inhibitor tirozin kinaze</w:t>
      </w:r>
      <w:r w:rsidR="007D6400"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 xml:space="preserve"> receptora za epidermalni faktor rasta/humanog receptora za epidermalni faktor rasta tipa 1 (</w:t>
      </w:r>
      <w:r w:rsidRPr="00E814B7">
        <w:rPr>
          <w:rFonts w:asciiTheme="majorBidi" w:eastAsiaTheme="minorHAnsi" w:hAnsiTheme="majorBidi" w:cstheme="majorBidi"/>
          <w:i/>
          <w:sz w:val="22"/>
          <w:szCs w:val="22"/>
          <w:lang w:val="sr-Latn-ME"/>
        </w:rPr>
        <w:t>epidermal growth factor receptor</w:t>
      </w:r>
      <w:r w:rsidRPr="00E814B7">
        <w:rPr>
          <w:rFonts w:asciiTheme="majorBidi" w:eastAsiaTheme="minorHAnsi" w:hAnsiTheme="majorBidi" w:cstheme="majorBidi"/>
          <w:sz w:val="22"/>
          <w:szCs w:val="22"/>
          <w:lang w:val="sr-Latn-ME"/>
        </w:rPr>
        <w:t xml:space="preserve">, EGFR poznat i kao HER1). Erlotinib snažno inhibira </w:t>
      </w:r>
      <w:r w:rsidR="00846BA8" w:rsidRPr="00E814B7">
        <w:rPr>
          <w:rFonts w:asciiTheme="majorBidi" w:eastAsiaTheme="minorHAnsi" w:hAnsiTheme="majorBidi" w:cstheme="majorBidi"/>
          <w:sz w:val="22"/>
          <w:szCs w:val="22"/>
          <w:lang w:val="sr-Latn-ME"/>
        </w:rPr>
        <w:t xml:space="preserve">intraćelijsku </w:t>
      </w:r>
      <w:r w:rsidRPr="00E814B7">
        <w:rPr>
          <w:rFonts w:asciiTheme="majorBidi" w:eastAsiaTheme="minorHAnsi" w:hAnsiTheme="majorBidi" w:cstheme="majorBidi"/>
          <w:sz w:val="22"/>
          <w:szCs w:val="22"/>
          <w:lang w:val="sr-Latn-ME"/>
        </w:rPr>
        <w:t xml:space="preserve">fosforilaciju EGFR. EGFR je eksprimiran na površini normalnih ćelija i ćelija raka. U </w:t>
      </w:r>
      <w:r w:rsidR="00846BA8" w:rsidRPr="00E814B7">
        <w:rPr>
          <w:rFonts w:asciiTheme="majorBidi" w:eastAsiaTheme="minorHAnsi" w:hAnsiTheme="majorBidi" w:cstheme="majorBidi"/>
          <w:sz w:val="22"/>
          <w:szCs w:val="22"/>
          <w:lang w:val="sr-Latn-ME"/>
        </w:rPr>
        <w:t xml:space="preserve">pretkliničkim </w:t>
      </w:r>
      <w:r w:rsidRPr="00E814B7">
        <w:rPr>
          <w:rFonts w:asciiTheme="majorBidi" w:eastAsiaTheme="minorHAnsi" w:hAnsiTheme="majorBidi" w:cstheme="majorBidi"/>
          <w:sz w:val="22"/>
          <w:szCs w:val="22"/>
          <w:lang w:val="sr-Latn-ME"/>
        </w:rPr>
        <w:t xml:space="preserve">modelima, inhibicija EGFR fosfotirozina dovodi do zastoja u rastu ćelija i/ili njihove smrti. </w:t>
      </w:r>
    </w:p>
    <w:p w14:paraId="05B8AE12" w14:textId="2FAC2DDD" w:rsidR="00BB5AFF" w:rsidRPr="00E814B7" w:rsidRDefault="00BB5AFF"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EGFR mutacije mogu dovesti do </w:t>
      </w:r>
      <w:r w:rsidR="0038079B" w:rsidRPr="00E814B7">
        <w:rPr>
          <w:rFonts w:asciiTheme="majorBidi" w:eastAsiaTheme="minorHAnsi" w:hAnsiTheme="majorBidi" w:cstheme="majorBidi"/>
          <w:sz w:val="22"/>
          <w:szCs w:val="22"/>
          <w:lang w:val="sr-Latn-ME"/>
        </w:rPr>
        <w:t>konstitutivne</w:t>
      </w:r>
      <w:r w:rsidRPr="00E814B7">
        <w:rPr>
          <w:rFonts w:asciiTheme="majorBidi" w:eastAsiaTheme="minorHAnsi" w:hAnsiTheme="majorBidi" w:cstheme="majorBidi"/>
          <w:sz w:val="22"/>
          <w:szCs w:val="22"/>
          <w:lang w:val="sr-Latn-ME"/>
        </w:rPr>
        <w:t xml:space="preserve"> aktivacije antiapoptotskih i proliferativnih signalnih puteva. Snažno blokirajuće djelovanje erlotiniba na EGFR-om posredovanu signalizaciju kod tumora pozitivnih na EGFR mutaciju pripisuje se snažnom vezivanju erlotiniba na mjesto vezivanja ATP-a u mutiranom domenu EGFR kinaze. Usl</w:t>
      </w:r>
      <w:r w:rsidR="00846BA8"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ed blokade nishodne signalizacije, zaustavlja se proliferacija ćelija i indukuje smrt ćelija unutrašnjim putem apoptoze. Na miš</w:t>
      </w:r>
      <w:r w:rsidR="00B405FD"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jim modelima sa pojačanom ekspresijom ovih aktivirajućih mutacija EGFR, prim</w:t>
      </w:r>
      <w:r w:rsidR="00B405FD"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jećena je regresija tumora.</w:t>
      </w:r>
    </w:p>
    <w:p w14:paraId="4712B427" w14:textId="77777777" w:rsidR="00BB5AFF" w:rsidRPr="00E814B7" w:rsidRDefault="00BB5AFF" w:rsidP="00E814B7">
      <w:pPr>
        <w:jc w:val="both"/>
        <w:rPr>
          <w:rFonts w:asciiTheme="majorBidi" w:eastAsiaTheme="minorHAnsi" w:hAnsiTheme="majorBidi" w:cstheme="majorBidi"/>
          <w:i/>
          <w:sz w:val="22"/>
          <w:szCs w:val="22"/>
          <w:u w:val="single"/>
          <w:lang w:val="sr-Latn-ME"/>
        </w:rPr>
      </w:pPr>
    </w:p>
    <w:p w14:paraId="69B2F1A1" w14:textId="6AB2FE17" w:rsidR="00BB5AFF" w:rsidRPr="00E814B7" w:rsidRDefault="00BB5AFF"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Klinička efikasnost</w:t>
      </w:r>
    </w:p>
    <w:p w14:paraId="4F61D442" w14:textId="77777777" w:rsidR="00BB5AFF" w:rsidRPr="00E814B7" w:rsidRDefault="00BB5AFF" w:rsidP="00E814B7">
      <w:pPr>
        <w:jc w:val="both"/>
        <w:rPr>
          <w:rFonts w:asciiTheme="majorBidi" w:eastAsiaTheme="minorHAnsi" w:hAnsiTheme="majorBidi" w:cstheme="majorBidi"/>
          <w:sz w:val="22"/>
          <w:szCs w:val="22"/>
          <w:u w:val="single"/>
          <w:lang w:val="sr-Latn-ME" w:eastAsia="ja-JP"/>
        </w:rPr>
      </w:pPr>
    </w:p>
    <w:p w14:paraId="10EC8FDF" w14:textId="5644364E" w:rsidR="00BB5AFF" w:rsidRPr="00E814B7" w:rsidRDefault="00BB5AFF" w:rsidP="00E814B7">
      <w:pPr>
        <w:jc w:val="both"/>
        <w:rPr>
          <w:rFonts w:asciiTheme="majorBidi" w:eastAsiaTheme="minorHAnsi" w:hAnsiTheme="majorBidi" w:cstheme="majorBidi"/>
          <w:sz w:val="22"/>
          <w:szCs w:val="22"/>
          <w:u w:val="single"/>
          <w:lang w:val="sr-Latn-ME" w:eastAsia="ja-JP"/>
        </w:rPr>
      </w:pPr>
      <w:r w:rsidRPr="00E814B7">
        <w:rPr>
          <w:rFonts w:asciiTheme="majorBidi" w:eastAsiaTheme="minorHAnsi" w:hAnsiTheme="majorBidi" w:cstheme="majorBidi"/>
          <w:sz w:val="22"/>
          <w:szCs w:val="22"/>
          <w:u w:val="single"/>
          <w:lang w:val="sr-Latn-ME" w:eastAsia="ja-JP"/>
        </w:rPr>
        <w:t>Prva linija terapije nemikroćelijskog karcinoma pluća (NSCLC) kod pacijenata sa aktivirajućim mutacijama EGFR (</w:t>
      </w:r>
      <w:r w:rsidR="00974656" w:rsidRPr="00E814B7">
        <w:rPr>
          <w:rFonts w:asciiTheme="majorBidi" w:eastAsiaTheme="minorHAnsi" w:hAnsiTheme="majorBidi" w:cstheme="majorBidi"/>
          <w:sz w:val="22"/>
          <w:szCs w:val="22"/>
          <w:u w:val="single"/>
          <w:lang w:val="sr-Latn-ME" w:eastAsia="ja-JP"/>
        </w:rPr>
        <w:t>erlotinib</w:t>
      </w:r>
      <w:r w:rsidRPr="00E814B7">
        <w:rPr>
          <w:rFonts w:asciiTheme="majorBidi" w:eastAsiaTheme="minorHAnsi" w:hAnsiTheme="majorBidi" w:cstheme="majorBidi"/>
          <w:sz w:val="22"/>
          <w:szCs w:val="22"/>
          <w:u w:val="single"/>
          <w:lang w:val="sr-Latn-ME" w:eastAsia="ja-JP"/>
        </w:rPr>
        <w:t xml:space="preserve"> prim</w:t>
      </w:r>
      <w:r w:rsidR="00B405FD" w:rsidRPr="00E814B7">
        <w:rPr>
          <w:rFonts w:asciiTheme="majorBidi" w:eastAsiaTheme="minorHAnsi" w:hAnsiTheme="majorBidi" w:cstheme="majorBidi"/>
          <w:sz w:val="22"/>
          <w:szCs w:val="22"/>
          <w:u w:val="single"/>
          <w:lang w:val="sr-Latn-ME" w:eastAsia="ja-JP"/>
        </w:rPr>
        <w:t>i</w:t>
      </w:r>
      <w:r w:rsidRPr="00E814B7">
        <w:rPr>
          <w:rFonts w:asciiTheme="majorBidi" w:eastAsiaTheme="minorHAnsi" w:hAnsiTheme="majorBidi" w:cstheme="majorBidi"/>
          <w:sz w:val="22"/>
          <w:szCs w:val="22"/>
          <w:u w:val="single"/>
          <w:lang w:val="sr-Latn-ME" w:eastAsia="ja-JP"/>
        </w:rPr>
        <w:t>jenjen kao monoterapija):</w:t>
      </w:r>
    </w:p>
    <w:p w14:paraId="11E422B5" w14:textId="77777777" w:rsidR="00846BA8" w:rsidRPr="00E814B7" w:rsidRDefault="00846BA8" w:rsidP="00E814B7">
      <w:pPr>
        <w:jc w:val="both"/>
        <w:rPr>
          <w:rFonts w:asciiTheme="majorBidi" w:eastAsiaTheme="minorHAnsi" w:hAnsiTheme="majorBidi" w:cstheme="majorBidi"/>
          <w:sz w:val="22"/>
          <w:szCs w:val="22"/>
          <w:u w:val="single"/>
          <w:lang w:val="sr-Latn-ME" w:eastAsia="ja-JP"/>
        </w:rPr>
      </w:pPr>
    </w:p>
    <w:p w14:paraId="5E582471" w14:textId="37A689C5" w:rsidR="00BB5AFF" w:rsidRPr="00E814B7" w:rsidRDefault="00BB5AFF" w:rsidP="00E814B7">
      <w:pPr>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Efikasnost erlotiniba u prvoj liniji terapije pacijenata sa EGFR aktivirajućim mutacijama kod NSCLC potvrđena je u randomizovanoj, otvorenoj studiji faze III (ML20650, EURTAC). Ova studija je sprovedena na pacijentima bijele rase sa metastatskim ili lokalno uznapedovalim NSCLC-om (stadijum IIIB i IV) koji prethodno ni</w:t>
      </w:r>
      <w:r w:rsidR="00C60E43" w:rsidRPr="00E814B7">
        <w:rPr>
          <w:rFonts w:asciiTheme="majorBidi" w:eastAsiaTheme="minorHAnsi" w:hAnsiTheme="majorBidi" w:cstheme="majorBidi"/>
          <w:sz w:val="22"/>
          <w:szCs w:val="22"/>
          <w:lang w:val="sr-Latn-ME" w:eastAsia="ja-JP"/>
        </w:rPr>
        <w:t>je</w:t>
      </w:r>
      <w:r w:rsidRPr="00E814B7">
        <w:rPr>
          <w:rFonts w:asciiTheme="majorBidi" w:eastAsiaTheme="minorHAnsi" w:hAnsiTheme="majorBidi" w:cstheme="majorBidi"/>
          <w:sz w:val="22"/>
          <w:szCs w:val="22"/>
          <w:lang w:val="sr-Latn-ME" w:eastAsia="ja-JP"/>
        </w:rPr>
        <w:t>su primali hemioterapiju ili bilo kakvu sistemsku antitumorsku terapiju za svoju uznapredovalu bolest, a koji su imali mutacije u domenu tirozin kinaze na EGFR-u (deleciju egzona 19 ili mutaciju na egzonu 21). Pacijenti su bili randomizovani u odnosu 1:1 da primaju erlotinib 150 mg dnevno ili do 4 ciklusa dvostruke hemioterapije na bazi platine.</w:t>
      </w:r>
    </w:p>
    <w:p w14:paraId="0CEFB3AB" w14:textId="77777777" w:rsidR="00BB5AFF" w:rsidRPr="00E814B7" w:rsidRDefault="00BB5AFF" w:rsidP="00E814B7">
      <w:pPr>
        <w:jc w:val="both"/>
        <w:rPr>
          <w:rFonts w:asciiTheme="majorBidi" w:eastAsiaTheme="minorHAnsi" w:hAnsiTheme="majorBidi" w:cstheme="majorBidi"/>
          <w:sz w:val="22"/>
          <w:szCs w:val="22"/>
          <w:lang w:val="sr-Latn-ME" w:eastAsia="ja-JP"/>
        </w:rPr>
      </w:pPr>
    </w:p>
    <w:p w14:paraId="767AF95C" w14:textId="7718C94E" w:rsidR="00BB5AFF" w:rsidRPr="00E814B7" w:rsidRDefault="00BB5AFF" w:rsidP="00E814B7">
      <w:pPr>
        <w:jc w:val="both"/>
        <w:rPr>
          <w:rFonts w:asciiTheme="majorBidi" w:eastAsiaTheme="minorHAnsi" w:hAnsiTheme="majorBidi" w:cstheme="majorBidi"/>
          <w:color w:val="008000"/>
          <w:sz w:val="22"/>
          <w:szCs w:val="22"/>
          <w:lang w:val="sr-Latn-ME" w:eastAsia="ja-JP"/>
        </w:rPr>
      </w:pPr>
      <w:r w:rsidRPr="00E814B7">
        <w:rPr>
          <w:rFonts w:asciiTheme="majorBidi" w:eastAsiaTheme="minorHAnsi" w:hAnsiTheme="majorBidi" w:cstheme="majorBidi"/>
          <w:sz w:val="22"/>
          <w:szCs w:val="22"/>
          <w:lang w:val="sr-Latn-ME" w:eastAsia="ja-JP"/>
        </w:rPr>
        <w:t>Primarni cilj je bio preživljavanje bez progresije bolesti (</w:t>
      </w:r>
      <w:r w:rsidRPr="00E814B7">
        <w:rPr>
          <w:rFonts w:asciiTheme="majorBidi" w:eastAsiaTheme="minorHAnsi" w:hAnsiTheme="majorBidi" w:cstheme="majorBidi"/>
          <w:sz w:val="22"/>
          <w:szCs w:val="22"/>
          <w:lang w:val="sr-Latn-ME"/>
        </w:rPr>
        <w:t xml:space="preserve">engl. </w:t>
      </w:r>
      <w:r w:rsidRPr="00E814B7">
        <w:rPr>
          <w:rFonts w:asciiTheme="majorBidi" w:eastAsiaTheme="minorHAnsi" w:hAnsiTheme="majorBidi" w:cstheme="majorBidi"/>
          <w:i/>
          <w:sz w:val="22"/>
          <w:szCs w:val="22"/>
          <w:lang w:val="sr-Latn-ME"/>
        </w:rPr>
        <w:t>progression-free survival</w:t>
      </w:r>
      <w:r w:rsidRPr="00E814B7">
        <w:rPr>
          <w:rFonts w:asciiTheme="majorBidi" w:eastAsiaTheme="minorHAnsi" w:hAnsiTheme="majorBidi" w:cstheme="majorBidi"/>
          <w:sz w:val="22"/>
          <w:szCs w:val="22"/>
          <w:lang w:val="sr-Latn-ME"/>
        </w:rPr>
        <w:t xml:space="preserve">, </w:t>
      </w:r>
      <w:r w:rsidRPr="00E814B7">
        <w:rPr>
          <w:rFonts w:asciiTheme="majorBidi" w:eastAsiaTheme="minorHAnsi" w:hAnsiTheme="majorBidi" w:cstheme="majorBidi"/>
          <w:sz w:val="22"/>
          <w:szCs w:val="22"/>
          <w:lang w:val="sr-Latn-ME" w:eastAsia="ja-JP"/>
        </w:rPr>
        <w:t>PFS) prema procjeni istraživača. Rezultati efikasnosti su sažeto prikazani u Tabeli 5.</w:t>
      </w:r>
    </w:p>
    <w:p w14:paraId="562C60B3" w14:textId="77777777" w:rsidR="00BB5AFF" w:rsidRPr="00E814B7" w:rsidRDefault="00BB5AFF" w:rsidP="00E814B7">
      <w:pPr>
        <w:jc w:val="both"/>
        <w:rPr>
          <w:rFonts w:asciiTheme="majorBidi" w:eastAsiaTheme="minorHAnsi" w:hAnsiTheme="majorBidi" w:cstheme="majorBidi"/>
          <w:sz w:val="22"/>
          <w:szCs w:val="22"/>
          <w:lang w:val="sr-Latn-ME" w:eastAsia="ja-JP"/>
        </w:rPr>
      </w:pPr>
    </w:p>
    <w:p w14:paraId="66BD375B" w14:textId="6B7D1EBE" w:rsidR="00BB5AFF" w:rsidRPr="00E814B7" w:rsidRDefault="00BB5AFF" w:rsidP="00E814B7">
      <w:pPr>
        <w:jc w:val="both"/>
        <w:rPr>
          <w:rFonts w:asciiTheme="majorBidi" w:eastAsiaTheme="minorHAnsi" w:hAnsiTheme="majorBidi" w:cstheme="majorBidi"/>
          <w:bCs/>
          <w:sz w:val="22"/>
          <w:szCs w:val="22"/>
          <w:lang w:val="sr-Latn-ME"/>
        </w:rPr>
      </w:pPr>
      <w:r w:rsidRPr="00E814B7">
        <w:rPr>
          <w:rFonts w:asciiTheme="majorBidi" w:eastAsiaTheme="minorHAnsi" w:hAnsiTheme="majorBidi" w:cstheme="majorBidi"/>
          <w:sz w:val="22"/>
          <w:szCs w:val="22"/>
          <w:lang w:val="sr-Latn-ME" w:eastAsia="ja-JP"/>
        </w:rPr>
        <w:t>Slika 1. Kaplan-Meierova kriva</w:t>
      </w:r>
      <w:r w:rsidRPr="00E814B7">
        <w:rPr>
          <w:rFonts w:asciiTheme="majorBidi" w:eastAsiaTheme="minorHAnsi" w:hAnsiTheme="majorBidi" w:cstheme="majorBidi"/>
          <w:sz w:val="22"/>
          <w:szCs w:val="22"/>
          <w:lang w:val="sr-Latn-ME"/>
        </w:rPr>
        <w:t xml:space="preserve"> preživljavanja bez progresije bolesti </w:t>
      </w:r>
      <w:r w:rsidRPr="00E814B7">
        <w:rPr>
          <w:rFonts w:asciiTheme="majorBidi" w:eastAsiaTheme="minorHAnsi" w:hAnsiTheme="majorBidi" w:cstheme="majorBidi"/>
          <w:sz w:val="22"/>
          <w:szCs w:val="22"/>
          <w:lang w:val="sr-Latn-ME" w:eastAsia="ja-JP"/>
        </w:rPr>
        <w:t>prema procjeni istraživača u studiji</w:t>
      </w:r>
      <w:r w:rsidRPr="00E814B7">
        <w:rPr>
          <w:rFonts w:asciiTheme="majorBidi" w:eastAsiaTheme="minorHAnsi" w:hAnsiTheme="majorBidi" w:cstheme="majorBidi"/>
          <w:color w:val="008000"/>
          <w:sz w:val="22"/>
          <w:szCs w:val="22"/>
          <w:lang w:val="sr-Latn-ME" w:eastAsia="ja-JP"/>
        </w:rPr>
        <w:t xml:space="preserve"> </w:t>
      </w:r>
      <w:r w:rsidRPr="00E814B7">
        <w:rPr>
          <w:rFonts w:asciiTheme="majorBidi" w:eastAsiaTheme="minorHAnsi" w:hAnsiTheme="majorBidi" w:cstheme="majorBidi"/>
          <w:bCs/>
          <w:sz w:val="22"/>
          <w:szCs w:val="22"/>
          <w:lang w:val="sr-Latn-ME"/>
        </w:rPr>
        <w:t>ML20650 (EURTAC) (zaključni datum prikupljanja podataka april</w:t>
      </w:r>
      <w:r w:rsidR="00B667C5" w:rsidRPr="00E814B7">
        <w:rPr>
          <w:rFonts w:asciiTheme="majorBidi" w:eastAsiaTheme="minorHAnsi" w:hAnsiTheme="majorBidi" w:cstheme="majorBidi"/>
          <w:bCs/>
          <w:sz w:val="22"/>
          <w:szCs w:val="22"/>
          <w:lang w:val="sr-Latn-ME"/>
        </w:rPr>
        <w:t xml:space="preserve"> </w:t>
      </w:r>
      <w:r w:rsidRPr="00E814B7">
        <w:rPr>
          <w:rFonts w:asciiTheme="majorBidi" w:eastAsiaTheme="minorHAnsi" w:hAnsiTheme="majorBidi" w:cstheme="majorBidi"/>
          <w:bCs/>
          <w:sz w:val="22"/>
          <w:szCs w:val="22"/>
          <w:lang w:val="sr-Latn-ME"/>
        </w:rPr>
        <w:t>2012</w:t>
      </w:r>
      <w:r w:rsidR="00B667C5" w:rsidRPr="00E814B7">
        <w:rPr>
          <w:rFonts w:asciiTheme="majorBidi" w:eastAsiaTheme="minorHAnsi" w:hAnsiTheme="majorBidi" w:cstheme="majorBidi"/>
          <w:bCs/>
          <w:sz w:val="22"/>
          <w:szCs w:val="22"/>
          <w:lang w:val="sr-Latn-ME"/>
        </w:rPr>
        <w:t>.</w:t>
      </w:r>
      <w:r w:rsidRPr="00E814B7">
        <w:rPr>
          <w:rFonts w:asciiTheme="majorBidi" w:eastAsiaTheme="minorHAnsi" w:hAnsiTheme="majorBidi" w:cstheme="majorBidi"/>
          <w:bCs/>
          <w:sz w:val="22"/>
          <w:szCs w:val="22"/>
          <w:lang w:val="sr-Latn-ME"/>
        </w:rPr>
        <w:t>)</w:t>
      </w:r>
    </w:p>
    <w:p w14:paraId="7A3023CA" w14:textId="77777777" w:rsidR="00B667C5" w:rsidRPr="00E814B7" w:rsidRDefault="00B667C5" w:rsidP="00E814B7">
      <w:pPr>
        <w:tabs>
          <w:tab w:val="left" w:pos="540"/>
          <w:tab w:val="left" w:pos="569"/>
        </w:tabs>
        <w:jc w:val="both"/>
        <w:rPr>
          <w:rFonts w:asciiTheme="majorBidi" w:hAnsiTheme="majorBidi" w:cstheme="majorBidi"/>
          <w:bCs/>
          <w:sz w:val="22"/>
          <w:szCs w:val="22"/>
          <w:lang w:val="sr-Latn-ME"/>
        </w:rPr>
      </w:pPr>
    </w:p>
    <w:p w14:paraId="509F97FD" w14:textId="4B6C5B4D" w:rsidR="00BB5AFF" w:rsidRPr="00E814B7" w:rsidRDefault="00BB5AFF" w:rsidP="00E814B7">
      <w:pPr>
        <w:tabs>
          <w:tab w:val="left" w:pos="540"/>
          <w:tab w:val="left" w:pos="569"/>
        </w:tabs>
        <w:rPr>
          <w:rFonts w:asciiTheme="majorBidi" w:hAnsiTheme="majorBidi" w:cstheme="majorBidi"/>
          <w:bCs/>
          <w:sz w:val="22"/>
          <w:szCs w:val="22"/>
          <w:lang w:val="sr-Latn-ME"/>
        </w:rPr>
      </w:pPr>
    </w:p>
    <w:p w14:paraId="14FF09B6" w14:textId="5D25D8DC" w:rsidR="002E37A5" w:rsidRPr="00E814B7" w:rsidRDefault="007A35B2"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Cs/>
          <w:noProof/>
          <w:sz w:val="22"/>
          <w:szCs w:val="22"/>
          <w:lang w:val="sr-Latn-ME"/>
        </w:rPr>
        <w:lastRenderedPageBreak/>
        <w:drawing>
          <wp:inline distT="0" distB="0" distL="0" distR="0" wp14:anchorId="6518A5D3" wp14:editId="7D9E8A88">
            <wp:extent cx="5466715" cy="3390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6715" cy="3390265"/>
                    </a:xfrm>
                    <a:prstGeom prst="rect">
                      <a:avLst/>
                    </a:prstGeom>
                    <a:noFill/>
                  </pic:spPr>
                </pic:pic>
              </a:graphicData>
            </a:graphic>
          </wp:inline>
        </w:drawing>
      </w:r>
    </w:p>
    <w:p w14:paraId="0FFD5FF1" w14:textId="77777777" w:rsidR="00D007D0" w:rsidRPr="00E814B7" w:rsidRDefault="00D007D0" w:rsidP="00E814B7">
      <w:pPr>
        <w:tabs>
          <w:tab w:val="left" w:pos="540"/>
          <w:tab w:val="left" w:pos="569"/>
        </w:tabs>
        <w:rPr>
          <w:rFonts w:asciiTheme="majorBidi" w:hAnsiTheme="majorBidi" w:cstheme="majorBidi"/>
          <w:b/>
          <w:bCs/>
          <w:sz w:val="22"/>
          <w:szCs w:val="22"/>
          <w:lang w:val="sr-Latn-ME"/>
        </w:rPr>
      </w:pPr>
    </w:p>
    <w:p w14:paraId="7CB6187F" w14:textId="21DD26C9" w:rsidR="00B667C5" w:rsidRPr="00E814B7" w:rsidRDefault="00B667C5"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sz w:val="22"/>
          <w:szCs w:val="22"/>
          <w:lang w:val="sr-Latn-ME"/>
        </w:rPr>
        <w:t>Tabela 3: Rezultati efikasnosti erlotiniba naspram hemioterapij</w:t>
      </w:r>
      <w:r w:rsidR="00974656" w:rsidRPr="00E814B7">
        <w:rPr>
          <w:rFonts w:asciiTheme="majorBidi" w:hAnsiTheme="majorBidi" w:cstheme="majorBidi"/>
          <w:sz w:val="22"/>
          <w:szCs w:val="22"/>
          <w:lang w:val="sr-Latn-ME"/>
        </w:rPr>
        <w:t>e</w:t>
      </w:r>
      <w:r w:rsidRPr="00E814B7">
        <w:rPr>
          <w:rFonts w:asciiTheme="majorBidi" w:hAnsiTheme="majorBidi" w:cstheme="majorBidi"/>
          <w:sz w:val="22"/>
          <w:szCs w:val="22"/>
          <w:lang w:val="sr-Latn-ME"/>
        </w:rPr>
        <w:t xml:space="preserve"> u ispitivanju ML20650 (EURTAC)</w:t>
      </w:r>
    </w:p>
    <w:p w14:paraId="5762491D" w14:textId="77777777" w:rsidR="00B667C5" w:rsidRPr="00E814B7" w:rsidRDefault="00B667C5" w:rsidP="00E814B7">
      <w:pPr>
        <w:tabs>
          <w:tab w:val="left" w:pos="540"/>
          <w:tab w:val="left" w:pos="569"/>
        </w:tabs>
        <w:rPr>
          <w:rFonts w:asciiTheme="majorBidi" w:hAnsiTheme="majorBidi" w:cstheme="majorBidi"/>
          <w:sz w:val="22"/>
          <w:szCs w:val="22"/>
          <w:lang w:val="sr-Latn-ME"/>
        </w:rPr>
      </w:pPr>
    </w:p>
    <w:tbl>
      <w:tblPr>
        <w:tblW w:w="989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617"/>
        <w:gridCol w:w="2035"/>
        <w:gridCol w:w="1276"/>
        <w:gridCol w:w="1276"/>
        <w:gridCol w:w="2073"/>
        <w:gridCol w:w="1620"/>
      </w:tblGrid>
      <w:tr w:rsidR="00B667C5" w:rsidRPr="00E814B7" w14:paraId="4A13011A" w14:textId="77777777" w:rsidTr="00B667C5">
        <w:tc>
          <w:tcPr>
            <w:tcW w:w="1617" w:type="dxa"/>
            <w:shd w:val="clear" w:color="auto" w:fill="auto"/>
          </w:tcPr>
          <w:p w14:paraId="4BFC7A2A"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tcPr>
          <w:p w14:paraId="2FE77AB2" w14:textId="77777777" w:rsidR="00B667C5" w:rsidRPr="00E814B7" w:rsidRDefault="00B667C5" w:rsidP="00E814B7">
            <w:pPr>
              <w:rPr>
                <w:rFonts w:asciiTheme="majorBidi" w:eastAsiaTheme="minorHAnsi" w:hAnsiTheme="majorBidi" w:cstheme="majorBidi"/>
                <w:sz w:val="22"/>
                <w:szCs w:val="22"/>
                <w:lang w:val="sr-Latn-ME"/>
              </w:rPr>
            </w:pPr>
          </w:p>
        </w:tc>
        <w:tc>
          <w:tcPr>
            <w:tcW w:w="1276" w:type="dxa"/>
            <w:shd w:val="clear" w:color="auto" w:fill="auto"/>
          </w:tcPr>
          <w:p w14:paraId="5E5AC58B" w14:textId="77777777" w:rsidR="00B667C5" w:rsidRPr="00E814B7" w:rsidRDefault="00B667C5" w:rsidP="00E814B7">
            <w:pPr>
              <w:rPr>
                <w:rFonts w:asciiTheme="majorBidi" w:eastAsiaTheme="minorHAnsi" w:hAnsiTheme="majorBidi" w:cstheme="majorBidi"/>
                <w:b/>
                <w:sz w:val="22"/>
                <w:szCs w:val="22"/>
                <w:lang w:val="sr-Latn-ME"/>
              </w:rPr>
            </w:pPr>
            <w:r w:rsidRPr="00E814B7">
              <w:rPr>
                <w:rFonts w:asciiTheme="majorBidi" w:eastAsiaTheme="minorHAnsi" w:hAnsiTheme="majorBidi" w:cstheme="majorBidi"/>
                <w:b/>
                <w:sz w:val="22"/>
                <w:szCs w:val="22"/>
                <w:lang w:val="sr-Latn-ME"/>
              </w:rPr>
              <w:t>Erlotinib</w:t>
            </w:r>
          </w:p>
        </w:tc>
        <w:tc>
          <w:tcPr>
            <w:tcW w:w="1276" w:type="dxa"/>
            <w:shd w:val="clear" w:color="auto" w:fill="auto"/>
          </w:tcPr>
          <w:p w14:paraId="5B595F41" w14:textId="77777777" w:rsidR="00B667C5" w:rsidRPr="00E814B7" w:rsidRDefault="00B667C5" w:rsidP="00E814B7">
            <w:pPr>
              <w:rPr>
                <w:rFonts w:asciiTheme="majorBidi" w:eastAsiaTheme="minorHAnsi" w:hAnsiTheme="majorBidi" w:cstheme="majorBidi"/>
                <w:b/>
                <w:sz w:val="22"/>
                <w:szCs w:val="22"/>
                <w:lang w:val="sr-Latn-ME"/>
              </w:rPr>
            </w:pPr>
            <w:r w:rsidRPr="00E814B7">
              <w:rPr>
                <w:rFonts w:asciiTheme="majorBidi" w:eastAsiaTheme="minorHAnsi" w:hAnsiTheme="majorBidi" w:cstheme="majorBidi"/>
                <w:b/>
                <w:sz w:val="22"/>
                <w:szCs w:val="22"/>
                <w:lang w:val="sr-Latn-ME"/>
              </w:rPr>
              <w:t>Hemioterapija</w:t>
            </w:r>
          </w:p>
        </w:tc>
        <w:tc>
          <w:tcPr>
            <w:tcW w:w="2073" w:type="dxa"/>
            <w:shd w:val="clear" w:color="auto" w:fill="auto"/>
          </w:tcPr>
          <w:p w14:paraId="0EA820D3" w14:textId="77777777" w:rsidR="00B667C5" w:rsidRPr="00E814B7" w:rsidRDefault="00B667C5" w:rsidP="00E814B7">
            <w:pPr>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b/>
                <w:sz w:val="22"/>
                <w:szCs w:val="22"/>
                <w:lang w:val="sr-Latn-ME" w:eastAsia="ja-JP"/>
              </w:rPr>
              <w:t>Koeficijent hazardnosti</w:t>
            </w:r>
            <w:r w:rsidRPr="00E814B7">
              <w:rPr>
                <w:rFonts w:asciiTheme="majorBidi" w:eastAsiaTheme="minorHAnsi" w:hAnsiTheme="majorBidi" w:cstheme="majorBidi"/>
                <w:sz w:val="22"/>
                <w:szCs w:val="22"/>
                <w:lang w:val="sr-Latn-ME" w:eastAsia="ja-JP"/>
              </w:rPr>
              <w:t xml:space="preserve"> </w:t>
            </w:r>
          </w:p>
          <w:p w14:paraId="62FFFAD1" w14:textId="77777777" w:rsidR="00B667C5" w:rsidRPr="00E814B7" w:rsidRDefault="00B667C5" w:rsidP="00E814B7">
            <w:pPr>
              <w:rPr>
                <w:rFonts w:asciiTheme="majorBidi" w:eastAsiaTheme="minorHAnsi" w:hAnsiTheme="majorBidi" w:cstheme="majorBidi"/>
                <w:b/>
                <w:sz w:val="22"/>
                <w:szCs w:val="22"/>
                <w:lang w:val="sr-Latn-ME"/>
              </w:rPr>
            </w:pPr>
            <w:r w:rsidRPr="00E814B7">
              <w:rPr>
                <w:rFonts w:asciiTheme="majorBidi" w:eastAsiaTheme="minorHAnsi" w:hAnsiTheme="majorBidi" w:cstheme="majorBidi"/>
                <w:sz w:val="22"/>
                <w:szCs w:val="22"/>
                <w:lang w:val="sr-Latn-ME" w:eastAsia="ja-JP"/>
              </w:rPr>
              <w:t>(</w:t>
            </w:r>
            <w:r w:rsidRPr="00E814B7">
              <w:rPr>
                <w:rFonts w:asciiTheme="majorBidi" w:eastAsiaTheme="minorHAnsi" w:hAnsiTheme="majorBidi" w:cstheme="majorBidi"/>
                <w:i/>
                <w:sz w:val="22"/>
                <w:szCs w:val="22"/>
                <w:lang w:val="sr-Latn-ME" w:eastAsia="ja-JP"/>
              </w:rPr>
              <w:t>hazard ratio</w:t>
            </w:r>
            <w:r w:rsidRPr="00E814B7">
              <w:rPr>
                <w:rFonts w:asciiTheme="majorBidi" w:eastAsiaTheme="minorHAnsi" w:hAnsiTheme="majorBidi" w:cstheme="majorBidi"/>
                <w:sz w:val="22"/>
                <w:szCs w:val="22"/>
                <w:lang w:val="sr-Latn-ME" w:eastAsia="ja-JP"/>
              </w:rPr>
              <w:t xml:space="preserve">) </w:t>
            </w:r>
            <w:r w:rsidRPr="00E814B7">
              <w:rPr>
                <w:rFonts w:asciiTheme="majorBidi" w:eastAsiaTheme="minorHAnsi" w:hAnsiTheme="majorBidi" w:cstheme="majorBidi"/>
                <w:b/>
                <w:sz w:val="22"/>
                <w:szCs w:val="22"/>
                <w:lang w:val="sr-Latn-ME"/>
              </w:rPr>
              <w:t xml:space="preserve"> (95% CI)</w:t>
            </w:r>
          </w:p>
        </w:tc>
        <w:tc>
          <w:tcPr>
            <w:tcW w:w="1620" w:type="dxa"/>
            <w:shd w:val="clear" w:color="auto" w:fill="auto"/>
          </w:tcPr>
          <w:p w14:paraId="11461EA9" w14:textId="77777777" w:rsidR="00B667C5" w:rsidRPr="00E814B7" w:rsidRDefault="00B667C5" w:rsidP="00E814B7">
            <w:pPr>
              <w:rPr>
                <w:rFonts w:asciiTheme="majorBidi" w:eastAsiaTheme="minorHAnsi" w:hAnsiTheme="majorBidi" w:cstheme="majorBidi"/>
                <w:b/>
                <w:sz w:val="22"/>
                <w:szCs w:val="22"/>
                <w:lang w:val="sr-Latn-ME"/>
              </w:rPr>
            </w:pPr>
            <w:r w:rsidRPr="00E814B7">
              <w:rPr>
                <w:rFonts w:asciiTheme="majorBidi" w:eastAsiaTheme="minorHAnsi" w:hAnsiTheme="majorBidi" w:cstheme="majorBidi"/>
                <w:b/>
                <w:sz w:val="22"/>
                <w:szCs w:val="22"/>
                <w:lang w:val="sr-Latn-ME"/>
              </w:rPr>
              <w:t>p-vrijednost</w:t>
            </w:r>
          </w:p>
        </w:tc>
      </w:tr>
      <w:tr w:rsidR="00B667C5" w:rsidRPr="00E814B7" w14:paraId="668AED7A" w14:textId="77777777" w:rsidTr="00B667C5">
        <w:trPr>
          <w:trHeight w:val="309"/>
        </w:trPr>
        <w:tc>
          <w:tcPr>
            <w:tcW w:w="1617" w:type="dxa"/>
            <w:vMerge w:val="restart"/>
            <w:shd w:val="clear" w:color="auto" w:fill="auto"/>
          </w:tcPr>
          <w:p w14:paraId="561E15C4" w14:textId="24D3CA80"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Unapr</w:t>
            </w:r>
            <w:r w:rsidR="007D6400" w:rsidRPr="00E814B7">
              <w:rPr>
                <w:rFonts w:asciiTheme="majorBidi" w:eastAsiaTheme="minorHAnsi" w:hAnsiTheme="majorBidi" w:cstheme="majorBidi"/>
                <w:sz w:val="22"/>
                <w:szCs w:val="22"/>
                <w:lang w:val="sr-Latn-ME"/>
              </w:rPr>
              <w:t>ij</w:t>
            </w:r>
            <w:r w:rsidRPr="00E814B7">
              <w:rPr>
                <w:rFonts w:asciiTheme="majorBidi" w:eastAsiaTheme="minorHAnsi" w:hAnsiTheme="majorBidi" w:cstheme="majorBidi"/>
                <w:sz w:val="22"/>
                <w:szCs w:val="22"/>
                <w:lang w:val="sr-Latn-ME"/>
              </w:rPr>
              <w:t xml:space="preserve">ed planirana međuanaliza (sa 35% podataka za OS) </w:t>
            </w:r>
          </w:p>
          <w:p w14:paraId="5B35D971"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(n=153)</w:t>
            </w:r>
          </w:p>
          <w:p w14:paraId="3BE3AAB4" w14:textId="77777777" w:rsidR="00B667C5" w:rsidRPr="00E814B7" w:rsidRDefault="00B667C5" w:rsidP="00E814B7">
            <w:pPr>
              <w:rPr>
                <w:rFonts w:asciiTheme="majorBidi" w:eastAsiaTheme="minorHAnsi" w:hAnsiTheme="majorBidi" w:cstheme="majorBidi"/>
                <w:sz w:val="22"/>
                <w:szCs w:val="22"/>
                <w:lang w:val="sr-Latn-ME"/>
              </w:rPr>
            </w:pPr>
          </w:p>
          <w:p w14:paraId="28188F63" w14:textId="77777777" w:rsidR="00B667C5" w:rsidRPr="00E814B7" w:rsidRDefault="00B667C5" w:rsidP="00E814B7">
            <w:pPr>
              <w:rPr>
                <w:rFonts w:asciiTheme="majorBidi" w:eastAsiaTheme="minorHAnsi" w:hAnsiTheme="majorBidi" w:cstheme="majorBidi"/>
                <w:sz w:val="22"/>
                <w:szCs w:val="22"/>
                <w:lang w:val="sr-Latn-ME"/>
              </w:rPr>
            </w:pPr>
          </w:p>
          <w:p w14:paraId="51419431"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Podaci do: avgust  2010</w:t>
            </w:r>
          </w:p>
          <w:p w14:paraId="5BDF03BA" w14:textId="77777777" w:rsidR="00B667C5" w:rsidRPr="00E814B7" w:rsidRDefault="00B667C5" w:rsidP="00E814B7">
            <w:pPr>
              <w:rPr>
                <w:rFonts w:asciiTheme="majorBidi" w:eastAsiaTheme="minorHAnsi" w:hAnsiTheme="majorBidi" w:cstheme="majorBidi"/>
                <w:sz w:val="22"/>
                <w:szCs w:val="22"/>
                <w:lang w:val="sr-Latn-ME"/>
              </w:rPr>
            </w:pPr>
          </w:p>
          <w:p w14:paraId="159ECDF1" w14:textId="77777777" w:rsidR="00B667C5" w:rsidRPr="00E814B7" w:rsidRDefault="00B667C5" w:rsidP="00E814B7">
            <w:pPr>
              <w:autoSpaceDE w:val="0"/>
              <w:autoSpaceDN w:val="0"/>
              <w:adjustRightInd w:val="0"/>
              <w:rPr>
                <w:rFonts w:asciiTheme="majorBidi" w:eastAsiaTheme="minorHAnsi" w:hAnsiTheme="majorBidi" w:cstheme="majorBidi"/>
                <w:sz w:val="22"/>
                <w:szCs w:val="22"/>
                <w:lang w:val="sr-Latn-ME"/>
              </w:rPr>
            </w:pPr>
          </w:p>
        </w:tc>
        <w:tc>
          <w:tcPr>
            <w:tcW w:w="2035" w:type="dxa"/>
            <w:shd w:val="clear" w:color="auto" w:fill="auto"/>
            <w:vAlign w:val="center"/>
          </w:tcPr>
          <w:p w14:paraId="084F4216" w14:textId="77777777" w:rsidR="00B667C5" w:rsidRPr="00E814B7" w:rsidRDefault="00B667C5" w:rsidP="00E814B7">
            <w:pPr>
              <w:rPr>
                <w:rFonts w:asciiTheme="majorBidi" w:eastAsiaTheme="minorHAnsi" w:hAnsiTheme="majorBidi" w:cstheme="majorBidi"/>
                <w:sz w:val="22"/>
                <w:szCs w:val="22"/>
                <w:lang w:val="sr-Latn-ME"/>
              </w:rPr>
            </w:pPr>
          </w:p>
        </w:tc>
        <w:tc>
          <w:tcPr>
            <w:tcW w:w="1276" w:type="dxa"/>
            <w:shd w:val="clear" w:color="auto" w:fill="auto"/>
            <w:vAlign w:val="center"/>
          </w:tcPr>
          <w:p w14:paraId="63A70DEC"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n=77</w:t>
            </w:r>
          </w:p>
        </w:tc>
        <w:tc>
          <w:tcPr>
            <w:tcW w:w="1276" w:type="dxa"/>
            <w:shd w:val="clear" w:color="auto" w:fill="auto"/>
            <w:vAlign w:val="center"/>
          </w:tcPr>
          <w:p w14:paraId="1ACDFEF6"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n=76</w:t>
            </w:r>
          </w:p>
        </w:tc>
        <w:tc>
          <w:tcPr>
            <w:tcW w:w="2073" w:type="dxa"/>
            <w:shd w:val="clear" w:color="auto" w:fill="auto"/>
            <w:vAlign w:val="center"/>
          </w:tcPr>
          <w:p w14:paraId="6BBAF03E" w14:textId="77777777" w:rsidR="00B667C5" w:rsidRPr="00E814B7" w:rsidRDefault="00B667C5" w:rsidP="00E814B7">
            <w:pPr>
              <w:rPr>
                <w:rFonts w:asciiTheme="majorBidi" w:eastAsiaTheme="minorHAnsi" w:hAnsiTheme="majorBidi" w:cstheme="majorBidi"/>
                <w:sz w:val="22"/>
                <w:szCs w:val="22"/>
                <w:lang w:val="sr-Latn-ME"/>
              </w:rPr>
            </w:pPr>
          </w:p>
        </w:tc>
        <w:tc>
          <w:tcPr>
            <w:tcW w:w="1620" w:type="dxa"/>
            <w:shd w:val="clear" w:color="auto" w:fill="auto"/>
            <w:vAlign w:val="center"/>
          </w:tcPr>
          <w:p w14:paraId="7D9F624C" w14:textId="77777777" w:rsidR="00B667C5" w:rsidRPr="00E814B7" w:rsidRDefault="00B667C5" w:rsidP="00E814B7">
            <w:pPr>
              <w:rPr>
                <w:rFonts w:asciiTheme="majorBidi" w:eastAsiaTheme="minorHAnsi" w:hAnsiTheme="majorBidi" w:cstheme="majorBidi"/>
                <w:sz w:val="22"/>
                <w:szCs w:val="22"/>
                <w:lang w:val="sr-Latn-ME"/>
              </w:rPr>
            </w:pPr>
          </w:p>
        </w:tc>
      </w:tr>
      <w:tr w:rsidR="00B667C5" w:rsidRPr="00E814B7" w14:paraId="1F00B40A" w14:textId="77777777" w:rsidTr="00B667C5">
        <w:trPr>
          <w:trHeight w:val="1496"/>
        </w:trPr>
        <w:tc>
          <w:tcPr>
            <w:tcW w:w="1617" w:type="dxa"/>
            <w:vMerge/>
            <w:shd w:val="clear" w:color="auto" w:fill="auto"/>
          </w:tcPr>
          <w:p w14:paraId="7AC54280"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tcPr>
          <w:p w14:paraId="7C9518E4"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Primarni cilj:</w:t>
            </w:r>
          </w:p>
          <w:p w14:paraId="7EE8CE59"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preživljavanje bez progresije bolesti (PFS, medijana u mjesecima)*</w:t>
            </w:r>
          </w:p>
          <w:p w14:paraId="44411F59" w14:textId="0A5FDBC1"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Prema procjeni istraživača</w:t>
            </w:r>
          </w:p>
          <w:p w14:paraId="115C6C48" w14:textId="77777777" w:rsidR="00B667C5" w:rsidRPr="00E814B7" w:rsidRDefault="00B667C5" w:rsidP="00E814B7">
            <w:pPr>
              <w:rPr>
                <w:rFonts w:asciiTheme="majorBidi" w:eastAsiaTheme="minorHAnsi" w:hAnsiTheme="majorBidi" w:cstheme="majorBidi"/>
                <w:sz w:val="22"/>
                <w:szCs w:val="22"/>
                <w:lang w:val="sr-Latn-ME"/>
              </w:rPr>
            </w:pPr>
          </w:p>
          <w:p w14:paraId="21B2BC8E"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Nezavisna procjena**</w:t>
            </w:r>
          </w:p>
          <w:p w14:paraId="60F8687A" w14:textId="77777777" w:rsidR="00B667C5" w:rsidRPr="00E814B7" w:rsidRDefault="00B667C5" w:rsidP="00E814B7">
            <w:pPr>
              <w:rPr>
                <w:rFonts w:asciiTheme="majorBidi" w:eastAsiaTheme="minorHAnsi" w:hAnsiTheme="majorBidi" w:cstheme="majorBidi"/>
                <w:sz w:val="22"/>
                <w:szCs w:val="22"/>
                <w:lang w:val="sr-Latn-ME"/>
              </w:rPr>
            </w:pPr>
          </w:p>
        </w:tc>
        <w:tc>
          <w:tcPr>
            <w:tcW w:w="1276" w:type="dxa"/>
            <w:shd w:val="clear" w:color="auto" w:fill="auto"/>
          </w:tcPr>
          <w:p w14:paraId="34CD08CE" w14:textId="77777777" w:rsidR="00B667C5" w:rsidRPr="00E814B7" w:rsidRDefault="00B667C5" w:rsidP="00E814B7">
            <w:pPr>
              <w:jc w:val="center"/>
              <w:rPr>
                <w:rFonts w:asciiTheme="majorBidi" w:eastAsiaTheme="minorHAnsi" w:hAnsiTheme="majorBidi" w:cstheme="majorBidi"/>
                <w:sz w:val="22"/>
                <w:szCs w:val="22"/>
                <w:lang w:val="sr-Latn-ME"/>
              </w:rPr>
            </w:pPr>
          </w:p>
          <w:p w14:paraId="38D7A3AC" w14:textId="77777777" w:rsidR="00B667C5" w:rsidRPr="00E814B7" w:rsidRDefault="00B667C5" w:rsidP="00E814B7">
            <w:pPr>
              <w:jc w:val="center"/>
              <w:rPr>
                <w:rFonts w:asciiTheme="majorBidi" w:eastAsiaTheme="minorHAnsi" w:hAnsiTheme="majorBidi" w:cstheme="majorBidi"/>
                <w:sz w:val="22"/>
                <w:szCs w:val="22"/>
                <w:lang w:val="sr-Latn-ME"/>
              </w:rPr>
            </w:pPr>
          </w:p>
          <w:p w14:paraId="43AED959" w14:textId="77777777" w:rsidR="00B667C5" w:rsidRPr="00E814B7" w:rsidRDefault="00B667C5" w:rsidP="00E814B7">
            <w:pPr>
              <w:jc w:val="center"/>
              <w:rPr>
                <w:rFonts w:asciiTheme="majorBidi" w:eastAsiaTheme="minorHAnsi" w:hAnsiTheme="majorBidi" w:cstheme="majorBidi"/>
                <w:sz w:val="22"/>
                <w:szCs w:val="22"/>
                <w:lang w:val="sr-Latn-ME"/>
              </w:rPr>
            </w:pPr>
          </w:p>
          <w:p w14:paraId="25D4F956" w14:textId="77777777" w:rsidR="00B667C5" w:rsidRPr="00E814B7" w:rsidRDefault="00B667C5" w:rsidP="00E814B7">
            <w:pPr>
              <w:jc w:val="center"/>
              <w:rPr>
                <w:rFonts w:asciiTheme="majorBidi" w:eastAsiaTheme="minorHAnsi" w:hAnsiTheme="majorBidi" w:cstheme="majorBidi"/>
                <w:sz w:val="22"/>
                <w:szCs w:val="22"/>
                <w:lang w:val="sr-Latn-ME"/>
              </w:rPr>
            </w:pPr>
          </w:p>
          <w:p w14:paraId="766E0F16" w14:textId="77777777" w:rsidR="00B667C5" w:rsidRPr="00E814B7" w:rsidRDefault="00B667C5" w:rsidP="00E814B7">
            <w:pPr>
              <w:jc w:val="center"/>
              <w:rPr>
                <w:rFonts w:asciiTheme="majorBidi" w:eastAsiaTheme="minorHAnsi" w:hAnsiTheme="majorBidi" w:cstheme="majorBidi"/>
                <w:sz w:val="22"/>
                <w:szCs w:val="22"/>
                <w:lang w:val="sr-Latn-ME"/>
              </w:rPr>
            </w:pPr>
          </w:p>
          <w:p w14:paraId="7745BDB1"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9.4</w:t>
            </w:r>
          </w:p>
          <w:p w14:paraId="498B357F" w14:textId="77777777" w:rsidR="00B667C5" w:rsidRPr="00E814B7" w:rsidRDefault="00B667C5" w:rsidP="00E814B7">
            <w:pPr>
              <w:jc w:val="center"/>
              <w:rPr>
                <w:rFonts w:asciiTheme="majorBidi" w:eastAsiaTheme="minorHAnsi" w:hAnsiTheme="majorBidi" w:cstheme="majorBidi"/>
                <w:sz w:val="22"/>
                <w:szCs w:val="22"/>
                <w:lang w:val="sr-Latn-ME"/>
              </w:rPr>
            </w:pPr>
          </w:p>
          <w:p w14:paraId="7C902F43" w14:textId="77777777" w:rsidR="00B667C5" w:rsidRPr="00E814B7" w:rsidRDefault="00B667C5" w:rsidP="00E814B7">
            <w:pPr>
              <w:jc w:val="center"/>
              <w:rPr>
                <w:rFonts w:asciiTheme="majorBidi" w:eastAsiaTheme="minorHAnsi" w:hAnsiTheme="majorBidi" w:cstheme="majorBidi"/>
                <w:sz w:val="22"/>
                <w:szCs w:val="22"/>
                <w:lang w:val="sr-Latn-ME"/>
              </w:rPr>
            </w:pPr>
          </w:p>
          <w:p w14:paraId="42720D4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10.4</w:t>
            </w:r>
          </w:p>
          <w:p w14:paraId="2C746B62"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276" w:type="dxa"/>
            <w:shd w:val="clear" w:color="auto" w:fill="auto"/>
          </w:tcPr>
          <w:p w14:paraId="09485B7B" w14:textId="77777777" w:rsidR="00B667C5" w:rsidRPr="00E814B7" w:rsidRDefault="00B667C5" w:rsidP="00E814B7">
            <w:pPr>
              <w:jc w:val="center"/>
              <w:rPr>
                <w:rFonts w:asciiTheme="majorBidi" w:eastAsiaTheme="minorHAnsi" w:hAnsiTheme="majorBidi" w:cstheme="majorBidi"/>
                <w:sz w:val="22"/>
                <w:szCs w:val="22"/>
                <w:lang w:val="sr-Latn-ME"/>
              </w:rPr>
            </w:pPr>
          </w:p>
          <w:p w14:paraId="37EA3F19" w14:textId="77777777" w:rsidR="00B667C5" w:rsidRPr="00E814B7" w:rsidRDefault="00B667C5" w:rsidP="00E814B7">
            <w:pPr>
              <w:jc w:val="center"/>
              <w:rPr>
                <w:rFonts w:asciiTheme="majorBidi" w:eastAsiaTheme="minorHAnsi" w:hAnsiTheme="majorBidi" w:cstheme="majorBidi"/>
                <w:sz w:val="22"/>
                <w:szCs w:val="22"/>
                <w:lang w:val="sr-Latn-ME"/>
              </w:rPr>
            </w:pPr>
          </w:p>
          <w:p w14:paraId="30836B83" w14:textId="77777777" w:rsidR="00B667C5" w:rsidRPr="00E814B7" w:rsidRDefault="00B667C5" w:rsidP="00E814B7">
            <w:pPr>
              <w:jc w:val="center"/>
              <w:rPr>
                <w:rFonts w:asciiTheme="majorBidi" w:eastAsiaTheme="minorHAnsi" w:hAnsiTheme="majorBidi" w:cstheme="majorBidi"/>
                <w:sz w:val="22"/>
                <w:szCs w:val="22"/>
                <w:lang w:val="sr-Latn-ME"/>
              </w:rPr>
            </w:pPr>
          </w:p>
          <w:p w14:paraId="3CC05ABB" w14:textId="77777777" w:rsidR="00B667C5" w:rsidRPr="00E814B7" w:rsidRDefault="00B667C5" w:rsidP="00E814B7">
            <w:pPr>
              <w:jc w:val="center"/>
              <w:rPr>
                <w:rFonts w:asciiTheme="majorBidi" w:eastAsiaTheme="minorHAnsi" w:hAnsiTheme="majorBidi" w:cstheme="majorBidi"/>
                <w:sz w:val="22"/>
                <w:szCs w:val="22"/>
                <w:lang w:val="sr-Latn-ME"/>
              </w:rPr>
            </w:pPr>
          </w:p>
          <w:p w14:paraId="3A657F1E" w14:textId="77777777" w:rsidR="00B667C5" w:rsidRPr="00E814B7" w:rsidRDefault="00B667C5" w:rsidP="00E814B7">
            <w:pPr>
              <w:jc w:val="center"/>
              <w:rPr>
                <w:rFonts w:asciiTheme="majorBidi" w:eastAsiaTheme="minorHAnsi" w:hAnsiTheme="majorBidi" w:cstheme="majorBidi"/>
                <w:sz w:val="22"/>
                <w:szCs w:val="22"/>
                <w:lang w:val="sr-Latn-ME"/>
              </w:rPr>
            </w:pPr>
          </w:p>
          <w:p w14:paraId="62CA6AC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5.2</w:t>
            </w:r>
          </w:p>
          <w:p w14:paraId="0A703090" w14:textId="77777777" w:rsidR="00B667C5" w:rsidRPr="00E814B7" w:rsidRDefault="00B667C5" w:rsidP="00E814B7">
            <w:pPr>
              <w:jc w:val="center"/>
              <w:rPr>
                <w:rFonts w:asciiTheme="majorBidi" w:eastAsiaTheme="minorHAnsi" w:hAnsiTheme="majorBidi" w:cstheme="majorBidi"/>
                <w:sz w:val="22"/>
                <w:szCs w:val="22"/>
                <w:lang w:val="sr-Latn-ME"/>
              </w:rPr>
            </w:pPr>
          </w:p>
          <w:p w14:paraId="0D03C1FB" w14:textId="77777777" w:rsidR="00B667C5" w:rsidRPr="00E814B7" w:rsidRDefault="00B667C5" w:rsidP="00E814B7">
            <w:pPr>
              <w:jc w:val="center"/>
              <w:rPr>
                <w:rFonts w:asciiTheme="majorBidi" w:eastAsiaTheme="minorHAnsi" w:hAnsiTheme="majorBidi" w:cstheme="majorBidi"/>
                <w:sz w:val="22"/>
                <w:szCs w:val="22"/>
                <w:lang w:val="sr-Latn-ME"/>
              </w:rPr>
            </w:pPr>
          </w:p>
          <w:p w14:paraId="64358077"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5.4</w:t>
            </w:r>
          </w:p>
          <w:p w14:paraId="738E3D9A"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2073" w:type="dxa"/>
            <w:shd w:val="clear" w:color="auto" w:fill="auto"/>
          </w:tcPr>
          <w:p w14:paraId="32DE3E1F" w14:textId="77777777" w:rsidR="00B667C5" w:rsidRPr="00E814B7" w:rsidRDefault="00B667C5" w:rsidP="00E814B7">
            <w:pPr>
              <w:jc w:val="center"/>
              <w:rPr>
                <w:rFonts w:asciiTheme="majorBidi" w:eastAsiaTheme="minorHAnsi" w:hAnsiTheme="majorBidi" w:cstheme="majorBidi"/>
                <w:sz w:val="22"/>
                <w:szCs w:val="22"/>
                <w:lang w:val="sr-Latn-ME"/>
              </w:rPr>
            </w:pPr>
          </w:p>
          <w:p w14:paraId="13020ACC" w14:textId="77777777" w:rsidR="00B667C5" w:rsidRPr="00E814B7" w:rsidRDefault="00B667C5" w:rsidP="00E814B7">
            <w:pPr>
              <w:jc w:val="center"/>
              <w:rPr>
                <w:rFonts w:asciiTheme="majorBidi" w:eastAsiaTheme="minorHAnsi" w:hAnsiTheme="majorBidi" w:cstheme="majorBidi"/>
                <w:sz w:val="22"/>
                <w:szCs w:val="22"/>
                <w:lang w:val="sr-Latn-ME"/>
              </w:rPr>
            </w:pPr>
          </w:p>
          <w:p w14:paraId="5064FE4A" w14:textId="77777777" w:rsidR="00B667C5" w:rsidRPr="00E814B7" w:rsidRDefault="00B667C5" w:rsidP="00E814B7">
            <w:pPr>
              <w:jc w:val="center"/>
              <w:rPr>
                <w:rFonts w:asciiTheme="majorBidi" w:eastAsiaTheme="minorHAnsi" w:hAnsiTheme="majorBidi" w:cstheme="majorBidi"/>
                <w:sz w:val="22"/>
                <w:szCs w:val="22"/>
                <w:lang w:val="sr-Latn-ME"/>
              </w:rPr>
            </w:pPr>
          </w:p>
          <w:p w14:paraId="4D7C2FFA" w14:textId="77777777" w:rsidR="00B667C5" w:rsidRPr="00E814B7" w:rsidRDefault="00B667C5" w:rsidP="00E814B7">
            <w:pPr>
              <w:jc w:val="center"/>
              <w:rPr>
                <w:rFonts w:asciiTheme="majorBidi" w:eastAsiaTheme="minorHAnsi" w:hAnsiTheme="majorBidi" w:cstheme="majorBidi"/>
                <w:sz w:val="22"/>
                <w:szCs w:val="22"/>
                <w:lang w:val="sr-Latn-ME"/>
              </w:rPr>
            </w:pPr>
          </w:p>
          <w:p w14:paraId="30497485" w14:textId="77777777" w:rsidR="00B667C5" w:rsidRPr="00E814B7" w:rsidRDefault="00B667C5" w:rsidP="00E814B7">
            <w:pPr>
              <w:jc w:val="center"/>
              <w:rPr>
                <w:rFonts w:asciiTheme="majorBidi" w:eastAsiaTheme="minorHAnsi" w:hAnsiTheme="majorBidi" w:cstheme="majorBidi"/>
                <w:sz w:val="22"/>
                <w:szCs w:val="22"/>
                <w:lang w:val="sr-Latn-ME"/>
              </w:rPr>
            </w:pPr>
          </w:p>
          <w:p w14:paraId="0D07DEF9"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0.42</w:t>
            </w:r>
          </w:p>
          <w:p w14:paraId="0201A2F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[0.27-0.64]</w:t>
            </w:r>
          </w:p>
          <w:p w14:paraId="13D5B387" w14:textId="77777777" w:rsidR="00B667C5" w:rsidRPr="00E814B7" w:rsidRDefault="00B667C5" w:rsidP="00E814B7">
            <w:pPr>
              <w:jc w:val="center"/>
              <w:rPr>
                <w:rFonts w:asciiTheme="majorBidi" w:eastAsiaTheme="minorHAnsi" w:hAnsiTheme="majorBidi" w:cstheme="majorBidi"/>
                <w:sz w:val="22"/>
                <w:szCs w:val="22"/>
                <w:lang w:val="sr-Latn-ME"/>
              </w:rPr>
            </w:pPr>
          </w:p>
          <w:p w14:paraId="0854F4B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0.47</w:t>
            </w:r>
          </w:p>
          <w:p w14:paraId="3E3C396A"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[0.27-0.78]</w:t>
            </w:r>
          </w:p>
        </w:tc>
        <w:tc>
          <w:tcPr>
            <w:tcW w:w="1620" w:type="dxa"/>
            <w:shd w:val="clear" w:color="auto" w:fill="auto"/>
          </w:tcPr>
          <w:p w14:paraId="27736ECD" w14:textId="77777777" w:rsidR="00B667C5" w:rsidRPr="00E814B7" w:rsidRDefault="00B667C5" w:rsidP="00E814B7">
            <w:pPr>
              <w:rPr>
                <w:rFonts w:asciiTheme="majorBidi" w:eastAsiaTheme="minorHAnsi" w:hAnsiTheme="majorBidi" w:cstheme="majorBidi"/>
                <w:sz w:val="22"/>
                <w:szCs w:val="22"/>
                <w:lang w:val="sr-Latn-ME"/>
              </w:rPr>
            </w:pPr>
          </w:p>
          <w:p w14:paraId="126E7967" w14:textId="77777777" w:rsidR="00B667C5" w:rsidRPr="00E814B7" w:rsidRDefault="00B667C5" w:rsidP="00E814B7">
            <w:pPr>
              <w:rPr>
                <w:rFonts w:asciiTheme="majorBidi" w:eastAsiaTheme="minorHAnsi" w:hAnsiTheme="majorBidi" w:cstheme="majorBidi"/>
                <w:sz w:val="22"/>
                <w:szCs w:val="22"/>
                <w:lang w:val="sr-Latn-ME"/>
              </w:rPr>
            </w:pPr>
          </w:p>
          <w:p w14:paraId="33343079" w14:textId="77777777" w:rsidR="00B667C5" w:rsidRPr="00E814B7" w:rsidRDefault="00B667C5" w:rsidP="00E814B7">
            <w:pPr>
              <w:rPr>
                <w:rFonts w:asciiTheme="majorBidi" w:eastAsiaTheme="minorHAnsi" w:hAnsiTheme="majorBidi" w:cstheme="majorBidi"/>
                <w:sz w:val="22"/>
                <w:szCs w:val="22"/>
                <w:lang w:val="sr-Latn-ME"/>
              </w:rPr>
            </w:pPr>
          </w:p>
          <w:p w14:paraId="74345371" w14:textId="77777777" w:rsidR="00B667C5" w:rsidRPr="00E814B7" w:rsidRDefault="00B667C5" w:rsidP="00E814B7">
            <w:pPr>
              <w:rPr>
                <w:rFonts w:asciiTheme="majorBidi" w:eastAsiaTheme="minorHAnsi" w:hAnsiTheme="majorBidi" w:cstheme="majorBidi"/>
                <w:sz w:val="22"/>
                <w:szCs w:val="22"/>
                <w:lang w:val="sr-Latn-ME"/>
              </w:rPr>
            </w:pPr>
          </w:p>
          <w:p w14:paraId="16720CD1" w14:textId="77777777" w:rsidR="00B667C5" w:rsidRPr="00E814B7" w:rsidRDefault="00B667C5" w:rsidP="00E814B7">
            <w:pPr>
              <w:rPr>
                <w:rFonts w:asciiTheme="majorBidi" w:eastAsiaTheme="minorHAnsi" w:hAnsiTheme="majorBidi" w:cstheme="majorBidi"/>
                <w:sz w:val="22"/>
                <w:szCs w:val="22"/>
                <w:lang w:val="sr-Latn-ME"/>
              </w:rPr>
            </w:pPr>
          </w:p>
          <w:p w14:paraId="30625DA8"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p&lt;0.0001</w:t>
            </w:r>
          </w:p>
          <w:p w14:paraId="48AFC48E" w14:textId="77777777" w:rsidR="00B667C5" w:rsidRPr="00E814B7" w:rsidRDefault="00B667C5" w:rsidP="00E814B7">
            <w:pPr>
              <w:rPr>
                <w:rFonts w:asciiTheme="majorBidi" w:eastAsiaTheme="minorHAnsi" w:hAnsiTheme="majorBidi" w:cstheme="majorBidi"/>
                <w:sz w:val="22"/>
                <w:szCs w:val="22"/>
                <w:lang w:val="sr-Latn-ME"/>
              </w:rPr>
            </w:pPr>
          </w:p>
          <w:p w14:paraId="1A146337" w14:textId="77777777" w:rsidR="00B667C5" w:rsidRPr="00E814B7" w:rsidRDefault="00B667C5" w:rsidP="00E814B7">
            <w:pPr>
              <w:rPr>
                <w:rFonts w:asciiTheme="majorBidi" w:eastAsiaTheme="minorHAnsi" w:hAnsiTheme="majorBidi" w:cstheme="majorBidi"/>
                <w:sz w:val="22"/>
                <w:szCs w:val="22"/>
                <w:lang w:val="sr-Latn-ME"/>
              </w:rPr>
            </w:pPr>
          </w:p>
          <w:p w14:paraId="1B2EF07A"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p=0.003</w:t>
            </w:r>
          </w:p>
          <w:p w14:paraId="72CC3456" w14:textId="77777777" w:rsidR="00B667C5" w:rsidRPr="00E814B7" w:rsidRDefault="00B667C5" w:rsidP="00E814B7">
            <w:pPr>
              <w:rPr>
                <w:rFonts w:asciiTheme="majorBidi" w:eastAsiaTheme="minorHAnsi" w:hAnsiTheme="majorBidi" w:cstheme="majorBidi"/>
                <w:sz w:val="22"/>
                <w:szCs w:val="22"/>
                <w:lang w:val="sr-Latn-ME"/>
              </w:rPr>
            </w:pPr>
          </w:p>
        </w:tc>
      </w:tr>
      <w:tr w:rsidR="00B667C5" w:rsidRPr="00E814B7" w14:paraId="2BDB0BB4" w14:textId="77777777" w:rsidTr="00B667C5">
        <w:tc>
          <w:tcPr>
            <w:tcW w:w="1617" w:type="dxa"/>
            <w:vMerge/>
            <w:shd w:val="clear" w:color="auto" w:fill="auto"/>
          </w:tcPr>
          <w:p w14:paraId="7907B394"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37812DB3"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Najbolja ukupna stopa  odgovora</w:t>
            </w:r>
          </w:p>
          <w:p w14:paraId="71C30C75"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  (CR/PR)</w:t>
            </w:r>
          </w:p>
        </w:tc>
        <w:tc>
          <w:tcPr>
            <w:tcW w:w="1276" w:type="dxa"/>
            <w:shd w:val="clear" w:color="auto" w:fill="auto"/>
            <w:vAlign w:val="center"/>
          </w:tcPr>
          <w:p w14:paraId="62C1DBF0"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54.5%</w:t>
            </w:r>
          </w:p>
        </w:tc>
        <w:tc>
          <w:tcPr>
            <w:tcW w:w="1276" w:type="dxa"/>
            <w:shd w:val="clear" w:color="auto" w:fill="auto"/>
            <w:vAlign w:val="center"/>
          </w:tcPr>
          <w:p w14:paraId="421F74B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10.5%</w:t>
            </w:r>
          </w:p>
        </w:tc>
        <w:tc>
          <w:tcPr>
            <w:tcW w:w="2073" w:type="dxa"/>
            <w:shd w:val="clear" w:color="auto" w:fill="auto"/>
            <w:vAlign w:val="center"/>
          </w:tcPr>
          <w:p w14:paraId="4BCD1A85"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620" w:type="dxa"/>
            <w:shd w:val="clear" w:color="auto" w:fill="auto"/>
            <w:vAlign w:val="center"/>
          </w:tcPr>
          <w:p w14:paraId="167F4732"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p&lt;0.0001</w:t>
            </w:r>
          </w:p>
        </w:tc>
      </w:tr>
      <w:tr w:rsidR="00B667C5" w:rsidRPr="00E814B7" w14:paraId="19E834BF" w14:textId="77777777" w:rsidTr="00B667C5">
        <w:tc>
          <w:tcPr>
            <w:tcW w:w="1617" w:type="dxa"/>
            <w:vMerge/>
            <w:shd w:val="clear" w:color="auto" w:fill="auto"/>
          </w:tcPr>
          <w:p w14:paraId="0D5CB742"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38EF21AA"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Ukupno preživljavanje (OS) (mjeseci)</w:t>
            </w:r>
          </w:p>
        </w:tc>
        <w:tc>
          <w:tcPr>
            <w:tcW w:w="1276" w:type="dxa"/>
            <w:shd w:val="clear" w:color="auto" w:fill="auto"/>
            <w:vAlign w:val="center"/>
          </w:tcPr>
          <w:p w14:paraId="48EB438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22.9</w:t>
            </w:r>
          </w:p>
        </w:tc>
        <w:tc>
          <w:tcPr>
            <w:tcW w:w="1276" w:type="dxa"/>
            <w:shd w:val="clear" w:color="auto" w:fill="auto"/>
            <w:vAlign w:val="center"/>
          </w:tcPr>
          <w:p w14:paraId="048BA5C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18.8</w:t>
            </w:r>
          </w:p>
        </w:tc>
        <w:tc>
          <w:tcPr>
            <w:tcW w:w="2073" w:type="dxa"/>
            <w:shd w:val="clear" w:color="auto" w:fill="auto"/>
            <w:vAlign w:val="center"/>
          </w:tcPr>
          <w:p w14:paraId="7C62D106"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0.80</w:t>
            </w:r>
          </w:p>
          <w:p w14:paraId="75F9D34E"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[0.47-1.37]</w:t>
            </w:r>
          </w:p>
        </w:tc>
        <w:tc>
          <w:tcPr>
            <w:tcW w:w="1620" w:type="dxa"/>
            <w:shd w:val="clear" w:color="auto" w:fill="auto"/>
            <w:vAlign w:val="center"/>
          </w:tcPr>
          <w:p w14:paraId="0C2C488E"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p=0.4170</w:t>
            </w:r>
          </w:p>
        </w:tc>
      </w:tr>
      <w:tr w:rsidR="00B667C5" w:rsidRPr="00E814B7" w14:paraId="6C32D134" w14:textId="77777777" w:rsidTr="00B667C5">
        <w:trPr>
          <w:trHeight w:val="388"/>
        </w:trPr>
        <w:tc>
          <w:tcPr>
            <w:tcW w:w="1617" w:type="dxa"/>
            <w:vMerge w:val="restart"/>
            <w:shd w:val="clear" w:color="auto" w:fill="auto"/>
          </w:tcPr>
          <w:p w14:paraId="7C3C4FF6"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Eksplorativna analiza</w:t>
            </w:r>
          </w:p>
          <w:p w14:paraId="30D482A2"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(sa 40% podataka za OS)</w:t>
            </w:r>
          </w:p>
          <w:p w14:paraId="63A45AD7"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(n=173)</w:t>
            </w:r>
          </w:p>
          <w:p w14:paraId="333DC9B7" w14:textId="77777777" w:rsidR="00B667C5" w:rsidRPr="00E814B7" w:rsidRDefault="00B667C5" w:rsidP="00E814B7">
            <w:pPr>
              <w:rPr>
                <w:rFonts w:asciiTheme="majorBidi" w:eastAsiaTheme="minorHAnsi" w:hAnsiTheme="majorBidi" w:cstheme="majorBidi"/>
                <w:sz w:val="22"/>
                <w:szCs w:val="22"/>
                <w:lang w:val="sr-Latn-ME"/>
              </w:rPr>
            </w:pPr>
          </w:p>
          <w:p w14:paraId="647042A0"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Podaci do: januar 2011</w:t>
            </w:r>
          </w:p>
        </w:tc>
        <w:tc>
          <w:tcPr>
            <w:tcW w:w="2035" w:type="dxa"/>
            <w:shd w:val="clear" w:color="auto" w:fill="auto"/>
            <w:vAlign w:val="center"/>
          </w:tcPr>
          <w:p w14:paraId="41B8E977" w14:textId="77777777" w:rsidR="00B667C5" w:rsidRPr="00E814B7" w:rsidRDefault="00B667C5" w:rsidP="00E814B7">
            <w:pPr>
              <w:rPr>
                <w:rFonts w:asciiTheme="majorBidi" w:eastAsiaTheme="minorHAnsi" w:hAnsiTheme="majorBidi" w:cstheme="majorBidi"/>
                <w:sz w:val="22"/>
                <w:szCs w:val="22"/>
                <w:lang w:val="sr-Latn-ME"/>
              </w:rPr>
            </w:pPr>
          </w:p>
        </w:tc>
        <w:tc>
          <w:tcPr>
            <w:tcW w:w="1276" w:type="dxa"/>
            <w:shd w:val="clear" w:color="auto" w:fill="auto"/>
            <w:vAlign w:val="center"/>
          </w:tcPr>
          <w:p w14:paraId="6DE13EF0"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n=86</w:t>
            </w:r>
          </w:p>
        </w:tc>
        <w:tc>
          <w:tcPr>
            <w:tcW w:w="1276" w:type="dxa"/>
            <w:shd w:val="clear" w:color="auto" w:fill="auto"/>
            <w:vAlign w:val="center"/>
          </w:tcPr>
          <w:p w14:paraId="75386CAE"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n=87</w:t>
            </w:r>
          </w:p>
        </w:tc>
        <w:tc>
          <w:tcPr>
            <w:tcW w:w="2073" w:type="dxa"/>
            <w:shd w:val="clear" w:color="auto" w:fill="auto"/>
            <w:vAlign w:val="center"/>
          </w:tcPr>
          <w:p w14:paraId="10AE33D8"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620" w:type="dxa"/>
            <w:shd w:val="clear" w:color="auto" w:fill="auto"/>
            <w:vAlign w:val="center"/>
          </w:tcPr>
          <w:p w14:paraId="060796DA" w14:textId="77777777" w:rsidR="00B667C5" w:rsidRPr="00E814B7" w:rsidRDefault="00B667C5" w:rsidP="00E814B7">
            <w:pPr>
              <w:rPr>
                <w:rFonts w:asciiTheme="majorBidi" w:eastAsiaTheme="minorHAnsi" w:hAnsiTheme="majorBidi" w:cstheme="majorBidi"/>
                <w:sz w:val="22"/>
                <w:szCs w:val="22"/>
                <w:lang w:val="sr-Latn-ME"/>
              </w:rPr>
            </w:pPr>
          </w:p>
        </w:tc>
      </w:tr>
      <w:tr w:rsidR="00B667C5" w:rsidRPr="00E814B7" w14:paraId="1E8BAFE9" w14:textId="77777777" w:rsidTr="00B667C5">
        <w:trPr>
          <w:trHeight w:val="448"/>
        </w:trPr>
        <w:tc>
          <w:tcPr>
            <w:tcW w:w="1617" w:type="dxa"/>
            <w:vMerge/>
            <w:shd w:val="clear" w:color="auto" w:fill="auto"/>
          </w:tcPr>
          <w:p w14:paraId="7490B7F1"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6EED82B9"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PFS (medijana u mjesecima), </w:t>
            </w:r>
          </w:p>
          <w:p w14:paraId="28BCDBE2"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Prema procjeni istraživača</w:t>
            </w:r>
          </w:p>
        </w:tc>
        <w:tc>
          <w:tcPr>
            <w:tcW w:w="1276" w:type="dxa"/>
            <w:shd w:val="clear" w:color="auto" w:fill="auto"/>
            <w:vAlign w:val="center"/>
          </w:tcPr>
          <w:p w14:paraId="704C3D7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9.7</w:t>
            </w:r>
          </w:p>
        </w:tc>
        <w:tc>
          <w:tcPr>
            <w:tcW w:w="1276" w:type="dxa"/>
            <w:shd w:val="clear" w:color="auto" w:fill="auto"/>
            <w:vAlign w:val="center"/>
          </w:tcPr>
          <w:p w14:paraId="37E02D8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5.2</w:t>
            </w:r>
          </w:p>
        </w:tc>
        <w:tc>
          <w:tcPr>
            <w:tcW w:w="2073" w:type="dxa"/>
            <w:shd w:val="clear" w:color="auto" w:fill="auto"/>
            <w:vAlign w:val="center"/>
          </w:tcPr>
          <w:p w14:paraId="2E3F0EE0"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0.37</w:t>
            </w:r>
          </w:p>
          <w:p w14:paraId="442A6CC2"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[0.27-0.54]</w:t>
            </w:r>
          </w:p>
        </w:tc>
        <w:tc>
          <w:tcPr>
            <w:tcW w:w="1620" w:type="dxa"/>
            <w:shd w:val="clear" w:color="auto" w:fill="auto"/>
            <w:vAlign w:val="center"/>
          </w:tcPr>
          <w:p w14:paraId="2A9B2FF6"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p&lt;0.0001</w:t>
            </w:r>
          </w:p>
        </w:tc>
      </w:tr>
      <w:tr w:rsidR="00B667C5" w:rsidRPr="00E814B7" w14:paraId="3911B57C" w14:textId="77777777" w:rsidTr="00B667C5">
        <w:tc>
          <w:tcPr>
            <w:tcW w:w="1617" w:type="dxa"/>
            <w:vMerge/>
            <w:shd w:val="clear" w:color="auto" w:fill="auto"/>
          </w:tcPr>
          <w:p w14:paraId="6FE83251"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39DF41DD"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Najbolja ukupna stopa odgovora (CR/PR)</w:t>
            </w:r>
          </w:p>
        </w:tc>
        <w:tc>
          <w:tcPr>
            <w:tcW w:w="1276" w:type="dxa"/>
            <w:shd w:val="clear" w:color="auto" w:fill="auto"/>
            <w:vAlign w:val="center"/>
          </w:tcPr>
          <w:p w14:paraId="44EE9F9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58.1%</w:t>
            </w:r>
          </w:p>
        </w:tc>
        <w:tc>
          <w:tcPr>
            <w:tcW w:w="1276" w:type="dxa"/>
            <w:shd w:val="clear" w:color="auto" w:fill="auto"/>
            <w:vAlign w:val="center"/>
          </w:tcPr>
          <w:p w14:paraId="116E2C32"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14.9%</w:t>
            </w:r>
          </w:p>
        </w:tc>
        <w:tc>
          <w:tcPr>
            <w:tcW w:w="2073" w:type="dxa"/>
            <w:shd w:val="clear" w:color="auto" w:fill="auto"/>
            <w:vAlign w:val="center"/>
          </w:tcPr>
          <w:p w14:paraId="4AA22BB1"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620" w:type="dxa"/>
            <w:shd w:val="clear" w:color="auto" w:fill="auto"/>
            <w:vAlign w:val="center"/>
          </w:tcPr>
          <w:p w14:paraId="4A73019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p&lt;0.0001</w:t>
            </w:r>
          </w:p>
        </w:tc>
      </w:tr>
      <w:tr w:rsidR="00B667C5" w:rsidRPr="00E814B7" w14:paraId="0D09E7ED" w14:textId="77777777" w:rsidTr="00B667C5">
        <w:tc>
          <w:tcPr>
            <w:tcW w:w="1617" w:type="dxa"/>
            <w:vMerge/>
            <w:shd w:val="clear" w:color="auto" w:fill="auto"/>
          </w:tcPr>
          <w:p w14:paraId="776C1A87"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0942AE00"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OS (mjeseci)</w:t>
            </w:r>
          </w:p>
        </w:tc>
        <w:tc>
          <w:tcPr>
            <w:tcW w:w="1276" w:type="dxa"/>
            <w:shd w:val="clear" w:color="auto" w:fill="auto"/>
            <w:vAlign w:val="center"/>
          </w:tcPr>
          <w:p w14:paraId="5E19DA57"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19.3</w:t>
            </w:r>
          </w:p>
        </w:tc>
        <w:tc>
          <w:tcPr>
            <w:tcW w:w="1276" w:type="dxa"/>
            <w:shd w:val="clear" w:color="auto" w:fill="auto"/>
            <w:vAlign w:val="center"/>
          </w:tcPr>
          <w:p w14:paraId="20DA191E"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19.5</w:t>
            </w:r>
          </w:p>
        </w:tc>
        <w:tc>
          <w:tcPr>
            <w:tcW w:w="2073" w:type="dxa"/>
            <w:shd w:val="clear" w:color="auto" w:fill="auto"/>
            <w:vAlign w:val="center"/>
          </w:tcPr>
          <w:p w14:paraId="6A0261B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1.04</w:t>
            </w:r>
          </w:p>
          <w:p w14:paraId="786CD20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[0.65-1.68]</w:t>
            </w:r>
          </w:p>
        </w:tc>
        <w:tc>
          <w:tcPr>
            <w:tcW w:w="1620" w:type="dxa"/>
            <w:shd w:val="clear" w:color="auto" w:fill="auto"/>
            <w:vAlign w:val="center"/>
          </w:tcPr>
          <w:p w14:paraId="01C210C4"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p=0.8702</w:t>
            </w:r>
          </w:p>
        </w:tc>
      </w:tr>
      <w:tr w:rsidR="00B667C5" w:rsidRPr="00E814B7" w14:paraId="781A42EC" w14:textId="77777777" w:rsidTr="00B667C5">
        <w:trPr>
          <w:trHeight w:val="364"/>
        </w:trPr>
        <w:tc>
          <w:tcPr>
            <w:tcW w:w="1617" w:type="dxa"/>
            <w:vMerge w:val="restart"/>
            <w:shd w:val="clear" w:color="auto" w:fill="auto"/>
          </w:tcPr>
          <w:p w14:paraId="30005479" w14:textId="6C0C4A44" w:rsidR="00A778A4" w:rsidRPr="00E814B7" w:rsidRDefault="00A778A4"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lastRenderedPageBreak/>
              <w:t>Dopunjena</w:t>
            </w:r>
            <w:r w:rsidR="00B667C5" w:rsidRPr="00E814B7">
              <w:rPr>
                <w:rFonts w:asciiTheme="majorBidi" w:eastAsiaTheme="minorHAnsi" w:hAnsiTheme="majorBidi" w:cstheme="majorBidi"/>
                <w:sz w:val="22"/>
                <w:szCs w:val="22"/>
                <w:lang w:val="sr-Latn-ME"/>
              </w:rPr>
              <w:t xml:space="preserve"> analiza</w:t>
            </w:r>
          </w:p>
          <w:p w14:paraId="501335D5" w14:textId="07ED2710"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(sa 62% podataka za OS)</w:t>
            </w:r>
          </w:p>
          <w:p w14:paraId="0C0508D6"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(n=173)</w:t>
            </w:r>
          </w:p>
          <w:p w14:paraId="3830A37A" w14:textId="77777777" w:rsidR="00B667C5" w:rsidRPr="00E814B7" w:rsidRDefault="00B667C5" w:rsidP="00E814B7">
            <w:pPr>
              <w:rPr>
                <w:rFonts w:asciiTheme="majorBidi" w:eastAsiaTheme="minorHAnsi" w:hAnsiTheme="majorBidi" w:cstheme="majorBidi"/>
                <w:sz w:val="22"/>
                <w:szCs w:val="22"/>
                <w:lang w:val="sr-Latn-ME"/>
              </w:rPr>
            </w:pPr>
          </w:p>
          <w:p w14:paraId="3CFC5FD4"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Podaci do: april 2012</w:t>
            </w:r>
          </w:p>
          <w:p w14:paraId="38F5200F"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2EDBA356" w14:textId="77777777" w:rsidR="00B667C5" w:rsidRPr="00E814B7" w:rsidRDefault="00B667C5" w:rsidP="00E814B7">
            <w:pPr>
              <w:rPr>
                <w:rFonts w:asciiTheme="majorBidi" w:eastAsiaTheme="minorHAnsi" w:hAnsiTheme="majorBidi" w:cstheme="majorBidi"/>
                <w:sz w:val="22"/>
                <w:szCs w:val="22"/>
                <w:lang w:val="sr-Latn-ME"/>
              </w:rPr>
            </w:pPr>
          </w:p>
        </w:tc>
        <w:tc>
          <w:tcPr>
            <w:tcW w:w="1276" w:type="dxa"/>
            <w:shd w:val="clear" w:color="auto" w:fill="auto"/>
            <w:vAlign w:val="center"/>
          </w:tcPr>
          <w:p w14:paraId="3B15E373"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n=86</w:t>
            </w:r>
          </w:p>
        </w:tc>
        <w:tc>
          <w:tcPr>
            <w:tcW w:w="1276" w:type="dxa"/>
            <w:shd w:val="clear" w:color="auto" w:fill="auto"/>
            <w:vAlign w:val="center"/>
          </w:tcPr>
          <w:p w14:paraId="51C37803" w14:textId="77777777" w:rsidR="00B667C5" w:rsidRPr="00E814B7" w:rsidRDefault="00B667C5" w:rsidP="00E814B7">
            <w:pPr>
              <w:jc w:val="center"/>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n=87</w:t>
            </w:r>
          </w:p>
        </w:tc>
        <w:tc>
          <w:tcPr>
            <w:tcW w:w="2073" w:type="dxa"/>
            <w:shd w:val="clear" w:color="auto" w:fill="auto"/>
            <w:vAlign w:val="center"/>
          </w:tcPr>
          <w:p w14:paraId="52DFDEA2" w14:textId="77777777" w:rsidR="00B667C5" w:rsidRPr="00E814B7" w:rsidDel="007C3675" w:rsidRDefault="00B667C5" w:rsidP="00E814B7">
            <w:pPr>
              <w:jc w:val="center"/>
              <w:rPr>
                <w:rFonts w:asciiTheme="majorBidi" w:eastAsiaTheme="minorHAnsi" w:hAnsiTheme="majorBidi" w:cstheme="majorBidi"/>
                <w:sz w:val="22"/>
                <w:szCs w:val="22"/>
                <w:lang w:val="sr-Latn-ME"/>
              </w:rPr>
            </w:pPr>
          </w:p>
        </w:tc>
        <w:tc>
          <w:tcPr>
            <w:tcW w:w="1620" w:type="dxa"/>
            <w:shd w:val="clear" w:color="auto" w:fill="auto"/>
            <w:vAlign w:val="center"/>
          </w:tcPr>
          <w:p w14:paraId="716CDAFE" w14:textId="77777777" w:rsidR="00B667C5" w:rsidRPr="00E814B7" w:rsidDel="007C3675" w:rsidRDefault="00B667C5" w:rsidP="00E814B7">
            <w:pPr>
              <w:jc w:val="center"/>
              <w:rPr>
                <w:rFonts w:asciiTheme="majorBidi" w:eastAsiaTheme="minorHAnsi" w:hAnsiTheme="majorBidi" w:cstheme="majorBidi"/>
                <w:sz w:val="22"/>
                <w:szCs w:val="22"/>
                <w:lang w:val="sr-Latn-ME"/>
              </w:rPr>
            </w:pPr>
          </w:p>
        </w:tc>
      </w:tr>
      <w:tr w:rsidR="00B667C5" w:rsidRPr="00E814B7" w14:paraId="59615304" w14:textId="77777777" w:rsidTr="00B667C5">
        <w:tc>
          <w:tcPr>
            <w:tcW w:w="1617" w:type="dxa"/>
            <w:vMerge/>
            <w:shd w:val="clear" w:color="auto" w:fill="auto"/>
          </w:tcPr>
          <w:p w14:paraId="2286534B" w14:textId="77777777" w:rsidR="00B667C5" w:rsidRPr="00E814B7" w:rsidRDefault="00B667C5" w:rsidP="00E814B7">
            <w:pPr>
              <w:rPr>
                <w:rFonts w:asciiTheme="majorBidi" w:eastAsiaTheme="minorHAnsi" w:hAnsiTheme="majorBidi" w:cstheme="majorBidi"/>
                <w:sz w:val="22"/>
                <w:szCs w:val="22"/>
                <w:lang w:val="sr-Latn-ME"/>
              </w:rPr>
            </w:pPr>
          </w:p>
        </w:tc>
        <w:tc>
          <w:tcPr>
            <w:tcW w:w="2035" w:type="dxa"/>
            <w:shd w:val="clear" w:color="auto" w:fill="auto"/>
            <w:vAlign w:val="center"/>
          </w:tcPr>
          <w:p w14:paraId="16362BF5" w14:textId="77777777" w:rsidR="00B667C5" w:rsidRPr="00E814B7" w:rsidRDefault="00B667C5" w:rsidP="00E814B7">
            <w:pP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PFS (medijana u mjesecima)</w:t>
            </w:r>
          </w:p>
        </w:tc>
        <w:tc>
          <w:tcPr>
            <w:tcW w:w="1276" w:type="dxa"/>
            <w:shd w:val="clear" w:color="auto" w:fill="auto"/>
            <w:vAlign w:val="center"/>
          </w:tcPr>
          <w:p w14:paraId="374102F6"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10.4</w:t>
            </w:r>
          </w:p>
        </w:tc>
        <w:tc>
          <w:tcPr>
            <w:tcW w:w="1276" w:type="dxa"/>
            <w:shd w:val="clear" w:color="auto" w:fill="auto"/>
            <w:vAlign w:val="center"/>
          </w:tcPr>
          <w:p w14:paraId="541B709B"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5.1</w:t>
            </w:r>
          </w:p>
        </w:tc>
        <w:tc>
          <w:tcPr>
            <w:tcW w:w="2073" w:type="dxa"/>
            <w:shd w:val="clear" w:color="auto" w:fill="auto"/>
            <w:vAlign w:val="center"/>
          </w:tcPr>
          <w:p w14:paraId="3BBBD0F6"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0.34</w:t>
            </w:r>
          </w:p>
          <w:p w14:paraId="2F4C415D" w14:textId="77777777" w:rsidR="00B667C5" w:rsidRPr="00E814B7" w:rsidDel="007C3675"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[0.23-0.49]</w:t>
            </w:r>
          </w:p>
        </w:tc>
        <w:tc>
          <w:tcPr>
            <w:tcW w:w="1620" w:type="dxa"/>
            <w:shd w:val="clear" w:color="auto" w:fill="auto"/>
            <w:vAlign w:val="center"/>
          </w:tcPr>
          <w:p w14:paraId="1B745804" w14:textId="77777777" w:rsidR="00B667C5" w:rsidRPr="00E814B7" w:rsidDel="007C3675"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p&lt;0.0001</w:t>
            </w:r>
          </w:p>
        </w:tc>
      </w:tr>
      <w:tr w:rsidR="00B667C5" w:rsidRPr="00E814B7" w14:paraId="54EC4A0F" w14:textId="77777777" w:rsidTr="00B667C5">
        <w:trPr>
          <w:trHeight w:val="484"/>
        </w:trPr>
        <w:tc>
          <w:tcPr>
            <w:tcW w:w="1617" w:type="dxa"/>
            <w:vMerge/>
            <w:shd w:val="clear" w:color="auto" w:fill="auto"/>
          </w:tcPr>
          <w:p w14:paraId="05BA97D3" w14:textId="77777777" w:rsidR="00B667C5" w:rsidRPr="00E814B7" w:rsidRDefault="00B667C5" w:rsidP="00E814B7">
            <w:pPr>
              <w:jc w:val="both"/>
              <w:rPr>
                <w:rFonts w:asciiTheme="majorBidi" w:eastAsiaTheme="minorHAnsi" w:hAnsiTheme="majorBidi" w:cstheme="majorBidi"/>
                <w:sz w:val="22"/>
                <w:szCs w:val="22"/>
                <w:lang w:val="sr-Latn-ME"/>
              </w:rPr>
            </w:pPr>
          </w:p>
        </w:tc>
        <w:tc>
          <w:tcPr>
            <w:tcW w:w="2035" w:type="dxa"/>
            <w:shd w:val="clear" w:color="auto" w:fill="auto"/>
            <w:vAlign w:val="center"/>
          </w:tcPr>
          <w:p w14:paraId="625F252F"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OS*** (mjeseci)</w:t>
            </w:r>
          </w:p>
        </w:tc>
        <w:tc>
          <w:tcPr>
            <w:tcW w:w="1276" w:type="dxa"/>
            <w:shd w:val="clear" w:color="auto" w:fill="auto"/>
            <w:vAlign w:val="center"/>
          </w:tcPr>
          <w:p w14:paraId="77226A5E"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22.9</w:t>
            </w:r>
          </w:p>
        </w:tc>
        <w:tc>
          <w:tcPr>
            <w:tcW w:w="1276" w:type="dxa"/>
            <w:shd w:val="clear" w:color="auto" w:fill="auto"/>
            <w:vAlign w:val="center"/>
          </w:tcPr>
          <w:p w14:paraId="7E57805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20.8</w:t>
            </w:r>
          </w:p>
        </w:tc>
        <w:tc>
          <w:tcPr>
            <w:tcW w:w="2073" w:type="dxa"/>
            <w:shd w:val="clear" w:color="auto" w:fill="auto"/>
            <w:vAlign w:val="center"/>
          </w:tcPr>
          <w:p w14:paraId="7DE4AFD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0.93</w:t>
            </w:r>
          </w:p>
          <w:p w14:paraId="493A2079"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[0.64-1.36]</w:t>
            </w:r>
          </w:p>
        </w:tc>
        <w:tc>
          <w:tcPr>
            <w:tcW w:w="1620" w:type="dxa"/>
            <w:shd w:val="clear" w:color="auto" w:fill="auto"/>
            <w:vAlign w:val="center"/>
          </w:tcPr>
          <w:p w14:paraId="55FC8E4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p=0.7149</w:t>
            </w:r>
          </w:p>
        </w:tc>
      </w:tr>
    </w:tbl>
    <w:p w14:paraId="0775370C" w14:textId="77777777" w:rsidR="00B667C5" w:rsidRPr="00E814B7" w:rsidRDefault="00B667C5" w:rsidP="00E814B7">
      <w:pPr>
        <w:contextualSpacing/>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CR=kompletan odgovor; PR=parcijalan odgovor</w:t>
      </w:r>
    </w:p>
    <w:p w14:paraId="36CD706C" w14:textId="6AFD3988" w:rsidR="00B667C5" w:rsidRPr="00E814B7" w:rsidRDefault="00B667C5" w:rsidP="00E814B7">
      <w:pPr>
        <w:contextualSpacing/>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    </w:t>
      </w:r>
      <w:r w:rsidR="00A778A4" w:rsidRPr="00E814B7">
        <w:rPr>
          <w:rFonts w:asciiTheme="majorBidi" w:eastAsiaTheme="minorHAnsi" w:hAnsiTheme="majorBidi" w:cstheme="majorBidi"/>
          <w:sz w:val="22"/>
          <w:szCs w:val="22"/>
          <w:lang w:val="sr-Latn-ME"/>
        </w:rPr>
        <w:t>P</w:t>
      </w:r>
      <w:r w:rsidRPr="00E814B7">
        <w:rPr>
          <w:rFonts w:asciiTheme="majorBidi" w:eastAsiaTheme="minorHAnsi" w:hAnsiTheme="majorBidi" w:cstheme="majorBidi"/>
          <w:sz w:val="22"/>
          <w:szCs w:val="22"/>
          <w:lang w:val="sr-Latn-ME"/>
        </w:rPr>
        <w:t>rimjećeno je 58%-tno smanjenje rizika od progresije bolesti ili smrti</w:t>
      </w:r>
    </w:p>
    <w:p w14:paraId="025EB5C5" w14:textId="77777777" w:rsidR="00B667C5" w:rsidRPr="00E814B7" w:rsidRDefault="00B667C5" w:rsidP="00E814B7">
      <w:pPr>
        <w:contextualSpacing/>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Ukupna stopa podudarnosti u ocjeni između istraživača i nezavisne komisije (IRC) bila je 70%</w:t>
      </w:r>
    </w:p>
    <w:p w14:paraId="06700942" w14:textId="658890BB" w:rsidR="00B667C5" w:rsidRPr="00E814B7" w:rsidRDefault="00B667C5"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Visoki procenat pacijenata (82%) iz grupe pacijenata na hemioterapij</w:t>
      </w:r>
      <w:r w:rsidR="00A778A4" w:rsidRPr="00E814B7">
        <w:rPr>
          <w:rFonts w:asciiTheme="majorBidi" w:hAnsiTheme="majorBidi" w:cstheme="majorBidi"/>
          <w:sz w:val="22"/>
          <w:szCs w:val="22"/>
          <w:lang w:val="sr-Latn-ME"/>
        </w:rPr>
        <w:t>i</w:t>
      </w:r>
      <w:r w:rsidRPr="00E814B7">
        <w:rPr>
          <w:rFonts w:asciiTheme="majorBidi" w:hAnsiTheme="majorBidi" w:cstheme="majorBidi"/>
          <w:sz w:val="22"/>
          <w:szCs w:val="22"/>
          <w:lang w:val="sr-Latn-ME"/>
        </w:rPr>
        <w:t xml:space="preserve"> je prešao u nastavku terapije na inhibitore EGFR tirozin kinaze i svi su oni, izuzev 2 pacijenta, nastavili liječenje erlotinibom.</w:t>
      </w:r>
    </w:p>
    <w:p w14:paraId="791E6CA6" w14:textId="00CA91C1" w:rsidR="00B667C5" w:rsidRPr="00E814B7" w:rsidRDefault="00B667C5" w:rsidP="00E814B7">
      <w:pPr>
        <w:tabs>
          <w:tab w:val="left" w:pos="540"/>
          <w:tab w:val="left" w:pos="569"/>
        </w:tabs>
        <w:jc w:val="both"/>
        <w:rPr>
          <w:rFonts w:asciiTheme="majorBidi" w:hAnsiTheme="majorBidi" w:cstheme="majorBidi"/>
          <w:sz w:val="22"/>
          <w:szCs w:val="22"/>
          <w:lang w:val="sr-Latn-ME"/>
        </w:rPr>
      </w:pPr>
    </w:p>
    <w:p w14:paraId="2044D6FB" w14:textId="60E17E4B" w:rsidR="00B667C5" w:rsidRPr="00E814B7" w:rsidRDefault="00B667C5" w:rsidP="00E814B7">
      <w:pPr>
        <w:jc w:val="both"/>
        <w:rPr>
          <w:rFonts w:asciiTheme="majorBidi" w:eastAsiaTheme="minorHAnsi" w:hAnsiTheme="majorBidi" w:cstheme="majorBidi"/>
          <w:sz w:val="22"/>
          <w:szCs w:val="22"/>
          <w:u w:val="single"/>
          <w:lang w:val="sr-Latn-ME" w:eastAsia="ja-JP"/>
        </w:rPr>
      </w:pPr>
      <w:r w:rsidRPr="00E814B7">
        <w:rPr>
          <w:rFonts w:asciiTheme="majorBidi" w:eastAsiaTheme="minorHAnsi" w:hAnsiTheme="majorBidi" w:cstheme="majorBidi"/>
          <w:sz w:val="22"/>
          <w:szCs w:val="22"/>
          <w:u w:val="single"/>
          <w:lang w:val="sr-Latn-ME" w:eastAsia="ja-JP"/>
        </w:rPr>
        <w:t>Terapija održavanja kod pacijenata sa NSCLC nakon prve linije hemioterapije (</w:t>
      </w:r>
      <w:r w:rsidR="00A778A4" w:rsidRPr="00E814B7">
        <w:rPr>
          <w:rFonts w:asciiTheme="majorBidi" w:eastAsiaTheme="minorHAnsi" w:hAnsiTheme="majorBidi" w:cstheme="majorBidi"/>
          <w:sz w:val="22"/>
          <w:szCs w:val="22"/>
          <w:u w:val="single"/>
          <w:lang w:val="sr-Latn-ME" w:eastAsia="ja-JP"/>
        </w:rPr>
        <w:t>erlotinib</w:t>
      </w:r>
      <w:r w:rsidRPr="00E814B7">
        <w:rPr>
          <w:rFonts w:asciiTheme="majorBidi" w:eastAsiaTheme="minorHAnsi" w:hAnsiTheme="majorBidi" w:cstheme="majorBidi"/>
          <w:sz w:val="22"/>
          <w:szCs w:val="22"/>
          <w:u w:val="single"/>
          <w:lang w:val="sr-Latn-ME" w:eastAsia="ja-JP"/>
        </w:rPr>
        <w:t xml:space="preserve"> je prim</w:t>
      </w:r>
      <w:r w:rsidR="00B405FD" w:rsidRPr="00E814B7">
        <w:rPr>
          <w:rFonts w:asciiTheme="majorBidi" w:eastAsiaTheme="minorHAnsi" w:hAnsiTheme="majorBidi" w:cstheme="majorBidi"/>
          <w:sz w:val="22"/>
          <w:szCs w:val="22"/>
          <w:u w:val="single"/>
          <w:lang w:val="sr-Latn-ME" w:eastAsia="ja-JP"/>
        </w:rPr>
        <w:t>i</w:t>
      </w:r>
      <w:r w:rsidRPr="00E814B7">
        <w:rPr>
          <w:rFonts w:asciiTheme="majorBidi" w:eastAsiaTheme="minorHAnsi" w:hAnsiTheme="majorBidi" w:cstheme="majorBidi"/>
          <w:sz w:val="22"/>
          <w:szCs w:val="22"/>
          <w:u w:val="single"/>
          <w:lang w:val="sr-Latn-ME" w:eastAsia="ja-JP"/>
        </w:rPr>
        <w:t xml:space="preserve">jenjen kao monoterapija): </w:t>
      </w:r>
    </w:p>
    <w:p w14:paraId="0BF81F5F" w14:textId="17DD148C" w:rsidR="00B667C5" w:rsidRPr="00E814B7" w:rsidRDefault="00B667C5" w:rsidP="00E814B7">
      <w:pPr>
        <w:autoSpaceDE w:val="0"/>
        <w:autoSpaceDN w:val="0"/>
        <w:adjustRightInd w:val="0"/>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Efikasnost i bezbjednost erlotiniba u terapiji održavanja nakon prve linije hemioterapije NSCLC ispitivani su u randomizovanoj, d</w:t>
      </w:r>
      <w:r w:rsidR="00AA3F75" w:rsidRPr="00E814B7">
        <w:rPr>
          <w:rFonts w:asciiTheme="majorBidi" w:eastAsiaTheme="minorHAnsi" w:hAnsiTheme="majorBidi" w:cstheme="majorBidi"/>
          <w:sz w:val="22"/>
          <w:szCs w:val="22"/>
          <w:lang w:val="sr-Latn-ME" w:eastAsia="ja-JP"/>
        </w:rPr>
        <w:t>vostruko</w:t>
      </w:r>
      <w:r w:rsidRPr="00E814B7">
        <w:rPr>
          <w:rFonts w:asciiTheme="majorBidi" w:eastAsiaTheme="minorHAnsi" w:hAnsiTheme="majorBidi" w:cstheme="majorBidi"/>
          <w:sz w:val="22"/>
          <w:szCs w:val="22"/>
          <w:lang w:val="sr-Latn-ME" w:eastAsia="ja-JP"/>
        </w:rPr>
        <w:t xml:space="preserve"> slijepoj, placebo kontrolisanoj studiji</w:t>
      </w:r>
      <w:r w:rsidR="00974656" w:rsidRPr="00E814B7">
        <w:rPr>
          <w:rFonts w:asciiTheme="majorBidi" w:eastAsiaTheme="minorHAnsi" w:hAnsiTheme="majorBidi" w:cstheme="majorBidi"/>
          <w:sz w:val="22"/>
          <w:szCs w:val="22"/>
          <w:lang w:val="sr-Latn-ME" w:eastAsia="ja-JP"/>
        </w:rPr>
        <w:t xml:space="preserve"> (</w:t>
      </w:r>
      <w:r w:rsidRPr="00E814B7">
        <w:rPr>
          <w:rFonts w:asciiTheme="majorBidi" w:eastAsiaTheme="minorHAnsi" w:hAnsiTheme="majorBidi" w:cstheme="majorBidi"/>
          <w:sz w:val="22"/>
          <w:szCs w:val="22"/>
          <w:lang w:val="sr-Latn-ME" w:eastAsia="ja-JP"/>
        </w:rPr>
        <w:t>BO18192</w:t>
      </w:r>
      <w:r w:rsidR="00974656" w:rsidRPr="00E814B7">
        <w:rPr>
          <w:rFonts w:asciiTheme="majorBidi" w:eastAsiaTheme="minorHAnsi" w:hAnsiTheme="majorBidi" w:cstheme="majorBidi"/>
          <w:sz w:val="22"/>
          <w:szCs w:val="22"/>
          <w:lang w:val="sr-Latn-ME" w:eastAsia="ja-JP"/>
        </w:rPr>
        <w:t>,</w:t>
      </w:r>
      <w:r w:rsidRPr="00E814B7">
        <w:rPr>
          <w:rFonts w:asciiTheme="majorBidi" w:eastAsiaTheme="minorHAnsi" w:hAnsiTheme="majorBidi" w:cstheme="majorBidi"/>
          <w:sz w:val="22"/>
          <w:szCs w:val="22"/>
          <w:lang w:val="sr-Latn-ME" w:eastAsia="ja-JP"/>
        </w:rPr>
        <w:t xml:space="preserve"> SATURN). Ova studija sprovedena je na 889 pacijenata sa lokalno uznapredovalim ili metastatskim NSCLC kod kojih, nakon 4 ciklusa hemioterapije na bazi platine, nije došlo do progresije bolesti. Pacijenti su bili randomizovani u odnosu 1:1 da dobijaju erlotinib 150 mg ili placebo, oralno, jednom dnevno do progresije bolesti. Primarni cilj studije bio je PFS (preživljavanje bez progresije bolesti) kod svih pacijenata. Demografske karakteristike i karakteristike bolesti na početku ispitivanja su bile dobro uravnotežene u obje ispitivane grupe. U studiju ni</w:t>
      </w:r>
      <w:r w:rsidR="00AA3F75" w:rsidRPr="00E814B7">
        <w:rPr>
          <w:rFonts w:asciiTheme="majorBidi" w:eastAsiaTheme="minorHAnsi" w:hAnsiTheme="majorBidi" w:cstheme="majorBidi"/>
          <w:sz w:val="22"/>
          <w:szCs w:val="22"/>
          <w:lang w:val="sr-Latn-ME" w:eastAsia="ja-JP"/>
        </w:rPr>
        <w:t>je</w:t>
      </w:r>
      <w:r w:rsidRPr="00E814B7">
        <w:rPr>
          <w:rFonts w:asciiTheme="majorBidi" w:eastAsiaTheme="minorHAnsi" w:hAnsiTheme="majorBidi" w:cstheme="majorBidi"/>
          <w:sz w:val="22"/>
          <w:szCs w:val="22"/>
          <w:lang w:val="sr-Latn-ME" w:eastAsia="ja-JP"/>
        </w:rPr>
        <w:t xml:space="preserve">su bili uključeni pacijenti sa ECOG statusom &gt;1 </w:t>
      </w:r>
      <w:r w:rsidRPr="00E814B7">
        <w:rPr>
          <w:rFonts w:asciiTheme="majorBidi" w:eastAsiaTheme="minorHAnsi" w:hAnsiTheme="majorBidi" w:cstheme="majorBidi"/>
          <w:sz w:val="22"/>
          <w:szCs w:val="22"/>
          <w:lang w:val="sr-Latn-ME"/>
        </w:rPr>
        <w:t xml:space="preserve">(engl. </w:t>
      </w:r>
      <w:r w:rsidRPr="00E814B7">
        <w:rPr>
          <w:rFonts w:asciiTheme="majorBidi" w:eastAsiaTheme="minorHAnsi" w:hAnsiTheme="majorBidi" w:cstheme="majorBidi"/>
          <w:i/>
          <w:iCs/>
          <w:sz w:val="22"/>
          <w:szCs w:val="22"/>
          <w:lang w:val="sr-Latn-ME"/>
        </w:rPr>
        <w:t>Eastern Cooperative Oncology Group</w:t>
      </w:r>
      <w:r w:rsidRPr="00E814B7">
        <w:rPr>
          <w:rFonts w:asciiTheme="majorBidi" w:eastAsiaTheme="minorHAnsi" w:hAnsiTheme="majorBidi" w:cstheme="majorBidi"/>
          <w:iCs/>
          <w:sz w:val="22"/>
          <w:szCs w:val="22"/>
          <w:lang w:val="sr-Latn-ME"/>
        </w:rPr>
        <w:t>, ECOG</w:t>
      </w:r>
      <w:r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eastAsia="ja-JP"/>
        </w:rPr>
        <w:t>, značajnim hepatičkim ili bubrežnim komorbiditetima.</w:t>
      </w:r>
    </w:p>
    <w:p w14:paraId="40D56567" w14:textId="77777777" w:rsidR="00974656" w:rsidRPr="00E814B7" w:rsidRDefault="00974656" w:rsidP="00E814B7">
      <w:pPr>
        <w:jc w:val="both"/>
        <w:rPr>
          <w:rFonts w:asciiTheme="majorBidi" w:eastAsiaTheme="minorHAnsi" w:hAnsiTheme="majorBidi" w:cstheme="majorBidi"/>
          <w:sz w:val="22"/>
          <w:szCs w:val="22"/>
          <w:lang w:val="sr-Latn-ME" w:eastAsia="ja-JP"/>
        </w:rPr>
      </w:pPr>
    </w:p>
    <w:p w14:paraId="48D83E3A" w14:textId="7415AB7A" w:rsidR="00B667C5" w:rsidRPr="00E814B7" w:rsidRDefault="00B667C5" w:rsidP="00E814B7">
      <w:pPr>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U ovoj studiji ukupna populacija ostvarila je korist u pogledu PFS kao primarnog cilja studije (HR = 0,71; p &lt; 0,0001) i OS kao sekundarnog cilja studije (HR = 0,81; p = 0,0088). Međutim, najveća korist je zapažena u unapr</w:t>
      </w:r>
      <w:r w:rsidR="00213591" w:rsidRPr="00E814B7">
        <w:rPr>
          <w:rFonts w:asciiTheme="majorBidi" w:eastAsiaTheme="minorHAnsi" w:hAnsiTheme="majorBidi" w:cstheme="majorBidi"/>
          <w:sz w:val="22"/>
          <w:szCs w:val="22"/>
          <w:lang w:val="sr-Latn-ME" w:eastAsia="ja-JP"/>
        </w:rPr>
        <w:t>ij</w:t>
      </w:r>
      <w:r w:rsidRPr="00E814B7">
        <w:rPr>
          <w:rFonts w:asciiTheme="majorBidi" w:eastAsiaTheme="minorHAnsi" w:hAnsiTheme="majorBidi" w:cstheme="majorBidi"/>
          <w:sz w:val="22"/>
          <w:szCs w:val="22"/>
          <w:lang w:val="sr-Latn-ME" w:eastAsia="ja-JP"/>
        </w:rPr>
        <w:t>ed definisanoj eksplorativnoj analizi sprovedenoj na pacijenatima sa EGFR aktivirajućim mutacijama (n = 49), koja je pokazala značajnu korist u pogledu PFS (HR = 0,10; 95% CI: 0,04 – 0,25; p &lt; 0,0001), dok je HR za ukupno preživljavanje (OS) iznosio 0,83 (95% CI: 0,34 – 2,02). Šezdeset sedam posto (67%) pacijenata koji su primali placebo iz podgrupe pozitivne na EGFR mutacije, primilo je i drugu ili narednu liniju terapije inhibitorima tirozin kinaze EGFR (EGFR-TKI).</w:t>
      </w:r>
    </w:p>
    <w:p w14:paraId="2AD8122F" w14:textId="77777777" w:rsidR="00B667C5" w:rsidRPr="00E814B7" w:rsidRDefault="00B667C5" w:rsidP="00E814B7">
      <w:pPr>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Studija BO25460 (IUNO) sprovedena je na 643 pacijenta sa uznapredovalim NSCLC čiji tumori nisu imali EGFR aktivirajuću mutaciju (deleciju egzona 19 ili mutaciju L858R na egzonu 21) i koji nisu doživjeli progresiju bolesti nakon četiri ciklusa hemioterapije na bazi platine.</w:t>
      </w:r>
    </w:p>
    <w:p w14:paraId="7616DEB9" w14:textId="77777777" w:rsidR="00974656" w:rsidRPr="00E814B7" w:rsidRDefault="00974656" w:rsidP="00E814B7">
      <w:pPr>
        <w:jc w:val="both"/>
        <w:rPr>
          <w:rFonts w:asciiTheme="majorBidi" w:eastAsiaTheme="minorHAnsi" w:hAnsiTheme="majorBidi" w:cstheme="majorBidi"/>
          <w:sz w:val="22"/>
          <w:szCs w:val="22"/>
          <w:lang w:val="sr-Latn-ME" w:eastAsia="ja-JP"/>
        </w:rPr>
      </w:pPr>
    </w:p>
    <w:p w14:paraId="3E3E6A1E" w14:textId="7E604F8B" w:rsidR="00B667C5" w:rsidRPr="00E814B7" w:rsidRDefault="00B667C5" w:rsidP="00E814B7">
      <w:pPr>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 xml:space="preserve">Cilj studije bio je poređenje ukupnog preživljavanja (engl. </w:t>
      </w:r>
      <w:r w:rsidRPr="00E814B7">
        <w:rPr>
          <w:rFonts w:asciiTheme="majorBidi" w:eastAsiaTheme="minorHAnsi" w:hAnsiTheme="majorBidi" w:cstheme="majorBidi"/>
          <w:i/>
          <w:sz w:val="22"/>
          <w:szCs w:val="22"/>
          <w:lang w:val="sr-Latn-ME" w:eastAsia="ja-JP"/>
        </w:rPr>
        <w:t>overall survival</w:t>
      </w:r>
      <w:r w:rsidRPr="00E814B7">
        <w:rPr>
          <w:rFonts w:asciiTheme="majorBidi" w:eastAsiaTheme="minorHAnsi" w:hAnsiTheme="majorBidi" w:cstheme="majorBidi"/>
          <w:sz w:val="22"/>
          <w:szCs w:val="22"/>
          <w:lang w:val="sr-Latn-ME" w:eastAsia="ja-JP"/>
        </w:rPr>
        <w:t>, OS) uz erlotinib prim</w:t>
      </w:r>
      <w:r w:rsidR="00213591" w:rsidRPr="00E814B7">
        <w:rPr>
          <w:rFonts w:asciiTheme="majorBidi" w:eastAsiaTheme="minorHAnsi" w:hAnsiTheme="majorBidi" w:cstheme="majorBidi"/>
          <w:sz w:val="22"/>
          <w:szCs w:val="22"/>
          <w:lang w:val="sr-Latn-ME" w:eastAsia="ja-JP"/>
        </w:rPr>
        <w:t>i</w:t>
      </w:r>
      <w:r w:rsidRPr="00E814B7">
        <w:rPr>
          <w:rFonts w:asciiTheme="majorBidi" w:eastAsiaTheme="minorHAnsi" w:hAnsiTheme="majorBidi" w:cstheme="majorBidi"/>
          <w:sz w:val="22"/>
          <w:szCs w:val="22"/>
          <w:lang w:val="sr-Latn-ME" w:eastAsia="ja-JP"/>
        </w:rPr>
        <w:t>jenjen u prvoj liniji terapije održavanja u odnosu na OS kod primjene erlotiniba u trenutku progresije bolesti. Primarni cilj studije nije postignut. OS pri primjeni erlotiniba kao prve linije terapije održavanja kod pacijenata čiji tumor nije imao EGFR aktivirajuću mutaciju, nije bio superioran u odnosu na OS ostvaren kada je erlotinib primjenjivan kao druga linija liječenja (HR = 1,02; 95% CI: 0,85 – 1,22; p = 0,82). Sekundarni cilj studije (PFS) nije pokazao razliku između erlotiniba i placeba u terapiji održavanja (HR = 0,94; 95% CI: 0,80 – 1,11; p = 0,48).</w:t>
      </w:r>
    </w:p>
    <w:p w14:paraId="3DC84D08" w14:textId="77777777" w:rsidR="00974656" w:rsidRPr="00E814B7" w:rsidRDefault="00974656" w:rsidP="00E814B7">
      <w:pPr>
        <w:jc w:val="both"/>
        <w:rPr>
          <w:rFonts w:asciiTheme="majorBidi" w:eastAsiaTheme="minorHAnsi" w:hAnsiTheme="majorBidi" w:cstheme="majorBidi"/>
          <w:sz w:val="22"/>
          <w:szCs w:val="22"/>
          <w:lang w:val="sr-Latn-ME" w:eastAsia="ja-JP"/>
        </w:rPr>
      </w:pPr>
    </w:p>
    <w:p w14:paraId="7B79E0F4" w14:textId="666B4F26" w:rsidR="00B667C5" w:rsidRPr="00E814B7" w:rsidRDefault="00B667C5" w:rsidP="00E814B7">
      <w:pPr>
        <w:jc w:val="both"/>
        <w:rPr>
          <w:rFonts w:asciiTheme="majorBidi" w:eastAsiaTheme="minorHAnsi" w:hAnsiTheme="majorBidi" w:cstheme="majorBidi"/>
          <w:sz w:val="22"/>
          <w:szCs w:val="22"/>
          <w:lang w:val="sr-Latn-ME" w:eastAsia="ja-JP"/>
        </w:rPr>
      </w:pPr>
      <w:r w:rsidRPr="00E814B7">
        <w:rPr>
          <w:rFonts w:asciiTheme="majorBidi" w:eastAsiaTheme="minorHAnsi" w:hAnsiTheme="majorBidi" w:cstheme="majorBidi"/>
          <w:sz w:val="22"/>
          <w:szCs w:val="22"/>
          <w:lang w:val="sr-Latn-ME" w:eastAsia="ja-JP"/>
        </w:rPr>
        <w:t>Na osnovu podataka iz studije BO25460 (IUNO), ne preporučuje se primjena erlotiniba za prvu liniju terapije održavanja kod pacijenata bez EGFR aktivirajućih mutacija.</w:t>
      </w:r>
    </w:p>
    <w:p w14:paraId="76463BCD" w14:textId="12B1E299" w:rsidR="00B667C5" w:rsidRPr="00E814B7" w:rsidRDefault="00B667C5" w:rsidP="00E814B7">
      <w:pPr>
        <w:tabs>
          <w:tab w:val="left" w:pos="540"/>
          <w:tab w:val="left" w:pos="569"/>
        </w:tabs>
        <w:jc w:val="both"/>
        <w:rPr>
          <w:rFonts w:asciiTheme="majorBidi" w:hAnsiTheme="majorBidi" w:cstheme="majorBidi"/>
          <w:sz w:val="22"/>
          <w:szCs w:val="22"/>
          <w:lang w:val="sr-Latn-ME"/>
        </w:rPr>
      </w:pPr>
    </w:p>
    <w:p w14:paraId="537C0F4E" w14:textId="52B65CB1" w:rsidR="00B667C5" w:rsidRPr="00E814B7" w:rsidRDefault="00B667C5" w:rsidP="00E814B7">
      <w:pPr>
        <w:jc w:val="both"/>
        <w:rPr>
          <w:rFonts w:asciiTheme="majorBidi" w:eastAsiaTheme="minorHAnsi" w:hAnsiTheme="majorBidi" w:cstheme="majorBidi"/>
          <w:sz w:val="22"/>
          <w:szCs w:val="22"/>
          <w:u w:val="single"/>
          <w:lang w:val="sr-Latn-ME"/>
        </w:rPr>
      </w:pPr>
      <w:r w:rsidRPr="00E814B7">
        <w:rPr>
          <w:rFonts w:asciiTheme="majorBidi" w:eastAsiaTheme="minorHAnsi" w:hAnsiTheme="majorBidi" w:cstheme="majorBidi"/>
          <w:sz w:val="22"/>
          <w:szCs w:val="22"/>
          <w:u w:val="single"/>
          <w:lang w:val="sr-Latn-ME"/>
        </w:rPr>
        <w:t>Terapija NSCLC nakon neuspjeha primjene barem jednog hemioterapijskog režima (</w:t>
      </w:r>
      <w:r w:rsidR="00974656" w:rsidRPr="00E814B7">
        <w:rPr>
          <w:rFonts w:asciiTheme="majorBidi" w:eastAsiaTheme="minorHAnsi" w:hAnsiTheme="majorBidi" w:cstheme="majorBidi"/>
          <w:sz w:val="22"/>
          <w:szCs w:val="22"/>
          <w:u w:val="single"/>
          <w:lang w:val="sr-Latn-ME"/>
        </w:rPr>
        <w:t>erlotinib</w:t>
      </w:r>
      <w:r w:rsidRPr="00E814B7">
        <w:rPr>
          <w:rFonts w:asciiTheme="majorBidi" w:eastAsiaTheme="minorHAnsi" w:hAnsiTheme="majorBidi" w:cstheme="majorBidi"/>
          <w:sz w:val="22"/>
          <w:szCs w:val="22"/>
          <w:u w:val="single"/>
          <w:lang w:val="sr-Latn-ME"/>
        </w:rPr>
        <w:t xml:space="preserve"> primjenjen kao monoterapija):</w:t>
      </w:r>
    </w:p>
    <w:p w14:paraId="59641347"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Efikasnost i bezbjednost erlotiniba kao druge/treće linije terapije pokazana je u randomizovanoj, dvostruko slijepoj, placebo kontrolisanoj studiji (BR.21), koja je obuhvatila 731 pacijenta sa lokalno uznapredovalim ili metastatskim NSCLC poslije neuspjeha primjene barem jednog hemioterapijskog režima. Pacijenti su randomizovani u odnosu 2:1 da primaju erlotinib 150 mg ili placebo oralno jednom </w:t>
      </w:r>
      <w:r w:rsidRPr="00E814B7">
        <w:rPr>
          <w:rFonts w:asciiTheme="majorBidi" w:eastAsiaTheme="minorHAnsi" w:hAnsiTheme="majorBidi" w:cstheme="majorBidi"/>
          <w:sz w:val="22"/>
          <w:szCs w:val="22"/>
          <w:lang w:val="sr-Latn-ME"/>
        </w:rPr>
        <w:lastRenderedPageBreak/>
        <w:t xml:space="preserve">dnevno. Ciljevi studije su uključivali ukupno preživljavanje, preživljavanje bez progresije bolesti (PFS), stopu odgovora, trajanje odgovora, vrijeme do pogoršanja simptoma povezanih sa karcinomom pluća (kašalj, dispneja i bol), kao i bezbjednost terapije. Primarni cilj bio je preživljavanje. </w:t>
      </w:r>
    </w:p>
    <w:p w14:paraId="07DFB113" w14:textId="77777777" w:rsidR="00974656" w:rsidRPr="00E814B7" w:rsidRDefault="00974656" w:rsidP="00E814B7">
      <w:pPr>
        <w:jc w:val="both"/>
        <w:rPr>
          <w:rFonts w:asciiTheme="majorBidi" w:eastAsiaTheme="minorHAnsi" w:hAnsiTheme="majorBidi" w:cstheme="majorBidi"/>
          <w:sz w:val="22"/>
          <w:szCs w:val="22"/>
          <w:lang w:val="sr-Latn-ME"/>
        </w:rPr>
      </w:pPr>
    </w:p>
    <w:p w14:paraId="6F4472DE" w14:textId="7151F4EB"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Demografske karakteristike bile su dobro uravnotežene između dvije grupe. Oko dvije trećine pacijenata činili su muškarci i otprilike jedna trećina imala je prije početka ECOG funkcionalni status 2 (engl. </w:t>
      </w:r>
      <w:r w:rsidR="003A13F9" w:rsidRPr="00E814B7">
        <w:rPr>
          <w:rFonts w:asciiTheme="majorBidi" w:eastAsiaTheme="minorHAnsi" w:hAnsiTheme="majorBidi" w:cstheme="majorBidi"/>
          <w:i/>
          <w:sz w:val="22"/>
          <w:szCs w:val="22"/>
          <w:lang w:val="sr-Latn-ME"/>
        </w:rPr>
        <w:t>Eastern Cooperative Oncology Group</w:t>
      </w:r>
      <w:r w:rsidRPr="00E814B7">
        <w:rPr>
          <w:rFonts w:asciiTheme="majorBidi" w:eastAsiaTheme="minorHAnsi" w:hAnsiTheme="majorBidi" w:cstheme="majorBidi"/>
          <w:sz w:val="22"/>
          <w:szCs w:val="22"/>
          <w:lang w:val="sr-Latn-ME"/>
        </w:rPr>
        <w:t xml:space="preserve">), a 9% pacijenata su imali početni ECOG </w:t>
      </w:r>
      <w:r w:rsidR="003A13F9" w:rsidRPr="00E814B7">
        <w:rPr>
          <w:rFonts w:asciiTheme="majorBidi" w:eastAsiaTheme="minorHAnsi" w:hAnsiTheme="majorBidi" w:cstheme="majorBidi"/>
          <w:sz w:val="22"/>
          <w:szCs w:val="22"/>
          <w:lang w:val="sr-Latn-ME"/>
        </w:rPr>
        <w:t>status</w:t>
      </w:r>
      <w:r w:rsidRPr="00E814B7">
        <w:rPr>
          <w:rFonts w:asciiTheme="majorBidi" w:eastAsiaTheme="minorHAnsi" w:hAnsiTheme="majorBidi" w:cstheme="majorBidi"/>
          <w:sz w:val="22"/>
          <w:szCs w:val="22"/>
          <w:lang w:val="sr-Latn-ME"/>
        </w:rPr>
        <w:t xml:space="preserve"> 3. Devedeset tri procenta (93%), odnosno 92% svih pacijenata u grupi koja je primala erlotinib, odnosno u grupi koja je primala placebo, prethodno su primali terapiju koja je sadržala platinu, dok je 36%, odnosno 37% svih pacijenata prethodno primalo terapiju koja je sadržala taksane. </w:t>
      </w:r>
    </w:p>
    <w:p w14:paraId="1F7F6AF1" w14:textId="77777777" w:rsidR="00974656" w:rsidRPr="00E814B7" w:rsidRDefault="00974656" w:rsidP="00E814B7">
      <w:pPr>
        <w:jc w:val="both"/>
        <w:rPr>
          <w:rFonts w:asciiTheme="majorBidi" w:eastAsiaTheme="minorHAnsi" w:hAnsiTheme="majorBidi" w:cstheme="majorBidi"/>
          <w:sz w:val="22"/>
          <w:szCs w:val="22"/>
          <w:lang w:val="sr-Latn-ME"/>
        </w:rPr>
      </w:pPr>
    </w:p>
    <w:p w14:paraId="2FF793F4" w14:textId="2B98C9B8"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Prilagođeni koeficijenat rizika (engl. </w:t>
      </w:r>
      <w:r w:rsidRPr="00E814B7">
        <w:rPr>
          <w:rFonts w:asciiTheme="majorBidi" w:eastAsiaTheme="minorHAnsi" w:hAnsiTheme="majorBidi" w:cstheme="majorBidi"/>
          <w:i/>
          <w:sz w:val="22"/>
          <w:szCs w:val="22"/>
          <w:lang w:val="sr-Latn-ME"/>
        </w:rPr>
        <w:t>adjusted hazard ratio</w:t>
      </w:r>
      <w:r w:rsidRPr="00E814B7">
        <w:rPr>
          <w:rFonts w:asciiTheme="majorBidi" w:eastAsiaTheme="minorHAnsi" w:hAnsiTheme="majorBidi" w:cstheme="majorBidi"/>
          <w:sz w:val="22"/>
          <w:szCs w:val="22"/>
          <w:lang w:val="sr-Latn-ME"/>
        </w:rPr>
        <w:t>, HR) za smrtni ishod u grupi koja je primala erlotinib u odnosu na grupu koja je primala placebo, iznosio je 0,73 (95% CI: 0,60 – 0,87) (p=0,001). Procenat pacijenata koji su preživjeli 12 mjeseci bio je 31,2% u grupi koja je primala erlotinib i 21,5% u grupi koja je primala placebo. Medijana ukupnog preživljavanja u grupi koja je primala erlotinib iznosila je 6,7 mjeseci (95% CI: 5,5 – 7,8 mjeseci), u poređenju sa 4,7 mjeseci u grupi koja je primala placebo (95% CI: 4,1 – 6,3 mjeseci).</w:t>
      </w:r>
    </w:p>
    <w:p w14:paraId="1FA2C81E" w14:textId="77777777" w:rsidR="00974656" w:rsidRPr="00E814B7" w:rsidRDefault="00974656" w:rsidP="00E814B7">
      <w:pPr>
        <w:jc w:val="both"/>
        <w:rPr>
          <w:rFonts w:asciiTheme="majorBidi" w:eastAsiaTheme="minorHAnsi" w:hAnsiTheme="majorBidi" w:cstheme="majorBidi"/>
          <w:sz w:val="22"/>
          <w:szCs w:val="22"/>
          <w:lang w:val="sr-Latn-ME"/>
        </w:rPr>
      </w:pPr>
    </w:p>
    <w:p w14:paraId="47F3C14C" w14:textId="2D3E03E0"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Efekat na ukupno preživljavanje ispitivan je u različitim podgrupama pacijenata. Efekat erlotiniba na ukupno preživljavanje bio je sličan kod pacijenata koji su imali performans status na početku liječenja (ECOG) između 2 i 3 (HR=0,77; 95% CI: 0,6-1,0) ili od 0 do 1 (HR=0,73; 95% CI: 0,6-0,9), muškaraca (HR=0,76; 95% CI 0,6-0,9) ili žena (HR=0,80; 95% CI 0,6-1,1), kod pacijenata mlađih od 65 godina (HR=0,75; 95% CI 0,6-0,9) ili kod starijih pacijenata (HR=0,79; 95% CI 0,6-1,0), kod pacijenata ranije podvrgnutih jednom terapijskom režimu (HR=0,76; 95% CI 0,6-1,0) ili su imali više od jednog terapijskog režima (HR=0,75; 95% CI 0,6-1,0), kod pacijenata bijele rase (HR=0,79; 95% CI 0,6-1,0) ili Azijskih pacijenata (HR=0,61; 95% CI 0,4-1,0), kod pacijenata sa adenokarcinomom (HR=0,71; 95% CI 0,6-0,9) ili karcinomom skvamoznih ćelija (HR=0,67; 95% CI 0,5-0,9), ali ne i kod pacijenata sa drugačijim histološkim nalazima (HR=1,04; 95% CI 0,7-1,5), kod pacijenata u četvrtom stadijumu bolesti pri postavljanju dijagnoze (HR=0,92; 95% CI 0,7-1,2), ili stadijumu bolesti &lt; od četvrtog pri postavljanju dijagnoze (HR=0,65; 95% CI 0,5-0,8). Pacijenti koji nikada ni</w:t>
      </w:r>
      <w:r w:rsidR="00AA3F75"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pušili imali su daleko veću korist od terapije erlotinibom (HR preživljavanja =0,42; 95% CI 0,28-0,64) u poređenju sa onima koji puše ili su ranije pušili (HR=0,87; 95% CI 0,71-1,05).</w:t>
      </w:r>
    </w:p>
    <w:p w14:paraId="7BC6111C" w14:textId="77777777" w:rsidR="002A5B96" w:rsidRPr="00E814B7" w:rsidRDefault="002A5B96" w:rsidP="00E814B7">
      <w:pPr>
        <w:jc w:val="both"/>
        <w:rPr>
          <w:rFonts w:asciiTheme="majorBidi" w:eastAsiaTheme="minorHAnsi" w:hAnsiTheme="majorBidi" w:cstheme="majorBidi"/>
          <w:sz w:val="22"/>
          <w:szCs w:val="22"/>
          <w:lang w:val="sr-Latn-ME"/>
        </w:rPr>
      </w:pPr>
    </w:p>
    <w:p w14:paraId="6D4B494A" w14:textId="5318DC3E"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Kod 45% pacijenata sa poznatim statusom ekspresije EGFR, koeficijent rizika </w:t>
      </w:r>
      <w:r w:rsidRPr="00E814B7">
        <w:rPr>
          <w:rFonts w:asciiTheme="majorBidi" w:eastAsiaTheme="minorHAnsi" w:hAnsiTheme="majorBidi" w:cstheme="majorBidi"/>
          <w:i/>
          <w:sz w:val="22"/>
          <w:szCs w:val="22"/>
          <w:lang w:val="sr-Latn-ME"/>
        </w:rPr>
        <w:t>(</w:t>
      </w:r>
      <w:r w:rsidRPr="00E814B7">
        <w:rPr>
          <w:rFonts w:asciiTheme="majorBidi" w:eastAsiaTheme="minorHAnsi" w:hAnsiTheme="majorBidi" w:cstheme="majorBidi"/>
          <w:sz w:val="22"/>
          <w:szCs w:val="22"/>
          <w:lang w:val="sr-Latn-ME"/>
        </w:rPr>
        <w:t xml:space="preserve">HR, </w:t>
      </w:r>
      <w:r w:rsidRPr="00E814B7">
        <w:rPr>
          <w:rFonts w:asciiTheme="majorBidi" w:eastAsiaTheme="minorHAnsi" w:hAnsiTheme="majorBidi" w:cstheme="majorBidi"/>
          <w:i/>
          <w:sz w:val="22"/>
          <w:szCs w:val="22"/>
          <w:lang w:val="sr-Latn-ME"/>
        </w:rPr>
        <w:t>hazard ratio)</w:t>
      </w:r>
      <w:r w:rsidRPr="00E814B7">
        <w:rPr>
          <w:rFonts w:asciiTheme="majorBidi" w:eastAsiaTheme="minorHAnsi" w:hAnsiTheme="majorBidi" w:cstheme="majorBidi"/>
          <w:sz w:val="22"/>
          <w:szCs w:val="22"/>
          <w:lang w:val="sr-Latn-ME"/>
        </w:rPr>
        <w:t xml:space="preserve"> bio je 0,68 (95% CI 0,49-0,94) za pacijente sa EGFR pozitivnim tumorima i 0,93 (95%CI 0,63-1,36) za pacijente sa EGFR negativnim tumorima (definisano na osnovu imunohistohemije korištenjem EGFR pharmDx kita i definisano EGFRnegativno kada postoji manje od 10% bojenja tumorskih ćelija). Kod preostalih 55% pacijenata sa nepoznatim EGFR statusom ekspresije, HR je iznosio 0,77 (95% CI 0,61-0,98). </w:t>
      </w:r>
    </w:p>
    <w:p w14:paraId="138F31CE" w14:textId="77777777" w:rsidR="002A5B96" w:rsidRPr="00E814B7" w:rsidRDefault="002A5B96" w:rsidP="00E814B7">
      <w:pPr>
        <w:jc w:val="both"/>
        <w:rPr>
          <w:rFonts w:asciiTheme="majorBidi" w:eastAsiaTheme="minorHAnsi" w:hAnsiTheme="majorBidi" w:cstheme="majorBidi"/>
          <w:sz w:val="22"/>
          <w:szCs w:val="22"/>
          <w:lang w:val="sr-Latn-ME"/>
        </w:rPr>
      </w:pPr>
    </w:p>
    <w:p w14:paraId="7C477D10" w14:textId="2FA1D70A"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Srednje PFS iznosilo je 9,7 ned</w:t>
      </w:r>
      <w:r w:rsidR="00AA3F75"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elja u grupi koja je primala erlotinib (95% CI, 8,4 do 12,4 ned</w:t>
      </w:r>
      <w:r w:rsidR="00D8098E"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elje) u poređenju sa 8,0 ned</w:t>
      </w:r>
      <w:r w:rsidR="00D8098E"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elja u grupi koja je primala placebo (95% CI, 7,9 do 8,1 ned</w:t>
      </w:r>
      <w:r w:rsidR="00D8098E"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elja).</w:t>
      </w:r>
    </w:p>
    <w:p w14:paraId="12085F30" w14:textId="77777777" w:rsidR="002A5B96" w:rsidRPr="00E814B7" w:rsidRDefault="002A5B96" w:rsidP="00E814B7">
      <w:pPr>
        <w:jc w:val="both"/>
        <w:rPr>
          <w:rFonts w:asciiTheme="majorBidi" w:eastAsiaTheme="minorHAnsi" w:hAnsiTheme="majorBidi" w:cstheme="majorBidi"/>
          <w:sz w:val="22"/>
          <w:szCs w:val="22"/>
          <w:lang w:val="sr-Latn-ME"/>
        </w:rPr>
      </w:pPr>
    </w:p>
    <w:p w14:paraId="5D95BF47" w14:textId="77765784"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Objektivna stopa odgovora prema RECIST (engl. </w:t>
      </w:r>
      <w:r w:rsidRPr="00E814B7">
        <w:rPr>
          <w:rFonts w:asciiTheme="majorBidi" w:eastAsiaTheme="minorHAnsi" w:hAnsiTheme="majorBidi" w:cstheme="majorBidi"/>
          <w:i/>
          <w:sz w:val="22"/>
          <w:szCs w:val="22"/>
          <w:lang w:val="sr-Latn-ME"/>
        </w:rPr>
        <w:t>Response Evaluation Criteria in Solid Tumors</w:t>
      </w:r>
      <w:r w:rsidRPr="00E814B7">
        <w:rPr>
          <w:rFonts w:asciiTheme="majorBidi" w:eastAsiaTheme="minorHAnsi" w:hAnsiTheme="majorBidi" w:cstheme="majorBidi"/>
          <w:sz w:val="22"/>
          <w:szCs w:val="22"/>
          <w:lang w:val="sr-Latn-ME"/>
        </w:rPr>
        <w:t xml:space="preserve">) u grupi koja je primala erlotinib iznosila je 8,9% (95% CI, 6,4 do 12,0). Prvih 330 pacijenata centralno je procjenjivano (stopa odgovora 6,2%); 401 pacijenta procjenjivali su istraživači (stopa odgovora 11,2%). </w:t>
      </w:r>
    </w:p>
    <w:p w14:paraId="54D7F95B" w14:textId="66386E35"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Srednje trajanje odgovora iznosilo je 34,3 nedjelje, i kretalo se u rasponu između 9,7 do 57,6+ nedjelja. Procenat pacijenata koji su ostvarili kompletan odgovor, parcijalan odgovor ili stabilizaciju bolesti u grupi koja je primala erlotinib iznosio je 44,0%, a u grupi koja je primala placebo 27,5%  (p=0,004). </w:t>
      </w:r>
    </w:p>
    <w:p w14:paraId="387DF4C7" w14:textId="77777777" w:rsidR="002A5B96" w:rsidRPr="00E814B7" w:rsidRDefault="002A5B96" w:rsidP="00E814B7">
      <w:pPr>
        <w:jc w:val="both"/>
        <w:rPr>
          <w:rFonts w:asciiTheme="majorBidi" w:eastAsiaTheme="minorHAnsi" w:hAnsiTheme="majorBidi" w:cstheme="majorBidi"/>
          <w:sz w:val="22"/>
          <w:szCs w:val="22"/>
          <w:lang w:val="sr-Latn-ME"/>
        </w:rPr>
      </w:pPr>
    </w:p>
    <w:p w14:paraId="7C860DD8" w14:textId="1769EEF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Prednost u preživljavanju sa erlotinibom primjećena je takođe kod pacijenata koji ni</w:t>
      </w:r>
      <w:r w:rsidR="00AA3F75"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 xml:space="preserve">su postigli objektivan odgovor tumora (prema RECIST). To je potvrđeno koeficijentom rizika (HR) za smrtni ishod od 0,82 (95% CI, 0,68 do 0,99) među pacijentima čiji je najbolji odgovor bio stabilna bolest ili progresivna bolest. </w:t>
      </w:r>
    </w:p>
    <w:p w14:paraId="3DCE05FD" w14:textId="77777777" w:rsidR="00B667C5" w:rsidRPr="00E814B7" w:rsidRDefault="00B667C5" w:rsidP="00E814B7">
      <w:pPr>
        <w:jc w:val="both"/>
        <w:rPr>
          <w:rFonts w:asciiTheme="majorBidi" w:eastAsiaTheme="minorHAnsi" w:hAnsiTheme="majorBidi" w:cstheme="majorBidi"/>
          <w:sz w:val="22"/>
          <w:szCs w:val="22"/>
          <w:lang w:val="sr-Latn-ME"/>
        </w:rPr>
      </w:pPr>
    </w:p>
    <w:p w14:paraId="23C891C1"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Primjena erlotiniba dovela je do poboljšanja simptoma značajno produžujući vrijeme do pogoršanja kašlja, dispneje i bola, u odnosu na placebo. </w:t>
      </w:r>
    </w:p>
    <w:p w14:paraId="34C6A725" w14:textId="3ADC6C1E" w:rsidR="002A5B96" w:rsidRDefault="002A5B96"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lastRenderedPageBreak/>
        <w:t xml:space="preserve">U dvostrukom slijepom, randomizovanom ispitivanju faze III (MO22162, CURRENTS), u kojem su se upoređivale dvije doze erlotiniba (300 mg naspram 150 mg) kod pacijenata pušača (srednja vrijednost 38 kutija-godina) sa lokalno uznapredovalim ili metastatskim NSCLC-om u drugoj liniji liječenja nakon neuspješne hemioterapije, doza erlotiniba od 300 mg nije ostvarila dodatne korisne </w:t>
      </w:r>
      <w:r w:rsidR="00AA3F75" w:rsidRPr="00E814B7">
        <w:rPr>
          <w:rFonts w:asciiTheme="majorBidi" w:eastAsiaTheme="minorHAnsi" w:hAnsiTheme="majorBidi" w:cstheme="majorBidi"/>
          <w:sz w:val="22"/>
          <w:szCs w:val="22"/>
          <w:lang w:val="sr-Latn-ME"/>
        </w:rPr>
        <w:t xml:space="preserve">efekte </w:t>
      </w:r>
      <w:r w:rsidRPr="00E814B7">
        <w:rPr>
          <w:rFonts w:asciiTheme="majorBidi" w:eastAsiaTheme="minorHAnsi" w:hAnsiTheme="majorBidi" w:cstheme="majorBidi"/>
          <w:sz w:val="22"/>
          <w:szCs w:val="22"/>
          <w:lang w:val="sr-Latn-ME"/>
        </w:rPr>
        <w:t>na PFS u odnosu na preporučenu dozu (7,00 naspram 6,86 ned</w:t>
      </w:r>
      <w:r w:rsidR="00A90034"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elja).</w:t>
      </w:r>
    </w:p>
    <w:p w14:paraId="352C8886" w14:textId="77777777" w:rsidR="00E814B7" w:rsidRPr="00E814B7" w:rsidRDefault="00E814B7" w:rsidP="00E814B7">
      <w:pPr>
        <w:jc w:val="both"/>
        <w:rPr>
          <w:rFonts w:asciiTheme="majorBidi" w:eastAsiaTheme="minorHAnsi" w:hAnsiTheme="majorBidi" w:cstheme="majorBidi"/>
          <w:sz w:val="22"/>
          <w:szCs w:val="22"/>
          <w:lang w:val="sr-Latn-ME"/>
        </w:rPr>
      </w:pPr>
    </w:p>
    <w:p w14:paraId="7D2C2360" w14:textId="1C9558AD" w:rsidR="002A5B96" w:rsidRDefault="002A5B96"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Sve sekundarne mjere ishoda efikasnosti bile su u skladu sa primarnom mjerom ishoda, te nije opažen</w:t>
      </w:r>
      <w:r w:rsidR="0089752D" w:rsidRPr="00E814B7">
        <w:rPr>
          <w:rFonts w:asciiTheme="majorBidi" w:eastAsiaTheme="minorHAnsi" w:hAnsiTheme="majorBidi" w:cstheme="majorBidi"/>
          <w:sz w:val="22"/>
          <w:szCs w:val="22"/>
          <w:lang w:val="sr-Latn-ME"/>
        </w:rPr>
        <w:t xml:space="preserve">a </w:t>
      </w:r>
      <w:r w:rsidRPr="00E814B7">
        <w:rPr>
          <w:rFonts w:asciiTheme="majorBidi" w:eastAsiaTheme="minorHAnsi" w:hAnsiTheme="majorBidi" w:cstheme="majorBidi"/>
          <w:sz w:val="22"/>
          <w:szCs w:val="22"/>
          <w:lang w:val="sr-Latn-ME"/>
        </w:rPr>
        <w:t>razlika za OS između bolesnika liječenih erlotinibom u dozi od 300 mg na dan i onih koji su primali dozu od 150 mg na dan (HR: 1,03; 95% CI: 0,80 – 1,32). Podaci o bezbjednosti za doze od 300 mg i 150 mg bili su uporedivi; međutim, kod pacijenata koji su primali višu dozu erlotiniba zab</w:t>
      </w:r>
      <w:r w:rsidR="00A90034" w:rsidRPr="00E814B7">
        <w:rPr>
          <w:rFonts w:asciiTheme="majorBidi" w:eastAsiaTheme="minorHAnsi" w:hAnsiTheme="majorBidi" w:cstheme="majorBidi"/>
          <w:sz w:val="22"/>
          <w:szCs w:val="22"/>
          <w:lang w:val="sr-Latn-ME"/>
        </w:rPr>
        <w:t>ilj</w:t>
      </w:r>
      <w:r w:rsidRPr="00E814B7">
        <w:rPr>
          <w:rFonts w:asciiTheme="majorBidi" w:eastAsiaTheme="minorHAnsi" w:hAnsiTheme="majorBidi" w:cstheme="majorBidi"/>
          <w:sz w:val="22"/>
          <w:szCs w:val="22"/>
          <w:lang w:val="sr-Latn-ME"/>
        </w:rPr>
        <w:t>eženo je brojčano povećanje incidencije osipa, intersticijske bolesti pluća i dijareje. Prema podacima iz ispitivanja CURRENTS, nije bilo dokaza da je korist liječenja u aktivnih pušača ve</w:t>
      </w:r>
      <w:r w:rsidR="0089752D" w:rsidRPr="00E814B7">
        <w:rPr>
          <w:rFonts w:asciiTheme="majorBidi" w:eastAsiaTheme="minorHAnsi" w:hAnsiTheme="majorBidi" w:cstheme="majorBidi"/>
          <w:sz w:val="22"/>
          <w:szCs w:val="22"/>
          <w:lang w:val="sr-Latn-ME"/>
        </w:rPr>
        <w:t>ć</w:t>
      </w:r>
      <w:r w:rsidRPr="00E814B7">
        <w:rPr>
          <w:rFonts w:asciiTheme="majorBidi" w:eastAsiaTheme="minorHAnsi" w:hAnsiTheme="majorBidi" w:cstheme="majorBidi"/>
          <w:sz w:val="22"/>
          <w:szCs w:val="22"/>
          <w:lang w:val="sr-Latn-ME"/>
        </w:rPr>
        <w:t>a kod primjene više doze erlotiniba (300 mg) nego kod primjene preporučene doze od 150 mg.</w:t>
      </w:r>
    </w:p>
    <w:p w14:paraId="2877AD15" w14:textId="77777777" w:rsidR="00E814B7" w:rsidRPr="00E814B7" w:rsidRDefault="00E814B7" w:rsidP="00E814B7">
      <w:pPr>
        <w:jc w:val="both"/>
        <w:rPr>
          <w:rFonts w:asciiTheme="majorBidi" w:eastAsiaTheme="minorHAnsi" w:hAnsiTheme="majorBidi" w:cstheme="majorBidi"/>
          <w:sz w:val="22"/>
          <w:szCs w:val="22"/>
          <w:lang w:val="sr-Latn-ME"/>
        </w:rPr>
      </w:pPr>
    </w:p>
    <w:p w14:paraId="375BDF23" w14:textId="4E92B794" w:rsidR="002A5B96" w:rsidRPr="00E814B7" w:rsidRDefault="002A5B96"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Pacijenti u ovom ispitivanju ni</w:t>
      </w:r>
      <w:r w:rsidR="00AA3F75"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birani na osnovu statusa EGF</w:t>
      </w:r>
      <w:r w:rsidR="0089752D" w:rsidRPr="00E814B7">
        <w:rPr>
          <w:rFonts w:asciiTheme="majorBidi" w:eastAsiaTheme="minorHAnsi" w:hAnsiTheme="majorBidi" w:cstheme="majorBidi"/>
          <w:sz w:val="22"/>
          <w:szCs w:val="22"/>
          <w:lang w:val="sr-Latn-ME"/>
        </w:rPr>
        <w:t>R</w:t>
      </w:r>
      <w:r w:rsidRPr="00E814B7">
        <w:rPr>
          <w:rFonts w:asciiTheme="majorBidi" w:eastAsiaTheme="minorHAnsi" w:hAnsiTheme="majorBidi" w:cstheme="majorBidi"/>
          <w:sz w:val="22"/>
          <w:szCs w:val="22"/>
          <w:lang w:val="sr-Latn-ME"/>
        </w:rPr>
        <w:t xml:space="preserve"> mutacije. Vidjeti djelove 4.2</w:t>
      </w:r>
      <w:r w:rsidR="003A0D82"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 xml:space="preserve"> 4.4</w:t>
      </w:r>
      <w:r w:rsidR="003A0D82" w:rsidRPr="00E814B7">
        <w:rPr>
          <w:rFonts w:asciiTheme="majorBidi" w:eastAsiaTheme="minorHAnsi" w:hAnsiTheme="majorBidi" w:cstheme="majorBidi"/>
          <w:sz w:val="22"/>
          <w:szCs w:val="22"/>
          <w:lang w:val="sr-Latn-ME"/>
        </w:rPr>
        <w:t>, 4.5 i 5.2.</w:t>
      </w:r>
    </w:p>
    <w:p w14:paraId="5C8A4237" w14:textId="77777777" w:rsidR="002A5B96" w:rsidRPr="00E814B7" w:rsidRDefault="002A5B96" w:rsidP="00E814B7">
      <w:pPr>
        <w:jc w:val="both"/>
        <w:rPr>
          <w:rFonts w:asciiTheme="majorBidi" w:eastAsiaTheme="minorHAnsi" w:hAnsiTheme="majorBidi" w:cstheme="majorBidi"/>
          <w:sz w:val="22"/>
          <w:szCs w:val="22"/>
          <w:lang w:val="sr-Latn-ME"/>
        </w:rPr>
      </w:pPr>
    </w:p>
    <w:p w14:paraId="00E4643A" w14:textId="484B468E"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u w:val="single"/>
          <w:lang w:val="sr-Latn-ME"/>
        </w:rPr>
        <w:t xml:space="preserve">Karcinom pankreasa (primjena </w:t>
      </w:r>
      <w:r w:rsidR="003A0D82" w:rsidRPr="00E814B7">
        <w:rPr>
          <w:rFonts w:asciiTheme="majorBidi" w:eastAsiaTheme="minorHAnsi" w:hAnsiTheme="majorBidi" w:cstheme="majorBidi"/>
          <w:sz w:val="22"/>
          <w:szCs w:val="22"/>
          <w:u w:val="single"/>
          <w:lang w:val="sr-Latn-ME"/>
        </w:rPr>
        <w:t>erlotiniba</w:t>
      </w:r>
      <w:r w:rsidRPr="00E814B7">
        <w:rPr>
          <w:rFonts w:asciiTheme="majorBidi" w:eastAsiaTheme="minorHAnsi" w:hAnsiTheme="majorBidi" w:cstheme="majorBidi"/>
          <w:sz w:val="22"/>
          <w:szCs w:val="22"/>
          <w:u w:val="single"/>
          <w:lang w:val="sr-Latn-ME"/>
        </w:rPr>
        <w:t xml:space="preserve"> u kombinaciji sa gemcitabinom u studiji PA.3)</w:t>
      </w:r>
      <w:r w:rsidRPr="00E814B7">
        <w:rPr>
          <w:rFonts w:asciiTheme="majorBidi" w:eastAsiaTheme="minorHAnsi" w:hAnsiTheme="majorBidi" w:cstheme="majorBidi"/>
          <w:sz w:val="22"/>
          <w:szCs w:val="22"/>
          <w:lang w:val="sr-Latn-ME"/>
        </w:rPr>
        <w:t xml:space="preserve">: </w:t>
      </w:r>
    </w:p>
    <w:p w14:paraId="54E5BA58" w14:textId="52341036" w:rsidR="00B667C5"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Efikasnost i bezbjednost primjene erlotiniba u kombinaciji sa gemcitabinom kao terapije prvog reda procjenjivani su u randomizovanoj, dvostruko slijepoj, placebo kontrolisanoj studiji kod pacijenata sa lokalno uznapredovalim, neoperabilnim ili metastatskim karcinomom pankreasa. Pacijenti su randomizovani da primaju erlotinib ili placebo jednom dnevno, kontinuiranim režimom doziranja, zajedno sa i.v. gemcitabinom (1000 mg/m</w:t>
      </w:r>
      <w:r w:rsidRPr="00E814B7">
        <w:rPr>
          <w:rFonts w:asciiTheme="majorBidi" w:eastAsiaTheme="minorHAnsi" w:hAnsiTheme="majorBidi" w:cstheme="majorBidi"/>
          <w:sz w:val="22"/>
          <w:szCs w:val="22"/>
          <w:vertAlign w:val="superscript"/>
          <w:lang w:val="sr-Latn-ME"/>
        </w:rPr>
        <w:t>2</w:t>
      </w:r>
      <w:r w:rsidRPr="00E814B7">
        <w:rPr>
          <w:rFonts w:asciiTheme="majorBidi" w:eastAsiaTheme="minorHAnsi" w:hAnsiTheme="majorBidi" w:cstheme="majorBidi"/>
          <w:sz w:val="22"/>
          <w:szCs w:val="22"/>
          <w:lang w:val="sr-Latn-ME"/>
        </w:rPr>
        <w:t>, ciklus 1 – dani 1, 8, 15, 22, 29, 36 i 43 tokom osmonedjeljnog ciklusa; ciklus 2 i sl</w:t>
      </w:r>
      <w:r w:rsidR="00AA3F75"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 xml:space="preserve">edeći ciklusi - dani 1, 8 i 15 tokom četvoronedjeljnog ciklusa [podatke o odobrenoj dozi i režimu doziranja za karcinom pankreasa pogledajte u Sažetku karakteristika lijeka za gemcitabin]. Erlotinib ili placebo su uzimani oralno, jednom dnevno, sve do progresije bolesti ili neprihvatljive toksičnosti. Primarni cilj je bio ukupno preživljavanje (OS). </w:t>
      </w:r>
    </w:p>
    <w:p w14:paraId="325EBB03" w14:textId="77777777" w:rsidR="00E814B7" w:rsidRPr="00E814B7" w:rsidRDefault="00E814B7" w:rsidP="00E814B7">
      <w:pPr>
        <w:jc w:val="both"/>
        <w:rPr>
          <w:rFonts w:asciiTheme="majorBidi" w:eastAsiaTheme="minorHAnsi" w:hAnsiTheme="majorBidi" w:cstheme="majorBidi"/>
          <w:sz w:val="22"/>
          <w:szCs w:val="22"/>
          <w:lang w:val="sr-Latn-ME"/>
        </w:rPr>
      </w:pPr>
    </w:p>
    <w:p w14:paraId="0C2AA16F" w14:textId="6C7BDEF9"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Demografske karakteristike i karakteristike bolesti kod pacijenata na početku ispitivanja bile su slične u obje terapijske grupe, u grupi koja je primala erlotinib 100 mg i gemcitabin ili u grupi koja je primala placebo i gemcitabin, osim što je u grupi erlotinib/gemcitabin bilo nešto više žena u poređenju sa grupom placebo/gemcitabin: </w:t>
      </w:r>
    </w:p>
    <w:p w14:paraId="6725DAB6" w14:textId="77777777" w:rsidR="00EE5E19" w:rsidRPr="00E814B7" w:rsidRDefault="00EE5E19" w:rsidP="00E814B7">
      <w:pPr>
        <w:jc w:val="both"/>
        <w:rPr>
          <w:rFonts w:asciiTheme="majorBidi" w:eastAsiaTheme="minorHAnsi" w:hAnsiTheme="majorBidi" w:cstheme="majorBidi"/>
          <w:sz w:val="22"/>
          <w:szCs w:val="22"/>
          <w:lang w:val="sr-Latn-ME"/>
        </w:rPr>
      </w:pPr>
    </w:p>
    <w:p w14:paraId="2C8D6072" w14:textId="77777777" w:rsidR="00B667C5" w:rsidRPr="00E814B7" w:rsidRDefault="00B667C5" w:rsidP="00E814B7">
      <w:pPr>
        <w:jc w:val="both"/>
        <w:rPr>
          <w:rFonts w:asciiTheme="majorBidi" w:eastAsiaTheme="minorHAnsi" w:hAnsiTheme="majorBidi" w:cstheme="majorBidi"/>
          <w:sz w:val="22"/>
          <w:szCs w:val="22"/>
          <w:lang w:val="sr-Latn-M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8"/>
        <w:gridCol w:w="1395"/>
        <w:gridCol w:w="1395"/>
      </w:tblGrid>
      <w:tr w:rsidR="00B667C5" w:rsidRPr="00E814B7" w14:paraId="3EBDA207" w14:textId="77777777" w:rsidTr="006F4656">
        <w:tc>
          <w:tcPr>
            <w:tcW w:w="6138" w:type="dxa"/>
            <w:shd w:val="clear" w:color="auto" w:fill="auto"/>
          </w:tcPr>
          <w:p w14:paraId="1090EEAD"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Na početku ispitivanja</w:t>
            </w:r>
          </w:p>
        </w:tc>
        <w:tc>
          <w:tcPr>
            <w:tcW w:w="1395" w:type="dxa"/>
            <w:shd w:val="clear" w:color="auto" w:fill="auto"/>
          </w:tcPr>
          <w:p w14:paraId="232115A7"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Erlotinib</w:t>
            </w:r>
          </w:p>
        </w:tc>
        <w:tc>
          <w:tcPr>
            <w:tcW w:w="1395" w:type="dxa"/>
            <w:shd w:val="clear" w:color="auto" w:fill="auto"/>
          </w:tcPr>
          <w:p w14:paraId="474860FD"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Placebo</w:t>
            </w:r>
          </w:p>
        </w:tc>
      </w:tr>
      <w:tr w:rsidR="00B667C5" w:rsidRPr="00E814B7" w14:paraId="6595E4F5" w14:textId="77777777" w:rsidTr="006F4656">
        <w:tc>
          <w:tcPr>
            <w:tcW w:w="6138" w:type="dxa"/>
            <w:shd w:val="clear" w:color="auto" w:fill="auto"/>
          </w:tcPr>
          <w:p w14:paraId="0BFDB166"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Žene</w:t>
            </w:r>
          </w:p>
        </w:tc>
        <w:tc>
          <w:tcPr>
            <w:tcW w:w="1395" w:type="dxa"/>
            <w:shd w:val="clear" w:color="auto" w:fill="auto"/>
          </w:tcPr>
          <w:p w14:paraId="1E8B5B24"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51%</w:t>
            </w:r>
          </w:p>
        </w:tc>
        <w:tc>
          <w:tcPr>
            <w:tcW w:w="1395" w:type="dxa"/>
            <w:shd w:val="clear" w:color="auto" w:fill="auto"/>
          </w:tcPr>
          <w:p w14:paraId="633439A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44%</w:t>
            </w:r>
          </w:p>
        </w:tc>
      </w:tr>
      <w:tr w:rsidR="00B667C5" w:rsidRPr="00E814B7" w14:paraId="62E01AD3" w14:textId="77777777" w:rsidTr="006F4656">
        <w:tc>
          <w:tcPr>
            <w:tcW w:w="6138" w:type="dxa"/>
            <w:shd w:val="clear" w:color="auto" w:fill="auto"/>
          </w:tcPr>
          <w:p w14:paraId="427D8AE8"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Početni ECOG funkcionalni status (PS) = 0  </w:t>
            </w:r>
          </w:p>
        </w:tc>
        <w:tc>
          <w:tcPr>
            <w:tcW w:w="1395" w:type="dxa"/>
            <w:shd w:val="clear" w:color="auto" w:fill="auto"/>
          </w:tcPr>
          <w:p w14:paraId="6546C271"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31%</w:t>
            </w:r>
          </w:p>
        </w:tc>
        <w:tc>
          <w:tcPr>
            <w:tcW w:w="1395" w:type="dxa"/>
            <w:shd w:val="clear" w:color="auto" w:fill="auto"/>
          </w:tcPr>
          <w:p w14:paraId="669E52EC"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32%</w:t>
            </w:r>
          </w:p>
        </w:tc>
      </w:tr>
      <w:tr w:rsidR="00B667C5" w:rsidRPr="00E814B7" w14:paraId="7773400F" w14:textId="77777777" w:rsidTr="006F4656">
        <w:tc>
          <w:tcPr>
            <w:tcW w:w="6138" w:type="dxa"/>
            <w:shd w:val="clear" w:color="auto" w:fill="auto"/>
          </w:tcPr>
          <w:p w14:paraId="4A71EA7E"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Početni ECOG funkcionalni status (PS) = 1  </w:t>
            </w:r>
          </w:p>
        </w:tc>
        <w:tc>
          <w:tcPr>
            <w:tcW w:w="1395" w:type="dxa"/>
            <w:shd w:val="clear" w:color="auto" w:fill="auto"/>
          </w:tcPr>
          <w:p w14:paraId="0F3DB57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51%</w:t>
            </w:r>
          </w:p>
        </w:tc>
        <w:tc>
          <w:tcPr>
            <w:tcW w:w="1395" w:type="dxa"/>
            <w:shd w:val="clear" w:color="auto" w:fill="auto"/>
          </w:tcPr>
          <w:p w14:paraId="4D66AFCE"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51%</w:t>
            </w:r>
          </w:p>
        </w:tc>
      </w:tr>
      <w:tr w:rsidR="00B667C5" w:rsidRPr="00E814B7" w14:paraId="77EBB5A1" w14:textId="77777777" w:rsidTr="006F4656">
        <w:tc>
          <w:tcPr>
            <w:tcW w:w="6138" w:type="dxa"/>
            <w:shd w:val="clear" w:color="auto" w:fill="auto"/>
          </w:tcPr>
          <w:p w14:paraId="1B6D7191"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Početni ECOG funkcionalni status (PS) = 2  </w:t>
            </w:r>
          </w:p>
        </w:tc>
        <w:tc>
          <w:tcPr>
            <w:tcW w:w="1395" w:type="dxa"/>
            <w:shd w:val="clear" w:color="auto" w:fill="auto"/>
          </w:tcPr>
          <w:p w14:paraId="50AA93BA"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17%</w:t>
            </w:r>
          </w:p>
        </w:tc>
        <w:tc>
          <w:tcPr>
            <w:tcW w:w="1395" w:type="dxa"/>
            <w:shd w:val="clear" w:color="auto" w:fill="auto"/>
          </w:tcPr>
          <w:p w14:paraId="3AF22E6C"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17%</w:t>
            </w:r>
          </w:p>
        </w:tc>
      </w:tr>
      <w:tr w:rsidR="00B667C5" w:rsidRPr="00E814B7" w14:paraId="5261F1B7" w14:textId="77777777" w:rsidTr="006F4656">
        <w:tc>
          <w:tcPr>
            <w:tcW w:w="6138" w:type="dxa"/>
            <w:shd w:val="clear" w:color="auto" w:fill="auto"/>
          </w:tcPr>
          <w:p w14:paraId="28A3DDDF"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Metastatska bolest na početku ispitivanja</w:t>
            </w:r>
          </w:p>
        </w:tc>
        <w:tc>
          <w:tcPr>
            <w:tcW w:w="1395" w:type="dxa"/>
            <w:shd w:val="clear" w:color="auto" w:fill="auto"/>
          </w:tcPr>
          <w:p w14:paraId="31837B92"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77%</w:t>
            </w:r>
          </w:p>
        </w:tc>
        <w:tc>
          <w:tcPr>
            <w:tcW w:w="1395" w:type="dxa"/>
            <w:shd w:val="clear" w:color="auto" w:fill="auto"/>
          </w:tcPr>
          <w:p w14:paraId="1C28556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76%</w:t>
            </w:r>
          </w:p>
        </w:tc>
      </w:tr>
    </w:tbl>
    <w:p w14:paraId="4D4EB37D" w14:textId="46B9CC42" w:rsidR="00B667C5" w:rsidRPr="00E814B7" w:rsidRDefault="00B667C5" w:rsidP="00E814B7">
      <w:pPr>
        <w:tabs>
          <w:tab w:val="left" w:pos="540"/>
          <w:tab w:val="left" w:pos="569"/>
        </w:tabs>
        <w:rPr>
          <w:rFonts w:asciiTheme="majorBidi" w:hAnsiTheme="majorBidi" w:cstheme="majorBidi"/>
          <w:sz w:val="22"/>
          <w:szCs w:val="22"/>
          <w:lang w:val="sr-Latn-ME"/>
        </w:rPr>
      </w:pPr>
    </w:p>
    <w:p w14:paraId="3C5F87C2" w14:textId="734FD222" w:rsidR="00B667C5"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Preživljavanje je procjenjivano u populaciji predviđenoj za liječenje (intent-to-treat) na osnovu podataka o preživljavanju prikupljenih tokom praćenjem. Rezultati su prikazani u sl</w:t>
      </w:r>
      <w:r w:rsidR="00304E37"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 xml:space="preserve">edećoj tabeli (rezultati za grupu pacijenata sa metastatskom i lokalno uznapredovalom bolešću izvedeni su iz eksploratorne analize podgrupa). </w:t>
      </w:r>
    </w:p>
    <w:p w14:paraId="583D4EFF" w14:textId="1CD81787" w:rsidR="00E814B7" w:rsidRDefault="00E814B7" w:rsidP="00E814B7">
      <w:pPr>
        <w:jc w:val="both"/>
        <w:rPr>
          <w:rFonts w:asciiTheme="majorBidi" w:eastAsiaTheme="minorHAnsi" w:hAnsiTheme="majorBidi" w:cstheme="majorBidi"/>
          <w:sz w:val="22"/>
          <w:szCs w:val="22"/>
          <w:lang w:val="sr-Latn-ME"/>
        </w:rPr>
      </w:pPr>
    </w:p>
    <w:p w14:paraId="290B5B81" w14:textId="5E7E6585" w:rsidR="00E814B7" w:rsidRDefault="00E814B7" w:rsidP="00E814B7">
      <w:pPr>
        <w:jc w:val="both"/>
        <w:rPr>
          <w:rFonts w:asciiTheme="majorBidi" w:eastAsiaTheme="minorHAnsi" w:hAnsiTheme="majorBidi" w:cstheme="majorBidi"/>
          <w:sz w:val="22"/>
          <w:szCs w:val="22"/>
          <w:lang w:val="sr-Latn-ME"/>
        </w:rPr>
      </w:pPr>
    </w:p>
    <w:p w14:paraId="320983DF" w14:textId="4279C565" w:rsidR="00E814B7" w:rsidRDefault="00E814B7" w:rsidP="00E814B7">
      <w:pPr>
        <w:jc w:val="both"/>
        <w:rPr>
          <w:rFonts w:asciiTheme="majorBidi" w:eastAsiaTheme="minorHAnsi" w:hAnsiTheme="majorBidi" w:cstheme="majorBidi"/>
          <w:sz w:val="22"/>
          <w:szCs w:val="22"/>
          <w:lang w:val="sr-Latn-ME"/>
        </w:rPr>
      </w:pPr>
    </w:p>
    <w:p w14:paraId="5496837D" w14:textId="3BE26169" w:rsidR="00E814B7" w:rsidRDefault="00E814B7" w:rsidP="00E814B7">
      <w:pPr>
        <w:jc w:val="both"/>
        <w:rPr>
          <w:rFonts w:asciiTheme="majorBidi" w:eastAsiaTheme="minorHAnsi" w:hAnsiTheme="majorBidi" w:cstheme="majorBidi"/>
          <w:sz w:val="22"/>
          <w:szCs w:val="22"/>
          <w:lang w:val="sr-Latn-ME"/>
        </w:rPr>
      </w:pPr>
    </w:p>
    <w:p w14:paraId="76BFDF92" w14:textId="173F8384" w:rsidR="00E814B7" w:rsidRDefault="00E814B7" w:rsidP="00E814B7">
      <w:pPr>
        <w:jc w:val="both"/>
        <w:rPr>
          <w:rFonts w:asciiTheme="majorBidi" w:eastAsiaTheme="minorHAnsi" w:hAnsiTheme="majorBidi" w:cstheme="majorBidi"/>
          <w:sz w:val="22"/>
          <w:szCs w:val="22"/>
          <w:lang w:val="sr-Latn-ME"/>
        </w:rPr>
      </w:pPr>
    </w:p>
    <w:p w14:paraId="7AA51CB1" w14:textId="2A93BE71" w:rsidR="00E814B7" w:rsidRDefault="00E814B7" w:rsidP="00E814B7">
      <w:pPr>
        <w:jc w:val="both"/>
        <w:rPr>
          <w:rFonts w:asciiTheme="majorBidi" w:eastAsiaTheme="minorHAnsi" w:hAnsiTheme="majorBidi" w:cstheme="majorBidi"/>
          <w:sz w:val="22"/>
          <w:szCs w:val="22"/>
          <w:lang w:val="sr-Latn-ME"/>
        </w:rPr>
      </w:pPr>
    </w:p>
    <w:p w14:paraId="00FDCB99" w14:textId="1B25E34F" w:rsidR="00E814B7" w:rsidRDefault="00E814B7" w:rsidP="00E814B7">
      <w:pPr>
        <w:jc w:val="both"/>
        <w:rPr>
          <w:rFonts w:asciiTheme="majorBidi" w:eastAsiaTheme="minorHAnsi" w:hAnsiTheme="majorBidi" w:cstheme="majorBidi"/>
          <w:sz w:val="22"/>
          <w:szCs w:val="22"/>
          <w:lang w:val="sr-Latn-ME"/>
        </w:rPr>
      </w:pPr>
    </w:p>
    <w:p w14:paraId="178DFD22" w14:textId="58203E09" w:rsidR="00E814B7" w:rsidRDefault="00E814B7" w:rsidP="00E814B7">
      <w:pPr>
        <w:jc w:val="both"/>
        <w:rPr>
          <w:rFonts w:asciiTheme="majorBidi" w:eastAsiaTheme="minorHAnsi" w:hAnsiTheme="majorBidi" w:cstheme="majorBidi"/>
          <w:sz w:val="22"/>
          <w:szCs w:val="22"/>
          <w:lang w:val="sr-Latn-ME"/>
        </w:rPr>
      </w:pPr>
    </w:p>
    <w:p w14:paraId="67F8CEFC" w14:textId="12FB3293" w:rsidR="00E814B7" w:rsidRDefault="00E814B7" w:rsidP="00E814B7">
      <w:pPr>
        <w:jc w:val="both"/>
        <w:rPr>
          <w:rFonts w:asciiTheme="majorBidi" w:eastAsiaTheme="minorHAnsi" w:hAnsiTheme="majorBidi" w:cstheme="majorBidi"/>
          <w:sz w:val="22"/>
          <w:szCs w:val="22"/>
          <w:lang w:val="sr-Latn-ME"/>
        </w:rPr>
      </w:pPr>
    </w:p>
    <w:p w14:paraId="49CFFFDA" w14:textId="77777777" w:rsidR="00E814B7" w:rsidRPr="00E814B7" w:rsidRDefault="00E814B7" w:rsidP="00E814B7">
      <w:pPr>
        <w:jc w:val="both"/>
        <w:rPr>
          <w:rFonts w:asciiTheme="majorBidi" w:eastAsiaTheme="minorHAnsi" w:hAnsiTheme="majorBidi" w:cstheme="majorBidi"/>
          <w:sz w:val="22"/>
          <w:szCs w:val="22"/>
          <w:lang w:val="sr-Latn-ME"/>
        </w:rPr>
      </w:pPr>
    </w:p>
    <w:p w14:paraId="6040E0B7" w14:textId="77777777" w:rsidR="00206A99" w:rsidRPr="00E814B7" w:rsidRDefault="00206A99" w:rsidP="00E814B7">
      <w:pPr>
        <w:jc w:val="both"/>
        <w:rPr>
          <w:rFonts w:asciiTheme="majorBidi" w:eastAsiaTheme="minorHAnsi" w:hAnsiTheme="majorBidi" w:cstheme="majorBidi"/>
          <w:sz w:val="22"/>
          <w:szCs w:val="22"/>
          <w:lang w:val="sr-Latn-M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976"/>
        <w:gridCol w:w="1180"/>
        <w:gridCol w:w="1180"/>
        <w:gridCol w:w="1157"/>
        <w:gridCol w:w="1162"/>
        <w:gridCol w:w="1162"/>
        <w:gridCol w:w="1183"/>
      </w:tblGrid>
      <w:tr w:rsidR="00B667C5" w:rsidRPr="00E814B7" w14:paraId="66D753A6" w14:textId="77777777" w:rsidTr="00B667C5">
        <w:tc>
          <w:tcPr>
            <w:tcW w:w="1555" w:type="dxa"/>
            <w:shd w:val="clear" w:color="auto" w:fill="auto"/>
          </w:tcPr>
          <w:p w14:paraId="5B00D35A"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lastRenderedPageBreak/>
              <w:t>Ishod</w:t>
            </w:r>
          </w:p>
        </w:tc>
        <w:tc>
          <w:tcPr>
            <w:tcW w:w="976" w:type="dxa"/>
            <w:shd w:val="clear" w:color="auto" w:fill="auto"/>
          </w:tcPr>
          <w:p w14:paraId="49B8FA3D"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Erlotinib (mjeseci)</w:t>
            </w:r>
          </w:p>
        </w:tc>
        <w:tc>
          <w:tcPr>
            <w:tcW w:w="1180" w:type="dxa"/>
            <w:shd w:val="clear" w:color="auto" w:fill="auto"/>
          </w:tcPr>
          <w:p w14:paraId="5864C821"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Placebo (mjeseci)</w:t>
            </w:r>
          </w:p>
        </w:tc>
        <w:tc>
          <w:tcPr>
            <w:tcW w:w="1180" w:type="dxa"/>
            <w:shd w:val="clear" w:color="auto" w:fill="auto"/>
          </w:tcPr>
          <w:p w14:paraId="2D5E8F41"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Δ</w:t>
            </w:r>
          </w:p>
          <w:p w14:paraId="1FAA6E5B"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(mjeseci)</w:t>
            </w:r>
          </w:p>
        </w:tc>
        <w:tc>
          <w:tcPr>
            <w:tcW w:w="1157" w:type="dxa"/>
            <w:shd w:val="clear" w:color="auto" w:fill="auto"/>
          </w:tcPr>
          <w:p w14:paraId="2259C8F5" w14:textId="39CDE54E"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Δ</w:t>
            </w:r>
            <w:r w:rsidR="00304E37" w:rsidRPr="00E814B7">
              <w:rPr>
                <w:rFonts w:asciiTheme="majorBidi" w:eastAsiaTheme="minorHAnsi" w:hAnsiTheme="majorBidi" w:cstheme="majorBidi"/>
                <w:b/>
                <w:bCs/>
                <w:sz w:val="22"/>
                <w:szCs w:val="22"/>
                <w:lang w:val="sr-Latn-ME"/>
              </w:rPr>
              <w:t xml:space="preserve"> za </w:t>
            </w:r>
            <w:r w:rsidRPr="00E814B7">
              <w:rPr>
                <w:rFonts w:asciiTheme="majorBidi" w:eastAsiaTheme="minorHAnsi" w:hAnsiTheme="majorBidi" w:cstheme="majorBidi"/>
                <w:b/>
                <w:bCs/>
                <w:sz w:val="22"/>
                <w:szCs w:val="22"/>
                <w:lang w:val="sr-Latn-ME"/>
              </w:rPr>
              <w:t>CI</w:t>
            </w:r>
          </w:p>
        </w:tc>
        <w:tc>
          <w:tcPr>
            <w:tcW w:w="1162" w:type="dxa"/>
            <w:shd w:val="clear" w:color="auto" w:fill="auto"/>
          </w:tcPr>
          <w:p w14:paraId="697F13D3"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HR</w:t>
            </w:r>
          </w:p>
        </w:tc>
        <w:tc>
          <w:tcPr>
            <w:tcW w:w="1162" w:type="dxa"/>
            <w:shd w:val="clear" w:color="auto" w:fill="auto"/>
          </w:tcPr>
          <w:p w14:paraId="4B288807" w14:textId="16BAD6D6"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 xml:space="preserve">HR </w:t>
            </w:r>
            <w:r w:rsidR="00304E37" w:rsidRPr="00E814B7">
              <w:rPr>
                <w:rFonts w:asciiTheme="majorBidi" w:eastAsiaTheme="minorHAnsi" w:hAnsiTheme="majorBidi" w:cstheme="majorBidi"/>
                <w:b/>
                <w:bCs/>
                <w:sz w:val="22"/>
                <w:szCs w:val="22"/>
                <w:lang w:val="sr-Latn-ME"/>
              </w:rPr>
              <w:t xml:space="preserve">za </w:t>
            </w:r>
            <w:r w:rsidRPr="00E814B7">
              <w:rPr>
                <w:rFonts w:asciiTheme="majorBidi" w:eastAsiaTheme="minorHAnsi" w:hAnsiTheme="majorBidi" w:cstheme="majorBidi"/>
                <w:b/>
                <w:bCs/>
                <w:sz w:val="22"/>
                <w:szCs w:val="22"/>
                <w:lang w:val="sr-Latn-ME"/>
              </w:rPr>
              <w:t>CI</w:t>
            </w:r>
          </w:p>
        </w:tc>
        <w:tc>
          <w:tcPr>
            <w:tcW w:w="1183" w:type="dxa"/>
            <w:shd w:val="clear" w:color="auto" w:fill="auto"/>
          </w:tcPr>
          <w:p w14:paraId="6CF7507A" w14:textId="77777777" w:rsidR="00B667C5" w:rsidRPr="00E814B7" w:rsidRDefault="00B667C5" w:rsidP="00E814B7">
            <w:pPr>
              <w:jc w:val="both"/>
              <w:rPr>
                <w:rFonts w:asciiTheme="majorBidi" w:eastAsiaTheme="minorHAnsi" w:hAnsiTheme="majorBidi" w:cstheme="majorBidi"/>
                <w:b/>
                <w:bCs/>
                <w:sz w:val="22"/>
                <w:szCs w:val="22"/>
                <w:lang w:val="sr-Latn-ME"/>
              </w:rPr>
            </w:pPr>
            <w:r w:rsidRPr="00E814B7">
              <w:rPr>
                <w:rFonts w:asciiTheme="majorBidi" w:eastAsiaTheme="minorHAnsi" w:hAnsiTheme="majorBidi" w:cstheme="majorBidi"/>
                <w:b/>
                <w:bCs/>
                <w:sz w:val="22"/>
                <w:szCs w:val="22"/>
                <w:lang w:val="sr-Latn-ME"/>
              </w:rPr>
              <w:t>p-vrijednost</w:t>
            </w:r>
          </w:p>
        </w:tc>
      </w:tr>
      <w:tr w:rsidR="00B667C5" w:rsidRPr="00E814B7" w14:paraId="3B62D8EF" w14:textId="77777777" w:rsidTr="00B667C5">
        <w:tc>
          <w:tcPr>
            <w:tcW w:w="9555" w:type="dxa"/>
            <w:gridSpan w:val="8"/>
            <w:shd w:val="clear" w:color="auto" w:fill="auto"/>
          </w:tcPr>
          <w:p w14:paraId="6DB106E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Ukupna populacija</w:t>
            </w:r>
          </w:p>
        </w:tc>
      </w:tr>
      <w:tr w:rsidR="00B667C5" w:rsidRPr="00E814B7" w14:paraId="6C47C87D" w14:textId="77777777" w:rsidTr="00B667C5">
        <w:tc>
          <w:tcPr>
            <w:tcW w:w="1555" w:type="dxa"/>
            <w:shd w:val="clear" w:color="auto" w:fill="auto"/>
          </w:tcPr>
          <w:p w14:paraId="5A291CF8"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Medijana ukupnog preživljavanja</w:t>
            </w:r>
          </w:p>
        </w:tc>
        <w:tc>
          <w:tcPr>
            <w:tcW w:w="976" w:type="dxa"/>
            <w:shd w:val="clear" w:color="auto" w:fill="auto"/>
          </w:tcPr>
          <w:p w14:paraId="76492F41" w14:textId="77777777" w:rsidR="00B667C5" w:rsidRPr="00E814B7" w:rsidRDefault="00B667C5" w:rsidP="00E814B7">
            <w:pPr>
              <w:jc w:val="center"/>
              <w:rPr>
                <w:rFonts w:asciiTheme="majorBidi" w:eastAsiaTheme="minorHAnsi" w:hAnsiTheme="majorBidi" w:cstheme="majorBidi"/>
                <w:sz w:val="22"/>
                <w:szCs w:val="22"/>
                <w:lang w:val="sr-Latn-ME"/>
              </w:rPr>
            </w:pPr>
          </w:p>
          <w:p w14:paraId="70A6D6A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6,4</w:t>
            </w:r>
          </w:p>
        </w:tc>
        <w:tc>
          <w:tcPr>
            <w:tcW w:w="1180" w:type="dxa"/>
            <w:shd w:val="clear" w:color="auto" w:fill="auto"/>
          </w:tcPr>
          <w:p w14:paraId="4B85E996" w14:textId="77777777" w:rsidR="00B667C5" w:rsidRPr="00E814B7" w:rsidRDefault="00B667C5" w:rsidP="00E814B7">
            <w:pPr>
              <w:jc w:val="center"/>
              <w:rPr>
                <w:rFonts w:asciiTheme="majorBidi" w:eastAsiaTheme="minorHAnsi" w:hAnsiTheme="majorBidi" w:cstheme="majorBidi"/>
                <w:sz w:val="22"/>
                <w:szCs w:val="22"/>
                <w:lang w:val="sr-Latn-ME"/>
              </w:rPr>
            </w:pPr>
          </w:p>
          <w:p w14:paraId="6B5EF16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6,0</w:t>
            </w:r>
          </w:p>
        </w:tc>
        <w:tc>
          <w:tcPr>
            <w:tcW w:w="1180" w:type="dxa"/>
            <w:shd w:val="clear" w:color="auto" w:fill="auto"/>
          </w:tcPr>
          <w:p w14:paraId="345F5143" w14:textId="77777777" w:rsidR="00B667C5" w:rsidRPr="00E814B7" w:rsidRDefault="00B667C5" w:rsidP="00E814B7">
            <w:pPr>
              <w:jc w:val="center"/>
              <w:rPr>
                <w:rFonts w:asciiTheme="majorBidi" w:eastAsiaTheme="minorHAnsi" w:hAnsiTheme="majorBidi" w:cstheme="majorBidi"/>
                <w:sz w:val="22"/>
                <w:szCs w:val="22"/>
                <w:lang w:val="sr-Latn-ME"/>
              </w:rPr>
            </w:pPr>
          </w:p>
          <w:p w14:paraId="47BD3934"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0,41</w:t>
            </w:r>
          </w:p>
        </w:tc>
        <w:tc>
          <w:tcPr>
            <w:tcW w:w="1157" w:type="dxa"/>
            <w:shd w:val="clear" w:color="auto" w:fill="auto"/>
          </w:tcPr>
          <w:p w14:paraId="41484CC4" w14:textId="77777777" w:rsidR="00B667C5" w:rsidRPr="00E814B7" w:rsidRDefault="00B667C5" w:rsidP="00E814B7">
            <w:pPr>
              <w:jc w:val="center"/>
              <w:rPr>
                <w:rFonts w:asciiTheme="majorBidi" w:eastAsiaTheme="minorHAnsi" w:hAnsiTheme="majorBidi" w:cstheme="majorBidi"/>
                <w:sz w:val="22"/>
                <w:szCs w:val="22"/>
                <w:lang w:val="sr-Latn-ME"/>
              </w:rPr>
            </w:pPr>
          </w:p>
          <w:p w14:paraId="0DB5E2FB"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-0,54-1,64</w:t>
            </w:r>
          </w:p>
        </w:tc>
        <w:tc>
          <w:tcPr>
            <w:tcW w:w="1162" w:type="dxa"/>
            <w:vMerge w:val="restart"/>
            <w:shd w:val="clear" w:color="auto" w:fill="auto"/>
          </w:tcPr>
          <w:p w14:paraId="15D1809E" w14:textId="77777777" w:rsidR="00B667C5" w:rsidRPr="00E814B7" w:rsidRDefault="00B667C5" w:rsidP="00E814B7">
            <w:pPr>
              <w:jc w:val="center"/>
              <w:rPr>
                <w:rFonts w:asciiTheme="majorBidi" w:eastAsiaTheme="minorHAnsi" w:hAnsiTheme="majorBidi" w:cstheme="majorBidi"/>
                <w:sz w:val="22"/>
                <w:szCs w:val="22"/>
                <w:lang w:val="sr-Latn-ME"/>
              </w:rPr>
            </w:pPr>
          </w:p>
          <w:p w14:paraId="213FE12D" w14:textId="77777777" w:rsidR="00B667C5" w:rsidRPr="00E814B7" w:rsidRDefault="00B667C5" w:rsidP="00E814B7">
            <w:pPr>
              <w:jc w:val="center"/>
              <w:rPr>
                <w:rFonts w:asciiTheme="majorBidi" w:eastAsiaTheme="minorHAnsi" w:hAnsiTheme="majorBidi" w:cstheme="majorBidi"/>
                <w:sz w:val="22"/>
                <w:szCs w:val="22"/>
                <w:lang w:val="sr-Latn-ME"/>
              </w:rPr>
            </w:pPr>
          </w:p>
          <w:p w14:paraId="2AAE428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0,82</w:t>
            </w:r>
          </w:p>
        </w:tc>
        <w:tc>
          <w:tcPr>
            <w:tcW w:w="1162" w:type="dxa"/>
            <w:vMerge w:val="restart"/>
            <w:shd w:val="clear" w:color="auto" w:fill="auto"/>
          </w:tcPr>
          <w:p w14:paraId="7A3B244F" w14:textId="77777777" w:rsidR="00B667C5" w:rsidRPr="00E814B7" w:rsidRDefault="00B667C5" w:rsidP="00E814B7">
            <w:pPr>
              <w:jc w:val="center"/>
              <w:rPr>
                <w:rFonts w:asciiTheme="majorBidi" w:eastAsiaTheme="minorHAnsi" w:hAnsiTheme="majorBidi" w:cstheme="majorBidi"/>
                <w:sz w:val="22"/>
                <w:szCs w:val="22"/>
                <w:lang w:val="sr-Latn-ME"/>
              </w:rPr>
            </w:pPr>
          </w:p>
          <w:p w14:paraId="49ECE0C9" w14:textId="77777777" w:rsidR="00B667C5" w:rsidRPr="00E814B7" w:rsidRDefault="00B667C5" w:rsidP="00E814B7">
            <w:pPr>
              <w:jc w:val="center"/>
              <w:rPr>
                <w:rFonts w:asciiTheme="majorBidi" w:eastAsiaTheme="minorHAnsi" w:hAnsiTheme="majorBidi" w:cstheme="majorBidi"/>
                <w:sz w:val="22"/>
                <w:szCs w:val="22"/>
                <w:lang w:val="sr-Latn-ME"/>
              </w:rPr>
            </w:pPr>
          </w:p>
          <w:p w14:paraId="1F78630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0,69-0,98</w:t>
            </w:r>
          </w:p>
        </w:tc>
        <w:tc>
          <w:tcPr>
            <w:tcW w:w="1183" w:type="dxa"/>
            <w:vMerge w:val="restart"/>
            <w:shd w:val="clear" w:color="auto" w:fill="auto"/>
          </w:tcPr>
          <w:p w14:paraId="687CB001" w14:textId="77777777" w:rsidR="00B667C5" w:rsidRPr="00E814B7" w:rsidRDefault="00B667C5" w:rsidP="00E814B7">
            <w:pPr>
              <w:jc w:val="center"/>
              <w:rPr>
                <w:rFonts w:asciiTheme="majorBidi" w:eastAsiaTheme="minorHAnsi" w:hAnsiTheme="majorBidi" w:cstheme="majorBidi"/>
                <w:sz w:val="22"/>
                <w:szCs w:val="22"/>
                <w:lang w:val="sr-Latn-ME"/>
              </w:rPr>
            </w:pPr>
          </w:p>
          <w:p w14:paraId="1278FEBE" w14:textId="77777777" w:rsidR="00B667C5" w:rsidRPr="00E814B7" w:rsidRDefault="00B667C5" w:rsidP="00E814B7">
            <w:pPr>
              <w:jc w:val="center"/>
              <w:rPr>
                <w:rFonts w:asciiTheme="majorBidi" w:eastAsiaTheme="minorHAnsi" w:hAnsiTheme="majorBidi" w:cstheme="majorBidi"/>
                <w:sz w:val="22"/>
                <w:szCs w:val="22"/>
                <w:lang w:val="sr-Latn-ME"/>
              </w:rPr>
            </w:pPr>
          </w:p>
          <w:p w14:paraId="46D17379"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0,028</w:t>
            </w:r>
          </w:p>
        </w:tc>
      </w:tr>
      <w:tr w:rsidR="00B667C5" w:rsidRPr="00E814B7" w14:paraId="7E185734" w14:textId="77777777" w:rsidTr="00B667C5">
        <w:tc>
          <w:tcPr>
            <w:tcW w:w="1555" w:type="dxa"/>
            <w:shd w:val="clear" w:color="auto" w:fill="auto"/>
          </w:tcPr>
          <w:p w14:paraId="18E353F5"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Srednja vrijednost ukupnog preživljavanja</w:t>
            </w:r>
          </w:p>
        </w:tc>
        <w:tc>
          <w:tcPr>
            <w:tcW w:w="976" w:type="dxa"/>
            <w:shd w:val="clear" w:color="auto" w:fill="auto"/>
          </w:tcPr>
          <w:p w14:paraId="64188AE2" w14:textId="77777777" w:rsidR="00B667C5" w:rsidRPr="00E814B7" w:rsidRDefault="00B667C5" w:rsidP="00E814B7">
            <w:pPr>
              <w:jc w:val="center"/>
              <w:rPr>
                <w:rFonts w:asciiTheme="majorBidi" w:eastAsiaTheme="minorHAnsi" w:hAnsiTheme="majorBidi" w:cstheme="majorBidi"/>
                <w:sz w:val="22"/>
                <w:szCs w:val="22"/>
                <w:lang w:val="sr-Latn-ME"/>
              </w:rPr>
            </w:pPr>
          </w:p>
          <w:p w14:paraId="1C94F8B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8,8</w:t>
            </w:r>
          </w:p>
        </w:tc>
        <w:tc>
          <w:tcPr>
            <w:tcW w:w="1180" w:type="dxa"/>
            <w:shd w:val="clear" w:color="auto" w:fill="auto"/>
          </w:tcPr>
          <w:p w14:paraId="1A172F13" w14:textId="77777777" w:rsidR="00B667C5" w:rsidRPr="00E814B7" w:rsidRDefault="00B667C5" w:rsidP="00E814B7">
            <w:pPr>
              <w:jc w:val="center"/>
              <w:rPr>
                <w:rFonts w:asciiTheme="majorBidi" w:eastAsiaTheme="minorHAnsi" w:hAnsiTheme="majorBidi" w:cstheme="majorBidi"/>
                <w:sz w:val="22"/>
                <w:szCs w:val="22"/>
                <w:lang w:val="sr-Latn-ME"/>
              </w:rPr>
            </w:pPr>
          </w:p>
          <w:p w14:paraId="0675992A"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7,6</w:t>
            </w:r>
          </w:p>
        </w:tc>
        <w:tc>
          <w:tcPr>
            <w:tcW w:w="1180" w:type="dxa"/>
            <w:shd w:val="clear" w:color="auto" w:fill="auto"/>
          </w:tcPr>
          <w:p w14:paraId="688188A4" w14:textId="77777777" w:rsidR="00B667C5" w:rsidRPr="00E814B7" w:rsidRDefault="00B667C5" w:rsidP="00E814B7">
            <w:pPr>
              <w:jc w:val="center"/>
              <w:rPr>
                <w:rFonts w:asciiTheme="majorBidi" w:eastAsiaTheme="minorHAnsi" w:hAnsiTheme="majorBidi" w:cstheme="majorBidi"/>
                <w:sz w:val="22"/>
                <w:szCs w:val="22"/>
                <w:lang w:val="sr-Latn-ME"/>
              </w:rPr>
            </w:pPr>
          </w:p>
          <w:p w14:paraId="4C63F81C"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1,16</w:t>
            </w:r>
          </w:p>
        </w:tc>
        <w:tc>
          <w:tcPr>
            <w:tcW w:w="1157" w:type="dxa"/>
            <w:shd w:val="clear" w:color="auto" w:fill="auto"/>
          </w:tcPr>
          <w:p w14:paraId="32321FAB" w14:textId="77777777" w:rsidR="00B667C5" w:rsidRPr="00E814B7" w:rsidRDefault="00B667C5" w:rsidP="00E814B7">
            <w:pPr>
              <w:jc w:val="center"/>
              <w:rPr>
                <w:rFonts w:asciiTheme="majorBidi" w:eastAsiaTheme="minorHAnsi" w:hAnsiTheme="majorBidi" w:cstheme="majorBidi"/>
                <w:sz w:val="22"/>
                <w:szCs w:val="22"/>
                <w:lang w:val="sr-Latn-ME"/>
              </w:rPr>
            </w:pPr>
          </w:p>
          <w:p w14:paraId="47F5A04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-0,05-2,34</w:t>
            </w:r>
          </w:p>
        </w:tc>
        <w:tc>
          <w:tcPr>
            <w:tcW w:w="1162" w:type="dxa"/>
            <w:vMerge/>
            <w:shd w:val="clear" w:color="auto" w:fill="auto"/>
          </w:tcPr>
          <w:p w14:paraId="35120C92"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62" w:type="dxa"/>
            <w:vMerge/>
            <w:shd w:val="clear" w:color="auto" w:fill="auto"/>
          </w:tcPr>
          <w:p w14:paraId="10791BE7"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83" w:type="dxa"/>
            <w:vMerge/>
            <w:shd w:val="clear" w:color="auto" w:fill="auto"/>
          </w:tcPr>
          <w:p w14:paraId="11301EC0" w14:textId="77777777" w:rsidR="00B667C5" w:rsidRPr="00E814B7" w:rsidRDefault="00B667C5" w:rsidP="00E814B7">
            <w:pPr>
              <w:jc w:val="center"/>
              <w:rPr>
                <w:rFonts w:asciiTheme="majorBidi" w:eastAsiaTheme="minorHAnsi" w:hAnsiTheme="majorBidi" w:cstheme="majorBidi"/>
                <w:sz w:val="22"/>
                <w:szCs w:val="22"/>
                <w:lang w:val="sr-Latn-ME"/>
              </w:rPr>
            </w:pPr>
          </w:p>
        </w:tc>
      </w:tr>
      <w:tr w:rsidR="00B667C5" w:rsidRPr="00E814B7" w14:paraId="6C1CE12F" w14:textId="77777777" w:rsidTr="00B667C5">
        <w:tc>
          <w:tcPr>
            <w:tcW w:w="9555" w:type="dxa"/>
            <w:gridSpan w:val="8"/>
            <w:shd w:val="clear" w:color="auto" w:fill="auto"/>
          </w:tcPr>
          <w:p w14:paraId="06D6739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Populacija sa metastatskom bolešću</w:t>
            </w:r>
          </w:p>
        </w:tc>
      </w:tr>
      <w:tr w:rsidR="00B667C5" w:rsidRPr="00E814B7" w14:paraId="291F5C96" w14:textId="77777777" w:rsidTr="00B667C5">
        <w:tc>
          <w:tcPr>
            <w:tcW w:w="1555" w:type="dxa"/>
            <w:shd w:val="clear" w:color="auto" w:fill="auto"/>
          </w:tcPr>
          <w:p w14:paraId="2AF7C1E9"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Medijana ukupnog preživljavanja</w:t>
            </w:r>
          </w:p>
        </w:tc>
        <w:tc>
          <w:tcPr>
            <w:tcW w:w="976" w:type="dxa"/>
            <w:shd w:val="clear" w:color="auto" w:fill="auto"/>
          </w:tcPr>
          <w:p w14:paraId="7DD6C89B" w14:textId="77777777" w:rsidR="00B667C5" w:rsidRPr="00E814B7" w:rsidRDefault="00B667C5" w:rsidP="00E814B7">
            <w:pPr>
              <w:jc w:val="center"/>
              <w:rPr>
                <w:rFonts w:asciiTheme="majorBidi" w:eastAsiaTheme="minorHAnsi" w:hAnsiTheme="majorBidi" w:cstheme="majorBidi"/>
                <w:sz w:val="22"/>
                <w:szCs w:val="22"/>
                <w:lang w:val="sr-Latn-ME"/>
              </w:rPr>
            </w:pPr>
          </w:p>
          <w:p w14:paraId="33DACEA8"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5,9</w:t>
            </w:r>
          </w:p>
        </w:tc>
        <w:tc>
          <w:tcPr>
            <w:tcW w:w="1180" w:type="dxa"/>
            <w:shd w:val="clear" w:color="auto" w:fill="auto"/>
          </w:tcPr>
          <w:p w14:paraId="6C36CFAE" w14:textId="77777777" w:rsidR="00B667C5" w:rsidRPr="00E814B7" w:rsidRDefault="00B667C5" w:rsidP="00E814B7">
            <w:pPr>
              <w:jc w:val="center"/>
              <w:rPr>
                <w:rFonts w:asciiTheme="majorBidi" w:eastAsiaTheme="minorHAnsi" w:hAnsiTheme="majorBidi" w:cstheme="majorBidi"/>
                <w:sz w:val="22"/>
                <w:szCs w:val="22"/>
                <w:lang w:val="sr-Latn-ME"/>
              </w:rPr>
            </w:pPr>
          </w:p>
          <w:p w14:paraId="0DCA3F7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5,1</w:t>
            </w:r>
          </w:p>
        </w:tc>
        <w:tc>
          <w:tcPr>
            <w:tcW w:w="1180" w:type="dxa"/>
            <w:shd w:val="clear" w:color="auto" w:fill="auto"/>
          </w:tcPr>
          <w:p w14:paraId="22F0CE5C" w14:textId="77777777" w:rsidR="00B667C5" w:rsidRPr="00E814B7" w:rsidRDefault="00B667C5" w:rsidP="00E814B7">
            <w:pPr>
              <w:jc w:val="center"/>
              <w:rPr>
                <w:rFonts w:asciiTheme="majorBidi" w:eastAsiaTheme="minorHAnsi" w:hAnsiTheme="majorBidi" w:cstheme="majorBidi"/>
                <w:sz w:val="22"/>
                <w:szCs w:val="22"/>
                <w:lang w:val="sr-Latn-ME"/>
              </w:rPr>
            </w:pPr>
          </w:p>
          <w:p w14:paraId="0B29600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0,87</w:t>
            </w:r>
          </w:p>
        </w:tc>
        <w:tc>
          <w:tcPr>
            <w:tcW w:w="1157" w:type="dxa"/>
            <w:shd w:val="clear" w:color="auto" w:fill="auto"/>
          </w:tcPr>
          <w:p w14:paraId="4D551C98" w14:textId="77777777" w:rsidR="00B667C5" w:rsidRPr="00E814B7" w:rsidRDefault="00B667C5" w:rsidP="00E814B7">
            <w:pPr>
              <w:jc w:val="center"/>
              <w:rPr>
                <w:rFonts w:asciiTheme="majorBidi" w:eastAsiaTheme="minorHAnsi" w:hAnsiTheme="majorBidi" w:cstheme="majorBidi"/>
                <w:sz w:val="22"/>
                <w:szCs w:val="22"/>
                <w:lang w:val="sr-Latn-ME"/>
              </w:rPr>
            </w:pPr>
          </w:p>
          <w:p w14:paraId="5536D45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-0,26-1,56</w:t>
            </w:r>
          </w:p>
        </w:tc>
        <w:tc>
          <w:tcPr>
            <w:tcW w:w="1162" w:type="dxa"/>
            <w:vMerge w:val="restart"/>
            <w:shd w:val="clear" w:color="auto" w:fill="auto"/>
          </w:tcPr>
          <w:p w14:paraId="337C5D94" w14:textId="77777777" w:rsidR="00B667C5" w:rsidRPr="00E814B7" w:rsidRDefault="00B667C5" w:rsidP="00E814B7">
            <w:pPr>
              <w:jc w:val="center"/>
              <w:rPr>
                <w:rFonts w:asciiTheme="majorBidi" w:eastAsiaTheme="minorHAnsi" w:hAnsiTheme="majorBidi" w:cstheme="majorBidi"/>
                <w:sz w:val="22"/>
                <w:szCs w:val="22"/>
                <w:lang w:val="sr-Latn-ME"/>
              </w:rPr>
            </w:pPr>
          </w:p>
          <w:p w14:paraId="451EC00C" w14:textId="77777777" w:rsidR="00B667C5" w:rsidRPr="00E814B7" w:rsidRDefault="00B667C5" w:rsidP="00E814B7">
            <w:pPr>
              <w:jc w:val="center"/>
              <w:rPr>
                <w:rFonts w:asciiTheme="majorBidi" w:eastAsiaTheme="minorHAnsi" w:hAnsiTheme="majorBidi" w:cstheme="majorBidi"/>
                <w:sz w:val="22"/>
                <w:szCs w:val="22"/>
                <w:lang w:val="sr-Latn-ME"/>
              </w:rPr>
            </w:pPr>
          </w:p>
          <w:p w14:paraId="47BA5890"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0,80</w:t>
            </w:r>
          </w:p>
        </w:tc>
        <w:tc>
          <w:tcPr>
            <w:tcW w:w="1162" w:type="dxa"/>
            <w:vMerge w:val="restart"/>
            <w:shd w:val="clear" w:color="auto" w:fill="auto"/>
          </w:tcPr>
          <w:p w14:paraId="52E45BBC" w14:textId="77777777" w:rsidR="00B667C5" w:rsidRPr="00E814B7" w:rsidRDefault="00B667C5" w:rsidP="00E814B7">
            <w:pPr>
              <w:jc w:val="center"/>
              <w:rPr>
                <w:rFonts w:asciiTheme="majorBidi" w:eastAsiaTheme="minorHAnsi" w:hAnsiTheme="majorBidi" w:cstheme="majorBidi"/>
                <w:sz w:val="22"/>
                <w:szCs w:val="22"/>
                <w:lang w:val="sr-Latn-ME"/>
              </w:rPr>
            </w:pPr>
          </w:p>
          <w:p w14:paraId="1DA029D2" w14:textId="77777777" w:rsidR="00B667C5" w:rsidRPr="00E814B7" w:rsidRDefault="00B667C5" w:rsidP="00E814B7">
            <w:pPr>
              <w:jc w:val="center"/>
              <w:rPr>
                <w:rFonts w:asciiTheme="majorBidi" w:eastAsiaTheme="minorHAnsi" w:hAnsiTheme="majorBidi" w:cstheme="majorBidi"/>
                <w:sz w:val="22"/>
                <w:szCs w:val="22"/>
                <w:lang w:val="sr-Latn-ME"/>
              </w:rPr>
            </w:pPr>
          </w:p>
          <w:p w14:paraId="24710DB2"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0,66-0,98</w:t>
            </w:r>
          </w:p>
        </w:tc>
        <w:tc>
          <w:tcPr>
            <w:tcW w:w="1183" w:type="dxa"/>
            <w:vMerge w:val="restart"/>
            <w:shd w:val="clear" w:color="auto" w:fill="auto"/>
          </w:tcPr>
          <w:p w14:paraId="2027262E" w14:textId="77777777" w:rsidR="00B667C5" w:rsidRPr="00E814B7" w:rsidRDefault="00B667C5" w:rsidP="00E814B7">
            <w:pPr>
              <w:jc w:val="center"/>
              <w:rPr>
                <w:rFonts w:asciiTheme="majorBidi" w:eastAsiaTheme="minorHAnsi" w:hAnsiTheme="majorBidi" w:cstheme="majorBidi"/>
                <w:sz w:val="22"/>
                <w:szCs w:val="22"/>
                <w:lang w:val="sr-Latn-ME"/>
              </w:rPr>
            </w:pPr>
          </w:p>
          <w:p w14:paraId="18F07540" w14:textId="77777777" w:rsidR="00B667C5" w:rsidRPr="00E814B7" w:rsidRDefault="00B667C5" w:rsidP="00E814B7">
            <w:pPr>
              <w:jc w:val="center"/>
              <w:rPr>
                <w:rFonts w:asciiTheme="majorBidi" w:eastAsiaTheme="minorHAnsi" w:hAnsiTheme="majorBidi" w:cstheme="majorBidi"/>
                <w:sz w:val="22"/>
                <w:szCs w:val="22"/>
                <w:lang w:val="sr-Latn-ME"/>
              </w:rPr>
            </w:pPr>
          </w:p>
          <w:p w14:paraId="5BCED71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0,029</w:t>
            </w:r>
          </w:p>
        </w:tc>
      </w:tr>
      <w:tr w:rsidR="00B667C5" w:rsidRPr="00E814B7" w14:paraId="4679479D" w14:textId="77777777" w:rsidTr="00B667C5">
        <w:tc>
          <w:tcPr>
            <w:tcW w:w="1555" w:type="dxa"/>
            <w:shd w:val="clear" w:color="auto" w:fill="auto"/>
          </w:tcPr>
          <w:p w14:paraId="332FB34B"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Srednja vrijednost ukupnog preživljavanja</w:t>
            </w:r>
          </w:p>
        </w:tc>
        <w:tc>
          <w:tcPr>
            <w:tcW w:w="976" w:type="dxa"/>
            <w:shd w:val="clear" w:color="auto" w:fill="auto"/>
          </w:tcPr>
          <w:p w14:paraId="47FE250E" w14:textId="77777777" w:rsidR="00B667C5" w:rsidRPr="00E814B7" w:rsidRDefault="00B667C5" w:rsidP="00E814B7">
            <w:pPr>
              <w:jc w:val="center"/>
              <w:rPr>
                <w:rFonts w:asciiTheme="majorBidi" w:eastAsiaTheme="minorHAnsi" w:hAnsiTheme="majorBidi" w:cstheme="majorBidi"/>
                <w:sz w:val="22"/>
                <w:szCs w:val="22"/>
                <w:lang w:val="sr-Latn-ME"/>
              </w:rPr>
            </w:pPr>
          </w:p>
          <w:p w14:paraId="7BE057A2"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8,1</w:t>
            </w:r>
          </w:p>
        </w:tc>
        <w:tc>
          <w:tcPr>
            <w:tcW w:w="1180" w:type="dxa"/>
            <w:shd w:val="clear" w:color="auto" w:fill="auto"/>
          </w:tcPr>
          <w:p w14:paraId="688EE1FA" w14:textId="77777777" w:rsidR="00B667C5" w:rsidRPr="00E814B7" w:rsidRDefault="00B667C5" w:rsidP="00E814B7">
            <w:pPr>
              <w:jc w:val="center"/>
              <w:rPr>
                <w:rFonts w:asciiTheme="majorBidi" w:eastAsiaTheme="minorHAnsi" w:hAnsiTheme="majorBidi" w:cstheme="majorBidi"/>
                <w:sz w:val="22"/>
                <w:szCs w:val="22"/>
                <w:lang w:val="sr-Latn-ME"/>
              </w:rPr>
            </w:pPr>
          </w:p>
          <w:p w14:paraId="4C802509"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6,7</w:t>
            </w:r>
          </w:p>
        </w:tc>
        <w:tc>
          <w:tcPr>
            <w:tcW w:w="1180" w:type="dxa"/>
            <w:shd w:val="clear" w:color="auto" w:fill="auto"/>
          </w:tcPr>
          <w:p w14:paraId="6B19B5B7" w14:textId="77777777" w:rsidR="00B667C5" w:rsidRPr="00E814B7" w:rsidRDefault="00B667C5" w:rsidP="00E814B7">
            <w:pPr>
              <w:jc w:val="center"/>
              <w:rPr>
                <w:rFonts w:asciiTheme="majorBidi" w:eastAsiaTheme="minorHAnsi" w:hAnsiTheme="majorBidi" w:cstheme="majorBidi"/>
                <w:sz w:val="22"/>
                <w:szCs w:val="22"/>
                <w:lang w:val="sr-Latn-ME"/>
              </w:rPr>
            </w:pPr>
          </w:p>
          <w:p w14:paraId="545D1974"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1,43</w:t>
            </w:r>
          </w:p>
        </w:tc>
        <w:tc>
          <w:tcPr>
            <w:tcW w:w="1157" w:type="dxa"/>
            <w:shd w:val="clear" w:color="auto" w:fill="auto"/>
          </w:tcPr>
          <w:p w14:paraId="12A6473E" w14:textId="77777777" w:rsidR="00B667C5" w:rsidRPr="00E814B7" w:rsidRDefault="00B667C5" w:rsidP="00E814B7">
            <w:pPr>
              <w:jc w:val="center"/>
              <w:rPr>
                <w:rFonts w:asciiTheme="majorBidi" w:eastAsiaTheme="minorHAnsi" w:hAnsiTheme="majorBidi" w:cstheme="majorBidi"/>
                <w:sz w:val="22"/>
                <w:szCs w:val="22"/>
                <w:lang w:val="sr-Latn-ME"/>
              </w:rPr>
            </w:pPr>
          </w:p>
          <w:p w14:paraId="1007CFAC"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0,17-2,66</w:t>
            </w:r>
          </w:p>
        </w:tc>
        <w:tc>
          <w:tcPr>
            <w:tcW w:w="1162" w:type="dxa"/>
            <w:vMerge/>
            <w:shd w:val="clear" w:color="auto" w:fill="auto"/>
          </w:tcPr>
          <w:p w14:paraId="16B6AB2A"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62" w:type="dxa"/>
            <w:vMerge/>
            <w:shd w:val="clear" w:color="auto" w:fill="auto"/>
          </w:tcPr>
          <w:p w14:paraId="78D12E24"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83" w:type="dxa"/>
            <w:vMerge/>
            <w:shd w:val="clear" w:color="auto" w:fill="auto"/>
          </w:tcPr>
          <w:p w14:paraId="0BE40AA6" w14:textId="77777777" w:rsidR="00B667C5" w:rsidRPr="00E814B7" w:rsidRDefault="00B667C5" w:rsidP="00E814B7">
            <w:pPr>
              <w:jc w:val="center"/>
              <w:rPr>
                <w:rFonts w:asciiTheme="majorBidi" w:eastAsiaTheme="minorHAnsi" w:hAnsiTheme="majorBidi" w:cstheme="majorBidi"/>
                <w:sz w:val="22"/>
                <w:szCs w:val="22"/>
                <w:lang w:val="sr-Latn-ME"/>
              </w:rPr>
            </w:pPr>
          </w:p>
        </w:tc>
      </w:tr>
      <w:tr w:rsidR="00B667C5" w:rsidRPr="00E814B7" w14:paraId="3562E0E2" w14:textId="77777777" w:rsidTr="00B667C5">
        <w:tc>
          <w:tcPr>
            <w:tcW w:w="9555" w:type="dxa"/>
            <w:gridSpan w:val="8"/>
            <w:shd w:val="clear" w:color="auto" w:fill="auto"/>
          </w:tcPr>
          <w:p w14:paraId="35BD2C8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Populacija sa lokalno uznapredovalom bolešću</w:t>
            </w:r>
          </w:p>
        </w:tc>
      </w:tr>
      <w:tr w:rsidR="00B667C5" w:rsidRPr="00E814B7" w14:paraId="652AE884" w14:textId="77777777" w:rsidTr="00B667C5">
        <w:tc>
          <w:tcPr>
            <w:tcW w:w="1555" w:type="dxa"/>
            <w:shd w:val="clear" w:color="auto" w:fill="auto"/>
          </w:tcPr>
          <w:p w14:paraId="2D5A18C4"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Medijana ukupnog preživljavanja</w:t>
            </w:r>
          </w:p>
        </w:tc>
        <w:tc>
          <w:tcPr>
            <w:tcW w:w="976" w:type="dxa"/>
            <w:shd w:val="clear" w:color="auto" w:fill="auto"/>
          </w:tcPr>
          <w:p w14:paraId="7474E8CC" w14:textId="77777777" w:rsidR="00B667C5" w:rsidRPr="00E814B7" w:rsidRDefault="00B667C5" w:rsidP="00E814B7">
            <w:pPr>
              <w:jc w:val="center"/>
              <w:rPr>
                <w:rFonts w:asciiTheme="majorBidi" w:eastAsiaTheme="minorHAnsi" w:hAnsiTheme="majorBidi" w:cstheme="majorBidi"/>
                <w:sz w:val="22"/>
                <w:szCs w:val="22"/>
                <w:lang w:val="sr-Latn-ME"/>
              </w:rPr>
            </w:pPr>
          </w:p>
          <w:p w14:paraId="4413D2E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8,5</w:t>
            </w:r>
          </w:p>
        </w:tc>
        <w:tc>
          <w:tcPr>
            <w:tcW w:w="1180" w:type="dxa"/>
            <w:shd w:val="clear" w:color="auto" w:fill="auto"/>
          </w:tcPr>
          <w:p w14:paraId="478E6D8A" w14:textId="77777777" w:rsidR="00B667C5" w:rsidRPr="00E814B7" w:rsidRDefault="00B667C5" w:rsidP="00E814B7">
            <w:pPr>
              <w:jc w:val="center"/>
              <w:rPr>
                <w:rFonts w:asciiTheme="majorBidi" w:eastAsiaTheme="minorHAnsi" w:hAnsiTheme="majorBidi" w:cstheme="majorBidi"/>
                <w:sz w:val="22"/>
                <w:szCs w:val="22"/>
                <w:lang w:val="sr-Latn-ME"/>
              </w:rPr>
            </w:pPr>
          </w:p>
          <w:p w14:paraId="3E0D1283"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8,2</w:t>
            </w:r>
          </w:p>
        </w:tc>
        <w:tc>
          <w:tcPr>
            <w:tcW w:w="1180" w:type="dxa"/>
            <w:shd w:val="clear" w:color="auto" w:fill="auto"/>
          </w:tcPr>
          <w:p w14:paraId="168BFB17" w14:textId="77777777" w:rsidR="00B667C5" w:rsidRPr="00E814B7" w:rsidRDefault="00B667C5" w:rsidP="00E814B7">
            <w:pPr>
              <w:jc w:val="center"/>
              <w:rPr>
                <w:rFonts w:asciiTheme="majorBidi" w:eastAsiaTheme="minorHAnsi" w:hAnsiTheme="majorBidi" w:cstheme="majorBidi"/>
                <w:sz w:val="22"/>
                <w:szCs w:val="22"/>
                <w:lang w:val="sr-Latn-ME"/>
              </w:rPr>
            </w:pPr>
          </w:p>
          <w:p w14:paraId="132C707C"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0,36</w:t>
            </w:r>
          </w:p>
        </w:tc>
        <w:tc>
          <w:tcPr>
            <w:tcW w:w="1157" w:type="dxa"/>
            <w:shd w:val="clear" w:color="auto" w:fill="auto"/>
          </w:tcPr>
          <w:p w14:paraId="2AE3F155" w14:textId="77777777" w:rsidR="00B667C5" w:rsidRPr="00E814B7" w:rsidRDefault="00B667C5" w:rsidP="00E814B7">
            <w:pPr>
              <w:jc w:val="center"/>
              <w:rPr>
                <w:rFonts w:asciiTheme="majorBidi" w:eastAsiaTheme="minorHAnsi" w:hAnsiTheme="majorBidi" w:cstheme="majorBidi"/>
                <w:sz w:val="22"/>
                <w:szCs w:val="22"/>
                <w:lang w:val="sr-Latn-ME"/>
              </w:rPr>
            </w:pPr>
          </w:p>
          <w:p w14:paraId="05AE0AC5"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-2,43-2,96</w:t>
            </w:r>
          </w:p>
        </w:tc>
        <w:tc>
          <w:tcPr>
            <w:tcW w:w="1162" w:type="dxa"/>
            <w:vMerge w:val="restart"/>
            <w:shd w:val="clear" w:color="auto" w:fill="auto"/>
          </w:tcPr>
          <w:p w14:paraId="00DFE696" w14:textId="77777777" w:rsidR="00B667C5" w:rsidRPr="00E814B7" w:rsidRDefault="00B667C5" w:rsidP="00E814B7">
            <w:pPr>
              <w:jc w:val="center"/>
              <w:rPr>
                <w:rFonts w:asciiTheme="majorBidi" w:eastAsiaTheme="minorHAnsi" w:hAnsiTheme="majorBidi" w:cstheme="majorBidi"/>
                <w:sz w:val="22"/>
                <w:szCs w:val="22"/>
                <w:lang w:val="sr-Latn-ME"/>
              </w:rPr>
            </w:pPr>
          </w:p>
          <w:p w14:paraId="289DB2C1" w14:textId="77777777" w:rsidR="00B667C5" w:rsidRPr="00E814B7" w:rsidRDefault="00B667C5" w:rsidP="00E814B7">
            <w:pPr>
              <w:jc w:val="center"/>
              <w:rPr>
                <w:rFonts w:asciiTheme="majorBidi" w:eastAsiaTheme="minorHAnsi" w:hAnsiTheme="majorBidi" w:cstheme="majorBidi"/>
                <w:sz w:val="22"/>
                <w:szCs w:val="22"/>
                <w:lang w:val="sr-Latn-ME"/>
              </w:rPr>
            </w:pPr>
          </w:p>
          <w:p w14:paraId="44DF5AAD"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0,93</w:t>
            </w:r>
          </w:p>
        </w:tc>
        <w:tc>
          <w:tcPr>
            <w:tcW w:w="1162" w:type="dxa"/>
            <w:vMerge w:val="restart"/>
            <w:shd w:val="clear" w:color="auto" w:fill="auto"/>
          </w:tcPr>
          <w:p w14:paraId="47A6658B" w14:textId="77777777" w:rsidR="00B667C5" w:rsidRPr="00E814B7" w:rsidRDefault="00B667C5" w:rsidP="00E814B7">
            <w:pPr>
              <w:jc w:val="center"/>
              <w:rPr>
                <w:rFonts w:asciiTheme="majorBidi" w:eastAsiaTheme="minorHAnsi" w:hAnsiTheme="majorBidi" w:cstheme="majorBidi"/>
                <w:sz w:val="22"/>
                <w:szCs w:val="22"/>
                <w:lang w:val="sr-Latn-ME"/>
              </w:rPr>
            </w:pPr>
          </w:p>
          <w:p w14:paraId="55925A9D" w14:textId="77777777" w:rsidR="00B667C5" w:rsidRPr="00E814B7" w:rsidRDefault="00B667C5" w:rsidP="00E814B7">
            <w:pPr>
              <w:jc w:val="center"/>
              <w:rPr>
                <w:rFonts w:asciiTheme="majorBidi" w:eastAsiaTheme="minorHAnsi" w:hAnsiTheme="majorBidi" w:cstheme="majorBidi"/>
                <w:sz w:val="22"/>
                <w:szCs w:val="22"/>
                <w:lang w:val="sr-Latn-ME"/>
              </w:rPr>
            </w:pPr>
          </w:p>
          <w:p w14:paraId="6AAB200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0,65-1,35</w:t>
            </w:r>
          </w:p>
        </w:tc>
        <w:tc>
          <w:tcPr>
            <w:tcW w:w="1183" w:type="dxa"/>
            <w:vMerge w:val="restart"/>
            <w:shd w:val="clear" w:color="auto" w:fill="auto"/>
          </w:tcPr>
          <w:p w14:paraId="41F9D649" w14:textId="77777777" w:rsidR="00B667C5" w:rsidRPr="00E814B7" w:rsidRDefault="00B667C5" w:rsidP="00E814B7">
            <w:pPr>
              <w:jc w:val="center"/>
              <w:rPr>
                <w:rFonts w:asciiTheme="majorBidi" w:eastAsiaTheme="minorHAnsi" w:hAnsiTheme="majorBidi" w:cstheme="majorBidi"/>
                <w:sz w:val="22"/>
                <w:szCs w:val="22"/>
                <w:lang w:val="sr-Latn-ME"/>
              </w:rPr>
            </w:pPr>
          </w:p>
          <w:p w14:paraId="289E8B82" w14:textId="77777777" w:rsidR="00B667C5" w:rsidRPr="00E814B7" w:rsidRDefault="00B667C5" w:rsidP="00E814B7">
            <w:pPr>
              <w:jc w:val="center"/>
              <w:rPr>
                <w:rFonts w:asciiTheme="majorBidi" w:eastAsiaTheme="minorHAnsi" w:hAnsiTheme="majorBidi" w:cstheme="majorBidi"/>
                <w:sz w:val="22"/>
                <w:szCs w:val="22"/>
                <w:lang w:val="sr-Latn-ME"/>
              </w:rPr>
            </w:pPr>
          </w:p>
          <w:p w14:paraId="655ABDA9"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0,713</w:t>
            </w:r>
          </w:p>
        </w:tc>
      </w:tr>
      <w:tr w:rsidR="00B667C5" w:rsidRPr="00E814B7" w14:paraId="61EFCA7A" w14:textId="77777777" w:rsidTr="00B667C5">
        <w:tc>
          <w:tcPr>
            <w:tcW w:w="1555" w:type="dxa"/>
            <w:shd w:val="clear" w:color="auto" w:fill="auto"/>
          </w:tcPr>
          <w:p w14:paraId="3A26EDEA" w14:textId="7777777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Srednja vrijednost ukupnog preživljavanja</w:t>
            </w:r>
          </w:p>
        </w:tc>
        <w:tc>
          <w:tcPr>
            <w:tcW w:w="976" w:type="dxa"/>
            <w:shd w:val="clear" w:color="auto" w:fill="auto"/>
          </w:tcPr>
          <w:p w14:paraId="0281FB4F" w14:textId="77777777" w:rsidR="00B667C5" w:rsidRPr="00E814B7" w:rsidRDefault="00B667C5" w:rsidP="00E814B7">
            <w:pPr>
              <w:jc w:val="center"/>
              <w:rPr>
                <w:rFonts w:asciiTheme="majorBidi" w:eastAsiaTheme="minorHAnsi" w:hAnsiTheme="majorBidi" w:cstheme="majorBidi"/>
                <w:sz w:val="22"/>
                <w:szCs w:val="22"/>
                <w:lang w:val="sr-Latn-ME"/>
              </w:rPr>
            </w:pPr>
          </w:p>
          <w:p w14:paraId="4F92BC3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10,7</w:t>
            </w:r>
          </w:p>
        </w:tc>
        <w:tc>
          <w:tcPr>
            <w:tcW w:w="1180" w:type="dxa"/>
            <w:shd w:val="clear" w:color="auto" w:fill="auto"/>
          </w:tcPr>
          <w:p w14:paraId="4B4C9FB8" w14:textId="77777777" w:rsidR="00B667C5" w:rsidRPr="00E814B7" w:rsidRDefault="00B667C5" w:rsidP="00E814B7">
            <w:pPr>
              <w:jc w:val="center"/>
              <w:rPr>
                <w:rFonts w:asciiTheme="majorBidi" w:eastAsiaTheme="minorHAnsi" w:hAnsiTheme="majorBidi" w:cstheme="majorBidi"/>
                <w:sz w:val="22"/>
                <w:szCs w:val="22"/>
                <w:lang w:val="sr-Latn-ME"/>
              </w:rPr>
            </w:pPr>
          </w:p>
          <w:p w14:paraId="559836BA"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10,5</w:t>
            </w:r>
          </w:p>
        </w:tc>
        <w:tc>
          <w:tcPr>
            <w:tcW w:w="1180" w:type="dxa"/>
            <w:shd w:val="clear" w:color="auto" w:fill="auto"/>
          </w:tcPr>
          <w:p w14:paraId="4B785217" w14:textId="77777777" w:rsidR="00B667C5" w:rsidRPr="00E814B7" w:rsidRDefault="00B667C5" w:rsidP="00E814B7">
            <w:pPr>
              <w:jc w:val="center"/>
              <w:rPr>
                <w:rFonts w:asciiTheme="majorBidi" w:eastAsiaTheme="minorHAnsi" w:hAnsiTheme="majorBidi" w:cstheme="majorBidi"/>
                <w:sz w:val="22"/>
                <w:szCs w:val="22"/>
                <w:lang w:val="sr-Latn-ME"/>
              </w:rPr>
            </w:pPr>
          </w:p>
          <w:p w14:paraId="61F211FF"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0,19</w:t>
            </w:r>
          </w:p>
        </w:tc>
        <w:tc>
          <w:tcPr>
            <w:tcW w:w="1157" w:type="dxa"/>
            <w:shd w:val="clear" w:color="auto" w:fill="auto"/>
          </w:tcPr>
          <w:p w14:paraId="1EA95515" w14:textId="77777777" w:rsidR="00B667C5" w:rsidRPr="00E814B7" w:rsidRDefault="00B667C5" w:rsidP="00E814B7">
            <w:pPr>
              <w:jc w:val="center"/>
              <w:rPr>
                <w:rFonts w:asciiTheme="majorBidi" w:eastAsiaTheme="minorHAnsi" w:hAnsiTheme="majorBidi" w:cstheme="majorBidi"/>
                <w:sz w:val="22"/>
                <w:szCs w:val="22"/>
                <w:lang w:val="sr-Latn-ME"/>
              </w:rPr>
            </w:pPr>
          </w:p>
          <w:p w14:paraId="6131BA41" w14:textId="77777777" w:rsidR="00B667C5" w:rsidRPr="00E814B7" w:rsidRDefault="00B667C5" w:rsidP="00E814B7">
            <w:pPr>
              <w:jc w:val="center"/>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-2,43-2,69</w:t>
            </w:r>
          </w:p>
        </w:tc>
        <w:tc>
          <w:tcPr>
            <w:tcW w:w="1162" w:type="dxa"/>
            <w:vMerge/>
            <w:shd w:val="clear" w:color="auto" w:fill="auto"/>
          </w:tcPr>
          <w:p w14:paraId="4BC32F39"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62" w:type="dxa"/>
            <w:vMerge/>
            <w:shd w:val="clear" w:color="auto" w:fill="auto"/>
          </w:tcPr>
          <w:p w14:paraId="19F76EDB" w14:textId="77777777" w:rsidR="00B667C5" w:rsidRPr="00E814B7" w:rsidRDefault="00B667C5" w:rsidP="00E814B7">
            <w:pPr>
              <w:jc w:val="center"/>
              <w:rPr>
                <w:rFonts w:asciiTheme="majorBidi" w:eastAsiaTheme="minorHAnsi" w:hAnsiTheme="majorBidi" w:cstheme="majorBidi"/>
                <w:sz w:val="22"/>
                <w:szCs w:val="22"/>
                <w:lang w:val="sr-Latn-ME"/>
              </w:rPr>
            </w:pPr>
          </w:p>
        </w:tc>
        <w:tc>
          <w:tcPr>
            <w:tcW w:w="1183" w:type="dxa"/>
            <w:vMerge/>
            <w:shd w:val="clear" w:color="auto" w:fill="auto"/>
          </w:tcPr>
          <w:p w14:paraId="44649688" w14:textId="77777777" w:rsidR="00B667C5" w:rsidRPr="00E814B7" w:rsidRDefault="00B667C5" w:rsidP="00E814B7">
            <w:pPr>
              <w:jc w:val="center"/>
              <w:rPr>
                <w:rFonts w:asciiTheme="majorBidi" w:eastAsiaTheme="minorHAnsi" w:hAnsiTheme="majorBidi" w:cstheme="majorBidi"/>
                <w:sz w:val="22"/>
                <w:szCs w:val="22"/>
                <w:lang w:val="sr-Latn-ME"/>
              </w:rPr>
            </w:pPr>
          </w:p>
        </w:tc>
      </w:tr>
    </w:tbl>
    <w:p w14:paraId="60DDC775" w14:textId="557DC10D" w:rsidR="00B667C5" w:rsidRPr="00E814B7" w:rsidRDefault="00022D35" w:rsidP="00E814B7">
      <w:pPr>
        <w:tabs>
          <w:tab w:val="left" w:pos="540"/>
          <w:tab w:val="left" w:pos="569"/>
        </w:tabs>
        <w:rPr>
          <w:rFonts w:asciiTheme="majorBidi" w:hAnsiTheme="majorBidi" w:cstheme="majorBidi"/>
          <w:sz w:val="22"/>
          <w:szCs w:val="22"/>
          <w:lang w:val="sr-Latn-ME"/>
        </w:rPr>
      </w:pPr>
      <w:r w:rsidRPr="00E814B7">
        <w:rPr>
          <w:rFonts w:asciiTheme="majorBidi" w:hAnsiTheme="majorBidi" w:cstheme="majorBidi"/>
          <w:b/>
          <w:bCs/>
          <w:noProof/>
          <w:sz w:val="22"/>
          <w:szCs w:val="22"/>
          <w:lang w:val="sr-Latn-ME"/>
        </w:rPr>
        <w:lastRenderedPageBreak/>
        <w:drawing>
          <wp:inline distT="0" distB="0" distL="0" distR="0" wp14:anchorId="3B8070ED" wp14:editId="4978FF7A">
            <wp:extent cx="4581939" cy="3648965"/>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5048" cy="3651441"/>
                    </a:xfrm>
                    <a:prstGeom prst="rect">
                      <a:avLst/>
                    </a:prstGeom>
                    <a:noFill/>
                  </pic:spPr>
                </pic:pic>
              </a:graphicData>
            </a:graphic>
          </wp:inline>
        </w:drawing>
      </w:r>
      <w:r w:rsidR="001E7E25" w:rsidRPr="00E814B7">
        <w:rPr>
          <w:rFonts w:asciiTheme="majorBidi" w:hAnsiTheme="majorBidi" w:cstheme="majorBidi"/>
          <w:b/>
          <w:bCs/>
          <w:noProof/>
          <w:sz w:val="22"/>
          <w:szCs w:val="22"/>
          <w:lang w:val="sr-Latn-ME"/>
        </w:rPr>
        <w:drawing>
          <wp:inline distT="0" distB="0" distL="0" distR="0" wp14:anchorId="016F2216" wp14:editId="1F7B4D55">
            <wp:extent cx="4512365" cy="353951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6130" cy="3542463"/>
                    </a:xfrm>
                    <a:prstGeom prst="rect">
                      <a:avLst/>
                    </a:prstGeom>
                    <a:noFill/>
                  </pic:spPr>
                </pic:pic>
              </a:graphicData>
            </a:graphic>
          </wp:inline>
        </w:drawing>
      </w:r>
    </w:p>
    <w:p w14:paraId="598AE7AC" w14:textId="3BFF9050" w:rsidR="00B667C5" w:rsidRPr="00E814B7" w:rsidRDefault="00B667C5" w:rsidP="00E814B7">
      <w:pPr>
        <w:tabs>
          <w:tab w:val="left" w:pos="540"/>
          <w:tab w:val="left" w:pos="569"/>
        </w:tabs>
        <w:rPr>
          <w:rFonts w:asciiTheme="majorBidi" w:hAnsiTheme="majorBidi" w:cstheme="majorBidi"/>
          <w:sz w:val="22"/>
          <w:szCs w:val="22"/>
          <w:lang w:val="sr-Latn-ME"/>
        </w:rPr>
      </w:pPr>
    </w:p>
    <w:p w14:paraId="5DA06A30" w14:textId="41F7C404"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Post hoc analiza pokazala je da su pacijenti sa povoljnim kliničkim statusom na početku ispitivanja (slab intenzitet bola, dobar kvalitet života i dobrim funkcionalnim stanjem) imali više koristi od terapije erlotinibom. Korist uglavnom proizilazi iz prisutnosti slabog intenziteta bola. </w:t>
      </w:r>
    </w:p>
    <w:p w14:paraId="5927A771" w14:textId="77777777" w:rsidR="00206A99" w:rsidRPr="00E814B7" w:rsidRDefault="00206A99" w:rsidP="00E814B7">
      <w:pPr>
        <w:jc w:val="both"/>
        <w:rPr>
          <w:rFonts w:asciiTheme="majorBidi" w:eastAsiaTheme="minorHAnsi" w:hAnsiTheme="majorBidi" w:cstheme="majorBidi"/>
          <w:sz w:val="22"/>
          <w:szCs w:val="22"/>
          <w:lang w:val="sr-Latn-ME"/>
        </w:rPr>
      </w:pPr>
    </w:p>
    <w:p w14:paraId="6E16AED8" w14:textId="2AE2B3D5"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Post hoc analiza je takođe pokazala da su pacijenti koji su primali erlotinib i kod kojih se pojavio kožni osip imali duže ukupno preživljavanje u poređenju sa pacijentima kod kojih se nije razvio kožni osip (medijana ukupnog preživljavanja 7,2 mjeseci u poređenju sa 5 mjeseci, HR: 0,61). Kod 90% pacijenata koji su primali erlotinib kožni osip se razvio u prva 44 dana. Medijana vremena do pojave osipa bila je 10 dana. </w:t>
      </w:r>
    </w:p>
    <w:p w14:paraId="40FB198B" w14:textId="7C0FB878" w:rsidR="00206A99" w:rsidRPr="00E814B7" w:rsidRDefault="00206A99" w:rsidP="00E814B7">
      <w:pPr>
        <w:jc w:val="both"/>
        <w:rPr>
          <w:rFonts w:asciiTheme="majorBidi" w:eastAsiaTheme="minorHAnsi" w:hAnsiTheme="majorBidi" w:cstheme="majorBidi"/>
          <w:sz w:val="22"/>
          <w:szCs w:val="22"/>
          <w:lang w:val="sr-Latn-ME"/>
        </w:rPr>
      </w:pPr>
    </w:p>
    <w:p w14:paraId="0224BEAC" w14:textId="56B36F53" w:rsidR="00206A99" w:rsidRPr="00E814B7" w:rsidRDefault="00206A99" w:rsidP="00E814B7">
      <w:pPr>
        <w:jc w:val="both"/>
        <w:rPr>
          <w:rFonts w:asciiTheme="majorBidi" w:eastAsiaTheme="minorHAnsi" w:hAnsiTheme="majorBidi" w:cstheme="majorBidi"/>
          <w:sz w:val="22"/>
          <w:szCs w:val="22"/>
          <w:lang w:val="sr-Latn-ME"/>
        </w:rPr>
      </w:pPr>
    </w:p>
    <w:p w14:paraId="3CC2AEC1" w14:textId="77777777" w:rsidR="00206A99" w:rsidRPr="00E814B7" w:rsidRDefault="00206A99" w:rsidP="00E814B7">
      <w:pPr>
        <w:jc w:val="both"/>
        <w:rPr>
          <w:rFonts w:asciiTheme="majorBidi" w:eastAsiaTheme="minorHAnsi" w:hAnsiTheme="majorBidi" w:cstheme="majorBidi"/>
          <w:sz w:val="22"/>
          <w:szCs w:val="22"/>
          <w:lang w:val="sr-Latn-ME"/>
        </w:rPr>
      </w:pPr>
    </w:p>
    <w:p w14:paraId="773E7486" w14:textId="77777777" w:rsidR="00B667C5" w:rsidRPr="00E814B7" w:rsidRDefault="00B667C5" w:rsidP="00E814B7">
      <w:pPr>
        <w:jc w:val="both"/>
        <w:rPr>
          <w:rFonts w:asciiTheme="majorBidi" w:eastAsiaTheme="minorHAnsi" w:hAnsiTheme="majorBidi" w:cstheme="majorBidi"/>
          <w:sz w:val="22"/>
          <w:szCs w:val="22"/>
          <w:u w:val="single"/>
          <w:lang w:val="sr-Latn-ME"/>
        </w:rPr>
      </w:pPr>
      <w:r w:rsidRPr="00E814B7">
        <w:rPr>
          <w:rFonts w:asciiTheme="majorBidi" w:eastAsiaTheme="minorHAnsi" w:hAnsiTheme="majorBidi" w:cstheme="majorBidi"/>
          <w:sz w:val="22"/>
          <w:szCs w:val="22"/>
          <w:u w:val="single"/>
          <w:lang w:val="sr-Latn-ME"/>
        </w:rPr>
        <w:t>Pedijatrijska populacija</w:t>
      </w:r>
    </w:p>
    <w:p w14:paraId="56503224" w14:textId="36A832EC"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Evropska agencija za ljekove je odustala od obaveze podnošenja rezultata iz studija sa erlotinibom u svim podgrupama pedijatrijske populacije u indikacijama nemikroćelijski karcinom pluća i karcinom pankreasa (vidjeti odjeljak 4.2 za informacije o pedijatrijskoj primjeni).</w:t>
      </w:r>
    </w:p>
    <w:p w14:paraId="6F29FBA3" w14:textId="77777777" w:rsidR="00B667C5" w:rsidRPr="00E814B7" w:rsidRDefault="00B667C5" w:rsidP="00E814B7">
      <w:pPr>
        <w:tabs>
          <w:tab w:val="left" w:pos="540"/>
          <w:tab w:val="left" w:pos="569"/>
        </w:tabs>
        <w:jc w:val="both"/>
        <w:rPr>
          <w:rFonts w:asciiTheme="majorBidi" w:hAnsiTheme="majorBidi" w:cstheme="majorBidi"/>
          <w:b/>
          <w:bCs/>
          <w:sz w:val="22"/>
          <w:szCs w:val="22"/>
          <w:lang w:val="sr-Latn-ME"/>
        </w:rPr>
      </w:pPr>
    </w:p>
    <w:p w14:paraId="172447D0" w14:textId="578B6BBD" w:rsidR="0072020E"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5.2.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Farmakokinetički podaci</w:t>
      </w:r>
      <w:r w:rsidR="003A7059" w:rsidRPr="00E814B7">
        <w:rPr>
          <w:rFonts w:asciiTheme="majorBidi" w:hAnsiTheme="majorBidi" w:cstheme="majorBidi"/>
          <w:b/>
          <w:bCs/>
          <w:sz w:val="22"/>
          <w:szCs w:val="22"/>
          <w:lang w:val="sr-Latn-ME"/>
        </w:rPr>
        <w:t xml:space="preserve"> </w:t>
      </w:r>
    </w:p>
    <w:p w14:paraId="1AB113E5" w14:textId="1654F0B1" w:rsidR="00B667C5" w:rsidRPr="00E814B7" w:rsidRDefault="00B667C5" w:rsidP="00E814B7">
      <w:pPr>
        <w:tabs>
          <w:tab w:val="left" w:pos="540"/>
          <w:tab w:val="left" w:pos="569"/>
        </w:tabs>
        <w:jc w:val="both"/>
        <w:rPr>
          <w:rFonts w:asciiTheme="majorBidi" w:hAnsiTheme="majorBidi" w:cstheme="majorBidi"/>
          <w:sz w:val="22"/>
          <w:szCs w:val="22"/>
          <w:lang w:val="sr-Latn-ME"/>
        </w:rPr>
      </w:pPr>
    </w:p>
    <w:p w14:paraId="43DE464B" w14:textId="77777777" w:rsidR="00B667C5"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Resorpcija:</w:t>
      </w:r>
    </w:p>
    <w:p w14:paraId="413B8948" w14:textId="13B6E64D"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Nakon oralne primjene maksimalni nivo erlotiniba u plazmi postiže se poslije otprilike 4 časa. U studiji na zdravim dobrovoljcima dobijena je procjena apsolutne bioraspoloživosti od 59%. Izloženost poslije oralne primjene može se povećati uzimanjem hrane.</w:t>
      </w:r>
    </w:p>
    <w:p w14:paraId="6AADD6AF" w14:textId="77777777" w:rsidR="00206A99" w:rsidRPr="00E814B7" w:rsidRDefault="00206A99" w:rsidP="00E814B7">
      <w:pPr>
        <w:jc w:val="both"/>
        <w:rPr>
          <w:rFonts w:asciiTheme="majorBidi" w:eastAsiaTheme="minorHAnsi" w:hAnsiTheme="majorBidi" w:cstheme="majorBidi"/>
          <w:sz w:val="22"/>
          <w:szCs w:val="22"/>
          <w:lang w:val="sr-Latn-ME"/>
        </w:rPr>
      </w:pPr>
    </w:p>
    <w:p w14:paraId="240E676C" w14:textId="77777777" w:rsidR="00B667C5"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Distribucija:</w:t>
      </w:r>
    </w:p>
    <w:p w14:paraId="57A27306" w14:textId="6DB6579B"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Erlotinib ima srednji volumen distribucije od 232 </w:t>
      </w:r>
      <w:r w:rsidR="00304E37"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i distribuira se i u tumorsko tkivo ljudi. U studiji sprovedenoj na 4 pacijenta (3 sa nemikro</w:t>
      </w:r>
      <w:r w:rsidR="000E3452" w:rsidRPr="00E814B7">
        <w:rPr>
          <w:rFonts w:asciiTheme="majorBidi" w:eastAsiaTheme="minorHAnsi" w:hAnsiTheme="majorBidi" w:cstheme="majorBidi"/>
          <w:sz w:val="22"/>
          <w:szCs w:val="22"/>
          <w:lang w:val="sr-Latn-ME"/>
        </w:rPr>
        <w:t>celularnim</w:t>
      </w:r>
      <w:r w:rsidRPr="00E814B7">
        <w:rPr>
          <w:rFonts w:asciiTheme="majorBidi" w:eastAsiaTheme="minorHAnsi" w:hAnsiTheme="majorBidi" w:cstheme="majorBidi"/>
          <w:sz w:val="22"/>
          <w:szCs w:val="22"/>
          <w:lang w:val="sr-Latn-ME"/>
        </w:rPr>
        <w:t xml:space="preserve"> karcinomom pluća (NSCLC) i 1 sa karcinomom larinksa) koji su oralno primali dnevne doze od 150 mg erlotiniba, uzorci tumora uzeti hirurškom ekscizijom devetog dana terapije pokazali su prosječnu tumorsku koncentraciju erlotiniba od 1185 ng/g tkiva. To je odgovaralo ukupnom prosjeku od 63% (u rasponu od 5 do 161%) zabilježenih maksimalnih koncentracija u plazmi u stanju dinamičke ravnoteže. Primarni aktivni metaboliti u tumoru bili su prisutni u koncentracijama od oko 160 ng/g tkiva, što je odgovaralo ukupnom prosjeku od 113% (u rasponu od 88 do 130%) zabilježenih maksimalnih koncentracija u plazmi u stanju dinamičke ravnoteže. Vezivanje za proteine plazme iznosi otprilike 95%. Erlotinib se vezuje za serumski albumin i alfa-1 kiseli glikoprotein (AAG). </w:t>
      </w:r>
    </w:p>
    <w:p w14:paraId="0E8C3CC5" w14:textId="77777777" w:rsidR="00206A99" w:rsidRPr="00E814B7" w:rsidRDefault="00206A99" w:rsidP="00E814B7">
      <w:pPr>
        <w:jc w:val="both"/>
        <w:rPr>
          <w:rFonts w:asciiTheme="majorBidi" w:eastAsiaTheme="minorHAnsi" w:hAnsiTheme="majorBidi" w:cstheme="majorBidi"/>
          <w:sz w:val="22"/>
          <w:szCs w:val="22"/>
          <w:lang w:val="sr-Latn-ME"/>
        </w:rPr>
      </w:pPr>
    </w:p>
    <w:p w14:paraId="589F093C" w14:textId="77777777" w:rsidR="00B667C5" w:rsidRPr="00E814B7" w:rsidRDefault="00B667C5" w:rsidP="00E814B7">
      <w:pPr>
        <w:tabs>
          <w:tab w:val="left" w:pos="6120"/>
        </w:tabs>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Biotransformacija:</w:t>
      </w:r>
    </w:p>
    <w:p w14:paraId="68321C7C" w14:textId="77777777" w:rsidR="00B667C5" w:rsidRPr="00E814B7" w:rsidRDefault="00B667C5" w:rsidP="00E814B7">
      <w:pPr>
        <w:tabs>
          <w:tab w:val="left" w:pos="6120"/>
        </w:tabs>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Kod ljudi erlotinib se metaboliše u jetri posredstvom hepatičkih citohroma, i to prvenstveno CYP3A4 i u manjoj mjeri CYP1A2. Ekstrahepatički metabolizam putem CYP3A4 u crijevima, CYP1A1 u plućima, i 1B1 u tumorskom tkivu potencijalno učestvuje u metaboličkom klirensu erlotiniba. </w:t>
      </w:r>
    </w:p>
    <w:p w14:paraId="657BAB25" w14:textId="074BC747"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Identifikovana su tri glavna metabolička puta: 1) O-demetilacija jednog ili oba bočna lanca, poslije čega slijedi oksidacija do karboksilnih kis</w:t>
      </w:r>
      <w:r w:rsidR="005E7FC2"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elina; 2) oksidacija acetilenskog dijela, poslije čega slijedi hidroliza aril karboksilne kis</w:t>
      </w:r>
      <w:r w:rsidR="005E7FC2" w:rsidRPr="00E814B7">
        <w:rPr>
          <w:rFonts w:asciiTheme="majorBidi" w:eastAsiaTheme="minorHAnsi" w:hAnsiTheme="majorBidi" w:cstheme="majorBidi"/>
          <w:sz w:val="22"/>
          <w:szCs w:val="22"/>
          <w:lang w:val="sr-Latn-ME"/>
        </w:rPr>
        <w:t>j</w:t>
      </w:r>
      <w:r w:rsidRPr="00E814B7">
        <w:rPr>
          <w:rFonts w:asciiTheme="majorBidi" w:eastAsiaTheme="minorHAnsi" w:hAnsiTheme="majorBidi" w:cstheme="majorBidi"/>
          <w:sz w:val="22"/>
          <w:szCs w:val="22"/>
          <w:lang w:val="sr-Latn-ME"/>
        </w:rPr>
        <w:t>eline i 3) aromatična hidroksilacija fenil-acetilenskog dijela. Primarni metaboliti erlotiniba OSI-420 i OSI-413 dobijeni O-demetilacijom bilo kojeg bočnog lanca imaju aktivnost uporedivu sa erlotinibom u pre</w:t>
      </w:r>
      <w:r w:rsidR="00304E37" w:rsidRPr="00E814B7">
        <w:rPr>
          <w:rFonts w:asciiTheme="majorBidi" w:eastAsiaTheme="minorHAnsi" w:hAnsiTheme="majorBidi" w:cstheme="majorBidi"/>
          <w:sz w:val="22"/>
          <w:szCs w:val="22"/>
          <w:lang w:val="sr-Latn-ME"/>
        </w:rPr>
        <w:t>t</w:t>
      </w:r>
      <w:r w:rsidRPr="00E814B7">
        <w:rPr>
          <w:rFonts w:asciiTheme="majorBidi" w:eastAsiaTheme="minorHAnsi" w:hAnsiTheme="majorBidi" w:cstheme="majorBidi"/>
          <w:sz w:val="22"/>
          <w:szCs w:val="22"/>
          <w:lang w:val="sr-Latn-ME"/>
        </w:rPr>
        <w:t xml:space="preserve">kliničkim </w:t>
      </w:r>
      <w:r w:rsidRPr="00E814B7">
        <w:rPr>
          <w:rFonts w:asciiTheme="majorBidi" w:eastAsiaTheme="minorHAnsi" w:hAnsiTheme="majorBidi" w:cstheme="majorBidi"/>
          <w:i/>
          <w:sz w:val="22"/>
          <w:szCs w:val="22"/>
          <w:lang w:val="sr-Latn-ME"/>
        </w:rPr>
        <w:t>in vitro</w:t>
      </w:r>
      <w:r w:rsidRPr="00E814B7">
        <w:rPr>
          <w:rFonts w:asciiTheme="majorBidi" w:eastAsiaTheme="minorHAnsi" w:hAnsiTheme="majorBidi" w:cstheme="majorBidi"/>
          <w:sz w:val="22"/>
          <w:szCs w:val="22"/>
          <w:lang w:val="sr-Latn-ME"/>
        </w:rPr>
        <w:t xml:space="preserve"> analizama i </w:t>
      </w:r>
      <w:r w:rsidRPr="00E814B7">
        <w:rPr>
          <w:rFonts w:asciiTheme="majorBidi" w:eastAsiaTheme="minorHAnsi" w:hAnsiTheme="majorBidi" w:cstheme="majorBidi"/>
          <w:i/>
          <w:sz w:val="22"/>
          <w:szCs w:val="22"/>
          <w:lang w:val="sr-Latn-ME"/>
        </w:rPr>
        <w:t>in vivo</w:t>
      </w:r>
      <w:r w:rsidRPr="00E814B7">
        <w:rPr>
          <w:rFonts w:asciiTheme="majorBidi" w:eastAsiaTheme="minorHAnsi" w:hAnsiTheme="majorBidi" w:cstheme="majorBidi"/>
          <w:sz w:val="22"/>
          <w:szCs w:val="22"/>
          <w:lang w:val="sr-Latn-ME"/>
        </w:rPr>
        <w:t xml:space="preserve"> tumorskim modelima. Oni su u plazmi prisutni u nivoima koji su &lt;10% nivoa erlotiniba i pokazuju sličnu farmakokinetiku kao erlotinib. </w:t>
      </w:r>
    </w:p>
    <w:p w14:paraId="7730DDEE" w14:textId="77777777" w:rsidR="00206A99" w:rsidRPr="00E814B7" w:rsidRDefault="00206A99" w:rsidP="00E814B7">
      <w:pPr>
        <w:jc w:val="both"/>
        <w:rPr>
          <w:rFonts w:asciiTheme="majorBidi" w:eastAsiaTheme="minorHAnsi" w:hAnsiTheme="majorBidi" w:cstheme="majorBidi"/>
          <w:sz w:val="22"/>
          <w:szCs w:val="22"/>
          <w:lang w:val="sr-Latn-ME"/>
        </w:rPr>
      </w:pPr>
    </w:p>
    <w:p w14:paraId="54618C12" w14:textId="77777777" w:rsidR="00B667C5"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Eliminacija:</w:t>
      </w:r>
    </w:p>
    <w:p w14:paraId="3D478261" w14:textId="0128ACEA"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Erlotinib se uglavnom izlučuje u obliku metabolita putem fecesa (&gt;90%), dok se manji dio oralne doze eliminiše putem bubrega (približno 9%). Manje od 2% oralno primjenjene doze izlučuje se u neprom</w:t>
      </w:r>
      <w:r w:rsidR="00304E37"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 xml:space="preserve">jenjenom obliku. Populaciona farmakokinetička analiza kod 591 pacijenta koji su primali samo erlotinib pokazuje srednji prividni klirens od 4,47 </w:t>
      </w:r>
      <w:r w:rsidR="00304E37"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/sat sa srednjim poluvremenom eliminacije od 36,2 sata. Prema tome, očekivano vrijeme do postizanja koncentracija u stanju dinamičke ravnoteže u plazmi očekuje se u roku od 7 do 8 dana.</w:t>
      </w:r>
    </w:p>
    <w:p w14:paraId="4100EDA5" w14:textId="77777777" w:rsidR="00206A99" w:rsidRPr="00E814B7" w:rsidRDefault="00206A99" w:rsidP="00E814B7">
      <w:pPr>
        <w:jc w:val="both"/>
        <w:rPr>
          <w:rFonts w:asciiTheme="majorBidi" w:eastAsiaTheme="minorHAnsi" w:hAnsiTheme="majorBidi" w:cstheme="majorBidi"/>
          <w:sz w:val="22"/>
          <w:szCs w:val="22"/>
          <w:lang w:val="sr-Latn-ME"/>
        </w:rPr>
      </w:pPr>
    </w:p>
    <w:p w14:paraId="7B619608" w14:textId="176A656D" w:rsidR="00B667C5"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Farmakokinetika u posebnim grupama pacijenata</w:t>
      </w:r>
    </w:p>
    <w:p w14:paraId="67C1C323" w14:textId="0F680CEE" w:rsidR="00206A99" w:rsidRPr="00E814B7" w:rsidRDefault="00206A99" w:rsidP="00E814B7">
      <w:pPr>
        <w:jc w:val="both"/>
        <w:rPr>
          <w:rFonts w:asciiTheme="majorBidi" w:eastAsiaTheme="minorHAnsi" w:hAnsiTheme="majorBidi" w:cstheme="majorBidi"/>
          <w:i/>
          <w:sz w:val="22"/>
          <w:szCs w:val="22"/>
          <w:u w:val="single"/>
          <w:lang w:val="sr-Latn-ME"/>
        </w:rPr>
      </w:pPr>
    </w:p>
    <w:p w14:paraId="25C4B990" w14:textId="13AAD9CE" w:rsidR="00206A99" w:rsidRPr="00E814B7" w:rsidRDefault="00206A99"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Pušači</w:t>
      </w:r>
    </w:p>
    <w:p w14:paraId="69C5A618" w14:textId="06588E10"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Na osnovu farmakokinetičke populacione analize, nije prim</w:t>
      </w:r>
      <w:r w:rsidR="005E7FC2" w:rsidRPr="00E814B7">
        <w:rPr>
          <w:rFonts w:asciiTheme="majorBidi" w:eastAsiaTheme="minorHAnsi" w:hAnsiTheme="majorBidi" w:cstheme="majorBidi"/>
          <w:sz w:val="22"/>
          <w:szCs w:val="22"/>
          <w:lang w:val="sr-Latn-ME"/>
        </w:rPr>
        <w:t>i</w:t>
      </w:r>
      <w:r w:rsidRPr="00E814B7">
        <w:rPr>
          <w:rFonts w:asciiTheme="majorBidi" w:eastAsiaTheme="minorHAnsi" w:hAnsiTheme="majorBidi" w:cstheme="majorBidi"/>
          <w:sz w:val="22"/>
          <w:szCs w:val="22"/>
          <w:lang w:val="sr-Latn-ME"/>
        </w:rPr>
        <w:t xml:space="preserve">jećen klinički značajan odnos između predviđenog prividnog klirensa i starosne dobi pacijenata, tjelesne </w:t>
      </w:r>
      <w:r w:rsidR="008D576B" w:rsidRPr="00E814B7">
        <w:rPr>
          <w:rFonts w:asciiTheme="majorBidi" w:eastAsiaTheme="minorHAnsi" w:hAnsiTheme="majorBidi" w:cstheme="majorBidi"/>
          <w:sz w:val="22"/>
          <w:szCs w:val="22"/>
          <w:lang w:val="sr-Latn-ME"/>
        </w:rPr>
        <w:t>mase</w:t>
      </w:r>
      <w:r w:rsidRPr="00E814B7">
        <w:rPr>
          <w:rFonts w:asciiTheme="majorBidi" w:eastAsiaTheme="minorHAnsi" w:hAnsiTheme="majorBidi" w:cstheme="majorBidi"/>
          <w:sz w:val="22"/>
          <w:szCs w:val="22"/>
          <w:lang w:val="sr-Latn-ME"/>
        </w:rPr>
        <w:t xml:space="preserve">, pola i etničke pripadnosti. Faktori vezani za pacijente koji su povezani sa farmakokinetikom erlotiniba bili su ukupni bilirubin u serumu, </w:t>
      </w:r>
      <w:r w:rsidR="00F962A5" w:rsidRPr="00E814B7">
        <w:rPr>
          <w:rFonts w:asciiTheme="majorBidi" w:eastAsiaTheme="minorHAnsi" w:hAnsiTheme="majorBidi" w:cstheme="majorBidi"/>
          <w:sz w:val="22"/>
          <w:szCs w:val="22"/>
          <w:lang w:val="sr-Latn-ME"/>
        </w:rPr>
        <w:t>nivo alfa 1-kis</w:t>
      </w:r>
      <w:r w:rsidR="005E7FC2" w:rsidRPr="00E814B7">
        <w:rPr>
          <w:rFonts w:asciiTheme="majorBidi" w:eastAsiaTheme="minorHAnsi" w:hAnsiTheme="majorBidi" w:cstheme="majorBidi"/>
          <w:sz w:val="22"/>
          <w:szCs w:val="22"/>
          <w:lang w:val="sr-Latn-ME"/>
        </w:rPr>
        <w:t>j</w:t>
      </w:r>
      <w:r w:rsidR="00F962A5" w:rsidRPr="00E814B7">
        <w:rPr>
          <w:rFonts w:asciiTheme="majorBidi" w:eastAsiaTheme="minorHAnsi" w:hAnsiTheme="majorBidi" w:cstheme="majorBidi"/>
          <w:sz w:val="22"/>
          <w:szCs w:val="22"/>
          <w:lang w:val="sr-Latn-ME"/>
        </w:rPr>
        <w:t>elog glikoproteina (</w:t>
      </w:r>
      <w:r w:rsidRPr="00E814B7">
        <w:rPr>
          <w:rFonts w:asciiTheme="majorBidi" w:eastAsiaTheme="minorHAnsi" w:hAnsiTheme="majorBidi" w:cstheme="majorBidi"/>
          <w:sz w:val="22"/>
          <w:szCs w:val="22"/>
          <w:lang w:val="sr-Latn-ME"/>
        </w:rPr>
        <w:t>AAG</w:t>
      </w:r>
      <w:r w:rsidR="00F962A5"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 xml:space="preserve"> i pušenje. Povišene konce</w:t>
      </w:r>
      <w:r w:rsidR="00F962A5" w:rsidRPr="00E814B7">
        <w:rPr>
          <w:rFonts w:asciiTheme="majorBidi" w:eastAsiaTheme="minorHAnsi" w:hAnsiTheme="majorBidi" w:cstheme="majorBidi"/>
          <w:sz w:val="22"/>
          <w:szCs w:val="22"/>
          <w:lang w:val="sr-Latn-ME"/>
        </w:rPr>
        <w:t>n</w:t>
      </w:r>
      <w:r w:rsidRPr="00E814B7">
        <w:rPr>
          <w:rFonts w:asciiTheme="majorBidi" w:eastAsiaTheme="minorHAnsi" w:hAnsiTheme="majorBidi" w:cstheme="majorBidi"/>
          <w:sz w:val="22"/>
          <w:szCs w:val="22"/>
          <w:lang w:val="sr-Latn-ME"/>
        </w:rPr>
        <w:t>tracije ukupnog bilirubina i AAG u serumu povezane su sa smanjenim klirensom erlotiniba. Nije jasno kakav je klinički značaj ovih različitosti. Međutim, pušači su imali povećanu brzinu klirensa erlotiniba. Ovo je potvrđeno u farmakokinetičkoj studiji na zdravim dobrovoljcima nepušačima i pušačima cigareta koji su primili pojedinačnu dozu od 150 mg erlotiniba. Geometrijska sredina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je bila 1056 ng/m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nepušača i 689 ng/m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pušača, sa srednjim odnosom vrijednosti kod pušača prema nepušačima 65</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 xml:space="preserve">2% (95% CI: </w:t>
      </w:r>
      <w:r w:rsidRPr="00E814B7">
        <w:rPr>
          <w:rFonts w:asciiTheme="majorBidi" w:eastAsiaTheme="minorHAnsi" w:hAnsiTheme="majorBidi" w:cstheme="majorBidi"/>
          <w:sz w:val="22"/>
          <w:szCs w:val="22"/>
          <w:lang w:val="sr-Latn-ME"/>
        </w:rPr>
        <w:lastRenderedPageBreak/>
        <w:t>44</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3 do 95</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9, p=0</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031). Geometrijska sredina AUC</w:t>
      </w:r>
      <w:r w:rsidRPr="00E814B7">
        <w:rPr>
          <w:rFonts w:asciiTheme="majorBidi" w:eastAsiaTheme="minorHAnsi" w:hAnsiTheme="majorBidi" w:cstheme="majorBidi"/>
          <w:sz w:val="22"/>
          <w:szCs w:val="22"/>
          <w:vertAlign w:val="subscript"/>
          <w:lang w:val="sr-Latn-ME"/>
        </w:rPr>
        <w:t>0-inf</w:t>
      </w:r>
      <w:r w:rsidRPr="00E814B7">
        <w:rPr>
          <w:rFonts w:asciiTheme="majorBidi" w:eastAsiaTheme="minorHAnsi" w:hAnsiTheme="majorBidi" w:cstheme="majorBidi"/>
          <w:sz w:val="22"/>
          <w:szCs w:val="22"/>
          <w:lang w:val="sr-Latn-ME"/>
        </w:rPr>
        <w:t xml:space="preserve"> iznosila je 18726 ng</w:t>
      </w:r>
      <w:r w:rsidRPr="00E814B7">
        <w:rPr>
          <w:rFonts w:asciiTheme="majorBidi" w:eastAsia="SymbolMT" w:hAnsiTheme="majorBidi" w:cstheme="majorBidi"/>
          <w:sz w:val="22"/>
          <w:szCs w:val="22"/>
          <w:lang w:val="sr-Latn-ME"/>
        </w:rPr>
        <w:t>•</w:t>
      </w:r>
      <w:r w:rsidRPr="00E814B7">
        <w:rPr>
          <w:rFonts w:asciiTheme="majorBidi" w:eastAsiaTheme="minorHAnsi" w:hAnsiTheme="majorBidi" w:cstheme="majorBidi"/>
          <w:sz w:val="22"/>
          <w:szCs w:val="22"/>
          <w:lang w:val="sr-Latn-ME"/>
        </w:rPr>
        <w:t>h/m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nepušača i 6718 ng</w:t>
      </w:r>
      <w:r w:rsidRPr="00E814B7">
        <w:rPr>
          <w:rFonts w:asciiTheme="majorBidi" w:eastAsia="SymbolMT" w:hAnsiTheme="majorBidi" w:cstheme="majorBidi"/>
          <w:sz w:val="22"/>
          <w:szCs w:val="22"/>
          <w:lang w:val="sr-Latn-ME"/>
        </w:rPr>
        <w:t>•</w:t>
      </w:r>
      <w:r w:rsidRPr="00E814B7">
        <w:rPr>
          <w:rFonts w:asciiTheme="majorBidi" w:eastAsiaTheme="minorHAnsi" w:hAnsiTheme="majorBidi" w:cstheme="majorBidi"/>
          <w:sz w:val="22"/>
          <w:szCs w:val="22"/>
          <w:lang w:val="sr-Latn-ME"/>
        </w:rPr>
        <w:t>h/m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pušača, sa srednjim odnosom od 35</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9% (95% CI: 23</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7 do 54</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3, p&lt;0</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0001). Geometrijska sredina C</w:t>
      </w:r>
      <w:r w:rsidRPr="00E814B7">
        <w:rPr>
          <w:rFonts w:asciiTheme="majorBidi" w:eastAsiaTheme="minorHAnsi" w:hAnsiTheme="majorBidi" w:cstheme="majorBidi"/>
          <w:sz w:val="22"/>
          <w:szCs w:val="22"/>
          <w:vertAlign w:val="subscript"/>
          <w:lang w:val="sr-Latn-ME"/>
        </w:rPr>
        <w:t xml:space="preserve">24h </w:t>
      </w:r>
      <w:r w:rsidRPr="00E814B7">
        <w:rPr>
          <w:rFonts w:asciiTheme="majorBidi" w:eastAsiaTheme="minorHAnsi" w:hAnsiTheme="majorBidi" w:cstheme="majorBidi"/>
          <w:sz w:val="22"/>
          <w:szCs w:val="22"/>
          <w:lang w:val="sr-Latn-ME"/>
        </w:rPr>
        <w:t>iznosila je 288 ng/m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nepušača i 34.8 ng/m</w:t>
      </w:r>
      <w:r w:rsidR="008D576B"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pušača uz srednji odnos od 12.1% (95% CI: 4</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82 do 30</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2, p= 0</w:t>
      </w:r>
      <w:r w:rsidR="0050340C" w:rsidRPr="00E814B7">
        <w:rPr>
          <w:rFonts w:asciiTheme="majorBidi" w:eastAsiaTheme="minorHAnsi" w:hAnsiTheme="majorBidi" w:cstheme="majorBidi"/>
          <w:sz w:val="22"/>
          <w:szCs w:val="22"/>
          <w:lang w:val="sr-Latn-ME"/>
        </w:rPr>
        <w:t>,</w:t>
      </w:r>
      <w:r w:rsidRPr="00E814B7">
        <w:rPr>
          <w:rFonts w:asciiTheme="majorBidi" w:eastAsiaTheme="minorHAnsi" w:hAnsiTheme="majorBidi" w:cstheme="majorBidi"/>
          <w:sz w:val="22"/>
          <w:szCs w:val="22"/>
          <w:lang w:val="sr-Latn-ME"/>
        </w:rPr>
        <w:t>0001).</w:t>
      </w:r>
    </w:p>
    <w:p w14:paraId="6CE68EBD" w14:textId="77777777" w:rsidR="00206A99" w:rsidRPr="00E814B7" w:rsidRDefault="00206A99" w:rsidP="00E814B7">
      <w:pPr>
        <w:jc w:val="both"/>
        <w:rPr>
          <w:rFonts w:asciiTheme="majorBidi" w:eastAsiaTheme="minorHAnsi" w:hAnsiTheme="majorBidi" w:cstheme="majorBidi"/>
          <w:sz w:val="22"/>
          <w:szCs w:val="22"/>
          <w:lang w:val="sr-Latn-ME"/>
        </w:rPr>
      </w:pPr>
    </w:p>
    <w:p w14:paraId="5E81C3DA" w14:textId="0AA2ABA3" w:rsidR="00B667C5" w:rsidRPr="00E814B7" w:rsidRDefault="00B667C5" w:rsidP="00E814B7">
      <w:pPr>
        <w:autoSpaceDE w:val="0"/>
        <w:autoSpaceDN w:val="0"/>
        <w:adjustRightInd w:val="0"/>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U pivotalnom ispitivanju faze III NSCLC pušači su ostvarili najnižu koncentraciju erlotiniba u plazmi u stanju dinamičke ravnoteže od 0,65 μg/ml (n=16) što je približno bilo dva puta manje od pacijenata koji su bivši pušači ili koji nikad ni</w:t>
      </w:r>
      <w:r w:rsidR="001E3FCD"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pušili (1,28 μg/ml, n=108). Ovaj efekat praćen je 24%-tnim povećanjem prividnog klirensa erlotiniba u plazmi. U ispitivanju faze I povećavanja doze kod pacijenata pušača sa NSCLC, farmakokinetička analiza u stanju dinamičke ravnoteže pokazala je proporcionalno povećanje u izloženosti erlotinibu kada je doza erlotiniba povećana sa 150 mg do maksimalno podnošljive doze od 300 mg. Najniža koncentracija u plazmi u stanju dinamičke ravnoteže pri dozi od 300 mg u ovoj studiji kod bolesnika pušača bila je 1,22 μg/ml (n=17).</w:t>
      </w:r>
      <w:r w:rsidR="00206A99" w:rsidRPr="00E814B7">
        <w:rPr>
          <w:rFonts w:asciiTheme="majorBidi" w:eastAsiaTheme="minorHAnsi" w:hAnsiTheme="majorBidi" w:cstheme="majorBidi"/>
          <w:sz w:val="22"/>
          <w:szCs w:val="22"/>
          <w:lang w:val="sr-Latn-ME"/>
        </w:rPr>
        <w:t xml:space="preserve"> Vidjeti djelove 4.2, 4.4, 4.5 i 5.1.</w:t>
      </w:r>
    </w:p>
    <w:p w14:paraId="2B224B51" w14:textId="77777777" w:rsidR="00206A99" w:rsidRPr="00E814B7" w:rsidRDefault="00206A99" w:rsidP="00E814B7">
      <w:pPr>
        <w:autoSpaceDE w:val="0"/>
        <w:autoSpaceDN w:val="0"/>
        <w:adjustRightInd w:val="0"/>
        <w:jc w:val="both"/>
        <w:rPr>
          <w:rFonts w:asciiTheme="majorBidi" w:eastAsiaTheme="minorHAnsi" w:hAnsiTheme="majorBidi" w:cstheme="majorBidi"/>
          <w:sz w:val="22"/>
          <w:szCs w:val="22"/>
          <w:lang w:val="sr-Latn-ME"/>
        </w:rPr>
      </w:pPr>
    </w:p>
    <w:p w14:paraId="334379EF" w14:textId="5DB02FAD"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Na osnovu rezultata farmakokinetičkih studija, pacijentima koji puše treba savjetovati da prestanu sa pušenjem dok su na terapiji erlotinibom, budući da pušenje smanjuje koncentracije lijeka u plazmi. </w:t>
      </w:r>
    </w:p>
    <w:p w14:paraId="4B21E41A" w14:textId="77777777" w:rsidR="00206A99" w:rsidRPr="00E814B7" w:rsidRDefault="00206A99" w:rsidP="00E814B7">
      <w:pPr>
        <w:jc w:val="both"/>
        <w:rPr>
          <w:rFonts w:asciiTheme="majorBidi" w:eastAsiaTheme="minorHAnsi" w:hAnsiTheme="majorBidi" w:cstheme="majorBidi"/>
          <w:sz w:val="22"/>
          <w:szCs w:val="22"/>
          <w:lang w:val="sr-Latn-ME"/>
        </w:rPr>
      </w:pPr>
    </w:p>
    <w:p w14:paraId="3EA98357" w14:textId="6E3894A1"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Na osnovu farmakokinetičke populacione analize, čini se da je prisustvo opioida povećalo izloženost za oko 11%. </w:t>
      </w:r>
    </w:p>
    <w:p w14:paraId="0BAAE6DE" w14:textId="77777777" w:rsidR="00206A99" w:rsidRPr="00E814B7" w:rsidRDefault="00206A99" w:rsidP="00E814B7">
      <w:pPr>
        <w:jc w:val="both"/>
        <w:rPr>
          <w:rFonts w:asciiTheme="majorBidi" w:eastAsiaTheme="minorHAnsi" w:hAnsiTheme="majorBidi" w:cstheme="majorBidi"/>
          <w:sz w:val="22"/>
          <w:szCs w:val="22"/>
          <w:lang w:val="sr-Latn-ME"/>
        </w:rPr>
      </w:pPr>
    </w:p>
    <w:p w14:paraId="08207F52" w14:textId="634AC694"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Sprovedena je druga populaciona farmakokinetička analiza koja je objedinila podatke o erlotinibu prikupljene na 204 pacijenta sa karcinomom pankreasa koji su primali erlotinib i gemcitabin. Ta analiza je pokazala da su kovarijanse koje utiču na klirens erlotiniba kod pacijenata sa karcinomom pankreasa bile veoma slične onima već viđenim u prethodnoj analizi farmakokinetike monoterapije. Ni</w:t>
      </w:r>
      <w:r w:rsidR="001E3FCD"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 xml:space="preserve">su otkriveni novi efekti kovarijansi. Istovremeno davanje gemcitabina nije imalo uticaja na klirens erlotiniba u plazmi. </w:t>
      </w:r>
    </w:p>
    <w:p w14:paraId="3CE1C7AD" w14:textId="77777777" w:rsidR="00206A99" w:rsidRPr="00E814B7" w:rsidRDefault="00206A99" w:rsidP="00E814B7">
      <w:pPr>
        <w:jc w:val="both"/>
        <w:rPr>
          <w:rFonts w:asciiTheme="majorBidi" w:eastAsiaTheme="minorHAnsi" w:hAnsiTheme="majorBidi" w:cstheme="majorBidi"/>
          <w:sz w:val="22"/>
          <w:szCs w:val="22"/>
          <w:lang w:val="sr-Latn-ME"/>
        </w:rPr>
      </w:pPr>
    </w:p>
    <w:p w14:paraId="76A1F202" w14:textId="77777777" w:rsidR="00206A99"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i/>
          <w:sz w:val="22"/>
          <w:szCs w:val="22"/>
          <w:u w:val="single"/>
          <w:lang w:val="sr-Latn-ME"/>
        </w:rPr>
        <w:t>Pedijatrijska populacija</w:t>
      </w:r>
    </w:p>
    <w:p w14:paraId="61C110AE" w14:textId="3DCE25B2"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 xml:space="preserve">Ne postoje posebne studije kod pedijatrijskih pacijenata. </w:t>
      </w:r>
    </w:p>
    <w:p w14:paraId="2888F7F4" w14:textId="77777777" w:rsidR="00206A99" w:rsidRPr="00E814B7" w:rsidRDefault="00206A99" w:rsidP="00E814B7">
      <w:pPr>
        <w:jc w:val="both"/>
        <w:rPr>
          <w:rFonts w:asciiTheme="majorBidi" w:eastAsiaTheme="minorHAnsi" w:hAnsiTheme="majorBidi" w:cstheme="majorBidi"/>
          <w:sz w:val="22"/>
          <w:szCs w:val="22"/>
          <w:lang w:val="sr-Latn-ME"/>
        </w:rPr>
      </w:pPr>
    </w:p>
    <w:p w14:paraId="4420523A" w14:textId="77777777" w:rsidR="00206A99"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Starija populacija</w:t>
      </w:r>
    </w:p>
    <w:p w14:paraId="46A9BD46" w14:textId="26FF64DF"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Ne postoje posebne studije kod starijih pacijenata.</w:t>
      </w:r>
    </w:p>
    <w:p w14:paraId="2ECD84C5" w14:textId="77777777" w:rsidR="00206A99" w:rsidRPr="00E814B7" w:rsidRDefault="00206A99" w:rsidP="00E814B7">
      <w:pPr>
        <w:jc w:val="both"/>
        <w:rPr>
          <w:rFonts w:asciiTheme="majorBidi" w:eastAsiaTheme="minorHAnsi" w:hAnsiTheme="majorBidi" w:cstheme="majorBidi"/>
          <w:sz w:val="22"/>
          <w:szCs w:val="22"/>
          <w:lang w:val="sr-Latn-ME"/>
        </w:rPr>
      </w:pPr>
    </w:p>
    <w:p w14:paraId="168C57C9" w14:textId="77777777" w:rsidR="00206A99"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Oštećenje jetre</w:t>
      </w:r>
    </w:p>
    <w:p w14:paraId="78CF0D01" w14:textId="77B3E7DC" w:rsidR="00B667C5"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sz w:val="22"/>
          <w:szCs w:val="22"/>
          <w:lang w:val="sr-Latn-ME"/>
        </w:rPr>
        <w:t>Erlotinib se primarno uklanja putem jetre. Kod pacijenata sa solidnim tumorima i umjerenim oštećenjem funkcije jetre (Child-Pugh skor 7-9), geometrijska sredina AUC</w:t>
      </w:r>
      <w:r w:rsidRPr="00E814B7">
        <w:rPr>
          <w:rFonts w:asciiTheme="majorBidi" w:eastAsiaTheme="minorHAnsi" w:hAnsiTheme="majorBidi" w:cstheme="majorBidi"/>
          <w:sz w:val="22"/>
          <w:szCs w:val="22"/>
          <w:vertAlign w:val="subscript"/>
          <w:lang w:val="sr-Latn-ME"/>
        </w:rPr>
        <w:t>0-t</w:t>
      </w:r>
      <w:r w:rsidRPr="00E814B7">
        <w:rPr>
          <w:rFonts w:asciiTheme="majorBidi" w:eastAsiaTheme="minorHAnsi" w:hAnsiTheme="majorBidi" w:cstheme="majorBidi"/>
          <w:sz w:val="22"/>
          <w:szCs w:val="22"/>
          <w:lang w:val="sr-Latn-ME"/>
        </w:rPr>
        <w:t xml:space="preserve"> erlotiniba iznosila je 27000 ng•h/m</w:t>
      </w:r>
      <w:r w:rsidR="001E3FCD"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a C</w:t>
      </w:r>
      <w:r w:rsidRPr="00E814B7">
        <w:rPr>
          <w:rFonts w:asciiTheme="majorBidi" w:eastAsiaTheme="minorHAnsi" w:hAnsiTheme="majorBidi" w:cstheme="majorBidi"/>
          <w:sz w:val="22"/>
          <w:szCs w:val="22"/>
          <w:vertAlign w:val="subscript"/>
          <w:lang w:val="sr-Latn-ME"/>
        </w:rPr>
        <w:t>max</w:t>
      </w:r>
      <w:r w:rsidRPr="00E814B7">
        <w:rPr>
          <w:rFonts w:asciiTheme="majorBidi" w:eastAsiaTheme="minorHAnsi" w:hAnsiTheme="majorBidi" w:cstheme="majorBidi"/>
          <w:sz w:val="22"/>
          <w:szCs w:val="22"/>
          <w:lang w:val="sr-Latn-ME"/>
        </w:rPr>
        <w:t xml:space="preserve"> 805 ng/m</w:t>
      </w:r>
      <w:r w:rsidR="001E3FCD"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u poređenju sa 29300 ng•h/m</w:t>
      </w:r>
      <w:r w:rsidR="001E3FCD"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odnosno 1090 ng/m</w:t>
      </w:r>
      <w:r w:rsidR="001E3FCD"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 xml:space="preserve"> kod pacijenata sa odgovarajućom funkcijom jetre, uključujući pacijente sa primarnim karcinomom jetre ili metastazama u jetri. Iako je  C</w:t>
      </w:r>
      <w:r w:rsidRPr="00E814B7">
        <w:rPr>
          <w:rFonts w:asciiTheme="majorBidi" w:eastAsiaTheme="minorHAnsi" w:hAnsiTheme="majorBidi" w:cstheme="majorBidi"/>
          <w:sz w:val="22"/>
          <w:szCs w:val="22"/>
          <w:vertAlign w:val="subscript"/>
          <w:lang w:val="sr-Latn-ME"/>
        </w:rPr>
        <w:t xml:space="preserve">max </w:t>
      </w:r>
      <w:r w:rsidRPr="00E814B7">
        <w:rPr>
          <w:rFonts w:asciiTheme="majorBidi" w:eastAsiaTheme="minorHAnsi" w:hAnsiTheme="majorBidi" w:cstheme="majorBidi"/>
          <w:sz w:val="22"/>
          <w:szCs w:val="22"/>
          <w:lang w:val="sr-Latn-ME"/>
        </w:rPr>
        <w:t xml:space="preserve"> bio statistički značajno niži kod pacijenata sa umjerenim oštećenjem jetre, ta razlika se ne smatra klinički značajnom. Nema dostupnih podataka o uticaju teškog poremaćaja funkcije jetre na farmakokinetiku erlotiniba. U farmakokinetičkoj populacionoj analizi, povišene koncentracije ukupnog bilirubina u serumu bile su povezane sa sporijim klirensom erlotiniba. </w:t>
      </w:r>
    </w:p>
    <w:p w14:paraId="44BCBC9B" w14:textId="77777777" w:rsidR="00206A99" w:rsidRPr="00E814B7" w:rsidRDefault="00206A99" w:rsidP="00E814B7">
      <w:pPr>
        <w:jc w:val="both"/>
        <w:rPr>
          <w:rFonts w:asciiTheme="majorBidi" w:eastAsiaTheme="minorHAnsi" w:hAnsiTheme="majorBidi" w:cstheme="majorBidi"/>
          <w:i/>
          <w:sz w:val="22"/>
          <w:szCs w:val="22"/>
          <w:u w:val="single"/>
          <w:lang w:val="sr-Latn-ME"/>
        </w:rPr>
      </w:pPr>
    </w:p>
    <w:p w14:paraId="5ED943B5" w14:textId="500757B6" w:rsidR="00206A99" w:rsidRPr="00E814B7" w:rsidRDefault="00B667C5" w:rsidP="00E814B7">
      <w:pPr>
        <w:jc w:val="both"/>
        <w:rPr>
          <w:rFonts w:asciiTheme="majorBidi" w:eastAsiaTheme="minorHAnsi" w:hAnsiTheme="majorBidi" w:cstheme="majorBidi"/>
          <w:i/>
          <w:sz w:val="22"/>
          <w:szCs w:val="22"/>
          <w:u w:val="single"/>
          <w:lang w:val="sr-Latn-ME"/>
        </w:rPr>
      </w:pPr>
      <w:r w:rsidRPr="00E814B7">
        <w:rPr>
          <w:rFonts w:asciiTheme="majorBidi" w:eastAsiaTheme="minorHAnsi" w:hAnsiTheme="majorBidi" w:cstheme="majorBidi"/>
          <w:i/>
          <w:sz w:val="22"/>
          <w:szCs w:val="22"/>
          <w:u w:val="single"/>
          <w:lang w:val="sr-Latn-ME"/>
        </w:rPr>
        <w:t>Oštećenje bubrega</w:t>
      </w:r>
    </w:p>
    <w:p w14:paraId="53A26821" w14:textId="4BD2D629" w:rsidR="00B667C5" w:rsidRPr="00E814B7" w:rsidRDefault="00B667C5" w:rsidP="00E814B7">
      <w:pPr>
        <w:jc w:val="both"/>
        <w:rPr>
          <w:rFonts w:asciiTheme="majorBidi" w:eastAsiaTheme="minorHAnsi" w:hAnsiTheme="majorBidi" w:cstheme="majorBidi"/>
          <w:sz w:val="22"/>
          <w:szCs w:val="22"/>
          <w:lang w:val="sr-Latn-ME"/>
        </w:rPr>
      </w:pPr>
      <w:r w:rsidRPr="00E814B7">
        <w:rPr>
          <w:rFonts w:asciiTheme="majorBidi" w:eastAsiaTheme="minorHAnsi" w:hAnsiTheme="majorBidi" w:cstheme="majorBidi"/>
          <w:sz w:val="22"/>
          <w:szCs w:val="22"/>
          <w:lang w:val="sr-Latn-ME"/>
        </w:rPr>
        <w:t>Erlotinib i njegovi metaboliti se ne izlučuju u značajnoj mjeri putem bubrega, budući da se manje od 9% pojedinačne doze izlučuje urinom. U farmakokinetičkoj populacionoj analizi nije uočena klinički značajna povezanost između klirensa erlotiniba i klirensa kreatinina, ali ni</w:t>
      </w:r>
      <w:r w:rsidR="001E3FCD" w:rsidRPr="00E814B7">
        <w:rPr>
          <w:rFonts w:asciiTheme="majorBidi" w:eastAsiaTheme="minorHAnsi" w:hAnsiTheme="majorBidi" w:cstheme="majorBidi"/>
          <w:sz w:val="22"/>
          <w:szCs w:val="22"/>
          <w:lang w:val="sr-Latn-ME"/>
        </w:rPr>
        <w:t>je</w:t>
      </w:r>
      <w:r w:rsidRPr="00E814B7">
        <w:rPr>
          <w:rFonts w:asciiTheme="majorBidi" w:eastAsiaTheme="minorHAnsi" w:hAnsiTheme="majorBidi" w:cstheme="majorBidi"/>
          <w:sz w:val="22"/>
          <w:szCs w:val="22"/>
          <w:lang w:val="sr-Latn-ME"/>
        </w:rPr>
        <w:t>su dostupni podaci za pacijente čiji je klirens kreatinina manji od 15 m</w:t>
      </w:r>
      <w:r w:rsidR="001E3FCD" w:rsidRPr="00E814B7">
        <w:rPr>
          <w:rFonts w:asciiTheme="majorBidi" w:eastAsiaTheme="minorHAnsi" w:hAnsiTheme="majorBidi" w:cstheme="majorBidi"/>
          <w:sz w:val="22"/>
          <w:szCs w:val="22"/>
          <w:lang w:val="sr-Latn-ME"/>
        </w:rPr>
        <w:t>l</w:t>
      </w:r>
      <w:r w:rsidRPr="00E814B7">
        <w:rPr>
          <w:rFonts w:asciiTheme="majorBidi" w:eastAsiaTheme="minorHAnsi" w:hAnsiTheme="majorBidi" w:cstheme="majorBidi"/>
          <w:sz w:val="22"/>
          <w:szCs w:val="22"/>
          <w:lang w:val="sr-Latn-ME"/>
        </w:rPr>
        <w:t>/min.</w:t>
      </w:r>
    </w:p>
    <w:p w14:paraId="65E3AEFB" w14:textId="77777777" w:rsidR="0072020E" w:rsidRPr="00E814B7" w:rsidRDefault="0072020E" w:rsidP="00E814B7">
      <w:pPr>
        <w:tabs>
          <w:tab w:val="left" w:pos="540"/>
          <w:tab w:val="left" w:pos="569"/>
        </w:tabs>
        <w:jc w:val="both"/>
        <w:rPr>
          <w:rFonts w:asciiTheme="majorBidi" w:hAnsiTheme="majorBidi" w:cstheme="majorBidi"/>
          <w:bCs/>
          <w:sz w:val="22"/>
          <w:szCs w:val="22"/>
          <w:lang w:val="sr-Latn-ME"/>
        </w:rPr>
      </w:pPr>
    </w:p>
    <w:p w14:paraId="6ABCCAC4" w14:textId="77777777" w:rsidR="0072020E" w:rsidRPr="00E814B7" w:rsidRDefault="0072020E" w:rsidP="00E814B7">
      <w:pPr>
        <w:tabs>
          <w:tab w:val="left" w:pos="540"/>
          <w:tab w:val="left" w:pos="569"/>
        </w:tabs>
        <w:jc w:val="both"/>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5.3.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 xml:space="preserve">Pretklinički podaci o bezbjednosti </w:t>
      </w:r>
    </w:p>
    <w:p w14:paraId="67BBBD82" w14:textId="4E6738AB" w:rsidR="00836B35" w:rsidRPr="00E814B7" w:rsidRDefault="00836B35" w:rsidP="00E814B7">
      <w:pPr>
        <w:tabs>
          <w:tab w:val="left" w:pos="540"/>
          <w:tab w:val="left" w:pos="569"/>
        </w:tabs>
        <w:rPr>
          <w:rFonts w:asciiTheme="majorBidi" w:hAnsiTheme="majorBidi" w:cstheme="majorBidi"/>
          <w:bCs/>
          <w:sz w:val="22"/>
          <w:szCs w:val="22"/>
          <w:lang w:val="sr-Latn-ME"/>
        </w:rPr>
      </w:pPr>
    </w:p>
    <w:p w14:paraId="3B1709EF" w14:textId="726ECAD1" w:rsidR="00B667C5" w:rsidRPr="00E814B7" w:rsidRDefault="00B667C5"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Efekti dugotrajnog uzimanja lijeka zapaženi na najmanje jednoj životinjskoj vrsti ili u studiji uključivali su promjene na rožnjači (atrofija, ulceracije), koži (degeneracija i upala folikula, crvenilo i alopecija), jajnicima (atrofija), jetri (nekroza jetre), bubrezima (bubrežna papilarna nekroza i tubularna dilatacija) i gastrointestinalnom traktu  (odloženo pražnjenje želuca i dijareja). Parametri </w:t>
      </w:r>
      <w:r w:rsidR="001E3FCD" w:rsidRPr="00E814B7">
        <w:rPr>
          <w:rFonts w:asciiTheme="majorBidi" w:hAnsiTheme="majorBidi" w:cstheme="majorBidi"/>
          <w:sz w:val="22"/>
          <w:szCs w:val="22"/>
          <w:lang w:val="sr-Latn-ME"/>
        </w:rPr>
        <w:t>eritrocita</w:t>
      </w:r>
      <w:r w:rsidRPr="00E814B7">
        <w:rPr>
          <w:rFonts w:asciiTheme="majorBidi" w:hAnsiTheme="majorBidi" w:cstheme="majorBidi"/>
          <w:sz w:val="22"/>
          <w:szCs w:val="22"/>
          <w:lang w:val="sr-Latn-ME"/>
        </w:rPr>
        <w:t xml:space="preserve"> bili su sniženi, dok su </w:t>
      </w:r>
      <w:r w:rsidR="0050340C" w:rsidRPr="00E814B7">
        <w:rPr>
          <w:rFonts w:asciiTheme="majorBidi" w:hAnsiTheme="majorBidi" w:cstheme="majorBidi"/>
          <w:sz w:val="22"/>
          <w:szCs w:val="22"/>
          <w:lang w:val="sr-Latn-ME"/>
        </w:rPr>
        <w:t>leukociti</w:t>
      </w:r>
      <w:r w:rsidRPr="00E814B7">
        <w:rPr>
          <w:rFonts w:asciiTheme="majorBidi" w:hAnsiTheme="majorBidi" w:cstheme="majorBidi"/>
          <w:sz w:val="22"/>
          <w:szCs w:val="22"/>
          <w:lang w:val="sr-Latn-ME"/>
        </w:rPr>
        <w:t>, uglavnom neutrofili, bili povećani. Kao posl</w:t>
      </w:r>
      <w:r w:rsidR="001E3FCD"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 xml:space="preserve">edica liječenja došlo je i do povećanja </w:t>
      </w:r>
      <w:r w:rsidRPr="00E814B7">
        <w:rPr>
          <w:rFonts w:asciiTheme="majorBidi" w:hAnsiTheme="majorBidi" w:cstheme="majorBidi"/>
          <w:sz w:val="22"/>
          <w:szCs w:val="22"/>
          <w:lang w:val="sr-Latn-ME"/>
        </w:rPr>
        <w:lastRenderedPageBreak/>
        <w:t>ALT, AST i bilirubina. Ovi efekti su zapaženi pri izloženostima daleko nižim od  klinički značajnih izloženosti.</w:t>
      </w:r>
    </w:p>
    <w:p w14:paraId="63E251D4" w14:textId="77777777" w:rsidR="00206A99" w:rsidRPr="00E814B7" w:rsidRDefault="00206A99" w:rsidP="00E814B7">
      <w:pPr>
        <w:tabs>
          <w:tab w:val="left" w:pos="284"/>
        </w:tabs>
        <w:jc w:val="both"/>
        <w:rPr>
          <w:rFonts w:asciiTheme="majorBidi" w:hAnsiTheme="majorBidi" w:cstheme="majorBidi"/>
          <w:sz w:val="22"/>
          <w:szCs w:val="22"/>
          <w:lang w:val="sr-Latn-ME"/>
        </w:rPr>
      </w:pPr>
    </w:p>
    <w:p w14:paraId="7DE4EDB6" w14:textId="68174C13" w:rsidR="00B667C5" w:rsidRPr="00E814B7" w:rsidRDefault="00B667C5"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Na osnovu mehanizma d</w:t>
      </w:r>
      <w:r w:rsidR="001E3FCD"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 xml:space="preserve">elovanja, erlotinib ima potencijal za teratogeno dejstvo. Podaci iz testova reproduktivne toksičnosti na pacovima i </w:t>
      </w:r>
      <w:r w:rsidR="001E3FCD" w:rsidRPr="00E814B7">
        <w:rPr>
          <w:rFonts w:asciiTheme="majorBidi" w:hAnsiTheme="majorBidi" w:cstheme="majorBidi"/>
          <w:sz w:val="22"/>
          <w:szCs w:val="22"/>
          <w:lang w:val="sr-Latn-ME"/>
        </w:rPr>
        <w:t xml:space="preserve">kunićima </w:t>
      </w:r>
      <w:r w:rsidRPr="00E814B7">
        <w:rPr>
          <w:rFonts w:asciiTheme="majorBidi" w:hAnsiTheme="majorBidi" w:cstheme="majorBidi"/>
          <w:sz w:val="22"/>
          <w:szCs w:val="22"/>
          <w:lang w:val="sr-Latn-ME"/>
        </w:rPr>
        <w:t xml:space="preserve">u dozama koje su blizu maksimalno podnošljive doze i/ili doza toksičnih za majku pokazali su reproduktivnu toksičnost (embriotoksičnost kod pacova, resorpciju embriona i fetotoksičnost kod </w:t>
      </w:r>
      <w:r w:rsidR="001E3FCD" w:rsidRPr="00E814B7">
        <w:rPr>
          <w:rFonts w:asciiTheme="majorBidi" w:hAnsiTheme="majorBidi" w:cstheme="majorBidi"/>
          <w:sz w:val="22"/>
          <w:szCs w:val="22"/>
          <w:lang w:val="sr-Latn-ME"/>
        </w:rPr>
        <w:t>kunića</w:t>
      </w:r>
      <w:r w:rsidRPr="00E814B7">
        <w:rPr>
          <w:rFonts w:asciiTheme="majorBidi" w:hAnsiTheme="majorBidi" w:cstheme="majorBidi"/>
          <w:sz w:val="22"/>
          <w:szCs w:val="22"/>
          <w:lang w:val="sr-Latn-ME"/>
        </w:rPr>
        <w:t>) i razvojnu toksičnost (sporiji rast mladunaca i preživljavanje pacova), ali nije bilo teratogenosti niti uticaja na plodnost. Ovi efekti su zapaženi pri klinički značajnim izloženostima.</w:t>
      </w:r>
    </w:p>
    <w:p w14:paraId="109405D7" w14:textId="77777777" w:rsidR="00206A99" w:rsidRPr="00E814B7" w:rsidRDefault="00206A99" w:rsidP="00E814B7">
      <w:pPr>
        <w:tabs>
          <w:tab w:val="left" w:pos="284"/>
        </w:tabs>
        <w:jc w:val="both"/>
        <w:rPr>
          <w:rFonts w:asciiTheme="majorBidi" w:hAnsiTheme="majorBidi" w:cstheme="majorBidi"/>
          <w:sz w:val="22"/>
          <w:szCs w:val="22"/>
          <w:lang w:val="sr-Latn-ME"/>
        </w:rPr>
      </w:pPr>
    </w:p>
    <w:p w14:paraId="528061CB" w14:textId="7C6A2ED8" w:rsidR="00B667C5" w:rsidRPr="00E814B7" w:rsidRDefault="00B667C5"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Rezultat konvencionalnih ispitivanja genotoksičnosti erlotiniba bio je negativan. Dvogodišnja ispitivanja kancerogenosti erlotiniba sprovedena na pacovima i miševima čije su izloženosti prelazile terapijske izloženosti kod ljudi (do 2 puta odnosno 10 puta više, bazirano na Cmax i/ili AUC) dala su negativan rezultat.</w:t>
      </w:r>
    </w:p>
    <w:p w14:paraId="2B3CBD71" w14:textId="77777777" w:rsidR="00206A99" w:rsidRPr="00E814B7" w:rsidRDefault="00206A99" w:rsidP="00E814B7">
      <w:pPr>
        <w:tabs>
          <w:tab w:val="left" w:pos="284"/>
        </w:tabs>
        <w:jc w:val="both"/>
        <w:rPr>
          <w:rFonts w:asciiTheme="majorBidi" w:hAnsiTheme="majorBidi" w:cstheme="majorBidi"/>
          <w:sz w:val="22"/>
          <w:szCs w:val="22"/>
          <w:lang w:val="sr-Latn-ME"/>
        </w:rPr>
      </w:pPr>
    </w:p>
    <w:p w14:paraId="68F5DC73" w14:textId="19B0B5D7" w:rsidR="00B667C5" w:rsidRPr="00E814B7" w:rsidRDefault="00B667C5"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Kod pacova je poslije UV zračenja primjećena blaga fototoksična reakcija na koži.</w:t>
      </w:r>
    </w:p>
    <w:p w14:paraId="28620B2E" w14:textId="6F547EA7" w:rsidR="00396DFD" w:rsidRDefault="00396DFD" w:rsidP="00E814B7">
      <w:pPr>
        <w:tabs>
          <w:tab w:val="left" w:pos="540"/>
          <w:tab w:val="left" w:pos="569"/>
        </w:tabs>
        <w:rPr>
          <w:rFonts w:asciiTheme="majorBidi" w:hAnsiTheme="majorBidi" w:cstheme="majorBidi"/>
          <w:b/>
          <w:bCs/>
          <w:sz w:val="22"/>
          <w:szCs w:val="22"/>
          <w:lang w:val="sr-Latn-ME"/>
        </w:rPr>
      </w:pPr>
    </w:p>
    <w:p w14:paraId="178BB63F" w14:textId="77777777" w:rsidR="00E814B7" w:rsidRPr="00E814B7" w:rsidRDefault="00E814B7" w:rsidP="00E814B7">
      <w:pPr>
        <w:tabs>
          <w:tab w:val="left" w:pos="540"/>
          <w:tab w:val="left" w:pos="569"/>
        </w:tabs>
        <w:rPr>
          <w:rFonts w:asciiTheme="majorBidi" w:hAnsiTheme="majorBidi" w:cstheme="majorBidi"/>
          <w:b/>
          <w:bCs/>
          <w:sz w:val="22"/>
          <w:szCs w:val="22"/>
          <w:lang w:val="sr-Latn-ME"/>
        </w:rPr>
      </w:pPr>
    </w:p>
    <w:p w14:paraId="5453AD37"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6.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FARMACEUTSKI PODACI</w:t>
      </w:r>
    </w:p>
    <w:p w14:paraId="2928F817" w14:textId="77777777" w:rsidR="00836B35" w:rsidRPr="00E814B7" w:rsidRDefault="00836B35" w:rsidP="00E814B7">
      <w:pPr>
        <w:tabs>
          <w:tab w:val="left" w:pos="540"/>
          <w:tab w:val="left" w:pos="569"/>
        </w:tabs>
        <w:rPr>
          <w:rFonts w:asciiTheme="majorBidi" w:hAnsiTheme="majorBidi" w:cstheme="majorBidi"/>
          <w:bCs/>
          <w:sz w:val="22"/>
          <w:szCs w:val="22"/>
          <w:lang w:val="sr-Latn-ME"/>
        </w:rPr>
      </w:pPr>
    </w:p>
    <w:p w14:paraId="23C24D6B" w14:textId="3BDEA989"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6.1.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Lista pomoćnih supstanci</w:t>
      </w:r>
      <w:r w:rsidR="002E0135" w:rsidRPr="00E814B7">
        <w:rPr>
          <w:rFonts w:asciiTheme="majorBidi" w:hAnsiTheme="majorBidi" w:cstheme="majorBidi"/>
          <w:b/>
          <w:bCs/>
          <w:sz w:val="22"/>
          <w:szCs w:val="22"/>
          <w:lang w:val="sr-Latn-ME"/>
        </w:rPr>
        <w:t xml:space="preserve"> (ekscipijenasa)</w:t>
      </w:r>
    </w:p>
    <w:p w14:paraId="681AB2C0" w14:textId="6348629D" w:rsidR="00B86103" w:rsidRPr="00E814B7" w:rsidRDefault="00B86103" w:rsidP="00E814B7">
      <w:pPr>
        <w:tabs>
          <w:tab w:val="left" w:pos="540"/>
          <w:tab w:val="left" w:pos="569"/>
        </w:tabs>
        <w:rPr>
          <w:rFonts w:asciiTheme="majorBidi" w:hAnsiTheme="majorBidi" w:cstheme="majorBidi"/>
          <w:b/>
          <w:bCs/>
          <w:sz w:val="22"/>
          <w:szCs w:val="22"/>
          <w:lang w:val="sr-Latn-ME"/>
        </w:rPr>
      </w:pPr>
    </w:p>
    <w:p w14:paraId="6271F6EA" w14:textId="77777777" w:rsidR="00B86103" w:rsidRPr="00E814B7" w:rsidRDefault="00B86103" w:rsidP="00E814B7">
      <w:pPr>
        <w:tabs>
          <w:tab w:val="left" w:pos="284"/>
        </w:tabs>
        <w:jc w:val="both"/>
        <w:rPr>
          <w:rFonts w:asciiTheme="majorBidi" w:hAnsiTheme="majorBidi" w:cstheme="majorBidi"/>
          <w:i/>
          <w:sz w:val="22"/>
          <w:szCs w:val="22"/>
          <w:lang w:val="sr-Latn-ME"/>
        </w:rPr>
      </w:pPr>
      <w:r w:rsidRPr="00E814B7">
        <w:rPr>
          <w:rFonts w:asciiTheme="majorBidi" w:hAnsiTheme="majorBidi" w:cstheme="majorBidi"/>
          <w:i/>
          <w:sz w:val="22"/>
          <w:szCs w:val="22"/>
          <w:lang w:val="sr-Latn-ME"/>
        </w:rPr>
        <w:t>Jezgro tablete:</w:t>
      </w:r>
    </w:p>
    <w:p w14:paraId="491A4759"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Laktoza monohidrat;</w:t>
      </w:r>
    </w:p>
    <w:p w14:paraId="10300118"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Celuloza, mikrokristalna (E460);</w:t>
      </w:r>
    </w:p>
    <w:p w14:paraId="1CA6AE71" w14:textId="60CE7122"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Natrijum skrob glikolat tip A;</w:t>
      </w:r>
    </w:p>
    <w:p w14:paraId="417EEBC9"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Magnezijum stearat (E470b).</w:t>
      </w:r>
    </w:p>
    <w:p w14:paraId="3C275320" w14:textId="77777777" w:rsidR="00B86103" w:rsidRPr="00E814B7" w:rsidRDefault="00B86103" w:rsidP="00E814B7">
      <w:pPr>
        <w:tabs>
          <w:tab w:val="left" w:pos="284"/>
        </w:tabs>
        <w:jc w:val="both"/>
        <w:rPr>
          <w:rFonts w:asciiTheme="majorBidi" w:hAnsiTheme="majorBidi" w:cstheme="majorBidi"/>
          <w:i/>
          <w:sz w:val="22"/>
          <w:szCs w:val="22"/>
          <w:lang w:val="sr-Latn-ME"/>
        </w:rPr>
      </w:pPr>
    </w:p>
    <w:p w14:paraId="3D28437B" w14:textId="53FA15E8" w:rsidR="00B86103" w:rsidRPr="00E814B7" w:rsidRDefault="00B86103" w:rsidP="00E814B7">
      <w:pPr>
        <w:tabs>
          <w:tab w:val="left" w:pos="284"/>
        </w:tabs>
        <w:jc w:val="both"/>
        <w:rPr>
          <w:rFonts w:asciiTheme="majorBidi" w:hAnsiTheme="majorBidi" w:cstheme="majorBidi"/>
          <w:i/>
          <w:sz w:val="22"/>
          <w:szCs w:val="22"/>
          <w:lang w:val="sr-Latn-ME"/>
        </w:rPr>
      </w:pPr>
      <w:r w:rsidRPr="00E814B7">
        <w:rPr>
          <w:rFonts w:asciiTheme="majorBidi" w:hAnsiTheme="majorBidi" w:cstheme="majorBidi"/>
          <w:i/>
          <w:sz w:val="22"/>
          <w:szCs w:val="22"/>
          <w:lang w:val="sr-Latn-ME"/>
        </w:rPr>
        <w:t xml:space="preserve">Omotač tablete: </w:t>
      </w:r>
    </w:p>
    <w:p w14:paraId="4CB187C5"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Polivinil alkohol (E1203);</w:t>
      </w:r>
    </w:p>
    <w:p w14:paraId="51B27259"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Titanijum dioksid (E171)</w:t>
      </w:r>
    </w:p>
    <w:p w14:paraId="45D99BBF"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Makrogol 3350 (E1521);</w:t>
      </w:r>
    </w:p>
    <w:p w14:paraId="4838B8F1"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Talk (E553b);</w:t>
      </w:r>
    </w:p>
    <w:p w14:paraId="431BC520" w14:textId="10AC58F6"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Metakrilna kis</w:t>
      </w:r>
      <w:r w:rsidR="00500410" w:rsidRPr="00E814B7">
        <w:rPr>
          <w:rFonts w:asciiTheme="majorBidi" w:hAnsiTheme="majorBidi" w:cstheme="majorBidi"/>
          <w:sz w:val="22"/>
          <w:szCs w:val="22"/>
          <w:lang w:val="sr-Latn-ME"/>
        </w:rPr>
        <w:t>j</w:t>
      </w:r>
      <w:r w:rsidRPr="00E814B7">
        <w:rPr>
          <w:rFonts w:asciiTheme="majorBidi" w:hAnsiTheme="majorBidi" w:cstheme="majorBidi"/>
          <w:sz w:val="22"/>
          <w:szCs w:val="22"/>
          <w:lang w:val="sr-Latn-ME"/>
        </w:rPr>
        <w:t>elina-</w:t>
      </w:r>
      <w:r w:rsidR="00E73A13" w:rsidRPr="00E814B7">
        <w:rPr>
          <w:rFonts w:asciiTheme="majorBidi" w:hAnsiTheme="majorBidi" w:cstheme="majorBidi"/>
          <w:sz w:val="22"/>
          <w:szCs w:val="22"/>
          <w:lang w:val="sr-Latn-ME"/>
        </w:rPr>
        <w:t>e</w:t>
      </w:r>
      <w:r w:rsidRPr="00E814B7">
        <w:rPr>
          <w:rFonts w:asciiTheme="majorBidi" w:hAnsiTheme="majorBidi" w:cstheme="majorBidi"/>
          <w:sz w:val="22"/>
          <w:szCs w:val="22"/>
          <w:lang w:val="sr-Latn-ME"/>
        </w:rPr>
        <w:t>til</w:t>
      </w:r>
      <w:r w:rsidR="00855FBF" w:rsidRPr="00E814B7">
        <w:rPr>
          <w:rFonts w:asciiTheme="majorBidi" w:hAnsiTheme="majorBidi" w:cstheme="majorBidi"/>
          <w:sz w:val="22"/>
          <w:szCs w:val="22"/>
          <w:lang w:val="sr-Latn-ME"/>
        </w:rPr>
        <w:t>a</w:t>
      </w:r>
      <w:r w:rsidRPr="00E814B7">
        <w:rPr>
          <w:rFonts w:asciiTheme="majorBidi" w:hAnsiTheme="majorBidi" w:cstheme="majorBidi"/>
          <w:sz w:val="22"/>
          <w:szCs w:val="22"/>
          <w:lang w:val="sr-Latn-ME"/>
        </w:rPr>
        <w:t xml:space="preserve">krilat </w:t>
      </w:r>
      <w:r w:rsidR="00855FBF" w:rsidRPr="00E814B7">
        <w:rPr>
          <w:rFonts w:asciiTheme="majorBidi" w:hAnsiTheme="majorBidi" w:cstheme="majorBidi"/>
          <w:sz w:val="22"/>
          <w:szCs w:val="22"/>
          <w:lang w:val="sr-Latn-ME"/>
        </w:rPr>
        <w:t>k</w:t>
      </w:r>
      <w:r w:rsidRPr="00E814B7">
        <w:rPr>
          <w:rFonts w:asciiTheme="majorBidi" w:hAnsiTheme="majorBidi" w:cstheme="majorBidi"/>
          <w:sz w:val="22"/>
          <w:szCs w:val="22"/>
          <w:lang w:val="sr-Latn-ME"/>
        </w:rPr>
        <w:t xml:space="preserve">opolimer (1:1), </w:t>
      </w:r>
      <w:r w:rsidR="00E73A13" w:rsidRPr="00E814B7">
        <w:rPr>
          <w:rFonts w:asciiTheme="majorBidi" w:hAnsiTheme="majorBidi" w:cstheme="majorBidi"/>
          <w:sz w:val="22"/>
          <w:szCs w:val="22"/>
          <w:lang w:val="sr-Latn-ME"/>
        </w:rPr>
        <w:t>t</w:t>
      </w:r>
      <w:r w:rsidRPr="00E814B7">
        <w:rPr>
          <w:rFonts w:asciiTheme="majorBidi" w:hAnsiTheme="majorBidi" w:cstheme="majorBidi"/>
          <w:sz w:val="22"/>
          <w:szCs w:val="22"/>
          <w:lang w:val="sr-Latn-ME"/>
        </w:rPr>
        <w:t>ip A;</w:t>
      </w:r>
    </w:p>
    <w:p w14:paraId="6AFC0C55" w14:textId="3EDD9FB2"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Natrijum</w:t>
      </w:r>
      <w:r w:rsidR="00855FBF" w:rsidRPr="00E814B7">
        <w:rPr>
          <w:rFonts w:asciiTheme="majorBidi" w:hAnsiTheme="majorBidi" w:cstheme="majorBidi"/>
          <w:sz w:val="22"/>
          <w:szCs w:val="22"/>
          <w:lang w:val="sr-Latn-ME"/>
        </w:rPr>
        <w:t xml:space="preserve"> </w:t>
      </w:r>
      <w:r w:rsidRPr="00E814B7">
        <w:rPr>
          <w:rFonts w:asciiTheme="majorBidi" w:hAnsiTheme="majorBidi" w:cstheme="majorBidi"/>
          <w:sz w:val="22"/>
          <w:szCs w:val="22"/>
          <w:lang w:val="sr-Latn-ME"/>
        </w:rPr>
        <w:t>hidrogenkarbonat.</w:t>
      </w:r>
    </w:p>
    <w:p w14:paraId="7020CB26" w14:textId="77777777" w:rsidR="0072020E" w:rsidRPr="00E814B7" w:rsidRDefault="0072020E" w:rsidP="00E814B7">
      <w:pPr>
        <w:tabs>
          <w:tab w:val="left" w:pos="540"/>
          <w:tab w:val="left" w:pos="569"/>
        </w:tabs>
        <w:rPr>
          <w:rFonts w:asciiTheme="majorBidi" w:hAnsiTheme="majorBidi" w:cstheme="majorBidi"/>
          <w:bCs/>
          <w:sz w:val="22"/>
          <w:szCs w:val="22"/>
          <w:lang w:val="sr-Latn-ME"/>
        </w:rPr>
      </w:pPr>
    </w:p>
    <w:p w14:paraId="351E635F" w14:textId="40D07005"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6.2.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Inkompatibilnost</w:t>
      </w:r>
      <w:r w:rsidR="002846DB" w:rsidRPr="00E814B7">
        <w:rPr>
          <w:rFonts w:asciiTheme="majorBidi" w:hAnsiTheme="majorBidi" w:cstheme="majorBidi"/>
          <w:b/>
          <w:bCs/>
          <w:sz w:val="22"/>
          <w:szCs w:val="22"/>
          <w:lang w:val="sr-Latn-ME"/>
        </w:rPr>
        <w:t>i</w:t>
      </w:r>
    </w:p>
    <w:p w14:paraId="17665559" w14:textId="22B38C64" w:rsidR="00B86103" w:rsidRPr="00E814B7" w:rsidRDefault="00B86103" w:rsidP="00E814B7">
      <w:pPr>
        <w:tabs>
          <w:tab w:val="left" w:pos="540"/>
          <w:tab w:val="left" w:pos="569"/>
        </w:tabs>
        <w:rPr>
          <w:rFonts w:asciiTheme="majorBidi" w:hAnsiTheme="majorBidi" w:cstheme="majorBidi"/>
          <w:b/>
          <w:bCs/>
          <w:sz w:val="22"/>
          <w:szCs w:val="22"/>
          <w:lang w:val="sr-Latn-ME"/>
        </w:rPr>
      </w:pPr>
    </w:p>
    <w:p w14:paraId="5D1D9A43" w14:textId="219873DB"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Nije primjen</w:t>
      </w:r>
      <w:r w:rsidR="00855FBF" w:rsidRPr="00E814B7">
        <w:rPr>
          <w:rFonts w:asciiTheme="majorBidi" w:hAnsiTheme="majorBidi" w:cstheme="majorBidi"/>
          <w:sz w:val="22"/>
          <w:szCs w:val="22"/>
          <w:lang w:val="sr-Latn-ME"/>
        </w:rPr>
        <w:t>l</w:t>
      </w:r>
      <w:r w:rsidRPr="00E814B7">
        <w:rPr>
          <w:rFonts w:asciiTheme="majorBidi" w:hAnsiTheme="majorBidi" w:cstheme="majorBidi"/>
          <w:sz w:val="22"/>
          <w:szCs w:val="22"/>
          <w:lang w:val="sr-Latn-ME"/>
        </w:rPr>
        <w:t xml:space="preserve">jivo. </w:t>
      </w:r>
    </w:p>
    <w:p w14:paraId="69D70302" w14:textId="77777777" w:rsidR="0072020E" w:rsidRPr="00E814B7" w:rsidRDefault="0072020E" w:rsidP="00E814B7">
      <w:pPr>
        <w:tabs>
          <w:tab w:val="left" w:pos="540"/>
          <w:tab w:val="left" w:pos="569"/>
        </w:tabs>
        <w:rPr>
          <w:rFonts w:asciiTheme="majorBidi" w:hAnsiTheme="majorBidi" w:cstheme="majorBidi"/>
          <w:bCs/>
          <w:sz w:val="22"/>
          <w:szCs w:val="22"/>
          <w:lang w:val="sr-Latn-ME"/>
        </w:rPr>
      </w:pPr>
    </w:p>
    <w:p w14:paraId="789B5936"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6.3.</w:t>
      </w:r>
      <w:r w:rsidR="00C05DF8" w:rsidRPr="00E814B7">
        <w:rPr>
          <w:rFonts w:asciiTheme="majorBidi" w:hAnsiTheme="majorBidi" w:cstheme="majorBidi"/>
          <w:b/>
          <w:bCs/>
          <w:sz w:val="22"/>
          <w:szCs w:val="22"/>
          <w:lang w:val="sr-Latn-ME"/>
        </w:rPr>
        <w:t xml:space="preserve">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Rok upotrebe</w:t>
      </w:r>
    </w:p>
    <w:p w14:paraId="7ABA65A0" w14:textId="64C26BAD" w:rsidR="0072020E" w:rsidRPr="00E814B7" w:rsidRDefault="0072020E" w:rsidP="00E814B7">
      <w:pPr>
        <w:tabs>
          <w:tab w:val="left" w:pos="540"/>
          <w:tab w:val="left" w:pos="569"/>
        </w:tabs>
        <w:rPr>
          <w:rFonts w:asciiTheme="majorBidi" w:hAnsiTheme="majorBidi" w:cstheme="majorBidi"/>
          <w:bCs/>
          <w:sz w:val="22"/>
          <w:szCs w:val="22"/>
          <w:lang w:val="sr-Latn-ME"/>
        </w:rPr>
      </w:pPr>
    </w:p>
    <w:p w14:paraId="348B1F82" w14:textId="77777777"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 xml:space="preserve">48 mjeseci. </w:t>
      </w:r>
    </w:p>
    <w:p w14:paraId="11A9A77D" w14:textId="77777777" w:rsidR="00B86103" w:rsidRPr="00E814B7" w:rsidRDefault="00B86103" w:rsidP="00E814B7">
      <w:pPr>
        <w:tabs>
          <w:tab w:val="left" w:pos="540"/>
          <w:tab w:val="left" w:pos="569"/>
        </w:tabs>
        <w:rPr>
          <w:rFonts w:asciiTheme="majorBidi" w:hAnsiTheme="majorBidi" w:cstheme="majorBidi"/>
          <w:bCs/>
          <w:sz w:val="22"/>
          <w:szCs w:val="22"/>
          <w:lang w:val="sr-Latn-ME"/>
        </w:rPr>
      </w:pPr>
    </w:p>
    <w:p w14:paraId="5BD99273"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6.4.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Posebne mjere upozorenja pri čuvanju</w:t>
      </w:r>
      <w:r w:rsidR="00F8570A" w:rsidRPr="00E814B7">
        <w:rPr>
          <w:rFonts w:asciiTheme="majorBidi" w:hAnsiTheme="majorBidi" w:cstheme="majorBidi"/>
          <w:b/>
          <w:bCs/>
          <w:sz w:val="22"/>
          <w:szCs w:val="22"/>
          <w:lang w:val="sr-Latn-ME"/>
        </w:rPr>
        <w:t xml:space="preserve"> lijeka</w:t>
      </w:r>
    </w:p>
    <w:p w14:paraId="44D43233" w14:textId="0E1056EA" w:rsidR="00EC2532" w:rsidRPr="00E814B7" w:rsidRDefault="00EC2532" w:rsidP="00E814B7">
      <w:pPr>
        <w:tabs>
          <w:tab w:val="left" w:pos="540"/>
          <w:tab w:val="left" w:pos="569"/>
        </w:tabs>
        <w:rPr>
          <w:rFonts w:asciiTheme="majorBidi" w:hAnsiTheme="majorBidi" w:cstheme="majorBidi"/>
          <w:bCs/>
          <w:sz w:val="22"/>
          <w:szCs w:val="22"/>
          <w:lang w:val="sr-Latn-ME"/>
        </w:rPr>
      </w:pPr>
    </w:p>
    <w:p w14:paraId="55CF2D22" w14:textId="76D05674" w:rsidR="00B86103" w:rsidRPr="00E814B7"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Lijek ne zahtijeva posebne uslove čuvanja.</w:t>
      </w:r>
    </w:p>
    <w:p w14:paraId="23E2FB4B" w14:textId="77777777" w:rsidR="00B86103" w:rsidRPr="00E814B7" w:rsidRDefault="00B86103" w:rsidP="00E814B7">
      <w:pPr>
        <w:tabs>
          <w:tab w:val="left" w:pos="540"/>
          <w:tab w:val="left" w:pos="569"/>
        </w:tabs>
        <w:rPr>
          <w:rFonts w:asciiTheme="majorBidi" w:hAnsiTheme="majorBidi" w:cstheme="majorBidi"/>
          <w:bCs/>
          <w:sz w:val="22"/>
          <w:szCs w:val="22"/>
          <w:lang w:val="sr-Latn-ME"/>
        </w:rPr>
      </w:pPr>
    </w:p>
    <w:p w14:paraId="1B96A200"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6.5. </w:t>
      </w:r>
      <w:r w:rsidR="00480FB1" w:rsidRPr="00E814B7">
        <w:rPr>
          <w:rFonts w:asciiTheme="majorBidi" w:hAnsiTheme="majorBidi" w:cstheme="majorBidi"/>
          <w:b/>
          <w:bCs/>
          <w:sz w:val="22"/>
          <w:szCs w:val="22"/>
          <w:lang w:val="sr-Latn-ME"/>
        </w:rPr>
        <w:tab/>
      </w:r>
      <w:r w:rsidR="002846DB" w:rsidRPr="00E814B7">
        <w:rPr>
          <w:rFonts w:asciiTheme="majorBidi" w:hAnsiTheme="majorBidi" w:cstheme="majorBidi"/>
          <w:b/>
          <w:bCs/>
          <w:sz w:val="22"/>
          <w:szCs w:val="22"/>
          <w:lang w:val="sr-Latn-ME"/>
        </w:rPr>
        <w:t xml:space="preserve">Vrsta i sadržaj </w:t>
      </w:r>
      <w:r w:rsidR="00F8570A" w:rsidRPr="00E814B7">
        <w:rPr>
          <w:rFonts w:asciiTheme="majorBidi" w:hAnsiTheme="majorBidi" w:cstheme="majorBidi"/>
          <w:b/>
          <w:bCs/>
          <w:sz w:val="22"/>
          <w:szCs w:val="22"/>
          <w:lang w:val="sr-Latn-ME"/>
        </w:rPr>
        <w:t>pakovanja</w:t>
      </w:r>
      <w:r w:rsidR="00C06864" w:rsidRPr="00E814B7">
        <w:rPr>
          <w:rFonts w:asciiTheme="majorBidi" w:hAnsiTheme="majorBidi" w:cstheme="majorBidi"/>
          <w:b/>
          <w:bCs/>
          <w:sz w:val="22"/>
          <w:szCs w:val="22"/>
          <w:lang w:val="sr-Latn-ME"/>
        </w:rPr>
        <w:t xml:space="preserve"> </w:t>
      </w:r>
    </w:p>
    <w:p w14:paraId="7CD19ACF" w14:textId="428163BD" w:rsidR="0072020E" w:rsidRPr="00E814B7" w:rsidRDefault="0072020E" w:rsidP="00E814B7">
      <w:pPr>
        <w:tabs>
          <w:tab w:val="left" w:pos="540"/>
          <w:tab w:val="left" w:pos="569"/>
        </w:tabs>
        <w:rPr>
          <w:rFonts w:asciiTheme="majorBidi" w:hAnsiTheme="majorBidi" w:cstheme="majorBidi"/>
          <w:bCs/>
          <w:sz w:val="22"/>
          <w:szCs w:val="22"/>
          <w:lang w:val="sr-Latn-ME"/>
        </w:rPr>
      </w:pPr>
    </w:p>
    <w:p w14:paraId="32AC1BC2" w14:textId="574450B2" w:rsidR="00B86103" w:rsidRPr="00E814B7" w:rsidRDefault="00B86103" w:rsidP="00E814B7">
      <w:pPr>
        <w:tabs>
          <w:tab w:val="left" w:pos="284"/>
        </w:tabs>
        <w:jc w:val="both"/>
        <w:rPr>
          <w:rFonts w:asciiTheme="majorBidi" w:hAnsiTheme="majorBidi" w:cstheme="majorBidi"/>
          <w:iCs/>
          <w:sz w:val="22"/>
          <w:szCs w:val="22"/>
          <w:lang w:val="sr-Latn-ME"/>
        </w:rPr>
      </w:pPr>
      <w:r w:rsidRPr="00E814B7">
        <w:rPr>
          <w:rFonts w:asciiTheme="majorBidi" w:hAnsiTheme="majorBidi" w:cstheme="majorBidi"/>
          <w:iCs/>
          <w:sz w:val="22"/>
          <w:szCs w:val="22"/>
          <w:lang w:val="sr-Latn-ME"/>
        </w:rPr>
        <w:t>Unutrašnje pakovanje je Aluminijum – OPA/Alu/PVC blister koji sadrži 10 film tableta.</w:t>
      </w:r>
    </w:p>
    <w:p w14:paraId="78DC3361" w14:textId="72D89F1E" w:rsidR="00B86103" w:rsidRPr="00E814B7" w:rsidRDefault="00B86103" w:rsidP="00E814B7">
      <w:pPr>
        <w:tabs>
          <w:tab w:val="left" w:pos="284"/>
        </w:tabs>
        <w:jc w:val="both"/>
        <w:rPr>
          <w:rFonts w:asciiTheme="majorBidi" w:hAnsiTheme="majorBidi" w:cstheme="majorBidi"/>
          <w:iCs/>
          <w:sz w:val="22"/>
          <w:szCs w:val="22"/>
          <w:lang w:val="sr-Latn-ME"/>
        </w:rPr>
      </w:pPr>
      <w:r w:rsidRPr="00E814B7">
        <w:rPr>
          <w:rFonts w:asciiTheme="majorBidi" w:hAnsiTheme="majorBidi" w:cstheme="majorBidi"/>
          <w:iCs/>
          <w:sz w:val="22"/>
          <w:szCs w:val="22"/>
          <w:lang w:val="sr-Latn-ME"/>
        </w:rPr>
        <w:t>Spoljašnje pakovanje je složiva kartonska kutija koja sadrži 3 blistera (ukupno 30 film tableta) i Uputstvo za lijek.</w:t>
      </w:r>
    </w:p>
    <w:p w14:paraId="156587CE" w14:textId="78A33825" w:rsidR="00A322FF" w:rsidRDefault="00A322FF" w:rsidP="00E814B7">
      <w:pPr>
        <w:tabs>
          <w:tab w:val="left" w:pos="284"/>
        </w:tabs>
        <w:jc w:val="both"/>
        <w:rPr>
          <w:rFonts w:asciiTheme="majorBidi" w:hAnsiTheme="majorBidi" w:cstheme="majorBidi"/>
          <w:iCs/>
          <w:sz w:val="22"/>
          <w:szCs w:val="22"/>
          <w:lang w:val="sr-Latn-ME"/>
        </w:rPr>
      </w:pPr>
    </w:p>
    <w:p w14:paraId="28ADE8BE" w14:textId="45BF5C98" w:rsidR="00E814B7" w:rsidRDefault="00E814B7" w:rsidP="00E814B7">
      <w:pPr>
        <w:tabs>
          <w:tab w:val="left" w:pos="284"/>
        </w:tabs>
        <w:jc w:val="both"/>
        <w:rPr>
          <w:rFonts w:asciiTheme="majorBidi" w:hAnsiTheme="majorBidi" w:cstheme="majorBidi"/>
          <w:iCs/>
          <w:sz w:val="22"/>
          <w:szCs w:val="22"/>
          <w:lang w:val="sr-Latn-ME"/>
        </w:rPr>
      </w:pPr>
    </w:p>
    <w:p w14:paraId="59501646" w14:textId="77777777" w:rsidR="00E814B7" w:rsidRPr="00E814B7" w:rsidRDefault="00E814B7" w:rsidP="00E814B7">
      <w:pPr>
        <w:tabs>
          <w:tab w:val="left" w:pos="284"/>
        </w:tabs>
        <w:jc w:val="both"/>
        <w:rPr>
          <w:rFonts w:asciiTheme="majorBidi" w:hAnsiTheme="majorBidi" w:cstheme="majorBidi"/>
          <w:iCs/>
          <w:sz w:val="22"/>
          <w:szCs w:val="22"/>
          <w:lang w:val="sr-Latn-ME"/>
        </w:rPr>
      </w:pPr>
    </w:p>
    <w:p w14:paraId="102CFBFA" w14:textId="77777777" w:rsidR="002846DB"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lastRenderedPageBreak/>
        <w:t xml:space="preserve">6.6.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color w:val="000000"/>
          <w:sz w:val="22"/>
          <w:szCs w:val="22"/>
          <w:lang w:val="sr-Latn-ME"/>
        </w:rPr>
        <w:t>Posebne mjere opreza pri odlaganju materijala koji treba odbaciti nakon primjene lijeka</w:t>
      </w:r>
      <w:r w:rsidRPr="00E814B7">
        <w:rPr>
          <w:rFonts w:asciiTheme="majorBidi" w:hAnsiTheme="majorBidi" w:cstheme="majorBidi"/>
          <w:b/>
          <w:bCs/>
          <w:sz w:val="22"/>
          <w:szCs w:val="22"/>
          <w:lang w:val="sr-Latn-ME"/>
        </w:rPr>
        <w:t xml:space="preserve"> </w:t>
      </w:r>
      <w:r w:rsidR="00310F03" w:rsidRPr="00E814B7">
        <w:rPr>
          <w:rFonts w:asciiTheme="majorBidi" w:hAnsiTheme="majorBidi" w:cstheme="majorBidi"/>
          <w:b/>
          <w:bCs/>
          <w:sz w:val="22"/>
          <w:szCs w:val="22"/>
          <w:lang w:val="sr-Latn-ME"/>
        </w:rPr>
        <w:t>(i druga uputs</w:t>
      </w:r>
      <w:r w:rsidR="004109FA" w:rsidRPr="00E814B7">
        <w:rPr>
          <w:rFonts w:asciiTheme="majorBidi" w:hAnsiTheme="majorBidi" w:cstheme="majorBidi"/>
          <w:b/>
          <w:bCs/>
          <w:sz w:val="22"/>
          <w:szCs w:val="22"/>
          <w:lang w:val="sr-Latn-ME"/>
        </w:rPr>
        <w:t>t</w:t>
      </w:r>
      <w:r w:rsidR="00310F03" w:rsidRPr="00E814B7">
        <w:rPr>
          <w:rFonts w:asciiTheme="majorBidi" w:hAnsiTheme="majorBidi" w:cstheme="majorBidi"/>
          <w:b/>
          <w:bCs/>
          <w:sz w:val="22"/>
          <w:szCs w:val="22"/>
          <w:lang w:val="sr-Latn-ME"/>
        </w:rPr>
        <w:t xml:space="preserve">va za rukovanje lijekom) </w:t>
      </w:r>
    </w:p>
    <w:p w14:paraId="28CB5434" w14:textId="77777777" w:rsidR="00B66A70" w:rsidRPr="00E814B7" w:rsidRDefault="00B66A70" w:rsidP="00E814B7">
      <w:pPr>
        <w:tabs>
          <w:tab w:val="left" w:pos="540"/>
          <w:tab w:val="left" w:pos="569"/>
        </w:tabs>
        <w:rPr>
          <w:rFonts w:asciiTheme="majorBidi" w:hAnsiTheme="majorBidi" w:cstheme="majorBidi"/>
          <w:b/>
          <w:bCs/>
          <w:sz w:val="22"/>
          <w:szCs w:val="22"/>
          <w:lang w:val="sr-Latn-ME"/>
        </w:rPr>
      </w:pPr>
    </w:p>
    <w:p w14:paraId="7F070086" w14:textId="1DB6DAAF" w:rsidR="00B86103" w:rsidRDefault="00B86103" w:rsidP="00E814B7">
      <w:pPr>
        <w:tabs>
          <w:tab w:val="left" w:pos="284"/>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Nema specijalnih zahtjeva za odlaganje. Neiskorišteni lijek ili otpadni m</w:t>
      </w:r>
      <w:r w:rsidR="008B6A4D" w:rsidRPr="00E814B7">
        <w:rPr>
          <w:rFonts w:asciiTheme="majorBidi" w:hAnsiTheme="majorBidi" w:cstheme="majorBidi"/>
          <w:sz w:val="22"/>
          <w:szCs w:val="22"/>
          <w:lang w:val="sr-Latn-ME"/>
        </w:rPr>
        <w:t>a</w:t>
      </w:r>
      <w:r w:rsidRPr="00E814B7">
        <w:rPr>
          <w:rFonts w:asciiTheme="majorBidi" w:hAnsiTheme="majorBidi" w:cstheme="majorBidi"/>
          <w:sz w:val="22"/>
          <w:szCs w:val="22"/>
          <w:lang w:val="sr-Latn-ME"/>
        </w:rPr>
        <w:t>terijal treba uništiti u skladu sa lokalnim zahtjevima.</w:t>
      </w:r>
    </w:p>
    <w:p w14:paraId="0AF0201A" w14:textId="77777777" w:rsidR="00E814B7" w:rsidRPr="00E814B7" w:rsidRDefault="00E814B7" w:rsidP="00E814B7">
      <w:pPr>
        <w:tabs>
          <w:tab w:val="left" w:pos="284"/>
        </w:tabs>
        <w:jc w:val="both"/>
        <w:rPr>
          <w:rFonts w:asciiTheme="majorBidi" w:hAnsiTheme="majorBidi" w:cstheme="majorBidi"/>
          <w:sz w:val="22"/>
          <w:szCs w:val="22"/>
          <w:lang w:val="sr-Latn-ME"/>
        </w:rPr>
      </w:pPr>
    </w:p>
    <w:p w14:paraId="1B6A1314" w14:textId="77777777" w:rsidR="0072020E" w:rsidRPr="00E814B7" w:rsidRDefault="0072020E" w:rsidP="00E814B7">
      <w:pPr>
        <w:tabs>
          <w:tab w:val="left" w:pos="540"/>
          <w:tab w:val="left" w:pos="569"/>
        </w:tabs>
        <w:rPr>
          <w:rFonts w:asciiTheme="majorBidi" w:hAnsiTheme="majorBidi" w:cstheme="majorBidi"/>
          <w:bCs/>
          <w:sz w:val="22"/>
          <w:szCs w:val="22"/>
          <w:lang w:val="sr-Latn-ME"/>
        </w:rPr>
      </w:pPr>
    </w:p>
    <w:p w14:paraId="4F6AA4FB" w14:textId="77777777" w:rsidR="00F8570A"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7.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NOSILAC DOZVOLE</w:t>
      </w:r>
      <w:r w:rsidR="00483928" w:rsidRPr="00E814B7">
        <w:rPr>
          <w:rFonts w:asciiTheme="majorBidi" w:hAnsiTheme="majorBidi" w:cstheme="majorBidi"/>
          <w:b/>
          <w:bCs/>
          <w:sz w:val="22"/>
          <w:szCs w:val="22"/>
          <w:lang w:val="sr-Latn-ME"/>
        </w:rPr>
        <w:t xml:space="preserve"> </w:t>
      </w:r>
    </w:p>
    <w:p w14:paraId="49480C4C" w14:textId="77777777" w:rsidR="00C61BE0" w:rsidRPr="00E814B7" w:rsidRDefault="00C61BE0" w:rsidP="00E814B7">
      <w:pPr>
        <w:tabs>
          <w:tab w:val="left" w:pos="540"/>
          <w:tab w:val="left" w:pos="569"/>
        </w:tabs>
        <w:rPr>
          <w:rFonts w:asciiTheme="majorBidi" w:hAnsiTheme="majorBidi" w:cstheme="majorBidi"/>
          <w:bCs/>
          <w:sz w:val="22"/>
          <w:szCs w:val="22"/>
          <w:lang w:val="sr-Latn-ME"/>
        </w:rPr>
      </w:pPr>
    </w:p>
    <w:p w14:paraId="2CE7F4A5" w14:textId="77777777" w:rsidR="0090473D" w:rsidRPr="00E814B7" w:rsidRDefault="0090473D" w:rsidP="00E814B7">
      <w:pPr>
        <w:tabs>
          <w:tab w:val="left" w:pos="284"/>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Zentiva Pharma d.o.o. – dio stranog društva Podgorica</w:t>
      </w:r>
    </w:p>
    <w:p w14:paraId="59A1262C" w14:textId="77E5716B" w:rsidR="0090473D" w:rsidRDefault="0090473D" w:rsidP="00E814B7">
      <w:pPr>
        <w:tabs>
          <w:tab w:val="left" w:pos="284"/>
          <w:tab w:val="left" w:pos="540"/>
          <w:tab w:val="left" w:pos="569"/>
        </w:tabs>
        <w:jc w:val="both"/>
        <w:rPr>
          <w:rFonts w:asciiTheme="majorBidi" w:hAnsiTheme="majorBidi" w:cstheme="majorBidi"/>
          <w:sz w:val="22"/>
          <w:szCs w:val="22"/>
          <w:lang w:val="sr-Latn-ME"/>
        </w:rPr>
      </w:pPr>
      <w:r w:rsidRPr="00E814B7">
        <w:rPr>
          <w:rFonts w:asciiTheme="majorBidi" w:hAnsiTheme="majorBidi" w:cstheme="majorBidi"/>
          <w:sz w:val="22"/>
          <w:szCs w:val="22"/>
          <w:lang w:val="sr-Latn-ME"/>
        </w:rPr>
        <w:t>Kritskog odreda 4/1, Podgorica, Crna Gora</w:t>
      </w:r>
    </w:p>
    <w:p w14:paraId="383D1DDE" w14:textId="77777777" w:rsidR="00E814B7" w:rsidRPr="00E814B7" w:rsidRDefault="00E814B7" w:rsidP="00E814B7">
      <w:pPr>
        <w:tabs>
          <w:tab w:val="left" w:pos="284"/>
          <w:tab w:val="left" w:pos="540"/>
          <w:tab w:val="left" w:pos="569"/>
        </w:tabs>
        <w:jc w:val="both"/>
        <w:rPr>
          <w:rFonts w:asciiTheme="majorBidi" w:hAnsiTheme="majorBidi" w:cstheme="majorBidi"/>
          <w:sz w:val="22"/>
          <w:szCs w:val="22"/>
          <w:lang w:val="sr-Latn-ME"/>
        </w:rPr>
      </w:pPr>
    </w:p>
    <w:p w14:paraId="6C0C94A7" w14:textId="77777777" w:rsidR="00C37FD7" w:rsidRPr="00E814B7" w:rsidRDefault="00C37FD7" w:rsidP="00E814B7">
      <w:pPr>
        <w:tabs>
          <w:tab w:val="left" w:pos="540"/>
          <w:tab w:val="left" w:pos="569"/>
        </w:tabs>
        <w:rPr>
          <w:rFonts w:asciiTheme="majorBidi" w:hAnsiTheme="majorBidi" w:cstheme="majorBidi"/>
          <w:bCs/>
          <w:sz w:val="22"/>
          <w:szCs w:val="22"/>
          <w:lang w:val="sr-Latn-ME"/>
        </w:rPr>
      </w:pPr>
    </w:p>
    <w:p w14:paraId="39AFAABA"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8.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BROJ DOZVOLE</w:t>
      </w:r>
      <w:r w:rsidR="008A6D43" w:rsidRPr="00E814B7">
        <w:rPr>
          <w:rFonts w:asciiTheme="majorBidi" w:hAnsiTheme="majorBidi" w:cstheme="majorBidi"/>
          <w:b/>
          <w:bCs/>
          <w:sz w:val="22"/>
          <w:szCs w:val="22"/>
          <w:lang w:val="sr-Latn-ME"/>
        </w:rPr>
        <w:t xml:space="preserve"> ZA STAVLJANJE LIJEKA U PROMET</w:t>
      </w:r>
    </w:p>
    <w:p w14:paraId="23357651" w14:textId="77777777" w:rsidR="0072020E" w:rsidRPr="00E814B7" w:rsidRDefault="0072020E" w:rsidP="00E814B7">
      <w:pPr>
        <w:tabs>
          <w:tab w:val="left" w:pos="540"/>
          <w:tab w:val="left" w:pos="569"/>
        </w:tabs>
        <w:rPr>
          <w:rFonts w:asciiTheme="majorBidi" w:hAnsiTheme="majorBidi" w:cstheme="majorBidi"/>
          <w:bCs/>
          <w:sz w:val="22"/>
          <w:szCs w:val="22"/>
          <w:lang w:val="sr-Latn-ME"/>
        </w:rPr>
      </w:pPr>
    </w:p>
    <w:p w14:paraId="48F1AF92" w14:textId="5F69265B" w:rsidR="0090473D" w:rsidRPr="00E814B7" w:rsidRDefault="0090473D" w:rsidP="00E814B7">
      <w:pPr>
        <w:rPr>
          <w:rFonts w:asciiTheme="majorBidi" w:hAnsiTheme="majorBidi" w:cstheme="majorBidi"/>
          <w:bCs/>
          <w:sz w:val="22"/>
          <w:szCs w:val="22"/>
          <w:lang w:val="sr-Latn-ME"/>
        </w:rPr>
      </w:pPr>
      <w:r w:rsidRPr="00E814B7">
        <w:rPr>
          <w:rFonts w:asciiTheme="majorBidi" w:eastAsia="Calibri" w:hAnsiTheme="majorBidi" w:cstheme="majorBidi"/>
          <w:bCs/>
          <w:sz w:val="22"/>
          <w:szCs w:val="22"/>
          <w:lang w:val="sr-Latn-ME"/>
        </w:rPr>
        <w:t>Inopran</w:t>
      </w:r>
      <w:r w:rsidRPr="00E814B7">
        <w:rPr>
          <w:rFonts w:asciiTheme="majorBidi" w:hAnsiTheme="majorBidi" w:cstheme="majorBidi"/>
          <w:bCs/>
          <w:sz w:val="22"/>
          <w:szCs w:val="22"/>
          <w:lang w:val="sr-Latn-ME"/>
        </w:rPr>
        <w:t>, 100</w:t>
      </w:r>
      <w:r w:rsidR="00E814B7" w:rsidRPr="00E814B7">
        <w:rPr>
          <w:rFonts w:asciiTheme="majorBidi" w:hAnsiTheme="majorBidi" w:cstheme="majorBidi"/>
          <w:bCs/>
          <w:sz w:val="22"/>
          <w:szCs w:val="22"/>
          <w:lang w:val="sr-Latn-ME"/>
        </w:rPr>
        <w:t xml:space="preserve"> </w:t>
      </w:r>
      <w:r w:rsidRPr="00E814B7">
        <w:rPr>
          <w:rFonts w:asciiTheme="majorBidi" w:hAnsiTheme="majorBidi" w:cstheme="majorBidi"/>
          <w:bCs/>
          <w:sz w:val="22"/>
          <w:szCs w:val="22"/>
          <w:lang w:val="sr-Latn-ME"/>
        </w:rPr>
        <w:t>mg, film tableta, 30x100</w:t>
      </w:r>
      <w:r w:rsidR="00E814B7">
        <w:rPr>
          <w:rFonts w:asciiTheme="majorBidi" w:hAnsiTheme="majorBidi" w:cstheme="majorBidi"/>
          <w:bCs/>
          <w:sz w:val="22"/>
          <w:szCs w:val="22"/>
          <w:lang w:val="sr-Latn-ME"/>
        </w:rPr>
        <w:t xml:space="preserve"> </w:t>
      </w:r>
      <w:r w:rsidRPr="00E814B7">
        <w:rPr>
          <w:rFonts w:asciiTheme="majorBidi" w:hAnsiTheme="majorBidi" w:cstheme="majorBidi"/>
          <w:bCs/>
          <w:sz w:val="22"/>
          <w:szCs w:val="22"/>
          <w:lang w:val="sr-Latn-ME"/>
        </w:rPr>
        <w:t xml:space="preserve">mg: </w:t>
      </w:r>
      <w:r w:rsidR="00E814B7" w:rsidRPr="00E814B7">
        <w:rPr>
          <w:rFonts w:asciiTheme="majorBidi" w:hAnsiTheme="majorBidi" w:cstheme="majorBidi"/>
          <w:bCs/>
          <w:sz w:val="22"/>
          <w:szCs w:val="22"/>
          <w:lang w:val="sr-Latn-ME"/>
        </w:rPr>
        <w:t>2030/22/2412 - 2955</w:t>
      </w:r>
    </w:p>
    <w:p w14:paraId="7AE95837" w14:textId="059B1229" w:rsidR="0090473D" w:rsidRPr="00E814B7" w:rsidRDefault="0090473D" w:rsidP="00E814B7">
      <w:pPr>
        <w:rPr>
          <w:rFonts w:asciiTheme="majorBidi" w:hAnsiTheme="majorBidi" w:cstheme="majorBidi"/>
          <w:bCs/>
          <w:sz w:val="22"/>
          <w:szCs w:val="22"/>
          <w:lang w:val="sr-Latn-ME"/>
        </w:rPr>
      </w:pPr>
      <w:r w:rsidRPr="00E814B7">
        <w:rPr>
          <w:rFonts w:asciiTheme="majorBidi" w:hAnsiTheme="majorBidi" w:cstheme="majorBidi"/>
          <w:bCs/>
          <w:sz w:val="22"/>
          <w:szCs w:val="22"/>
          <w:lang w:val="sr-Latn-ME"/>
        </w:rPr>
        <w:t>Inopran, 1</w:t>
      </w:r>
      <w:r w:rsidR="000D2A34" w:rsidRPr="00E814B7">
        <w:rPr>
          <w:rFonts w:asciiTheme="majorBidi" w:hAnsiTheme="majorBidi" w:cstheme="majorBidi"/>
          <w:bCs/>
          <w:sz w:val="22"/>
          <w:szCs w:val="22"/>
          <w:lang w:val="sr-Latn-ME"/>
        </w:rPr>
        <w:t>5</w:t>
      </w:r>
      <w:r w:rsidRPr="00E814B7">
        <w:rPr>
          <w:rFonts w:asciiTheme="majorBidi" w:hAnsiTheme="majorBidi" w:cstheme="majorBidi"/>
          <w:bCs/>
          <w:sz w:val="22"/>
          <w:szCs w:val="22"/>
          <w:lang w:val="sr-Latn-ME"/>
        </w:rPr>
        <w:t>0</w:t>
      </w:r>
      <w:r w:rsidR="00E814B7" w:rsidRPr="00E814B7">
        <w:rPr>
          <w:rFonts w:asciiTheme="majorBidi" w:hAnsiTheme="majorBidi" w:cstheme="majorBidi"/>
          <w:bCs/>
          <w:sz w:val="22"/>
          <w:szCs w:val="22"/>
          <w:lang w:val="sr-Latn-ME"/>
        </w:rPr>
        <w:t xml:space="preserve"> </w:t>
      </w:r>
      <w:r w:rsidRPr="00E814B7">
        <w:rPr>
          <w:rFonts w:asciiTheme="majorBidi" w:hAnsiTheme="majorBidi" w:cstheme="majorBidi"/>
          <w:bCs/>
          <w:sz w:val="22"/>
          <w:szCs w:val="22"/>
          <w:lang w:val="sr-Latn-ME"/>
        </w:rPr>
        <w:t>mg, film tableta, 30x150</w:t>
      </w:r>
      <w:r w:rsidR="00E814B7">
        <w:rPr>
          <w:rFonts w:asciiTheme="majorBidi" w:hAnsiTheme="majorBidi" w:cstheme="majorBidi"/>
          <w:bCs/>
          <w:sz w:val="22"/>
          <w:szCs w:val="22"/>
          <w:lang w:val="sr-Latn-ME"/>
        </w:rPr>
        <w:t xml:space="preserve"> </w:t>
      </w:r>
      <w:r w:rsidRPr="00E814B7">
        <w:rPr>
          <w:rFonts w:asciiTheme="majorBidi" w:hAnsiTheme="majorBidi" w:cstheme="majorBidi"/>
          <w:bCs/>
          <w:sz w:val="22"/>
          <w:szCs w:val="22"/>
          <w:lang w:val="sr-Latn-ME"/>
        </w:rPr>
        <w:t>mg:</w:t>
      </w:r>
      <w:r w:rsidR="00E814B7">
        <w:rPr>
          <w:rFonts w:asciiTheme="majorBidi" w:hAnsiTheme="majorBidi" w:cstheme="majorBidi"/>
          <w:bCs/>
          <w:sz w:val="22"/>
          <w:szCs w:val="22"/>
          <w:lang w:val="sr-Latn-ME"/>
        </w:rPr>
        <w:t xml:space="preserve"> 2030/22/2413 - 2956</w:t>
      </w:r>
    </w:p>
    <w:p w14:paraId="5508C59C" w14:textId="0D58E731" w:rsidR="00F45F77" w:rsidRDefault="00F45F77" w:rsidP="00E814B7">
      <w:pPr>
        <w:tabs>
          <w:tab w:val="left" w:pos="540"/>
          <w:tab w:val="left" w:pos="569"/>
        </w:tabs>
        <w:rPr>
          <w:rFonts w:asciiTheme="majorBidi" w:hAnsiTheme="majorBidi" w:cstheme="majorBidi"/>
          <w:bCs/>
          <w:sz w:val="22"/>
          <w:szCs w:val="22"/>
          <w:lang w:val="sr-Latn-ME"/>
        </w:rPr>
      </w:pPr>
    </w:p>
    <w:p w14:paraId="26A9EEA3" w14:textId="77777777" w:rsidR="00E814B7" w:rsidRPr="00E814B7" w:rsidRDefault="00E814B7" w:rsidP="00E814B7">
      <w:pPr>
        <w:tabs>
          <w:tab w:val="left" w:pos="540"/>
          <w:tab w:val="left" w:pos="569"/>
        </w:tabs>
        <w:rPr>
          <w:rFonts w:asciiTheme="majorBidi" w:hAnsiTheme="majorBidi" w:cstheme="majorBidi"/>
          <w:bCs/>
          <w:sz w:val="22"/>
          <w:szCs w:val="22"/>
          <w:lang w:val="sr-Latn-ME"/>
        </w:rPr>
      </w:pPr>
    </w:p>
    <w:p w14:paraId="4C91D6C0" w14:textId="77777777" w:rsidR="0072020E" w:rsidRPr="00E814B7" w:rsidRDefault="0072020E" w:rsidP="00E814B7">
      <w:pPr>
        <w:tabs>
          <w:tab w:val="left" w:pos="540"/>
          <w:tab w:val="left" w:pos="569"/>
        </w:tabs>
        <w:rPr>
          <w:rFonts w:asciiTheme="majorBidi" w:hAnsiTheme="majorBidi" w:cstheme="majorBidi"/>
          <w:b/>
          <w:bCs/>
          <w:sz w:val="22"/>
          <w:szCs w:val="22"/>
          <w:lang w:val="sr-Latn-ME"/>
        </w:rPr>
      </w:pPr>
      <w:r w:rsidRPr="00E814B7">
        <w:rPr>
          <w:rFonts w:asciiTheme="majorBidi" w:hAnsiTheme="majorBidi" w:cstheme="majorBidi"/>
          <w:b/>
          <w:bCs/>
          <w:sz w:val="22"/>
          <w:szCs w:val="22"/>
          <w:lang w:val="sr-Latn-ME"/>
        </w:rPr>
        <w:t xml:space="preserve">9. </w:t>
      </w:r>
      <w:r w:rsidR="00480FB1" w:rsidRPr="00E814B7">
        <w:rPr>
          <w:rFonts w:asciiTheme="majorBidi" w:hAnsiTheme="majorBidi" w:cstheme="majorBidi"/>
          <w:b/>
          <w:bCs/>
          <w:sz w:val="22"/>
          <w:szCs w:val="22"/>
          <w:lang w:val="sr-Latn-ME"/>
        </w:rPr>
        <w:tab/>
      </w:r>
      <w:r w:rsidRPr="00E814B7">
        <w:rPr>
          <w:rFonts w:asciiTheme="majorBidi" w:hAnsiTheme="majorBidi" w:cstheme="majorBidi"/>
          <w:b/>
          <w:bCs/>
          <w:sz w:val="22"/>
          <w:szCs w:val="22"/>
          <w:lang w:val="sr-Latn-ME"/>
        </w:rPr>
        <w:t xml:space="preserve">DATUM </w:t>
      </w:r>
      <w:r w:rsidR="00C05DF8" w:rsidRPr="00E814B7">
        <w:rPr>
          <w:rFonts w:asciiTheme="majorBidi" w:hAnsiTheme="majorBidi" w:cstheme="majorBidi"/>
          <w:b/>
          <w:bCs/>
          <w:sz w:val="22"/>
          <w:szCs w:val="22"/>
          <w:lang w:val="sr-Latn-ME"/>
        </w:rPr>
        <w:t xml:space="preserve">PRVE </w:t>
      </w:r>
      <w:r w:rsidR="008A6D43" w:rsidRPr="00E814B7">
        <w:rPr>
          <w:rFonts w:asciiTheme="majorBidi" w:hAnsiTheme="majorBidi" w:cstheme="majorBidi"/>
          <w:b/>
          <w:bCs/>
          <w:sz w:val="22"/>
          <w:szCs w:val="22"/>
          <w:lang w:val="sr-Latn-ME"/>
        </w:rPr>
        <w:t>DOZVOLE</w:t>
      </w:r>
      <w:r w:rsidR="00C05DF8" w:rsidRPr="00E814B7">
        <w:rPr>
          <w:rFonts w:asciiTheme="majorBidi" w:hAnsiTheme="majorBidi" w:cstheme="majorBidi"/>
          <w:b/>
          <w:bCs/>
          <w:sz w:val="22"/>
          <w:szCs w:val="22"/>
          <w:lang w:val="sr-Latn-ME"/>
        </w:rPr>
        <w:t>/OBNOVE DOZVOLE</w:t>
      </w:r>
      <w:r w:rsidR="008A6D43" w:rsidRPr="00E814B7">
        <w:rPr>
          <w:rFonts w:asciiTheme="majorBidi" w:hAnsiTheme="majorBidi" w:cstheme="majorBidi"/>
          <w:b/>
          <w:bCs/>
          <w:sz w:val="22"/>
          <w:szCs w:val="22"/>
          <w:lang w:val="sr-Latn-ME"/>
        </w:rPr>
        <w:t xml:space="preserve"> ZA STAVLJANJE LIJEKA U PROMET</w:t>
      </w:r>
    </w:p>
    <w:p w14:paraId="11E85EDE" w14:textId="77777777" w:rsidR="0072020E" w:rsidRPr="00E814B7" w:rsidRDefault="0072020E" w:rsidP="00E814B7">
      <w:pPr>
        <w:tabs>
          <w:tab w:val="left" w:pos="540"/>
          <w:tab w:val="left" w:pos="569"/>
        </w:tabs>
        <w:rPr>
          <w:rFonts w:asciiTheme="majorBidi" w:hAnsiTheme="majorBidi" w:cstheme="majorBidi"/>
          <w:bCs/>
          <w:sz w:val="22"/>
          <w:szCs w:val="22"/>
          <w:lang w:val="sr-Latn-ME"/>
        </w:rPr>
      </w:pPr>
    </w:p>
    <w:p w14:paraId="6CBAA1CB" w14:textId="1B061040" w:rsidR="00E814B7" w:rsidRPr="00E814B7" w:rsidRDefault="00E814B7" w:rsidP="00E814B7">
      <w:pPr>
        <w:rPr>
          <w:rFonts w:asciiTheme="majorBidi" w:hAnsiTheme="majorBidi" w:cstheme="majorBidi"/>
          <w:bCs/>
          <w:sz w:val="22"/>
          <w:szCs w:val="22"/>
          <w:lang w:val="sr-Latn-ME"/>
        </w:rPr>
      </w:pPr>
      <w:r>
        <w:rPr>
          <w:rFonts w:asciiTheme="majorBidi" w:hAnsiTheme="majorBidi" w:cstheme="majorBidi"/>
          <w:bCs/>
          <w:sz w:val="22"/>
          <w:szCs w:val="22"/>
          <w:lang w:val="sr-Latn-ME"/>
        </w:rPr>
        <w:t>29.09.2022. godine</w:t>
      </w:r>
    </w:p>
    <w:p w14:paraId="1A8C1955" w14:textId="50E7DA16" w:rsidR="00836B35" w:rsidRDefault="00836B35" w:rsidP="00E814B7">
      <w:pPr>
        <w:tabs>
          <w:tab w:val="left" w:pos="540"/>
          <w:tab w:val="left" w:pos="569"/>
        </w:tabs>
        <w:rPr>
          <w:rFonts w:asciiTheme="majorBidi" w:hAnsiTheme="majorBidi" w:cstheme="majorBidi"/>
          <w:bCs/>
          <w:sz w:val="22"/>
          <w:szCs w:val="22"/>
          <w:lang w:val="sr-Latn-ME"/>
        </w:rPr>
      </w:pPr>
    </w:p>
    <w:p w14:paraId="69A66A90" w14:textId="77777777" w:rsidR="00E814B7" w:rsidRPr="00E814B7" w:rsidRDefault="00E814B7" w:rsidP="00E814B7">
      <w:pPr>
        <w:tabs>
          <w:tab w:val="left" w:pos="540"/>
          <w:tab w:val="left" w:pos="569"/>
        </w:tabs>
        <w:rPr>
          <w:rFonts w:asciiTheme="majorBidi" w:hAnsiTheme="majorBidi" w:cstheme="majorBidi"/>
          <w:bCs/>
          <w:sz w:val="22"/>
          <w:szCs w:val="22"/>
          <w:lang w:val="sr-Latn-ME"/>
        </w:rPr>
      </w:pPr>
    </w:p>
    <w:p w14:paraId="36DDC592" w14:textId="14E3C592" w:rsidR="00E814B7" w:rsidRDefault="0072020E" w:rsidP="00E814B7">
      <w:pPr>
        <w:tabs>
          <w:tab w:val="left" w:pos="540"/>
          <w:tab w:val="left" w:pos="569"/>
        </w:tabs>
        <w:ind w:left="540" w:hanging="540"/>
        <w:rPr>
          <w:rFonts w:asciiTheme="majorBidi" w:hAnsiTheme="majorBidi" w:cstheme="majorBidi"/>
          <w:bCs/>
          <w:sz w:val="22"/>
          <w:szCs w:val="22"/>
          <w:lang w:val="sr-Latn-ME"/>
        </w:rPr>
      </w:pPr>
      <w:r w:rsidRPr="00E814B7">
        <w:rPr>
          <w:rFonts w:asciiTheme="majorBidi" w:hAnsiTheme="majorBidi" w:cstheme="majorBidi"/>
          <w:b/>
          <w:bCs/>
          <w:sz w:val="22"/>
          <w:szCs w:val="22"/>
          <w:lang w:val="sr-Latn-ME"/>
        </w:rPr>
        <w:t xml:space="preserve">10. </w:t>
      </w:r>
      <w:r w:rsidR="00480FB1" w:rsidRPr="00E814B7">
        <w:rPr>
          <w:rFonts w:asciiTheme="majorBidi" w:hAnsiTheme="majorBidi" w:cstheme="majorBidi"/>
          <w:b/>
          <w:bCs/>
          <w:sz w:val="22"/>
          <w:szCs w:val="22"/>
          <w:lang w:val="sr-Latn-ME"/>
        </w:rPr>
        <w:tab/>
      </w:r>
      <w:r w:rsidR="002846DB" w:rsidRPr="00E814B7">
        <w:rPr>
          <w:rFonts w:asciiTheme="majorBidi" w:hAnsiTheme="majorBidi" w:cstheme="majorBidi"/>
          <w:b/>
          <w:bCs/>
          <w:sz w:val="22"/>
          <w:szCs w:val="22"/>
          <w:lang w:val="sr-Latn-ME"/>
        </w:rPr>
        <w:t>D</w:t>
      </w:r>
      <w:r w:rsidR="00EC2532" w:rsidRPr="00E814B7">
        <w:rPr>
          <w:rFonts w:asciiTheme="majorBidi" w:hAnsiTheme="majorBidi" w:cstheme="majorBidi"/>
          <w:b/>
          <w:bCs/>
          <w:sz w:val="22"/>
          <w:szCs w:val="22"/>
          <w:lang w:val="sr-Latn-ME"/>
        </w:rPr>
        <w:t>ATUM REVIZIJE TEKSTA</w:t>
      </w:r>
    </w:p>
    <w:p w14:paraId="43A9AD63" w14:textId="77777777" w:rsidR="00E814B7" w:rsidRPr="00E814B7" w:rsidRDefault="00E814B7" w:rsidP="00E814B7">
      <w:pPr>
        <w:rPr>
          <w:rFonts w:asciiTheme="majorBidi" w:hAnsiTheme="majorBidi" w:cstheme="majorBidi"/>
          <w:sz w:val="22"/>
          <w:szCs w:val="22"/>
          <w:lang w:val="sr-Latn-ME"/>
        </w:rPr>
      </w:pPr>
    </w:p>
    <w:p w14:paraId="7D0CCD72" w14:textId="528C815E" w:rsidR="003F6A59" w:rsidRPr="00E814B7" w:rsidRDefault="00E814B7" w:rsidP="00E814B7">
      <w:pPr>
        <w:rPr>
          <w:rFonts w:asciiTheme="majorBidi" w:hAnsiTheme="majorBidi" w:cstheme="majorBidi"/>
          <w:sz w:val="22"/>
          <w:szCs w:val="22"/>
          <w:lang w:val="sr-Latn-ME"/>
        </w:rPr>
      </w:pPr>
      <w:bookmarkStart w:id="0" w:name="_GoBack"/>
      <w:bookmarkEnd w:id="0"/>
      <w:r>
        <w:rPr>
          <w:rFonts w:asciiTheme="majorBidi" w:hAnsiTheme="majorBidi" w:cstheme="majorBidi"/>
          <w:sz w:val="22"/>
          <w:szCs w:val="22"/>
          <w:lang w:val="sr-Latn-ME"/>
        </w:rPr>
        <w:t>Septembar, 2022. godine</w:t>
      </w:r>
    </w:p>
    <w:sectPr w:rsidR="003F6A59" w:rsidRPr="00E814B7"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7E1C9" w14:textId="77777777" w:rsidR="003522F3" w:rsidRDefault="003522F3">
      <w:r>
        <w:separator/>
      </w:r>
    </w:p>
  </w:endnote>
  <w:endnote w:type="continuationSeparator" w:id="0">
    <w:p w14:paraId="542338BF" w14:textId="77777777" w:rsidR="003522F3" w:rsidRDefault="0035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Symbol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666E" w14:textId="4769464E" w:rsidR="00685EBB" w:rsidRPr="00B23F69" w:rsidRDefault="00685EB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814B7">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814B7">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2779" w14:textId="77777777" w:rsidR="003522F3" w:rsidRDefault="003522F3">
      <w:r>
        <w:separator/>
      </w:r>
    </w:p>
  </w:footnote>
  <w:footnote w:type="continuationSeparator" w:id="0">
    <w:p w14:paraId="2FD4D674" w14:textId="77777777" w:rsidR="003522F3" w:rsidRDefault="0035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4695FB7"/>
    <w:multiLevelType w:val="hybridMultilevel"/>
    <w:tmpl w:val="9612B3C6"/>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D35"/>
    <w:rsid w:val="00036FA0"/>
    <w:rsid w:val="0003793F"/>
    <w:rsid w:val="00042AE2"/>
    <w:rsid w:val="00057E35"/>
    <w:rsid w:val="00067610"/>
    <w:rsid w:val="00076726"/>
    <w:rsid w:val="00080303"/>
    <w:rsid w:val="000A3F58"/>
    <w:rsid w:val="000D2343"/>
    <w:rsid w:val="000D2A34"/>
    <w:rsid w:val="000D3449"/>
    <w:rsid w:val="000D425A"/>
    <w:rsid w:val="000D60CC"/>
    <w:rsid w:val="000E2084"/>
    <w:rsid w:val="000E3452"/>
    <w:rsid w:val="000E6F55"/>
    <w:rsid w:val="000F77FA"/>
    <w:rsid w:val="00107BF7"/>
    <w:rsid w:val="001221B6"/>
    <w:rsid w:val="00126F53"/>
    <w:rsid w:val="00133155"/>
    <w:rsid w:val="0014766D"/>
    <w:rsid w:val="001536CC"/>
    <w:rsid w:val="0019401B"/>
    <w:rsid w:val="001A141F"/>
    <w:rsid w:val="001A3FBA"/>
    <w:rsid w:val="001A5518"/>
    <w:rsid w:val="001B1C6A"/>
    <w:rsid w:val="001C1263"/>
    <w:rsid w:val="001C1417"/>
    <w:rsid w:val="001D076E"/>
    <w:rsid w:val="001D3728"/>
    <w:rsid w:val="001E390B"/>
    <w:rsid w:val="001E3EB8"/>
    <w:rsid w:val="001E3FCD"/>
    <w:rsid w:val="001E7E25"/>
    <w:rsid w:val="001F42FB"/>
    <w:rsid w:val="001F719A"/>
    <w:rsid w:val="002031B3"/>
    <w:rsid w:val="00206A99"/>
    <w:rsid w:val="00213591"/>
    <w:rsid w:val="00215931"/>
    <w:rsid w:val="00224C91"/>
    <w:rsid w:val="00227BDB"/>
    <w:rsid w:val="00227C5B"/>
    <w:rsid w:val="00234CB1"/>
    <w:rsid w:val="002352F8"/>
    <w:rsid w:val="002510A5"/>
    <w:rsid w:val="00254A0A"/>
    <w:rsid w:val="00266046"/>
    <w:rsid w:val="002846DB"/>
    <w:rsid w:val="00284CCD"/>
    <w:rsid w:val="00292781"/>
    <w:rsid w:val="002A3C35"/>
    <w:rsid w:val="002A5B96"/>
    <w:rsid w:val="002C6637"/>
    <w:rsid w:val="002D40F4"/>
    <w:rsid w:val="002D6FC5"/>
    <w:rsid w:val="002E0135"/>
    <w:rsid w:val="002E2C12"/>
    <w:rsid w:val="002E37A5"/>
    <w:rsid w:val="00304E37"/>
    <w:rsid w:val="00310F03"/>
    <w:rsid w:val="003247D2"/>
    <w:rsid w:val="00334402"/>
    <w:rsid w:val="003445C1"/>
    <w:rsid w:val="003522F3"/>
    <w:rsid w:val="00355B61"/>
    <w:rsid w:val="00362686"/>
    <w:rsid w:val="00362E62"/>
    <w:rsid w:val="00371510"/>
    <w:rsid w:val="0038079B"/>
    <w:rsid w:val="00380C42"/>
    <w:rsid w:val="00396DFD"/>
    <w:rsid w:val="003A0D82"/>
    <w:rsid w:val="003A13F9"/>
    <w:rsid w:val="003A36E0"/>
    <w:rsid w:val="003A7059"/>
    <w:rsid w:val="003B7A36"/>
    <w:rsid w:val="003C17AB"/>
    <w:rsid w:val="003C7823"/>
    <w:rsid w:val="003D3B28"/>
    <w:rsid w:val="003E1DCC"/>
    <w:rsid w:val="003E7532"/>
    <w:rsid w:val="003F11A1"/>
    <w:rsid w:val="003F6A59"/>
    <w:rsid w:val="00401305"/>
    <w:rsid w:val="004065C8"/>
    <w:rsid w:val="004109FA"/>
    <w:rsid w:val="00411B4B"/>
    <w:rsid w:val="00415BEE"/>
    <w:rsid w:val="00427F85"/>
    <w:rsid w:val="00436F42"/>
    <w:rsid w:val="004378B4"/>
    <w:rsid w:val="00451314"/>
    <w:rsid w:val="00452171"/>
    <w:rsid w:val="00452E9D"/>
    <w:rsid w:val="004534C7"/>
    <w:rsid w:val="004671AA"/>
    <w:rsid w:val="00480FB1"/>
    <w:rsid w:val="00483928"/>
    <w:rsid w:val="004A4202"/>
    <w:rsid w:val="004B1821"/>
    <w:rsid w:val="004C331F"/>
    <w:rsid w:val="004D6103"/>
    <w:rsid w:val="004D77AA"/>
    <w:rsid w:val="004E3BCE"/>
    <w:rsid w:val="004E70AD"/>
    <w:rsid w:val="004F02F7"/>
    <w:rsid w:val="004F0E97"/>
    <w:rsid w:val="00500410"/>
    <w:rsid w:val="00501DD1"/>
    <w:rsid w:val="0050340C"/>
    <w:rsid w:val="00515C21"/>
    <w:rsid w:val="005168B0"/>
    <w:rsid w:val="0052293A"/>
    <w:rsid w:val="00530BD7"/>
    <w:rsid w:val="0054137F"/>
    <w:rsid w:val="00545CD2"/>
    <w:rsid w:val="0054762D"/>
    <w:rsid w:val="005476F3"/>
    <w:rsid w:val="00551134"/>
    <w:rsid w:val="00560A6C"/>
    <w:rsid w:val="00564B9B"/>
    <w:rsid w:val="00572527"/>
    <w:rsid w:val="00573E40"/>
    <w:rsid w:val="00576348"/>
    <w:rsid w:val="005A0B2E"/>
    <w:rsid w:val="005A23D2"/>
    <w:rsid w:val="005A36CB"/>
    <w:rsid w:val="005B47E7"/>
    <w:rsid w:val="005B49B8"/>
    <w:rsid w:val="005C0741"/>
    <w:rsid w:val="005C5EF4"/>
    <w:rsid w:val="005D1E34"/>
    <w:rsid w:val="005E0B75"/>
    <w:rsid w:val="005E2E0B"/>
    <w:rsid w:val="005E7A7D"/>
    <w:rsid w:val="005E7FC2"/>
    <w:rsid w:val="00602457"/>
    <w:rsid w:val="00644FC3"/>
    <w:rsid w:val="00646BD1"/>
    <w:rsid w:val="006561C2"/>
    <w:rsid w:val="00671CB3"/>
    <w:rsid w:val="00674BAF"/>
    <w:rsid w:val="00682200"/>
    <w:rsid w:val="00685EBB"/>
    <w:rsid w:val="00692BF6"/>
    <w:rsid w:val="006A1497"/>
    <w:rsid w:val="006B0BD1"/>
    <w:rsid w:val="006B5404"/>
    <w:rsid w:val="006C3F93"/>
    <w:rsid w:val="006D20A5"/>
    <w:rsid w:val="006D37BF"/>
    <w:rsid w:val="006F0EBA"/>
    <w:rsid w:val="006F4656"/>
    <w:rsid w:val="00702E22"/>
    <w:rsid w:val="0072020E"/>
    <w:rsid w:val="007210BA"/>
    <w:rsid w:val="0072377E"/>
    <w:rsid w:val="00723C71"/>
    <w:rsid w:val="0073548E"/>
    <w:rsid w:val="0075245C"/>
    <w:rsid w:val="00757404"/>
    <w:rsid w:val="007730F0"/>
    <w:rsid w:val="00784AD5"/>
    <w:rsid w:val="00786071"/>
    <w:rsid w:val="00791602"/>
    <w:rsid w:val="007A35B2"/>
    <w:rsid w:val="007A3ECB"/>
    <w:rsid w:val="007A4EF7"/>
    <w:rsid w:val="007D6400"/>
    <w:rsid w:val="007D7BB3"/>
    <w:rsid w:val="007F36D3"/>
    <w:rsid w:val="007F62C9"/>
    <w:rsid w:val="00824AB9"/>
    <w:rsid w:val="00836B35"/>
    <w:rsid w:val="00843BDE"/>
    <w:rsid w:val="00846BA8"/>
    <w:rsid w:val="00855FBF"/>
    <w:rsid w:val="0087588C"/>
    <w:rsid w:val="0089705C"/>
    <w:rsid w:val="0089752D"/>
    <w:rsid w:val="008A6D43"/>
    <w:rsid w:val="008B491E"/>
    <w:rsid w:val="008B6A4D"/>
    <w:rsid w:val="008C1A28"/>
    <w:rsid w:val="008C2E98"/>
    <w:rsid w:val="008D576B"/>
    <w:rsid w:val="008E1EA0"/>
    <w:rsid w:val="008E49BD"/>
    <w:rsid w:val="008E4E25"/>
    <w:rsid w:val="008E53E9"/>
    <w:rsid w:val="008E5771"/>
    <w:rsid w:val="008E79FC"/>
    <w:rsid w:val="008F4ACF"/>
    <w:rsid w:val="0090473D"/>
    <w:rsid w:val="00924166"/>
    <w:rsid w:val="0092782B"/>
    <w:rsid w:val="00940B9B"/>
    <w:rsid w:val="0095676E"/>
    <w:rsid w:val="00956983"/>
    <w:rsid w:val="00963CF0"/>
    <w:rsid w:val="00964BB1"/>
    <w:rsid w:val="00974656"/>
    <w:rsid w:val="009775D9"/>
    <w:rsid w:val="00995B55"/>
    <w:rsid w:val="00996C22"/>
    <w:rsid w:val="00997175"/>
    <w:rsid w:val="009A1847"/>
    <w:rsid w:val="009A79DB"/>
    <w:rsid w:val="009B062A"/>
    <w:rsid w:val="009E7C6F"/>
    <w:rsid w:val="009F1793"/>
    <w:rsid w:val="009F2D23"/>
    <w:rsid w:val="00A01D69"/>
    <w:rsid w:val="00A02335"/>
    <w:rsid w:val="00A322FF"/>
    <w:rsid w:val="00A463F7"/>
    <w:rsid w:val="00A46C9A"/>
    <w:rsid w:val="00A47761"/>
    <w:rsid w:val="00A619F3"/>
    <w:rsid w:val="00A62A73"/>
    <w:rsid w:val="00A63E1E"/>
    <w:rsid w:val="00A778A4"/>
    <w:rsid w:val="00A87FF6"/>
    <w:rsid w:val="00A90034"/>
    <w:rsid w:val="00AA0A3B"/>
    <w:rsid w:val="00AA2763"/>
    <w:rsid w:val="00AA33B6"/>
    <w:rsid w:val="00AA3F75"/>
    <w:rsid w:val="00AA79CB"/>
    <w:rsid w:val="00AB50CA"/>
    <w:rsid w:val="00AB6D64"/>
    <w:rsid w:val="00AC35E5"/>
    <w:rsid w:val="00AC53CE"/>
    <w:rsid w:val="00AD2193"/>
    <w:rsid w:val="00AF2AC7"/>
    <w:rsid w:val="00AF74CE"/>
    <w:rsid w:val="00B12E75"/>
    <w:rsid w:val="00B208DB"/>
    <w:rsid w:val="00B23F69"/>
    <w:rsid w:val="00B37CF5"/>
    <w:rsid w:val="00B405FD"/>
    <w:rsid w:val="00B60619"/>
    <w:rsid w:val="00B667C5"/>
    <w:rsid w:val="00B66A70"/>
    <w:rsid w:val="00B67366"/>
    <w:rsid w:val="00B7210E"/>
    <w:rsid w:val="00B80EE1"/>
    <w:rsid w:val="00B84135"/>
    <w:rsid w:val="00B8540D"/>
    <w:rsid w:val="00B86103"/>
    <w:rsid w:val="00BB5AFF"/>
    <w:rsid w:val="00BC1F5D"/>
    <w:rsid w:val="00BD5012"/>
    <w:rsid w:val="00C04D34"/>
    <w:rsid w:val="00C05DF8"/>
    <w:rsid w:val="00C06864"/>
    <w:rsid w:val="00C071EB"/>
    <w:rsid w:val="00C10F54"/>
    <w:rsid w:val="00C23D8D"/>
    <w:rsid w:val="00C316E5"/>
    <w:rsid w:val="00C37AA3"/>
    <w:rsid w:val="00C37FD7"/>
    <w:rsid w:val="00C43419"/>
    <w:rsid w:val="00C44CF3"/>
    <w:rsid w:val="00C47D83"/>
    <w:rsid w:val="00C50172"/>
    <w:rsid w:val="00C60E43"/>
    <w:rsid w:val="00C61BE0"/>
    <w:rsid w:val="00C6707E"/>
    <w:rsid w:val="00C70B0E"/>
    <w:rsid w:val="00C773CA"/>
    <w:rsid w:val="00C77F2E"/>
    <w:rsid w:val="00C83785"/>
    <w:rsid w:val="00C94C0D"/>
    <w:rsid w:val="00CA1FEB"/>
    <w:rsid w:val="00CC03B6"/>
    <w:rsid w:val="00CD4F85"/>
    <w:rsid w:val="00CD6F02"/>
    <w:rsid w:val="00CE246D"/>
    <w:rsid w:val="00CF07A0"/>
    <w:rsid w:val="00CF3E03"/>
    <w:rsid w:val="00D007D0"/>
    <w:rsid w:val="00D0082A"/>
    <w:rsid w:val="00D21455"/>
    <w:rsid w:val="00D47634"/>
    <w:rsid w:val="00D709B3"/>
    <w:rsid w:val="00D8098E"/>
    <w:rsid w:val="00D852E5"/>
    <w:rsid w:val="00DA07E1"/>
    <w:rsid w:val="00DA2ED6"/>
    <w:rsid w:val="00DB6EE3"/>
    <w:rsid w:val="00DB76B8"/>
    <w:rsid w:val="00DC0EB6"/>
    <w:rsid w:val="00DC2EA1"/>
    <w:rsid w:val="00DD1F01"/>
    <w:rsid w:val="00DD6AAF"/>
    <w:rsid w:val="00DE3F5C"/>
    <w:rsid w:val="00DE4A29"/>
    <w:rsid w:val="00DF0EF0"/>
    <w:rsid w:val="00DF1D20"/>
    <w:rsid w:val="00E11A1A"/>
    <w:rsid w:val="00E21324"/>
    <w:rsid w:val="00E246B9"/>
    <w:rsid w:val="00E3042F"/>
    <w:rsid w:val="00E31FEA"/>
    <w:rsid w:val="00E45169"/>
    <w:rsid w:val="00E47787"/>
    <w:rsid w:val="00E51C30"/>
    <w:rsid w:val="00E64180"/>
    <w:rsid w:val="00E73A13"/>
    <w:rsid w:val="00E74AEE"/>
    <w:rsid w:val="00E814B7"/>
    <w:rsid w:val="00E868E5"/>
    <w:rsid w:val="00E9237A"/>
    <w:rsid w:val="00E939FA"/>
    <w:rsid w:val="00E93ADC"/>
    <w:rsid w:val="00EA3E4C"/>
    <w:rsid w:val="00EA5765"/>
    <w:rsid w:val="00EC1C74"/>
    <w:rsid w:val="00EC2532"/>
    <w:rsid w:val="00ED7812"/>
    <w:rsid w:val="00EE5E19"/>
    <w:rsid w:val="00EF3B86"/>
    <w:rsid w:val="00F25CBA"/>
    <w:rsid w:val="00F317E9"/>
    <w:rsid w:val="00F34554"/>
    <w:rsid w:val="00F45F77"/>
    <w:rsid w:val="00F5167F"/>
    <w:rsid w:val="00F52258"/>
    <w:rsid w:val="00F73CCC"/>
    <w:rsid w:val="00F8570A"/>
    <w:rsid w:val="00F91C7B"/>
    <w:rsid w:val="00F962A5"/>
    <w:rsid w:val="00FA5D9E"/>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E817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EA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60CB-C9B8-4EDE-8368-F33E6563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63501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dcterms:created xsi:type="dcterms:W3CDTF">2022-09-26T07:41:00Z</dcterms:created>
  <dcterms:modified xsi:type="dcterms:W3CDTF">2022-09-29T08:45:00Z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2022-09-26T07:40:58Z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acb22d5f-05f2-4f43-b334-4898a944a5f6</vt:lpwstr>
  </property>
  <property fmtid="{D5CDD505-2E9C-101B-9397-08002B2CF9AE}" pid="9" name="MSIP_Label_e67a70be-9428-4198-8dbd-5dd218ff11f4_ContentBits">
    <vt:lpwstr>1</vt:lpwstr>
  </property>
</Properties>
</file>