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6927C1" w:rsidRDefault="001A5518" w:rsidP="001A5518">
      <w:pPr>
        <w:rPr>
          <w:b/>
          <w:bCs/>
          <w:i/>
          <w:iCs/>
          <w:sz w:val="22"/>
          <w:szCs w:val="22"/>
          <w:u w:val="single"/>
          <w:lang w:val="sr-Latn-ME"/>
        </w:rPr>
      </w:pPr>
      <w:bookmarkStart w:id="0" w:name="_GoBack"/>
      <w:bookmarkEnd w:id="0"/>
    </w:p>
    <w:p w:rsidR="00F91C7B" w:rsidRPr="006927C1" w:rsidRDefault="00F91C7B" w:rsidP="001A5518">
      <w:pPr>
        <w:rPr>
          <w:b/>
          <w:bCs/>
          <w:i/>
          <w:iCs/>
          <w:sz w:val="22"/>
          <w:szCs w:val="22"/>
          <w:u w:val="single"/>
          <w:lang w:val="sr-Latn-ME"/>
        </w:rPr>
      </w:pPr>
    </w:p>
    <w:p w:rsidR="003C17AB" w:rsidRPr="006927C1" w:rsidRDefault="002510A5" w:rsidP="001B7C43">
      <w:pPr>
        <w:jc w:val="center"/>
        <w:rPr>
          <w:b/>
          <w:bCs/>
          <w:iCs/>
          <w:sz w:val="22"/>
          <w:szCs w:val="22"/>
          <w:u w:val="single"/>
          <w:lang w:val="sr-Latn-ME"/>
        </w:rPr>
      </w:pPr>
      <w:r w:rsidRPr="006927C1">
        <w:rPr>
          <w:b/>
          <w:bCs/>
          <w:iCs/>
          <w:sz w:val="22"/>
          <w:szCs w:val="22"/>
          <w:u w:val="single"/>
          <w:lang w:val="sr-Latn-ME"/>
        </w:rPr>
        <w:t>SAŽETAK KARAKTERISTIKA LIJEKA</w:t>
      </w:r>
    </w:p>
    <w:p w:rsidR="001B7C43" w:rsidRPr="006927C1" w:rsidRDefault="001B7C43" w:rsidP="001B7C43">
      <w:pPr>
        <w:jc w:val="center"/>
        <w:rPr>
          <w:b/>
          <w:bCs/>
          <w:iCs/>
          <w:sz w:val="22"/>
          <w:szCs w:val="22"/>
          <w:u w:val="single"/>
          <w:lang w:val="sr-Latn-ME"/>
        </w:rPr>
      </w:pPr>
    </w:p>
    <w:p w:rsidR="00C37FD7" w:rsidRPr="006927C1" w:rsidRDefault="00C37FD7" w:rsidP="00F5167F">
      <w:pPr>
        <w:tabs>
          <w:tab w:val="left" w:pos="540"/>
          <w:tab w:val="left" w:pos="569"/>
        </w:tabs>
        <w:rPr>
          <w:bCs/>
          <w:sz w:val="22"/>
          <w:szCs w:val="22"/>
          <w:lang w:val="sr-Latn-ME"/>
        </w:rPr>
      </w:pPr>
    </w:p>
    <w:p w:rsidR="00411B4B" w:rsidRPr="006927C1" w:rsidRDefault="00411B4B" w:rsidP="00F5167F">
      <w:pPr>
        <w:tabs>
          <w:tab w:val="left" w:pos="540"/>
          <w:tab w:val="left" w:pos="569"/>
        </w:tabs>
        <w:rPr>
          <w:b/>
          <w:bCs/>
          <w:sz w:val="22"/>
          <w:szCs w:val="22"/>
          <w:lang w:val="sr-Latn-ME"/>
        </w:rPr>
      </w:pPr>
      <w:r w:rsidRPr="006927C1">
        <w:rPr>
          <w:b/>
          <w:bCs/>
          <w:sz w:val="22"/>
          <w:szCs w:val="22"/>
          <w:lang w:val="sr-Latn-ME"/>
        </w:rPr>
        <w:t>1.</w:t>
      </w:r>
      <w:r w:rsidR="00F5167F" w:rsidRPr="006927C1">
        <w:rPr>
          <w:b/>
          <w:bCs/>
          <w:sz w:val="22"/>
          <w:szCs w:val="22"/>
          <w:lang w:val="sr-Latn-ME"/>
        </w:rPr>
        <w:tab/>
      </w:r>
      <w:r w:rsidR="002846DB" w:rsidRPr="006927C1">
        <w:rPr>
          <w:b/>
          <w:bCs/>
          <w:sz w:val="22"/>
          <w:szCs w:val="22"/>
          <w:lang w:val="sr-Latn-ME"/>
        </w:rPr>
        <w:t xml:space="preserve">NAZIV </w:t>
      </w:r>
      <w:r w:rsidRPr="006927C1">
        <w:rPr>
          <w:b/>
          <w:bCs/>
          <w:sz w:val="22"/>
          <w:szCs w:val="22"/>
          <w:lang w:val="sr-Latn-ME"/>
        </w:rPr>
        <w:t>LIJEKA</w:t>
      </w:r>
    </w:p>
    <w:p w:rsidR="00EC2532" w:rsidRPr="006927C1" w:rsidRDefault="00EC2532">
      <w:pPr>
        <w:rPr>
          <w:sz w:val="22"/>
          <w:szCs w:val="22"/>
          <w:lang w:val="sr-Latn-ME"/>
        </w:rPr>
      </w:pPr>
    </w:p>
    <w:p w:rsidR="001B7C43" w:rsidRPr="006927C1" w:rsidRDefault="0057055E" w:rsidP="001B7C43">
      <w:pPr>
        <w:rPr>
          <w:bCs/>
          <w:iCs/>
          <w:color w:val="808080"/>
          <w:sz w:val="22"/>
          <w:szCs w:val="22"/>
          <w:lang w:val="sr-Latn-ME"/>
        </w:rPr>
      </w:pPr>
      <w:r w:rsidRPr="006927C1">
        <w:rPr>
          <w:iCs/>
          <w:sz w:val="22"/>
          <w:szCs w:val="22"/>
          <w:lang w:val="sr-Latn-ME"/>
        </w:rPr>
        <w:t>Gilestra Duo, 245 mg</w:t>
      </w:r>
      <w:r w:rsidR="00D226B1" w:rsidRPr="006927C1">
        <w:rPr>
          <w:iCs/>
          <w:sz w:val="22"/>
          <w:szCs w:val="22"/>
          <w:lang w:val="sr-Latn-ME"/>
        </w:rPr>
        <w:t xml:space="preserve"> </w:t>
      </w:r>
      <w:r w:rsidRPr="006927C1">
        <w:rPr>
          <w:iCs/>
          <w:sz w:val="22"/>
          <w:szCs w:val="22"/>
          <w:lang w:val="sr-Latn-ME"/>
        </w:rPr>
        <w:t>+</w:t>
      </w:r>
      <w:r w:rsidR="00D226B1" w:rsidRPr="006927C1">
        <w:rPr>
          <w:iCs/>
          <w:sz w:val="22"/>
          <w:szCs w:val="22"/>
          <w:lang w:val="sr-Latn-ME"/>
        </w:rPr>
        <w:t xml:space="preserve"> </w:t>
      </w:r>
      <w:r w:rsidR="001B7C43" w:rsidRPr="006927C1">
        <w:rPr>
          <w:iCs/>
          <w:sz w:val="22"/>
          <w:szCs w:val="22"/>
          <w:lang w:val="sr-Latn-ME"/>
        </w:rPr>
        <w:t>200 mg, film tablet</w:t>
      </w:r>
      <w:r w:rsidR="00855B54" w:rsidRPr="006927C1">
        <w:rPr>
          <w:iCs/>
          <w:sz w:val="22"/>
          <w:szCs w:val="22"/>
          <w:lang w:val="sr-Latn-ME"/>
        </w:rPr>
        <w:t>a</w:t>
      </w:r>
    </w:p>
    <w:p w:rsidR="000D425A" w:rsidRPr="006927C1" w:rsidRDefault="000D425A" w:rsidP="001B7C43">
      <w:pPr>
        <w:jc w:val="both"/>
        <w:rPr>
          <w:bCs/>
          <w:sz w:val="22"/>
          <w:szCs w:val="22"/>
          <w:lang w:val="sr-Latn-ME"/>
        </w:rPr>
      </w:pPr>
    </w:p>
    <w:p w:rsidR="006D20A5" w:rsidRPr="006927C1" w:rsidRDefault="006D20A5" w:rsidP="001B7C43">
      <w:pPr>
        <w:jc w:val="both"/>
        <w:rPr>
          <w:sz w:val="22"/>
          <w:szCs w:val="22"/>
          <w:lang w:val="sr-Latn-ME"/>
        </w:rPr>
      </w:pPr>
      <w:r w:rsidRPr="006927C1">
        <w:rPr>
          <w:sz w:val="22"/>
          <w:szCs w:val="22"/>
          <w:lang w:val="sr-Latn-ME"/>
        </w:rPr>
        <w:t>INN:</w:t>
      </w:r>
      <w:r w:rsidR="001B7C43" w:rsidRPr="006927C1">
        <w:rPr>
          <w:sz w:val="22"/>
          <w:lang w:val="sr-Latn-ME"/>
        </w:rPr>
        <w:t xml:space="preserve"> </w:t>
      </w:r>
      <w:r w:rsidR="0057055E" w:rsidRPr="006927C1">
        <w:rPr>
          <w:sz w:val="22"/>
          <w:szCs w:val="22"/>
          <w:lang w:val="sr-Latn-ME"/>
        </w:rPr>
        <w:t xml:space="preserve">tenofovir dizoproksil, </w:t>
      </w:r>
      <w:r w:rsidR="001B7C43" w:rsidRPr="006927C1">
        <w:rPr>
          <w:sz w:val="22"/>
          <w:szCs w:val="22"/>
          <w:lang w:val="sr-Latn-ME"/>
        </w:rPr>
        <w:t>emtricitabin</w:t>
      </w:r>
    </w:p>
    <w:p w:rsidR="006D20A5" w:rsidRPr="006927C1" w:rsidRDefault="006D20A5" w:rsidP="001B7C43">
      <w:pPr>
        <w:jc w:val="both"/>
        <w:rPr>
          <w:bCs/>
          <w:sz w:val="22"/>
          <w:szCs w:val="22"/>
          <w:lang w:val="sr-Latn-ME"/>
        </w:rPr>
      </w:pPr>
    </w:p>
    <w:p w:rsidR="00530BD7" w:rsidRPr="006927C1" w:rsidRDefault="00530BD7" w:rsidP="001B7C43">
      <w:pPr>
        <w:jc w:val="both"/>
        <w:rPr>
          <w:bCs/>
          <w:sz w:val="22"/>
          <w:szCs w:val="22"/>
          <w:lang w:val="sr-Latn-ME"/>
        </w:rPr>
      </w:pPr>
    </w:p>
    <w:p w:rsidR="00411B4B" w:rsidRPr="006927C1" w:rsidRDefault="00411B4B" w:rsidP="001B7C43">
      <w:pPr>
        <w:tabs>
          <w:tab w:val="left" w:pos="540"/>
          <w:tab w:val="left" w:pos="569"/>
        </w:tabs>
        <w:jc w:val="both"/>
        <w:rPr>
          <w:b/>
          <w:bCs/>
          <w:sz w:val="22"/>
          <w:szCs w:val="22"/>
          <w:lang w:val="sr-Latn-ME"/>
        </w:rPr>
      </w:pPr>
      <w:r w:rsidRPr="006927C1">
        <w:rPr>
          <w:b/>
          <w:bCs/>
          <w:sz w:val="22"/>
          <w:szCs w:val="22"/>
          <w:lang w:val="sr-Latn-ME"/>
        </w:rPr>
        <w:t xml:space="preserve">2. </w:t>
      </w:r>
      <w:r w:rsidR="00F5167F" w:rsidRPr="006927C1">
        <w:rPr>
          <w:b/>
          <w:bCs/>
          <w:sz w:val="22"/>
          <w:szCs w:val="22"/>
          <w:lang w:val="sr-Latn-ME"/>
        </w:rPr>
        <w:tab/>
      </w:r>
      <w:r w:rsidRPr="006927C1">
        <w:rPr>
          <w:b/>
          <w:bCs/>
          <w:sz w:val="22"/>
          <w:szCs w:val="22"/>
          <w:lang w:val="sr-Latn-ME"/>
        </w:rPr>
        <w:t>KVALITATIVNI I KVANTITATIVNI SASTAV</w:t>
      </w:r>
    </w:p>
    <w:p w:rsidR="005A0B2E" w:rsidRPr="006927C1" w:rsidRDefault="005A0B2E" w:rsidP="001B7C43">
      <w:pPr>
        <w:jc w:val="both"/>
        <w:rPr>
          <w:sz w:val="22"/>
          <w:szCs w:val="22"/>
          <w:lang w:val="sr-Latn-ME"/>
        </w:rPr>
      </w:pPr>
    </w:p>
    <w:p w:rsidR="001B7C43" w:rsidRPr="006927C1" w:rsidRDefault="001B7C43" w:rsidP="001B7C43">
      <w:pPr>
        <w:jc w:val="both"/>
        <w:rPr>
          <w:sz w:val="22"/>
          <w:szCs w:val="22"/>
          <w:lang w:val="sr-Latn-ME"/>
        </w:rPr>
      </w:pPr>
      <w:r w:rsidRPr="006927C1">
        <w:rPr>
          <w:sz w:val="22"/>
          <w:szCs w:val="22"/>
          <w:lang w:val="sr-Latn-ME"/>
        </w:rPr>
        <w:t xml:space="preserve">Jedna film tableta sadrži 245 mg tenofovir dizoproksila (u obliku 300,6 mg tenofovir dizoproksil sukcinata) i 200 mg emtricitabina. </w:t>
      </w:r>
    </w:p>
    <w:p w:rsidR="001B7C43" w:rsidRPr="006927C1" w:rsidRDefault="001B7C43" w:rsidP="001B7C43">
      <w:pPr>
        <w:jc w:val="both"/>
        <w:rPr>
          <w:sz w:val="22"/>
          <w:szCs w:val="22"/>
          <w:lang w:val="sr-Latn-ME"/>
        </w:rPr>
      </w:pPr>
    </w:p>
    <w:p w:rsidR="001B7C43" w:rsidRPr="006927C1" w:rsidRDefault="001B7C43" w:rsidP="001B7C43">
      <w:pPr>
        <w:jc w:val="both"/>
        <w:rPr>
          <w:sz w:val="22"/>
          <w:szCs w:val="22"/>
          <w:lang w:val="sr-Latn-ME"/>
        </w:rPr>
      </w:pPr>
      <w:r w:rsidRPr="006927C1">
        <w:rPr>
          <w:sz w:val="22"/>
          <w:szCs w:val="22"/>
          <w:lang w:val="sr-Latn-ME"/>
        </w:rPr>
        <w:t xml:space="preserve">Pomoćna supstanca sa potvrđenim dejstvom: Jedna film tableta sadrži 96 mg laktoze, monohidrat. </w:t>
      </w:r>
    </w:p>
    <w:p w:rsidR="001B7C43" w:rsidRPr="006927C1" w:rsidRDefault="001B7C43" w:rsidP="001B7C43">
      <w:pPr>
        <w:jc w:val="both"/>
        <w:rPr>
          <w:sz w:val="22"/>
          <w:szCs w:val="22"/>
          <w:lang w:val="sr-Latn-ME"/>
        </w:rPr>
      </w:pPr>
    </w:p>
    <w:p w:rsidR="0003793F" w:rsidRPr="006927C1" w:rsidRDefault="0003793F" w:rsidP="001B7C43">
      <w:pPr>
        <w:jc w:val="both"/>
        <w:rPr>
          <w:sz w:val="22"/>
          <w:szCs w:val="22"/>
          <w:lang w:val="sr-Latn-ME"/>
        </w:rPr>
      </w:pPr>
      <w:r w:rsidRPr="006927C1">
        <w:rPr>
          <w:sz w:val="22"/>
          <w:szCs w:val="22"/>
          <w:lang w:val="sr-Latn-ME"/>
        </w:rPr>
        <w:t>Za spisak svih ekscipijenasa, pogledati dio 6.1.</w:t>
      </w:r>
    </w:p>
    <w:p w:rsidR="003D4013" w:rsidRPr="006927C1" w:rsidRDefault="003D4013" w:rsidP="001B7C43">
      <w:pPr>
        <w:jc w:val="both"/>
        <w:rPr>
          <w:sz w:val="22"/>
          <w:szCs w:val="22"/>
          <w:lang w:val="sr-Latn-ME"/>
        </w:rPr>
      </w:pPr>
    </w:p>
    <w:p w:rsidR="00C37FD7" w:rsidRPr="006927C1" w:rsidRDefault="00C37FD7" w:rsidP="001B7C43">
      <w:pPr>
        <w:jc w:val="both"/>
        <w:rPr>
          <w:sz w:val="22"/>
          <w:szCs w:val="22"/>
          <w:lang w:val="sr-Latn-ME"/>
        </w:rPr>
      </w:pPr>
    </w:p>
    <w:p w:rsidR="00411B4B" w:rsidRPr="006927C1" w:rsidRDefault="00411B4B" w:rsidP="001B7C43">
      <w:pPr>
        <w:tabs>
          <w:tab w:val="left" w:pos="540"/>
          <w:tab w:val="left" w:pos="569"/>
        </w:tabs>
        <w:jc w:val="both"/>
        <w:rPr>
          <w:b/>
          <w:bCs/>
          <w:sz w:val="22"/>
          <w:szCs w:val="22"/>
          <w:lang w:val="sr-Latn-ME"/>
        </w:rPr>
      </w:pPr>
      <w:r w:rsidRPr="006927C1">
        <w:rPr>
          <w:b/>
          <w:bCs/>
          <w:sz w:val="22"/>
          <w:szCs w:val="22"/>
          <w:lang w:val="sr-Latn-ME"/>
        </w:rPr>
        <w:t xml:space="preserve">3. </w:t>
      </w:r>
      <w:r w:rsidR="00F5167F" w:rsidRPr="006927C1">
        <w:rPr>
          <w:b/>
          <w:bCs/>
          <w:sz w:val="22"/>
          <w:szCs w:val="22"/>
          <w:lang w:val="sr-Latn-ME"/>
        </w:rPr>
        <w:tab/>
      </w:r>
      <w:r w:rsidRPr="006927C1">
        <w:rPr>
          <w:b/>
          <w:bCs/>
          <w:sz w:val="22"/>
          <w:szCs w:val="22"/>
          <w:lang w:val="sr-Latn-ME"/>
        </w:rPr>
        <w:t>FARMACEUTSKI OBLIK</w:t>
      </w:r>
      <w:r w:rsidR="009F2D23" w:rsidRPr="006927C1">
        <w:rPr>
          <w:b/>
          <w:bCs/>
          <w:sz w:val="22"/>
          <w:szCs w:val="22"/>
          <w:lang w:val="sr-Latn-ME"/>
        </w:rPr>
        <w:t xml:space="preserve"> </w:t>
      </w:r>
    </w:p>
    <w:p w:rsidR="001B7C43" w:rsidRPr="006927C1" w:rsidRDefault="001B7C43" w:rsidP="001B7C43">
      <w:pPr>
        <w:tabs>
          <w:tab w:val="left" w:pos="540"/>
          <w:tab w:val="left" w:pos="569"/>
        </w:tabs>
        <w:jc w:val="both"/>
        <w:rPr>
          <w:b/>
          <w:bCs/>
          <w:sz w:val="22"/>
          <w:szCs w:val="22"/>
          <w:lang w:val="sr-Latn-ME"/>
        </w:rPr>
      </w:pPr>
    </w:p>
    <w:p w:rsidR="001B7C43" w:rsidRPr="006927C1" w:rsidRDefault="001B7C43" w:rsidP="001B7C43">
      <w:pPr>
        <w:jc w:val="both"/>
        <w:rPr>
          <w:bCs/>
          <w:sz w:val="22"/>
          <w:szCs w:val="22"/>
          <w:lang w:val="sr-Latn-ME"/>
        </w:rPr>
      </w:pPr>
      <w:r w:rsidRPr="006927C1">
        <w:rPr>
          <w:bCs/>
          <w:sz w:val="22"/>
          <w:szCs w:val="22"/>
          <w:lang w:val="sr-Latn-ME"/>
        </w:rPr>
        <w:t xml:space="preserve">Film tableta. </w:t>
      </w:r>
    </w:p>
    <w:p w:rsidR="001B7C43" w:rsidRPr="006927C1" w:rsidRDefault="001B7C43" w:rsidP="001B7C43">
      <w:pPr>
        <w:jc w:val="both"/>
        <w:rPr>
          <w:bCs/>
          <w:sz w:val="22"/>
          <w:szCs w:val="22"/>
          <w:lang w:val="sr-Latn-ME"/>
        </w:rPr>
      </w:pPr>
    </w:p>
    <w:p w:rsidR="00411B4B" w:rsidRPr="006927C1" w:rsidRDefault="001B7C43" w:rsidP="001B7C43">
      <w:pPr>
        <w:jc w:val="both"/>
        <w:rPr>
          <w:bCs/>
          <w:sz w:val="22"/>
          <w:szCs w:val="22"/>
          <w:lang w:val="sr-Latn-ME"/>
        </w:rPr>
      </w:pPr>
      <w:r w:rsidRPr="006927C1">
        <w:rPr>
          <w:bCs/>
          <w:sz w:val="22"/>
          <w:szCs w:val="22"/>
          <w:lang w:val="sr-Latn-ME"/>
        </w:rPr>
        <w:t>Plave film tablete u obliku kapsule, bez oznaka sa obje strane. Dimenzije tablete su u prosjeku 19,3 mm x 8,8 mm ± 5%.</w:t>
      </w:r>
    </w:p>
    <w:p w:rsidR="00EC2532" w:rsidRPr="006927C1" w:rsidRDefault="00EC2532">
      <w:pPr>
        <w:rPr>
          <w:bCs/>
          <w:sz w:val="22"/>
          <w:szCs w:val="22"/>
          <w:lang w:val="sr-Latn-ME"/>
        </w:rPr>
      </w:pPr>
    </w:p>
    <w:p w:rsidR="00CD05E9" w:rsidRPr="006927C1" w:rsidRDefault="00CD05E9">
      <w:pPr>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 xml:space="preserve">4. </w:t>
      </w:r>
      <w:r w:rsidR="00480FB1" w:rsidRPr="006927C1">
        <w:rPr>
          <w:b/>
          <w:bCs/>
          <w:sz w:val="22"/>
          <w:szCs w:val="22"/>
          <w:lang w:val="sr-Latn-ME"/>
        </w:rPr>
        <w:tab/>
      </w:r>
      <w:r w:rsidRPr="006927C1">
        <w:rPr>
          <w:b/>
          <w:bCs/>
          <w:sz w:val="22"/>
          <w:szCs w:val="22"/>
          <w:lang w:val="sr-Latn-ME"/>
        </w:rPr>
        <w:t>KLINIČKI PODACI</w:t>
      </w:r>
    </w:p>
    <w:p w:rsidR="00CD6F02" w:rsidRPr="006927C1" w:rsidRDefault="00CD6F02" w:rsidP="00867B0F">
      <w:pPr>
        <w:tabs>
          <w:tab w:val="left" w:pos="540"/>
          <w:tab w:val="left" w:pos="569"/>
        </w:tabs>
        <w:jc w:val="both"/>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 xml:space="preserve">4.1. </w:t>
      </w:r>
      <w:r w:rsidR="00480FB1" w:rsidRPr="006927C1">
        <w:rPr>
          <w:b/>
          <w:bCs/>
          <w:sz w:val="22"/>
          <w:szCs w:val="22"/>
          <w:lang w:val="sr-Latn-ME"/>
        </w:rPr>
        <w:tab/>
      </w:r>
      <w:r w:rsidRPr="006927C1">
        <w:rPr>
          <w:b/>
          <w:bCs/>
          <w:sz w:val="22"/>
          <w:szCs w:val="22"/>
          <w:lang w:val="sr-Latn-ME"/>
        </w:rPr>
        <w:t>Terapijske indikacije</w:t>
      </w:r>
    </w:p>
    <w:p w:rsidR="001B7C43" w:rsidRPr="006927C1" w:rsidRDefault="001B7C43" w:rsidP="00867B0F">
      <w:pPr>
        <w:tabs>
          <w:tab w:val="left" w:pos="540"/>
          <w:tab w:val="left" w:pos="569"/>
        </w:tabs>
        <w:jc w:val="both"/>
        <w:rPr>
          <w:b/>
          <w:bCs/>
          <w:sz w:val="22"/>
          <w:szCs w:val="22"/>
          <w:lang w:val="sr-Latn-ME"/>
        </w:rPr>
      </w:pPr>
    </w:p>
    <w:p w:rsidR="001B7C43" w:rsidRPr="006927C1" w:rsidRDefault="001B7C43" w:rsidP="00386268">
      <w:pPr>
        <w:tabs>
          <w:tab w:val="left" w:pos="540"/>
          <w:tab w:val="left" w:pos="569"/>
        </w:tabs>
        <w:jc w:val="both"/>
        <w:rPr>
          <w:bCs/>
          <w:i/>
          <w:sz w:val="22"/>
          <w:szCs w:val="22"/>
          <w:lang w:val="sr-Latn-ME"/>
        </w:rPr>
      </w:pPr>
      <w:r w:rsidRPr="006927C1">
        <w:rPr>
          <w:bCs/>
          <w:i/>
          <w:sz w:val="22"/>
          <w:szCs w:val="22"/>
          <w:lang w:val="sr-Latn-ME"/>
        </w:rPr>
        <w:t>Liječenje infekcije virusom HIV-1:</w:t>
      </w:r>
    </w:p>
    <w:p w:rsidR="001B7C43" w:rsidRPr="006927C1" w:rsidRDefault="001B7C43" w:rsidP="00BE466F">
      <w:pPr>
        <w:tabs>
          <w:tab w:val="left" w:pos="540"/>
          <w:tab w:val="left" w:pos="569"/>
        </w:tabs>
        <w:jc w:val="both"/>
        <w:rPr>
          <w:bCs/>
          <w:sz w:val="22"/>
          <w:szCs w:val="22"/>
          <w:lang w:val="sr-Latn-ME"/>
        </w:rPr>
      </w:pPr>
      <w:r w:rsidRPr="006927C1">
        <w:rPr>
          <w:bCs/>
          <w:sz w:val="22"/>
          <w:szCs w:val="22"/>
          <w:lang w:val="sr-Latn-ME"/>
        </w:rPr>
        <w:t>Lijek Gilestra Duo je indikovan u kombinovanoj antiretrovirusnoj terapiji za liječenje odraslih osoba koje su inficirane virusom humane imunodeficijencije tipa 1 (HIV-1) (vidjeti odjeljak 5.1).</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sz w:val="22"/>
          <w:szCs w:val="22"/>
          <w:lang w:val="sr-Latn-ME"/>
        </w:rPr>
        <w:t xml:space="preserve">Lijek Gilestra Duo je takođe indikovan za liječenje adolescenata koji su inficirani virusom HIV-1, sa rezistencijom na nukleozidne inhibitore reverzne transkriptaze (engl. </w:t>
      </w:r>
      <w:r w:rsidRPr="006927C1">
        <w:rPr>
          <w:bCs/>
          <w:i/>
          <w:sz w:val="22"/>
          <w:szCs w:val="22"/>
          <w:lang w:val="sr-Latn-ME"/>
        </w:rPr>
        <w:t>nucleoside reverse transcriptase inhibitors</w:t>
      </w:r>
      <w:r w:rsidRPr="006927C1">
        <w:rPr>
          <w:bCs/>
          <w:sz w:val="22"/>
          <w:szCs w:val="22"/>
          <w:lang w:val="sr-Latn-ME"/>
        </w:rPr>
        <w:t>, NRTIs) ili toksičnošću koja sprečava upotrebu ljekova prve linije (vidjeti odjeljke 4.2, 4.4 i 5.1).</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i/>
          <w:sz w:val="22"/>
          <w:szCs w:val="22"/>
          <w:lang w:val="sr-Latn-ME"/>
        </w:rPr>
      </w:pPr>
      <w:r w:rsidRPr="006927C1">
        <w:rPr>
          <w:bCs/>
          <w:i/>
          <w:sz w:val="22"/>
          <w:szCs w:val="22"/>
          <w:lang w:val="sr-Latn-ME"/>
        </w:rPr>
        <w:t>Preekspoziciona profilaksa (PrEP):</w:t>
      </w:r>
    </w:p>
    <w:p w:rsidR="001B7C43" w:rsidRPr="006927C1" w:rsidRDefault="001B7C43">
      <w:pPr>
        <w:tabs>
          <w:tab w:val="left" w:pos="540"/>
          <w:tab w:val="left" w:pos="569"/>
        </w:tabs>
        <w:jc w:val="both"/>
        <w:rPr>
          <w:bCs/>
          <w:sz w:val="22"/>
          <w:szCs w:val="22"/>
          <w:lang w:val="sr-Latn-ME"/>
        </w:rPr>
      </w:pPr>
      <w:r w:rsidRPr="006927C1">
        <w:rPr>
          <w:bCs/>
          <w:sz w:val="22"/>
          <w:szCs w:val="22"/>
          <w:lang w:val="sr-Latn-ME"/>
        </w:rPr>
        <w:t>Lijek Gilestra Duo je indikovan u kombinaciji sa sprovođenjem mjera bezbjednijeg polnog odnosa za preekspozicionu profilaksu kako bi se smanjio rizik od prenosa infekcije virusom HIV-1 koja se prenosi seksualnim putem kod odraslih osoba i adolescenata sa visokim rizikom (vidjeti odjeljke 4.2, 4.4 i 5.1).</w:t>
      </w:r>
    </w:p>
    <w:p w:rsidR="00411B4B" w:rsidRPr="006927C1" w:rsidRDefault="00411B4B" w:rsidP="00867B0F">
      <w:pPr>
        <w:tabs>
          <w:tab w:val="left" w:pos="540"/>
          <w:tab w:val="left" w:pos="569"/>
        </w:tabs>
        <w:jc w:val="both"/>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 xml:space="preserve">4.2. </w:t>
      </w:r>
      <w:r w:rsidR="00480FB1" w:rsidRPr="006927C1">
        <w:rPr>
          <w:b/>
          <w:bCs/>
          <w:sz w:val="22"/>
          <w:szCs w:val="22"/>
          <w:lang w:val="sr-Latn-ME"/>
        </w:rPr>
        <w:tab/>
      </w:r>
      <w:r w:rsidRPr="006927C1">
        <w:rPr>
          <w:b/>
          <w:bCs/>
          <w:sz w:val="22"/>
          <w:szCs w:val="22"/>
          <w:lang w:val="sr-Latn-ME"/>
        </w:rPr>
        <w:t>Doziranje i način primjene</w:t>
      </w:r>
    </w:p>
    <w:p w:rsidR="0072020E" w:rsidRPr="006927C1" w:rsidRDefault="0072020E" w:rsidP="00867B0F">
      <w:pPr>
        <w:tabs>
          <w:tab w:val="left" w:pos="540"/>
          <w:tab w:val="left" w:pos="569"/>
        </w:tabs>
        <w:jc w:val="both"/>
        <w:rPr>
          <w:bCs/>
          <w:sz w:val="22"/>
          <w:szCs w:val="22"/>
          <w:lang w:val="sr-Latn-ME"/>
        </w:rPr>
      </w:pPr>
    </w:p>
    <w:p w:rsidR="001B7C43" w:rsidRPr="006927C1" w:rsidRDefault="001B7C43" w:rsidP="00386268">
      <w:pPr>
        <w:tabs>
          <w:tab w:val="left" w:pos="540"/>
          <w:tab w:val="left" w:pos="569"/>
        </w:tabs>
        <w:jc w:val="both"/>
        <w:rPr>
          <w:bCs/>
          <w:sz w:val="22"/>
          <w:szCs w:val="22"/>
          <w:lang w:val="sr-Latn-ME"/>
        </w:rPr>
      </w:pPr>
      <w:r w:rsidRPr="006927C1">
        <w:rPr>
          <w:bCs/>
          <w:sz w:val="22"/>
          <w:szCs w:val="22"/>
          <w:lang w:val="sr-Latn-ME"/>
        </w:rPr>
        <w:t>Terapiju mora započeti l</w:t>
      </w:r>
      <w:r w:rsidR="009E7AD4" w:rsidRPr="006927C1">
        <w:rPr>
          <w:bCs/>
          <w:sz w:val="22"/>
          <w:szCs w:val="22"/>
          <w:lang w:val="sr-Latn-ME"/>
        </w:rPr>
        <w:t>j</w:t>
      </w:r>
      <w:r w:rsidRPr="006927C1">
        <w:rPr>
          <w:bCs/>
          <w:sz w:val="22"/>
          <w:szCs w:val="22"/>
          <w:lang w:val="sr-Latn-ME"/>
        </w:rPr>
        <w:t>ekar sa iskustvom u l</w:t>
      </w:r>
      <w:r w:rsidR="009E7AD4" w:rsidRPr="006927C1">
        <w:rPr>
          <w:bCs/>
          <w:sz w:val="22"/>
          <w:szCs w:val="22"/>
          <w:lang w:val="sr-Latn-ME"/>
        </w:rPr>
        <w:t>ij</w:t>
      </w:r>
      <w:r w:rsidRPr="006927C1">
        <w:rPr>
          <w:bCs/>
          <w:sz w:val="22"/>
          <w:szCs w:val="22"/>
          <w:lang w:val="sr-Latn-ME"/>
        </w:rPr>
        <w:t xml:space="preserve">ečenju infekcije HIV-om. </w:t>
      </w:r>
    </w:p>
    <w:p w:rsidR="001B7C43" w:rsidRPr="006927C1" w:rsidRDefault="001B7C43" w:rsidP="00BE466F">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u w:val="single"/>
          <w:lang w:val="sr-Latn-ME"/>
        </w:rPr>
      </w:pPr>
      <w:r w:rsidRPr="006927C1">
        <w:rPr>
          <w:bCs/>
          <w:sz w:val="22"/>
          <w:szCs w:val="22"/>
          <w:u w:val="single"/>
          <w:lang w:val="sr-Latn-ME"/>
        </w:rPr>
        <w:t xml:space="preserve">Doziranje </w:t>
      </w:r>
    </w:p>
    <w:p w:rsidR="001B7C43" w:rsidRPr="006927C1" w:rsidRDefault="001B7C43">
      <w:pPr>
        <w:tabs>
          <w:tab w:val="left" w:pos="540"/>
          <w:tab w:val="left" w:pos="569"/>
        </w:tabs>
        <w:jc w:val="both"/>
        <w:rPr>
          <w:bCs/>
          <w:sz w:val="22"/>
          <w:szCs w:val="22"/>
          <w:lang w:val="sr-Latn-ME"/>
        </w:rPr>
      </w:pPr>
      <w:r w:rsidRPr="006927C1">
        <w:rPr>
          <w:bCs/>
          <w:i/>
          <w:sz w:val="22"/>
          <w:szCs w:val="22"/>
          <w:lang w:val="sr-Latn-ME"/>
        </w:rPr>
        <w:t>L</w:t>
      </w:r>
      <w:r w:rsidR="009E7AD4" w:rsidRPr="006927C1">
        <w:rPr>
          <w:bCs/>
          <w:i/>
          <w:sz w:val="22"/>
          <w:szCs w:val="22"/>
          <w:lang w:val="sr-Latn-ME"/>
        </w:rPr>
        <w:t>ij</w:t>
      </w:r>
      <w:r w:rsidRPr="006927C1">
        <w:rPr>
          <w:bCs/>
          <w:i/>
          <w:sz w:val="22"/>
          <w:szCs w:val="22"/>
          <w:lang w:val="sr-Latn-ME"/>
        </w:rPr>
        <w:t xml:space="preserve">ečenje HIV-a kod odraslih i adolescenata uzrasta </w:t>
      </w:r>
      <w:r w:rsidR="00592959" w:rsidRPr="006927C1">
        <w:rPr>
          <w:bCs/>
          <w:i/>
          <w:sz w:val="22"/>
          <w:szCs w:val="22"/>
          <w:lang w:val="sr-Latn-ME"/>
        </w:rPr>
        <w:t xml:space="preserve">od </w:t>
      </w:r>
      <w:r w:rsidRPr="006927C1">
        <w:rPr>
          <w:bCs/>
          <w:i/>
          <w:sz w:val="22"/>
          <w:szCs w:val="22"/>
          <w:lang w:val="sr-Latn-ME"/>
        </w:rPr>
        <w:t>12 godina i starijih, t</w:t>
      </w:r>
      <w:r w:rsidR="009E7AD4" w:rsidRPr="006927C1">
        <w:rPr>
          <w:bCs/>
          <w:i/>
          <w:sz w:val="22"/>
          <w:szCs w:val="22"/>
          <w:lang w:val="sr-Latn-ME"/>
        </w:rPr>
        <w:t>j</w:t>
      </w:r>
      <w:r w:rsidRPr="006927C1">
        <w:rPr>
          <w:bCs/>
          <w:i/>
          <w:sz w:val="22"/>
          <w:szCs w:val="22"/>
          <w:lang w:val="sr-Latn-ME"/>
        </w:rPr>
        <w:t xml:space="preserve">elesne mase najmanje 35 kg: </w:t>
      </w:r>
      <w:r w:rsidRPr="006927C1">
        <w:rPr>
          <w:bCs/>
          <w:sz w:val="22"/>
          <w:szCs w:val="22"/>
          <w:lang w:val="sr-Latn-ME"/>
        </w:rPr>
        <w:t>jedna tableta, jednom dnevno.</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i/>
          <w:sz w:val="22"/>
          <w:szCs w:val="22"/>
          <w:lang w:val="sr-Latn-ME"/>
        </w:rPr>
        <w:lastRenderedPageBreak/>
        <w:t xml:space="preserve">Prevencija HIV-a kod odraslih i adolescenata uzrasta </w:t>
      </w:r>
      <w:r w:rsidR="00592959" w:rsidRPr="006927C1">
        <w:rPr>
          <w:bCs/>
          <w:i/>
          <w:sz w:val="22"/>
          <w:szCs w:val="22"/>
          <w:lang w:val="sr-Latn-ME"/>
        </w:rPr>
        <w:t xml:space="preserve">od </w:t>
      </w:r>
      <w:r w:rsidRPr="006927C1">
        <w:rPr>
          <w:bCs/>
          <w:i/>
          <w:sz w:val="22"/>
          <w:szCs w:val="22"/>
          <w:lang w:val="sr-Latn-ME"/>
        </w:rPr>
        <w:t>12 godina i starijih, t</w:t>
      </w:r>
      <w:r w:rsidR="009E7AD4" w:rsidRPr="006927C1">
        <w:rPr>
          <w:bCs/>
          <w:i/>
          <w:sz w:val="22"/>
          <w:szCs w:val="22"/>
          <w:lang w:val="sr-Latn-ME"/>
        </w:rPr>
        <w:t>j</w:t>
      </w:r>
      <w:r w:rsidRPr="006927C1">
        <w:rPr>
          <w:bCs/>
          <w:i/>
          <w:sz w:val="22"/>
          <w:szCs w:val="22"/>
          <w:lang w:val="sr-Latn-ME"/>
        </w:rPr>
        <w:t xml:space="preserve">elesne mase najmanje 35 kg: </w:t>
      </w:r>
      <w:r w:rsidRPr="006927C1">
        <w:rPr>
          <w:bCs/>
          <w:sz w:val="22"/>
          <w:szCs w:val="22"/>
          <w:lang w:val="sr-Latn-ME"/>
        </w:rPr>
        <w:t>jedna tableta, jednom dnevno.</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sz w:val="22"/>
          <w:szCs w:val="22"/>
          <w:lang w:val="sr-Latn-ME"/>
        </w:rPr>
        <w:t>Za l</w:t>
      </w:r>
      <w:r w:rsidR="009E7AD4" w:rsidRPr="006927C1">
        <w:rPr>
          <w:bCs/>
          <w:sz w:val="22"/>
          <w:szCs w:val="22"/>
          <w:lang w:val="sr-Latn-ME"/>
        </w:rPr>
        <w:t>ij</w:t>
      </w:r>
      <w:r w:rsidRPr="006927C1">
        <w:rPr>
          <w:bCs/>
          <w:sz w:val="22"/>
          <w:szCs w:val="22"/>
          <w:lang w:val="sr-Latn-ME"/>
        </w:rPr>
        <w:t>ečenje infekcije virusom HIV-1 dostupni su zasebni l</w:t>
      </w:r>
      <w:r w:rsidR="009E7AD4" w:rsidRPr="006927C1">
        <w:rPr>
          <w:bCs/>
          <w:sz w:val="22"/>
          <w:szCs w:val="22"/>
          <w:lang w:val="sr-Latn-ME"/>
        </w:rPr>
        <w:t>j</w:t>
      </w:r>
      <w:r w:rsidRPr="006927C1">
        <w:rPr>
          <w:bCs/>
          <w:sz w:val="22"/>
          <w:szCs w:val="22"/>
          <w:lang w:val="sr-Latn-ME"/>
        </w:rPr>
        <w:t>ekovi koji sadrže samo emtricitabin i samo tenofovir</w:t>
      </w:r>
      <w:r w:rsidR="009E7AD4" w:rsidRPr="006927C1">
        <w:rPr>
          <w:bCs/>
          <w:sz w:val="22"/>
          <w:szCs w:val="22"/>
          <w:lang w:val="sr-Latn-ME"/>
        </w:rPr>
        <w:t xml:space="preserve"> </w:t>
      </w:r>
      <w:r w:rsidRPr="006927C1">
        <w:rPr>
          <w:bCs/>
          <w:sz w:val="22"/>
          <w:szCs w:val="22"/>
          <w:lang w:val="sr-Latn-ME"/>
        </w:rPr>
        <w:t>dizoproksil ako postane neophodno da se prekine prim</w:t>
      </w:r>
      <w:r w:rsidR="009E7AD4" w:rsidRPr="006927C1">
        <w:rPr>
          <w:bCs/>
          <w:sz w:val="22"/>
          <w:szCs w:val="22"/>
          <w:lang w:val="sr-Latn-ME"/>
        </w:rPr>
        <w:t>j</w:t>
      </w:r>
      <w:r w:rsidRPr="006927C1">
        <w:rPr>
          <w:bCs/>
          <w:sz w:val="22"/>
          <w:szCs w:val="22"/>
          <w:lang w:val="sr-Latn-ME"/>
        </w:rPr>
        <w:t>ena ili prilagodi doza jedne od komponenti l</w:t>
      </w:r>
      <w:r w:rsidR="009E7AD4" w:rsidRPr="006927C1">
        <w:rPr>
          <w:bCs/>
          <w:sz w:val="22"/>
          <w:szCs w:val="22"/>
          <w:lang w:val="sr-Latn-ME"/>
        </w:rPr>
        <w:t>ij</w:t>
      </w:r>
      <w:r w:rsidRPr="006927C1">
        <w:rPr>
          <w:bCs/>
          <w:sz w:val="22"/>
          <w:szCs w:val="22"/>
          <w:lang w:val="sr-Latn-ME"/>
        </w:rPr>
        <w:t>eka Gilestra Duo. Pogledati Sažetak karakteristika l</w:t>
      </w:r>
      <w:r w:rsidR="009E7AD4" w:rsidRPr="006927C1">
        <w:rPr>
          <w:bCs/>
          <w:sz w:val="22"/>
          <w:szCs w:val="22"/>
          <w:lang w:val="sr-Latn-ME"/>
        </w:rPr>
        <w:t>ij</w:t>
      </w:r>
      <w:r w:rsidRPr="006927C1">
        <w:rPr>
          <w:bCs/>
          <w:sz w:val="22"/>
          <w:szCs w:val="22"/>
          <w:lang w:val="sr-Latn-ME"/>
        </w:rPr>
        <w:t>eka za ove l</w:t>
      </w:r>
      <w:r w:rsidR="009E7AD4" w:rsidRPr="006927C1">
        <w:rPr>
          <w:bCs/>
          <w:sz w:val="22"/>
          <w:szCs w:val="22"/>
          <w:lang w:val="sr-Latn-ME"/>
        </w:rPr>
        <w:t>j</w:t>
      </w:r>
      <w:r w:rsidRPr="006927C1">
        <w:rPr>
          <w:bCs/>
          <w:sz w:val="22"/>
          <w:szCs w:val="22"/>
          <w:lang w:val="sr-Latn-ME"/>
        </w:rPr>
        <w:t>ekove.</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sz w:val="22"/>
          <w:szCs w:val="22"/>
          <w:lang w:val="sr-Latn-ME"/>
        </w:rPr>
        <w:t>Ako pacijent propusti da uzme dozu l</w:t>
      </w:r>
      <w:r w:rsidR="009E7AD4" w:rsidRPr="006927C1">
        <w:rPr>
          <w:bCs/>
          <w:sz w:val="22"/>
          <w:szCs w:val="22"/>
          <w:lang w:val="sr-Latn-ME"/>
        </w:rPr>
        <w:t>ij</w:t>
      </w:r>
      <w:r w:rsidRPr="006927C1">
        <w:rPr>
          <w:bCs/>
          <w:sz w:val="22"/>
          <w:szCs w:val="22"/>
          <w:lang w:val="sr-Latn-ME"/>
        </w:rPr>
        <w:t>eka Gilestra Duo, a prošlo je manje od 12 sati od uobičajenog vremena uzimanja l</w:t>
      </w:r>
      <w:r w:rsidR="009E7AD4" w:rsidRPr="006927C1">
        <w:rPr>
          <w:bCs/>
          <w:sz w:val="22"/>
          <w:szCs w:val="22"/>
          <w:lang w:val="sr-Latn-ME"/>
        </w:rPr>
        <w:t>ij</w:t>
      </w:r>
      <w:r w:rsidRPr="006927C1">
        <w:rPr>
          <w:bCs/>
          <w:sz w:val="22"/>
          <w:szCs w:val="22"/>
          <w:lang w:val="sr-Latn-ME"/>
        </w:rPr>
        <w:t>eka, pacijent treba što pr</w:t>
      </w:r>
      <w:r w:rsidR="009E7AD4" w:rsidRPr="006927C1">
        <w:rPr>
          <w:bCs/>
          <w:sz w:val="22"/>
          <w:szCs w:val="22"/>
          <w:lang w:val="sr-Latn-ME"/>
        </w:rPr>
        <w:t>ij</w:t>
      </w:r>
      <w:r w:rsidRPr="006927C1">
        <w:rPr>
          <w:bCs/>
          <w:sz w:val="22"/>
          <w:szCs w:val="22"/>
          <w:lang w:val="sr-Latn-ME"/>
        </w:rPr>
        <w:t>e da uzme l</w:t>
      </w:r>
      <w:r w:rsidR="009E7AD4" w:rsidRPr="006927C1">
        <w:rPr>
          <w:bCs/>
          <w:sz w:val="22"/>
          <w:szCs w:val="22"/>
          <w:lang w:val="sr-Latn-ME"/>
        </w:rPr>
        <w:t>ij</w:t>
      </w:r>
      <w:r w:rsidRPr="006927C1">
        <w:rPr>
          <w:bCs/>
          <w:sz w:val="22"/>
          <w:szCs w:val="22"/>
          <w:lang w:val="sr-Latn-ME"/>
        </w:rPr>
        <w:t>ek Gilestra Duo i zatim nastavi da uzima l</w:t>
      </w:r>
      <w:r w:rsidR="009E7AD4" w:rsidRPr="006927C1">
        <w:rPr>
          <w:bCs/>
          <w:sz w:val="22"/>
          <w:szCs w:val="22"/>
          <w:lang w:val="sr-Latn-ME"/>
        </w:rPr>
        <w:t>ij</w:t>
      </w:r>
      <w:r w:rsidRPr="006927C1">
        <w:rPr>
          <w:bCs/>
          <w:sz w:val="22"/>
          <w:szCs w:val="22"/>
          <w:lang w:val="sr-Latn-ME"/>
        </w:rPr>
        <w:t>ek prema svom normalnom rasporedu doziranja. Ako pacijent propusti da uzme dozu l</w:t>
      </w:r>
      <w:r w:rsidR="009E7AD4" w:rsidRPr="006927C1">
        <w:rPr>
          <w:bCs/>
          <w:sz w:val="22"/>
          <w:szCs w:val="22"/>
          <w:lang w:val="sr-Latn-ME"/>
        </w:rPr>
        <w:t>ij</w:t>
      </w:r>
      <w:r w:rsidRPr="006927C1">
        <w:rPr>
          <w:bCs/>
          <w:sz w:val="22"/>
          <w:szCs w:val="22"/>
          <w:lang w:val="sr-Latn-ME"/>
        </w:rPr>
        <w:t>eka Gilestra Duo više od 12 sati</w:t>
      </w:r>
      <w:r w:rsidR="009E7AD4" w:rsidRPr="006927C1">
        <w:rPr>
          <w:bCs/>
          <w:sz w:val="22"/>
          <w:szCs w:val="22"/>
          <w:lang w:val="sr-Latn-ME"/>
        </w:rPr>
        <w:t>,</w:t>
      </w:r>
      <w:r w:rsidRPr="006927C1">
        <w:rPr>
          <w:bCs/>
          <w:sz w:val="22"/>
          <w:szCs w:val="22"/>
          <w:lang w:val="sr-Latn-ME"/>
        </w:rPr>
        <w:t xml:space="preserve"> a već je blizu vr</w:t>
      </w:r>
      <w:r w:rsidR="009E7AD4" w:rsidRPr="006927C1">
        <w:rPr>
          <w:bCs/>
          <w:sz w:val="22"/>
          <w:szCs w:val="22"/>
          <w:lang w:val="sr-Latn-ME"/>
        </w:rPr>
        <w:t>ij</w:t>
      </w:r>
      <w:r w:rsidRPr="006927C1">
        <w:rPr>
          <w:bCs/>
          <w:sz w:val="22"/>
          <w:szCs w:val="22"/>
          <w:lang w:val="sr-Latn-ME"/>
        </w:rPr>
        <w:t>eme za uzimanje sl</w:t>
      </w:r>
      <w:r w:rsidR="00592959" w:rsidRPr="006927C1">
        <w:rPr>
          <w:bCs/>
          <w:sz w:val="22"/>
          <w:szCs w:val="22"/>
          <w:lang w:val="sr-Latn-ME"/>
        </w:rPr>
        <w:t>j</w:t>
      </w:r>
      <w:r w:rsidRPr="006927C1">
        <w:rPr>
          <w:bCs/>
          <w:sz w:val="22"/>
          <w:szCs w:val="22"/>
          <w:lang w:val="sr-Latn-ME"/>
        </w:rPr>
        <w:t>edeće doze, ne treba da uzme propuštenu dozu nego jednostavno da nastavi sa uzimanjem l</w:t>
      </w:r>
      <w:r w:rsidR="009E7AD4" w:rsidRPr="006927C1">
        <w:rPr>
          <w:bCs/>
          <w:sz w:val="22"/>
          <w:szCs w:val="22"/>
          <w:lang w:val="sr-Latn-ME"/>
        </w:rPr>
        <w:t>ij</w:t>
      </w:r>
      <w:r w:rsidRPr="006927C1">
        <w:rPr>
          <w:bCs/>
          <w:sz w:val="22"/>
          <w:szCs w:val="22"/>
          <w:lang w:val="sr-Latn-ME"/>
        </w:rPr>
        <w:t>eka prema svom uobičajenom rasporedu doziranja.</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sz w:val="22"/>
          <w:szCs w:val="22"/>
          <w:lang w:val="sr-Latn-ME"/>
        </w:rPr>
        <w:t>Ako dođe do povraćanja, a prošlo je manje od 1 sata od uzimanja l</w:t>
      </w:r>
      <w:r w:rsidR="009E7AD4" w:rsidRPr="006927C1">
        <w:rPr>
          <w:bCs/>
          <w:sz w:val="22"/>
          <w:szCs w:val="22"/>
          <w:lang w:val="sr-Latn-ME"/>
        </w:rPr>
        <w:t>ij</w:t>
      </w:r>
      <w:r w:rsidRPr="006927C1">
        <w:rPr>
          <w:bCs/>
          <w:sz w:val="22"/>
          <w:szCs w:val="22"/>
          <w:lang w:val="sr-Latn-ME"/>
        </w:rPr>
        <w:t>eka Gilestra Duo, treba uzeti drugu tabletu. Ako dođe do povraćanja nakon više od 1 sata od uzimanja l</w:t>
      </w:r>
      <w:r w:rsidR="009E7AD4" w:rsidRPr="006927C1">
        <w:rPr>
          <w:bCs/>
          <w:sz w:val="22"/>
          <w:szCs w:val="22"/>
          <w:lang w:val="sr-Latn-ME"/>
        </w:rPr>
        <w:t>ij</w:t>
      </w:r>
      <w:r w:rsidRPr="006927C1">
        <w:rPr>
          <w:bCs/>
          <w:sz w:val="22"/>
          <w:szCs w:val="22"/>
          <w:lang w:val="sr-Latn-ME"/>
        </w:rPr>
        <w:t>eka Gilestra Duo, nije potrebno uzeti drugu dozu.</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i/>
          <w:sz w:val="22"/>
          <w:szCs w:val="22"/>
          <w:lang w:val="sr-Latn-ME"/>
        </w:rPr>
      </w:pPr>
      <w:r w:rsidRPr="006927C1">
        <w:rPr>
          <w:bCs/>
          <w:i/>
          <w:sz w:val="22"/>
          <w:szCs w:val="22"/>
          <w:lang w:val="sr-Latn-ME"/>
        </w:rPr>
        <w:t xml:space="preserve">Posebne populacije </w:t>
      </w:r>
    </w:p>
    <w:p w:rsidR="001B7C43" w:rsidRPr="006927C1" w:rsidRDefault="001B7C43">
      <w:pPr>
        <w:tabs>
          <w:tab w:val="left" w:pos="540"/>
          <w:tab w:val="left" w:pos="569"/>
        </w:tabs>
        <w:jc w:val="both"/>
        <w:rPr>
          <w:bCs/>
          <w:i/>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i/>
          <w:sz w:val="22"/>
          <w:szCs w:val="22"/>
          <w:lang w:val="sr-Latn-ME"/>
        </w:rPr>
        <w:t>Starije osobe</w:t>
      </w:r>
      <w:r w:rsidRPr="006927C1">
        <w:rPr>
          <w:bCs/>
          <w:sz w:val="22"/>
          <w:szCs w:val="22"/>
          <w:lang w:val="sr-Latn-ME"/>
        </w:rPr>
        <w:t>: Nije potrebno prilagođavanje doze (vid</w:t>
      </w:r>
      <w:r w:rsidR="009E7AD4" w:rsidRPr="006927C1">
        <w:rPr>
          <w:bCs/>
          <w:sz w:val="22"/>
          <w:szCs w:val="22"/>
          <w:lang w:val="sr-Latn-ME"/>
        </w:rPr>
        <w:t>j</w:t>
      </w:r>
      <w:r w:rsidRPr="006927C1">
        <w:rPr>
          <w:bCs/>
          <w:sz w:val="22"/>
          <w:szCs w:val="22"/>
          <w:lang w:val="sr-Latn-ME"/>
        </w:rPr>
        <w:t>eti od</w:t>
      </w:r>
      <w:r w:rsidR="009E7AD4" w:rsidRPr="006927C1">
        <w:rPr>
          <w:bCs/>
          <w:sz w:val="22"/>
          <w:szCs w:val="22"/>
          <w:lang w:val="sr-Latn-ME"/>
        </w:rPr>
        <w:t>j</w:t>
      </w:r>
      <w:r w:rsidRPr="006927C1">
        <w:rPr>
          <w:bCs/>
          <w:sz w:val="22"/>
          <w:szCs w:val="22"/>
          <w:lang w:val="sr-Latn-ME"/>
        </w:rPr>
        <w:t>eljak 5.2).</w:t>
      </w:r>
    </w:p>
    <w:p w:rsidR="001B7C43" w:rsidRPr="006927C1" w:rsidRDefault="001B7C43">
      <w:pPr>
        <w:tabs>
          <w:tab w:val="left" w:pos="540"/>
          <w:tab w:val="left" w:pos="569"/>
        </w:tabs>
        <w:jc w:val="both"/>
        <w:rPr>
          <w:bCs/>
          <w:i/>
          <w:sz w:val="22"/>
          <w:szCs w:val="22"/>
          <w:lang w:val="sr-Latn-ME"/>
        </w:rPr>
      </w:pPr>
    </w:p>
    <w:p w:rsidR="001B7C43" w:rsidRPr="006927C1" w:rsidRDefault="001B7C43">
      <w:pPr>
        <w:tabs>
          <w:tab w:val="left" w:pos="540"/>
          <w:tab w:val="left" w:pos="569"/>
        </w:tabs>
        <w:jc w:val="both"/>
        <w:rPr>
          <w:bCs/>
          <w:sz w:val="22"/>
          <w:szCs w:val="22"/>
          <w:lang w:val="sr-Latn-ME"/>
        </w:rPr>
      </w:pPr>
      <w:r w:rsidRPr="006927C1">
        <w:rPr>
          <w:bCs/>
          <w:i/>
          <w:sz w:val="22"/>
          <w:szCs w:val="22"/>
          <w:lang w:val="sr-Latn-ME"/>
        </w:rPr>
        <w:t>Oštećenje funkcije bubrega</w:t>
      </w:r>
      <w:r w:rsidRPr="006927C1">
        <w:rPr>
          <w:bCs/>
          <w:sz w:val="22"/>
          <w:szCs w:val="22"/>
          <w:lang w:val="sr-Latn-ME"/>
        </w:rPr>
        <w:t>: Emtricitabin i tenofovir izlučuju se putem bubrega pa se kod osoba sa oštećenjem funkcije bubrega povećava izloženost emtricitabinu i tenofoviru (vid</w:t>
      </w:r>
      <w:r w:rsidR="009E7AD4" w:rsidRPr="006927C1">
        <w:rPr>
          <w:bCs/>
          <w:sz w:val="22"/>
          <w:szCs w:val="22"/>
          <w:lang w:val="sr-Latn-ME"/>
        </w:rPr>
        <w:t>j</w:t>
      </w:r>
      <w:r w:rsidRPr="006927C1">
        <w:rPr>
          <w:bCs/>
          <w:sz w:val="22"/>
          <w:szCs w:val="22"/>
          <w:lang w:val="sr-Latn-ME"/>
        </w:rPr>
        <w:t>eti od</w:t>
      </w:r>
      <w:r w:rsidR="009E7AD4" w:rsidRPr="006927C1">
        <w:rPr>
          <w:bCs/>
          <w:sz w:val="22"/>
          <w:szCs w:val="22"/>
          <w:lang w:val="sr-Latn-ME"/>
        </w:rPr>
        <w:t>j</w:t>
      </w:r>
      <w:r w:rsidRPr="006927C1">
        <w:rPr>
          <w:bCs/>
          <w:sz w:val="22"/>
          <w:szCs w:val="22"/>
          <w:lang w:val="sr-Latn-ME"/>
        </w:rPr>
        <w:t>eljke 4.4 i 5.2).</w:t>
      </w:r>
    </w:p>
    <w:p w:rsidR="001B7C43" w:rsidRPr="006927C1" w:rsidRDefault="001B7C43">
      <w:pPr>
        <w:tabs>
          <w:tab w:val="left" w:pos="540"/>
          <w:tab w:val="left" w:pos="569"/>
        </w:tabs>
        <w:jc w:val="both"/>
        <w:rPr>
          <w:bCs/>
          <w:sz w:val="22"/>
          <w:szCs w:val="22"/>
          <w:lang w:val="sr-Latn-ME"/>
        </w:rPr>
      </w:pPr>
    </w:p>
    <w:p w:rsidR="001B7C43" w:rsidRPr="006927C1" w:rsidRDefault="001B7C43">
      <w:pPr>
        <w:tabs>
          <w:tab w:val="left" w:pos="540"/>
          <w:tab w:val="left" w:pos="569"/>
        </w:tabs>
        <w:jc w:val="both"/>
        <w:rPr>
          <w:bCs/>
          <w:i/>
          <w:sz w:val="22"/>
          <w:szCs w:val="22"/>
          <w:lang w:val="sr-Latn-ME"/>
        </w:rPr>
      </w:pPr>
      <w:r w:rsidRPr="006927C1">
        <w:rPr>
          <w:bCs/>
          <w:i/>
          <w:sz w:val="22"/>
          <w:szCs w:val="22"/>
          <w:lang w:val="sr-Latn-ME"/>
        </w:rPr>
        <w:t>Odrasle osobe sa oštećenjem funkcije bubrega:</w:t>
      </w:r>
    </w:p>
    <w:p w:rsidR="001B7C43" w:rsidRPr="006927C1" w:rsidRDefault="001B7C43">
      <w:pPr>
        <w:tabs>
          <w:tab w:val="left" w:pos="540"/>
          <w:tab w:val="left" w:pos="569"/>
        </w:tabs>
        <w:jc w:val="both"/>
        <w:rPr>
          <w:bCs/>
          <w:sz w:val="22"/>
          <w:szCs w:val="22"/>
          <w:lang w:val="sr-Latn-ME"/>
        </w:rPr>
      </w:pPr>
      <w:r w:rsidRPr="006927C1">
        <w:rPr>
          <w:bCs/>
          <w:sz w:val="22"/>
          <w:szCs w:val="22"/>
          <w:lang w:val="sr-Latn-ME"/>
        </w:rPr>
        <w:t>L</w:t>
      </w:r>
      <w:r w:rsidR="009E7AD4" w:rsidRPr="006927C1">
        <w:rPr>
          <w:bCs/>
          <w:sz w:val="22"/>
          <w:szCs w:val="22"/>
          <w:lang w:val="sr-Latn-ME"/>
        </w:rPr>
        <w:t>ij</w:t>
      </w:r>
      <w:r w:rsidRPr="006927C1">
        <w:rPr>
          <w:bCs/>
          <w:sz w:val="22"/>
          <w:szCs w:val="22"/>
          <w:lang w:val="sr-Latn-ME"/>
        </w:rPr>
        <w:t>ek Gilestra Duo se sm</w:t>
      </w:r>
      <w:r w:rsidR="00592959" w:rsidRPr="006927C1">
        <w:rPr>
          <w:bCs/>
          <w:sz w:val="22"/>
          <w:szCs w:val="22"/>
          <w:lang w:val="sr-Latn-ME"/>
        </w:rPr>
        <w:t>ij</w:t>
      </w:r>
      <w:r w:rsidRPr="006927C1">
        <w:rPr>
          <w:bCs/>
          <w:sz w:val="22"/>
          <w:szCs w:val="22"/>
          <w:lang w:val="sr-Latn-ME"/>
        </w:rPr>
        <w:t>e prim</w:t>
      </w:r>
      <w:r w:rsidR="009E7AD4" w:rsidRPr="006927C1">
        <w:rPr>
          <w:bCs/>
          <w:sz w:val="22"/>
          <w:szCs w:val="22"/>
          <w:lang w:val="sr-Latn-ME"/>
        </w:rPr>
        <w:t>j</w:t>
      </w:r>
      <w:r w:rsidRPr="006927C1">
        <w:rPr>
          <w:bCs/>
          <w:sz w:val="22"/>
          <w:szCs w:val="22"/>
          <w:lang w:val="sr-Latn-ME"/>
        </w:rPr>
        <w:t xml:space="preserve">enjivati </w:t>
      </w:r>
      <w:r w:rsidR="00592959" w:rsidRPr="006927C1">
        <w:rPr>
          <w:bCs/>
          <w:sz w:val="22"/>
          <w:szCs w:val="22"/>
          <w:lang w:val="sr-Latn-ME"/>
        </w:rPr>
        <w:t xml:space="preserve">samo </w:t>
      </w:r>
      <w:r w:rsidRPr="006927C1">
        <w:rPr>
          <w:bCs/>
          <w:sz w:val="22"/>
          <w:szCs w:val="22"/>
          <w:lang w:val="sr-Latn-ME"/>
        </w:rPr>
        <w:t xml:space="preserve">kod osoba sa klirensom kreatinina (CrCl) &lt; 80 </w:t>
      </w:r>
      <w:r w:rsidR="00AE4815" w:rsidRPr="006927C1">
        <w:rPr>
          <w:bCs/>
          <w:sz w:val="22"/>
          <w:szCs w:val="22"/>
          <w:lang w:val="sr-Latn-ME"/>
        </w:rPr>
        <w:t>ml</w:t>
      </w:r>
      <w:r w:rsidRPr="006927C1">
        <w:rPr>
          <w:bCs/>
          <w:sz w:val="22"/>
          <w:szCs w:val="22"/>
          <w:lang w:val="sr-Latn-ME"/>
        </w:rPr>
        <w:t>/min ako se proc</w:t>
      </w:r>
      <w:r w:rsidR="009E7AD4" w:rsidRPr="006927C1">
        <w:rPr>
          <w:bCs/>
          <w:sz w:val="22"/>
          <w:szCs w:val="22"/>
          <w:lang w:val="sr-Latn-ME"/>
        </w:rPr>
        <w:t>ij</w:t>
      </w:r>
      <w:r w:rsidRPr="006927C1">
        <w:rPr>
          <w:bCs/>
          <w:sz w:val="22"/>
          <w:szCs w:val="22"/>
          <w:lang w:val="sr-Latn-ME"/>
        </w:rPr>
        <w:t>eni da su moguće koristi veće od mogućih rizika. Vid</w:t>
      </w:r>
      <w:r w:rsidR="009E7AD4" w:rsidRPr="006927C1">
        <w:rPr>
          <w:bCs/>
          <w:sz w:val="22"/>
          <w:szCs w:val="22"/>
          <w:lang w:val="sr-Latn-ME"/>
        </w:rPr>
        <w:t>j</w:t>
      </w:r>
      <w:r w:rsidRPr="006927C1">
        <w:rPr>
          <w:bCs/>
          <w:sz w:val="22"/>
          <w:szCs w:val="22"/>
          <w:lang w:val="sr-Latn-ME"/>
        </w:rPr>
        <w:t>eti Tabelu 1.</w:t>
      </w:r>
    </w:p>
    <w:p w:rsidR="00452E9D" w:rsidRPr="006927C1" w:rsidRDefault="00452E9D" w:rsidP="00867B0F">
      <w:pPr>
        <w:tabs>
          <w:tab w:val="left" w:pos="540"/>
          <w:tab w:val="left" w:pos="569"/>
        </w:tabs>
        <w:jc w:val="both"/>
        <w:rPr>
          <w:bCs/>
          <w:sz w:val="22"/>
          <w:szCs w:val="22"/>
          <w:u w:val="single"/>
          <w:lang w:val="sr-Latn-ME"/>
        </w:rPr>
      </w:pPr>
    </w:p>
    <w:p w:rsidR="009E7AD4" w:rsidRPr="006927C1" w:rsidRDefault="009E7AD4" w:rsidP="00867B0F">
      <w:pPr>
        <w:tabs>
          <w:tab w:val="left" w:pos="540"/>
          <w:tab w:val="left" w:pos="569"/>
        </w:tabs>
        <w:jc w:val="both"/>
        <w:rPr>
          <w:b/>
          <w:bCs/>
          <w:iCs/>
          <w:sz w:val="22"/>
          <w:szCs w:val="22"/>
          <w:lang w:val="sr-Latn-ME"/>
        </w:rPr>
      </w:pPr>
      <w:r w:rsidRPr="006927C1">
        <w:rPr>
          <w:b/>
          <w:bCs/>
          <w:iCs/>
          <w:sz w:val="22"/>
          <w:szCs w:val="22"/>
          <w:lang w:val="sr-Latn-ME"/>
        </w:rPr>
        <w:t>Tabela 1: Preporuke za doziranje kod odraslih osoba sa oštećenjem funkcije bubrega</w:t>
      </w:r>
    </w:p>
    <w:p w:rsidR="009E7AD4" w:rsidRPr="006927C1" w:rsidRDefault="009E7AD4" w:rsidP="00867B0F">
      <w:pPr>
        <w:tabs>
          <w:tab w:val="left" w:pos="540"/>
          <w:tab w:val="left" w:pos="569"/>
        </w:tabs>
        <w:jc w:val="both"/>
        <w:rPr>
          <w:b/>
          <w:bCs/>
          <w:iCs/>
          <w:sz w:val="22"/>
          <w:szCs w:val="22"/>
          <w:lang w:val="sr-Latn-M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298"/>
        <w:gridCol w:w="3499"/>
      </w:tblGrid>
      <w:tr w:rsidR="009E7AD4" w:rsidRPr="006927C1" w:rsidTr="009E7AD4">
        <w:trPr>
          <w:trHeight w:val="230"/>
          <w:jc w:val="center"/>
        </w:trPr>
        <w:tc>
          <w:tcPr>
            <w:tcW w:w="2270" w:type="dxa"/>
          </w:tcPr>
          <w:p w:rsidR="009E7AD4" w:rsidRPr="006927C1" w:rsidRDefault="009E7AD4" w:rsidP="009E7AD4">
            <w:pPr>
              <w:tabs>
                <w:tab w:val="left" w:pos="540"/>
                <w:tab w:val="left" w:pos="569"/>
              </w:tabs>
              <w:rPr>
                <w:bCs/>
                <w:sz w:val="22"/>
                <w:szCs w:val="22"/>
                <w:lang w:val="sr-Latn-ME"/>
              </w:rPr>
            </w:pPr>
          </w:p>
        </w:tc>
        <w:tc>
          <w:tcPr>
            <w:tcW w:w="3298" w:type="dxa"/>
          </w:tcPr>
          <w:p w:rsidR="009E7AD4" w:rsidRPr="006927C1" w:rsidRDefault="009E7AD4" w:rsidP="009E7AD4">
            <w:pPr>
              <w:tabs>
                <w:tab w:val="left" w:pos="540"/>
                <w:tab w:val="left" w:pos="569"/>
              </w:tabs>
              <w:jc w:val="center"/>
              <w:rPr>
                <w:b/>
                <w:bCs/>
                <w:sz w:val="22"/>
                <w:szCs w:val="22"/>
                <w:lang w:val="sr-Latn-ME"/>
              </w:rPr>
            </w:pPr>
            <w:r w:rsidRPr="006927C1">
              <w:rPr>
                <w:b/>
                <w:bCs/>
                <w:sz w:val="22"/>
                <w:szCs w:val="22"/>
                <w:lang w:val="sr-Latn-ME"/>
              </w:rPr>
              <w:t>Liječenje infekcije virusom HIV-1</w:t>
            </w:r>
          </w:p>
        </w:tc>
        <w:tc>
          <w:tcPr>
            <w:tcW w:w="3499" w:type="dxa"/>
          </w:tcPr>
          <w:p w:rsidR="009E7AD4" w:rsidRPr="006927C1" w:rsidRDefault="009E7AD4" w:rsidP="009E7AD4">
            <w:pPr>
              <w:tabs>
                <w:tab w:val="left" w:pos="540"/>
                <w:tab w:val="left" w:pos="569"/>
              </w:tabs>
              <w:jc w:val="center"/>
              <w:rPr>
                <w:b/>
                <w:bCs/>
                <w:sz w:val="22"/>
                <w:szCs w:val="22"/>
                <w:lang w:val="sr-Latn-ME"/>
              </w:rPr>
            </w:pPr>
            <w:r w:rsidRPr="006927C1">
              <w:rPr>
                <w:b/>
                <w:bCs/>
                <w:sz w:val="22"/>
                <w:szCs w:val="22"/>
                <w:lang w:val="sr-Latn-ME"/>
              </w:rPr>
              <w:t>Preekspoziciona profilaksa</w:t>
            </w:r>
          </w:p>
        </w:tc>
      </w:tr>
      <w:tr w:rsidR="009E7AD4" w:rsidRPr="006927C1" w:rsidTr="009E7AD4">
        <w:trPr>
          <w:trHeight w:val="1837"/>
          <w:jc w:val="center"/>
        </w:trPr>
        <w:tc>
          <w:tcPr>
            <w:tcW w:w="2270"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 xml:space="preserve">Blago oštećenje funkcije bubrega (CrCl 50-80 </w:t>
            </w:r>
            <w:r w:rsidR="00AE4815" w:rsidRPr="006927C1">
              <w:rPr>
                <w:bCs/>
                <w:sz w:val="22"/>
                <w:szCs w:val="22"/>
                <w:lang w:val="sr-Latn-ME"/>
              </w:rPr>
              <w:t>ml</w:t>
            </w:r>
            <w:r w:rsidRPr="006927C1">
              <w:rPr>
                <w:bCs/>
                <w:sz w:val="22"/>
                <w:szCs w:val="22"/>
                <w:lang w:val="sr-Latn-ME"/>
              </w:rPr>
              <w:t>/min)</w:t>
            </w:r>
          </w:p>
        </w:tc>
        <w:tc>
          <w:tcPr>
            <w:tcW w:w="3298"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Ograničeni podaci iz kliničkih studija govore u prilog doziranju   jednom dnevno (vidjeti odjeljak 4.4).</w:t>
            </w:r>
          </w:p>
        </w:tc>
        <w:tc>
          <w:tcPr>
            <w:tcW w:w="3499"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Ograničeni podaci iz kliničkih studija govore u prilog doziranju jednom dnevno kod osoba koje ni</w:t>
            </w:r>
            <w:r w:rsidR="00592959" w:rsidRPr="006927C1">
              <w:rPr>
                <w:bCs/>
                <w:sz w:val="22"/>
                <w:szCs w:val="22"/>
                <w:lang w:val="sr-Latn-ME"/>
              </w:rPr>
              <w:t>je</w:t>
            </w:r>
            <w:r w:rsidRPr="006927C1">
              <w:rPr>
                <w:bCs/>
                <w:sz w:val="22"/>
                <w:szCs w:val="22"/>
                <w:lang w:val="sr-Latn-ME"/>
              </w:rPr>
              <w:t xml:space="preserve">su inficirane virusom HIV- 1 i imaju CrCl 60–80 </w:t>
            </w:r>
            <w:r w:rsidR="00AE4815" w:rsidRPr="006927C1">
              <w:rPr>
                <w:bCs/>
                <w:sz w:val="22"/>
                <w:szCs w:val="22"/>
                <w:lang w:val="sr-Latn-ME"/>
              </w:rPr>
              <w:t>ml</w:t>
            </w:r>
            <w:r w:rsidRPr="006927C1">
              <w:rPr>
                <w:bCs/>
                <w:sz w:val="22"/>
                <w:szCs w:val="22"/>
                <w:lang w:val="sr-Latn-ME"/>
              </w:rPr>
              <w:t>/min. Primjena se ne preporučuje kod osoba koje ni</w:t>
            </w:r>
            <w:r w:rsidR="00592959" w:rsidRPr="006927C1">
              <w:rPr>
                <w:bCs/>
                <w:sz w:val="22"/>
                <w:szCs w:val="22"/>
                <w:lang w:val="sr-Latn-ME"/>
              </w:rPr>
              <w:t>je</w:t>
            </w:r>
            <w:r w:rsidRPr="006927C1">
              <w:rPr>
                <w:bCs/>
                <w:sz w:val="22"/>
                <w:szCs w:val="22"/>
                <w:lang w:val="sr-Latn-ME"/>
              </w:rPr>
              <w:t xml:space="preserve">su inficirane virusom HIV-1 i imaju CrCL &lt; 60 </w:t>
            </w:r>
            <w:r w:rsidR="00AE4815" w:rsidRPr="006927C1">
              <w:rPr>
                <w:bCs/>
                <w:sz w:val="22"/>
                <w:szCs w:val="22"/>
                <w:lang w:val="sr-Latn-ME"/>
              </w:rPr>
              <w:t>ml</w:t>
            </w:r>
            <w:r w:rsidRPr="006927C1">
              <w:rPr>
                <w:bCs/>
                <w:sz w:val="22"/>
                <w:szCs w:val="22"/>
                <w:lang w:val="sr-Latn-ME"/>
              </w:rPr>
              <w:t>/min jer l</w:t>
            </w:r>
            <w:r w:rsidR="0057055E" w:rsidRPr="006927C1">
              <w:rPr>
                <w:bCs/>
                <w:sz w:val="22"/>
                <w:szCs w:val="22"/>
                <w:lang w:val="sr-Latn-ME"/>
              </w:rPr>
              <w:t>ij</w:t>
            </w:r>
            <w:r w:rsidRPr="006927C1">
              <w:rPr>
                <w:bCs/>
                <w:sz w:val="22"/>
                <w:szCs w:val="22"/>
                <w:lang w:val="sr-Latn-ME"/>
              </w:rPr>
              <w:t>ek nije ispitan u ovoj  populaciji (vidjeti odjeljke 4.4 i 5.2).</w:t>
            </w:r>
          </w:p>
        </w:tc>
      </w:tr>
      <w:tr w:rsidR="009E7AD4" w:rsidRPr="006927C1" w:rsidTr="009E7AD4">
        <w:trPr>
          <w:trHeight w:val="2071"/>
          <w:jc w:val="center"/>
        </w:trPr>
        <w:tc>
          <w:tcPr>
            <w:tcW w:w="2270"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 xml:space="preserve">Umjereno oštećenje funkcije bubrega (CrCl 30-49 </w:t>
            </w:r>
            <w:r w:rsidR="00AE4815" w:rsidRPr="006927C1">
              <w:rPr>
                <w:bCs/>
                <w:sz w:val="22"/>
                <w:szCs w:val="22"/>
                <w:lang w:val="sr-Latn-ME"/>
              </w:rPr>
              <w:t>ml</w:t>
            </w:r>
            <w:r w:rsidRPr="006927C1">
              <w:rPr>
                <w:bCs/>
                <w:sz w:val="22"/>
                <w:szCs w:val="22"/>
                <w:lang w:val="sr-Latn-ME"/>
              </w:rPr>
              <w:t>/min)</w:t>
            </w:r>
          </w:p>
        </w:tc>
        <w:tc>
          <w:tcPr>
            <w:tcW w:w="3298"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Primjena na svakih 48 sati preporučuje se na osnovu modela farmakokinetičkih podataka za pojedinačnu dozu emtricitabina i tenofovir dizoproksila kod ispitanika koji ni</w:t>
            </w:r>
            <w:r w:rsidR="00592959" w:rsidRPr="006927C1">
              <w:rPr>
                <w:bCs/>
                <w:sz w:val="22"/>
                <w:szCs w:val="22"/>
                <w:lang w:val="sr-Latn-ME"/>
              </w:rPr>
              <w:t>je</w:t>
            </w:r>
            <w:r w:rsidRPr="006927C1">
              <w:rPr>
                <w:bCs/>
                <w:sz w:val="22"/>
                <w:szCs w:val="22"/>
                <w:lang w:val="sr-Latn-ME"/>
              </w:rPr>
              <w:t>su inficirani virusom HIV-a, sa različitim stepenima oštećenja</w:t>
            </w:r>
          </w:p>
          <w:p w:rsidR="009E7AD4" w:rsidRPr="006927C1" w:rsidRDefault="009E7AD4" w:rsidP="009E7AD4">
            <w:pPr>
              <w:tabs>
                <w:tab w:val="left" w:pos="540"/>
                <w:tab w:val="left" w:pos="569"/>
              </w:tabs>
              <w:rPr>
                <w:bCs/>
                <w:sz w:val="22"/>
                <w:szCs w:val="22"/>
                <w:lang w:val="sr-Latn-ME"/>
              </w:rPr>
            </w:pPr>
            <w:r w:rsidRPr="006927C1">
              <w:rPr>
                <w:bCs/>
                <w:sz w:val="22"/>
                <w:szCs w:val="22"/>
                <w:lang w:val="sr-Latn-ME"/>
              </w:rPr>
              <w:t>funkcije bubrega (vidjeti odjeljak  4.4).</w:t>
            </w:r>
          </w:p>
        </w:tc>
        <w:tc>
          <w:tcPr>
            <w:tcW w:w="3499"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Ne preporučuje se primjena kod ove   populacije.</w:t>
            </w:r>
          </w:p>
        </w:tc>
      </w:tr>
      <w:tr w:rsidR="009E7AD4" w:rsidRPr="006927C1" w:rsidTr="009E7AD4">
        <w:trPr>
          <w:trHeight w:val="916"/>
          <w:jc w:val="center"/>
        </w:trPr>
        <w:tc>
          <w:tcPr>
            <w:tcW w:w="2270"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 xml:space="preserve">Teško oštećenje funkcije bubrega (CrCl &lt; 30 </w:t>
            </w:r>
            <w:r w:rsidR="00AE4815" w:rsidRPr="006927C1">
              <w:rPr>
                <w:bCs/>
                <w:sz w:val="22"/>
                <w:szCs w:val="22"/>
                <w:lang w:val="sr-Latn-ME"/>
              </w:rPr>
              <w:t>ml</w:t>
            </w:r>
            <w:r w:rsidRPr="006927C1">
              <w:rPr>
                <w:bCs/>
                <w:sz w:val="22"/>
                <w:szCs w:val="22"/>
                <w:lang w:val="sr-Latn-ME"/>
              </w:rPr>
              <w:t>/min) i  pacijenti na hemodijalizi</w:t>
            </w:r>
          </w:p>
        </w:tc>
        <w:tc>
          <w:tcPr>
            <w:tcW w:w="3298"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Ne preporučuje se zbog toga što se  odgovarajuća smanjenja doze ne mogu postići kombinovanom</w:t>
            </w:r>
          </w:p>
          <w:p w:rsidR="009E7AD4" w:rsidRPr="006927C1" w:rsidRDefault="009E7AD4" w:rsidP="009E7AD4">
            <w:pPr>
              <w:tabs>
                <w:tab w:val="left" w:pos="540"/>
                <w:tab w:val="left" w:pos="569"/>
              </w:tabs>
              <w:rPr>
                <w:bCs/>
                <w:sz w:val="22"/>
                <w:szCs w:val="22"/>
                <w:lang w:val="sr-Latn-ME"/>
              </w:rPr>
            </w:pPr>
            <w:r w:rsidRPr="006927C1">
              <w:rPr>
                <w:bCs/>
                <w:sz w:val="22"/>
                <w:szCs w:val="22"/>
                <w:lang w:val="sr-Latn-ME"/>
              </w:rPr>
              <w:t>tabletom.</w:t>
            </w:r>
          </w:p>
        </w:tc>
        <w:tc>
          <w:tcPr>
            <w:tcW w:w="3499" w:type="dxa"/>
          </w:tcPr>
          <w:p w:rsidR="009E7AD4" w:rsidRPr="006927C1" w:rsidRDefault="009E7AD4" w:rsidP="009E7AD4">
            <w:pPr>
              <w:tabs>
                <w:tab w:val="left" w:pos="540"/>
                <w:tab w:val="left" w:pos="569"/>
              </w:tabs>
              <w:rPr>
                <w:bCs/>
                <w:sz w:val="22"/>
                <w:szCs w:val="22"/>
                <w:lang w:val="sr-Latn-ME"/>
              </w:rPr>
            </w:pPr>
            <w:r w:rsidRPr="006927C1">
              <w:rPr>
                <w:bCs/>
                <w:sz w:val="22"/>
                <w:szCs w:val="22"/>
                <w:lang w:val="sr-Latn-ME"/>
              </w:rPr>
              <w:t>Ne preporučuje se primjena kod ove  populacije.</w:t>
            </w:r>
          </w:p>
        </w:tc>
      </w:tr>
    </w:tbl>
    <w:p w:rsidR="00452E9D" w:rsidRPr="006927C1" w:rsidRDefault="00452E9D" w:rsidP="00480FB1">
      <w:pPr>
        <w:tabs>
          <w:tab w:val="left" w:pos="540"/>
          <w:tab w:val="left" w:pos="569"/>
        </w:tabs>
        <w:rPr>
          <w:bCs/>
          <w:sz w:val="22"/>
          <w:szCs w:val="22"/>
          <w:lang w:val="sr-Latn-ME"/>
        </w:rPr>
      </w:pPr>
    </w:p>
    <w:p w:rsidR="009E7AD4" w:rsidRPr="006927C1" w:rsidRDefault="009E7AD4" w:rsidP="00386268">
      <w:pPr>
        <w:tabs>
          <w:tab w:val="left" w:pos="540"/>
          <w:tab w:val="left" w:pos="569"/>
        </w:tabs>
        <w:jc w:val="both"/>
        <w:rPr>
          <w:bCs/>
          <w:i/>
          <w:sz w:val="22"/>
          <w:szCs w:val="22"/>
          <w:lang w:val="sr-Latn-ME"/>
        </w:rPr>
      </w:pPr>
      <w:r w:rsidRPr="006927C1">
        <w:rPr>
          <w:bCs/>
          <w:i/>
          <w:sz w:val="22"/>
          <w:szCs w:val="22"/>
          <w:u w:val="single"/>
          <w:lang w:val="sr-Latn-ME"/>
        </w:rPr>
        <w:t>Pedijatrijska populacija sa oštećenjem funkcije bubrega:</w:t>
      </w:r>
    </w:p>
    <w:p w:rsidR="009E7AD4" w:rsidRPr="006927C1" w:rsidRDefault="009E7AD4" w:rsidP="00386268">
      <w:pPr>
        <w:tabs>
          <w:tab w:val="left" w:pos="540"/>
          <w:tab w:val="left" w:pos="569"/>
        </w:tabs>
        <w:jc w:val="both"/>
        <w:rPr>
          <w:bCs/>
          <w:sz w:val="22"/>
          <w:szCs w:val="22"/>
          <w:lang w:val="sr-Latn-ME"/>
        </w:rPr>
      </w:pPr>
      <w:r w:rsidRPr="006927C1">
        <w:rPr>
          <w:bCs/>
          <w:sz w:val="22"/>
          <w:szCs w:val="22"/>
          <w:lang w:val="sr-Latn-ME"/>
        </w:rPr>
        <w:t xml:space="preserve">Ne preporučuje se primjena lijeka kod osoba </w:t>
      </w:r>
      <w:r w:rsidR="00AE4815" w:rsidRPr="006927C1">
        <w:rPr>
          <w:bCs/>
          <w:sz w:val="22"/>
          <w:szCs w:val="22"/>
          <w:lang w:val="sr-Latn-ME"/>
        </w:rPr>
        <w:t>ml</w:t>
      </w:r>
      <w:r w:rsidRPr="006927C1">
        <w:rPr>
          <w:bCs/>
          <w:sz w:val="22"/>
          <w:szCs w:val="22"/>
          <w:lang w:val="sr-Latn-ME"/>
        </w:rPr>
        <w:t>ađih od 18 godina sa oštećenjem funkcije bubrega (vidjeti odjeljak 4.4).</w:t>
      </w:r>
    </w:p>
    <w:p w:rsidR="009E7AD4" w:rsidRPr="006927C1" w:rsidRDefault="009E7AD4" w:rsidP="00BE466F">
      <w:pPr>
        <w:tabs>
          <w:tab w:val="left" w:pos="540"/>
          <w:tab w:val="left" w:pos="569"/>
        </w:tabs>
        <w:jc w:val="both"/>
        <w:rPr>
          <w:bCs/>
          <w:sz w:val="22"/>
          <w:szCs w:val="22"/>
          <w:lang w:val="sr-Latn-ME"/>
        </w:rPr>
      </w:pPr>
    </w:p>
    <w:p w:rsidR="009E7AD4" w:rsidRPr="006927C1" w:rsidRDefault="009E7AD4">
      <w:pPr>
        <w:tabs>
          <w:tab w:val="left" w:pos="540"/>
          <w:tab w:val="left" w:pos="569"/>
        </w:tabs>
        <w:jc w:val="both"/>
        <w:rPr>
          <w:bCs/>
          <w:sz w:val="22"/>
          <w:szCs w:val="22"/>
          <w:lang w:val="sr-Latn-ME"/>
        </w:rPr>
      </w:pPr>
      <w:r w:rsidRPr="006927C1">
        <w:rPr>
          <w:bCs/>
          <w:i/>
          <w:sz w:val="22"/>
          <w:szCs w:val="22"/>
          <w:lang w:val="sr-Latn-ME"/>
        </w:rPr>
        <w:t xml:space="preserve">Oštećenje funkcije jetre: </w:t>
      </w:r>
      <w:r w:rsidRPr="006927C1">
        <w:rPr>
          <w:bCs/>
          <w:sz w:val="22"/>
          <w:szCs w:val="22"/>
          <w:lang w:val="sr-Latn-ME"/>
        </w:rPr>
        <w:t>Nije potrebno prilagođavanje doze kod pacijenata sa oštećenjem funkcije jetre (vidjeti odjeljke 4.4 i 5.2).</w:t>
      </w:r>
    </w:p>
    <w:p w:rsidR="009E7AD4" w:rsidRPr="006927C1" w:rsidRDefault="009E7AD4">
      <w:pPr>
        <w:tabs>
          <w:tab w:val="left" w:pos="540"/>
          <w:tab w:val="left" w:pos="569"/>
        </w:tabs>
        <w:jc w:val="both"/>
        <w:rPr>
          <w:bCs/>
          <w:sz w:val="22"/>
          <w:szCs w:val="22"/>
          <w:lang w:val="sr-Latn-ME"/>
        </w:rPr>
      </w:pPr>
    </w:p>
    <w:p w:rsidR="009E7AD4" w:rsidRPr="006927C1" w:rsidRDefault="009E7AD4">
      <w:pPr>
        <w:tabs>
          <w:tab w:val="left" w:pos="540"/>
          <w:tab w:val="left" w:pos="569"/>
        </w:tabs>
        <w:jc w:val="both"/>
        <w:rPr>
          <w:bCs/>
          <w:i/>
          <w:sz w:val="22"/>
          <w:szCs w:val="22"/>
          <w:lang w:val="sr-Latn-ME"/>
        </w:rPr>
      </w:pPr>
      <w:r w:rsidRPr="006927C1">
        <w:rPr>
          <w:bCs/>
          <w:i/>
          <w:sz w:val="22"/>
          <w:szCs w:val="22"/>
          <w:lang w:val="sr-Latn-ME"/>
        </w:rPr>
        <w:t>Pedijatrijska populacija:</w:t>
      </w:r>
    </w:p>
    <w:p w:rsidR="009E7AD4" w:rsidRPr="006927C1" w:rsidRDefault="009E7AD4">
      <w:pPr>
        <w:tabs>
          <w:tab w:val="left" w:pos="540"/>
          <w:tab w:val="left" w:pos="569"/>
        </w:tabs>
        <w:jc w:val="both"/>
        <w:rPr>
          <w:bCs/>
          <w:sz w:val="22"/>
          <w:szCs w:val="22"/>
          <w:lang w:val="sr-Latn-ME"/>
        </w:rPr>
      </w:pPr>
      <w:r w:rsidRPr="006927C1">
        <w:rPr>
          <w:bCs/>
          <w:sz w:val="22"/>
          <w:szCs w:val="22"/>
          <w:lang w:val="sr-Latn-ME"/>
        </w:rPr>
        <w:t xml:space="preserve">Bezbjednost i efikasnost primjene lijeka Gilestra Duo kod djece </w:t>
      </w:r>
      <w:r w:rsidR="00AE4815" w:rsidRPr="006927C1">
        <w:rPr>
          <w:bCs/>
          <w:sz w:val="22"/>
          <w:szCs w:val="22"/>
          <w:lang w:val="sr-Latn-ME"/>
        </w:rPr>
        <w:t>ml</w:t>
      </w:r>
      <w:r w:rsidRPr="006927C1">
        <w:rPr>
          <w:bCs/>
          <w:sz w:val="22"/>
          <w:szCs w:val="22"/>
          <w:lang w:val="sr-Latn-ME"/>
        </w:rPr>
        <w:t>ađe od 12 godina ni</w:t>
      </w:r>
      <w:r w:rsidR="00BE466F" w:rsidRPr="006927C1">
        <w:rPr>
          <w:bCs/>
          <w:sz w:val="22"/>
          <w:szCs w:val="22"/>
          <w:lang w:val="sr-Latn-ME"/>
        </w:rPr>
        <w:t>je</w:t>
      </w:r>
      <w:r w:rsidRPr="006927C1">
        <w:rPr>
          <w:bCs/>
          <w:sz w:val="22"/>
          <w:szCs w:val="22"/>
          <w:lang w:val="sr-Latn-ME"/>
        </w:rPr>
        <w:t>su utvrđeni (vidjeti odjeljak 5.2).</w:t>
      </w:r>
    </w:p>
    <w:p w:rsidR="009E7AD4" w:rsidRPr="006927C1" w:rsidRDefault="009E7AD4">
      <w:pPr>
        <w:tabs>
          <w:tab w:val="left" w:pos="540"/>
          <w:tab w:val="left" w:pos="569"/>
        </w:tabs>
        <w:jc w:val="both"/>
        <w:rPr>
          <w:bCs/>
          <w:sz w:val="22"/>
          <w:szCs w:val="22"/>
          <w:lang w:val="sr-Latn-ME"/>
        </w:rPr>
      </w:pPr>
    </w:p>
    <w:p w:rsidR="009E7AD4" w:rsidRPr="006927C1" w:rsidRDefault="009E7AD4">
      <w:pPr>
        <w:tabs>
          <w:tab w:val="left" w:pos="540"/>
          <w:tab w:val="left" w:pos="569"/>
        </w:tabs>
        <w:jc w:val="both"/>
        <w:rPr>
          <w:b/>
          <w:bCs/>
          <w:sz w:val="22"/>
          <w:szCs w:val="22"/>
          <w:lang w:val="sr-Latn-ME"/>
        </w:rPr>
      </w:pPr>
      <w:r w:rsidRPr="006927C1">
        <w:rPr>
          <w:b/>
          <w:bCs/>
          <w:sz w:val="22"/>
          <w:szCs w:val="22"/>
          <w:lang w:val="sr-Latn-ME"/>
        </w:rPr>
        <w:t xml:space="preserve">Način primjene </w:t>
      </w:r>
    </w:p>
    <w:p w:rsidR="009E7AD4" w:rsidRPr="006927C1" w:rsidRDefault="009E7AD4">
      <w:pPr>
        <w:tabs>
          <w:tab w:val="left" w:pos="540"/>
          <w:tab w:val="left" w:pos="569"/>
        </w:tabs>
        <w:jc w:val="both"/>
        <w:rPr>
          <w:bCs/>
          <w:sz w:val="22"/>
          <w:szCs w:val="22"/>
          <w:lang w:val="sr-Latn-ME"/>
        </w:rPr>
      </w:pPr>
      <w:r w:rsidRPr="006927C1">
        <w:rPr>
          <w:bCs/>
          <w:sz w:val="22"/>
          <w:szCs w:val="22"/>
          <w:lang w:val="sr-Latn-ME"/>
        </w:rPr>
        <w:t>Oralna primjena. Preporučuje se da se lijek Gilestra Duo uzima sa hranom.</w:t>
      </w:r>
    </w:p>
    <w:p w:rsidR="009E7AD4" w:rsidRPr="006927C1" w:rsidRDefault="009E7AD4">
      <w:pPr>
        <w:tabs>
          <w:tab w:val="left" w:pos="540"/>
          <w:tab w:val="left" w:pos="569"/>
        </w:tabs>
        <w:jc w:val="both"/>
        <w:rPr>
          <w:bCs/>
          <w:sz w:val="22"/>
          <w:szCs w:val="22"/>
          <w:lang w:val="sr-Latn-ME"/>
        </w:rPr>
      </w:pPr>
    </w:p>
    <w:p w:rsidR="009E7AD4" w:rsidRPr="006927C1" w:rsidRDefault="009E7AD4">
      <w:pPr>
        <w:tabs>
          <w:tab w:val="left" w:pos="540"/>
          <w:tab w:val="left" w:pos="569"/>
        </w:tabs>
        <w:jc w:val="both"/>
        <w:rPr>
          <w:bCs/>
          <w:sz w:val="22"/>
          <w:szCs w:val="22"/>
          <w:lang w:val="sr-Latn-ME"/>
        </w:rPr>
      </w:pPr>
      <w:r w:rsidRPr="006927C1">
        <w:rPr>
          <w:bCs/>
          <w:sz w:val="22"/>
          <w:szCs w:val="22"/>
          <w:lang w:val="sr-Latn-ME"/>
        </w:rPr>
        <w:t>Film tablete se mogu smrviti</w:t>
      </w:r>
      <w:r w:rsidR="00C84318" w:rsidRPr="006927C1">
        <w:rPr>
          <w:bCs/>
          <w:sz w:val="22"/>
          <w:szCs w:val="22"/>
          <w:lang w:val="sr-Latn-ME"/>
        </w:rPr>
        <w:t xml:space="preserve"> i</w:t>
      </w:r>
      <w:r w:rsidRPr="006927C1">
        <w:rPr>
          <w:bCs/>
          <w:sz w:val="22"/>
          <w:szCs w:val="22"/>
          <w:lang w:val="sr-Latn-ME"/>
        </w:rPr>
        <w:t xml:space="preserve"> pomiješati sa približno 100 </w:t>
      </w:r>
      <w:r w:rsidR="00AE4815" w:rsidRPr="006927C1">
        <w:rPr>
          <w:bCs/>
          <w:sz w:val="22"/>
          <w:szCs w:val="22"/>
          <w:lang w:val="sr-Latn-ME"/>
        </w:rPr>
        <w:t>ml</w:t>
      </w:r>
      <w:r w:rsidRPr="006927C1">
        <w:rPr>
          <w:bCs/>
          <w:sz w:val="22"/>
          <w:szCs w:val="22"/>
          <w:lang w:val="sr-Latn-ME"/>
        </w:rPr>
        <w:t xml:space="preserve"> vode, soka od pomorandže ili soka od grožđa i odmah popiti.</w:t>
      </w:r>
    </w:p>
    <w:p w:rsidR="009E7AD4" w:rsidRPr="006927C1" w:rsidRDefault="009E7AD4" w:rsidP="00867B0F">
      <w:pPr>
        <w:tabs>
          <w:tab w:val="left" w:pos="540"/>
          <w:tab w:val="left" w:pos="569"/>
        </w:tabs>
        <w:jc w:val="both"/>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 xml:space="preserve">4.3. </w:t>
      </w:r>
      <w:r w:rsidR="00480FB1" w:rsidRPr="006927C1">
        <w:rPr>
          <w:b/>
          <w:bCs/>
          <w:sz w:val="22"/>
          <w:szCs w:val="22"/>
          <w:lang w:val="sr-Latn-ME"/>
        </w:rPr>
        <w:tab/>
      </w:r>
      <w:r w:rsidRPr="006927C1">
        <w:rPr>
          <w:b/>
          <w:bCs/>
          <w:sz w:val="22"/>
          <w:szCs w:val="22"/>
          <w:lang w:val="sr-Latn-ME"/>
        </w:rPr>
        <w:t>Kontraindikacije</w:t>
      </w:r>
    </w:p>
    <w:p w:rsidR="00AA689E" w:rsidRPr="006927C1" w:rsidRDefault="00AA689E" w:rsidP="00867B0F">
      <w:pPr>
        <w:tabs>
          <w:tab w:val="left" w:pos="540"/>
          <w:tab w:val="left" w:pos="569"/>
        </w:tabs>
        <w:jc w:val="both"/>
        <w:rPr>
          <w:b/>
          <w:bCs/>
          <w:sz w:val="22"/>
          <w:szCs w:val="22"/>
          <w:lang w:val="sr-Latn-ME"/>
        </w:rPr>
      </w:pPr>
    </w:p>
    <w:p w:rsidR="00AA689E" w:rsidRPr="006927C1" w:rsidRDefault="00AA689E" w:rsidP="00386268">
      <w:pPr>
        <w:tabs>
          <w:tab w:val="left" w:pos="540"/>
          <w:tab w:val="left" w:pos="569"/>
        </w:tabs>
        <w:jc w:val="both"/>
        <w:rPr>
          <w:bCs/>
          <w:sz w:val="22"/>
          <w:szCs w:val="22"/>
          <w:lang w:val="sr-Latn-ME"/>
        </w:rPr>
      </w:pPr>
      <w:r w:rsidRPr="006927C1">
        <w:rPr>
          <w:bCs/>
          <w:sz w:val="22"/>
          <w:szCs w:val="22"/>
          <w:lang w:val="sr-Latn-ME"/>
        </w:rPr>
        <w:t>Preosjetljivost na aktivne supstance ili na bilo koju od pomoćnih supstanci navedenih u odjeljku 6.1.</w:t>
      </w:r>
    </w:p>
    <w:p w:rsidR="00AA689E" w:rsidRPr="006927C1" w:rsidRDefault="00AA689E" w:rsidP="00BE466F">
      <w:pPr>
        <w:tabs>
          <w:tab w:val="left" w:pos="540"/>
          <w:tab w:val="left" w:pos="569"/>
        </w:tabs>
        <w:jc w:val="both"/>
        <w:rPr>
          <w:bCs/>
          <w:sz w:val="22"/>
          <w:szCs w:val="22"/>
          <w:lang w:val="sr-Latn-ME"/>
        </w:rPr>
      </w:pPr>
    </w:p>
    <w:p w:rsidR="0072020E" w:rsidRPr="006927C1" w:rsidRDefault="00AA689E">
      <w:pPr>
        <w:tabs>
          <w:tab w:val="left" w:pos="540"/>
          <w:tab w:val="left" w:pos="569"/>
        </w:tabs>
        <w:jc w:val="both"/>
        <w:rPr>
          <w:bCs/>
          <w:sz w:val="22"/>
          <w:szCs w:val="22"/>
          <w:lang w:val="sr-Latn-ME"/>
        </w:rPr>
      </w:pPr>
      <w:r w:rsidRPr="006927C1">
        <w:rPr>
          <w:bCs/>
          <w:sz w:val="22"/>
          <w:szCs w:val="22"/>
          <w:lang w:val="sr-Latn-ME"/>
        </w:rPr>
        <w:t>Primjena u preekspozicionoj profilaksi kod osoba sa nepoznatim ili pozitivnim HIV-1 statusom.</w:t>
      </w:r>
    </w:p>
    <w:p w:rsidR="00AA689E" w:rsidRPr="006927C1" w:rsidRDefault="00AA689E" w:rsidP="00867B0F">
      <w:pPr>
        <w:tabs>
          <w:tab w:val="left" w:pos="540"/>
          <w:tab w:val="left" w:pos="569"/>
        </w:tabs>
        <w:jc w:val="both"/>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 xml:space="preserve">4.4. </w:t>
      </w:r>
      <w:r w:rsidR="00480FB1" w:rsidRPr="006927C1">
        <w:rPr>
          <w:b/>
          <w:bCs/>
          <w:sz w:val="22"/>
          <w:szCs w:val="22"/>
          <w:lang w:val="sr-Latn-ME"/>
        </w:rPr>
        <w:tab/>
      </w:r>
      <w:r w:rsidRPr="006927C1">
        <w:rPr>
          <w:b/>
          <w:bCs/>
          <w:sz w:val="22"/>
          <w:szCs w:val="22"/>
          <w:lang w:val="sr-Latn-ME"/>
        </w:rPr>
        <w:t>Posebna upozorenja i mjere opreza pri upotrebi lijeka</w:t>
      </w:r>
    </w:p>
    <w:p w:rsidR="0072020E" w:rsidRPr="006927C1" w:rsidRDefault="0072020E" w:rsidP="00867B0F">
      <w:pPr>
        <w:tabs>
          <w:tab w:val="left" w:pos="540"/>
          <w:tab w:val="left" w:pos="569"/>
        </w:tabs>
        <w:jc w:val="both"/>
        <w:rPr>
          <w:bCs/>
          <w:sz w:val="22"/>
          <w:szCs w:val="22"/>
          <w:lang w:val="sr-Latn-ME"/>
        </w:rPr>
      </w:pPr>
    </w:p>
    <w:p w:rsidR="005B1147" w:rsidRPr="006927C1" w:rsidRDefault="005B1147" w:rsidP="00386268">
      <w:pPr>
        <w:tabs>
          <w:tab w:val="left" w:pos="540"/>
          <w:tab w:val="left" w:pos="569"/>
        </w:tabs>
        <w:jc w:val="both"/>
        <w:rPr>
          <w:bCs/>
          <w:sz w:val="22"/>
          <w:szCs w:val="22"/>
          <w:lang w:val="sr-Latn-ME"/>
        </w:rPr>
      </w:pPr>
      <w:r w:rsidRPr="006927C1">
        <w:rPr>
          <w:bCs/>
          <w:sz w:val="22"/>
          <w:szCs w:val="22"/>
          <w:u w:val="single"/>
          <w:lang w:val="sr-Latn-ME"/>
        </w:rPr>
        <w:t>Prenos HIV-a</w:t>
      </w:r>
    </w:p>
    <w:p w:rsidR="005B1147" w:rsidRPr="006927C1" w:rsidRDefault="005B1147" w:rsidP="00BE466F">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Iako je dokazano da efikasna virusna supresija antiretrovirusnom terapijom značajno smanjuje rizik od prenosa bolesti polnim putem, ne može se isključiti rezidualni rizik. Potrebno je preduzeti mjere opreza kako bi se spriječio prenos HIV-a sa inficiranih osoba, u skladu sa nacionalnim smjernicama.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Pacijenti sa virusom HIV-1 koji nosi mutacije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 xml:space="preserve">Primjenu lijeka Gilestra Duo treba izbjegavati kod pacijenata inficiranih virusom HIV-1 </w:t>
      </w:r>
      <w:r w:rsidR="00C84318" w:rsidRPr="006927C1">
        <w:rPr>
          <w:bCs/>
          <w:sz w:val="22"/>
          <w:szCs w:val="22"/>
          <w:lang w:val="sr-Latn-ME"/>
        </w:rPr>
        <w:t>koji nose mutaciju K65R, a koji</w:t>
      </w:r>
      <w:r w:rsidRPr="006927C1">
        <w:rPr>
          <w:bCs/>
          <w:sz w:val="22"/>
          <w:szCs w:val="22"/>
          <w:lang w:val="sr-Latn-ME"/>
        </w:rPr>
        <w:t xml:space="preserve"> su ranije primali antiretrovirusnu terapiju (vidjeti odjeljak 5.1).</w:t>
      </w:r>
    </w:p>
    <w:p w:rsidR="005B1147" w:rsidRPr="006927C1" w:rsidRDefault="005B1147">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Generalna strategija prevencije infekcije virusom HIV-1</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B39A7" w:rsidRPr="006927C1">
        <w:rPr>
          <w:bCs/>
          <w:sz w:val="22"/>
          <w:szCs w:val="22"/>
          <w:lang w:val="sr-Latn-ME"/>
        </w:rPr>
        <w:t>ij</w:t>
      </w:r>
      <w:r w:rsidRPr="006927C1">
        <w:rPr>
          <w:bCs/>
          <w:sz w:val="22"/>
          <w:szCs w:val="22"/>
          <w:lang w:val="sr-Latn-ME"/>
        </w:rPr>
        <w:t>ek Gilestra Duo nije uv</w:t>
      </w:r>
      <w:r w:rsidR="00CB39A7" w:rsidRPr="006927C1">
        <w:rPr>
          <w:bCs/>
          <w:sz w:val="22"/>
          <w:szCs w:val="22"/>
          <w:lang w:val="sr-Latn-ME"/>
        </w:rPr>
        <w:t>ij</w:t>
      </w:r>
      <w:r w:rsidRPr="006927C1">
        <w:rPr>
          <w:bCs/>
          <w:sz w:val="22"/>
          <w:szCs w:val="22"/>
          <w:lang w:val="sr-Latn-ME"/>
        </w:rPr>
        <w:t>ek efikasan u prevenciji infekcije virusom HIV-1. Nije poznato vr</w:t>
      </w:r>
      <w:r w:rsidR="00CB39A7" w:rsidRPr="006927C1">
        <w:rPr>
          <w:bCs/>
          <w:sz w:val="22"/>
          <w:szCs w:val="22"/>
          <w:lang w:val="sr-Latn-ME"/>
        </w:rPr>
        <w:t>ij</w:t>
      </w:r>
      <w:r w:rsidRPr="006927C1">
        <w:rPr>
          <w:bCs/>
          <w:sz w:val="22"/>
          <w:szCs w:val="22"/>
          <w:lang w:val="sr-Latn-ME"/>
        </w:rPr>
        <w:t>eme do nastupa zaštite nakon početka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B39A7" w:rsidRPr="006927C1">
        <w:rPr>
          <w:bCs/>
          <w:sz w:val="22"/>
          <w:szCs w:val="22"/>
          <w:lang w:val="sr-Latn-ME"/>
        </w:rPr>
        <w:t>ij</w:t>
      </w:r>
      <w:r w:rsidRPr="006927C1">
        <w:rPr>
          <w:bCs/>
          <w:sz w:val="22"/>
          <w:szCs w:val="22"/>
          <w:lang w:val="sr-Latn-ME"/>
        </w:rPr>
        <w:t xml:space="preserve">ek Gilestra Duo </w:t>
      </w:r>
      <w:r w:rsidR="00BE466F" w:rsidRPr="006927C1">
        <w:rPr>
          <w:bCs/>
          <w:sz w:val="22"/>
          <w:szCs w:val="22"/>
          <w:lang w:val="sr-Latn-ME"/>
        </w:rPr>
        <w:t xml:space="preserve">se smije </w:t>
      </w:r>
      <w:r w:rsidRPr="006927C1">
        <w:rPr>
          <w:bCs/>
          <w:sz w:val="22"/>
          <w:szCs w:val="22"/>
          <w:lang w:val="sr-Latn-ME"/>
        </w:rPr>
        <w:t>prim</w:t>
      </w:r>
      <w:r w:rsidR="00CB39A7" w:rsidRPr="006927C1">
        <w:rPr>
          <w:bCs/>
          <w:sz w:val="22"/>
          <w:szCs w:val="22"/>
          <w:lang w:val="sr-Latn-ME"/>
        </w:rPr>
        <w:t>j</w:t>
      </w:r>
      <w:r w:rsidRPr="006927C1">
        <w:rPr>
          <w:bCs/>
          <w:sz w:val="22"/>
          <w:szCs w:val="22"/>
          <w:lang w:val="sr-Latn-ME"/>
        </w:rPr>
        <w:t xml:space="preserve">enjivati za preekspozicionu profilaksu samo u okviru generalne strategije prevencije infekcije izazvane virusom HIV-1, </w:t>
      </w:r>
      <w:r w:rsidR="00BE466F" w:rsidRPr="006927C1">
        <w:rPr>
          <w:bCs/>
          <w:sz w:val="22"/>
          <w:szCs w:val="22"/>
          <w:lang w:val="sr-Latn-ME"/>
        </w:rPr>
        <w:t xml:space="preserve">koja </w:t>
      </w:r>
      <w:r w:rsidRPr="006927C1">
        <w:rPr>
          <w:bCs/>
          <w:sz w:val="22"/>
          <w:szCs w:val="22"/>
          <w:lang w:val="sr-Latn-ME"/>
        </w:rPr>
        <w:t>uključuj</w:t>
      </w:r>
      <w:r w:rsidR="00BE466F" w:rsidRPr="006927C1">
        <w:rPr>
          <w:bCs/>
          <w:sz w:val="22"/>
          <w:szCs w:val="22"/>
          <w:lang w:val="sr-Latn-ME"/>
        </w:rPr>
        <w:t>e</w:t>
      </w:r>
      <w:r w:rsidRPr="006927C1">
        <w:rPr>
          <w:bCs/>
          <w:sz w:val="22"/>
          <w:szCs w:val="22"/>
          <w:lang w:val="sr-Latn-ME"/>
        </w:rPr>
        <w:t xml:space="preserve"> prim</w:t>
      </w:r>
      <w:r w:rsidR="00CB39A7" w:rsidRPr="006927C1">
        <w:rPr>
          <w:bCs/>
          <w:sz w:val="22"/>
          <w:szCs w:val="22"/>
          <w:lang w:val="sr-Latn-ME"/>
        </w:rPr>
        <w:t>j</w:t>
      </w:r>
      <w:r w:rsidRPr="006927C1">
        <w:rPr>
          <w:bCs/>
          <w:sz w:val="22"/>
          <w:szCs w:val="22"/>
          <w:lang w:val="sr-Latn-ME"/>
        </w:rPr>
        <w:t>enu drugih m</w:t>
      </w:r>
      <w:r w:rsidR="00CB39A7" w:rsidRPr="006927C1">
        <w:rPr>
          <w:bCs/>
          <w:sz w:val="22"/>
          <w:szCs w:val="22"/>
          <w:lang w:val="sr-Latn-ME"/>
        </w:rPr>
        <w:t>j</w:t>
      </w:r>
      <w:r w:rsidRPr="006927C1">
        <w:rPr>
          <w:bCs/>
          <w:sz w:val="22"/>
          <w:szCs w:val="22"/>
          <w:lang w:val="sr-Latn-ME"/>
        </w:rPr>
        <w:t>era prevencije in</w:t>
      </w:r>
      <w:r w:rsidR="00C84318" w:rsidRPr="006927C1">
        <w:rPr>
          <w:bCs/>
          <w:sz w:val="22"/>
          <w:szCs w:val="22"/>
          <w:lang w:val="sr-Latn-ME"/>
        </w:rPr>
        <w:t xml:space="preserve">fekcije izazvane virusom HIV-1 </w:t>
      </w:r>
      <w:r w:rsidRPr="006927C1">
        <w:rPr>
          <w:bCs/>
          <w:sz w:val="22"/>
          <w:szCs w:val="22"/>
          <w:lang w:val="sr-Latn-ME"/>
        </w:rPr>
        <w:t>(npr. dosl</w:t>
      </w:r>
      <w:r w:rsidR="00CB39A7" w:rsidRPr="006927C1">
        <w:rPr>
          <w:bCs/>
          <w:sz w:val="22"/>
          <w:szCs w:val="22"/>
          <w:lang w:val="sr-Latn-ME"/>
        </w:rPr>
        <w:t>j</w:t>
      </w:r>
      <w:r w:rsidRPr="006927C1">
        <w:rPr>
          <w:bCs/>
          <w:sz w:val="22"/>
          <w:szCs w:val="22"/>
          <w:lang w:val="sr-Latn-ME"/>
        </w:rPr>
        <w:t>edna i pravilna upotreba kondoma, poznavanje HIV-1 statusa, redovno testiranje na druge polno prenosive bolesti).</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Rizik od rezistencije kod neotkrivene infekcije izazvane virusom HIV-1:</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B39A7" w:rsidRPr="006927C1">
        <w:rPr>
          <w:bCs/>
          <w:sz w:val="22"/>
          <w:szCs w:val="22"/>
          <w:lang w:val="sr-Latn-ME"/>
        </w:rPr>
        <w:t>ij</w:t>
      </w:r>
      <w:r w:rsidRPr="006927C1">
        <w:rPr>
          <w:bCs/>
          <w:sz w:val="22"/>
          <w:szCs w:val="22"/>
          <w:lang w:val="sr-Latn-ME"/>
        </w:rPr>
        <w:t>ek Gilestra Duo treba prim</w:t>
      </w:r>
      <w:r w:rsidR="00CB39A7" w:rsidRPr="006927C1">
        <w:rPr>
          <w:bCs/>
          <w:sz w:val="22"/>
          <w:szCs w:val="22"/>
          <w:lang w:val="sr-Latn-ME"/>
        </w:rPr>
        <w:t>j</w:t>
      </w:r>
      <w:r w:rsidRPr="006927C1">
        <w:rPr>
          <w:bCs/>
          <w:sz w:val="22"/>
          <w:szCs w:val="22"/>
          <w:lang w:val="sr-Latn-ME"/>
        </w:rPr>
        <w:t>enjivati za smanjenje rizika od infekcije izazvane virusom HIV-1 samo kod osoba kod kojih je potvrđeno da su HIV negativne (vidjeti odjeljak 4.3). Tokom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za preekspozicionu profilaksu, te osobe treba redovno da se testiraju (npr. najmanje svaka 3 m</w:t>
      </w:r>
      <w:r w:rsidR="00CB39A7" w:rsidRPr="006927C1">
        <w:rPr>
          <w:bCs/>
          <w:sz w:val="22"/>
          <w:szCs w:val="22"/>
          <w:lang w:val="sr-Latn-ME"/>
        </w:rPr>
        <w:t>j</w:t>
      </w:r>
      <w:r w:rsidRPr="006927C1">
        <w:rPr>
          <w:bCs/>
          <w:sz w:val="22"/>
          <w:szCs w:val="22"/>
          <w:lang w:val="sr-Latn-ME"/>
        </w:rPr>
        <w:t>eseca) pomoću kombinovanog testa na antigen/antit</w:t>
      </w:r>
      <w:r w:rsidR="00CB39A7" w:rsidRPr="006927C1">
        <w:rPr>
          <w:bCs/>
          <w:sz w:val="22"/>
          <w:szCs w:val="22"/>
          <w:lang w:val="sr-Latn-ME"/>
        </w:rPr>
        <w:t>ij</w:t>
      </w:r>
      <w:r w:rsidRPr="006927C1">
        <w:rPr>
          <w:bCs/>
          <w:sz w:val="22"/>
          <w:szCs w:val="22"/>
          <w:lang w:val="sr-Latn-ME"/>
        </w:rPr>
        <w:t>ela kako bi se potvrdilo da su i dalje HIV negativne.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Sam l</w:t>
      </w:r>
      <w:r w:rsidR="00CB39A7" w:rsidRPr="006927C1">
        <w:rPr>
          <w:bCs/>
          <w:sz w:val="22"/>
          <w:szCs w:val="22"/>
          <w:lang w:val="sr-Latn-ME"/>
        </w:rPr>
        <w:t>ij</w:t>
      </w:r>
      <w:r w:rsidRPr="006927C1">
        <w:rPr>
          <w:bCs/>
          <w:sz w:val="22"/>
          <w:szCs w:val="22"/>
          <w:lang w:val="sr-Latn-ME"/>
        </w:rPr>
        <w:t>ek Gilestra Duo ne čini kompletan HIV-1 terapijski režim i kod osoba kod kojih nije otkrivena infekcija izazvana virusom HIV-1 i koje primaju samo l</w:t>
      </w:r>
      <w:r w:rsidR="00CB39A7" w:rsidRPr="006927C1">
        <w:rPr>
          <w:bCs/>
          <w:sz w:val="22"/>
          <w:szCs w:val="22"/>
          <w:lang w:val="sr-Latn-ME"/>
        </w:rPr>
        <w:t>ij</w:t>
      </w:r>
      <w:r w:rsidRPr="006927C1">
        <w:rPr>
          <w:bCs/>
          <w:sz w:val="22"/>
          <w:szCs w:val="22"/>
          <w:lang w:val="sr-Latn-ME"/>
        </w:rPr>
        <w:t>ek Gilestra Duo došlo je do pojave mutacija povezanih sa HIV-1 rezistencijom.</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Ukoliko su prisutni klinički simptomi koji ukazuju na akutnu virusnu infekciju i postoji sumnja na nedavnu (&lt; 1 m</w:t>
      </w:r>
      <w:r w:rsidR="00CB39A7" w:rsidRPr="006927C1">
        <w:rPr>
          <w:bCs/>
          <w:sz w:val="22"/>
          <w:szCs w:val="22"/>
          <w:lang w:val="sr-Latn-ME"/>
        </w:rPr>
        <w:t>j</w:t>
      </w:r>
      <w:r w:rsidRPr="006927C1">
        <w:rPr>
          <w:bCs/>
          <w:sz w:val="22"/>
          <w:szCs w:val="22"/>
          <w:lang w:val="sr-Latn-ME"/>
        </w:rPr>
        <w:t>esec) izloženost virusu HIV-1, prim</w:t>
      </w:r>
      <w:r w:rsidR="00CB39A7" w:rsidRPr="006927C1">
        <w:rPr>
          <w:bCs/>
          <w:sz w:val="22"/>
          <w:szCs w:val="22"/>
          <w:lang w:val="sr-Latn-ME"/>
        </w:rPr>
        <w:t>j</w:t>
      </w:r>
      <w:r w:rsidRPr="006927C1">
        <w:rPr>
          <w:bCs/>
          <w:sz w:val="22"/>
          <w:szCs w:val="22"/>
          <w:lang w:val="sr-Latn-ME"/>
        </w:rPr>
        <w:t>enu l</w:t>
      </w:r>
      <w:r w:rsidR="00CB39A7" w:rsidRPr="006927C1">
        <w:rPr>
          <w:bCs/>
          <w:sz w:val="22"/>
          <w:szCs w:val="22"/>
          <w:lang w:val="sr-Latn-ME"/>
        </w:rPr>
        <w:t>ij</w:t>
      </w:r>
      <w:r w:rsidRPr="006927C1">
        <w:rPr>
          <w:bCs/>
          <w:sz w:val="22"/>
          <w:szCs w:val="22"/>
          <w:lang w:val="sr-Latn-ME"/>
        </w:rPr>
        <w:t xml:space="preserve">eka Gilestra Duo treba odložiti za najmanje </w:t>
      </w:r>
      <w:r w:rsidRPr="006927C1">
        <w:rPr>
          <w:bCs/>
          <w:sz w:val="22"/>
          <w:szCs w:val="22"/>
          <w:lang w:val="sr-Latn-ME"/>
        </w:rPr>
        <w:lastRenderedPageBreak/>
        <w:t>jedan m</w:t>
      </w:r>
      <w:r w:rsidR="00CB39A7" w:rsidRPr="006927C1">
        <w:rPr>
          <w:bCs/>
          <w:sz w:val="22"/>
          <w:szCs w:val="22"/>
          <w:lang w:val="sr-Latn-ME"/>
        </w:rPr>
        <w:t>j</w:t>
      </w:r>
      <w:r w:rsidRPr="006927C1">
        <w:rPr>
          <w:bCs/>
          <w:sz w:val="22"/>
          <w:szCs w:val="22"/>
          <w:lang w:val="sr-Latn-ME"/>
        </w:rPr>
        <w:t>esec i ponovo potvrditi HIV-1 status pr</w:t>
      </w:r>
      <w:r w:rsidR="00CB39A7" w:rsidRPr="006927C1">
        <w:rPr>
          <w:bCs/>
          <w:sz w:val="22"/>
          <w:szCs w:val="22"/>
          <w:lang w:val="sr-Latn-ME"/>
        </w:rPr>
        <w:t>ij</w:t>
      </w:r>
      <w:r w:rsidRPr="006927C1">
        <w:rPr>
          <w:bCs/>
          <w:sz w:val="22"/>
          <w:szCs w:val="22"/>
          <w:lang w:val="sr-Latn-ME"/>
        </w:rPr>
        <w:t>e nego što se započne prim</w:t>
      </w:r>
      <w:r w:rsidR="00CB39A7" w:rsidRPr="006927C1">
        <w:rPr>
          <w:bCs/>
          <w:sz w:val="22"/>
          <w:szCs w:val="22"/>
          <w:lang w:val="sr-Latn-ME"/>
        </w:rPr>
        <w:t>j</w:t>
      </w:r>
      <w:r w:rsidRPr="006927C1">
        <w:rPr>
          <w:bCs/>
          <w:sz w:val="22"/>
          <w:szCs w:val="22"/>
          <w:lang w:val="sr-Latn-ME"/>
        </w:rPr>
        <w:t>ena l</w:t>
      </w:r>
      <w:r w:rsidR="00CB39A7" w:rsidRPr="006927C1">
        <w:rPr>
          <w:bCs/>
          <w:sz w:val="22"/>
          <w:szCs w:val="22"/>
          <w:lang w:val="sr-Latn-ME"/>
        </w:rPr>
        <w:t>ij</w:t>
      </w:r>
      <w:r w:rsidRPr="006927C1">
        <w:rPr>
          <w:bCs/>
          <w:sz w:val="22"/>
          <w:szCs w:val="22"/>
          <w:lang w:val="sr-Latn-ME"/>
        </w:rPr>
        <w:t>eka Gilestra Duo za preekspozicionu profilaksu.</w:t>
      </w:r>
    </w:p>
    <w:p w:rsidR="005B1147" w:rsidRPr="006927C1" w:rsidRDefault="005B1147">
      <w:pPr>
        <w:tabs>
          <w:tab w:val="left" w:pos="540"/>
          <w:tab w:val="left" w:pos="569"/>
        </w:tabs>
        <w:jc w:val="both"/>
        <w:rPr>
          <w:bCs/>
          <w:sz w:val="22"/>
          <w:szCs w:val="22"/>
          <w:lang w:val="sr-Latn-ME"/>
        </w:rPr>
      </w:pPr>
    </w:p>
    <w:p w:rsidR="00FD3D7A" w:rsidRPr="006927C1" w:rsidRDefault="00FD3D7A">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Značaj pridržavanja terapije:</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Efikasnost l</w:t>
      </w:r>
      <w:r w:rsidR="00CB39A7" w:rsidRPr="006927C1">
        <w:rPr>
          <w:bCs/>
          <w:sz w:val="22"/>
          <w:szCs w:val="22"/>
          <w:lang w:val="sr-Latn-ME"/>
        </w:rPr>
        <w:t>ij</w:t>
      </w:r>
      <w:r w:rsidRPr="006927C1">
        <w:rPr>
          <w:bCs/>
          <w:sz w:val="22"/>
          <w:szCs w:val="22"/>
          <w:lang w:val="sr-Latn-ME"/>
        </w:rPr>
        <w:t>eka Gilestra Duo u smanjenju rizika od infekcije izazvane virusom HIV-1 usko je povezana sa pridržavanjem terapije, kao što je pokazano m</w:t>
      </w:r>
      <w:r w:rsidR="00CB39A7" w:rsidRPr="006927C1">
        <w:rPr>
          <w:bCs/>
          <w:sz w:val="22"/>
          <w:szCs w:val="22"/>
          <w:lang w:val="sr-Latn-ME"/>
        </w:rPr>
        <w:t>j</w:t>
      </w:r>
      <w:r w:rsidRPr="006927C1">
        <w:rPr>
          <w:bCs/>
          <w:sz w:val="22"/>
          <w:szCs w:val="22"/>
          <w:lang w:val="sr-Latn-ME"/>
        </w:rPr>
        <w:t>erljivim koncentracijama l</w:t>
      </w:r>
      <w:r w:rsidR="00CB39A7" w:rsidRPr="006927C1">
        <w:rPr>
          <w:bCs/>
          <w:sz w:val="22"/>
          <w:szCs w:val="22"/>
          <w:lang w:val="sr-Latn-ME"/>
        </w:rPr>
        <w:t>ij</w:t>
      </w:r>
      <w:r w:rsidRPr="006927C1">
        <w:rPr>
          <w:bCs/>
          <w:sz w:val="22"/>
          <w:szCs w:val="22"/>
          <w:lang w:val="sr-Latn-ME"/>
        </w:rPr>
        <w:t>eka u krvi (vidjeti odjeljak 5.1). Osobe koje ni</w:t>
      </w:r>
      <w:r w:rsidR="00FD3D7A" w:rsidRPr="006927C1">
        <w:rPr>
          <w:bCs/>
          <w:sz w:val="22"/>
          <w:szCs w:val="22"/>
          <w:lang w:val="sr-Latn-ME"/>
        </w:rPr>
        <w:t>je</w:t>
      </w:r>
      <w:r w:rsidRPr="006927C1">
        <w:rPr>
          <w:bCs/>
          <w:sz w:val="22"/>
          <w:szCs w:val="22"/>
          <w:lang w:val="sr-Latn-ME"/>
        </w:rPr>
        <w:t>su inficirane virusom HIV-1 treba, u čestim intervalima, sav</w:t>
      </w:r>
      <w:r w:rsidR="00CB39A7" w:rsidRPr="006927C1">
        <w:rPr>
          <w:bCs/>
          <w:sz w:val="22"/>
          <w:szCs w:val="22"/>
          <w:lang w:val="sr-Latn-ME"/>
        </w:rPr>
        <w:t>j</w:t>
      </w:r>
      <w:r w:rsidRPr="006927C1">
        <w:rPr>
          <w:bCs/>
          <w:sz w:val="22"/>
          <w:szCs w:val="22"/>
          <w:lang w:val="sr-Latn-ME"/>
        </w:rPr>
        <w:t>etovati da se strogo pridržavaju preporučenog dnevnog rasporeda doziranja l</w:t>
      </w:r>
      <w:r w:rsidR="00CB39A7" w:rsidRPr="006927C1">
        <w:rPr>
          <w:bCs/>
          <w:sz w:val="22"/>
          <w:szCs w:val="22"/>
          <w:lang w:val="sr-Latn-ME"/>
        </w:rPr>
        <w:t>ij</w:t>
      </w:r>
      <w:r w:rsidRPr="006927C1">
        <w:rPr>
          <w:bCs/>
          <w:sz w:val="22"/>
          <w:szCs w:val="22"/>
          <w:lang w:val="sr-Latn-ME"/>
        </w:rPr>
        <w:t>eka Gilestra Duo.</w:t>
      </w:r>
    </w:p>
    <w:p w:rsidR="005B1147" w:rsidRPr="006927C1" w:rsidRDefault="005B1147">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Pacijenti sa infekcijom izazvanom virusom hepatitisa B ili C</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Pacijenti inficirani virusom HIV-1 sa hroničnim hepatitisom B ili C koji se l</w:t>
      </w:r>
      <w:r w:rsidR="00CB39A7" w:rsidRPr="006927C1">
        <w:rPr>
          <w:bCs/>
          <w:sz w:val="22"/>
          <w:szCs w:val="22"/>
          <w:lang w:val="sr-Latn-ME"/>
        </w:rPr>
        <w:t>ij</w:t>
      </w:r>
      <w:r w:rsidRPr="006927C1">
        <w:rPr>
          <w:bCs/>
          <w:sz w:val="22"/>
          <w:szCs w:val="22"/>
          <w:lang w:val="sr-Latn-ME"/>
        </w:rPr>
        <w:t>eče antiretrovirusnom terapijom izloženi su povećanom riziku od teških i potencijalno smrtonosnih hepatičnih neželjenih reakcija. L</w:t>
      </w:r>
      <w:r w:rsidR="00CB39A7" w:rsidRPr="006927C1">
        <w:rPr>
          <w:bCs/>
          <w:sz w:val="22"/>
          <w:szCs w:val="22"/>
          <w:lang w:val="sr-Latn-ME"/>
        </w:rPr>
        <w:t>j</w:t>
      </w:r>
      <w:r w:rsidRPr="006927C1">
        <w:rPr>
          <w:bCs/>
          <w:sz w:val="22"/>
          <w:szCs w:val="22"/>
          <w:lang w:val="sr-Latn-ME"/>
        </w:rPr>
        <w:t>ekari treba da prate trenutno važeće sm</w:t>
      </w:r>
      <w:r w:rsidR="00CB39A7" w:rsidRPr="006927C1">
        <w:rPr>
          <w:bCs/>
          <w:sz w:val="22"/>
          <w:szCs w:val="22"/>
          <w:lang w:val="sr-Latn-ME"/>
        </w:rPr>
        <w:t>j</w:t>
      </w:r>
      <w:r w:rsidRPr="006927C1">
        <w:rPr>
          <w:bCs/>
          <w:sz w:val="22"/>
          <w:szCs w:val="22"/>
          <w:lang w:val="sr-Latn-ME"/>
        </w:rPr>
        <w:t>ernice za terapiju HIV-a, kako bi l</w:t>
      </w:r>
      <w:r w:rsidR="00CB39A7" w:rsidRPr="006927C1">
        <w:rPr>
          <w:bCs/>
          <w:sz w:val="22"/>
          <w:szCs w:val="22"/>
          <w:lang w:val="sr-Latn-ME"/>
        </w:rPr>
        <w:t>ij</w:t>
      </w:r>
      <w:r w:rsidRPr="006927C1">
        <w:rPr>
          <w:bCs/>
          <w:sz w:val="22"/>
          <w:szCs w:val="22"/>
          <w:lang w:val="sr-Latn-ME"/>
        </w:rPr>
        <w:t>ečili infekciju izazvanu virusom HIV kod pacijenata koji su istovremeno inficirani virusom hepatitisa B (HBV) ili virusom hepatitisa C (HCV).</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Bezb</w:t>
      </w:r>
      <w:r w:rsidR="00CB39A7" w:rsidRPr="006927C1">
        <w:rPr>
          <w:bCs/>
          <w:sz w:val="22"/>
          <w:szCs w:val="22"/>
          <w:lang w:val="sr-Latn-ME"/>
        </w:rPr>
        <w:t>j</w:t>
      </w:r>
      <w:r w:rsidRPr="006927C1">
        <w:rPr>
          <w:bCs/>
          <w:sz w:val="22"/>
          <w:szCs w:val="22"/>
          <w:lang w:val="sr-Latn-ME"/>
        </w:rPr>
        <w:t>ednost i efikasnost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u preekspozicionoj profilaksi kod pacijenata sa infekcijom izazvanom virusom HBV ili HCV ni</w:t>
      </w:r>
      <w:r w:rsidR="00FD3D7A" w:rsidRPr="006927C1">
        <w:rPr>
          <w:bCs/>
          <w:sz w:val="22"/>
          <w:szCs w:val="22"/>
          <w:lang w:val="sr-Latn-ME"/>
        </w:rPr>
        <w:t>je</w:t>
      </w:r>
      <w:r w:rsidRPr="006927C1">
        <w:rPr>
          <w:bCs/>
          <w:sz w:val="22"/>
          <w:szCs w:val="22"/>
          <w:lang w:val="sr-Latn-ME"/>
        </w:rPr>
        <w:t>su utvrđeni.</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 slučaju istovremene prim</w:t>
      </w:r>
      <w:r w:rsidR="00CB39A7" w:rsidRPr="006927C1">
        <w:rPr>
          <w:bCs/>
          <w:sz w:val="22"/>
          <w:szCs w:val="22"/>
          <w:lang w:val="sr-Latn-ME"/>
        </w:rPr>
        <w:t>j</w:t>
      </w:r>
      <w:r w:rsidRPr="006927C1">
        <w:rPr>
          <w:bCs/>
          <w:sz w:val="22"/>
          <w:szCs w:val="22"/>
          <w:lang w:val="sr-Latn-ME"/>
        </w:rPr>
        <w:t>ene antivirusne terapije za hepatitis B ili C, potrebno je takođe pogledati odgovarajući Sažetak karakteristika l</w:t>
      </w:r>
      <w:r w:rsidR="00CB39A7" w:rsidRPr="006927C1">
        <w:rPr>
          <w:bCs/>
          <w:sz w:val="22"/>
          <w:szCs w:val="22"/>
          <w:lang w:val="sr-Latn-ME"/>
        </w:rPr>
        <w:t>ij</w:t>
      </w:r>
      <w:r w:rsidRPr="006927C1">
        <w:rPr>
          <w:bCs/>
          <w:sz w:val="22"/>
          <w:szCs w:val="22"/>
          <w:lang w:val="sr-Latn-ME"/>
        </w:rPr>
        <w:t>eka za te l</w:t>
      </w:r>
      <w:r w:rsidR="00CB39A7" w:rsidRPr="006927C1">
        <w:rPr>
          <w:bCs/>
          <w:sz w:val="22"/>
          <w:szCs w:val="22"/>
          <w:lang w:val="sr-Latn-ME"/>
        </w:rPr>
        <w:t>j</w:t>
      </w:r>
      <w:r w:rsidRPr="006927C1">
        <w:rPr>
          <w:bCs/>
          <w:sz w:val="22"/>
          <w:szCs w:val="22"/>
          <w:lang w:val="sr-Latn-ME"/>
        </w:rPr>
        <w:t>ekove. Vidjeti takođe i odjeljak „</w:t>
      </w:r>
      <w:r w:rsidRPr="006927C1">
        <w:rPr>
          <w:bCs/>
          <w:i/>
          <w:sz w:val="22"/>
          <w:szCs w:val="22"/>
          <w:lang w:val="sr-Latn-ME"/>
        </w:rPr>
        <w:t>Prim</w:t>
      </w:r>
      <w:r w:rsidR="00CB39A7" w:rsidRPr="006927C1">
        <w:rPr>
          <w:bCs/>
          <w:i/>
          <w:sz w:val="22"/>
          <w:szCs w:val="22"/>
          <w:lang w:val="sr-Latn-ME"/>
        </w:rPr>
        <w:t>j</w:t>
      </w:r>
      <w:r w:rsidRPr="006927C1">
        <w:rPr>
          <w:bCs/>
          <w:i/>
          <w:sz w:val="22"/>
          <w:szCs w:val="22"/>
          <w:lang w:val="sr-Latn-ME"/>
        </w:rPr>
        <w:t xml:space="preserve">ena sa ledipasvirom i sofosbuvirom ili sofosbuvirom i velpatasvirom“ </w:t>
      </w:r>
      <w:r w:rsidRPr="006927C1">
        <w:rPr>
          <w:bCs/>
          <w:sz w:val="22"/>
          <w:szCs w:val="22"/>
          <w:lang w:val="sr-Latn-ME"/>
        </w:rPr>
        <w:t>u nastavku teksta.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Tenofovir dizoproksil je indikovan za liječenje infekcije izazvane virusom HBV-a, a farmakodinamske studije su pokazale da emitricitabin pos</w:t>
      </w:r>
      <w:r w:rsidR="00CB39A7" w:rsidRPr="006927C1">
        <w:rPr>
          <w:bCs/>
          <w:sz w:val="22"/>
          <w:szCs w:val="22"/>
          <w:lang w:val="sr-Latn-ME"/>
        </w:rPr>
        <w:t>j</w:t>
      </w:r>
      <w:r w:rsidRPr="006927C1">
        <w:rPr>
          <w:bCs/>
          <w:sz w:val="22"/>
          <w:szCs w:val="22"/>
          <w:lang w:val="sr-Latn-ME"/>
        </w:rPr>
        <w:t>eduje aktivnost protiv infekcije izazvane virusom HBV-a, ali bezb</w:t>
      </w:r>
      <w:r w:rsidR="00CB39A7" w:rsidRPr="006927C1">
        <w:rPr>
          <w:bCs/>
          <w:sz w:val="22"/>
          <w:szCs w:val="22"/>
          <w:lang w:val="sr-Latn-ME"/>
        </w:rPr>
        <w:t>j</w:t>
      </w:r>
      <w:r w:rsidRPr="006927C1">
        <w:rPr>
          <w:bCs/>
          <w:sz w:val="22"/>
          <w:szCs w:val="22"/>
          <w:lang w:val="sr-Latn-ME"/>
        </w:rPr>
        <w:t>ednost i efikasnost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ni</w:t>
      </w:r>
      <w:r w:rsidR="00FD3D7A" w:rsidRPr="006927C1">
        <w:rPr>
          <w:bCs/>
          <w:sz w:val="22"/>
          <w:szCs w:val="22"/>
          <w:lang w:val="sr-Latn-ME"/>
        </w:rPr>
        <w:t>je</w:t>
      </w:r>
      <w:r w:rsidRPr="006927C1">
        <w:rPr>
          <w:bCs/>
          <w:sz w:val="22"/>
          <w:szCs w:val="22"/>
          <w:lang w:val="sr-Latn-ME"/>
        </w:rPr>
        <w:t>su posebno utvrđeni kod pacijenata sa hroničnom infekcijom izazvanom virusom HBV.</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Prekid terapije l</w:t>
      </w:r>
      <w:r w:rsidR="00CB39A7" w:rsidRPr="006927C1">
        <w:rPr>
          <w:bCs/>
          <w:sz w:val="22"/>
          <w:szCs w:val="22"/>
          <w:lang w:val="sr-Latn-ME"/>
        </w:rPr>
        <w:t>ij</w:t>
      </w:r>
      <w:r w:rsidRPr="006927C1">
        <w:rPr>
          <w:bCs/>
          <w:sz w:val="22"/>
          <w:szCs w:val="22"/>
          <w:lang w:val="sr-Latn-ME"/>
        </w:rPr>
        <w:t>ekom Gilestra Duo kod pacijenata inficiranih virusom HBV može biti povezan sa teškim akutnim egzacerbacijama hepatitisa. Pacijente inficirane HBV-om koji prekinu terapiju l</w:t>
      </w:r>
      <w:r w:rsidR="00CB39A7" w:rsidRPr="006927C1">
        <w:rPr>
          <w:bCs/>
          <w:sz w:val="22"/>
          <w:szCs w:val="22"/>
          <w:lang w:val="sr-Latn-ME"/>
        </w:rPr>
        <w:t>ij</w:t>
      </w:r>
      <w:r w:rsidRPr="006927C1">
        <w:rPr>
          <w:bCs/>
          <w:sz w:val="22"/>
          <w:szCs w:val="22"/>
          <w:lang w:val="sr-Latn-ME"/>
        </w:rPr>
        <w:t>ekom Gilestra Duo treba pažljivo klinički i laboratorijski pratiti tokom najmanje nekoliko m</w:t>
      </w:r>
      <w:r w:rsidR="00CB39A7" w:rsidRPr="006927C1">
        <w:rPr>
          <w:bCs/>
          <w:sz w:val="22"/>
          <w:szCs w:val="22"/>
          <w:lang w:val="sr-Latn-ME"/>
        </w:rPr>
        <w:t>j</w:t>
      </w:r>
      <w:r w:rsidRPr="006927C1">
        <w:rPr>
          <w:bCs/>
          <w:sz w:val="22"/>
          <w:szCs w:val="22"/>
          <w:lang w:val="sr-Latn-ME"/>
        </w:rPr>
        <w:t>eseci nakon prestanka terapije. Ukoliko je prikladno, može da bude opravdano nastaviti terapiju protiv hepatitisa B. Kod pacijenata sa uznapredovalim oboljenjem jetre ili cirozom nije preporučljivo prekidati terapiju, jer egzacerbacija hepatitisa nakon liječenja može dovesti do dekompenzacije jetre.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Oboljenje jetre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Bezb</w:t>
      </w:r>
      <w:r w:rsidR="00CB39A7" w:rsidRPr="006927C1">
        <w:rPr>
          <w:bCs/>
          <w:sz w:val="22"/>
          <w:szCs w:val="22"/>
          <w:lang w:val="sr-Latn-ME"/>
        </w:rPr>
        <w:t>j</w:t>
      </w:r>
      <w:r w:rsidRPr="006927C1">
        <w:rPr>
          <w:bCs/>
          <w:sz w:val="22"/>
          <w:szCs w:val="22"/>
          <w:lang w:val="sr-Latn-ME"/>
        </w:rPr>
        <w:t>ednost i efikasnost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ni</w:t>
      </w:r>
      <w:r w:rsidR="00FD3D7A" w:rsidRPr="006927C1">
        <w:rPr>
          <w:bCs/>
          <w:sz w:val="22"/>
          <w:szCs w:val="22"/>
          <w:lang w:val="sr-Latn-ME"/>
        </w:rPr>
        <w:t>je</w:t>
      </w:r>
      <w:r w:rsidRPr="006927C1">
        <w:rPr>
          <w:bCs/>
          <w:sz w:val="22"/>
          <w:szCs w:val="22"/>
          <w:lang w:val="sr-Latn-ME"/>
        </w:rPr>
        <w:t>su utvrđeni kod pacijenata sa značajnim postojećim poremećajima funkcije jetre. Farmakokinetika tenofovira je ispitivana kod pacijenata sa oštećenjem funkcije jetre i prilagođavanje doze nije potrebno. Farmakokinetika emtricitabina nije ispitivana kod pacijenata sa oštećenjem funkcije jetre. Na osnovu minimalnog metabolizma u jetri i eliminacije emtricitabina putem bubrega, malo je v</w:t>
      </w:r>
      <w:r w:rsidR="00CB39A7" w:rsidRPr="006927C1">
        <w:rPr>
          <w:bCs/>
          <w:sz w:val="22"/>
          <w:szCs w:val="22"/>
          <w:lang w:val="sr-Latn-ME"/>
        </w:rPr>
        <w:t>j</w:t>
      </w:r>
      <w:r w:rsidRPr="006927C1">
        <w:rPr>
          <w:bCs/>
          <w:sz w:val="22"/>
          <w:szCs w:val="22"/>
          <w:lang w:val="sr-Latn-ME"/>
        </w:rPr>
        <w:t>erovatno da će kod pacijenata sa oštećenjem funkcije jetre biti potrebno prilagođavanje doze l</w:t>
      </w:r>
      <w:r w:rsidR="00CB39A7" w:rsidRPr="006927C1">
        <w:rPr>
          <w:bCs/>
          <w:sz w:val="22"/>
          <w:szCs w:val="22"/>
          <w:lang w:val="sr-Latn-ME"/>
        </w:rPr>
        <w:t>ij</w:t>
      </w:r>
      <w:r w:rsidRPr="006927C1">
        <w:rPr>
          <w:bCs/>
          <w:sz w:val="22"/>
          <w:szCs w:val="22"/>
          <w:lang w:val="sr-Latn-ME"/>
        </w:rPr>
        <w:t>eka Gilestra Duo (vidjeti odjeljke 4.2 i 5.2).</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sz w:val="22"/>
          <w:szCs w:val="22"/>
          <w:lang w:val="sr-Latn-ME"/>
        </w:rPr>
        <w:t xml:space="preserve">HIV-1 inficirani pacijenti sa već postojećom disfunkcijom jetre, uključujući hronični aktivni hepatitis, imaju povećanu učestalost poremećaja funkcije jetre tokom kombinovane antiretrovirusne terapije (engl. </w:t>
      </w:r>
      <w:r w:rsidR="00CB39A7" w:rsidRPr="006927C1">
        <w:rPr>
          <w:bCs/>
          <w:i/>
          <w:sz w:val="22"/>
          <w:szCs w:val="22"/>
          <w:lang w:val="sr-Latn-ME"/>
        </w:rPr>
        <w:t>c</w:t>
      </w:r>
      <w:r w:rsidRPr="006927C1">
        <w:rPr>
          <w:bCs/>
          <w:i/>
          <w:sz w:val="22"/>
          <w:szCs w:val="22"/>
          <w:lang w:val="sr-Latn-ME"/>
        </w:rPr>
        <w:t>ombination</w:t>
      </w:r>
      <w:r w:rsidR="00CB39A7" w:rsidRPr="006927C1">
        <w:rPr>
          <w:bCs/>
          <w:i/>
          <w:sz w:val="22"/>
          <w:szCs w:val="22"/>
          <w:lang w:val="sr-Latn-ME"/>
        </w:rPr>
        <w:t xml:space="preserve"> </w:t>
      </w:r>
      <w:r w:rsidRPr="006927C1">
        <w:rPr>
          <w:bCs/>
          <w:i/>
          <w:sz w:val="22"/>
          <w:szCs w:val="22"/>
          <w:lang w:val="sr-Latn-ME"/>
        </w:rPr>
        <w:t>antiretroviral therapy</w:t>
      </w:r>
      <w:r w:rsidRPr="006927C1">
        <w:rPr>
          <w:bCs/>
          <w:sz w:val="22"/>
          <w:szCs w:val="22"/>
          <w:lang w:val="sr-Latn-ME"/>
        </w:rPr>
        <w:t>,</w:t>
      </w:r>
      <w:r w:rsidR="00FD3D7A" w:rsidRPr="006927C1">
        <w:rPr>
          <w:bCs/>
          <w:sz w:val="22"/>
          <w:szCs w:val="22"/>
          <w:lang w:val="sr-Latn-ME"/>
        </w:rPr>
        <w:t xml:space="preserve"> </w:t>
      </w:r>
      <w:r w:rsidRPr="006927C1">
        <w:rPr>
          <w:bCs/>
          <w:sz w:val="22"/>
          <w:szCs w:val="22"/>
          <w:lang w:val="sr-Latn-ME"/>
        </w:rPr>
        <w:t>CART) i treba ih pratiti u skladu sa standardnom praksom. Ukoliko postoje dokazi o pogoršanju oboljenja jetre kod tih pacijenata, mora se razmotriti privremeni ili trajni prekid liječenja.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Efekti na bubrege i kosti kod odraslih</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Efekti na bubrege</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 xml:space="preserve">Emtricitabin i tenofovir se primarno izlučuju putem bubrega kombinacijom glomerularne filtracije i aktivne tubularne sekrecije. Otkazivanje bubrega, oštećenje funkcije bubrega, povećan kreatinin, </w:t>
      </w:r>
      <w:r w:rsidRPr="006927C1">
        <w:rPr>
          <w:bCs/>
          <w:sz w:val="22"/>
          <w:szCs w:val="22"/>
          <w:lang w:val="sr-Latn-ME"/>
        </w:rPr>
        <w:lastRenderedPageBreak/>
        <w:t xml:space="preserve">hipofosfatemija i proksimalna tubulopatija (uključujući </w:t>
      </w:r>
      <w:r w:rsidRPr="006927C1">
        <w:rPr>
          <w:bCs/>
          <w:i/>
          <w:sz w:val="22"/>
          <w:szCs w:val="22"/>
          <w:lang w:val="sr-Latn-ME"/>
        </w:rPr>
        <w:t>Fanconi</w:t>
      </w:r>
      <w:r w:rsidRPr="006927C1">
        <w:rPr>
          <w:bCs/>
          <w:sz w:val="22"/>
          <w:szCs w:val="22"/>
          <w:lang w:val="sr-Latn-ME"/>
        </w:rPr>
        <w:t>-jev sindrom) prijavljeni su prilikom upotrebe tenofovir dizoproksila (vidjeti odjeljak 4.8).</w:t>
      </w:r>
    </w:p>
    <w:p w:rsidR="005B1147" w:rsidRPr="006927C1" w:rsidRDefault="005B1147">
      <w:pPr>
        <w:tabs>
          <w:tab w:val="left" w:pos="540"/>
          <w:tab w:val="left" w:pos="569"/>
        </w:tabs>
        <w:jc w:val="both"/>
        <w:rPr>
          <w:bCs/>
          <w:sz w:val="22"/>
          <w:szCs w:val="22"/>
          <w:lang w:val="sr-Latn-ME"/>
        </w:rPr>
      </w:pPr>
    </w:p>
    <w:p w:rsidR="00FD3D7A" w:rsidRPr="006927C1" w:rsidRDefault="00FD3D7A">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Praćenje funkcije bubrega</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Pr</w:t>
      </w:r>
      <w:r w:rsidR="00CB39A7" w:rsidRPr="006927C1">
        <w:rPr>
          <w:bCs/>
          <w:sz w:val="22"/>
          <w:szCs w:val="22"/>
          <w:lang w:val="sr-Latn-ME"/>
        </w:rPr>
        <w:t>ij</w:t>
      </w:r>
      <w:r w:rsidRPr="006927C1">
        <w:rPr>
          <w:bCs/>
          <w:sz w:val="22"/>
          <w:szCs w:val="22"/>
          <w:lang w:val="sr-Latn-ME"/>
        </w:rPr>
        <w:t>e započinjanja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u terapiji HIV-1 infekcije ili u preekspozicionoj profilaksi, preporučuje se određivanja klirensa kreatinina kod svih osoba.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Kod osoba bez faktora rizika za oboljenja bubrega, preporučuje se praćenje funkcije bubrega (klirens kreatinina i fosfata u serumu) nakon dv</w:t>
      </w:r>
      <w:r w:rsidR="00CB39A7" w:rsidRPr="006927C1">
        <w:rPr>
          <w:bCs/>
          <w:sz w:val="22"/>
          <w:szCs w:val="22"/>
          <w:lang w:val="sr-Latn-ME"/>
        </w:rPr>
        <w:t>ij</w:t>
      </w:r>
      <w:r w:rsidRPr="006927C1">
        <w:rPr>
          <w:bCs/>
          <w:sz w:val="22"/>
          <w:szCs w:val="22"/>
          <w:lang w:val="sr-Latn-ME"/>
        </w:rPr>
        <w:t>e do četiri ned</w:t>
      </w:r>
      <w:r w:rsidR="00CB39A7" w:rsidRPr="006927C1">
        <w:rPr>
          <w:bCs/>
          <w:sz w:val="22"/>
          <w:szCs w:val="22"/>
          <w:lang w:val="sr-Latn-ME"/>
        </w:rPr>
        <w:t>j</w:t>
      </w:r>
      <w:r w:rsidRPr="006927C1">
        <w:rPr>
          <w:bCs/>
          <w:sz w:val="22"/>
          <w:szCs w:val="22"/>
          <w:lang w:val="sr-Latn-ME"/>
        </w:rPr>
        <w:t>elje prim</w:t>
      </w:r>
      <w:r w:rsidR="00CB39A7" w:rsidRPr="006927C1">
        <w:rPr>
          <w:bCs/>
          <w:sz w:val="22"/>
          <w:szCs w:val="22"/>
          <w:lang w:val="sr-Latn-ME"/>
        </w:rPr>
        <w:t>j</w:t>
      </w:r>
      <w:r w:rsidRPr="006927C1">
        <w:rPr>
          <w:bCs/>
          <w:sz w:val="22"/>
          <w:szCs w:val="22"/>
          <w:lang w:val="sr-Latn-ME"/>
        </w:rPr>
        <w:t>ene, nakon tri m</w:t>
      </w:r>
      <w:r w:rsidR="00CB39A7" w:rsidRPr="006927C1">
        <w:rPr>
          <w:bCs/>
          <w:sz w:val="22"/>
          <w:szCs w:val="22"/>
          <w:lang w:val="sr-Latn-ME"/>
        </w:rPr>
        <w:t>j</w:t>
      </w:r>
      <w:r w:rsidRPr="006927C1">
        <w:rPr>
          <w:bCs/>
          <w:sz w:val="22"/>
          <w:szCs w:val="22"/>
          <w:lang w:val="sr-Latn-ME"/>
        </w:rPr>
        <w:t>eseca prim</w:t>
      </w:r>
      <w:r w:rsidR="00CB39A7" w:rsidRPr="006927C1">
        <w:rPr>
          <w:bCs/>
          <w:sz w:val="22"/>
          <w:szCs w:val="22"/>
          <w:lang w:val="sr-Latn-ME"/>
        </w:rPr>
        <w:t>j</w:t>
      </w:r>
      <w:r w:rsidRPr="006927C1">
        <w:rPr>
          <w:bCs/>
          <w:sz w:val="22"/>
          <w:szCs w:val="22"/>
          <w:lang w:val="sr-Latn-ME"/>
        </w:rPr>
        <w:t>ene, a zatim svakih tri do šest m</w:t>
      </w:r>
      <w:r w:rsidR="00CB39A7" w:rsidRPr="006927C1">
        <w:rPr>
          <w:bCs/>
          <w:sz w:val="22"/>
          <w:szCs w:val="22"/>
          <w:lang w:val="sr-Latn-ME"/>
        </w:rPr>
        <w:t>j</w:t>
      </w:r>
      <w:r w:rsidRPr="006927C1">
        <w:rPr>
          <w:bCs/>
          <w:sz w:val="22"/>
          <w:szCs w:val="22"/>
          <w:lang w:val="sr-Latn-ME"/>
        </w:rPr>
        <w:t>eseci.</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 xml:space="preserve">Kod osoba kod kojih postoji rizik od oboljenja bubrega potrebno je češće praćenje funkcije bubrega. </w:t>
      </w:r>
      <w:r w:rsidR="00CB39A7" w:rsidRPr="006927C1">
        <w:rPr>
          <w:bCs/>
          <w:sz w:val="22"/>
          <w:szCs w:val="22"/>
          <w:lang w:val="sr-Latn-ME"/>
        </w:rPr>
        <w:t xml:space="preserve"> </w:t>
      </w:r>
      <w:r w:rsidRPr="006927C1">
        <w:rPr>
          <w:bCs/>
          <w:sz w:val="22"/>
          <w:szCs w:val="22"/>
          <w:lang w:val="sr-Latn-ME"/>
        </w:rPr>
        <w:t>Vidjeti odjeljak „</w:t>
      </w:r>
      <w:r w:rsidRPr="006927C1">
        <w:rPr>
          <w:bCs/>
          <w:i/>
          <w:sz w:val="22"/>
          <w:szCs w:val="22"/>
          <w:lang w:val="sr-Latn-ME"/>
        </w:rPr>
        <w:t>Istovremena prim</w:t>
      </w:r>
      <w:r w:rsidR="00CB39A7" w:rsidRPr="006927C1">
        <w:rPr>
          <w:bCs/>
          <w:i/>
          <w:sz w:val="22"/>
          <w:szCs w:val="22"/>
          <w:lang w:val="sr-Latn-ME"/>
        </w:rPr>
        <w:t>j</w:t>
      </w:r>
      <w:r w:rsidRPr="006927C1">
        <w:rPr>
          <w:bCs/>
          <w:i/>
          <w:sz w:val="22"/>
          <w:szCs w:val="22"/>
          <w:lang w:val="sr-Latn-ME"/>
        </w:rPr>
        <w:t>ena drugih l</w:t>
      </w:r>
      <w:r w:rsidR="00CB39A7" w:rsidRPr="006927C1">
        <w:rPr>
          <w:bCs/>
          <w:i/>
          <w:sz w:val="22"/>
          <w:szCs w:val="22"/>
          <w:lang w:val="sr-Latn-ME"/>
        </w:rPr>
        <w:t>j</w:t>
      </w:r>
      <w:r w:rsidRPr="006927C1">
        <w:rPr>
          <w:bCs/>
          <w:i/>
          <w:sz w:val="22"/>
          <w:szCs w:val="22"/>
          <w:lang w:val="sr-Latn-ME"/>
        </w:rPr>
        <w:t xml:space="preserve">ekova“ </w:t>
      </w:r>
      <w:r w:rsidRPr="006927C1">
        <w:rPr>
          <w:bCs/>
          <w:sz w:val="22"/>
          <w:szCs w:val="22"/>
          <w:lang w:val="sr-Latn-ME"/>
        </w:rPr>
        <w:t>u nastavku teksta.</w:t>
      </w:r>
    </w:p>
    <w:p w:rsidR="00CB39A7" w:rsidRPr="006927C1" w:rsidRDefault="00CB39A7">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Kontrola funkcije bubrega kod pacijenata inficiranih virusom HIV-1</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Ako su fosfati u serumu &lt; 1,5 mg/d</w:t>
      </w:r>
      <w:r w:rsidR="00FD3D7A" w:rsidRPr="006927C1">
        <w:rPr>
          <w:bCs/>
          <w:sz w:val="22"/>
          <w:szCs w:val="22"/>
          <w:lang w:val="sr-Latn-ME"/>
        </w:rPr>
        <w:t>l</w:t>
      </w:r>
      <w:r w:rsidRPr="006927C1">
        <w:rPr>
          <w:bCs/>
          <w:sz w:val="22"/>
          <w:szCs w:val="22"/>
          <w:lang w:val="sr-Latn-ME"/>
        </w:rPr>
        <w:t xml:space="preserve"> (0,48 mmol/</w:t>
      </w:r>
      <w:r w:rsidR="00FD3D7A" w:rsidRPr="006927C1">
        <w:rPr>
          <w:bCs/>
          <w:sz w:val="22"/>
          <w:szCs w:val="22"/>
          <w:lang w:val="sr-Latn-ME"/>
        </w:rPr>
        <w:t>l</w:t>
      </w:r>
      <w:r w:rsidRPr="006927C1">
        <w:rPr>
          <w:bCs/>
          <w:sz w:val="22"/>
          <w:szCs w:val="22"/>
          <w:lang w:val="sr-Latn-ME"/>
        </w:rPr>
        <w:t xml:space="preserve">) ili je klirens kreatinina smanjen na &lt; 50 </w:t>
      </w:r>
      <w:r w:rsidR="00AE4815" w:rsidRPr="006927C1">
        <w:rPr>
          <w:bCs/>
          <w:sz w:val="22"/>
          <w:szCs w:val="22"/>
          <w:lang w:val="sr-Latn-ME"/>
        </w:rPr>
        <w:t>ml</w:t>
      </w:r>
      <w:r w:rsidRPr="006927C1">
        <w:rPr>
          <w:bCs/>
          <w:sz w:val="22"/>
          <w:szCs w:val="22"/>
          <w:lang w:val="sr-Latn-ME"/>
        </w:rPr>
        <w:t>/min kod bilo kog pacijenta koji prima l</w:t>
      </w:r>
      <w:r w:rsidR="00CB39A7" w:rsidRPr="006927C1">
        <w:rPr>
          <w:bCs/>
          <w:sz w:val="22"/>
          <w:szCs w:val="22"/>
          <w:lang w:val="sr-Latn-ME"/>
        </w:rPr>
        <w:t>ij</w:t>
      </w:r>
      <w:r w:rsidRPr="006927C1">
        <w:rPr>
          <w:bCs/>
          <w:sz w:val="22"/>
          <w:szCs w:val="22"/>
          <w:lang w:val="sr-Latn-ME"/>
        </w:rPr>
        <w:t>ek Gilestra Duo, funkciju bubrega treba ponovo proc</w:t>
      </w:r>
      <w:r w:rsidR="00CB39A7" w:rsidRPr="006927C1">
        <w:rPr>
          <w:bCs/>
          <w:sz w:val="22"/>
          <w:szCs w:val="22"/>
          <w:lang w:val="sr-Latn-ME"/>
        </w:rPr>
        <w:t>ij</w:t>
      </w:r>
      <w:r w:rsidRPr="006927C1">
        <w:rPr>
          <w:bCs/>
          <w:sz w:val="22"/>
          <w:szCs w:val="22"/>
          <w:lang w:val="sr-Latn-ME"/>
        </w:rPr>
        <w:t>eniti u roku od jedne ned</w:t>
      </w:r>
      <w:r w:rsidR="00CB39A7" w:rsidRPr="006927C1">
        <w:rPr>
          <w:bCs/>
          <w:sz w:val="22"/>
          <w:szCs w:val="22"/>
          <w:lang w:val="sr-Latn-ME"/>
        </w:rPr>
        <w:t>j</w:t>
      </w:r>
      <w:r w:rsidRPr="006927C1">
        <w:rPr>
          <w:bCs/>
          <w:sz w:val="22"/>
          <w:szCs w:val="22"/>
          <w:lang w:val="sr-Latn-ME"/>
        </w:rPr>
        <w:t>elje, uključujući m</w:t>
      </w:r>
      <w:r w:rsidR="00CB39A7" w:rsidRPr="006927C1">
        <w:rPr>
          <w:bCs/>
          <w:sz w:val="22"/>
          <w:szCs w:val="22"/>
          <w:lang w:val="sr-Latn-ME"/>
        </w:rPr>
        <w:t>j</w:t>
      </w:r>
      <w:r w:rsidRPr="006927C1">
        <w:rPr>
          <w:bCs/>
          <w:sz w:val="22"/>
          <w:szCs w:val="22"/>
          <w:lang w:val="sr-Latn-ME"/>
        </w:rPr>
        <w:t>erenja koncentracija glukoze u krvi, kalijuma u krvi i glukoze u urinu (vidjeti odjeljak 4.8, proksimalna tubulopatija). Treba razmotriti prekid terapije l</w:t>
      </w:r>
      <w:r w:rsidR="00CB39A7" w:rsidRPr="006927C1">
        <w:rPr>
          <w:bCs/>
          <w:sz w:val="22"/>
          <w:szCs w:val="22"/>
          <w:lang w:val="sr-Latn-ME"/>
        </w:rPr>
        <w:t>ij</w:t>
      </w:r>
      <w:r w:rsidRPr="006927C1">
        <w:rPr>
          <w:bCs/>
          <w:sz w:val="22"/>
          <w:szCs w:val="22"/>
          <w:lang w:val="sr-Latn-ME"/>
        </w:rPr>
        <w:t xml:space="preserve">ekom Gilestra Duo kod pacijenata sa klirensom kreatinina smanjenim na &lt; 50 </w:t>
      </w:r>
      <w:r w:rsidR="00AE4815" w:rsidRPr="006927C1">
        <w:rPr>
          <w:bCs/>
          <w:sz w:val="22"/>
          <w:szCs w:val="22"/>
          <w:lang w:val="sr-Latn-ME"/>
        </w:rPr>
        <w:t>ml</w:t>
      </w:r>
      <w:r w:rsidRPr="006927C1">
        <w:rPr>
          <w:bCs/>
          <w:sz w:val="22"/>
          <w:szCs w:val="22"/>
          <w:lang w:val="sr-Latn-ME"/>
        </w:rPr>
        <w:t>/min ili smanjenjem fosfata u serumu na &lt; 1,0 mg/d</w:t>
      </w:r>
      <w:r w:rsidR="00FD3D7A" w:rsidRPr="006927C1">
        <w:rPr>
          <w:bCs/>
          <w:sz w:val="22"/>
          <w:szCs w:val="22"/>
          <w:lang w:val="sr-Latn-ME"/>
        </w:rPr>
        <w:t>l</w:t>
      </w:r>
      <w:r w:rsidRPr="006927C1">
        <w:rPr>
          <w:bCs/>
          <w:sz w:val="22"/>
          <w:szCs w:val="22"/>
          <w:lang w:val="sr-Latn-ME"/>
        </w:rPr>
        <w:t xml:space="preserve"> (0,32 mmol/</w:t>
      </w:r>
      <w:r w:rsidR="00FD3D7A" w:rsidRPr="006927C1">
        <w:rPr>
          <w:bCs/>
          <w:sz w:val="22"/>
          <w:szCs w:val="22"/>
          <w:lang w:val="sr-Latn-ME"/>
        </w:rPr>
        <w:t>l</w:t>
      </w:r>
      <w:r w:rsidRPr="006927C1">
        <w:rPr>
          <w:bCs/>
          <w:sz w:val="22"/>
          <w:szCs w:val="22"/>
          <w:lang w:val="sr-Latn-ME"/>
        </w:rPr>
        <w:t>). Prekid terapije l</w:t>
      </w:r>
      <w:r w:rsidR="00CB39A7" w:rsidRPr="006927C1">
        <w:rPr>
          <w:bCs/>
          <w:sz w:val="22"/>
          <w:szCs w:val="22"/>
          <w:lang w:val="sr-Latn-ME"/>
        </w:rPr>
        <w:t>ij</w:t>
      </w:r>
      <w:r w:rsidRPr="006927C1">
        <w:rPr>
          <w:bCs/>
          <w:sz w:val="22"/>
          <w:szCs w:val="22"/>
          <w:lang w:val="sr-Latn-ME"/>
        </w:rPr>
        <w:t>ekom Gilestra Duo treba razmotriti i u slučaju progresivnog slabljenja funkcije bubrega kada nije identifikovan nijedan drugi uzrok.</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Bezb</w:t>
      </w:r>
      <w:r w:rsidR="00CB39A7" w:rsidRPr="006927C1">
        <w:rPr>
          <w:bCs/>
          <w:sz w:val="22"/>
          <w:szCs w:val="22"/>
          <w:lang w:val="sr-Latn-ME"/>
        </w:rPr>
        <w:t>j</w:t>
      </w:r>
      <w:r w:rsidRPr="006927C1">
        <w:rPr>
          <w:bCs/>
          <w:sz w:val="22"/>
          <w:szCs w:val="22"/>
          <w:lang w:val="sr-Latn-ME"/>
        </w:rPr>
        <w:t>ednost bubrega prilikom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ispitivana je samo u veoma ograničenoj m</w:t>
      </w:r>
      <w:r w:rsidR="00CB39A7" w:rsidRPr="006927C1">
        <w:rPr>
          <w:bCs/>
          <w:sz w:val="22"/>
          <w:szCs w:val="22"/>
          <w:lang w:val="sr-Latn-ME"/>
        </w:rPr>
        <w:t>j</w:t>
      </w:r>
      <w:r w:rsidRPr="006927C1">
        <w:rPr>
          <w:bCs/>
          <w:sz w:val="22"/>
          <w:szCs w:val="22"/>
          <w:lang w:val="sr-Latn-ME"/>
        </w:rPr>
        <w:t xml:space="preserve">eri kod pacijenata inficiranih virusom HIV-1 sa oštećenom funkcijom bubrega (klirens kreatinina &lt; 80 </w:t>
      </w:r>
      <w:r w:rsidR="00AE4815" w:rsidRPr="006927C1">
        <w:rPr>
          <w:bCs/>
          <w:sz w:val="22"/>
          <w:szCs w:val="22"/>
          <w:lang w:val="sr-Latn-ME"/>
        </w:rPr>
        <w:t>ml</w:t>
      </w:r>
      <w:r w:rsidRPr="006927C1">
        <w:rPr>
          <w:bCs/>
          <w:sz w:val="22"/>
          <w:szCs w:val="22"/>
          <w:lang w:val="sr-Latn-ME"/>
        </w:rPr>
        <w:t xml:space="preserve">/min). Podešavanje intervala doziranja se preporučuje kod pacijenata inficiranih virusom HIV-1 sa klirensom kreatinina 30-49 </w:t>
      </w:r>
      <w:r w:rsidR="00AE4815" w:rsidRPr="006927C1">
        <w:rPr>
          <w:bCs/>
          <w:sz w:val="22"/>
          <w:szCs w:val="22"/>
          <w:lang w:val="sr-Latn-ME"/>
        </w:rPr>
        <w:t>ml</w:t>
      </w:r>
      <w:r w:rsidRPr="006927C1">
        <w:rPr>
          <w:bCs/>
          <w:sz w:val="22"/>
          <w:szCs w:val="22"/>
          <w:lang w:val="sr-Latn-ME"/>
        </w:rPr>
        <w:t xml:space="preserve">/min (vidjeti odjeljak 4.2). Ograničeni podaci iz kliničkih studija pokazuju da produženi interval doziranja nije optimalan i da može da dovede do povećane toksičnosti i mogućeg neadekvatnog odgovora. Osim toga, u maloj kliničkoj studiji, podgrupa pacijenata sa klirensom kreatinina između 50 i 60 </w:t>
      </w:r>
      <w:r w:rsidR="00AE4815" w:rsidRPr="006927C1">
        <w:rPr>
          <w:bCs/>
          <w:sz w:val="22"/>
          <w:szCs w:val="22"/>
          <w:lang w:val="sr-Latn-ME"/>
        </w:rPr>
        <w:t>ml</w:t>
      </w:r>
      <w:r w:rsidRPr="006927C1">
        <w:rPr>
          <w:bCs/>
          <w:sz w:val="22"/>
          <w:szCs w:val="22"/>
          <w:lang w:val="sr-Latn-ME"/>
        </w:rPr>
        <w:t>/min koji su primali tenofovir dizoproksil u kombinaciji sa emtricitabinom na svaka 24 sata imala je 2-4 puta veću izloženost tenofoviru i pogoršanje funkcije bubrega (vidjeti odjeljak 5.2). Zato je potrebna pažljiva proc</w:t>
      </w:r>
      <w:r w:rsidR="00CB39A7" w:rsidRPr="006927C1">
        <w:rPr>
          <w:bCs/>
          <w:sz w:val="22"/>
          <w:szCs w:val="22"/>
          <w:lang w:val="sr-Latn-ME"/>
        </w:rPr>
        <w:t>j</w:t>
      </w:r>
      <w:r w:rsidRPr="006927C1">
        <w:rPr>
          <w:bCs/>
          <w:sz w:val="22"/>
          <w:szCs w:val="22"/>
          <w:lang w:val="sr-Latn-ME"/>
        </w:rPr>
        <w:t>ena odnosa koristi i rizika kada se l</w:t>
      </w:r>
      <w:r w:rsidR="00CB39A7" w:rsidRPr="006927C1">
        <w:rPr>
          <w:bCs/>
          <w:sz w:val="22"/>
          <w:szCs w:val="22"/>
          <w:lang w:val="sr-Latn-ME"/>
        </w:rPr>
        <w:t>ij</w:t>
      </w:r>
      <w:r w:rsidRPr="006927C1">
        <w:rPr>
          <w:bCs/>
          <w:sz w:val="22"/>
          <w:szCs w:val="22"/>
          <w:lang w:val="sr-Latn-ME"/>
        </w:rPr>
        <w:t>ek Gilestra Duo prim</w:t>
      </w:r>
      <w:r w:rsidR="00CB39A7" w:rsidRPr="006927C1">
        <w:rPr>
          <w:bCs/>
          <w:sz w:val="22"/>
          <w:szCs w:val="22"/>
          <w:lang w:val="sr-Latn-ME"/>
        </w:rPr>
        <w:t>j</w:t>
      </w:r>
      <w:r w:rsidRPr="006927C1">
        <w:rPr>
          <w:bCs/>
          <w:sz w:val="22"/>
          <w:szCs w:val="22"/>
          <w:lang w:val="sr-Latn-ME"/>
        </w:rPr>
        <w:t xml:space="preserve">enjuje kod pacijenata sa klirensom kreatinina &lt; 60 </w:t>
      </w:r>
      <w:r w:rsidR="00AE4815" w:rsidRPr="006927C1">
        <w:rPr>
          <w:bCs/>
          <w:sz w:val="22"/>
          <w:szCs w:val="22"/>
          <w:lang w:val="sr-Latn-ME"/>
        </w:rPr>
        <w:t>ml</w:t>
      </w:r>
      <w:r w:rsidRPr="006927C1">
        <w:rPr>
          <w:bCs/>
          <w:sz w:val="22"/>
          <w:szCs w:val="22"/>
          <w:lang w:val="sr-Latn-ME"/>
        </w:rPr>
        <w:t>/min i potrebno je pažljivo praćenje funkcije bubrega. Dodatno, klinički odgovor na terapiju treba pažljivo pratiti ko</w:t>
      </w:r>
      <w:r w:rsidR="00CB39A7" w:rsidRPr="006927C1">
        <w:rPr>
          <w:bCs/>
          <w:sz w:val="22"/>
          <w:szCs w:val="22"/>
          <w:lang w:val="sr-Latn-ME"/>
        </w:rPr>
        <w:t xml:space="preserve">d pacijenata koji primaju </w:t>
      </w:r>
      <w:r w:rsidRPr="006927C1">
        <w:rPr>
          <w:bCs/>
          <w:sz w:val="22"/>
          <w:szCs w:val="22"/>
          <w:lang w:val="sr-Latn-ME"/>
        </w:rPr>
        <w:t>l</w:t>
      </w:r>
      <w:r w:rsidR="00CB39A7" w:rsidRPr="006927C1">
        <w:rPr>
          <w:bCs/>
          <w:sz w:val="22"/>
          <w:szCs w:val="22"/>
          <w:lang w:val="sr-Latn-ME"/>
        </w:rPr>
        <w:t>ij</w:t>
      </w:r>
      <w:r w:rsidRPr="006927C1">
        <w:rPr>
          <w:bCs/>
          <w:sz w:val="22"/>
          <w:szCs w:val="22"/>
          <w:lang w:val="sr-Latn-ME"/>
        </w:rPr>
        <w:t>ek Gilestra Duo pri produženom intervalu doziranja. Prim</w:t>
      </w:r>
      <w:r w:rsidR="00CB39A7" w:rsidRPr="006927C1">
        <w:rPr>
          <w:bCs/>
          <w:sz w:val="22"/>
          <w:szCs w:val="22"/>
          <w:lang w:val="sr-Latn-ME"/>
        </w:rPr>
        <w:t>j</w:t>
      </w:r>
      <w:r w:rsidRPr="006927C1">
        <w:rPr>
          <w:bCs/>
          <w:sz w:val="22"/>
          <w:szCs w:val="22"/>
          <w:lang w:val="sr-Latn-ME"/>
        </w:rPr>
        <w:t>ena l</w:t>
      </w:r>
      <w:r w:rsidR="00CB39A7" w:rsidRPr="006927C1">
        <w:rPr>
          <w:bCs/>
          <w:sz w:val="22"/>
          <w:szCs w:val="22"/>
          <w:lang w:val="sr-Latn-ME"/>
        </w:rPr>
        <w:t>ij</w:t>
      </w:r>
      <w:r w:rsidRPr="006927C1">
        <w:rPr>
          <w:bCs/>
          <w:sz w:val="22"/>
          <w:szCs w:val="22"/>
          <w:lang w:val="sr-Latn-ME"/>
        </w:rPr>
        <w:t xml:space="preserve">eka Gilestra Duo ne preporučuje se kod pacijenata sa teškim oštećenjem funkcije bubrega (klirens kreatinina &lt; 30 </w:t>
      </w:r>
      <w:r w:rsidR="00AE4815" w:rsidRPr="006927C1">
        <w:rPr>
          <w:bCs/>
          <w:sz w:val="22"/>
          <w:szCs w:val="22"/>
          <w:lang w:val="sr-Latn-ME"/>
        </w:rPr>
        <w:t>ml</w:t>
      </w:r>
      <w:r w:rsidRPr="006927C1">
        <w:rPr>
          <w:bCs/>
          <w:sz w:val="22"/>
          <w:szCs w:val="22"/>
          <w:lang w:val="sr-Latn-ME"/>
        </w:rPr>
        <w:t>/min) i kod pacijenata kojima je potrebna hemodijaliza, jer se odgovarajuća smanjenja doze ne mogu postići kombinovanom tabletom (vidjeti odjeljke 4.2 i 5.2).</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Kontrola funkcije bubrega pri preekspozicionoj profilaksi</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B39A7" w:rsidRPr="006927C1">
        <w:rPr>
          <w:bCs/>
          <w:sz w:val="22"/>
          <w:szCs w:val="22"/>
          <w:lang w:val="sr-Latn-ME"/>
        </w:rPr>
        <w:t>ij</w:t>
      </w:r>
      <w:r w:rsidRPr="006927C1">
        <w:rPr>
          <w:bCs/>
          <w:sz w:val="22"/>
          <w:szCs w:val="22"/>
          <w:lang w:val="sr-Latn-ME"/>
        </w:rPr>
        <w:t>ek Gilestra Duo nije ispitan kod osoba koje ni</w:t>
      </w:r>
      <w:r w:rsidR="00776AF0" w:rsidRPr="006927C1">
        <w:rPr>
          <w:bCs/>
          <w:sz w:val="22"/>
          <w:szCs w:val="22"/>
          <w:lang w:val="sr-Latn-ME"/>
        </w:rPr>
        <w:t>je</w:t>
      </w:r>
      <w:r w:rsidRPr="006927C1">
        <w:rPr>
          <w:bCs/>
          <w:sz w:val="22"/>
          <w:szCs w:val="22"/>
          <w:lang w:val="sr-Latn-ME"/>
        </w:rPr>
        <w:t xml:space="preserve">su inficirane virusom HIV-1 sa klirensom kreatinina &lt; 60 </w:t>
      </w:r>
      <w:r w:rsidR="00AE4815" w:rsidRPr="006927C1">
        <w:rPr>
          <w:bCs/>
          <w:sz w:val="22"/>
          <w:szCs w:val="22"/>
          <w:lang w:val="sr-Latn-ME"/>
        </w:rPr>
        <w:t>ml</w:t>
      </w:r>
      <w:r w:rsidRPr="006927C1">
        <w:rPr>
          <w:bCs/>
          <w:sz w:val="22"/>
          <w:szCs w:val="22"/>
          <w:lang w:val="sr-Latn-ME"/>
        </w:rPr>
        <w:t>/min i zato se ne preporučuje njegova prim</w:t>
      </w:r>
      <w:r w:rsidR="00CB39A7" w:rsidRPr="006927C1">
        <w:rPr>
          <w:bCs/>
          <w:sz w:val="22"/>
          <w:szCs w:val="22"/>
          <w:lang w:val="sr-Latn-ME"/>
        </w:rPr>
        <w:t>j</w:t>
      </w:r>
      <w:r w:rsidRPr="006927C1">
        <w:rPr>
          <w:bCs/>
          <w:sz w:val="22"/>
          <w:szCs w:val="22"/>
          <w:lang w:val="sr-Latn-ME"/>
        </w:rPr>
        <w:t>ena kod ove populacije. Ako je koncentracija fosfata u serumu &lt; 1,5 mg/d</w:t>
      </w:r>
      <w:r w:rsidR="00776AF0" w:rsidRPr="006927C1">
        <w:rPr>
          <w:bCs/>
          <w:sz w:val="22"/>
          <w:szCs w:val="22"/>
          <w:lang w:val="sr-Latn-ME"/>
        </w:rPr>
        <w:t>l</w:t>
      </w:r>
      <w:r w:rsidRPr="006927C1">
        <w:rPr>
          <w:bCs/>
          <w:sz w:val="22"/>
          <w:szCs w:val="22"/>
          <w:lang w:val="sr-Latn-ME"/>
        </w:rPr>
        <w:t xml:space="preserve"> (0,48 mmol/</w:t>
      </w:r>
      <w:r w:rsidR="00776AF0" w:rsidRPr="006927C1">
        <w:rPr>
          <w:bCs/>
          <w:sz w:val="22"/>
          <w:szCs w:val="22"/>
          <w:lang w:val="sr-Latn-ME"/>
        </w:rPr>
        <w:t>l</w:t>
      </w:r>
      <w:r w:rsidRPr="006927C1">
        <w:rPr>
          <w:bCs/>
          <w:sz w:val="22"/>
          <w:szCs w:val="22"/>
          <w:lang w:val="sr-Latn-ME"/>
        </w:rPr>
        <w:t xml:space="preserve">) ili se klirens kreatinina smanji na &lt; 60 </w:t>
      </w:r>
      <w:r w:rsidR="00AE4815" w:rsidRPr="006927C1">
        <w:rPr>
          <w:bCs/>
          <w:sz w:val="22"/>
          <w:szCs w:val="22"/>
          <w:lang w:val="sr-Latn-ME"/>
        </w:rPr>
        <w:t>ml</w:t>
      </w:r>
      <w:r w:rsidRPr="006927C1">
        <w:rPr>
          <w:bCs/>
          <w:sz w:val="22"/>
          <w:szCs w:val="22"/>
          <w:lang w:val="sr-Latn-ME"/>
        </w:rPr>
        <w:t>/min kod osobe koja prima l</w:t>
      </w:r>
      <w:r w:rsidR="00CB39A7" w:rsidRPr="006927C1">
        <w:rPr>
          <w:bCs/>
          <w:sz w:val="22"/>
          <w:szCs w:val="22"/>
          <w:lang w:val="sr-Latn-ME"/>
        </w:rPr>
        <w:t>ij</w:t>
      </w:r>
      <w:r w:rsidRPr="006927C1">
        <w:rPr>
          <w:bCs/>
          <w:sz w:val="22"/>
          <w:szCs w:val="22"/>
          <w:lang w:val="sr-Latn-ME"/>
        </w:rPr>
        <w:t>ek Gilestra Duo za preekspozicionu profilaksu, funkciju bubrega treba ponovo proc</w:t>
      </w:r>
      <w:r w:rsidR="00CB39A7" w:rsidRPr="006927C1">
        <w:rPr>
          <w:bCs/>
          <w:sz w:val="22"/>
          <w:szCs w:val="22"/>
          <w:lang w:val="sr-Latn-ME"/>
        </w:rPr>
        <w:t>ij</w:t>
      </w:r>
      <w:r w:rsidRPr="006927C1">
        <w:rPr>
          <w:bCs/>
          <w:sz w:val="22"/>
          <w:szCs w:val="22"/>
          <w:lang w:val="sr-Latn-ME"/>
        </w:rPr>
        <w:t>eniti u roku od jedne ned</w:t>
      </w:r>
      <w:r w:rsidR="00CB39A7" w:rsidRPr="006927C1">
        <w:rPr>
          <w:bCs/>
          <w:sz w:val="22"/>
          <w:szCs w:val="22"/>
          <w:lang w:val="sr-Latn-ME"/>
        </w:rPr>
        <w:t>j</w:t>
      </w:r>
      <w:r w:rsidRPr="006927C1">
        <w:rPr>
          <w:bCs/>
          <w:sz w:val="22"/>
          <w:szCs w:val="22"/>
          <w:lang w:val="sr-Latn-ME"/>
        </w:rPr>
        <w:t>elje, uključujući m</w:t>
      </w:r>
      <w:r w:rsidR="00CB39A7" w:rsidRPr="006927C1">
        <w:rPr>
          <w:bCs/>
          <w:sz w:val="22"/>
          <w:szCs w:val="22"/>
          <w:lang w:val="sr-Latn-ME"/>
        </w:rPr>
        <w:t>j</w:t>
      </w:r>
      <w:r w:rsidRPr="006927C1">
        <w:rPr>
          <w:bCs/>
          <w:sz w:val="22"/>
          <w:szCs w:val="22"/>
          <w:lang w:val="sr-Latn-ME"/>
        </w:rPr>
        <w:t>erenja koncentracije glukoze u krvi, kalijuma u krvi i glukoze u urinu (vidjeti odjeljak 4.8, proksimalna tubulopatija). Potrebno je razmotriti prekid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 xml:space="preserve">eka Gilestra Duo kod osoba kod kojih je klirens kreatinina smanjen na &lt; 60 </w:t>
      </w:r>
      <w:r w:rsidR="00AE4815" w:rsidRPr="006927C1">
        <w:rPr>
          <w:bCs/>
          <w:sz w:val="22"/>
          <w:szCs w:val="22"/>
          <w:lang w:val="sr-Latn-ME"/>
        </w:rPr>
        <w:t>ml</w:t>
      </w:r>
      <w:r w:rsidRPr="006927C1">
        <w:rPr>
          <w:bCs/>
          <w:sz w:val="22"/>
          <w:szCs w:val="22"/>
          <w:lang w:val="sr-Latn-ME"/>
        </w:rPr>
        <w:t>/min ili sa smanjenjem koncentracije</w:t>
      </w:r>
      <w:r w:rsidR="00CB39A7" w:rsidRPr="006927C1">
        <w:rPr>
          <w:bCs/>
          <w:sz w:val="22"/>
          <w:szCs w:val="22"/>
          <w:lang w:val="sr-Latn-ME"/>
        </w:rPr>
        <w:t xml:space="preserve"> fosfata u serumu na &lt; 1,0 mg/dl</w:t>
      </w:r>
      <w:r w:rsidRPr="006927C1">
        <w:rPr>
          <w:bCs/>
          <w:sz w:val="22"/>
          <w:szCs w:val="22"/>
          <w:lang w:val="sr-Latn-ME"/>
        </w:rPr>
        <w:t xml:space="preserve"> (0,32 mmol/</w:t>
      </w:r>
      <w:r w:rsidR="00776AF0" w:rsidRPr="006927C1">
        <w:rPr>
          <w:bCs/>
          <w:sz w:val="22"/>
          <w:szCs w:val="22"/>
          <w:lang w:val="sr-Latn-ME"/>
        </w:rPr>
        <w:t>l</w:t>
      </w:r>
      <w:r w:rsidRPr="006927C1">
        <w:rPr>
          <w:bCs/>
          <w:sz w:val="22"/>
          <w:szCs w:val="22"/>
          <w:lang w:val="sr-Latn-ME"/>
        </w:rPr>
        <w:t>). Prekid prim</w:t>
      </w:r>
      <w:r w:rsidR="00CB39A7" w:rsidRPr="006927C1">
        <w:rPr>
          <w:bCs/>
          <w:sz w:val="22"/>
          <w:szCs w:val="22"/>
          <w:lang w:val="sr-Latn-ME"/>
        </w:rPr>
        <w:t>j</w:t>
      </w:r>
      <w:r w:rsidRPr="006927C1">
        <w:rPr>
          <w:bCs/>
          <w:sz w:val="22"/>
          <w:szCs w:val="22"/>
          <w:lang w:val="sr-Latn-ME"/>
        </w:rPr>
        <w:t>ene l</w:t>
      </w:r>
      <w:r w:rsidR="00CB39A7" w:rsidRPr="006927C1">
        <w:rPr>
          <w:bCs/>
          <w:sz w:val="22"/>
          <w:szCs w:val="22"/>
          <w:lang w:val="sr-Latn-ME"/>
        </w:rPr>
        <w:t>ij</w:t>
      </w:r>
      <w:r w:rsidRPr="006927C1">
        <w:rPr>
          <w:bCs/>
          <w:sz w:val="22"/>
          <w:szCs w:val="22"/>
          <w:lang w:val="sr-Latn-ME"/>
        </w:rPr>
        <w:t>eka Gilestra Duo takođe treba razmotriti i u slučaju progresivnog slabljenja funkcije bubrega kada nije identifikovan nijedan drugi uzrok.</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Efekti na kosti</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Abnormalnosti kostiju kao što je osteomalacija koja se može manifestovati kao perzistentan bol u kostima ili bol u kostima koji se pogoršava i koje ner</w:t>
      </w:r>
      <w:r w:rsidR="00EE212C" w:rsidRPr="006927C1">
        <w:rPr>
          <w:bCs/>
          <w:sz w:val="22"/>
          <w:szCs w:val="22"/>
          <w:lang w:val="sr-Latn-ME"/>
        </w:rPr>
        <w:t>ij</w:t>
      </w:r>
      <w:r w:rsidRPr="006927C1">
        <w:rPr>
          <w:bCs/>
          <w:sz w:val="22"/>
          <w:szCs w:val="22"/>
          <w:lang w:val="sr-Latn-ME"/>
        </w:rPr>
        <w:t xml:space="preserve">etko doprinose frakturama mogu biti povezane sa proksimalnom renalnom tubulopatijom (vidjeti odjeljak 4.8). </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lastRenderedPageBreak/>
        <w:t xml:space="preserve">Tenofovir dizoproksil može, takođe uzrokovati smanjenje mineralne gustine kosti (engl. </w:t>
      </w:r>
      <w:r w:rsidRPr="006927C1">
        <w:rPr>
          <w:bCs/>
          <w:i/>
          <w:sz w:val="22"/>
          <w:szCs w:val="22"/>
          <w:lang w:val="sr-Latn-ME"/>
        </w:rPr>
        <w:t xml:space="preserve">bone mineral density - </w:t>
      </w:r>
      <w:r w:rsidRPr="006927C1">
        <w:rPr>
          <w:bCs/>
          <w:sz w:val="22"/>
          <w:szCs w:val="22"/>
          <w:lang w:val="sr-Latn-ME"/>
        </w:rPr>
        <w:t>BMD).</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Ako se sumnja na abnormalnosti kostiju, potrebno je odgovarajuće stručno mišljenje.</w:t>
      </w:r>
    </w:p>
    <w:p w:rsidR="005B1147" w:rsidRPr="006927C1" w:rsidRDefault="005B1147">
      <w:pPr>
        <w:tabs>
          <w:tab w:val="left" w:pos="540"/>
          <w:tab w:val="left" w:pos="569"/>
        </w:tabs>
        <w:jc w:val="both"/>
        <w:rPr>
          <w:bCs/>
          <w:sz w:val="22"/>
          <w:szCs w:val="22"/>
          <w:lang w:val="sr-Latn-ME"/>
        </w:rPr>
      </w:pPr>
    </w:p>
    <w:p w:rsidR="00776AF0" w:rsidRPr="006927C1" w:rsidRDefault="00776AF0">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Liječenje infekcije izazvane virusom HIV-1</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 kontrolisanoj kliničkoj studiji koja je trajala 144 ned</w:t>
      </w:r>
      <w:r w:rsidR="00EE212C" w:rsidRPr="006927C1">
        <w:rPr>
          <w:bCs/>
          <w:sz w:val="22"/>
          <w:szCs w:val="22"/>
          <w:lang w:val="sr-Latn-ME"/>
        </w:rPr>
        <w:t>j</w:t>
      </w:r>
      <w:r w:rsidRPr="006927C1">
        <w:rPr>
          <w:bCs/>
          <w:sz w:val="22"/>
          <w:szCs w:val="22"/>
          <w:lang w:val="sr-Latn-ME"/>
        </w:rPr>
        <w:t>elje i koja je poredila tenofovir dizoproksil sa stavudinom u kombinaciji sa lamivudinom i efavirenzom kod pacijenata koji prethodno ni</w:t>
      </w:r>
      <w:r w:rsidR="00776AF0" w:rsidRPr="006927C1">
        <w:rPr>
          <w:bCs/>
          <w:sz w:val="22"/>
          <w:szCs w:val="22"/>
          <w:lang w:val="sr-Latn-ME"/>
        </w:rPr>
        <w:t>je</w:t>
      </w:r>
      <w:r w:rsidRPr="006927C1">
        <w:rPr>
          <w:bCs/>
          <w:sz w:val="22"/>
          <w:szCs w:val="22"/>
          <w:lang w:val="sr-Latn-ME"/>
        </w:rPr>
        <w:t>su l</w:t>
      </w:r>
      <w:r w:rsidR="00EE212C" w:rsidRPr="006927C1">
        <w:rPr>
          <w:bCs/>
          <w:sz w:val="22"/>
          <w:szCs w:val="22"/>
          <w:lang w:val="sr-Latn-ME"/>
        </w:rPr>
        <w:t>ij</w:t>
      </w:r>
      <w:r w:rsidRPr="006927C1">
        <w:rPr>
          <w:bCs/>
          <w:sz w:val="22"/>
          <w:szCs w:val="22"/>
          <w:lang w:val="sr-Latn-ME"/>
        </w:rPr>
        <w:t xml:space="preserve">ečeni antiretrovirusnom terapijom, uočeno je malo smanjenje mineralne gustine kosti (engl. </w:t>
      </w:r>
      <w:r w:rsidRPr="006927C1">
        <w:rPr>
          <w:bCs/>
          <w:i/>
          <w:sz w:val="22"/>
          <w:szCs w:val="22"/>
          <w:lang w:val="sr-Latn-ME"/>
        </w:rPr>
        <w:t xml:space="preserve">bone mineral density - </w:t>
      </w:r>
      <w:r w:rsidRPr="006927C1">
        <w:rPr>
          <w:bCs/>
          <w:sz w:val="22"/>
          <w:szCs w:val="22"/>
          <w:lang w:val="sr-Latn-ME"/>
        </w:rPr>
        <w:t>BMD) kuka i kičme u ob</w:t>
      </w:r>
      <w:r w:rsidR="00EE212C" w:rsidRPr="006927C1">
        <w:rPr>
          <w:bCs/>
          <w:sz w:val="22"/>
          <w:szCs w:val="22"/>
          <w:lang w:val="sr-Latn-ME"/>
        </w:rPr>
        <w:t>j</w:t>
      </w:r>
      <w:r w:rsidRPr="006927C1">
        <w:rPr>
          <w:bCs/>
          <w:sz w:val="22"/>
          <w:szCs w:val="22"/>
          <w:lang w:val="sr-Latn-ME"/>
        </w:rPr>
        <w:t>e terapijske grupe. Smanjenja BMD-a kičme i prom</w:t>
      </w:r>
      <w:r w:rsidR="00EE212C" w:rsidRPr="006927C1">
        <w:rPr>
          <w:bCs/>
          <w:sz w:val="22"/>
          <w:szCs w:val="22"/>
          <w:lang w:val="sr-Latn-ME"/>
        </w:rPr>
        <w:t>j</w:t>
      </w:r>
      <w:r w:rsidRPr="006927C1">
        <w:rPr>
          <w:bCs/>
          <w:sz w:val="22"/>
          <w:szCs w:val="22"/>
          <w:lang w:val="sr-Latn-ME"/>
        </w:rPr>
        <w:t>ene biomarkera kostiju u odnosu na početne vr</w:t>
      </w:r>
      <w:r w:rsidR="00EE212C" w:rsidRPr="006927C1">
        <w:rPr>
          <w:bCs/>
          <w:sz w:val="22"/>
          <w:szCs w:val="22"/>
          <w:lang w:val="sr-Latn-ME"/>
        </w:rPr>
        <w:t>ij</w:t>
      </w:r>
      <w:r w:rsidRPr="006927C1">
        <w:rPr>
          <w:bCs/>
          <w:sz w:val="22"/>
          <w:szCs w:val="22"/>
          <w:lang w:val="sr-Latn-ME"/>
        </w:rPr>
        <w:t>ednosti bili su značajno veći u terapijskoj grupi koja je uzimala tenofovir dizoproksil u 144. ned</w:t>
      </w:r>
      <w:r w:rsidR="00EE212C" w:rsidRPr="006927C1">
        <w:rPr>
          <w:bCs/>
          <w:sz w:val="22"/>
          <w:szCs w:val="22"/>
          <w:lang w:val="sr-Latn-ME"/>
        </w:rPr>
        <w:t>j</w:t>
      </w:r>
      <w:r w:rsidRPr="006927C1">
        <w:rPr>
          <w:bCs/>
          <w:sz w:val="22"/>
          <w:szCs w:val="22"/>
          <w:lang w:val="sr-Latn-ME"/>
        </w:rPr>
        <w:t>elji. Smanjenja BMD-a kuka bila su značajno veća u ovoj grupi do 96. ned</w:t>
      </w:r>
      <w:r w:rsidR="00EE212C" w:rsidRPr="006927C1">
        <w:rPr>
          <w:bCs/>
          <w:sz w:val="22"/>
          <w:szCs w:val="22"/>
          <w:lang w:val="sr-Latn-ME"/>
        </w:rPr>
        <w:t>j</w:t>
      </w:r>
      <w:r w:rsidRPr="006927C1">
        <w:rPr>
          <w:bCs/>
          <w:sz w:val="22"/>
          <w:szCs w:val="22"/>
          <w:lang w:val="sr-Latn-ME"/>
        </w:rPr>
        <w:t>elje. Međutim, tokom 144 ned</w:t>
      </w:r>
      <w:r w:rsidR="00EE212C" w:rsidRPr="006927C1">
        <w:rPr>
          <w:bCs/>
          <w:sz w:val="22"/>
          <w:szCs w:val="22"/>
          <w:lang w:val="sr-Latn-ME"/>
        </w:rPr>
        <w:t>j</w:t>
      </w:r>
      <w:r w:rsidRPr="006927C1">
        <w:rPr>
          <w:bCs/>
          <w:sz w:val="22"/>
          <w:szCs w:val="22"/>
          <w:lang w:val="sr-Latn-ME"/>
        </w:rPr>
        <w:t>elje nije bilo povećanog rizika od fraktura ni dokaza klinički relevantnih abnormalnosti kostiju.</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 drugim studijama (prospektivnim i studijama pres</w:t>
      </w:r>
      <w:r w:rsidR="00EE212C" w:rsidRPr="006927C1">
        <w:rPr>
          <w:bCs/>
          <w:sz w:val="22"/>
          <w:szCs w:val="22"/>
          <w:lang w:val="sr-Latn-ME"/>
        </w:rPr>
        <w:t>j</w:t>
      </w:r>
      <w:r w:rsidRPr="006927C1">
        <w:rPr>
          <w:bCs/>
          <w:sz w:val="22"/>
          <w:szCs w:val="22"/>
          <w:lang w:val="sr-Latn-ME"/>
        </w:rPr>
        <w:t>eka), najizraženija smanjenja BMD-a uočena su kod pacijenata l</w:t>
      </w:r>
      <w:r w:rsidR="00EE212C" w:rsidRPr="006927C1">
        <w:rPr>
          <w:bCs/>
          <w:sz w:val="22"/>
          <w:szCs w:val="22"/>
          <w:lang w:val="sr-Latn-ME"/>
        </w:rPr>
        <w:t>ij</w:t>
      </w:r>
      <w:r w:rsidRPr="006927C1">
        <w:rPr>
          <w:bCs/>
          <w:sz w:val="22"/>
          <w:szCs w:val="22"/>
          <w:lang w:val="sr-Latn-ME"/>
        </w:rPr>
        <w:t>ečenih tenofovir dizoproksilom u okviru terapijskog režima koji sadrži pojačani inhibitor proteaze. U sv</w:t>
      </w:r>
      <w:r w:rsidR="00EE212C" w:rsidRPr="006927C1">
        <w:rPr>
          <w:bCs/>
          <w:sz w:val="22"/>
          <w:szCs w:val="22"/>
          <w:lang w:val="sr-Latn-ME"/>
        </w:rPr>
        <w:t>ij</w:t>
      </w:r>
      <w:r w:rsidRPr="006927C1">
        <w:rPr>
          <w:bCs/>
          <w:sz w:val="22"/>
          <w:szCs w:val="22"/>
          <w:lang w:val="sr-Latn-ME"/>
        </w:rPr>
        <w:t>etlu abnormalnosti kosti povezanih sa tenofovir dizoproksilom i ograničenim dugoročnim podacima o uticaju tenofovir dizoproksila na zdravlje kosti i rizik od fraktura, potrebno je razmotriti alternativne terapijske režime kod pacijenata sa osteoporozom koji su pod visokim rizikom od fraktura.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Preekspoziciona profilaksa</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 kliničkim studijama sa osobama koje ni</w:t>
      </w:r>
      <w:r w:rsidR="00776AF0" w:rsidRPr="006927C1">
        <w:rPr>
          <w:bCs/>
          <w:sz w:val="22"/>
          <w:szCs w:val="22"/>
          <w:lang w:val="sr-Latn-ME"/>
        </w:rPr>
        <w:t>je</w:t>
      </w:r>
      <w:r w:rsidRPr="006927C1">
        <w:rPr>
          <w:bCs/>
          <w:sz w:val="22"/>
          <w:szCs w:val="22"/>
          <w:lang w:val="sr-Latn-ME"/>
        </w:rPr>
        <w:t>su inficirane virusom HIV-1, uočena su mala smanjenja BMD-a. U studiji sprovedenoj na 498 muškaraca, srednje vr</w:t>
      </w:r>
      <w:r w:rsidR="00EE212C" w:rsidRPr="006927C1">
        <w:rPr>
          <w:bCs/>
          <w:sz w:val="22"/>
          <w:szCs w:val="22"/>
          <w:lang w:val="sr-Latn-ME"/>
        </w:rPr>
        <w:t>ij</w:t>
      </w:r>
      <w:r w:rsidRPr="006927C1">
        <w:rPr>
          <w:bCs/>
          <w:sz w:val="22"/>
          <w:szCs w:val="22"/>
          <w:lang w:val="sr-Latn-ME"/>
        </w:rPr>
        <w:t>ednosti prom</w:t>
      </w:r>
      <w:r w:rsidR="00EE212C" w:rsidRPr="006927C1">
        <w:rPr>
          <w:bCs/>
          <w:sz w:val="22"/>
          <w:szCs w:val="22"/>
          <w:lang w:val="sr-Latn-ME"/>
        </w:rPr>
        <w:t>j</w:t>
      </w:r>
      <w:r w:rsidRPr="006927C1">
        <w:rPr>
          <w:bCs/>
          <w:sz w:val="22"/>
          <w:szCs w:val="22"/>
          <w:lang w:val="sr-Latn-ME"/>
        </w:rPr>
        <w:t>ene BMD-a od početne vr</w:t>
      </w:r>
      <w:r w:rsidR="00EE212C" w:rsidRPr="006927C1">
        <w:rPr>
          <w:bCs/>
          <w:sz w:val="22"/>
          <w:szCs w:val="22"/>
          <w:lang w:val="sr-Latn-ME"/>
        </w:rPr>
        <w:t>ij</w:t>
      </w:r>
      <w:r w:rsidRPr="006927C1">
        <w:rPr>
          <w:bCs/>
          <w:sz w:val="22"/>
          <w:szCs w:val="22"/>
          <w:lang w:val="sr-Latn-ME"/>
        </w:rPr>
        <w:t>ednost</w:t>
      </w:r>
      <w:r w:rsidR="00EE212C" w:rsidRPr="006927C1">
        <w:rPr>
          <w:bCs/>
          <w:sz w:val="22"/>
          <w:szCs w:val="22"/>
          <w:lang w:val="sr-Latn-ME"/>
        </w:rPr>
        <w:t>i</w:t>
      </w:r>
      <w:r w:rsidRPr="006927C1">
        <w:rPr>
          <w:bCs/>
          <w:sz w:val="22"/>
          <w:szCs w:val="22"/>
          <w:lang w:val="sr-Latn-ME"/>
        </w:rPr>
        <w:t xml:space="preserve"> do vr</w:t>
      </w:r>
      <w:r w:rsidR="00EE212C" w:rsidRPr="006927C1">
        <w:rPr>
          <w:bCs/>
          <w:sz w:val="22"/>
          <w:szCs w:val="22"/>
          <w:lang w:val="sr-Latn-ME"/>
        </w:rPr>
        <w:t>ij</w:t>
      </w:r>
      <w:r w:rsidRPr="006927C1">
        <w:rPr>
          <w:bCs/>
          <w:sz w:val="22"/>
          <w:szCs w:val="22"/>
          <w:lang w:val="sr-Latn-ME"/>
        </w:rPr>
        <w:t>ednosti u 24. ned</w:t>
      </w:r>
      <w:r w:rsidR="00EE212C" w:rsidRPr="006927C1">
        <w:rPr>
          <w:bCs/>
          <w:sz w:val="22"/>
          <w:szCs w:val="22"/>
          <w:lang w:val="sr-Latn-ME"/>
        </w:rPr>
        <w:t>j</w:t>
      </w:r>
      <w:r w:rsidRPr="006927C1">
        <w:rPr>
          <w:bCs/>
          <w:sz w:val="22"/>
          <w:szCs w:val="22"/>
          <w:lang w:val="sr-Latn-ME"/>
        </w:rPr>
        <w:t>elji bile su u opsegu od -0,4% do -1,0% na kukovima, kičmi, vratu femura i trohanteru kod muškaraca koji su svakodnevno primali l</w:t>
      </w:r>
      <w:r w:rsidR="00EE212C" w:rsidRPr="006927C1">
        <w:rPr>
          <w:bCs/>
          <w:sz w:val="22"/>
          <w:szCs w:val="22"/>
          <w:lang w:val="sr-Latn-ME"/>
        </w:rPr>
        <w:t>ij</w:t>
      </w:r>
      <w:r w:rsidRPr="006927C1">
        <w:rPr>
          <w:bCs/>
          <w:sz w:val="22"/>
          <w:szCs w:val="22"/>
          <w:lang w:val="sr-Latn-ME"/>
        </w:rPr>
        <w:t>ek Gilestra Duo kao profilaksu (n=247) u odnosu na placebo (n=251).</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Efekti na bubrege i kosti kod pedijatrijske populacije</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Postoji nepouzdanost povezana sa dugoročnim efektima tenofovir dizoproksila na bubrege i kosti tokom liječenja infekcije izazvane virusom HIV-1 kod pedijatrijske populacije. Nema podataka o dugoročnim efektima l</w:t>
      </w:r>
      <w:r w:rsidR="00EE212C" w:rsidRPr="006927C1">
        <w:rPr>
          <w:bCs/>
          <w:sz w:val="22"/>
          <w:szCs w:val="22"/>
          <w:lang w:val="sr-Latn-ME"/>
        </w:rPr>
        <w:t>ij</w:t>
      </w:r>
      <w:r w:rsidRPr="006927C1">
        <w:rPr>
          <w:bCs/>
          <w:sz w:val="22"/>
          <w:szCs w:val="22"/>
          <w:lang w:val="sr-Latn-ME"/>
        </w:rPr>
        <w:t>eka Gilestra Duo na bubrege i kosti kada se prim</w:t>
      </w:r>
      <w:r w:rsidR="00EE212C" w:rsidRPr="006927C1">
        <w:rPr>
          <w:bCs/>
          <w:sz w:val="22"/>
          <w:szCs w:val="22"/>
          <w:lang w:val="sr-Latn-ME"/>
        </w:rPr>
        <w:t>j</w:t>
      </w:r>
      <w:r w:rsidRPr="006927C1">
        <w:rPr>
          <w:bCs/>
          <w:sz w:val="22"/>
          <w:szCs w:val="22"/>
          <w:lang w:val="sr-Latn-ME"/>
        </w:rPr>
        <w:t>enjuje u preekspozicionoj profilaksi kod adolescenata koji ni</w:t>
      </w:r>
      <w:r w:rsidR="00776AF0" w:rsidRPr="006927C1">
        <w:rPr>
          <w:bCs/>
          <w:sz w:val="22"/>
          <w:szCs w:val="22"/>
          <w:lang w:val="sr-Latn-ME"/>
        </w:rPr>
        <w:t>je</w:t>
      </w:r>
      <w:r w:rsidRPr="006927C1">
        <w:rPr>
          <w:bCs/>
          <w:sz w:val="22"/>
          <w:szCs w:val="22"/>
          <w:lang w:val="sr-Latn-ME"/>
        </w:rPr>
        <w:t>su inficirani (vidjeti odjeljak 5.1). Osim toga, ne može se u potpunosti utvrditi reverzibilnost toksičnosti za bubrege nakon prekida prim</w:t>
      </w:r>
      <w:r w:rsidR="00EE212C" w:rsidRPr="006927C1">
        <w:rPr>
          <w:bCs/>
          <w:sz w:val="22"/>
          <w:szCs w:val="22"/>
          <w:lang w:val="sr-Latn-ME"/>
        </w:rPr>
        <w:t>j</w:t>
      </w:r>
      <w:r w:rsidRPr="006927C1">
        <w:rPr>
          <w:bCs/>
          <w:sz w:val="22"/>
          <w:szCs w:val="22"/>
          <w:lang w:val="sr-Latn-ME"/>
        </w:rPr>
        <w:t>ene tenofovir dizoproksil u terapiji HIV-1 ili nakon prekida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w:t>
      </w:r>
      <w:r w:rsidR="00EE212C" w:rsidRPr="006927C1">
        <w:rPr>
          <w:bCs/>
          <w:sz w:val="22"/>
          <w:szCs w:val="22"/>
          <w:lang w:val="sr-Latn-ME"/>
        </w:rPr>
        <w:t xml:space="preserve">ilestra Duo u preekspozicionoj </w:t>
      </w:r>
      <w:r w:rsidRPr="006927C1">
        <w:rPr>
          <w:bCs/>
          <w:sz w:val="22"/>
          <w:szCs w:val="22"/>
          <w:lang w:val="sr-Latn-ME"/>
        </w:rPr>
        <w:t>profilaksi.</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Preporučuje se multidisciplinarni pristup kako bi se odredio odnos koristi i rizika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 u terapiji infekcije izazvane virusom HIV-1 ili u preekspozicionoj profilaksi, don</w:t>
      </w:r>
      <w:r w:rsidR="00EE212C" w:rsidRPr="006927C1">
        <w:rPr>
          <w:bCs/>
          <w:sz w:val="22"/>
          <w:szCs w:val="22"/>
          <w:lang w:val="sr-Latn-ME"/>
        </w:rPr>
        <w:t>ij</w:t>
      </w:r>
      <w:r w:rsidRPr="006927C1">
        <w:rPr>
          <w:bCs/>
          <w:sz w:val="22"/>
          <w:szCs w:val="22"/>
          <w:lang w:val="sr-Latn-ME"/>
        </w:rPr>
        <w:t>ela odluka o odgovarajućem praćenju tokom liječenja (uključujući odluku o prekidu liječenja) i razmotrila potreba za suplementacijom za svaki slučaj pojedinačno.</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Kada se l</w:t>
      </w:r>
      <w:r w:rsidR="00EE212C" w:rsidRPr="006927C1">
        <w:rPr>
          <w:bCs/>
          <w:sz w:val="22"/>
          <w:szCs w:val="22"/>
          <w:lang w:val="sr-Latn-ME"/>
        </w:rPr>
        <w:t>ij</w:t>
      </w:r>
      <w:r w:rsidRPr="006927C1">
        <w:rPr>
          <w:bCs/>
          <w:sz w:val="22"/>
          <w:szCs w:val="22"/>
          <w:lang w:val="sr-Latn-ME"/>
        </w:rPr>
        <w:t>ek Gilestra Duo prim</w:t>
      </w:r>
      <w:r w:rsidR="00EE212C" w:rsidRPr="006927C1">
        <w:rPr>
          <w:bCs/>
          <w:sz w:val="22"/>
          <w:szCs w:val="22"/>
          <w:lang w:val="sr-Latn-ME"/>
        </w:rPr>
        <w:t>j</w:t>
      </w:r>
      <w:r w:rsidRPr="006927C1">
        <w:rPr>
          <w:bCs/>
          <w:sz w:val="22"/>
          <w:szCs w:val="22"/>
          <w:lang w:val="sr-Latn-ME"/>
        </w:rPr>
        <w:t>enjuje u preekspozicionoj profilaksi, prilikom svake pos</w:t>
      </w:r>
      <w:r w:rsidR="00EE212C" w:rsidRPr="006927C1">
        <w:rPr>
          <w:bCs/>
          <w:sz w:val="22"/>
          <w:szCs w:val="22"/>
          <w:lang w:val="sr-Latn-ME"/>
        </w:rPr>
        <w:t>j</w:t>
      </w:r>
      <w:r w:rsidRPr="006927C1">
        <w:rPr>
          <w:bCs/>
          <w:sz w:val="22"/>
          <w:szCs w:val="22"/>
          <w:lang w:val="sr-Latn-ME"/>
        </w:rPr>
        <w:t>ete kod osoba treba izvršiti ponovnu proc</w:t>
      </w:r>
      <w:r w:rsidR="00EE212C" w:rsidRPr="006927C1">
        <w:rPr>
          <w:bCs/>
          <w:sz w:val="22"/>
          <w:szCs w:val="22"/>
          <w:lang w:val="sr-Latn-ME"/>
        </w:rPr>
        <w:t>j</w:t>
      </w:r>
      <w:r w:rsidRPr="006927C1">
        <w:rPr>
          <w:bCs/>
          <w:sz w:val="22"/>
          <w:szCs w:val="22"/>
          <w:lang w:val="sr-Latn-ME"/>
        </w:rPr>
        <w:t>enu da bi se utvrdilo da li je i dalje pod visokim rizikom od HIV-1 infekcije. Rizik od HIV-1 infekcije treba razmotriti u odnosu na moguće efekte na bubrege i kosti prilikom dugotrajne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Efekti na bubrege</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Renalne neželjene reakcije koje su odgovarale proksimalnoj bubrežnoj tubulopatiji prijavljene su kod pedijatrijskih pacijenata inficiranih virusom HIV-1 uzrasta od 2 do &lt; 12 godina u kliničkoj studiji GS-US-104- 0352 (vidjeti odjeljke 4.8 i 5.1).</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Praćenje funkcije bubrega</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Funkciju bubrega (klirens kreatinina i fosfate u serumu) treba proc</w:t>
      </w:r>
      <w:r w:rsidR="00EE212C" w:rsidRPr="006927C1">
        <w:rPr>
          <w:bCs/>
          <w:sz w:val="22"/>
          <w:szCs w:val="22"/>
          <w:lang w:val="sr-Latn-ME"/>
        </w:rPr>
        <w:t>ij</w:t>
      </w:r>
      <w:r w:rsidRPr="006927C1">
        <w:rPr>
          <w:bCs/>
          <w:sz w:val="22"/>
          <w:szCs w:val="22"/>
          <w:lang w:val="sr-Latn-ME"/>
        </w:rPr>
        <w:t>eniti pr</w:t>
      </w:r>
      <w:r w:rsidR="00EE212C" w:rsidRPr="006927C1">
        <w:rPr>
          <w:bCs/>
          <w:sz w:val="22"/>
          <w:szCs w:val="22"/>
          <w:lang w:val="sr-Latn-ME"/>
        </w:rPr>
        <w:t>ij</w:t>
      </w:r>
      <w:r w:rsidRPr="006927C1">
        <w:rPr>
          <w:bCs/>
          <w:sz w:val="22"/>
          <w:szCs w:val="22"/>
          <w:lang w:val="sr-Latn-ME"/>
        </w:rPr>
        <w:t>e početka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 u terapiji HIV-1 ili u preekspozicionoj profilaksi, i treba je kontrolisati tokom terapije kao i kod odraslih (vidjeti iznad).</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lastRenderedPageBreak/>
        <w:t>Kontrola</w:t>
      </w:r>
      <w:r w:rsidR="00776AF0" w:rsidRPr="006927C1">
        <w:rPr>
          <w:bCs/>
          <w:i/>
          <w:sz w:val="22"/>
          <w:szCs w:val="22"/>
          <w:lang w:val="sr-Latn-ME"/>
        </w:rPr>
        <w:t xml:space="preserve"> u slučaju sumnje na oštećenje</w:t>
      </w:r>
      <w:r w:rsidRPr="006927C1">
        <w:rPr>
          <w:bCs/>
          <w:i/>
          <w:sz w:val="22"/>
          <w:szCs w:val="22"/>
          <w:lang w:val="sr-Latn-ME"/>
        </w:rPr>
        <w:t xml:space="preserve"> funkcije bubrega</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Ako je kod bilo kog pedijatrijskog pacijenta koji prima l</w:t>
      </w:r>
      <w:r w:rsidR="00EE212C" w:rsidRPr="006927C1">
        <w:rPr>
          <w:bCs/>
          <w:sz w:val="22"/>
          <w:szCs w:val="22"/>
          <w:lang w:val="sr-Latn-ME"/>
        </w:rPr>
        <w:t>ij</w:t>
      </w:r>
      <w:r w:rsidRPr="006927C1">
        <w:rPr>
          <w:bCs/>
          <w:sz w:val="22"/>
          <w:szCs w:val="22"/>
          <w:lang w:val="sr-Latn-ME"/>
        </w:rPr>
        <w:t>ek Gilestra Duo potvrđena koncentracija fosfata u serumu &lt; 0,3 mg/d</w:t>
      </w:r>
      <w:r w:rsidR="00776AF0" w:rsidRPr="006927C1">
        <w:rPr>
          <w:bCs/>
          <w:sz w:val="22"/>
          <w:szCs w:val="22"/>
          <w:lang w:val="sr-Latn-ME"/>
        </w:rPr>
        <w:t>l</w:t>
      </w:r>
      <w:r w:rsidRPr="006927C1">
        <w:rPr>
          <w:bCs/>
          <w:sz w:val="22"/>
          <w:szCs w:val="22"/>
          <w:lang w:val="sr-Latn-ME"/>
        </w:rPr>
        <w:t xml:space="preserve"> (0,96 mmol/</w:t>
      </w:r>
      <w:r w:rsidR="00776AF0" w:rsidRPr="006927C1">
        <w:rPr>
          <w:bCs/>
          <w:sz w:val="22"/>
          <w:szCs w:val="22"/>
          <w:lang w:val="sr-Latn-ME"/>
        </w:rPr>
        <w:t>l</w:t>
      </w:r>
      <w:r w:rsidRPr="006927C1">
        <w:rPr>
          <w:bCs/>
          <w:sz w:val="22"/>
          <w:szCs w:val="22"/>
          <w:lang w:val="sr-Latn-ME"/>
        </w:rPr>
        <w:t>), funkciju bubrega treba ponovo proc</w:t>
      </w:r>
      <w:r w:rsidR="00EE212C" w:rsidRPr="006927C1">
        <w:rPr>
          <w:bCs/>
          <w:sz w:val="22"/>
          <w:szCs w:val="22"/>
          <w:lang w:val="sr-Latn-ME"/>
        </w:rPr>
        <w:t>ij</w:t>
      </w:r>
      <w:r w:rsidRPr="006927C1">
        <w:rPr>
          <w:bCs/>
          <w:sz w:val="22"/>
          <w:szCs w:val="22"/>
          <w:lang w:val="sr-Latn-ME"/>
        </w:rPr>
        <w:t>eniti u roku od jedne ned</w:t>
      </w:r>
      <w:r w:rsidR="00EE212C" w:rsidRPr="006927C1">
        <w:rPr>
          <w:bCs/>
          <w:sz w:val="22"/>
          <w:szCs w:val="22"/>
          <w:lang w:val="sr-Latn-ME"/>
        </w:rPr>
        <w:t>j</w:t>
      </w:r>
      <w:r w:rsidRPr="006927C1">
        <w:rPr>
          <w:bCs/>
          <w:sz w:val="22"/>
          <w:szCs w:val="22"/>
          <w:lang w:val="sr-Latn-ME"/>
        </w:rPr>
        <w:t>elje, uključujući m</w:t>
      </w:r>
      <w:r w:rsidR="00EE212C" w:rsidRPr="006927C1">
        <w:rPr>
          <w:bCs/>
          <w:sz w:val="22"/>
          <w:szCs w:val="22"/>
          <w:lang w:val="sr-Latn-ME"/>
        </w:rPr>
        <w:t>j</w:t>
      </w:r>
      <w:r w:rsidRPr="006927C1">
        <w:rPr>
          <w:bCs/>
          <w:sz w:val="22"/>
          <w:szCs w:val="22"/>
          <w:lang w:val="sr-Latn-ME"/>
        </w:rPr>
        <w:t>erenja koncentracije glukoze u krvi, kalijuma u krvi i glukoze u urinu (vidjeti odjeljak 4.8, proksimalna tubulopatija). Ukoliko se posumnja na ili se otkriju abnormalnosti funkcije bubrega, potrebno je konsultovati nefrologa o mogućnosti prekida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 Prekid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 takođe treba razmotriti u slučaju progresivnog slabljenja funkcije bubrega kada nije identifikovan nijedan drugi uzrok.</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Istovremena prim</w:t>
      </w:r>
      <w:r w:rsidR="00EE212C" w:rsidRPr="006927C1">
        <w:rPr>
          <w:bCs/>
          <w:i/>
          <w:sz w:val="22"/>
          <w:szCs w:val="22"/>
          <w:lang w:val="sr-Latn-ME"/>
        </w:rPr>
        <w:t>j</w:t>
      </w:r>
      <w:r w:rsidRPr="006927C1">
        <w:rPr>
          <w:bCs/>
          <w:i/>
          <w:sz w:val="22"/>
          <w:szCs w:val="22"/>
          <w:lang w:val="sr-Latn-ME"/>
        </w:rPr>
        <w:t>ena i rizik od bubrežne toksičnosti</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Važe iste preporuke kao i za odrasle (vidjeti „</w:t>
      </w:r>
      <w:r w:rsidRPr="006927C1">
        <w:rPr>
          <w:bCs/>
          <w:i/>
          <w:sz w:val="22"/>
          <w:szCs w:val="22"/>
          <w:lang w:val="sr-Latn-ME"/>
        </w:rPr>
        <w:t>Istovremena prim</w:t>
      </w:r>
      <w:r w:rsidR="00EE212C" w:rsidRPr="006927C1">
        <w:rPr>
          <w:bCs/>
          <w:i/>
          <w:sz w:val="22"/>
          <w:szCs w:val="22"/>
          <w:lang w:val="sr-Latn-ME"/>
        </w:rPr>
        <w:t>j</w:t>
      </w:r>
      <w:r w:rsidRPr="006927C1">
        <w:rPr>
          <w:bCs/>
          <w:i/>
          <w:sz w:val="22"/>
          <w:szCs w:val="22"/>
          <w:lang w:val="sr-Latn-ME"/>
        </w:rPr>
        <w:t>ena drugih l</w:t>
      </w:r>
      <w:r w:rsidR="00EE212C" w:rsidRPr="006927C1">
        <w:rPr>
          <w:bCs/>
          <w:i/>
          <w:sz w:val="22"/>
          <w:szCs w:val="22"/>
          <w:lang w:val="sr-Latn-ME"/>
        </w:rPr>
        <w:t>j</w:t>
      </w:r>
      <w:r w:rsidRPr="006927C1">
        <w:rPr>
          <w:bCs/>
          <w:i/>
          <w:sz w:val="22"/>
          <w:szCs w:val="22"/>
          <w:lang w:val="sr-Latn-ME"/>
        </w:rPr>
        <w:t xml:space="preserve">ekova“ </w:t>
      </w:r>
      <w:r w:rsidRPr="006927C1">
        <w:rPr>
          <w:bCs/>
          <w:sz w:val="22"/>
          <w:szCs w:val="22"/>
          <w:lang w:val="sr-Latn-ME"/>
        </w:rPr>
        <w:t>u nastavku teksta).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Oštećenje funkcije bubrega</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Prim</w:t>
      </w:r>
      <w:r w:rsidR="00EE212C" w:rsidRPr="006927C1">
        <w:rPr>
          <w:bCs/>
          <w:sz w:val="22"/>
          <w:szCs w:val="22"/>
          <w:lang w:val="sr-Latn-ME"/>
        </w:rPr>
        <w:t>j</w:t>
      </w:r>
      <w:r w:rsidRPr="006927C1">
        <w:rPr>
          <w:bCs/>
          <w:sz w:val="22"/>
          <w:szCs w:val="22"/>
          <w:lang w:val="sr-Latn-ME"/>
        </w:rPr>
        <w:t>ena l</w:t>
      </w:r>
      <w:r w:rsidR="00EE212C" w:rsidRPr="006927C1">
        <w:rPr>
          <w:bCs/>
          <w:sz w:val="22"/>
          <w:szCs w:val="22"/>
          <w:lang w:val="sr-Latn-ME"/>
        </w:rPr>
        <w:t>ij</w:t>
      </w:r>
      <w:r w:rsidRPr="006927C1">
        <w:rPr>
          <w:bCs/>
          <w:sz w:val="22"/>
          <w:szCs w:val="22"/>
          <w:lang w:val="sr-Latn-ME"/>
        </w:rPr>
        <w:t xml:space="preserve">eka Gilestra Duo se ne preporučuje kod osoba </w:t>
      </w:r>
      <w:r w:rsidR="00AE4815" w:rsidRPr="006927C1">
        <w:rPr>
          <w:bCs/>
          <w:sz w:val="22"/>
          <w:szCs w:val="22"/>
          <w:lang w:val="sr-Latn-ME"/>
        </w:rPr>
        <w:t>ml</w:t>
      </w:r>
      <w:r w:rsidRPr="006927C1">
        <w:rPr>
          <w:bCs/>
          <w:sz w:val="22"/>
          <w:szCs w:val="22"/>
          <w:lang w:val="sr-Latn-ME"/>
        </w:rPr>
        <w:t>ađih od 18 godina sa oštećenom funkcijom bubrega (vidjeti odjeljak 4.2). L</w:t>
      </w:r>
      <w:r w:rsidR="00EE212C" w:rsidRPr="006927C1">
        <w:rPr>
          <w:bCs/>
          <w:sz w:val="22"/>
          <w:szCs w:val="22"/>
          <w:lang w:val="sr-Latn-ME"/>
        </w:rPr>
        <w:t>ij</w:t>
      </w:r>
      <w:r w:rsidRPr="006927C1">
        <w:rPr>
          <w:bCs/>
          <w:sz w:val="22"/>
          <w:szCs w:val="22"/>
          <w:lang w:val="sr-Latn-ME"/>
        </w:rPr>
        <w:t>ek Gilestra Duo ne treba uvoditi u terapiju kod pedijatrijskih pacijenata sa oštećenom funkcijom bubrega i treba prekinuti prim</w:t>
      </w:r>
      <w:r w:rsidR="00EE212C" w:rsidRPr="006927C1">
        <w:rPr>
          <w:bCs/>
          <w:sz w:val="22"/>
          <w:szCs w:val="22"/>
          <w:lang w:val="sr-Latn-ME"/>
        </w:rPr>
        <w:t>j</w:t>
      </w:r>
      <w:r w:rsidRPr="006927C1">
        <w:rPr>
          <w:bCs/>
          <w:sz w:val="22"/>
          <w:szCs w:val="22"/>
          <w:lang w:val="sr-Latn-ME"/>
        </w:rPr>
        <w:t>enu kod pedijatrijskih pacijenata kod kojih dođe do oštećenja funkcije bubrega tokom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Efekti na kosti</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Prim</w:t>
      </w:r>
      <w:r w:rsidR="00EE212C" w:rsidRPr="006927C1">
        <w:rPr>
          <w:bCs/>
          <w:sz w:val="22"/>
          <w:szCs w:val="22"/>
          <w:lang w:val="sr-Latn-ME"/>
        </w:rPr>
        <w:t>j</w:t>
      </w:r>
      <w:r w:rsidRPr="006927C1">
        <w:rPr>
          <w:bCs/>
          <w:sz w:val="22"/>
          <w:szCs w:val="22"/>
          <w:lang w:val="sr-Latn-ME"/>
        </w:rPr>
        <w:t>ena tenofovir dizoproksila može da izazove smanjenje BMD-a. Efekti prom</w:t>
      </w:r>
      <w:r w:rsidR="00EE212C" w:rsidRPr="006927C1">
        <w:rPr>
          <w:bCs/>
          <w:sz w:val="22"/>
          <w:szCs w:val="22"/>
          <w:lang w:val="sr-Latn-ME"/>
        </w:rPr>
        <w:t>j</w:t>
      </w:r>
      <w:r w:rsidRPr="006927C1">
        <w:rPr>
          <w:bCs/>
          <w:sz w:val="22"/>
          <w:szCs w:val="22"/>
          <w:lang w:val="sr-Latn-ME"/>
        </w:rPr>
        <w:t>ena BMD-a povezanih sa tenofovir dizoproksilom na dugoročno zdravlje kostiju i rizik od budućih fraktura trenutno ni</w:t>
      </w:r>
      <w:r w:rsidR="00776AF0" w:rsidRPr="006927C1">
        <w:rPr>
          <w:bCs/>
          <w:sz w:val="22"/>
          <w:szCs w:val="22"/>
          <w:lang w:val="sr-Latn-ME"/>
        </w:rPr>
        <w:t>je</w:t>
      </w:r>
      <w:r w:rsidRPr="006927C1">
        <w:rPr>
          <w:bCs/>
          <w:sz w:val="22"/>
          <w:szCs w:val="22"/>
          <w:lang w:val="sr-Latn-ME"/>
        </w:rPr>
        <w:t>su poznati (vidjeti odjeljak 5.1).</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Ukoliko se otkriju ili se posumnja na abnormalnosti kostiju tokom prim</w:t>
      </w:r>
      <w:r w:rsidR="00EE212C" w:rsidRPr="006927C1">
        <w:rPr>
          <w:bCs/>
          <w:sz w:val="22"/>
          <w:szCs w:val="22"/>
          <w:lang w:val="sr-Latn-ME"/>
        </w:rPr>
        <w:t>j</w:t>
      </w:r>
      <w:r w:rsidRPr="006927C1">
        <w:rPr>
          <w:bCs/>
          <w:sz w:val="22"/>
          <w:szCs w:val="22"/>
          <w:lang w:val="sr-Latn-ME"/>
        </w:rPr>
        <w:t>ene l</w:t>
      </w:r>
      <w:r w:rsidR="00EE212C" w:rsidRPr="006927C1">
        <w:rPr>
          <w:bCs/>
          <w:sz w:val="22"/>
          <w:szCs w:val="22"/>
          <w:lang w:val="sr-Latn-ME"/>
        </w:rPr>
        <w:t>ij</w:t>
      </w:r>
      <w:r w:rsidRPr="006927C1">
        <w:rPr>
          <w:bCs/>
          <w:sz w:val="22"/>
          <w:szCs w:val="22"/>
          <w:lang w:val="sr-Latn-ME"/>
        </w:rPr>
        <w:t>eka Gilestra Duo kod bilo kog pedijatrijskog pacijenta, potrebno je konsultovati endokrinologa i/ili nefrologa.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T</w:t>
      </w:r>
      <w:r w:rsidR="00EE212C" w:rsidRPr="006927C1">
        <w:rPr>
          <w:bCs/>
          <w:sz w:val="22"/>
          <w:szCs w:val="22"/>
          <w:u w:val="single"/>
          <w:lang w:val="sr-Latn-ME"/>
        </w:rPr>
        <w:t>j</w:t>
      </w:r>
      <w:r w:rsidRPr="006927C1">
        <w:rPr>
          <w:bCs/>
          <w:sz w:val="22"/>
          <w:szCs w:val="22"/>
          <w:u w:val="single"/>
          <w:lang w:val="sr-Latn-ME"/>
        </w:rPr>
        <w:t>elesna masa i metabolički parametri</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Povećanja t</w:t>
      </w:r>
      <w:r w:rsidR="00EE212C" w:rsidRPr="006927C1">
        <w:rPr>
          <w:bCs/>
          <w:sz w:val="22"/>
          <w:szCs w:val="22"/>
          <w:lang w:val="sr-Latn-ME"/>
        </w:rPr>
        <w:t>j</w:t>
      </w:r>
      <w:r w:rsidRPr="006927C1">
        <w:rPr>
          <w:bCs/>
          <w:sz w:val="22"/>
          <w:szCs w:val="22"/>
          <w:lang w:val="sr-Latn-ME"/>
        </w:rPr>
        <w:t>elesne mase i nivoa lipida i glukoze u krvi mogu da se pojave tokom ant</w:t>
      </w:r>
      <w:r w:rsidR="00EE212C" w:rsidRPr="006927C1">
        <w:rPr>
          <w:bCs/>
          <w:sz w:val="22"/>
          <w:szCs w:val="22"/>
          <w:lang w:val="sr-Latn-ME"/>
        </w:rPr>
        <w:t xml:space="preserve">iretrovirusne terapije. Ovakve </w:t>
      </w:r>
      <w:r w:rsidRPr="006927C1">
        <w:rPr>
          <w:bCs/>
          <w:sz w:val="22"/>
          <w:szCs w:val="22"/>
          <w:lang w:val="sr-Latn-ME"/>
        </w:rPr>
        <w:t>prom</w:t>
      </w:r>
      <w:r w:rsidR="00EE212C" w:rsidRPr="006927C1">
        <w:rPr>
          <w:bCs/>
          <w:sz w:val="22"/>
          <w:szCs w:val="22"/>
          <w:lang w:val="sr-Latn-ME"/>
        </w:rPr>
        <w:t>j</w:t>
      </w:r>
      <w:r w:rsidRPr="006927C1">
        <w:rPr>
          <w:bCs/>
          <w:sz w:val="22"/>
          <w:szCs w:val="22"/>
          <w:lang w:val="sr-Latn-ME"/>
        </w:rPr>
        <w:t>ene mogu d</w:t>
      </w:r>
      <w:r w:rsidR="00776AF0" w:rsidRPr="006927C1">
        <w:rPr>
          <w:bCs/>
          <w:sz w:val="22"/>
          <w:szCs w:val="22"/>
          <w:lang w:val="sr-Latn-ME"/>
        </w:rPr>
        <w:t>j</w:t>
      </w:r>
      <w:r w:rsidRPr="006927C1">
        <w:rPr>
          <w:bCs/>
          <w:sz w:val="22"/>
          <w:szCs w:val="22"/>
          <w:lang w:val="sr-Latn-ME"/>
        </w:rPr>
        <w:t>elimično da budu povezane sa kontrolom bolesti i stilom života. Za lipide, u nekim slučajevima postoje dokazi o efektu terapije, dok za povećanje t</w:t>
      </w:r>
      <w:r w:rsidR="00EE212C" w:rsidRPr="006927C1">
        <w:rPr>
          <w:bCs/>
          <w:sz w:val="22"/>
          <w:szCs w:val="22"/>
          <w:lang w:val="sr-Latn-ME"/>
        </w:rPr>
        <w:t>j</w:t>
      </w:r>
      <w:r w:rsidRPr="006927C1">
        <w:rPr>
          <w:bCs/>
          <w:sz w:val="22"/>
          <w:szCs w:val="22"/>
          <w:lang w:val="sr-Latn-ME"/>
        </w:rPr>
        <w:t>elesne mase ne postoje snažni dokazi kojima bi se ovo povezalo sa bilo kojom određenom terapijom. Za praćenje lipida i glukoze u krvi date su preporuke u ustanovljenim sm</w:t>
      </w:r>
      <w:r w:rsidR="00EE212C" w:rsidRPr="006927C1">
        <w:rPr>
          <w:bCs/>
          <w:sz w:val="22"/>
          <w:szCs w:val="22"/>
          <w:lang w:val="sr-Latn-ME"/>
        </w:rPr>
        <w:t>j</w:t>
      </w:r>
      <w:r w:rsidRPr="006927C1">
        <w:rPr>
          <w:bCs/>
          <w:sz w:val="22"/>
          <w:szCs w:val="22"/>
          <w:lang w:val="sr-Latn-ME"/>
        </w:rPr>
        <w:t>ernicama za liječenje HIV-a. Poremećaje lipida treba l</w:t>
      </w:r>
      <w:r w:rsidR="00EE212C" w:rsidRPr="006927C1">
        <w:rPr>
          <w:bCs/>
          <w:sz w:val="22"/>
          <w:szCs w:val="22"/>
          <w:lang w:val="sr-Latn-ME"/>
        </w:rPr>
        <w:t>ij</w:t>
      </w:r>
      <w:r w:rsidRPr="006927C1">
        <w:rPr>
          <w:bCs/>
          <w:sz w:val="22"/>
          <w:szCs w:val="22"/>
          <w:lang w:val="sr-Latn-ME"/>
        </w:rPr>
        <w:t xml:space="preserve">ečiti na klinički </w:t>
      </w:r>
      <w:r w:rsidR="00776AF0" w:rsidRPr="006927C1">
        <w:rPr>
          <w:bCs/>
          <w:sz w:val="22"/>
          <w:szCs w:val="22"/>
          <w:lang w:val="sr-Latn-ME"/>
        </w:rPr>
        <w:t xml:space="preserve">odgovarajući </w:t>
      </w:r>
      <w:r w:rsidRPr="006927C1">
        <w:rPr>
          <w:bCs/>
          <w:sz w:val="22"/>
          <w:szCs w:val="22"/>
          <w:lang w:val="sr-Latn-ME"/>
        </w:rPr>
        <w:t>način.</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 xml:space="preserve">Disfunkcija mitohondrija nakon ekspozicije </w:t>
      </w:r>
      <w:r w:rsidRPr="006927C1">
        <w:rPr>
          <w:bCs/>
          <w:i/>
          <w:sz w:val="22"/>
          <w:szCs w:val="22"/>
          <w:u w:val="single"/>
          <w:lang w:val="sr-Latn-ME"/>
        </w:rPr>
        <w:t>in utero</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Analozi nukleozida i nukleotida mogu da imaju uticaj na funkciju mitohondrija u različitom stepenu, što je najizraženije kod stavudina, didanozina i zidovudina. Postoje nalazi o disfunkciji mitohondrija kod HIV negativne d</w:t>
      </w:r>
      <w:r w:rsidR="00EE212C" w:rsidRPr="006927C1">
        <w:rPr>
          <w:bCs/>
          <w:sz w:val="22"/>
          <w:szCs w:val="22"/>
          <w:lang w:val="sr-Latn-ME"/>
        </w:rPr>
        <w:t>j</w:t>
      </w:r>
      <w:r w:rsidRPr="006927C1">
        <w:rPr>
          <w:bCs/>
          <w:sz w:val="22"/>
          <w:szCs w:val="22"/>
          <w:lang w:val="sr-Latn-ME"/>
        </w:rPr>
        <w:t xml:space="preserve">ece koja su </w:t>
      </w:r>
      <w:r w:rsidRPr="006927C1">
        <w:rPr>
          <w:bCs/>
          <w:i/>
          <w:sz w:val="22"/>
          <w:szCs w:val="22"/>
          <w:lang w:val="sr-Latn-ME"/>
        </w:rPr>
        <w:t xml:space="preserve">in utero </w:t>
      </w:r>
      <w:r w:rsidRPr="006927C1">
        <w:rPr>
          <w:bCs/>
          <w:sz w:val="22"/>
          <w:szCs w:val="22"/>
          <w:lang w:val="sr-Latn-ME"/>
        </w:rPr>
        <w:t>i/ili postnatalno bila izložena analozima nukleozida; oni su se prevashodno odnosili na terapijske režime koji su</w:t>
      </w:r>
      <w:r w:rsidR="00EE212C" w:rsidRPr="006927C1">
        <w:rPr>
          <w:bCs/>
          <w:sz w:val="22"/>
          <w:szCs w:val="22"/>
          <w:lang w:val="sr-Latn-ME"/>
        </w:rPr>
        <w:t xml:space="preserve"> sadržali zidovudin. Glavne zabi</w:t>
      </w:r>
      <w:r w:rsidRPr="006927C1">
        <w:rPr>
          <w:bCs/>
          <w:sz w:val="22"/>
          <w:szCs w:val="22"/>
          <w:lang w:val="sr-Latn-ME"/>
        </w:rPr>
        <w:t>l</w:t>
      </w:r>
      <w:r w:rsidR="00EE212C" w:rsidRPr="006927C1">
        <w:rPr>
          <w:bCs/>
          <w:sz w:val="22"/>
          <w:szCs w:val="22"/>
          <w:lang w:val="sr-Latn-ME"/>
        </w:rPr>
        <w:t>j</w:t>
      </w:r>
      <w:r w:rsidRPr="006927C1">
        <w:rPr>
          <w:bCs/>
          <w:sz w:val="22"/>
          <w:szCs w:val="22"/>
          <w:lang w:val="sr-Latn-ME"/>
        </w:rPr>
        <w:t xml:space="preserve">ežene neželjene </w:t>
      </w:r>
      <w:r w:rsidR="00EE212C" w:rsidRPr="006927C1">
        <w:rPr>
          <w:bCs/>
          <w:sz w:val="22"/>
          <w:szCs w:val="22"/>
          <w:lang w:val="sr-Latn-ME"/>
        </w:rPr>
        <w:t xml:space="preserve">reakcije bile su hematološki </w:t>
      </w:r>
      <w:r w:rsidRPr="006927C1">
        <w:rPr>
          <w:bCs/>
          <w:sz w:val="22"/>
          <w:szCs w:val="22"/>
          <w:lang w:val="sr-Latn-ME"/>
        </w:rPr>
        <w:t>poremećaji (anemija, neutropenija) i metabolički poremećaji (hiperlaktatemija, hiperlipazemija). Ovi događaji su obično bili prolazni. R</w:t>
      </w:r>
      <w:r w:rsidR="00EE212C" w:rsidRPr="006927C1">
        <w:rPr>
          <w:bCs/>
          <w:sz w:val="22"/>
          <w:szCs w:val="22"/>
          <w:lang w:val="sr-Latn-ME"/>
        </w:rPr>
        <w:t>ijetko su zabi</w:t>
      </w:r>
      <w:r w:rsidRPr="006927C1">
        <w:rPr>
          <w:bCs/>
          <w:sz w:val="22"/>
          <w:szCs w:val="22"/>
          <w:lang w:val="sr-Latn-ME"/>
        </w:rPr>
        <w:t>l</w:t>
      </w:r>
      <w:r w:rsidR="00EE212C" w:rsidRPr="006927C1">
        <w:rPr>
          <w:bCs/>
          <w:sz w:val="22"/>
          <w:szCs w:val="22"/>
          <w:lang w:val="sr-Latn-ME"/>
        </w:rPr>
        <w:t>j</w:t>
      </w:r>
      <w:r w:rsidRPr="006927C1">
        <w:rPr>
          <w:bCs/>
          <w:sz w:val="22"/>
          <w:szCs w:val="22"/>
          <w:lang w:val="sr-Latn-ME"/>
        </w:rPr>
        <w:t>eženi neurološki poremećaji sa kasnim početkom ispoljavanja (hipertonija, konvulzija, poremećaji ponašanja). Trenutno nije poznato da li su ovi neurološki poremećaji prolazni ili stalni. Ove nalaze treba uzeti u obzir kod svakog d</w:t>
      </w:r>
      <w:r w:rsidR="00EE212C" w:rsidRPr="006927C1">
        <w:rPr>
          <w:bCs/>
          <w:sz w:val="22"/>
          <w:szCs w:val="22"/>
          <w:lang w:val="sr-Latn-ME"/>
        </w:rPr>
        <w:t>j</w:t>
      </w:r>
      <w:r w:rsidRPr="006927C1">
        <w:rPr>
          <w:bCs/>
          <w:sz w:val="22"/>
          <w:szCs w:val="22"/>
          <w:lang w:val="sr-Latn-ME"/>
        </w:rPr>
        <w:t xml:space="preserve">eteta koje je bilo </w:t>
      </w:r>
      <w:r w:rsidRPr="006927C1">
        <w:rPr>
          <w:bCs/>
          <w:i/>
          <w:sz w:val="22"/>
          <w:szCs w:val="22"/>
          <w:lang w:val="sr-Latn-ME"/>
        </w:rPr>
        <w:t xml:space="preserve">in utero </w:t>
      </w:r>
      <w:r w:rsidRPr="006927C1">
        <w:rPr>
          <w:bCs/>
          <w:sz w:val="22"/>
          <w:szCs w:val="22"/>
          <w:lang w:val="sr-Latn-ME"/>
        </w:rPr>
        <w:t>izloženo analozima nukleozida ili nukleotida, a koje ima tešku kliničku sliku nepoznate etiologije, pogotovo neurološke nalaze. Ovi nalazi ne utiču na trenutno važeće nacionalne preporuke za prim</w:t>
      </w:r>
      <w:r w:rsidR="00EE212C" w:rsidRPr="006927C1">
        <w:rPr>
          <w:bCs/>
          <w:sz w:val="22"/>
          <w:szCs w:val="22"/>
          <w:lang w:val="sr-Latn-ME"/>
        </w:rPr>
        <w:t>j</w:t>
      </w:r>
      <w:r w:rsidRPr="006927C1">
        <w:rPr>
          <w:bCs/>
          <w:sz w:val="22"/>
          <w:szCs w:val="22"/>
          <w:lang w:val="sr-Latn-ME"/>
        </w:rPr>
        <w:t>enu antiretrovirusne terapije kod trudnica radi spr</w:t>
      </w:r>
      <w:r w:rsidR="00EE212C" w:rsidRPr="006927C1">
        <w:rPr>
          <w:bCs/>
          <w:sz w:val="22"/>
          <w:szCs w:val="22"/>
          <w:lang w:val="sr-Latn-ME"/>
        </w:rPr>
        <w:t>j</w:t>
      </w:r>
      <w:r w:rsidRPr="006927C1">
        <w:rPr>
          <w:bCs/>
          <w:sz w:val="22"/>
          <w:szCs w:val="22"/>
          <w:lang w:val="sr-Latn-ME"/>
        </w:rPr>
        <w:t>ečavanja vertikalne transmisije HIV-a.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Sindrom imunske reaktivacije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Kod pacijenata inficiranih virusom HIV-a sa teškom imunodeficijencijom u vr</w:t>
      </w:r>
      <w:r w:rsidR="00EE212C" w:rsidRPr="006927C1">
        <w:rPr>
          <w:bCs/>
          <w:sz w:val="22"/>
          <w:szCs w:val="22"/>
          <w:lang w:val="sr-Latn-ME"/>
        </w:rPr>
        <w:t>ij</w:t>
      </w:r>
      <w:r w:rsidRPr="006927C1">
        <w:rPr>
          <w:bCs/>
          <w:sz w:val="22"/>
          <w:szCs w:val="22"/>
          <w:lang w:val="sr-Latn-ME"/>
        </w:rPr>
        <w:t>eme započinjanja CART-a, može da se javi inflamatorna reakcija na asimptomatske ili rezidualne oportunističke patogene i da dovede do ozbiljnih kliničkih stanja ili do pogoršanja simptoma. Ove reakcije se tipično javljaju tokom prvih nekoliko ned</w:t>
      </w:r>
      <w:r w:rsidR="00EE212C" w:rsidRPr="006927C1">
        <w:rPr>
          <w:bCs/>
          <w:sz w:val="22"/>
          <w:szCs w:val="22"/>
          <w:lang w:val="sr-Latn-ME"/>
        </w:rPr>
        <w:t>j</w:t>
      </w:r>
      <w:r w:rsidRPr="006927C1">
        <w:rPr>
          <w:bCs/>
          <w:sz w:val="22"/>
          <w:szCs w:val="22"/>
          <w:lang w:val="sr-Latn-ME"/>
        </w:rPr>
        <w:t>elja ili m</w:t>
      </w:r>
      <w:r w:rsidR="00EE212C" w:rsidRPr="006927C1">
        <w:rPr>
          <w:bCs/>
          <w:sz w:val="22"/>
          <w:szCs w:val="22"/>
          <w:lang w:val="sr-Latn-ME"/>
        </w:rPr>
        <w:t>j</w:t>
      </w:r>
      <w:r w:rsidRPr="006927C1">
        <w:rPr>
          <w:bCs/>
          <w:sz w:val="22"/>
          <w:szCs w:val="22"/>
          <w:lang w:val="sr-Latn-ME"/>
        </w:rPr>
        <w:t>eseci od započinjanja CART. Relevantni prim</w:t>
      </w:r>
      <w:r w:rsidR="00EE212C" w:rsidRPr="006927C1">
        <w:rPr>
          <w:bCs/>
          <w:sz w:val="22"/>
          <w:szCs w:val="22"/>
          <w:lang w:val="sr-Latn-ME"/>
        </w:rPr>
        <w:t>j</w:t>
      </w:r>
      <w:r w:rsidRPr="006927C1">
        <w:rPr>
          <w:bCs/>
          <w:sz w:val="22"/>
          <w:szCs w:val="22"/>
          <w:lang w:val="sr-Latn-ME"/>
        </w:rPr>
        <w:t xml:space="preserve">eri su retinitis izazvan citomegalovirusom, generalizovane i/ili fokalne mikobakterijske infekcije i pneumonija izazvana </w:t>
      </w:r>
      <w:r w:rsidRPr="006927C1">
        <w:rPr>
          <w:bCs/>
          <w:sz w:val="22"/>
          <w:szCs w:val="22"/>
          <w:lang w:val="sr-Latn-ME"/>
        </w:rPr>
        <w:lastRenderedPageBreak/>
        <w:t xml:space="preserve">gljivicom </w:t>
      </w:r>
      <w:r w:rsidRPr="006927C1">
        <w:rPr>
          <w:bCs/>
          <w:i/>
          <w:sz w:val="22"/>
          <w:szCs w:val="22"/>
          <w:lang w:val="sr-Latn-ME"/>
        </w:rPr>
        <w:t>Pneumocystis jirovecii</w:t>
      </w:r>
      <w:r w:rsidRPr="006927C1">
        <w:rPr>
          <w:bCs/>
          <w:sz w:val="22"/>
          <w:szCs w:val="22"/>
          <w:lang w:val="sr-Latn-ME"/>
        </w:rPr>
        <w:t>. Sve inflamatorne simptome treba proc</w:t>
      </w:r>
      <w:r w:rsidR="00EE212C" w:rsidRPr="006927C1">
        <w:rPr>
          <w:bCs/>
          <w:sz w:val="22"/>
          <w:szCs w:val="22"/>
          <w:lang w:val="sr-Latn-ME"/>
        </w:rPr>
        <w:t>ij</w:t>
      </w:r>
      <w:r w:rsidRPr="006927C1">
        <w:rPr>
          <w:bCs/>
          <w:sz w:val="22"/>
          <w:szCs w:val="22"/>
          <w:lang w:val="sr-Latn-ME"/>
        </w:rPr>
        <w:t>eniti i, kada je to neophodno, treba započeti odgovarajuću terapiju.</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 xml:space="preserve">Autoimunski poremećaji (kao što su </w:t>
      </w:r>
      <w:r w:rsidRPr="006927C1">
        <w:rPr>
          <w:bCs/>
          <w:i/>
          <w:sz w:val="22"/>
          <w:szCs w:val="22"/>
          <w:lang w:val="sr-Latn-ME"/>
        </w:rPr>
        <w:t>Graves</w:t>
      </w:r>
      <w:r w:rsidRPr="006927C1">
        <w:rPr>
          <w:bCs/>
          <w:sz w:val="22"/>
          <w:szCs w:val="22"/>
          <w:lang w:val="sr-Latn-ME"/>
        </w:rPr>
        <w:t>-ova bolest i autoimunsk</w:t>
      </w:r>
      <w:r w:rsidR="00EE212C" w:rsidRPr="006927C1">
        <w:rPr>
          <w:bCs/>
          <w:sz w:val="22"/>
          <w:szCs w:val="22"/>
          <w:lang w:val="sr-Latn-ME"/>
        </w:rPr>
        <w:t>i hepatitis) takođe su bili zabi</w:t>
      </w:r>
      <w:r w:rsidRPr="006927C1">
        <w:rPr>
          <w:bCs/>
          <w:sz w:val="22"/>
          <w:szCs w:val="22"/>
          <w:lang w:val="sr-Latn-ME"/>
        </w:rPr>
        <w:t>l</w:t>
      </w:r>
      <w:r w:rsidR="00EE212C" w:rsidRPr="006927C1">
        <w:rPr>
          <w:bCs/>
          <w:sz w:val="22"/>
          <w:szCs w:val="22"/>
          <w:lang w:val="sr-Latn-ME"/>
        </w:rPr>
        <w:t>j</w:t>
      </w:r>
      <w:r w:rsidRPr="006927C1">
        <w:rPr>
          <w:bCs/>
          <w:sz w:val="22"/>
          <w:szCs w:val="22"/>
          <w:lang w:val="sr-Latn-ME"/>
        </w:rPr>
        <w:t>eženi u kontekstu imunske reaktivacije; međutim, prijavljeno vr</w:t>
      </w:r>
      <w:r w:rsidR="00EE212C" w:rsidRPr="006927C1">
        <w:rPr>
          <w:bCs/>
          <w:sz w:val="22"/>
          <w:szCs w:val="22"/>
          <w:lang w:val="sr-Latn-ME"/>
        </w:rPr>
        <w:t>ij</w:t>
      </w:r>
      <w:r w:rsidRPr="006927C1">
        <w:rPr>
          <w:bCs/>
          <w:sz w:val="22"/>
          <w:szCs w:val="22"/>
          <w:lang w:val="sr-Latn-ME"/>
        </w:rPr>
        <w:t>eme do početka javljanja poremećaja je više varijabilno i ovi događaji mogu da se jave mnogo m</w:t>
      </w:r>
      <w:r w:rsidR="00EE212C" w:rsidRPr="006927C1">
        <w:rPr>
          <w:bCs/>
          <w:sz w:val="22"/>
          <w:szCs w:val="22"/>
          <w:lang w:val="sr-Latn-ME"/>
        </w:rPr>
        <w:t>j</w:t>
      </w:r>
      <w:r w:rsidRPr="006927C1">
        <w:rPr>
          <w:bCs/>
          <w:sz w:val="22"/>
          <w:szCs w:val="22"/>
          <w:lang w:val="sr-Latn-ME"/>
        </w:rPr>
        <w:t>eseci nakon započinjanja liječenja.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Oportunističke infekcije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HIV-1 inficirani pacijenti koji primaju l</w:t>
      </w:r>
      <w:r w:rsidR="00EE212C" w:rsidRPr="006927C1">
        <w:rPr>
          <w:bCs/>
          <w:sz w:val="22"/>
          <w:szCs w:val="22"/>
          <w:lang w:val="sr-Latn-ME"/>
        </w:rPr>
        <w:t>ij</w:t>
      </w:r>
      <w:r w:rsidRPr="006927C1">
        <w:rPr>
          <w:bCs/>
          <w:sz w:val="22"/>
          <w:szCs w:val="22"/>
          <w:lang w:val="sr-Latn-ME"/>
        </w:rPr>
        <w:t>ek Gilestra Duo ili bilo koju drugu antiretrovirusnu terapiju mogu i dalje da razvijaju oportunističke infekcije i druge komplikacije infekcije izazvane virusom HIV-a i zato treba da ostanu pod pažljivim kliničkim nadzorom l</w:t>
      </w:r>
      <w:r w:rsidR="00EE212C" w:rsidRPr="006927C1">
        <w:rPr>
          <w:bCs/>
          <w:sz w:val="22"/>
          <w:szCs w:val="22"/>
          <w:lang w:val="sr-Latn-ME"/>
        </w:rPr>
        <w:t>j</w:t>
      </w:r>
      <w:r w:rsidRPr="006927C1">
        <w:rPr>
          <w:bCs/>
          <w:sz w:val="22"/>
          <w:szCs w:val="22"/>
          <w:lang w:val="sr-Latn-ME"/>
        </w:rPr>
        <w:t>ekara sa iskustvom u liječenju pacijenata sa oboljenjima povezanim sa HIV- om.</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Osteonekroza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Iako se smatra da je etiologija multifaktorijalna (prim</w:t>
      </w:r>
      <w:r w:rsidR="00EE212C" w:rsidRPr="006927C1">
        <w:rPr>
          <w:bCs/>
          <w:sz w:val="22"/>
          <w:szCs w:val="22"/>
          <w:lang w:val="sr-Latn-ME"/>
        </w:rPr>
        <w:t>j</w:t>
      </w:r>
      <w:r w:rsidRPr="006927C1">
        <w:rPr>
          <w:bCs/>
          <w:sz w:val="22"/>
          <w:szCs w:val="22"/>
          <w:lang w:val="sr-Latn-ME"/>
        </w:rPr>
        <w:t>ena kortikosteroida, konzumiranje alkohola, teška imunosupresija, povećan indeks t</w:t>
      </w:r>
      <w:r w:rsidR="00EE212C" w:rsidRPr="006927C1">
        <w:rPr>
          <w:bCs/>
          <w:sz w:val="22"/>
          <w:szCs w:val="22"/>
          <w:lang w:val="sr-Latn-ME"/>
        </w:rPr>
        <w:t>j</w:t>
      </w:r>
      <w:r w:rsidRPr="006927C1">
        <w:rPr>
          <w:bCs/>
          <w:sz w:val="22"/>
          <w:szCs w:val="22"/>
          <w:lang w:val="sr-Latn-ME"/>
        </w:rPr>
        <w:t xml:space="preserve">elesne mase), prijavljeni su slučajevi osteonekroze posebno kod pacijenata sa uznapredovalim HIV oboljenjem i/ili sa dugoročnom izloženošću CART-u. Pacijente treba </w:t>
      </w:r>
      <w:r w:rsidR="00F40A13" w:rsidRPr="006927C1">
        <w:rPr>
          <w:bCs/>
          <w:sz w:val="22"/>
          <w:szCs w:val="22"/>
          <w:lang w:val="sr-Latn-ME"/>
        </w:rPr>
        <w:t xml:space="preserve">uputiti </w:t>
      </w:r>
      <w:r w:rsidRPr="006927C1">
        <w:rPr>
          <w:bCs/>
          <w:sz w:val="22"/>
          <w:szCs w:val="22"/>
          <w:lang w:val="sr-Latn-ME"/>
        </w:rPr>
        <w:t>da zatraže medicinski sav</w:t>
      </w:r>
      <w:r w:rsidR="00EE212C" w:rsidRPr="006927C1">
        <w:rPr>
          <w:bCs/>
          <w:sz w:val="22"/>
          <w:szCs w:val="22"/>
          <w:lang w:val="sr-Latn-ME"/>
        </w:rPr>
        <w:t>j</w:t>
      </w:r>
      <w:r w:rsidRPr="006927C1">
        <w:rPr>
          <w:bCs/>
          <w:sz w:val="22"/>
          <w:szCs w:val="22"/>
          <w:lang w:val="sr-Latn-ME"/>
        </w:rPr>
        <w:t>et ukoliko os</w:t>
      </w:r>
      <w:r w:rsidR="00EE212C" w:rsidRPr="006927C1">
        <w:rPr>
          <w:bCs/>
          <w:sz w:val="22"/>
          <w:szCs w:val="22"/>
          <w:lang w:val="sr-Latn-ME"/>
        </w:rPr>
        <w:t>j</w:t>
      </w:r>
      <w:r w:rsidRPr="006927C1">
        <w:rPr>
          <w:bCs/>
          <w:sz w:val="22"/>
          <w:szCs w:val="22"/>
          <w:lang w:val="sr-Latn-ME"/>
        </w:rPr>
        <w:t>ete bolove u zglobovima, ukočenost u zglobovima ili teškoće pri kretanju.</w:t>
      </w:r>
    </w:p>
    <w:p w:rsidR="005B1147" w:rsidRPr="006927C1" w:rsidRDefault="005B1147">
      <w:pPr>
        <w:tabs>
          <w:tab w:val="left" w:pos="540"/>
          <w:tab w:val="left" w:pos="569"/>
        </w:tabs>
        <w:jc w:val="both"/>
        <w:rPr>
          <w:bCs/>
          <w:i/>
          <w:sz w:val="22"/>
          <w:szCs w:val="22"/>
          <w:lang w:val="sr-Latn-ME"/>
        </w:rPr>
      </w:pPr>
    </w:p>
    <w:p w:rsidR="005B1147" w:rsidRPr="006927C1" w:rsidRDefault="005B1147">
      <w:pPr>
        <w:tabs>
          <w:tab w:val="left" w:pos="540"/>
          <w:tab w:val="left" w:pos="569"/>
        </w:tabs>
        <w:jc w:val="both"/>
        <w:rPr>
          <w:bCs/>
          <w:sz w:val="22"/>
          <w:szCs w:val="22"/>
          <w:u w:val="single"/>
          <w:lang w:val="sr-Latn-ME"/>
        </w:rPr>
      </w:pPr>
      <w:r w:rsidRPr="006927C1">
        <w:rPr>
          <w:bCs/>
          <w:sz w:val="22"/>
          <w:szCs w:val="22"/>
          <w:u w:val="single"/>
          <w:lang w:val="sr-Latn-ME"/>
        </w:rPr>
        <w:t>Istovremena prim</w:t>
      </w:r>
      <w:r w:rsidR="00EE212C" w:rsidRPr="006927C1">
        <w:rPr>
          <w:bCs/>
          <w:sz w:val="22"/>
          <w:szCs w:val="22"/>
          <w:u w:val="single"/>
          <w:lang w:val="sr-Latn-ME"/>
        </w:rPr>
        <w:t>j</w:t>
      </w:r>
      <w:r w:rsidRPr="006927C1">
        <w:rPr>
          <w:bCs/>
          <w:sz w:val="22"/>
          <w:szCs w:val="22"/>
          <w:u w:val="single"/>
          <w:lang w:val="sr-Latn-ME"/>
        </w:rPr>
        <w:t>ena drugih l</w:t>
      </w:r>
      <w:r w:rsidR="00EE212C" w:rsidRPr="006927C1">
        <w:rPr>
          <w:bCs/>
          <w:sz w:val="22"/>
          <w:szCs w:val="22"/>
          <w:u w:val="single"/>
          <w:lang w:val="sr-Latn-ME"/>
        </w:rPr>
        <w:t>j</w:t>
      </w:r>
      <w:r w:rsidRPr="006927C1">
        <w:rPr>
          <w:bCs/>
          <w:sz w:val="22"/>
          <w:szCs w:val="22"/>
          <w:u w:val="single"/>
          <w:lang w:val="sr-Latn-ME"/>
        </w:rPr>
        <w:t xml:space="preserve">ekova </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Treba izb</w:t>
      </w:r>
      <w:r w:rsidR="00EE212C" w:rsidRPr="006927C1">
        <w:rPr>
          <w:bCs/>
          <w:sz w:val="22"/>
          <w:szCs w:val="22"/>
          <w:lang w:val="sr-Latn-ME"/>
        </w:rPr>
        <w:t>j</w:t>
      </w:r>
      <w:r w:rsidRPr="006927C1">
        <w:rPr>
          <w:bCs/>
          <w:sz w:val="22"/>
          <w:szCs w:val="22"/>
          <w:lang w:val="sr-Latn-ME"/>
        </w:rPr>
        <w:t>egavati prim</w:t>
      </w:r>
      <w:r w:rsidR="00EE212C" w:rsidRPr="006927C1">
        <w:rPr>
          <w:bCs/>
          <w:sz w:val="22"/>
          <w:szCs w:val="22"/>
          <w:lang w:val="sr-Latn-ME"/>
        </w:rPr>
        <w:t>j</w:t>
      </w:r>
      <w:r w:rsidRPr="006927C1">
        <w:rPr>
          <w:bCs/>
          <w:sz w:val="22"/>
          <w:szCs w:val="22"/>
          <w:lang w:val="sr-Latn-ME"/>
        </w:rPr>
        <w:t>enu l</w:t>
      </w:r>
      <w:r w:rsidR="00EE212C" w:rsidRPr="006927C1">
        <w:rPr>
          <w:bCs/>
          <w:sz w:val="22"/>
          <w:szCs w:val="22"/>
          <w:lang w:val="sr-Latn-ME"/>
        </w:rPr>
        <w:t>ij</w:t>
      </w:r>
      <w:r w:rsidRPr="006927C1">
        <w:rPr>
          <w:bCs/>
          <w:sz w:val="22"/>
          <w:szCs w:val="22"/>
          <w:lang w:val="sr-Latn-ME"/>
        </w:rPr>
        <w:t>eka Gilestra Duo istovremeno sa ili nakon nedavne prim</w:t>
      </w:r>
      <w:r w:rsidR="00EE212C" w:rsidRPr="006927C1">
        <w:rPr>
          <w:bCs/>
          <w:sz w:val="22"/>
          <w:szCs w:val="22"/>
          <w:lang w:val="sr-Latn-ME"/>
        </w:rPr>
        <w:t>j</w:t>
      </w:r>
      <w:r w:rsidRPr="006927C1">
        <w:rPr>
          <w:bCs/>
          <w:sz w:val="22"/>
          <w:szCs w:val="22"/>
          <w:lang w:val="sr-Latn-ME"/>
        </w:rPr>
        <w:t>ene nefrotoksičnih l</w:t>
      </w:r>
      <w:r w:rsidR="00EE212C" w:rsidRPr="006927C1">
        <w:rPr>
          <w:bCs/>
          <w:sz w:val="22"/>
          <w:szCs w:val="22"/>
          <w:lang w:val="sr-Latn-ME"/>
        </w:rPr>
        <w:t>j</w:t>
      </w:r>
      <w:r w:rsidRPr="006927C1">
        <w:rPr>
          <w:bCs/>
          <w:sz w:val="22"/>
          <w:szCs w:val="22"/>
          <w:lang w:val="sr-Latn-ME"/>
        </w:rPr>
        <w:t>ekova (vidjeti</w:t>
      </w:r>
      <w:r w:rsidR="00EE212C" w:rsidRPr="006927C1">
        <w:rPr>
          <w:bCs/>
          <w:sz w:val="22"/>
          <w:szCs w:val="22"/>
          <w:lang w:val="sr-Latn-ME"/>
        </w:rPr>
        <w:t xml:space="preserve"> </w:t>
      </w:r>
      <w:r w:rsidRPr="006927C1">
        <w:rPr>
          <w:bCs/>
          <w:sz w:val="22"/>
          <w:szCs w:val="22"/>
          <w:lang w:val="sr-Latn-ME"/>
        </w:rPr>
        <w:t>odjeljak 4.5). Ako istovremena prim</w:t>
      </w:r>
      <w:r w:rsidR="00EE212C" w:rsidRPr="006927C1">
        <w:rPr>
          <w:bCs/>
          <w:sz w:val="22"/>
          <w:szCs w:val="22"/>
          <w:lang w:val="sr-Latn-ME"/>
        </w:rPr>
        <w:t>j</w:t>
      </w:r>
      <w:r w:rsidRPr="006927C1">
        <w:rPr>
          <w:bCs/>
          <w:sz w:val="22"/>
          <w:szCs w:val="22"/>
          <w:lang w:val="sr-Latn-ME"/>
        </w:rPr>
        <w:t>ena sa nefrotoksičnim l</w:t>
      </w:r>
      <w:r w:rsidR="00EE212C" w:rsidRPr="006927C1">
        <w:rPr>
          <w:bCs/>
          <w:sz w:val="22"/>
          <w:szCs w:val="22"/>
          <w:lang w:val="sr-Latn-ME"/>
        </w:rPr>
        <w:t>j</w:t>
      </w:r>
      <w:r w:rsidRPr="006927C1">
        <w:rPr>
          <w:bCs/>
          <w:sz w:val="22"/>
          <w:szCs w:val="22"/>
          <w:lang w:val="sr-Latn-ME"/>
        </w:rPr>
        <w:t>ekovima ne može da se izb</w:t>
      </w:r>
      <w:r w:rsidR="00EE212C" w:rsidRPr="006927C1">
        <w:rPr>
          <w:bCs/>
          <w:sz w:val="22"/>
          <w:szCs w:val="22"/>
          <w:lang w:val="sr-Latn-ME"/>
        </w:rPr>
        <w:t>j</w:t>
      </w:r>
      <w:r w:rsidRPr="006927C1">
        <w:rPr>
          <w:bCs/>
          <w:sz w:val="22"/>
          <w:szCs w:val="22"/>
          <w:lang w:val="sr-Latn-ME"/>
        </w:rPr>
        <w:t>egne, potrebno je pratiti funkciju bubrega na ned</w:t>
      </w:r>
      <w:r w:rsidR="00EE212C" w:rsidRPr="006927C1">
        <w:rPr>
          <w:bCs/>
          <w:sz w:val="22"/>
          <w:szCs w:val="22"/>
          <w:lang w:val="sr-Latn-ME"/>
        </w:rPr>
        <w:t>j</w:t>
      </w:r>
      <w:r w:rsidRPr="006927C1">
        <w:rPr>
          <w:bCs/>
          <w:sz w:val="22"/>
          <w:szCs w:val="22"/>
          <w:lang w:val="sr-Latn-ME"/>
        </w:rPr>
        <w:t>eljnom nivou.</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Slučajevi akutne insuficijencije bubrega nakon početka prim</w:t>
      </w:r>
      <w:r w:rsidR="00EE212C" w:rsidRPr="006927C1">
        <w:rPr>
          <w:bCs/>
          <w:sz w:val="22"/>
          <w:szCs w:val="22"/>
          <w:lang w:val="sr-Latn-ME"/>
        </w:rPr>
        <w:t>j</w:t>
      </w:r>
      <w:r w:rsidRPr="006927C1">
        <w:rPr>
          <w:bCs/>
          <w:sz w:val="22"/>
          <w:szCs w:val="22"/>
          <w:lang w:val="sr-Latn-ME"/>
        </w:rPr>
        <w:t>ene visoke doze ili više nesteroidnih antiinflamatornih l</w:t>
      </w:r>
      <w:r w:rsidR="0057055E" w:rsidRPr="006927C1">
        <w:rPr>
          <w:bCs/>
          <w:sz w:val="22"/>
          <w:szCs w:val="22"/>
          <w:lang w:val="sr-Latn-ME"/>
        </w:rPr>
        <w:t>j</w:t>
      </w:r>
      <w:r w:rsidRPr="006927C1">
        <w:rPr>
          <w:bCs/>
          <w:sz w:val="22"/>
          <w:szCs w:val="22"/>
          <w:lang w:val="sr-Latn-ME"/>
        </w:rPr>
        <w:t>ekova (NSAIL) prijavljeni su kod pacijenata inficiranih virusom HIV-1 l</w:t>
      </w:r>
      <w:r w:rsidR="00EE212C" w:rsidRPr="006927C1">
        <w:rPr>
          <w:bCs/>
          <w:sz w:val="22"/>
          <w:szCs w:val="22"/>
          <w:lang w:val="sr-Latn-ME"/>
        </w:rPr>
        <w:t>ij</w:t>
      </w:r>
      <w:r w:rsidRPr="006927C1">
        <w:rPr>
          <w:bCs/>
          <w:sz w:val="22"/>
          <w:szCs w:val="22"/>
          <w:lang w:val="sr-Latn-ME"/>
        </w:rPr>
        <w:t>ečenih tenofovir dizoproksilom sa prisutnim faktorima rizika od disfunkcije bubrega. Ukoliko se l</w:t>
      </w:r>
      <w:r w:rsidR="00EE212C" w:rsidRPr="006927C1">
        <w:rPr>
          <w:bCs/>
          <w:sz w:val="22"/>
          <w:szCs w:val="22"/>
          <w:lang w:val="sr-Latn-ME"/>
        </w:rPr>
        <w:t>ij</w:t>
      </w:r>
      <w:r w:rsidRPr="006927C1">
        <w:rPr>
          <w:bCs/>
          <w:sz w:val="22"/>
          <w:szCs w:val="22"/>
          <w:lang w:val="sr-Latn-ME"/>
        </w:rPr>
        <w:t>ek Gilestra Duo prim</w:t>
      </w:r>
      <w:r w:rsidR="00EE212C" w:rsidRPr="006927C1">
        <w:rPr>
          <w:bCs/>
          <w:sz w:val="22"/>
          <w:szCs w:val="22"/>
          <w:lang w:val="sr-Latn-ME"/>
        </w:rPr>
        <w:t>j</w:t>
      </w:r>
      <w:r w:rsidRPr="006927C1">
        <w:rPr>
          <w:bCs/>
          <w:sz w:val="22"/>
          <w:szCs w:val="22"/>
          <w:lang w:val="sr-Latn-ME"/>
        </w:rPr>
        <w:t>enjuje istovremeno sa NSAIL, potrebno je pratiti funkciju bubrega na odgovarajući način.</w:t>
      </w:r>
    </w:p>
    <w:p w:rsidR="005B1147" w:rsidRPr="006927C1" w:rsidRDefault="005B1147">
      <w:pPr>
        <w:tabs>
          <w:tab w:val="left" w:pos="540"/>
          <w:tab w:val="left" w:pos="569"/>
        </w:tabs>
        <w:jc w:val="both"/>
        <w:rPr>
          <w:bCs/>
          <w:sz w:val="22"/>
          <w:szCs w:val="22"/>
          <w:lang w:val="sr-Latn-ME"/>
        </w:rPr>
      </w:pPr>
    </w:p>
    <w:p w:rsidR="005B1147" w:rsidRPr="006927C1" w:rsidRDefault="00C53F6F">
      <w:pPr>
        <w:tabs>
          <w:tab w:val="left" w:pos="540"/>
          <w:tab w:val="left" w:pos="569"/>
        </w:tabs>
        <w:jc w:val="both"/>
        <w:rPr>
          <w:bCs/>
          <w:sz w:val="22"/>
          <w:szCs w:val="22"/>
          <w:lang w:val="sr-Latn-ME"/>
        </w:rPr>
      </w:pPr>
      <w:r w:rsidRPr="006927C1">
        <w:rPr>
          <w:bCs/>
          <w:sz w:val="22"/>
          <w:szCs w:val="22"/>
          <w:lang w:val="sr-Latn-ME"/>
        </w:rPr>
        <w:t>Zabilje</w:t>
      </w:r>
      <w:r w:rsidR="005B1147" w:rsidRPr="006927C1">
        <w:rPr>
          <w:bCs/>
          <w:sz w:val="22"/>
          <w:szCs w:val="22"/>
          <w:lang w:val="sr-Latn-ME"/>
        </w:rPr>
        <w:t>žen je povećan rizik od oštećenja funkcije bubrega kod pacijenata inficiranih virusom HIV-1 koji primaju tenofovir dizoproksil u kombinaciji sa inhibitorom proteaze pojačanim ritonavirom ili kobicistatom. Kod tih pacijenata je potrebno pažljivo praćenje funkcije bubrega (vidjeti odjeljak 4.5). Kod pacijenata inficiranih virusom HIV-1 sa faktorima rizika za bubrege, potrebno je pažljivo proc</w:t>
      </w:r>
      <w:r w:rsidRPr="006927C1">
        <w:rPr>
          <w:bCs/>
          <w:sz w:val="22"/>
          <w:szCs w:val="22"/>
          <w:lang w:val="sr-Latn-ME"/>
        </w:rPr>
        <w:t>ij</w:t>
      </w:r>
      <w:r w:rsidR="005B1147" w:rsidRPr="006927C1">
        <w:rPr>
          <w:bCs/>
          <w:sz w:val="22"/>
          <w:szCs w:val="22"/>
          <w:lang w:val="sr-Latn-ME"/>
        </w:rPr>
        <w:t>eniti istovremenu prim</w:t>
      </w:r>
      <w:r w:rsidRPr="006927C1">
        <w:rPr>
          <w:bCs/>
          <w:sz w:val="22"/>
          <w:szCs w:val="22"/>
          <w:lang w:val="sr-Latn-ME"/>
        </w:rPr>
        <w:t>j</w:t>
      </w:r>
      <w:r w:rsidR="005B1147" w:rsidRPr="006927C1">
        <w:rPr>
          <w:bCs/>
          <w:sz w:val="22"/>
          <w:szCs w:val="22"/>
          <w:lang w:val="sr-Latn-ME"/>
        </w:rPr>
        <w:t>enu tenofovir dizoproksila sa pojačanim inhibitorom proteaze.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53F6F" w:rsidRPr="006927C1">
        <w:rPr>
          <w:bCs/>
          <w:sz w:val="22"/>
          <w:szCs w:val="22"/>
          <w:lang w:val="sr-Latn-ME"/>
        </w:rPr>
        <w:t>ij</w:t>
      </w:r>
      <w:r w:rsidRPr="006927C1">
        <w:rPr>
          <w:bCs/>
          <w:sz w:val="22"/>
          <w:szCs w:val="22"/>
          <w:lang w:val="sr-Latn-ME"/>
        </w:rPr>
        <w:t>ek Gilestra Duo ne treba prim</w:t>
      </w:r>
      <w:r w:rsidR="00C53F6F" w:rsidRPr="006927C1">
        <w:rPr>
          <w:bCs/>
          <w:sz w:val="22"/>
          <w:szCs w:val="22"/>
          <w:lang w:val="sr-Latn-ME"/>
        </w:rPr>
        <w:t>j</w:t>
      </w:r>
      <w:r w:rsidRPr="006927C1">
        <w:rPr>
          <w:bCs/>
          <w:sz w:val="22"/>
          <w:szCs w:val="22"/>
          <w:lang w:val="sr-Latn-ME"/>
        </w:rPr>
        <w:t>enjivati istovremeno sa drugim l</w:t>
      </w:r>
      <w:r w:rsidR="00C53F6F" w:rsidRPr="006927C1">
        <w:rPr>
          <w:bCs/>
          <w:sz w:val="22"/>
          <w:szCs w:val="22"/>
          <w:lang w:val="sr-Latn-ME"/>
        </w:rPr>
        <w:t>j</w:t>
      </w:r>
      <w:r w:rsidRPr="006927C1">
        <w:rPr>
          <w:bCs/>
          <w:sz w:val="22"/>
          <w:szCs w:val="22"/>
          <w:lang w:val="sr-Latn-ME"/>
        </w:rPr>
        <w:t>ekovima koji sadrže emtricitabin, tenofovir dizoproksil, tenofovir</w:t>
      </w:r>
      <w:r w:rsidR="00C53F6F" w:rsidRPr="006927C1">
        <w:rPr>
          <w:bCs/>
          <w:sz w:val="22"/>
          <w:szCs w:val="22"/>
          <w:lang w:val="sr-Latn-ME"/>
        </w:rPr>
        <w:t xml:space="preserve"> </w:t>
      </w:r>
      <w:r w:rsidRPr="006927C1">
        <w:rPr>
          <w:bCs/>
          <w:sz w:val="22"/>
          <w:szCs w:val="22"/>
          <w:lang w:val="sr-Latn-ME"/>
        </w:rPr>
        <w:t>alafenamid ili druge analoge citidina, kao što je lamivudin (vidjeti odjeljak 4.5). L</w:t>
      </w:r>
      <w:r w:rsidR="0057055E" w:rsidRPr="006927C1">
        <w:rPr>
          <w:bCs/>
          <w:sz w:val="22"/>
          <w:szCs w:val="22"/>
          <w:lang w:val="sr-Latn-ME"/>
        </w:rPr>
        <w:t>ij</w:t>
      </w:r>
      <w:r w:rsidRPr="006927C1">
        <w:rPr>
          <w:bCs/>
          <w:sz w:val="22"/>
          <w:szCs w:val="22"/>
          <w:lang w:val="sr-Latn-ME"/>
        </w:rPr>
        <w:t>ek Gilestra Duo ne treba prim</w:t>
      </w:r>
      <w:r w:rsidR="00C53F6F" w:rsidRPr="006927C1">
        <w:rPr>
          <w:bCs/>
          <w:sz w:val="22"/>
          <w:szCs w:val="22"/>
          <w:lang w:val="sr-Latn-ME"/>
        </w:rPr>
        <w:t>j</w:t>
      </w:r>
      <w:r w:rsidRPr="006927C1">
        <w:rPr>
          <w:bCs/>
          <w:sz w:val="22"/>
          <w:szCs w:val="22"/>
          <w:lang w:val="sr-Latn-ME"/>
        </w:rPr>
        <w:t>enjivati istovremeno sa adefovir</w:t>
      </w:r>
      <w:r w:rsidR="00C53F6F" w:rsidRPr="006927C1">
        <w:rPr>
          <w:bCs/>
          <w:sz w:val="22"/>
          <w:szCs w:val="22"/>
          <w:lang w:val="sr-Latn-ME"/>
        </w:rPr>
        <w:t xml:space="preserve"> </w:t>
      </w:r>
      <w:r w:rsidRPr="006927C1">
        <w:rPr>
          <w:bCs/>
          <w:sz w:val="22"/>
          <w:szCs w:val="22"/>
          <w:lang w:val="sr-Latn-ME"/>
        </w:rPr>
        <w:t>dipivoksilom.</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i/>
          <w:sz w:val="22"/>
          <w:szCs w:val="22"/>
          <w:lang w:val="sr-Latn-ME"/>
        </w:rPr>
      </w:pPr>
      <w:r w:rsidRPr="006927C1">
        <w:rPr>
          <w:bCs/>
          <w:i/>
          <w:sz w:val="22"/>
          <w:szCs w:val="22"/>
          <w:lang w:val="sr-Latn-ME"/>
        </w:rPr>
        <w:t>Prim</w:t>
      </w:r>
      <w:r w:rsidR="00C53F6F" w:rsidRPr="006927C1">
        <w:rPr>
          <w:bCs/>
          <w:i/>
          <w:sz w:val="22"/>
          <w:szCs w:val="22"/>
          <w:lang w:val="sr-Latn-ME"/>
        </w:rPr>
        <w:t>j</w:t>
      </w:r>
      <w:r w:rsidRPr="006927C1">
        <w:rPr>
          <w:bCs/>
          <w:i/>
          <w:sz w:val="22"/>
          <w:szCs w:val="22"/>
          <w:lang w:val="sr-Latn-ME"/>
        </w:rPr>
        <w:t>ena sa ledipasvirom i sobosbuvirom, sofosbuvirom i velpatasvirom, ili sofosbuvirom, velpatasvirom i voksilaprevirom</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Pokazalo se da istovremena prim</w:t>
      </w:r>
      <w:r w:rsidR="00C53F6F" w:rsidRPr="006927C1">
        <w:rPr>
          <w:bCs/>
          <w:sz w:val="22"/>
          <w:szCs w:val="22"/>
          <w:lang w:val="sr-Latn-ME"/>
        </w:rPr>
        <w:t>j</w:t>
      </w:r>
      <w:r w:rsidRPr="006927C1">
        <w:rPr>
          <w:bCs/>
          <w:sz w:val="22"/>
          <w:szCs w:val="22"/>
          <w:lang w:val="sr-Latn-ME"/>
        </w:rPr>
        <w:t>ena tenofovir dizoproksila sa ledipasvirom/sofosbuvirom, sofosbuvirom/velpatasvirom ili sofosbuvirom/velpatasvirom/voksilaprevirom povećava koncentracije tenofovira u plazmi, posebno kada se prim</w:t>
      </w:r>
      <w:r w:rsidR="00C53F6F" w:rsidRPr="006927C1">
        <w:rPr>
          <w:bCs/>
          <w:sz w:val="22"/>
          <w:szCs w:val="22"/>
          <w:lang w:val="sr-Latn-ME"/>
        </w:rPr>
        <w:t>j</w:t>
      </w:r>
      <w:r w:rsidRPr="006927C1">
        <w:rPr>
          <w:bCs/>
          <w:sz w:val="22"/>
          <w:szCs w:val="22"/>
          <w:lang w:val="sr-Latn-ME"/>
        </w:rPr>
        <w:t>enjuje zajedno sa HIV terapijom koja sadrži tenofovir dizoproksil i farmakokinetički pojačivač (ritonavir ili kobicistat).</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Nije ustanovljena bezb</w:t>
      </w:r>
      <w:r w:rsidR="00C53F6F" w:rsidRPr="006927C1">
        <w:rPr>
          <w:bCs/>
          <w:sz w:val="22"/>
          <w:szCs w:val="22"/>
          <w:lang w:val="sr-Latn-ME"/>
        </w:rPr>
        <w:t>j</w:t>
      </w:r>
      <w:r w:rsidRPr="006927C1">
        <w:rPr>
          <w:bCs/>
          <w:sz w:val="22"/>
          <w:szCs w:val="22"/>
          <w:lang w:val="sr-Latn-ME"/>
        </w:rPr>
        <w:t>ednost tenofovir dizoproksila kada se prim</w:t>
      </w:r>
      <w:r w:rsidR="00C53F6F" w:rsidRPr="006927C1">
        <w:rPr>
          <w:bCs/>
          <w:sz w:val="22"/>
          <w:szCs w:val="22"/>
          <w:lang w:val="sr-Latn-ME"/>
        </w:rPr>
        <w:t>j</w:t>
      </w:r>
      <w:r w:rsidRPr="006927C1">
        <w:rPr>
          <w:bCs/>
          <w:sz w:val="22"/>
          <w:szCs w:val="22"/>
          <w:lang w:val="sr-Latn-ME"/>
        </w:rPr>
        <w:t>enjuje istovremeno sa ledipasvirom/</w:t>
      </w:r>
      <w:r w:rsidR="00C53F6F" w:rsidRPr="006927C1">
        <w:rPr>
          <w:bCs/>
          <w:sz w:val="22"/>
          <w:szCs w:val="22"/>
          <w:lang w:val="sr-Latn-ME"/>
        </w:rPr>
        <w:t xml:space="preserve"> </w:t>
      </w:r>
      <w:r w:rsidRPr="006927C1">
        <w:rPr>
          <w:bCs/>
          <w:sz w:val="22"/>
          <w:szCs w:val="22"/>
          <w:lang w:val="sr-Latn-ME"/>
        </w:rPr>
        <w:t>sofosbuvirom, sofosbuvirom/velpatasvirom ili sofosbuvirom/velpatasvirom/voksilaprevirom i farmakokinetičkim pojačivačem. Potrebno je razmotriti potencijalne rizike i koristi povezane sa istovremenom prim</w:t>
      </w:r>
      <w:r w:rsidR="00C53F6F" w:rsidRPr="006927C1">
        <w:rPr>
          <w:bCs/>
          <w:sz w:val="22"/>
          <w:szCs w:val="22"/>
          <w:lang w:val="sr-Latn-ME"/>
        </w:rPr>
        <w:t>j</w:t>
      </w:r>
      <w:r w:rsidRPr="006927C1">
        <w:rPr>
          <w:bCs/>
          <w:sz w:val="22"/>
          <w:szCs w:val="22"/>
          <w:lang w:val="sr-Latn-ME"/>
        </w:rPr>
        <w:t>enom naročito kod pacijenata sa povećanim rizikom od disfunkcije bubrega. Pacijente koji primaju ledipasvir/sofosbuvir, sofosbuvir/velpatasvir ili sofosbuvir/velpatasvir/</w:t>
      </w:r>
      <w:r w:rsidR="00C53F6F" w:rsidRPr="006927C1">
        <w:rPr>
          <w:bCs/>
          <w:sz w:val="22"/>
          <w:szCs w:val="22"/>
          <w:lang w:val="sr-Latn-ME"/>
        </w:rPr>
        <w:t xml:space="preserve"> </w:t>
      </w:r>
      <w:r w:rsidRPr="006927C1">
        <w:rPr>
          <w:bCs/>
          <w:sz w:val="22"/>
          <w:szCs w:val="22"/>
          <w:lang w:val="sr-Latn-ME"/>
        </w:rPr>
        <w:t>voksilaprevir istovremeno sa tenofovir dizoproksilom i pojačanim inhibitorom HIV proteaze, potrebno je pratiti zbog neželjenih reakcija povezanih sa tenofovir dizoproksilom.</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i/>
          <w:sz w:val="22"/>
          <w:szCs w:val="22"/>
          <w:lang w:val="sr-Latn-ME"/>
        </w:rPr>
        <w:t>Istovremena prim</w:t>
      </w:r>
      <w:r w:rsidR="00C53F6F" w:rsidRPr="006927C1">
        <w:rPr>
          <w:bCs/>
          <w:i/>
          <w:sz w:val="22"/>
          <w:szCs w:val="22"/>
          <w:lang w:val="sr-Latn-ME"/>
        </w:rPr>
        <w:t>j</w:t>
      </w:r>
      <w:r w:rsidRPr="006927C1">
        <w:rPr>
          <w:bCs/>
          <w:i/>
          <w:sz w:val="22"/>
          <w:szCs w:val="22"/>
          <w:lang w:val="sr-Latn-ME"/>
        </w:rPr>
        <w:t>ena tenofovir dizoproksila i didanozina</w:t>
      </w:r>
      <w:r w:rsidRPr="006927C1">
        <w:rPr>
          <w:bCs/>
          <w:sz w:val="22"/>
          <w:szCs w:val="22"/>
          <w:lang w:val="sr-Latn-ME"/>
        </w:rPr>
        <w:t xml:space="preserve"> </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Istovremena prim</w:t>
      </w:r>
      <w:r w:rsidR="00C53F6F" w:rsidRPr="006927C1">
        <w:rPr>
          <w:bCs/>
          <w:sz w:val="22"/>
          <w:szCs w:val="22"/>
          <w:lang w:val="sr-Latn-ME"/>
        </w:rPr>
        <w:t>j</w:t>
      </w:r>
      <w:r w:rsidRPr="006927C1">
        <w:rPr>
          <w:bCs/>
          <w:sz w:val="22"/>
          <w:szCs w:val="22"/>
          <w:lang w:val="sr-Latn-ME"/>
        </w:rPr>
        <w:t>ena se ne preporučuje (vidjeti odjeljak 4.5).</w:t>
      </w:r>
    </w:p>
    <w:p w:rsidR="005B1147" w:rsidRPr="006927C1" w:rsidRDefault="005B1147">
      <w:pPr>
        <w:tabs>
          <w:tab w:val="left" w:pos="540"/>
          <w:tab w:val="left" w:pos="569"/>
        </w:tabs>
        <w:jc w:val="both"/>
        <w:rPr>
          <w:bCs/>
          <w:sz w:val="22"/>
          <w:szCs w:val="22"/>
          <w:u w:val="single"/>
          <w:lang w:val="sr-Latn-ME"/>
        </w:rPr>
      </w:pPr>
    </w:p>
    <w:p w:rsidR="005B1147" w:rsidRPr="006927C1" w:rsidRDefault="005B1147">
      <w:pPr>
        <w:tabs>
          <w:tab w:val="left" w:pos="540"/>
          <w:tab w:val="left" w:pos="569"/>
        </w:tabs>
        <w:jc w:val="both"/>
        <w:rPr>
          <w:bCs/>
          <w:sz w:val="22"/>
          <w:szCs w:val="22"/>
          <w:u w:val="single"/>
          <w:lang w:val="sr-Latn-ME"/>
        </w:rPr>
      </w:pPr>
      <w:r w:rsidRPr="006927C1">
        <w:rPr>
          <w:bCs/>
          <w:sz w:val="22"/>
          <w:szCs w:val="22"/>
          <w:u w:val="single"/>
          <w:lang w:val="sr-Latn-ME"/>
        </w:rPr>
        <w:t xml:space="preserve">Trostruka terapija nukleozidima </w:t>
      </w:r>
    </w:p>
    <w:p w:rsidR="005B1147" w:rsidRPr="006927C1" w:rsidRDefault="005B1147">
      <w:pPr>
        <w:tabs>
          <w:tab w:val="left" w:pos="540"/>
          <w:tab w:val="left" w:pos="569"/>
        </w:tabs>
        <w:jc w:val="both"/>
        <w:rPr>
          <w:bCs/>
          <w:sz w:val="22"/>
          <w:szCs w:val="22"/>
          <w:lang w:val="sr-Latn-ME"/>
        </w:rPr>
      </w:pPr>
      <w:r w:rsidRPr="006927C1">
        <w:rPr>
          <w:bCs/>
          <w:sz w:val="22"/>
          <w:szCs w:val="22"/>
          <w:lang w:val="sr-Latn-ME"/>
        </w:rPr>
        <w:t>Postoje izv</w:t>
      </w:r>
      <w:r w:rsidR="00C53F6F" w:rsidRPr="006927C1">
        <w:rPr>
          <w:bCs/>
          <w:sz w:val="22"/>
          <w:szCs w:val="22"/>
          <w:lang w:val="sr-Latn-ME"/>
        </w:rPr>
        <w:t>j</w:t>
      </w:r>
      <w:r w:rsidRPr="006927C1">
        <w:rPr>
          <w:bCs/>
          <w:sz w:val="22"/>
          <w:szCs w:val="22"/>
          <w:lang w:val="sr-Latn-ME"/>
        </w:rPr>
        <w:t>eštaji o visokom stepenu virološkog neusp</w:t>
      </w:r>
      <w:r w:rsidR="00C53F6F" w:rsidRPr="006927C1">
        <w:rPr>
          <w:bCs/>
          <w:sz w:val="22"/>
          <w:szCs w:val="22"/>
          <w:lang w:val="sr-Latn-ME"/>
        </w:rPr>
        <w:t>j</w:t>
      </w:r>
      <w:r w:rsidRPr="006927C1">
        <w:rPr>
          <w:bCs/>
          <w:sz w:val="22"/>
          <w:szCs w:val="22"/>
          <w:lang w:val="sr-Latn-ME"/>
        </w:rPr>
        <w:t>eha i pojavi rezistencije u početnom stadijumu kada se tenofovir dizoproksil kombinuje sa lamivudinom i abakavirom, kao i sa lamivudinom i didanozinom u režimu doziranja jednom dnevno. Između lamivudina i emtricitabina postoji velika strukturna sličnost, kao i sličnosti u farmakokinetici i farmakodinamici ova dva l</w:t>
      </w:r>
      <w:r w:rsidR="00C53F6F" w:rsidRPr="006927C1">
        <w:rPr>
          <w:bCs/>
          <w:sz w:val="22"/>
          <w:szCs w:val="22"/>
          <w:lang w:val="sr-Latn-ME"/>
        </w:rPr>
        <w:t>ij</w:t>
      </w:r>
      <w:r w:rsidRPr="006927C1">
        <w:rPr>
          <w:bCs/>
          <w:sz w:val="22"/>
          <w:szCs w:val="22"/>
          <w:lang w:val="sr-Latn-ME"/>
        </w:rPr>
        <w:t>eka. Zato se mogu uočavati isti problemi ukoliko se l</w:t>
      </w:r>
      <w:r w:rsidR="00C53F6F" w:rsidRPr="006927C1">
        <w:rPr>
          <w:bCs/>
          <w:sz w:val="22"/>
          <w:szCs w:val="22"/>
          <w:lang w:val="sr-Latn-ME"/>
        </w:rPr>
        <w:t>ij</w:t>
      </w:r>
      <w:r w:rsidRPr="006927C1">
        <w:rPr>
          <w:bCs/>
          <w:sz w:val="22"/>
          <w:szCs w:val="22"/>
          <w:lang w:val="sr-Latn-ME"/>
        </w:rPr>
        <w:t xml:space="preserve">ek Gilestra Duo </w:t>
      </w:r>
      <w:r w:rsidR="00AE4815" w:rsidRPr="006927C1">
        <w:rPr>
          <w:bCs/>
          <w:sz w:val="22"/>
          <w:szCs w:val="22"/>
          <w:lang w:val="sr-Latn-ME"/>
        </w:rPr>
        <w:t>primjen</w:t>
      </w:r>
      <w:r w:rsidRPr="006927C1">
        <w:rPr>
          <w:bCs/>
          <w:sz w:val="22"/>
          <w:szCs w:val="22"/>
          <w:lang w:val="sr-Latn-ME"/>
        </w:rPr>
        <w:t>juje s</w:t>
      </w:r>
      <w:r w:rsidR="00C53F6F" w:rsidRPr="006927C1">
        <w:rPr>
          <w:bCs/>
          <w:sz w:val="22"/>
          <w:szCs w:val="22"/>
          <w:lang w:val="sr-Latn-ME"/>
        </w:rPr>
        <w:t>a</w:t>
      </w:r>
      <w:r w:rsidRPr="006927C1">
        <w:rPr>
          <w:bCs/>
          <w:sz w:val="22"/>
          <w:szCs w:val="22"/>
          <w:lang w:val="sr-Latn-ME"/>
        </w:rPr>
        <w:t xml:space="preserve"> trećim analogom nukleozida.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Starije osobe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53F6F" w:rsidRPr="006927C1">
        <w:rPr>
          <w:bCs/>
          <w:sz w:val="22"/>
          <w:szCs w:val="22"/>
          <w:lang w:val="sr-Latn-ME"/>
        </w:rPr>
        <w:t>ij</w:t>
      </w:r>
      <w:r w:rsidRPr="006927C1">
        <w:rPr>
          <w:bCs/>
          <w:sz w:val="22"/>
          <w:szCs w:val="22"/>
          <w:lang w:val="sr-Latn-ME"/>
        </w:rPr>
        <w:t>ek Gilestra Duo nije ispitivan kod osoba starijih od 65 godina. Kod osoba starijih od 65 godina veća je v</w:t>
      </w:r>
      <w:r w:rsidR="00C53F6F" w:rsidRPr="006927C1">
        <w:rPr>
          <w:bCs/>
          <w:sz w:val="22"/>
          <w:szCs w:val="22"/>
          <w:lang w:val="sr-Latn-ME"/>
        </w:rPr>
        <w:t>j</w:t>
      </w:r>
      <w:r w:rsidRPr="006927C1">
        <w:rPr>
          <w:bCs/>
          <w:sz w:val="22"/>
          <w:szCs w:val="22"/>
          <w:lang w:val="sr-Latn-ME"/>
        </w:rPr>
        <w:t>erovatnoća postojanja smanjene funkcije bubrega, pa je zato potreban oprez prilikom prim</w:t>
      </w:r>
      <w:r w:rsidR="00C53F6F" w:rsidRPr="006927C1">
        <w:rPr>
          <w:bCs/>
          <w:sz w:val="22"/>
          <w:szCs w:val="22"/>
          <w:lang w:val="sr-Latn-ME"/>
        </w:rPr>
        <w:t>j</w:t>
      </w:r>
      <w:r w:rsidRPr="006927C1">
        <w:rPr>
          <w:bCs/>
          <w:sz w:val="22"/>
          <w:szCs w:val="22"/>
          <w:lang w:val="sr-Latn-ME"/>
        </w:rPr>
        <w:t>ene l</w:t>
      </w:r>
      <w:r w:rsidR="00C53F6F" w:rsidRPr="006927C1">
        <w:rPr>
          <w:bCs/>
          <w:sz w:val="22"/>
          <w:szCs w:val="22"/>
          <w:lang w:val="sr-Latn-ME"/>
        </w:rPr>
        <w:t>ij</w:t>
      </w:r>
      <w:r w:rsidRPr="006927C1">
        <w:rPr>
          <w:bCs/>
          <w:sz w:val="22"/>
          <w:szCs w:val="22"/>
          <w:lang w:val="sr-Latn-ME"/>
        </w:rPr>
        <w:t>eka Gilestra Duo kod starijih osoba.</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u w:val="single"/>
          <w:lang w:val="sr-Latn-ME"/>
        </w:rPr>
        <w:t>Pomoćne supstance</w:t>
      </w:r>
    </w:p>
    <w:p w:rsidR="005B1147" w:rsidRPr="006927C1" w:rsidRDefault="005B1147">
      <w:pPr>
        <w:tabs>
          <w:tab w:val="left" w:pos="540"/>
          <w:tab w:val="left" w:pos="569"/>
        </w:tabs>
        <w:jc w:val="both"/>
        <w:rPr>
          <w:bCs/>
          <w:sz w:val="22"/>
          <w:szCs w:val="22"/>
          <w:lang w:val="sr-Latn-ME"/>
        </w:rPr>
      </w:pPr>
    </w:p>
    <w:p w:rsidR="005B1147" w:rsidRPr="006927C1" w:rsidRDefault="005B1147">
      <w:pPr>
        <w:tabs>
          <w:tab w:val="left" w:pos="540"/>
          <w:tab w:val="left" w:pos="569"/>
        </w:tabs>
        <w:jc w:val="both"/>
        <w:rPr>
          <w:bCs/>
          <w:sz w:val="22"/>
          <w:szCs w:val="22"/>
          <w:lang w:val="sr-Latn-ME"/>
        </w:rPr>
      </w:pPr>
      <w:r w:rsidRPr="006927C1">
        <w:rPr>
          <w:bCs/>
          <w:sz w:val="22"/>
          <w:szCs w:val="22"/>
          <w:lang w:val="sr-Latn-ME"/>
        </w:rPr>
        <w:t>L</w:t>
      </w:r>
      <w:r w:rsidR="00C53F6F" w:rsidRPr="006927C1">
        <w:rPr>
          <w:bCs/>
          <w:sz w:val="22"/>
          <w:szCs w:val="22"/>
          <w:lang w:val="sr-Latn-ME"/>
        </w:rPr>
        <w:t>ij</w:t>
      </w:r>
      <w:r w:rsidRPr="006927C1">
        <w:rPr>
          <w:bCs/>
          <w:sz w:val="22"/>
          <w:szCs w:val="22"/>
          <w:lang w:val="sr-Latn-ME"/>
        </w:rPr>
        <w:t>ek Gilestra Duo sadrži laktozu. Zbog toga pacijenti s</w:t>
      </w:r>
      <w:r w:rsidR="00C53F6F" w:rsidRPr="006927C1">
        <w:rPr>
          <w:bCs/>
          <w:sz w:val="22"/>
          <w:szCs w:val="22"/>
          <w:lang w:val="sr-Latn-ME"/>
        </w:rPr>
        <w:t>a</w:t>
      </w:r>
      <w:r w:rsidRPr="006927C1">
        <w:rPr>
          <w:bCs/>
          <w:sz w:val="22"/>
          <w:szCs w:val="22"/>
          <w:lang w:val="sr-Latn-ME"/>
        </w:rPr>
        <w:t xml:space="preserve"> r</w:t>
      </w:r>
      <w:r w:rsidR="00C53F6F" w:rsidRPr="006927C1">
        <w:rPr>
          <w:bCs/>
          <w:sz w:val="22"/>
          <w:szCs w:val="22"/>
          <w:lang w:val="sr-Latn-ME"/>
        </w:rPr>
        <w:t>ij</w:t>
      </w:r>
      <w:r w:rsidRPr="006927C1">
        <w:rPr>
          <w:bCs/>
          <w:sz w:val="22"/>
          <w:szCs w:val="22"/>
          <w:lang w:val="sr-Latn-ME"/>
        </w:rPr>
        <w:t>etkim nasl</w:t>
      </w:r>
      <w:r w:rsidR="00C53F6F" w:rsidRPr="006927C1">
        <w:rPr>
          <w:bCs/>
          <w:sz w:val="22"/>
          <w:szCs w:val="22"/>
          <w:lang w:val="sr-Latn-ME"/>
        </w:rPr>
        <w:t>j</w:t>
      </w:r>
      <w:r w:rsidRPr="006927C1">
        <w:rPr>
          <w:bCs/>
          <w:sz w:val="22"/>
          <w:szCs w:val="22"/>
          <w:lang w:val="sr-Latn-ME"/>
        </w:rPr>
        <w:t>ednim oboljenjem intolerancije na galaktozu,</w:t>
      </w:r>
      <w:r w:rsidRPr="006927C1" w:rsidDel="00D23004">
        <w:rPr>
          <w:bCs/>
          <w:sz w:val="22"/>
          <w:szCs w:val="22"/>
          <w:lang w:val="sr-Latn-ME"/>
        </w:rPr>
        <w:t xml:space="preserve"> </w:t>
      </w:r>
      <w:r w:rsidRPr="006927C1">
        <w:rPr>
          <w:bCs/>
          <w:sz w:val="22"/>
          <w:szCs w:val="22"/>
          <w:lang w:val="sr-Latn-ME"/>
        </w:rPr>
        <w:t>deficijencije laktaze ili malapsorpcije glukoze-galaktoze ne treba da uzimaju ovaj l</w:t>
      </w:r>
      <w:r w:rsidR="00C53F6F" w:rsidRPr="006927C1">
        <w:rPr>
          <w:bCs/>
          <w:sz w:val="22"/>
          <w:szCs w:val="22"/>
          <w:lang w:val="sr-Latn-ME"/>
        </w:rPr>
        <w:t>ij</w:t>
      </w:r>
      <w:r w:rsidRPr="006927C1">
        <w:rPr>
          <w:bCs/>
          <w:sz w:val="22"/>
          <w:szCs w:val="22"/>
          <w:lang w:val="sr-Latn-ME"/>
        </w:rPr>
        <w:t>ek.</w:t>
      </w:r>
    </w:p>
    <w:p w:rsidR="00057E35" w:rsidRPr="006927C1" w:rsidRDefault="00057E35" w:rsidP="00867B0F">
      <w:pPr>
        <w:tabs>
          <w:tab w:val="left" w:pos="540"/>
          <w:tab w:val="left" w:pos="569"/>
        </w:tabs>
        <w:jc w:val="both"/>
        <w:rPr>
          <w:bCs/>
          <w:sz w:val="22"/>
          <w:szCs w:val="22"/>
          <w:lang w:val="sr-Latn-ME"/>
        </w:rPr>
      </w:pPr>
    </w:p>
    <w:p w:rsidR="00411B4B" w:rsidRPr="006927C1" w:rsidRDefault="00411B4B" w:rsidP="00867B0F">
      <w:pPr>
        <w:tabs>
          <w:tab w:val="left" w:pos="540"/>
          <w:tab w:val="left" w:pos="569"/>
        </w:tabs>
        <w:jc w:val="both"/>
        <w:rPr>
          <w:b/>
          <w:bCs/>
          <w:sz w:val="22"/>
          <w:szCs w:val="22"/>
          <w:lang w:val="sr-Latn-ME"/>
        </w:rPr>
      </w:pPr>
      <w:r w:rsidRPr="006927C1">
        <w:rPr>
          <w:b/>
          <w:bCs/>
          <w:sz w:val="22"/>
          <w:szCs w:val="22"/>
          <w:lang w:val="sr-Latn-ME"/>
        </w:rPr>
        <w:t>4.5.</w:t>
      </w:r>
      <w:r w:rsidR="000D60CC" w:rsidRPr="006927C1">
        <w:rPr>
          <w:b/>
          <w:bCs/>
          <w:sz w:val="22"/>
          <w:szCs w:val="22"/>
          <w:lang w:val="sr-Latn-ME"/>
        </w:rPr>
        <w:tab/>
      </w:r>
      <w:r w:rsidRPr="006927C1">
        <w:rPr>
          <w:b/>
          <w:bCs/>
          <w:sz w:val="22"/>
          <w:szCs w:val="22"/>
          <w:lang w:val="sr-Latn-ME"/>
        </w:rPr>
        <w:t>Interakcije sa drugim ljekovima i druge vrste interakcija</w:t>
      </w:r>
    </w:p>
    <w:p w:rsidR="00931357" w:rsidRPr="006927C1" w:rsidRDefault="00931357" w:rsidP="00867B0F">
      <w:pPr>
        <w:tabs>
          <w:tab w:val="left" w:pos="540"/>
          <w:tab w:val="left" w:pos="569"/>
        </w:tabs>
        <w:jc w:val="both"/>
        <w:rPr>
          <w:b/>
          <w:bCs/>
          <w:sz w:val="22"/>
          <w:szCs w:val="22"/>
          <w:lang w:val="sr-Latn-ME"/>
        </w:rPr>
      </w:pPr>
    </w:p>
    <w:p w:rsidR="00931357" w:rsidRPr="006927C1" w:rsidRDefault="00931357" w:rsidP="00386268">
      <w:pPr>
        <w:tabs>
          <w:tab w:val="left" w:pos="540"/>
          <w:tab w:val="left" w:pos="569"/>
        </w:tabs>
        <w:jc w:val="both"/>
        <w:rPr>
          <w:bCs/>
          <w:sz w:val="22"/>
          <w:szCs w:val="22"/>
          <w:lang w:val="sr-Latn-ME"/>
        </w:rPr>
      </w:pPr>
      <w:r w:rsidRPr="006927C1">
        <w:rPr>
          <w:bCs/>
          <w:sz w:val="22"/>
          <w:szCs w:val="22"/>
          <w:lang w:val="sr-Latn-ME"/>
        </w:rPr>
        <w:t>Ispitivanja interakcija sprovedena su samo kod odraslih.</w:t>
      </w:r>
    </w:p>
    <w:p w:rsidR="00931357" w:rsidRPr="006927C1" w:rsidRDefault="00931357" w:rsidP="00386268">
      <w:pPr>
        <w:tabs>
          <w:tab w:val="left" w:pos="540"/>
          <w:tab w:val="left" w:pos="569"/>
        </w:tabs>
        <w:jc w:val="both"/>
        <w:rPr>
          <w:bCs/>
          <w:sz w:val="22"/>
          <w:szCs w:val="22"/>
          <w:lang w:val="sr-Latn-ME"/>
        </w:rPr>
      </w:pPr>
    </w:p>
    <w:p w:rsidR="00931357" w:rsidRPr="006927C1" w:rsidRDefault="00931357" w:rsidP="00386268">
      <w:pPr>
        <w:tabs>
          <w:tab w:val="left" w:pos="540"/>
          <w:tab w:val="left" w:pos="569"/>
        </w:tabs>
        <w:jc w:val="both"/>
        <w:rPr>
          <w:bCs/>
          <w:sz w:val="22"/>
          <w:szCs w:val="22"/>
          <w:lang w:val="sr-Latn-ME"/>
        </w:rPr>
      </w:pPr>
      <w:r w:rsidRPr="006927C1">
        <w:rPr>
          <w:bCs/>
          <w:sz w:val="22"/>
          <w:szCs w:val="22"/>
          <w:lang w:val="sr-Latn-ME"/>
        </w:rPr>
        <w:t xml:space="preserve">Lijek Gilestra Duo sadrži emtricitabin i tenofovir dizoproksil, tako da sve interakcije koje su utvrđene u zasebnoj primjeni tih ljekova mogu nastati i sa kombinacijom emtricitabina i tenofovir dizoproksila. Ispitivanja interakcija sprovedena su samo kod odraslih. </w:t>
      </w:r>
    </w:p>
    <w:p w:rsidR="00F40A13" w:rsidRPr="006927C1" w:rsidRDefault="00F40A13" w:rsidP="00BE466F">
      <w:pPr>
        <w:tabs>
          <w:tab w:val="left" w:pos="540"/>
          <w:tab w:val="left" w:pos="569"/>
        </w:tabs>
        <w:jc w:val="both"/>
        <w:rPr>
          <w:bCs/>
          <w:sz w:val="22"/>
          <w:szCs w:val="22"/>
          <w:lang w:val="sr-Latn-ME"/>
        </w:rPr>
      </w:pPr>
    </w:p>
    <w:p w:rsidR="00931357" w:rsidRPr="006927C1" w:rsidRDefault="00931357" w:rsidP="00BE466F">
      <w:pPr>
        <w:tabs>
          <w:tab w:val="left" w:pos="540"/>
          <w:tab w:val="left" w:pos="569"/>
        </w:tabs>
        <w:jc w:val="both"/>
        <w:rPr>
          <w:bCs/>
          <w:sz w:val="22"/>
          <w:szCs w:val="22"/>
          <w:lang w:val="sr-Latn-ME"/>
        </w:rPr>
      </w:pPr>
      <w:r w:rsidRPr="006927C1">
        <w:rPr>
          <w:bCs/>
          <w:sz w:val="22"/>
          <w:szCs w:val="22"/>
          <w:lang w:val="sr-Latn-ME"/>
        </w:rPr>
        <w:t xml:space="preserve">Farmakokinetika emtricitabina i tenofovira </w:t>
      </w:r>
      <w:r w:rsidR="00F40A13" w:rsidRPr="006927C1">
        <w:rPr>
          <w:bCs/>
          <w:sz w:val="22"/>
          <w:szCs w:val="22"/>
          <w:lang w:val="sr-Latn-ME"/>
        </w:rPr>
        <w:t xml:space="preserve">u stanju dinamičke ravnoteže </w:t>
      </w:r>
      <w:r w:rsidRPr="006927C1">
        <w:rPr>
          <w:bCs/>
          <w:sz w:val="22"/>
          <w:szCs w:val="22"/>
          <w:lang w:val="sr-Latn-ME"/>
        </w:rPr>
        <w:t>ni</w:t>
      </w:r>
      <w:r w:rsidR="00F40A13" w:rsidRPr="006927C1">
        <w:rPr>
          <w:bCs/>
          <w:sz w:val="22"/>
          <w:szCs w:val="22"/>
          <w:lang w:val="sr-Latn-ME"/>
        </w:rPr>
        <w:t>je</w:t>
      </w:r>
      <w:r w:rsidRPr="006927C1">
        <w:rPr>
          <w:bCs/>
          <w:sz w:val="22"/>
          <w:szCs w:val="22"/>
          <w:lang w:val="sr-Latn-ME"/>
        </w:rPr>
        <w:t xml:space="preserve"> </w:t>
      </w:r>
      <w:r w:rsidR="00F40A13" w:rsidRPr="006927C1">
        <w:rPr>
          <w:bCs/>
          <w:sz w:val="22"/>
          <w:szCs w:val="22"/>
          <w:lang w:val="sr-Latn-ME"/>
        </w:rPr>
        <w:t>se promijenila</w:t>
      </w:r>
      <w:r w:rsidRPr="006927C1">
        <w:rPr>
          <w:bCs/>
          <w:sz w:val="22"/>
          <w:szCs w:val="22"/>
          <w:lang w:val="sr-Latn-ME"/>
        </w:rPr>
        <w:t xml:space="preserve"> kada su emtricitabin i tenofovir dizoproksil primjenj</w:t>
      </w:r>
      <w:r w:rsidR="00F40A13" w:rsidRPr="006927C1">
        <w:rPr>
          <w:bCs/>
          <w:sz w:val="22"/>
          <w:szCs w:val="22"/>
          <w:lang w:val="sr-Latn-ME"/>
        </w:rPr>
        <w:t>ivani</w:t>
      </w:r>
      <w:r w:rsidRPr="006927C1">
        <w:rPr>
          <w:bCs/>
          <w:sz w:val="22"/>
          <w:szCs w:val="22"/>
          <w:lang w:val="sr-Latn-ME"/>
        </w:rPr>
        <w:t xml:space="preserve"> zajedno</w:t>
      </w:r>
      <w:r w:rsidR="00F40A13" w:rsidRPr="006927C1">
        <w:rPr>
          <w:bCs/>
          <w:sz w:val="22"/>
          <w:szCs w:val="22"/>
          <w:lang w:val="sr-Latn-ME"/>
        </w:rPr>
        <w:t xml:space="preserve">, </w:t>
      </w:r>
      <w:r w:rsidRPr="006927C1">
        <w:rPr>
          <w:bCs/>
          <w:sz w:val="22"/>
          <w:szCs w:val="22"/>
          <w:lang w:val="sr-Latn-ME"/>
        </w:rPr>
        <w:t xml:space="preserve"> </w:t>
      </w:r>
      <w:r w:rsidR="00F40A13" w:rsidRPr="006927C1">
        <w:rPr>
          <w:bCs/>
          <w:sz w:val="22"/>
          <w:szCs w:val="22"/>
          <w:lang w:val="sr-Latn-ME"/>
        </w:rPr>
        <w:t xml:space="preserve">u odnosu na primjenu </w:t>
      </w:r>
      <w:r w:rsidRPr="006927C1">
        <w:rPr>
          <w:bCs/>
          <w:sz w:val="22"/>
          <w:szCs w:val="22"/>
          <w:lang w:val="sr-Latn-ME"/>
        </w:rPr>
        <w:t xml:space="preserve">svakog lijeka pojedinačno. </w:t>
      </w:r>
    </w:p>
    <w:p w:rsidR="00931357" w:rsidRPr="006927C1" w:rsidRDefault="00931357" w:rsidP="00F40A13">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i/>
          <w:sz w:val="22"/>
          <w:szCs w:val="22"/>
          <w:lang w:val="sr-Latn-ME"/>
        </w:rPr>
        <w:t>In vitro</w:t>
      </w:r>
      <w:r w:rsidRPr="006927C1">
        <w:rPr>
          <w:bCs/>
          <w:sz w:val="22"/>
          <w:szCs w:val="22"/>
          <w:lang w:val="sr-Latn-ME"/>
        </w:rPr>
        <w:t xml:space="preserve"> i klinička ispitivanja farmakokinetskih interakcija su pokazala da je potencijal za interakcije posredovane CYP450 koje uključuju emtricitabin i tenofovir dizoproksil sa drugim ljekovima nizak.</w:t>
      </w:r>
    </w:p>
    <w:p w:rsidR="00931357" w:rsidRPr="006927C1" w:rsidRDefault="00931357">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sz w:val="22"/>
          <w:szCs w:val="22"/>
          <w:u w:val="single"/>
          <w:lang w:val="sr-Latn-ME"/>
        </w:rPr>
        <w:t>Istovremena primjena koja se ne preporučuje</w:t>
      </w:r>
      <w:r w:rsidRPr="006927C1">
        <w:rPr>
          <w:bCs/>
          <w:sz w:val="22"/>
          <w:szCs w:val="22"/>
          <w:lang w:val="sr-Latn-ME"/>
        </w:rPr>
        <w:t xml:space="preserve"> </w:t>
      </w:r>
    </w:p>
    <w:p w:rsidR="001E3695" w:rsidRPr="006927C1" w:rsidRDefault="001E3695">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sz w:val="22"/>
          <w:szCs w:val="22"/>
          <w:lang w:val="sr-Latn-ME"/>
        </w:rPr>
        <w:t xml:space="preserve">Lijek Gilestra Duo se ne smije primjenjivati istovremeno sa drugim ljekovima koji sadrže emtricitabin, tenofovir dizoproksil, tenofovir alafenamid ili druge analoge citidina, kao što je lamivudin (vidjeti odjeljak 4.4). Lijek Gilestra Duo se ne smije istovremeno primjenjivati sa adefovir dipivoksilom. </w:t>
      </w:r>
    </w:p>
    <w:p w:rsidR="00931357" w:rsidRPr="006927C1" w:rsidRDefault="00931357">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i/>
          <w:sz w:val="22"/>
          <w:szCs w:val="22"/>
          <w:lang w:val="sr-Latn-ME"/>
        </w:rPr>
        <w:t>Didanozin</w:t>
      </w:r>
      <w:r w:rsidRPr="006927C1">
        <w:rPr>
          <w:bCs/>
          <w:sz w:val="22"/>
          <w:szCs w:val="22"/>
          <w:lang w:val="sr-Latn-ME"/>
        </w:rPr>
        <w:t xml:space="preserve">: Ne preporučuje se istovremena primjena lijeka Gilestra Duo i didanozina (vidjeti odjeljak 4.4 i Tabelu 2). </w:t>
      </w:r>
    </w:p>
    <w:p w:rsidR="00931357" w:rsidRPr="006927C1" w:rsidRDefault="00931357">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i/>
          <w:sz w:val="22"/>
          <w:szCs w:val="22"/>
          <w:lang w:val="sr-Latn-ME"/>
        </w:rPr>
        <w:t>Ljekovi koji se eliminišu putem bubrega</w:t>
      </w:r>
      <w:r w:rsidRPr="006927C1">
        <w:rPr>
          <w:bCs/>
          <w:sz w:val="22"/>
          <w:szCs w:val="22"/>
          <w:lang w:val="sr-Latn-ME"/>
        </w:rPr>
        <w:t xml:space="preserve">: Kako se emtricitabin i tenofovir primarno eliminišu putem bubrega, istovremena primjena lijeka Gilestra Duo i ljekova koji smanjuju funkciju bubrega ili se takmiče za aktivnu tubularnu sekreciju (npr. cidofovir) može povećati serumske koncentracije emtricitabina, tenofovira i/ili istovremeno primijenjenih ljekova. </w:t>
      </w:r>
    </w:p>
    <w:p w:rsidR="001E3695" w:rsidRPr="006927C1" w:rsidRDefault="001E3695">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sz w:val="22"/>
          <w:szCs w:val="22"/>
          <w:lang w:val="sr-Latn-ME"/>
        </w:rPr>
        <w:t>Treba izbjegavati primjenu lijeka Gilestra Duo istovremeno sa primjenom ili neposredno nakon primjene nefrotoksičnih ljekova. Neki primjeri uključuju, ali ni</w:t>
      </w:r>
      <w:r w:rsidR="001E3695" w:rsidRPr="006927C1">
        <w:rPr>
          <w:bCs/>
          <w:sz w:val="22"/>
          <w:szCs w:val="22"/>
          <w:lang w:val="sr-Latn-ME"/>
        </w:rPr>
        <w:t>je</w:t>
      </w:r>
      <w:r w:rsidRPr="006927C1">
        <w:rPr>
          <w:bCs/>
          <w:sz w:val="22"/>
          <w:szCs w:val="22"/>
          <w:lang w:val="sr-Latn-ME"/>
        </w:rPr>
        <w:t xml:space="preserve">su ograničeni na aminoglikozide, amfotericin B, foskarnet, ganciklovir, pentamidin, vankomicin, cidofovir ili interleukin-2 (vidjeti odjeljak 4.4). </w:t>
      </w:r>
    </w:p>
    <w:p w:rsidR="00931357" w:rsidRPr="006927C1" w:rsidRDefault="00931357">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u w:val="single"/>
          <w:lang w:val="sr-Latn-ME"/>
        </w:rPr>
      </w:pPr>
      <w:r w:rsidRPr="006927C1">
        <w:rPr>
          <w:bCs/>
          <w:sz w:val="22"/>
          <w:szCs w:val="22"/>
          <w:u w:val="single"/>
          <w:lang w:val="sr-Latn-ME"/>
        </w:rPr>
        <w:t xml:space="preserve">Druge interakcije </w:t>
      </w:r>
    </w:p>
    <w:p w:rsidR="00931357" w:rsidRPr="006927C1" w:rsidRDefault="00931357">
      <w:pPr>
        <w:tabs>
          <w:tab w:val="left" w:pos="540"/>
          <w:tab w:val="left" w:pos="569"/>
        </w:tabs>
        <w:jc w:val="both"/>
        <w:rPr>
          <w:bCs/>
          <w:sz w:val="22"/>
          <w:szCs w:val="22"/>
          <w:lang w:val="sr-Latn-ME"/>
        </w:rPr>
      </w:pPr>
    </w:p>
    <w:p w:rsidR="00931357" w:rsidRPr="006927C1" w:rsidRDefault="00931357">
      <w:pPr>
        <w:tabs>
          <w:tab w:val="left" w:pos="540"/>
          <w:tab w:val="left" w:pos="569"/>
        </w:tabs>
        <w:jc w:val="both"/>
        <w:rPr>
          <w:bCs/>
          <w:sz w:val="22"/>
          <w:szCs w:val="22"/>
          <w:lang w:val="sr-Latn-ME"/>
        </w:rPr>
      </w:pPr>
      <w:r w:rsidRPr="006927C1">
        <w:rPr>
          <w:bCs/>
          <w:sz w:val="22"/>
          <w:szCs w:val="22"/>
          <w:lang w:val="sr-Latn-ME"/>
        </w:rPr>
        <w:t>Interakcije između lijeka Gilestra Duo ili njegovih pojedinačnih komponenti i drugih ljekova,  navedene su u Tabeli 2 (povećanje je označeno kao “↑”, smanjenje kao “↓”, bez promjene kao “↔”, dva</w:t>
      </w:r>
      <w:r w:rsidR="001E3695" w:rsidRPr="006927C1">
        <w:rPr>
          <w:bCs/>
          <w:sz w:val="22"/>
          <w:szCs w:val="22"/>
          <w:lang w:val="sr-Latn-ME"/>
        </w:rPr>
        <w:t xml:space="preserve"> </w:t>
      </w:r>
      <w:r w:rsidRPr="006927C1">
        <w:rPr>
          <w:bCs/>
          <w:sz w:val="22"/>
          <w:szCs w:val="22"/>
          <w:lang w:val="sr-Latn-ME"/>
        </w:rPr>
        <w:t>put</w:t>
      </w:r>
      <w:r w:rsidR="001E3695" w:rsidRPr="006927C1">
        <w:rPr>
          <w:bCs/>
          <w:sz w:val="22"/>
          <w:szCs w:val="22"/>
          <w:lang w:val="sr-Latn-ME"/>
        </w:rPr>
        <w:t>a</w:t>
      </w:r>
      <w:r w:rsidRPr="006927C1">
        <w:rPr>
          <w:bCs/>
          <w:sz w:val="22"/>
          <w:szCs w:val="22"/>
          <w:lang w:val="sr-Latn-ME"/>
        </w:rPr>
        <w:t xml:space="preserve"> dnevno kao “b.i.d.” i jed</w:t>
      </w:r>
      <w:r w:rsidR="001E3695" w:rsidRPr="006927C1">
        <w:rPr>
          <w:bCs/>
          <w:sz w:val="22"/>
          <w:szCs w:val="22"/>
          <w:lang w:val="sr-Latn-ME"/>
        </w:rPr>
        <w:t>nom</w:t>
      </w:r>
      <w:r w:rsidRPr="006927C1">
        <w:rPr>
          <w:bCs/>
          <w:sz w:val="22"/>
          <w:szCs w:val="22"/>
          <w:lang w:val="sr-Latn-ME"/>
        </w:rPr>
        <w:t xml:space="preserve"> dnevno kao “q.d.”). U zagradama su prikazani 90%-tni intervali pouzdanosti, ako su dostupni.</w:t>
      </w:r>
    </w:p>
    <w:p w:rsidR="0072020E" w:rsidRPr="006927C1" w:rsidRDefault="0072020E" w:rsidP="00867B0F">
      <w:pPr>
        <w:tabs>
          <w:tab w:val="left" w:pos="540"/>
          <w:tab w:val="left" w:pos="569"/>
        </w:tabs>
        <w:jc w:val="both"/>
        <w:rPr>
          <w:bCs/>
          <w:sz w:val="22"/>
          <w:szCs w:val="22"/>
          <w:lang w:val="sr-Latn-ME"/>
        </w:rPr>
      </w:pPr>
    </w:p>
    <w:p w:rsidR="00931357" w:rsidRPr="006927C1" w:rsidRDefault="00931357" w:rsidP="00867B0F">
      <w:pPr>
        <w:tabs>
          <w:tab w:val="left" w:pos="540"/>
          <w:tab w:val="left" w:pos="569"/>
        </w:tabs>
        <w:jc w:val="both"/>
        <w:rPr>
          <w:b/>
          <w:bCs/>
          <w:sz w:val="22"/>
          <w:szCs w:val="22"/>
          <w:lang w:val="sr-Latn-ME"/>
        </w:rPr>
      </w:pPr>
      <w:r w:rsidRPr="006927C1">
        <w:rPr>
          <w:b/>
          <w:bCs/>
          <w:sz w:val="22"/>
          <w:szCs w:val="22"/>
          <w:lang w:val="sr-Latn-ME"/>
        </w:rPr>
        <w:t xml:space="preserve">Tabela 2: Interakcije između lijeka Gilestra Duo ili njegovih pojedinačnih komponenti i drugih ljekova </w:t>
      </w: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116"/>
        <w:gridCol w:w="2742"/>
        <w:gridCol w:w="3199"/>
      </w:tblGrid>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jc w:val="center"/>
              <w:rPr>
                <w:bCs/>
                <w:sz w:val="22"/>
                <w:szCs w:val="22"/>
                <w:lang w:val="sr-Latn-ME"/>
              </w:rPr>
            </w:pPr>
            <w:r w:rsidRPr="006927C1">
              <w:rPr>
                <w:b/>
                <w:bCs/>
                <w:sz w:val="22"/>
                <w:szCs w:val="22"/>
                <w:lang w:val="sr-Latn-ME"/>
              </w:rPr>
              <w:t>Ljekovi prema terapijskim područjima</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jc w:val="center"/>
              <w:rPr>
                <w:b/>
                <w:bCs/>
                <w:sz w:val="22"/>
                <w:szCs w:val="22"/>
                <w:lang w:val="sr-Latn-ME"/>
              </w:rPr>
            </w:pPr>
            <w:r w:rsidRPr="006927C1">
              <w:rPr>
                <w:b/>
                <w:bCs/>
                <w:sz w:val="22"/>
                <w:szCs w:val="22"/>
                <w:lang w:val="sr-Latn-ME"/>
              </w:rPr>
              <w:t>Efekti na nivo ljekova u krvi</w:t>
            </w:r>
          </w:p>
          <w:p w:rsidR="00931357" w:rsidRPr="006927C1" w:rsidRDefault="00E92C61" w:rsidP="00931357">
            <w:pPr>
              <w:tabs>
                <w:tab w:val="left" w:pos="540"/>
                <w:tab w:val="left" w:pos="569"/>
              </w:tabs>
              <w:jc w:val="center"/>
              <w:rPr>
                <w:b/>
                <w:bCs/>
                <w:sz w:val="22"/>
                <w:szCs w:val="22"/>
                <w:lang w:val="sr-Latn-ME"/>
              </w:rPr>
            </w:pPr>
            <w:r w:rsidRPr="006927C1">
              <w:rPr>
                <w:b/>
                <w:bCs/>
                <w:sz w:val="22"/>
                <w:szCs w:val="22"/>
                <w:lang w:val="sr-Latn-ME"/>
              </w:rPr>
              <w:t>Procena</w:t>
            </w:r>
            <w:r w:rsidR="00931357" w:rsidRPr="006927C1">
              <w:rPr>
                <w:b/>
                <w:bCs/>
                <w:sz w:val="22"/>
                <w:szCs w:val="22"/>
                <w:lang w:val="sr-Latn-ME"/>
              </w:rPr>
              <w:t>t prosječne promjene PIK,</w:t>
            </w:r>
          </w:p>
          <w:p w:rsidR="00931357" w:rsidRPr="006927C1" w:rsidRDefault="00931357" w:rsidP="00931357">
            <w:pPr>
              <w:tabs>
                <w:tab w:val="left" w:pos="540"/>
                <w:tab w:val="left" w:pos="569"/>
              </w:tabs>
              <w:jc w:val="center"/>
              <w:rPr>
                <w:b/>
                <w:bCs/>
                <w:sz w:val="22"/>
                <w:szCs w:val="22"/>
                <w:lang w:val="sr-Latn-ME"/>
              </w:rPr>
            </w:pPr>
            <w:r w:rsidRPr="006927C1">
              <w:rPr>
                <w:b/>
                <w:bCs/>
                <w:sz w:val="22"/>
                <w:szCs w:val="22"/>
                <w:lang w:val="sr-Latn-ME"/>
              </w:rPr>
              <w:t>Cmax, Cmin uz 90% intervale povjerenja ukoliko su dostupni</w:t>
            </w:r>
          </w:p>
          <w:p w:rsidR="00931357" w:rsidRPr="006927C1" w:rsidRDefault="00931357" w:rsidP="00931357">
            <w:pPr>
              <w:tabs>
                <w:tab w:val="left" w:pos="540"/>
                <w:tab w:val="left" w:pos="569"/>
              </w:tabs>
              <w:jc w:val="center"/>
              <w:rPr>
                <w:bCs/>
                <w:sz w:val="22"/>
                <w:szCs w:val="22"/>
                <w:lang w:val="sr-Latn-ME"/>
              </w:rPr>
            </w:pPr>
            <w:r w:rsidRPr="006927C1">
              <w:rPr>
                <w:b/>
                <w:bCs/>
                <w:sz w:val="22"/>
                <w:szCs w:val="22"/>
                <w:lang w:val="sr-Latn-ME"/>
              </w:rPr>
              <w:t>(mehanizam)</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jc w:val="center"/>
              <w:rPr>
                <w:b/>
                <w:bCs/>
                <w:sz w:val="22"/>
                <w:szCs w:val="22"/>
                <w:lang w:val="sr-Latn-ME"/>
              </w:rPr>
            </w:pPr>
            <w:r w:rsidRPr="006927C1">
              <w:rPr>
                <w:b/>
                <w:bCs/>
                <w:sz w:val="22"/>
                <w:szCs w:val="22"/>
                <w:lang w:val="sr-Latn-ME"/>
              </w:rPr>
              <w:t>Preporuka za istovremenu primjenu sa lijekom Gilestra Duo (emtricitabin 200 mg, tenofovir dizoproksil</w:t>
            </w:r>
          </w:p>
          <w:p w:rsidR="00931357" w:rsidRPr="006927C1" w:rsidRDefault="00931357" w:rsidP="00931357">
            <w:pPr>
              <w:tabs>
                <w:tab w:val="left" w:pos="540"/>
                <w:tab w:val="left" w:pos="569"/>
              </w:tabs>
              <w:jc w:val="center"/>
              <w:rPr>
                <w:bCs/>
                <w:sz w:val="22"/>
                <w:szCs w:val="22"/>
                <w:lang w:val="sr-Latn-ME"/>
              </w:rPr>
            </w:pPr>
            <w:r w:rsidRPr="006927C1">
              <w:rPr>
                <w:b/>
                <w:bCs/>
                <w:sz w:val="22"/>
                <w:szCs w:val="22"/>
                <w:lang w:val="sr-Latn-ME"/>
              </w:rPr>
              <w:t>245 mg)</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i/>
                <w:iCs/>
                <w:sz w:val="22"/>
                <w:szCs w:val="22"/>
                <w:lang w:val="sr-Latn-ME"/>
              </w:rPr>
              <w:t>ANTIINFEKTIVI</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Antiretrovirusni ljekovi</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
                <w:bCs/>
                <w:sz w:val="22"/>
                <w:szCs w:val="22"/>
                <w:lang w:val="sr-Latn-ME"/>
              </w:rPr>
            </w:pPr>
            <w:r w:rsidRPr="006927C1">
              <w:rPr>
                <w:b/>
                <w:bCs/>
                <w:sz w:val="22"/>
                <w:szCs w:val="22"/>
                <w:lang w:val="sr-Latn-ME"/>
              </w:rPr>
              <w:t>Inhibitori proteaze</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Atazanavir/Ritonavir/Tenofovir disoproksil</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(300 mg q.d./100 mg q.d./245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Atazanavir: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25% (↓ 42 to ↓ 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28% (↓ 50 to ↑ 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26% (↓ 46 to ↑ 10)</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37%</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29%</w:t>
            </w:r>
          </w:p>
        </w:tc>
        <w:tc>
          <w:tcPr>
            <w:tcW w:w="1766" w:type="pct"/>
            <w:vMerge w:val="restar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Atazanavir/Ritonavir/Emtricitabin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Interakcija nije ispitana.</w:t>
            </w:r>
          </w:p>
        </w:tc>
        <w:tc>
          <w:tcPr>
            <w:tcW w:w="176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931357" w:rsidRPr="006927C1" w:rsidRDefault="00931357" w:rsidP="00931357">
            <w:pPr>
              <w:tabs>
                <w:tab w:val="left" w:pos="540"/>
                <w:tab w:val="left" w:pos="569"/>
              </w:tabs>
              <w:rPr>
                <w:bCs/>
                <w:sz w:val="22"/>
                <w:szCs w:val="22"/>
                <w:lang w:val="sr-Latn-ME"/>
              </w:rPr>
            </w:pP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Darunavir/Ritonavir/Tenofovir dizoproksil</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(300 mg q.d./100 mg q.d./245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37%</w:t>
            </w:r>
          </w:p>
        </w:tc>
        <w:tc>
          <w:tcPr>
            <w:tcW w:w="1766" w:type="pct"/>
            <w:vMerge w:val="restar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Darunavir/Ritonavir/Emtricitabin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Interakcija nije ispitana.</w:t>
            </w:r>
          </w:p>
        </w:tc>
        <w:tc>
          <w:tcPr>
            <w:tcW w:w="1766" w:type="pct"/>
            <w:vMerge/>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Lopinavir/Ritonavir/Tenofovir dizoproksil</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(400 mg b.i.d./100 mg b.i.d/245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Lopinavir/Ritonavir: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32% (↑ 25 to ↑ 38)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51% (↑ 37 to ↑ 66)</w:t>
            </w:r>
          </w:p>
        </w:tc>
        <w:tc>
          <w:tcPr>
            <w:tcW w:w="1766" w:type="pct"/>
            <w:vMerge w:val="restar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Lopinavir/Ritonavir/Emtricitabin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Interakcija nije ispitana.</w:t>
            </w:r>
          </w:p>
        </w:tc>
        <w:tc>
          <w:tcPr>
            <w:tcW w:w="1766" w:type="pct"/>
            <w:vMerge/>
            <w:tcBorders>
              <w:top w:val="outset" w:sz="6" w:space="0" w:color="7B7B7B"/>
              <w:left w:val="outset" w:sz="6" w:space="0" w:color="7B7B7B"/>
              <w:bottom w:val="outset" w:sz="6" w:space="0" w:color="7B7B7B"/>
              <w:right w:val="outset" w:sz="6" w:space="0" w:color="7B7B7B"/>
            </w:tcBorders>
            <w:shd w:val="clear" w:color="auto" w:fill="auto"/>
            <w:vAlign w:val="center"/>
          </w:tcPr>
          <w:p w:rsidR="00931357" w:rsidRPr="006927C1" w:rsidRDefault="00931357" w:rsidP="00931357">
            <w:pPr>
              <w:tabs>
                <w:tab w:val="left" w:pos="540"/>
                <w:tab w:val="left" w:pos="569"/>
              </w:tabs>
              <w:rPr>
                <w:bCs/>
                <w:sz w:val="22"/>
                <w:szCs w:val="22"/>
                <w:lang w:val="sr-Latn-ME"/>
              </w:rPr>
            </w:pP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Nukleozidni inhibitori reverzne transkriptaze (NRTIs)</w:t>
            </w:r>
          </w:p>
        </w:tc>
      </w:tr>
      <w:tr w:rsidR="00931357" w:rsidRPr="006927C1" w:rsidTr="00867B0F">
        <w:trPr>
          <w:trHeight w:val="3216"/>
        </w:trPr>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Didanosine/Tenofovir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tcPr>
          <w:p w:rsidR="003D10E7" w:rsidRPr="006927C1" w:rsidRDefault="00931357" w:rsidP="003D10E7">
            <w:pPr>
              <w:tabs>
                <w:tab w:val="left" w:pos="540"/>
                <w:tab w:val="left" w:pos="569"/>
              </w:tabs>
              <w:rPr>
                <w:bCs/>
                <w:sz w:val="22"/>
                <w:szCs w:val="22"/>
                <w:lang w:val="sr-Latn-ME"/>
              </w:rPr>
            </w:pPr>
            <w:r w:rsidRPr="006927C1">
              <w:rPr>
                <w:bCs/>
                <w:sz w:val="22"/>
                <w:szCs w:val="22"/>
                <w:lang w:val="sr-Latn-ME"/>
              </w:rPr>
              <w:t>Istovremena primjena tenofovir</w:t>
            </w:r>
            <w:r w:rsidR="003D10E7" w:rsidRPr="006927C1">
              <w:rPr>
                <w:bCs/>
                <w:sz w:val="22"/>
                <w:szCs w:val="22"/>
                <w:lang w:val="sr-Latn-ME"/>
              </w:rPr>
              <w:t xml:space="preserve"> </w:t>
            </w:r>
            <w:r w:rsidRPr="006927C1">
              <w:rPr>
                <w:bCs/>
                <w:sz w:val="22"/>
                <w:szCs w:val="22"/>
                <w:lang w:val="sr-Latn-ME"/>
              </w:rPr>
              <w:t>dizoproksila i didanozina rezultira 40-60% -tnim povećanjem s</w:t>
            </w:r>
            <w:r w:rsidR="003D10E7" w:rsidRPr="006927C1">
              <w:rPr>
                <w:bCs/>
                <w:sz w:val="22"/>
                <w:szCs w:val="22"/>
                <w:lang w:val="sr-Latn-ME"/>
              </w:rPr>
              <w:t xml:space="preserve">istemske izloženosti didanozinu. </w:t>
            </w: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3D10E7" w:rsidRPr="006927C1" w:rsidRDefault="003D10E7" w:rsidP="003D10E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p>
        </w:tc>
        <w:tc>
          <w:tcPr>
            <w:tcW w:w="1766" w:type="pct"/>
            <w:vMerge w:val="restar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istovremena primjena</w:t>
            </w:r>
            <w:r w:rsidR="003D10E7" w:rsidRPr="006927C1">
              <w:rPr>
                <w:bCs/>
                <w:sz w:val="22"/>
                <w:szCs w:val="22"/>
                <w:lang w:val="sr-Latn-ME"/>
              </w:rPr>
              <w:t xml:space="preserve"> lijeka Gilestra</w:t>
            </w:r>
            <w:r w:rsidRPr="006927C1">
              <w:rPr>
                <w:bCs/>
                <w:sz w:val="22"/>
                <w:szCs w:val="22"/>
                <w:lang w:val="sr-Latn-ME"/>
              </w:rPr>
              <w:t xml:space="preserve"> Duo i didanozina (vidjeti odjeljak 4.4).</w:t>
            </w:r>
          </w:p>
          <w:p w:rsidR="003D10E7" w:rsidRPr="006927C1" w:rsidRDefault="003D10E7" w:rsidP="00931357">
            <w:pPr>
              <w:tabs>
                <w:tab w:val="left" w:pos="540"/>
                <w:tab w:val="left" w:pos="569"/>
              </w:tabs>
              <w:rPr>
                <w:bCs/>
                <w:sz w:val="22"/>
                <w:szCs w:val="22"/>
                <w:lang w:val="sr-Latn-ME"/>
              </w:rPr>
            </w:pPr>
          </w:p>
          <w:p w:rsidR="003D10E7" w:rsidRPr="006927C1" w:rsidRDefault="003D10E7" w:rsidP="001E3695">
            <w:pPr>
              <w:tabs>
                <w:tab w:val="left" w:pos="540"/>
                <w:tab w:val="left" w:pos="569"/>
              </w:tabs>
              <w:rPr>
                <w:bCs/>
                <w:sz w:val="22"/>
                <w:szCs w:val="22"/>
                <w:lang w:val="sr-Latn-ME"/>
              </w:rPr>
            </w:pPr>
            <w:r w:rsidRPr="006927C1">
              <w:rPr>
                <w:bCs/>
                <w:sz w:val="22"/>
                <w:szCs w:val="22"/>
                <w:lang w:val="sr-Latn-ME"/>
              </w:rPr>
              <w:t xml:space="preserve">Povećana sistemska izloženost didanozinu može povećati rizik od neželjenih dejstava povezanih sa didanozinom. Zabilježeni su rijetki slučajevi pankreatitisa i laktacidoze, ponekad sa smrtnim ishodom. Istovremena primjena </w:t>
            </w:r>
            <w:r w:rsidR="00E92C61" w:rsidRPr="006927C1">
              <w:rPr>
                <w:bCs/>
                <w:sz w:val="22"/>
                <w:szCs w:val="22"/>
                <w:lang w:val="sr-Latn-ME"/>
              </w:rPr>
              <w:t>tenofovir dizoproksil</w:t>
            </w:r>
            <w:r w:rsidRPr="006927C1">
              <w:rPr>
                <w:bCs/>
                <w:sz w:val="22"/>
                <w:szCs w:val="22"/>
                <w:lang w:val="sr-Latn-ME"/>
              </w:rPr>
              <w:t xml:space="preserve">a i didanozina u dozi od 400 mg na dan povezana je sa značajnim smanjenjem broja CD4 </w:t>
            </w:r>
            <w:r w:rsidR="001E3695" w:rsidRPr="006927C1">
              <w:rPr>
                <w:bCs/>
                <w:sz w:val="22"/>
                <w:szCs w:val="22"/>
                <w:lang w:val="sr-Latn-ME"/>
              </w:rPr>
              <w:t>ćelija</w:t>
            </w:r>
            <w:r w:rsidRPr="006927C1">
              <w:rPr>
                <w:bCs/>
                <w:sz w:val="22"/>
                <w:szCs w:val="22"/>
                <w:lang w:val="sr-Latn-ME"/>
              </w:rPr>
              <w:t>, moguće zbog intracelularne interakcije koja povećava fosforilovani (tj. aktivni) didanozin. Smanjena doza didanozina od 250 mg primijenjena zajedno sa tenofovir dizoproksilom povezuje se sa prijavama visokih stopa virološkog neuspjeha unutar nekoliko ispitivanih kombinacija za liječenje HIV-1 infekcije.</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Didanosine/Emtricitabin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Interakcija nije ispitana.</w:t>
            </w:r>
          </w:p>
        </w:tc>
        <w:tc>
          <w:tcPr>
            <w:tcW w:w="176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931357" w:rsidRPr="006927C1" w:rsidRDefault="00931357" w:rsidP="00931357">
            <w:pPr>
              <w:tabs>
                <w:tab w:val="left" w:pos="540"/>
                <w:tab w:val="left" w:pos="569"/>
              </w:tabs>
              <w:rPr>
                <w:bCs/>
                <w:sz w:val="22"/>
                <w:szCs w:val="22"/>
                <w:lang w:val="sr-Latn-ME"/>
              </w:rPr>
            </w:pP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Lamivudin/Tenofovir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Lamivudin: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 (↓ 8% to ↑ 15)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24% (↓ 44 to ↓ 12)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 (↓ 15 to ↑ 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102% (↓ 96 to ↑ 108)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Lamivudin i Gilestra Duo ne smiju  se primjenj</w:t>
            </w:r>
            <w:r w:rsidR="001E3695" w:rsidRPr="006927C1">
              <w:rPr>
                <w:bCs/>
                <w:sz w:val="22"/>
                <w:szCs w:val="22"/>
                <w:lang w:val="sr-Latn-ME"/>
              </w:rPr>
              <w:t>ivati</w:t>
            </w:r>
            <w:r w:rsidRPr="006927C1">
              <w:rPr>
                <w:bCs/>
                <w:sz w:val="22"/>
                <w:szCs w:val="22"/>
                <w:lang w:val="sr-Latn-ME"/>
              </w:rPr>
              <w:t xml:space="preserve"> istovremeno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Efavirenz/Tenofovir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Efavirenz:</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 (↓ 7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 (↓ 9 to ↑ 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1% (↓ 8 to ↑ 6)</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7% (↓ 6 to ↑ 22)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3D10E7" w:rsidP="00931357">
            <w:pPr>
              <w:tabs>
                <w:tab w:val="left" w:pos="540"/>
                <w:tab w:val="left" w:pos="569"/>
              </w:tabs>
              <w:rPr>
                <w:bCs/>
                <w:sz w:val="22"/>
                <w:szCs w:val="22"/>
                <w:lang w:val="sr-Latn-ME"/>
              </w:rPr>
            </w:pPr>
            <w:r w:rsidRPr="006927C1">
              <w:rPr>
                <w:bCs/>
                <w:sz w:val="22"/>
                <w:szCs w:val="22"/>
                <w:lang w:val="sr-Latn-ME"/>
              </w:rPr>
              <w:t>Nije potrebno</w:t>
            </w:r>
            <w:r w:rsidR="00931357" w:rsidRPr="006927C1">
              <w:rPr>
                <w:bCs/>
                <w:sz w:val="22"/>
                <w:szCs w:val="22"/>
                <w:lang w:val="sr-Latn-ME"/>
              </w:rPr>
              <w:t xml:space="preserve"> prilagođavanje doze efavirenza.</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i/>
                <w:iCs/>
                <w:sz w:val="22"/>
                <w:szCs w:val="22"/>
                <w:lang w:val="sr-Latn-ME"/>
              </w:rPr>
              <w:t>ANTIINFEKTIVI</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 xml:space="preserve">Antivirusni ljekovi proiv hepatitisa B (HBV) </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Adefovir dipivoksil/Tenofovir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Adefovir dipivoksil:</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11% (↓ 14 to ↓ 7)</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7% (↓ 13 to ↓ 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 (↓ 5 to ↑ 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 (↓ 7 to ↑ 6)</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Adefovir dipivoksil i Gilestra Duo ne smiju da se primjenjuju istovremeno (vidjeti odjeljak 4.4).</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 xml:space="preserve">Antivirusni ljekovi protiv hepatitisa C (HCV) </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Ledipasvir/Sofosbuvir (90 mg/400 mg q.d.) + Atazanavir/Ritonavir (300 mg q.d./100 mg q.d.) + Emtricitabin/Tenofovir dizoproksil (200 mg/245 mg q.d.)</w:t>
            </w:r>
            <w:r w:rsidRPr="006927C1">
              <w:rPr>
                <w:bCs/>
                <w:sz w:val="22"/>
                <w:szCs w:val="22"/>
                <w:vertAlign w:val="superscript"/>
                <w:lang w:val="sr-Latn-ME"/>
              </w:rPr>
              <w:t>1</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96% (↑ 74 to ↑ 121)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68% (↑ 54 to ↑ 84)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118% (↑ 91 to ↑ 150)</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42% (↑ 34 to ↑ 49)</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Atazanavir: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63% (↑ 45 to ↑ 84)</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45% (↑ 27 to ↑ 64)</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47% (↑ 37 to ↑ 58)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47% (↑ 38 to ↑ 57)</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Povećane koncen</w:t>
            </w:r>
            <w:r w:rsidR="003D10E7" w:rsidRPr="006927C1">
              <w:rPr>
                <w:bCs/>
                <w:sz w:val="22"/>
                <w:szCs w:val="22"/>
                <w:lang w:val="sr-Latn-ME"/>
              </w:rPr>
              <w:t>tracije tenofovira u plazmi usl</w:t>
            </w:r>
            <w:r w:rsidRPr="006927C1">
              <w:rPr>
                <w:bCs/>
                <w:sz w:val="22"/>
                <w:szCs w:val="22"/>
                <w:lang w:val="sr-Latn-ME"/>
              </w:rPr>
              <w:t>jed istovremene primjene tenofovir</w:t>
            </w:r>
            <w:r w:rsidR="003D10E7" w:rsidRPr="006927C1">
              <w:rPr>
                <w:bCs/>
                <w:sz w:val="22"/>
                <w:szCs w:val="22"/>
                <w:lang w:val="sr-Latn-ME"/>
              </w:rPr>
              <w:t xml:space="preserve"> </w:t>
            </w:r>
            <w:r w:rsidRPr="006927C1">
              <w:rPr>
                <w:bCs/>
                <w:sz w:val="22"/>
                <w:szCs w:val="22"/>
                <w:lang w:val="sr-Latn-ME"/>
              </w:rPr>
              <w:t>dizoproksila, ledipasvira/sofosbuvira i atazanavira/ritonavira mogu pojačati neželjena dejstva vezana za upotrebu tenofovir dizoproksila, uključujući poremećaje bubrega. Bezbjednost tenofovir dizoproksila prilikom istovremene primjene sa ledipasvirom/sofosbuvirom i farma</w:t>
            </w:r>
            <w:r w:rsidR="003D10E7" w:rsidRPr="006927C1">
              <w:rPr>
                <w:bCs/>
                <w:sz w:val="22"/>
                <w:szCs w:val="22"/>
                <w:lang w:val="sr-Latn-ME"/>
              </w:rPr>
              <w:t>kokinetičkim pojačivačem (npr. r</w:t>
            </w:r>
            <w:r w:rsidRPr="006927C1">
              <w:rPr>
                <w:bCs/>
                <w:sz w:val="22"/>
                <w:szCs w:val="22"/>
                <w:lang w:val="sr-Latn-ME"/>
              </w:rPr>
              <w:t>itonavirom ili kobicistatom) nije ustanovljena.</w:t>
            </w:r>
          </w:p>
          <w:p w:rsidR="00931357" w:rsidRPr="006927C1" w:rsidRDefault="00931357" w:rsidP="00931357">
            <w:pPr>
              <w:tabs>
                <w:tab w:val="left" w:pos="540"/>
                <w:tab w:val="left" w:pos="569"/>
              </w:tabs>
              <w:rPr>
                <w:b/>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Tu je kombinaciju pot</w:t>
            </w:r>
            <w:r w:rsidR="003D10E7" w:rsidRPr="006927C1">
              <w:rPr>
                <w:bCs/>
                <w:sz w:val="22"/>
                <w:szCs w:val="22"/>
                <w:lang w:val="sr-Latn-ME"/>
              </w:rPr>
              <w:t>rebno koristiti uz oprez i često</w:t>
            </w:r>
            <w:r w:rsidRPr="006927C1">
              <w:rPr>
                <w:bCs/>
                <w:sz w:val="22"/>
                <w:szCs w:val="22"/>
                <w:lang w:val="sr-Latn-ME"/>
              </w:rPr>
              <w:t xml:space="preserve"> praćenje bubrežne funkcije ako zamjensko liječenje nije dostupno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Ledipasvir/Sofosbuvir (90 mg/400 mg q.d.) + Darunavir/Ritonavir (800 mg q.d./100 mg q.d.) + Emtricitabin/Tenofovir dizoproksil (200 mg/245 mg q.d.)</w:t>
            </w:r>
            <w:r w:rsidRPr="006927C1">
              <w:rPr>
                <w:b/>
                <w:bCs/>
                <w:sz w:val="22"/>
                <w:szCs w:val="22"/>
                <w:vertAlign w:val="superscript"/>
                <w:lang w:val="sr-Latn-ME"/>
              </w:rPr>
              <w:t>1</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27% (↓ 35 to ↓ 18)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37% (↓ 48 to ↓ 25)</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48% (↑ 34 to ↑ 63)</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1E3695" w:rsidRPr="006927C1" w:rsidRDefault="001E3695"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50% (↑ 42 to ↑ 59)</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64% (↑ 54 to ↑ 74)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59% (↑ 49 to ↑ 70)</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Povećane konce</w:t>
            </w:r>
            <w:r w:rsidR="003D10E7" w:rsidRPr="006927C1">
              <w:rPr>
                <w:bCs/>
                <w:sz w:val="22"/>
                <w:szCs w:val="22"/>
                <w:lang w:val="sr-Latn-ME"/>
              </w:rPr>
              <w:t>ntracije tenofovira u plazmi usl</w:t>
            </w:r>
            <w:r w:rsidRPr="006927C1">
              <w:rPr>
                <w:bCs/>
                <w:sz w:val="22"/>
                <w:szCs w:val="22"/>
                <w:lang w:val="sr-Latn-ME"/>
              </w:rPr>
              <w:t>jed istovremene primjene tenofovir</w:t>
            </w:r>
            <w:r w:rsidR="003D10E7" w:rsidRPr="006927C1">
              <w:rPr>
                <w:bCs/>
                <w:sz w:val="22"/>
                <w:szCs w:val="22"/>
                <w:lang w:val="sr-Latn-ME"/>
              </w:rPr>
              <w:t xml:space="preserve"> </w:t>
            </w:r>
            <w:r w:rsidRPr="006927C1">
              <w:rPr>
                <w:bCs/>
                <w:sz w:val="22"/>
                <w:szCs w:val="22"/>
                <w:lang w:val="sr-Latn-ME"/>
              </w:rPr>
              <w:t>dizoproksila, ledipasvira/sofosbuvira i atazanavira/ritonavira mogu p</w:t>
            </w:r>
            <w:r w:rsidR="003D10E7" w:rsidRPr="006927C1">
              <w:rPr>
                <w:bCs/>
                <w:sz w:val="22"/>
                <w:szCs w:val="22"/>
                <w:lang w:val="sr-Latn-ME"/>
              </w:rPr>
              <w:t>ojačati neželjena dejstva vezana</w:t>
            </w:r>
            <w:r w:rsidRPr="006927C1">
              <w:rPr>
                <w:bCs/>
                <w:sz w:val="22"/>
                <w:szCs w:val="22"/>
                <w:lang w:val="sr-Latn-ME"/>
              </w:rPr>
              <w:t xml:space="preserve"> uz tenofovir</w:t>
            </w:r>
            <w:r w:rsidR="003D10E7" w:rsidRPr="006927C1">
              <w:rPr>
                <w:bCs/>
                <w:sz w:val="22"/>
                <w:szCs w:val="22"/>
                <w:lang w:val="sr-Latn-ME"/>
              </w:rPr>
              <w:t xml:space="preserve"> </w:t>
            </w:r>
            <w:r w:rsidRPr="006927C1">
              <w:rPr>
                <w:bCs/>
                <w:sz w:val="22"/>
                <w:szCs w:val="22"/>
                <w:lang w:val="sr-Latn-ME"/>
              </w:rPr>
              <w:t>dizoproksil, uključujući poremećaje bubrega. Bezbjednost tenofovir</w:t>
            </w:r>
            <w:r w:rsidR="003D10E7" w:rsidRPr="006927C1">
              <w:rPr>
                <w:bCs/>
                <w:sz w:val="22"/>
                <w:szCs w:val="22"/>
                <w:lang w:val="sr-Latn-ME"/>
              </w:rPr>
              <w:t xml:space="preserve"> </w:t>
            </w:r>
            <w:r w:rsidRPr="006927C1">
              <w:rPr>
                <w:bCs/>
                <w:sz w:val="22"/>
                <w:szCs w:val="22"/>
                <w:lang w:val="sr-Latn-ME"/>
              </w:rPr>
              <w:t>dizoproksila prilikom istovremene primjene s</w:t>
            </w:r>
            <w:r w:rsidR="003D10E7" w:rsidRPr="006927C1">
              <w:rPr>
                <w:bCs/>
                <w:sz w:val="22"/>
                <w:szCs w:val="22"/>
                <w:lang w:val="sr-Latn-ME"/>
              </w:rPr>
              <w:t>a</w:t>
            </w:r>
            <w:r w:rsidRPr="006927C1">
              <w:rPr>
                <w:bCs/>
                <w:sz w:val="22"/>
                <w:szCs w:val="22"/>
                <w:lang w:val="sr-Latn-ME"/>
              </w:rPr>
              <w:t xml:space="preserve"> ledipasvirom/sofosbuvirom i farmakokinetičkim pojačivačem (npr.</w:t>
            </w:r>
            <w:r w:rsidR="003D10E7" w:rsidRPr="006927C1">
              <w:rPr>
                <w:bCs/>
                <w:sz w:val="22"/>
                <w:szCs w:val="22"/>
                <w:lang w:val="sr-Latn-ME"/>
              </w:rPr>
              <w:t xml:space="preserve"> r</w:t>
            </w:r>
            <w:r w:rsidRPr="006927C1">
              <w:rPr>
                <w:bCs/>
                <w:sz w:val="22"/>
                <w:szCs w:val="22"/>
                <w:lang w:val="sr-Latn-ME"/>
              </w:rPr>
              <w:t>itonavirom ili kobicistatom) nije ustanovljena.</w:t>
            </w:r>
          </w:p>
          <w:p w:rsidR="00931357" w:rsidRPr="006927C1" w:rsidRDefault="00931357" w:rsidP="00931357">
            <w:pPr>
              <w:tabs>
                <w:tab w:val="left" w:pos="540"/>
                <w:tab w:val="left" w:pos="569"/>
              </w:tabs>
              <w:rPr>
                <w:b/>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Tu je kombinaciju pot</w:t>
            </w:r>
            <w:r w:rsidR="003D10E7" w:rsidRPr="006927C1">
              <w:rPr>
                <w:bCs/>
                <w:sz w:val="22"/>
                <w:szCs w:val="22"/>
                <w:lang w:val="sr-Latn-ME"/>
              </w:rPr>
              <w:t>rebno koristiti uz oprez i često</w:t>
            </w:r>
            <w:r w:rsidRPr="006927C1">
              <w:rPr>
                <w:bCs/>
                <w:sz w:val="22"/>
                <w:szCs w:val="22"/>
                <w:lang w:val="sr-Latn-ME"/>
              </w:rPr>
              <w:t xml:space="preserve"> praćenje bubrežne funkcije ako zamjensko liječenje nije dostupno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Ledipasvir/Sofosbuvir (90 mg/400 mg q.d.) + Efavirenz/Emtricitabin/Tenofovir dizoproksil (600 mg/200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34% (↓ 41 to ↓ 25)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34% (↓ 41 to ↑ 25)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34% (↓ 43 to ↑ 24)</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Efavirenz:</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98% (↑ 77 to ↑ 123)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79% (↑ 56 to ↑ 104)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163% (↑ 137 to ↑ 197)</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Ledipasvir/Sofosbuvir (90 mg/400 mg q.d.) + Emtricitabin/Rilpivirine/ Tenofovir dizoproksil (200 mg/25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Rilpivirine:</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40% (↑ 31 to ↑ 50)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91% (↑ 74 to ↑ 110)</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Ledipasvir/Sofosbuvir (90 mg/400 mg q.d.) + Dolutegravir (50 mg q.d.)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Ledipasvir: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Dolutegravir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65% (↑ 59 to ↑ 71)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61% (↑ 51 to ↑ 72)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115% (↑ 105 to ↑ 126)</w:t>
            </w:r>
          </w:p>
        </w:tc>
        <w:tc>
          <w:tcPr>
            <w:tcW w:w="1766" w:type="pc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Povećana izloženost tenofoviru može pojačati neželjena dejstva povezana sa upotrebom tenofovira, uključujući poremećaje bubrega. Funkciju bubrega bi trebalo pažljivo pratiti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Sofosbuvir/Velpatasvir (400 mg/100 mg q.d.) + Atazanavir/Ritonavir (300 mg q.d./100 mg q.d.)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42% (↑ 37 to ↑ 49)</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142% (↑ 123 to ↑ 164)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55% (↑ 41 to ↑ 71)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301% (↑ 257 to ↑ 350)</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Atazanavir: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39% (↑ 20 to ↑ 61)</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29% (↑ 15 to ↑ 44)</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55% (↑ 43 to ↑ 68)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39% (↑ 31 to ↑ 48)</w:t>
            </w:r>
          </w:p>
        </w:tc>
        <w:tc>
          <w:tcPr>
            <w:tcW w:w="1766" w:type="pc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Povećane koncentracije tenofovira u plazmi usljed istovremene primjene tenofovir</w:t>
            </w:r>
            <w:r w:rsidR="00FD4459" w:rsidRPr="006927C1">
              <w:rPr>
                <w:bCs/>
                <w:sz w:val="22"/>
                <w:szCs w:val="22"/>
                <w:lang w:val="sr-Latn-ME"/>
              </w:rPr>
              <w:t xml:space="preserve"> </w:t>
            </w:r>
            <w:r w:rsidRPr="006927C1">
              <w:rPr>
                <w:bCs/>
                <w:sz w:val="22"/>
                <w:szCs w:val="22"/>
                <w:lang w:val="sr-Latn-ME"/>
              </w:rPr>
              <w:t>dizoproksila, sofosbuvira/velpatasvira i atazanavira/ritonavira mogu po</w:t>
            </w:r>
            <w:r w:rsidR="00FD4459" w:rsidRPr="006927C1">
              <w:rPr>
                <w:bCs/>
                <w:sz w:val="22"/>
                <w:szCs w:val="22"/>
                <w:lang w:val="sr-Latn-ME"/>
              </w:rPr>
              <w:t xml:space="preserve">jačati neželjena dejstva vezana </w:t>
            </w:r>
            <w:r w:rsidRPr="006927C1">
              <w:rPr>
                <w:bCs/>
                <w:sz w:val="22"/>
                <w:szCs w:val="22"/>
                <w:lang w:val="sr-Latn-ME"/>
              </w:rPr>
              <w:t>uz tenofovir</w:t>
            </w:r>
            <w:r w:rsidR="00FD4459" w:rsidRPr="006927C1">
              <w:rPr>
                <w:bCs/>
                <w:sz w:val="22"/>
                <w:szCs w:val="22"/>
                <w:lang w:val="sr-Latn-ME"/>
              </w:rPr>
              <w:t xml:space="preserve"> </w:t>
            </w:r>
            <w:r w:rsidRPr="006927C1">
              <w:rPr>
                <w:bCs/>
                <w:sz w:val="22"/>
                <w:szCs w:val="22"/>
                <w:lang w:val="sr-Latn-ME"/>
              </w:rPr>
              <w:t>dizoproksil, uključujući poremećaje bubrega. Bezbjednost tenofovir</w:t>
            </w:r>
            <w:r w:rsidR="00FD4459" w:rsidRPr="006927C1">
              <w:rPr>
                <w:bCs/>
                <w:sz w:val="22"/>
                <w:szCs w:val="22"/>
                <w:lang w:val="sr-Latn-ME"/>
              </w:rPr>
              <w:t xml:space="preserve"> </w:t>
            </w:r>
            <w:r w:rsidRPr="006927C1">
              <w:rPr>
                <w:bCs/>
                <w:sz w:val="22"/>
                <w:szCs w:val="22"/>
                <w:lang w:val="sr-Latn-ME"/>
              </w:rPr>
              <w:t>dizoproksila prilikom istovremene primjene sa sofosbuvirom/velpatasvirom i farma</w:t>
            </w:r>
            <w:r w:rsidR="00FD4459" w:rsidRPr="006927C1">
              <w:rPr>
                <w:bCs/>
                <w:sz w:val="22"/>
                <w:szCs w:val="22"/>
                <w:lang w:val="sr-Latn-ME"/>
              </w:rPr>
              <w:t>kokinetičkim pojačivačem (npr. r</w:t>
            </w:r>
            <w:r w:rsidRPr="006927C1">
              <w:rPr>
                <w:bCs/>
                <w:sz w:val="22"/>
                <w:szCs w:val="22"/>
                <w:lang w:val="sr-Latn-ME"/>
              </w:rPr>
              <w:t>itonavirom ili kobicistatom) nije ustanovljena.</w:t>
            </w:r>
          </w:p>
          <w:p w:rsidR="00931357" w:rsidRPr="006927C1" w:rsidRDefault="00931357" w:rsidP="00931357">
            <w:pPr>
              <w:tabs>
                <w:tab w:val="left" w:pos="540"/>
                <w:tab w:val="left" w:pos="569"/>
              </w:tabs>
              <w:rPr>
                <w:b/>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Tu je kombinaciju potrebno koristit</w:t>
            </w:r>
            <w:r w:rsidR="00FD4459" w:rsidRPr="006927C1">
              <w:rPr>
                <w:bCs/>
                <w:sz w:val="22"/>
                <w:szCs w:val="22"/>
                <w:lang w:val="sr-Latn-ME"/>
              </w:rPr>
              <w:t>i uz oprez i često</w:t>
            </w:r>
            <w:r w:rsidRPr="006927C1">
              <w:rPr>
                <w:bCs/>
                <w:sz w:val="22"/>
                <w:szCs w:val="22"/>
                <w:lang w:val="sr-Latn-ME"/>
              </w:rPr>
              <w:t xml:space="preserve"> praćenje bubrežne funkcije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Sofosbuvir/Velpatasvir (400 mg/100 mg q.d.) + Darunavir/Ritonavir (800 mg q.d./100 mg q.d.)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28% (↓ 34 to ↓ 20)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38% (↓ 46 to ↓ 29)</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24% (↓ 35 to ↓ 11)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39% (↑ 33 to ↑ 44)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55% (↑ 45 to ↑ 66)</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52% (↑ 45 to ↑ 59)</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FD4459" w:rsidRPr="006927C1" w:rsidRDefault="00931357" w:rsidP="00931357">
            <w:pPr>
              <w:tabs>
                <w:tab w:val="left" w:pos="540"/>
                <w:tab w:val="left" w:pos="569"/>
              </w:tabs>
              <w:rPr>
                <w:bCs/>
                <w:sz w:val="22"/>
                <w:szCs w:val="22"/>
                <w:lang w:val="sr-Latn-ME"/>
              </w:rPr>
            </w:pPr>
            <w:r w:rsidRPr="006927C1">
              <w:rPr>
                <w:bCs/>
                <w:sz w:val="22"/>
                <w:szCs w:val="22"/>
                <w:lang w:val="sr-Latn-ME"/>
              </w:rPr>
              <w:t>Povećane koncentracije tenofovira u plazmi usl</w:t>
            </w:r>
            <w:r w:rsidR="00A73C74" w:rsidRPr="006927C1">
              <w:rPr>
                <w:bCs/>
                <w:sz w:val="22"/>
                <w:szCs w:val="22"/>
                <w:lang w:val="sr-Latn-ME"/>
              </w:rPr>
              <w:t>j</w:t>
            </w:r>
            <w:r w:rsidRPr="006927C1">
              <w:rPr>
                <w:bCs/>
                <w:sz w:val="22"/>
                <w:szCs w:val="22"/>
                <w:lang w:val="sr-Latn-ME"/>
              </w:rPr>
              <w:t>ed istovremene primjene tenofovir dizoproksil, sofosbuvira/velpatasvira i darunavira/ritonavira mogu p</w:t>
            </w:r>
            <w:r w:rsidR="00FD4459" w:rsidRPr="006927C1">
              <w:rPr>
                <w:bCs/>
                <w:sz w:val="22"/>
                <w:szCs w:val="22"/>
                <w:lang w:val="sr-Latn-ME"/>
              </w:rPr>
              <w:t>ojačati neželjena dejstva vezana</w:t>
            </w:r>
            <w:r w:rsidRPr="006927C1">
              <w:rPr>
                <w:bCs/>
                <w:sz w:val="22"/>
                <w:szCs w:val="22"/>
                <w:lang w:val="sr-Latn-ME"/>
              </w:rPr>
              <w:t xml:space="preserve"> uz tenofovir</w:t>
            </w:r>
            <w:r w:rsidR="00FD4459" w:rsidRPr="006927C1">
              <w:rPr>
                <w:bCs/>
                <w:sz w:val="22"/>
                <w:szCs w:val="22"/>
                <w:lang w:val="sr-Latn-ME"/>
              </w:rPr>
              <w:t xml:space="preserve"> </w:t>
            </w:r>
            <w:r w:rsidRPr="006927C1">
              <w:rPr>
                <w:bCs/>
                <w:sz w:val="22"/>
                <w:szCs w:val="22"/>
                <w:lang w:val="sr-Latn-ME"/>
              </w:rPr>
              <w:t xml:space="preserve">dizoproksil, uključujući poremećaje bubrega. </w:t>
            </w:r>
          </w:p>
          <w:p w:rsidR="00FD4459" w:rsidRPr="006927C1" w:rsidRDefault="00FD4459"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Bezbjednost tenofovir</w:t>
            </w:r>
            <w:r w:rsidR="00FD4459" w:rsidRPr="006927C1">
              <w:rPr>
                <w:bCs/>
                <w:sz w:val="22"/>
                <w:szCs w:val="22"/>
                <w:lang w:val="sr-Latn-ME"/>
              </w:rPr>
              <w:t xml:space="preserve"> </w:t>
            </w:r>
            <w:r w:rsidRPr="006927C1">
              <w:rPr>
                <w:bCs/>
                <w:sz w:val="22"/>
                <w:szCs w:val="22"/>
                <w:lang w:val="sr-Latn-ME"/>
              </w:rPr>
              <w:t>dizoproksila prilikom istovremene primjene sa sofosbuvirom/velpatasvirom i farma</w:t>
            </w:r>
            <w:r w:rsidR="00FD4459" w:rsidRPr="006927C1">
              <w:rPr>
                <w:bCs/>
                <w:sz w:val="22"/>
                <w:szCs w:val="22"/>
                <w:lang w:val="sr-Latn-ME"/>
              </w:rPr>
              <w:t>kokinetičkim pojačivačem (npr. r</w:t>
            </w:r>
            <w:r w:rsidRPr="006927C1">
              <w:rPr>
                <w:bCs/>
                <w:sz w:val="22"/>
                <w:szCs w:val="22"/>
                <w:lang w:val="sr-Latn-ME"/>
              </w:rPr>
              <w:t>itonavirom ili kobicistatom) nije ustanovljena.</w:t>
            </w:r>
          </w:p>
          <w:p w:rsidR="00A73C74" w:rsidRPr="006927C1" w:rsidRDefault="00A73C74" w:rsidP="00931357">
            <w:pPr>
              <w:tabs>
                <w:tab w:val="left" w:pos="540"/>
                <w:tab w:val="left" w:pos="569"/>
              </w:tabs>
              <w:rPr>
                <w:bCs/>
                <w:sz w:val="22"/>
                <w:szCs w:val="22"/>
                <w:lang w:val="sr-Latn-ME"/>
              </w:rPr>
            </w:pPr>
          </w:p>
          <w:p w:rsidR="00A73C74" w:rsidRPr="006927C1" w:rsidRDefault="00A73C74" w:rsidP="00931357">
            <w:pPr>
              <w:tabs>
                <w:tab w:val="left" w:pos="540"/>
                <w:tab w:val="left" w:pos="569"/>
              </w:tabs>
              <w:rPr>
                <w:bCs/>
                <w:sz w:val="22"/>
                <w:szCs w:val="22"/>
                <w:lang w:val="sr-Latn-ME"/>
              </w:rPr>
            </w:pPr>
            <w:r w:rsidRPr="006927C1">
              <w:rPr>
                <w:bCs/>
                <w:sz w:val="22"/>
                <w:szCs w:val="22"/>
                <w:lang w:val="sr-Latn-ME"/>
              </w:rPr>
              <w:t>Tu je kombinaciju potrebno koristiti uz oprez i često praćenje bubrežne funkcije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Sofosbuvir/Velpatasvir (400 mg/100 mg q.d.) + Lopinavir/Ritonavir (800 mg/200 mg q.d.)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29% (↓ 36 to ↓ 22)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41% (↓ 51 to ↓ 29)</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30% (↓ 41 to ↓ 17)</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63% (↑ 43 to ↑ 85)</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Lopinavir: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42% (↑ 27 to ↑ 57)</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tc>
        <w:tc>
          <w:tcPr>
            <w:tcW w:w="1766" w:type="pct"/>
            <w:tcBorders>
              <w:top w:val="outset" w:sz="6" w:space="0" w:color="7B7B7B"/>
              <w:left w:val="outset" w:sz="6" w:space="0" w:color="7B7B7B"/>
              <w:bottom w:val="outset" w:sz="6" w:space="0" w:color="7B7B7B"/>
              <w:right w:val="outset" w:sz="6" w:space="0" w:color="7B7B7B"/>
            </w:tcBorders>
            <w:shd w:val="clear" w:color="auto" w:fill="auto"/>
          </w:tcPr>
          <w:p w:rsidR="00FD4459"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Povećane koncentracije tenofovira u plazmi usl</w:t>
            </w:r>
            <w:r w:rsidR="00A73C74" w:rsidRPr="006927C1">
              <w:rPr>
                <w:bCs/>
                <w:sz w:val="22"/>
                <w:szCs w:val="22"/>
                <w:lang w:val="sr-Latn-ME"/>
              </w:rPr>
              <w:t>j</w:t>
            </w:r>
            <w:r w:rsidRPr="006927C1">
              <w:rPr>
                <w:bCs/>
                <w:sz w:val="22"/>
                <w:szCs w:val="22"/>
                <w:lang w:val="sr-Latn-ME"/>
              </w:rPr>
              <w:t>ed istovremene primjene tenofovir dizoproksila, sofosbuvira/velpatasvira i lopinavira/ritonavira mogu p</w:t>
            </w:r>
            <w:r w:rsidR="00FD4459" w:rsidRPr="006927C1">
              <w:rPr>
                <w:bCs/>
                <w:sz w:val="22"/>
                <w:szCs w:val="22"/>
                <w:lang w:val="sr-Latn-ME"/>
              </w:rPr>
              <w:t>ojačati neželjena dejstva vezana</w:t>
            </w:r>
            <w:r w:rsidRPr="006927C1">
              <w:rPr>
                <w:bCs/>
                <w:sz w:val="22"/>
                <w:szCs w:val="22"/>
                <w:lang w:val="sr-Latn-ME"/>
              </w:rPr>
              <w:t xml:space="preserve"> za upotrebu tenofovir dizoproksila, uključujući poremećaje bubrega. </w:t>
            </w:r>
          </w:p>
          <w:p w:rsidR="00FD4459" w:rsidRPr="006927C1" w:rsidRDefault="00FD4459"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Bezbjednost tenofovir dizoproksila prilikom istovremene primjene sa sofosbuvirom/velpatasvirom i farma</w:t>
            </w:r>
            <w:r w:rsidR="00FD4459" w:rsidRPr="006927C1">
              <w:rPr>
                <w:bCs/>
                <w:sz w:val="22"/>
                <w:szCs w:val="22"/>
                <w:lang w:val="sr-Latn-ME"/>
              </w:rPr>
              <w:t>kokinetičkim pojačivačem (npr. r</w:t>
            </w:r>
            <w:r w:rsidRPr="006927C1">
              <w:rPr>
                <w:bCs/>
                <w:sz w:val="22"/>
                <w:szCs w:val="22"/>
                <w:lang w:val="sr-Latn-ME"/>
              </w:rPr>
              <w:t>itonavirom ili kobicistatom) nije ustanovljena.</w:t>
            </w:r>
          </w:p>
          <w:p w:rsidR="00931357" w:rsidRPr="006927C1" w:rsidRDefault="00931357"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Tu je kombinaciju pot</w:t>
            </w:r>
            <w:r w:rsidR="00FD4459" w:rsidRPr="006927C1">
              <w:rPr>
                <w:bCs/>
                <w:sz w:val="22"/>
                <w:szCs w:val="22"/>
                <w:lang w:val="sr-Latn-ME"/>
              </w:rPr>
              <w:t>rebno koristiti uz oprez i često</w:t>
            </w:r>
            <w:r w:rsidRPr="006927C1">
              <w:rPr>
                <w:bCs/>
                <w:sz w:val="22"/>
                <w:szCs w:val="22"/>
                <w:lang w:val="sr-Latn-ME"/>
              </w:rPr>
              <w:t xml:space="preserve"> praćenje bubrežne funkcije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Sofosbuvir/Velpatasvir (400 mg/100 mg q.d.) + Raltegravir (400 mg b.i.d)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Raltegravir: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21% (↓ 58 to ↑ 48)</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40% (↑ 34 to ↑ 45)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46% (↑ 39 to ↑ 54)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70% (↑ 61 to ↑ 79)</w:t>
            </w:r>
          </w:p>
        </w:tc>
        <w:tc>
          <w:tcPr>
            <w:tcW w:w="1766" w:type="pct"/>
            <w:tcBorders>
              <w:bottom w:val="nil"/>
            </w:tcBorders>
            <w:hideMark/>
          </w:tcPr>
          <w:p w:rsidR="00931357" w:rsidRPr="006927C1" w:rsidRDefault="00931357" w:rsidP="00931357">
            <w:pPr>
              <w:widowControl w:val="0"/>
              <w:autoSpaceDE w:val="0"/>
              <w:autoSpaceDN w:val="0"/>
              <w:ind w:right="142"/>
              <w:rPr>
                <w:sz w:val="22"/>
                <w:szCs w:val="22"/>
                <w:lang w:val="sr-Latn-ME"/>
              </w:rPr>
            </w:pPr>
            <w:r w:rsidRPr="006927C1">
              <w:rPr>
                <w:sz w:val="22"/>
                <w:szCs w:val="22"/>
                <w:lang w:val="sr-Latn-ME"/>
              </w:rPr>
              <w:t>Ne preporučuje se prilagođavanje doze. Povećano izlaganje tenofoviru moglo bi pojačati neželjena dejstva povezana sa upotrebom tenofovir dizoproksila, uključujući poremećaje bubrega. Potrebno je pažljivo praćenje funkcije bubrega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 xml:space="preserve">Sofosbuvir/Velpatasvir (400 mg/100 mg q.d.) + Efavirenz/Emtricitabin/Tenofovir </w:t>
            </w:r>
            <w:r w:rsidRPr="006927C1">
              <w:rPr>
                <w:bCs/>
                <w:sz w:val="22"/>
                <w:szCs w:val="22"/>
                <w:lang w:val="sr-Latn-ME"/>
              </w:rPr>
              <w:lastRenderedPageBreak/>
              <w:t>dizoproksil (600 mg/200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38% (↑ 14 to ↑ 67)</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53% (↓ 61 to ↓ 43)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47% (↓ 57 to ↓ 36)</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57% (↓ 64 to ↓ 48)</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Efavirenz:</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81% (↑ 68 to ↑ 94)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77% (↑ 53 to ↑ 104)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121% (↑ 100 to ↑ 143)</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 xml:space="preserve">Očekuje se da će istovremena primjena sofosbuvira/velpatasvira i efavirenza smanjiti koncentracije velpatasvira u plazmi.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Ne preporučuje se istovremena primjena sofosbuvira/velpatasvira sa režimima koji sadrže efavirenz.</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Sofosbuvir/Velpatasvir (400 mg/100 mg q.d.) + Emtricitabin/Rilpivirine/Tenofovir dizoproksil (200 mg/25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Rilpivirine:</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40% (↑ 34 to ↑ 46)</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44% (↑ 33 to ↑ 55)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84% (↑ 76 to ↑ 92)</w:t>
            </w:r>
          </w:p>
        </w:tc>
        <w:tc>
          <w:tcPr>
            <w:tcW w:w="1766" w:type="pct"/>
            <w:tcBorders>
              <w:top w:val="outset" w:sz="6" w:space="0" w:color="7B7B7B"/>
              <w:left w:val="outset" w:sz="6" w:space="0" w:color="7B7B7B"/>
              <w:bottom w:val="outset" w:sz="6" w:space="0" w:color="7B7B7B"/>
              <w:right w:val="outset" w:sz="6" w:space="0" w:color="7B7B7B"/>
            </w:tcBorders>
            <w:shd w:val="clear" w:color="auto" w:fill="auto"/>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Ne preporučuje se prilagođavanje doze. Povećano izlaganje tenofoviru moglo bi pojačati neželjena dejstva povezana sa upotrebom tenofovir dizoproksila, uključujući poremećaje bubrega. Potrebno je pažljivo praćenje funkcije bubrega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Sofosbuvir/Velpatasvir/ Voxilaprevir (400 mg/100 mg/ 100 mg+100 mg q.d.)</w:t>
            </w:r>
            <w:r w:rsidRPr="006927C1">
              <w:rPr>
                <w:bCs/>
                <w:sz w:val="22"/>
                <w:szCs w:val="22"/>
                <w:vertAlign w:val="superscript"/>
                <w:lang w:val="sr-Latn-ME"/>
              </w:rPr>
              <w:t>3</w:t>
            </w:r>
            <w:r w:rsidRPr="006927C1">
              <w:rPr>
                <w:bCs/>
                <w:sz w:val="22"/>
                <w:szCs w:val="22"/>
                <w:lang w:val="sr-Latn-ME"/>
              </w:rPr>
              <w:t xml:space="preserve"> + Darunavir (800 mg q.d.) + </w:t>
            </w:r>
            <w:r w:rsidRPr="006927C1">
              <w:rPr>
                <w:bCs/>
                <w:sz w:val="22"/>
                <w:szCs w:val="22"/>
                <w:lang w:val="sr-Latn-ME"/>
              </w:rPr>
              <w:lastRenderedPageBreak/>
              <w:t>Ritonavir (100 mg q.d.) + Emtricitabin/Tenofovir dizoproksil (200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N/A</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N/A</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Velpatasvir: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Voxilaprevir: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143%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72%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300%</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Darunavir: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34%</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Ritonavir: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60%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A73C74" w:rsidRPr="006927C1" w:rsidRDefault="00A73C74"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39%</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48%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47%</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FD4459" w:rsidRPr="006927C1" w:rsidRDefault="00FD4459" w:rsidP="00FD4459">
            <w:pPr>
              <w:tabs>
                <w:tab w:val="left" w:pos="540"/>
                <w:tab w:val="left" w:pos="569"/>
              </w:tabs>
              <w:rPr>
                <w:bCs/>
                <w:sz w:val="22"/>
                <w:szCs w:val="22"/>
                <w:lang w:val="sr-Latn-ME"/>
              </w:rPr>
            </w:pPr>
            <w:r w:rsidRPr="006927C1">
              <w:rPr>
                <w:bCs/>
                <w:sz w:val="22"/>
                <w:szCs w:val="22"/>
                <w:lang w:val="sr-Latn-ME"/>
              </w:rPr>
              <w:lastRenderedPageBreak/>
              <w:t>Povećane koncentracije tenofovira u plazmi usl</w:t>
            </w:r>
            <w:r w:rsidR="00A73C74" w:rsidRPr="006927C1">
              <w:rPr>
                <w:bCs/>
                <w:sz w:val="22"/>
                <w:szCs w:val="22"/>
                <w:lang w:val="sr-Latn-ME"/>
              </w:rPr>
              <w:t>j</w:t>
            </w:r>
            <w:r w:rsidRPr="006927C1">
              <w:rPr>
                <w:bCs/>
                <w:sz w:val="22"/>
                <w:szCs w:val="22"/>
                <w:lang w:val="sr-Latn-ME"/>
              </w:rPr>
              <w:t xml:space="preserve">ed istovremene primjene tenofovir dizoproksila, sofosbuvira/velpatasvira/ </w:t>
            </w:r>
            <w:r w:rsidRPr="006927C1">
              <w:rPr>
                <w:bCs/>
                <w:sz w:val="22"/>
                <w:szCs w:val="22"/>
                <w:lang w:val="sr-Latn-ME"/>
              </w:rPr>
              <w:lastRenderedPageBreak/>
              <w:t xml:space="preserve">voksilaprevira i darunavira/ritonavira mogu pojačati neželjena dejstva vezana za upotrebu tenofovir dizoproksila, uključujući poremećaje bubrega. </w:t>
            </w:r>
          </w:p>
          <w:p w:rsidR="00FD4459" w:rsidRPr="006927C1" w:rsidRDefault="00FD4459" w:rsidP="00FD4459">
            <w:pPr>
              <w:tabs>
                <w:tab w:val="left" w:pos="540"/>
                <w:tab w:val="left" w:pos="569"/>
              </w:tabs>
              <w:rPr>
                <w:bCs/>
                <w:sz w:val="22"/>
                <w:szCs w:val="22"/>
                <w:lang w:val="sr-Latn-ME"/>
              </w:rPr>
            </w:pPr>
          </w:p>
          <w:p w:rsidR="00FD4459" w:rsidRPr="006927C1" w:rsidRDefault="00FD4459" w:rsidP="00FD4459">
            <w:pPr>
              <w:tabs>
                <w:tab w:val="left" w:pos="540"/>
                <w:tab w:val="left" w:pos="569"/>
              </w:tabs>
              <w:rPr>
                <w:bCs/>
                <w:sz w:val="22"/>
                <w:szCs w:val="22"/>
                <w:lang w:val="sr-Latn-ME"/>
              </w:rPr>
            </w:pPr>
            <w:r w:rsidRPr="006927C1">
              <w:rPr>
                <w:bCs/>
                <w:sz w:val="22"/>
                <w:szCs w:val="22"/>
                <w:lang w:val="sr-Latn-ME"/>
              </w:rPr>
              <w:t>Bezbjednost tenofovir dizoproksila prilikom istovremene primjene sa sofosbuvirom/velpatasvirom/ voksilaprevirom i farmakokinetičkim pojačivačem (npr. ritonavirom ili kobicistatom) nije ustanovljena.</w:t>
            </w:r>
          </w:p>
          <w:p w:rsidR="00FD4459" w:rsidRPr="006927C1" w:rsidRDefault="00FD4459" w:rsidP="00FD4459">
            <w:pPr>
              <w:tabs>
                <w:tab w:val="left" w:pos="540"/>
                <w:tab w:val="left" w:pos="569"/>
              </w:tabs>
              <w:rPr>
                <w:bCs/>
                <w:sz w:val="22"/>
                <w:szCs w:val="22"/>
                <w:lang w:val="sr-Latn-ME"/>
              </w:rPr>
            </w:pPr>
          </w:p>
          <w:p w:rsidR="00931357" w:rsidRPr="006927C1" w:rsidRDefault="00FD4459" w:rsidP="00FD4459">
            <w:pPr>
              <w:tabs>
                <w:tab w:val="left" w:pos="540"/>
                <w:tab w:val="left" w:pos="569"/>
              </w:tabs>
              <w:rPr>
                <w:bCs/>
                <w:sz w:val="22"/>
                <w:szCs w:val="22"/>
                <w:lang w:val="sr-Latn-ME"/>
              </w:rPr>
            </w:pPr>
            <w:r w:rsidRPr="006927C1">
              <w:rPr>
                <w:bCs/>
                <w:sz w:val="22"/>
                <w:szCs w:val="22"/>
                <w:lang w:val="sr-Latn-ME"/>
              </w:rPr>
              <w:t>Tu je kombinaciju potrebno koristiti uz oprez i često praćenje bubrežne funkcije (vidjeti odjeljak 4.4).</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Sofosbuvir (400 mg q.d.) + Efavirenz/Emtricitabin/Tenofovir dizoproksil (600 mg/200 mg/245 mg q.d.)</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Sofosbuvir: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19% (↓ 40 to ↑ 10)</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GS-331007</w:t>
            </w:r>
            <w:r w:rsidRPr="006927C1">
              <w:rPr>
                <w:bCs/>
                <w:sz w:val="22"/>
                <w:szCs w:val="22"/>
                <w:vertAlign w:val="superscript"/>
                <w:lang w:val="sr-Latn-ME"/>
              </w:rPr>
              <w:t>2</w:t>
            </w:r>
            <w:r w:rsidRPr="006927C1">
              <w:rPr>
                <w:bCs/>
                <w:sz w:val="22"/>
                <w:szCs w:val="22"/>
                <w:lang w:val="sr-Latn-ME"/>
              </w:rPr>
              <w: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23% (↓ 30 to ↑ 16)</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Efavirenz:</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25% (↑ 8 to ↑ 45)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lastRenderedPageBreak/>
              <w:t>Ribavirin/Tenofovir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Ribavirin: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26% (↑ 20 to ↑ 32)</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 (↓ 11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 ribavirina.</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Antivirusni ljekovi protiv herpes virusa</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Famciklovir/Emtricitabin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Famciclovir: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9% (↓ 16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7% (↓ 22 to ↑ 11)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7% (↓ 13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11% (↓ 20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 famciklovira.</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sz w:val="22"/>
                <w:szCs w:val="22"/>
                <w:lang w:val="sr-Latn-ME"/>
              </w:rPr>
              <w:t>Antimikobakterijski ljekovi</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Rifampicin/Tenofovir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12% (↓ 16 to ↓ 8)</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16% (↓ 22 to ↓ 10)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15% (↓ 12 to ↓ 9)</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i/>
                <w:iCs/>
                <w:sz w:val="22"/>
                <w:szCs w:val="22"/>
                <w:lang w:val="sr-Latn-ME"/>
              </w:rPr>
              <w:t>ORALNI KONTRACEPTIVI</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Norgestimat/EtinIl estradiol/Tenofovir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Norgestimat:</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 (↓ 32 to ↑ 34)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 (↓ 27 to ↑ 24)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Etinil estradiol:</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 (↓ 9 to ↑ 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6% (↓ 13 to ↑ 0)</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 2% (↓ 9 to ↑ 6)</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 xml:space="preserve">Nije potrebno prilagođavanje doze norgestimat/ethinil estradiol </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i/>
                <w:iCs/>
                <w:sz w:val="22"/>
                <w:szCs w:val="22"/>
                <w:lang w:val="sr-Latn-ME"/>
              </w:rPr>
              <w:t>IMUNOSUPRESIVI</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Takrolimus/Tenofovir dizoproksil/Emtricitabin</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Takrolimus:</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4% (↓ 3 to ↑ 11)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3% (↓ 3 to ↑ 9)</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Emtricitabin: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5% (↓ 9 to ↓ 1)</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11% (↓ 17 to ↓ 5)</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p w:rsidR="004E2121" w:rsidRPr="006927C1" w:rsidRDefault="004E2121" w:rsidP="00931357">
            <w:pPr>
              <w:tabs>
                <w:tab w:val="left" w:pos="540"/>
                <w:tab w:val="left" w:pos="569"/>
              </w:tabs>
              <w:rPr>
                <w:bCs/>
                <w:sz w:val="22"/>
                <w:szCs w:val="22"/>
                <w:lang w:val="sr-Latn-ME"/>
              </w:rPr>
            </w:pP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Tenofovir:</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6% (↓ 1 to ↑ 13)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↑13% (↑ 1 to ↑ 27)</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 takrolimusa.</w:t>
            </w:r>
          </w:p>
        </w:tc>
      </w:tr>
      <w:tr w:rsidR="00931357" w:rsidRPr="006927C1" w:rsidTr="00931357">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
                <w:bCs/>
                <w:i/>
                <w:iCs/>
                <w:sz w:val="22"/>
                <w:szCs w:val="22"/>
                <w:lang w:val="sr-Latn-ME"/>
              </w:rPr>
              <w:t>NARKOTIČKI ANALGETICI</w:t>
            </w:r>
          </w:p>
        </w:tc>
      </w:tr>
      <w:tr w:rsidR="00931357" w:rsidRPr="006927C1" w:rsidTr="008D28ED">
        <w:tc>
          <w:tcPr>
            <w:tcW w:w="1720"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Metadon/Tenofovir dizoproksil</w:t>
            </w:r>
          </w:p>
        </w:tc>
        <w:tc>
          <w:tcPr>
            <w:tcW w:w="1514"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Metadon:</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PIK: ↑ 5% (↓ 2 to ↑ 13)</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max</w:t>
            </w:r>
            <w:r w:rsidRPr="006927C1">
              <w:rPr>
                <w:bCs/>
                <w:sz w:val="22"/>
                <w:szCs w:val="22"/>
                <w:lang w:val="sr-Latn-ME"/>
              </w:rPr>
              <w:t>: ↑ 5% (↓ 3 to ↑ 14)</w:t>
            </w:r>
          </w:p>
          <w:p w:rsidR="00931357" w:rsidRPr="006927C1" w:rsidRDefault="00931357" w:rsidP="00931357">
            <w:pPr>
              <w:tabs>
                <w:tab w:val="left" w:pos="540"/>
                <w:tab w:val="left" w:pos="569"/>
              </w:tabs>
              <w:rPr>
                <w:bCs/>
                <w:sz w:val="22"/>
                <w:szCs w:val="22"/>
                <w:lang w:val="sr-Latn-ME"/>
              </w:rPr>
            </w:pPr>
            <w:r w:rsidRPr="006927C1">
              <w:rPr>
                <w:bCs/>
                <w:sz w:val="22"/>
                <w:szCs w:val="22"/>
                <w:lang w:val="sr-Latn-ME"/>
              </w:rPr>
              <w:t>C</w:t>
            </w:r>
            <w:r w:rsidRPr="006927C1">
              <w:rPr>
                <w:bCs/>
                <w:sz w:val="22"/>
                <w:szCs w:val="22"/>
                <w:vertAlign w:val="subscript"/>
                <w:lang w:val="sr-Latn-ME"/>
              </w:rPr>
              <w:t>min</w:t>
            </w:r>
            <w:r w:rsidRPr="006927C1">
              <w:rPr>
                <w:bCs/>
                <w:sz w:val="22"/>
                <w:szCs w:val="22"/>
                <w:lang w:val="sr-Latn-ME"/>
              </w:rPr>
              <w:t>: NC</w:t>
            </w:r>
          </w:p>
        </w:tc>
        <w:tc>
          <w:tcPr>
            <w:tcW w:w="1766" w:type="pct"/>
            <w:tcBorders>
              <w:top w:val="outset" w:sz="6" w:space="0" w:color="7B7B7B"/>
              <w:left w:val="outset" w:sz="6" w:space="0" w:color="7B7B7B"/>
              <w:bottom w:val="outset" w:sz="6" w:space="0" w:color="7B7B7B"/>
              <w:right w:val="outset" w:sz="6" w:space="0" w:color="7B7B7B"/>
            </w:tcBorders>
            <w:shd w:val="clear" w:color="auto" w:fill="auto"/>
            <w:hideMark/>
          </w:tcPr>
          <w:p w:rsidR="00931357" w:rsidRPr="006927C1" w:rsidRDefault="00931357" w:rsidP="00931357">
            <w:pPr>
              <w:tabs>
                <w:tab w:val="left" w:pos="540"/>
                <w:tab w:val="left" w:pos="569"/>
              </w:tabs>
              <w:rPr>
                <w:bCs/>
                <w:sz w:val="22"/>
                <w:szCs w:val="22"/>
                <w:lang w:val="sr-Latn-ME"/>
              </w:rPr>
            </w:pPr>
            <w:r w:rsidRPr="006927C1">
              <w:rPr>
                <w:bCs/>
                <w:sz w:val="22"/>
                <w:szCs w:val="22"/>
                <w:lang w:val="sr-Latn-ME"/>
              </w:rPr>
              <w:t>Nije potrebno prilagođavanje doze metadona.</w:t>
            </w:r>
          </w:p>
        </w:tc>
      </w:tr>
    </w:tbl>
    <w:p w:rsidR="008D28ED" w:rsidRPr="006927C1" w:rsidRDefault="008D28ED" w:rsidP="00386268">
      <w:pPr>
        <w:tabs>
          <w:tab w:val="left" w:pos="540"/>
          <w:tab w:val="left" w:pos="569"/>
        </w:tabs>
        <w:jc w:val="both"/>
        <w:rPr>
          <w:bCs/>
          <w:sz w:val="22"/>
          <w:szCs w:val="22"/>
          <w:lang w:val="sr-Latn-ME"/>
        </w:rPr>
      </w:pPr>
      <w:r w:rsidRPr="006927C1">
        <w:rPr>
          <w:bCs/>
          <w:sz w:val="22"/>
          <w:szCs w:val="22"/>
          <w:lang w:val="sr-Latn-ME"/>
        </w:rPr>
        <w:t xml:space="preserve">NC = nije računato </w:t>
      </w:r>
    </w:p>
    <w:p w:rsidR="008D28ED" w:rsidRPr="006927C1" w:rsidRDefault="008D28ED" w:rsidP="00BE466F">
      <w:pPr>
        <w:tabs>
          <w:tab w:val="left" w:pos="540"/>
          <w:tab w:val="left" w:pos="569"/>
        </w:tabs>
        <w:jc w:val="both"/>
        <w:rPr>
          <w:bCs/>
          <w:sz w:val="22"/>
          <w:szCs w:val="22"/>
          <w:lang w:val="sr-Latn-ME"/>
        </w:rPr>
      </w:pPr>
      <w:r w:rsidRPr="006927C1">
        <w:rPr>
          <w:bCs/>
          <w:sz w:val="22"/>
          <w:szCs w:val="22"/>
          <w:lang w:val="sr-Latn-ME"/>
        </w:rPr>
        <w:t>N/A = nije primjenljivo</w:t>
      </w:r>
    </w:p>
    <w:p w:rsidR="008D28ED" w:rsidRPr="006927C1" w:rsidRDefault="008D28ED" w:rsidP="00A73C74">
      <w:pPr>
        <w:tabs>
          <w:tab w:val="left" w:pos="540"/>
          <w:tab w:val="left" w:pos="569"/>
        </w:tabs>
        <w:jc w:val="both"/>
        <w:rPr>
          <w:bCs/>
          <w:sz w:val="22"/>
          <w:szCs w:val="22"/>
          <w:lang w:val="sr-Latn-ME"/>
        </w:rPr>
      </w:pPr>
      <w:r w:rsidRPr="006927C1">
        <w:rPr>
          <w:bCs/>
          <w:sz w:val="22"/>
          <w:szCs w:val="22"/>
          <w:vertAlign w:val="superscript"/>
          <w:lang w:val="sr-Latn-ME"/>
        </w:rPr>
        <w:t>1</w:t>
      </w:r>
      <w:r w:rsidRPr="006927C1">
        <w:rPr>
          <w:bCs/>
          <w:sz w:val="22"/>
          <w:szCs w:val="22"/>
          <w:lang w:val="sr-Latn-ME"/>
        </w:rPr>
        <w:t xml:space="preserve"> Podaci generisani prilikom istovremene primjene ledipasvira/sofosbuvira. Postepena primjena (sa 12 sati razmaka) dala je slične rezultate.</w:t>
      </w:r>
    </w:p>
    <w:p w:rsidR="008D28ED" w:rsidRPr="006927C1" w:rsidRDefault="008D28ED" w:rsidP="006E487A">
      <w:pPr>
        <w:tabs>
          <w:tab w:val="left" w:pos="540"/>
          <w:tab w:val="left" w:pos="569"/>
        </w:tabs>
        <w:jc w:val="both"/>
        <w:rPr>
          <w:bCs/>
          <w:sz w:val="22"/>
          <w:szCs w:val="22"/>
          <w:lang w:val="sr-Latn-ME"/>
        </w:rPr>
      </w:pPr>
      <w:r w:rsidRPr="006927C1">
        <w:rPr>
          <w:bCs/>
          <w:sz w:val="22"/>
          <w:szCs w:val="22"/>
          <w:vertAlign w:val="superscript"/>
          <w:lang w:val="sr-Latn-ME"/>
        </w:rPr>
        <w:t>2</w:t>
      </w:r>
      <w:r w:rsidRPr="006927C1">
        <w:rPr>
          <w:bCs/>
          <w:sz w:val="22"/>
          <w:szCs w:val="22"/>
          <w:lang w:val="sr-Latn-ME"/>
        </w:rPr>
        <w:t xml:space="preserve"> Glavni metabolit sofosbuvira u cirkulaciji.</w:t>
      </w:r>
    </w:p>
    <w:p w:rsidR="008D28ED" w:rsidRPr="006927C1" w:rsidRDefault="008D28ED" w:rsidP="006E487A">
      <w:pPr>
        <w:tabs>
          <w:tab w:val="left" w:pos="540"/>
          <w:tab w:val="left" w:pos="569"/>
        </w:tabs>
        <w:jc w:val="both"/>
        <w:rPr>
          <w:bCs/>
          <w:sz w:val="22"/>
          <w:szCs w:val="22"/>
          <w:lang w:val="sr-Latn-ME"/>
        </w:rPr>
      </w:pPr>
      <w:r w:rsidRPr="006927C1">
        <w:rPr>
          <w:bCs/>
          <w:sz w:val="22"/>
          <w:szCs w:val="22"/>
          <w:vertAlign w:val="superscript"/>
          <w:lang w:val="sr-Latn-ME"/>
        </w:rPr>
        <w:lastRenderedPageBreak/>
        <w:t>3</w:t>
      </w:r>
      <w:r w:rsidRPr="006927C1">
        <w:rPr>
          <w:bCs/>
          <w:sz w:val="22"/>
          <w:szCs w:val="22"/>
          <w:lang w:val="sr-Latn-ME"/>
        </w:rPr>
        <w:t xml:space="preserve"> Studija je sprovedena uz dodatnih 100 mg voksilaprevira da bi se postigla izl</w:t>
      </w:r>
      <w:r w:rsidR="004E2121" w:rsidRPr="006927C1">
        <w:rPr>
          <w:bCs/>
          <w:sz w:val="22"/>
          <w:szCs w:val="22"/>
          <w:lang w:val="sr-Latn-ME"/>
        </w:rPr>
        <w:t>oženost</w:t>
      </w:r>
      <w:r w:rsidRPr="006927C1">
        <w:rPr>
          <w:bCs/>
          <w:sz w:val="22"/>
          <w:szCs w:val="22"/>
          <w:lang w:val="sr-Latn-ME"/>
        </w:rPr>
        <w:t xml:space="preserve"> voksilapreviru koja se očekuju kod pacijenata inficiranih HCV-om.</w:t>
      </w:r>
    </w:p>
    <w:p w:rsidR="00931357" w:rsidRPr="006927C1" w:rsidRDefault="00931357" w:rsidP="00867B0F">
      <w:pPr>
        <w:tabs>
          <w:tab w:val="left" w:pos="540"/>
          <w:tab w:val="left" w:pos="569"/>
        </w:tabs>
        <w:jc w:val="both"/>
        <w:rPr>
          <w:bCs/>
          <w:sz w:val="22"/>
          <w:szCs w:val="22"/>
          <w:lang w:val="sr-Latn-ME"/>
        </w:rPr>
      </w:pPr>
    </w:p>
    <w:p w:rsidR="0072020E" w:rsidRPr="006927C1" w:rsidRDefault="0072020E" w:rsidP="00867B0F">
      <w:pPr>
        <w:tabs>
          <w:tab w:val="left" w:pos="540"/>
          <w:tab w:val="left" w:pos="569"/>
        </w:tabs>
        <w:jc w:val="both"/>
        <w:rPr>
          <w:b/>
          <w:sz w:val="22"/>
          <w:szCs w:val="22"/>
          <w:lang w:val="sr-Latn-ME"/>
        </w:rPr>
      </w:pPr>
      <w:r w:rsidRPr="006927C1">
        <w:rPr>
          <w:b/>
          <w:bCs/>
          <w:sz w:val="22"/>
          <w:szCs w:val="22"/>
          <w:lang w:val="sr-Latn-ME"/>
        </w:rPr>
        <w:t xml:space="preserve">4.6. </w:t>
      </w:r>
      <w:r w:rsidR="00480FB1" w:rsidRPr="006927C1">
        <w:rPr>
          <w:b/>
          <w:bCs/>
          <w:sz w:val="22"/>
          <w:szCs w:val="22"/>
          <w:lang w:val="sr-Latn-ME"/>
        </w:rPr>
        <w:tab/>
      </w:r>
      <w:r w:rsidR="006D20A5" w:rsidRPr="006927C1">
        <w:rPr>
          <w:b/>
          <w:sz w:val="22"/>
          <w:szCs w:val="22"/>
          <w:lang w:val="sr-Latn-ME"/>
        </w:rPr>
        <w:t>Plodnost, trudnoća i dojenje</w:t>
      </w:r>
    </w:p>
    <w:p w:rsidR="002031B3" w:rsidRPr="006927C1" w:rsidRDefault="002031B3" w:rsidP="00867B0F">
      <w:pPr>
        <w:tabs>
          <w:tab w:val="left" w:pos="540"/>
          <w:tab w:val="left" w:pos="569"/>
        </w:tabs>
        <w:jc w:val="both"/>
        <w:rPr>
          <w:sz w:val="22"/>
          <w:szCs w:val="22"/>
          <w:u w:val="single"/>
          <w:lang w:val="sr-Latn-ME"/>
        </w:rPr>
      </w:pPr>
    </w:p>
    <w:p w:rsidR="008D28ED" w:rsidRPr="006927C1" w:rsidRDefault="008D28ED" w:rsidP="00386268">
      <w:pPr>
        <w:tabs>
          <w:tab w:val="left" w:pos="540"/>
          <w:tab w:val="left" w:pos="569"/>
        </w:tabs>
        <w:jc w:val="both"/>
        <w:rPr>
          <w:sz w:val="22"/>
          <w:szCs w:val="22"/>
          <w:u w:val="single"/>
          <w:lang w:val="sr-Latn-ME"/>
        </w:rPr>
      </w:pPr>
      <w:r w:rsidRPr="006927C1">
        <w:rPr>
          <w:sz w:val="22"/>
          <w:szCs w:val="22"/>
          <w:u w:val="single"/>
          <w:lang w:val="sr-Latn-ME"/>
        </w:rPr>
        <w:t xml:space="preserve">Plodnost </w:t>
      </w:r>
    </w:p>
    <w:p w:rsidR="008D28ED" w:rsidRPr="006927C1" w:rsidRDefault="008D28ED" w:rsidP="00BE466F">
      <w:pPr>
        <w:tabs>
          <w:tab w:val="left" w:pos="540"/>
          <w:tab w:val="left" w:pos="569"/>
        </w:tabs>
        <w:jc w:val="both"/>
        <w:rPr>
          <w:sz w:val="22"/>
          <w:szCs w:val="22"/>
          <w:lang w:val="sr-Latn-ME"/>
        </w:rPr>
      </w:pPr>
      <w:r w:rsidRPr="006927C1">
        <w:rPr>
          <w:sz w:val="22"/>
          <w:szCs w:val="22"/>
          <w:lang w:val="sr-Latn-ME"/>
        </w:rPr>
        <w:t>Nema dostupnih podataka o dejstvu lijeka Gilestra Duo na plodnost kod ljudi. Ispitivanja na životinjama ne ukazuju na štetne efekte emtricitabina ili tenofovir dizoproksila na plodnost.</w:t>
      </w:r>
    </w:p>
    <w:p w:rsidR="008D28ED" w:rsidRPr="006927C1" w:rsidRDefault="008D28ED" w:rsidP="001E3695">
      <w:pPr>
        <w:tabs>
          <w:tab w:val="left" w:pos="540"/>
          <w:tab w:val="left" w:pos="569"/>
        </w:tabs>
        <w:jc w:val="both"/>
        <w:rPr>
          <w:sz w:val="22"/>
          <w:szCs w:val="22"/>
          <w:u w:val="single"/>
          <w:lang w:val="sr-Latn-ME"/>
        </w:rPr>
      </w:pPr>
    </w:p>
    <w:p w:rsidR="008D28ED" w:rsidRPr="006927C1" w:rsidRDefault="008D28ED">
      <w:pPr>
        <w:tabs>
          <w:tab w:val="left" w:pos="540"/>
          <w:tab w:val="left" w:pos="569"/>
        </w:tabs>
        <w:jc w:val="both"/>
        <w:rPr>
          <w:sz w:val="22"/>
          <w:szCs w:val="22"/>
          <w:u w:val="single"/>
          <w:lang w:val="sr-Latn-ME"/>
        </w:rPr>
      </w:pPr>
      <w:r w:rsidRPr="006927C1">
        <w:rPr>
          <w:sz w:val="22"/>
          <w:szCs w:val="22"/>
          <w:u w:val="single"/>
          <w:lang w:val="sr-Latn-ME"/>
        </w:rPr>
        <w:t xml:space="preserve">Trudnoća </w:t>
      </w:r>
    </w:p>
    <w:p w:rsidR="008D28ED" w:rsidRPr="006927C1" w:rsidRDefault="008D28ED">
      <w:pPr>
        <w:tabs>
          <w:tab w:val="left" w:pos="540"/>
          <w:tab w:val="left" w:pos="569"/>
        </w:tabs>
        <w:jc w:val="both"/>
        <w:rPr>
          <w:sz w:val="22"/>
          <w:szCs w:val="22"/>
          <w:lang w:val="sr-Latn-ME"/>
        </w:rPr>
      </w:pPr>
      <w:r w:rsidRPr="006927C1">
        <w:rPr>
          <w:sz w:val="22"/>
          <w:szCs w:val="22"/>
          <w:lang w:val="sr-Latn-ME"/>
        </w:rPr>
        <w:t xml:space="preserve">Opsežni podaci o trudnicama (više od 1000 ishoda trudnoća) ne ukazuju na malformacije ili fetalnu/neonatalnu toksičnost povezanu sa emtricitabinom i tenofovir dizoproksilom. Ispitivanja emtricitabina i tenofovir dizoproksila na životinjama ne ukazuju na reproduktivnu toksičnost (vidjeti odjeljak 5.3). Stoga se za vrijeme trudnoće može razmotriti primjena lijeka Gilestra Duo ako je to </w:t>
      </w:r>
      <w:r w:rsidR="00B173DE" w:rsidRPr="006927C1">
        <w:rPr>
          <w:sz w:val="22"/>
          <w:szCs w:val="22"/>
          <w:lang w:val="sr-Latn-ME"/>
        </w:rPr>
        <w:t>neophodno</w:t>
      </w:r>
      <w:r w:rsidRPr="006927C1">
        <w:rPr>
          <w:sz w:val="22"/>
          <w:szCs w:val="22"/>
          <w:lang w:val="sr-Latn-ME"/>
        </w:rPr>
        <w:t xml:space="preserve">. </w:t>
      </w:r>
    </w:p>
    <w:p w:rsidR="008D28ED" w:rsidRPr="006927C1" w:rsidRDefault="008D28ED">
      <w:pPr>
        <w:tabs>
          <w:tab w:val="left" w:pos="540"/>
          <w:tab w:val="left" w:pos="569"/>
        </w:tabs>
        <w:jc w:val="both"/>
        <w:rPr>
          <w:sz w:val="22"/>
          <w:szCs w:val="22"/>
          <w:lang w:val="sr-Latn-ME"/>
        </w:rPr>
      </w:pPr>
    </w:p>
    <w:p w:rsidR="008D28ED" w:rsidRPr="006927C1" w:rsidRDefault="008D28ED">
      <w:pPr>
        <w:tabs>
          <w:tab w:val="left" w:pos="540"/>
          <w:tab w:val="left" w:pos="569"/>
        </w:tabs>
        <w:jc w:val="both"/>
        <w:rPr>
          <w:sz w:val="22"/>
          <w:szCs w:val="22"/>
          <w:u w:val="single"/>
          <w:lang w:val="sr-Latn-ME"/>
        </w:rPr>
      </w:pPr>
      <w:r w:rsidRPr="006927C1">
        <w:rPr>
          <w:sz w:val="22"/>
          <w:szCs w:val="22"/>
          <w:u w:val="single"/>
          <w:lang w:val="sr-Latn-ME"/>
        </w:rPr>
        <w:t xml:space="preserve">Dojenje </w:t>
      </w:r>
    </w:p>
    <w:p w:rsidR="008D28ED" w:rsidRPr="006927C1" w:rsidRDefault="008D28ED">
      <w:pPr>
        <w:tabs>
          <w:tab w:val="left" w:pos="540"/>
          <w:tab w:val="left" w:pos="569"/>
        </w:tabs>
        <w:jc w:val="both"/>
        <w:rPr>
          <w:sz w:val="22"/>
          <w:szCs w:val="22"/>
          <w:lang w:val="sr-Latn-ME"/>
        </w:rPr>
      </w:pPr>
      <w:r w:rsidRPr="006927C1">
        <w:rPr>
          <w:sz w:val="22"/>
          <w:szCs w:val="22"/>
          <w:lang w:val="sr-Latn-ME"/>
        </w:rPr>
        <w:t>Dokazano je</w:t>
      </w:r>
      <w:r w:rsidRPr="006927C1" w:rsidDel="00C82C2B">
        <w:rPr>
          <w:sz w:val="22"/>
          <w:szCs w:val="22"/>
          <w:lang w:val="sr-Latn-ME"/>
        </w:rPr>
        <w:t xml:space="preserve"> </w:t>
      </w:r>
      <w:r w:rsidRPr="006927C1">
        <w:rPr>
          <w:sz w:val="22"/>
          <w:szCs w:val="22"/>
          <w:lang w:val="sr-Latn-ME"/>
        </w:rPr>
        <w:t xml:space="preserve">da se emtricitabin i tenofovir izlučuju u majčino </w:t>
      </w:r>
      <w:r w:rsidR="00AE4815" w:rsidRPr="006927C1">
        <w:rPr>
          <w:sz w:val="22"/>
          <w:szCs w:val="22"/>
          <w:lang w:val="sr-Latn-ME"/>
        </w:rPr>
        <w:t>ml</w:t>
      </w:r>
      <w:r w:rsidRPr="006927C1">
        <w:rPr>
          <w:sz w:val="22"/>
          <w:szCs w:val="22"/>
          <w:lang w:val="sr-Latn-ME"/>
        </w:rPr>
        <w:t xml:space="preserve">ijeko. Nema dovoljno podataka o </w:t>
      </w:r>
      <w:r w:rsidR="00B173DE" w:rsidRPr="006927C1">
        <w:rPr>
          <w:sz w:val="22"/>
          <w:szCs w:val="22"/>
          <w:lang w:val="sr-Latn-ME"/>
        </w:rPr>
        <w:t xml:space="preserve">efektima </w:t>
      </w:r>
      <w:r w:rsidRPr="006927C1">
        <w:rPr>
          <w:sz w:val="22"/>
          <w:szCs w:val="22"/>
          <w:lang w:val="sr-Latn-ME"/>
        </w:rPr>
        <w:t xml:space="preserve">emtricitabina i tenofovira na novorođenčad/odojčad. Zbog toga se lijek Gilestra Duo ne treba primjenjivati tokom dojenja. </w:t>
      </w:r>
    </w:p>
    <w:p w:rsidR="00B173DE" w:rsidRPr="006927C1" w:rsidRDefault="00B173DE">
      <w:pPr>
        <w:tabs>
          <w:tab w:val="left" w:pos="540"/>
          <w:tab w:val="left" w:pos="569"/>
        </w:tabs>
        <w:jc w:val="both"/>
        <w:rPr>
          <w:sz w:val="22"/>
          <w:szCs w:val="22"/>
          <w:lang w:val="sr-Latn-ME"/>
        </w:rPr>
      </w:pPr>
    </w:p>
    <w:p w:rsidR="008D28ED" w:rsidRPr="006927C1" w:rsidRDefault="008D28ED">
      <w:pPr>
        <w:tabs>
          <w:tab w:val="left" w:pos="540"/>
          <w:tab w:val="left" w:pos="569"/>
        </w:tabs>
        <w:jc w:val="both"/>
        <w:rPr>
          <w:sz w:val="22"/>
          <w:szCs w:val="22"/>
          <w:lang w:val="sr-Latn-ME"/>
        </w:rPr>
      </w:pPr>
      <w:r w:rsidRPr="006927C1">
        <w:rPr>
          <w:sz w:val="22"/>
          <w:szCs w:val="22"/>
          <w:lang w:val="sr-Latn-ME"/>
        </w:rPr>
        <w:t>Kao opšte pravilo, preporučuje se da žene inficirane HIV-om ne doje svoju djecu ni pod kojim okolnostima, kako bi se izbjegao prenos virusa HIV-a na odojče.</w:t>
      </w:r>
    </w:p>
    <w:p w:rsidR="00227BDB" w:rsidRPr="006927C1" w:rsidRDefault="00227BDB" w:rsidP="00867B0F">
      <w:pPr>
        <w:tabs>
          <w:tab w:val="left" w:pos="540"/>
          <w:tab w:val="left" w:pos="569"/>
        </w:tabs>
        <w:jc w:val="both"/>
        <w:rPr>
          <w:b/>
          <w:bCs/>
          <w:sz w:val="22"/>
          <w:szCs w:val="22"/>
          <w:lang w:val="sr-Latn-ME"/>
        </w:rPr>
      </w:pPr>
    </w:p>
    <w:p w:rsidR="0072020E" w:rsidRPr="006927C1" w:rsidRDefault="0072020E" w:rsidP="00867B0F">
      <w:pPr>
        <w:tabs>
          <w:tab w:val="left" w:pos="540"/>
          <w:tab w:val="left" w:pos="569"/>
        </w:tabs>
        <w:ind w:left="540" w:hanging="540"/>
        <w:jc w:val="both"/>
        <w:rPr>
          <w:b/>
          <w:bCs/>
          <w:sz w:val="22"/>
          <w:szCs w:val="22"/>
          <w:lang w:val="sr-Latn-ME"/>
        </w:rPr>
      </w:pPr>
      <w:r w:rsidRPr="006927C1">
        <w:rPr>
          <w:b/>
          <w:bCs/>
          <w:sz w:val="22"/>
          <w:szCs w:val="22"/>
          <w:lang w:val="sr-Latn-ME"/>
        </w:rPr>
        <w:t xml:space="preserve">4.7. </w:t>
      </w:r>
      <w:r w:rsidR="00480FB1" w:rsidRPr="006927C1">
        <w:rPr>
          <w:b/>
          <w:bCs/>
          <w:sz w:val="22"/>
          <w:szCs w:val="22"/>
          <w:lang w:val="sr-Latn-ME"/>
        </w:rPr>
        <w:tab/>
      </w:r>
      <w:r w:rsidRPr="006927C1">
        <w:rPr>
          <w:b/>
          <w:bCs/>
          <w:sz w:val="22"/>
          <w:szCs w:val="22"/>
          <w:lang w:val="sr-Latn-ME"/>
        </w:rPr>
        <w:t xml:space="preserve">Uticaj na </w:t>
      </w:r>
      <w:r w:rsidR="002031B3" w:rsidRPr="006927C1">
        <w:rPr>
          <w:b/>
          <w:bCs/>
          <w:sz w:val="22"/>
          <w:szCs w:val="22"/>
          <w:lang w:val="sr-Latn-ME"/>
        </w:rPr>
        <w:t xml:space="preserve">sposobnost </w:t>
      </w:r>
      <w:r w:rsidR="00F34554" w:rsidRPr="006927C1">
        <w:rPr>
          <w:b/>
          <w:bCs/>
          <w:sz w:val="22"/>
          <w:szCs w:val="22"/>
          <w:lang w:val="sr-Latn-ME"/>
        </w:rPr>
        <w:t>upravljanja vozili</w:t>
      </w:r>
      <w:r w:rsidRPr="006927C1">
        <w:rPr>
          <w:b/>
          <w:bCs/>
          <w:sz w:val="22"/>
          <w:szCs w:val="22"/>
          <w:lang w:val="sr-Latn-ME"/>
        </w:rPr>
        <w:t>m</w:t>
      </w:r>
      <w:r w:rsidR="00F34554" w:rsidRPr="006927C1">
        <w:rPr>
          <w:b/>
          <w:bCs/>
          <w:sz w:val="22"/>
          <w:szCs w:val="22"/>
          <w:lang w:val="sr-Latn-ME"/>
        </w:rPr>
        <w:t>a</w:t>
      </w:r>
      <w:r w:rsidRPr="006927C1">
        <w:rPr>
          <w:b/>
          <w:bCs/>
          <w:sz w:val="22"/>
          <w:szCs w:val="22"/>
          <w:lang w:val="sr-Latn-ME"/>
        </w:rPr>
        <w:t xml:space="preserve"> i </w:t>
      </w:r>
      <w:r w:rsidR="000D3449" w:rsidRPr="006927C1">
        <w:rPr>
          <w:b/>
          <w:bCs/>
          <w:sz w:val="22"/>
          <w:szCs w:val="22"/>
          <w:lang w:val="sr-Latn-ME"/>
        </w:rPr>
        <w:t xml:space="preserve">rukovanje </w:t>
      </w:r>
      <w:r w:rsidRPr="006927C1">
        <w:rPr>
          <w:b/>
          <w:bCs/>
          <w:sz w:val="22"/>
          <w:szCs w:val="22"/>
          <w:lang w:val="sr-Latn-ME"/>
        </w:rPr>
        <w:t>mašinama</w:t>
      </w:r>
    </w:p>
    <w:p w:rsidR="008D28ED" w:rsidRPr="006927C1" w:rsidRDefault="008D28ED" w:rsidP="00867B0F">
      <w:pPr>
        <w:tabs>
          <w:tab w:val="left" w:pos="540"/>
          <w:tab w:val="left" w:pos="569"/>
        </w:tabs>
        <w:ind w:left="540" w:hanging="540"/>
        <w:jc w:val="both"/>
        <w:rPr>
          <w:b/>
          <w:bCs/>
          <w:sz w:val="22"/>
          <w:szCs w:val="22"/>
          <w:lang w:val="sr-Latn-ME"/>
        </w:rPr>
      </w:pPr>
    </w:p>
    <w:p w:rsidR="008D28ED" w:rsidRPr="006927C1" w:rsidRDefault="008D28ED" w:rsidP="00386268">
      <w:pPr>
        <w:tabs>
          <w:tab w:val="left" w:pos="540"/>
          <w:tab w:val="left" w:pos="569"/>
        </w:tabs>
        <w:jc w:val="both"/>
        <w:rPr>
          <w:bCs/>
          <w:sz w:val="22"/>
          <w:szCs w:val="22"/>
          <w:lang w:val="sr-Latn-ME"/>
        </w:rPr>
      </w:pPr>
      <w:r w:rsidRPr="006927C1">
        <w:rPr>
          <w:bCs/>
          <w:sz w:val="22"/>
          <w:szCs w:val="22"/>
          <w:lang w:val="sr-Latn-ME"/>
        </w:rPr>
        <w:t>Uticaj ovog lijeka na psihofizičke sposobnosti prilikom upravljanja vozilima i rukovanja mašinama nije ispitivan. Ipak, pacijente treba obavijestiti da je tokom terapije emtricitabinom i tenofovir dizoproksilom prijavljivana vrtoglavica.</w:t>
      </w:r>
    </w:p>
    <w:p w:rsidR="0072020E" w:rsidRPr="006927C1" w:rsidRDefault="0072020E" w:rsidP="00867B0F">
      <w:pPr>
        <w:tabs>
          <w:tab w:val="left" w:pos="540"/>
          <w:tab w:val="left" w:pos="569"/>
        </w:tabs>
        <w:jc w:val="both"/>
        <w:rPr>
          <w:b/>
          <w:bCs/>
          <w:sz w:val="22"/>
          <w:szCs w:val="22"/>
          <w:lang w:val="sr-Latn-ME"/>
        </w:rPr>
      </w:pPr>
    </w:p>
    <w:p w:rsidR="0072020E"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4.8. </w:t>
      </w:r>
      <w:r w:rsidR="00480FB1" w:rsidRPr="006927C1">
        <w:rPr>
          <w:b/>
          <w:bCs/>
          <w:sz w:val="22"/>
          <w:szCs w:val="22"/>
          <w:lang w:val="sr-Latn-ME"/>
        </w:rPr>
        <w:tab/>
      </w:r>
      <w:r w:rsidRPr="006927C1">
        <w:rPr>
          <w:b/>
          <w:bCs/>
          <w:sz w:val="22"/>
          <w:szCs w:val="22"/>
          <w:lang w:val="sr-Latn-ME"/>
        </w:rPr>
        <w:t>Neželjena dejstva</w:t>
      </w:r>
    </w:p>
    <w:p w:rsidR="004E70AD" w:rsidRPr="006927C1" w:rsidRDefault="004E70AD" w:rsidP="00867B0F">
      <w:pPr>
        <w:tabs>
          <w:tab w:val="left" w:pos="540"/>
          <w:tab w:val="left" w:pos="569"/>
        </w:tabs>
        <w:jc w:val="both"/>
        <w:rPr>
          <w:b/>
          <w:bCs/>
          <w:sz w:val="22"/>
          <w:szCs w:val="22"/>
          <w:lang w:val="sr-Latn-ME"/>
        </w:rPr>
      </w:pPr>
    </w:p>
    <w:p w:rsidR="00932AD6" w:rsidRPr="006927C1" w:rsidRDefault="00932AD6" w:rsidP="00386268">
      <w:pPr>
        <w:tabs>
          <w:tab w:val="left" w:pos="540"/>
          <w:tab w:val="left" w:pos="569"/>
        </w:tabs>
        <w:jc w:val="both"/>
        <w:rPr>
          <w:bCs/>
          <w:sz w:val="22"/>
          <w:szCs w:val="22"/>
          <w:u w:val="single"/>
          <w:lang w:val="sr-Latn-ME"/>
        </w:rPr>
      </w:pPr>
      <w:r w:rsidRPr="006927C1">
        <w:rPr>
          <w:bCs/>
          <w:sz w:val="22"/>
          <w:szCs w:val="22"/>
          <w:u w:val="single"/>
          <w:lang w:val="sr-Latn-ME"/>
        </w:rPr>
        <w:t xml:space="preserve">Sažetak bezbjednosnog profila </w:t>
      </w:r>
    </w:p>
    <w:p w:rsidR="00932AD6" w:rsidRPr="006927C1" w:rsidRDefault="00932AD6" w:rsidP="00BE466F">
      <w:pPr>
        <w:tabs>
          <w:tab w:val="left" w:pos="540"/>
          <w:tab w:val="left" w:pos="569"/>
        </w:tabs>
        <w:jc w:val="both"/>
        <w:rPr>
          <w:bCs/>
          <w:sz w:val="22"/>
          <w:szCs w:val="22"/>
          <w:lang w:val="sr-Latn-ME"/>
        </w:rPr>
      </w:pPr>
    </w:p>
    <w:p w:rsidR="00932AD6" w:rsidRPr="006927C1" w:rsidRDefault="00932AD6" w:rsidP="00776AF0">
      <w:pPr>
        <w:tabs>
          <w:tab w:val="left" w:pos="540"/>
          <w:tab w:val="left" w:pos="569"/>
        </w:tabs>
        <w:jc w:val="both"/>
        <w:rPr>
          <w:bCs/>
          <w:sz w:val="22"/>
          <w:szCs w:val="22"/>
          <w:lang w:val="sr-Latn-ME"/>
        </w:rPr>
      </w:pPr>
      <w:r w:rsidRPr="006927C1">
        <w:rPr>
          <w:bCs/>
          <w:i/>
          <w:sz w:val="22"/>
          <w:szCs w:val="22"/>
          <w:lang w:val="sr-Latn-ME"/>
        </w:rPr>
        <w:t xml:space="preserve">Infekcija izazvana virusom HIV-1: </w:t>
      </w:r>
      <w:r w:rsidRPr="006927C1">
        <w:rPr>
          <w:bCs/>
          <w:sz w:val="22"/>
          <w:szCs w:val="22"/>
          <w:lang w:val="sr-Latn-ME"/>
        </w:rPr>
        <w:t xml:space="preserve">U otvorenom, randomiziranom kliničkom ispitivanju kod odraslih (GS-01-934), najčešće zabilježene neželjene reakcije za koje se smatra da su moguće ili vjerovatno povezane sa emtricitabinom i/ili tenofovir dizoproksilom, bile su mučnina (12%) i dijareja (7%) (vidjeti odjeljak 5.1). Bezbjednosni profil emtricitabina i tenofovir dizoproksila u tom ispitivanju odgovarao je prethodnom iskustvu kada se svaki od tih ljekova primjenjivao sa drugim antiretrovirusnim ljekovima. </w:t>
      </w:r>
    </w:p>
    <w:p w:rsidR="00932AD6" w:rsidRPr="006927C1" w:rsidRDefault="00932AD6" w:rsidP="00A73C74">
      <w:pPr>
        <w:tabs>
          <w:tab w:val="left" w:pos="540"/>
          <w:tab w:val="left" w:pos="569"/>
        </w:tabs>
        <w:jc w:val="both"/>
        <w:rPr>
          <w:bCs/>
          <w:sz w:val="22"/>
          <w:szCs w:val="22"/>
          <w:lang w:val="sr-Latn-ME"/>
        </w:rPr>
      </w:pPr>
    </w:p>
    <w:p w:rsidR="00932AD6" w:rsidRPr="006927C1" w:rsidRDefault="00932AD6">
      <w:pPr>
        <w:tabs>
          <w:tab w:val="left" w:pos="540"/>
          <w:tab w:val="left" w:pos="569"/>
        </w:tabs>
        <w:jc w:val="both"/>
        <w:rPr>
          <w:bCs/>
          <w:sz w:val="22"/>
          <w:szCs w:val="22"/>
          <w:lang w:val="sr-Latn-ME"/>
        </w:rPr>
      </w:pPr>
      <w:r w:rsidRPr="006927C1">
        <w:rPr>
          <w:bCs/>
          <w:i/>
          <w:sz w:val="22"/>
          <w:szCs w:val="22"/>
          <w:lang w:val="sr-Latn-ME"/>
        </w:rPr>
        <w:t xml:space="preserve">Preekspoziciona profilaksa: </w:t>
      </w:r>
      <w:r w:rsidRPr="006927C1">
        <w:rPr>
          <w:bCs/>
          <w:sz w:val="22"/>
          <w:szCs w:val="22"/>
          <w:lang w:val="sr-Latn-ME"/>
        </w:rPr>
        <w:t>U dvije randomizovane, placebo kontrolisane studije (iPrEx, Partners PrEP) u kojima je 2830 odraslih koji ni</w:t>
      </w:r>
      <w:r w:rsidR="00B173DE" w:rsidRPr="006927C1">
        <w:rPr>
          <w:bCs/>
          <w:sz w:val="22"/>
          <w:szCs w:val="22"/>
          <w:lang w:val="sr-Latn-ME"/>
        </w:rPr>
        <w:t>je</w:t>
      </w:r>
      <w:r w:rsidRPr="006927C1">
        <w:rPr>
          <w:bCs/>
          <w:sz w:val="22"/>
          <w:szCs w:val="22"/>
          <w:lang w:val="sr-Latn-ME"/>
        </w:rPr>
        <w:t>su inficirani virusom HIV-1 primalo lijek Gilestra Duo jednom dnevno kao preekspozicionu profilaksu, ni</w:t>
      </w:r>
      <w:r w:rsidR="00B173DE" w:rsidRPr="006927C1">
        <w:rPr>
          <w:bCs/>
          <w:sz w:val="22"/>
          <w:szCs w:val="22"/>
          <w:lang w:val="sr-Latn-ME"/>
        </w:rPr>
        <w:t>je</w:t>
      </w:r>
      <w:r w:rsidRPr="006927C1">
        <w:rPr>
          <w:bCs/>
          <w:sz w:val="22"/>
          <w:szCs w:val="22"/>
          <w:lang w:val="sr-Latn-ME"/>
        </w:rPr>
        <w:t>su zabilježene nove neželjene reakcije na lijek Gilestra Duo. Pacijenti su praćeni sa medijanom od 71 nedjelje, odnosno 87 nedjelja. Najčešća neželjena reakcija prijavljena u grupi koja je primala lijek Gilestra Duo u iPrEx studiji bila je glavobolja (1%).</w:t>
      </w:r>
    </w:p>
    <w:p w:rsidR="00932AD6" w:rsidRPr="006927C1" w:rsidRDefault="00932AD6">
      <w:pPr>
        <w:tabs>
          <w:tab w:val="left" w:pos="540"/>
          <w:tab w:val="left" w:pos="569"/>
        </w:tabs>
        <w:jc w:val="both"/>
        <w:rPr>
          <w:bCs/>
          <w:sz w:val="22"/>
          <w:szCs w:val="22"/>
          <w:lang w:val="sr-Latn-ME"/>
        </w:rPr>
      </w:pPr>
    </w:p>
    <w:p w:rsidR="00932AD6" w:rsidRPr="006927C1" w:rsidRDefault="00932AD6">
      <w:pPr>
        <w:tabs>
          <w:tab w:val="left" w:pos="540"/>
          <w:tab w:val="left" w:pos="569"/>
        </w:tabs>
        <w:jc w:val="both"/>
        <w:rPr>
          <w:bCs/>
          <w:sz w:val="22"/>
          <w:szCs w:val="22"/>
          <w:u w:val="single"/>
          <w:lang w:val="sr-Latn-ME"/>
        </w:rPr>
      </w:pPr>
      <w:r w:rsidRPr="006927C1">
        <w:rPr>
          <w:bCs/>
          <w:sz w:val="22"/>
          <w:szCs w:val="22"/>
          <w:u w:val="single"/>
          <w:lang w:val="sr-Latn-ME"/>
        </w:rPr>
        <w:t xml:space="preserve">Tabelarni prikaz neželjenih </w:t>
      </w:r>
      <w:r w:rsidR="00B173DE" w:rsidRPr="006927C1">
        <w:rPr>
          <w:bCs/>
          <w:sz w:val="22"/>
          <w:szCs w:val="22"/>
          <w:u w:val="single"/>
          <w:lang w:val="sr-Latn-ME"/>
        </w:rPr>
        <w:t xml:space="preserve">dejstava </w:t>
      </w:r>
    </w:p>
    <w:p w:rsidR="00932AD6" w:rsidRPr="006927C1" w:rsidRDefault="00932AD6">
      <w:pPr>
        <w:tabs>
          <w:tab w:val="left" w:pos="540"/>
          <w:tab w:val="left" w:pos="569"/>
        </w:tabs>
        <w:jc w:val="both"/>
        <w:rPr>
          <w:bCs/>
          <w:sz w:val="22"/>
          <w:szCs w:val="22"/>
          <w:u w:val="single"/>
          <w:lang w:val="sr-Latn-ME"/>
        </w:rPr>
      </w:pPr>
    </w:p>
    <w:p w:rsidR="00932AD6" w:rsidRPr="006927C1" w:rsidRDefault="00932AD6">
      <w:pPr>
        <w:tabs>
          <w:tab w:val="left" w:pos="540"/>
          <w:tab w:val="left" w:pos="569"/>
        </w:tabs>
        <w:jc w:val="both"/>
        <w:rPr>
          <w:bCs/>
          <w:sz w:val="22"/>
          <w:szCs w:val="22"/>
          <w:u w:val="single"/>
          <w:lang w:val="sr-Latn-ME"/>
        </w:rPr>
      </w:pPr>
      <w:r w:rsidRPr="006927C1">
        <w:rPr>
          <w:bCs/>
          <w:sz w:val="22"/>
          <w:szCs w:val="22"/>
          <w:lang w:val="sr-Latn-ME"/>
        </w:rPr>
        <w:t>Neželjen</w:t>
      </w:r>
      <w:r w:rsidR="00B173DE" w:rsidRPr="006927C1">
        <w:rPr>
          <w:bCs/>
          <w:sz w:val="22"/>
          <w:szCs w:val="22"/>
          <w:lang w:val="sr-Latn-ME"/>
        </w:rPr>
        <w:t>a</w:t>
      </w:r>
      <w:r w:rsidRPr="006927C1">
        <w:rPr>
          <w:bCs/>
          <w:sz w:val="22"/>
          <w:szCs w:val="22"/>
          <w:lang w:val="sr-Latn-ME"/>
        </w:rPr>
        <w:t xml:space="preserve"> </w:t>
      </w:r>
      <w:r w:rsidR="00B173DE" w:rsidRPr="006927C1">
        <w:rPr>
          <w:bCs/>
          <w:sz w:val="22"/>
          <w:szCs w:val="22"/>
          <w:lang w:val="sr-Latn-ME"/>
        </w:rPr>
        <w:t xml:space="preserve">dejstva </w:t>
      </w:r>
      <w:r w:rsidRPr="006927C1">
        <w:rPr>
          <w:bCs/>
          <w:sz w:val="22"/>
          <w:szCs w:val="22"/>
          <w:lang w:val="sr-Latn-ME"/>
        </w:rPr>
        <w:t>za koj</w:t>
      </w:r>
      <w:r w:rsidR="00B173DE" w:rsidRPr="006927C1">
        <w:rPr>
          <w:bCs/>
          <w:sz w:val="22"/>
          <w:szCs w:val="22"/>
          <w:lang w:val="sr-Latn-ME"/>
        </w:rPr>
        <w:t>a</w:t>
      </w:r>
      <w:r w:rsidRPr="006927C1">
        <w:rPr>
          <w:bCs/>
          <w:sz w:val="22"/>
          <w:szCs w:val="22"/>
          <w:lang w:val="sr-Latn-ME"/>
        </w:rPr>
        <w:t xml:space="preserve"> se na osnovu kliničkih studija i iskustava nakon stavljanja lijeka u promet smatra da su barem moguće povezane sa liječenjem komponentama lijeka Gilestra Duo, naveden</w:t>
      </w:r>
      <w:r w:rsidR="00B173DE" w:rsidRPr="006927C1">
        <w:rPr>
          <w:bCs/>
          <w:sz w:val="22"/>
          <w:szCs w:val="22"/>
          <w:lang w:val="sr-Latn-ME"/>
        </w:rPr>
        <w:t>a</w:t>
      </w:r>
      <w:r w:rsidRPr="006927C1">
        <w:rPr>
          <w:bCs/>
          <w:sz w:val="22"/>
          <w:szCs w:val="22"/>
          <w:lang w:val="sr-Latn-ME"/>
        </w:rPr>
        <w:t xml:space="preserve"> su u nastavku u Tabeli 3 po klasama sistema organa i učestalosti. Unutar svake kategorije učestalosti, neželjen</w:t>
      </w:r>
      <w:r w:rsidR="00B173DE" w:rsidRPr="006927C1">
        <w:rPr>
          <w:bCs/>
          <w:sz w:val="22"/>
          <w:szCs w:val="22"/>
          <w:lang w:val="sr-Latn-ME"/>
        </w:rPr>
        <w:t>a</w:t>
      </w:r>
      <w:r w:rsidRPr="006927C1">
        <w:rPr>
          <w:bCs/>
          <w:sz w:val="22"/>
          <w:szCs w:val="22"/>
          <w:lang w:val="sr-Latn-ME"/>
        </w:rPr>
        <w:t xml:space="preserve"> </w:t>
      </w:r>
      <w:r w:rsidR="00B173DE" w:rsidRPr="006927C1">
        <w:rPr>
          <w:bCs/>
          <w:sz w:val="22"/>
          <w:szCs w:val="22"/>
          <w:lang w:val="sr-Latn-ME"/>
        </w:rPr>
        <w:t xml:space="preserve">dejstva </w:t>
      </w:r>
      <w:r w:rsidRPr="006927C1">
        <w:rPr>
          <w:bCs/>
          <w:sz w:val="22"/>
          <w:szCs w:val="22"/>
          <w:lang w:val="sr-Latn-ME"/>
        </w:rPr>
        <w:t>su prikazane prema opadajućem redosl</w:t>
      </w:r>
      <w:r w:rsidR="00B173DE" w:rsidRPr="006927C1">
        <w:rPr>
          <w:bCs/>
          <w:sz w:val="22"/>
          <w:szCs w:val="22"/>
          <w:lang w:val="sr-Latn-ME"/>
        </w:rPr>
        <w:t>j</w:t>
      </w:r>
      <w:r w:rsidRPr="006927C1">
        <w:rPr>
          <w:bCs/>
          <w:sz w:val="22"/>
          <w:szCs w:val="22"/>
          <w:lang w:val="sr-Latn-ME"/>
        </w:rPr>
        <w:t>edu ozbiljnosti. Učestalost je definisana kao veoma često (≥ 1/10), često (≥ 1/100 do &lt; 1/10), povremeno (≥ 1/1000 do &lt; 1/100) ili rijetko (≥ 1/10000 do &lt; 1/1000).</w:t>
      </w:r>
    </w:p>
    <w:p w:rsidR="008605AD" w:rsidRPr="006927C1" w:rsidRDefault="008605AD">
      <w:pPr>
        <w:tabs>
          <w:tab w:val="left" w:pos="540"/>
          <w:tab w:val="left" w:pos="569"/>
        </w:tabs>
        <w:jc w:val="both"/>
        <w:rPr>
          <w:bCs/>
          <w:sz w:val="22"/>
          <w:szCs w:val="22"/>
          <w:lang w:val="sr-Latn-ME"/>
        </w:rPr>
      </w:pPr>
    </w:p>
    <w:p w:rsidR="00932AD6" w:rsidRPr="006927C1" w:rsidRDefault="00932AD6">
      <w:pPr>
        <w:tabs>
          <w:tab w:val="left" w:pos="540"/>
          <w:tab w:val="left" w:pos="569"/>
        </w:tabs>
        <w:jc w:val="both"/>
        <w:rPr>
          <w:b/>
          <w:bCs/>
          <w:sz w:val="22"/>
          <w:szCs w:val="22"/>
          <w:lang w:val="sr-Latn-ME"/>
        </w:rPr>
      </w:pPr>
      <w:r w:rsidRPr="006927C1">
        <w:rPr>
          <w:b/>
          <w:bCs/>
          <w:sz w:val="22"/>
          <w:szCs w:val="22"/>
          <w:lang w:val="sr-Latn-ME"/>
        </w:rPr>
        <w:t xml:space="preserve">Tabela 3: Tablelarni prikaz neželjenih </w:t>
      </w:r>
      <w:r w:rsidR="00B173DE" w:rsidRPr="006927C1">
        <w:rPr>
          <w:b/>
          <w:bCs/>
          <w:sz w:val="22"/>
          <w:szCs w:val="22"/>
          <w:lang w:val="sr-Latn-ME"/>
        </w:rPr>
        <w:t xml:space="preserve">dejstava </w:t>
      </w:r>
      <w:r w:rsidRPr="006927C1">
        <w:rPr>
          <w:b/>
          <w:bCs/>
          <w:sz w:val="22"/>
          <w:szCs w:val="22"/>
          <w:lang w:val="sr-Latn-ME"/>
        </w:rPr>
        <w:t>povezanih sa pojedinačnim komponentama lijeka Gilestra Duo na osnovu kliničkih ispitivanja i postmarketinškog iskustva</w:t>
      </w:r>
      <w:r w:rsidRPr="006927C1" w:rsidDel="00C82C2B">
        <w:rPr>
          <w:b/>
          <w:bCs/>
          <w:sz w:val="22"/>
          <w:szCs w:val="22"/>
          <w:lang w:val="sr-Latn-ME"/>
        </w:rPr>
        <w:t xml:space="preserve"> </w:t>
      </w:r>
    </w:p>
    <w:tbl>
      <w:tblPr>
        <w:tblStyle w:val="TableGrid1"/>
        <w:tblW w:w="0" w:type="auto"/>
        <w:tblLook w:val="04A0" w:firstRow="1" w:lastRow="0" w:firstColumn="1" w:lastColumn="0" w:noHBand="0" w:noVBand="1"/>
      </w:tblPr>
      <w:tblGrid>
        <w:gridCol w:w="2969"/>
        <w:gridCol w:w="3071"/>
        <w:gridCol w:w="3023"/>
      </w:tblGrid>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b/>
                <w:sz w:val="22"/>
                <w:szCs w:val="22"/>
                <w:lang w:val="sr-Latn-ME"/>
              </w:rPr>
              <w:lastRenderedPageBreak/>
              <w:t>Učestalost</w:t>
            </w:r>
          </w:p>
        </w:tc>
        <w:tc>
          <w:tcPr>
            <w:tcW w:w="3071" w:type="dxa"/>
          </w:tcPr>
          <w:p w:rsidR="00932AD6" w:rsidRPr="006927C1" w:rsidRDefault="00932AD6" w:rsidP="00932AD6">
            <w:pPr>
              <w:tabs>
                <w:tab w:val="left" w:pos="284"/>
              </w:tabs>
              <w:rPr>
                <w:b/>
                <w:sz w:val="22"/>
                <w:szCs w:val="22"/>
                <w:lang w:val="sr-Latn-ME"/>
              </w:rPr>
            </w:pPr>
            <w:r w:rsidRPr="006927C1">
              <w:rPr>
                <w:b/>
                <w:sz w:val="22"/>
                <w:szCs w:val="22"/>
                <w:lang w:val="sr-Latn-ME"/>
              </w:rPr>
              <w:t>Emtricitabin</w:t>
            </w:r>
          </w:p>
        </w:tc>
        <w:tc>
          <w:tcPr>
            <w:tcW w:w="3023" w:type="dxa"/>
          </w:tcPr>
          <w:p w:rsidR="00932AD6" w:rsidRPr="006927C1" w:rsidRDefault="00932AD6" w:rsidP="00932AD6">
            <w:pPr>
              <w:tabs>
                <w:tab w:val="left" w:pos="284"/>
              </w:tabs>
              <w:rPr>
                <w:b/>
                <w:sz w:val="22"/>
                <w:szCs w:val="22"/>
                <w:lang w:val="sr-Latn-ME"/>
              </w:rPr>
            </w:pPr>
            <w:r w:rsidRPr="006927C1">
              <w:rPr>
                <w:b/>
                <w:sz w:val="22"/>
                <w:szCs w:val="22"/>
                <w:lang w:val="sr-Latn-ME"/>
              </w:rPr>
              <w:t>Tenofovir dizoproksil</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krvi i limfnog sistema: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neutropenija</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anemija</w:t>
            </w:r>
            <w:r w:rsidRPr="006927C1">
              <w:rPr>
                <w:sz w:val="22"/>
                <w:szCs w:val="22"/>
                <w:vertAlign w:val="superscript"/>
                <w:lang w:val="sr-Latn-ME"/>
              </w:rPr>
              <w:t>2</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w:t>
            </w:r>
            <w:r w:rsidRPr="006927C1">
              <w:rPr>
                <w:i/>
                <w:spacing w:val="-5"/>
                <w:sz w:val="22"/>
                <w:szCs w:val="22"/>
                <w:lang w:val="sr-Latn-ME"/>
              </w:rPr>
              <w:t xml:space="preserve"> </w:t>
            </w:r>
            <w:r w:rsidRPr="006927C1">
              <w:rPr>
                <w:i/>
                <w:sz w:val="22"/>
                <w:szCs w:val="22"/>
                <w:lang w:val="sr-Latn-ME"/>
              </w:rPr>
              <w:t>imunskog</w:t>
            </w:r>
            <w:r w:rsidRPr="006927C1">
              <w:rPr>
                <w:i/>
                <w:spacing w:val="-3"/>
                <w:sz w:val="22"/>
                <w:szCs w:val="22"/>
                <w:lang w:val="sr-Latn-ME"/>
              </w:rPr>
              <w:t xml:space="preserve"> </w:t>
            </w:r>
            <w:r w:rsidRPr="006927C1">
              <w:rPr>
                <w:i/>
                <w:sz w:val="22"/>
                <w:szCs w:val="22"/>
                <w:lang w:val="sr-Latn-ME"/>
              </w:rPr>
              <w:t>sistema: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alergijske reakcije</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metabolizma i ishrane:</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hipofosfatemija</w:t>
            </w:r>
            <w:r w:rsidRPr="006927C1">
              <w:rPr>
                <w:sz w:val="22"/>
                <w:szCs w:val="22"/>
                <w:vertAlign w:val="superscript"/>
                <w:lang w:val="sr-Latn-ME"/>
              </w:rPr>
              <w:t>1</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hiperglikemija, hipertrigliceridemija</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hipokaliemija</w:t>
            </w:r>
            <w:r w:rsidRPr="006927C1">
              <w:rPr>
                <w:sz w:val="22"/>
                <w:szCs w:val="22"/>
                <w:vertAlign w:val="superscript"/>
                <w:lang w:val="sr-Latn-ME"/>
              </w:rPr>
              <w:t>1</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Rijetko: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laktatna acidoza</w:t>
            </w:r>
            <w:r w:rsidRPr="006927C1">
              <w:rPr>
                <w:sz w:val="22"/>
                <w:szCs w:val="22"/>
                <w:vertAlign w:val="superscript"/>
                <w:lang w:val="sr-Latn-ME"/>
              </w:rPr>
              <w:t>2</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Psihijatrijski poremećaji:</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nesanica, abnormalni snovi</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nervnog sistema: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glavobolja</w:t>
            </w: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vrtoglavica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vrtoglavica</w:t>
            </w: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glavobolja</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Gastrointestinalni poremećaji:</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dijareja, mučnina</w:t>
            </w: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dijareja, povraćanje, mučnina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widowControl w:val="0"/>
              <w:tabs>
                <w:tab w:val="left" w:pos="1233"/>
                <w:tab w:val="left" w:pos="2284"/>
              </w:tabs>
              <w:autoSpaceDE w:val="0"/>
              <w:autoSpaceDN w:val="0"/>
              <w:spacing w:line="237" w:lineRule="exact"/>
              <w:rPr>
                <w:sz w:val="22"/>
                <w:szCs w:val="22"/>
                <w:lang w:val="sr-Latn-ME"/>
              </w:rPr>
            </w:pPr>
            <w:r w:rsidRPr="006927C1">
              <w:rPr>
                <w:sz w:val="22"/>
                <w:szCs w:val="22"/>
                <w:lang w:val="sr-Latn-ME"/>
              </w:rPr>
              <w:t>povećana vrijednost amilaza, uključujući povećanu pankreasnu amilazu,</w:t>
            </w:r>
          </w:p>
          <w:p w:rsidR="00932AD6" w:rsidRPr="006927C1" w:rsidRDefault="00932AD6" w:rsidP="00932AD6">
            <w:pPr>
              <w:tabs>
                <w:tab w:val="left" w:pos="284"/>
              </w:tabs>
              <w:rPr>
                <w:b/>
                <w:sz w:val="22"/>
                <w:szCs w:val="22"/>
                <w:lang w:val="sr-Latn-ME"/>
              </w:rPr>
            </w:pPr>
            <w:r w:rsidRPr="006927C1">
              <w:rPr>
                <w:sz w:val="22"/>
                <w:szCs w:val="22"/>
                <w:lang w:val="sr-Latn-ME"/>
              </w:rPr>
              <w:t xml:space="preserve">povećana serumska lipaza, povraćanje, bol u stomaku, dispepsija </w:t>
            </w: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 xml:space="preserve">bol u </w:t>
            </w:r>
            <w:r w:rsidR="00EB02BC" w:rsidRPr="006927C1">
              <w:rPr>
                <w:sz w:val="22"/>
                <w:szCs w:val="22"/>
                <w:lang w:val="sr-Latn-ME"/>
              </w:rPr>
              <w:t>abdomenu</w:t>
            </w:r>
            <w:r w:rsidRPr="006927C1">
              <w:rPr>
                <w:sz w:val="22"/>
                <w:szCs w:val="22"/>
                <w:lang w:val="sr-Latn-ME"/>
              </w:rPr>
              <w:t xml:space="preserve">, distenzija </w:t>
            </w:r>
            <w:r w:rsidR="00EB02BC" w:rsidRPr="006927C1">
              <w:rPr>
                <w:sz w:val="22"/>
                <w:szCs w:val="22"/>
                <w:lang w:val="sr-Latn-ME"/>
              </w:rPr>
              <w:t>abdomena</w:t>
            </w:r>
            <w:r w:rsidRPr="006927C1">
              <w:rPr>
                <w:sz w:val="22"/>
                <w:szCs w:val="22"/>
                <w:lang w:val="sr-Latn-ME"/>
              </w:rPr>
              <w:t>, flatulencija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pankreatitis</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Hepatobilijarni poremećaji:</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povećana vrijednost aspartat aminotransferaze (AST) u serumu i/ili povišena vrijednost alanin aminotransferaze (ALT) u serumu, hiperbilirubinemija</w:t>
            </w: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povećane vrijednosti transaminaza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Rijetko: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steatoza jetre, hepatitis</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kože i potkožnog tkiva: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sz w:val="22"/>
                <w:szCs w:val="22"/>
                <w:lang w:val="sr-Latn-ME"/>
              </w:rPr>
            </w:pPr>
            <w:r w:rsidRPr="006927C1">
              <w:rPr>
                <w:sz w:val="22"/>
                <w:szCs w:val="22"/>
                <w:lang w:val="sr-Latn-ME"/>
              </w:rPr>
              <w:t>osip</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vezikulobulozni osip, pustularni osip, makulopapularni osip, pruritus, urtikarija, poremećaj boje kože (pojačana pigmentacija)</w:t>
            </w:r>
            <w:r w:rsidRPr="006927C1">
              <w:rPr>
                <w:sz w:val="22"/>
                <w:szCs w:val="22"/>
                <w:vertAlign w:val="superscript"/>
                <w:lang w:val="sr-Latn-ME"/>
              </w:rPr>
              <w:t>2</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angioedem</w:t>
            </w:r>
            <w:r w:rsidRPr="006927C1">
              <w:rPr>
                <w:sz w:val="22"/>
                <w:szCs w:val="22"/>
                <w:vertAlign w:val="superscript"/>
                <w:lang w:val="sr-Latn-ME"/>
              </w:rPr>
              <w:t>3</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R</w:t>
            </w:r>
            <w:r w:rsidR="0029793E" w:rsidRPr="006927C1">
              <w:rPr>
                <w:sz w:val="22"/>
                <w:szCs w:val="22"/>
                <w:lang w:val="sr-Latn-ME"/>
              </w:rPr>
              <w:t>ij</w:t>
            </w:r>
            <w:r w:rsidRPr="006927C1">
              <w:rPr>
                <w:sz w:val="22"/>
                <w:szCs w:val="22"/>
                <w:lang w:val="sr-Latn-ME"/>
              </w:rPr>
              <w:t>etko: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angioedem</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mišićno- koštanog</w:t>
            </w:r>
            <w:r w:rsidRPr="006927C1">
              <w:rPr>
                <w:i/>
                <w:spacing w:val="-5"/>
                <w:sz w:val="22"/>
                <w:szCs w:val="22"/>
                <w:lang w:val="sr-Latn-ME"/>
              </w:rPr>
              <w:t xml:space="preserve"> </w:t>
            </w:r>
            <w:r w:rsidRPr="006927C1">
              <w:rPr>
                <w:i/>
                <w:sz w:val="22"/>
                <w:szCs w:val="22"/>
                <w:lang w:val="sr-Latn-ME"/>
              </w:rPr>
              <w:t>sistema</w:t>
            </w:r>
            <w:r w:rsidRPr="006927C1">
              <w:rPr>
                <w:i/>
                <w:spacing w:val="-5"/>
                <w:sz w:val="22"/>
                <w:szCs w:val="22"/>
                <w:lang w:val="sr-Latn-ME"/>
              </w:rPr>
              <w:t xml:space="preserve"> </w:t>
            </w:r>
            <w:r w:rsidRPr="006927C1">
              <w:rPr>
                <w:i/>
                <w:sz w:val="22"/>
                <w:szCs w:val="22"/>
                <w:lang w:val="sr-Latn-ME"/>
              </w:rPr>
              <w:t>i</w:t>
            </w:r>
            <w:r w:rsidRPr="006927C1">
              <w:rPr>
                <w:i/>
                <w:spacing w:val="-6"/>
                <w:sz w:val="22"/>
                <w:szCs w:val="22"/>
                <w:lang w:val="sr-Latn-ME"/>
              </w:rPr>
              <w:t xml:space="preserve"> </w:t>
            </w:r>
            <w:r w:rsidRPr="006927C1">
              <w:rPr>
                <w:i/>
                <w:sz w:val="22"/>
                <w:szCs w:val="22"/>
                <w:lang w:val="sr-Latn-ME"/>
              </w:rPr>
              <w:t>vezivnog</w:t>
            </w:r>
            <w:r w:rsidRPr="006927C1">
              <w:rPr>
                <w:i/>
                <w:spacing w:val="-5"/>
                <w:sz w:val="22"/>
                <w:szCs w:val="22"/>
                <w:lang w:val="sr-Latn-ME"/>
              </w:rPr>
              <w:t xml:space="preserve"> </w:t>
            </w:r>
            <w:r w:rsidRPr="006927C1">
              <w:rPr>
                <w:i/>
                <w:sz w:val="22"/>
                <w:szCs w:val="22"/>
                <w:lang w:val="sr-Latn-ME"/>
              </w:rPr>
              <w:t>tkiva: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povišena vr</w:t>
            </w:r>
            <w:r w:rsidR="0029793E" w:rsidRPr="006927C1">
              <w:rPr>
                <w:sz w:val="22"/>
                <w:szCs w:val="22"/>
                <w:lang w:val="sr-Latn-ME"/>
              </w:rPr>
              <w:t>ij</w:t>
            </w:r>
            <w:r w:rsidRPr="006927C1">
              <w:rPr>
                <w:sz w:val="22"/>
                <w:szCs w:val="22"/>
                <w:lang w:val="sr-Latn-ME"/>
              </w:rPr>
              <w:t>ednost kreatin kinaza</w:t>
            </w:r>
          </w:p>
        </w:tc>
        <w:tc>
          <w:tcPr>
            <w:tcW w:w="3023" w:type="dxa"/>
          </w:tcPr>
          <w:p w:rsidR="00932AD6" w:rsidRPr="006927C1" w:rsidRDefault="00932AD6" w:rsidP="00932AD6">
            <w:pPr>
              <w:tabs>
                <w:tab w:val="left" w:pos="284"/>
              </w:tabs>
              <w:rPr>
                <w:b/>
                <w:sz w:val="22"/>
                <w:szCs w:val="22"/>
                <w:lang w:val="sr-Latn-ME"/>
              </w:rPr>
            </w:pP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rabdomioliza</w:t>
            </w:r>
            <w:r w:rsidRPr="006927C1">
              <w:rPr>
                <w:sz w:val="22"/>
                <w:szCs w:val="22"/>
                <w:vertAlign w:val="superscript"/>
                <w:lang w:val="sr-Latn-ME"/>
              </w:rPr>
              <w:t>1</w:t>
            </w:r>
            <w:r w:rsidRPr="006927C1">
              <w:rPr>
                <w:sz w:val="22"/>
                <w:szCs w:val="22"/>
                <w:lang w:val="sr-Latn-ME"/>
              </w:rPr>
              <w:t xml:space="preserve"> , slabost u mišićima</w:t>
            </w:r>
            <w:r w:rsidRPr="006927C1">
              <w:rPr>
                <w:sz w:val="22"/>
                <w:szCs w:val="22"/>
                <w:vertAlign w:val="superscript"/>
                <w:lang w:val="sr-Latn-ME"/>
              </w:rPr>
              <w:t>1</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R</w:t>
            </w:r>
            <w:r w:rsidR="0029793E" w:rsidRPr="006927C1">
              <w:rPr>
                <w:sz w:val="22"/>
                <w:szCs w:val="22"/>
                <w:lang w:val="sr-Latn-ME"/>
              </w:rPr>
              <w:t>ij</w:t>
            </w:r>
            <w:r w:rsidRPr="006927C1">
              <w:rPr>
                <w:sz w:val="22"/>
                <w:szCs w:val="22"/>
                <w:lang w:val="sr-Latn-ME"/>
              </w:rPr>
              <w:t>etko: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osteomalacija (manifestuje se kao bol u kostima i r</w:t>
            </w:r>
            <w:r w:rsidR="0029793E" w:rsidRPr="006927C1">
              <w:rPr>
                <w:sz w:val="22"/>
                <w:szCs w:val="22"/>
                <w:lang w:val="sr-Latn-ME"/>
              </w:rPr>
              <w:t>ij</w:t>
            </w:r>
            <w:r w:rsidRPr="006927C1">
              <w:rPr>
                <w:sz w:val="22"/>
                <w:szCs w:val="22"/>
                <w:lang w:val="sr-Latn-ME"/>
              </w:rPr>
              <w:t xml:space="preserve">etko doprinosi prelomima) </w:t>
            </w:r>
            <w:r w:rsidRPr="006927C1">
              <w:rPr>
                <w:sz w:val="22"/>
                <w:szCs w:val="22"/>
                <w:vertAlign w:val="superscript"/>
                <w:lang w:val="sr-Latn-ME"/>
              </w:rPr>
              <w:t>1,3,</w:t>
            </w:r>
            <w:r w:rsidRPr="006927C1">
              <w:rPr>
                <w:sz w:val="22"/>
                <w:szCs w:val="22"/>
                <w:lang w:val="sr-Latn-ME"/>
              </w:rPr>
              <w:t xml:space="preserve"> miopatija</w:t>
            </w:r>
            <w:r w:rsidRPr="006927C1">
              <w:rPr>
                <w:sz w:val="22"/>
                <w:szCs w:val="22"/>
                <w:vertAlign w:val="superscript"/>
                <w:lang w:val="sr-Latn-ME"/>
              </w:rPr>
              <w:t>1</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Poremećaji bubrega i urinarnog sistema: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Povremeno: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povećana vr</w:t>
            </w:r>
            <w:r w:rsidR="0029793E" w:rsidRPr="006927C1">
              <w:rPr>
                <w:sz w:val="22"/>
                <w:szCs w:val="22"/>
                <w:lang w:val="sr-Latn-ME"/>
              </w:rPr>
              <w:t>ij</w:t>
            </w:r>
            <w:r w:rsidRPr="006927C1">
              <w:rPr>
                <w:sz w:val="22"/>
                <w:szCs w:val="22"/>
                <w:lang w:val="sr-Latn-ME"/>
              </w:rPr>
              <w:t>ednost kreatinina, proteinurija, proksimalna</w:t>
            </w:r>
            <w:r w:rsidRPr="006927C1">
              <w:rPr>
                <w:spacing w:val="45"/>
                <w:sz w:val="22"/>
                <w:szCs w:val="22"/>
                <w:lang w:val="sr-Latn-ME"/>
              </w:rPr>
              <w:t xml:space="preserve"> </w:t>
            </w:r>
            <w:r w:rsidRPr="006927C1">
              <w:rPr>
                <w:sz w:val="22"/>
                <w:szCs w:val="22"/>
                <w:lang w:val="sr-Latn-ME"/>
              </w:rPr>
              <w:t>renalna</w:t>
            </w:r>
            <w:r w:rsidRPr="006927C1">
              <w:rPr>
                <w:spacing w:val="48"/>
                <w:sz w:val="22"/>
                <w:szCs w:val="22"/>
                <w:lang w:val="sr-Latn-ME"/>
              </w:rPr>
              <w:t xml:space="preserve"> </w:t>
            </w:r>
            <w:r w:rsidRPr="006927C1">
              <w:rPr>
                <w:sz w:val="22"/>
                <w:szCs w:val="22"/>
                <w:lang w:val="sr-Latn-ME"/>
              </w:rPr>
              <w:t>tubulopatija,</w:t>
            </w:r>
            <w:r w:rsidRPr="006927C1">
              <w:rPr>
                <w:spacing w:val="-52"/>
                <w:sz w:val="22"/>
                <w:szCs w:val="22"/>
                <w:lang w:val="sr-Latn-ME"/>
              </w:rPr>
              <w:t xml:space="preserve"> </w:t>
            </w:r>
            <w:r w:rsidRPr="006927C1">
              <w:rPr>
                <w:sz w:val="22"/>
                <w:szCs w:val="22"/>
                <w:lang w:val="sr-Latn-ME"/>
              </w:rPr>
              <w:lastRenderedPageBreak/>
              <w:t>uključujući</w:t>
            </w:r>
            <w:r w:rsidRPr="006927C1">
              <w:rPr>
                <w:spacing w:val="4"/>
                <w:sz w:val="22"/>
                <w:szCs w:val="22"/>
                <w:lang w:val="sr-Latn-ME"/>
              </w:rPr>
              <w:t xml:space="preserve"> </w:t>
            </w:r>
            <w:r w:rsidRPr="006927C1">
              <w:rPr>
                <w:i/>
                <w:sz w:val="22"/>
                <w:szCs w:val="22"/>
                <w:lang w:val="sr-Latn-ME"/>
              </w:rPr>
              <w:t>Fanconi</w:t>
            </w:r>
            <w:r w:rsidRPr="006927C1">
              <w:rPr>
                <w:sz w:val="22"/>
                <w:szCs w:val="22"/>
                <w:lang w:val="sr-Latn-ME"/>
              </w:rPr>
              <w:t>-jev</w:t>
            </w:r>
            <w:r w:rsidRPr="006927C1">
              <w:rPr>
                <w:spacing w:val="-1"/>
                <w:sz w:val="22"/>
                <w:szCs w:val="22"/>
                <w:lang w:val="sr-Latn-ME"/>
              </w:rPr>
              <w:t xml:space="preserve"> </w:t>
            </w:r>
            <w:r w:rsidRPr="006927C1">
              <w:rPr>
                <w:sz w:val="22"/>
                <w:szCs w:val="22"/>
                <w:lang w:val="sr-Latn-ME"/>
              </w:rPr>
              <w:t>sindrom</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lastRenderedPageBreak/>
              <w:t>R</w:t>
            </w:r>
            <w:r w:rsidR="00424630" w:rsidRPr="006927C1">
              <w:rPr>
                <w:sz w:val="22"/>
                <w:szCs w:val="22"/>
                <w:lang w:val="sr-Latn-ME"/>
              </w:rPr>
              <w:t>ij</w:t>
            </w:r>
            <w:r w:rsidRPr="006927C1">
              <w:rPr>
                <w:sz w:val="22"/>
                <w:szCs w:val="22"/>
                <w:lang w:val="sr-Latn-ME"/>
              </w:rPr>
              <w:t>etko: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932AD6" w:rsidP="00932AD6">
            <w:pPr>
              <w:tabs>
                <w:tab w:val="left" w:pos="284"/>
              </w:tabs>
              <w:rPr>
                <w:b/>
                <w:sz w:val="22"/>
                <w:szCs w:val="22"/>
                <w:lang w:val="sr-Latn-ME"/>
              </w:rPr>
            </w:pPr>
            <w:r w:rsidRPr="006927C1">
              <w:rPr>
                <w:sz w:val="22"/>
                <w:szCs w:val="22"/>
                <w:lang w:val="sr-Latn-ME"/>
              </w:rPr>
              <w:t>bubrežna insuficijencuija (akutna i hronična), akutna tubularna nekroza, nefritis (uključujući akutni intersticijski nefritis)</w:t>
            </w:r>
            <w:r w:rsidRPr="006927C1">
              <w:rPr>
                <w:sz w:val="22"/>
                <w:szCs w:val="22"/>
                <w:vertAlign w:val="superscript"/>
                <w:lang w:val="sr-Latn-ME"/>
              </w:rPr>
              <w:t>3</w:t>
            </w:r>
            <w:r w:rsidRPr="006927C1">
              <w:rPr>
                <w:sz w:val="22"/>
                <w:szCs w:val="22"/>
                <w:lang w:val="sr-Latn-ME"/>
              </w:rPr>
              <w:t>, nefrogeni dijabetes insipidus</w:t>
            </w:r>
          </w:p>
        </w:tc>
      </w:tr>
      <w:tr w:rsidR="00932AD6" w:rsidRPr="006927C1" w:rsidTr="0029793E">
        <w:tc>
          <w:tcPr>
            <w:tcW w:w="9063" w:type="dxa"/>
            <w:gridSpan w:val="3"/>
          </w:tcPr>
          <w:p w:rsidR="00932AD6" w:rsidRPr="006927C1" w:rsidRDefault="00932AD6" w:rsidP="00932AD6">
            <w:pPr>
              <w:tabs>
                <w:tab w:val="left" w:pos="284"/>
              </w:tabs>
              <w:rPr>
                <w:b/>
                <w:i/>
                <w:sz w:val="22"/>
                <w:szCs w:val="22"/>
                <w:lang w:val="sr-Latn-ME"/>
              </w:rPr>
            </w:pPr>
            <w:r w:rsidRPr="006927C1">
              <w:rPr>
                <w:i/>
                <w:sz w:val="22"/>
                <w:szCs w:val="22"/>
                <w:lang w:val="sr-Latn-ME"/>
              </w:rPr>
              <w:t>Opšti poremećaji i reakcije na m</w:t>
            </w:r>
            <w:r w:rsidR="0029793E" w:rsidRPr="006927C1">
              <w:rPr>
                <w:i/>
                <w:sz w:val="22"/>
                <w:szCs w:val="22"/>
                <w:lang w:val="sr-Latn-ME"/>
              </w:rPr>
              <w:t>j</w:t>
            </w:r>
            <w:r w:rsidRPr="006927C1">
              <w:rPr>
                <w:i/>
                <w:sz w:val="22"/>
                <w:szCs w:val="22"/>
                <w:lang w:val="sr-Latn-ME"/>
              </w:rPr>
              <w:t>estu prim</w:t>
            </w:r>
            <w:r w:rsidR="0029793E" w:rsidRPr="006927C1">
              <w:rPr>
                <w:i/>
                <w:sz w:val="22"/>
                <w:szCs w:val="22"/>
                <w:lang w:val="sr-Latn-ME"/>
              </w:rPr>
              <w:t>j</w:t>
            </w:r>
            <w:r w:rsidRPr="006927C1">
              <w:rPr>
                <w:i/>
                <w:sz w:val="22"/>
                <w:szCs w:val="22"/>
                <w:lang w:val="sr-Latn-ME"/>
              </w:rPr>
              <w:t>ene:</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Veoma često:</w:t>
            </w:r>
          </w:p>
        </w:tc>
        <w:tc>
          <w:tcPr>
            <w:tcW w:w="3071" w:type="dxa"/>
          </w:tcPr>
          <w:p w:rsidR="00932AD6" w:rsidRPr="006927C1" w:rsidRDefault="00932AD6" w:rsidP="00932AD6">
            <w:pPr>
              <w:tabs>
                <w:tab w:val="left" w:pos="284"/>
              </w:tabs>
              <w:rPr>
                <w:b/>
                <w:sz w:val="22"/>
                <w:szCs w:val="22"/>
                <w:lang w:val="sr-Latn-ME"/>
              </w:rPr>
            </w:pPr>
          </w:p>
        </w:tc>
        <w:tc>
          <w:tcPr>
            <w:tcW w:w="3023" w:type="dxa"/>
          </w:tcPr>
          <w:p w:rsidR="00932AD6" w:rsidRPr="006927C1" w:rsidRDefault="00EB02BC" w:rsidP="00932AD6">
            <w:pPr>
              <w:tabs>
                <w:tab w:val="left" w:pos="284"/>
              </w:tabs>
              <w:rPr>
                <w:b/>
                <w:sz w:val="22"/>
                <w:szCs w:val="22"/>
                <w:lang w:val="sr-Latn-ME"/>
              </w:rPr>
            </w:pPr>
            <w:r w:rsidRPr="006927C1">
              <w:rPr>
                <w:sz w:val="22"/>
                <w:szCs w:val="22"/>
                <w:lang w:val="sr-Latn-ME"/>
              </w:rPr>
              <w:t>a</w:t>
            </w:r>
            <w:r w:rsidR="00932AD6" w:rsidRPr="006927C1">
              <w:rPr>
                <w:sz w:val="22"/>
                <w:szCs w:val="22"/>
                <w:lang w:val="sr-Latn-ME"/>
              </w:rPr>
              <w:t>stenija</w:t>
            </w:r>
          </w:p>
        </w:tc>
      </w:tr>
      <w:tr w:rsidR="00932AD6" w:rsidRPr="006927C1" w:rsidTr="0029793E">
        <w:tc>
          <w:tcPr>
            <w:tcW w:w="2969" w:type="dxa"/>
          </w:tcPr>
          <w:p w:rsidR="00932AD6" w:rsidRPr="006927C1" w:rsidRDefault="00932AD6" w:rsidP="00932AD6">
            <w:pPr>
              <w:tabs>
                <w:tab w:val="left" w:pos="284"/>
              </w:tabs>
              <w:rPr>
                <w:b/>
                <w:sz w:val="22"/>
                <w:szCs w:val="22"/>
                <w:lang w:val="sr-Latn-ME"/>
              </w:rPr>
            </w:pPr>
            <w:r w:rsidRPr="006927C1">
              <w:rPr>
                <w:sz w:val="22"/>
                <w:szCs w:val="22"/>
                <w:lang w:val="sr-Latn-ME"/>
              </w:rPr>
              <w:t>Često:</w:t>
            </w:r>
          </w:p>
        </w:tc>
        <w:tc>
          <w:tcPr>
            <w:tcW w:w="3071" w:type="dxa"/>
          </w:tcPr>
          <w:p w:rsidR="00932AD6" w:rsidRPr="006927C1" w:rsidRDefault="00932AD6" w:rsidP="00932AD6">
            <w:pPr>
              <w:tabs>
                <w:tab w:val="left" w:pos="284"/>
              </w:tabs>
              <w:rPr>
                <w:b/>
                <w:sz w:val="22"/>
                <w:szCs w:val="22"/>
                <w:lang w:val="sr-Latn-ME"/>
              </w:rPr>
            </w:pPr>
            <w:r w:rsidRPr="006927C1">
              <w:rPr>
                <w:sz w:val="22"/>
                <w:szCs w:val="22"/>
                <w:lang w:val="sr-Latn-ME"/>
              </w:rPr>
              <w:t>bol, astenija</w:t>
            </w:r>
          </w:p>
        </w:tc>
        <w:tc>
          <w:tcPr>
            <w:tcW w:w="3023" w:type="dxa"/>
          </w:tcPr>
          <w:p w:rsidR="00932AD6" w:rsidRPr="006927C1" w:rsidRDefault="00932AD6" w:rsidP="00932AD6">
            <w:pPr>
              <w:tabs>
                <w:tab w:val="left" w:pos="284"/>
              </w:tabs>
              <w:rPr>
                <w:b/>
                <w:sz w:val="22"/>
                <w:szCs w:val="22"/>
                <w:lang w:val="sr-Latn-ME"/>
              </w:rPr>
            </w:pPr>
          </w:p>
        </w:tc>
      </w:tr>
    </w:tbl>
    <w:p w:rsidR="0029793E" w:rsidRPr="006927C1" w:rsidRDefault="0029793E" w:rsidP="00386268">
      <w:pPr>
        <w:tabs>
          <w:tab w:val="left" w:pos="540"/>
          <w:tab w:val="left" w:pos="569"/>
        </w:tabs>
        <w:jc w:val="both"/>
        <w:rPr>
          <w:bCs/>
          <w:sz w:val="20"/>
          <w:szCs w:val="20"/>
          <w:lang w:val="sr-Latn-ME"/>
        </w:rPr>
      </w:pPr>
      <w:r w:rsidRPr="006927C1">
        <w:rPr>
          <w:bCs/>
          <w:sz w:val="20"/>
          <w:szCs w:val="20"/>
          <w:lang w:val="sr-Latn-ME"/>
        </w:rPr>
        <w:t>1 Ov</w:t>
      </w:r>
      <w:r w:rsidR="00EB02BC" w:rsidRPr="006927C1">
        <w:rPr>
          <w:bCs/>
          <w:sz w:val="20"/>
          <w:szCs w:val="20"/>
          <w:lang w:val="sr-Latn-ME"/>
        </w:rPr>
        <w:t>o</w:t>
      </w:r>
      <w:r w:rsidRPr="006927C1">
        <w:rPr>
          <w:bCs/>
          <w:sz w:val="20"/>
          <w:szCs w:val="20"/>
          <w:lang w:val="sr-Latn-ME"/>
        </w:rPr>
        <w:t xml:space="preserve"> neželjena </w:t>
      </w:r>
      <w:r w:rsidR="00EB02BC" w:rsidRPr="006927C1">
        <w:rPr>
          <w:bCs/>
          <w:sz w:val="20"/>
          <w:szCs w:val="20"/>
          <w:lang w:val="sr-Latn-ME"/>
        </w:rPr>
        <w:t xml:space="preserve">dejstva </w:t>
      </w:r>
      <w:r w:rsidRPr="006927C1">
        <w:rPr>
          <w:bCs/>
          <w:sz w:val="20"/>
          <w:szCs w:val="20"/>
          <w:lang w:val="sr-Latn-ME"/>
        </w:rPr>
        <w:t>mo</w:t>
      </w:r>
      <w:r w:rsidR="00EB02BC" w:rsidRPr="006927C1">
        <w:rPr>
          <w:bCs/>
          <w:sz w:val="20"/>
          <w:szCs w:val="20"/>
          <w:lang w:val="sr-Latn-ME"/>
        </w:rPr>
        <w:t>že</w:t>
      </w:r>
      <w:r w:rsidRPr="006927C1">
        <w:rPr>
          <w:bCs/>
          <w:sz w:val="20"/>
          <w:szCs w:val="20"/>
          <w:lang w:val="sr-Latn-ME"/>
        </w:rPr>
        <w:t xml:space="preserve"> nastati kao posljedica proksimalne bubrežne tubulopatije. Ne smatra se da je uzročno povezan</w:t>
      </w:r>
      <w:r w:rsidR="00EB02BC" w:rsidRPr="006927C1">
        <w:rPr>
          <w:bCs/>
          <w:sz w:val="20"/>
          <w:szCs w:val="20"/>
          <w:lang w:val="sr-Latn-ME"/>
        </w:rPr>
        <w:t>o</w:t>
      </w:r>
      <w:r w:rsidRPr="006927C1">
        <w:rPr>
          <w:bCs/>
          <w:sz w:val="20"/>
          <w:szCs w:val="20"/>
          <w:lang w:val="sr-Latn-ME"/>
        </w:rPr>
        <w:t xml:space="preserve"> sa tenofovir dizoproksilom ako tubulopatija nije prisutna. </w:t>
      </w:r>
    </w:p>
    <w:p w:rsidR="0029793E" w:rsidRPr="006927C1" w:rsidRDefault="0029793E" w:rsidP="00BE466F">
      <w:pPr>
        <w:tabs>
          <w:tab w:val="left" w:pos="540"/>
          <w:tab w:val="left" w:pos="569"/>
        </w:tabs>
        <w:jc w:val="both"/>
        <w:rPr>
          <w:bCs/>
          <w:sz w:val="20"/>
          <w:szCs w:val="20"/>
          <w:lang w:val="sr-Latn-ME"/>
        </w:rPr>
      </w:pPr>
      <w:r w:rsidRPr="006927C1">
        <w:rPr>
          <w:bCs/>
          <w:sz w:val="20"/>
          <w:szCs w:val="20"/>
          <w:lang w:val="sr-Latn-ME"/>
        </w:rPr>
        <w:t xml:space="preserve">2 Anemija je bila česta, a promjena boje kože (povećana pigmentacija) veoma česta kad se emtricitabin primjenjivao kod pedijatrijskih pacijenata. </w:t>
      </w:r>
    </w:p>
    <w:p w:rsidR="0029793E" w:rsidRPr="006927C1" w:rsidRDefault="0029793E" w:rsidP="001E3695">
      <w:pPr>
        <w:tabs>
          <w:tab w:val="left" w:pos="540"/>
          <w:tab w:val="left" w:pos="569"/>
        </w:tabs>
        <w:jc w:val="both"/>
        <w:rPr>
          <w:bCs/>
          <w:sz w:val="20"/>
          <w:szCs w:val="20"/>
          <w:lang w:val="sr-Latn-ME"/>
        </w:rPr>
      </w:pPr>
      <w:r w:rsidRPr="006927C1">
        <w:rPr>
          <w:bCs/>
          <w:sz w:val="20"/>
          <w:szCs w:val="20"/>
          <w:lang w:val="sr-Latn-ME"/>
        </w:rPr>
        <w:t>3 Ov</w:t>
      </w:r>
      <w:r w:rsidR="00EB02BC" w:rsidRPr="006927C1">
        <w:rPr>
          <w:bCs/>
          <w:sz w:val="20"/>
          <w:szCs w:val="20"/>
          <w:lang w:val="sr-Latn-ME"/>
        </w:rPr>
        <w:t>o</w:t>
      </w:r>
      <w:r w:rsidRPr="006927C1">
        <w:rPr>
          <w:bCs/>
          <w:sz w:val="20"/>
          <w:szCs w:val="20"/>
          <w:lang w:val="sr-Latn-ME"/>
        </w:rPr>
        <w:t xml:space="preserve"> neželjen</w:t>
      </w:r>
      <w:r w:rsidR="00EB02BC" w:rsidRPr="006927C1">
        <w:rPr>
          <w:bCs/>
          <w:sz w:val="20"/>
          <w:szCs w:val="20"/>
          <w:lang w:val="sr-Latn-ME"/>
        </w:rPr>
        <w:t>o</w:t>
      </w:r>
      <w:r w:rsidRPr="006927C1">
        <w:rPr>
          <w:bCs/>
          <w:sz w:val="20"/>
          <w:szCs w:val="20"/>
          <w:lang w:val="sr-Latn-ME"/>
        </w:rPr>
        <w:t xml:space="preserve"> </w:t>
      </w:r>
      <w:r w:rsidR="00EB02BC" w:rsidRPr="006927C1">
        <w:rPr>
          <w:bCs/>
          <w:sz w:val="20"/>
          <w:szCs w:val="20"/>
          <w:lang w:val="sr-Latn-ME"/>
        </w:rPr>
        <w:t xml:space="preserve">dejstvo </w:t>
      </w:r>
      <w:r w:rsidRPr="006927C1">
        <w:rPr>
          <w:bCs/>
          <w:sz w:val="20"/>
          <w:szCs w:val="20"/>
          <w:lang w:val="sr-Latn-ME"/>
        </w:rPr>
        <w:t>utvrđen</w:t>
      </w:r>
      <w:r w:rsidR="00EB02BC" w:rsidRPr="006927C1">
        <w:rPr>
          <w:bCs/>
          <w:sz w:val="20"/>
          <w:szCs w:val="20"/>
          <w:lang w:val="sr-Latn-ME"/>
        </w:rPr>
        <w:t>o</w:t>
      </w:r>
      <w:r w:rsidRPr="006927C1">
        <w:rPr>
          <w:bCs/>
          <w:sz w:val="20"/>
          <w:szCs w:val="20"/>
          <w:lang w:val="sr-Latn-ME"/>
        </w:rPr>
        <w:t xml:space="preserve"> je kroz postmarketinško praćenje, ali nije primijećen</w:t>
      </w:r>
      <w:r w:rsidR="00EB02BC" w:rsidRPr="006927C1">
        <w:rPr>
          <w:bCs/>
          <w:sz w:val="20"/>
          <w:szCs w:val="20"/>
          <w:lang w:val="sr-Latn-ME"/>
        </w:rPr>
        <w:t>o</w:t>
      </w:r>
      <w:r w:rsidRPr="006927C1">
        <w:rPr>
          <w:bCs/>
          <w:sz w:val="20"/>
          <w:szCs w:val="20"/>
          <w:lang w:val="sr-Latn-ME"/>
        </w:rPr>
        <w:t xml:space="preserve"> u randomizovanim, kontrolisanim kliničkim studijama kod odraslih ili pedijatrijskih pacijenata sa HIV-om za emtricitabin ili u randomizovanim kliničkim ispitivanjima ili u programu proširenog pristupa tenofovir dizoproksilu za tenofovir dizoproksil. Kategorija učestalosti procijenjena je iz statističkog proračuna na </w:t>
      </w:r>
      <w:r w:rsidR="00EB02BC" w:rsidRPr="006927C1">
        <w:rPr>
          <w:bCs/>
          <w:sz w:val="20"/>
          <w:szCs w:val="20"/>
          <w:lang w:val="sr-Latn-ME"/>
        </w:rPr>
        <w:t xml:space="preserve">osnovu </w:t>
      </w:r>
      <w:r w:rsidRPr="006927C1">
        <w:rPr>
          <w:bCs/>
          <w:sz w:val="20"/>
          <w:szCs w:val="20"/>
          <w:lang w:val="sr-Latn-ME"/>
        </w:rPr>
        <w:t xml:space="preserve">ukupnog broja pacijenata izloženih emtricitabinu u randomizovanim, kontrolisanim kliničkim ispitivanjima (n=1563) ili tenofovir dizoproksilu u randomizovanim, kontrolisanim kliničkim studijama ili u programu proširenog pristupa </w:t>
      </w:r>
      <w:r w:rsidR="00EB02BC" w:rsidRPr="006927C1">
        <w:rPr>
          <w:bCs/>
          <w:sz w:val="20"/>
          <w:szCs w:val="20"/>
          <w:lang w:val="sr-Latn-ME"/>
        </w:rPr>
        <w:t xml:space="preserve">liječenju </w:t>
      </w:r>
      <w:r w:rsidRPr="006927C1">
        <w:rPr>
          <w:bCs/>
          <w:sz w:val="20"/>
          <w:szCs w:val="20"/>
          <w:lang w:val="sr-Latn-ME"/>
        </w:rPr>
        <w:t>(n=7319).</w:t>
      </w:r>
    </w:p>
    <w:p w:rsidR="0029793E" w:rsidRPr="006927C1" w:rsidRDefault="0029793E">
      <w:pPr>
        <w:tabs>
          <w:tab w:val="left" w:pos="540"/>
          <w:tab w:val="left" w:pos="569"/>
        </w:tabs>
        <w:jc w:val="both"/>
        <w:rPr>
          <w:bCs/>
          <w:sz w:val="20"/>
          <w:szCs w:val="20"/>
          <w:u w:val="single"/>
          <w:lang w:val="sr-Latn-ME"/>
        </w:rPr>
      </w:pPr>
    </w:p>
    <w:p w:rsidR="00E92C61" w:rsidRPr="006927C1" w:rsidRDefault="00E92C61">
      <w:pPr>
        <w:tabs>
          <w:tab w:val="left" w:pos="540"/>
          <w:tab w:val="left" w:pos="569"/>
        </w:tabs>
        <w:jc w:val="both"/>
        <w:rPr>
          <w:bCs/>
          <w:sz w:val="22"/>
          <w:szCs w:val="22"/>
          <w:u w:val="single"/>
          <w:lang w:val="sr-Latn-ME"/>
        </w:rPr>
      </w:pPr>
      <w:r w:rsidRPr="006927C1">
        <w:rPr>
          <w:bCs/>
          <w:sz w:val="22"/>
          <w:szCs w:val="22"/>
          <w:u w:val="single"/>
          <w:lang w:val="sr-Latn-ME"/>
        </w:rPr>
        <w:t xml:space="preserve">Opis odabranih neželjenih reakcija </w:t>
      </w:r>
    </w:p>
    <w:p w:rsidR="00E92C61" w:rsidRPr="006927C1" w:rsidRDefault="00E92C61">
      <w:pPr>
        <w:tabs>
          <w:tab w:val="left" w:pos="540"/>
          <w:tab w:val="left" w:pos="569"/>
        </w:tabs>
        <w:jc w:val="both"/>
        <w:rPr>
          <w:bCs/>
          <w:sz w:val="22"/>
          <w:szCs w:val="22"/>
          <w:u w:val="single"/>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Oštećenje funkcije bubrega</w:t>
      </w:r>
      <w:r w:rsidRPr="006927C1">
        <w:rPr>
          <w:bCs/>
          <w:sz w:val="22"/>
          <w:szCs w:val="22"/>
          <w:lang w:val="sr-Latn-ME"/>
        </w:rPr>
        <w:t xml:space="preserve">: Lijek Gilestra Duo može da uzrokuje oštećenje bubrega pa se preporučuje  praćenje funkcije bubrega (vidjeti odjeljak 4.4). Proksimalna bubrežna tubulopatija generalno se povukla ili poboljšala nakon prekida terapije tenofovir dizoproksilom. Međutim, kod nekih pacijenata inficiranih virusom HIV-1, smanjenje klirensa kreatinina se nije potpuno riješilo i pored prekida terapije tenofovir dizoproksilom. Pacijenti sa rizikom od oštećenja funkcije bubrega (kao što su pacijenti sa već postojećim renalnim faktorima rizika, uznapredovalom HIV bolešću ili pacijenti koji istovremeno primaju nefrotoksične ljekove) pod povećanim su rizikom od nepotpunog oporavka funkcije bubrega uprkos prekidu terapije tenofovir dizoproksilfom (vidjeti odjeljak 4.4). </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 xml:space="preserve">Laktatna acidoza: </w:t>
      </w:r>
      <w:r w:rsidRPr="006927C1">
        <w:rPr>
          <w:bCs/>
          <w:sz w:val="22"/>
          <w:szCs w:val="22"/>
          <w:lang w:val="sr-Latn-ME"/>
        </w:rPr>
        <w:t xml:space="preserve">Prijavljeni su slučajevi laktatne acidoze pri primjeni samo tenofovir dizoproksila ili kombinacije sa drugim antiretrovirusnim agensima. Pacijenti sa predisponirajućim faktorima kao što su pacijenti sa dekompenzovanim oboljenjem jetre ili pacijenti koji istovremeno primaju ljekove za koje je poznato da indukuju laktatnu acidozu imaju povećan rizik za javljanje teške laktatne acidoze tokom liječenja tenofovir dizoproksilom, uključujući i smrtni ishod. </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 xml:space="preserve">Metabolički parametri: </w:t>
      </w:r>
      <w:r w:rsidRPr="006927C1">
        <w:rPr>
          <w:bCs/>
          <w:sz w:val="22"/>
          <w:szCs w:val="22"/>
          <w:lang w:val="sr-Latn-ME"/>
        </w:rPr>
        <w:t>Tokom antiretrovirusne terapije mogu se poveća</w:t>
      </w:r>
      <w:r w:rsidR="00EB02BC" w:rsidRPr="006927C1">
        <w:rPr>
          <w:bCs/>
          <w:sz w:val="22"/>
          <w:szCs w:val="22"/>
          <w:lang w:val="sr-Latn-ME"/>
        </w:rPr>
        <w:t>ti</w:t>
      </w:r>
      <w:r w:rsidRPr="006927C1">
        <w:rPr>
          <w:bCs/>
          <w:sz w:val="22"/>
          <w:szCs w:val="22"/>
          <w:lang w:val="sr-Latn-ME"/>
        </w:rPr>
        <w:t xml:space="preserve"> tjelesna masa i koncentracije lipida i glukoze u krvi (vidjeti odjeljak 4.4).</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Sindrom imun</w:t>
      </w:r>
      <w:r w:rsidR="00EB02BC" w:rsidRPr="006927C1">
        <w:rPr>
          <w:bCs/>
          <w:i/>
          <w:sz w:val="22"/>
          <w:szCs w:val="22"/>
          <w:lang w:val="sr-Latn-ME"/>
        </w:rPr>
        <w:t>ološke</w:t>
      </w:r>
      <w:r w:rsidRPr="006927C1">
        <w:rPr>
          <w:bCs/>
          <w:i/>
          <w:sz w:val="22"/>
          <w:szCs w:val="22"/>
          <w:lang w:val="sr-Latn-ME"/>
        </w:rPr>
        <w:t xml:space="preserve"> reaktivacije</w:t>
      </w:r>
      <w:r w:rsidRPr="006927C1">
        <w:rPr>
          <w:bCs/>
          <w:sz w:val="22"/>
          <w:szCs w:val="22"/>
          <w:lang w:val="sr-Latn-ME"/>
        </w:rPr>
        <w:t xml:space="preserve">: Kod pacijenata inficiranih HIV-om sa teškom imunodeficijencijom u trenutku otpočinjanja CART-a može nastati inflamatorna reakcija na asimptomatske ili rezidualne oportunističke infekcije. Autoimuni poremećaji (poput </w:t>
      </w:r>
      <w:r w:rsidRPr="006927C1">
        <w:rPr>
          <w:bCs/>
          <w:i/>
          <w:sz w:val="22"/>
          <w:szCs w:val="22"/>
          <w:lang w:val="sr-Latn-ME"/>
        </w:rPr>
        <w:t>Graves</w:t>
      </w:r>
      <w:r w:rsidRPr="006927C1">
        <w:rPr>
          <w:bCs/>
          <w:sz w:val="22"/>
          <w:szCs w:val="22"/>
          <w:lang w:val="sr-Latn-ME"/>
        </w:rPr>
        <w:t xml:space="preserve">-ove bolesti i autoimunog hepatitisa) takođe su zabilježeni; međutim, prijavljeno vrijeme do početka poremećaja više varira i ti događaji mogu se pojaviti mnogo mjeseci nakon </w:t>
      </w:r>
      <w:r w:rsidR="00EB02BC" w:rsidRPr="006927C1">
        <w:rPr>
          <w:bCs/>
          <w:sz w:val="22"/>
          <w:szCs w:val="22"/>
          <w:lang w:val="sr-Latn-ME"/>
        </w:rPr>
        <w:t xml:space="preserve">početka </w:t>
      </w:r>
      <w:r w:rsidRPr="006927C1">
        <w:rPr>
          <w:bCs/>
          <w:sz w:val="22"/>
          <w:szCs w:val="22"/>
          <w:lang w:val="sr-Latn-ME"/>
        </w:rPr>
        <w:t xml:space="preserve">liječenja (vidjeti odjeljak 4.4). </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Osteonekroza:</w:t>
      </w:r>
      <w:r w:rsidRPr="006927C1">
        <w:rPr>
          <w:bCs/>
          <w:sz w:val="22"/>
          <w:szCs w:val="22"/>
          <w:lang w:val="sr-Latn-ME"/>
        </w:rPr>
        <w:t xml:space="preserve"> Zabilježeni su slučajevi osteonekroze, pogotovo kod pacijenata sa generalno prihvaćenim faktorima rizika, uznapredovalim HIV oboljenjem ili dugotrajnom izloženošću CART-u. Učestalost nije poznata (vidjeti odjeljak 4.4). </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u w:val="single"/>
          <w:lang w:val="sr-Latn-ME"/>
        </w:rPr>
      </w:pPr>
      <w:r w:rsidRPr="006927C1">
        <w:rPr>
          <w:bCs/>
          <w:sz w:val="22"/>
          <w:szCs w:val="22"/>
          <w:u w:val="single"/>
          <w:lang w:val="sr-Latn-ME"/>
        </w:rPr>
        <w:t xml:space="preserve">Pedijatrijska populacija </w:t>
      </w:r>
    </w:p>
    <w:p w:rsidR="00E92C61" w:rsidRPr="006927C1" w:rsidRDefault="00E92C61">
      <w:pPr>
        <w:tabs>
          <w:tab w:val="left" w:pos="540"/>
          <w:tab w:val="left" w:pos="569"/>
        </w:tabs>
        <w:jc w:val="both"/>
        <w:rPr>
          <w:bCs/>
          <w:sz w:val="22"/>
          <w:szCs w:val="22"/>
          <w:u w:val="single"/>
          <w:lang w:val="sr-Latn-ME"/>
        </w:rPr>
      </w:pPr>
    </w:p>
    <w:p w:rsidR="00E92C61" w:rsidRPr="006927C1" w:rsidRDefault="00E92C61">
      <w:pPr>
        <w:tabs>
          <w:tab w:val="left" w:pos="540"/>
          <w:tab w:val="left" w:pos="569"/>
        </w:tabs>
        <w:jc w:val="both"/>
        <w:rPr>
          <w:bCs/>
          <w:i/>
          <w:sz w:val="22"/>
          <w:szCs w:val="22"/>
          <w:lang w:val="sr-Latn-ME"/>
        </w:rPr>
      </w:pPr>
      <w:r w:rsidRPr="006927C1">
        <w:rPr>
          <w:bCs/>
          <w:sz w:val="22"/>
          <w:szCs w:val="22"/>
          <w:lang w:val="sr-Latn-ME"/>
        </w:rPr>
        <w:t xml:space="preserve">Procjena neželjenih reakcija povezanih sa emtricitabinom zasniva se na iskustvu iz tri pedijatrijske studije (n = 169), u kojima su prethodno neliječeni (n = 123) i prethodno liječeni (n = 46) pedijatrijski pacijenti inficirani HIV-om uzrasta od 4 mjeseca do 18 godina primali emtricitabin u kombinaciji sa </w:t>
      </w:r>
      <w:r w:rsidRPr="006927C1">
        <w:rPr>
          <w:bCs/>
          <w:sz w:val="22"/>
          <w:szCs w:val="22"/>
          <w:lang w:val="sr-Latn-ME"/>
        </w:rPr>
        <w:lastRenderedPageBreak/>
        <w:t>drugim antiretrovirusnim ljekovima. Pored neželjenih reakcija prijavljenih kod odraslih, anemija (9,5%) i promjena boje kože (31,8%) javili su se češće u kliničkim ispitivanjima kod pedijatrijskih pacijenata nego kod odraslih (vidjeti odjeljak 4.8, „</w:t>
      </w:r>
      <w:r w:rsidRPr="006927C1">
        <w:rPr>
          <w:bCs/>
          <w:i/>
          <w:sz w:val="22"/>
          <w:szCs w:val="22"/>
          <w:lang w:val="sr-Latn-ME"/>
        </w:rPr>
        <w:t>Tabelarni prikaz neželjenih reakcija“).</w:t>
      </w:r>
    </w:p>
    <w:p w:rsidR="00E92C61" w:rsidRPr="006927C1" w:rsidRDefault="00E92C61">
      <w:pPr>
        <w:tabs>
          <w:tab w:val="left" w:pos="540"/>
          <w:tab w:val="left" w:pos="569"/>
        </w:tabs>
        <w:jc w:val="both"/>
        <w:rPr>
          <w:bCs/>
          <w:i/>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sz w:val="22"/>
          <w:szCs w:val="22"/>
          <w:lang w:val="sr-Latn-ME"/>
        </w:rPr>
        <w:t>Procjena neželjenih reakcija povezanih sa tenofovir dizoproksilom zasniva se na dvije randomizovane studije (studije GS-US-104-0321 i GS-US-104-0352) kod 184 HIV-1 inficirana pedijatrijska pacijenta (uzrasta od 2 do &lt; 18 godina) koji su primali tenofovir dizoproksil (n = 93) ili placebo/aktivni komparator (n = 91) u kombinaciji sa drugim antiretrovirusnim ljekovima u periodu od 48 nedjelja (vidjeti odjeljak 5.1). Neželjene reakcije uočene kod pedijatrijskih pacijenata koji su primali terapiju tenofovir dizoproksilom bile su konzistentne sa neželjenim reakcijama uočenim u kliničkim studijama tenofovir dizoproksilom kod odraslih (vidjeti odjeljke 4.8, „</w:t>
      </w:r>
      <w:r w:rsidRPr="006927C1">
        <w:rPr>
          <w:bCs/>
          <w:i/>
          <w:sz w:val="22"/>
          <w:szCs w:val="22"/>
          <w:lang w:val="sr-Latn-ME"/>
        </w:rPr>
        <w:t xml:space="preserve">Tabelarni prikaz neželjenih reakcija“ </w:t>
      </w:r>
      <w:r w:rsidRPr="006927C1">
        <w:rPr>
          <w:bCs/>
          <w:sz w:val="22"/>
          <w:szCs w:val="22"/>
          <w:lang w:val="sr-Latn-ME"/>
        </w:rPr>
        <w:t>i 5.1).</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sz w:val="22"/>
          <w:szCs w:val="22"/>
          <w:lang w:val="sr-Latn-ME"/>
        </w:rPr>
        <w:t>Smanjenja BMD-a su prijavljena kod pedijatrijskih pacijenata. Kod adolescenata (uzrasta 12 do &lt; 18 godina) inficiranih virusom HIV-1, Z-skorovi BMD-a uočeni kod ispitanika koji su primali tenofovir dizoproksil bili su manji nego oni uočeni kod ispitanika koji su primali placebo. Kod djece (uzrasta 2 do 15 godina) inficirane virusom HIV-1, Z-skorovi BMD-a uočeni kod ispitanika koji su prešli na tenofovir dizoproksil bili su manji nego oni uočeni kod ispitanika koji su ostali na režimu koji sadrži stavudin ili zidovudin (vidjeti odjeljke 4.4 i 5.1).</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sz w:val="22"/>
          <w:szCs w:val="22"/>
          <w:lang w:val="sr-Latn-ME"/>
        </w:rPr>
        <w:t>U studiji GS-US-104-0352, 89 pedijatrijskih pacijenata srednjeg uzrasta od 7 godina (raspon: 2 do 15 godina) inficiranih virusom HIV-1 bili su izloženi tenofovir dizoproksilu tokom perioda sa srednjim trajanjem od 331 nedjelje. Osam od 89 pacijenata (9,0%) prestalo je sa uzimanjem ispitivanog lijeka zbog renalnih neželjenih događaja. Pet ispitanika (5,6%) je imalo laboratorijske nalaze koji klinički odgovaraju proksimalnoj renalnoj tubulopatiji, od čega je njih 4 prekinulo terapiju tenofovir dizoproksilom. Sed</w:t>
      </w:r>
      <w:r w:rsidR="00CC5F01" w:rsidRPr="006927C1">
        <w:rPr>
          <w:bCs/>
          <w:sz w:val="22"/>
          <w:szCs w:val="22"/>
          <w:lang w:val="sr-Latn-ME"/>
        </w:rPr>
        <w:t>am</w:t>
      </w:r>
      <w:r w:rsidRPr="006927C1">
        <w:rPr>
          <w:bCs/>
          <w:sz w:val="22"/>
          <w:szCs w:val="22"/>
          <w:lang w:val="sr-Latn-ME"/>
        </w:rPr>
        <w:t xml:space="preserve"> pacijenata je imalo procijenjene vrijednosti brzine glomerularne filtracije (GFR) između 70 i 90 </w:t>
      </w:r>
      <w:r w:rsidR="00AE4815" w:rsidRPr="006927C1">
        <w:rPr>
          <w:bCs/>
          <w:sz w:val="22"/>
          <w:szCs w:val="22"/>
          <w:lang w:val="sr-Latn-ME"/>
        </w:rPr>
        <w:t>ml</w:t>
      </w:r>
      <w:r w:rsidRPr="006927C1">
        <w:rPr>
          <w:bCs/>
          <w:sz w:val="22"/>
          <w:szCs w:val="22"/>
          <w:lang w:val="sr-Latn-ME"/>
        </w:rPr>
        <w:t>/min/1,73 m</w:t>
      </w:r>
      <w:r w:rsidRPr="006927C1">
        <w:rPr>
          <w:bCs/>
          <w:sz w:val="22"/>
          <w:szCs w:val="22"/>
          <w:vertAlign w:val="superscript"/>
          <w:lang w:val="sr-Latn-ME"/>
        </w:rPr>
        <w:t>2</w:t>
      </w:r>
      <w:r w:rsidRPr="006927C1">
        <w:rPr>
          <w:bCs/>
          <w:sz w:val="22"/>
          <w:szCs w:val="22"/>
          <w:lang w:val="sr-Latn-ME"/>
        </w:rPr>
        <w:t>. Među njima, kod 3 pacijenta se javilo klinički značajno smanjenje procijenjene GFR tokom terapije, koja se poboljšala nakon prekida terapije tenofovir dizoproksilom.</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u w:val="single"/>
          <w:lang w:val="sr-Latn-ME"/>
        </w:rPr>
      </w:pPr>
      <w:r w:rsidRPr="006927C1">
        <w:rPr>
          <w:bCs/>
          <w:sz w:val="22"/>
          <w:szCs w:val="22"/>
          <w:u w:val="single"/>
          <w:lang w:val="sr-Latn-ME"/>
        </w:rPr>
        <w:t xml:space="preserve">Druge posebne populacije </w:t>
      </w:r>
    </w:p>
    <w:p w:rsidR="00CC5F01" w:rsidRPr="006927C1" w:rsidRDefault="00CC5F01">
      <w:pPr>
        <w:tabs>
          <w:tab w:val="left" w:pos="540"/>
          <w:tab w:val="left" w:pos="569"/>
        </w:tabs>
        <w:jc w:val="both"/>
        <w:rPr>
          <w:bCs/>
          <w:sz w:val="22"/>
          <w:szCs w:val="22"/>
          <w:u w:val="single"/>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Pacijenti sa oštećenjem funkcije bubrega</w:t>
      </w:r>
      <w:r w:rsidRPr="006927C1">
        <w:rPr>
          <w:bCs/>
          <w:sz w:val="22"/>
          <w:szCs w:val="22"/>
          <w:lang w:val="sr-Latn-ME"/>
        </w:rPr>
        <w:t xml:space="preserve">: Kako tenofovir dizoproksil može prouzrokovati bubrežnu toksičnost, preporučuje se pažljivo praćenje funkcije bubrega kod svih odraslih osoba sa oštećenjem funkcije bubrega koji primjenjuju lijek Gilestra Duo (vidjeti odjeljke 4.2, 4.4 i 5.2). Primjena lijeka Gilestra Duo se ne preporučuje kod osoba </w:t>
      </w:r>
      <w:r w:rsidR="00AE4815" w:rsidRPr="006927C1">
        <w:rPr>
          <w:bCs/>
          <w:sz w:val="22"/>
          <w:szCs w:val="22"/>
          <w:lang w:val="sr-Latn-ME"/>
        </w:rPr>
        <w:t>ml</w:t>
      </w:r>
      <w:r w:rsidRPr="006927C1">
        <w:rPr>
          <w:bCs/>
          <w:sz w:val="22"/>
          <w:szCs w:val="22"/>
          <w:lang w:val="sr-Latn-ME"/>
        </w:rPr>
        <w:t>ađih od 18 godina sa oštećenom funkcijom bubrega (vidjeti odjeljke 4.2 i 4.4).</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Pacijenti istovremeno inficirani HIV/HBV-om ili HCV-om</w:t>
      </w:r>
      <w:r w:rsidRPr="006927C1">
        <w:rPr>
          <w:bCs/>
          <w:sz w:val="22"/>
          <w:szCs w:val="22"/>
          <w:lang w:val="sr-Latn-ME"/>
        </w:rPr>
        <w:t xml:space="preserve">: U studiji GS-01-934 samo je ograničeni broj pacijenata bio istovremeno inficiran HBV-om (n=13) ili HCV-om (n=26). Profil neželjenih reakcija emtricitabina i tenofovir dizoproksila kod pacijenata sa istovremenom infekcijom HIV/HBV ili HIV/HCV bio je sličan profilu koji je zapažen kod pacijenata zaraženih virusom HIV-a bez istovremene druge infekcije. Međutim, kao što se u toj populaciji pacijenata moglo očekivati, povećanje vrijednosti AST i ALT bilo je češće nego u opštoj populaciji zaraženoj virusom HIV-a. </w:t>
      </w:r>
    </w:p>
    <w:p w:rsidR="00E92C61" w:rsidRPr="006927C1" w:rsidRDefault="00E92C61">
      <w:pPr>
        <w:tabs>
          <w:tab w:val="left" w:pos="540"/>
          <w:tab w:val="left" w:pos="569"/>
        </w:tabs>
        <w:jc w:val="both"/>
        <w:rPr>
          <w:bCs/>
          <w:sz w:val="22"/>
          <w:szCs w:val="22"/>
          <w:lang w:val="sr-Latn-ME"/>
        </w:rPr>
      </w:pPr>
    </w:p>
    <w:p w:rsidR="00E92C61" w:rsidRPr="006927C1" w:rsidRDefault="00E92C61">
      <w:pPr>
        <w:tabs>
          <w:tab w:val="left" w:pos="540"/>
          <w:tab w:val="left" w:pos="569"/>
        </w:tabs>
        <w:jc w:val="both"/>
        <w:rPr>
          <w:bCs/>
          <w:sz w:val="22"/>
          <w:szCs w:val="22"/>
          <w:lang w:val="sr-Latn-ME"/>
        </w:rPr>
      </w:pPr>
      <w:r w:rsidRPr="006927C1">
        <w:rPr>
          <w:bCs/>
          <w:i/>
          <w:sz w:val="22"/>
          <w:szCs w:val="22"/>
          <w:lang w:val="sr-Latn-ME"/>
        </w:rPr>
        <w:t>Egzacerbacije hepatitisa nakon prekida liječenja</w:t>
      </w:r>
      <w:r w:rsidRPr="006927C1">
        <w:rPr>
          <w:bCs/>
          <w:sz w:val="22"/>
          <w:szCs w:val="22"/>
          <w:lang w:val="sr-Latn-ME"/>
        </w:rPr>
        <w:t>: Kod pacijenata inficiranih virusom HBV, klinički i laboratorijski dokazi hepatitisa su se javili nakon prekida liječenja (vidjeti odjeljak 4.4).</w:t>
      </w:r>
    </w:p>
    <w:p w:rsidR="008605AD" w:rsidRPr="006927C1" w:rsidRDefault="008605AD">
      <w:pPr>
        <w:tabs>
          <w:tab w:val="left" w:pos="540"/>
          <w:tab w:val="left" w:pos="569"/>
        </w:tabs>
        <w:jc w:val="both"/>
        <w:rPr>
          <w:bCs/>
          <w:sz w:val="22"/>
          <w:szCs w:val="22"/>
          <w:lang w:val="sr-Latn-ME"/>
        </w:rPr>
      </w:pPr>
    </w:p>
    <w:p w:rsidR="005A23D2" w:rsidRPr="006927C1" w:rsidRDefault="005A23D2">
      <w:pPr>
        <w:spacing w:after="200" w:line="276" w:lineRule="auto"/>
        <w:jc w:val="both"/>
        <w:rPr>
          <w:rFonts w:eastAsia="Calibri"/>
          <w:sz w:val="22"/>
          <w:szCs w:val="22"/>
          <w:u w:val="single"/>
          <w:lang w:val="sr-Latn-ME"/>
        </w:rPr>
      </w:pPr>
      <w:r w:rsidRPr="006927C1">
        <w:rPr>
          <w:rFonts w:eastAsia="Calibri"/>
          <w:sz w:val="22"/>
          <w:szCs w:val="22"/>
          <w:u w:val="single"/>
          <w:lang w:val="sr-Latn-ME"/>
        </w:rPr>
        <w:t>Prijavljivanje sumnji na neželjena dejstva</w:t>
      </w:r>
    </w:p>
    <w:p w:rsidR="005A23D2" w:rsidRPr="006927C1" w:rsidRDefault="005A23D2">
      <w:pPr>
        <w:spacing w:after="200"/>
        <w:jc w:val="both"/>
        <w:rPr>
          <w:rFonts w:eastAsia="Calibri"/>
          <w:sz w:val="22"/>
          <w:szCs w:val="22"/>
          <w:lang w:val="sr-Latn-ME"/>
        </w:rPr>
      </w:pPr>
      <w:r w:rsidRPr="006927C1">
        <w:rPr>
          <w:rFonts w:eastAsia="Calibri"/>
          <w:sz w:val="22"/>
          <w:szCs w:val="22"/>
          <w:lang w:val="sr-Latn-ME"/>
        </w:rPr>
        <w:t>Prijavljivanje neželjenih dejstava nakon dobijanja dozvole je od velikog značaja jer obezbjeđuje kont</w:t>
      </w:r>
      <w:r w:rsidR="00EA5765" w:rsidRPr="006927C1">
        <w:rPr>
          <w:rFonts w:eastAsia="Calibri"/>
          <w:sz w:val="22"/>
          <w:szCs w:val="22"/>
          <w:lang w:val="sr-Latn-ME"/>
        </w:rPr>
        <w:t>inuirano praćenje odnosa korist</w:t>
      </w:r>
      <w:r w:rsidRPr="006927C1">
        <w:rPr>
          <w:rFonts w:eastAsia="Calibri"/>
          <w:sz w:val="22"/>
          <w:szCs w:val="22"/>
          <w:lang w:val="sr-Latn-ME"/>
        </w:rPr>
        <w:t>/rizik primjene lijeka. Zdravstveni radnici treba da prijave svaku sumnju na neželjeno</w:t>
      </w:r>
      <w:r w:rsidR="009B062A" w:rsidRPr="006927C1">
        <w:rPr>
          <w:rFonts w:eastAsia="Calibri"/>
          <w:sz w:val="22"/>
          <w:szCs w:val="22"/>
          <w:lang w:val="sr-Latn-ME"/>
        </w:rPr>
        <w:t xml:space="preserve"> </w:t>
      </w:r>
      <w:r w:rsidRPr="006927C1">
        <w:rPr>
          <w:rFonts w:eastAsia="Calibri"/>
          <w:sz w:val="22"/>
          <w:szCs w:val="22"/>
          <w:lang w:val="sr-Latn-ME"/>
        </w:rPr>
        <w:t xml:space="preserve">dejstvo ovog lijeka </w:t>
      </w:r>
      <w:r w:rsidR="004E70AD" w:rsidRPr="006927C1">
        <w:rPr>
          <w:rFonts w:eastAsia="Calibri"/>
          <w:sz w:val="22"/>
          <w:szCs w:val="22"/>
          <w:lang w:val="sr-Latn-ME"/>
        </w:rPr>
        <w:t>Institutu</w:t>
      </w:r>
      <w:r w:rsidRPr="006927C1">
        <w:rPr>
          <w:rFonts w:eastAsia="Calibri"/>
          <w:sz w:val="22"/>
          <w:szCs w:val="22"/>
          <w:lang w:val="sr-Latn-ME"/>
        </w:rPr>
        <w:t xml:space="preserve"> za ljekove i medicinska sredstva</w:t>
      </w:r>
      <w:r w:rsidR="004E70AD" w:rsidRPr="006927C1">
        <w:rPr>
          <w:rFonts w:eastAsia="Calibri"/>
          <w:sz w:val="22"/>
          <w:szCs w:val="22"/>
          <w:lang w:val="sr-Latn-ME"/>
        </w:rPr>
        <w:t xml:space="preserve"> </w:t>
      </w:r>
      <w:r w:rsidRPr="006927C1">
        <w:rPr>
          <w:rFonts w:eastAsia="Calibri"/>
          <w:sz w:val="22"/>
          <w:szCs w:val="22"/>
          <w:lang w:val="sr-Latn-ME"/>
        </w:rPr>
        <w:t>(</w:t>
      </w:r>
      <w:r w:rsidR="004E70AD" w:rsidRPr="006927C1">
        <w:rPr>
          <w:rFonts w:eastAsia="Calibri"/>
          <w:sz w:val="22"/>
          <w:szCs w:val="22"/>
          <w:lang w:val="sr-Latn-ME"/>
        </w:rPr>
        <w:t>CInMED</w:t>
      </w:r>
      <w:r w:rsidRPr="006927C1">
        <w:rPr>
          <w:rFonts w:eastAsia="Calibri"/>
          <w:sz w:val="22"/>
          <w:szCs w:val="22"/>
          <w:lang w:val="sr-Latn-ME"/>
        </w:rPr>
        <w:t>):</w:t>
      </w:r>
    </w:p>
    <w:p w:rsidR="005A23D2" w:rsidRPr="006927C1" w:rsidRDefault="004E70AD">
      <w:pPr>
        <w:pStyle w:val="NoSpacing"/>
        <w:jc w:val="both"/>
        <w:rPr>
          <w:rFonts w:eastAsia="Calibri"/>
          <w:sz w:val="22"/>
          <w:szCs w:val="22"/>
          <w:lang w:val="sr-Latn-ME"/>
        </w:rPr>
      </w:pPr>
      <w:r w:rsidRPr="006927C1">
        <w:rPr>
          <w:rFonts w:eastAsia="Calibri"/>
          <w:sz w:val="22"/>
          <w:szCs w:val="22"/>
          <w:lang w:val="sr-Latn-ME"/>
        </w:rPr>
        <w:t xml:space="preserve">Institut </w:t>
      </w:r>
      <w:r w:rsidR="005A23D2" w:rsidRPr="006927C1">
        <w:rPr>
          <w:rFonts w:eastAsia="Calibri"/>
          <w:sz w:val="22"/>
          <w:szCs w:val="22"/>
          <w:lang w:val="sr-Latn-ME"/>
        </w:rPr>
        <w:t xml:space="preserve">za ljekove i medicinska sredstva </w:t>
      </w:r>
    </w:p>
    <w:p w:rsidR="005A23D2" w:rsidRPr="006927C1" w:rsidRDefault="005A23D2">
      <w:pPr>
        <w:pStyle w:val="NoSpacing"/>
        <w:jc w:val="both"/>
        <w:rPr>
          <w:rFonts w:eastAsia="Calibri"/>
          <w:sz w:val="22"/>
          <w:szCs w:val="22"/>
          <w:lang w:val="sr-Latn-ME"/>
        </w:rPr>
      </w:pPr>
      <w:r w:rsidRPr="006927C1">
        <w:rPr>
          <w:rFonts w:eastAsia="Calibri"/>
          <w:sz w:val="22"/>
          <w:szCs w:val="22"/>
          <w:lang w:val="sr-Latn-ME"/>
        </w:rPr>
        <w:t>Odjeljenje za farmakovigilancu</w:t>
      </w:r>
    </w:p>
    <w:p w:rsidR="00EA5765" w:rsidRPr="006927C1" w:rsidRDefault="005A23D2">
      <w:pPr>
        <w:pStyle w:val="NoSpacing"/>
        <w:jc w:val="both"/>
        <w:rPr>
          <w:rFonts w:eastAsia="Calibri"/>
          <w:sz w:val="22"/>
          <w:szCs w:val="22"/>
          <w:lang w:val="sr-Latn-ME"/>
        </w:rPr>
      </w:pPr>
      <w:r w:rsidRPr="006927C1">
        <w:rPr>
          <w:rFonts w:eastAsia="Calibri"/>
          <w:sz w:val="22"/>
          <w:szCs w:val="22"/>
          <w:lang w:val="sr-Latn-ME"/>
        </w:rPr>
        <w:t>Bulevar Ivana Crnojevića 64a, 81000 Podgorica</w:t>
      </w:r>
    </w:p>
    <w:p w:rsidR="00EA5765" w:rsidRPr="006927C1" w:rsidRDefault="00EA5765" w:rsidP="00867B0F">
      <w:pPr>
        <w:pStyle w:val="NoSpacing"/>
        <w:jc w:val="both"/>
        <w:rPr>
          <w:rFonts w:eastAsia="Calibri"/>
          <w:sz w:val="22"/>
          <w:szCs w:val="22"/>
          <w:lang w:val="sr-Latn-ME"/>
        </w:rPr>
      </w:pPr>
    </w:p>
    <w:p w:rsidR="005A23D2" w:rsidRPr="006927C1" w:rsidRDefault="005A23D2" w:rsidP="00386268">
      <w:pPr>
        <w:pStyle w:val="NoSpacing"/>
        <w:jc w:val="both"/>
        <w:rPr>
          <w:rFonts w:eastAsia="Calibri"/>
          <w:sz w:val="22"/>
          <w:szCs w:val="22"/>
          <w:lang w:val="sr-Latn-ME"/>
        </w:rPr>
      </w:pPr>
      <w:r w:rsidRPr="006927C1">
        <w:rPr>
          <w:rFonts w:eastAsia="Calibri"/>
          <w:sz w:val="22"/>
          <w:szCs w:val="22"/>
          <w:lang w:val="sr-Latn-ME"/>
        </w:rPr>
        <w:t>tel: +382 (0) 20 310 280</w:t>
      </w:r>
    </w:p>
    <w:p w:rsidR="00EA5765" w:rsidRPr="006927C1" w:rsidRDefault="005A23D2" w:rsidP="00BE466F">
      <w:pPr>
        <w:pStyle w:val="NoSpacing"/>
        <w:jc w:val="both"/>
        <w:rPr>
          <w:rFonts w:eastAsia="Calibri"/>
          <w:sz w:val="22"/>
          <w:szCs w:val="22"/>
          <w:lang w:val="sr-Latn-ME"/>
        </w:rPr>
      </w:pPr>
      <w:r w:rsidRPr="006927C1">
        <w:rPr>
          <w:rFonts w:eastAsia="Calibri"/>
          <w:sz w:val="22"/>
          <w:szCs w:val="22"/>
          <w:lang w:val="sr-Latn-ME"/>
        </w:rPr>
        <w:lastRenderedPageBreak/>
        <w:t>fax:</w:t>
      </w:r>
      <w:r w:rsidR="00EA5765" w:rsidRPr="006927C1">
        <w:rPr>
          <w:rFonts w:eastAsia="Calibri"/>
          <w:sz w:val="22"/>
          <w:szCs w:val="22"/>
          <w:lang w:val="sr-Latn-ME"/>
        </w:rPr>
        <w:t xml:space="preserve"> </w:t>
      </w:r>
      <w:r w:rsidRPr="006927C1">
        <w:rPr>
          <w:rFonts w:eastAsia="Calibri"/>
          <w:sz w:val="22"/>
          <w:szCs w:val="22"/>
          <w:lang w:val="sr-Latn-ME"/>
        </w:rPr>
        <w:t>+382 (0) 20 310 581</w:t>
      </w:r>
    </w:p>
    <w:p w:rsidR="005A23D2" w:rsidRPr="006927C1" w:rsidRDefault="00636DBE" w:rsidP="00B173DE">
      <w:pPr>
        <w:pStyle w:val="NoSpacing"/>
        <w:jc w:val="both"/>
        <w:rPr>
          <w:rFonts w:eastAsia="Calibri"/>
          <w:sz w:val="22"/>
          <w:szCs w:val="22"/>
          <w:lang w:val="sr-Latn-ME"/>
        </w:rPr>
      </w:pPr>
      <w:hyperlink r:id="rId8" w:history="1">
        <w:r w:rsidR="004E70AD" w:rsidRPr="006927C1">
          <w:rPr>
            <w:rStyle w:val="Hyperlink"/>
            <w:rFonts w:eastAsia="Calibri"/>
            <w:sz w:val="22"/>
            <w:szCs w:val="22"/>
            <w:lang w:val="sr-Latn-ME"/>
          </w:rPr>
          <w:t>www.cinmed.me</w:t>
        </w:r>
      </w:hyperlink>
    </w:p>
    <w:p w:rsidR="00EA5765" w:rsidRPr="006927C1" w:rsidRDefault="00636DBE">
      <w:pPr>
        <w:pStyle w:val="NoSpacing"/>
        <w:jc w:val="both"/>
        <w:rPr>
          <w:rFonts w:eastAsia="Calibri"/>
          <w:color w:val="0000FF"/>
          <w:sz w:val="22"/>
          <w:szCs w:val="22"/>
          <w:u w:val="single"/>
          <w:lang w:val="sr-Latn-ME"/>
        </w:rPr>
      </w:pPr>
      <w:hyperlink r:id="rId9" w:history="1">
        <w:r w:rsidR="004E70AD" w:rsidRPr="006927C1">
          <w:rPr>
            <w:rStyle w:val="Hyperlink"/>
            <w:rFonts w:eastAsia="Calibri"/>
            <w:sz w:val="22"/>
            <w:szCs w:val="22"/>
            <w:lang w:val="sr-Latn-ME"/>
          </w:rPr>
          <w:t>nezeljenadejstva@cinmed.me</w:t>
        </w:r>
      </w:hyperlink>
    </w:p>
    <w:p w:rsidR="005A23D2" w:rsidRPr="006927C1" w:rsidRDefault="005A23D2">
      <w:pPr>
        <w:pStyle w:val="NoSpacing"/>
        <w:jc w:val="both"/>
        <w:rPr>
          <w:rFonts w:eastAsia="Calibri"/>
          <w:sz w:val="22"/>
          <w:szCs w:val="22"/>
          <w:lang w:val="sr-Latn-ME"/>
        </w:rPr>
      </w:pPr>
      <w:r w:rsidRPr="006927C1">
        <w:rPr>
          <w:rFonts w:eastAsia="Calibri"/>
          <w:sz w:val="22"/>
          <w:szCs w:val="22"/>
          <w:lang w:val="sr-Latn-ME"/>
        </w:rPr>
        <w:t>putem IS zdravstvene zaštite</w:t>
      </w:r>
    </w:p>
    <w:p w:rsidR="00836B35" w:rsidRPr="006927C1" w:rsidRDefault="00836B35" w:rsidP="00867B0F">
      <w:pPr>
        <w:tabs>
          <w:tab w:val="left" w:pos="540"/>
          <w:tab w:val="left" w:pos="569"/>
        </w:tabs>
        <w:jc w:val="both"/>
        <w:rPr>
          <w:b/>
          <w:bCs/>
          <w:sz w:val="22"/>
          <w:szCs w:val="22"/>
          <w:lang w:val="sr-Latn-ME"/>
        </w:rPr>
      </w:pPr>
    </w:p>
    <w:p w:rsidR="00CD6F02"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4.9. </w:t>
      </w:r>
      <w:r w:rsidR="00480FB1" w:rsidRPr="006927C1">
        <w:rPr>
          <w:b/>
          <w:bCs/>
          <w:sz w:val="22"/>
          <w:szCs w:val="22"/>
          <w:lang w:val="sr-Latn-ME"/>
        </w:rPr>
        <w:tab/>
      </w:r>
      <w:r w:rsidRPr="006927C1">
        <w:rPr>
          <w:b/>
          <w:bCs/>
          <w:sz w:val="22"/>
          <w:szCs w:val="22"/>
          <w:lang w:val="sr-Latn-ME"/>
        </w:rPr>
        <w:t>Predoziranje</w:t>
      </w:r>
      <w:r w:rsidR="002846DB" w:rsidRPr="006927C1">
        <w:rPr>
          <w:b/>
          <w:bCs/>
          <w:sz w:val="22"/>
          <w:szCs w:val="22"/>
          <w:lang w:val="sr-Latn-ME"/>
        </w:rPr>
        <w:t xml:space="preserve"> </w:t>
      </w:r>
    </w:p>
    <w:p w:rsidR="00CD6F02" w:rsidRPr="006927C1" w:rsidRDefault="00CD6F02" w:rsidP="00867B0F">
      <w:pPr>
        <w:tabs>
          <w:tab w:val="left" w:pos="540"/>
          <w:tab w:val="left" w:pos="569"/>
        </w:tabs>
        <w:jc w:val="both"/>
        <w:rPr>
          <w:b/>
          <w:bCs/>
          <w:sz w:val="22"/>
          <w:szCs w:val="22"/>
          <w:lang w:val="sr-Latn-ME"/>
        </w:rPr>
      </w:pPr>
    </w:p>
    <w:p w:rsidR="00940173" w:rsidRPr="006927C1" w:rsidRDefault="00940173" w:rsidP="00386268">
      <w:pPr>
        <w:tabs>
          <w:tab w:val="left" w:pos="540"/>
          <w:tab w:val="left" w:pos="569"/>
        </w:tabs>
        <w:jc w:val="both"/>
        <w:rPr>
          <w:bCs/>
          <w:sz w:val="22"/>
          <w:szCs w:val="22"/>
          <w:lang w:val="sr-Latn-ME"/>
        </w:rPr>
      </w:pPr>
      <w:r w:rsidRPr="006927C1">
        <w:rPr>
          <w:bCs/>
          <w:sz w:val="22"/>
          <w:szCs w:val="22"/>
          <w:lang w:val="sr-Latn-ME"/>
        </w:rPr>
        <w:t>U slučaju predoziranja osoba mora biti pod nadzorom zbog otkrivanja znakova toksičnosti (vidjeti odjeljak 4.8) i ukoliko je potrebno, treba primijeniti standardnu suportivnu terapiju.</w:t>
      </w:r>
    </w:p>
    <w:p w:rsidR="00940173" w:rsidRPr="006927C1" w:rsidRDefault="00940173" w:rsidP="00BE466F">
      <w:pPr>
        <w:tabs>
          <w:tab w:val="left" w:pos="540"/>
          <w:tab w:val="left" w:pos="569"/>
        </w:tabs>
        <w:jc w:val="both"/>
        <w:rPr>
          <w:bCs/>
          <w:sz w:val="22"/>
          <w:szCs w:val="22"/>
          <w:lang w:val="sr-Latn-ME"/>
        </w:rPr>
      </w:pPr>
    </w:p>
    <w:p w:rsidR="00940173" w:rsidRPr="006927C1" w:rsidRDefault="00940173">
      <w:pPr>
        <w:tabs>
          <w:tab w:val="left" w:pos="540"/>
          <w:tab w:val="left" w:pos="569"/>
        </w:tabs>
        <w:jc w:val="both"/>
        <w:rPr>
          <w:bCs/>
          <w:sz w:val="22"/>
          <w:szCs w:val="22"/>
          <w:lang w:val="sr-Latn-ME"/>
        </w:rPr>
      </w:pPr>
      <w:r w:rsidRPr="006927C1">
        <w:rPr>
          <w:bCs/>
          <w:sz w:val="22"/>
          <w:szCs w:val="22"/>
          <w:lang w:val="sr-Latn-ME"/>
        </w:rPr>
        <w:t>Hemodijalizom se može ukloniti do 30% doze emtricitabina i približno 10% doze tenofovira. Nije poznato mogu li se emtricitabin ili tenofovir ukloniti peritonealnom dijalizom.</w:t>
      </w:r>
    </w:p>
    <w:p w:rsidR="00227BDB" w:rsidRPr="006927C1" w:rsidRDefault="00227BDB" w:rsidP="00867B0F">
      <w:pPr>
        <w:tabs>
          <w:tab w:val="left" w:pos="540"/>
          <w:tab w:val="left" w:pos="569"/>
        </w:tabs>
        <w:jc w:val="both"/>
        <w:rPr>
          <w:b/>
          <w:bCs/>
          <w:sz w:val="22"/>
          <w:szCs w:val="22"/>
          <w:lang w:val="sr-Latn-ME"/>
        </w:rPr>
      </w:pPr>
    </w:p>
    <w:p w:rsidR="0072020E"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5. </w:t>
      </w:r>
      <w:r w:rsidR="00480FB1" w:rsidRPr="006927C1">
        <w:rPr>
          <w:b/>
          <w:bCs/>
          <w:sz w:val="22"/>
          <w:szCs w:val="22"/>
          <w:lang w:val="sr-Latn-ME"/>
        </w:rPr>
        <w:tab/>
      </w:r>
      <w:r w:rsidRPr="006927C1">
        <w:rPr>
          <w:b/>
          <w:bCs/>
          <w:sz w:val="22"/>
          <w:szCs w:val="22"/>
          <w:lang w:val="sr-Latn-ME"/>
        </w:rPr>
        <w:t>FARMAKOLOŠK</w:t>
      </w:r>
      <w:r w:rsidR="000D425A" w:rsidRPr="006927C1">
        <w:rPr>
          <w:b/>
          <w:bCs/>
          <w:sz w:val="22"/>
          <w:szCs w:val="22"/>
          <w:lang w:val="sr-Latn-ME"/>
        </w:rPr>
        <w:t>I</w:t>
      </w:r>
      <w:r w:rsidRPr="006927C1">
        <w:rPr>
          <w:b/>
          <w:bCs/>
          <w:sz w:val="22"/>
          <w:szCs w:val="22"/>
          <w:lang w:val="sr-Latn-ME"/>
        </w:rPr>
        <w:t xml:space="preserve"> PODACI</w:t>
      </w:r>
    </w:p>
    <w:p w:rsidR="0072020E" w:rsidRPr="006927C1" w:rsidRDefault="0072020E" w:rsidP="00867B0F">
      <w:pPr>
        <w:tabs>
          <w:tab w:val="left" w:pos="540"/>
          <w:tab w:val="left" w:pos="569"/>
        </w:tabs>
        <w:jc w:val="both"/>
        <w:rPr>
          <w:b/>
          <w:bCs/>
          <w:sz w:val="22"/>
          <w:szCs w:val="22"/>
          <w:lang w:val="sr-Latn-ME"/>
        </w:rPr>
      </w:pPr>
    </w:p>
    <w:p w:rsidR="0072020E"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5.1. </w:t>
      </w:r>
      <w:r w:rsidR="00480FB1" w:rsidRPr="006927C1">
        <w:rPr>
          <w:b/>
          <w:bCs/>
          <w:sz w:val="22"/>
          <w:szCs w:val="22"/>
          <w:lang w:val="sr-Latn-ME"/>
        </w:rPr>
        <w:tab/>
      </w:r>
      <w:r w:rsidRPr="006927C1">
        <w:rPr>
          <w:b/>
          <w:bCs/>
          <w:sz w:val="22"/>
          <w:szCs w:val="22"/>
          <w:lang w:val="sr-Latn-ME"/>
        </w:rPr>
        <w:t>Farmakodinamski podaci</w:t>
      </w:r>
      <w:r w:rsidR="003A7059" w:rsidRPr="006927C1">
        <w:rPr>
          <w:b/>
          <w:bCs/>
          <w:sz w:val="22"/>
          <w:szCs w:val="22"/>
          <w:lang w:val="sr-Latn-ME"/>
        </w:rPr>
        <w:t xml:space="preserve"> </w:t>
      </w:r>
    </w:p>
    <w:p w:rsidR="00F45F77" w:rsidRPr="006927C1" w:rsidRDefault="00F45F77" w:rsidP="00867B0F">
      <w:pPr>
        <w:tabs>
          <w:tab w:val="left" w:pos="540"/>
          <w:tab w:val="left" w:pos="569"/>
        </w:tabs>
        <w:jc w:val="both"/>
        <w:rPr>
          <w:b/>
          <w:bCs/>
          <w:sz w:val="22"/>
          <w:szCs w:val="22"/>
          <w:lang w:val="sr-Latn-ME"/>
        </w:rPr>
      </w:pPr>
    </w:p>
    <w:p w:rsidR="0072020E" w:rsidRPr="006927C1" w:rsidRDefault="0072020E" w:rsidP="00386268">
      <w:pPr>
        <w:tabs>
          <w:tab w:val="left" w:pos="540"/>
          <w:tab w:val="left" w:pos="569"/>
        </w:tabs>
        <w:jc w:val="both"/>
        <w:rPr>
          <w:bCs/>
          <w:sz w:val="22"/>
          <w:szCs w:val="22"/>
          <w:lang w:val="sr-Latn-ME"/>
        </w:rPr>
      </w:pPr>
      <w:r w:rsidRPr="006927C1">
        <w:rPr>
          <w:bCs/>
          <w:sz w:val="22"/>
          <w:szCs w:val="22"/>
          <w:lang w:val="sr-Latn-ME"/>
        </w:rPr>
        <w:t>Farmakoterapijska grupa:</w:t>
      </w:r>
      <w:r w:rsidR="00491DD6" w:rsidRPr="006927C1">
        <w:rPr>
          <w:sz w:val="22"/>
          <w:lang w:val="sr-Latn-ME"/>
        </w:rPr>
        <w:t xml:space="preserve"> </w:t>
      </w:r>
      <w:r w:rsidR="00491DD6" w:rsidRPr="006927C1">
        <w:rPr>
          <w:bCs/>
          <w:sz w:val="22"/>
          <w:szCs w:val="22"/>
          <w:lang w:val="sr-Latn-ME"/>
        </w:rPr>
        <w:t>Antivirusni ljekovi za sistemsku primjenu; antivirusni ljekovi za terapiju     HIV infekcija, kombinacije.</w:t>
      </w:r>
    </w:p>
    <w:p w:rsidR="0072020E" w:rsidRPr="006927C1" w:rsidRDefault="0072020E" w:rsidP="00867B0F">
      <w:pPr>
        <w:tabs>
          <w:tab w:val="left" w:pos="540"/>
          <w:tab w:val="left" w:pos="569"/>
        </w:tabs>
        <w:jc w:val="both"/>
        <w:rPr>
          <w:bCs/>
          <w:sz w:val="22"/>
          <w:szCs w:val="22"/>
          <w:lang w:val="sr-Latn-ME"/>
        </w:rPr>
      </w:pPr>
    </w:p>
    <w:p w:rsidR="0072020E" w:rsidRPr="006927C1" w:rsidRDefault="0072020E" w:rsidP="00867B0F">
      <w:pPr>
        <w:tabs>
          <w:tab w:val="left" w:pos="540"/>
          <w:tab w:val="left" w:pos="569"/>
        </w:tabs>
        <w:jc w:val="both"/>
        <w:rPr>
          <w:bCs/>
          <w:sz w:val="22"/>
          <w:szCs w:val="22"/>
          <w:lang w:val="sr-Latn-ME"/>
        </w:rPr>
      </w:pPr>
      <w:r w:rsidRPr="006927C1">
        <w:rPr>
          <w:bCs/>
          <w:sz w:val="22"/>
          <w:szCs w:val="22"/>
          <w:lang w:val="sr-Latn-ME"/>
        </w:rPr>
        <w:t>ATC kod:</w:t>
      </w:r>
      <w:r w:rsidR="00491DD6" w:rsidRPr="006927C1">
        <w:rPr>
          <w:sz w:val="22"/>
          <w:lang w:val="sr-Latn-ME"/>
        </w:rPr>
        <w:t xml:space="preserve"> </w:t>
      </w:r>
      <w:r w:rsidR="00491DD6" w:rsidRPr="006927C1">
        <w:rPr>
          <w:bCs/>
          <w:sz w:val="22"/>
          <w:szCs w:val="22"/>
          <w:lang w:val="sr-Latn-ME"/>
        </w:rPr>
        <w:t>J05AR03</w:t>
      </w:r>
    </w:p>
    <w:p w:rsidR="002E37A5" w:rsidRPr="006927C1" w:rsidRDefault="002E37A5" w:rsidP="00867B0F">
      <w:pPr>
        <w:tabs>
          <w:tab w:val="left" w:pos="540"/>
          <w:tab w:val="left" w:pos="569"/>
        </w:tabs>
        <w:jc w:val="both"/>
        <w:rPr>
          <w:b/>
          <w:bCs/>
          <w:sz w:val="22"/>
          <w:szCs w:val="22"/>
          <w:lang w:val="sr-Latn-ME"/>
        </w:rPr>
      </w:pPr>
    </w:p>
    <w:p w:rsidR="00031462" w:rsidRPr="006927C1" w:rsidRDefault="00031462" w:rsidP="00386268">
      <w:pPr>
        <w:tabs>
          <w:tab w:val="left" w:pos="540"/>
          <w:tab w:val="left" w:pos="569"/>
        </w:tabs>
        <w:jc w:val="both"/>
        <w:rPr>
          <w:bCs/>
          <w:sz w:val="22"/>
          <w:szCs w:val="22"/>
          <w:u w:val="single"/>
          <w:lang w:val="sr-Latn-ME"/>
        </w:rPr>
      </w:pPr>
      <w:r w:rsidRPr="006927C1">
        <w:rPr>
          <w:bCs/>
          <w:sz w:val="22"/>
          <w:szCs w:val="22"/>
          <w:u w:val="single"/>
          <w:lang w:val="sr-Latn-ME"/>
        </w:rPr>
        <w:t xml:space="preserve">Mehanizam dejstva </w:t>
      </w:r>
    </w:p>
    <w:p w:rsidR="00031462" w:rsidRPr="006927C1" w:rsidRDefault="00031462" w:rsidP="00BE466F">
      <w:pPr>
        <w:tabs>
          <w:tab w:val="left" w:pos="540"/>
          <w:tab w:val="left" w:pos="569"/>
        </w:tabs>
        <w:jc w:val="both"/>
        <w:rPr>
          <w:bCs/>
          <w:sz w:val="22"/>
          <w:szCs w:val="22"/>
          <w:u w:val="single"/>
          <w:lang w:val="sr-Latn-ME"/>
        </w:rPr>
      </w:pPr>
    </w:p>
    <w:p w:rsidR="00031462" w:rsidRPr="006927C1" w:rsidRDefault="00031462" w:rsidP="00A73C74">
      <w:pPr>
        <w:tabs>
          <w:tab w:val="left" w:pos="540"/>
          <w:tab w:val="left" w:pos="569"/>
        </w:tabs>
        <w:jc w:val="both"/>
        <w:rPr>
          <w:bCs/>
          <w:sz w:val="22"/>
          <w:szCs w:val="22"/>
          <w:lang w:val="sr-Latn-ME"/>
        </w:rPr>
      </w:pPr>
      <w:r w:rsidRPr="006927C1">
        <w:rPr>
          <w:bCs/>
          <w:sz w:val="22"/>
          <w:szCs w:val="22"/>
          <w:lang w:val="sr-Latn-ME"/>
        </w:rPr>
        <w:t xml:space="preserve">Emtricitabin je nukleozidni analog citidina. Tenofovir dizoproksil pretvara se </w:t>
      </w:r>
      <w:r w:rsidRPr="006927C1">
        <w:rPr>
          <w:bCs/>
          <w:i/>
          <w:sz w:val="22"/>
          <w:szCs w:val="22"/>
          <w:lang w:val="sr-Latn-ME"/>
        </w:rPr>
        <w:t>in vivo</w:t>
      </w:r>
      <w:r w:rsidRPr="006927C1">
        <w:rPr>
          <w:bCs/>
          <w:sz w:val="22"/>
          <w:szCs w:val="22"/>
          <w:lang w:val="sr-Latn-ME"/>
        </w:rPr>
        <w:t xml:space="preserve"> u tenofovir, nukleozidni monofosfatni (nukleotidni) analog adenozin monofosfata. I emtricitabin i tenofovir imaju aktivnost koja je specifična za virus humane imunodeficijencije (HIV-1 i HIV-2) i virus hepatitisa B.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 xml:space="preserve">Ćelijski enzimi fosforilišu emtricitabin i tenofovir u emtricitabin trifosfat odnosno tenofovir difosfat. Ispitivanja </w:t>
      </w:r>
      <w:r w:rsidRPr="006927C1">
        <w:rPr>
          <w:bCs/>
          <w:i/>
          <w:sz w:val="22"/>
          <w:szCs w:val="22"/>
          <w:lang w:val="sr-Latn-ME"/>
        </w:rPr>
        <w:t>in vitro</w:t>
      </w:r>
      <w:r w:rsidRPr="006927C1">
        <w:rPr>
          <w:bCs/>
          <w:sz w:val="22"/>
          <w:szCs w:val="22"/>
          <w:lang w:val="sr-Latn-ME"/>
        </w:rPr>
        <w:t xml:space="preserve"> pokazala su da se i emtricitabin i tenofovir mogu potpuno fosforilisati kada se zajedno kombinuju unutar ćelija. Emtricitabin trifosfat i tenofovir difosfat kompetitivno inhibiraju HIV-1 reverznu transkriptazu, što dovodi do prekida lanca DNK.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I emtricitabin trifosfat i tenofovir difosfat slabi su inhibitori DNK polimeraze sisara, i ni</w:t>
      </w:r>
      <w:r w:rsidR="00CC5F01" w:rsidRPr="006927C1">
        <w:rPr>
          <w:bCs/>
          <w:sz w:val="22"/>
          <w:szCs w:val="22"/>
          <w:lang w:val="sr-Latn-ME"/>
        </w:rPr>
        <w:t>je</w:t>
      </w:r>
      <w:r w:rsidRPr="006927C1">
        <w:rPr>
          <w:bCs/>
          <w:sz w:val="22"/>
          <w:szCs w:val="22"/>
          <w:lang w:val="sr-Latn-ME"/>
        </w:rPr>
        <w:t xml:space="preserve">su postojali dokazi o toksičnosti za mitohondrije </w:t>
      </w:r>
      <w:r w:rsidRPr="006927C1">
        <w:rPr>
          <w:bCs/>
          <w:i/>
          <w:sz w:val="22"/>
          <w:szCs w:val="22"/>
          <w:lang w:val="sr-Latn-ME"/>
        </w:rPr>
        <w:t>in vitro i in vivo</w:t>
      </w:r>
      <w:r w:rsidRPr="006927C1">
        <w:rPr>
          <w:bCs/>
          <w:sz w:val="22"/>
          <w:szCs w:val="22"/>
          <w:lang w:val="sr-Latn-ME"/>
        </w:rPr>
        <w:t xml:space="preserve">.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u w:val="single"/>
          <w:lang w:val="sr-Latn-ME"/>
        </w:rPr>
      </w:pPr>
      <w:r w:rsidRPr="006927C1">
        <w:rPr>
          <w:bCs/>
          <w:sz w:val="22"/>
          <w:szCs w:val="22"/>
          <w:u w:val="single"/>
          <w:lang w:val="sr-Latn-ME"/>
        </w:rPr>
        <w:t xml:space="preserve">Antivirusno djelovanje </w:t>
      </w:r>
      <w:r w:rsidRPr="006927C1">
        <w:rPr>
          <w:bCs/>
          <w:i/>
          <w:sz w:val="22"/>
          <w:szCs w:val="22"/>
          <w:u w:val="single"/>
          <w:lang w:val="sr-Latn-ME"/>
        </w:rPr>
        <w:t>in vitro</w:t>
      </w:r>
    </w:p>
    <w:p w:rsidR="00CC5F01" w:rsidRPr="006927C1" w:rsidRDefault="00CC5F01">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 xml:space="preserve">Sinergističko antivirusno djelovanje zapaženo je pri kombinaciji emtricitabina i tenofovira </w:t>
      </w:r>
      <w:r w:rsidRPr="006927C1">
        <w:rPr>
          <w:bCs/>
          <w:i/>
          <w:sz w:val="22"/>
          <w:szCs w:val="22"/>
          <w:lang w:val="sr-Latn-ME"/>
        </w:rPr>
        <w:t>in vitro</w:t>
      </w:r>
      <w:r w:rsidRPr="006927C1">
        <w:rPr>
          <w:bCs/>
          <w:sz w:val="22"/>
          <w:szCs w:val="22"/>
          <w:lang w:val="sr-Latn-ME"/>
        </w:rPr>
        <w:t xml:space="preserve">. Aditivni do sinergistički </w:t>
      </w:r>
      <w:r w:rsidR="00CC5F01" w:rsidRPr="006927C1">
        <w:rPr>
          <w:bCs/>
          <w:sz w:val="22"/>
          <w:szCs w:val="22"/>
          <w:lang w:val="sr-Latn-ME"/>
        </w:rPr>
        <w:t>efekti za</w:t>
      </w:r>
      <w:r w:rsidRPr="006927C1">
        <w:rPr>
          <w:bCs/>
          <w:sz w:val="22"/>
          <w:szCs w:val="22"/>
          <w:lang w:val="sr-Latn-ME"/>
        </w:rPr>
        <w:t>paženi su u ispitivanjima kombinacije sa inhibitorima proteaze i sa nukleozidnim i ne-nukleozidnim analozima inhibitorima reverzne transkriptaze HIV-a.</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u w:val="single"/>
          <w:lang w:val="sr-Latn-ME"/>
        </w:rPr>
      </w:pPr>
      <w:r w:rsidRPr="006927C1">
        <w:rPr>
          <w:bCs/>
          <w:sz w:val="22"/>
          <w:szCs w:val="22"/>
          <w:u w:val="single"/>
          <w:lang w:val="sr-Latn-ME"/>
        </w:rPr>
        <w:t>Rezistencija</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i/>
          <w:sz w:val="22"/>
          <w:szCs w:val="22"/>
          <w:lang w:val="sr-Latn-ME"/>
        </w:rPr>
        <w:t>In vitro:</w:t>
      </w:r>
      <w:r w:rsidRPr="006927C1">
        <w:rPr>
          <w:bCs/>
          <w:sz w:val="22"/>
          <w:szCs w:val="22"/>
          <w:lang w:val="sr-Latn-ME"/>
        </w:rPr>
        <w:t xml:space="preserve"> Rezistencija je bila </w:t>
      </w:r>
      <w:r w:rsidR="00CC5F01" w:rsidRPr="006927C1">
        <w:rPr>
          <w:bCs/>
          <w:sz w:val="22"/>
          <w:szCs w:val="22"/>
          <w:lang w:val="sr-Latn-ME"/>
        </w:rPr>
        <w:t>za</w:t>
      </w:r>
      <w:r w:rsidRPr="006927C1">
        <w:rPr>
          <w:bCs/>
          <w:sz w:val="22"/>
          <w:szCs w:val="22"/>
          <w:lang w:val="sr-Latn-ME"/>
        </w:rPr>
        <w:t>pažena</w:t>
      </w:r>
      <w:r w:rsidRPr="006927C1">
        <w:rPr>
          <w:bCs/>
          <w:i/>
          <w:sz w:val="22"/>
          <w:szCs w:val="22"/>
          <w:lang w:val="sr-Latn-ME"/>
        </w:rPr>
        <w:t xml:space="preserve"> in vitro </w:t>
      </w:r>
      <w:r w:rsidRPr="006927C1">
        <w:rPr>
          <w:bCs/>
          <w:sz w:val="22"/>
          <w:szCs w:val="22"/>
          <w:lang w:val="sr-Latn-ME"/>
        </w:rPr>
        <w:t>i kod nekih pacijenata inficiranih virusom HIV-1, zbog razvoja mutacije M184V/I uz emtricitabin ili mutacije K65R uz tenofovir. Virusi rezistentni na emtricitabin s</w:t>
      </w:r>
      <w:r w:rsidR="00692EB4" w:rsidRPr="006927C1">
        <w:rPr>
          <w:bCs/>
          <w:sz w:val="22"/>
          <w:szCs w:val="22"/>
          <w:lang w:val="sr-Latn-ME"/>
        </w:rPr>
        <w:t>a</w:t>
      </w:r>
      <w:r w:rsidRPr="006927C1">
        <w:rPr>
          <w:bCs/>
          <w:sz w:val="22"/>
          <w:szCs w:val="22"/>
          <w:lang w:val="sr-Latn-ME"/>
        </w:rPr>
        <w:t xml:space="preserve"> mutacijom M184V/I bili su unakrsno rezistentni na lamivudin, ali su zadržali os</w:t>
      </w:r>
      <w:r w:rsidR="00692EB4" w:rsidRPr="006927C1">
        <w:rPr>
          <w:bCs/>
          <w:sz w:val="22"/>
          <w:szCs w:val="22"/>
          <w:lang w:val="sr-Latn-ME"/>
        </w:rPr>
        <w:t>j</w:t>
      </w:r>
      <w:r w:rsidRPr="006927C1">
        <w:rPr>
          <w:bCs/>
          <w:sz w:val="22"/>
          <w:szCs w:val="22"/>
          <w:lang w:val="sr-Latn-ME"/>
        </w:rPr>
        <w:t>etljivost na didanozin, stavudin, tenofovir i zidovudin. Mutacija K65R može se takođe izazvati abakavirom ili didanozinom, a rezultira smanjenom os</w:t>
      </w:r>
      <w:r w:rsidR="00692EB4" w:rsidRPr="006927C1">
        <w:rPr>
          <w:bCs/>
          <w:sz w:val="22"/>
          <w:szCs w:val="22"/>
          <w:lang w:val="sr-Latn-ME"/>
        </w:rPr>
        <w:t>j</w:t>
      </w:r>
      <w:r w:rsidRPr="006927C1">
        <w:rPr>
          <w:bCs/>
          <w:sz w:val="22"/>
          <w:szCs w:val="22"/>
          <w:lang w:val="sr-Latn-ME"/>
        </w:rPr>
        <w:t>etljivošću na ove l</w:t>
      </w:r>
      <w:r w:rsidR="00692EB4" w:rsidRPr="006927C1">
        <w:rPr>
          <w:bCs/>
          <w:sz w:val="22"/>
          <w:szCs w:val="22"/>
          <w:lang w:val="sr-Latn-ME"/>
        </w:rPr>
        <w:t>j</w:t>
      </w:r>
      <w:r w:rsidRPr="006927C1">
        <w:rPr>
          <w:bCs/>
          <w:sz w:val="22"/>
          <w:szCs w:val="22"/>
          <w:lang w:val="sr-Latn-ME"/>
        </w:rPr>
        <w:t>ekove i na lamivudin, emtricitabin i tenofovir. Tenofovir dizoproksil potrebno je izb</w:t>
      </w:r>
      <w:r w:rsidR="00692EB4" w:rsidRPr="006927C1">
        <w:rPr>
          <w:bCs/>
          <w:sz w:val="22"/>
          <w:szCs w:val="22"/>
          <w:lang w:val="sr-Latn-ME"/>
        </w:rPr>
        <w:t>j</w:t>
      </w:r>
      <w:r w:rsidRPr="006927C1">
        <w:rPr>
          <w:bCs/>
          <w:sz w:val="22"/>
          <w:szCs w:val="22"/>
          <w:lang w:val="sr-Latn-ME"/>
        </w:rPr>
        <w:t>egavati kod pacijenata s</w:t>
      </w:r>
      <w:r w:rsidR="00692EB4" w:rsidRPr="006927C1">
        <w:rPr>
          <w:bCs/>
          <w:sz w:val="22"/>
          <w:szCs w:val="22"/>
          <w:lang w:val="sr-Latn-ME"/>
        </w:rPr>
        <w:t>a</w:t>
      </w:r>
      <w:r w:rsidRPr="006927C1">
        <w:rPr>
          <w:bCs/>
          <w:sz w:val="22"/>
          <w:szCs w:val="22"/>
          <w:lang w:val="sr-Latn-ME"/>
        </w:rPr>
        <w:t xml:space="preserve"> HIV-1 koji nose mutaciju K65R. Uz to, tenofovirom je izdvojena K70E supstitucija u HIV-1 reverznoj transkriptazi što rezultira blagim smanjenjem os</w:t>
      </w:r>
      <w:r w:rsidR="00692EB4" w:rsidRPr="006927C1">
        <w:rPr>
          <w:bCs/>
          <w:sz w:val="22"/>
          <w:szCs w:val="22"/>
          <w:lang w:val="sr-Latn-ME"/>
        </w:rPr>
        <w:t>j</w:t>
      </w:r>
      <w:r w:rsidRPr="006927C1">
        <w:rPr>
          <w:bCs/>
          <w:sz w:val="22"/>
          <w:szCs w:val="22"/>
          <w:lang w:val="sr-Latn-ME"/>
        </w:rPr>
        <w:t xml:space="preserve">etljivosti na abakavir, emtricitabin, lamivudin i tenofovir.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Pacijenti kod kojih je HIV-1 izražavao tri ili više mutacija povezanih s</w:t>
      </w:r>
      <w:r w:rsidR="00692EB4" w:rsidRPr="006927C1">
        <w:rPr>
          <w:bCs/>
          <w:sz w:val="22"/>
          <w:szCs w:val="22"/>
          <w:lang w:val="sr-Latn-ME"/>
        </w:rPr>
        <w:t>a</w:t>
      </w:r>
      <w:r w:rsidRPr="006927C1">
        <w:rPr>
          <w:bCs/>
          <w:sz w:val="22"/>
          <w:szCs w:val="22"/>
          <w:lang w:val="sr-Latn-ME"/>
        </w:rPr>
        <w:t xml:space="preserve"> analogom timidina (TAMs; engl. </w:t>
      </w:r>
      <w:r w:rsidRPr="006927C1">
        <w:rPr>
          <w:bCs/>
          <w:i/>
          <w:sz w:val="22"/>
          <w:szCs w:val="22"/>
          <w:lang w:val="sr-Latn-ME"/>
        </w:rPr>
        <w:t>thymidine-analoque associated mutations</w:t>
      </w:r>
      <w:r w:rsidRPr="006927C1">
        <w:rPr>
          <w:bCs/>
          <w:sz w:val="22"/>
          <w:szCs w:val="22"/>
          <w:lang w:val="sr-Latn-ME"/>
        </w:rPr>
        <w:t>), koje su uključivale bilo M41L ili L210W mutaciju reverzne transkriptaze, pokazali su smanjenu os</w:t>
      </w:r>
      <w:r w:rsidR="00692EB4" w:rsidRPr="006927C1">
        <w:rPr>
          <w:bCs/>
          <w:sz w:val="22"/>
          <w:szCs w:val="22"/>
          <w:lang w:val="sr-Latn-ME"/>
        </w:rPr>
        <w:t>j</w:t>
      </w:r>
      <w:r w:rsidRPr="006927C1">
        <w:rPr>
          <w:bCs/>
          <w:sz w:val="22"/>
          <w:szCs w:val="22"/>
          <w:lang w:val="sr-Latn-ME"/>
        </w:rPr>
        <w:t xml:space="preserve">etljivost na tenofovir dizoproksil.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i/>
          <w:sz w:val="22"/>
          <w:szCs w:val="22"/>
          <w:lang w:val="sr-Latn-ME"/>
        </w:rPr>
        <w:lastRenderedPageBreak/>
        <w:t>In vivo l</w:t>
      </w:r>
      <w:r w:rsidR="00692EB4" w:rsidRPr="006927C1">
        <w:rPr>
          <w:bCs/>
          <w:i/>
          <w:sz w:val="22"/>
          <w:szCs w:val="22"/>
          <w:lang w:val="sr-Latn-ME"/>
        </w:rPr>
        <w:t>ij</w:t>
      </w:r>
      <w:r w:rsidRPr="006927C1">
        <w:rPr>
          <w:bCs/>
          <w:i/>
          <w:sz w:val="22"/>
          <w:szCs w:val="22"/>
          <w:lang w:val="sr-Latn-ME"/>
        </w:rPr>
        <w:t>ečenje infekcije virusom HIV-1:</w:t>
      </w:r>
      <w:r w:rsidR="00692EB4" w:rsidRPr="006927C1">
        <w:rPr>
          <w:bCs/>
          <w:sz w:val="22"/>
          <w:szCs w:val="22"/>
          <w:lang w:val="sr-Latn-ME"/>
        </w:rPr>
        <w:t xml:space="preserve"> U otvorenoj, randomizovanoj kliničkoj studiji</w:t>
      </w:r>
      <w:r w:rsidRPr="006927C1">
        <w:rPr>
          <w:bCs/>
          <w:sz w:val="22"/>
          <w:szCs w:val="22"/>
          <w:lang w:val="sr-Latn-ME"/>
        </w:rPr>
        <w:t xml:space="preserve"> (GS-01-934) na pacijentima koji ranije ni</w:t>
      </w:r>
      <w:r w:rsidR="00CC5F01" w:rsidRPr="006927C1">
        <w:rPr>
          <w:bCs/>
          <w:sz w:val="22"/>
          <w:szCs w:val="22"/>
          <w:lang w:val="sr-Latn-ME"/>
        </w:rPr>
        <w:t>je</w:t>
      </w:r>
      <w:r w:rsidRPr="006927C1">
        <w:rPr>
          <w:bCs/>
          <w:sz w:val="22"/>
          <w:szCs w:val="22"/>
          <w:lang w:val="sr-Latn-ME"/>
        </w:rPr>
        <w:t>su bili l</w:t>
      </w:r>
      <w:r w:rsidR="00692EB4" w:rsidRPr="006927C1">
        <w:rPr>
          <w:bCs/>
          <w:sz w:val="22"/>
          <w:szCs w:val="22"/>
          <w:lang w:val="sr-Latn-ME"/>
        </w:rPr>
        <w:t>ij</w:t>
      </w:r>
      <w:r w:rsidRPr="006927C1">
        <w:rPr>
          <w:bCs/>
          <w:sz w:val="22"/>
          <w:szCs w:val="22"/>
          <w:lang w:val="sr-Latn-ME"/>
        </w:rPr>
        <w:t>ečeni antiretrovirusnim l</w:t>
      </w:r>
      <w:r w:rsidR="00692EB4" w:rsidRPr="006927C1">
        <w:rPr>
          <w:bCs/>
          <w:sz w:val="22"/>
          <w:szCs w:val="22"/>
          <w:lang w:val="sr-Latn-ME"/>
        </w:rPr>
        <w:t>j</w:t>
      </w:r>
      <w:r w:rsidRPr="006927C1">
        <w:rPr>
          <w:bCs/>
          <w:sz w:val="22"/>
          <w:szCs w:val="22"/>
          <w:lang w:val="sr-Latn-ME"/>
        </w:rPr>
        <w:t>ekovima, sprovedeno je određivanje genotipa na plazmatskim izolatima HIV-1 od svih pacijenata sa potvrđenim HIV RNK &gt; 400 kopija/</w:t>
      </w:r>
      <w:r w:rsidR="00AE4815" w:rsidRPr="006927C1">
        <w:rPr>
          <w:bCs/>
          <w:sz w:val="22"/>
          <w:szCs w:val="22"/>
          <w:lang w:val="sr-Latn-ME"/>
        </w:rPr>
        <w:t>ml</w:t>
      </w:r>
      <w:r w:rsidRPr="006927C1">
        <w:rPr>
          <w:bCs/>
          <w:sz w:val="22"/>
          <w:szCs w:val="22"/>
          <w:lang w:val="sr-Latn-ME"/>
        </w:rPr>
        <w:t xml:space="preserve"> u 48., 96. ili 144. ned</w:t>
      </w:r>
      <w:r w:rsidR="00692EB4" w:rsidRPr="006927C1">
        <w:rPr>
          <w:bCs/>
          <w:sz w:val="22"/>
          <w:szCs w:val="22"/>
          <w:lang w:val="sr-Latn-ME"/>
        </w:rPr>
        <w:t>j</w:t>
      </w:r>
      <w:r w:rsidRPr="006927C1">
        <w:rPr>
          <w:bCs/>
          <w:sz w:val="22"/>
          <w:szCs w:val="22"/>
          <w:lang w:val="sr-Latn-ME"/>
        </w:rPr>
        <w:t>elji ili u vr</w:t>
      </w:r>
      <w:r w:rsidR="00692EB4" w:rsidRPr="006927C1">
        <w:rPr>
          <w:bCs/>
          <w:sz w:val="22"/>
          <w:szCs w:val="22"/>
          <w:lang w:val="sr-Latn-ME"/>
        </w:rPr>
        <w:t>ij</w:t>
      </w:r>
      <w:r w:rsidRPr="006927C1">
        <w:rPr>
          <w:bCs/>
          <w:sz w:val="22"/>
          <w:szCs w:val="22"/>
          <w:lang w:val="sr-Latn-ME"/>
        </w:rPr>
        <w:t>eme prevremenog prekida prim</w:t>
      </w:r>
      <w:r w:rsidR="00692EB4" w:rsidRPr="006927C1">
        <w:rPr>
          <w:bCs/>
          <w:sz w:val="22"/>
          <w:szCs w:val="22"/>
          <w:lang w:val="sr-Latn-ME"/>
        </w:rPr>
        <w:t>j</w:t>
      </w:r>
      <w:r w:rsidRPr="006927C1">
        <w:rPr>
          <w:bCs/>
          <w:sz w:val="22"/>
          <w:szCs w:val="22"/>
          <w:lang w:val="sr-Latn-ME"/>
        </w:rPr>
        <w:t>ene ispitivanog l</w:t>
      </w:r>
      <w:r w:rsidR="00692EB4" w:rsidRPr="006927C1">
        <w:rPr>
          <w:bCs/>
          <w:sz w:val="22"/>
          <w:szCs w:val="22"/>
          <w:lang w:val="sr-Latn-ME"/>
        </w:rPr>
        <w:t>ij</w:t>
      </w:r>
      <w:r w:rsidRPr="006927C1">
        <w:rPr>
          <w:bCs/>
          <w:sz w:val="22"/>
          <w:szCs w:val="22"/>
          <w:lang w:val="sr-Latn-ME"/>
        </w:rPr>
        <w:t>eka. Počevši od 144. ned</w:t>
      </w:r>
      <w:r w:rsidR="00692EB4" w:rsidRPr="006927C1">
        <w:rPr>
          <w:bCs/>
          <w:sz w:val="22"/>
          <w:szCs w:val="22"/>
          <w:lang w:val="sr-Latn-ME"/>
        </w:rPr>
        <w:t>j</w:t>
      </w:r>
      <w:r w:rsidRPr="006927C1">
        <w:rPr>
          <w:bCs/>
          <w:sz w:val="22"/>
          <w:szCs w:val="22"/>
          <w:lang w:val="sr-Latn-ME"/>
        </w:rPr>
        <w:t xml:space="preserve">elje: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 xml:space="preserve"> • Mutacija M184V/I razvila se u 2/19 (10,5%) izolata analiziranih kod pacijenata iz grupe emtricitabin/tenofovir dizoproksil/efavirenz, kao i u 10/29 (34,5%) izolata analiziranih kod pacijenata iz grupe lamivudin/zidovudin/efavirenz (p-vr</w:t>
      </w:r>
      <w:r w:rsidR="00692EB4" w:rsidRPr="006927C1">
        <w:rPr>
          <w:bCs/>
          <w:sz w:val="22"/>
          <w:szCs w:val="22"/>
          <w:lang w:val="sr-Latn-ME"/>
        </w:rPr>
        <w:t>ij</w:t>
      </w:r>
      <w:r w:rsidRPr="006927C1">
        <w:rPr>
          <w:bCs/>
          <w:sz w:val="22"/>
          <w:szCs w:val="22"/>
          <w:lang w:val="sr-Latn-ME"/>
        </w:rPr>
        <w:t xml:space="preserve">ednost &lt; 0,05, </w:t>
      </w:r>
      <w:r w:rsidRPr="006927C1">
        <w:rPr>
          <w:bCs/>
          <w:i/>
          <w:sz w:val="22"/>
          <w:szCs w:val="22"/>
          <w:lang w:val="sr-Latn-ME"/>
        </w:rPr>
        <w:t>Fisher</w:t>
      </w:r>
      <w:r w:rsidRPr="006927C1">
        <w:rPr>
          <w:bCs/>
          <w:sz w:val="22"/>
          <w:szCs w:val="22"/>
          <w:lang w:val="sr-Latn-ME"/>
        </w:rPr>
        <w:t xml:space="preserve">-ov egzaktni test koji poredi grupu koja je primala emtricitabin+tenofovir dizoproksil sa grupom lamivudin/zidovudin među svim ispitanicima). </w:t>
      </w:r>
    </w:p>
    <w:p w:rsidR="00031462" w:rsidRPr="006927C1" w:rsidRDefault="00031462">
      <w:pPr>
        <w:tabs>
          <w:tab w:val="left" w:pos="540"/>
          <w:tab w:val="left" w:pos="569"/>
        </w:tabs>
        <w:jc w:val="both"/>
        <w:rPr>
          <w:bCs/>
          <w:sz w:val="22"/>
          <w:szCs w:val="22"/>
          <w:lang w:val="sr-Latn-ME"/>
        </w:rPr>
      </w:pPr>
      <w:r w:rsidRPr="006927C1">
        <w:rPr>
          <w:bCs/>
          <w:sz w:val="22"/>
          <w:szCs w:val="22"/>
          <w:lang w:val="sr-Latn-ME"/>
        </w:rPr>
        <w:t xml:space="preserve">• Nijedan analizirani virus nije sadržao mutaciju K65R ili K70E. </w:t>
      </w:r>
    </w:p>
    <w:p w:rsidR="00031462" w:rsidRPr="006927C1" w:rsidRDefault="00031462">
      <w:pPr>
        <w:tabs>
          <w:tab w:val="left" w:pos="540"/>
          <w:tab w:val="left" w:pos="569"/>
        </w:tabs>
        <w:jc w:val="both"/>
        <w:rPr>
          <w:bCs/>
          <w:sz w:val="22"/>
          <w:szCs w:val="22"/>
          <w:lang w:val="sr-Latn-ME"/>
        </w:rPr>
      </w:pPr>
      <w:r w:rsidRPr="006927C1">
        <w:rPr>
          <w:bCs/>
          <w:sz w:val="22"/>
          <w:szCs w:val="22"/>
          <w:lang w:val="sr-Latn-ME"/>
        </w:rPr>
        <w:t>• Genotipska rezistencija na efavirenz, prevashodno mutacija K103N, razvila se kod virusa u 13/19 (68%) pacijenata u grupi s</w:t>
      </w:r>
      <w:r w:rsidR="00692EB4" w:rsidRPr="006927C1">
        <w:rPr>
          <w:bCs/>
          <w:sz w:val="22"/>
          <w:szCs w:val="22"/>
          <w:lang w:val="sr-Latn-ME"/>
        </w:rPr>
        <w:t>a</w:t>
      </w:r>
      <w:r w:rsidRPr="006927C1">
        <w:rPr>
          <w:bCs/>
          <w:sz w:val="22"/>
          <w:szCs w:val="22"/>
          <w:lang w:val="sr-Latn-ME"/>
        </w:rPr>
        <w:t xml:space="preserve"> emtricitabin/tenofovir dizoproksil/efavirenz, kao i kod virusa u 21/29 (72%) pacijenata u komparativnoj grupi.</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i/>
          <w:sz w:val="22"/>
          <w:szCs w:val="22"/>
          <w:lang w:val="sr-Latn-ME"/>
        </w:rPr>
        <w:t xml:space="preserve">In vivo – preekspoziciona profilaksa: </w:t>
      </w:r>
      <w:r w:rsidRPr="006927C1">
        <w:rPr>
          <w:bCs/>
          <w:sz w:val="22"/>
          <w:szCs w:val="22"/>
          <w:lang w:val="sr-Latn-ME"/>
        </w:rPr>
        <w:t>Uzorci plazme ispitanika koji ni</w:t>
      </w:r>
      <w:r w:rsidR="00A718BB" w:rsidRPr="006927C1">
        <w:rPr>
          <w:bCs/>
          <w:sz w:val="22"/>
          <w:szCs w:val="22"/>
          <w:lang w:val="sr-Latn-ME"/>
        </w:rPr>
        <w:t>je</w:t>
      </w:r>
      <w:r w:rsidRPr="006927C1">
        <w:rPr>
          <w:bCs/>
          <w:sz w:val="22"/>
          <w:szCs w:val="22"/>
          <w:lang w:val="sr-Latn-ME"/>
        </w:rPr>
        <w:t>su bili inficirani virusom HIV-1 iz 2 kliničke studije, iPrEx i Partners PrEP, analizirani su na 4 varijante virusa HIV-1 sa ekspresijom supstitucije aminokiselina (tj. K65R, K70E, M184V i M184I) koje potencijalno nose rezistenciju na tenofovir ili emtricitabin. U kliničkoj studiji iPrEx ni</w:t>
      </w:r>
      <w:r w:rsidR="00A718BB" w:rsidRPr="006927C1">
        <w:rPr>
          <w:bCs/>
          <w:sz w:val="22"/>
          <w:szCs w:val="22"/>
          <w:lang w:val="sr-Latn-ME"/>
        </w:rPr>
        <w:t>je</w:t>
      </w:r>
      <w:r w:rsidRPr="006927C1">
        <w:rPr>
          <w:bCs/>
          <w:sz w:val="22"/>
          <w:szCs w:val="22"/>
          <w:lang w:val="sr-Latn-ME"/>
        </w:rPr>
        <w:t>su bile otkrivene varijante virusa HIV-1 sa ekspresijom K65R, K70E, M184V ili M184I u vr</w:t>
      </w:r>
      <w:r w:rsidR="00692EB4" w:rsidRPr="006927C1">
        <w:rPr>
          <w:bCs/>
          <w:sz w:val="22"/>
          <w:szCs w:val="22"/>
          <w:lang w:val="sr-Latn-ME"/>
        </w:rPr>
        <w:t>ij</w:t>
      </w:r>
      <w:r w:rsidRPr="006927C1">
        <w:rPr>
          <w:bCs/>
          <w:sz w:val="22"/>
          <w:szCs w:val="22"/>
          <w:lang w:val="sr-Latn-ME"/>
        </w:rPr>
        <w:t>eme serokonverzije kod ispitanika koji su se inficirali virusom HIV-1 nakon uključivanja u studiju. Kod 3 od 10 ispitanika koji su pri uključenju u studiju imali akutnu infekciju virusom HIV, mutacije M184I i M184V bile su otkrivene u virusu HIV-a kod 2 od 2 ispitanika u grupi koja je primala l</w:t>
      </w:r>
      <w:r w:rsidR="00692EB4" w:rsidRPr="006927C1">
        <w:rPr>
          <w:bCs/>
          <w:sz w:val="22"/>
          <w:szCs w:val="22"/>
          <w:lang w:val="sr-Latn-ME"/>
        </w:rPr>
        <w:t>ij</w:t>
      </w:r>
      <w:r w:rsidRPr="006927C1">
        <w:rPr>
          <w:bCs/>
          <w:sz w:val="22"/>
          <w:szCs w:val="22"/>
          <w:lang w:val="sr-Latn-ME"/>
        </w:rPr>
        <w:t>ek Gilestra Duo i kod 1 od 8 ispitanika u grupi koja je primala placebo.</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U kliničkoj studiji Partners PrEP, ni</w:t>
      </w:r>
      <w:r w:rsidR="00A718BB" w:rsidRPr="006927C1">
        <w:rPr>
          <w:bCs/>
          <w:sz w:val="22"/>
          <w:szCs w:val="22"/>
          <w:lang w:val="sr-Latn-ME"/>
        </w:rPr>
        <w:t>je</w:t>
      </w:r>
      <w:r w:rsidRPr="006927C1">
        <w:rPr>
          <w:bCs/>
          <w:sz w:val="22"/>
          <w:szCs w:val="22"/>
          <w:lang w:val="sr-Latn-ME"/>
        </w:rPr>
        <w:t>su bile otkrivene varijante virusa HIV-1 sa ekspresijom K65R, K70E, M184V ili M184I u vr</w:t>
      </w:r>
      <w:r w:rsidR="00692EB4" w:rsidRPr="006927C1">
        <w:rPr>
          <w:bCs/>
          <w:sz w:val="22"/>
          <w:szCs w:val="22"/>
          <w:lang w:val="sr-Latn-ME"/>
        </w:rPr>
        <w:t>ij</w:t>
      </w:r>
      <w:r w:rsidRPr="006927C1">
        <w:rPr>
          <w:bCs/>
          <w:sz w:val="22"/>
          <w:szCs w:val="22"/>
          <w:lang w:val="sr-Latn-ME"/>
        </w:rPr>
        <w:t>eme serokonverzije među ispitanicima koji su se inficirali virusom HIV-1 tokom studije. Kod 2 od 14 ispitanika koji su imali akutnu HIV-infekciju pri uključenju u studiju, mutacija K65R bila je otkrivena u HIV- u kod 1 od 5 ispitanika u grupi koja je primala tenofovir dizoproksil u dozi od 245 mg, a mutacija M184V (povezana sa rezistencijom na emtricitabin) bila je otkrivena u HIV-u kod 1 od 3 ispitanika u grupi koja je primala l</w:t>
      </w:r>
      <w:r w:rsidR="00692EB4" w:rsidRPr="006927C1">
        <w:rPr>
          <w:bCs/>
          <w:sz w:val="22"/>
          <w:szCs w:val="22"/>
          <w:lang w:val="sr-Latn-ME"/>
        </w:rPr>
        <w:t>ij</w:t>
      </w:r>
      <w:r w:rsidRPr="006927C1">
        <w:rPr>
          <w:bCs/>
          <w:sz w:val="22"/>
          <w:szCs w:val="22"/>
          <w:lang w:val="sr-Latn-ME"/>
        </w:rPr>
        <w:t>ek Gilestra Duo.</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u w:val="single"/>
          <w:lang w:val="sr-Latn-ME"/>
        </w:rPr>
        <w:t>Klinički podaci:</w:t>
      </w:r>
    </w:p>
    <w:p w:rsidR="00A718BB" w:rsidRPr="006927C1" w:rsidRDefault="00A718BB">
      <w:pPr>
        <w:tabs>
          <w:tab w:val="left" w:pos="540"/>
          <w:tab w:val="left" w:pos="569"/>
        </w:tabs>
        <w:jc w:val="both"/>
        <w:rPr>
          <w:bCs/>
          <w:i/>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i/>
          <w:sz w:val="22"/>
          <w:szCs w:val="22"/>
          <w:lang w:val="sr-Latn-ME"/>
        </w:rPr>
        <w:t>L</w:t>
      </w:r>
      <w:r w:rsidR="00692EB4" w:rsidRPr="006927C1">
        <w:rPr>
          <w:bCs/>
          <w:i/>
          <w:sz w:val="22"/>
          <w:szCs w:val="22"/>
          <w:lang w:val="sr-Latn-ME"/>
        </w:rPr>
        <w:t>ij</w:t>
      </w:r>
      <w:r w:rsidRPr="006927C1">
        <w:rPr>
          <w:bCs/>
          <w:i/>
          <w:sz w:val="22"/>
          <w:szCs w:val="22"/>
          <w:lang w:val="sr-Latn-ME"/>
        </w:rPr>
        <w:t xml:space="preserve">ečenje infekcije virusom HIV-1: </w:t>
      </w:r>
      <w:r w:rsidRPr="006927C1">
        <w:rPr>
          <w:bCs/>
          <w:sz w:val="22"/>
          <w:szCs w:val="22"/>
          <w:lang w:val="sr-Latn-ME"/>
        </w:rPr>
        <w:t>U otvorenom randomiziranom kliničkom ispitivanju (GS-01-934), pacijenti inficirani virusom HIV-1 koji pr</w:t>
      </w:r>
      <w:r w:rsidR="00692EB4" w:rsidRPr="006927C1">
        <w:rPr>
          <w:bCs/>
          <w:sz w:val="22"/>
          <w:szCs w:val="22"/>
          <w:lang w:val="sr-Latn-ME"/>
        </w:rPr>
        <w:t>ij</w:t>
      </w:r>
      <w:r w:rsidRPr="006927C1">
        <w:rPr>
          <w:bCs/>
          <w:sz w:val="22"/>
          <w:szCs w:val="22"/>
          <w:lang w:val="sr-Latn-ME"/>
        </w:rPr>
        <w:t>e ni</w:t>
      </w:r>
      <w:r w:rsidR="00A718BB" w:rsidRPr="006927C1">
        <w:rPr>
          <w:bCs/>
          <w:sz w:val="22"/>
          <w:szCs w:val="22"/>
          <w:lang w:val="sr-Latn-ME"/>
        </w:rPr>
        <w:t>je</w:t>
      </w:r>
      <w:r w:rsidRPr="006927C1">
        <w:rPr>
          <w:bCs/>
          <w:sz w:val="22"/>
          <w:szCs w:val="22"/>
          <w:lang w:val="sr-Latn-ME"/>
        </w:rPr>
        <w:t>su bili l</w:t>
      </w:r>
      <w:r w:rsidR="00692EB4" w:rsidRPr="006927C1">
        <w:rPr>
          <w:bCs/>
          <w:sz w:val="22"/>
          <w:szCs w:val="22"/>
          <w:lang w:val="sr-Latn-ME"/>
        </w:rPr>
        <w:t>ij</w:t>
      </w:r>
      <w:r w:rsidRPr="006927C1">
        <w:rPr>
          <w:bCs/>
          <w:sz w:val="22"/>
          <w:szCs w:val="22"/>
          <w:lang w:val="sr-Latn-ME"/>
        </w:rPr>
        <w:t>ečeni antiretrovirusnom terapijom primali su emtricitabin, tenofovir dizoproksil i efavirenz (n=255) jednom dnevno, ili fiksnu kombinaciju lamivudina i zidovudina dva puta dnevno i efavirenz jednom dnevno (n=254). Pacijentima u grupi emtricitabin i tenofovir dizoproksil davana je kombinacija emtricitabin/tenofovir dizoproksil i efavirenz od 96. do 144. ned</w:t>
      </w:r>
      <w:r w:rsidR="00692EB4" w:rsidRPr="006927C1">
        <w:rPr>
          <w:bCs/>
          <w:sz w:val="22"/>
          <w:szCs w:val="22"/>
          <w:lang w:val="sr-Latn-ME"/>
        </w:rPr>
        <w:t>j</w:t>
      </w:r>
      <w:r w:rsidRPr="006927C1">
        <w:rPr>
          <w:bCs/>
          <w:sz w:val="22"/>
          <w:szCs w:val="22"/>
          <w:lang w:val="sr-Latn-ME"/>
        </w:rPr>
        <w:t>elje. Na početku su randomizovane grupe</w:t>
      </w:r>
      <w:r w:rsidR="00692EB4" w:rsidRPr="006927C1">
        <w:rPr>
          <w:bCs/>
          <w:sz w:val="22"/>
          <w:szCs w:val="22"/>
          <w:lang w:val="sr-Latn-ME"/>
        </w:rPr>
        <w:t xml:space="preserve"> imale slič</w:t>
      </w:r>
      <w:r w:rsidRPr="006927C1">
        <w:rPr>
          <w:bCs/>
          <w:sz w:val="22"/>
          <w:szCs w:val="22"/>
          <w:lang w:val="sr-Latn-ME"/>
        </w:rPr>
        <w:t>nu srednju vr</w:t>
      </w:r>
      <w:r w:rsidR="00692EB4" w:rsidRPr="006927C1">
        <w:rPr>
          <w:bCs/>
          <w:sz w:val="22"/>
          <w:szCs w:val="22"/>
          <w:lang w:val="sr-Latn-ME"/>
        </w:rPr>
        <w:t>ij</w:t>
      </w:r>
      <w:r w:rsidRPr="006927C1">
        <w:rPr>
          <w:bCs/>
          <w:sz w:val="22"/>
          <w:szCs w:val="22"/>
          <w:lang w:val="sr-Latn-ME"/>
        </w:rPr>
        <w:t>ednost HIV-1 RNK u plazmi (5,02 i 5,00 log</w:t>
      </w:r>
      <w:r w:rsidRPr="006927C1">
        <w:rPr>
          <w:bCs/>
          <w:sz w:val="22"/>
          <w:szCs w:val="22"/>
          <w:vertAlign w:val="subscript"/>
          <w:lang w:val="sr-Latn-ME"/>
        </w:rPr>
        <w:t>10</w:t>
      </w:r>
      <w:r w:rsidRPr="006927C1">
        <w:rPr>
          <w:bCs/>
          <w:sz w:val="22"/>
          <w:szCs w:val="22"/>
          <w:lang w:val="sr-Latn-ME"/>
        </w:rPr>
        <w:t xml:space="preserve"> kopija/</w:t>
      </w:r>
      <w:r w:rsidR="00AE4815" w:rsidRPr="006927C1">
        <w:rPr>
          <w:bCs/>
          <w:sz w:val="22"/>
          <w:szCs w:val="22"/>
          <w:lang w:val="sr-Latn-ME"/>
        </w:rPr>
        <w:t>ml</w:t>
      </w:r>
      <w:r w:rsidRPr="006927C1">
        <w:rPr>
          <w:bCs/>
          <w:sz w:val="22"/>
          <w:szCs w:val="22"/>
          <w:lang w:val="sr-Latn-ME"/>
        </w:rPr>
        <w:t>) i broj CD4 ćelija (233 i 241 ćelija/mm</w:t>
      </w:r>
      <w:r w:rsidRPr="006927C1">
        <w:rPr>
          <w:bCs/>
          <w:sz w:val="22"/>
          <w:szCs w:val="22"/>
          <w:vertAlign w:val="superscript"/>
          <w:lang w:val="sr-Latn-ME"/>
        </w:rPr>
        <w:t>3</w:t>
      </w:r>
      <w:r w:rsidRPr="006927C1">
        <w:rPr>
          <w:bCs/>
          <w:sz w:val="22"/>
          <w:szCs w:val="22"/>
          <w:lang w:val="sr-Latn-ME"/>
        </w:rPr>
        <w:t>).</w:t>
      </w:r>
    </w:p>
    <w:p w:rsidR="00031462" w:rsidRPr="006927C1" w:rsidRDefault="00031462">
      <w:pPr>
        <w:tabs>
          <w:tab w:val="left" w:pos="540"/>
          <w:tab w:val="left" w:pos="569"/>
        </w:tabs>
        <w:jc w:val="both"/>
        <w:rPr>
          <w:bCs/>
          <w:sz w:val="22"/>
          <w:szCs w:val="22"/>
          <w:lang w:val="sr-Latn-ME"/>
        </w:rPr>
      </w:pPr>
      <w:r w:rsidRPr="006927C1">
        <w:rPr>
          <w:bCs/>
          <w:sz w:val="22"/>
          <w:szCs w:val="22"/>
          <w:lang w:val="sr-Latn-ME"/>
        </w:rPr>
        <w:t>Primarni parametar praćenja efikasnosti u ovoj studiji bio je postizanje i održavanje potvrđene HIV-1 RNK koncentracije &lt; 400 kopija/</w:t>
      </w:r>
      <w:r w:rsidR="00AE4815" w:rsidRPr="006927C1">
        <w:rPr>
          <w:bCs/>
          <w:sz w:val="22"/>
          <w:szCs w:val="22"/>
          <w:lang w:val="sr-Latn-ME"/>
        </w:rPr>
        <w:t>ml</w:t>
      </w:r>
      <w:r w:rsidRPr="006927C1">
        <w:rPr>
          <w:bCs/>
          <w:sz w:val="22"/>
          <w:szCs w:val="22"/>
          <w:lang w:val="sr-Latn-ME"/>
        </w:rPr>
        <w:t xml:space="preserve"> tokom 48 ned</w:t>
      </w:r>
      <w:r w:rsidR="00692EB4" w:rsidRPr="006927C1">
        <w:rPr>
          <w:bCs/>
          <w:sz w:val="22"/>
          <w:szCs w:val="22"/>
          <w:lang w:val="sr-Latn-ME"/>
        </w:rPr>
        <w:t>j</w:t>
      </w:r>
      <w:r w:rsidRPr="006927C1">
        <w:rPr>
          <w:bCs/>
          <w:sz w:val="22"/>
          <w:szCs w:val="22"/>
          <w:lang w:val="sr-Latn-ME"/>
        </w:rPr>
        <w:t>elja. Sekundarne analize efikasnosti tokom 144 ned</w:t>
      </w:r>
      <w:r w:rsidR="00692EB4" w:rsidRPr="006927C1">
        <w:rPr>
          <w:bCs/>
          <w:sz w:val="22"/>
          <w:szCs w:val="22"/>
          <w:lang w:val="sr-Latn-ME"/>
        </w:rPr>
        <w:t>jelje</w:t>
      </w:r>
      <w:r w:rsidRPr="006927C1">
        <w:rPr>
          <w:bCs/>
          <w:sz w:val="22"/>
          <w:szCs w:val="22"/>
          <w:lang w:val="sr-Latn-ME"/>
        </w:rPr>
        <w:t xml:space="preserve"> uključivale </w:t>
      </w:r>
      <w:r w:rsidR="00692EB4" w:rsidRPr="006927C1">
        <w:rPr>
          <w:bCs/>
          <w:sz w:val="22"/>
          <w:szCs w:val="22"/>
          <w:lang w:val="sr-Latn-ME"/>
        </w:rPr>
        <w:t>su udi</w:t>
      </w:r>
      <w:r w:rsidRPr="006927C1">
        <w:rPr>
          <w:bCs/>
          <w:sz w:val="22"/>
          <w:szCs w:val="22"/>
          <w:lang w:val="sr-Latn-ME"/>
        </w:rPr>
        <w:t>o pacijenata sa HIV-1 RNK koncentracijama &lt; 400 ili &lt; 50 kopija/</w:t>
      </w:r>
      <w:r w:rsidR="00AE4815" w:rsidRPr="006927C1">
        <w:rPr>
          <w:bCs/>
          <w:sz w:val="22"/>
          <w:szCs w:val="22"/>
          <w:lang w:val="sr-Latn-ME"/>
        </w:rPr>
        <w:t>ml</w:t>
      </w:r>
      <w:r w:rsidRPr="006927C1">
        <w:rPr>
          <w:bCs/>
          <w:sz w:val="22"/>
          <w:szCs w:val="22"/>
          <w:lang w:val="sr-Latn-ME"/>
        </w:rPr>
        <w:t xml:space="preserve"> i prom</w:t>
      </w:r>
      <w:r w:rsidR="00692EB4" w:rsidRPr="006927C1">
        <w:rPr>
          <w:bCs/>
          <w:sz w:val="22"/>
          <w:szCs w:val="22"/>
          <w:lang w:val="sr-Latn-ME"/>
        </w:rPr>
        <w:t>j</w:t>
      </w:r>
      <w:r w:rsidRPr="006927C1">
        <w:rPr>
          <w:bCs/>
          <w:sz w:val="22"/>
          <w:szCs w:val="22"/>
          <w:lang w:val="sr-Latn-ME"/>
        </w:rPr>
        <w:t>enu broja CD4 ćelija u odnosu na početn</w:t>
      </w:r>
      <w:r w:rsidR="00A718BB" w:rsidRPr="006927C1">
        <w:rPr>
          <w:bCs/>
          <w:sz w:val="22"/>
          <w:szCs w:val="22"/>
          <w:lang w:val="sr-Latn-ME"/>
        </w:rPr>
        <w:t>e</w:t>
      </w:r>
      <w:r w:rsidRPr="006927C1">
        <w:rPr>
          <w:bCs/>
          <w:sz w:val="22"/>
          <w:szCs w:val="22"/>
          <w:lang w:val="sr-Latn-ME"/>
        </w:rPr>
        <w:t xml:space="preserve"> vr</w:t>
      </w:r>
      <w:r w:rsidR="00692EB4" w:rsidRPr="006927C1">
        <w:rPr>
          <w:bCs/>
          <w:sz w:val="22"/>
          <w:szCs w:val="22"/>
          <w:lang w:val="sr-Latn-ME"/>
        </w:rPr>
        <w:t>ij</w:t>
      </w:r>
      <w:r w:rsidRPr="006927C1">
        <w:rPr>
          <w:bCs/>
          <w:sz w:val="22"/>
          <w:szCs w:val="22"/>
          <w:lang w:val="sr-Latn-ME"/>
        </w:rPr>
        <w:t>ednost</w:t>
      </w:r>
      <w:r w:rsidR="00A718BB" w:rsidRPr="006927C1">
        <w:rPr>
          <w:bCs/>
          <w:sz w:val="22"/>
          <w:szCs w:val="22"/>
          <w:lang w:val="sr-Latn-ME"/>
        </w:rPr>
        <w:t>i</w:t>
      </w:r>
      <w:r w:rsidRPr="006927C1">
        <w:rPr>
          <w:bCs/>
          <w:sz w:val="22"/>
          <w:szCs w:val="22"/>
          <w:lang w:val="sr-Latn-ME"/>
        </w:rPr>
        <w:t xml:space="preserve">.  </w:t>
      </w:r>
    </w:p>
    <w:p w:rsidR="00031462" w:rsidRPr="006927C1" w:rsidRDefault="00031462">
      <w:pPr>
        <w:tabs>
          <w:tab w:val="left" w:pos="540"/>
          <w:tab w:val="left" w:pos="569"/>
        </w:tabs>
        <w:jc w:val="both"/>
        <w:rPr>
          <w:bCs/>
          <w:sz w:val="22"/>
          <w:szCs w:val="22"/>
          <w:lang w:val="sr-Latn-ME"/>
        </w:rPr>
      </w:pPr>
    </w:p>
    <w:p w:rsidR="00031462" w:rsidRPr="006927C1" w:rsidRDefault="00031462">
      <w:pPr>
        <w:tabs>
          <w:tab w:val="left" w:pos="540"/>
          <w:tab w:val="left" w:pos="569"/>
        </w:tabs>
        <w:jc w:val="both"/>
        <w:rPr>
          <w:bCs/>
          <w:sz w:val="22"/>
          <w:szCs w:val="22"/>
          <w:lang w:val="sr-Latn-ME"/>
        </w:rPr>
      </w:pPr>
      <w:r w:rsidRPr="006927C1">
        <w:rPr>
          <w:bCs/>
          <w:sz w:val="22"/>
          <w:szCs w:val="22"/>
          <w:lang w:val="sr-Latn-ME"/>
        </w:rPr>
        <w:t>Podaci primarnog parametra praćenja efikasnosti nakon 48 ned</w:t>
      </w:r>
      <w:r w:rsidR="00692EB4" w:rsidRPr="006927C1">
        <w:rPr>
          <w:bCs/>
          <w:sz w:val="22"/>
          <w:szCs w:val="22"/>
          <w:lang w:val="sr-Latn-ME"/>
        </w:rPr>
        <w:t>j</w:t>
      </w:r>
      <w:r w:rsidRPr="006927C1">
        <w:rPr>
          <w:bCs/>
          <w:sz w:val="22"/>
          <w:szCs w:val="22"/>
          <w:lang w:val="sr-Latn-ME"/>
        </w:rPr>
        <w:t>elja pokazali su da je kombinacija emtricitabina, tenofovir dizoproksila i efavirenza imala veće antivirusno dejstvo u poredjenju s</w:t>
      </w:r>
      <w:r w:rsidR="00692EB4" w:rsidRPr="006927C1">
        <w:rPr>
          <w:bCs/>
          <w:sz w:val="22"/>
          <w:szCs w:val="22"/>
          <w:lang w:val="sr-Latn-ME"/>
        </w:rPr>
        <w:t>a</w:t>
      </w:r>
      <w:r w:rsidRPr="006927C1">
        <w:rPr>
          <w:bCs/>
          <w:sz w:val="22"/>
          <w:szCs w:val="22"/>
          <w:lang w:val="sr-Latn-ME"/>
        </w:rPr>
        <w:t xml:space="preserve"> fiksnom kombinacijom lamivudina i zidovudina sa efavirenzom, kako je pokazano u Tabeli 4. Podaci sekundarnog parametra praćenja efikasnosti nakon 144 ned</w:t>
      </w:r>
      <w:r w:rsidR="00692EB4" w:rsidRPr="006927C1">
        <w:rPr>
          <w:bCs/>
          <w:sz w:val="22"/>
          <w:szCs w:val="22"/>
          <w:lang w:val="sr-Latn-ME"/>
        </w:rPr>
        <w:t>j</w:t>
      </w:r>
      <w:r w:rsidRPr="006927C1">
        <w:rPr>
          <w:bCs/>
          <w:sz w:val="22"/>
          <w:szCs w:val="22"/>
          <w:lang w:val="sr-Latn-ME"/>
        </w:rPr>
        <w:t xml:space="preserve">elje takođe su prikazani u Tabeli 4.  </w:t>
      </w:r>
    </w:p>
    <w:p w:rsidR="00692EB4" w:rsidRPr="006927C1" w:rsidRDefault="00692EB4">
      <w:pPr>
        <w:tabs>
          <w:tab w:val="left" w:pos="540"/>
          <w:tab w:val="left" w:pos="569"/>
        </w:tabs>
        <w:jc w:val="both"/>
        <w:rPr>
          <w:bCs/>
          <w:sz w:val="22"/>
          <w:szCs w:val="22"/>
          <w:lang w:val="sr-Latn-ME"/>
        </w:rPr>
      </w:pPr>
    </w:p>
    <w:p w:rsidR="00692EB4" w:rsidRPr="006927C1" w:rsidRDefault="00692EB4">
      <w:pPr>
        <w:tabs>
          <w:tab w:val="left" w:pos="540"/>
          <w:tab w:val="left" w:pos="569"/>
        </w:tabs>
        <w:jc w:val="both"/>
        <w:rPr>
          <w:b/>
          <w:bCs/>
          <w:sz w:val="22"/>
          <w:szCs w:val="22"/>
          <w:lang w:val="sr-Latn-ME"/>
        </w:rPr>
      </w:pPr>
      <w:r w:rsidRPr="006927C1">
        <w:rPr>
          <w:b/>
          <w:bCs/>
          <w:sz w:val="22"/>
          <w:szCs w:val="22"/>
          <w:lang w:val="sr-Latn-ME"/>
        </w:rPr>
        <w:t>Tabela 4: Podaci o efikasnosti u 48. i 144. nedjelji iz studije GS-01-934 u kojoj su emtricitabin, tenofovir dizoproksil i efavirenz primjenjivani kod pacijenata sa HIV-1 infekcijom, koji ranije ni</w:t>
      </w:r>
      <w:r w:rsidR="00A718BB" w:rsidRPr="006927C1">
        <w:rPr>
          <w:b/>
          <w:bCs/>
          <w:sz w:val="22"/>
          <w:szCs w:val="22"/>
          <w:lang w:val="sr-Latn-ME"/>
        </w:rPr>
        <w:t>je</w:t>
      </w:r>
      <w:r w:rsidRPr="006927C1">
        <w:rPr>
          <w:b/>
          <w:bCs/>
          <w:sz w:val="22"/>
          <w:szCs w:val="22"/>
          <w:lang w:val="sr-Latn-ME"/>
        </w:rPr>
        <w:t>su bili liječeni antiretrovirusnom terapijom</w:t>
      </w:r>
    </w:p>
    <w:tbl>
      <w:tblPr>
        <w:tblStyle w:val="TableGrid2"/>
        <w:tblW w:w="9072" w:type="dxa"/>
        <w:jc w:val="center"/>
        <w:tblLayout w:type="fixed"/>
        <w:tblLook w:val="04A0" w:firstRow="1" w:lastRow="0" w:firstColumn="1" w:lastColumn="0" w:noHBand="0" w:noVBand="1"/>
      </w:tblPr>
      <w:tblGrid>
        <w:gridCol w:w="1559"/>
        <w:gridCol w:w="1824"/>
        <w:gridCol w:w="2145"/>
        <w:gridCol w:w="2142"/>
        <w:gridCol w:w="1402"/>
      </w:tblGrid>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p>
        </w:tc>
        <w:tc>
          <w:tcPr>
            <w:tcW w:w="3969" w:type="dxa"/>
            <w:gridSpan w:val="2"/>
          </w:tcPr>
          <w:p w:rsidR="00692EB4" w:rsidRPr="006927C1" w:rsidRDefault="00692EB4" w:rsidP="00692EB4">
            <w:pPr>
              <w:tabs>
                <w:tab w:val="left" w:pos="284"/>
              </w:tabs>
              <w:jc w:val="center"/>
              <w:rPr>
                <w:b/>
                <w:sz w:val="22"/>
                <w:szCs w:val="22"/>
                <w:lang w:val="sr-Latn-ME"/>
              </w:rPr>
            </w:pPr>
            <w:r w:rsidRPr="006927C1">
              <w:rPr>
                <w:b/>
                <w:sz w:val="22"/>
                <w:szCs w:val="22"/>
                <w:lang w:val="sr-Latn-ME"/>
              </w:rPr>
              <w:t>GS-01-934</w:t>
            </w:r>
          </w:p>
          <w:p w:rsidR="00692EB4" w:rsidRPr="006927C1" w:rsidRDefault="00692EB4" w:rsidP="00692EB4">
            <w:pPr>
              <w:tabs>
                <w:tab w:val="left" w:pos="284"/>
              </w:tabs>
              <w:jc w:val="center"/>
              <w:rPr>
                <w:b/>
                <w:sz w:val="22"/>
                <w:szCs w:val="22"/>
                <w:lang w:val="sr-Latn-ME"/>
              </w:rPr>
            </w:pPr>
            <w:r w:rsidRPr="006927C1">
              <w:rPr>
                <w:b/>
                <w:sz w:val="22"/>
                <w:szCs w:val="22"/>
                <w:lang w:val="sr-Latn-ME"/>
              </w:rPr>
              <w:t>Liječenje u trajanju od 48 nedjelja</w:t>
            </w:r>
          </w:p>
        </w:tc>
        <w:tc>
          <w:tcPr>
            <w:tcW w:w="3544" w:type="dxa"/>
            <w:gridSpan w:val="2"/>
          </w:tcPr>
          <w:p w:rsidR="00692EB4" w:rsidRPr="006927C1" w:rsidRDefault="00692EB4" w:rsidP="00692EB4">
            <w:pPr>
              <w:tabs>
                <w:tab w:val="left" w:pos="284"/>
              </w:tabs>
              <w:jc w:val="center"/>
              <w:rPr>
                <w:b/>
                <w:sz w:val="22"/>
                <w:szCs w:val="22"/>
                <w:lang w:val="sr-Latn-ME"/>
              </w:rPr>
            </w:pPr>
            <w:r w:rsidRPr="006927C1">
              <w:rPr>
                <w:b/>
                <w:sz w:val="22"/>
                <w:szCs w:val="22"/>
                <w:lang w:val="sr-Latn-ME"/>
              </w:rPr>
              <w:t>GS-01-934</w:t>
            </w:r>
          </w:p>
          <w:p w:rsidR="00692EB4" w:rsidRPr="006927C1" w:rsidRDefault="00692EB4" w:rsidP="00692EB4">
            <w:pPr>
              <w:tabs>
                <w:tab w:val="left" w:pos="284"/>
              </w:tabs>
              <w:jc w:val="center"/>
              <w:rPr>
                <w:b/>
                <w:sz w:val="22"/>
                <w:szCs w:val="22"/>
                <w:lang w:val="sr-Latn-ME"/>
              </w:rPr>
            </w:pPr>
            <w:r w:rsidRPr="006927C1">
              <w:rPr>
                <w:b/>
                <w:sz w:val="22"/>
                <w:szCs w:val="22"/>
                <w:lang w:val="sr-Latn-ME"/>
              </w:rPr>
              <w:lastRenderedPageBreak/>
              <w:t>Liječenje u trajanju od 144 nedjelje</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p>
        </w:tc>
        <w:tc>
          <w:tcPr>
            <w:tcW w:w="1824" w:type="dxa"/>
          </w:tcPr>
          <w:p w:rsidR="00692EB4" w:rsidRPr="006927C1" w:rsidRDefault="00692EB4" w:rsidP="00692EB4">
            <w:pPr>
              <w:tabs>
                <w:tab w:val="left" w:pos="284"/>
              </w:tabs>
              <w:jc w:val="center"/>
              <w:rPr>
                <w:sz w:val="22"/>
                <w:szCs w:val="22"/>
                <w:lang w:val="sr-Latn-ME"/>
              </w:rPr>
            </w:pPr>
            <w:r w:rsidRPr="006927C1">
              <w:rPr>
                <w:sz w:val="22"/>
                <w:szCs w:val="22"/>
                <w:lang w:val="sr-Latn-ME"/>
              </w:rPr>
              <w:t>Emtricitabin+ Tenofovir dizoproksil</w:t>
            </w:r>
          </w:p>
          <w:p w:rsidR="00692EB4" w:rsidRPr="006927C1" w:rsidRDefault="00692EB4" w:rsidP="00692EB4">
            <w:pPr>
              <w:tabs>
                <w:tab w:val="left" w:pos="284"/>
              </w:tabs>
              <w:jc w:val="center"/>
              <w:rPr>
                <w:sz w:val="22"/>
                <w:szCs w:val="22"/>
                <w:lang w:val="sr-Latn-ME"/>
              </w:rPr>
            </w:pPr>
            <w:r w:rsidRPr="006927C1">
              <w:rPr>
                <w:sz w:val="22"/>
                <w:szCs w:val="22"/>
                <w:lang w:val="sr-Latn-ME"/>
              </w:rPr>
              <w:t>+efavirenz</w:t>
            </w:r>
          </w:p>
        </w:tc>
        <w:tc>
          <w:tcPr>
            <w:tcW w:w="2145" w:type="dxa"/>
          </w:tcPr>
          <w:p w:rsidR="00692EB4" w:rsidRPr="006927C1" w:rsidRDefault="00692EB4" w:rsidP="00692EB4">
            <w:pPr>
              <w:tabs>
                <w:tab w:val="left" w:pos="284"/>
              </w:tabs>
              <w:jc w:val="center"/>
              <w:rPr>
                <w:sz w:val="22"/>
                <w:szCs w:val="22"/>
                <w:lang w:val="sr-Latn-ME"/>
              </w:rPr>
            </w:pPr>
            <w:r w:rsidRPr="006927C1">
              <w:rPr>
                <w:sz w:val="22"/>
                <w:szCs w:val="22"/>
                <w:lang w:val="sr-Latn-ME"/>
              </w:rPr>
              <w:t>Lamivudin+ zidovudin+efavirenz</w:t>
            </w:r>
          </w:p>
        </w:tc>
        <w:tc>
          <w:tcPr>
            <w:tcW w:w="2142" w:type="dxa"/>
          </w:tcPr>
          <w:p w:rsidR="00692EB4" w:rsidRPr="006927C1" w:rsidRDefault="00692EB4" w:rsidP="00692EB4">
            <w:pPr>
              <w:tabs>
                <w:tab w:val="left" w:pos="284"/>
              </w:tabs>
              <w:jc w:val="center"/>
              <w:rPr>
                <w:sz w:val="22"/>
                <w:szCs w:val="22"/>
                <w:lang w:val="sr-Latn-ME"/>
              </w:rPr>
            </w:pPr>
            <w:r w:rsidRPr="006927C1">
              <w:rPr>
                <w:sz w:val="22"/>
                <w:szCs w:val="22"/>
                <w:lang w:val="sr-Latn-ME"/>
              </w:rPr>
              <w:t>Emtricitabin+ Tenofovir dizoproksil+efavirenz*</w:t>
            </w:r>
          </w:p>
        </w:tc>
        <w:tc>
          <w:tcPr>
            <w:tcW w:w="1402" w:type="dxa"/>
          </w:tcPr>
          <w:p w:rsidR="00692EB4" w:rsidRPr="006927C1" w:rsidRDefault="00692EB4" w:rsidP="00692EB4">
            <w:pPr>
              <w:tabs>
                <w:tab w:val="left" w:pos="284"/>
              </w:tabs>
              <w:jc w:val="center"/>
              <w:rPr>
                <w:sz w:val="22"/>
                <w:szCs w:val="22"/>
                <w:lang w:val="sr-Latn-ME"/>
              </w:rPr>
            </w:pPr>
            <w:r w:rsidRPr="006927C1">
              <w:rPr>
                <w:sz w:val="22"/>
                <w:szCs w:val="22"/>
                <w:lang w:val="sr-Latn-ME"/>
              </w:rPr>
              <w:t>Lamivudin+ zidovudin+ efavirenz</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HIV-1 RNK &lt; 400 kopija/</w:t>
            </w:r>
            <w:r w:rsidR="00AE4815" w:rsidRPr="006927C1">
              <w:rPr>
                <w:sz w:val="22"/>
                <w:szCs w:val="22"/>
                <w:lang w:val="sr-Latn-ME"/>
              </w:rPr>
              <w:t>ml</w:t>
            </w:r>
            <w:r w:rsidRPr="006927C1">
              <w:rPr>
                <w:sz w:val="22"/>
                <w:szCs w:val="22"/>
                <w:lang w:val="sr-Latn-ME"/>
              </w:rPr>
              <w:t xml:space="preserve"> (TLOVR)</w:t>
            </w:r>
          </w:p>
        </w:tc>
        <w:tc>
          <w:tcPr>
            <w:tcW w:w="1824"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84% (206/244)</w:t>
            </w:r>
          </w:p>
        </w:tc>
        <w:tc>
          <w:tcPr>
            <w:tcW w:w="2145"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73% (177/243)</w:t>
            </w:r>
          </w:p>
        </w:tc>
        <w:tc>
          <w:tcPr>
            <w:tcW w:w="214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71% (161/227)</w:t>
            </w:r>
          </w:p>
        </w:tc>
        <w:tc>
          <w:tcPr>
            <w:tcW w:w="140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58% (133/229)</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p-vrijednost</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0,002**</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0,004**</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 razlike (95%CI)</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11% (4% do 19%)</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13% (4% do 22%)</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HIV-1 RNK &lt; 50 kopija/</w:t>
            </w:r>
            <w:r w:rsidR="00AE4815" w:rsidRPr="006927C1">
              <w:rPr>
                <w:sz w:val="22"/>
                <w:szCs w:val="22"/>
                <w:lang w:val="sr-Latn-ME"/>
              </w:rPr>
              <w:t>ml</w:t>
            </w:r>
            <w:r w:rsidRPr="006927C1">
              <w:rPr>
                <w:sz w:val="22"/>
                <w:szCs w:val="22"/>
                <w:lang w:val="sr-Latn-ME"/>
              </w:rPr>
              <w:t xml:space="preserve"> (TLOVR)</w:t>
            </w:r>
          </w:p>
        </w:tc>
        <w:tc>
          <w:tcPr>
            <w:tcW w:w="1824"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80% (194/244)</w:t>
            </w:r>
          </w:p>
        </w:tc>
        <w:tc>
          <w:tcPr>
            <w:tcW w:w="2145"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70% (171/243)</w:t>
            </w:r>
          </w:p>
        </w:tc>
        <w:tc>
          <w:tcPr>
            <w:tcW w:w="214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64% (146/227)</w:t>
            </w:r>
          </w:p>
        </w:tc>
        <w:tc>
          <w:tcPr>
            <w:tcW w:w="140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56% (130/231)</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p-vrijednost</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0,021**</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0,082**</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 razlike (95%CI)</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9% (2% do 17%)</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8% (-1% do 17%)</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Srednja promjena broja CD4 ćelija od početne vrijednosti (ćelija/mm</w:t>
            </w:r>
            <w:r w:rsidRPr="006927C1">
              <w:rPr>
                <w:sz w:val="22"/>
                <w:szCs w:val="22"/>
                <w:vertAlign w:val="superscript"/>
                <w:lang w:val="sr-Latn-ME"/>
              </w:rPr>
              <w:t>3</w:t>
            </w:r>
            <w:r w:rsidRPr="006927C1">
              <w:rPr>
                <w:sz w:val="22"/>
                <w:szCs w:val="22"/>
                <w:lang w:val="sr-Latn-ME"/>
              </w:rPr>
              <w:t xml:space="preserve"> )</w:t>
            </w:r>
          </w:p>
        </w:tc>
        <w:tc>
          <w:tcPr>
            <w:tcW w:w="1824"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+190</w:t>
            </w:r>
          </w:p>
        </w:tc>
        <w:tc>
          <w:tcPr>
            <w:tcW w:w="2145"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+158</w:t>
            </w:r>
          </w:p>
        </w:tc>
        <w:tc>
          <w:tcPr>
            <w:tcW w:w="214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+312</w:t>
            </w:r>
          </w:p>
        </w:tc>
        <w:tc>
          <w:tcPr>
            <w:tcW w:w="1402" w:type="dxa"/>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+271</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p-vrijednost</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0,002</w:t>
            </w:r>
            <w:r w:rsidRPr="006927C1">
              <w:rPr>
                <w:sz w:val="22"/>
                <w:szCs w:val="22"/>
                <w:vertAlign w:val="superscript"/>
                <w:lang w:val="sr-Latn-ME"/>
              </w:rPr>
              <w:t>a</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0,089</w:t>
            </w:r>
            <w:r w:rsidRPr="006927C1">
              <w:rPr>
                <w:sz w:val="22"/>
                <w:szCs w:val="22"/>
                <w:vertAlign w:val="superscript"/>
                <w:lang w:val="sr-Latn-ME"/>
              </w:rPr>
              <w:t>a</w:t>
            </w:r>
          </w:p>
        </w:tc>
      </w:tr>
      <w:tr w:rsidR="00692EB4" w:rsidRPr="006927C1" w:rsidTr="00692EB4">
        <w:trPr>
          <w:jc w:val="center"/>
        </w:trPr>
        <w:tc>
          <w:tcPr>
            <w:tcW w:w="1559" w:type="dxa"/>
          </w:tcPr>
          <w:p w:rsidR="00692EB4" w:rsidRPr="006927C1" w:rsidRDefault="00692EB4" w:rsidP="00692EB4">
            <w:pPr>
              <w:tabs>
                <w:tab w:val="left" w:pos="284"/>
              </w:tabs>
              <w:rPr>
                <w:sz w:val="22"/>
                <w:szCs w:val="22"/>
                <w:lang w:val="sr-Latn-ME"/>
              </w:rPr>
            </w:pPr>
            <w:r w:rsidRPr="006927C1">
              <w:rPr>
                <w:sz w:val="22"/>
                <w:szCs w:val="22"/>
                <w:lang w:val="sr-Latn-ME"/>
              </w:rPr>
              <w:t>Razlika (95%CI)</w:t>
            </w:r>
          </w:p>
        </w:tc>
        <w:tc>
          <w:tcPr>
            <w:tcW w:w="3969"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32 (9 do 55)</w:t>
            </w:r>
          </w:p>
        </w:tc>
        <w:tc>
          <w:tcPr>
            <w:tcW w:w="3544" w:type="dxa"/>
            <w:gridSpan w:val="2"/>
            <w:vAlign w:val="center"/>
          </w:tcPr>
          <w:p w:rsidR="00692EB4" w:rsidRPr="006927C1" w:rsidRDefault="00692EB4" w:rsidP="00692EB4">
            <w:pPr>
              <w:tabs>
                <w:tab w:val="left" w:pos="284"/>
              </w:tabs>
              <w:jc w:val="center"/>
              <w:rPr>
                <w:sz w:val="22"/>
                <w:szCs w:val="22"/>
                <w:lang w:val="sr-Latn-ME"/>
              </w:rPr>
            </w:pPr>
            <w:r w:rsidRPr="006927C1">
              <w:rPr>
                <w:sz w:val="22"/>
                <w:szCs w:val="22"/>
                <w:lang w:val="sr-Latn-ME"/>
              </w:rPr>
              <w:t>41 (4 do 79)</w:t>
            </w:r>
          </w:p>
        </w:tc>
      </w:tr>
    </w:tbl>
    <w:p w:rsidR="00692EB4" w:rsidRPr="006927C1" w:rsidRDefault="00692EB4" w:rsidP="00692EB4">
      <w:pPr>
        <w:tabs>
          <w:tab w:val="left" w:pos="540"/>
          <w:tab w:val="left" w:pos="569"/>
        </w:tabs>
        <w:jc w:val="both"/>
        <w:rPr>
          <w:bCs/>
          <w:sz w:val="20"/>
          <w:szCs w:val="20"/>
          <w:lang w:val="sr-Latn-ME"/>
        </w:rPr>
      </w:pPr>
      <w:r w:rsidRPr="006927C1">
        <w:rPr>
          <w:bCs/>
          <w:sz w:val="20"/>
          <w:szCs w:val="20"/>
          <w:lang w:val="sr-Latn-ME"/>
        </w:rPr>
        <w:t>* Pacijenti koji su primali emtricitabin, tenofovir dizoproksil i efavirenz, dobijali su kombinaciju emtricitabin i tenofovir dizoproksil plus efavirenz od 96. do 144. nedjelje.</w:t>
      </w:r>
    </w:p>
    <w:p w:rsidR="00692EB4" w:rsidRPr="006927C1" w:rsidRDefault="00692EB4" w:rsidP="00692EB4">
      <w:pPr>
        <w:tabs>
          <w:tab w:val="left" w:pos="540"/>
          <w:tab w:val="left" w:pos="569"/>
        </w:tabs>
        <w:jc w:val="both"/>
        <w:rPr>
          <w:bCs/>
          <w:sz w:val="20"/>
          <w:szCs w:val="20"/>
          <w:lang w:val="sr-Latn-ME"/>
        </w:rPr>
      </w:pPr>
      <w:r w:rsidRPr="006927C1">
        <w:rPr>
          <w:bCs/>
          <w:sz w:val="20"/>
          <w:szCs w:val="20"/>
          <w:lang w:val="sr-Latn-ME"/>
        </w:rPr>
        <w:t xml:space="preserve"> ** p-vrijednost zasnovana na </w:t>
      </w:r>
      <w:r w:rsidRPr="006927C1">
        <w:rPr>
          <w:bCs/>
          <w:i/>
          <w:sz w:val="20"/>
          <w:szCs w:val="20"/>
          <w:lang w:val="sr-Latn-ME"/>
        </w:rPr>
        <w:t>Cochran-Mantel-Haenszel-</w:t>
      </w:r>
      <w:r w:rsidRPr="006927C1">
        <w:rPr>
          <w:bCs/>
          <w:sz w:val="20"/>
          <w:szCs w:val="20"/>
          <w:lang w:val="sr-Latn-ME"/>
        </w:rPr>
        <w:t xml:space="preserve">ovom testu stratifikovana prema početnom broju CD4 ćelija </w:t>
      </w:r>
    </w:p>
    <w:p w:rsidR="00692EB4" w:rsidRPr="006927C1" w:rsidRDefault="00692EB4" w:rsidP="00692EB4">
      <w:pPr>
        <w:tabs>
          <w:tab w:val="left" w:pos="540"/>
          <w:tab w:val="left" w:pos="569"/>
        </w:tabs>
        <w:jc w:val="both"/>
        <w:rPr>
          <w:bCs/>
          <w:sz w:val="20"/>
          <w:szCs w:val="20"/>
          <w:lang w:val="sr-Latn-ME"/>
        </w:rPr>
      </w:pPr>
      <w:r w:rsidRPr="006927C1">
        <w:rPr>
          <w:bCs/>
          <w:sz w:val="20"/>
          <w:szCs w:val="20"/>
          <w:lang w:val="sr-Latn-ME"/>
        </w:rPr>
        <w:t xml:space="preserve">TLOVR (engl. TLOVR = </w:t>
      </w:r>
      <w:r w:rsidRPr="006927C1">
        <w:rPr>
          <w:bCs/>
          <w:i/>
          <w:sz w:val="20"/>
          <w:szCs w:val="20"/>
          <w:lang w:val="sr-Latn-ME"/>
        </w:rPr>
        <w:t>Time to Loss of Virologic Response</w:t>
      </w:r>
      <w:r w:rsidRPr="006927C1">
        <w:rPr>
          <w:bCs/>
          <w:sz w:val="20"/>
          <w:szCs w:val="20"/>
          <w:lang w:val="sr-Latn-ME"/>
        </w:rPr>
        <w:t>)= vr</w:t>
      </w:r>
      <w:r w:rsidR="00544743" w:rsidRPr="006927C1">
        <w:rPr>
          <w:bCs/>
          <w:sz w:val="20"/>
          <w:szCs w:val="20"/>
          <w:lang w:val="sr-Latn-ME"/>
        </w:rPr>
        <w:t>ij</w:t>
      </w:r>
      <w:r w:rsidRPr="006927C1">
        <w:rPr>
          <w:bCs/>
          <w:sz w:val="20"/>
          <w:szCs w:val="20"/>
          <w:lang w:val="sr-Latn-ME"/>
        </w:rPr>
        <w:t xml:space="preserve">eme do gubitka virološkog odgovora </w:t>
      </w:r>
    </w:p>
    <w:p w:rsidR="00692EB4" w:rsidRPr="006927C1" w:rsidRDefault="00692EB4" w:rsidP="00692EB4">
      <w:pPr>
        <w:tabs>
          <w:tab w:val="left" w:pos="540"/>
          <w:tab w:val="left" w:pos="569"/>
        </w:tabs>
        <w:jc w:val="both"/>
        <w:rPr>
          <w:bCs/>
          <w:sz w:val="20"/>
          <w:szCs w:val="20"/>
          <w:lang w:val="sr-Latn-ME"/>
        </w:rPr>
      </w:pPr>
      <w:r w:rsidRPr="006927C1">
        <w:rPr>
          <w:bCs/>
          <w:sz w:val="20"/>
          <w:szCs w:val="20"/>
          <w:lang w:val="sr-Latn-ME"/>
        </w:rPr>
        <w:t xml:space="preserve">a: </w:t>
      </w:r>
      <w:r w:rsidRPr="006927C1">
        <w:rPr>
          <w:bCs/>
          <w:i/>
          <w:sz w:val="20"/>
          <w:szCs w:val="20"/>
          <w:lang w:val="sr-Latn-ME"/>
        </w:rPr>
        <w:t>Van Elteren</w:t>
      </w:r>
      <w:r w:rsidRPr="006927C1">
        <w:rPr>
          <w:bCs/>
          <w:sz w:val="20"/>
          <w:szCs w:val="20"/>
          <w:lang w:val="sr-Latn-ME"/>
        </w:rPr>
        <w:t>-ov test</w:t>
      </w:r>
    </w:p>
    <w:p w:rsidR="00556CC6" w:rsidRPr="006927C1" w:rsidRDefault="00556CC6" w:rsidP="00692EB4">
      <w:pPr>
        <w:tabs>
          <w:tab w:val="left" w:pos="540"/>
          <w:tab w:val="left" w:pos="569"/>
        </w:tabs>
        <w:jc w:val="both"/>
        <w:rPr>
          <w:bCs/>
          <w:sz w:val="22"/>
          <w:szCs w:val="22"/>
          <w:lang w:val="sr-Latn-ME"/>
        </w:rPr>
      </w:pPr>
    </w:p>
    <w:p w:rsidR="00556CC6" w:rsidRPr="006927C1" w:rsidRDefault="00556CC6" w:rsidP="00556CC6">
      <w:pPr>
        <w:tabs>
          <w:tab w:val="left" w:pos="540"/>
          <w:tab w:val="left" w:pos="569"/>
        </w:tabs>
        <w:jc w:val="both"/>
        <w:rPr>
          <w:bCs/>
          <w:sz w:val="22"/>
          <w:szCs w:val="22"/>
          <w:lang w:val="sr-Latn-ME"/>
        </w:rPr>
      </w:pPr>
      <w:r w:rsidRPr="006927C1">
        <w:rPr>
          <w:bCs/>
          <w:sz w:val="22"/>
          <w:szCs w:val="22"/>
          <w:lang w:val="sr-Latn-ME"/>
        </w:rPr>
        <w:t>U randomizovanoj kliničkoj studiji (M02-418) 190 odraslih osoba, koje ranije ni</w:t>
      </w:r>
      <w:r w:rsidR="00A718BB" w:rsidRPr="006927C1">
        <w:rPr>
          <w:bCs/>
          <w:sz w:val="22"/>
          <w:szCs w:val="22"/>
          <w:lang w:val="sr-Latn-ME"/>
        </w:rPr>
        <w:t>je</w:t>
      </w:r>
      <w:r w:rsidRPr="006927C1">
        <w:rPr>
          <w:bCs/>
          <w:sz w:val="22"/>
          <w:szCs w:val="22"/>
          <w:lang w:val="sr-Latn-ME"/>
        </w:rPr>
        <w:t>su primale antiretrovirusnu terapiju, takođe je bilo liječeno jednom dnevno emtricitabinom i tenofovir dizoproksilom u kombinaciji sa lopinavirom/ritonavirom primjenjivanoj jednom ili dvaput dnevno. U 48. nedjelji je 70% odnosno 64% pacijenata pokazalo HIV-1 RNK &lt; 50 kopija/</w:t>
      </w:r>
      <w:r w:rsidR="00AE4815" w:rsidRPr="006927C1">
        <w:rPr>
          <w:bCs/>
          <w:sz w:val="22"/>
          <w:szCs w:val="22"/>
          <w:lang w:val="sr-Latn-ME"/>
        </w:rPr>
        <w:t>ml</w:t>
      </w:r>
      <w:r w:rsidRPr="006927C1">
        <w:rPr>
          <w:bCs/>
          <w:sz w:val="22"/>
          <w:szCs w:val="22"/>
          <w:lang w:val="sr-Latn-ME"/>
        </w:rPr>
        <w:t xml:space="preserve"> uz režim doziranja lopinavira/ritonavira jednom odnosno dva</w:t>
      </w:r>
      <w:r w:rsidR="00A718BB" w:rsidRPr="006927C1">
        <w:rPr>
          <w:bCs/>
          <w:sz w:val="22"/>
          <w:szCs w:val="22"/>
          <w:lang w:val="sr-Latn-ME"/>
        </w:rPr>
        <w:t xml:space="preserve"> </w:t>
      </w:r>
      <w:r w:rsidRPr="006927C1">
        <w:rPr>
          <w:bCs/>
          <w:sz w:val="22"/>
          <w:szCs w:val="22"/>
          <w:lang w:val="sr-Latn-ME"/>
        </w:rPr>
        <w:t>put</w:t>
      </w:r>
      <w:r w:rsidR="00A718BB" w:rsidRPr="006927C1">
        <w:rPr>
          <w:bCs/>
          <w:sz w:val="22"/>
          <w:szCs w:val="22"/>
          <w:lang w:val="sr-Latn-ME"/>
        </w:rPr>
        <w:t>a</w:t>
      </w:r>
      <w:r w:rsidRPr="006927C1">
        <w:rPr>
          <w:bCs/>
          <w:sz w:val="22"/>
          <w:szCs w:val="22"/>
          <w:lang w:val="sr-Latn-ME"/>
        </w:rPr>
        <w:t xml:space="preserve"> dnevno. </w:t>
      </w:r>
    </w:p>
    <w:p w:rsidR="00556CC6" w:rsidRPr="006927C1" w:rsidRDefault="00556CC6" w:rsidP="00556CC6">
      <w:pPr>
        <w:tabs>
          <w:tab w:val="left" w:pos="540"/>
          <w:tab w:val="left" w:pos="569"/>
        </w:tabs>
        <w:jc w:val="both"/>
        <w:rPr>
          <w:bCs/>
          <w:sz w:val="22"/>
          <w:szCs w:val="22"/>
          <w:lang w:val="sr-Latn-ME"/>
        </w:rPr>
      </w:pPr>
      <w:r w:rsidRPr="006927C1">
        <w:rPr>
          <w:bCs/>
          <w:sz w:val="22"/>
          <w:szCs w:val="22"/>
          <w:lang w:val="sr-Latn-ME"/>
        </w:rPr>
        <w:t>Srednje promjene broja CD4 ćelija od početne vrijednosti bile su +185 ćelija/mm</w:t>
      </w:r>
      <w:r w:rsidRPr="006927C1">
        <w:rPr>
          <w:bCs/>
          <w:sz w:val="22"/>
          <w:szCs w:val="22"/>
          <w:vertAlign w:val="superscript"/>
          <w:lang w:val="sr-Latn-ME"/>
        </w:rPr>
        <w:t>3</w:t>
      </w:r>
      <w:r w:rsidRPr="006927C1">
        <w:rPr>
          <w:bCs/>
          <w:sz w:val="22"/>
          <w:szCs w:val="22"/>
          <w:lang w:val="sr-Latn-ME"/>
        </w:rPr>
        <w:t xml:space="preserve"> odnosno +196 ćelija/mm</w:t>
      </w:r>
      <w:r w:rsidRPr="006927C1">
        <w:rPr>
          <w:bCs/>
          <w:sz w:val="22"/>
          <w:szCs w:val="22"/>
          <w:vertAlign w:val="superscript"/>
          <w:lang w:val="sr-Latn-ME"/>
        </w:rPr>
        <w:t>3</w:t>
      </w:r>
      <w:r w:rsidRPr="006927C1">
        <w:rPr>
          <w:bCs/>
          <w:sz w:val="22"/>
          <w:szCs w:val="22"/>
          <w:lang w:val="sr-Latn-ME"/>
        </w:rPr>
        <w:t xml:space="preserve"> jednom odnosno dva</w:t>
      </w:r>
      <w:r w:rsidR="000D4869" w:rsidRPr="006927C1">
        <w:rPr>
          <w:bCs/>
          <w:sz w:val="22"/>
          <w:szCs w:val="22"/>
          <w:lang w:val="sr-Latn-ME"/>
        </w:rPr>
        <w:t xml:space="preserve"> </w:t>
      </w:r>
      <w:r w:rsidRPr="006927C1">
        <w:rPr>
          <w:bCs/>
          <w:sz w:val="22"/>
          <w:szCs w:val="22"/>
          <w:lang w:val="sr-Latn-ME"/>
        </w:rPr>
        <w:t>put</w:t>
      </w:r>
      <w:r w:rsidR="000D4869" w:rsidRPr="006927C1">
        <w:rPr>
          <w:bCs/>
          <w:sz w:val="22"/>
          <w:szCs w:val="22"/>
          <w:lang w:val="sr-Latn-ME"/>
        </w:rPr>
        <w:t>a</w:t>
      </w:r>
      <w:r w:rsidRPr="006927C1">
        <w:rPr>
          <w:bCs/>
          <w:sz w:val="22"/>
          <w:szCs w:val="22"/>
          <w:lang w:val="sr-Latn-ME"/>
        </w:rPr>
        <w:t xml:space="preserve"> na dan. </w:t>
      </w:r>
    </w:p>
    <w:p w:rsidR="00556CC6" w:rsidRPr="006927C1" w:rsidRDefault="00556CC6" w:rsidP="00556CC6">
      <w:pPr>
        <w:tabs>
          <w:tab w:val="left" w:pos="540"/>
          <w:tab w:val="left" w:pos="569"/>
        </w:tabs>
        <w:jc w:val="both"/>
        <w:rPr>
          <w:bCs/>
          <w:sz w:val="22"/>
          <w:szCs w:val="22"/>
          <w:lang w:val="sr-Latn-ME"/>
        </w:rPr>
      </w:pPr>
    </w:p>
    <w:p w:rsidR="00556CC6" w:rsidRPr="006927C1" w:rsidRDefault="00556CC6" w:rsidP="00556CC6">
      <w:pPr>
        <w:tabs>
          <w:tab w:val="left" w:pos="540"/>
          <w:tab w:val="left" w:pos="569"/>
        </w:tabs>
        <w:jc w:val="both"/>
        <w:rPr>
          <w:bCs/>
          <w:sz w:val="22"/>
          <w:szCs w:val="22"/>
          <w:lang w:val="sr-Latn-ME"/>
        </w:rPr>
      </w:pPr>
      <w:r w:rsidRPr="006927C1">
        <w:rPr>
          <w:bCs/>
          <w:sz w:val="22"/>
          <w:szCs w:val="22"/>
          <w:lang w:val="sr-Latn-ME"/>
        </w:rPr>
        <w:t>Ograničeno kliničko iskustvo kod pacijenata koji su bili istovremeno inficirani HIV-om i HBV-om, navodi na zaključak da liječenje emtricitabinom ili tenofovir dioproksilom u kombinovanoj antiretrovirusnoj terapiji, u cilju kontrolisanja infekcije HIV-om, takođe rezultira smanjenjem HBV DNK (smanjenje od 3 log</w:t>
      </w:r>
      <w:r w:rsidRPr="006927C1">
        <w:rPr>
          <w:bCs/>
          <w:sz w:val="22"/>
          <w:szCs w:val="22"/>
          <w:vertAlign w:val="subscript"/>
          <w:lang w:val="sr-Latn-ME"/>
        </w:rPr>
        <w:t>10</w:t>
      </w:r>
      <w:r w:rsidRPr="006927C1">
        <w:rPr>
          <w:bCs/>
          <w:sz w:val="22"/>
          <w:szCs w:val="22"/>
          <w:lang w:val="sr-Latn-ME"/>
        </w:rPr>
        <w:t xml:space="preserve"> odnosno smanjenje od 4 do 5 log</w:t>
      </w:r>
      <w:r w:rsidRPr="006927C1">
        <w:rPr>
          <w:bCs/>
          <w:sz w:val="22"/>
          <w:szCs w:val="22"/>
          <w:vertAlign w:val="subscript"/>
          <w:lang w:val="sr-Latn-ME"/>
        </w:rPr>
        <w:t>10</w:t>
      </w:r>
      <w:r w:rsidRPr="006927C1">
        <w:rPr>
          <w:bCs/>
          <w:sz w:val="22"/>
          <w:szCs w:val="22"/>
          <w:lang w:val="sr-Latn-ME"/>
        </w:rPr>
        <w:t xml:space="preserve">) (vidjeti odjeljak 4.4). </w:t>
      </w:r>
    </w:p>
    <w:p w:rsidR="00556CC6" w:rsidRPr="006927C1" w:rsidRDefault="00556CC6" w:rsidP="00556CC6">
      <w:pPr>
        <w:tabs>
          <w:tab w:val="left" w:pos="540"/>
          <w:tab w:val="left" w:pos="569"/>
        </w:tabs>
        <w:jc w:val="both"/>
        <w:rPr>
          <w:bCs/>
          <w:sz w:val="22"/>
          <w:szCs w:val="22"/>
          <w:lang w:val="sr-Latn-ME"/>
        </w:rPr>
      </w:pPr>
    </w:p>
    <w:p w:rsidR="00556CC6" w:rsidRPr="006927C1" w:rsidRDefault="00556CC6" w:rsidP="00556CC6">
      <w:pPr>
        <w:tabs>
          <w:tab w:val="left" w:pos="540"/>
          <w:tab w:val="left" w:pos="569"/>
        </w:tabs>
        <w:jc w:val="both"/>
        <w:rPr>
          <w:bCs/>
          <w:sz w:val="22"/>
          <w:szCs w:val="22"/>
          <w:lang w:val="sr-Latn-ME"/>
        </w:rPr>
      </w:pPr>
      <w:r w:rsidRPr="006927C1">
        <w:rPr>
          <w:bCs/>
          <w:i/>
          <w:sz w:val="22"/>
          <w:szCs w:val="22"/>
          <w:lang w:val="sr-Latn-ME"/>
        </w:rPr>
        <w:t xml:space="preserve">Preekspoziciona profilaksa: </w:t>
      </w:r>
      <w:r w:rsidRPr="006927C1">
        <w:rPr>
          <w:bCs/>
          <w:sz w:val="22"/>
          <w:szCs w:val="22"/>
          <w:lang w:val="sr-Latn-ME"/>
        </w:rPr>
        <w:t>U studiji iPrEx (CO-US-104-0288) ispitivana je primjena lijeka Gilestra Duo ili placeba kod 2499 muškaraca (ili transrodnih žena) koji ni</w:t>
      </w:r>
      <w:r w:rsidR="000D4869" w:rsidRPr="006927C1">
        <w:rPr>
          <w:bCs/>
          <w:sz w:val="22"/>
          <w:szCs w:val="22"/>
          <w:lang w:val="sr-Latn-ME"/>
        </w:rPr>
        <w:t>je</w:t>
      </w:r>
      <w:r w:rsidRPr="006927C1">
        <w:rPr>
          <w:bCs/>
          <w:sz w:val="22"/>
          <w:szCs w:val="22"/>
          <w:lang w:val="sr-Latn-ME"/>
        </w:rPr>
        <w:t>su inficirani virusom HIV-1, koji su imali polne odnose sa muškarcima i za koje se smatralo da imaju visok rizik od HIV infekcije. Ispitanici su bili praćeni tokom 4237 osoba-godina. Početne karakteristike su prikazane u Tabeli 5.</w:t>
      </w:r>
    </w:p>
    <w:p w:rsidR="00031462" w:rsidRPr="006927C1" w:rsidRDefault="00031462" w:rsidP="00556CC6">
      <w:pPr>
        <w:tabs>
          <w:tab w:val="left" w:pos="540"/>
          <w:tab w:val="left" w:pos="569"/>
        </w:tabs>
        <w:jc w:val="both"/>
        <w:rPr>
          <w:bCs/>
          <w:sz w:val="22"/>
          <w:szCs w:val="22"/>
          <w:lang w:val="sr-Latn-ME"/>
        </w:rPr>
      </w:pPr>
    </w:p>
    <w:p w:rsidR="00556CC6" w:rsidRPr="006927C1" w:rsidRDefault="00556CC6" w:rsidP="00556CC6">
      <w:pPr>
        <w:tabs>
          <w:tab w:val="left" w:pos="540"/>
          <w:tab w:val="left" w:pos="569"/>
        </w:tabs>
        <w:jc w:val="both"/>
        <w:rPr>
          <w:b/>
          <w:bCs/>
          <w:iCs/>
          <w:sz w:val="22"/>
          <w:szCs w:val="22"/>
          <w:lang w:val="sr-Latn-ME"/>
        </w:rPr>
      </w:pPr>
      <w:r w:rsidRPr="006927C1">
        <w:rPr>
          <w:b/>
          <w:bCs/>
          <w:iCs/>
          <w:sz w:val="22"/>
          <w:szCs w:val="22"/>
          <w:lang w:val="sr-Latn-ME"/>
        </w:rPr>
        <w:t>Tabela 5: Ispitivana populacija u studiji CO-US-104-0288 (iPrEx)</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1651"/>
        <w:gridCol w:w="1816"/>
      </w:tblGrid>
      <w:tr w:rsidR="00556CC6" w:rsidRPr="006927C1" w:rsidTr="00556CC6">
        <w:trPr>
          <w:trHeight w:val="460"/>
          <w:jc w:val="center"/>
        </w:trPr>
        <w:tc>
          <w:tcPr>
            <w:tcW w:w="5600" w:type="dxa"/>
          </w:tcPr>
          <w:p w:rsidR="00556CC6" w:rsidRPr="006927C1" w:rsidRDefault="00556CC6" w:rsidP="00556CC6">
            <w:pPr>
              <w:widowControl w:val="0"/>
              <w:autoSpaceDE w:val="0"/>
              <w:autoSpaceDN w:val="0"/>
              <w:rPr>
                <w:sz w:val="22"/>
                <w:szCs w:val="22"/>
                <w:lang w:val="sr-Latn-ME"/>
              </w:rPr>
            </w:pPr>
          </w:p>
        </w:tc>
        <w:tc>
          <w:tcPr>
            <w:tcW w:w="1651" w:type="dxa"/>
            <w:vAlign w:val="center"/>
          </w:tcPr>
          <w:p w:rsidR="00424630" w:rsidRPr="006927C1" w:rsidRDefault="00556CC6" w:rsidP="00424630">
            <w:pPr>
              <w:widowControl w:val="0"/>
              <w:autoSpaceDE w:val="0"/>
              <w:autoSpaceDN w:val="0"/>
              <w:spacing w:line="225" w:lineRule="exact"/>
              <w:jc w:val="center"/>
              <w:rPr>
                <w:b/>
                <w:sz w:val="22"/>
                <w:szCs w:val="22"/>
                <w:lang w:val="sr-Latn-ME"/>
              </w:rPr>
            </w:pPr>
            <w:r w:rsidRPr="006927C1">
              <w:rPr>
                <w:b/>
                <w:sz w:val="22"/>
                <w:szCs w:val="22"/>
                <w:lang w:val="sr-Latn-ME"/>
              </w:rPr>
              <w:t>Placebo</w:t>
            </w:r>
          </w:p>
          <w:p w:rsidR="00424630" w:rsidRPr="006927C1" w:rsidRDefault="00556CC6" w:rsidP="00424630">
            <w:pPr>
              <w:widowControl w:val="0"/>
              <w:autoSpaceDE w:val="0"/>
              <w:autoSpaceDN w:val="0"/>
              <w:spacing w:line="225" w:lineRule="exact"/>
              <w:jc w:val="center"/>
              <w:rPr>
                <w:b/>
                <w:sz w:val="22"/>
                <w:szCs w:val="22"/>
                <w:lang w:val="sr-Latn-ME"/>
              </w:rPr>
            </w:pPr>
            <w:r w:rsidRPr="006927C1">
              <w:rPr>
                <w:b/>
                <w:sz w:val="22"/>
                <w:szCs w:val="22"/>
                <w:lang w:val="sr-Latn-ME"/>
              </w:rPr>
              <w:t>(n = 1248)</w:t>
            </w:r>
          </w:p>
        </w:tc>
        <w:tc>
          <w:tcPr>
            <w:tcW w:w="1816" w:type="dxa"/>
            <w:vAlign w:val="center"/>
          </w:tcPr>
          <w:p w:rsidR="00556CC6" w:rsidRPr="006927C1" w:rsidRDefault="00556CC6" w:rsidP="00556CC6">
            <w:pPr>
              <w:widowControl w:val="0"/>
              <w:autoSpaceDE w:val="0"/>
              <w:autoSpaceDN w:val="0"/>
              <w:spacing w:line="225" w:lineRule="exact"/>
              <w:ind w:left="237" w:right="241"/>
              <w:jc w:val="center"/>
              <w:rPr>
                <w:b/>
                <w:sz w:val="22"/>
                <w:szCs w:val="22"/>
                <w:lang w:val="sr-Latn-ME"/>
              </w:rPr>
            </w:pPr>
            <w:r w:rsidRPr="006927C1">
              <w:rPr>
                <w:b/>
                <w:sz w:val="22"/>
                <w:szCs w:val="22"/>
                <w:lang w:val="sr-Latn-ME"/>
              </w:rPr>
              <w:t>Lijek</w:t>
            </w:r>
            <w:r w:rsidRPr="006927C1">
              <w:rPr>
                <w:b/>
                <w:spacing w:val="-5"/>
                <w:sz w:val="22"/>
                <w:szCs w:val="22"/>
                <w:lang w:val="sr-Latn-ME"/>
              </w:rPr>
              <w:t xml:space="preserve"> </w:t>
            </w:r>
            <w:r w:rsidRPr="006927C1">
              <w:rPr>
                <w:b/>
                <w:sz w:val="22"/>
                <w:szCs w:val="22"/>
                <w:lang w:val="sr-Latn-ME"/>
              </w:rPr>
              <w:t>Gilestra Duo</w:t>
            </w:r>
          </w:p>
          <w:p w:rsidR="00556CC6" w:rsidRPr="006927C1" w:rsidRDefault="00556CC6" w:rsidP="00556CC6">
            <w:pPr>
              <w:widowControl w:val="0"/>
              <w:autoSpaceDE w:val="0"/>
              <w:autoSpaceDN w:val="0"/>
              <w:spacing w:line="215" w:lineRule="exact"/>
              <w:ind w:left="246" w:right="241"/>
              <w:jc w:val="center"/>
              <w:rPr>
                <w:b/>
                <w:sz w:val="22"/>
                <w:szCs w:val="22"/>
                <w:lang w:val="sr-Latn-ME"/>
              </w:rPr>
            </w:pPr>
            <w:r w:rsidRPr="006927C1">
              <w:rPr>
                <w:b/>
                <w:sz w:val="22"/>
                <w:szCs w:val="22"/>
                <w:lang w:val="sr-Latn-ME"/>
              </w:rPr>
              <w:t>(n = 1251)</w:t>
            </w:r>
          </w:p>
        </w:tc>
      </w:tr>
      <w:tr w:rsidR="00556CC6" w:rsidRPr="006927C1" w:rsidTr="00556CC6">
        <w:trPr>
          <w:trHeight w:val="244"/>
          <w:jc w:val="center"/>
        </w:trPr>
        <w:tc>
          <w:tcPr>
            <w:tcW w:w="5600" w:type="dxa"/>
          </w:tcPr>
          <w:p w:rsidR="00556CC6" w:rsidRPr="006927C1" w:rsidRDefault="00556CC6" w:rsidP="00556CC6">
            <w:pPr>
              <w:widowControl w:val="0"/>
              <w:autoSpaceDE w:val="0"/>
              <w:autoSpaceDN w:val="0"/>
              <w:spacing w:line="224" w:lineRule="exact"/>
              <w:ind w:left="110"/>
              <w:rPr>
                <w:b/>
                <w:sz w:val="22"/>
                <w:szCs w:val="22"/>
                <w:lang w:val="sr-Latn-ME"/>
              </w:rPr>
            </w:pPr>
            <w:r w:rsidRPr="006927C1">
              <w:rPr>
                <w:b/>
                <w:sz w:val="22"/>
                <w:szCs w:val="22"/>
                <w:lang w:val="sr-Latn-ME"/>
              </w:rPr>
              <w:t>Starost</w:t>
            </w:r>
            <w:r w:rsidRPr="006927C1">
              <w:rPr>
                <w:b/>
                <w:spacing w:val="-4"/>
                <w:sz w:val="22"/>
                <w:szCs w:val="22"/>
                <w:lang w:val="sr-Latn-ME"/>
              </w:rPr>
              <w:t xml:space="preserve"> </w:t>
            </w:r>
            <w:r w:rsidRPr="006927C1">
              <w:rPr>
                <w:b/>
                <w:sz w:val="22"/>
                <w:szCs w:val="22"/>
                <w:lang w:val="sr-Latn-ME"/>
              </w:rPr>
              <w:t>(godine),</w:t>
            </w:r>
            <w:r w:rsidRPr="006927C1">
              <w:rPr>
                <w:b/>
                <w:spacing w:val="-3"/>
                <w:sz w:val="22"/>
                <w:szCs w:val="22"/>
                <w:lang w:val="sr-Latn-ME"/>
              </w:rPr>
              <w:t xml:space="preserve"> </w:t>
            </w:r>
            <w:r w:rsidRPr="006927C1">
              <w:rPr>
                <w:b/>
                <w:sz w:val="22"/>
                <w:szCs w:val="22"/>
                <w:lang w:val="sr-Latn-ME"/>
              </w:rPr>
              <w:t>srednja</w:t>
            </w:r>
            <w:r w:rsidRPr="006927C1">
              <w:rPr>
                <w:b/>
                <w:spacing w:val="-5"/>
                <w:sz w:val="22"/>
                <w:szCs w:val="22"/>
                <w:lang w:val="sr-Latn-ME"/>
              </w:rPr>
              <w:t xml:space="preserve"> </w:t>
            </w:r>
            <w:r w:rsidRPr="006927C1">
              <w:rPr>
                <w:b/>
                <w:sz w:val="22"/>
                <w:szCs w:val="22"/>
                <w:lang w:val="sr-Latn-ME"/>
              </w:rPr>
              <w:t>vrijednost</w:t>
            </w:r>
            <w:r w:rsidRPr="006927C1">
              <w:rPr>
                <w:b/>
                <w:spacing w:val="-1"/>
                <w:sz w:val="22"/>
                <w:szCs w:val="22"/>
                <w:lang w:val="sr-Latn-ME"/>
              </w:rPr>
              <w:t xml:space="preserve"> </w:t>
            </w:r>
            <w:r w:rsidRPr="006927C1">
              <w:rPr>
                <w:b/>
                <w:sz w:val="22"/>
                <w:szCs w:val="22"/>
                <w:lang w:val="sr-Latn-ME"/>
              </w:rPr>
              <w:t>(SD)</w:t>
            </w:r>
          </w:p>
        </w:tc>
        <w:tc>
          <w:tcPr>
            <w:tcW w:w="1651" w:type="dxa"/>
            <w:vAlign w:val="center"/>
          </w:tcPr>
          <w:p w:rsidR="00556CC6" w:rsidRPr="006927C1" w:rsidRDefault="00556CC6" w:rsidP="00556CC6">
            <w:pPr>
              <w:widowControl w:val="0"/>
              <w:autoSpaceDE w:val="0"/>
              <w:autoSpaceDN w:val="0"/>
              <w:spacing w:line="221" w:lineRule="exact"/>
              <w:ind w:left="236" w:right="222"/>
              <w:jc w:val="center"/>
              <w:rPr>
                <w:sz w:val="22"/>
                <w:szCs w:val="22"/>
                <w:lang w:val="sr-Latn-ME"/>
              </w:rPr>
            </w:pPr>
            <w:r w:rsidRPr="006927C1">
              <w:rPr>
                <w:sz w:val="22"/>
                <w:szCs w:val="22"/>
                <w:lang w:val="sr-Latn-ME"/>
              </w:rPr>
              <w:t>27</w:t>
            </w:r>
            <w:r w:rsidRPr="006927C1">
              <w:rPr>
                <w:spacing w:val="2"/>
                <w:sz w:val="22"/>
                <w:szCs w:val="22"/>
                <w:lang w:val="sr-Latn-ME"/>
              </w:rPr>
              <w:t xml:space="preserve"> </w:t>
            </w:r>
            <w:r w:rsidRPr="006927C1">
              <w:rPr>
                <w:sz w:val="22"/>
                <w:szCs w:val="22"/>
                <w:lang w:val="sr-Latn-ME"/>
              </w:rPr>
              <w:t>(8,5)</w:t>
            </w:r>
          </w:p>
        </w:tc>
        <w:tc>
          <w:tcPr>
            <w:tcW w:w="1816" w:type="dxa"/>
            <w:vAlign w:val="center"/>
          </w:tcPr>
          <w:p w:rsidR="00556CC6" w:rsidRPr="006927C1" w:rsidRDefault="00556CC6" w:rsidP="00556CC6">
            <w:pPr>
              <w:widowControl w:val="0"/>
              <w:autoSpaceDE w:val="0"/>
              <w:autoSpaceDN w:val="0"/>
              <w:spacing w:line="221" w:lineRule="exact"/>
              <w:ind w:left="246" w:right="236"/>
              <w:jc w:val="center"/>
              <w:rPr>
                <w:sz w:val="22"/>
                <w:szCs w:val="22"/>
                <w:lang w:val="sr-Latn-ME"/>
              </w:rPr>
            </w:pPr>
            <w:r w:rsidRPr="006927C1">
              <w:rPr>
                <w:sz w:val="22"/>
                <w:szCs w:val="22"/>
                <w:lang w:val="sr-Latn-ME"/>
              </w:rPr>
              <w:t>27</w:t>
            </w:r>
            <w:r w:rsidRPr="006927C1">
              <w:rPr>
                <w:spacing w:val="2"/>
                <w:sz w:val="22"/>
                <w:szCs w:val="22"/>
                <w:lang w:val="sr-Latn-ME"/>
              </w:rPr>
              <w:t xml:space="preserve"> </w:t>
            </w:r>
            <w:r w:rsidRPr="006927C1">
              <w:rPr>
                <w:sz w:val="22"/>
                <w:szCs w:val="22"/>
                <w:lang w:val="sr-Latn-ME"/>
              </w:rPr>
              <w:t>(8,6)</w:t>
            </w:r>
          </w:p>
        </w:tc>
      </w:tr>
      <w:tr w:rsidR="00556CC6" w:rsidRPr="006927C1" w:rsidTr="00556CC6">
        <w:trPr>
          <w:trHeight w:val="230"/>
          <w:jc w:val="center"/>
        </w:trPr>
        <w:tc>
          <w:tcPr>
            <w:tcW w:w="9067" w:type="dxa"/>
            <w:gridSpan w:val="3"/>
            <w:vAlign w:val="center"/>
          </w:tcPr>
          <w:p w:rsidR="00556CC6" w:rsidRPr="006927C1" w:rsidRDefault="00556CC6" w:rsidP="00556CC6">
            <w:pPr>
              <w:widowControl w:val="0"/>
              <w:autoSpaceDE w:val="0"/>
              <w:autoSpaceDN w:val="0"/>
              <w:spacing w:line="210" w:lineRule="exact"/>
              <w:ind w:left="110"/>
              <w:jc w:val="center"/>
              <w:rPr>
                <w:b/>
                <w:sz w:val="22"/>
                <w:szCs w:val="22"/>
                <w:lang w:val="sr-Latn-ME"/>
              </w:rPr>
            </w:pPr>
            <w:r w:rsidRPr="006927C1">
              <w:rPr>
                <w:b/>
                <w:sz w:val="22"/>
                <w:szCs w:val="22"/>
                <w:lang w:val="sr-Latn-ME"/>
              </w:rPr>
              <w:lastRenderedPageBreak/>
              <w:t>Rasa,</w:t>
            </w:r>
            <w:r w:rsidRPr="006927C1">
              <w:rPr>
                <w:b/>
                <w:spacing w:val="-1"/>
                <w:sz w:val="22"/>
                <w:szCs w:val="22"/>
                <w:lang w:val="sr-Latn-ME"/>
              </w:rPr>
              <w:t xml:space="preserve"> </w:t>
            </w:r>
            <w:r w:rsidRPr="006927C1">
              <w:rPr>
                <w:b/>
                <w:sz w:val="22"/>
                <w:szCs w:val="22"/>
                <w:lang w:val="sr-Latn-ME"/>
              </w:rPr>
              <w:t>N</w:t>
            </w:r>
            <w:r w:rsidRPr="006927C1">
              <w:rPr>
                <w:b/>
                <w:spacing w:val="-1"/>
                <w:sz w:val="22"/>
                <w:szCs w:val="22"/>
                <w:lang w:val="sr-Latn-ME"/>
              </w:rPr>
              <w:t xml:space="preserve"> </w:t>
            </w:r>
            <w:r w:rsidRPr="006927C1">
              <w:rPr>
                <w:b/>
                <w:sz w:val="22"/>
                <w:szCs w:val="22"/>
                <w:lang w:val="sr-Latn-ME"/>
              </w:rPr>
              <w:t>(%)</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418" w:hanging="126"/>
              <w:rPr>
                <w:sz w:val="22"/>
                <w:szCs w:val="22"/>
                <w:lang w:val="sr-Latn-ME"/>
              </w:rPr>
            </w:pPr>
            <w:r w:rsidRPr="006927C1">
              <w:rPr>
                <w:sz w:val="22"/>
                <w:szCs w:val="22"/>
                <w:lang w:val="sr-Latn-ME"/>
              </w:rPr>
              <w:t>Crna/Afroamerikanci</w:t>
            </w:r>
          </w:p>
        </w:tc>
        <w:tc>
          <w:tcPr>
            <w:tcW w:w="1651" w:type="dxa"/>
            <w:vAlign w:val="center"/>
          </w:tcPr>
          <w:p w:rsidR="00556CC6" w:rsidRPr="006927C1" w:rsidRDefault="00556CC6" w:rsidP="00556CC6">
            <w:pPr>
              <w:widowControl w:val="0"/>
              <w:autoSpaceDE w:val="0"/>
              <w:autoSpaceDN w:val="0"/>
              <w:spacing w:line="210" w:lineRule="exact"/>
              <w:ind w:left="241" w:right="221"/>
              <w:jc w:val="center"/>
              <w:rPr>
                <w:sz w:val="22"/>
                <w:szCs w:val="22"/>
                <w:lang w:val="sr-Latn-ME"/>
              </w:rPr>
            </w:pPr>
            <w:r w:rsidRPr="006927C1">
              <w:rPr>
                <w:sz w:val="22"/>
                <w:szCs w:val="22"/>
                <w:lang w:val="sr-Latn-ME"/>
              </w:rPr>
              <w:t>97</w:t>
            </w:r>
            <w:r w:rsidRPr="006927C1">
              <w:rPr>
                <w:spacing w:val="2"/>
                <w:sz w:val="22"/>
                <w:szCs w:val="22"/>
                <w:lang w:val="sr-Latn-ME"/>
              </w:rPr>
              <w:t xml:space="preserve"> </w:t>
            </w:r>
            <w:r w:rsidRPr="006927C1">
              <w:rPr>
                <w:sz w:val="22"/>
                <w:szCs w:val="22"/>
                <w:lang w:val="sr-Latn-ME"/>
              </w:rPr>
              <w:t>(8)</w:t>
            </w:r>
          </w:p>
        </w:tc>
        <w:tc>
          <w:tcPr>
            <w:tcW w:w="1816" w:type="dxa"/>
            <w:vAlign w:val="center"/>
          </w:tcPr>
          <w:p w:rsidR="00556CC6" w:rsidRPr="006927C1" w:rsidRDefault="00556CC6" w:rsidP="00556CC6">
            <w:pPr>
              <w:widowControl w:val="0"/>
              <w:autoSpaceDE w:val="0"/>
              <w:autoSpaceDN w:val="0"/>
              <w:spacing w:line="210" w:lineRule="exact"/>
              <w:ind w:left="246" w:right="241"/>
              <w:jc w:val="center"/>
              <w:rPr>
                <w:sz w:val="22"/>
                <w:szCs w:val="22"/>
                <w:lang w:val="sr-Latn-ME"/>
              </w:rPr>
            </w:pPr>
            <w:r w:rsidRPr="006927C1">
              <w:rPr>
                <w:sz w:val="22"/>
                <w:szCs w:val="22"/>
                <w:lang w:val="sr-Latn-ME"/>
              </w:rPr>
              <w:t>117</w:t>
            </w:r>
            <w:r w:rsidRPr="006927C1">
              <w:rPr>
                <w:spacing w:val="-2"/>
                <w:sz w:val="22"/>
                <w:szCs w:val="22"/>
                <w:lang w:val="sr-Latn-ME"/>
              </w:rPr>
              <w:t xml:space="preserve"> </w:t>
            </w:r>
            <w:r w:rsidRPr="006927C1">
              <w:rPr>
                <w:sz w:val="22"/>
                <w:szCs w:val="22"/>
                <w:lang w:val="sr-Latn-ME"/>
              </w:rPr>
              <w:t>(9)</w:t>
            </w:r>
          </w:p>
        </w:tc>
      </w:tr>
      <w:tr w:rsidR="00556CC6" w:rsidRPr="006927C1" w:rsidTr="00556CC6">
        <w:trPr>
          <w:trHeight w:val="230"/>
          <w:jc w:val="center"/>
        </w:trPr>
        <w:tc>
          <w:tcPr>
            <w:tcW w:w="5600" w:type="dxa"/>
          </w:tcPr>
          <w:p w:rsidR="00556CC6" w:rsidRPr="006927C1" w:rsidRDefault="00556CC6" w:rsidP="00556CC6">
            <w:pPr>
              <w:widowControl w:val="0"/>
              <w:autoSpaceDE w:val="0"/>
              <w:autoSpaceDN w:val="0"/>
              <w:spacing w:line="210" w:lineRule="exact"/>
              <w:ind w:left="292"/>
              <w:rPr>
                <w:sz w:val="22"/>
                <w:szCs w:val="22"/>
                <w:lang w:val="sr-Latn-ME"/>
              </w:rPr>
            </w:pPr>
            <w:r w:rsidRPr="006927C1">
              <w:rPr>
                <w:sz w:val="22"/>
                <w:szCs w:val="22"/>
                <w:lang w:val="sr-Latn-ME"/>
              </w:rPr>
              <w:t>Bijela</w:t>
            </w:r>
          </w:p>
        </w:tc>
        <w:tc>
          <w:tcPr>
            <w:tcW w:w="1651" w:type="dxa"/>
            <w:vAlign w:val="center"/>
          </w:tcPr>
          <w:p w:rsidR="00556CC6" w:rsidRPr="006927C1" w:rsidRDefault="00556CC6" w:rsidP="00556CC6">
            <w:pPr>
              <w:widowControl w:val="0"/>
              <w:autoSpaceDE w:val="0"/>
              <w:autoSpaceDN w:val="0"/>
              <w:spacing w:line="210" w:lineRule="exact"/>
              <w:ind w:left="236" w:right="222"/>
              <w:jc w:val="center"/>
              <w:rPr>
                <w:sz w:val="22"/>
                <w:szCs w:val="22"/>
                <w:lang w:val="sr-Latn-ME"/>
              </w:rPr>
            </w:pPr>
            <w:r w:rsidRPr="006927C1">
              <w:rPr>
                <w:sz w:val="22"/>
                <w:szCs w:val="22"/>
                <w:lang w:val="sr-Latn-ME"/>
              </w:rPr>
              <w:t>208</w:t>
            </w:r>
            <w:r w:rsidRPr="006927C1">
              <w:rPr>
                <w:spacing w:val="-2"/>
                <w:sz w:val="22"/>
                <w:szCs w:val="22"/>
                <w:lang w:val="sr-Latn-ME"/>
              </w:rPr>
              <w:t xml:space="preserve"> </w:t>
            </w:r>
            <w:r w:rsidRPr="006927C1">
              <w:rPr>
                <w:sz w:val="22"/>
                <w:szCs w:val="22"/>
                <w:lang w:val="sr-Latn-ME"/>
              </w:rPr>
              <w:t>(17)</w:t>
            </w:r>
          </w:p>
        </w:tc>
        <w:tc>
          <w:tcPr>
            <w:tcW w:w="1816" w:type="dxa"/>
            <w:vAlign w:val="center"/>
          </w:tcPr>
          <w:p w:rsidR="00556CC6" w:rsidRPr="006927C1" w:rsidRDefault="00556CC6" w:rsidP="00556CC6">
            <w:pPr>
              <w:widowControl w:val="0"/>
              <w:autoSpaceDE w:val="0"/>
              <w:autoSpaceDN w:val="0"/>
              <w:spacing w:line="210" w:lineRule="exact"/>
              <w:ind w:left="246" w:right="236"/>
              <w:jc w:val="center"/>
              <w:rPr>
                <w:sz w:val="22"/>
                <w:szCs w:val="22"/>
                <w:lang w:val="sr-Latn-ME"/>
              </w:rPr>
            </w:pPr>
            <w:r w:rsidRPr="006927C1">
              <w:rPr>
                <w:sz w:val="22"/>
                <w:szCs w:val="22"/>
                <w:lang w:val="sr-Latn-ME"/>
              </w:rPr>
              <w:t>223</w:t>
            </w:r>
            <w:r w:rsidRPr="006927C1">
              <w:rPr>
                <w:spacing w:val="-2"/>
                <w:sz w:val="22"/>
                <w:szCs w:val="22"/>
                <w:lang w:val="sr-Latn-ME"/>
              </w:rPr>
              <w:t xml:space="preserve"> </w:t>
            </w:r>
            <w:r w:rsidRPr="006927C1">
              <w:rPr>
                <w:sz w:val="22"/>
                <w:szCs w:val="22"/>
                <w:lang w:val="sr-Latn-ME"/>
              </w:rPr>
              <w:t>(18)</w:t>
            </w:r>
          </w:p>
        </w:tc>
      </w:tr>
      <w:tr w:rsidR="00556CC6" w:rsidRPr="006927C1" w:rsidTr="00556CC6">
        <w:trPr>
          <w:trHeight w:val="230"/>
          <w:jc w:val="center"/>
        </w:trPr>
        <w:tc>
          <w:tcPr>
            <w:tcW w:w="5600" w:type="dxa"/>
          </w:tcPr>
          <w:p w:rsidR="00556CC6" w:rsidRPr="006927C1" w:rsidRDefault="00556CC6" w:rsidP="00556CC6">
            <w:pPr>
              <w:widowControl w:val="0"/>
              <w:autoSpaceDE w:val="0"/>
              <w:autoSpaceDN w:val="0"/>
              <w:spacing w:line="210" w:lineRule="exact"/>
              <w:ind w:left="292"/>
              <w:rPr>
                <w:sz w:val="22"/>
                <w:szCs w:val="22"/>
                <w:lang w:val="sr-Latn-ME"/>
              </w:rPr>
            </w:pPr>
            <w:r w:rsidRPr="006927C1">
              <w:rPr>
                <w:sz w:val="22"/>
                <w:szCs w:val="22"/>
                <w:lang w:val="sr-Latn-ME"/>
              </w:rPr>
              <w:t>Miješana/druga</w:t>
            </w:r>
          </w:p>
        </w:tc>
        <w:tc>
          <w:tcPr>
            <w:tcW w:w="1651" w:type="dxa"/>
            <w:vAlign w:val="center"/>
          </w:tcPr>
          <w:p w:rsidR="00556CC6" w:rsidRPr="006927C1" w:rsidRDefault="00556CC6" w:rsidP="00556CC6">
            <w:pPr>
              <w:widowControl w:val="0"/>
              <w:autoSpaceDE w:val="0"/>
              <w:autoSpaceDN w:val="0"/>
              <w:spacing w:line="210" w:lineRule="exact"/>
              <w:ind w:left="236" w:right="222"/>
              <w:jc w:val="center"/>
              <w:rPr>
                <w:sz w:val="22"/>
                <w:szCs w:val="22"/>
                <w:lang w:val="sr-Latn-ME"/>
              </w:rPr>
            </w:pPr>
            <w:r w:rsidRPr="006927C1">
              <w:rPr>
                <w:sz w:val="22"/>
                <w:szCs w:val="22"/>
                <w:lang w:val="sr-Latn-ME"/>
              </w:rPr>
              <w:t>878</w:t>
            </w:r>
            <w:r w:rsidRPr="006927C1">
              <w:rPr>
                <w:spacing w:val="-2"/>
                <w:sz w:val="22"/>
                <w:szCs w:val="22"/>
                <w:lang w:val="sr-Latn-ME"/>
              </w:rPr>
              <w:t xml:space="preserve"> </w:t>
            </w:r>
            <w:r w:rsidRPr="006927C1">
              <w:rPr>
                <w:sz w:val="22"/>
                <w:szCs w:val="22"/>
                <w:lang w:val="sr-Latn-ME"/>
              </w:rPr>
              <w:t>(70)</w:t>
            </w:r>
          </w:p>
        </w:tc>
        <w:tc>
          <w:tcPr>
            <w:tcW w:w="1816" w:type="dxa"/>
            <w:vAlign w:val="center"/>
          </w:tcPr>
          <w:p w:rsidR="00556CC6" w:rsidRPr="006927C1" w:rsidRDefault="00556CC6" w:rsidP="00556CC6">
            <w:pPr>
              <w:widowControl w:val="0"/>
              <w:autoSpaceDE w:val="0"/>
              <w:autoSpaceDN w:val="0"/>
              <w:spacing w:line="210" w:lineRule="exact"/>
              <w:ind w:left="246" w:right="236"/>
              <w:jc w:val="center"/>
              <w:rPr>
                <w:sz w:val="22"/>
                <w:szCs w:val="22"/>
                <w:lang w:val="sr-Latn-ME"/>
              </w:rPr>
            </w:pPr>
            <w:r w:rsidRPr="006927C1">
              <w:rPr>
                <w:sz w:val="22"/>
                <w:szCs w:val="22"/>
                <w:lang w:val="sr-Latn-ME"/>
              </w:rPr>
              <w:t>849</w:t>
            </w:r>
            <w:r w:rsidRPr="006927C1">
              <w:rPr>
                <w:spacing w:val="-2"/>
                <w:sz w:val="22"/>
                <w:szCs w:val="22"/>
                <w:lang w:val="sr-Latn-ME"/>
              </w:rPr>
              <w:t xml:space="preserve"> </w:t>
            </w:r>
            <w:r w:rsidRPr="006927C1">
              <w:rPr>
                <w:sz w:val="22"/>
                <w:szCs w:val="22"/>
                <w:lang w:val="sr-Latn-ME"/>
              </w:rPr>
              <w:t>(68)</w:t>
            </w:r>
          </w:p>
        </w:tc>
      </w:tr>
      <w:tr w:rsidR="00556CC6" w:rsidRPr="006927C1" w:rsidTr="00556CC6">
        <w:trPr>
          <w:trHeight w:val="230"/>
          <w:jc w:val="center"/>
        </w:trPr>
        <w:tc>
          <w:tcPr>
            <w:tcW w:w="5600" w:type="dxa"/>
          </w:tcPr>
          <w:p w:rsidR="00556CC6" w:rsidRPr="006927C1" w:rsidRDefault="00556CC6" w:rsidP="00556CC6">
            <w:pPr>
              <w:widowControl w:val="0"/>
              <w:autoSpaceDE w:val="0"/>
              <w:autoSpaceDN w:val="0"/>
              <w:spacing w:line="210" w:lineRule="exact"/>
              <w:ind w:left="292"/>
              <w:rPr>
                <w:sz w:val="22"/>
                <w:szCs w:val="22"/>
                <w:lang w:val="sr-Latn-ME"/>
              </w:rPr>
            </w:pPr>
            <w:r w:rsidRPr="006927C1">
              <w:rPr>
                <w:sz w:val="22"/>
                <w:szCs w:val="22"/>
                <w:lang w:val="sr-Latn-ME"/>
              </w:rPr>
              <w:t>Azij</w:t>
            </w:r>
            <w:r w:rsidR="000D4869" w:rsidRPr="006927C1">
              <w:rPr>
                <w:sz w:val="22"/>
                <w:szCs w:val="22"/>
                <w:lang w:val="sr-Latn-ME"/>
              </w:rPr>
              <w:t>ati</w:t>
            </w:r>
          </w:p>
        </w:tc>
        <w:tc>
          <w:tcPr>
            <w:tcW w:w="1651" w:type="dxa"/>
            <w:vAlign w:val="center"/>
          </w:tcPr>
          <w:p w:rsidR="00556CC6" w:rsidRPr="006927C1" w:rsidRDefault="00556CC6" w:rsidP="00556CC6">
            <w:pPr>
              <w:widowControl w:val="0"/>
              <w:autoSpaceDE w:val="0"/>
              <w:autoSpaceDN w:val="0"/>
              <w:spacing w:line="210" w:lineRule="exact"/>
              <w:ind w:left="241" w:right="221"/>
              <w:jc w:val="center"/>
              <w:rPr>
                <w:sz w:val="22"/>
                <w:szCs w:val="22"/>
                <w:lang w:val="sr-Latn-ME"/>
              </w:rPr>
            </w:pPr>
            <w:r w:rsidRPr="006927C1">
              <w:rPr>
                <w:sz w:val="22"/>
                <w:szCs w:val="22"/>
                <w:lang w:val="sr-Latn-ME"/>
              </w:rPr>
              <w:t>65</w:t>
            </w:r>
            <w:r w:rsidRPr="006927C1">
              <w:rPr>
                <w:spacing w:val="2"/>
                <w:sz w:val="22"/>
                <w:szCs w:val="22"/>
                <w:lang w:val="sr-Latn-ME"/>
              </w:rPr>
              <w:t xml:space="preserve"> </w:t>
            </w:r>
            <w:r w:rsidRPr="006927C1">
              <w:rPr>
                <w:sz w:val="22"/>
                <w:szCs w:val="22"/>
                <w:lang w:val="sr-Latn-ME"/>
              </w:rPr>
              <w:t>(5)</w:t>
            </w:r>
          </w:p>
        </w:tc>
        <w:tc>
          <w:tcPr>
            <w:tcW w:w="1816" w:type="dxa"/>
            <w:vAlign w:val="center"/>
          </w:tcPr>
          <w:p w:rsidR="00556CC6" w:rsidRPr="006927C1" w:rsidRDefault="00556CC6" w:rsidP="00556CC6">
            <w:pPr>
              <w:widowControl w:val="0"/>
              <w:autoSpaceDE w:val="0"/>
              <w:autoSpaceDN w:val="0"/>
              <w:spacing w:line="210" w:lineRule="exact"/>
              <w:ind w:left="246" w:right="240"/>
              <w:jc w:val="center"/>
              <w:rPr>
                <w:sz w:val="22"/>
                <w:szCs w:val="22"/>
                <w:lang w:val="sr-Latn-ME"/>
              </w:rPr>
            </w:pPr>
            <w:r w:rsidRPr="006927C1">
              <w:rPr>
                <w:sz w:val="22"/>
                <w:szCs w:val="22"/>
                <w:lang w:val="sr-Latn-ME"/>
              </w:rPr>
              <w:t>62</w:t>
            </w:r>
            <w:r w:rsidRPr="006927C1">
              <w:rPr>
                <w:spacing w:val="2"/>
                <w:sz w:val="22"/>
                <w:szCs w:val="22"/>
                <w:lang w:val="sr-Latn-ME"/>
              </w:rPr>
              <w:t xml:space="preserve"> </w:t>
            </w:r>
            <w:r w:rsidRPr="006927C1">
              <w:rPr>
                <w:sz w:val="22"/>
                <w:szCs w:val="22"/>
                <w:lang w:val="sr-Latn-ME"/>
              </w:rPr>
              <w:t>(5)</w:t>
            </w:r>
          </w:p>
        </w:tc>
      </w:tr>
      <w:tr w:rsidR="00556CC6" w:rsidRPr="006927C1" w:rsidTr="00556CC6">
        <w:trPr>
          <w:trHeight w:val="230"/>
          <w:jc w:val="center"/>
        </w:trPr>
        <w:tc>
          <w:tcPr>
            <w:tcW w:w="5600" w:type="dxa"/>
          </w:tcPr>
          <w:p w:rsidR="00556CC6" w:rsidRPr="006927C1" w:rsidRDefault="00556CC6" w:rsidP="000D4869">
            <w:pPr>
              <w:widowControl w:val="0"/>
              <w:autoSpaceDE w:val="0"/>
              <w:autoSpaceDN w:val="0"/>
              <w:spacing w:line="210" w:lineRule="exact"/>
              <w:ind w:left="110"/>
              <w:rPr>
                <w:b/>
                <w:sz w:val="22"/>
                <w:szCs w:val="22"/>
                <w:lang w:val="sr-Latn-ME"/>
              </w:rPr>
            </w:pPr>
            <w:r w:rsidRPr="006927C1">
              <w:rPr>
                <w:b/>
                <w:sz w:val="22"/>
                <w:szCs w:val="22"/>
                <w:lang w:val="sr-Latn-ME"/>
              </w:rPr>
              <w:t>Hispano/</w:t>
            </w:r>
            <w:r w:rsidR="000D4869" w:rsidRPr="006927C1">
              <w:rPr>
                <w:b/>
                <w:sz w:val="22"/>
                <w:szCs w:val="22"/>
                <w:lang w:val="sr-Latn-ME"/>
              </w:rPr>
              <w:t>Latino etička</w:t>
            </w:r>
            <w:r w:rsidR="000D4869" w:rsidRPr="006927C1">
              <w:rPr>
                <w:b/>
                <w:spacing w:val="-5"/>
                <w:sz w:val="22"/>
                <w:szCs w:val="22"/>
                <w:lang w:val="sr-Latn-ME"/>
              </w:rPr>
              <w:t xml:space="preserve"> </w:t>
            </w:r>
            <w:r w:rsidRPr="006927C1">
              <w:rPr>
                <w:b/>
                <w:sz w:val="22"/>
                <w:szCs w:val="22"/>
                <w:lang w:val="sr-Latn-ME"/>
              </w:rPr>
              <w:t>p</w:t>
            </w:r>
            <w:r w:rsidR="000D4869" w:rsidRPr="006927C1">
              <w:rPr>
                <w:b/>
                <w:sz w:val="22"/>
                <w:szCs w:val="22"/>
                <w:lang w:val="sr-Latn-ME"/>
              </w:rPr>
              <w:t>ripadnost</w:t>
            </w:r>
            <w:r w:rsidRPr="006927C1">
              <w:rPr>
                <w:b/>
                <w:sz w:val="22"/>
                <w:szCs w:val="22"/>
                <w:lang w:val="sr-Latn-ME"/>
              </w:rPr>
              <w:t>,</w:t>
            </w:r>
            <w:r w:rsidRPr="006927C1">
              <w:rPr>
                <w:b/>
                <w:spacing w:val="-5"/>
                <w:sz w:val="22"/>
                <w:szCs w:val="22"/>
                <w:lang w:val="sr-Latn-ME"/>
              </w:rPr>
              <w:t xml:space="preserve"> </w:t>
            </w:r>
            <w:r w:rsidRPr="006927C1">
              <w:rPr>
                <w:b/>
                <w:sz w:val="22"/>
                <w:szCs w:val="22"/>
                <w:lang w:val="sr-Latn-ME"/>
              </w:rPr>
              <w:t>N</w:t>
            </w:r>
            <w:r w:rsidRPr="006927C1">
              <w:rPr>
                <w:b/>
                <w:spacing w:val="-5"/>
                <w:sz w:val="22"/>
                <w:szCs w:val="22"/>
                <w:lang w:val="sr-Latn-ME"/>
              </w:rPr>
              <w:t xml:space="preserve"> </w:t>
            </w:r>
            <w:r w:rsidRPr="006927C1">
              <w:rPr>
                <w:b/>
                <w:sz w:val="22"/>
                <w:szCs w:val="22"/>
                <w:lang w:val="sr-Latn-ME"/>
              </w:rPr>
              <w:t>(%)</w:t>
            </w:r>
          </w:p>
        </w:tc>
        <w:tc>
          <w:tcPr>
            <w:tcW w:w="1651" w:type="dxa"/>
            <w:vAlign w:val="center"/>
          </w:tcPr>
          <w:p w:rsidR="00556CC6" w:rsidRPr="006927C1" w:rsidRDefault="00556CC6" w:rsidP="00556CC6">
            <w:pPr>
              <w:widowControl w:val="0"/>
              <w:autoSpaceDE w:val="0"/>
              <w:autoSpaceDN w:val="0"/>
              <w:spacing w:line="210" w:lineRule="exact"/>
              <w:ind w:left="236" w:right="222"/>
              <w:jc w:val="center"/>
              <w:rPr>
                <w:sz w:val="22"/>
                <w:szCs w:val="22"/>
                <w:lang w:val="sr-Latn-ME"/>
              </w:rPr>
            </w:pPr>
            <w:r w:rsidRPr="006927C1">
              <w:rPr>
                <w:sz w:val="22"/>
                <w:szCs w:val="22"/>
                <w:lang w:val="sr-Latn-ME"/>
              </w:rPr>
              <w:t>906</w:t>
            </w:r>
            <w:r w:rsidRPr="006927C1">
              <w:rPr>
                <w:spacing w:val="-2"/>
                <w:sz w:val="22"/>
                <w:szCs w:val="22"/>
                <w:lang w:val="sr-Latn-ME"/>
              </w:rPr>
              <w:t xml:space="preserve"> </w:t>
            </w:r>
            <w:r w:rsidRPr="006927C1">
              <w:rPr>
                <w:sz w:val="22"/>
                <w:szCs w:val="22"/>
                <w:lang w:val="sr-Latn-ME"/>
              </w:rPr>
              <w:t>(73)</w:t>
            </w:r>
          </w:p>
        </w:tc>
        <w:tc>
          <w:tcPr>
            <w:tcW w:w="1816" w:type="dxa"/>
            <w:vAlign w:val="center"/>
          </w:tcPr>
          <w:p w:rsidR="00556CC6" w:rsidRPr="006927C1" w:rsidRDefault="00556CC6" w:rsidP="00556CC6">
            <w:pPr>
              <w:widowControl w:val="0"/>
              <w:autoSpaceDE w:val="0"/>
              <w:autoSpaceDN w:val="0"/>
              <w:spacing w:line="210" w:lineRule="exact"/>
              <w:ind w:left="246" w:right="236"/>
              <w:jc w:val="center"/>
              <w:rPr>
                <w:sz w:val="22"/>
                <w:szCs w:val="22"/>
                <w:lang w:val="sr-Latn-ME"/>
              </w:rPr>
            </w:pPr>
            <w:r w:rsidRPr="006927C1">
              <w:rPr>
                <w:sz w:val="22"/>
                <w:szCs w:val="22"/>
                <w:lang w:val="sr-Latn-ME"/>
              </w:rPr>
              <w:t>900</w:t>
            </w:r>
            <w:r w:rsidRPr="006927C1">
              <w:rPr>
                <w:spacing w:val="-2"/>
                <w:sz w:val="22"/>
                <w:szCs w:val="22"/>
                <w:lang w:val="sr-Latn-ME"/>
              </w:rPr>
              <w:t xml:space="preserve"> </w:t>
            </w:r>
            <w:r w:rsidRPr="006927C1">
              <w:rPr>
                <w:sz w:val="22"/>
                <w:szCs w:val="22"/>
                <w:lang w:val="sr-Latn-ME"/>
              </w:rPr>
              <w:t>(72)</w:t>
            </w:r>
          </w:p>
        </w:tc>
      </w:tr>
      <w:tr w:rsidR="00556CC6" w:rsidRPr="006927C1" w:rsidTr="00556CC6">
        <w:trPr>
          <w:trHeight w:val="287"/>
          <w:jc w:val="center"/>
        </w:trPr>
        <w:tc>
          <w:tcPr>
            <w:tcW w:w="9067" w:type="dxa"/>
            <w:gridSpan w:val="3"/>
            <w:vAlign w:val="center"/>
          </w:tcPr>
          <w:p w:rsidR="00556CC6" w:rsidRPr="006927C1" w:rsidRDefault="00556CC6" w:rsidP="00556CC6">
            <w:pPr>
              <w:widowControl w:val="0"/>
              <w:autoSpaceDE w:val="0"/>
              <w:autoSpaceDN w:val="0"/>
              <w:spacing w:line="225" w:lineRule="exact"/>
              <w:ind w:left="110"/>
              <w:rPr>
                <w:b/>
                <w:sz w:val="22"/>
                <w:szCs w:val="22"/>
                <w:lang w:val="sr-Latn-ME"/>
              </w:rPr>
            </w:pPr>
            <w:r w:rsidRPr="006927C1">
              <w:rPr>
                <w:b/>
                <w:sz w:val="22"/>
                <w:szCs w:val="22"/>
                <w:lang w:val="sr-Latn-ME"/>
              </w:rPr>
              <w:t>Seksualni</w:t>
            </w:r>
            <w:r w:rsidRPr="006927C1">
              <w:rPr>
                <w:b/>
                <w:spacing w:val="-2"/>
                <w:sz w:val="22"/>
                <w:szCs w:val="22"/>
                <w:lang w:val="sr-Latn-ME"/>
              </w:rPr>
              <w:t xml:space="preserve"> </w:t>
            </w:r>
            <w:r w:rsidRPr="006927C1">
              <w:rPr>
                <w:b/>
                <w:sz w:val="22"/>
                <w:szCs w:val="22"/>
                <w:lang w:val="sr-Latn-ME"/>
              </w:rPr>
              <w:t>faktori</w:t>
            </w:r>
            <w:r w:rsidRPr="006927C1">
              <w:rPr>
                <w:b/>
                <w:spacing w:val="-4"/>
                <w:sz w:val="22"/>
                <w:szCs w:val="22"/>
                <w:lang w:val="sr-Latn-ME"/>
              </w:rPr>
              <w:t xml:space="preserve"> </w:t>
            </w:r>
            <w:r w:rsidRPr="006927C1">
              <w:rPr>
                <w:b/>
                <w:sz w:val="22"/>
                <w:szCs w:val="22"/>
                <w:lang w:val="sr-Latn-ME"/>
              </w:rPr>
              <w:t>rizika</w:t>
            </w:r>
            <w:r w:rsidRPr="006927C1">
              <w:rPr>
                <w:b/>
                <w:spacing w:val="-1"/>
                <w:sz w:val="22"/>
                <w:szCs w:val="22"/>
                <w:lang w:val="sr-Latn-ME"/>
              </w:rPr>
              <w:t xml:space="preserve"> </w:t>
            </w:r>
            <w:r w:rsidRPr="006927C1">
              <w:rPr>
                <w:b/>
                <w:sz w:val="22"/>
                <w:szCs w:val="22"/>
                <w:lang w:val="sr-Latn-ME"/>
              </w:rPr>
              <w:t>prilikom</w:t>
            </w:r>
            <w:r w:rsidRPr="006927C1">
              <w:rPr>
                <w:b/>
                <w:spacing w:val="-3"/>
                <w:sz w:val="22"/>
                <w:szCs w:val="22"/>
                <w:lang w:val="sr-Latn-ME"/>
              </w:rPr>
              <w:t xml:space="preserve"> </w:t>
            </w:r>
            <w:r w:rsidRPr="006927C1">
              <w:rPr>
                <w:b/>
                <w:sz w:val="22"/>
                <w:szCs w:val="22"/>
                <w:lang w:val="sr-Latn-ME"/>
              </w:rPr>
              <w:t>skrininga</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276"/>
              <w:rPr>
                <w:sz w:val="22"/>
                <w:szCs w:val="22"/>
                <w:lang w:val="sr-Latn-ME"/>
              </w:rPr>
            </w:pPr>
            <w:r w:rsidRPr="006927C1">
              <w:rPr>
                <w:sz w:val="22"/>
                <w:szCs w:val="22"/>
                <w:lang w:val="sr-Latn-ME"/>
              </w:rPr>
              <w:t>Broj</w:t>
            </w:r>
            <w:r w:rsidRPr="006927C1">
              <w:rPr>
                <w:spacing w:val="-3"/>
                <w:sz w:val="22"/>
                <w:szCs w:val="22"/>
                <w:lang w:val="sr-Latn-ME"/>
              </w:rPr>
              <w:t xml:space="preserve"> </w:t>
            </w:r>
            <w:r w:rsidRPr="006927C1">
              <w:rPr>
                <w:sz w:val="22"/>
                <w:szCs w:val="22"/>
                <w:lang w:val="sr-Latn-ME"/>
              </w:rPr>
              <w:t>partnera</w:t>
            </w:r>
            <w:r w:rsidRPr="006927C1">
              <w:rPr>
                <w:spacing w:val="-3"/>
                <w:sz w:val="22"/>
                <w:szCs w:val="22"/>
                <w:lang w:val="sr-Latn-ME"/>
              </w:rPr>
              <w:t xml:space="preserve"> </w:t>
            </w:r>
            <w:r w:rsidRPr="006927C1">
              <w:rPr>
                <w:sz w:val="22"/>
                <w:szCs w:val="22"/>
                <w:lang w:val="sr-Latn-ME"/>
              </w:rPr>
              <w:t>u</w:t>
            </w:r>
            <w:r w:rsidRPr="006927C1">
              <w:rPr>
                <w:spacing w:val="-5"/>
                <w:sz w:val="22"/>
                <w:szCs w:val="22"/>
                <w:lang w:val="sr-Latn-ME"/>
              </w:rPr>
              <w:t xml:space="preserve"> </w:t>
            </w:r>
            <w:r w:rsidRPr="006927C1">
              <w:rPr>
                <w:sz w:val="22"/>
                <w:szCs w:val="22"/>
                <w:lang w:val="sr-Latn-ME"/>
              </w:rPr>
              <w:t>prethodnih 12</w:t>
            </w:r>
            <w:r w:rsidRPr="006927C1">
              <w:rPr>
                <w:spacing w:val="-4"/>
                <w:sz w:val="22"/>
                <w:szCs w:val="22"/>
                <w:lang w:val="sr-Latn-ME"/>
              </w:rPr>
              <w:t xml:space="preserve"> </w:t>
            </w:r>
            <w:r w:rsidRPr="006927C1">
              <w:rPr>
                <w:sz w:val="22"/>
                <w:szCs w:val="22"/>
                <w:lang w:val="sr-Latn-ME"/>
              </w:rPr>
              <w:t>nedjelja,</w:t>
            </w:r>
            <w:r w:rsidRPr="006927C1">
              <w:rPr>
                <w:spacing w:val="-3"/>
                <w:sz w:val="22"/>
                <w:szCs w:val="22"/>
                <w:lang w:val="sr-Latn-ME"/>
              </w:rPr>
              <w:t xml:space="preserve"> </w:t>
            </w:r>
            <w:r w:rsidRPr="006927C1">
              <w:rPr>
                <w:sz w:val="22"/>
                <w:szCs w:val="22"/>
                <w:lang w:val="sr-Latn-ME"/>
              </w:rPr>
              <w:t>srednja</w:t>
            </w:r>
            <w:r w:rsidRPr="006927C1">
              <w:rPr>
                <w:spacing w:val="-4"/>
                <w:sz w:val="22"/>
                <w:szCs w:val="22"/>
                <w:lang w:val="sr-Latn-ME"/>
              </w:rPr>
              <w:t xml:space="preserve"> </w:t>
            </w:r>
            <w:r w:rsidRPr="006927C1">
              <w:rPr>
                <w:sz w:val="22"/>
                <w:szCs w:val="22"/>
                <w:lang w:val="sr-Latn-ME"/>
              </w:rPr>
              <w:t>vrijednost</w:t>
            </w:r>
            <w:r w:rsidRPr="006927C1">
              <w:rPr>
                <w:spacing w:val="2"/>
                <w:sz w:val="22"/>
                <w:szCs w:val="22"/>
                <w:lang w:val="sr-Latn-ME"/>
              </w:rPr>
              <w:t xml:space="preserve"> </w:t>
            </w:r>
            <w:r w:rsidRPr="006927C1">
              <w:rPr>
                <w:sz w:val="22"/>
                <w:szCs w:val="22"/>
                <w:lang w:val="sr-Latn-ME"/>
              </w:rPr>
              <w:t>(SD)</w:t>
            </w:r>
          </w:p>
        </w:tc>
        <w:tc>
          <w:tcPr>
            <w:tcW w:w="1651" w:type="dxa"/>
            <w:vAlign w:val="center"/>
          </w:tcPr>
          <w:p w:rsidR="00556CC6" w:rsidRPr="006927C1" w:rsidRDefault="00556CC6" w:rsidP="00556CC6">
            <w:pPr>
              <w:widowControl w:val="0"/>
              <w:autoSpaceDE w:val="0"/>
              <w:autoSpaceDN w:val="0"/>
              <w:spacing w:line="210" w:lineRule="exact"/>
              <w:ind w:left="241" w:right="222"/>
              <w:jc w:val="center"/>
              <w:rPr>
                <w:sz w:val="22"/>
                <w:szCs w:val="22"/>
                <w:lang w:val="sr-Latn-ME"/>
              </w:rPr>
            </w:pPr>
            <w:r w:rsidRPr="006927C1">
              <w:rPr>
                <w:sz w:val="22"/>
                <w:szCs w:val="22"/>
                <w:lang w:val="sr-Latn-ME"/>
              </w:rPr>
              <w:t>18</w:t>
            </w:r>
            <w:r w:rsidRPr="006927C1">
              <w:rPr>
                <w:spacing w:val="-2"/>
                <w:sz w:val="22"/>
                <w:szCs w:val="22"/>
                <w:lang w:val="sr-Latn-ME"/>
              </w:rPr>
              <w:t xml:space="preserve"> </w:t>
            </w:r>
            <w:r w:rsidRPr="006927C1">
              <w:rPr>
                <w:sz w:val="22"/>
                <w:szCs w:val="22"/>
                <w:lang w:val="sr-Latn-ME"/>
              </w:rPr>
              <w:t>(43)</w:t>
            </w:r>
          </w:p>
        </w:tc>
        <w:tc>
          <w:tcPr>
            <w:tcW w:w="1816" w:type="dxa"/>
            <w:vAlign w:val="center"/>
          </w:tcPr>
          <w:p w:rsidR="00556CC6" w:rsidRPr="006927C1" w:rsidRDefault="00556CC6" w:rsidP="00556CC6">
            <w:pPr>
              <w:widowControl w:val="0"/>
              <w:autoSpaceDE w:val="0"/>
              <w:autoSpaceDN w:val="0"/>
              <w:spacing w:line="210" w:lineRule="exact"/>
              <w:ind w:left="246" w:right="241"/>
              <w:jc w:val="center"/>
              <w:rPr>
                <w:sz w:val="22"/>
                <w:szCs w:val="22"/>
                <w:lang w:val="sr-Latn-ME"/>
              </w:rPr>
            </w:pPr>
            <w:r w:rsidRPr="006927C1">
              <w:rPr>
                <w:sz w:val="22"/>
                <w:szCs w:val="22"/>
                <w:lang w:val="sr-Latn-ME"/>
              </w:rPr>
              <w:t>18</w:t>
            </w:r>
            <w:r w:rsidRPr="006927C1">
              <w:rPr>
                <w:spacing w:val="-2"/>
                <w:sz w:val="22"/>
                <w:szCs w:val="22"/>
                <w:lang w:val="sr-Latn-ME"/>
              </w:rPr>
              <w:t xml:space="preserve"> </w:t>
            </w:r>
            <w:r w:rsidRPr="006927C1">
              <w:rPr>
                <w:sz w:val="22"/>
                <w:szCs w:val="22"/>
                <w:lang w:val="sr-Latn-ME"/>
              </w:rPr>
              <w:t>(35)</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276"/>
              <w:rPr>
                <w:sz w:val="22"/>
                <w:szCs w:val="22"/>
                <w:lang w:val="sr-Latn-ME"/>
              </w:rPr>
            </w:pPr>
            <w:r w:rsidRPr="006927C1">
              <w:rPr>
                <w:sz w:val="22"/>
                <w:szCs w:val="22"/>
                <w:lang w:val="sr-Latn-ME"/>
              </w:rPr>
              <w:t>URAI u</w:t>
            </w:r>
            <w:r w:rsidRPr="006927C1">
              <w:rPr>
                <w:spacing w:val="-2"/>
                <w:sz w:val="22"/>
                <w:szCs w:val="22"/>
                <w:lang w:val="sr-Latn-ME"/>
              </w:rPr>
              <w:t xml:space="preserve"> </w:t>
            </w:r>
            <w:r w:rsidRPr="006927C1">
              <w:rPr>
                <w:sz w:val="22"/>
                <w:szCs w:val="22"/>
                <w:lang w:val="sr-Latn-ME"/>
              </w:rPr>
              <w:t>prethodnih</w:t>
            </w:r>
            <w:r w:rsidRPr="006927C1">
              <w:rPr>
                <w:spacing w:val="-2"/>
                <w:sz w:val="22"/>
                <w:szCs w:val="22"/>
                <w:lang w:val="sr-Latn-ME"/>
              </w:rPr>
              <w:t xml:space="preserve"> </w:t>
            </w:r>
            <w:r w:rsidRPr="006927C1">
              <w:rPr>
                <w:sz w:val="22"/>
                <w:szCs w:val="22"/>
                <w:lang w:val="sr-Latn-ME"/>
              </w:rPr>
              <w:t>12</w:t>
            </w:r>
            <w:r w:rsidRPr="006927C1">
              <w:rPr>
                <w:spacing w:val="-1"/>
                <w:sz w:val="22"/>
                <w:szCs w:val="22"/>
                <w:lang w:val="sr-Latn-ME"/>
              </w:rPr>
              <w:t xml:space="preserve"> </w:t>
            </w:r>
            <w:r w:rsidRPr="006927C1">
              <w:rPr>
                <w:sz w:val="22"/>
                <w:szCs w:val="22"/>
                <w:lang w:val="sr-Latn-ME"/>
              </w:rPr>
              <w:t>nedjelja,</w:t>
            </w:r>
            <w:r w:rsidRPr="006927C1">
              <w:rPr>
                <w:spacing w:val="-2"/>
                <w:sz w:val="22"/>
                <w:szCs w:val="22"/>
                <w:lang w:val="sr-Latn-ME"/>
              </w:rPr>
              <w:t xml:space="preserve"> </w:t>
            </w:r>
            <w:r w:rsidRPr="006927C1">
              <w:rPr>
                <w:sz w:val="22"/>
                <w:szCs w:val="22"/>
                <w:lang w:val="sr-Latn-ME"/>
              </w:rPr>
              <w:t>N</w:t>
            </w:r>
            <w:r w:rsidRPr="006927C1">
              <w:rPr>
                <w:spacing w:val="-2"/>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10" w:lineRule="exact"/>
              <w:ind w:left="236" w:right="222"/>
              <w:jc w:val="center"/>
              <w:rPr>
                <w:sz w:val="22"/>
                <w:szCs w:val="22"/>
                <w:lang w:val="sr-Latn-ME"/>
              </w:rPr>
            </w:pPr>
            <w:r w:rsidRPr="006927C1">
              <w:rPr>
                <w:sz w:val="22"/>
                <w:szCs w:val="22"/>
                <w:lang w:val="sr-Latn-ME"/>
              </w:rPr>
              <w:t>753</w:t>
            </w:r>
            <w:r w:rsidRPr="006927C1">
              <w:rPr>
                <w:spacing w:val="-2"/>
                <w:sz w:val="22"/>
                <w:szCs w:val="22"/>
                <w:lang w:val="sr-Latn-ME"/>
              </w:rPr>
              <w:t xml:space="preserve"> </w:t>
            </w:r>
            <w:r w:rsidRPr="006927C1">
              <w:rPr>
                <w:sz w:val="22"/>
                <w:szCs w:val="22"/>
                <w:lang w:val="sr-Latn-ME"/>
              </w:rPr>
              <w:t>(60)</w:t>
            </w:r>
          </w:p>
        </w:tc>
        <w:tc>
          <w:tcPr>
            <w:tcW w:w="1816" w:type="dxa"/>
            <w:vAlign w:val="center"/>
          </w:tcPr>
          <w:p w:rsidR="00556CC6" w:rsidRPr="006927C1" w:rsidRDefault="00556CC6" w:rsidP="00556CC6">
            <w:pPr>
              <w:widowControl w:val="0"/>
              <w:autoSpaceDE w:val="0"/>
              <w:autoSpaceDN w:val="0"/>
              <w:spacing w:line="210" w:lineRule="exact"/>
              <w:ind w:left="246" w:right="236"/>
              <w:jc w:val="center"/>
              <w:rPr>
                <w:sz w:val="22"/>
                <w:szCs w:val="22"/>
                <w:lang w:val="sr-Latn-ME"/>
              </w:rPr>
            </w:pPr>
            <w:r w:rsidRPr="006927C1">
              <w:rPr>
                <w:sz w:val="22"/>
                <w:szCs w:val="22"/>
                <w:lang w:val="sr-Latn-ME"/>
              </w:rPr>
              <w:t>732</w:t>
            </w:r>
            <w:r w:rsidRPr="006927C1">
              <w:rPr>
                <w:spacing w:val="-2"/>
                <w:sz w:val="22"/>
                <w:szCs w:val="22"/>
                <w:lang w:val="sr-Latn-ME"/>
              </w:rPr>
              <w:t xml:space="preserve"> </w:t>
            </w:r>
            <w:r w:rsidRPr="006927C1">
              <w:rPr>
                <w:sz w:val="22"/>
                <w:szCs w:val="22"/>
                <w:lang w:val="sr-Latn-ME"/>
              </w:rPr>
              <w:t>(59)</w:t>
            </w:r>
          </w:p>
        </w:tc>
      </w:tr>
      <w:tr w:rsidR="00556CC6" w:rsidRPr="006927C1" w:rsidTr="00556CC6">
        <w:trPr>
          <w:trHeight w:val="460"/>
          <w:jc w:val="center"/>
        </w:trPr>
        <w:tc>
          <w:tcPr>
            <w:tcW w:w="5600" w:type="dxa"/>
          </w:tcPr>
          <w:p w:rsidR="00556CC6" w:rsidRPr="006927C1" w:rsidRDefault="00556CC6" w:rsidP="00424630">
            <w:pPr>
              <w:widowControl w:val="0"/>
              <w:autoSpaceDE w:val="0"/>
              <w:autoSpaceDN w:val="0"/>
              <w:spacing w:line="221" w:lineRule="exact"/>
              <w:ind w:left="276"/>
              <w:rPr>
                <w:sz w:val="22"/>
                <w:szCs w:val="22"/>
                <w:lang w:val="sr-Latn-ME"/>
              </w:rPr>
            </w:pPr>
            <w:r w:rsidRPr="006927C1">
              <w:rPr>
                <w:sz w:val="22"/>
                <w:szCs w:val="22"/>
                <w:lang w:val="sr-Latn-ME"/>
              </w:rPr>
              <w:t>URAI</w:t>
            </w:r>
            <w:r w:rsidRPr="006927C1">
              <w:rPr>
                <w:spacing w:val="-2"/>
                <w:sz w:val="22"/>
                <w:szCs w:val="22"/>
                <w:lang w:val="sr-Latn-ME"/>
              </w:rPr>
              <w:t xml:space="preserve"> </w:t>
            </w:r>
            <w:r w:rsidRPr="006927C1">
              <w:rPr>
                <w:sz w:val="22"/>
                <w:szCs w:val="22"/>
                <w:lang w:val="sr-Latn-ME"/>
              </w:rPr>
              <w:t>sa</w:t>
            </w:r>
            <w:r w:rsidRPr="006927C1">
              <w:rPr>
                <w:spacing w:val="2"/>
                <w:sz w:val="22"/>
                <w:szCs w:val="22"/>
                <w:lang w:val="sr-Latn-ME"/>
              </w:rPr>
              <w:t xml:space="preserve"> </w:t>
            </w:r>
            <w:r w:rsidRPr="006927C1">
              <w:rPr>
                <w:sz w:val="22"/>
                <w:szCs w:val="22"/>
                <w:lang w:val="sr-Latn-ME"/>
              </w:rPr>
              <w:t>HIV+</w:t>
            </w:r>
            <w:r w:rsidRPr="006927C1">
              <w:rPr>
                <w:spacing w:val="-4"/>
                <w:sz w:val="22"/>
                <w:szCs w:val="22"/>
                <w:lang w:val="sr-Latn-ME"/>
              </w:rPr>
              <w:t xml:space="preserve"> </w:t>
            </w:r>
            <w:r w:rsidRPr="006927C1">
              <w:rPr>
                <w:sz w:val="22"/>
                <w:szCs w:val="22"/>
                <w:lang w:val="sr-Latn-ME"/>
              </w:rPr>
              <w:t>(ili</w:t>
            </w:r>
            <w:r w:rsidRPr="006927C1">
              <w:rPr>
                <w:spacing w:val="-4"/>
                <w:sz w:val="22"/>
                <w:szCs w:val="22"/>
                <w:lang w:val="sr-Latn-ME"/>
              </w:rPr>
              <w:t xml:space="preserve"> </w:t>
            </w:r>
            <w:r w:rsidRPr="006927C1">
              <w:rPr>
                <w:sz w:val="22"/>
                <w:szCs w:val="22"/>
                <w:lang w:val="sr-Latn-ME"/>
              </w:rPr>
              <w:t>nepoznatim</w:t>
            </w:r>
            <w:r w:rsidRPr="006927C1">
              <w:rPr>
                <w:spacing w:val="-3"/>
                <w:sz w:val="22"/>
                <w:szCs w:val="22"/>
                <w:lang w:val="sr-Latn-ME"/>
              </w:rPr>
              <w:t xml:space="preserve"> </w:t>
            </w:r>
            <w:r w:rsidRPr="006927C1">
              <w:rPr>
                <w:sz w:val="22"/>
                <w:szCs w:val="22"/>
                <w:lang w:val="sr-Latn-ME"/>
              </w:rPr>
              <w:t>statusom)</w:t>
            </w:r>
            <w:r w:rsidRPr="006927C1">
              <w:rPr>
                <w:spacing w:val="-4"/>
                <w:sz w:val="22"/>
                <w:szCs w:val="22"/>
                <w:lang w:val="sr-Latn-ME"/>
              </w:rPr>
              <w:t xml:space="preserve"> </w:t>
            </w:r>
            <w:r w:rsidRPr="006927C1">
              <w:rPr>
                <w:sz w:val="22"/>
                <w:szCs w:val="22"/>
                <w:lang w:val="sr-Latn-ME"/>
              </w:rPr>
              <w:t>partnerom</w:t>
            </w:r>
            <w:r w:rsidRPr="006927C1">
              <w:rPr>
                <w:spacing w:val="-4"/>
                <w:sz w:val="22"/>
                <w:szCs w:val="22"/>
                <w:lang w:val="sr-Latn-ME"/>
              </w:rPr>
              <w:t xml:space="preserve"> </w:t>
            </w:r>
            <w:r w:rsidRPr="006927C1">
              <w:rPr>
                <w:sz w:val="22"/>
                <w:szCs w:val="22"/>
                <w:lang w:val="sr-Latn-ME"/>
              </w:rPr>
              <w:t>u</w:t>
            </w:r>
            <w:r w:rsidRPr="006927C1">
              <w:rPr>
                <w:spacing w:val="-2"/>
                <w:sz w:val="22"/>
                <w:szCs w:val="22"/>
                <w:lang w:val="sr-Latn-ME"/>
              </w:rPr>
              <w:t xml:space="preserve"> </w:t>
            </w:r>
            <w:r w:rsidRPr="006927C1">
              <w:rPr>
                <w:sz w:val="22"/>
                <w:szCs w:val="22"/>
                <w:lang w:val="sr-Latn-ME"/>
              </w:rPr>
              <w:t>posl</w:t>
            </w:r>
            <w:r w:rsidR="00306FC0" w:rsidRPr="006927C1">
              <w:rPr>
                <w:sz w:val="22"/>
                <w:szCs w:val="22"/>
                <w:lang w:val="sr-Latn-ME"/>
              </w:rPr>
              <w:t>j</w:t>
            </w:r>
            <w:r w:rsidRPr="006927C1">
              <w:rPr>
                <w:sz w:val="22"/>
                <w:szCs w:val="22"/>
                <w:lang w:val="sr-Latn-ME"/>
              </w:rPr>
              <w:t>ednjih 6</w:t>
            </w:r>
            <w:r w:rsidRPr="006927C1">
              <w:rPr>
                <w:spacing w:val="-5"/>
                <w:sz w:val="22"/>
                <w:szCs w:val="22"/>
                <w:lang w:val="sr-Latn-ME"/>
              </w:rPr>
              <w:t xml:space="preserve"> </w:t>
            </w:r>
            <w:r w:rsidRPr="006927C1">
              <w:rPr>
                <w:sz w:val="22"/>
                <w:szCs w:val="22"/>
                <w:lang w:val="sr-Latn-ME"/>
              </w:rPr>
              <w:t>mjeseci, N</w:t>
            </w:r>
            <w:r w:rsidRPr="006927C1">
              <w:rPr>
                <w:spacing w:val="1"/>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21" w:lineRule="exact"/>
              <w:ind w:left="241" w:right="222"/>
              <w:jc w:val="center"/>
              <w:rPr>
                <w:sz w:val="22"/>
                <w:szCs w:val="22"/>
                <w:lang w:val="sr-Latn-ME"/>
              </w:rPr>
            </w:pPr>
            <w:r w:rsidRPr="006927C1">
              <w:rPr>
                <w:sz w:val="22"/>
                <w:szCs w:val="22"/>
                <w:lang w:val="sr-Latn-ME"/>
              </w:rPr>
              <w:t>1009</w:t>
            </w:r>
            <w:r w:rsidRPr="006927C1">
              <w:rPr>
                <w:spacing w:val="-2"/>
                <w:sz w:val="22"/>
                <w:szCs w:val="22"/>
                <w:lang w:val="sr-Latn-ME"/>
              </w:rPr>
              <w:t xml:space="preserve"> </w:t>
            </w:r>
            <w:r w:rsidRPr="006927C1">
              <w:rPr>
                <w:sz w:val="22"/>
                <w:szCs w:val="22"/>
                <w:lang w:val="sr-Latn-ME"/>
              </w:rPr>
              <w:t>(81)</w:t>
            </w:r>
          </w:p>
        </w:tc>
        <w:tc>
          <w:tcPr>
            <w:tcW w:w="1816" w:type="dxa"/>
            <w:vAlign w:val="center"/>
          </w:tcPr>
          <w:p w:rsidR="00556CC6" w:rsidRPr="006927C1" w:rsidRDefault="00556CC6" w:rsidP="00556CC6">
            <w:pPr>
              <w:widowControl w:val="0"/>
              <w:autoSpaceDE w:val="0"/>
              <w:autoSpaceDN w:val="0"/>
              <w:spacing w:line="221" w:lineRule="exact"/>
              <w:ind w:left="246" w:right="236"/>
              <w:jc w:val="center"/>
              <w:rPr>
                <w:sz w:val="22"/>
                <w:szCs w:val="22"/>
                <w:lang w:val="sr-Latn-ME"/>
              </w:rPr>
            </w:pPr>
            <w:r w:rsidRPr="006927C1">
              <w:rPr>
                <w:sz w:val="22"/>
                <w:szCs w:val="22"/>
                <w:lang w:val="sr-Latn-ME"/>
              </w:rPr>
              <w:t>992</w:t>
            </w:r>
            <w:r w:rsidRPr="006927C1">
              <w:rPr>
                <w:spacing w:val="-2"/>
                <w:sz w:val="22"/>
                <w:szCs w:val="22"/>
                <w:lang w:val="sr-Latn-ME"/>
              </w:rPr>
              <w:t xml:space="preserve"> </w:t>
            </w:r>
            <w:r w:rsidRPr="006927C1">
              <w:rPr>
                <w:sz w:val="22"/>
                <w:szCs w:val="22"/>
                <w:lang w:val="sr-Latn-ME"/>
              </w:rPr>
              <w:t>(79)</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276"/>
              <w:rPr>
                <w:sz w:val="22"/>
                <w:szCs w:val="22"/>
                <w:lang w:val="sr-Latn-ME"/>
              </w:rPr>
            </w:pPr>
            <w:r w:rsidRPr="006927C1">
              <w:rPr>
                <w:sz w:val="22"/>
                <w:szCs w:val="22"/>
                <w:lang w:val="sr-Latn-ME"/>
              </w:rPr>
              <w:t>Bavili</w:t>
            </w:r>
            <w:r w:rsidRPr="006927C1">
              <w:rPr>
                <w:spacing w:val="-4"/>
                <w:sz w:val="22"/>
                <w:szCs w:val="22"/>
                <w:lang w:val="sr-Latn-ME"/>
              </w:rPr>
              <w:t xml:space="preserve"> </w:t>
            </w:r>
            <w:r w:rsidRPr="006927C1">
              <w:rPr>
                <w:sz w:val="22"/>
                <w:szCs w:val="22"/>
                <w:lang w:val="sr-Latn-ME"/>
              </w:rPr>
              <w:t>se</w:t>
            </w:r>
            <w:r w:rsidRPr="006927C1">
              <w:rPr>
                <w:spacing w:val="-4"/>
                <w:sz w:val="22"/>
                <w:szCs w:val="22"/>
                <w:lang w:val="sr-Latn-ME"/>
              </w:rPr>
              <w:t xml:space="preserve"> </w:t>
            </w:r>
            <w:r w:rsidRPr="006927C1">
              <w:rPr>
                <w:sz w:val="22"/>
                <w:szCs w:val="22"/>
                <w:lang w:val="sr-Latn-ME"/>
              </w:rPr>
              <w:t>transakcijskim</w:t>
            </w:r>
            <w:r w:rsidRPr="006927C1">
              <w:rPr>
                <w:spacing w:val="1"/>
                <w:sz w:val="22"/>
                <w:szCs w:val="22"/>
                <w:lang w:val="sr-Latn-ME"/>
              </w:rPr>
              <w:t xml:space="preserve"> </w:t>
            </w:r>
            <w:r w:rsidRPr="006927C1">
              <w:rPr>
                <w:sz w:val="22"/>
                <w:szCs w:val="22"/>
                <w:lang w:val="sr-Latn-ME"/>
              </w:rPr>
              <w:t>polnim</w:t>
            </w:r>
            <w:r w:rsidRPr="006927C1">
              <w:rPr>
                <w:spacing w:val="-4"/>
                <w:sz w:val="22"/>
                <w:szCs w:val="22"/>
                <w:lang w:val="sr-Latn-ME"/>
              </w:rPr>
              <w:t xml:space="preserve"> </w:t>
            </w:r>
            <w:r w:rsidRPr="006927C1">
              <w:rPr>
                <w:sz w:val="22"/>
                <w:szCs w:val="22"/>
                <w:lang w:val="sr-Latn-ME"/>
              </w:rPr>
              <w:t>odnosom</w:t>
            </w:r>
            <w:r w:rsidRPr="006927C1">
              <w:rPr>
                <w:spacing w:val="1"/>
                <w:sz w:val="22"/>
                <w:szCs w:val="22"/>
                <w:lang w:val="sr-Latn-ME"/>
              </w:rPr>
              <w:t xml:space="preserve"> </w:t>
            </w:r>
            <w:r w:rsidRPr="006927C1">
              <w:rPr>
                <w:sz w:val="22"/>
                <w:szCs w:val="22"/>
                <w:lang w:val="sr-Latn-ME"/>
              </w:rPr>
              <w:t>u</w:t>
            </w:r>
            <w:r w:rsidRPr="006927C1">
              <w:rPr>
                <w:spacing w:val="-4"/>
                <w:sz w:val="22"/>
                <w:szCs w:val="22"/>
                <w:lang w:val="sr-Latn-ME"/>
              </w:rPr>
              <w:t xml:space="preserve"> </w:t>
            </w:r>
            <w:r w:rsidRPr="006927C1">
              <w:rPr>
                <w:sz w:val="22"/>
                <w:szCs w:val="22"/>
                <w:lang w:val="sr-Latn-ME"/>
              </w:rPr>
              <w:t>posl</w:t>
            </w:r>
            <w:r w:rsidR="00306FC0" w:rsidRPr="006927C1">
              <w:rPr>
                <w:sz w:val="22"/>
                <w:szCs w:val="22"/>
                <w:lang w:val="sr-Latn-ME"/>
              </w:rPr>
              <w:t>j</w:t>
            </w:r>
            <w:r w:rsidRPr="006927C1">
              <w:rPr>
                <w:sz w:val="22"/>
                <w:szCs w:val="22"/>
                <w:lang w:val="sr-Latn-ME"/>
              </w:rPr>
              <w:t>ednjih</w:t>
            </w:r>
            <w:r w:rsidRPr="006927C1">
              <w:rPr>
                <w:spacing w:val="-1"/>
                <w:sz w:val="22"/>
                <w:szCs w:val="22"/>
                <w:lang w:val="sr-Latn-ME"/>
              </w:rPr>
              <w:t xml:space="preserve"> </w:t>
            </w:r>
            <w:r w:rsidRPr="006927C1">
              <w:rPr>
                <w:sz w:val="22"/>
                <w:szCs w:val="22"/>
                <w:lang w:val="sr-Latn-ME"/>
              </w:rPr>
              <w:t>6</w:t>
            </w:r>
            <w:r w:rsidRPr="006927C1">
              <w:rPr>
                <w:spacing w:val="-6"/>
                <w:sz w:val="22"/>
                <w:szCs w:val="22"/>
                <w:lang w:val="sr-Latn-ME"/>
              </w:rPr>
              <w:t xml:space="preserve"> </w:t>
            </w:r>
            <w:r w:rsidRPr="006927C1">
              <w:rPr>
                <w:sz w:val="22"/>
                <w:szCs w:val="22"/>
                <w:lang w:val="sr-Latn-ME"/>
              </w:rPr>
              <w:t>mjeseci,</w:t>
            </w:r>
            <w:r w:rsidRPr="006927C1">
              <w:rPr>
                <w:spacing w:val="-2"/>
                <w:sz w:val="22"/>
                <w:szCs w:val="22"/>
                <w:lang w:val="sr-Latn-ME"/>
              </w:rPr>
              <w:t xml:space="preserve"> </w:t>
            </w:r>
            <w:r w:rsidRPr="006927C1">
              <w:rPr>
                <w:sz w:val="22"/>
                <w:szCs w:val="22"/>
                <w:lang w:val="sr-Latn-ME"/>
              </w:rPr>
              <w:t>N</w:t>
            </w:r>
            <w:r w:rsidRPr="006927C1">
              <w:rPr>
                <w:spacing w:val="-3"/>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10" w:lineRule="exact"/>
              <w:ind w:left="236" w:right="222"/>
              <w:jc w:val="center"/>
              <w:rPr>
                <w:sz w:val="22"/>
                <w:szCs w:val="22"/>
                <w:lang w:val="sr-Latn-ME"/>
              </w:rPr>
            </w:pPr>
            <w:r w:rsidRPr="006927C1">
              <w:rPr>
                <w:sz w:val="22"/>
                <w:szCs w:val="22"/>
                <w:lang w:val="sr-Latn-ME"/>
              </w:rPr>
              <w:t>510</w:t>
            </w:r>
            <w:r w:rsidRPr="006927C1">
              <w:rPr>
                <w:spacing w:val="-2"/>
                <w:sz w:val="22"/>
                <w:szCs w:val="22"/>
                <w:lang w:val="sr-Latn-ME"/>
              </w:rPr>
              <w:t xml:space="preserve"> </w:t>
            </w:r>
            <w:r w:rsidRPr="006927C1">
              <w:rPr>
                <w:sz w:val="22"/>
                <w:szCs w:val="22"/>
                <w:lang w:val="sr-Latn-ME"/>
              </w:rPr>
              <w:t>(41)</w:t>
            </w:r>
          </w:p>
        </w:tc>
        <w:tc>
          <w:tcPr>
            <w:tcW w:w="1816" w:type="dxa"/>
            <w:vAlign w:val="center"/>
          </w:tcPr>
          <w:p w:rsidR="00556CC6" w:rsidRPr="006927C1" w:rsidRDefault="00556CC6" w:rsidP="00556CC6">
            <w:pPr>
              <w:widowControl w:val="0"/>
              <w:autoSpaceDE w:val="0"/>
              <w:autoSpaceDN w:val="0"/>
              <w:spacing w:line="210" w:lineRule="exact"/>
              <w:ind w:left="246" w:right="236"/>
              <w:jc w:val="center"/>
              <w:rPr>
                <w:sz w:val="22"/>
                <w:szCs w:val="22"/>
                <w:lang w:val="sr-Latn-ME"/>
              </w:rPr>
            </w:pPr>
            <w:r w:rsidRPr="006927C1">
              <w:rPr>
                <w:sz w:val="22"/>
                <w:szCs w:val="22"/>
                <w:lang w:val="sr-Latn-ME"/>
              </w:rPr>
              <w:t>517</w:t>
            </w:r>
            <w:r w:rsidRPr="006927C1">
              <w:rPr>
                <w:spacing w:val="-2"/>
                <w:sz w:val="22"/>
                <w:szCs w:val="22"/>
                <w:lang w:val="sr-Latn-ME"/>
              </w:rPr>
              <w:t xml:space="preserve"> </w:t>
            </w:r>
            <w:r w:rsidRPr="006927C1">
              <w:rPr>
                <w:sz w:val="22"/>
                <w:szCs w:val="22"/>
                <w:lang w:val="sr-Latn-ME"/>
              </w:rPr>
              <w:t>(41)</w:t>
            </w:r>
          </w:p>
        </w:tc>
      </w:tr>
      <w:tr w:rsidR="00556CC6" w:rsidRPr="006927C1" w:rsidTr="00556CC6">
        <w:trPr>
          <w:trHeight w:val="225"/>
          <w:jc w:val="center"/>
        </w:trPr>
        <w:tc>
          <w:tcPr>
            <w:tcW w:w="5600" w:type="dxa"/>
          </w:tcPr>
          <w:p w:rsidR="00556CC6" w:rsidRPr="006927C1" w:rsidRDefault="00556CC6" w:rsidP="00424630">
            <w:pPr>
              <w:widowControl w:val="0"/>
              <w:autoSpaceDE w:val="0"/>
              <w:autoSpaceDN w:val="0"/>
              <w:spacing w:line="205" w:lineRule="exact"/>
              <w:ind w:left="276"/>
              <w:rPr>
                <w:sz w:val="22"/>
                <w:szCs w:val="22"/>
                <w:lang w:val="sr-Latn-ME"/>
              </w:rPr>
            </w:pPr>
            <w:r w:rsidRPr="006927C1">
              <w:rPr>
                <w:sz w:val="22"/>
                <w:szCs w:val="22"/>
                <w:lang w:val="sr-Latn-ME"/>
              </w:rPr>
              <w:t>Poznati</w:t>
            </w:r>
            <w:r w:rsidRPr="006927C1">
              <w:rPr>
                <w:spacing w:val="-3"/>
                <w:sz w:val="22"/>
                <w:szCs w:val="22"/>
                <w:lang w:val="sr-Latn-ME"/>
              </w:rPr>
              <w:t xml:space="preserve"> </w:t>
            </w:r>
            <w:r w:rsidRPr="006927C1">
              <w:rPr>
                <w:sz w:val="22"/>
                <w:szCs w:val="22"/>
                <w:lang w:val="sr-Latn-ME"/>
              </w:rPr>
              <w:t>HIV+</w:t>
            </w:r>
            <w:r w:rsidRPr="006927C1">
              <w:rPr>
                <w:spacing w:val="-1"/>
                <w:sz w:val="22"/>
                <w:szCs w:val="22"/>
                <w:lang w:val="sr-Latn-ME"/>
              </w:rPr>
              <w:t xml:space="preserve"> </w:t>
            </w:r>
            <w:r w:rsidRPr="006927C1">
              <w:rPr>
                <w:sz w:val="22"/>
                <w:szCs w:val="22"/>
                <w:lang w:val="sr-Latn-ME"/>
              </w:rPr>
              <w:t>partner</w:t>
            </w:r>
            <w:r w:rsidRPr="006927C1">
              <w:rPr>
                <w:spacing w:val="-3"/>
                <w:sz w:val="22"/>
                <w:szCs w:val="22"/>
                <w:lang w:val="sr-Latn-ME"/>
              </w:rPr>
              <w:t xml:space="preserve"> </w:t>
            </w:r>
            <w:r w:rsidRPr="006927C1">
              <w:rPr>
                <w:sz w:val="22"/>
                <w:szCs w:val="22"/>
                <w:lang w:val="sr-Latn-ME"/>
              </w:rPr>
              <w:t>u posl</w:t>
            </w:r>
            <w:r w:rsidR="00306FC0" w:rsidRPr="006927C1">
              <w:rPr>
                <w:sz w:val="22"/>
                <w:szCs w:val="22"/>
                <w:lang w:val="sr-Latn-ME"/>
              </w:rPr>
              <w:t>j</w:t>
            </w:r>
            <w:r w:rsidRPr="006927C1">
              <w:rPr>
                <w:sz w:val="22"/>
                <w:szCs w:val="22"/>
                <w:lang w:val="sr-Latn-ME"/>
              </w:rPr>
              <w:t>ednjih 6</w:t>
            </w:r>
            <w:r w:rsidRPr="006927C1">
              <w:rPr>
                <w:spacing w:val="-4"/>
                <w:sz w:val="22"/>
                <w:szCs w:val="22"/>
                <w:lang w:val="sr-Latn-ME"/>
              </w:rPr>
              <w:t xml:space="preserve"> </w:t>
            </w:r>
            <w:r w:rsidRPr="006927C1">
              <w:rPr>
                <w:sz w:val="22"/>
                <w:szCs w:val="22"/>
                <w:lang w:val="sr-Latn-ME"/>
              </w:rPr>
              <w:t>mjeseci,</w:t>
            </w:r>
            <w:r w:rsidRPr="006927C1">
              <w:rPr>
                <w:spacing w:val="-2"/>
                <w:sz w:val="22"/>
                <w:szCs w:val="22"/>
                <w:lang w:val="sr-Latn-ME"/>
              </w:rPr>
              <w:t xml:space="preserve"> </w:t>
            </w:r>
            <w:r w:rsidRPr="006927C1">
              <w:rPr>
                <w:sz w:val="22"/>
                <w:szCs w:val="22"/>
                <w:lang w:val="sr-Latn-ME"/>
              </w:rPr>
              <w:t>N</w:t>
            </w:r>
            <w:r w:rsidRPr="006927C1">
              <w:rPr>
                <w:spacing w:val="-2"/>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05" w:lineRule="exact"/>
              <w:ind w:left="241" w:right="221"/>
              <w:jc w:val="center"/>
              <w:rPr>
                <w:sz w:val="22"/>
                <w:szCs w:val="22"/>
                <w:lang w:val="sr-Latn-ME"/>
              </w:rPr>
            </w:pPr>
            <w:r w:rsidRPr="006927C1">
              <w:rPr>
                <w:sz w:val="22"/>
                <w:szCs w:val="22"/>
                <w:lang w:val="sr-Latn-ME"/>
              </w:rPr>
              <w:t>32</w:t>
            </w:r>
            <w:r w:rsidRPr="006927C1">
              <w:rPr>
                <w:spacing w:val="2"/>
                <w:sz w:val="22"/>
                <w:szCs w:val="22"/>
                <w:lang w:val="sr-Latn-ME"/>
              </w:rPr>
              <w:t xml:space="preserve"> </w:t>
            </w:r>
            <w:r w:rsidRPr="006927C1">
              <w:rPr>
                <w:sz w:val="22"/>
                <w:szCs w:val="22"/>
                <w:lang w:val="sr-Latn-ME"/>
              </w:rPr>
              <w:t>(3)</w:t>
            </w:r>
          </w:p>
        </w:tc>
        <w:tc>
          <w:tcPr>
            <w:tcW w:w="1816" w:type="dxa"/>
            <w:vAlign w:val="center"/>
          </w:tcPr>
          <w:p w:rsidR="00556CC6" w:rsidRPr="006927C1" w:rsidRDefault="00556CC6" w:rsidP="00556CC6">
            <w:pPr>
              <w:widowControl w:val="0"/>
              <w:autoSpaceDE w:val="0"/>
              <w:autoSpaceDN w:val="0"/>
              <w:spacing w:line="205" w:lineRule="exact"/>
              <w:ind w:left="246" w:right="240"/>
              <w:jc w:val="center"/>
              <w:rPr>
                <w:sz w:val="22"/>
                <w:szCs w:val="22"/>
                <w:lang w:val="sr-Latn-ME"/>
              </w:rPr>
            </w:pPr>
            <w:r w:rsidRPr="006927C1">
              <w:rPr>
                <w:sz w:val="22"/>
                <w:szCs w:val="22"/>
                <w:lang w:val="sr-Latn-ME"/>
              </w:rPr>
              <w:t>23</w:t>
            </w:r>
            <w:r w:rsidRPr="006927C1">
              <w:rPr>
                <w:spacing w:val="2"/>
                <w:sz w:val="22"/>
                <w:szCs w:val="22"/>
                <w:lang w:val="sr-Latn-ME"/>
              </w:rPr>
              <w:t xml:space="preserve"> </w:t>
            </w:r>
            <w:r w:rsidRPr="006927C1">
              <w:rPr>
                <w:sz w:val="22"/>
                <w:szCs w:val="22"/>
                <w:lang w:val="sr-Latn-ME"/>
              </w:rPr>
              <w:t>(2)</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276"/>
              <w:rPr>
                <w:sz w:val="22"/>
                <w:szCs w:val="22"/>
                <w:lang w:val="sr-Latn-ME"/>
              </w:rPr>
            </w:pPr>
            <w:r w:rsidRPr="006927C1">
              <w:rPr>
                <w:sz w:val="22"/>
                <w:szCs w:val="22"/>
                <w:lang w:val="sr-Latn-ME"/>
              </w:rPr>
              <w:t>Seroreaktivnost</w:t>
            </w:r>
            <w:r w:rsidRPr="006927C1">
              <w:rPr>
                <w:spacing w:val="-3"/>
                <w:sz w:val="22"/>
                <w:szCs w:val="22"/>
                <w:lang w:val="sr-Latn-ME"/>
              </w:rPr>
              <w:t xml:space="preserve"> </w:t>
            </w:r>
            <w:r w:rsidRPr="006927C1">
              <w:rPr>
                <w:sz w:val="22"/>
                <w:szCs w:val="22"/>
                <w:lang w:val="sr-Latn-ME"/>
              </w:rPr>
              <w:t>na</w:t>
            </w:r>
            <w:r w:rsidRPr="006927C1">
              <w:rPr>
                <w:spacing w:val="-2"/>
                <w:sz w:val="22"/>
                <w:szCs w:val="22"/>
                <w:lang w:val="sr-Latn-ME"/>
              </w:rPr>
              <w:t xml:space="preserve"> </w:t>
            </w:r>
            <w:r w:rsidRPr="006927C1">
              <w:rPr>
                <w:sz w:val="22"/>
                <w:szCs w:val="22"/>
                <w:lang w:val="sr-Latn-ME"/>
              </w:rPr>
              <w:t>sifilis,</w:t>
            </w:r>
            <w:r w:rsidRPr="006927C1">
              <w:rPr>
                <w:spacing w:val="-2"/>
                <w:sz w:val="22"/>
                <w:szCs w:val="22"/>
                <w:lang w:val="sr-Latn-ME"/>
              </w:rPr>
              <w:t xml:space="preserve"> </w:t>
            </w:r>
            <w:r w:rsidRPr="006927C1">
              <w:rPr>
                <w:sz w:val="22"/>
                <w:szCs w:val="22"/>
                <w:lang w:val="sr-Latn-ME"/>
              </w:rPr>
              <w:t>N</w:t>
            </w:r>
            <w:r w:rsidRPr="006927C1">
              <w:rPr>
                <w:spacing w:val="-2"/>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10" w:lineRule="exact"/>
              <w:ind w:left="241" w:right="222"/>
              <w:jc w:val="center"/>
              <w:rPr>
                <w:sz w:val="22"/>
                <w:szCs w:val="22"/>
                <w:lang w:val="sr-Latn-ME"/>
              </w:rPr>
            </w:pPr>
            <w:r w:rsidRPr="006927C1">
              <w:rPr>
                <w:sz w:val="22"/>
                <w:szCs w:val="22"/>
                <w:lang w:val="sr-Latn-ME"/>
              </w:rPr>
              <w:t>162/1239</w:t>
            </w:r>
            <w:r w:rsidRPr="006927C1">
              <w:rPr>
                <w:spacing w:val="-2"/>
                <w:sz w:val="22"/>
                <w:szCs w:val="22"/>
                <w:lang w:val="sr-Latn-ME"/>
              </w:rPr>
              <w:t xml:space="preserve"> </w:t>
            </w:r>
            <w:r w:rsidRPr="006927C1">
              <w:rPr>
                <w:sz w:val="22"/>
                <w:szCs w:val="22"/>
                <w:lang w:val="sr-Latn-ME"/>
              </w:rPr>
              <w:t>(13)</w:t>
            </w:r>
          </w:p>
        </w:tc>
        <w:tc>
          <w:tcPr>
            <w:tcW w:w="1816" w:type="dxa"/>
            <w:vAlign w:val="center"/>
          </w:tcPr>
          <w:p w:rsidR="00556CC6" w:rsidRPr="006927C1" w:rsidRDefault="00556CC6" w:rsidP="00556CC6">
            <w:pPr>
              <w:widowControl w:val="0"/>
              <w:autoSpaceDE w:val="0"/>
              <w:autoSpaceDN w:val="0"/>
              <w:spacing w:line="210" w:lineRule="exact"/>
              <w:ind w:left="246" w:right="241"/>
              <w:jc w:val="center"/>
              <w:rPr>
                <w:sz w:val="22"/>
                <w:szCs w:val="22"/>
                <w:lang w:val="sr-Latn-ME"/>
              </w:rPr>
            </w:pPr>
            <w:r w:rsidRPr="006927C1">
              <w:rPr>
                <w:sz w:val="22"/>
                <w:szCs w:val="22"/>
                <w:lang w:val="sr-Latn-ME"/>
              </w:rPr>
              <w:t>164/1240</w:t>
            </w:r>
            <w:r w:rsidRPr="006927C1">
              <w:rPr>
                <w:spacing w:val="-2"/>
                <w:sz w:val="22"/>
                <w:szCs w:val="22"/>
                <w:lang w:val="sr-Latn-ME"/>
              </w:rPr>
              <w:t xml:space="preserve"> </w:t>
            </w:r>
            <w:r w:rsidRPr="006927C1">
              <w:rPr>
                <w:sz w:val="22"/>
                <w:szCs w:val="22"/>
                <w:lang w:val="sr-Latn-ME"/>
              </w:rPr>
              <w:t>(13)</w:t>
            </w:r>
          </w:p>
        </w:tc>
      </w:tr>
      <w:tr w:rsidR="00556CC6" w:rsidRPr="006927C1" w:rsidTr="00556CC6">
        <w:trPr>
          <w:trHeight w:val="230"/>
          <w:jc w:val="center"/>
        </w:trPr>
        <w:tc>
          <w:tcPr>
            <w:tcW w:w="5600" w:type="dxa"/>
          </w:tcPr>
          <w:p w:rsidR="00556CC6" w:rsidRPr="006927C1" w:rsidRDefault="00556CC6" w:rsidP="00424630">
            <w:pPr>
              <w:widowControl w:val="0"/>
              <w:autoSpaceDE w:val="0"/>
              <w:autoSpaceDN w:val="0"/>
              <w:spacing w:line="210" w:lineRule="exact"/>
              <w:ind w:left="436" w:hanging="160"/>
              <w:rPr>
                <w:sz w:val="22"/>
                <w:szCs w:val="22"/>
                <w:lang w:val="sr-Latn-ME"/>
              </w:rPr>
            </w:pPr>
            <w:r w:rsidRPr="006927C1">
              <w:rPr>
                <w:sz w:val="22"/>
                <w:szCs w:val="22"/>
                <w:lang w:val="sr-Latn-ME"/>
              </w:rPr>
              <w:t>Infekcija</w:t>
            </w:r>
            <w:r w:rsidRPr="006927C1">
              <w:rPr>
                <w:spacing w:val="3"/>
                <w:sz w:val="22"/>
                <w:szCs w:val="22"/>
                <w:lang w:val="sr-Latn-ME"/>
              </w:rPr>
              <w:t xml:space="preserve"> </w:t>
            </w:r>
            <w:r w:rsidRPr="006927C1">
              <w:rPr>
                <w:sz w:val="22"/>
                <w:szCs w:val="22"/>
                <w:lang w:val="sr-Latn-ME"/>
              </w:rPr>
              <w:t>virusom</w:t>
            </w:r>
            <w:r w:rsidRPr="006927C1">
              <w:rPr>
                <w:spacing w:val="-7"/>
                <w:sz w:val="22"/>
                <w:szCs w:val="22"/>
                <w:lang w:val="sr-Latn-ME"/>
              </w:rPr>
              <w:t xml:space="preserve"> </w:t>
            </w:r>
            <w:r w:rsidRPr="006927C1">
              <w:rPr>
                <w:i/>
                <w:sz w:val="22"/>
                <w:szCs w:val="22"/>
                <w:lang w:val="sr-Latn-ME"/>
              </w:rPr>
              <w:t>Herpes</w:t>
            </w:r>
            <w:r w:rsidRPr="006927C1">
              <w:rPr>
                <w:i/>
                <w:spacing w:val="-2"/>
                <w:sz w:val="22"/>
                <w:szCs w:val="22"/>
                <w:lang w:val="sr-Latn-ME"/>
              </w:rPr>
              <w:t xml:space="preserve"> </w:t>
            </w:r>
            <w:r w:rsidRPr="006927C1">
              <w:rPr>
                <w:i/>
                <w:sz w:val="22"/>
                <w:szCs w:val="22"/>
                <w:lang w:val="sr-Latn-ME"/>
              </w:rPr>
              <w:t>Simplex</w:t>
            </w:r>
            <w:r w:rsidRPr="006927C1">
              <w:rPr>
                <w:i/>
                <w:spacing w:val="-1"/>
                <w:sz w:val="22"/>
                <w:szCs w:val="22"/>
                <w:lang w:val="sr-Latn-ME"/>
              </w:rPr>
              <w:t xml:space="preserve"> </w:t>
            </w:r>
            <w:r w:rsidRPr="006927C1">
              <w:rPr>
                <w:sz w:val="22"/>
                <w:szCs w:val="22"/>
                <w:lang w:val="sr-Latn-ME"/>
              </w:rPr>
              <w:t>tipa</w:t>
            </w:r>
            <w:r w:rsidRPr="006927C1">
              <w:rPr>
                <w:spacing w:val="-2"/>
                <w:sz w:val="22"/>
                <w:szCs w:val="22"/>
                <w:lang w:val="sr-Latn-ME"/>
              </w:rPr>
              <w:t xml:space="preserve"> </w:t>
            </w:r>
            <w:r w:rsidRPr="006927C1">
              <w:rPr>
                <w:sz w:val="22"/>
                <w:szCs w:val="22"/>
                <w:lang w:val="sr-Latn-ME"/>
              </w:rPr>
              <w:t>2</w:t>
            </w:r>
            <w:r w:rsidRPr="006927C1">
              <w:rPr>
                <w:spacing w:val="-3"/>
                <w:sz w:val="22"/>
                <w:szCs w:val="22"/>
                <w:lang w:val="sr-Latn-ME"/>
              </w:rPr>
              <w:t xml:space="preserve"> </w:t>
            </w:r>
            <w:r w:rsidRPr="006927C1">
              <w:rPr>
                <w:sz w:val="22"/>
                <w:szCs w:val="22"/>
                <w:lang w:val="sr-Latn-ME"/>
              </w:rPr>
              <w:t>u</w:t>
            </w:r>
            <w:r w:rsidRPr="006927C1">
              <w:rPr>
                <w:spacing w:val="-3"/>
                <w:sz w:val="22"/>
                <w:szCs w:val="22"/>
                <w:lang w:val="sr-Latn-ME"/>
              </w:rPr>
              <w:t xml:space="preserve"> </w:t>
            </w:r>
            <w:r w:rsidRPr="006927C1">
              <w:rPr>
                <w:sz w:val="22"/>
                <w:szCs w:val="22"/>
                <w:lang w:val="sr-Latn-ME"/>
              </w:rPr>
              <w:t>serumu,</w:t>
            </w:r>
            <w:r w:rsidRPr="006927C1">
              <w:rPr>
                <w:spacing w:val="-1"/>
                <w:sz w:val="22"/>
                <w:szCs w:val="22"/>
                <w:lang w:val="sr-Latn-ME"/>
              </w:rPr>
              <w:t xml:space="preserve"> </w:t>
            </w:r>
            <w:r w:rsidRPr="006927C1">
              <w:rPr>
                <w:sz w:val="22"/>
                <w:szCs w:val="22"/>
                <w:lang w:val="sr-Latn-ME"/>
              </w:rPr>
              <w:t>N</w:t>
            </w:r>
            <w:r w:rsidRPr="006927C1">
              <w:rPr>
                <w:spacing w:val="-2"/>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10" w:lineRule="exact"/>
              <w:ind w:left="241" w:right="222"/>
              <w:jc w:val="center"/>
              <w:rPr>
                <w:sz w:val="22"/>
                <w:szCs w:val="22"/>
                <w:lang w:val="sr-Latn-ME"/>
              </w:rPr>
            </w:pPr>
            <w:r w:rsidRPr="006927C1">
              <w:rPr>
                <w:sz w:val="22"/>
                <w:szCs w:val="22"/>
                <w:lang w:val="sr-Latn-ME"/>
              </w:rPr>
              <w:t>430/1243</w:t>
            </w:r>
            <w:r w:rsidRPr="006927C1">
              <w:rPr>
                <w:spacing w:val="-2"/>
                <w:sz w:val="22"/>
                <w:szCs w:val="22"/>
                <w:lang w:val="sr-Latn-ME"/>
              </w:rPr>
              <w:t xml:space="preserve"> </w:t>
            </w:r>
            <w:r w:rsidRPr="006927C1">
              <w:rPr>
                <w:sz w:val="22"/>
                <w:szCs w:val="22"/>
                <w:lang w:val="sr-Latn-ME"/>
              </w:rPr>
              <w:t>(35)</w:t>
            </w:r>
          </w:p>
        </w:tc>
        <w:tc>
          <w:tcPr>
            <w:tcW w:w="1816" w:type="dxa"/>
            <w:vAlign w:val="center"/>
          </w:tcPr>
          <w:p w:rsidR="00556CC6" w:rsidRPr="006927C1" w:rsidRDefault="00556CC6" w:rsidP="00556CC6">
            <w:pPr>
              <w:widowControl w:val="0"/>
              <w:autoSpaceDE w:val="0"/>
              <w:autoSpaceDN w:val="0"/>
              <w:spacing w:line="210" w:lineRule="exact"/>
              <w:ind w:left="246" w:right="241"/>
              <w:jc w:val="center"/>
              <w:rPr>
                <w:sz w:val="22"/>
                <w:szCs w:val="22"/>
                <w:lang w:val="sr-Latn-ME"/>
              </w:rPr>
            </w:pPr>
            <w:r w:rsidRPr="006927C1">
              <w:rPr>
                <w:sz w:val="22"/>
                <w:szCs w:val="22"/>
                <w:lang w:val="sr-Latn-ME"/>
              </w:rPr>
              <w:t>458/1241</w:t>
            </w:r>
            <w:r w:rsidRPr="006927C1">
              <w:rPr>
                <w:spacing w:val="-2"/>
                <w:sz w:val="22"/>
                <w:szCs w:val="22"/>
                <w:lang w:val="sr-Latn-ME"/>
              </w:rPr>
              <w:t xml:space="preserve"> </w:t>
            </w:r>
            <w:r w:rsidRPr="006927C1">
              <w:rPr>
                <w:sz w:val="22"/>
                <w:szCs w:val="22"/>
                <w:lang w:val="sr-Latn-ME"/>
              </w:rPr>
              <w:t>(37)</w:t>
            </w:r>
          </w:p>
        </w:tc>
      </w:tr>
      <w:tr w:rsidR="00556CC6" w:rsidRPr="006927C1" w:rsidTr="00556CC6">
        <w:trPr>
          <w:trHeight w:val="234"/>
          <w:jc w:val="center"/>
        </w:trPr>
        <w:tc>
          <w:tcPr>
            <w:tcW w:w="5600" w:type="dxa"/>
          </w:tcPr>
          <w:p w:rsidR="00556CC6" w:rsidRPr="006927C1" w:rsidRDefault="00556CC6" w:rsidP="00424630">
            <w:pPr>
              <w:widowControl w:val="0"/>
              <w:autoSpaceDE w:val="0"/>
              <w:autoSpaceDN w:val="0"/>
              <w:spacing w:line="215" w:lineRule="exact"/>
              <w:ind w:left="436" w:hanging="160"/>
              <w:rPr>
                <w:sz w:val="22"/>
                <w:szCs w:val="22"/>
                <w:lang w:val="sr-Latn-ME"/>
              </w:rPr>
            </w:pPr>
            <w:r w:rsidRPr="006927C1">
              <w:rPr>
                <w:sz w:val="22"/>
                <w:szCs w:val="22"/>
                <w:lang w:val="sr-Latn-ME"/>
              </w:rPr>
              <w:t>Pozitivna</w:t>
            </w:r>
            <w:r w:rsidRPr="006927C1">
              <w:rPr>
                <w:spacing w:val="-2"/>
                <w:sz w:val="22"/>
                <w:szCs w:val="22"/>
                <w:lang w:val="sr-Latn-ME"/>
              </w:rPr>
              <w:t xml:space="preserve"> </w:t>
            </w:r>
            <w:r w:rsidRPr="006927C1">
              <w:rPr>
                <w:sz w:val="22"/>
                <w:szCs w:val="22"/>
                <w:lang w:val="sr-Latn-ME"/>
              </w:rPr>
              <w:t>leukocitna</w:t>
            </w:r>
            <w:r w:rsidRPr="006927C1">
              <w:rPr>
                <w:spacing w:val="-2"/>
                <w:sz w:val="22"/>
                <w:szCs w:val="22"/>
                <w:lang w:val="sr-Latn-ME"/>
              </w:rPr>
              <w:t xml:space="preserve"> </w:t>
            </w:r>
            <w:r w:rsidRPr="006927C1">
              <w:rPr>
                <w:sz w:val="22"/>
                <w:szCs w:val="22"/>
                <w:lang w:val="sr-Latn-ME"/>
              </w:rPr>
              <w:t>esteraza</w:t>
            </w:r>
            <w:r w:rsidRPr="006927C1">
              <w:rPr>
                <w:spacing w:val="-2"/>
                <w:sz w:val="22"/>
                <w:szCs w:val="22"/>
                <w:lang w:val="sr-Latn-ME"/>
              </w:rPr>
              <w:t xml:space="preserve"> </w:t>
            </w:r>
            <w:r w:rsidRPr="006927C1">
              <w:rPr>
                <w:sz w:val="22"/>
                <w:szCs w:val="22"/>
                <w:lang w:val="sr-Latn-ME"/>
              </w:rPr>
              <w:t>u</w:t>
            </w:r>
            <w:r w:rsidRPr="006927C1">
              <w:rPr>
                <w:spacing w:val="-2"/>
                <w:sz w:val="22"/>
                <w:szCs w:val="22"/>
                <w:lang w:val="sr-Latn-ME"/>
              </w:rPr>
              <w:t xml:space="preserve"> </w:t>
            </w:r>
            <w:r w:rsidRPr="006927C1">
              <w:rPr>
                <w:sz w:val="22"/>
                <w:szCs w:val="22"/>
                <w:lang w:val="sr-Latn-ME"/>
              </w:rPr>
              <w:t>urinu,</w:t>
            </w:r>
            <w:r w:rsidRPr="006927C1">
              <w:rPr>
                <w:spacing w:val="-2"/>
                <w:sz w:val="22"/>
                <w:szCs w:val="22"/>
                <w:lang w:val="sr-Latn-ME"/>
              </w:rPr>
              <w:t xml:space="preserve"> </w:t>
            </w:r>
            <w:r w:rsidRPr="006927C1">
              <w:rPr>
                <w:sz w:val="22"/>
                <w:szCs w:val="22"/>
                <w:lang w:val="sr-Latn-ME"/>
              </w:rPr>
              <w:t>N</w:t>
            </w:r>
            <w:r w:rsidRPr="006927C1">
              <w:rPr>
                <w:spacing w:val="-2"/>
                <w:sz w:val="22"/>
                <w:szCs w:val="22"/>
                <w:lang w:val="sr-Latn-ME"/>
              </w:rPr>
              <w:t xml:space="preserve"> </w:t>
            </w:r>
            <w:r w:rsidRPr="006927C1">
              <w:rPr>
                <w:sz w:val="22"/>
                <w:szCs w:val="22"/>
                <w:lang w:val="sr-Latn-ME"/>
              </w:rPr>
              <w:t>(%)</w:t>
            </w:r>
          </w:p>
        </w:tc>
        <w:tc>
          <w:tcPr>
            <w:tcW w:w="1651" w:type="dxa"/>
            <w:vAlign w:val="center"/>
          </w:tcPr>
          <w:p w:rsidR="00556CC6" w:rsidRPr="006927C1" w:rsidRDefault="00556CC6" w:rsidP="00556CC6">
            <w:pPr>
              <w:widowControl w:val="0"/>
              <w:autoSpaceDE w:val="0"/>
              <w:autoSpaceDN w:val="0"/>
              <w:spacing w:line="215" w:lineRule="exact"/>
              <w:ind w:left="241" w:right="221"/>
              <w:jc w:val="center"/>
              <w:rPr>
                <w:sz w:val="22"/>
                <w:szCs w:val="22"/>
                <w:lang w:val="sr-Latn-ME"/>
              </w:rPr>
            </w:pPr>
            <w:r w:rsidRPr="006927C1">
              <w:rPr>
                <w:sz w:val="22"/>
                <w:szCs w:val="22"/>
                <w:lang w:val="sr-Latn-ME"/>
              </w:rPr>
              <w:t>22</w:t>
            </w:r>
            <w:r w:rsidRPr="006927C1">
              <w:rPr>
                <w:spacing w:val="2"/>
                <w:sz w:val="22"/>
                <w:szCs w:val="22"/>
                <w:lang w:val="sr-Latn-ME"/>
              </w:rPr>
              <w:t xml:space="preserve"> </w:t>
            </w:r>
            <w:r w:rsidRPr="006927C1">
              <w:rPr>
                <w:sz w:val="22"/>
                <w:szCs w:val="22"/>
                <w:lang w:val="sr-Latn-ME"/>
              </w:rPr>
              <w:t>(2)</w:t>
            </w:r>
          </w:p>
        </w:tc>
        <w:tc>
          <w:tcPr>
            <w:tcW w:w="1816" w:type="dxa"/>
            <w:vAlign w:val="center"/>
          </w:tcPr>
          <w:p w:rsidR="00556CC6" w:rsidRPr="006927C1" w:rsidRDefault="00556CC6" w:rsidP="00556CC6">
            <w:pPr>
              <w:widowControl w:val="0"/>
              <w:autoSpaceDE w:val="0"/>
              <w:autoSpaceDN w:val="0"/>
              <w:spacing w:line="215" w:lineRule="exact"/>
              <w:ind w:left="246" w:right="240"/>
              <w:jc w:val="center"/>
              <w:rPr>
                <w:sz w:val="22"/>
                <w:szCs w:val="22"/>
                <w:lang w:val="sr-Latn-ME"/>
              </w:rPr>
            </w:pPr>
            <w:r w:rsidRPr="006927C1">
              <w:rPr>
                <w:sz w:val="22"/>
                <w:szCs w:val="22"/>
                <w:lang w:val="sr-Latn-ME"/>
              </w:rPr>
              <w:t>23</w:t>
            </w:r>
            <w:r w:rsidRPr="006927C1">
              <w:rPr>
                <w:spacing w:val="2"/>
                <w:sz w:val="22"/>
                <w:szCs w:val="22"/>
                <w:lang w:val="sr-Latn-ME"/>
              </w:rPr>
              <w:t xml:space="preserve"> </w:t>
            </w:r>
            <w:r w:rsidRPr="006927C1">
              <w:rPr>
                <w:sz w:val="22"/>
                <w:szCs w:val="22"/>
                <w:lang w:val="sr-Latn-ME"/>
              </w:rPr>
              <w:t>(2)</w:t>
            </w:r>
          </w:p>
        </w:tc>
      </w:tr>
    </w:tbl>
    <w:p w:rsidR="00556CC6" w:rsidRPr="006927C1" w:rsidRDefault="00556CC6" w:rsidP="00556CC6">
      <w:pPr>
        <w:tabs>
          <w:tab w:val="left" w:pos="540"/>
          <w:tab w:val="left" w:pos="569"/>
        </w:tabs>
        <w:jc w:val="both"/>
        <w:rPr>
          <w:bCs/>
          <w:sz w:val="22"/>
          <w:szCs w:val="22"/>
          <w:lang w:val="sr-Latn-ME"/>
        </w:rPr>
      </w:pPr>
      <w:r w:rsidRPr="006927C1">
        <w:rPr>
          <w:bCs/>
          <w:sz w:val="22"/>
          <w:szCs w:val="22"/>
          <w:lang w:val="sr-Latn-ME"/>
        </w:rPr>
        <w:t xml:space="preserve">URAI (engl. </w:t>
      </w:r>
      <w:r w:rsidRPr="006927C1">
        <w:rPr>
          <w:bCs/>
          <w:i/>
          <w:sz w:val="22"/>
          <w:szCs w:val="22"/>
          <w:lang w:val="sr-Latn-ME"/>
        </w:rPr>
        <w:t>Unprotected receptive anal intercourse</w:t>
      </w:r>
      <w:r w:rsidRPr="006927C1">
        <w:rPr>
          <w:bCs/>
          <w:sz w:val="22"/>
          <w:szCs w:val="22"/>
          <w:lang w:val="sr-Latn-ME"/>
        </w:rPr>
        <w:t>) = nezaštićeni receptivni analni polni odnos</w:t>
      </w:r>
    </w:p>
    <w:p w:rsidR="00031462" w:rsidRPr="006927C1" w:rsidRDefault="00031462" w:rsidP="00556CC6">
      <w:pPr>
        <w:tabs>
          <w:tab w:val="left" w:pos="540"/>
          <w:tab w:val="left" w:pos="569"/>
        </w:tabs>
        <w:jc w:val="both"/>
        <w:rPr>
          <w:bCs/>
          <w:sz w:val="22"/>
          <w:szCs w:val="22"/>
          <w:lang w:val="sr-Latn-ME"/>
        </w:rPr>
      </w:pPr>
    </w:p>
    <w:p w:rsidR="00424630" w:rsidRPr="006927C1" w:rsidRDefault="00424630" w:rsidP="00424630">
      <w:pPr>
        <w:tabs>
          <w:tab w:val="left" w:pos="540"/>
          <w:tab w:val="left" w:pos="569"/>
        </w:tabs>
        <w:jc w:val="both"/>
        <w:rPr>
          <w:bCs/>
          <w:sz w:val="22"/>
          <w:szCs w:val="22"/>
          <w:lang w:val="sr-Latn-ME"/>
        </w:rPr>
      </w:pPr>
      <w:r w:rsidRPr="006927C1">
        <w:rPr>
          <w:bCs/>
          <w:sz w:val="22"/>
          <w:szCs w:val="22"/>
          <w:lang w:val="sr-Latn-ME"/>
        </w:rPr>
        <w:t xml:space="preserve">Učestalost serokonverzije HIV-a kod svih ispitanika i u podgrupi koja je prijavila nezaštićeni receptivni analni polni odnos prikazani su u Tabeli 6. Efikasnost je bila u snažnoj korelaciji sa pridržavanjem terapije, što je procjenjivano određivanjem koncentracije lijeka u plazmi ili intracelularno u okviru jedne </w:t>
      </w:r>
      <w:r w:rsidRPr="006927C1">
        <w:rPr>
          <w:bCs/>
          <w:i/>
          <w:sz w:val="22"/>
          <w:szCs w:val="22"/>
          <w:lang w:val="sr-Latn-ME"/>
        </w:rPr>
        <w:t xml:space="preserve">case-control </w:t>
      </w:r>
      <w:r w:rsidRPr="006927C1">
        <w:rPr>
          <w:bCs/>
          <w:sz w:val="22"/>
          <w:szCs w:val="22"/>
          <w:lang w:val="sr-Latn-ME"/>
        </w:rPr>
        <w:t>studije (Tabela 7).</w:t>
      </w:r>
    </w:p>
    <w:p w:rsidR="00424630" w:rsidRPr="006927C1" w:rsidRDefault="00424630" w:rsidP="00424630">
      <w:pPr>
        <w:tabs>
          <w:tab w:val="left" w:pos="540"/>
          <w:tab w:val="left" w:pos="569"/>
        </w:tabs>
        <w:jc w:val="both"/>
        <w:rPr>
          <w:bCs/>
          <w:sz w:val="22"/>
          <w:szCs w:val="22"/>
          <w:lang w:val="sr-Latn-ME"/>
        </w:rPr>
      </w:pPr>
    </w:p>
    <w:p w:rsidR="00424630" w:rsidRPr="006927C1" w:rsidRDefault="00424630" w:rsidP="00424630">
      <w:pPr>
        <w:tabs>
          <w:tab w:val="left" w:pos="540"/>
          <w:tab w:val="left" w:pos="569"/>
        </w:tabs>
        <w:jc w:val="both"/>
        <w:rPr>
          <w:bCs/>
          <w:i/>
          <w:iCs/>
          <w:sz w:val="22"/>
          <w:szCs w:val="22"/>
          <w:lang w:val="sr-Latn-ME"/>
        </w:rPr>
      </w:pPr>
      <w:r w:rsidRPr="006927C1">
        <w:rPr>
          <w:b/>
          <w:bCs/>
          <w:iCs/>
          <w:sz w:val="22"/>
          <w:szCs w:val="22"/>
          <w:lang w:val="sr-Latn-ME"/>
        </w:rPr>
        <w:t>Tabela 6: Efikasnost u studiji CO-US-104-0288 (iPrEx</w:t>
      </w:r>
      <w:r w:rsidRPr="006927C1">
        <w:rPr>
          <w:bCs/>
          <w:i/>
          <w:iCs/>
          <w:sz w:val="22"/>
          <w:szCs w:val="22"/>
          <w:lang w:val="sr-Latn-ME"/>
        </w:rPr>
        <w:t>)</w:t>
      </w: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5"/>
        <w:gridCol w:w="1402"/>
        <w:gridCol w:w="1407"/>
        <w:gridCol w:w="1601"/>
      </w:tblGrid>
      <w:tr w:rsidR="00424630" w:rsidRPr="006927C1" w:rsidTr="00424630">
        <w:trPr>
          <w:trHeight w:val="460"/>
          <w:jc w:val="center"/>
        </w:trPr>
        <w:tc>
          <w:tcPr>
            <w:tcW w:w="4735" w:type="dxa"/>
          </w:tcPr>
          <w:p w:rsidR="00424630" w:rsidRPr="006927C1" w:rsidRDefault="00424630" w:rsidP="00424630">
            <w:pPr>
              <w:widowControl w:val="0"/>
              <w:autoSpaceDE w:val="0"/>
              <w:autoSpaceDN w:val="0"/>
              <w:rPr>
                <w:sz w:val="22"/>
                <w:szCs w:val="22"/>
                <w:lang w:val="sr-Latn-ME"/>
              </w:rPr>
            </w:pPr>
          </w:p>
        </w:tc>
        <w:tc>
          <w:tcPr>
            <w:tcW w:w="1402" w:type="dxa"/>
            <w:vAlign w:val="center"/>
          </w:tcPr>
          <w:p w:rsidR="00424630" w:rsidRPr="006927C1" w:rsidRDefault="00424630" w:rsidP="00424630">
            <w:pPr>
              <w:widowControl w:val="0"/>
              <w:autoSpaceDE w:val="0"/>
              <w:autoSpaceDN w:val="0"/>
              <w:spacing w:line="215" w:lineRule="exact"/>
              <w:ind w:right="336"/>
              <w:jc w:val="center"/>
              <w:rPr>
                <w:b/>
                <w:sz w:val="22"/>
                <w:szCs w:val="22"/>
                <w:lang w:val="sr-Latn-ME"/>
              </w:rPr>
            </w:pPr>
            <w:r w:rsidRPr="006927C1">
              <w:rPr>
                <w:b/>
                <w:sz w:val="22"/>
                <w:szCs w:val="22"/>
                <w:lang w:val="sr-Latn-ME"/>
              </w:rPr>
              <w:t xml:space="preserve">     Placebo</w:t>
            </w:r>
          </w:p>
        </w:tc>
        <w:tc>
          <w:tcPr>
            <w:tcW w:w="1407" w:type="dxa"/>
            <w:vAlign w:val="center"/>
          </w:tcPr>
          <w:p w:rsidR="00424630" w:rsidRPr="006927C1" w:rsidRDefault="00424630" w:rsidP="00424630">
            <w:pPr>
              <w:widowControl w:val="0"/>
              <w:autoSpaceDE w:val="0"/>
              <w:autoSpaceDN w:val="0"/>
              <w:spacing w:line="225" w:lineRule="exact"/>
              <w:ind w:left="308" w:right="297"/>
              <w:jc w:val="center"/>
              <w:rPr>
                <w:b/>
                <w:sz w:val="22"/>
                <w:szCs w:val="22"/>
                <w:lang w:val="sr-Latn-ME"/>
              </w:rPr>
            </w:pPr>
            <w:r w:rsidRPr="006927C1">
              <w:rPr>
                <w:b/>
                <w:sz w:val="22"/>
                <w:szCs w:val="22"/>
                <w:lang w:val="sr-Latn-ME"/>
              </w:rPr>
              <w:t>Lijek Gilestra Duo</w:t>
            </w:r>
          </w:p>
        </w:tc>
        <w:tc>
          <w:tcPr>
            <w:tcW w:w="1601" w:type="dxa"/>
            <w:vAlign w:val="center"/>
          </w:tcPr>
          <w:p w:rsidR="00424630" w:rsidRPr="006927C1" w:rsidRDefault="00424630" w:rsidP="00424630">
            <w:pPr>
              <w:widowControl w:val="0"/>
              <w:autoSpaceDE w:val="0"/>
              <w:autoSpaceDN w:val="0"/>
              <w:spacing w:line="215" w:lineRule="exact"/>
              <w:rPr>
                <w:b/>
                <w:sz w:val="22"/>
                <w:szCs w:val="22"/>
                <w:lang w:val="sr-Latn-ME"/>
              </w:rPr>
            </w:pPr>
            <w:r w:rsidRPr="006927C1">
              <w:rPr>
                <w:b/>
                <w:spacing w:val="-1"/>
                <w:sz w:val="22"/>
                <w:szCs w:val="22"/>
                <w:lang w:val="sr-Latn-ME"/>
              </w:rPr>
              <w:t xml:space="preserve">    P-vrijednost</w:t>
            </w:r>
            <w:r w:rsidRPr="006927C1">
              <w:rPr>
                <w:b/>
                <w:spacing w:val="-1"/>
                <w:sz w:val="22"/>
                <w:szCs w:val="22"/>
                <w:vertAlign w:val="superscript"/>
                <w:lang w:val="sr-Latn-ME"/>
              </w:rPr>
              <w:t>a,</w:t>
            </w:r>
            <w:r w:rsidRPr="006927C1">
              <w:rPr>
                <w:b/>
                <w:spacing w:val="-13"/>
                <w:sz w:val="22"/>
                <w:szCs w:val="22"/>
                <w:lang w:val="sr-Latn-ME"/>
              </w:rPr>
              <w:t xml:space="preserve"> </w:t>
            </w:r>
            <w:r w:rsidRPr="006927C1">
              <w:rPr>
                <w:b/>
                <w:sz w:val="22"/>
                <w:szCs w:val="22"/>
                <w:vertAlign w:val="superscript"/>
                <w:lang w:val="sr-Latn-ME"/>
              </w:rPr>
              <w:t>b</w:t>
            </w:r>
          </w:p>
        </w:tc>
      </w:tr>
      <w:tr w:rsidR="00424630" w:rsidRPr="006927C1" w:rsidTr="00424630">
        <w:trPr>
          <w:trHeight w:val="287"/>
          <w:jc w:val="center"/>
        </w:trPr>
        <w:tc>
          <w:tcPr>
            <w:tcW w:w="9145" w:type="dxa"/>
            <w:gridSpan w:val="4"/>
          </w:tcPr>
          <w:p w:rsidR="00424630" w:rsidRPr="006927C1" w:rsidRDefault="00424630" w:rsidP="00424630">
            <w:pPr>
              <w:widowControl w:val="0"/>
              <w:autoSpaceDE w:val="0"/>
              <w:autoSpaceDN w:val="0"/>
              <w:spacing w:before="53" w:line="215" w:lineRule="exact"/>
              <w:ind w:left="110"/>
              <w:rPr>
                <w:b/>
                <w:sz w:val="22"/>
                <w:szCs w:val="22"/>
                <w:lang w:val="sr-Latn-ME"/>
              </w:rPr>
            </w:pPr>
            <w:r w:rsidRPr="006927C1">
              <w:rPr>
                <w:b/>
                <w:sz w:val="22"/>
                <w:szCs w:val="22"/>
                <w:lang w:val="sr-Latn-ME"/>
              </w:rPr>
              <w:t>Analiza</w:t>
            </w:r>
            <w:r w:rsidRPr="006927C1">
              <w:rPr>
                <w:b/>
                <w:spacing w:val="-4"/>
                <w:sz w:val="22"/>
                <w:szCs w:val="22"/>
                <w:lang w:val="sr-Latn-ME"/>
              </w:rPr>
              <w:t xml:space="preserve"> </w:t>
            </w:r>
            <w:r w:rsidRPr="006927C1">
              <w:rPr>
                <w:b/>
                <w:sz w:val="22"/>
                <w:szCs w:val="22"/>
                <w:lang w:val="sr-Latn-ME"/>
              </w:rPr>
              <w:t>modifikovane</w:t>
            </w:r>
            <w:r w:rsidRPr="006927C1">
              <w:rPr>
                <w:b/>
                <w:spacing w:val="-3"/>
                <w:sz w:val="22"/>
                <w:szCs w:val="22"/>
                <w:lang w:val="sr-Latn-ME"/>
              </w:rPr>
              <w:t xml:space="preserve"> </w:t>
            </w:r>
            <w:r w:rsidRPr="006927C1">
              <w:rPr>
                <w:b/>
                <w:sz w:val="22"/>
                <w:szCs w:val="22"/>
                <w:lang w:val="sr-Latn-ME"/>
              </w:rPr>
              <w:t>populacije</w:t>
            </w:r>
            <w:r w:rsidRPr="006927C1">
              <w:rPr>
                <w:b/>
                <w:spacing w:val="-3"/>
                <w:sz w:val="22"/>
                <w:szCs w:val="22"/>
                <w:lang w:val="sr-Latn-ME"/>
              </w:rPr>
              <w:t xml:space="preserve"> </w:t>
            </w:r>
            <w:r w:rsidRPr="006927C1">
              <w:rPr>
                <w:b/>
                <w:sz w:val="22"/>
                <w:szCs w:val="22"/>
                <w:lang w:val="sr-Latn-ME"/>
              </w:rPr>
              <w:t>predviđene</w:t>
            </w:r>
            <w:r w:rsidRPr="006927C1">
              <w:rPr>
                <w:b/>
                <w:spacing w:val="-3"/>
                <w:sz w:val="22"/>
                <w:szCs w:val="22"/>
                <w:lang w:val="sr-Latn-ME"/>
              </w:rPr>
              <w:t xml:space="preserve"> </w:t>
            </w:r>
            <w:r w:rsidRPr="006927C1">
              <w:rPr>
                <w:b/>
                <w:sz w:val="22"/>
                <w:szCs w:val="22"/>
                <w:lang w:val="sr-Latn-ME"/>
              </w:rPr>
              <w:t>za</w:t>
            </w:r>
            <w:r w:rsidRPr="006927C1">
              <w:rPr>
                <w:b/>
                <w:spacing w:val="-3"/>
                <w:sz w:val="22"/>
                <w:szCs w:val="22"/>
                <w:lang w:val="sr-Latn-ME"/>
              </w:rPr>
              <w:t xml:space="preserve"> </w:t>
            </w:r>
            <w:r w:rsidRPr="006927C1">
              <w:rPr>
                <w:b/>
                <w:sz w:val="22"/>
                <w:szCs w:val="22"/>
                <w:lang w:val="sr-Latn-ME"/>
              </w:rPr>
              <w:t>liječenje</w:t>
            </w:r>
            <w:r w:rsidRPr="006927C1">
              <w:rPr>
                <w:b/>
                <w:spacing w:val="-3"/>
                <w:sz w:val="22"/>
                <w:szCs w:val="22"/>
                <w:lang w:val="sr-Latn-ME"/>
              </w:rPr>
              <w:t xml:space="preserve"> </w:t>
            </w:r>
            <w:r w:rsidRPr="006927C1">
              <w:rPr>
                <w:b/>
                <w:sz w:val="22"/>
                <w:szCs w:val="22"/>
                <w:lang w:val="sr-Latn-ME"/>
              </w:rPr>
              <w:t>(mITT)</w:t>
            </w:r>
          </w:p>
        </w:tc>
      </w:tr>
      <w:tr w:rsidR="00424630" w:rsidRPr="006927C1" w:rsidTr="00424630">
        <w:trPr>
          <w:trHeight w:val="287"/>
          <w:jc w:val="center"/>
        </w:trPr>
        <w:tc>
          <w:tcPr>
            <w:tcW w:w="4735" w:type="dxa"/>
            <w:tcBorders>
              <w:bottom w:val="single" w:sz="6" w:space="0" w:color="000000"/>
              <w:right w:val="single" w:sz="6" w:space="0" w:color="000000"/>
            </w:tcBorders>
          </w:tcPr>
          <w:p w:rsidR="00424630" w:rsidRPr="006927C1" w:rsidRDefault="00424630" w:rsidP="00424630">
            <w:pPr>
              <w:widowControl w:val="0"/>
              <w:autoSpaceDE w:val="0"/>
              <w:autoSpaceDN w:val="0"/>
              <w:spacing w:before="48" w:line="219" w:lineRule="exact"/>
              <w:ind w:left="110"/>
              <w:rPr>
                <w:sz w:val="22"/>
                <w:szCs w:val="22"/>
                <w:lang w:val="sr-Latn-ME"/>
              </w:rPr>
            </w:pPr>
            <w:r w:rsidRPr="006927C1">
              <w:rPr>
                <w:sz w:val="22"/>
                <w:szCs w:val="22"/>
                <w:lang w:val="sr-Latn-ME"/>
              </w:rPr>
              <w:t>Serokonverzije</w:t>
            </w:r>
            <w:r w:rsidRPr="006927C1">
              <w:rPr>
                <w:spacing w:val="-2"/>
                <w:sz w:val="22"/>
                <w:szCs w:val="22"/>
                <w:lang w:val="sr-Latn-ME"/>
              </w:rPr>
              <w:t xml:space="preserve"> </w:t>
            </w:r>
            <w:r w:rsidRPr="006927C1">
              <w:rPr>
                <w:sz w:val="22"/>
                <w:szCs w:val="22"/>
                <w:lang w:val="sr-Latn-ME"/>
              </w:rPr>
              <w:t>/</w:t>
            </w:r>
            <w:r w:rsidRPr="006927C1">
              <w:rPr>
                <w:spacing w:val="-2"/>
                <w:sz w:val="22"/>
                <w:szCs w:val="22"/>
                <w:lang w:val="sr-Latn-ME"/>
              </w:rPr>
              <w:t xml:space="preserve"> </w:t>
            </w:r>
            <w:r w:rsidRPr="006927C1">
              <w:rPr>
                <w:sz w:val="22"/>
                <w:szCs w:val="22"/>
                <w:lang w:val="sr-Latn-ME"/>
              </w:rPr>
              <w:t>N</w:t>
            </w:r>
          </w:p>
        </w:tc>
        <w:tc>
          <w:tcPr>
            <w:tcW w:w="1402" w:type="dxa"/>
            <w:tcBorders>
              <w:left w:val="single" w:sz="6" w:space="0" w:color="000000"/>
              <w:bottom w:val="single" w:sz="6" w:space="0" w:color="000000"/>
              <w:right w:val="single" w:sz="6" w:space="0" w:color="000000"/>
            </w:tcBorders>
          </w:tcPr>
          <w:p w:rsidR="00424630" w:rsidRPr="006927C1" w:rsidRDefault="00306FC0" w:rsidP="00867B0F">
            <w:pPr>
              <w:widowControl w:val="0"/>
              <w:autoSpaceDE w:val="0"/>
              <w:autoSpaceDN w:val="0"/>
              <w:spacing w:before="48" w:line="219" w:lineRule="exact"/>
              <w:ind w:right="290"/>
              <w:rPr>
                <w:sz w:val="22"/>
                <w:szCs w:val="22"/>
                <w:lang w:val="sr-Latn-ME"/>
              </w:rPr>
            </w:pPr>
            <w:r w:rsidRPr="006927C1">
              <w:rPr>
                <w:sz w:val="22"/>
                <w:szCs w:val="22"/>
                <w:lang w:val="sr-Latn-ME"/>
              </w:rPr>
              <w:t xml:space="preserve">    </w:t>
            </w:r>
            <w:r w:rsidR="00424630" w:rsidRPr="006927C1">
              <w:rPr>
                <w:sz w:val="22"/>
                <w:szCs w:val="22"/>
                <w:lang w:val="sr-Latn-ME"/>
              </w:rPr>
              <w:t>83</w:t>
            </w:r>
            <w:r w:rsidR="00424630" w:rsidRPr="006927C1">
              <w:rPr>
                <w:spacing w:val="-1"/>
                <w:sz w:val="22"/>
                <w:szCs w:val="22"/>
                <w:lang w:val="sr-Latn-ME"/>
              </w:rPr>
              <w:t xml:space="preserve"> </w:t>
            </w:r>
            <w:r w:rsidR="00424630" w:rsidRPr="006927C1">
              <w:rPr>
                <w:sz w:val="22"/>
                <w:szCs w:val="22"/>
                <w:lang w:val="sr-Latn-ME"/>
              </w:rPr>
              <w:t>/</w:t>
            </w:r>
            <w:r w:rsidR="00424630" w:rsidRPr="006927C1">
              <w:rPr>
                <w:spacing w:val="-1"/>
                <w:sz w:val="22"/>
                <w:szCs w:val="22"/>
                <w:lang w:val="sr-Latn-ME"/>
              </w:rPr>
              <w:t xml:space="preserve"> </w:t>
            </w:r>
            <w:r w:rsidR="00424630" w:rsidRPr="006927C1">
              <w:rPr>
                <w:sz w:val="22"/>
                <w:szCs w:val="22"/>
                <w:lang w:val="sr-Latn-ME"/>
              </w:rPr>
              <w:t>1217</w:t>
            </w:r>
          </w:p>
        </w:tc>
        <w:tc>
          <w:tcPr>
            <w:tcW w:w="1407" w:type="dxa"/>
            <w:tcBorders>
              <w:left w:val="single" w:sz="6" w:space="0" w:color="000000"/>
              <w:bottom w:val="single" w:sz="6" w:space="0" w:color="000000"/>
              <w:right w:val="single" w:sz="6" w:space="0" w:color="000000"/>
            </w:tcBorders>
          </w:tcPr>
          <w:p w:rsidR="00424630" w:rsidRPr="006927C1" w:rsidRDefault="00424630" w:rsidP="00424630">
            <w:pPr>
              <w:widowControl w:val="0"/>
              <w:autoSpaceDE w:val="0"/>
              <w:autoSpaceDN w:val="0"/>
              <w:spacing w:before="48" w:line="219" w:lineRule="exact"/>
              <w:ind w:left="324"/>
              <w:rPr>
                <w:sz w:val="22"/>
                <w:szCs w:val="22"/>
                <w:lang w:val="sr-Latn-ME"/>
              </w:rPr>
            </w:pPr>
            <w:r w:rsidRPr="006927C1">
              <w:rPr>
                <w:sz w:val="22"/>
                <w:szCs w:val="22"/>
                <w:lang w:val="sr-Latn-ME"/>
              </w:rPr>
              <w:t>48</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1224</w:t>
            </w:r>
          </w:p>
        </w:tc>
        <w:tc>
          <w:tcPr>
            <w:tcW w:w="1601" w:type="dxa"/>
            <w:vMerge w:val="restart"/>
            <w:tcBorders>
              <w:left w:val="single" w:sz="6" w:space="0" w:color="000000"/>
              <w:right w:val="single" w:sz="6" w:space="0" w:color="000000"/>
            </w:tcBorders>
          </w:tcPr>
          <w:p w:rsidR="00424630" w:rsidRPr="006927C1" w:rsidRDefault="00306FC0" w:rsidP="00867B0F">
            <w:pPr>
              <w:widowControl w:val="0"/>
              <w:autoSpaceDE w:val="0"/>
              <w:autoSpaceDN w:val="0"/>
              <w:spacing w:before="168"/>
              <w:ind w:right="539"/>
              <w:rPr>
                <w:sz w:val="22"/>
                <w:szCs w:val="22"/>
                <w:lang w:val="sr-Latn-ME"/>
              </w:rPr>
            </w:pPr>
            <w:r w:rsidRPr="006927C1">
              <w:rPr>
                <w:sz w:val="22"/>
                <w:szCs w:val="22"/>
                <w:lang w:val="sr-Latn-ME"/>
              </w:rPr>
              <w:t xml:space="preserve">        </w:t>
            </w:r>
            <w:r w:rsidR="00424630" w:rsidRPr="006927C1">
              <w:rPr>
                <w:sz w:val="22"/>
                <w:szCs w:val="22"/>
                <w:lang w:val="sr-Latn-ME"/>
              </w:rPr>
              <w:t>0,002</w:t>
            </w:r>
          </w:p>
        </w:tc>
      </w:tr>
      <w:tr w:rsidR="00424630" w:rsidRPr="006927C1" w:rsidTr="00424630">
        <w:trPr>
          <w:trHeight w:val="287"/>
          <w:jc w:val="center"/>
        </w:trPr>
        <w:tc>
          <w:tcPr>
            <w:tcW w:w="4735" w:type="dxa"/>
            <w:tcBorders>
              <w:top w:val="single" w:sz="6" w:space="0" w:color="000000"/>
              <w:right w:val="single" w:sz="6" w:space="0" w:color="000000"/>
            </w:tcBorders>
          </w:tcPr>
          <w:p w:rsidR="00424630" w:rsidRPr="006927C1" w:rsidRDefault="00424630" w:rsidP="00424630">
            <w:pPr>
              <w:widowControl w:val="0"/>
              <w:autoSpaceDE w:val="0"/>
              <w:autoSpaceDN w:val="0"/>
              <w:spacing w:line="221" w:lineRule="exact"/>
              <w:ind w:right="1192"/>
              <w:rPr>
                <w:sz w:val="22"/>
                <w:szCs w:val="22"/>
                <w:lang w:val="sr-Latn-ME"/>
              </w:rPr>
            </w:pPr>
            <w:r w:rsidRPr="006927C1">
              <w:rPr>
                <w:sz w:val="22"/>
                <w:szCs w:val="22"/>
                <w:lang w:val="sr-Latn-ME"/>
              </w:rPr>
              <w:t xml:space="preserve">  Smanjenje</w:t>
            </w:r>
            <w:r w:rsidRPr="006927C1">
              <w:rPr>
                <w:spacing w:val="-8"/>
                <w:sz w:val="22"/>
                <w:szCs w:val="22"/>
                <w:lang w:val="sr-Latn-ME"/>
              </w:rPr>
              <w:t xml:space="preserve"> </w:t>
            </w:r>
            <w:r w:rsidRPr="006927C1">
              <w:rPr>
                <w:sz w:val="22"/>
                <w:szCs w:val="22"/>
                <w:lang w:val="sr-Latn-ME"/>
              </w:rPr>
              <w:t>relativnog</w:t>
            </w:r>
            <w:r w:rsidRPr="006927C1">
              <w:rPr>
                <w:spacing w:val="-4"/>
                <w:sz w:val="22"/>
                <w:szCs w:val="22"/>
                <w:lang w:val="sr-Latn-ME"/>
              </w:rPr>
              <w:t xml:space="preserve"> </w:t>
            </w:r>
            <w:r w:rsidRPr="006927C1">
              <w:rPr>
                <w:sz w:val="22"/>
                <w:szCs w:val="22"/>
                <w:lang w:val="sr-Latn-ME"/>
              </w:rPr>
              <w:t>rizika</w:t>
            </w:r>
            <w:r w:rsidRPr="006927C1">
              <w:rPr>
                <w:spacing w:val="-2"/>
                <w:sz w:val="22"/>
                <w:szCs w:val="22"/>
                <w:lang w:val="sr-Latn-ME"/>
              </w:rPr>
              <w:t xml:space="preserve"> </w:t>
            </w:r>
            <w:r w:rsidRPr="006927C1">
              <w:rPr>
                <w:sz w:val="22"/>
                <w:szCs w:val="22"/>
                <w:lang w:val="sr-Latn-ME"/>
              </w:rPr>
              <w:t>(95%</w:t>
            </w:r>
            <w:r w:rsidRPr="006927C1">
              <w:rPr>
                <w:spacing w:val="-2"/>
                <w:sz w:val="22"/>
                <w:szCs w:val="22"/>
                <w:lang w:val="sr-Latn-ME"/>
              </w:rPr>
              <w:t xml:space="preserve"> </w:t>
            </w:r>
            <w:r w:rsidRPr="006927C1">
              <w:rPr>
                <w:sz w:val="22"/>
                <w:szCs w:val="22"/>
                <w:lang w:val="sr-Latn-ME"/>
              </w:rPr>
              <w:t>CI)</w:t>
            </w:r>
            <w:r w:rsidRPr="006927C1">
              <w:rPr>
                <w:sz w:val="22"/>
                <w:szCs w:val="22"/>
                <w:vertAlign w:val="superscript"/>
                <w:lang w:val="sr-Latn-ME"/>
              </w:rPr>
              <w:t>b</w:t>
            </w:r>
          </w:p>
        </w:tc>
        <w:tc>
          <w:tcPr>
            <w:tcW w:w="2809" w:type="dxa"/>
            <w:gridSpan w:val="2"/>
            <w:tcBorders>
              <w:top w:val="single" w:sz="6" w:space="0" w:color="000000"/>
              <w:left w:val="single" w:sz="6" w:space="0" w:color="000000"/>
              <w:right w:val="single" w:sz="6" w:space="0" w:color="000000"/>
            </w:tcBorders>
          </w:tcPr>
          <w:p w:rsidR="00424630" w:rsidRPr="006927C1" w:rsidRDefault="00424630" w:rsidP="00424630">
            <w:pPr>
              <w:widowControl w:val="0"/>
              <w:autoSpaceDE w:val="0"/>
              <w:autoSpaceDN w:val="0"/>
              <w:spacing w:before="19"/>
              <w:ind w:left="709"/>
              <w:rPr>
                <w:sz w:val="22"/>
                <w:szCs w:val="22"/>
                <w:lang w:val="sr-Latn-ME"/>
              </w:rPr>
            </w:pPr>
            <w:r w:rsidRPr="006927C1">
              <w:rPr>
                <w:sz w:val="22"/>
                <w:szCs w:val="22"/>
                <w:lang w:val="sr-Latn-ME"/>
              </w:rPr>
              <w:t>42%</w:t>
            </w:r>
            <w:r w:rsidRPr="006927C1">
              <w:rPr>
                <w:spacing w:val="-2"/>
                <w:sz w:val="22"/>
                <w:szCs w:val="22"/>
                <w:lang w:val="sr-Latn-ME"/>
              </w:rPr>
              <w:t xml:space="preserve"> </w:t>
            </w:r>
            <w:r w:rsidRPr="006927C1">
              <w:rPr>
                <w:sz w:val="22"/>
                <w:szCs w:val="22"/>
                <w:lang w:val="sr-Latn-ME"/>
              </w:rPr>
              <w:t>(18%;</w:t>
            </w:r>
            <w:r w:rsidRPr="006927C1">
              <w:rPr>
                <w:spacing w:val="-2"/>
                <w:sz w:val="22"/>
                <w:szCs w:val="22"/>
                <w:lang w:val="sr-Latn-ME"/>
              </w:rPr>
              <w:t xml:space="preserve"> </w:t>
            </w:r>
            <w:r w:rsidRPr="006927C1">
              <w:rPr>
                <w:sz w:val="22"/>
                <w:szCs w:val="22"/>
                <w:lang w:val="sr-Latn-ME"/>
              </w:rPr>
              <w:t>60%)</w:t>
            </w:r>
          </w:p>
        </w:tc>
        <w:tc>
          <w:tcPr>
            <w:tcW w:w="1601" w:type="dxa"/>
            <w:vMerge/>
            <w:tcBorders>
              <w:top w:val="nil"/>
              <w:left w:val="single" w:sz="6" w:space="0" w:color="000000"/>
              <w:right w:val="single" w:sz="6" w:space="0" w:color="000000"/>
            </w:tcBorders>
          </w:tcPr>
          <w:p w:rsidR="00424630" w:rsidRPr="006927C1" w:rsidRDefault="00424630" w:rsidP="00424630">
            <w:pPr>
              <w:tabs>
                <w:tab w:val="left" w:pos="284"/>
              </w:tabs>
              <w:rPr>
                <w:sz w:val="22"/>
                <w:szCs w:val="2"/>
                <w:lang w:val="sr-Latn-ME"/>
              </w:rPr>
            </w:pPr>
          </w:p>
        </w:tc>
      </w:tr>
      <w:tr w:rsidR="00424630" w:rsidRPr="006927C1" w:rsidTr="00424630">
        <w:trPr>
          <w:trHeight w:val="287"/>
          <w:jc w:val="center"/>
        </w:trPr>
        <w:tc>
          <w:tcPr>
            <w:tcW w:w="9145" w:type="dxa"/>
            <w:gridSpan w:val="4"/>
          </w:tcPr>
          <w:p w:rsidR="00424630" w:rsidRPr="006927C1" w:rsidRDefault="00424630" w:rsidP="00424630">
            <w:pPr>
              <w:widowControl w:val="0"/>
              <w:autoSpaceDE w:val="0"/>
              <w:autoSpaceDN w:val="0"/>
              <w:spacing w:before="53" w:line="215" w:lineRule="exact"/>
              <w:ind w:left="110"/>
              <w:rPr>
                <w:b/>
                <w:sz w:val="22"/>
                <w:szCs w:val="22"/>
                <w:lang w:val="sr-Latn-ME"/>
              </w:rPr>
            </w:pPr>
            <w:r w:rsidRPr="006927C1">
              <w:rPr>
                <w:b/>
                <w:sz w:val="22"/>
                <w:szCs w:val="22"/>
                <w:lang w:val="sr-Latn-ME"/>
              </w:rPr>
              <w:t>URAI</w:t>
            </w:r>
            <w:r w:rsidRPr="006927C1">
              <w:rPr>
                <w:b/>
                <w:spacing w:val="-1"/>
                <w:sz w:val="22"/>
                <w:szCs w:val="22"/>
                <w:lang w:val="sr-Latn-ME"/>
              </w:rPr>
              <w:t xml:space="preserve"> </w:t>
            </w:r>
            <w:r w:rsidRPr="006927C1">
              <w:rPr>
                <w:b/>
                <w:sz w:val="22"/>
                <w:szCs w:val="22"/>
                <w:lang w:val="sr-Latn-ME"/>
              </w:rPr>
              <w:t>unutar</w:t>
            </w:r>
            <w:r w:rsidRPr="006927C1">
              <w:rPr>
                <w:b/>
                <w:spacing w:val="3"/>
                <w:sz w:val="22"/>
                <w:szCs w:val="22"/>
                <w:lang w:val="sr-Latn-ME"/>
              </w:rPr>
              <w:t xml:space="preserve"> </w:t>
            </w:r>
            <w:r w:rsidRPr="006927C1">
              <w:rPr>
                <w:b/>
                <w:sz w:val="22"/>
                <w:szCs w:val="22"/>
                <w:lang w:val="sr-Latn-ME"/>
              </w:rPr>
              <w:t>12</w:t>
            </w:r>
            <w:r w:rsidRPr="006927C1">
              <w:rPr>
                <w:b/>
                <w:spacing w:val="-3"/>
                <w:sz w:val="22"/>
                <w:szCs w:val="22"/>
                <w:lang w:val="sr-Latn-ME"/>
              </w:rPr>
              <w:t xml:space="preserve"> </w:t>
            </w:r>
            <w:r w:rsidRPr="006927C1">
              <w:rPr>
                <w:b/>
                <w:sz w:val="22"/>
                <w:szCs w:val="22"/>
                <w:lang w:val="sr-Latn-ME"/>
              </w:rPr>
              <w:t>nedjelja</w:t>
            </w:r>
            <w:r w:rsidRPr="006927C1">
              <w:rPr>
                <w:b/>
                <w:spacing w:val="-2"/>
                <w:sz w:val="22"/>
                <w:szCs w:val="22"/>
                <w:lang w:val="sr-Latn-ME"/>
              </w:rPr>
              <w:t xml:space="preserve"> </w:t>
            </w:r>
            <w:r w:rsidRPr="006927C1">
              <w:rPr>
                <w:b/>
                <w:sz w:val="22"/>
                <w:szCs w:val="22"/>
                <w:lang w:val="sr-Latn-ME"/>
              </w:rPr>
              <w:t>prije</w:t>
            </w:r>
            <w:r w:rsidRPr="006927C1">
              <w:rPr>
                <w:b/>
                <w:spacing w:val="-2"/>
                <w:sz w:val="22"/>
                <w:szCs w:val="22"/>
                <w:lang w:val="sr-Latn-ME"/>
              </w:rPr>
              <w:t xml:space="preserve"> </w:t>
            </w:r>
            <w:r w:rsidRPr="006927C1">
              <w:rPr>
                <w:b/>
                <w:sz w:val="22"/>
                <w:szCs w:val="22"/>
                <w:lang w:val="sr-Latn-ME"/>
              </w:rPr>
              <w:t>skrininga,</w:t>
            </w:r>
            <w:r w:rsidRPr="006927C1">
              <w:rPr>
                <w:b/>
                <w:spacing w:val="-3"/>
                <w:sz w:val="22"/>
                <w:szCs w:val="22"/>
                <w:lang w:val="sr-Latn-ME"/>
              </w:rPr>
              <w:t xml:space="preserve"> </w:t>
            </w:r>
            <w:r w:rsidRPr="006927C1">
              <w:rPr>
                <w:b/>
                <w:sz w:val="22"/>
                <w:szCs w:val="22"/>
                <w:lang w:val="sr-Latn-ME"/>
              </w:rPr>
              <w:t>mITT</w:t>
            </w:r>
            <w:r w:rsidRPr="006927C1">
              <w:rPr>
                <w:b/>
                <w:spacing w:val="-2"/>
                <w:sz w:val="22"/>
                <w:szCs w:val="22"/>
                <w:lang w:val="sr-Latn-ME"/>
              </w:rPr>
              <w:t xml:space="preserve"> </w:t>
            </w:r>
            <w:r w:rsidRPr="006927C1">
              <w:rPr>
                <w:b/>
                <w:sz w:val="22"/>
                <w:szCs w:val="22"/>
                <w:lang w:val="sr-Latn-ME"/>
              </w:rPr>
              <w:t>analiza</w:t>
            </w:r>
          </w:p>
        </w:tc>
      </w:tr>
      <w:tr w:rsidR="00424630" w:rsidRPr="006927C1" w:rsidTr="00424630">
        <w:trPr>
          <w:trHeight w:val="287"/>
          <w:jc w:val="center"/>
        </w:trPr>
        <w:tc>
          <w:tcPr>
            <w:tcW w:w="4735" w:type="dxa"/>
            <w:tcBorders>
              <w:bottom w:val="single" w:sz="6" w:space="0" w:color="000000"/>
              <w:right w:val="single" w:sz="6" w:space="0" w:color="000000"/>
            </w:tcBorders>
          </w:tcPr>
          <w:p w:rsidR="00424630" w:rsidRPr="006927C1" w:rsidRDefault="00424630" w:rsidP="00424630">
            <w:pPr>
              <w:widowControl w:val="0"/>
              <w:autoSpaceDE w:val="0"/>
              <w:autoSpaceDN w:val="0"/>
              <w:spacing w:before="48" w:line="219" w:lineRule="exact"/>
              <w:ind w:left="110"/>
              <w:rPr>
                <w:sz w:val="22"/>
                <w:szCs w:val="22"/>
                <w:lang w:val="sr-Latn-ME"/>
              </w:rPr>
            </w:pPr>
            <w:r w:rsidRPr="006927C1">
              <w:rPr>
                <w:sz w:val="22"/>
                <w:szCs w:val="22"/>
                <w:lang w:val="sr-Latn-ME"/>
              </w:rPr>
              <w:t>Serokonverzije</w:t>
            </w:r>
            <w:r w:rsidRPr="006927C1">
              <w:rPr>
                <w:spacing w:val="-2"/>
                <w:sz w:val="22"/>
                <w:szCs w:val="22"/>
                <w:lang w:val="sr-Latn-ME"/>
              </w:rPr>
              <w:t xml:space="preserve"> </w:t>
            </w:r>
            <w:r w:rsidRPr="006927C1">
              <w:rPr>
                <w:sz w:val="22"/>
                <w:szCs w:val="22"/>
                <w:lang w:val="sr-Latn-ME"/>
              </w:rPr>
              <w:t>/</w:t>
            </w:r>
            <w:r w:rsidRPr="006927C1">
              <w:rPr>
                <w:spacing w:val="-2"/>
                <w:sz w:val="22"/>
                <w:szCs w:val="22"/>
                <w:lang w:val="sr-Latn-ME"/>
              </w:rPr>
              <w:t xml:space="preserve"> </w:t>
            </w:r>
            <w:r w:rsidRPr="006927C1">
              <w:rPr>
                <w:sz w:val="22"/>
                <w:szCs w:val="22"/>
                <w:lang w:val="sr-Latn-ME"/>
              </w:rPr>
              <w:t>N</w:t>
            </w:r>
          </w:p>
        </w:tc>
        <w:tc>
          <w:tcPr>
            <w:tcW w:w="1402" w:type="dxa"/>
            <w:tcBorders>
              <w:left w:val="single" w:sz="6" w:space="0" w:color="000000"/>
              <w:bottom w:val="single" w:sz="6" w:space="0" w:color="000000"/>
              <w:right w:val="single" w:sz="6" w:space="0" w:color="000000"/>
            </w:tcBorders>
          </w:tcPr>
          <w:p w:rsidR="00424630" w:rsidRPr="006927C1" w:rsidRDefault="00424630" w:rsidP="00424630">
            <w:pPr>
              <w:widowControl w:val="0"/>
              <w:autoSpaceDE w:val="0"/>
              <w:autoSpaceDN w:val="0"/>
              <w:spacing w:before="48" w:line="219" w:lineRule="exact"/>
              <w:ind w:left="302" w:right="290"/>
              <w:rPr>
                <w:sz w:val="22"/>
                <w:szCs w:val="22"/>
                <w:lang w:val="sr-Latn-ME"/>
              </w:rPr>
            </w:pPr>
            <w:r w:rsidRPr="006927C1">
              <w:rPr>
                <w:sz w:val="22"/>
                <w:szCs w:val="22"/>
                <w:lang w:val="sr-Latn-ME"/>
              </w:rPr>
              <w:t>72</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753</w:t>
            </w:r>
          </w:p>
        </w:tc>
        <w:tc>
          <w:tcPr>
            <w:tcW w:w="1407" w:type="dxa"/>
            <w:tcBorders>
              <w:left w:val="single" w:sz="6" w:space="0" w:color="000000"/>
              <w:bottom w:val="single" w:sz="6" w:space="0" w:color="000000"/>
              <w:right w:val="single" w:sz="6" w:space="0" w:color="000000"/>
            </w:tcBorders>
          </w:tcPr>
          <w:p w:rsidR="00424630" w:rsidRPr="006927C1" w:rsidRDefault="00424630" w:rsidP="00424630">
            <w:pPr>
              <w:widowControl w:val="0"/>
              <w:autoSpaceDE w:val="0"/>
              <w:autoSpaceDN w:val="0"/>
              <w:spacing w:before="48" w:line="219" w:lineRule="exact"/>
              <w:ind w:left="372"/>
              <w:rPr>
                <w:sz w:val="22"/>
                <w:szCs w:val="22"/>
                <w:lang w:val="sr-Latn-ME"/>
              </w:rPr>
            </w:pPr>
            <w:r w:rsidRPr="006927C1">
              <w:rPr>
                <w:sz w:val="22"/>
                <w:szCs w:val="22"/>
                <w:lang w:val="sr-Latn-ME"/>
              </w:rPr>
              <w:t>34</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732</w:t>
            </w:r>
          </w:p>
        </w:tc>
        <w:tc>
          <w:tcPr>
            <w:tcW w:w="1601" w:type="dxa"/>
            <w:vMerge w:val="restart"/>
            <w:tcBorders>
              <w:left w:val="single" w:sz="6" w:space="0" w:color="000000"/>
            </w:tcBorders>
          </w:tcPr>
          <w:p w:rsidR="00424630" w:rsidRPr="006927C1" w:rsidRDefault="00424630" w:rsidP="00424630">
            <w:pPr>
              <w:widowControl w:val="0"/>
              <w:autoSpaceDE w:val="0"/>
              <w:autoSpaceDN w:val="0"/>
              <w:spacing w:before="173"/>
              <w:ind w:left="521"/>
              <w:rPr>
                <w:sz w:val="22"/>
                <w:szCs w:val="22"/>
                <w:lang w:val="sr-Latn-ME"/>
              </w:rPr>
            </w:pPr>
            <w:r w:rsidRPr="006927C1">
              <w:rPr>
                <w:sz w:val="22"/>
                <w:szCs w:val="22"/>
                <w:lang w:val="sr-Latn-ME"/>
              </w:rPr>
              <w:t>0,0349</w:t>
            </w:r>
          </w:p>
        </w:tc>
      </w:tr>
      <w:tr w:rsidR="00424630" w:rsidRPr="006927C1" w:rsidTr="00424630">
        <w:trPr>
          <w:trHeight w:val="287"/>
          <w:jc w:val="center"/>
        </w:trPr>
        <w:tc>
          <w:tcPr>
            <w:tcW w:w="4735" w:type="dxa"/>
            <w:tcBorders>
              <w:top w:val="single" w:sz="6" w:space="0" w:color="000000"/>
              <w:right w:val="single" w:sz="6" w:space="0" w:color="000000"/>
            </w:tcBorders>
          </w:tcPr>
          <w:p w:rsidR="00424630" w:rsidRPr="006927C1" w:rsidRDefault="00424630" w:rsidP="00424630">
            <w:pPr>
              <w:widowControl w:val="0"/>
              <w:autoSpaceDE w:val="0"/>
              <w:autoSpaceDN w:val="0"/>
              <w:spacing w:line="221" w:lineRule="exact"/>
              <w:ind w:right="1192"/>
              <w:rPr>
                <w:sz w:val="22"/>
                <w:szCs w:val="22"/>
                <w:lang w:val="sr-Latn-ME"/>
              </w:rPr>
            </w:pPr>
            <w:r w:rsidRPr="006927C1">
              <w:rPr>
                <w:sz w:val="22"/>
                <w:szCs w:val="22"/>
                <w:lang w:val="sr-Latn-ME"/>
              </w:rPr>
              <w:t xml:space="preserve">  Smanjenje</w:t>
            </w:r>
            <w:r w:rsidRPr="006927C1">
              <w:rPr>
                <w:spacing w:val="-8"/>
                <w:sz w:val="22"/>
                <w:szCs w:val="22"/>
                <w:lang w:val="sr-Latn-ME"/>
              </w:rPr>
              <w:t xml:space="preserve"> </w:t>
            </w:r>
            <w:r w:rsidRPr="006927C1">
              <w:rPr>
                <w:sz w:val="22"/>
                <w:szCs w:val="22"/>
                <w:lang w:val="sr-Latn-ME"/>
              </w:rPr>
              <w:t>relativnog</w:t>
            </w:r>
            <w:r w:rsidRPr="006927C1">
              <w:rPr>
                <w:spacing w:val="-4"/>
                <w:sz w:val="22"/>
                <w:szCs w:val="22"/>
                <w:lang w:val="sr-Latn-ME"/>
              </w:rPr>
              <w:t xml:space="preserve"> </w:t>
            </w:r>
            <w:r w:rsidRPr="006927C1">
              <w:rPr>
                <w:sz w:val="22"/>
                <w:szCs w:val="22"/>
                <w:lang w:val="sr-Latn-ME"/>
              </w:rPr>
              <w:t>rizika</w:t>
            </w:r>
            <w:r w:rsidRPr="006927C1">
              <w:rPr>
                <w:spacing w:val="-2"/>
                <w:sz w:val="22"/>
                <w:szCs w:val="22"/>
                <w:lang w:val="sr-Latn-ME"/>
              </w:rPr>
              <w:t xml:space="preserve"> </w:t>
            </w:r>
            <w:r w:rsidRPr="006927C1">
              <w:rPr>
                <w:sz w:val="22"/>
                <w:szCs w:val="22"/>
                <w:lang w:val="sr-Latn-ME"/>
              </w:rPr>
              <w:t>(95%</w:t>
            </w:r>
            <w:r w:rsidRPr="006927C1">
              <w:rPr>
                <w:spacing w:val="-2"/>
                <w:sz w:val="22"/>
                <w:szCs w:val="22"/>
                <w:lang w:val="sr-Latn-ME"/>
              </w:rPr>
              <w:t xml:space="preserve"> </w:t>
            </w:r>
            <w:r w:rsidRPr="006927C1">
              <w:rPr>
                <w:sz w:val="22"/>
                <w:szCs w:val="22"/>
                <w:lang w:val="sr-Latn-ME"/>
              </w:rPr>
              <w:t>CI)</w:t>
            </w:r>
            <w:r w:rsidRPr="006927C1">
              <w:rPr>
                <w:sz w:val="22"/>
                <w:szCs w:val="22"/>
                <w:vertAlign w:val="superscript"/>
                <w:lang w:val="sr-Latn-ME"/>
              </w:rPr>
              <w:t>b</w:t>
            </w:r>
          </w:p>
        </w:tc>
        <w:tc>
          <w:tcPr>
            <w:tcW w:w="2809" w:type="dxa"/>
            <w:gridSpan w:val="2"/>
            <w:tcBorders>
              <w:top w:val="single" w:sz="6" w:space="0" w:color="000000"/>
              <w:left w:val="single" w:sz="6" w:space="0" w:color="000000"/>
              <w:right w:val="single" w:sz="6" w:space="0" w:color="000000"/>
            </w:tcBorders>
          </w:tcPr>
          <w:p w:rsidR="00424630" w:rsidRPr="006927C1" w:rsidRDefault="00424630" w:rsidP="00424630">
            <w:pPr>
              <w:widowControl w:val="0"/>
              <w:autoSpaceDE w:val="0"/>
              <w:autoSpaceDN w:val="0"/>
              <w:spacing w:before="19"/>
              <w:ind w:left="709"/>
              <w:rPr>
                <w:sz w:val="22"/>
                <w:szCs w:val="22"/>
                <w:lang w:val="sr-Latn-ME"/>
              </w:rPr>
            </w:pPr>
            <w:r w:rsidRPr="006927C1">
              <w:rPr>
                <w:sz w:val="22"/>
                <w:szCs w:val="22"/>
                <w:lang w:val="sr-Latn-ME"/>
              </w:rPr>
              <w:t>52%</w:t>
            </w:r>
            <w:r w:rsidRPr="006927C1">
              <w:rPr>
                <w:spacing w:val="-2"/>
                <w:sz w:val="22"/>
                <w:szCs w:val="22"/>
                <w:lang w:val="sr-Latn-ME"/>
              </w:rPr>
              <w:t xml:space="preserve"> </w:t>
            </w:r>
            <w:r w:rsidRPr="006927C1">
              <w:rPr>
                <w:sz w:val="22"/>
                <w:szCs w:val="22"/>
                <w:lang w:val="sr-Latn-ME"/>
              </w:rPr>
              <w:t>(28%;</w:t>
            </w:r>
            <w:r w:rsidRPr="006927C1">
              <w:rPr>
                <w:spacing w:val="-1"/>
                <w:sz w:val="22"/>
                <w:szCs w:val="22"/>
                <w:lang w:val="sr-Latn-ME"/>
              </w:rPr>
              <w:t xml:space="preserve"> </w:t>
            </w:r>
            <w:r w:rsidRPr="006927C1">
              <w:rPr>
                <w:sz w:val="22"/>
                <w:szCs w:val="22"/>
                <w:lang w:val="sr-Latn-ME"/>
              </w:rPr>
              <w:t>68%)</w:t>
            </w:r>
          </w:p>
        </w:tc>
        <w:tc>
          <w:tcPr>
            <w:tcW w:w="1601" w:type="dxa"/>
            <w:vMerge/>
            <w:tcBorders>
              <w:top w:val="nil"/>
              <w:left w:val="single" w:sz="6" w:space="0" w:color="000000"/>
            </w:tcBorders>
          </w:tcPr>
          <w:p w:rsidR="00424630" w:rsidRPr="006927C1" w:rsidRDefault="00424630" w:rsidP="00424630">
            <w:pPr>
              <w:tabs>
                <w:tab w:val="left" w:pos="284"/>
              </w:tabs>
              <w:rPr>
                <w:sz w:val="22"/>
                <w:szCs w:val="2"/>
                <w:lang w:val="sr-Latn-ME"/>
              </w:rPr>
            </w:pPr>
          </w:p>
        </w:tc>
      </w:tr>
    </w:tbl>
    <w:p w:rsidR="00424630" w:rsidRPr="006927C1" w:rsidRDefault="00424630" w:rsidP="00424630">
      <w:pPr>
        <w:tabs>
          <w:tab w:val="left" w:pos="540"/>
          <w:tab w:val="left" w:pos="569"/>
        </w:tabs>
        <w:jc w:val="both"/>
        <w:rPr>
          <w:bCs/>
          <w:sz w:val="20"/>
          <w:szCs w:val="22"/>
          <w:lang w:val="sr-Latn-ME"/>
        </w:rPr>
      </w:pPr>
      <w:r w:rsidRPr="006927C1">
        <w:rPr>
          <w:bCs/>
          <w:sz w:val="20"/>
          <w:szCs w:val="22"/>
          <w:vertAlign w:val="superscript"/>
          <w:lang w:val="sr-Latn-ME"/>
        </w:rPr>
        <w:t>a</w:t>
      </w:r>
      <w:r w:rsidRPr="006927C1">
        <w:rPr>
          <w:bCs/>
          <w:sz w:val="20"/>
          <w:szCs w:val="22"/>
          <w:lang w:val="sr-Latn-ME"/>
        </w:rPr>
        <w:t xml:space="preserve"> P-vrijednosti prema </w:t>
      </w:r>
      <w:r w:rsidRPr="006927C1">
        <w:rPr>
          <w:bCs/>
          <w:i/>
          <w:sz w:val="20"/>
          <w:szCs w:val="22"/>
          <w:lang w:val="sr-Latn-ME"/>
        </w:rPr>
        <w:t xml:space="preserve">log-rang </w:t>
      </w:r>
      <w:r w:rsidRPr="006927C1">
        <w:rPr>
          <w:bCs/>
          <w:sz w:val="20"/>
          <w:szCs w:val="22"/>
          <w:lang w:val="sr-Latn-ME"/>
        </w:rPr>
        <w:t>testu. P-vrijednosti za URAI odnose se na nultu hipotezu da se efikasnost razlikuje između podgrupa (URAI, bez URAI).</w:t>
      </w:r>
    </w:p>
    <w:p w:rsidR="00424630" w:rsidRPr="006927C1" w:rsidRDefault="00424630" w:rsidP="00424630">
      <w:pPr>
        <w:tabs>
          <w:tab w:val="left" w:pos="540"/>
          <w:tab w:val="left" w:pos="569"/>
        </w:tabs>
        <w:jc w:val="both"/>
        <w:rPr>
          <w:bCs/>
          <w:sz w:val="20"/>
          <w:szCs w:val="22"/>
          <w:lang w:val="sr-Latn-ME"/>
        </w:rPr>
      </w:pPr>
      <w:r w:rsidRPr="006927C1">
        <w:rPr>
          <w:bCs/>
          <w:sz w:val="20"/>
          <w:szCs w:val="22"/>
          <w:vertAlign w:val="superscript"/>
          <w:lang w:val="sr-Latn-ME"/>
        </w:rPr>
        <w:t>b</w:t>
      </w:r>
      <w:r w:rsidRPr="006927C1">
        <w:rPr>
          <w:bCs/>
          <w:sz w:val="20"/>
          <w:szCs w:val="22"/>
          <w:lang w:val="sr-Latn-ME"/>
        </w:rPr>
        <w:t xml:space="preserve"> Relativno smanjenje rizika izračunato za mITT na osnovu incidentne serokonverzije, tj. one koja je nastupila u periodu nakon početka studije do prve kontrole nakon početka liječenja (približno 1 mjesec nakon posl</w:t>
      </w:r>
      <w:r w:rsidR="00306FC0" w:rsidRPr="006927C1">
        <w:rPr>
          <w:bCs/>
          <w:sz w:val="20"/>
          <w:szCs w:val="22"/>
          <w:lang w:val="sr-Latn-ME"/>
        </w:rPr>
        <w:t>j</w:t>
      </w:r>
      <w:r w:rsidRPr="006927C1">
        <w:rPr>
          <w:bCs/>
          <w:sz w:val="20"/>
          <w:szCs w:val="22"/>
          <w:lang w:val="sr-Latn-ME"/>
        </w:rPr>
        <w:t>ednjeg izdavanja ispitivanog lijeka).</w:t>
      </w:r>
    </w:p>
    <w:p w:rsidR="00C23B78" w:rsidRPr="006927C1" w:rsidRDefault="00C23B78" w:rsidP="00424630">
      <w:pPr>
        <w:tabs>
          <w:tab w:val="left" w:pos="540"/>
          <w:tab w:val="left" w:pos="569"/>
        </w:tabs>
        <w:jc w:val="both"/>
        <w:rPr>
          <w:bCs/>
          <w:sz w:val="20"/>
          <w:szCs w:val="22"/>
          <w:lang w:val="sr-Latn-ME"/>
        </w:rPr>
      </w:pPr>
    </w:p>
    <w:p w:rsidR="00C23B78" w:rsidRPr="006927C1" w:rsidRDefault="00C23B78" w:rsidP="00C23B78">
      <w:pPr>
        <w:tabs>
          <w:tab w:val="left" w:pos="540"/>
          <w:tab w:val="left" w:pos="569"/>
        </w:tabs>
        <w:jc w:val="both"/>
        <w:rPr>
          <w:b/>
          <w:bCs/>
          <w:i/>
          <w:iCs/>
          <w:sz w:val="22"/>
          <w:szCs w:val="22"/>
          <w:lang w:val="sr-Latn-ME"/>
        </w:rPr>
      </w:pPr>
      <w:r w:rsidRPr="006927C1">
        <w:rPr>
          <w:b/>
          <w:bCs/>
          <w:iCs/>
          <w:sz w:val="22"/>
          <w:szCs w:val="22"/>
          <w:lang w:val="sr-Latn-ME"/>
        </w:rPr>
        <w:t xml:space="preserve">Tabela 7: Efikasnost i pridržavanje terapije u studiji CO-US-104-0288 (iPrEx, usklađena </w:t>
      </w:r>
      <w:r w:rsidRPr="006927C1">
        <w:rPr>
          <w:b/>
          <w:bCs/>
          <w:i/>
          <w:iCs/>
          <w:sz w:val="22"/>
          <w:szCs w:val="22"/>
          <w:lang w:val="sr-Latn-ME"/>
        </w:rPr>
        <w:t>case-control</w:t>
      </w:r>
      <w:r w:rsidRPr="006927C1">
        <w:rPr>
          <w:b/>
          <w:bCs/>
          <w:iCs/>
          <w:sz w:val="22"/>
          <w:szCs w:val="22"/>
          <w:lang w:val="sr-Latn-ME"/>
        </w:rPr>
        <w:t xml:space="preserve"> analiza)</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1224"/>
        <w:gridCol w:w="1555"/>
        <w:gridCol w:w="2537"/>
      </w:tblGrid>
      <w:tr w:rsidR="00C23B78" w:rsidRPr="006927C1" w:rsidTr="00C23B78">
        <w:trPr>
          <w:trHeight w:val="460"/>
          <w:jc w:val="center"/>
        </w:trPr>
        <w:tc>
          <w:tcPr>
            <w:tcW w:w="3893" w:type="dxa"/>
            <w:vAlign w:val="center"/>
          </w:tcPr>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Kohorta</w:t>
            </w:r>
          </w:p>
        </w:tc>
        <w:tc>
          <w:tcPr>
            <w:tcW w:w="1224" w:type="dxa"/>
            <w:vAlign w:val="center"/>
          </w:tcPr>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Lijek je</w:t>
            </w:r>
          </w:p>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detektovan</w:t>
            </w:r>
          </w:p>
        </w:tc>
        <w:tc>
          <w:tcPr>
            <w:tcW w:w="1555" w:type="dxa"/>
            <w:vAlign w:val="center"/>
          </w:tcPr>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Lijek nije</w:t>
            </w:r>
          </w:p>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detektovan</w:t>
            </w:r>
          </w:p>
        </w:tc>
        <w:tc>
          <w:tcPr>
            <w:tcW w:w="2537" w:type="dxa"/>
            <w:vAlign w:val="center"/>
          </w:tcPr>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Smanjenje relativnog</w:t>
            </w:r>
          </w:p>
          <w:p w:rsidR="00C23B78" w:rsidRPr="006927C1" w:rsidRDefault="00C23B78" w:rsidP="00C23B78">
            <w:pPr>
              <w:tabs>
                <w:tab w:val="left" w:pos="540"/>
                <w:tab w:val="left" w:pos="569"/>
              </w:tabs>
              <w:jc w:val="both"/>
              <w:rPr>
                <w:b/>
                <w:bCs/>
                <w:sz w:val="22"/>
                <w:szCs w:val="22"/>
                <w:lang w:val="sr-Latn-ME"/>
              </w:rPr>
            </w:pPr>
            <w:r w:rsidRPr="006927C1">
              <w:rPr>
                <w:b/>
                <w:bCs/>
                <w:sz w:val="22"/>
                <w:szCs w:val="22"/>
                <w:lang w:val="sr-Latn-ME"/>
              </w:rPr>
              <w:t>rizika (2-strani 95% CI)</w:t>
            </w:r>
            <w:r w:rsidRPr="006927C1">
              <w:rPr>
                <w:b/>
                <w:bCs/>
                <w:sz w:val="22"/>
                <w:szCs w:val="22"/>
                <w:vertAlign w:val="superscript"/>
                <w:lang w:val="sr-Latn-ME"/>
              </w:rPr>
              <w:t>a</w:t>
            </w:r>
          </w:p>
        </w:tc>
      </w:tr>
      <w:tr w:rsidR="00C23B78" w:rsidRPr="006927C1" w:rsidTr="00C23B78">
        <w:trPr>
          <w:trHeight w:val="287"/>
          <w:jc w:val="center"/>
        </w:trPr>
        <w:tc>
          <w:tcPr>
            <w:tcW w:w="3893" w:type="dxa"/>
            <w:vAlign w:val="center"/>
          </w:tcPr>
          <w:p w:rsidR="00C23B78" w:rsidRPr="006927C1" w:rsidRDefault="00C23B78" w:rsidP="00C23B78">
            <w:pPr>
              <w:tabs>
                <w:tab w:val="left" w:pos="540"/>
                <w:tab w:val="left" w:pos="569"/>
              </w:tabs>
              <w:jc w:val="both"/>
              <w:rPr>
                <w:bCs/>
                <w:sz w:val="22"/>
                <w:szCs w:val="22"/>
                <w:lang w:val="sr-Latn-ME"/>
              </w:rPr>
            </w:pPr>
            <w:r w:rsidRPr="006927C1">
              <w:rPr>
                <w:bCs/>
                <w:sz w:val="22"/>
                <w:szCs w:val="22"/>
                <w:lang w:val="sr-Latn-ME"/>
              </w:rPr>
              <w:t>HIV-pozitivni ispitanici</w:t>
            </w:r>
          </w:p>
        </w:tc>
        <w:tc>
          <w:tcPr>
            <w:tcW w:w="1224"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4 (8%)</w:t>
            </w:r>
          </w:p>
        </w:tc>
        <w:tc>
          <w:tcPr>
            <w:tcW w:w="1555"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44 (92%)</w:t>
            </w:r>
          </w:p>
        </w:tc>
        <w:tc>
          <w:tcPr>
            <w:tcW w:w="2537"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94% (78%; 99%)</w:t>
            </w:r>
          </w:p>
        </w:tc>
      </w:tr>
      <w:tr w:rsidR="00C23B78" w:rsidRPr="006927C1" w:rsidTr="00C23B78">
        <w:trPr>
          <w:trHeight w:val="287"/>
          <w:jc w:val="center"/>
        </w:trPr>
        <w:tc>
          <w:tcPr>
            <w:tcW w:w="3893" w:type="dxa"/>
            <w:vAlign w:val="center"/>
          </w:tcPr>
          <w:p w:rsidR="00C23B78" w:rsidRPr="006927C1" w:rsidRDefault="00C23B78" w:rsidP="00C23B78">
            <w:pPr>
              <w:tabs>
                <w:tab w:val="left" w:pos="540"/>
                <w:tab w:val="left" w:pos="569"/>
              </w:tabs>
              <w:ind w:right="627"/>
              <w:jc w:val="both"/>
              <w:rPr>
                <w:bCs/>
                <w:sz w:val="22"/>
                <w:szCs w:val="22"/>
                <w:lang w:val="sr-Latn-ME"/>
              </w:rPr>
            </w:pPr>
            <w:r w:rsidRPr="006927C1">
              <w:rPr>
                <w:bCs/>
                <w:sz w:val="22"/>
                <w:szCs w:val="22"/>
                <w:lang w:val="sr-Latn-ME"/>
              </w:rPr>
              <w:t>HIV-negativni podudarni kontrolni ispitanici</w:t>
            </w:r>
          </w:p>
        </w:tc>
        <w:tc>
          <w:tcPr>
            <w:tcW w:w="1224"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63 (44%)</w:t>
            </w:r>
          </w:p>
        </w:tc>
        <w:tc>
          <w:tcPr>
            <w:tcW w:w="1555"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81 (56%)</w:t>
            </w:r>
          </w:p>
        </w:tc>
        <w:tc>
          <w:tcPr>
            <w:tcW w:w="2537" w:type="dxa"/>
            <w:vAlign w:val="center"/>
          </w:tcPr>
          <w:p w:rsidR="00C23B78" w:rsidRPr="006927C1" w:rsidRDefault="00C23B78" w:rsidP="00C23B78">
            <w:pPr>
              <w:tabs>
                <w:tab w:val="left" w:pos="540"/>
                <w:tab w:val="left" w:pos="569"/>
              </w:tabs>
              <w:jc w:val="center"/>
              <w:rPr>
                <w:bCs/>
                <w:sz w:val="22"/>
                <w:szCs w:val="22"/>
                <w:lang w:val="sr-Latn-ME"/>
              </w:rPr>
            </w:pPr>
            <w:r w:rsidRPr="006927C1">
              <w:rPr>
                <w:bCs/>
                <w:sz w:val="22"/>
                <w:szCs w:val="22"/>
                <w:lang w:val="sr-Latn-ME"/>
              </w:rPr>
              <w:t>—</w:t>
            </w:r>
          </w:p>
        </w:tc>
      </w:tr>
    </w:tbl>
    <w:p w:rsidR="00C23B78" w:rsidRPr="006927C1" w:rsidRDefault="00C23B78" w:rsidP="00C23B78">
      <w:pPr>
        <w:tabs>
          <w:tab w:val="left" w:pos="540"/>
          <w:tab w:val="left" w:pos="569"/>
        </w:tabs>
        <w:jc w:val="both"/>
        <w:rPr>
          <w:bCs/>
          <w:sz w:val="20"/>
          <w:szCs w:val="20"/>
          <w:lang w:val="sr-Latn-ME"/>
        </w:rPr>
      </w:pPr>
      <w:r w:rsidRPr="006927C1">
        <w:rPr>
          <w:bCs/>
          <w:sz w:val="20"/>
          <w:szCs w:val="20"/>
          <w:vertAlign w:val="superscript"/>
          <w:lang w:val="sr-Latn-ME"/>
        </w:rPr>
        <w:t>a</w:t>
      </w:r>
      <w:r w:rsidRPr="006927C1">
        <w:rPr>
          <w:bCs/>
          <w:sz w:val="20"/>
          <w:szCs w:val="20"/>
          <w:lang w:val="sr-Latn-ME"/>
        </w:rPr>
        <w:t xml:space="preserve"> Smanjenje relativnog rizika izračunato po incidentnoj serokonverziji (nakon početka studije) iz dvostruko slijepog perioda terapije i tokom 8-nedjeljnog perioda praćenja. Mjerljive koncentracije TDF-DP-a u plazmi ili intracelularno bile su procjenjivane samo u uzorcima ispitanika randomizovanih u grupu koja je primala kombinaciju emtricitabin/tenofovir dizoproksil.</w:t>
      </w:r>
    </w:p>
    <w:p w:rsidR="00C23B78" w:rsidRPr="006927C1" w:rsidRDefault="00C23B78" w:rsidP="00C23B78">
      <w:pPr>
        <w:tabs>
          <w:tab w:val="left" w:pos="540"/>
          <w:tab w:val="left" w:pos="569"/>
        </w:tabs>
        <w:jc w:val="both"/>
        <w:rPr>
          <w:bCs/>
          <w:sz w:val="20"/>
          <w:szCs w:val="20"/>
          <w:lang w:val="sr-Latn-ME"/>
        </w:rPr>
      </w:pPr>
    </w:p>
    <w:p w:rsidR="00C23B78" w:rsidRPr="006927C1" w:rsidRDefault="00C23B78" w:rsidP="00C23B78">
      <w:pPr>
        <w:tabs>
          <w:tab w:val="left" w:pos="540"/>
          <w:tab w:val="left" w:pos="569"/>
        </w:tabs>
        <w:jc w:val="both"/>
        <w:rPr>
          <w:bCs/>
          <w:sz w:val="22"/>
          <w:szCs w:val="22"/>
          <w:lang w:val="sr-Latn-ME"/>
        </w:rPr>
      </w:pPr>
      <w:r w:rsidRPr="006927C1">
        <w:rPr>
          <w:bCs/>
          <w:sz w:val="22"/>
          <w:szCs w:val="22"/>
          <w:lang w:val="sr-Latn-ME"/>
        </w:rPr>
        <w:t>U kliničkoj studiji Partners PrEP (CO-US-104-0380) ispitivan je lijek emtricitabin/tenofovir  dizoproksil, tenofovir dizoproksil u dozi od 245 mg ili placebo kod 4758 ispitanika koji ni</w:t>
      </w:r>
      <w:r w:rsidR="00306FC0" w:rsidRPr="006927C1">
        <w:rPr>
          <w:bCs/>
          <w:sz w:val="22"/>
          <w:szCs w:val="22"/>
          <w:lang w:val="sr-Latn-ME"/>
        </w:rPr>
        <w:t>je</w:t>
      </w:r>
      <w:r w:rsidRPr="006927C1">
        <w:rPr>
          <w:bCs/>
          <w:sz w:val="22"/>
          <w:szCs w:val="22"/>
          <w:lang w:val="sr-Latn-ME"/>
        </w:rPr>
        <w:t xml:space="preserve">su bili inficirani virusom HIV-1 iz Kenije ili Ugande koji su bili u heteroseksualnom odnosu sa partnerom </w:t>
      </w:r>
      <w:r w:rsidRPr="006927C1">
        <w:rPr>
          <w:bCs/>
          <w:sz w:val="22"/>
          <w:szCs w:val="22"/>
          <w:lang w:val="sr-Latn-ME"/>
        </w:rPr>
        <w:lastRenderedPageBreak/>
        <w:t>drugačijeg serološkog statusa. Ispitanici su bili praćeni tokom 7830 osoba-godina. Početne karakteristike su prikazane u Tabeli 8.</w:t>
      </w:r>
    </w:p>
    <w:p w:rsidR="00C23B78" w:rsidRPr="006927C1" w:rsidRDefault="00C23B78" w:rsidP="00C23B78">
      <w:pPr>
        <w:tabs>
          <w:tab w:val="left" w:pos="540"/>
          <w:tab w:val="left" w:pos="569"/>
        </w:tabs>
        <w:jc w:val="both"/>
        <w:rPr>
          <w:bCs/>
          <w:sz w:val="22"/>
          <w:szCs w:val="22"/>
          <w:lang w:val="sr-Latn-ME"/>
        </w:rPr>
      </w:pPr>
    </w:p>
    <w:p w:rsidR="00C23B78" w:rsidRPr="006927C1" w:rsidRDefault="00C23B78" w:rsidP="00C23B78">
      <w:pPr>
        <w:tabs>
          <w:tab w:val="left" w:pos="540"/>
          <w:tab w:val="left" w:pos="569"/>
        </w:tabs>
        <w:jc w:val="both"/>
        <w:rPr>
          <w:b/>
          <w:bCs/>
          <w:iCs/>
          <w:sz w:val="22"/>
          <w:szCs w:val="22"/>
          <w:lang w:val="sr-Latn-ME"/>
        </w:rPr>
      </w:pPr>
      <w:r w:rsidRPr="006927C1">
        <w:rPr>
          <w:b/>
          <w:bCs/>
          <w:iCs/>
          <w:sz w:val="22"/>
          <w:szCs w:val="22"/>
          <w:lang w:val="sr-Latn-ME"/>
        </w:rPr>
        <w:t>Tabela 8: Ispitivana populacija u studiji CO-US-104-0380 (Partners PrEP)</w:t>
      </w: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8"/>
        <w:gridCol w:w="1810"/>
        <w:gridCol w:w="2084"/>
        <w:gridCol w:w="1537"/>
      </w:tblGrid>
      <w:tr w:rsidR="00C23B78" w:rsidRPr="006927C1" w:rsidTr="00C23B78">
        <w:trPr>
          <w:trHeight w:val="1180"/>
          <w:jc w:val="center"/>
        </w:trPr>
        <w:tc>
          <w:tcPr>
            <w:tcW w:w="3738" w:type="dxa"/>
          </w:tcPr>
          <w:p w:rsidR="00C23B78" w:rsidRPr="006927C1" w:rsidRDefault="00C23B78" w:rsidP="00C23B78">
            <w:pPr>
              <w:widowControl w:val="0"/>
              <w:autoSpaceDE w:val="0"/>
              <w:autoSpaceDN w:val="0"/>
              <w:rPr>
                <w:sz w:val="22"/>
                <w:szCs w:val="22"/>
                <w:lang w:val="sr-Latn-ME"/>
              </w:rPr>
            </w:pPr>
          </w:p>
        </w:tc>
        <w:tc>
          <w:tcPr>
            <w:tcW w:w="1810" w:type="dxa"/>
            <w:vAlign w:val="center"/>
          </w:tcPr>
          <w:p w:rsidR="00C23B78" w:rsidRPr="006927C1" w:rsidRDefault="00C23B78" w:rsidP="00C23B78">
            <w:pPr>
              <w:widowControl w:val="0"/>
              <w:autoSpaceDE w:val="0"/>
              <w:autoSpaceDN w:val="0"/>
              <w:ind w:left="368" w:right="457"/>
              <w:jc w:val="center"/>
              <w:rPr>
                <w:b/>
                <w:sz w:val="22"/>
                <w:szCs w:val="22"/>
                <w:lang w:val="sr-Latn-ME"/>
              </w:rPr>
            </w:pPr>
            <w:r w:rsidRPr="006927C1">
              <w:rPr>
                <w:b/>
                <w:sz w:val="22"/>
                <w:szCs w:val="22"/>
                <w:lang w:val="sr-Latn-ME"/>
              </w:rPr>
              <w:t>Placebo</w:t>
            </w:r>
          </w:p>
          <w:p w:rsidR="00C23B78" w:rsidRPr="006927C1" w:rsidRDefault="00C23B78" w:rsidP="00C23B78">
            <w:pPr>
              <w:widowControl w:val="0"/>
              <w:autoSpaceDE w:val="0"/>
              <w:autoSpaceDN w:val="0"/>
              <w:ind w:left="368" w:right="457"/>
              <w:jc w:val="center"/>
              <w:rPr>
                <w:b/>
                <w:sz w:val="22"/>
                <w:szCs w:val="22"/>
                <w:lang w:val="sr-Latn-ME"/>
              </w:rPr>
            </w:pPr>
            <w:r w:rsidRPr="006927C1">
              <w:rPr>
                <w:b/>
                <w:sz w:val="22"/>
                <w:szCs w:val="22"/>
                <w:lang w:val="sr-Latn-ME"/>
              </w:rPr>
              <w:t>(n=1584)</w:t>
            </w:r>
          </w:p>
        </w:tc>
        <w:tc>
          <w:tcPr>
            <w:tcW w:w="2084" w:type="dxa"/>
            <w:vAlign w:val="center"/>
          </w:tcPr>
          <w:p w:rsidR="00C23B78" w:rsidRPr="006927C1" w:rsidRDefault="00C23B78" w:rsidP="00C23B78">
            <w:pPr>
              <w:widowControl w:val="0"/>
              <w:autoSpaceDE w:val="0"/>
              <w:autoSpaceDN w:val="0"/>
              <w:spacing w:before="1"/>
              <w:ind w:left="138" w:right="131"/>
              <w:jc w:val="center"/>
              <w:rPr>
                <w:b/>
                <w:sz w:val="22"/>
                <w:szCs w:val="22"/>
                <w:lang w:val="sr-Latn-ME"/>
              </w:rPr>
            </w:pPr>
            <w:r w:rsidRPr="006927C1">
              <w:rPr>
                <w:b/>
                <w:sz w:val="22"/>
                <w:szCs w:val="22"/>
                <w:lang w:val="sr-Latn-ME"/>
              </w:rPr>
              <w:t>Tenofovir dizoproksil 245 mg</w:t>
            </w:r>
          </w:p>
          <w:p w:rsidR="00C23B78" w:rsidRPr="006927C1" w:rsidRDefault="00C23B78" w:rsidP="00C23B78">
            <w:pPr>
              <w:widowControl w:val="0"/>
              <w:autoSpaceDE w:val="0"/>
              <w:autoSpaceDN w:val="0"/>
              <w:spacing w:before="1"/>
              <w:ind w:left="138" w:right="131"/>
              <w:jc w:val="center"/>
              <w:rPr>
                <w:b/>
                <w:sz w:val="22"/>
                <w:szCs w:val="22"/>
                <w:lang w:val="sr-Latn-ME"/>
              </w:rPr>
            </w:pPr>
            <w:r w:rsidRPr="006927C1">
              <w:rPr>
                <w:b/>
                <w:sz w:val="22"/>
                <w:szCs w:val="22"/>
                <w:lang w:val="sr-Latn-ME"/>
              </w:rPr>
              <w:t>(n = 1584)</w:t>
            </w:r>
          </w:p>
        </w:tc>
        <w:tc>
          <w:tcPr>
            <w:tcW w:w="1537" w:type="dxa"/>
            <w:vAlign w:val="center"/>
          </w:tcPr>
          <w:p w:rsidR="00C23B78" w:rsidRPr="006927C1" w:rsidRDefault="00C23B78" w:rsidP="00C23B78">
            <w:pPr>
              <w:widowControl w:val="0"/>
              <w:autoSpaceDE w:val="0"/>
              <w:autoSpaceDN w:val="0"/>
              <w:ind w:left="165" w:right="190"/>
              <w:jc w:val="center"/>
              <w:rPr>
                <w:b/>
                <w:sz w:val="22"/>
                <w:szCs w:val="22"/>
                <w:lang w:val="sr-Latn-ME"/>
              </w:rPr>
            </w:pPr>
            <w:r w:rsidRPr="006927C1">
              <w:rPr>
                <w:b/>
                <w:sz w:val="22"/>
                <w:szCs w:val="22"/>
                <w:lang w:val="sr-Latn-ME"/>
              </w:rPr>
              <w:t>Lijek Gilestra Duo</w:t>
            </w:r>
          </w:p>
          <w:p w:rsidR="00C23B78" w:rsidRPr="006927C1" w:rsidRDefault="00C23B78" w:rsidP="00C23B78">
            <w:pPr>
              <w:widowControl w:val="0"/>
              <w:autoSpaceDE w:val="0"/>
              <w:autoSpaceDN w:val="0"/>
              <w:ind w:left="165" w:right="190"/>
              <w:jc w:val="center"/>
              <w:rPr>
                <w:b/>
                <w:sz w:val="22"/>
                <w:szCs w:val="22"/>
                <w:lang w:val="sr-Latn-ME"/>
              </w:rPr>
            </w:pPr>
            <w:r w:rsidRPr="006927C1">
              <w:rPr>
                <w:b/>
                <w:sz w:val="22"/>
                <w:szCs w:val="22"/>
                <w:lang w:val="sr-Latn-ME"/>
              </w:rPr>
              <w:t>(n = 1579)</w:t>
            </w:r>
          </w:p>
        </w:tc>
      </w:tr>
      <w:tr w:rsidR="00C23B78" w:rsidRPr="006927C1" w:rsidTr="00C23B78">
        <w:trPr>
          <w:trHeight w:val="287"/>
          <w:jc w:val="center"/>
        </w:trPr>
        <w:tc>
          <w:tcPr>
            <w:tcW w:w="3738" w:type="dxa"/>
          </w:tcPr>
          <w:p w:rsidR="00C23B78" w:rsidRPr="006927C1" w:rsidRDefault="00C23B78" w:rsidP="00C23B78">
            <w:pPr>
              <w:widowControl w:val="0"/>
              <w:autoSpaceDE w:val="0"/>
              <w:autoSpaceDN w:val="0"/>
              <w:spacing w:line="225" w:lineRule="exact"/>
              <w:ind w:left="115"/>
              <w:rPr>
                <w:b/>
                <w:sz w:val="22"/>
                <w:szCs w:val="22"/>
                <w:lang w:val="sr-Latn-ME"/>
              </w:rPr>
            </w:pPr>
            <w:r w:rsidRPr="006927C1">
              <w:rPr>
                <w:b/>
                <w:sz w:val="22"/>
                <w:szCs w:val="22"/>
                <w:lang w:val="sr-Latn-ME"/>
              </w:rPr>
              <w:t>Starost</w:t>
            </w:r>
            <w:r w:rsidRPr="006927C1">
              <w:rPr>
                <w:b/>
                <w:spacing w:val="-2"/>
                <w:sz w:val="22"/>
                <w:szCs w:val="22"/>
                <w:lang w:val="sr-Latn-ME"/>
              </w:rPr>
              <w:t xml:space="preserve"> </w:t>
            </w:r>
            <w:r w:rsidRPr="006927C1">
              <w:rPr>
                <w:b/>
                <w:sz w:val="22"/>
                <w:szCs w:val="22"/>
                <w:lang w:val="sr-Latn-ME"/>
              </w:rPr>
              <w:t>(godine),</w:t>
            </w:r>
            <w:r w:rsidRPr="006927C1">
              <w:rPr>
                <w:b/>
                <w:spacing w:val="-3"/>
                <w:sz w:val="22"/>
                <w:szCs w:val="22"/>
                <w:lang w:val="sr-Latn-ME"/>
              </w:rPr>
              <w:t xml:space="preserve"> </w:t>
            </w:r>
            <w:r w:rsidRPr="006927C1">
              <w:rPr>
                <w:b/>
                <w:sz w:val="22"/>
                <w:szCs w:val="22"/>
                <w:lang w:val="sr-Latn-ME"/>
              </w:rPr>
              <w:t>medijana</w:t>
            </w:r>
            <w:r w:rsidRPr="006927C1">
              <w:rPr>
                <w:b/>
                <w:spacing w:val="-2"/>
                <w:sz w:val="22"/>
                <w:szCs w:val="22"/>
                <w:lang w:val="sr-Latn-ME"/>
              </w:rPr>
              <w:t xml:space="preserve"> </w:t>
            </w:r>
            <w:r w:rsidRPr="006927C1">
              <w:rPr>
                <w:b/>
                <w:sz w:val="22"/>
                <w:szCs w:val="22"/>
                <w:lang w:val="sr-Latn-ME"/>
              </w:rPr>
              <w:t>(Q1,</w:t>
            </w:r>
            <w:r w:rsidRPr="006927C1">
              <w:rPr>
                <w:b/>
                <w:spacing w:val="-3"/>
                <w:sz w:val="22"/>
                <w:szCs w:val="22"/>
                <w:lang w:val="sr-Latn-ME"/>
              </w:rPr>
              <w:t xml:space="preserve"> </w:t>
            </w:r>
            <w:r w:rsidRPr="006927C1">
              <w:rPr>
                <w:b/>
                <w:sz w:val="22"/>
                <w:szCs w:val="22"/>
                <w:lang w:val="sr-Latn-ME"/>
              </w:rPr>
              <w:t>Q3)</w:t>
            </w:r>
          </w:p>
        </w:tc>
        <w:tc>
          <w:tcPr>
            <w:tcW w:w="1810" w:type="dxa"/>
          </w:tcPr>
          <w:p w:rsidR="00C23B78" w:rsidRPr="006927C1" w:rsidRDefault="00C23B78" w:rsidP="00C23B78">
            <w:pPr>
              <w:widowControl w:val="0"/>
              <w:autoSpaceDE w:val="0"/>
              <w:autoSpaceDN w:val="0"/>
              <w:spacing w:line="221" w:lineRule="exact"/>
              <w:ind w:left="318" w:right="305"/>
              <w:jc w:val="center"/>
              <w:rPr>
                <w:sz w:val="22"/>
                <w:szCs w:val="22"/>
                <w:lang w:val="sr-Latn-ME"/>
              </w:rPr>
            </w:pPr>
            <w:r w:rsidRPr="006927C1">
              <w:rPr>
                <w:sz w:val="22"/>
                <w:szCs w:val="22"/>
                <w:lang w:val="sr-Latn-ME"/>
              </w:rPr>
              <w:t>34</w:t>
            </w:r>
            <w:r w:rsidRPr="006927C1">
              <w:rPr>
                <w:spacing w:val="1"/>
                <w:sz w:val="22"/>
                <w:szCs w:val="22"/>
                <w:lang w:val="sr-Latn-ME"/>
              </w:rPr>
              <w:t xml:space="preserve"> </w:t>
            </w:r>
            <w:r w:rsidRPr="006927C1">
              <w:rPr>
                <w:sz w:val="22"/>
                <w:szCs w:val="22"/>
                <w:lang w:val="sr-Latn-ME"/>
              </w:rPr>
              <w:t>(28;</w:t>
            </w:r>
            <w:r w:rsidRPr="006927C1">
              <w:rPr>
                <w:spacing w:val="-1"/>
                <w:sz w:val="22"/>
                <w:szCs w:val="22"/>
                <w:lang w:val="sr-Latn-ME"/>
              </w:rPr>
              <w:t xml:space="preserve"> </w:t>
            </w:r>
            <w:r w:rsidRPr="006927C1">
              <w:rPr>
                <w:sz w:val="22"/>
                <w:szCs w:val="22"/>
                <w:lang w:val="sr-Latn-ME"/>
              </w:rPr>
              <w:t>40)</w:t>
            </w:r>
          </w:p>
        </w:tc>
        <w:tc>
          <w:tcPr>
            <w:tcW w:w="2084" w:type="dxa"/>
          </w:tcPr>
          <w:p w:rsidR="00C23B78" w:rsidRPr="006927C1" w:rsidRDefault="00C23B78" w:rsidP="00C23B78">
            <w:pPr>
              <w:widowControl w:val="0"/>
              <w:autoSpaceDE w:val="0"/>
              <w:autoSpaceDN w:val="0"/>
              <w:spacing w:line="221" w:lineRule="exact"/>
              <w:ind w:left="138" w:right="131"/>
              <w:jc w:val="center"/>
              <w:rPr>
                <w:sz w:val="22"/>
                <w:szCs w:val="22"/>
                <w:lang w:val="sr-Latn-ME"/>
              </w:rPr>
            </w:pPr>
            <w:r w:rsidRPr="006927C1">
              <w:rPr>
                <w:sz w:val="22"/>
                <w:szCs w:val="22"/>
                <w:lang w:val="sr-Latn-ME"/>
              </w:rPr>
              <w:t>33</w:t>
            </w:r>
            <w:r w:rsidRPr="006927C1">
              <w:rPr>
                <w:spacing w:val="1"/>
                <w:sz w:val="22"/>
                <w:szCs w:val="22"/>
                <w:lang w:val="sr-Latn-ME"/>
              </w:rPr>
              <w:t xml:space="preserve"> </w:t>
            </w:r>
            <w:r w:rsidRPr="006927C1">
              <w:rPr>
                <w:sz w:val="22"/>
                <w:szCs w:val="22"/>
                <w:lang w:val="sr-Latn-ME"/>
              </w:rPr>
              <w:t>(28;</w:t>
            </w:r>
            <w:r w:rsidRPr="006927C1">
              <w:rPr>
                <w:spacing w:val="-1"/>
                <w:sz w:val="22"/>
                <w:szCs w:val="22"/>
                <w:lang w:val="sr-Latn-ME"/>
              </w:rPr>
              <w:t xml:space="preserve"> </w:t>
            </w:r>
            <w:r w:rsidRPr="006927C1">
              <w:rPr>
                <w:sz w:val="22"/>
                <w:szCs w:val="22"/>
                <w:lang w:val="sr-Latn-ME"/>
              </w:rPr>
              <w:t>39)</w:t>
            </w:r>
          </w:p>
        </w:tc>
        <w:tc>
          <w:tcPr>
            <w:tcW w:w="1537" w:type="dxa"/>
          </w:tcPr>
          <w:p w:rsidR="00C23B78" w:rsidRPr="006927C1" w:rsidRDefault="00C23B78" w:rsidP="00C23B78">
            <w:pPr>
              <w:widowControl w:val="0"/>
              <w:autoSpaceDE w:val="0"/>
              <w:autoSpaceDN w:val="0"/>
              <w:spacing w:line="221" w:lineRule="exact"/>
              <w:ind w:left="319"/>
              <w:jc w:val="center"/>
              <w:rPr>
                <w:sz w:val="22"/>
                <w:szCs w:val="22"/>
                <w:lang w:val="sr-Latn-ME"/>
              </w:rPr>
            </w:pPr>
            <w:r w:rsidRPr="006927C1">
              <w:rPr>
                <w:sz w:val="22"/>
                <w:szCs w:val="22"/>
                <w:lang w:val="sr-Latn-ME"/>
              </w:rPr>
              <w:t>33</w:t>
            </w:r>
            <w:r w:rsidRPr="006927C1">
              <w:rPr>
                <w:spacing w:val="1"/>
                <w:sz w:val="22"/>
                <w:szCs w:val="22"/>
                <w:lang w:val="sr-Latn-ME"/>
              </w:rPr>
              <w:t xml:space="preserve"> </w:t>
            </w:r>
            <w:r w:rsidRPr="006927C1">
              <w:rPr>
                <w:sz w:val="22"/>
                <w:szCs w:val="22"/>
                <w:lang w:val="sr-Latn-ME"/>
              </w:rPr>
              <w:t>(28;</w:t>
            </w:r>
            <w:r w:rsidRPr="006927C1">
              <w:rPr>
                <w:spacing w:val="-1"/>
                <w:sz w:val="22"/>
                <w:szCs w:val="22"/>
                <w:lang w:val="sr-Latn-ME"/>
              </w:rPr>
              <w:t xml:space="preserve"> </w:t>
            </w:r>
            <w:r w:rsidRPr="006927C1">
              <w:rPr>
                <w:sz w:val="22"/>
                <w:szCs w:val="22"/>
                <w:lang w:val="sr-Latn-ME"/>
              </w:rPr>
              <w:t>40)</w:t>
            </w:r>
          </w:p>
        </w:tc>
      </w:tr>
      <w:tr w:rsidR="00C23B78" w:rsidRPr="006927C1" w:rsidTr="00C23B78">
        <w:trPr>
          <w:trHeight w:val="230"/>
          <w:jc w:val="center"/>
        </w:trPr>
        <w:tc>
          <w:tcPr>
            <w:tcW w:w="9169" w:type="dxa"/>
            <w:gridSpan w:val="4"/>
          </w:tcPr>
          <w:p w:rsidR="00C23B78" w:rsidRPr="006927C1" w:rsidRDefault="00C23B78" w:rsidP="00C23B78">
            <w:pPr>
              <w:widowControl w:val="0"/>
              <w:autoSpaceDE w:val="0"/>
              <w:autoSpaceDN w:val="0"/>
              <w:spacing w:line="210" w:lineRule="exact"/>
              <w:ind w:left="115"/>
              <w:rPr>
                <w:b/>
                <w:sz w:val="22"/>
                <w:szCs w:val="22"/>
                <w:lang w:val="sr-Latn-ME"/>
              </w:rPr>
            </w:pPr>
            <w:r w:rsidRPr="006927C1">
              <w:rPr>
                <w:b/>
                <w:sz w:val="22"/>
                <w:szCs w:val="22"/>
                <w:lang w:val="sr-Latn-ME"/>
              </w:rPr>
              <w:t>Pol,</w:t>
            </w:r>
            <w:r w:rsidRPr="006927C1">
              <w:rPr>
                <w:b/>
                <w:spacing w:val="1"/>
                <w:sz w:val="22"/>
                <w:szCs w:val="22"/>
                <w:lang w:val="sr-Latn-ME"/>
              </w:rPr>
              <w:t xml:space="preserve"> </w:t>
            </w:r>
            <w:r w:rsidRPr="006927C1">
              <w:rPr>
                <w:b/>
                <w:sz w:val="22"/>
                <w:szCs w:val="22"/>
                <w:lang w:val="sr-Latn-ME"/>
              </w:rPr>
              <w:t>N</w:t>
            </w:r>
            <w:r w:rsidRPr="006927C1">
              <w:rPr>
                <w:b/>
                <w:spacing w:val="1"/>
                <w:sz w:val="22"/>
                <w:szCs w:val="22"/>
                <w:lang w:val="sr-Latn-ME"/>
              </w:rPr>
              <w:t xml:space="preserve"> </w:t>
            </w:r>
            <w:r w:rsidRPr="006927C1">
              <w:rPr>
                <w:b/>
                <w:sz w:val="22"/>
                <w:szCs w:val="22"/>
                <w:lang w:val="sr-Latn-ME"/>
              </w:rPr>
              <w:t>(%)</w:t>
            </w:r>
          </w:p>
        </w:tc>
      </w:tr>
      <w:tr w:rsidR="00C23B78" w:rsidRPr="006927C1" w:rsidTr="00C23B78">
        <w:trPr>
          <w:trHeight w:val="230"/>
          <w:jc w:val="center"/>
        </w:trPr>
        <w:tc>
          <w:tcPr>
            <w:tcW w:w="3738" w:type="dxa"/>
          </w:tcPr>
          <w:p w:rsidR="00C23B78" w:rsidRPr="006927C1" w:rsidRDefault="00C23B78" w:rsidP="00C23B78">
            <w:pPr>
              <w:widowControl w:val="0"/>
              <w:autoSpaceDE w:val="0"/>
              <w:autoSpaceDN w:val="0"/>
              <w:spacing w:line="210" w:lineRule="exact"/>
              <w:ind w:left="297"/>
              <w:rPr>
                <w:sz w:val="22"/>
                <w:szCs w:val="22"/>
                <w:lang w:val="sr-Latn-ME"/>
              </w:rPr>
            </w:pPr>
            <w:r w:rsidRPr="006927C1">
              <w:rPr>
                <w:sz w:val="22"/>
                <w:szCs w:val="22"/>
                <w:lang w:val="sr-Latn-ME"/>
              </w:rPr>
              <w:t>Muški</w:t>
            </w:r>
          </w:p>
        </w:tc>
        <w:tc>
          <w:tcPr>
            <w:tcW w:w="1810" w:type="dxa"/>
          </w:tcPr>
          <w:p w:rsidR="00C23B78" w:rsidRPr="006927C1" w:rsidRDefault="00C23B78" w:rsidP="00C23B78">
            <w:pPr>
              <w:widowControl w:val="0"/>
              <w:autoSpaceDE w:val="0"/>
              <w:autoSpaceDN w:val="0"/>
              <w:spacing w:line="210" w:lineRule="exact"/>
              <w:ind w:left="314" w:right="306"/>
              <w:jc w:val="center"/>
              <w:rPr>
                <w:sz w:val="22"/>
                <w:szCs w:val="22"/>
                <w:lang w:val="sr-Latn-ME"/>
              </w:rPr>
            </w:pPr>
            <w:r w:rsidRPr="006927C1">
              <w:rPr>
                <w:sz w:val="22"/>
                <w:szCs w:val="22"/>
                <w:lang w:val="sr-Latn-ME"/>
              </w:rPr>
              <w:t>963</w:t>
            </w:r>
            <w:r w:rsidRPr="006927C1">
              <w:rPr>
                <w:spacing w:val="-2"/>
                <w:sz w:val="22"/>
                <w:szCs w:val="22"/>
                <w:lang w:val="sr-Latn-ME"/>
              </w:rPr>
              <w:t xml:space="preserve"> </w:t>
            </w:r>
            <w:r w:rsidRPr="006927C1">
              <w:rPr>
                <w:sz w:val="22"/>
                <w:szCs w:val="22"/>
                <w:lang w:val="sr-Latn-ME"/>
              </w:rPr>
              <w:t>(61)</w:t>
            </w:r>
          </w:p>
        </w:tc>
        <w:tc>
          <w:tcPr>
            <w:tcW w:w="2084" w:type="dxa"/>
          </w:tcPr>
          <w:p w:rsidR="00C23B78" w:rsidRPr="006927C1" w:rsidRDefault="00C23B78" w:rsidP="00C23B78">
            <w:pPr>
              <w:widowControl w:val="0"/>
              <w:autoSpaceDE w:val="0"/>
              <w:autoSpaceDN w:val="0"/>
              <w:spacing w:line="210" w:lineRule="exact"/>
              <w:ind w:left="138" w:right="127"/>
              <w:jc w:val="center"/>
              <w:rPr>
                <w:sz w:val="22"/>
                <w:szCs w:val="22"/>
                <w:lang w:val="sr-Latn-ME"/>
              </w:rPr>
            </w:pPr>
            <w:r w:rsidRPr="006927C1">
              <w:rPr>
                <w:sz w:val="22"/>
                <w:szCs w:val="22"/>
                <w:lang w:val="sr-Latn-ME"/>
              </w:rPr>
              <w:t>986</w:t>
            </w:r>
            <w:r w:rsidRPr="006927C1">
              <w:rPr>
                <w:spacing w:val="-2"/>
                <w:sz w:val="22"/>
                <w:szCs w:val="22"/>
                <w:lang w:val="sr-Latn-ME"/>
              </w:rPr>
              <w:t xml:space="preserve"> </w:t>
            </w:r>
            <w:r w:rsidRPr="006927C1">
              <w:rPr>
                <w:sz w:val="22"/>
                <w:szCs w:val="22"/>
                <w:lang w:val="sr-Latn-ME"/>
              </w:rPr>
              <w:t>(62)</w:t>
            </w:r>
          </w:p>
        </w:tc>
        <w:tc>
          <w:tcPr>
            <w:tcW w:w="1537" w:type="dxa"/>
          </w:tcPr>
          <w:p w:rsidR="00C23B78" w:rsidRPr="006927C1" w:rsidRDefault="00C23B78" w:rsidP="00C23B78">
            <w:pPr>
              <w:widowControl w:val="0"/>
              <w:autoSpaceDE w:val="0"/>
              <w:autoSpaceDN w:val="0"/>
              <w:spacing w:line="210" w:lineRule="exact"/>
              <w:ind w:left="372"/>
              <w:jc w:val="center"/>
              <w:rPr>
                <w:sz w:val="22"/>
                <w:szCs w:val="22"/>
                <w:lang w:val="sr-Latn-ME"/>
              </w:rPr>
            </w:pPr>
            <w:r w:rsidRPr="006927C1">
              <w:rPr>
                <w:sz w:val="22"/>
                <w:szCs w:val="22"/>
                <w:lang w:val="sr-Latn-ME"/>
              </w:rPr>
              <w:t>1013</w:t>
            </w:r>
            <w:r w:rsidRPr="006927C1">
              <w:rPr>
                <w:spacing w:val="-2"/>
                <w:sz w:val="22"/>
                <w:szCs w:val="22"/>
                <w:lang w:val="sr-Latn-ME"/>
              </w:rPr>
              <w:t xml:space="preserve"> </w:t>
            </w:r>
            <w:r w:rsidRPr="006927C1">
              <w:rPr>
                <w:sz w:val="22"/>
                <w:szCs w:val="22"/>
                <w:lang w:val="sr-Latn-ME"/>
              </w:rPr>
              <w:t>(64)</w:t>
            </w:r>
          </w:p>
        </w:tc>
      </w:tr>
      <w:tr w:rsidR="00C23B78" w:rsidRPr="006927C1" w:rsidTr="00C23B78">
        <w:trPr>
          <w:trHeight w:val="230"/>
          <w:jc w:val="center"/>
        </w:trPr>
        <w:tc>
          <w:tcPr>
            <w:tcW w:w="3738" w:type="dxa"/>
          </w:tcPr>
          <w:p w:rsidR="00C23B78" w:rsidRPr="006927C1" w:rsidRDefault="00C23B78" w:rsidP="00C23B78">
            <w:pPr>
              <w:widowControl w:val="0"/>
              <w:autoSpaceDE w:val="0"/>
              <w:autoSpaceDN w:val="0"/>
              <w:spacing w:line="210" w:lineRule="exact"/>
              <w:ind w:left="297"/>
              <w:rPr>
                <w:sz w:val="22"/>
                <w:szCs w:val="22"/>
                <w:lang w:val="sr-Latn-ME"/>
              </w:rPr>
            </w:pPr>
            <w:r w:rsidRPr="006927C1">
              <w:rPr>
                <w:sz w:val="22"/>
                <w:szCs w:val="22"/>
                <w:lang w:val="sr-Latn-ME"/>
              </w:rPr>
              <w:t>Ženski</w:t>
            </w:r>
          </w:p>
        </w:tc>
        <w:tc>
          <w:tcPr>
            <w:tcW w:w="1810" w:type="dxa"/>
          </w:tcPr>
          <w:p w:rsidR="00C23B78" w:rsidRPr="006927C1" w:rsidRDefault="00C23B78" w:rsidP="00C23B78">
            <w:pPr>
              <w:widowControl w:val="0"/>
              <w:autoSpaceDE w:val="0"/>
              <w:autoSpaceDN w:val="0"/>
              <w:spacing w:line="210" w:lineRule="exact"/>
              <w:ind w:left="314" w:right="306"/>
              <w:jc w:val="center"/>
              <w:rPr>
                <w:sz w:val="22"/>
                <w:szCs w:val="22"/>
                <w:lang w:val="sr-Latn-ME"/>
              </w:rPr>
            </w:pPr>
            <w:r w:rsidRPr="006927C1">
              <w:rPr>
                <w:sz w:val="22"/>
                <w:szCs w:val="22"/>
                <w:lang w:val="sr-Latn-ME"/>
              </w:rPr>
              <w:t>621</w:t>
            </w:r>
            <w:r w:rsidRPr="006927C1">
              <w:rPr>
                <w:spacing w:val="-2"/>
                <w:sz w:val="22"/>
                <w:szCs w:val="22"/>
                <w:lang w:val="sr-Latn-ME"/>
              </w:rPr>
              <w:t xml:space="preserve"> </w:t>
            </w:r>
            <w:r w:rsidRPr="006927C1">
              <w:rPr>
                <w:sz w:val="22"/>
                <w:szCs w:val="22"/>
                <w:lang w:val="sr-Latn-ME"/>
              </w:rPr>
              <w:t>(39)</w:t>
            </w:r>
          </w:p>
        </w:tc>
        <w:tc>
          <w:tcPr>
            <w:tcW w:w="2084" w:type="dxa"/>
          </w:tcPr>
          <w:p w:rsidR="00C23B78" w:rsidRPr="006927C1" w:rsidRDefault="00C23B78" w:rsidP="00C23B78">
            <w:pPr>
              <w:widowControl w:val="0"/>
              <w:autoSpaceDE w:val="0"/>
              <w:autoSpaceDN w:val="0"/>
              <w:spacing w:line="210" w:lineRule="exact"/>
              <w:ind w:left="138" w:right="127"/>
              <w:jc w:val="center"/>
              <w:rPr>
                <w:sz w:val="22"/>
                <w:szCs w:val="22"/>
                <w:lang w:val="sr-Latn-ME"/>
              </w:rPr>
            </w:pPr>
            <w:r w:rsidRPr="006927C1">
              <w:rPr>
                <w:sz w:val="22"/>
                <w:szCs w:val="22"/>
                <w:lang w:val="sr-Latn-ME"/>
              </w:rPr>
              <w:t>598</w:t>
            </w:r>
            <w:r w:rsidRPr="006927C1">
              <w:rPr>
                <w:spacing w:val="-2"/>
                <w:sz w:val="22"/>
                <w:szCs w:val="22"/>
                <w:lang w:val="sr-Latn-ME"/>
              </w:rPr>
              <w:t xml:space="preserve"> </w:t>
            </w:r>
            <w:r w:rsidRPr="006927C1">
              <w:rPr>
                <w:sz w:val="22"/>
                <w:szCs w:val="22"/>
                <w:lang w:val="sr-Latn-ME"/>
              </w:rPr>
              <w:t>(38)</w:t>
            </w:r>
          </w:p>
        </w:tc>
        <w:tc>
          <w:tcPr>
            <w:tcW w:w="1537" w:type="dxa"/>
          </w:tcPr>
          <w:p w:rsidR="00C23B78" w:rsidRPr="006927C1" w:rsidRDefault="00C23B78" w:rsidP="00C23B78">
            <w:pPr>
              <w:widowControl w:val="0"/>
              <w:autoSpaceDE w:val="0"/>
              <w:autoSpaceDN w:val="0"/>
              <w:spacing w:line="210" w:lineRule="exact"/>
              <w:ind w:left="425"/>
              <w:jc w:val="center"/>
              <w:rPr>
                <w:sz w:val="22"/>
                <w:szCs w:val="22"/>
                <w:lang w:val="sr-Latn-ME"/>
              </w:rPr>
            </w:pPr>
            <w:r w:rsidRPr="006927C1">
              <w:rPr>
                <w:sz w:val="22"/>
                <w:szCs w:val="22"/>
                <w:lang w:val="sr-Latn-ME"/>
              </w:rPr>
              <w:t>566</w:t>
            </w:r>
            <w:r w:rsidRPr="006927C1">
              <w:rPr>
                <w:spacing w:val="-2"/>
                <w:sz w:val="22"/>
                <w:szCs w:val="22"/>
                <w:lang w:val="sr-Latn-ME"/>
              </w:rPr>
              <w:t xml:space="preserve"> </w:t>
            </w:r>
            <w:r w:rsidRPr="006927C1">
              <w:rPr>
                <w:sz w:val="22"/>
                <w:szCs w:val="22"/>
                <w:lang w:val="sr-Latn-ME"/>
              </w:rPr>
              <w:t>(36)</w:t>
            </w:r>
          </w:p>
        </w:tc>
      </w:tr>
      <w:tr w:rsidR="00C23B78" w:rsidRPr="006927C1" w:rsidTr="00C23B78">
        <w:trPr>
          <w:trHeight w:val="441"/>
          <w:jc w:val="center"/>
        </w:trPr>
        <w:tc>
          <w:tcPr>
            <w:tcW w:w="9169" w:type="dxa"/>
            <w:gridSpan w:val="4"/>
          </w:tcPr>
          <w:p w:rsidR="00C23B78" w:rsidRPr="006927C1" w:rsidRDefault="00C23B78" w:rsidP="00C23B78">
            <w:pPr>
              <w:widowControl w:val="0"/>
              <w:autoSpaceDE w:val="0"/>
              <w:autoSpaceDN w:val="0"/>
              <w:spacing w:before="101"/>
              <w:ind w:left="100"/>
              <w:rPr>
                <w:b/>
                <w:sz w:val="22"/>
                <w:szCs w:val="22"/>
                <w:lang w:val="sr-Latn-ME"/>
              </w:rPr>
            </w:pPr>
            <w:r w:rsidRPr="006927C1">
              <w:rPr>
                <w:b/>
                <w:sz w:val="22"/>
                <w:szCs w:val="22"/>
                <w:lang w:val="sr-Latn-ME"/>
              </w:rPr>
              <w:t>Ključne</w:t>
            </w:r>
            <w:r w:rsidRPr="006927C1">
              <w:rPr>
                <w:b/>
                <w:spacing w:val="-2"/>
                <w:sz w:val="22"/>
                <w:szCs w:val="22"/>
                <w:lang w:val="sr-Latn-ME"/>
              </w:rPr>
              <w:t xml:space="preserve"> </w:t>
            </w:r>
            <w:r w:rsidRPr="006927C1">
              <w:rPr>
                <w:b/>
                <w:sz w:val="22"/>
                <w:szCs w:val="22"/>
                <w:lang w:val="sr-Latn-ME"/>
              </w:rPr>
              <w:t>karakteristike</w:t>
            </w:r>
            <w:r w:rsidRPr="006927C1">
              <w:rPr>
                <w:b/>
                <w:spacing w:val="-2"/>
                <w:sz w:val="22"/>
                <w:szCs w:val="22"/>
                <w:lang w:val="sr-Latn-ME"/>
              </w:rPr>
              <w:t xml:space="preserve"> </w:t>
            </w:r>
            <w:r w:rsidRPr="006927C1">
              <w:rPr>
                <w:b/>
                <w:sz w:val="22"/>
                <w:szCs w:val="22"/>
                <w:lang w:val="sr-Latn-ME"/>
              </w:rPr>
              <w:t>para,</w:t>
            </w:r>
            <w:r w:rsidRPr="006927C1">
              <w:rPr>
                <w:b/>
                <w:spacing w:val="-1"/>
                <w:sz w:val="22"/>
                <w:szCs w:val="22"/>
                <w:lang w:val="sr-Latn-ME"/>
              </w:rPr>
              <w:t xml:space="preserve"> </w:t>
            </w:r>
            <w:r w:rsidRPr="006927C1">
              <w:rPr>
                <w:b/>
                <w:sz w:val="22"/>
                <w:szCs w:val="22"/>
                <w:lang w:val="sr-Latn-ME"/>
              </w:rPr>
              <w:t>N</w:t>
            </w:r>
            <w:r w:rsidRPr="006927C1">
              <w:rPr>
                <w:b/>
                <w:spacing w:val="-2"/>
                <w:sz w:val="22"/>
                <w:szCs w:val="22"/>
                <w:lang w:val="sr-Latn-ME"/>
              </w:rPr>
              <w:t xml:space="preserve"> </w:t>
            </w:r>
            <w:r w:rsidRPr="006927C1">
              <w:rPr>
                <w:b/>
                <w:sz w:val="22"/>
                <w:szCs w:val="22"/>
                <w:lang w:val="sr-Latn-ME"/>
              </w:rPr>
              <w:t>(%)</w:t>
            </w:r>
            <w:r w:rsidRPr="006927C1">
              <w:rPr>
                <w:b/>
                <w:spacing w:val="-2"/>
                <w:sz w:val="22"/>
                <w:szCs w:val="22"/>
                <w:lang w:val="sr-Latn-ME"/>
              </w:rPr>
              <w:t xml:space="preserve"> </w:t>
            </w:r>
            <w:r w:rsidRPr="006927C1">
              <w:rPr>
                <w:b/>
                <w:sz w:val="22"/>
                <w:szCs w:val="22"/>
                <w:lang w:val="sr-Latn-ME"/>
              </w:rPr>
              <w:t>ili</w:t>
            </w:r>
            <w:r w:rsidRPr="006927C1">
              <w:rPr>
                <w:b/>
                <w:spacing w:val="-1"/>
                <w:sz w:val="22"/>
                <w:szCs w:val="22"/>
                <w:lang w:val="sr-Latn-ME"/>
              </w:rPr>
              <w:t xml:space="preserve"> medijana </w:t>
            </w:r>
            <w:r w:rsidRPr="006927C1">
              <w:rPr>
                <w:b/>
                <w:sz w:val="22"/>
                <w:szCs w:val="22"/>
                <w:lang w:val="sr-Latn-ME"/>
              </w:rPr>
              <w:t>(Q1,</w:t>
            </w:r>
            <w:r w:rsidRPr="006927C1">
              <w:rPr>
                <w:b/>
                <w:spacing w:val="-2"/>
                <w:sz w:val="22"/>
                <w:szCs w:val="22"/>
                <w:lang w:val="sr-Latn-ME"/>
              </w:rPr>
              <w:t xml:space="preserve"> </w:t>
            </w:r>
            <w:r w:rsidRPr="006927C1">
              <w:rPr>
                <w:b/>
                <w:sz w:val="22"/>
                <w:szCs w:val="22"/>
                <w:lang w:val="sr-Latn-ME"/>
              </w:rPr>
              <w:t>Q3)</w:t>
            </w:r>
          </w:p>
        </w:tc>
      </w:tr>
      <w:tr w:rsidR="00C23B78" w:rsidRPr="006927C1" w:rsidTr="00C23B78">
        <w:trPr>
          <w:trHeight w:val="230"/>
          <w:jc w:val="center"/>
        </w:trPr>
        <w:tc>
          <w:tcPr>
            <w:tcW w:w="3738" w:type="dxa"/>
          </w:tcPr>
          <w:p w:rsidR="00C23B78" w:rsidRPr="006927C1" w:rsidRDefault="00C23B78" w:rsidP="00C23B78">
            <w:pPr>
              <w:widowControl w:val="0"/>
              <w:autoSpaceDE w:val="0"/>
              <w:autoSpaceDN w:val="0"/>
              <w:spacing w:line="210" w:lineRule="exact"/>
              <w:ind w:left="297"/>
              <w:rPr>
                <w:sz w:val="22"/>
                <w:szCs w:val="22"/>
                <w:lang w:val="sr-Latn-ME"/>
              </w:rPr>
            </w:pPr>
            <w:r w:rsidRPr="006927C1">
              <w:rPr>
                <w:sz w:val="22"/>
                <w:szCs w:val="22"/>
                <w:lang w:val="sr-Latn-ME"/>
              </w:rPr>
              <w:t>U</w:t>
            </w:r>
            <w:r w:rsidRPr="006927C1">
              <w:rPr>
                <w:spacing w:val="-2"/>
                <w:sz w:val="22"/>
                <w:szCs w:val="22"/>
                <w:lang w:val="sr-Latn-ME"/>
              </w:rPr>
              <w:t xml:space="preserve"> </w:t>
            </w:r>
            <w:r w:rsidRPr="006927C1">
              <w:rPr>
                <w:sz w:val="22"/>
                <w:szCs w:val="22"/>
                <w:lang w:val="sr-Latn-ME"/>
              </w:rPr>
              <w:t>braku</w:t>
            </w:r>
            <w:r w:rsidRPr="006927C1">
              <w:rPr>
                <w:spacing w:val="-2"/>
                <w:sz w:val="22"/>
                <w:szCs w:val="22"/>
                <w:lang w:val="sr-Latn-ME"/>
              </w:rPr>
              <w:t xml:space="preserve"> </w:t>
            </w:r>
            <w:r w:rsidRPr="006927C1">
              <w:rPr>
                <w:sz w:val="22"/>
                <w:szCs w:val="22"/>
                <w:lang w:val="sr-Latn-ME"/>
              </w:rPr>
              <w:t>sa</w:t>
            </w:r>
            <w:r w:rsidRPr="006927C1">
              <w:rPr>
                <w:spacing w:val="-2"/>
                <w:sz w:val="22"/>
                <w:szCs w:val="22"/>
                <w:lang w:val="sr-Latn-ME"/>
              </w:rPr>
              <w:t xml:space="preserve"> </w:t>
            </w:r>
            <w:r w:rsidRPr="006927C1">
              <w:rPr>
                <w:sz w:val="22"/>
                <w:szCs w:val="22"/>
                <w:lang w:val="sr-Latn-ME"/>
              </w:rPr>
              <w:t>partnerom</w:t>
            </w:r>
            <w:r w:rsidRPr="006927C1">
              <w:rPr>
                <w:spacing w:val="-3"/>
                <w:sz w:val="22"/>
                <w:szCs w:val="22"/>
                <w:lang w:val="sr-Latn-ME"/>
              </w:rPr>
              <w:t xml:space="preserve"> </w:t>
            </w:r>
            <w:r w:rsidRPr="006927C1">
              <w:rPr>
                <w:sz w:val="22"/>
                <w:szCs w:val="22"/>
                <w:lang w:val="sr-Latn-ME"/>
              </w:rPr>
              <w:t>u</w:t>
            </w:r>
            <w:r w:rsidRPr="006927C1">
              <w:rPr>
                <w:spacing w:val="1"/>
                <w:sz w:val="22"/>
                <w:szCs w:val="22"/>
                <w:lang w:val="sr-Latn-ME"/>
              </w:rPr>
              <w:t xml:space="preserve"> </w:t>
            </w:r>
            <w:r w:rsidRPr="006927C1">
              <w:rPr>
                <w:sz w:val="22"/>
                <w:szCs w:val="22"/>
                <w:lang w:val="sr-Latn-ME"/>
              </w:rPr>
              <w:t>studiji</w:t>
            </w:r>
          </w:p>
        </w:tc>
        <w:tc>
          <w:tcPr>
            <w:tcW w:w="1810" w:type="dxa"/>
            <w:vAlign w:val="center"/>
          </w:tcPr>
          <w:p w:rsidR="00C23B78" w:rsidRPr="006927C1" w:rsidRDefault="00C23B78" w:rsidP="00C23B78">
            <w:pPr>
              <w:widowControl w:val="0"/>
              <w:autoSpaceDE w:val="0"/>
              <w:autoSpaceDN w:val="0"/>
              <w:spacing w:line="210" w:lineRule="exact"/>
              <w:ind w:left="318" w:right="306"/>
              <w:jc w:val="center"/>
              <w:rPr>
                <w:sz w:val="22"/>
                <w:szCs w:val="22"/>
                <w:lang w:val="sr-Latn-ME"/>
              </w:rPr>
            </w:pPr>
            <w:r w:rsidRPr="006927C1">
              <w:rPr>
                <w:sz w:val="22"/>
                <w:szCs w:val="22"/>
                <w:lang w:val="sr-Latn-ME"/>
              </w:rPr>
              <w:t>1552</w:t>
            </w:r>
            <w:r w:rsidRPr="006927C1">
              <w:rPr>
                <w:spacing w:val="-2"/>
                <w:sz w:val="22"/>
                <w:szCs w:val="22"/>
                <w:lang w:val="sr-Latn-ME"/>
              </w:rPr>
              <w:t xml:space="preserve"> </w:t>
            </w:r>
            <w:r w:rsidRPr="006927C1">
              <w:rPr>
                <w:sz w:val="22"/>
                <w:szCs w:val="22"/>
                <w:lang w:val="sr-Latn-ME"/>
              </w:rPr>
              <w:t>(98)</w:t>
            </w:r>
          </w:p>
        </w:tc>
        <w:tc>
          <w:tcPr>
            <w:tcW w:w="2084" w:type="dxa"/>
            <w:vAlign w:val="center"/>
          </w:tcPr>
          <w:p w:rsidR="00C23B78" w:rsidRPr="006927C1" w:rsidRDefault="00C23B78" w:rsidP="00C23B78">
            <w:pPr>
              <w:widowControl w:val="0"/>
              <w:autoSpaceDE w:val="0"/>
              <w:autoSpaceDN w:val="0"/>
              <w:spacing w:line="210" w:lineRule="exact"/>
              <w:ind w:left="138" w:right="132"/>
              <w:jc w:val="center"/>
              <w:rPr>
                <w:sz w:val="22"/>
                <w:szCs w:val="22"/>
                <w:lang w:val="sr-Latn-ME"/>
              </w:rPr>
            </w:pPr>
            <w:r w:rsidRPr="006927C1">
              <w:rPr>
                <w:sz w:val="22"/>
                <w:szCs w:val="22"/>
                <w:lang w:val="sr-Latn-ME"/>
              </w:rPr>
              <w:t>1543</w:t>
            </w:r>
            <w:r w:rsidRPr="006927C1">
              <w:rPr>
                <w:spacing w:val="-2"/>
                <w:sz w:val="22"/>
                <w:szCs w:val="22"/>
                <w:lang w:val="sr-Latn-ME"/>
              </w:rPr>
              <w:t xml:space="preserve"> </w:t>
            </w:r>
            <w:r w:rsidRPr="006927C1">
              <w:rPr>
                <w:sz w:val="22"/>
                <w:szCs w:val="22"/>
                <w:lang w:val="sr-Latn-ME"/>
              </w:rPr>
              <w:t>(97)</w:t>
            </w:r>
          </w:p>
        </w:tc>
        <w:tc>
          <w:tcPr>
            <w:tcW w:w="1537" w:type="dxa"/>
            <w:vAlign w:val="center"/>
          </w:tcPr>
          <w:p w:rsidR="00C23B78" w:rsidRPr="006927C1" w:rsidRDefault="00C23B78" w:rsidP="00C23B78">
            <w:pPr>
              <w:widowControl w:val="0"/>
              <w:autoSpaceDE w:val="0"/>
              <w:autoSpaceDN w:val="0"/>
              <w:spacing w:line="210" w:lineRule="exact"/>
              <w:ind w:left="372"/>
              <w:jc w:val="center"/>
              <w:rPr>
                <w:sz w:val="22"/>
                <w:szCs w:val="22"/>
                <w:lang w:val="sr-Latn-ME"/>
              </w:rPr>
            </w:pPr>
            <w:r w:rsidRPr="006927C1">
              <w:rPr>
                <w:sz w:val="22"/>
                <w:szCs w:val="22"/>
                <w:lang w:val="sr-Latn-ME"/>
              </w:rPr>
              <w:t>1540</w:t>
            </w:r>
            <w:r w:rsidRPr="006927C1">
              <w:rPr>
                <w:spacing w:val="-2"/>
                <w:sz w:val="22"/>
                <w:szCs w:val="22"/>
                <w:lang w:val="sr-Latn-ME"/>
              </w:rPr>
              <w:t xml:space="preserve"> </w:t>
            </w:r>
            <w:r w:rsidRPr="006927C1">
              <w:rPr>
                <w:sz w:val="22"/>
                <w:szCs w:val="22"/>
                <w:lang w:val="sr-Latn-ME"/>
              </w:rPr>
              <w:t>(98)</w:t>
            </w:r>
          </w:p>
        </w:tc>
      </w:tr>
      <w:tr w:rsidR="00C23B78" w:rsidRPr="006927C1" w:rsidTr="00C23B78">
        <w:trPr>
          <w:trHeight w:val="460"/>
          <w:jc w:val="center"/>
        </w:trPr>
        <w:tc>
          <w:tcPr>
            <w:tcW w:w="3738" w:type="dxa"/>
          </w:tcPr>
          <w:p w:rsidR="00C23B78" w:rsidRPr="006927C1" w:rsidRDefault="00C23B78" w:rsidP="00C23B78">
            <w:pPr>
              <w:widowControl w:val="0"/>
              <w:autoSpaceDE w:val="0"/>
              <w:autoSpaceDN w:val="0"/>
              <w:spacing w:line="221" w:lineRule="exact"/>
              <w:ind w:left="297"/>
              <w:rPr>
                <w:sz w:val="22"/>
                <w:szCs w:val="22"/>
                <w:lang w:val="sr-Latn-ME"/>
              </w:rPr>
            </w:pPr>
            <w:r w:rsidRPr="006927C1">
              <w:rPr>
                <w:sz w:val="22"/>
                <w:szCs w:val="22"/>
                <w:lang w:val="sr-Latn-ME"/>
              </w:rPr>
              <w:t>Godine</w:t>
            </w:r>
            <w:r w:rsidRPr="006927C1">
              <w:rPr>
                <w:spacing w:val="-4"/>
                <w:sz w:val="22"/>
                <w:szCs w:val="22"/>
                <w:lang w:val="sr-Latn-ME"/>
              </w:rPr>
              <w:t xml:space="preserve"> </w:t>
            </w:r>
            <w:r w:rsidRPr="006927C1">
              <w:rPr>
                <w:sz w:val="22"/>
                <w:szCs w:val="22"/>
                <w:lang w:val="sr-Latn-ME"/>
              </w:rPr>
              <w:t>zajedničkog</w:t>
            </w:r>
            <w:r w:rsidRPr="006927C1">
              <w:rPr>
                <w:spacing w:val="-1"/>
                <w:sz w:val="22"/>
                <w:szCs w:val="22"/>
                <w:lang w:val="sr-Latn-ME"/>
              </w:rPr>
              <w:t xml:space="preserve"> </w:t>
            </w:r>
            <w:r w:rsidRPr="006927C1">
              <w:rPr>
                <w:sz w:val="22"/>
                <w:szCs w:val="22"/>
                <w:lang w:val="sr-Latn-ME"/>
              </w:rPr>
              <w:t>života</w:t>
            </w:r>
            <w:r w:rsidRPr="006927C1">
              <w:rPr>
                <w:spacing w:val="-3"/>
                <w:sz w:val="22"/>
                <w:szCs w:val="22"/>
                <w:lang w:val="sr-Latn-ME"/>
              </w:rPr>
              <w:t xml:space="preserve"> </w:t>
            </w:r>
            <w:r w:rsidRPr="006927C1">
              <w:rPr>
                <w:sz w:val="22"/>
                <w:szCs w:val="22"/>
                <w:lang w:val="sr-Latn-ME"/>
              </w:rPr>
              <w:t>sa</w:t>
            </w:r>
            <w:r w:rsidRPr="006927C1">
              <w:rPr>
                <w:spacing w:val="-3"/>
                <w:sz w:val="22"/>
                <w:szCs w:val="22"/>
                <w:lang w:val="sr-Latn-ME"/>
              </w:rPr>
              <w:t xml:space="preserve"> </w:t>
            </w:r>
            <w:r w:rsidRPr="006927C1">
              <w:rPr>
                <w:sz w:val="22"/>
                <w:szCs w:val="22"/>
                <w:lang w:val="sr-Latn-ME"/>
              </w:rPr>
              <w:t>partnerom</w:t>
            </w:r>
            <w:r w:rsidRPr="006927C1">
              <w:rPr>
                <w:spacing w:val="-1"/>
                <w:sz w:val="22"/>
                <w:szCs w:val="22"/>
                <w:lang w:val="sr-Latn-ME"/>
              </w:rPr>
              <w:t xml:space="preserve"> </w:t>
            </w:r>
            <w:r w:rsidRPr="006927C1">
              <w:rPr>
                <w:sz w:val="22"/>
                <w:szCs w:val="22"/>
                <w:lang w:val="sr-Latn-ME"/>
              </w:rPr>
              <w:t>u studiji</w:t>
            </w:r>
          </w:p>
        </w:tc>
        <w:tc>
          <w:tcPr>
            <w:tcW w:w="1810" w:type="dxa"/>
            <w:vAlign w:val="center"/>
          </w:tcPr>
          <w:p w:rsidR="00C23B78" w:rsidRPr="006927C1" w:rsidRDefault="00C23B78" w:rsidP="00C23B78">
            <w:pPr>
              <w:widowControl w:val="0"/>
              <w:autoSpaceDE w:val="0"/>
              <w:autoSpaceDN w:val="0"/>
              <w:spacing w:line="221" w:lineRule="exact"/>
              <w:ind w:left="318" w:right="306"/>
              <w:jc w:val="center"/>
              <w:rPr>
                <w:sz w:val="22"/>
                <w:szCs w:val="22"/>
                <w:lang w:val="sr-Latn-ME"/>
              </w:rPr>
            </w:pPr>
            <w:r w:rsidRPr="006927C1">
              <w:rPr>
                <w:sz w:val="22"/>
                <w:szCs w:val="22"/>
                <w:lang w:val="sr-Latn-ME"/>
              </w:rPr>
              <w:t>7,1</w:t>
            </w:r>
            <w:r w:rsidRPr="006927C1">
              <w:rPr>
                <w:spacing w:val="-2"/>
                <w:sz w:val="22"/>
                <w:szCs w:val="22"/>
                <w:lang w:val="sr-Latn-ME"/>
              </w:rPr>
              <w:t xml:space="preserve"> </w:t>
            </w:r>
            <w:r w:rsidRPr="006927C1">
              <w:rPr>
                <w:sz w:val="22"/>
                <w:szCs w:val="22"/>
                <w:lang w:val="sr-Latn-ME"/>
              </w:rPr>
              <w:t>(3,0;</w:t>
            </w:r>
            <w:r w:rsidRPr="006927C1">
              <w:rPr>
                <w:spacing w:val="-2"/>
                <w:sz w:val="22"/>
                <w:szCs w:val="22"/>
                <w:lang w:val="sr-Latn-ME"/>
              </w:rPr>
              <w:t xml:space="preserve"> </w:t>
            </w:r>
            <w:r w:rsidRPr="006927C1">
              <w:rPr>
                <w:sz w:val="22"/>
                <w:szCs w:val="22"/>
                <w:lang w:val="sr-Latn-ME"/>
              </w:rPr>
              <w:t>14,0)</w:t>
            </w:r>
          </w:p>
        </w:tc>
        <w:tc>
          <w:tcPr>
            <w:tcW w:w="2084" w:type="dxa"/>
            <w:vAlign w:val="center"/>
          </w:tcPr>
          <w:p w:rsidR="00C23B78" w:rsidRPr="006927C1" w:rsidRDefault="00C23B78" w:rsidP="00C23B78">
            <w:pPr>
              <w:widowControl w:val="0"/>
              <w:autoSpaceDE w:val="0"/>
              <w:autoSpaceDN w:val="0"/>
              <w:spacing w:line="221" w:lineRule="exact"/>
              <w:ind w:left="138" w:right="132"/>
              <w:jc w:val="center"/>
              <w:rPr>
                <w:sz w:val="22"/>
                <w:szCs w:val="22"/>
                <w:lang w:val="sr-Latn-ME"/>
              </w:rPr>
            </w:pPr>
            <w:r w:rsidRPr="006927C1">
              <w:rPr>
                <w:sz w:val="22"/>
                <w:szCs w:val="22"/>
                <w:lang w:val="sr-Latn-ME"/>
              </w:rPr>
              <w:t>7,0</w:t>
            </w:r>
            <w:r w:rsidRPr="006927C1">
              <w:rPr>
                <w:spacing w:val="-2"/>
                <w:sz w:val="22"/>
                <w:szCs w:val="22"/>
                <w:lang w:val="sr-Latn-ME"/>
              </w:rPr>
              <w:t xml:space="preserve"> </w:t>
            </w:r>
            <w:r w:rsidRPr="006927C1">
              <w:rPr>
                <w:sz w:val="22"/>
                <w:szCs w:val="22"/>
                <w:lang w:val="sr-Latn-ME"/>
              </w:rPr>
              <w:t>(3,0;</w:t>
            </w:r>
            <w:r w:rsidRPr="006927C1">
              <w:rPr>
                <w:spacing w:val="-2"/>
                <w:sz w:val="22"/>
                <w:szCs w:val="22"/>
                <w:lang w:val="sr-Latn-ME"/>
              </w:rPr>
              <w:t xml:space="preserve"> </w:t>
            </w:r>
            <w:r w:rsidRPr="006927C1">
              <w:rPr>
                <w:sz w:val="22"/>
                <w:szCs w:val="22"/>
                <w:lang w:val="sr-Latn-ME"/>
              </w:rPr>
              <w:t>13,5)</w:t>
            </w:r>
          </w:p>
        </w:tc>
        <w:tc>
          <w:tcPr>
            <w:tcW w:w="1537" w:type="dxa"/>
            <w:vAlign w:val="center"/>
          </w:tcPr>
          <w:p w:rsidR="00C23B78" w:rsidRPr="006927C1" w:rsidRDefault="00C23B78" w:rsidP="00C23B78">
            <w:pPr>
              <w:widowControl w:val="0"/>
              <w:autoSpaceDE w:val="0"/>
              <w:autoSpaceDN w:val="0"/>
              <w:spacing w:line="221" w:lineRule="exact"/>
              <w:ind w:right="188"/>
              <w:jc w:val="center"/>
              <w:rPr>
                <w:sz w:val="22"/>
                <w:szCs w:val="22"/>
                <w:lang w:val="sr-Latn-ME"/>
              </w:rPr>
            </w:pPr>
            <w:r w:rsidRPr="006927C1">
              <w:rPr>
                <w:sz w:val="22"/>
                <w:szCs w:val="22"/>
                <w:lang w:val="sr-Latn-ME"/>
              </w:rPr>
              <w:t>7,1</w:t>
            </w:r>
            <w:r w:rsidRPr="006927C1">
              <w:rPr>
                <w:spacing w:val="-2"/>
                <w:sz w:val="22"/>
                <w:szCs w:val="22"/>
                <w:lang w:val="sr-Latn-ME"/>
              </w:rPr>
              <w:t xml:space="preserve"> </w:t>
            </w:r>
            <w:r w:rsidRPr="006927C1">
              <w:rPr>
                <w:sz w:val="22"/>
                <w:szCs w:val="22"/>
                <w:lang w:val="sr-Latn-ME"/>
              </w:rPr>
              <w:t>(3,0;</w:t>
            </w:r>
            <w:r w:rsidRPr="006927C1">
              <w:rPr>
                <w:spacing w:val="-2"/>
                <w:sz w:val="22"/>
                <w:szCs w:val="22"/>
                <w:lang w:val="sr-Latn-ME"/>
              </w:rPr>
              <w:t xml:space="preserve"> </w:t>
            </w:r>
            <w:r w:rsidRPr="006927C1">
              <w:rPr>
                <w:sz w:val="22"/>
                <w:szCs w:val="22"/>
                <w:lang w:val="sr-Latn-ME"/>
              </w:rPr>
              <w:t>14,0)</w:t>
            </w:r>
          </w:p>
        </w:tc>
      </w:tr>
      <w:tr w:rsidR="00C23B78" w:rsidRPr="006927C1" w:rsidTr="00C23B78">
        <w:trPr>
          <w:trHeight w:val="460"/>
          <w:jc w:val="center"/>
        </w:trPr>
        <w:tc>
          <w:tcPr>
            <w:tcW w:w="3738" w:type="dxa"/>
          </w:tcPr>
          <w:p w:rsidR="00C23B78" w:rsidRPr="006927C1" w:rsidRDefault="00C23B78" w:rsidP="00C23B78">
            <w:pPr>
              <w:widowControl w:val="0"/>
              <w:autoSpaceDE w:val="0"/>
              <w:autoSpaceDN w:val="0"/>
              <w:spacing w:line="221" w:lineRule="exact"/>
              <w:ind w:left="297"/>
              <w:rPr>
                <w:sz w:val="22"/>
                <w:szCs w:val="22"/>
                <w:lang w:val="sr-Latn-ME"/>
              </w:rPr>
            </w:pPr>
            <w:r w:rsidRPr="006927C1">
              <w:rPr>
                <w:sz w:val="22"/>
                <w:szCs w:val="22"/>
                <w:lang w:val="sr-Latn-ME"/>
              </w:rPr>
              <w:t>Godine</w:t>
            </w:r>
            <w:r w:rsidRPr="006927C1">
              <w:rPr>
                <w:spacing w:val="-6"/>
                <w:sz w:val="22"/>
                <w:szCs w:val="22"/>
                <w:lang w:val="sr-Latn-ME"/>
              </w:rPr>
              <w:t xml:space="preserve"> </w:t>
            </w:r>
            <w:r w:rsidRPr="006927C1">
              <w:rPr>
                <w:sz w:val="22"/>
                <w:szCs w:val="22"/>
                <w:lang w:val="sr-Latn-ME"/>
              </w:rPr>
              <w:t>sv</w:t>
            </w:r>
            <w:r w:rsidR="00042B2C" w:rsidRPr="006927C1">
              <w:rPr>
                <w:sz w:val="22"/>
                <w:szCs w:val="22"/>
                <w:lang w:val="sr-Latn-ME"/>
              </w:rPr>
              <w:t>j</w:t>
            </w:r>
            <w:r w:rsidRPr="006927C1">
              <w:rPr>
                <w:sz w:val="22"/>
                <w:szCs w:val="22"/>
                <w:lang w:val="sr-Latn-ME"/>
              </w:rPr>
              <w:t>esnosti</w:t>
            </w:r>
            <w:r w:rsidRPr="006927C1">
              <w:rPr>
                <w:spacing w:val="-6"/>
                <w:sz w:val="22"/>
                <w:szCs w:val="22"/>
                <w:lang w:val="sr-Latn-ME"/>
              </w:rPr>
              <w:t xml:space="preserve"> </w:t>
            </w:r>
            <w:r w:rsidRPr="006927C1">
              <w:rPr>
                <w:sz w:val="22"/>
                <w:szCs w:val="22"/>
                <w:lang w:val="sr-Latn-ME"/>
              </w:rPr>
              <w:t>o</w:t>
            </w:r>
            <w:r w:rsidRPr="006927C1">
              <w:rPr>
                <w:spacing w:val="-7"/>
                <w:sz w:val="22"/>
                <w:szCs w:val="22"/>
                <w:lang w:val="sr-Latn-ME"/>
              </w:rPr>
              <w:t xml:space="preserve"> </w:t>
            </w:r>
            <w:r w:rsidRPr="006927C1">
              <w:rPr>
                <w:sz w:val="22"/>
                <w:szCs w:val="22"/>
                <w:lang w:val="sr-Latn-ME"/>
              </w:rPr>
              <w:t>različitom</w:t>
            </w:r>
            <w:r w:rsidRPr="006927C1">
              <w:rPr>
                <w:spacing w:val="-6"/>
                <w:sz w:val="22"/>
                <w:szCs w:val="22"/>
                <w:lang w:val="sr-Latn-ME"/>
              </w:rPr>
              <w:t xml:space="preserve"> </w:t>
            </w:r>
            <w:r w:rsidRPr="006927C1">
              <w:rPr>
                <w:sz w:val="22"/>
                <w:szCs w:val="22"/>
                <w:lang w:val="sr-Latn-ME"/>
              </w:rPr>
              <w:t>serološkom statusu</w:t>
            </w:r>
          </w:p>
        </w:tc>
        <w:tc>
          <w:tcPr>
            <w:tcW w:w="1810" w:type="dxa"/>
            <w:vAlign w:val="center"/>
          </w:tcPr>
          <w:p w:rsidR="00C23B78" w:rsidRPr="006927C1" w:rsidRDefault="00C23B78" w:rsidP="00C23B78">
            <w:pPr>
              <w:widowControl w:val="0"/>
              <w:autoSpaceDE w:val="0"/>
              <w:autoSpaceDN w:val="0"/>
              <w:spacing w:line="221" w:lineRule="exact"/>
              <w:ind w:left="313" w:right="306"/>
              <w:jc w:val="center"/>
              <w:rPr>
                <w:sz w:val="22"/>
                <w:szCs w:val="22"/>
                <w:lang w:val="sr-Latn-ME"/>
              </w:rPr>
            </w:pPr>
            <w:r w:rsidRPr="006927C1">
              <w:rPr>
                <w:sz w:val="22"/>
                <w:szCs w:val="22"/>
                <w:lang w:val="sr-Latn-ME"/>
              </w:rPr>
              <w:t>0,4</w:t>
            </w:r>
            <w:r w:rsidRPr="006927C1">
              <w:rPr>
                <w:spacing w:val="-2"/>
                <w:sz w:val="22"/>
                <w:szCs w:val="22"/>
                <w:lang w:val="sr-Latn-ME"/>
              </w:rPr>
              <w:t xml:space="preserve"> </w:t>
            </w:r>
            <w:r w:rsidRPr="006927C1">
              <w:rPr>
                <w:sz w:val="22"/>
                <w:szCs w:val="22"/>
                <w:lang w:val="sr-Latn-ME"/>
              </w:rPr>
              <w:t>(0,1;</w:t>
            </w:r>
            <w:r w:rsidRPr="006927C1">
              <w:rPr>
                <w:spacing w:val="-2"/>
                <w:sz w:val="22"/>
                <w:szCs w:val="22"/>
                <w:lang w:val="sr-Latn-ME"/>
              </w:rPr>
              <w:t xml:space="preserve"> </w:t>
            </w:r>
            <w:r w:rsidRPr="006927C1">
              <w:rPr>
                <w:sz w:val="22"/>
                <w:szCs w:val="22"/>
                <w:lang w:val="sr-Latn-ME"/>
              </w:rPr>
              <w:t>2,0)</w:t>
            </w:r>
          </w:p>
        </w:tc>
        <w:tc>
          <w:tcPr>
            <w:tcW w:w="2084" w:type="dxa"/>
            <w:vAlign w:val="center"/>
          </w:tcPr>
          <w:p w:rsidR="00C23B78" w:rsidRPr="006927C1" w:rsidRDefault="00C23B78" w:rsidP="00C23B78">
            <w:pPr>
              <w:widowControl w:val="0"/>
              <w:autoSpaceDE w:val="0"/>
              <w:autoSpaceDN w:val="0"/>
              <w:spacing w:line="221" w:lineRule="exact"/>
              <w:ind w:left="138" w:right="127"/>
              <w:jc w:val="center"/>
              <w:rPr>
                <w:sz w:val="22"/>
                <w:szCs w:val="22"/>
                <w:lang w:val="sr-Latn-ME"/>
              </w:rPr>
            </w:pPr>
            <w:r w:rsidRPr="006927C1">
              <w:rPr>
                <w:sz w:val="22"/>
                <w:szCs w:val="22"/>
                <w:lang w:val="sr-Latn-ME"/>
              </w:rPr>
              <w:t>0,5 (0,1;</w:t>
            </w:r>
            <w:r w:rsidRPr="006927C1">
              <w:rPr>
                <w:spacing w:val="-1"/>
                <w:sz w:val="22"/>
                <w:szCs w:val="22"/>
                <w:lang w:val="sr-Latn-ME"/>
              </w:rPr>
              <w:t xml:space="preserve"> </w:t>
            </w:r>
            <w:r w:rsidRPr="006927C1">
              <w:rPr>
                <w:sz w:val="22"/>
                <w:szCs w:val="22"/>
                <w:lang w:val="sr-Latn-ME"/>
              </w:rPr>
              <w:t>2,0)</w:t>
            </w:r>
          </w:p>
        </w:tc>
        <w:tc>
          <w:tcPr>
            <w:tcW w:w="1537" w:type="dxa"/>
            <w:vAlign w:val="center"/>
          </w:tcPr>
          <w:p w:rsidR="00C23B78" w:rsidRPr="006927C1" w:rsidRDefault="00C23B78" w:rsidP="00C23B78">
            <w:pPr>
              <w:widowControl w:val="0"/>
              <w:autoSpaceDE w:val="0"/>
              <w:autoSpaceDN w:val="0"/>
              <w:spacing w:line="221" w:lineRule="exact"/>
              <w:ind w:right="236"/>
              <w:jc w:val="center"/>
              <w:rPr>
                <w:sz w:val="22"/>
                <w:szCs w:val="22"/>
                <w:lang w:val="sr-Latn-ME"/>
              </w:rPr>
            </w:pPr>
            <w:r w:rsidRPr="006927C1">
              <w:rPr>
                <w:sz w:val="22"/>
                <w:szCs w:val="22"/>
                <w:lang w:val="sr-Latn-ME"/>
              </w:rPr>
              <w:t>0,4</w:t>
            </w:r>
            <w:r w:rsidRPr="006927C1">
              <w:rPr>
                <w:spacing w:val="-2"/>
                <w:sz w:val="22"/>
                <w:szCs w:val="22"/>
                <w:lang w:val="sr-Latn-ME"/>
              </w:rPr>
              <w:t xml:space="preserve"> </w:t>
            </w:r>
            <w:r w:rsidRPr="006927C1">
              <w:rPr>
                <w:sz w:val="22"/>
                <w:szCs w:val="22"/>
                <w:lang w:val="sr-Latn-ME"/>
              </w:rPr>
              <w:t>(0,1;</w:t>
            </w:r>
            <w:r w:rsidRPr="006927C1">
              <w:rPr>
                <w:spacing w:val="-2"/>
                <w:sz w:val="22"/>
                <w:szCs w:val="22"/>
                <w:lang w:val="sr-Latn-ME"/>
              </w:rPr>
              <w:t xml:space="preserve"> </w:t>
            </w:r>
            <w:r w:rsidRPr="006927C1">
              <w:rPr>
                <w:sz w:val="22"/>
                <w:szCs w:val="22"/>
                <w:lang w:val="sr-Latn-ME"/>
              </w:rPr>
              <w:t>2,0)</w:t>
            </w:r>
          </w:p>
        </w:tc>
      </w:tr>
    </w:tbl>
    <w:p w:rsidR="00556CC6" w:rsidRPr="006927C1" w:rsidRDefault="00556CC6" w:rsidP="00556CC6">
      <w:pPr>
        <w:tabs>
          <w:tab w:val="left" w:pos="540"/>
          <w:tab w:val="left" w:pos="569"/>
        </w:tabs>
        <w:jc w:val="both"/>
        <w:rPr>
          <w:bCs/>
          <w:sz w:val="22"/>
          <w:szCs w:val="22"/>
          <w:lang w:val="sr-Latn-ME"/>
        </w:rPr>
      </w:pPr>
    </w:p>
    <w:p w:rsidR="00042B2C" w:rsidRPr="006927C1" w:rsidRDefault="00042B2C" w:rsidP="00042B2C">
      <w:pPr>
        <w:tabs>
          <w:tab w:val="left" w:pos="540"/>
          <w:tab w:val="left" w:pos="569"/>
        </w:tabs>
        <w:jc w:val="both"/>
        <w:rPr>
          <w:bCs/>
          <w:sz w:val="22"/>
          <w:szCs w:val="22"/>
          <w:lang w:val="sr-Latn-ME"/>
        </w:rPr>
      </w:pPr>
      <w:r w:rsidRPr="006927C1">
        <w:rPr>
          <w:bCs/>
          <w:sz w:val="22"/>
          <w:szCs w:val="22"/>
          <w:lang w:val="sr-Latn-ME"/>
        </w:rPr>
        <w:t>Učestalost serokonverzije HIV-a prikazana je u Tabeli 9. Stopa serokonverzije HIV-1 kod muškaraca iznosila je 0,24/100 osoba-godina izloženosti kombinaciji emtricitabin/tenofovir dizoproksil, a stopa serokonverzije HIV-a kod žena iznosila je 0,95/100 osoba-godina izloženosti kombinaciji emtricitabin/tenofovir dizoproksil. Efikasnost je bila u snažnoj korelaciji sa pridržavanjem terapije, kako je procijenjeno određivanjem koncentracije lijeka u plazmi ili intracelularno, i bila je viša među ispitanicima u podstudiji koji su aktivno savjetovani o pridržavanju terapije, kako je prikazano u Tabeli 10.</w:t>
      </w:r>
    </w:p>
    <w:p w:rsidR="00042B2C" w:rsidRPr="006927C1" w:rsidRDefault="00042B2C" w:rsidP="00042B2C">
      <w:pPr>
        <w:tabs>
          <w:tab w:val="left" w:pos="540"/>
          <w:tab w:val="left" w:pos="569"/>
        </w:tabs>
        <w:jc w:val="both"/>
        <w:rPr>
          <w:bCs/>
          <w:sz w:val="22"/>
          <w:szCs w:val="22"/>
          <w:lang w:val="sr-Latn-ME"/>
        </w:rPr>
      </w:pPr>
    </w:p>
    <w:p w:rsidR="00042B2C" w:rsidRPr="006927C1" w:rsidRDefault="00042B2C" w:rsidP="00042B2C">
      <w:pPr>
        <w:tabs>
          <w:tab w:val="left" w:pos="540"/>
          <w:tab w:val="left" w:pos="569"/>
        </w:tabs>
        <w:jc w:val="both"/>
        <w:rPr>
          <w:b/>
          <w:bCs/>
          <w:iCs/>
          <w:sz w:val="22"/>
          <w:szCs w:val="22"/>
          <w:lang w:val="sr-Latn-ME"/>
        </w:rPr>
      </w:pPr>
      <w:r w:rsidRPr="006927C1">
        <w:rPr>
          <w:b/>
          <w:bCs/>
          <w:iCs/>
          <w:sz w:val="22"/>
          <w:szCs w:val="22"/>
          <w:lang w:val="sr-Latn-ME"/>
        </w:rPr>
        <w:t>Tabela 9: Efikasnost u studiji CO-US-104-0380 (Partners PrEP)</w:t>
      </w:r>
    </w:p>
    <w:tbl>
      <w:tblPr>
        <w:tblW w:w="9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4"/>
        <w:gridCol w:w="1882"/>
        <w:gridCol w:w="2074"/>
        <w:gridCol w:w="1978"/>
      </w:tblGrid>
      <w:tr w:rsidR="00042B2C" w:rsidRPr="006927C1" w:rsidTr="00042B2C">
        <w:trPr>
          <w:trHeight w:val="460"/>
          <w:jc w:val="center"/>
        </w:trPr>
        <w:tc>
          <w:tcPr>
            <w:tcW w:w="3244" w:type="dxa"/>
          </w:tcPr>
          <w:p w:rsidR="00042B2C" w:rsidRPr="006927C1" w:rsidRDefault="00042B2C" w:rsidP="00042B2C">
            <w:pPr>
              <w:widowControl w:val="0"/>
              <w:autoSpaceDE w:val="0"/>
              <w:autoSpaceDN w:val="0"/>
              <w:rPr>
                <w:sz w:val="22"/>
                <w:szCs w:val="22"/>
                <w:lang w:val="sr-Latn-ME"/>
              </w:rPr>
            </w:pPr>
          </w:p>
        </w:tc>
        <w:tc>
          <w:tcPr>
            <w:tcW w:w="1882" w:type="dxa"/>
          </w:tcPr>
          <w:p w:rsidR="00042B2C" w:rsidRPr="006927C1" w:rsidRDefault="00042B2C" w:rsidP="00042B2C">
            <w:pPr>
              <w:widowControl w:val="0"/>
              <w:autoSpaceDE w:val="0"/>
              <w:autoSpaceDN w:val="0"/>
              <w:spacing w:before="7"/>
              <w:rPr>
                <w:b/>
                <w:sz w:val="22"/>
                <w:szCs w:val="22"/>
                <w:lang w:val="sr-Latn-ME"/>
              </w:rPr>
            </w:pPr>
          </w:p>
          <w:p w:rsidR="00042B2C" w:rsidRPr="006927C1" w:rsidRDefault="00042B2C" w:rsidP="00042B2C">
            <w:pPr>
              <w:widowControl w:val="0"/>
              <w:autoSpaceDE w:val="0"/>
              <w:autoSpaceDN w:val="0"/>
              <w:spacing w:line="215" w:lineRule="exact"/>
              <w:ind w:right="241"/>
              <w:jc w:val="center"/>
              <w:rPr>
                <w:b/>
                <w:sz w:val="22"/>
                <w:szCs w:val="22"/>
                <w:lang w:val="sr-Latn-ME"/>
              </w:rPr>
            </w:pPr>
            <w:r w:rsidRPr="006927C1">
              <w:rPr>
                <w:b/>
                <w:sz w:val="22"/>
                <w:szCs w:val="22"/>
                <w:lang w:val="sr-Latn-ME"/>
              </w:rPr>
              <w:t>Placebo</w:t>
            </w:r>
          </w:p>
        </w:tc>
        <w:tc>
          <w:tcPr>
            <w:tcW w:w="2074" w:type="dxa"/>
          </w:tcPr>
          <w:p w:rsidR="00042B2C" w:rsidRPr="006927C1" w:rsidRDefault="00042B2C" w:rsidP="00042B2C">
            <w:pPr>
              <w:widowControl w:val="0"/>
              <w:autoSpaceDE w:val="0"/>
              <w:autoSpaceDN w:val="0"/>
              <w:spacing w:line="225" w:lineRule="exact"/>
              <w:ind w:left="113" w:right="110"/>
              <w:jc w:val="center"/>
              <w:rPr>
                <w:b/>
                <w:sz w:val="22"/>
                <w:szCs w:val="22"/>
                <w:lang w:val="sr-Latn-ME"/>
              </w:rPr>
            </w:pPr>
            <w:r w:rsidRPr="006927C1">
              <w:rPr>
                <w:b/>
                <w:sz w:val="22"/>
                <w:szCs w:val="22"/>
                <w:lang w:val="sr-Latn-ME"/>
              </w:rPr>
              <w:t>Tenofovir dizoproksil</w:t>
            </w:r>
          </w:p>
          <w:p w:rsidR="00042B2C" w:rsidRPr="006927C1" w:rsidRDefault="00042B2C" w:rsidP="00042B2C">
            <w:pPr>
              <w:widowControl w:val="0"/>
              <w:autoSpaceDE w:val="0"/>
              <w:autoSpaceDN w:val="0"/>
              <w:spacing w:line="215" w:lineRule="exact"/>
              <w:ind w:left="113" w:right="105"/>
              <w:jc w:val="center"/>
              <w:rPr>
                <w:b/>
                <w:sz w:val="22"/>
                <w:szCs w:val="22"/>
                <w:lang w:val="sr-Latn-ME"/>
              </w:rPr>
            </w:pPr>
            <w:r w:rsidRPr="006927C1">
              <w:rPr>
                <w:b/>
                <w:sz w:val="22"/>
                <w:szCs w:val="22"/>
                <w:lang w:val="sr-Latn-ME"/>
              </w:rPr>
              <w:t>245</w:t>
            </w:r>
            <w:r w:rsidRPr="006927C1">
              <w:rPr>
                <w:b/>
                <w:spacing w:val="-1"/>
                <w:sz w:val="22"/>
                <w:szCs w:val="22"/>
                <w:lang w:val="sr-Latn-ME"/>
              </w:rPr>
              <w:t xml:space="preserve"> </w:t>
            </w:r>
            <w:r w:rsidRPr="006927C1">
              <w:rPr>
                <w:b/>
                <w:sz w:val="22"/>
                <w:szCs w:val="22"/>
                <w:lang w:val="sr-Latn-ME"/>
              </w:rPr>
              <w:t>mg</w:t>
            </w:r>
          </w:p>
        </w:tc>
        <w:tc>
          <w:tcPr>
            <w:tcW w:w="1978" w:type="dxa"/>
            <w:vAlign w:val="center"/>
          </w:tcPr>
          <w:p w:rsidR="00042B2C" w:rsidRPr="006927C1" w:rsidRDefault="00042B2C" w:rsidP="00042B2C">
            <w:pPr>
              <w:widowControl w:val="0"/>
              <w:autoSpaceDE w:val="0"/>
              <w:autoSpaceDN w:val="0"/>
              <w:spacing w:line="215" w:lineRule="exact"/>
              <w:ind w:right="269"/>
              <w:jc w:val="center"/>
              <w:rPr>
                <w:b/>
                <w:sz w:val="22"/>
                <w:szCs w:val="22"/>
                <w:lang w:val="sr-Latn-ME"/>
              </w:rPr>
            </w:pPr>
            <w:r w:rsidRPr="006927C1">
              <w:rPr>
                <w:b/>
                <w:sz w:val="22"/>
                <w:szCs w:val="22"/>
                <w:lang w:val="sr-Latn-ME"/>
              </w:rPr>
              <w:t>Lijek</w:t>
            </w:r>
            <w:r w:rsidRPr="006927C1">
              <w:rPr>
                <w:b/>
                <w:spacing w:val="-3"/>
                <w:sz w:val="22"/>
                <w:szCs w:val="22"/>
                <w:lang w:val="sr-Latn-ME"/>
              </w:rPr>
              <w:t xml:space="preserve"> </w:t>
            </w:r>
            <w:r w:rsidRPr="006927C1">
              <w:rPr>
                <w:b/>
                <w:sz w:val="22"/>
                <w:szCs w:val="22"/>
                <w:lang w:val="sr-Latn-ME"/>
              </w:rPr>
              <w:t>Gilestra Duo</w:t>
            </w:r>
          </w:p>
        </w:tc>
      </w:tr>
      <w:tr w:rsidR="00042B2C" w:rsidRPr="006927C1" w:rsidTr="00042B2C">
        <w:trPr>
          <w:trHeight w:val="230"/>
          <w:jc w:val="center"/>
        </w:trPr>
        <w:tc>
          <w:tcPr>
            <w:tcW w:w="3244" w:type="dxa"/>
          </w:tcPr>
          <w:p w:rsidR="00042B2C" w:rsidRPr="006927C1" w:rsidRDefault="00042B2C" w:rsidP="00042B2C">
            <w:pPr>
              <w:widowControl w:val="0"/>
              <w:autoSpaceDE w:val="0"/>
              <w:autoSpaceDN w:val="0"/>
              <w:spacing w:line="210" w:lineRule="exact"/>
              <w:ind w:left="115"/>
              <w:rPr>
                <w:b/>
                <w:sz w:val="22"/>
                <w:szCs w:val="22"/>
                <w:lang w:val="sr-Latn-ME"/>
              </w:rPr>
            </w:pPr>
            <w:r w:rsidRPr="006927C1">
              <w:rPr>
                <w:b/>
                <w:sz w:val="22"/>
                <w:szCs w:val="22"/>
                <w:lang w:val="sr-Latn-ME"/>
              </w:rPr>
              <w:t>Serokonverzije</w:t>
            </w:r>
            <w:r w:rsidRPr="006927C1">
              <w:rPr>
                <w:b/>
                <w:spacing w:val="-4"/>
                <w:sz w:val="22"/>
                <w:szCs w:val="22"/>
                <w:lang w:val="sr-Latn-ME"/>
              </w:rPr>
              <w:t xml:space="preserve"> </w:t>
            </w:r>
            <w:r w:rsidRPr="006927C1">
              <w:rPr>
                <w:b/>
                <w:sz w:val="22"/>
                <w:szCs w:val="22"/>
                <w:lang w:val="sr-Latn-ME"/>
              </w:rPr>
              <w:t>/</w:t>
            </w:r>
            <w:r w:rsidRPr="006927C1">
              <w:rPr>
                <w:b/>
                <w:spacing w:val="1"/>
                <w:sz w:val="22"/>
                <w:szCs w:val="22"/>
                <w:lang w:val="sr-Latn-ME"/>
              </w:rPr>
              <w:t xml:space="preserve"> </w:t>
            </w:r>
            <w:r w:rsidRPr="006927C1">
              <w:rPr>
                <w:b/>
                <w:sz w:val="22"/>
                <w:szCs w:val="22"/>
                <w:lang w:val="sr-Latn-ME"/>
              </w:rPr>
              <w:t>N</w:t>
            </w:r>
            <w:r w:rsidRPr="006927C1">
              <w:rPr>
                <w:b/>
                <w:sz w:val="22"/>
                <w:szCs w:val="22"/>
                <w:vertAlign w:val="superscript"/>
                <w:lang w:val="sr-Latn-ME"/>
              </w:rPr>
              <w:t>a</w:t>
            </w:r>
          </w:p>
        </w:tc>
        <w:tc>
          <w:tcPr>
            <w:tcW w:w="1882" w:type="dxa"/>
            <w:vAlign w:val="center"/>
          </w:tcPr>
          <w:p w:rsidR="00042B2C" w:rsidRPr="006927C1" w:rsidRDefault="00042B2C" w:rsidP="00042B2C">
            <w:pPr>
              <w:widowControl w:val="0"/>
              <w:autoSpaceDE w:val="0"/>
              <w:autoSpaceDN w:val="0"/>
              <w:spacing w:line="210" w:lineRule="exact"/>
              <w:ind w:left="249" w:right="241"/>
              <w:jc w:val="center"/>
              <w:rPr>
                <w:sz w:val="22"/>
                <w:szCs w:val="22"/>
                <w:lang w:val="sr-Latn-ME"/>
              </w:rPr>
            </w:pPr>
            <w:r w:rsidRPr="006927C1">
              <w:rPr>
                <w:sz w:val="22"/>
                <w:szCs w:val="22"/>
                <w:lang w:val="sr-Latn-ME"/>
              </w:rPr>
              <w:t>52</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1578</w:t>
            </w:r>
          </w:p>
        </w:tc>
        <w:tc>
          <w:tcPr>
            <w:tcW w:w="2074" w:type="dxa"/>
            <w:vAlign w:val="center"/>
          </w:tcPr>
          <w:p w:rsidR="00042B2C" w:rsidRPr="006927C1" w:rsidRDefault="00042B2C" w:rsidP="00042B2C">
            <w:pPr>
              <w:widowControl w:val="0"/>
              <w:autoSpaceDE w:val="0"/>
              <w:autoSpaceDN w:val="0"/>
              <w:spacing w:line="210" w:lineRule="exact"/>
              <w:ind w:left="113" w:right="105"/>
              <w:jc w:val="center"/>
              <w:rPr>
                <w:sz w:val="22"/>
                <w:szCs w:val="22"/>
                <w:lang w:val="sr-Latn-ME"/>
              </w:rPr>
            </w:pPr>
            <w:r w:rsidRPr="006927C1">
              <w:rPr>
                <w:sz w:val="22"/>
                <w:szCs w:val="22"/>
                <w:lang w:val="sr-Latn-ME"/>
              </w:rPr>
              <w:t>17</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1579</w:t>
            </w:r>
          </w:p>
        </w:tc>
        <w:tc>
          <w:tcPr>
            <w:tcW w:w="1978" w:type="dxa"/>
            <w:vAlign w:val="center"/>
          </w:tcPr>
          <w:p w:rsidR="00042B2C" w:rsidRPr="006927C1" w:rsidRDefault="00042B2C" w:rsidP="00042B2C">
            <w:pPr>
              <w:widowControl w:val="0"/>
              <w:autoSpaceDE w:val="0"/>
              <w:autoSpaceDN w:val="0"/>
              <w:spacing w:line="210" w:lineRule="exact"/>
              <w:ind w:left="274" w:right="267"/>
              <w:jc w:val="center"/>
              <w:rPr>
                <w:sz w:val="22"/>
                <w:szCs w:val="22"/>
                <w:lang w:val="sr-Latn-ME"/>
              </w:rPr>
            </w:pPr>
            <w:r w:rsidRPr="006927C1">
              <w:rPr>
                <w:sz w:val="22"/>
                <w:szCs w:val="22"/>
                <w:lang w:val="sr-Latn-ME"/>
              </w:rPr>
              <w:t>13</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1576</w:t>
            </w:r>
          </w:p>
        </w:tc>
      </w:tr>
      <w:tr w:rsidR="00042B2C" w:rsidRPr="006927C1" w:rsidTr="00042B2C">
        <w:trPr>
          <w:trHeight w:val="230"/>
          <w:jc w:val="center"/>
        </w:trPr>
        <w:tc>
          <w:tcPr>
            <w:tcW w:w="3244" w:type="dxa"/>
          </w:tcPr>
          <w:p w:rsidR="00042B2C" w:rsidRPr="006927C1" w:rsidRDefault="00042B2C" w:rsidP="00042B2C">
            <w:pPr>
              <w:widowControl w:val="0"/>
              <w:autoSpaceDE w:val="0"/>
              <w:autoSpaceDN w:val="0"/>
              <w:spacing w:line="210" w:lineRule="exact"/>
              <w:ind w:left="115"/>
              <w:rPr>
                <w:sz w:val="22"/>
                <w:szCs w:val="22"/>
                <w:lang w:val="sr-Latn-ME"/>
              </w:rPr>
            </w:pPr>
            <w:r w:rsidRPr="006927C1">
              <w:rPr>
                <w:sz w:val="22"/>
                <w:szCs w:val="22"/>
                <w:lang w:val="sr-Latn-ME"/>
              </w:rPr>
              <w:t>Učestalost</w:t>
            </w:r>
            <w:r w:rsidRPr="006927C1">
              <w:rPr>
                <w:spacing w:val="1"/>
                <w:sz w:val="22"/>
                <w:szCs w:val="22"/>
                <w:lang w:val="sr-Latn-ME"/>
              </w:rPr>
              <w:t xml:space="preserve"> </w:t>
            </w:r>
            <w:r w:rsidRPr="006927C1">
              <w:rPr>
                <w:sz w:val="22"/>
                <w:szCs w:val="22"/>
                <w:lang w:val="sr-Latn-ME"/>
              </w:rPr>
              <w:t>na</w:t>
            </w:r>
            <w:r w:rsidRPr="006927C1">
              <w:rPr>
                <w:spacing w:val="-4"/>
                <w:sz w:val="22"/>
                <w:szCs w:val="22"/>
                <w:lang w:val="sr-Latn-ME"/>
              </w:rPr>
              <w:t xml:space="preserve"> </w:t>
            </w:r>
            <w:r w:rsidRPr="006927C1">
              <w:rPr>
                <w:sz w:val="22"/>
                <w:szCs w:val="22"/>
                <w:lang w:val="sr-Latn-ME"/>
              </w:rPr>
              <w:t>100</w:t>
            </w:r>
            <w:r w:rsidRPr="006927C1">
              <w:rPr>
                <w:spacing w:val="-3"/>
                <w:sz w:val="22"/>
                <w:szCs w:val="22"/>
                <w:lang w:val="sr-Latn-ME"/>
              </w:rPr>
              <w:t xml:space="preserve"> </w:t>
            </w:r>
            <w:r w:rsidRPr="006927C1">
              <w:rPr>
                <w:sz w:val="22"/>
                <w:szCs w:val="22"/>
                <w:lang w:val="sr-Latn-ME"/>
              </w:rPr>
              <w:t>osoba-godina</w:t>
            </w:r>
            <w:r w:rsidRPr="006927C1">
              <w:rPr>
                <w:spacing w:val="-2"/>
                <w:sz w:val="22"/>
                <w:szCs w:val="22"/>
                <w:lang w:val="sr-Latn-ME"/>
              </w:rPr>
              <w:t xml:space="preserve"> </w:t>
            </w:r>
            <w:r w:rsidRPr="006927C1">
              <w:rPr>
                <w:sz w:val="22"/>
                <w:szCs w:val="22"/>
                <w:lang w:val="sr-Latn-ME"/>
              </w:rPr>
              <w:t>(95%</w:t>
            </w:r>
            <w:r w:rsidRPr="006927C1">
              <w:rPr>
                <w:spacing w:val="-1"/>
                <w:sz w:val="22"/>
                <w:szCs w:val="22"/>
                <w:lang w:val="sr-Latn-ME"/>
              </w:rPr>
              <w:t xml:space="preserve"> </w:t>
            </w:r>
            <w:r w:rsidRPr="006927C1">
              <w:rPr>
                <w:sz w:val="22"/>
                <w:szCs w:val="22"/>
                <w:lang w:val="sr-Latn-ME"/>
              </w:rPr>
              <w:t>CI)</w:t>
            </w:r>
          </w:p>
        </w:tc>
        <w:tc>
          <w:tcPr>
            <w:tcW w:w="1882" w:type="dxa"/>
            <w:vAlign w:val="center"/>
          </w:tcPr>
          <w:p w:rsidR="00042B2C" w:rsidRPr="006927C1" w:rsidRDefault="00042B2C" w:rsidP="00867B0F">
            <w:pPr>
              <w:widowControl w:val="0"/>
              <w:autoSpaceDE w:val="0"/>
              <w:autoSpaceDN w:val="0"/>
              <w:spacing w:line="210" w:lineRule="exact"/>
              <w:ind w:right="241"/>
              <w:rPr>
                <w:sz w:val="22"/>
                <w:szCs w:val="22"/>
                <w:lang w:val="sr-Latn-ME"/>
              </w:rPr>
            </w:pPr>
            <w:r w:rsidRPr="006927C1">
              <w:rPr>
                <w:sz w:val="22"/>
                <w:szCs w:val="22"/>
                <w:lang w:val="sr-Latn-ME"/>
              </w:rPr>
              <w:t>1,99</w:t>
            </w:r>
            <w:r w:rsidRPr="006927C1">
              <w:rPr>
                <w:spacing w:val="1"/>
                <w:sz w:val="22"/>
                <w:szCs w:val="22"/>
                <w:lang w:val="sr-Latn-ME"/>
              </w:rPr>
              <w:t xml:space="preserve"> </w:t>
            </w:r>
            <w:r w:rsidR="00306FC0" w:rsidRPr="006927C1">
              <w:rPr>
                <w:sz w:val="22"/>
                <w:szCs w:val="22"/>
                <w:lang w:val="sr-Latn-ME"/>
              </w:rPr>
              <w:t xml:space="preserve"> </w:t>
            </w:r>
            <w:r w:rsidRPr="006927C1">
              <w:rPr>
                <w:sz w:val="22"/>
                <w:szCs w:val="22"/>
                <w:lang w:val="sr-Latn-ME"/>
              </w:rPr>
              <w:t>(1,49; 2,62)</w:t>
            </w:r>
          </w:p>
        </w:tc>
        <w:tc>
          <w:tcPr>
            <w:tcW w:w="2074" w:type="dxa"/>
            <w:vAlign w:val="center"/>
          </w:tcPr>
          <w:p w:rsidR="00042B2C" w:rsidRPr="006927C1" w:rsidRDefault="00042B2C" w:rsidP="00042B2C">
            <w:pPr>
              <w:widowControl w:val="0"/>
              <w:autoSpaceDE w:val="0"/>
              <w:autoSpaceDN w:val="0"/>
              <w:spacing w:line="210" w:lineRule="exact"/>
              <w:ind w:left="113" w:right="106"/>
              <w:jc w:val="center"/>
              <w:rPr>
                <w:sz w:val="22"/>
                <w:szCs w:val="22"/>
                <w:lang w:val="sr-Latn-ME"/>
              </w:rPr>
            </w:pPr>
            <w:r w:rsidRPr="006927C1">
              <w:rPr>
                <w:sz w:val="22"/>
                <w:szCs w:val="22"/>
                <w:lang w:val="sr-Latn-ME"/>
              </w:rPr>
              <w:t>0,65</w:t>
            </w:r>
            <w:r w:rsidRPr="006927C1">
              <w:rPr>
                <w:spacing w:val="-2"/>
                <w:sz w:val="22"/>
                <w:szCs w:val="22"/>
                <w:lang w:val="sr-Latn-ME"/>
              </w:rPr>
              <w:t xml:space="preserve"> </w:t>
            </w:r>
            <w:r w:rsidRPr="006927C1">
              <w:rPr>
                <w:sz w:val="22"/>
                <w:szCs w:val="22"/>
                <w:lang w:val="sr-Latn-ME"/>
              </w:rPr>
              <w:t>(0,38;</w:t>
            </w:r>
            <w:r w:rsidRPr="006927C1">
              <w:rPr>
                <w:spacing w:val="-2"/>
                <w:sz w:val="22"/>
                <w:szCs w:val="22"/>
                <w:lang w:val="sr-Latn-ME"/>
              </w:rPr>
              <w:t xml:space="preserve"> </w:t>
            </w:r>
            <w:r w:rsidRPr="006927C1">
              <w:rPr>
                <w:sz w:val="22"/>
                <w:szCs w:val="22"/>
                <w:lang w:val="sr-Latn-ME"/>
              </w:rPr>
              <w:t>1,05)</w:t>
            </w:r>
          </w:p>
        </w:tc>
        <w:tc>
          <w:tcPr>
            <w:tcW w:w="1978" w:type="dxa"/>
            <w:vAlign w:val="center"/>
          </w:tcPr>
          <w:p w:rsidR="00042B2C" w:rsidRPr="006927C1" w:rsidRDefault="00306FC0" w:rsidP="00867B0F">
            <w:pPr>
              <w:widowControl w:val="0"/>
              <w:autoSpaceDE w:val="0"/>
              <w:autoSpaceDN w:val="0"/>
              <w:spacing w:line="210" w:lineRule="exact"/>
              <w:ind w:right="268"/>
              <w:rPr>
                <w:sz w:val="22"/>
                <w:szCs w:val="22"/>
                <w:lang w:val="sr-Latn-ME"/>
              </w:rPr>
            </w:pPr>
            <w:r w:rsidRPr="006927C1">
              <w:rPr>
                <w:sz w:val="22"/>
                <w:szCs w:val="22"/>
                <w:lang w:val="sr-Latn-ME"/>
              </w:rPr>
              <w:t xml:space="preserve">  </w:t>
            </w:r>
            <w:r w:rsidR="00042B2C" w:rsidRPr="006927C1">
              <w:rPr>
                <w:sz w:val="22"/>
                <w:szCs w:val="22"/>
                <w:lang w:val="sr-Latn-ME"/>
              </w:rPr>
              <w:t>0,50</w:t>
            </w:r>
            <w:r w:rsidR="00042B2C" w:rsidRPr="006927C1">
              <w:rPr>
                <w:spacing w:val="-2"/>
                <w:sz w:val="22"/>
                <w:szCs w:val="22"/>
                <w:lang w:val="sr-Latn-ME"/>
              </w:rPr>
              <w:t xml:space="preserve"> </w:t>
            </w:r>
            <w:r w:rsidR="00042B2C" w:rsidRPr="006927C1">
              <w:rPr>
                <w:sz w:val="22"/>
                <w:szCs w:val="22"/>
                <w:lang w:val="sr-Latn-ME"/>
              </w:rPr>
              <w:t>(0,27;</w:t>
            </w:r>
            <w:r w:rsidR="00042B2C" w:rsidRPr="006927C1">
              <w:rPr>
                <w:spacing w:val="-2"/>
                <w:sz w:val="22"/>
                <w:szCs w:val="22"/>
                <w:lang w:val="sr-Latn-ME"/>
              </w:rPr>
              <w:t xml:space="preserve"> </w:t>
            </w:r>
            <w:r w:rsidR="00042B2C" w:rsidRPr="006927C1">
              <w:rPr>
                <w:sz w:val="22"/>
                <w:szCs w:val="22"/>
                <w:lang w:val="sr-Latn-ME"/>
              </w:rPr>
              <w:t>0,85)</w:t>
            </w:r>
          </w:p>
        </w:tc>
      </w:tr>
      <w:tr w:rsidR="00042B2C" w:rsidRPr="006927C1" w:rsidTr="00042B2C">
        <w:trPr>
          <w:trHeight w:val="230"/>
          <w:jc w:val="center"/>
        </w:trPr>
        <w:tc>
          <w:tcPr>
            <w:tcW w:w="3244" w:type="dxa"/>
          </w:tcPr>
          <w:p w:rsidR="00042B2C" w:rsidRPr="006927C1" w:rsidRDefault="00042B2C" w:rsidP="00042B2C">
            <w:pPr>
              <w:widowControl w:val="0"/>
              <w:autoSpaceDE w:val="0"/>
              <w:autoSpaceDN w:val="0"/>
              <w:spacing w:line="210" w:lineRule="exact"/>
              <w:ind w:left="142"/>
              <w:rPr>
                <w:sz w:val="22"/>
                <w:szCs w:val="22"/>
                <w:lang w:val="sr-Latn-ME"/>
              </w:rPr>
            </w:pPr>
            <w:r w:rsidRPr="006927C1">
              <w:rPr>
                <w:sz w:val="22"/>
                <w:szCs w:val="22"/>
                <w:lang w:val="sr-Latn-ME"/>
              </w:rPr>
              <w:t>Smanjenje</w:t>
            </w:r>
            <w:r w:rsidRPr="006927C1">
              <w:rPr>
                <w:spacing w:val="-6"/>
                <w:sz w:val="22"/>
                <w:szCs w:val="22"/>
                <w:lang w:val="sr-Latn-ME"/>
              </w:rPr>
              <w:t xml:space="preserve"> </w:t>
            </w:r>
            <w:r w:rsidRPr="006927C1">
              <w:rPr>
                <w:sz w:val="22"/>
                <w:szCs w:val="22"/>
                <w:lang w:val="sr-Latn-ME"/>
              </w:rPr>
              <w:t>relativnog</w:t>
            </w:r>
            <w:r w:rsidRPr="006927C1">
              <w:rPr>
                <w:spacing w:val="-3"/>
                <w:sz w:val="22"/>
                <w:szCs w:val="22"/>
                <w:lang w:val="sr-Latn-ME"/>
              </w:rPr>
              <w:t xml:space="preserve"> </w:t>
            </w:r>
            <w:r w:rsidRPr="006927C1">
              <w:rPr>
                <w:sz w:val="22"/>
                <w:szCs w:val="22"/>
                <w:lang w:val="sr-Latn-ME"/>
              </w:rPr>
              <w:t>rizika</w:t>
            </w:r>
            <w:r w:rsidRPr="006927C1">
              <w:rPr>
                <w:spacing w:val="3"/>
                <w:sz w:val="22"/>
                <w:szCs w:val="22"/>
                <w:lang w:val="sr-Latn-ME"/>
              </w:rPr>
              <w:t xml:space="preserve"> </w:t>
            </w:r>
            <w:r w:rsidRPr="006927C1">
              <w:rPr>
                <w:sz w:val="22"/>
                <w:szCs w:val="22"/>
                <w:lang w:val="sr-Latn-ME"/>
              </w:rPr>
              <w:t>(95%</w:t>
            </w:r>
            <w:r w:rsidRPr="006927C1">
              <w:rPr>
                <w:spacing w:val="-3"/>
                <w:sz w:val="22"/>
                <w:szCs w:val="22"/>
                <w:lang w:val="sr-Latn-ME"/>
              </w:rPr>
              <w:t xml:space="preserve"> </w:t>
            </w:r>
            <w:r w:rsidRPr="006927C1">
              <w:rPr>
                <w:sz w:val="22"/>
                <w:szCs w:val="22"/>
                <w:lang w:val="sr-Latn-ME"/>
              </w:rPr>
              <w:t>CI)</w:t>
            </w:r>
          </w:p>
        </w:tc>
        <w:tc>
          <w:tcPr>
            <w:tcW w:w="1882" w:type="dxa"/>
            <w:vAlign w:val="center"/>
          </w:tcPr>
          <w:p w:rsidR="00042B2C" w:rsidRPr="006927C1" w:rsidRDefault="00042B2C" w:rsidP="00042B2C">
            <w:pPr>
              <w:widowControl w:val="0"/>
              <w:autoSpaceDE w:val="0"/>
              <w:autoSpaceDN w:val="0"/>
              <w:spacing w:line="210" w:lineRule="exact"/>
              <w:ind w:left="9"/>
              <w:jc w:val="center"/>
              <w:rPr>
                <w:sz w:val="22"/>
                <w:szCs w:val="22"/>
                <w:lang w:val="sr-Latn-ME"/>
              </w:rPr>
            </w:pPr>
            <w:r w:rsidRPr="006927C1">
              <w:rPr>
                <w:sz w:val="22"/>
                <w:szCs w:val="22"/>
                <w:lang w:val="sr-Latn-ME"/>
              </w:rPr>
              <w:t>—</w:t>
            </w:r>
          </w:p>
        </w:tc>
        <w:tc>
          <w:tcPr>
            <w:tcW w:w="2074" w:type="dxa"/>
            <w:vAlign w:val="center"/>
          </w:tcPr>
          <w:p w:rsidR="00042B2C" w:rsidRPr="006927C1" w:rsidRDefault="00042B2C" w:rsidP="00042B2C">
            <w:pPr>
              <w:widowControl w:val="0"/>
              <w:autoSpaceDE w:val="0"/>
              <w:autoSpaceDN w:val="0"/>
              <w:spacing w:line="210" w:lineRule="exact"/>
              <w:ind w:left="113" w:right="107"/>
              <w:jc w:val="center"/>
              <w:rPr>
                <w:sz w:val="22"/>
                <w:szCs w:val="22"/>
                <w:lang w:val="sr-Latn-ME"/>
              </w:rPr>
            </w:pPr>
            <w:r w:rsidRPr="006927C1">
              <w:rPr>
                <w:sz w:val="22"/>
                <w:szCs w:val="22"/>
                <w:lang w:val="sr-Latn-ME"/>
              </w:rPr>
              <w:t>67%</w:t>
            </w:r>
            <w:r w:rsidRPr="006927C1">
              <w:rPr>
                <w:spacing w:val="-2"/>
                <w:sz w:val="22"/>
                <w:szCs w:val="22"/>
                <w:lang w:val="sr-Latn-ME"/>
              </w:rPr>
              <w:t xml:space="preserve"> </w:t>
            </w:r>
            <w:r w:rsidRPr="006927C1">
              <w:rPr>
                <w:sz w:val="22"/>
                <w:szCs w:val="22"/>
                <w:lang w:val="sr-Latn-ME"/>
              </w:rPr>
              <w:t>(44%;</w:t>
            </w:r>
            <w:r w:rsidRPr="006927C1">
              <w:rPr>
                <w:spacing w:val="-2"/>
                <w:sz w:val="22"/>
                <w:szCs w:val="22"/>
                <w:lang w:val="sr-Latn-ME"/>
              </w:rPr>
              <w:t xml:space="preserve"> </w:t>
            </w:r>
            <w:r w:rsidRPr="006927C1">
              <w:rPr>
                <w:sz w:val="22"/>
                <w:szCs w:val="22"/>
                <w:lang w:val="sr-Latn-ME"/>
              </w:rPr>
              <w:t>81%)</w:t>
            </w:r>
          </w:p>
        </w:tc>
        <w:tc>
          <w:tcPr>
            <w:tcW w:w="1978" w:type="dxa"/>
            <w:vAlign w:val="center"/>
          </w:tcPr>
          <w:p w:rsidR="00042B2C" w:rsidRPr="006927C1" w:rsidRDefault="00306FC0" w:rsidP="00867B0F">
            <w:pPr>
              <w:widowControl w:val="0"/>
              <w:autoSpaceDE w:val="0"/>
              <w:autoSpaceDN w:val="0"/>
              <w:spacing w:line="210" w:lineRule="exact"/>
              <w:ind w:right="269"/>
              <w:rPr>
                <w:sz w:val="22"/>
                <w:szCs w:val="22"/>
                <w:lang w:val="sr-Latn-ME"/>
              </w:rPr>
            </w:pPr>
            <w:r w:rsidRPr="006927C1">
              <w:rPr>
                <w:sz w:val="22"/>
                <w:szCs w:val="22"/>
                <w:lang w:val="sr-Latn-ME"/>
              </w:rPr>
              <w:t xml:space="preserve">  </w:t>
            </w:r>
            <w:r w:rsidR="00042B2C" w:rsidRPr="006927C1">
              <w:rPr>
                <w:sz w:val="22"/>
                <w:szCs w:val="22"/>
                <w:lang w:val="sr-Latn-ME"/>
              </w:rPr>
              <w:t>75%</w:t>
            </w:r>
            <w:r w:rsidR="00042B2C" w:rsidRPr="006927C1">
              <w:rPr>
                <w:spacing w:val="-2"/>
                <w:sz w:val="22"/>
                <w:szCs w:val="22"/>
                <w:lang w:val="sr-Latn-ME"/>
              </w:rPr>
              <w:t xml:space="preserve"> </w:t>
            </w:r>
            <w:r w:rsidR="00042B2C" w:rsidRPr="006927C1">
              <w:rPr>
                <w:sz w:val="22"/>
                <w:szCs w:val="22"/>
                <w:lang w:val="sr-Latn-ME"/>
              </w:rPr>
              <w:t>(55%;</w:t>
            </w:r>
            <w:r w:rsidR="00042B2C" w:rsidRPr="006927C1">
              <w:rPr>
                <w:spacing w:val="-2"/>
                <w:sz w:val="22"/>
                <w:szCs w:val="22"/>
                <w:lang w:val="sr-Latn-ME"/>
              </w:rPr>
              <w:t xml:space="preserve"> </w:t>
            </w:r>
            <w:r w:rsidR="00042B2C" w:rsidRPr="006927C1">
              <w:rPr>
                <w:sz w:val="22"/>
                <w:szCs w:val="22"/>
                <w:lang w:val="sr-Latn-ME"/>
              </w:rPr>
              <w:t>87%)</w:t>
            </w:r>
          </w:p>
        </w:tc>
      </w:tr>
    </w:tbl>
    <w:p w:rsidR="00556CC6" w:rsidRPr="006927C1" w:rsidRDefault="00042B2C" w:rsidP="00556CC6">
      <w:pPr>
        <w:tabs>
          <w:tab w:val="left" w:pos="540"/>
          <w:tab w:val="left" w:pos="569"/>
        </w:tabs>
        <w:jc w:val="both"/>
        <w:rPr>
          <w:bCs/>
          <w:sz w:val="20"/>
          <w:szCs w:val="22"/>
          <w:lang w:val="sr-Latn-ME"/>
        </w:rPr>
      </w:pPr>
      <w:r w:rsidRPr="006927C1">
        <w:rPr>
          <w:bCs/>
          <w:sz w:val="20"/>
          <w:szCs w:val="22"/>
          <w:vertAlign w:val="superscript"/>
          <w:lang w:val="sr-Latn-ME"/>
        </w:rPr>
        <w:t>a</w:t>
      </w:r>
      <w:r w:rsidRPr="006927C1">
        <w:rPr>
          <w:bCs/>
          <w:sz w:val="20"/>
          <w:szCs w:val="22"/>
          <w:lang w:val="sr-Latn-ME"/>
        </w:rPr>
        <w:t xml:space="preserve"> Smanjenje relativnog rizika izračunato za mITT kohortu na incidentne serokonverzije (nakon početka studije). Ispitivane grupe bile su </w:t>
      </w:r>
      <w:r w:rsidR="006E487A" w:rsidRPr="006927C1">
        <w:rPr>
          <w:bCs/>
          <w:sz w:val="20"/>
          <w:szCs w:val="22"/>
          <w:lang w:val="sr-Latn-ME"/>
        </w:rPr>
        <w:t>upoređivane</w:t>
      </w:r>
      <w:r w:rsidRPr="006927C1">
        <w:rPr>
          <w:bCs/>
          <w:sz w:val="20"/>
          <w:szCs w:val="22"/>
          <w:lang w:val="sr-Latn-ME"/>
        </w:rPr>
        <w:t xml:space="preserve"> sa grupom koja je primala placebo.</w:t>
      </w:r>
    </w:p>
    <w:p w:rsidR="00042B2C" w:rsidRPr="006927C1" w:rsidRDefault="00042B2C" w:rsidP="00556CC6">
      <w:pPr>
        <w:tabs>
          <w:tab w:val="left" w:pos="540"/>
          <w:tab w:val="left" w:pos="569"/>
        </w:tabs>
        <w:jc w:val="both"/>
        <w:rPr>
          <w:bCs/>
          <w:sz w:val="20"/>
          <w:szCs w:val="22"/>
          <w:lang w:val="sr-Latn-ME"/>
        </w:rPr>
      </w:pPr>
    </w:p>
    <w:p w:rsidR="00042B2C" w:rsidRPr="006927C1" w:rsidRDefault="00042B2C" w:rsidP="00556CC6">
      <w:pPr>
        <w:tabs>
          <w:tab w:val="left" w:pos="540"/>
          <w:tab w:val="left" w:pos="569"/>
        </w:tabs>
        <w:jc w:val="both"/>
        <w:rPr>
          <w:bCs/>
          <w:sz w:val="22"/>
          <w:szCs w:val="22"/>
          <w:lang w:val="sr-Latn-ME"/>
        </w:rPr>
      </w:pPr>
      <w:r w:rsidRPr="006927C1">
        <w:rPr>
          <w:b/>
          <w:bCs/>
          <w:iCs/>
          <w:sz w:val="22"/>
          <w:szCs w:val="22"/>
          <w:lang w:val="sr-Latn-ME"/>
        </w:rPr>
        <w:t>Tabela 10: Efikasnost i pridržavanje terapije u studiji CO-US-104-0380 (Partners PrEP)</w:t>
      </w:r>
    </w:p>
    <w:tbl>
      <w:tblPr>
        <w:tblW w:w="9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701"/>
        <w:gridCol w:w="2209"/>
        <w:gridCol w:w="1902"/>
        <w:gridCol w:w="1552"/>
      </w:tblGrid>
      <w:tr w:rsidR="00042B2C" w:rsidRPr="006927C1" w:rsidTr="000038F7">
        <w:trPr>
          <w:trHeight w:val="690"/>
          <w:jc w:val="center"/>
        </w:trPr>
        <w:tc>
          <w:tcPr>
            <w:tcW w:w="1838" w:type="dxa"/>
            <w:vMerge w:val="restart"/>
            <w:vAlign w:val="center"/>
          </w:tcPr>
          <w:p w:rsidR="00042B2C" w:rsidRPr="006927C1" w:rsidRDefault="00042B2C" w:rsidP="000038F7">
            <w:pPr>
              <w:widowControl w:val="0"/>
              <w:autoSpaceDE w:val="0"/>
              <w:autoSpaceDN w:val="0"/>
              <w:spacing w:before="175" w:line="230" w:lineRule="atLeast"/>
              <w:rPr>
                <w:b/>
                <w:sz w:val="22"/>
                <w:szCs w:val="22"/>
                <w:lang w:val="sr-Latn-ME"/>
              </w:rPr>
            </w:pPr>
            <w:r w:rsidRPr="006927C1">
              <w:rPr>
                <w:b/>
                <w:sz w:val="22"/>
                <w:szCs w:val="22"/>
                <w:lang w:val="sr-Latn-ME"/>
              </w:rPr>
              <w:t>Kvantifikacija</w:t>
            </w:r>
            <w:r w:rsidRPr="006927C1">
              <w:rPr>
                <w:b/>
                <w:spacing w:val="1"/>
                <w:sz w:val="22"/>
                <w:szCs w:val="22"/>
                <w:lang w:val="sr-Latn-ME"/>
              </w:rPr>
              <w:t xml:space="preserve"> </w:t>
            </w:r>
            <w:r w:rsidR="000038F7" w:rsidRPr="006927C1">
              <w:rPr>
                <w:b/>
                <w:sz w:val="22"/>
                <w:szCs w:val="22"/>
                <w:lang w:val="sr-Latn-ME"/>
              </w:rPr>
              <w:t>ispitiva</w:t>
            </w:r>
            <w:r w:rsidRPr="006927C1">
              <w:rPr>
                <w:b/>
                <w:sz w:val="22"/>
                <w:szCs w:val="22"/>
                <w:lang w:val="sr-Latn-ME"/>
              </w:rPr>
              <w:t>nog</w:t>
            </w:r>
            <w:r w:rsidRPr="006927C1">
              <w:rPr>
                <w:b/>
                <w:spacing w:val="-8"/>
                <w:sz w:val="22"/>
                <w:szCs w:val="22"/>
                <w:lang w:val="sr-Latn-ME"/>
              </w:rPr>
              <w:t xml:space="preserve"> </w:t>
            </w:r>
            <w:r w:rsidRPr="006927C1">
              <w:rPr>
                <w:b/>
                <w:sz w:val="22"/>
                <w:szCs w:val="22"/>
                <w:lang w:val="sr-Latn-ME"/>
              </w:rPr>
              <w:t>l</w:t>
            </w:r>
            <w:r w:rsidR="000038F7" w:rsidRPr="006927C1">
              <w:rPr>
                <w:b/>
                <w:sz w:val="22"/>
                <w:szCs w:val="22"/>
                <w:lang w:val="sr-Latn-ME"/>
              </w:rPr>
              <w:t>ij</w:t>
            </w:r>
            <w:r w:rsidRPr="006927C1">
              <w:rPr>
                <w:b/>
                <w:sz w:val="22"/>
                <w:szCs w:val="22"/>
                <w:lang w:val="sr-Latn-ME"/>
              </w:rPr>
              <w:t>eka</w:t>
            </w:r>
          </w:p>
        </w:tc>
        <w:tc>
          <w:tcPr>
            <w:tcW w:w="3910" w:type="dxa"/>
            <w:gridSpan w:val="2"/>
            <w:tcBorders>
              <w:right w:val="single" w:sz="6" w:space="0" w:color="000000"/>
            </w:tcBorders>
          </w:tcPr>
          <w:p w:rsidR="00042B2C" w:rsidRPr="006927C1" w:rsidRDefault="00042B2C" w:rsidP="00042B2C">
            <w:pPr>
              <w:widowControl w:val="0"/>
              <w:autoSpaceDE w:val="0"/>
              <w:autoSpaceDN w:val="0"/>
              <w:spacing w:before="3"/>
              <w:rPr>
                <w:b/>
                <w:sz w:val="22"/>
                <w:szCs w:val="22"/>
                <w:lang w:val="sr-Latn-ME"/>
              </w:rPr>
            </w:pPr>
          </w:p>
          <w:p w:rsidR="00042B2C" w:rsidRPr="006927C1" w:rsidRDefault="00042B2C" w:rsidP="000038F7">
            <w:pPr>
              <w:widowControl w:val="0"/>
              <w:autoSpaceDE w:val="0"/>
              <w:autoSpaceDN w:val="0"/>
              <w:spacing w:before="1" w:line="230" w:lineRule="atLeast"/>
              <w:jc w:val="center"/>
              <w:rPr>
                <w:b/>
                <w:sz w:val="22"/>
                <w:szCs w:val="22"/>
                <w:lang w:val="sr-Latn-ME"/>
              </w:rPr>
            </w:pPr>
            <w:r w:rsidRPr="006927C1">
              <w:rPr>
                <w:b/>
                <w:sz w:val="22"/>
                <w:szCs w:val="22"/>
                <w:lang w:val="sr-Latn-ME"/>
              </w:rPr>
              <w:t>Broj</w:t>
            </w:r>
            <w:r w:rsidRPr="006927C1">
              <w:rPr>
                <w:b/>
                <w:spacing w:val="-5"/>
                <w:sz w:val="22"/>
                <w:szCs w:val="22"/>
                <w:lang w:val="sr-Latn-ME"/>
              </w:rPr>
              <w:t xml:space="preserve"> </w:t>
            </w:r>
            <w:r w:rsidRPr="006927C1">
              <w:rPr>
                <w:b/>
                <w:sz w:val="22"/>
                <w:szCs w:val="22"/>
                <w:lang w:val="sr-Latn-ME"/>
              </w:rPr>
              <w:t>uzoraka</w:t>
            </w:r>
            <w:r w:rsidRPr="006927C1">
              <w:rPr>
                <w:b/>
                <w:spacing w:val="-5"/>
                <w:sz w:val="22"/>
                <w:szCs w:val="22"/>
                <w:lang w:val="sr-Latn-ME"/>
              </w:rPr>
              <w:t xml:space="preserve"> </w:t>
            </w:r>
            <w:r w:rsidRPr="006927C1">
              <w:rPr>
                <w:b/>
                <w:sz w:val="22"/>
                <w:szCs w:val="22"/>
                <w:lang w:val="sr-Latn-ME"/>
              </w:rPr>
              <w:t>sa</w:t>
            </w:r>
            <w:r w:rsidRPr="006927C1">
              <w:rPr>
                <w:b/>
                <w:spacing w:val="-8"/>
                <w:sz w:val="22"/>
                <w:szCs w:val="22"/>
                <w:lang w:val="sr-Latn-ME"/>
              </w:rPr>
              <w:t xml:space="preserve"> </w:t>
            </w:r>
            <w:r w:rsidRPr="006927C1">
              <w:rPr>
                <w:b/>
                <w:sz w:val="22"/>
                <w:szCs w:val="22"/>
                <w:lang w:val="sr-Latn-ME"/>
              </w:rPr>
              <w:t>detektovanim</w:t>
            </w:r>
            <w:r w:rsidRPr="006927C1">
              <w:rPr>
                <w:b/>
                <w:spacing w:val="-9"/>
                <w:sz w:val="22"/>
                <w:szCs w:val="22"/>
                <w:lang w:val="sr-Latn-ME"/>
              </w:rPr>
              <w:t xml:space="preserve"> </w:t>
            </w:r>
            <w:r w:rsidRPr="006927C1">
              <w:rPr>
                <w:b/>
                <w:sz w:val="22"/>
                <w:szCs w:val="22"/>
                <w:lang w:val="sr-Latn-ME"/>
              </w:rPr>
              <w:t>tenofovirom/</w:t>
            </w:r>
            <w:r w:rsidRPr="006927C1">
              <w:rPr>
                <w:b/>
                <w:spacing w:val="-47"/>
                <w:sz w:val="22"/>
                <w:szCs w:val="22"/>
                <w:lang w:val="sr-Latn-ME"/>
              </w:rPr>
              <w:t xml:space="preserve"> </w:t>
            </w:r>
            <w:r w:rsidRPr="006927C1">
              <w:rPr>
                <w:b/>
                <w:sz w:val="22"/>
                <w:szCs w:val="22"/>
                <w:lang w:val="sr-Latn-ME"/>
              </w:rPr>
              <w:t>ukupan</w:t>
            </w:r>
            <w:r w:rsidRPr="006927C1">
              <w:rPr>
                <w:b/>
                <w:spacing w:val="-2"/>
                <w:sz w:val="22"/>
                <w:szCs w:val="22"/>
                <w:lang w:val="sr-Latn-ME"/>
              </w:rPr>
              <w:t xml:space="preserve"> </w:t>
            </w:r>
            <w:r w:rsidRPr="006927C1">
              <w:rPr>
                <w:b/>
                <w:sz w:val="22"/>
                <w:szCs w:val="22"/>
                <w:lang w:val="sr-Latn-ME"/>
              </w:rPr>
              <w:t>broj</w:t>
            </w:r>
            <w:r w:rsidRPr="006927C1">
              <w:rPr>
                <w:b/>
                <w:spacing w:val="-2"/>
                <w:sz w:val="22"/>
                <w:szCs w:val="22"/>
                <w:lang w:val="sr-Latn-ME"/>
              </w:rPr>
              <w:t xml:space="preserve"> </w:t>
            </w:r>
            <w:r w:rsidRPr="006927C1">
              <w:rPr>
                <w:b/>
                <w:sz w:val="22"/>
                <w:szCs w:val="22"/>
                <w:lang w:val="sr-Latn-ME"/>
              </w:rPr>
              <w:t>uzoraka</w:t>
            </w:r>
            <w:r w:rsidRPr="006927C1">
              <w:rPr>
                <w:b/>
                <w:spacing w:val="3"/>
                <w:sz w:val="22"/>
                <w:szCs w:val="22"/>
                <w:lang w:val="sr-Latn-ME"/>
              </w:rPr>
              <w:t xml:space="preserve"> </w:t>
            </w:r>
            <w:r w:rsidRPr="006927C1">
              <w:rPr>
                <w:b/>
                <w:sz w:val="22"/>
                <w:szCs w:val="22"/>
                <w:lang w:val="sr-Latn-ME"/>
              </w:rPr>
              <w:t>(%)</w:t>
            </w:r>
          </w:p>
        </w:tc>
        <w:tc>
          <w:tcPr>
            <w:tcW w:w="3454" w:type="dxa"/>
            <w:gridSpan w:val="2"/>
            <w:tcBorders>
              <w:left w:val="single" w:sz="6" w:space="0" w:color="000000"/>
            </w:tcBorders>
          </w:tcPr>
          <w:p w:rsidR="00042B2C" w:rsidRPr="006927C1" w:rsidRDefault="00042B2C" w:rsidP="000038F7">
            <w:pPr>
              <w:widowControl w:val="0"/>
              <w:autoSpaceDE w:val="0"/>
              <w:autoSpaceDN w:val="0"/>
              <w:ind w:left="147" w:right="134" w:hanging="9"/>
              <w:jc w:val="center"/>
              <w:rPr>
                <w:b/>
                <w:sz w:val="22"/>
                <w:szCs w:val="22"/>
                <w:lang w:val="sr-Latn-ME"/>
              </w:rPr>
            </w:pPr>
            <w:r w:rsidRPr="006927C1">
              <w:rPr>
                <w:b/>
                <w:spacing w:val="-1"/>
                <w:sz w:val="22"/>
                <w:szCs w:val="22"/>
                <w:lang w:val="sr-Latn-ME"/>
              </w:rPr>
              <w:t>Proc</w:t>
            </w:r>
            <w:r w:rsidR="000038F7" w:rsidRPr="006927C1">
              <w:rPr>
                <w:b/>
                <w:spacing w:val="-1"/>
                <w:sz w:val="22"/>
                <w:szCs w:val="22"/>
                <w:lang w:val="sr-Latn-ME"/>
              </w:rPr>
              <w:t>j</w:t>
            </w:r>
            <w:r w:rsidRPr="006927C1">
              <w:rPr>
                <w:b/>
                <w:spacing w:val="-1"/>
                <w:sz w:val="22"/>
                <w:szCs w:val="22"/>
                <w:lang w:val="sr-Latn-ME"/>
              </w:rPr>
              <w:t xml:space="preserve">ena rizika za zaštitu </w:t>
            </w:r>
            <w:r w:rsidRPr="006927C1">
              <w:rPr>
                <w:b/>
                <w:sz w:val="22"/>
                <w:szCs w:val="22"/>
                <w:lang w:val="sr-Latn-ME"/>
              </w:rPr>
              <w:t>od virusa HIV-1:</w:t>
            </w:r>
            <w:r w:rsidRPr="006927C1">
              <w:rPr>
                <w:b/>
                <w:spacing w:val="1"/>
                <w:sz w:val="22"/>
                <w:szCs w:val="22"/>
                <w:lang w:val="sr-Latn-ME"/>
              </w:rPr>
              <w:t xml:space="preserve"> </w:t>
            </w:r>
            <w:r w:rsidRPr="006927C1">
              <w:rPr>
                <w:b/>
                <w:spacing w:val="-2"/>
                <w:sz w:val="22"/>
                <w:szCs w:val="22"/>
                <w:lang w:val="sr-Latn-ME"/>
              </w:rPr>
              <w:t>detektovan</w:t>
            </w:r>
            <w:r w:rsidRPr="006927C1">
              <w:rPr>
                <w:b/>
                <w:spacing w:val="-4"/>
                <w:sz w:val="22"/>
                <w:szCs w:val="22"/>
                <w:lang w:val="sr-Latn-ME"/>
              </w:rPr>
              <w:t xml:space="preserve"> </w:t>
            </w:r>
            <w:r w:rsidRPr="006927C1">
              <w:rPr>
                <w:b/>
                <w:spacing w:val="-2"/>
                <w:sz w:val="22"/>
                <w:szCs w:val="22"/>
                <w:lang w:val="sr-Latn-ME"/>
              </w:rPr>
              <w:t>u</w:t>
            </w:r>
            <w:r w:rsidRPr="006927C1">
              <w:rPr>
                <w:b/>
                <w:spacing w:val="-9"/>
                <w:sz w:val="22"/>
                <w:szCs w:val="22"/>
                <w:lang w:val="sr-Latn-ME"/>
              </w:rPr>
              <w:t xml:space="preserve"> </w:t>
            </w:r>
            <w:r w:rsidRPr="006927C1">
              <w:rPr>
                <w:b/>
                <w:spacing w:val="-2"/>
                <w:sz w:val="22"/>
                <w:szCs w:val="22"/>
                <w:lang w:val="sr-Latn-ME"/>
              </w:rPr>
              <w:t>odnosu</w:t>
            </w:r>
            <w:r w:rsidRPr="006927C1">
              <w:rPr>
                <w:b/>
                <w:spacing w:val="-5"/>
                <w:sz w:val="22"/>
                <w:szCs w:val="22"/>
                <w:lang w:val="sr-Latn-ME"/>
              </w:rPr>
              <w:t xml:space="preserve"> </w:t>
            </w:r>
            <w:r w:rsidRPr="006927C1">
              <w:rPr>
                <w:b/>
                <w:spacing w:val="-2"/>
                <w:sz w:val="22"/>
                <w:szCs w:val="22"/>
                <w:lang w:val="sr-Latn-ME"/>
              </w:rPr>
              <w:t>na</w:t>
            </w:r>
            <w:r w:rsidRPr="006927C1">
              <w:rPr>
                <w:b/>
                <w:spacing w:val="-6"/>
                <w:sz w:val="22"/>
                <w:szCs w:val="22"/>
                <w:lang w:val="sr-Latn-ME"/>
              </w:rPr>
              <w:t xml:space="preserve"> </w:t>
            </w:r>
            <w:r w:rsidRPr="006927C1">
              <w:rPr>
                <w:b/>
                <w:spacing w:val="-2"/>
                <w:sz w:val="22"/>
                <w:szCs w:val="22"/>
                <w:lang w:val="sr-Latn-ME"/>
              </w:rPr>
              <w:t>nedetektovan</w:t>
            </w:r>
            <w:r w:rsidRPr="006927C1">
              <w:rPr>
                <w:b/>
                <w:sz w:val="22"/>
                <w:szCs w:val="22"/>
                <w:lang w:val="sr-Latn-ME"/>
              </w:rPr>
              <w:t xml:space="preserve"> tenofovir</w:t>
            </w:r>
          </w:p>
        </w:tc>
      </w:tr>
      <w:tr w:rsidR="00042B2C" w:rsidRPr="006927C1" w:rsidTr="000038F7">
        <w:trPr>
          <w:trHeight w:val="460"/>
          <w:jc w:val="center"/>
        </w:trPr>
        <w:tc>
          <w:tcPr>
            <w:tcW w:w="1838" w:type="dxa"/>
            <w:vMerge/>
            <w:tcBorders>
              <w:top w:val="nil"/>
            </w:tcBorders>
          </w:tcPr>
          <w:p w:rsidR="00042B2C" w:rsidRPr="006927C1" w:rsidRDefault="00042B2C" w:rsidP="00042B2C">
            <w:pPr>
              <w:tabs>
                <w:tab w:val="left" w:pos="284"/>
              </w:tabs>
              <w:rPr>
                <w:sz w:val="22"/>
                <w:szCs w:val="22"/>
                <w:lang w:val="sr-Latn-ME"/>
              </w:rPr>
            </w:pPr>
          </w:p>
        </w:tc>
        <w:tc>
          <w:tcPr>
            <w:tcW w:w="1701" w:type="dxa"/>
          </w:tcPr>
          <w:p w:rsidR="00042B2C" w:rsidRPr="006927C1" w:rsidRDefault="00042B2C" w:rsidP="000038F7">
            <w:pPr>
              <w:widowControl w:val="0"/>
              <w:autoSpaceDE w:val="0"/>
              <w:autoSpaceDN w:val="0"/>
              <w:spacing w:before="7"/>
              <w:jc w:val="center"/>
              <w:rPr>
                <w:b/>
                <w:sz w:val="22"/>
                <w:szCs w:val="22"/>
                <w:lang w:val="sr-Latn-ME"/>
              </w:rPr>
            </w:pPr>
          </w:p>
          <w:p w:rsidR="00042B2C" w:rsidRPr="006927C1" w:rsidRDefault="00042B2C" w:rsidP="000038F7">
            <w:pPr>
              <w:widowControl w:val="0"/>
              <w:autoSpaceDE w:val="0"/>
              <w:autoSpaceDN w:val="0"/>
              <w:spacing w:line="215" w:lineRule="exact"/>
              <w:ind w:right="433"/>
              <w:jc w:val="center"/>
              <w:rPr>
                <w:b/>
                <w:sz w:val="22"/>
                <w:szCs w:val="22"/>
                <w:lang w:val="sr-Latn-ME"/>
              </w:rPr>
            </w:pPr>
            <w:r w:rsidRPr="006927C1">
              <w:rPr>
                <w:b/>
                <w:sz w:val="22"/>
                <w:szCs w:val="22"/>
                <w:lang w:val="sr-Latn-ME"/>
              </w:rPr>
              <w:t>Slučaj</w:t>
            </w:r>
          </w:p>
        </w:tc>
        <w:tc>
          <w:tcPr>
            <w:tcW w:w="2209" w:type="dxa"/>
            <w:tcBorders>
              <w:right w:val="single" w:sz="6" w:space="0" w:color="000000"/>
            </w:tcBorders>
          </w:tcPr>
          <w:p w:rsidR="00042B2C" w:rsidRPr="006927C1" w:rsidRDefault="00042B2C" w:rsidP="000038F7">
            <w:pPr>
              <w:widowControl w:val="0"/>
              <w:autoSpaceDE w:val="0"/>
              <w:autoSpaceDN w:val="0"/>
              <w:spacing w:before="7"/>
              <w:jc w:val="center"/>
              <w:rPr>
                <w:b/>
                <w:sz w:val="22"/>
                <w:szCs w:val="22"/>
                <w:lang w:val="sr-Latn-ME"/>
              </w:rPr>
            </w:pPr>
          </w:p>
          <w:p w:rsidR="00042B2C" w:rsidRPr="006927C1" w:rsidRDefault="00042B2C" w:rsidP="000038F7">
            <w:pPr>
              <w:widowControl w:val="0"/>
              <w:autoSpaceDE w:val="0"/>
              <w:autoSpaceDN w:val="0"/>
              <w:spacing w:line="215" w:lineRule="exact"/>
              <w:ind w:right="192"/>
              <w:jc w:val="center"/>
              <w:rPr>
                <w:b/>
                <w:sz w:val="22"/>
                <w:szCs w:val="22"/>
                <w:lang w:val="sr-Latn-ME"/>
              </w:rPr>
            </w:pPr>
            <w:r w:rsidRPr="006927C1">
              <w:rPr>
                <w:b/>
                <w:sz w:val="22"/>
                <w:szCs w:val="22"/>
                <w:lang w:val="sr-Latn-ME"/>
              </w:rPr>
              <w:t>Kohorta</w:t>
            </w:r>
          </w:p>
        </w:tc>
        <w:tc>
          <w:tcPr>
            <w:tcW w:w="1902" w:type="dxa"/>
            <w:tcBorders>
              <w:left w:val="single" w:sz="6" w:space="0" w:color="000000"/>
            </w:tcBorders>
          </w:tcPr>
          <w:p w:rsidR="00042B2C" w:rsidRPr="006927C1" w:rsidRDefault="00042B2C" w:rsidP="000038F7">
            <w:pPr>
              <w:widowControl w:val="0"/>
              <w:autoSpaceDE w:val="0"/>
              <w:autoSpaceDN w:val="0"/>
              <w:spacing w:line="225" w:lineRule="exact"/>
              <w:ind w:right="176"/>
              <w:jc w:val="center"/>
              <w:rPr>
                <w:b/>
                <w:sz w:val="22"/>
                <w:szCs w:val="22"/>
                <w:lang w:val="sr-Latn-ME"/>
              </w:rPr>
            </w:pPr>
            <w:r w:rsidRPr="006927C1">
              <w:rPr>
                <w:b/>
                <w:spacing w:val="-2"/>
                <w:sz w:val="22"/>
                <w:szCs w:val="22"/>
                <w:lang w:val="sr-Latn-ME"/>
              </w:rPr>
              <w:t>Smanjenje</w:t>
            </w:r>
            <w:r w:rsidRPr="006927C1">
              <w:rPr>
                <w:b/>
                <w:spacing w:val="-11"/>
                <w:sz w:val="22"/>
                <w:szCs w:val="22"/>
                <w:lang w:val="sr-Latn-ME"/>
              </w:rPr>
              <w:t xml:space="preserve"> </w:t>
            </w:r>
            <w:r w:rsidRPr="006927C1">
              <w:rPr>
                <w:b/>
                <w:spacing w:val="-1"/>
                <w:sz w:val="22"/>
                <w:szCs w:val="22"/>
                <w:lang w:val="sr-Latn-ME"/>
              </w:rPr>
              <w:t>relativnog</w:t>
            </w:r>
          </w:p>
          <w:p w:rsidR="00042B2C" w:rsidRPr="006927C1" w:rsidRDefault="00042B2C" w:rsidP="000038F7">
            <w:pPr>
              <w:widowControl w:val="0"/>
              <w:autoSpaceDE w:val="0"/>
              <w:autoSpaceDN w:val="0"/>
              <w:spacing w:line="215" w:lineRule="exact"/>
              <w:ind w:right="176"/>
              <w:jc w:val="center"/>
              <w:rPr>
                <w:b/>
                <w:sz w:val="22"/>
                <w:szCs w:val="22"/>
                <w:lang w:val="sr-Latn-ME"/>
              </w:rPr>
            </w:pPr>
            <w:r w:rsidRPr="006927C1">
              <w:rPr>
                <w:b/>
                <w:spacing w:val="-1"/>
                <w:sz w:val="22"/>
                <w:szCs w:val="22"/>
                <w:lang w:val="sr-Latn-ME"/>
              </w:rPr>
              <w:t>rizika</w:t>
            </w:r>
            <w:r w:rsidRPr="006927C1">
              <w:rPr>
                <w:b/>
                <w:spacing w:val="-12"/>
                <w:sz w:val="22"/>
                <w:szCs w:val="22"/>
                <w:lang w:val="sr-Latn-ME"/>
              </w:rPr>
              <w:t xml:space="preserve"> </w:t>
            </w:r>
            <w:r w:rsidRPr="006927C1">
              <w:rPr>
                <w:b/>
                <w:sz w:val="22"/>
                <w:szCs w:val="22"/>
                <w:lang w:val="sr-Latn-ME"/>
              </w:rPr>
              <w:t>(95%</w:t>
            </w:r>
            <w:r w:rsidRPr="006927C1">
              <w:rPr>
                <w:b/>
                <w:spacing w:val="-9"/>
                <w:sz w:val="22"/>
                <w:szCs w:val="22"/>
                <w:lang w:val="sr-Latn-ME"/>
              </w:rPr>
              <w:t xml:space="preserve"> </w:t>
            </w:r>
            <w:r w:rsidRPr="006927C1">
              <w:rPr>
                <w:b/>
                <w:sz w:val="22"/>
                <w:szCs w:val="22"/>
                <w:lang w:val="sr-Latn-ME"/>
              </w:rPr>
              <w:t>CI)</w:t>
            </w:r>
          </w:p>
        </w:tc>
        <w:tc>
          <w:tcPr>
            <w:tcW w:w="1552" w:type="dxa"/>
          </w:tcPr>
          <w:p w:rsidR="00042B2C" w:rsidRPr="006927C1" w:rsidRDefault="00042B2C" w:rsidP="000038F7">
            <w:pPr>
              <w:widowControl w:val="0"/>
              <w:autoSpaceDE w:val="0"/>
              <w:autoSpaceDN w:val="0"/>
              <w:spacing w:before="7"/>
              <w:jc w:val="center"/>
              <w:rPr>
                <w:b/>
                <w:sz w:val="22"/>
                <w:szCs w:val="22"/>
                <w:lang w:val="sr-Latn-ME"/>
              </w:rPr>
            </w:pPr>
          </w:p>
          <w:p w:rsidR="00042B2C" w:rsidRPr="006927C1" w:rsidRDefault="00042B2C" w:rsidP="000038F7">
            <w:pPr>
              <w:widowControl w:val="0"/>
              <w:autoSpaceDE w:val="0"/>
              <w:autoSpaceDN w:val="0"/>
              <w:spacing w:line="215" w:lineRule="exact"/>
              <w:ind w:left="136" w:right="137"/>
              <w:jc w:val="center"/>
              <w:rPr>
                <w:b/>
                <w:sz w:val="22"/>
                <w:szCs w:val="22"/>
                <w:lang w:val="sr-Latn-ME"/>
              </w:rPr>
            </w:pPr>
            <w:r w:rsidRPr="006927C1">
              <w:rPr>
                <w:b/>
                <w:sz w:val="22"/>
                <w:szCs w:val="22"/>
                <w:lang w:val="sr-Latn-ME"/>
              </w:rPr>
              <w:t>p-vr</w:t>
            </w:r>
            <w:r w:rsidR="000038F7" w:rsidRPr="006927C1">
              <w:rPr>
                <w:b/>
                <w:sz w:val="22"/>
                <w:szCs w:val="22"/>
                <w:lang w:val="sr-Latn-ME"/>
              </w:rPr>
              <w:t>ij</w:t>
            </w:r>
            <w:r w:rsidRPr="006927C1">
              <w:rPr>
                <w:b/>
                <w:sz w:val="22"/>
                <w:szCs w:val="22"/>
                <w:lang w:val="sr-Latn-ME"/>
              </w:rPr>
              <w:t>ednost</w:t>
            </w:r>
          </w:p>
        </w:tc>
      </w:tr>
      <w:tr w:rsidR="00042B2C" w:rsidRPr="006927C1" w:rsidTr="000038F7">
        <w:trPr>
          <w:trHeight w:val="690"/>
          <w:jc w:val="center"/>
        </w:trPr>
        <w:tc>
          <w:tcPr>
            <w:tcW w:w="1838" w:type="dxa"/>
            <w:tcBorders>
              <w:right w:val="single" w:sz="6" w:space="0" w:color="000000"/>
            </w:tcBorders>
          </w:tcPr>
          <w:p w:rsidR="00042B2C" w:rsidRPr="006927C1" w:rsidRDefault="00042B2C" w:rsidP="00042B2C">
            <w:pPr>
              <w:widowControl w:val="0"/>
              <w:autoSpaceDE w:val="0"/>
              <w:autoSpaceDN w:val="0"/>
              <w:ind w:left="115" w:right="309"/>
              <w:rPr>
                <w:sz w:val="22"/>
                <w:szCs w:val="22"/>
                <w:lang w:val="sr-Latn-ME"/>
              </w:rPr>
            </w:pPr>
            <w:r w:rsidRPr="006927C1">
              <w:rPr>
                <w:sz w:val="22"/>
                <w:szCs w:val="22"/>
                <w:lang w:val="sr-Latn-ME"/>
              </w:rPr>
              <w:t>Grupa koja je primala</w:t>
            </w:r>
            <w:r w:rsidRPr="006927C1">
              <w:rPr>
                <w:spacing w:val="-47"/>
                <w:sz w:val="22"/>
                <w:szCs w:val="22"/>
                <w:lang w:val="sr-Latn-ME"/>
              </w:rPr>
              <w:t xml:space="preserve"> </w:t>
            </w:r>
            <w:r w:rsidRPr="006927C1">
              <w:rPr>
                <w:sz w:val="22"/>
                <w:szCs w:val="22"/>
                <w:lang w:val="sr-Latn-ME"/>
              </w:rPr>
              <w:t>FTC/</w:t>
            </w:r>
          </w:p>
          <w:p w:rsidR="00042B2C" w:rsidRPr="006927C1" w:rsidRDefault="000038F7" w:rsidP="00042B2C">
            <w:pPr>
              <w:widowControl w:val="0"/>
              <w:autoSpaceDE w:val="0"/>
              <w:autoSpaceDN w:val="0"/>
              <w:spacing w:line="219" w:lineRule="exact"/>
              <w:ind w:left="115"/>
              <w:rPr>
                <w:sz w:val="22"/>
                <w:szCs w:val="22"/>
                <w:lang w:val="sr-Latn-ME"/>
              </w:rPr>
            </w:pPr>
            <w:r w:rsidRPr="006927C1">
              <w:rPr>
                <w:sz w:val="22"/>
                <w:szCs w:val="22"/>
                <w:lang w:val="sr-Latn-ME"/>
              </w:rPr>
              <w:t>t</w:t>
            </w:r>
            <w:r w:rsidR="00042B2C" w:rsidRPr="006927C1">
              <w:rPr>
                <w:sz w:val="22"/>
                <w:szCs w:val="22"/>
                <w:lang w:val="sr-Latn-ME"/>
              </w:rPr>
              <w:t>enofovir</w:t>
            </w:r>
            <w:r w:rsidRPr="006927C1">
              <w:rPr>
                <w:sz w:val="22"/>
                <w:szCs w:val="22"/>
                <w:lang w:val="sr-Latn-ME"/>
              </w:rPr>
              <w:t xml:space="preserve"> </w:t>
            </w:r>
            <w:r w:rsidR="00042B2C" w:rsidRPr="006927C1">
              <w:rPr>
                <w:sz w:val="22"/>
                <w:szCs w:val="22"/>
                <w:lang w:val="sr-Latn-ME"/>
              </w:rPr>
              <w:t>dizoproksil</w:t>
            </w:r>
            <w:r w:rsidR="00042B2C" w:rsidRPr="006927C1">
              <w:rPr>
                <w:sz w:val="22"/>
                <w:szCs w:val="22"/>
                <w:vertAlign w:val="superscript"/>
                <w:lang w:val="sr-Latn-ME"/>
              </w:rPr>
              <w:t>a</w:t>
            </w:r>
          </w:p>
        </w:tc>
        <w:tc>
          <w:tcPr>
            <w:tcW w:w="1701"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ind w:right="138"/>
              <w:jc w:val="center"/>
              <w:rPr>
                <w:sz w:val="22"/>
                <w:szCs w:val="22"/>
                <w:lang w:val="sr-Latn-ME"/>
              </w:rPr>
            </w:pPr>
            <w:r w:rsidRPr="006927C1">
              <w:rPr>
                <w:sz w:val="22"/>
                <w:szCs w:val="22"/>
                <w:lang w:val="sr-Latn-ME"/>
              </w:rPr>
              <w:t>3</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12</w:t>
            </w:r>
            <w:r w:rsidRPr="006927C1">
              <w:rPr>
                <w:spacing w:val="-1"/>
                <w:sz w:val="22"/>
                <w:szCs w:val="22"/>
                <w:lang w:val="sr-Latn-ME"/>
              </w:rPr>
              <w:t xml:space="preserve"> </w:t>
            </w:r>
            <w:r w:rsidRPr="006927C1">
              <w:rPr>
                <w:sz w:val="22"/>
                <w:szCs w:val="22"/>
                <w:lang w:val="sr-Latn-ME"/>
              </w:rPr>
              <w:t>(25%)</w:t>
            </w:r>
          </w:p>
        </w:tc>
        <w:tc>
          <w:tcPr>
            <w:tcW w:w="2209"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ind w:right="220"/>
              <w:jc w:val="center"/>
              <w:rPr>
                <w:sz w:val="22"/>
                <w:szCs w:val="22"/>
                <w:lang w:val="sr-Latn-ME"/>
              </w:rPr>
            </w:pPr>
            <w:r w:rsidRPr="006927C1">
              <w:rPr>
                <w:sz w:val="22"/>
                <w:szCs w:val="22"/>
                <w:lang w:val="sr-Latn-ME"/>
              </w:rPr>
              <w:t>375</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465</w:t>
            </w:r>
            <w:r w:rsidRPr="006927C1">
              <w:rPr>
                <w:spacing w:val="-1"/>
                <w:sz w:val="22"/>
                <w:szCs w:val="22"/>
                <w:lang w:val="sr-Latn-ME"/>
              </w:rPr>
              <w:t xml:space="preserve"> </w:t>
            </w:r>
            <w:r w:rsidRPr="006927C1">
              <w:rPr>
                <w:sz w:val="22"/>
                <w:szCs w:val="22"/>
                <w:lang w:val="sr-Latn-ME"/>
              </w:rPr>
              <w:t>(81%)</w:t>
            </w:r>
          </w:p>
        </w:tc>
        <w:tc>
          <w:tcPr>
            <w:tcW w:w="1902"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ind w:right="130"/>
              <w:jc w:val="center"/>
              <w:rPr>
                <w:sz w:val="22"/>
                <w:szCs w:val="22"/>
                <w:lang w:val="sr-Latn-ME"/>
              </w:rPr>
            </w:pPr>
            <w:r w:rsidRPr="006927C1">
              <w:rPr>
                <w:sz w:val="22"/>
                <w:szCs w:val="22"/>
                <w:lang w:val="sr-Latn-ME"/>
              </w:rPr>
              <w:t>90%</w:t>
            </w:r>
            <w:r w:rsidRPr="006927C1">
              <w:rPr>
                <w:spacing w:val="-2"/>
                <w:sz w:val="22"/>
                <w:szCs w:val="22"/>
                <w:lang w:val="sr-Latn-ME"/>
              </w:rPr>
              <w:t xml:space="preserve"> </w:t>
            </w:r>
            <w:r w:rsidRPr="006927C1">
              <w:rPr>
                <w:sz w:val="22"/>
                <w:szCs w:val="22"/>
                <w:lang w:val="sr-Latn-ME"/>
              </w:rPr>
              <w:t>(56%;</w:t>
            </w:r>
            <w:r w:rsidRPr="006927C1">
              <w:rPr>
                <w:spacing w:val="-2"/>
                <w:sz w:val="22"/>
                <w:szCs w:val="22"/>
                <w:lang w:val="sr-Latn-ME"/>
              </w:rPr>
              <w:t xml:space="preserve"> </w:t>
            </w:r>
            <w:r w:rsidRPr="006927C1">
              <w:rPr>
                <w:sz w:val="22"/>
                <w:szCs w:val="22"/>
                <w:lang w:val="sr-Latn-ME"/>
              </w:rPr>
              <w:t>98%)</w:t>
            </w:r>
          </w:p>
        </w:tc>
        <w:tc>
          <w:tcPr>
            <w:tcW w:w="1552" w:type="dxa"/>
            <w:tcBorders>
              <w:left w:val="single" w:sz="6" w:space="0" w:color="000000"/>
            </w:tcBorders>
            <w:vAlign w:val="center"/>
          </w:tcPr>
          <w:p w:rsidR="00042B2C" w:rsidRPr="006927C1" w:rsidRDefault="00042B2C" w:rsidP="000038F7">
            <w:pPr>
              <w:widowControl w:val="0"/>
              <w:autoSpaceDE w:val="0"/>
              <w:autoSpaceDN w:val="0"/>
              <w:ind w:right="284"/>
              <w:jc w:val="center"/>
              <w:rPr>
                <w:sz w:val="22"/>
                <w:szCs w:val="22"/>
                <w:lang w:val="sr-Latn-ME"/>
              </w:rPr>
            </w:pPr>
            <w:r w:rsidRPr="006927C1">
              <w:rPr>
                <w:sz w:val="22"/>
                <w:szCs w:val="22"/>
                <w:lang w:val="sr-Latn-ME"/>
              </w:rPr>
              <w:t>0,002</w:t>
            </w:r>
          </w:p>
        </w:tc>
      </w:tr>
      <w:tr w:rsidR="00042B2C" w:rsidRPr="006927C1" w:rsidTr="000038F7">
        <w:trPr>
          <w:trHeight w:val="460"/>
          <w:jc w:val="center"/>
        </w:trPr>
        <w:tc>
          <w:tcPr>
            <w:tcW w:w="1838" w:type="dxa"/>
            <w:tcBorders>
              <w:right w:val="single" w:sz="6" w:space="0" w:color="000000"/>
            </w:tcBorders>
          </w:tcPr>
          <w:p w:rsidR="00042B2C" w:rsidRPr="006927C1" w:rsidRDefault="00042B2C" w:rsidP="00042B2C">
            <w:pPr>
              <w:widowControl w:val="0"/>
              <w:autoSpaceDE w:val="0"/>
              <w:autoSpaceDN w:val="0"/>
              <w:spacing w:line="221" w:lineRule="exact"/>
              <w:ind w:left="115"/>
              <w:rPr>
                <w:sz w:val="22"/>
                <w:szCs w:val="22"/>
                <w:lang w:val="sr-Latn-ME"/>
              </w:rPr>
            </w:pPr>
            <w:r w:rsidRPr="006927C1">
              <w:rPr>
                <w:sz w:val="22"/>
                <w:szCs w:val="22"/>
                <w:lang w:val="sr-Latn-ME"/>
              </w:rPr>
              <w:t>Grupa</w:t>
            </w:r>
            <w:r w:rsidRPr="006927C1">
              <w:rPr>
                <w:spacing w:val="-2"/>
                <w:sz w:val="22"/>
                <w:szCs w:val="22"/>
                <w:lang w:val="sr-Latn-ME"/>
              </w:rPr>
              <w:t xml:space="preserve"> </w:t>
            </w:r>
            <w:r w:rsidRPr="006927C1">
              <w:rPr>
                <w:sz w:val="22"/>
                <w:szCs w:val="22"/>
                <w:lang w:val="sr-Latn-ME"/>
              </w:rPr>
              <w:t>koja</w:t>
            </w:r>
            <w:r w:rsidRPr="006927C1">
              <w:rPr>
                <w:spacing w:val="-1"/>
                <w:sz w:val="22"/>
                <w:szCs w:val="22"/>
                <w:lang w:val="sr-Latn-ME"/>
              </w:rPr>
              <w:t xml:space="preserve"> </w:t>
            </w:r>
            <w:r w:rsidRPr="006927C1">
              <w:rPr>
                <w:sz w:val="22"/>
                <w:szCs w:val="22"/>
                <w:lang w:val="sr-Latn-ME"/>
              </w:rPr>
              <w:t>je</w:t>
            </w:r>
            <w:r w:rsidRPr="006927C1">
              <w:rPr>
                <w:spacing w:val="-1"/>
                <w:sz w:val="22"/>
                <w:szCs w:val="22"/>
                <w:lang w:val="sr-Latn-ME"/>
              </w:rPr>
              <w:t xml:space="preserve"> </w:t>
            </w:r>
            <w:r w:rsidRPr="006927C1">
              <w:rPr>
                <w:sz w:val="22"/>
                <w:szCs w:val="22"/>
                <w:lang w:val="sr-Latn-ME"/>
              </w:rPr>
              <w:t>primala</w:t>
            </w:r>
          </w:p>
          <w:p w:rsidR="00042B2C" w:rsidRPr="006927C1" w:rsidRDefault="000038F7" w:rsidP="00042B2C">
            <w:pPr>
              <w:widowControl w:val="0"/>
              <w:autoSpaceDE w:val="0"/>
              <w:autoSpaceDN w:val="0"/>
              <w:spacing w:line="219" w:lineRule="exact"/>
              <w:ind w:left="115"/>
              <w:rPr>
                <w:sz w:val="22"/>
                <w:szCs w:val="22"/>
                <w:lang w:val="sr-Latn-ME"/>
              </w:rPr>
            </w:pPr>
            <w:r w:rsidRPr="006927C1">
              <w:rPr>
                <w:sz w:val="22"/>
                <w:szCs w:val="22"/>
                <w:lang w:val="sr-Latn-ME"/>
              </w:rPr>
              <w:t>t</w:t>
            </w:r>
            <w:r w:rsidR="00042B2C" w:rsidRPr="006927C1">
              <w:rPr>
                <w:sz w:val="22"/>
                <w:szCs w:val="22"/>
                <w:lang w:val="sr-Latn-ME"/>
              </w:rPr>
              <w:t>enofovir</w:t>
            </w:r>
            <w:r w:rsidRPr="006927C1">
              <w:rPr>
                <w:sz w:val="22"/>
                <w:szCs w:val="22"/>
                <w:lang w:val="sr-Latn-ME"/>
              </w:rPr>
              <w:t xml:space="preserve"> </w:t>
            </w:r>
            <w:r w:rsidR="00042B2C" w:rsidRPr="006927C1">
              <w:rPr>
                <w:sz w:val="22"/>
                <w:szCs w:val="22"/>
                <w:lang w:val="sr-Latn-ME"/>
              </w:rPr>
              <w:t>dizoproksil</w:t>
            </w:r>
            <w:r w:rsidR="00042B2C" w:rsidRPr="006927C1">
              <w:rPr>
                <w:sz w:val="22"/>
                <w:szCs w:val="22"/>
                <w:vertAlign w:val="superscript"/>
                <w:lang w:val="sr-Latn-ME"/>
              </w:rPr>
              <w:t>a</w:t>
            </w:r>
          </w:p>
        </w:tc>
        <w:tc>
          <w:tcPr>
            <w:tcW w:w="1701"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spacing w:before="106"/>
              <w:ind w:right="138"/>
              <w:jc w:val="center"/>
              <w:rPr>
                <w:sz w:val="22"/>
                <w:szCs w:val="22"/>
                <w:lang w:val="sr-Latn-ME"/>
              </w:rPr>
            </w:pPr>
            <w:r w:rsidRPr="006927C1">
              <w:rPr>
                <w:sz w:val="22"/>
                <w:szCs w:val="22"/>
                <w:lang w:val="sr-Latn-ME"/>
              </w:rPr>
              <w:t>6</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17</w:t>
            </w:r>
            <w:r w:rsidRPr="006927C1">
              <w:rPr>
                <w:spacing w:val="-1"/>
                <w:sz w:val="22"/>
                <w:szCs w:val="22"/>
                <w:lang w:val="sr-Latn-ME"/>
              </w:rPr>
              <w:t xml:space="preserve"> </w:t>
            </w:r>
            <w:r w:rsidRPr="006927C1">
              <w:rPr>
                <w:sz w:val="22"/>
                <w:szCs w:val="22"/>
                <w:lang w:val="sr-Latn-ME"/>
              </w:rPr>
              <w:t>(35%)</w:t>
            </w:r>
          </w:p>
        </w:tc>
        <w:tc>
          <w:tcPr>
            <w:tcW w:w="2209"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spacing w:before="106"/>
              <w:ind w:right="220"/>
              <w:jc w:val="center"/>
              <w:rPr>
                <w:sz w:val="22"/>
                <w:szCs w:val="22"/>
                <w:lang w:val="sr-Latn-ME"/>
              </w:rPr>
            </w:pPr>
            <w:r w:rsidRPr="006927C1">
              <w:rPr>
                <w:sz w:val="22"/>
                <w:szCs w:val="22"/>
                <w:lang w:val="sr-Latn-ME"/>
              </w:rPr>
              <w:t>363</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437</w:t>
            </w:r>
            <w:r w:rsidRPr="006927C1">
              <w:rPr>
                <w:spacing w:val="-1"/>
                <w:sz w:val="22"/>
                <w:szCs w:val="22"/>
                <w:lang w:val="sr-Latn-ME"/>
              </w:rPr>
              <w:t xml:space="preserve"> </w:t>
            </w:r>
            <w:r w:rsidRPr="006927C1">
              <w:rPr>
                <w:sz w:val="22"/>
                <w:szCs w:val="22"/>
                <w:lang w:val="sr-Latn-ME"/>
              </w:rPr>
              <w:t>(83%)</w:t>
            </w:r>
          </w:p>
        </w:tc>
        <w:tc>
          <w:tcPr>
            <w:tcW w:w="1902" w:type="dxa"/>
            <w:tcBorders>
              <w:left w:val="single" w:sz="6" w:space="0" w:color="000000"/>
              <w:right w:val="single" w:sz="6" w:space="0" w:color="000000"/>
            </w:tcBorders>
            <w:vAlign w:val="center"/>
          </w:tcPr>
          <w:p w:rsidR="00042B2C" w:rsidRPr="006927C1" w:rsidRDefault="00042B2C" w:rsidP="000038F7">
            <w:pPr>
              <w:widowControl w:val="0"/>
              <w:autoSpaceDE w:val="0"/>
              <w:autoSpaceDN w:val="0"/>
              <w:spacing w:before="106"/>
              <w:jc w:val="center"/>
              <w:rPr>
                <w:sz w:val="22"/>
                <w:szCs w:val="22"/>
                <w:lang w:val="sr-Latn-ME"/>
              </w:rPr>
            </w:pPr>
            <w:r w:rsidRPr="006927C1">
              <w:rPr>
                <w:sz w:val="22"/>
                <w:szCs w:val="22"/>
                <w:lang w:val="sr-Latn-ME"/>
              </w:rPr>
              <w:t>86%</w:t>
            </w:r>
            <w:r w:rsidRPr="006927C1">
              <w:rPr>
                <w:spacing w:val="-2"/>
                <w:sz w:val="22"/>
                <w:szCs w:val="22"/>
                <w:lang w:val="sr-Latn-ME"/>
              </w:rPr>
              <w:t xml:space="preserve"> </w:t>
            </w:r>
            <w:r w:rsidRPr="006927C1">
              <w:rPr>
                <w:sz w:val="22"/>
                <w:szCs w:val="22"/>
                <w:lang w:val="sr-Latn-ME"/>
              </w:rPr>
              <w:t>(67%;</w:t>
            </w:r>
            <w:r w:rsidRPr="006927C1">
              <w:rPr>
                <w:spacing w:val="-2"/>
                <w:sz w:val="22"/>
                <w:szCs w:val="22"/>
                <w:lang w:val="sr-Latn-ME"/>
              </w:rPr>
              <w:t xml:space="preserve"> </w:t>
            </w:r>
            <w:r w:rsidRPr="006927C1">
              <w:rPr>
                <w:sz w:val="22"/>
                <w:szCs w:val="22"/>
                <w:lang w:val="sr-Latn-ME"/>
              </w:rPr>
              <w:t>95%)</w:t>
            </w:r>
          </w:p>
        </w:tc>
        <w:tc>
          <w:tcPr>
            <w:tcW w:w="1552" w:type="dxa"/>
            <w:tcBorders>
              <w:left w:val="single" w:sz="6" w:space="0" w:color="000000"/>
            </w:tcBorders>
            <w:vAlign w:val="center"/>
          </w:tcPr>
          <w:p w:rsidR="00042B2C" w:rsidRPr="006927C1" w:rsidRDefault="00042B2C" w:rsidP="000038F7">
            <w:pPr>
              <w:widowControl w:val="0"/>
              <w:autoSpaceDE w:val="0"/>
              <w:autoSpaceDN w:val="0"/>
              <w:spacing w:before="106"/>
              <w:ind w:right="284"/>
              <w:jc w:val="center"/>
              <w:rPr>
                <w:sz w:val="22"/>
                <w:szCs w:val="22"/>
                <w:lang w:val="sr-Latn-ME"/>
              </w:rPr>
            </w:pPr>
            <w:r w:rsidRPr="006927C1">
              <w:rPr>
                <w:sz w:val="22"/>
                <w:szCs w:val="22"/>
                <w:lang w:val="sr-Latn-ME"/>
              </w:rPr>
              <w:t>&lt;</w:t>
            </w:r>
            <w:r w:rsidRPr="006927C1">
              <w:rPr>
                <w:spacing w:val="4"/>
                <w:sz w:val="22"/>
                <w:szCs w:val="22"/>
                <w:lang w:val="sr-Latn-ME"/>
              </w:rPr>
              <w:t xml:space="preserve"> </w:t>
            </w:r>
            <w:r w:rsidRPr="006927C1">
              <w:rPr>
                <w:sz w:val="22"/>
                <w:szCs w:val="22"/>
                <w:lang w:val="sr-Latn-ME"/>
              </w:rPr>
              <w:t>0,001</w:t>
            </w:r>
          </w:p>
        </w:tc>
      </w:tr>
      <w:tr w:rsidR="00042B2C" w:rsidRPr="006927C1" w:rsidTr="000038F7">
        <w:trPr>
          <w:trHeight w:val="230"/>
          <w:jc w:val="center"/>
        </w:trPr>
        <w:tc>
          <w:tcPr>
            <w:tcW w:w="1838" w:type="dxa"/>
            <w:vMerge w:val="restart"/>
          </w:tcPr>
          <w:p w:rsidR="00042B2C" w:rsidRPr="006927C1" w:rsidRDefault="00042B2C" w:rsidP="000038F7">
            <w:pPr>
              <w:widowControl w:val="0"/>
              <w:tabs>
                <w:tab w:val="left" w:pos="1227"/>
              </w:tabs>
              <w:autoSpaceDE w:val="0"/>
              <w:autoSpaceDN w:val="0"/>
              <w:spacing w:before="193" w:line="230" w:lineRule="atLeast"/>
              <w:ind w:right="324"/>
              <w:rPr>
                <w:b/>
                <w:sz w:val="22"/>
                <w:szCs w:val="22"/>
                <w:lang w:val="sr-Latn-ME"/>
              </w:rPr>
            </w:pPr>
            <w:r w:rsidRPr="006927C1">
              <w:rPr>
                <w:b/>
                <w:sz w:val="22"/>
                <w:szCs w:val="22"/>
                <w:lang w:val="sr-Latn-ME"/>
              </w:rPr>
              <w:t>Podstudija</w:t>
            </w:r>
            <w:r w:rsidRPr="006927C1">
              <w:rPr>
                <w:b/>
                <w:spacing w:val="1"/>
                <w:sz w:val="22"/>
                <w:szCs w:val="22"/>
                <w:lang w:val="sr-Latn-ME"/>
              </w:rPr>
              <w:t xml:space="preserve"> </w:t>
            </w:r>
            <w:r w:rsidR="000038F7" w:rsidRPr="006927C1">
              <w:rPr>
                <w:b/>
                <w:sz w:val="22"/>
                <w:szCs w:val="22"/>
                <w:lang w:val="sr-Latn-ME"/>
              </w:rPr>
              <w:t>pridržavanj</w:t>
            </w:r>
            <w:r w:rsidRPr="006927C1">
              <w:rPr>
                <w:b/>
                <w:sz w:val="22"/>
                <w:szCs w:val="22"/>
                <w:lang w:val="sr-Latn-ME"/>
              </w:rPr>
              <w:t>a</w:t>
            </w:r>
            <w:r w:rsidRPr="006927C1">
              <w:rPr>
                <w:b/>
                <w:spacing w:val="-10"/>
                <w:sz w:val="22"/>
                <w:szCs w:val="22"/>
                <w:lang w:val="sr-Latn-ME"/>
              </w:rPr>
              <w:t xml:space="preserve"> </w:t>
            </w:r>
            <w:r w:rsidRPr="006927C1">
              <w:rPr>
                <w:b/>
                <w:sz w:val="22"/>
                <w:szCs w:val="22"/>
                <w:lang w:val="sr-Latn-ME"/>
              </w:rPr>
              <w:t>terapije</w:t>
            </w:r>
          </w:p>
        </w:tc>
        <w:tc>
          <w:tcPr>
            <w:tcW w:w="3910" w:type="dxa"/>
            <w:gridSpan w:val="2"/>
          </w:tcPr>
          <w:p w:rsidR="00042B2C" w:rsidRPr="006927C1" w:rsidRDefault="00042B2C" w:rsidP="00042B2C">
            <w:pPr>
              <w:widowControl w:val="0"/>
              <w:autoSpaceDE w:val="0"/>
              <w:autoSpaceDN w:val="0"/>
              <w:spacing w:line="210" w:lineRule="exact"/>
              <w:ind w:left="270"/>
              <w:rPr>
                <w:b/>
                <w:sz w:val="22"/>
                <w:szCs w:val="22"/>
                <w:lang w:val="sr-Latn-ME"/>
              </w:rPr>
            </w:pPr>
            <w:r w:rsidRPr="006927C1">
              <w:rPr>
                <w:b/>
                <w:sz w:val="22"/>
                <w:szCs w:val="22"/>
                <w:lang w:val="sr-Latn-ME"/>
              </w:rPr>
              <w:t>Ispitanici</w:t>
            </w:r>
            <w:r w:rsidRPr="006927C1">
              <w:rPr>
                <w:b/>
                <w:spacing w:val="-4"/>
                <w:sz w:val="22"/>
                <w:szCs w:val="22"/>
                <w:lang w:val="sr-Latn-ME"/>
              </w:rPr>
              <w:t xml:space="preserve"> </w:t>
            </w:r>
            <w:r w:rsidRPr="006927C1">
              <w:rPr>
                <w:b/>
                <w:sz w:val="22"/>
                <w:szCs w:val="22"/>
                <w:lang w:val="sr-Latn-ME"/>
              </w:rPr>
              <w:t>u</w:t>
            </w:r>
            <w:r w:rsidRPr="006927C1">
              <w:rPr>
                <w:b/>
                <w:spacing w:val="-3"/>
                <w:sz w:val="22"/>
                <w:szCs w:val="22"/>
                <w:lang w:val="sr-Latn-ME"/>
              </w:rPr>
              <w:t xml:space="preserve"> </w:t>
            </w:r>
            <w:r w:rsidRPr="006927C1">
              <w:rPr>
                <w:b/>
                <w:sz w:val="22"/>
                <w:szCs w:val="22"/>
                <w:lang w:val="sr-Latn-ME"/>
              </w:rPr>
              <w:t>podstudiji</w:t>
            </w:r>
            <w:r w:rsidRPr="006927C1">
              <w:rPr>
                <w:b/>
                <w:spacing w:val="4"/>
                <w:sz w:val="22"/>
                <w:szCs w:val="22"/>
                <w:lang w:val="sr-Latn-ME"/>
              </w:rPr>
              <w:t xml:space="preserve"> </w:t>
            </w:r>
            <w:r w:rsidRPr="006927C1">
              <w:rPr>
                <w:b/>
                <w:sz w:val="22"/>
                <w:szCs w:val="22"/>
                <w:lang w:val="sr-Latn-ME"/>
              </w:rPr>
              <w:t>pridržavanja</w:t>
            </w:r>
            <w:r w:rsidRPr="006927C1">
              <w:rPr>
                <w:b/>
                <w:spacing w:val="-2"/>
                <w:sz w:val="22"/>
                <w:szCs w:val="22"/>
                <w:lang w:val="sr-Latn-ME"/>
              </w:rPr>
              <w:t xml:space="preserve"> </w:t>
            </w:r>
            <w:r w:rsidRPr="006927C1">
              <w:rPr>
                <w:b/>
                <w:sz w:val="22"/>
                <w:szCs w:val="22"/>
                <w:lang w:val="sr-Latn-ME"/>
              </w:rPr>
              <w:t>terapije</w:t>
            </w:r>
            <w:r w:rsidRPr="006927C1">
              <w:rPr>
                <w:b/>
                <w:sz w:val="22"/>
                <w:szCs w:val="22"/>
                <w:vertAlign w:val="superscript"/>
                <w:lang w:val="sr-Latn-ME"/>
              </w:rPr>
              <w:t>b</w:t>
            </w:r>
          </w:p>
        </w:tc>
        <w:tc>
          <w:tcPr>
            <w:tcW w:w="1902" w:type="dxa"/>
            <w:vMerge w:val="restart"/>
            <w:tcBorders>
              <w:left w:val="single" w:sz="6" w:space="0" w:color="000000"/>
            </w:tcBorders>
          </w:tcPr>
          <w:p w:rsidR="00042B2C" w:rsidRPr="006927C1" w:rsidRDefault="00042B2C" w:rsidP="000038F7">
            <w:pPr>
              <w:widowControl w:val="0"/>
              <w:autoSpaceDE w:val="0"/>
              <w:autoSpaceDN w:val="0"/>
              <w:spacing w:before="193" w:line="230" w:lineRule="atLeast"/>
              <w:ind w:right="178"/>
              <w:jc w:val="center"/>
              <w:rPr>
                <w:b/>
                <w:sz w:val="22"/>
                <w:szCs w:val="22"/>
                <w:lang w:val="sr-Latn-ME"/>
              </w:rPr>
            </w:pPr>
            <w:r w:rsidRPr="006927C1">
              <w:rPr>
                <w:b/>
                <w:spacing w:val="-2"/>
                <w:sz w:val="22"/>
                <w:szCs w:val="22"/>
                <w:lang w:val="sr-Latn-ME"/>
              </w:rPr>
              <w:t>Smanjenje relativnog</w:t>
            </w:r>
            <w:r w:rsidRPr="006927C1">
              <w:rPr>
                <w:b/>
                <w:spacing w:val="-47"/>
                <w:sz w:val="22"/>
                <w:szCs w:val="22"/>
                <w:lang w:val="sr-Latn-ME"/>
              </w:rPr>
              <w:t xml:space="preserve"> </w:t>
            </w:r>
            <w:r w:rsidR="000038F7" w:rsidRPr="006927C1">
              <w:rPr>
                <w:b/>
                <w:spacing w:val="-47"/>
                <w:sz w:val="22"/>
                <w:szCs w:val="22"/>
                <w:lang w:val="sr-Latn-ME"/>
              </w:rPr>
              <w:t xml:space="preserve">     </w:t>
            </w:r>
            <w:r w:rsidRPr="006927C1">
              <w:rPr>
                <w:b/>
                <w:sz w:val="22"/>
                <w:szCs w:val="22"/>
                <w:lang w:val="sr-Latn-ME"/>
              </w:rPr>
              <w:t>rizika</w:t>
            </w:r>
            <w:r w:rsidRPr="006927C1">
              <w:rPr>
                <w:b/>
                <w:spacing w:val="-11"/>
                <w:sz w:val="22"/>
                <w:szCs w:val="22"/>
                <w:lang w:val="sr-Latn-ME"/>
              </w:rPr>
              <w:t xml:space="preserve"> </w:t>
            </w:r>
            <w:r w:rsidRPr="006927C1">
              <w:rPr>
                <w:b/>
                <w:sz w:val="22"/>
                <w:szCs w:val="22"/>
                <w:lang w:val="sr-Latn-ME"/>
              </w:rPr>
              <w:t>(95%</w:t>
            </w:r>
            <w:r w:rsidRPr="006927C1">
              <w:rPr>
                <w:b/>
                <w:spacing w:val="-8"/>
                <w:sz w:val="22"/>
                <w:szCs w:val="22"/>
                <w:lang w:val="sr-Latn-ME"/>
              </w:rPr>
              <w:t xml:space="preserve"> </w:t>
            </w:r>
            <w:r w:rsidRPr="006927C1">
              <w:rPr>
                <w:b/>
                <w:sz w:val="22"/>
                <w:szCs w:val="22"/>
                <w:lang w:val="sr-Latn-ME"/>
              </w:rPr>
              <w:t>CI)</w:t>
            </w:r>
          </w:p>
        </w:tc>
        <w:tc>
          <w:tcPr>
            <w:tcW w:w="1552" w:type="dxa"/>
            <w:vMerge w:val="restart"/>
          </w:tcPr>
          <w:p w:rsidR="00042B2C" w:rsidRPr="006927C1" w:rsidRDefault="00042B2C" w:rsidP="00042B2C">
            <w:pPr>
              <w:widowControl w:val="0"/>
              <w:autoSpaceDE w:val="0"/>
              <w:autoSpaceDN w:val="0"/>
              <w:rPr>
                <w:b/>
                <w:sz w:val="22"/>
                <w:szCs w:val="22"/>
                <w:lang w:val="sr-Latn-ME"/>
              </w:rPr>
            </w:pPr>
          </w:p>
          <w:p w:rsidR="00042B2C" w:rsidRPr="006927C1" w:rsidRDefault="00042B2C" w:rsidP="00042B2C">
            <w:pPr>
              <w:widowControl w:val="0"/>
              <w:autoSpaceDE w:val="0"/>
              <w:autoSpaceDN w:val="0"/>
              <w:rPr>
                <w:b/>
                <w:sz w:val="22"/>
                <w:szCs w:val="22"/>
                <w:lang w:val="sr-Latn-ME"/>
              </w:rPr>
            </w:pPr>
          </w:p>
          <w:p w:rsidR="00042B2C" w:rsidRPr="006927C1" w:rsidRDefault="00042B2C" w:rsidP="00042B2C">
            <w:pPr>
              <w:widowControl w:val="0"/>
              <w:autoSpaceDE w:val="0"/>
              <w:autoSpaceDN w:val="0"/>
              <w:spacing w:before="190" w:line="210" w:lineRule="exact"/>
              <w:ind w:left="159"/>
              <w:rPr>
                <w:b/>
                <w:sz w:val="22"/>
                <w:szCs w:val="22"/>
                <w:lang w:val="sr-Latn-ME"/>
              </w:rPr>
            </w:pPr>
            <w:r w:rsidRPr="006927C1">
              <w:rPr>
                <w:b/>
                <w:sz w:val="22"/>
                <w:szCs w:val="22"/>
                <w:lang w:val="sr-Latn-ME"/>
              </w:rPr>
              <w:t>p-vr</w:t>
            </w:r>
            <w:r w:rsidR="000038F7" w:rsidRPr="006927C1">
              <w:rPr>
                <w:b/>
                <w:sz w:val="22"/>
                <w:szCs w:val="22"/>
                <w:lang w:val="sr-Latn-ME"/>
              </w:rPr>
              <w:t>ij</w:t>
            </w:r>
            <w:r w:rsidRPr="006927C1">
              <w:rPr>
                <w:b/>
                <w:sz w:val="22"/>
                <w:szCs w:val="22"/>
                <w:lang w:val="sr-Latn-ME"/>
              </w:rPr>
              <w:t>ednost</w:t>
            </w:r>
          </w:p>
        </w:tc>
      </w:tr>
      <w:tr w:rsidR="00042B2C" w:rsidRPr="006927C1" w:rsidTr="000038F7">
        <w:trPr>
          <w:trHeight w:val="686"/>
          <w:jc w:val="center"/>
        </w:trPr>
        <w:tc>
          <w:tcPr>
            <w:tcW w:w="1838" w:type="dxa"/>
            <w:vMerge/>
            <w:tcBorders>
              <w:top w:val="nil"/>
            </w:tcBorders>
          </w:tcPr>
          <w:p w:rsidR="00042B2C" w:rsidRPr="006927C1" w:rsidRDefault="00042B2C" w:rsidP="00042B2C">
            <w:pPr>
              <w:tabs>
                <w:tab w:val="left" w:pos="284"/>
              </w:tabs>
              <w:rPr>
                <w:sz w:val="22"/>
                <w:szCs w:val="22"/>
                <w:lang w:val="sr-Latn-ME"/>
              </w:rPr>
            </w:pPr>
          </w:p>
        </w:tc>
        <w:tc>
          <w:tcPr>
            <w:tcW w:w="1701" w:type="dxa"/>
          </w:tcPr>
          <w:p w:rsidR="00042B2C" w:rsidRPr="006927C1" w:rsidRDefault="00042B2C" w:rsidP="00042B2C">
            <w:pPr>
              <w:widowControl w:val="0"/>
              <w:autoSpaceDE w:val="0"/>
              <w:autoSpaceDN w:val="0"/>
              <w:rPr>
                <w:b/>
                <w:sz w:val="22"/>
                <w:szCs w:val="22"/>
                <w:lang w:val="sr-Latn-ME"/>
              </w:rPr>
            </w:pPr>
          </w:p>
          <w:p w:rsidR="00042B2C" w:rsidRPr="006927C1" w:rsidRDefault="00042B2C" w:rsidP="00042B2C">
            <w:pPr>
              <w:widowControl w:val="0"/>
              <w:autoSpaceDE w:val="0"/>
              <w:autoSpaceDN w:val="0"/>
              <w:spacing w:before="7"/>
              <w:rPr>
                <w:b/>
                <w:sz w:val="22"/>
                <w:szCs w:val="22"/>
                <w:lang w:val="sr-Latn-ME"/>
              </w:rPr>
            </w:pPr>
          </w:p>
          <w:p w:rsidR="00042B2C" w:rsidRPr="006927C1" w:rsidRDefault="00042B2C" w:rsidP="00042B2C">
            <w:pPr>
              <w:widowControl w:val="0"/>
              <w:autoSpaceDE w:val="0"/>
              <w:autoSpaceDN w:val="0"/>
              <w:spacing w:before="1" w:line="210" w:lineRule="exact"/>
              <w:ind w:left="450" w:right="433"/>
              <w:rPr>
                <w:b/>
                <w:sz w:val="22"/>
                <w:szCs w:val="22"/>
                <w:lang w:val="sr-Latn-ME"/>
              </w:rPr>
            </w:pPr>
            <w:r w:rsidRPr="006927C1">
              <w:rPr>
                <w:b/>
                <w:sz w:val="22"/>
                <w:szCs w:val="22"/>
                <w:lang w:val="sr-Latn-ME"/>
              </w:rPr>
              <w:lastRenderedPageBreak/>
              <w:t>Placebo</w:t>
            </w:r>
          </w:p>
        </w:tc>
        <w:tc>
          <w:tcPr>
            <w:tcW w:w="2209" w:type="dxa"/>
            <w:tcBorders>
              <w:right w:val="single" w:sz="6" w:space="0" w:color="000000"/>
            </w:tcBorders>
          </w:tcPr>
          <w:p w:rsidR="00042B2C" w:rsidRPr="006927C1" w:rsidRDefault="00042B2C" w:rsidP="00042B2C">
            <w:pPr>
              <w:widowControl w:val="0"/>
              <w:autoSpaceDE w:val="0"/>
              <w:autoSpaceDN w:val="0"/>
              <w:ind w:left="211" w:right="192"/>
              <w:rPr>
                <w:b/>
                <w:sz w:val="22"/>
                <w:szCs w:val="22"/>
                <w:lang w:val="sr-Latn-ME"/>
              </w:rPr>
            </w:pPr>
            <w:r w:rsidRPr="006927C1">
              <w:rPr>
                <w:b/>
                <w:sz w:val="22"/>
                <w:szCs w:val="22"/>
                <w:lang w:val="sr-Latn-ME"/>
              </w:rPr>
              <w:lastRenderedPageBreak/>
              <w:t>Tenofovir</w:t>
            </w:r>
            <w:r w:rsidR="000038F7" w:rsidRPr="006927C1">
              <w:rPr>
                <w:b/>
                <w:sz w:val="22"/>
                <w:szCs w:val="22"/>
                <w:lang w:val="sr-Latn-ME"/>
              </w:rPr>
              <w:t xml:space="preserve"> </w:t>
            </w:r>
            <w:r w:rsidRPr="006927C1">
              <w:rPr>
                <w:b/>
                <w:sz w:val="22"/>
                <w:szCs w:val="22"/>
                <w:lang w:val="sr-Latn-ME"/>
              </w:rPr>
              <w:t>dizoproksil</w:t>
            </w:r>
            <w:r w:rsidRPr="006927C1">
              <w:rPr>
                <w:b/>
                <w:spacing w:val="-7"/>
                <w:sz w:val="22"/>
                <w:szCs w:val="22"/>
                <w:lang w:val="sr-Latn-ME"/>
              </w:rPr>
              <w:t xml:space="preserve"> </w:t>
            </w:r>
            <w:r w:rsidRPr="006927C1">
              <w:rPr>
                <w:b/>
                <w:sz w:val="22"/>
                <w:szCs w:val="22"/>
                <w:lang w:val="sr-Latn-ME"/>
              </w:rPr>
              <w:t>u</w:t>
            </w:r>
            <w:r w:rsidRPr="006927C1">
              <w:rPr>
                <w:b/>
                <w:spacing w:val="-10"/>
                <w:sz w:val="22"/>
                <w:szCs w:val="22"/>
                <w:lang w:val="sr-Latn-ME"/>
              </w:rPr>
              <w:t xml:space="preserve"> </w:t>
            </w:r>
            <w:r w:rsidRPr="006927C1">
              <w:rPr>
                <w:b/>
                <w:sz w:val="22"/>
                <w:szCs w:val="22"/>
                <w:lang w:val="sr-Latn-ME"/>
              </w:rPr>
              <w:t>dozi</w:t>
            </w:r>
            <w:r w:rsidRPr="006927C1">
              <w:rPr>
                <w:b/>
                <w:spacing w:val="-47"/>
                <w:sz w:val="22"/>
                <w:szCs w:val="22"/>
                <w:lang w:val="sr-Latn-ME"/>
              </w:rPr>
              <w:t xml:space="preserve"> </w:t>
            </w:r>
            <w:r w:rsidRPr="006927C1">
              <w:rPr>
                <w:b/>
                <w:sz w:val="22"/>
                <w:szCs w:val="22"/>
                <w:lang w:val="sr-Latn-ME"/>
              </w:rPr>
              <w:lastRenderedPageBreak/>
              <w:t>od</w:t>
            </w:r>
            <w:r w:rsidRPr="006927C1">
              <w:rPr>
                <w:b/>
                <w:spacing w:val="-2"/>
                <w:sz w:val="22"/>
                <w:szCs w:val="22"/>
                <w:lang w:val="sr-Latn-ME"/>
              </w:rPr>
              <w:t xml:space="preserve"> </w:t>
            </w:r>
            <w:r w:rsidRPr="006927C1">
              <w:rPr>
                <w:b/>
                <w:sz w:val="22"/>
                <w:szCs w:val="22"/>
                <w:lang w:val="sr-Latn-ME"/>
              </w:rPr>
              <w:t>245</w:t>
            </w:r>
            <w:r w:rsidRPr="006927C1">
              <w:rPr>
                <w:b/>
                <w:spacing w:val="2"/>
                <w:sz w:val="22"/>
                <w:szCs w:val="22"/>
                <w:lang w:val="sr-Latn-ME"/>
              </w:rPr>
              <w:t xml:space="preserve"> </w:t>
            </w:r>
            <w:r w:rsidRPr="006927C1">
              <w:rPr>
                <w:b/>
                <w:sz w:val="22"/>
                <w:szCs w:val="22"/>
                <w:lang w:val="sr-Latn-ME"/>
              </w:rPr>
              <w:t>mg</w:t>
            </w:r>
            <w:r w:rsidRPr="006927C1">
              <w:rPr>
                <w:b/>
                <w:spacing w:val="2"/>
                <w:sz w:val="22"/>
                <w:szCs w:val="22"/>
                <w:lang w:val="sr-Latn-ME"/>
              </w:rPr>
              <w:t xml:space="preserve"> </w:t>
            </w:r>
            <w:r w:rsidRPr="006927C1">
              <w:rPr>
                <w:b/>
                <w:sz w:val="22"/>
                <w:szCs w:val="22"/>
                <w:lang w:val="sr-Latn-ME"/>
              </w:rPr>
              <w:t>+</w:t>
            </w:r>
            <w:r w:rsidRPr="006927C1">
              <w:rPr>
                <w:b/>
                <w:spacing w:val="-3"/>
                <w:sz w:val="22"/>
                <w:szCs w:val="22"/>
                <w:lang w:val="sr-Latn-ME"/>
              </w:rPr>
              <w:t xml:space="preserve"> </w:t>
            </w:r>
            <w:r w:rsidRPr="006927C1">
              <w:rPr>
                <w:b/>
                <w:sz w:val="22"/>
                <w:szCs w:val="22"/>
                <w:lang w:val="sr-Latn-ME"/>
              </w:rPr>
              <w:t>L</w:t>
            </w:r>
            <w:r w:rsidR="000038F7" w:rsidRPr="006927C1">
              <w:rPr>
                <w:b/>
                <w:sz w:val="22"/>
                <w:szCs w:val="22"/>
                <w:lang w:val="sr-Latn-ME"/>
              </w:rPr>
              <w:t>ij</w:t>
            </w:r>
            <w:r w:rsidRPr="006927C1">
              <w:rPr>
                <w:b/>
                <w:sz w:val="22"/>
                <w:szCs w:val="22"/>
                <w:lang w:val="sr-Latn-ME"/>
              </w:rPr>
              <w:t>ek</w:t>
            </w:r>
          </w:p>
          <w:p w:rsidR="00042B2C" w:rsidRPr="006927C1" w:rsidRDefault="00042B2C" w:rsidP="00042B2C">
            <w:pPr>
              <w:widowControl w:val="0"/>
              <w:autoSpaceDE w:val="0"/>
              <w:autoSpaceDN w:val="0"/>
              <w:spacing w:line="210" w:lineRule="exact"/>
              <w:ind w:left="203" w:right="192"/>
              <w:rPr>
                <w:b/>
                <w:sz w:val="22"/>
                <w:szCs w:val="22"/>
                <w:lang w:val="sr-Latn-ME"/>
              </w:rPr>
            </w:pPr>
            <w:r w:rsidRPr="006927C1">
              <w:rPr>
                <w:b/>
                <w:sz w:val="22"/>
                <w:szCs w:val="22"/>
                <w:lang w:val="sr-Latn-ME"/>
              </w:rPr>
              <w:t>Gilestra Duo</w:t>
            </w:r>
          </w:p>
        </w:tc>
        <w:tc>
          <w:tcPr>
            <w:tcW w:w="1902" w:type="dxa"/>
            <w:vMerge/>
            <w:tcBorders>
              <w:top w:val="nil"/>
              <w:left w:val="single" w:sz="6" w:space="0" w:color="000000"/>
            </w:tcBorders>
          </w:tcPr>
          <w:p w:rsidR="00042B2C" w:rsidRPr="006927C1" w:rsidRDefault="00042B2C" w:rsidP="00042B2C">
            <w:pPr>
              <w:tabs>
                <w:tab w:val="left" w:pos="284"/>
              </w:tabs>
              <w:rPr>
                <w:sz w:val="22"/>
                <w:szCs w:val="22"/>
                <w:lang w:val="sr-Latn-ME"/>
              </w:rPr>
            </w:pPr>
          </w:p>
        </w:tc>
        <w:tc>
          <w:tcPr>
            <w:tcW w:w="1552" w:type="dxa"/>
            <w:vMerge/>
            <w:tcBorders>
              <w:top w:val="nil"/>
            </w:tcBorders>
          </w:tcPr>
          <w:p w:rsidR="00042B2C" w:rsidRPr="006927C1" w:rsidRDefault="00042B2C" w:rsidP="00042B2C">
            <w:pPr>
              <w:tabs>
                <w:tab w:val="left" w:pos="284"/>
              </w:tabs>
              <w:rPr>
                <w:sz w:val="22"/>
                <w:szCs w:val="22"/>
                <w:lang w:val="sr-Latn-ME"/>
              </w:rPr>
            </w:pPr>
          </w:p>
        </w:tc>
      </w:tr>
      <w:tr w:rsidR="00042B2C" w:rsidRPr="006927C1" w:rsidTr="000038F7">
        <w:trPr>
          <w:trHeight w:val="234"/>
          <w:jc w:val="center"/>
        </w:trPr>
        <w:tc>
          <w:tcPr>
            <w:tcW w:w="1838" w:type="dxa"/>
            <w:tcBorders>
              <w:right w:val="single" w:sz="6" w:space="0" w:color="000000"/>
            </w:tcBorders>
          </w:tcPr>
          <w:p w:rsidR="00042B2C" w:rsidRPr="006927C1" w:rsidRDefault="00042B2C" w:rsidP="00042B2C">
            <w:pPr>
              <w:widowControl w:val="0"/>
              <w:autoSpaceDE w:val="0"/>
              <w:autoSpaceDN w:val="0"/>
              <w:spacing w:line="215" w:lineRule="exact"/>
              <w:ind w:left="115"/>
              <w:rPr>
                <w:sz w:val="22"/>
                <w:szCs w:val="22"/>
                <w:lang w:val="sr-Latn-ME"/>
              </w:rPr>
            </w:pPr>
            <w:r w:rsidRPr="006927C1">
              <w:rPr>
                <w:sz w:val="22"/>
                <w:szCs w:val="22"/>
                <w:lang w:val="sr-Latn-ME"/>
              </w:rPr>
              <w:t>Serokonverzije</w:t>
            </w:r>
            <w:r w:rsidRPr="006927C1">
              <w:rPr>
                <w:spacing w:val="-3"/>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N</w:t>
            </w:r>
            <w:r w:rsidRPr="006927C1">
              <w:rPr>
                <w:sz w:val="22"/>
                <w:szCs w:val="22"/>
                <w:vertAlign w:val="superscript"/>
                <w:lang w:val="sr-Latn-ME"/>
              </w:rPr>
              <w:t>b</w:t>
            </w:r>
          </w:p>
        </w:tc>
        <w:tc>
          <w:tcPr>
            <w:tcW w:w="1701" w:type="dxa"/>
            <w:tcBorders>
              <w:left w:val="single" w:sz="6" w:space="0" w:color="000000"/>
              <w:right w:val="single" w:sz="6" w:space="0" w:color="000000"/>
            </w:tcBorders>
          </w:tcPr>
          <w:p w:rsidR="00042B2C" w:rsidRPr="006927C1" w:rsidRDefault="00042B2C" w:rsidP="00042B2C">
            <w:pPr>
              <w:widowControl w:val="0"/>
              <w:autoSpaceDE w:val="0"/>
              <w:autoSpaceDN w:val="0"/>
              <w:spacing w:line="215" w:lineRule="exact"/>
              <w:ind w:left="154" w:right="140"/>
              <w:rPr>
                <w:sz w:val="22"/>
                <w:szCs w:val="22"/>
                <w:lang w:val="sr-Latn-ME"/>
              </w:rPr>
            </w:pPr>
            <w:r w:rsidRPr="006927C1">
              <w:rPr>
                <w:sz w:val="22"/>
                <w:szCs w:val="22"/>
                <w:lang w:val="sr-Latn-ME"/>
              </w:rPr>
              <w:t>14</w:t>
            </w:r>
            <w:r w:rsidRPr="006927C1">
              <w:rPr>
                <w:spacing w:val="-2"/>
                <w:sz w:val="22"/>
                <w:szCs w:val="22"/>
                <w:lang w:val="sr-Latn-ME"/>
              </w:rPr>
              <w:t xml:space="preserve"> </w:t>
            </w:r>
            <w:r w:rsidRPr="006927C1">
              <w:rPr>
                <w:sz w:val="22"/>
                <w:szCs w:val="22"/>
                <w:lang w:val="sr-Latn-ME"/>
              </w:rPr>
              <w:t>/</w:t>
            </w:r>
            <w:r w:rsidRPr="006927C1">
              <w:rPr>
                <w:spacing w:val="-2"/>
                <w:sz w:val="22"/>
                <w:szCs w:val="22"/>
                <w:lang w:val="sr-Latn-ME"/>
              </w:rPr>
              <w:t xml:space="preserve"> </w:t>
            </w:r>
            <w:r w:rsidRPr="006927C1">
              <w:rPr>
                <w:sz w:val="22"/>
                <w:szCs w:val="22"/>
                <w:lang w:val="sr-Latn-ME"/>
              </w:rPr>
              <w:t>404</w:t>
            </w:r>
            <w:r w:rsidRPr="006927C1">
              <w:rPr>
                <w:spacing w:val="-2"/>
                <w:sz w:val="22"/>
                <w:szCs w:val="22"/>
                <w:lang w:val="sr-Latn-ME"/>
              </w:rPr>
              <w:t xml:space="preserve"> </w:t>
            </w:r>
            <w:r w:rsidRPr="006927C1">
              <w:rPr>
                <w:sz w:val="22"/>
                <w:szCs w:val="22"/>
                <w:lang w:val="sr-Latn-ME"/>
              </w:rPr>
              <w:t>(3,5%)</w:t>
            </w:r>
          </w:p>
        </w:tc>
        <w:tc>
          <w:tcPr>
            <w:tcW w:w="2209" w:type="dxa"/>
            <w:tcBorders>
              <w:left w:val="single" w:sz="6" w:space="0" w:color="000000"/>
              <w:right w:val="single" w:sz="6" w:space="0" w:color="000000"/>
            </w:tcBorders>
          </w:tcPr>
          <w:p w:rsidR="00042B2C" w:rsidRPr="006927C1" w:rsidRDefault="00042B2C" w:rsidP="000038F7">
            <w:pPr>
              <w:widowControl w:val="0"/>
              <w:autoSpaceDE w:val="0"/>
              <w:autoSpaceDN w:val="0"/>
              <w:spacing w:line="215" w:lineRule="exact"/>
              <w:ind w:left="284" w:right="700"/>
              <w:rPr>
                <w:sz w:val="22"/>
                <w:szCs w:val="22"/>
                <w:lang w:val="sr-Latn-ME"/>
              </w:rPr>
            </w:pPr>
            <w:r w:rsidRPr="006927C1">
              <w:rPr>
                <w:sz w:val="22"/>
                <w:szCs w:val="22"/>
                <w:lang w:val="sr-Latn-ME"/>
              </w:rPr>
              <w:t>0</w:t>
            </w:r>
            <w:r w:rsidRPr="006927C1">
              <w:rPr>
                <w:spacing w:val="-1"/>
                <w:sz w:val="22"/>
                <w:szCs w:val="22"/>
                <w:lang w:val="sr-Latn-ME"/>
              </w:rPr>
              <w:t xml:space="preserve"> </w:t>
            </w:r>
            <w:r w:rsidRPr="006927C1">
              <w:rPr>
                <w:sz w:val="22"/>
                <w:szCs w:val="22"/>
                <w:lang w:val="sr-Latn-ME"/>
              </w:rPr>
              <w:t>/</w:t>
            </w:r>
            <w:r w:rsidRPr="006927C1">
              <w:rPr>
                <w:spacing w:val="-1"/>
                <w:sz w:val="22"/>
                <w:szCs w:val="22"/>
                <w:lang w:val="sr-Latn-ME"/>
              </w:rPr>
              <w:t xml:space="preserve"> </w:t>
            </w:r>
            <w:r w:rsidRPr="006927C1">
              <w:rPr>
                <w:sz w:val="22"/>
                <w:szCs w:val="22"/>
                <w:lang w:val="sr-Latn-ME"/>
              </w:rPr>
              <w:t>745</w:t>
            </w:r>
            <w:r w:rsidRPr="006927C1">
              <w:rPr>
                <w:spacing w:val="-1"/>
                <w:sz w:val="22"/>
                <w:szCs w:val="22"/>
                <w:lang w:val="sr-Latn-ME"/>
              </w:rPr>
              <w:t xml:space="preserve"> </w:t>
            </w:r>
            <w:r w:rsidRPr="006927C1">
              <w:rPr>
                <w:sz w:val="22"/>
                <w:szCs w:val="22"/>
                <w:lang w:val="sr-Latn-ME"/>
              </w:rPr>
              <w:t>(0%)</w:t>
            </w:r>
          </w:p>
        </w:tc>
        <w:tc>
          <w:tcPr>
            <w:tcW w:w="1902" w:type="dxa"/>
            <w:tcBorders>
              <w:left w:val="single" w:sz="6" w:space="0" w:color="000000"/>
              <w:right w:val="single" w:sz="6" w:space="0" w:color="000000"/>
            </w:tcBorders>
          </w:tcPr>
          <w:p w:rsidR="00042B2C" w:rsidRPr="006927C1" w:rsidRDefault="00042B2C" w:rsidP="000038F7">
            <w:pPr>
              <w:widowControl w:val="0"/>
              <w:autoSpaceDE w:val="0"/>
              <w:autoSpaceDN w:val="0"/>
              <w:spacing w:line="215" w:lineRule="exact"/>
              <w:ind w:left="63" w:right="-12"/>
              <w:rPr>
                <w:sz w:val="22"/>
                <w:szCs w:val="22"/>
                <w:lang w:val="sr-Latn-ME"/>
              </w:rPr>
            </w:pPr>
            <w:r w:rsidRPr="006927C1">
              <w:rPr>
                <w:sz w:val="22"/>
                <w:szCs w:val="22"/>
                <w:lang w:val="sr-Latn-ME"/>
              </w:rPr>
              <w:t>100%</w:t>
            </w:r>
            <w:r w:rsidRPr="006927C1">
              <w:rPr>
                <w:spacing w:val="-4"/>
                <w:sz w:val="22"/>
                <w:szCs w:val="22"/>
                <w:lang w:val="sr-Latn-ME"/>
              </w:rPr>
              <w:t xml:space="preserve"> </w:t>
            </w:r>
            <w:r w:rsidRPr="006927C1">
              <w:rPr>
                <w:sz w:val="22"/>
                <w:szCs w:val="22"/>
                <w:lang w:val="sr-Latn-ME"/>
              </w:rPr>
              <w:t>(87%;100%)</w:t>
            </w:r>
          </w:p>
        </w:tc>
        <w:tc>
          <w:tcPr>
            <w:tcW w:w="1552" w:type="dxa"/>
            <w:tcBorders>
              <w:left w:val="single" w:sz="6" w:space="0" w:color="000000"/>
            </w:tcBorders>
          </w:tcPr>
          <w:p w:rsidR="00042B2C" w:rsidRPr="006927C1" w:rsidRDefault="00042B2C" w:rsidP="00042B2C">
            <w:pPr>
              <w:widowControl w:val="0"/>
              <w:autoSpaceDE w:val="0"/>
              <w:autoSpaceDN w:val="0"/>
              <w:spacing w:line="215" w:lineRule="exact"/>
              <w:ind w:left="291" w:right="284"/>
              <w:rPr>
                <w:sz w:val="22"/>
                <w:szCs w:val="22"/>
                <w:lang w:val="sr-Latn-ME"/>
              </w:rPr>
            </w:pPr>
            <w:r w:rsidRPr="006927C1">
              <w:rPr>
                <w:sz w:val="22"/>
                <w:szCs w:val="22"/>
                <w:lang w:val="sr-Latn-ME"/>
              </w:rPr>
              <w:t>&lt;</w:t>
            </w:r>
            <w:r w:rsidRPr="006927C1">
              <w:rPr>
                <w:spacing w:val="4"/>
                <w:sz w:val="22"/>
                <w:szCs w:val="22"/>
                <w:lang w:val="sr-Latn-ME"/>
              </w:rPr>
              <w:t xml:space="preserve"> </w:t>
            </w:r>
            <w:r w:rsidRPr="006927C1">
              <w:rPr>
                <w:sz w:val="22"/>
                <w:szCs w:val="22"/>
                <w:lang w:val="sr-Latn-ME"/>
              </w:rPr>
              <w:t>0,001</w:t>
            </w:r>
          </w:p>
        </w:tc>
      </w:tr>
    </w:tbl>
    <w:p w:rsidR="000038F7" w:rsidRPr="006927C1" w:rsidRDefault="000038F7" w:rsidP="000038F7">
      <w:pPr>
        <w:tabs>
          <w:tab w:val="left" w:pos="540"/>
          <w:tab w:val="left" w:pos="569"/>
        </w:tabs>
        <w:jc w:val="both"/>
        <w:rPr>
          <w:bCs/>
          <w:sz w:val="20"/>
          <w:szCs w:val="20"/>
          <w:lang w:val="sr-Latn-ME"/>
        </w:rPr>
      </w:pPr>
      <w:r w:rsidRPr="006927C1">
        <w:rPr>
          <w:bCs/>
          <w:sz w:val="20"/>
          <w:szCs w:val="20"/>
          <w:vertAlign w:val="superscript"/>
          <w:lang w:val="sr-Latn-ME"/>
        </w:rPr>
        <w:t>a</w:t>
      </w:r>
      <w:r w:rsidRPr="006927C1">
        <w:rPr>
          <w:bCs/>
          <w:sz w:val="20"/>
          <w:szCs w:val="20"/>
          <w:lang w:val="sr-Latn-ME"/>
        </w:rPr>
        <w:t xml:space="preserve"> ‘Slučaj’ = osoba sa serokonverzijom HIV-a; ‘Kohorta’ = 100 nasumično izabranih ispitanika iz grupe koja je primala tenofovir dizoproksil u dozi od 245 mg i grupe koja je primala lijek emtricitabin/tenofovir dizoproksil. Mjerljive koncentracije tenofovira u plazmi bile su ispitivane samo u uzorcima, ,slučajeva’ i ,kohorte’ uzetih od ispitanika randomizovanih ili u grupi koja je primala tenofovir</w:t>
      </w:r>
      <w:r w:rsidR="003653D4" w:rsidRPr="006927C1">
        <w:rPr>
          <w:bCs/>
          <w:sz w:val="20"/>
          <w:szCs w:val="20"/>
          <w:lang w:val="sr-Latn-ME"/>
        </w:rPr>
        <w:t xml:space="preserve"> </w:t>
      </w:r>
      <w:r w:rsidRPr="006927C1">
        <w:rPr>
          <w:bCs/>
          <w:sz w:val="20"/>
          <w:szCs w:val="20"/>
          <w:lang w:val="sr-Latn-ME"/>
        </w:rPr>
        <w:t>dizoproksil u dozi od 245 mg ili u grupu koja je primala kombinaciju emtricitabin</w:t>
      </w:r>
      <w:r w:rsidR="006E487A" w:rsidRPr="006927C1">
        <w:rPr>
          <w:bCs/>
          <w:sz w:val="20"/>
          <w:szCs w:val="20"/>
          <w:lang w:val="sr-Latn-ME"/>
        </w:rPr>
        <w:t xml:space="preserve"> </w:t>
      </w:r>
      <w:r w:rsidRPr="006927C1">
        <w:rPr>
          <w:bCs/>
          <w:sz w:val="20"/>
          <w:szCs w:val="20"/>
          <w:lang w:val="sr-Latn-ME"/>
        </w:rPr>
        <w:t>/ tenofovir</w:t>
      </w:r>
      <w:r w:rsidR="003653D4" w:rsidRPr="006927C1">
        <w:rPr>
          <w:bCs/>
          <w:sz w:val="20"/>
          <w:szCs w:val="20"/>
          <w:lang w:val="sr-Latn-ME"/>
        </w:rPr>
        <w:t xml:space="preserve"> </w:t>
      </w:r>
      <w:r w:rsidRPr="006927C1">
        <w:rPr>
          <w:bCs/>
          <w:sz w:val="20"/>
          <w:szCs w:val="20"/>
          <w:lang w:val="sr-Latn-ME"/>
        </w:rPr>
        <w:t>dizoproksil.</w:t>
      </w:r>
    </w:p>
    <w:p w:rsidR="000038F7" w:rsidRPr="006927C1" w:rsidRDefault="000038F7" w:rsidP="000038F7">
      <w:pPr>
        <w:tabs>
          <w:tab w:val="left" w:pos="540"/>
          <w:tab w:val="left" w:pos="569"/>
        </w:tabs>
        <w:jc w:val="both"/>
        <w:rPr>
          <w:bCs/>
          <w:sz w:val="20"/>
          <w:szCs w:val="20"/>
          <w:lang w:val="sr-Latn-ME"/>
        </w:rPr>
      </w:pPr>
      <w:r w:rsidRPr="006927C1">
        <w:rPr>
          <w:bCs/>
          <w:sz w:val="20"/>
          <w:szCs w:val="20"/>
          <w:vertAlign w:val="superscript"/>
          <w:lang w:val="sr-Latn-ME"/>
        </w:rPr>
        <w:t>b</w:t>
      </w:r>
      <w:r w:rsidRPr="006927C1">
        <w:rPr>
          <w:bCs/>
          <w:sz w:val="20"/>
          <w:szCs w:val="20"/>
          <w:lang w:val="sr-Latn-ME"/>
        </w:rPr>
        <w:t xml:space="preserve"> Kod ispitanika u podstudiji aktivno je praćeno pridržavanje terapije, npr. putem nenajavljenih kućnih pos</w:t>
      </w:r>
      <w:r w:rsidR="003653D4" w:rsidRPr="006927C1">
        <w:rPr>
          <w:bCs/>
          <w:sz w:val="20"/>
          <w:szCs w:val="20"/>
          <w:lang w:val="sr-Latn-ME"/>
        </w:rPr>
        <w:t>j</w:t>
      </w:r>
      <w:r w:rsidRPr="006927C1">
        <w:rPr>
          <w:bCs/>
          <w:sz w:val="20"/>
          <w:szCs w:val="20"/>
          <w:lang w:val="sr-Latn-ME"/>
        </w:rPr>
        <w:t>eta i brojanja tableta, i  sav</w:t>
      </w:r>
      <w:r w:rsidR="003653D4" w:rsidRPr="006927C1">
        <w:rPr>
          <w:bCs/>
          <w:sz w:val="20"/>
          <w:szCs w:val="20"/>
          <w:lang w:val="sr-Latn-ME"/>
        </w:rPr>
        <w:t>j</w:t>
      </w:r>
      <w:r w:rsidRPr="006927C1">
        <w:rPr>
          <w:bCs/>
          <w:sz w:val="20"/>
          <w:szCs w:val="20"/>
          <w:lang w:val="sr-Latn-ME"/>
        </w:rPr>
        <w:t>etovanja radi poboljšanja saradnje u uzimanju ispitivanog l</w:t>
      </w:r>
      <w:r w:rsidR="003653D4" w:rsidRPr="006927C1">
        <w:rPr>
          <w:bCs/>
          <w:sz w:val="20"/>
          <w:szCs w:val="20"/>
          <w:lang w:val="sr-Latn-ME"/>
        </w:rPr>
        <w:t>ij</w:t>
      </w:r>
      <w:r w:rsidRPr="006927C1">
        <w:rPr>
          <w:bCs/>
          <w:sz w:val="20"/>
          <w:szCs w:val="20"/>
          <w:lang w:val="sr-Latn-ME"/>
        </w:rPr>
        <w:t>eka.</w:t>
      </w:r>
    </w:p>
    <w:p w:rsidR="00042B2C" w:rsidRPr="006927C1" w:rsidRDefault="00042B2C" w:rsidP="00556CC6">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u w:val="single"/>
          <w:lang w:val="sr-Latn-ME"/>
        </w:rPr>
      </w:pPr>
      <w:r w:rsidRPr="006927C1">
        <w:rPr>
          <w:bCs/>
          <w:sz w:val="22"/>
          <w:szCs w:val="22"/>
          <w:u w:val="single"/>
          <w:lang w:val="sr-Latn-ME"/>
        </w:rPr>
        <w:t xml:space="preserve">Pedijatrijska populacija </w:t>
      </w:r>
    </w:p>
    <w:p w:rsidR="006E487A" w:rsidRPr="006927C1" w:rsidRDefault="006E487A"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 xml:space="preserve">Bezbjednost i efikasnost primjene lijeka Gliestra Duo kod djece </w:t>
      </w:r>
      <w:r w:rsidR="00AE4815" w:rsidRPr="006927C1">
        <w:rPr>
          <w:bCs/>
          <w:sz w:val="22"/>
          <w:szCs w:val="22"/>
          <w:lang w:val="sr-Latn-ME"/>
        </w:rPr>
        <w:t>ml</w:t>
      </w:r>
      <w:r w:rsidRPr="006927C1">
        <w:rPr>
          <w:bCs/>
          <w:sz w:val="22"/>
          <w:szCs w:val="22"/>
          <w:lang w:val="sr-Latn-ME"/>
        </w:rPr>
        <w:t>ađe od 12 godina ni</w:t>
      </w:r>
      <w:r w:rsidR="006E487A" w:rsidRPr="006927C1">
        <w:rPr>
          <w:bCs/>
          <w:sz w:val="22"/>
          <w:szCs w:val="22"/>
          <w:lang w:val="sr-Latn-ME"/>
        </w:rPr>
        <w:t>je</w:t>
      </w:r>
      <w:r w:rsidRPr="006927C1">
        <w:rPr>
          <w:bCs/>
          <w:sz w:val="22"/>
          <w:szCs w:val="22"/>
          <w:lang w:val="sr-Latn-ME"/>
        </w:rPr>
        <w:t>su utvrđene.</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i/>
          <w:sz w:val="22"/>
          <w:szCs w:val="22"/>
          <w:lang w:val="sr-Latn-ME"/>
        </w:rPr>
      </w:pPr>
      <w:r w:rsidRPr="006927C1">
        <w:rPr>
          <w:bCs/>
          <w:i/>
          <w:sz w:val="22"/>
          <w:szCs w:val="22"/>
          <w:lang w:val="sr-Latn-ME"/>
        </w:rPr>
        <w:t>Liječenje infekcije virusom HIV-1 kod pedijatrijske populacije</w:t>
      </w: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Ni</w:t>
      </w:r>
      <w:r w:rsidR="006E487A" w:rsidRPr="006927C1">
        <w:rPr>
          <w:bCs/>
          <w:sz w:val="22"/>
          <w:szCs w:val="22"/>
          <w:lang w:val="sr-Latn-ME"/>
        </w:rPr>
        <w:t>je</w:t>
      </w:r>
      <w:r w:rsidRPr="006927C1">
        <w:rPr>
          <w:bCs/>
          <w:sz w:val="22"/>
          <w:szCs w:val="22"/>
          <w:lang w:val="sr-Latn-ME"/>
        </w:rPr>
        <w:t>su sprovedene kliničke studije sa lijekom Gilestra Duo u pedijatrijskoj populaciji inficranoj virusom HIV-1.</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Klinička efikasnost i bezbjednost lijeka Gilestra Duo ustanovljeni su u studijama sprovedenim sa emtricitabinom i tenofovir dizoproksilom kao pojedinačnim ljekovima.</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i/>
          <w:sz w:val="22"/>
          <w:szCs w:val="22"/>
          <w:lang w:val="sr-Latn-ME"/>
        </w:rPr>
      </w:pPr>
      <w:r w:rsidRPr="006927C1">
        <w:rPr>
          <w:bCs/>
          <w:i/>
          <w:sz w:val="22"/>
          <w:szCs w:val="22"/>
          <w:lang w:val="sr-Latn-ME"/>
        </w:rPr>
        <w:t>Studije sa emtricitabinom</w:t>
      </w: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 xml:space="preserve">Kod odojčadi i djece starije od 4 mjeseca, većina pacijenata koji su primali emtricitabin postigla je ili održala potpunu supresiju plazmatske HIV-1 RNK u periodu od 48 nedjelja (89% je postiglo </w:t>
      </w:r>
      <w:r w:rsidRPr="006927C1">
        <w:rPr>
          <w:b/>
          <w:bCs/>
          <w:sz w:val="22"/>
          <w:szCs w:val="22"/>
          <w:lang w:val="sr-Latn-ME"/>
        </w:rPr>
        <w:t xml:space="preserve">≤ </w:t>
      </w:r>
      <w:r w:rsidRPr="006927C1">
        <w:rPr>
          <w:bCs/>
          <w:sz w:val="22"/>
          <w:szCs w:val="22"/>
          <w:lang w:val="sr-Latn-ME"/>
        </w:rPr>
        <w:t>400 kopija/</w:t>
      </w:r>
      <w:r w:rsidR="00AE4815" w:rsidRPr="006927C1">
        <w:rPr>
          <w:bCs/>
          <w:sz w:val="22"/>
          <w:szCs w:val="22"/>
          <w:lang w:val="sr-Latn-ME"/>
        </w:rPr>
        <w:t>ml</w:t>
      </w:r>
      <w:r w:rsidRPr="006927C1">
        <w:rPr>
          <w:bCs/>
          <w:sz w:val="22"/>
          <w:szCs w:val="22"/>
          <w:lang w:val="sr-Latn-ME"/>
        </w:rPr>
        <w:t>, a 77% je postiglo ≤ 50 kopija/</w:t>
      </w:r>
      <w:r w:rsidR="00AE4815" w:rsidRPr="006927C1">
        <w:rPr>
          <w:bCs/>
          <w:sz w:val="22"/>
          <w:szCs w:val="22"/>
          <w:lang w:val="sr-Latn-ME"/>
        </w:rPr>
        <w:t>ml</w:t>
      </w:r>
      <w:r w:rsidRPr="006927C1">
        <w:rPr>
          <w:bCs/>
          <w:sz w:val="22"/>
          <w:szCs w:val="22"/>
          <w:lang w:val="sr-Latn-ME"/>
        </w:rPr>
        <w:t>).</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i/>
          <w:sz w:val="22"/>
          <w:szCs w:val="22"/>
          <w:lang w:val="sr-Latn-ME"/>
        </w:rPr>
      </w:pPr>
      <w:r w:rsidRPr="006927C1">
        <w:rPr>
          <w:bCs/>
          <w:i/>
          <w:sz w:val="22"/>
          <w:szCs w:val="22"/>
          <w:lang w:val="sr-Latn-ME"/>
        </w:rPr>
        <w:t>Studije sa tenofovir dizoproksilom</w:t>
      </w: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 xml:space="preserve">U studiji GS-US-104-0321, 87 prethodno liječenih pacijenata uzrasta 12 do &lt; 18 godina inficiranih virusom HIV-1 primalo je tenofovir dizoproksil (n = 45) ili placebo (n = 42) u kombinaciji sa optimizovanom osnovnom terapijom (engl. </w:t>
      </w:r>
      <w:r w:rsidRPr="006927C1">
        <w:rPr>
          <w:bCs/>
          <w:i/>
          <w:sz w:val="22"/>
          <w:szCs w:val="22"/>
          <w:lang w:val="sr-Latn-ME"/>
        </w:rPr>
        <w:t xml:space="preserve">optimised background regimen, </w:t>
      </w:r>
      <w:r w:rsidRPr="006927C1">
        <w:rPr>
          <w:bCs/>
          <w:sz w:val="22"/>
          <w:szCs w:val="22"/>
          <w:lang w:val="sr-Latn-ME"/>
        </w:rPr>
        <w:t>OBR) tokom 48 nedjelja. Zbog ograničenja studije, korist od tenofovir dizoproksila u odnosu na placebo nije dokazana na osnovu koncentracije HIV-1 RNK u plazmi u 24. nedjelji. Međutim, korist za adolescentsku populaciju se očekuje na osnovu ekstrapolacije podataka za odrasle i komparativnih farmakokinetičkih podataka (vidjeti odjeljak 5.2).</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Kod pacijenata koji su primali tenofovir dizoproksil ili placebo, početna srednja Z-vrijednost BMD-a u području lumbalne kičme bila je -1,004 i -0,809, a početna srednja Z-vrijednost ukupnog BMD-a bila je -0,866, odnosno - 0,584. Srednje vrijednosti promjene u 48. nedjelji (kraj dvostruko slijepe faze) bile su -0,215, odnosno -0,165 u Z- vrijednosti BMD-a u području lumbalne kičme i -0,254, odnosno -0,179 u Z-vrijednosti ukupnog BMD-a u grupi koja je primala tenofovir dizoproksil, odnosno placebo. Srednja vrijednost stope povećanja BMD-a bila je manja u grupi koja je dobijala tenofovir dizoproksil u poređenju sa grupom koja je primala placebo. U 48. nedjelji šest adolescenata u grupi koja je dobijala tenofovir dizoproksil i jedan adolescent u grupi koja je dobijala placebo imali su značajan gubitak BMD-a u području lumbalne kičme (definisano kao gubitak od &gt; 4%). Kod 28 pacijenata koji su primali tenofovir dizoproksil tokom 96 nedjelja, Z-vrijednosti BMD-a u području lumbalne kičme su smanjene za - 0,341, a vrijednosti za cijelo tijelo za -0,458.</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U studiji GS-US-104-0352, 97 prethodno liječenih pacijenata uzrasta 2 do &lt; 12 godina sa stabilnom supresijom virusa, liječenih ljekovima koji sadrže stavudin ili zidovudin, randomizovano je u grupu u kojoj je tenofovir dizoproksil zamijenio stavudin ili zidovudin (n = 48) ili u grupu koja je nastavila da prima svoje prvobitne ljekove (n = 49) tokom 48 nedjelja. U 48. nedjelji, 83% pacijenata u grupi koja je dobijala tenofovir dizoproksil i 92% pacijenata u grupi koja je dobijala stavudin ili zidovudin imalo je koncentracije HIV-1 RNK &lt; 400 kopija/</w:t>
      </w:r>
      <w:r w:rsidR="00AE4815" w:rsidRPr="006927C1">
        <w:rPr>
          <w:bCs/>
          <w:sz w:val="22"/>
          <w:szCs w:val="22"/>
          <w:lang w:val="sr-Latn-ME"/>
        </w:rPr>
        <w:t>ml</w:t>
      </w:r>
      <w:r w:rsidRPr="006927C1">
        <w:rPr>
          <w:bCs/>
          <w:sz w:val="22"/>
          <w:szCs w:val="22"/>
          <w:lang w:val="sr-Latn-ME"/>
        </w:rPr>
        <w:t>. Razlika u udjelu pacijenata koji su održali &lt; 400 kopija/</w:t>
      </w:r>
      <w:r w:rsidR="00AE4815" w:rsidRPr="006927C1">
        <w:rPr>
          <w:bCs/>
          <w:sz w:val="22"/>
          <w:szCs w:val="22"/>
          <w:lang w:val="sr-Latn-ME"/>
        </w:rPr>
        <w:t>ml</w:t>
      </w:r>
      <w:r w:rsidRPr="006927C1">
        <w:rPr>
          <w:bCs/>
          <w:sz w:val="22"/>
          <w:szCs w:val="22"/>
          <w:lang w:val="sr-Latn-ME"/>
        </w:rPr>
        <w:t xml:space="preserve"> u 48. nedjelji uglavnom je posljedica većeg broja odustajanja u grupi koja je dobijala tenofovir dizoproksil. Kada su isključeni podaci koji su nedostajali, 91% pacijenata u grupi koja je dobijala </w:t>
      </w:r>
      <w:r w:rsidRPr="006927C1">
        <w:rPr>
          <w:bCs/>
          <w:sz w:val="22"/>
          <w:szCs w:val="22"/>
          <w:lang w:val="sr-Latn-ME"/>
        </w:rPr>
        <w:lastRenderedPageBreak/>
        <w:t>tenofovir dizoproksil i 94% pacijenata u grupi koja je dobijala stavudin ili zidovudin imalo je koncentracije HIV-1 RNK &lt; 400 kopija/</w:t>
      </w:r>
      <w:r w:rsidR="00AE4815" w:rsidRPr="006927C1">
        <w:rPr>
          <w:bCs/>
          <w:sz w:val="22"/>
          <w:szCs w:val="22"/>
          <w:lang w:val="sr-Latn-ME"/>
        </w:rPr>
        <w:t>ml</w:t>
      </w:r>
      <w:r w:rsidRPr="006927C1">
        <w:rPr>
          <w:bCs/>
          <w:sz w:val="22"/>
          <w:szCs w:val="22"/>
          <w:lang w:val="sr-Latn-ME"/>
        </w:rPr>
        <w:t xml:space="preserve"> u 48. nedjelji.</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Kod pedijatrijskih pacijenata prijavljena su smanjenja BMD-a. Kod pacijenata koji su dobijali tenofovir dizoproksil, odnosno stavudin ili zidovudin, početna srednja Z-vrijednost BMD-a u području lumbalne kičme bila je -1,034 odnosno -0,498, a ukupnog BMD-a za cijelo tijelo -0,471, odnosno -0,386. Srednje vrijednosti promjene u 48. nedjelji (kraj randomizovane faze) bile su 0,032 odnosno 0,087 u Z-vrijednostima BMD-a u području  lumbalne kičme i -0,184 odnosno -0,027 u Z-vrijednostima ukupnog BMD-a cijelog tijela za grupu koja je primala tenofovir dizoproksil, odnosno grupu koja je primala stavudin ili zidovudin. U 48. nedjelji, srednja vrijednost stope povećanja BMD-a u području lumbalne kičme u grupi koja je primala tenofovir dizoproksil bila je slična onoj u grupi koja je dobijala stavudin ili zidovudin. Ukupno povećanje BMD-a bilo je manje u grupi koja je primala tenofovir dizoproksil nego u grupi koja je primala stavudin ili zidovudin. Jedan ispitanik iz grupe liječene tenofovir dizoproksilom (nijedan ispitanik iz grupe liječene stavudinom ili zidovudinom) imao je značajan (&gt; 4%) gubitak BMD-a u području lumbalne kičme u 48. nedjelji. Kod 64 ispitanika koji su primali tenofovir dizoproksil tokom 96 nedjelja Z-vrijednosti BMD-a smanjile su se za -0,012 u području lumbalne kičme, a Z-vrijednosti BMD-a cijelog tijela smanjile su se za -0,338. Z-vrijednosti BMD-a ni</w:t>
      </w:r>
      <w:r w:rsidR="006E487A" w:rsidRPr="006927C1">
        <w:rPr>
          <w:bCs/>
          <w:sz w:val="22"/>
          <w:szCs w:val="22"/>
          <w:lang w:val="sr-Latn-ME"/>
        </w:rPr>
        <w:t>je</w:t>
      </w:r>
      <w:r w:rsidRPr="006927C1">
        <w:rPr>
          <w:bCs/>
          <w:sz w:val="22"/>
          <w:szCs w:val="22"/>
          <w:lang w:val="sr-Latn-ME"/>
        </w:rPr>
        <w:t>su prilagođene u odnosu na tjelesnu visinu i masu.</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U studiji GS-US-104-0352, 8 od 89 pedijatrijskih pacijenata (9,0%) izloženih tenofovir dizoproksilu prekinulo je uzimanje ispitivanog lijeka zbog neželjenih događaja povezanih sa bubrezima. Pet ispitanika (5,6%) je imalo laboratorijske nalaze koji klinički odgovaraju proksimalnoj renalnoj tubulopatiji, od kojih je njih 4 prekinulo liječenje tenofovir dizoproksilom (medijana izlaganja tenofovir dizoproksilu: 331 nedjelja).</w:t>
      </w:r>
    </w:p>
    <w:p w:rsidR="009C0F94" w:rsidRPr="006927C1" w:rsidRDefault="009C0F94" w:rsidP="009C0F94">
      <w:pPr>
        <w:tabs>
          <w:tab w:val="left" w:pos="540"/>
          <w:tab w:val="left" w:pos="569"/>
        </w:tabs>
        <w:jc w:val="both"/>
        <w:rPr>
          <w:bCs/>
          <w:sz w:val="22"/>
          <w:szCs w:val="22"/>
          <w:lang w:val="sr-Latn-ME"/>
        </w:rPr>
      </w:pPr>
    </w:p>
    <w:p w:rsidR="009C0F94" w:rsidRPr="006927C1" w:rsidRDefault="009C0F94" w:rsidP="009C0F94">
      <w:pPr>
        <w:tabs>
          <w:tab w:val="left" w:pos="540"/>
          <w:tab w:val="left" w:pos="569"/>
        </w:tabs>
        <w:jc w:val="both"/>
        <w:rPr>
          <w:bCs/>
          <w:i/>
          <w:sz w:val="22"/>
          <w:szCs w:val="22"/>
          <w:lang w:val="sr-Latn-ME"/>
        </w:rPr>
      </w:pPr>
      <w:r w:rsidRPr="006927C1">
        <w:rPr>
          <w:bCs/>
          <w:i/>
          <w:sz w:val="22"/>
          <w:szCs w:val="22"/>
          <w:lang w:val="sr-Latn-ME"/>
        </w:rPr>
        <w:t>Preekspoziciona profilaksa u pedijatrijskoj populaciji</w:t>
      </w:r>
    </w:p>
    <w:p w:rsidR="009C0F94" w:rsidRPr="006927C1" w:rsidRDefault="009C0F94" w:rsidP="009C0F94">
      <w:pPr>
        <w:tabs>
          <w:tab w:val="left" w:pos="540"/>
          <w:tab w:val="left" w:pos="569"/>
        </w:tabs>
        <w:jc w:val="both"/>
        <w:rPr>
          <w:bCs/>
          <w:sz w:val="22"/>
          <w:szCs w:val="22"/>
          <w:lang w:val="sr-Latn-ME"/>
        </w:rPr>
      </w:pPr>
      <w:r w:rsidRPr="006927C1">
        <w:rPr>
          <w:bCs/>
          <w:sz w:val="22"/>
          <w:szCs w:val="22"/>
          <w:lang w:val="sr-Latn-ME"/>
        </w:rPr>
        <w:t>Očekuje se da su efikasnost i bezbjednost primjene lijeka Gilestra Duo za preekspozicionu profilaksu kod adolescenata koji se pridržavaju rasporeda dnevnog doziranja slične onima kod odraslih sa istim nivoom pridržavanja doziranja. Potencijalni efekti na bubrege i kosti kod dugotrajne prim</w:t>
      </w:r>
      <w:r w:rsidR="00DE27AA" w:rsidRPr="006927C1">
        <w:rPr>
          <w:bCs/>
          <w:sz w:val="22"/>
          <w:szCs w:val="22"/>
          <w:lang w:val="sr-Latn-ME"/>
        </w:rPr>
        <w:t>j</w:t>
      </w:r>
      <w:r w:rsidRPr="006927C1">
        <w:rPr>
          <w:bCs/>
          <w:sz w:val="22"/>
          <w:szCs w:val="22"/>
          <w:lang w:val="sr-Latn-ME"/>
        </w:rPr>
        <w:t>ene l</w:t>
      </w:r>
      <w:r w:rsidR="00DE27AA" w:rsidRPr="006927C1">
        <w:rPr>
          <w:bCs/>
          <w:sz w:val="22"/>
          <w:szCs w:val="22"/>
          <w:lang w:val="sr-Latn-ME"/>
        </w:rPr>
        <w:t>ij</w:t>
      </w:r>
      <w:r w:rsidRPr="006927C1">
        <w:rPr>
          <w:bCs/>
          <w:sz w:val="22"/>
          <w:szCs w:val="22"/>
          <w:lang w:val="sr-Latn-ME"/>
        </w:rPr>
        <w:t>eka Gilestra Duo za preekspozicionu profilaksu kod adolescenata ni</w:t>
      </w:r>
      <w:r w:rsidR="000777E8" w:rsidRPr="006927C1">
        <w:rPr>
          <w:bCs/>
          <w:sz w:val="22"/>
          <w:szCs w:val="22"/>
          <w:lang w:val="sr-Latn-ME"/>
        </w:rPr>
        <w:t>je</w:t>
      </w:r>
      <w:r w:rsidRPr="006927C1">
        <w:rPr>
          <w:bCs/>
          <w:sz w:val="22"/>
          <w:szCs w:val="22"/>
          <w:lang w:val="sr-Latn-ME"/>
        </w:rPr>
        <w:t>su poznati (vid</w:t>
      </w:r>
      <w:r w:rsidR="00DE27AA" w:rsidRPr="006927C1">
        <w:rPr>
          <w:bCs/>
          <w:sz w:val="22"/>
          <w:szCs w:val="22"/>
          <w:lang w:val="sr-Latn-ME"/>
        </w:rPr>
        <w:t>j</w:t>
      </w:r>
      <w:r w:rsidRPr="006927C1">
        <w:rPr>
          <w:bCs/>
          <w:sz w:val="22"/>
          <w:szCs w:val="22"/>
          <w:lang w:val="sr-Latn-ME"/>
        </w:rPr>
        <w:t>eti od</w:t>
      </w:r>
      <w:r w:rsidR="00DE27AA" w:rsidRPr="006927C1">
        <w:rPr>
          <w:bCs/>
          <w:sz w:val="22"/>
          <w:szCs w:val="22"/>
          <w:lang w:val="sr-Latn-ME"/>
        </w:rPr>
        <w:t>j</w:t>
      </w:r>
      <w:r w:rsidRPr="006927C1">
        <w:rPr>
          <w:bCs/>
          <w:sz w:val="22"/>
          <w:szCs w:val="22"/>
          <w:lang w:val="sr-Latn-ME"/>
        </w:rPr>
        <w:t>eljak 4.4).</w:t>
      </w:r>
    </w:p>
    <w:p w:rsidR="00042B2C" w:rsidRPr="006927C1" w:rsidRDefault="00042B2C" w:rsidP="00556CC6">
      <w:pPr>
        <w:tabs>
          <w:tab w:val="left" w:pos="540"/>
          <w:tab w:val="left" w:pos="569"/>
        </w:tabs>
        <w:jc w:val="both"/>
        <w:rPr>
          <w:bCs/>
          <w:sz w:val="22"/>
          <w:szCs w:val="22"/>
          <w:lang w:val="sr-Latn-ME"/>
        </w:rPr>
      </w:pPr>
    </w:p>
    <w:p w:rsidR="0072020E"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5.2. </w:t>
      </w:r>
      <w:r w:rsidR="00480FB1" w:rsidRPr="006927C1">
        <w:rPr>
          <w:b/>
          <w:bCs/>
          <w:sz w:val="22"/>
          <w:szCs w:val="22"/>
          <w:lang w:val="sr-Latn-ME"/>
        </w:rPr>
        <w:tab/>
      </w:r>
      <w:r w:rsidRPr="006927C1">
        <w:rPr>
          <w:b/>
          <w:bCs/>
          <w:sz w:val="22"/>
          <w:szCs w:val="22"/>
          <w:lang w:val="sr-Latn-ME"/>
        </w:rPr>
        <w:t>Farmakokinetički podaci</w:t>
      </w:r>
      <w:r w:rsidR="003A7059" w:rsidRPr="006927C1">
        <w:rPr>
          <w:b/>
          <w:bCs/>
          <w:sz w:val="22"/>
          <w:szCs w:val="22"/>
          <w:lang w:val="sr-Latn-ME"/>
        </w:rPr>
        <w:t xml:space="preserve"> </w:t>
      </w:r>
    </w:p>
    <w:p w:rsidR="00AE4815" w:rsidRPr="006927C1" w:rsidRDefault="00AE4815" w:rsidP="00867B0F">
      <w:pPr>
        <w:tabs>
          <w:tab w:val="left" w:pos="540"/>
          <w:tab w:val="left" w:pos="569"/>
        </w:tabs>
        <w:jc w:val="both"/>
        <w:rPr>
          <w:b/>
          <w:bCs/>
          <w:sz w:val="22"/>
          <w:szCs w:val="22"/>
          <w:lang w:val="sr-Latn-ME"/>
        </w:rPr>
      </w:pPr>
    </w:p>
    <w:p w:rsidR="00AE4815" w:rsidRPr="006927C1" w:rsidRDefault="00AE4815" w:rsidP="00386268">
      <w:pPr>
        <w:tabs>
          <w:tab w:val="left" w:pos="540"/>
          <w:tab w:val="left" w:pos="569"/>
        </w:tabs>
        <w:jc w:val="both"/>
        <w:rPr>
          <w:bCs/>
          <w:i/>
          <w:sz w:val="22"/>
          <w:szCs w:val="22"/>
          <w:lang w:val="sr-Latn-ME"/>
        </w:rPr>
      </w:pPr>
      <w:r w:rsidRPr="006927C1">
        <w:rPr>
          <w:bCs/>
          <w:i/>
          <w:sz w:val="22"/>
          <w:szCs w:val="22"/>
          <w:lang w:val="sr-Latn-ME"/>
        </w:rPr>
        <w:t xml:space="preserve">Resorpcija </w:t>
      </w:r>
    </w:p>
    <w:p w:rsidR="00AE4815" w:rsidRPr="006927C1" w:rsidRDefault="00AE4815" w:rsidP="00BE466F">
      <w:pPr>
        <w:tabs>
          <w:tab w:val="left" w:pos="540"/>
          <w:tab w:val="left" w:pos="569"/>
        </w:tabs>
        <w:jc w:val="both"/>
        <w:rPr>
          <w:bCs/>
          <w:sz w:val="22"/>
          <w:szCs w:val="22"/>
          <w:lang w:val="sr-Latn-ME"/>
        </w:rPr>
      </w:pPr>
      <w:r w:rsidRPr="006927C1">
        <w:rPr>
          <w:bCs/>
          <w:sz w:val="22"/>
          <w:szCs w:val="22"/>
          <w:lang w:val="sr-Latn-ME"/>
        </w:rPr>
        <w:t>Bioekvivalentnost jedne film tablete kombinacije emtricitabin i tenofovir dizoproksil</w:t>
      </w:r>
      <w:r w:rsidRPr="006927C1" w:rsidDel="00732D58">
        <w:rPr>
          <w:bCs/>
          <w:sz w:val="22"/>
          <w:szCs w:val="22"/>
          <w:lang w:val="sr-Latn-ME"/>
        </w:rPr>
        <w:t xml:space="preserve"> </w:t>
      </w:r>
      <w:r w:rsidRPr="006927C1">
        <w:rPr>
          <w:bCs/>
          <w:sz w:val="22"/>
          <w:szCs w:val="22"/>
          <w:lang w:val="sr-Latn-ME"/>
        </w:rPr>
        <w:t>sa jednom tvrdom kapsulom emtricitabina od 200 mg i jednom film tabletom tenofovir dizoproksila od 245 mg, utvrđena je nakon primjene jedne doze kod zdravih ispitanika natašte. Nakon peroralne primjene lijeka Gilestra Duo kod zdravih ispitanika, emtricitabin i tenofovir dizoproksil se brzo resorbuju, a tenofovir dizoproksil se pretvara u tenofovir. Maksimalne koncentracije emtricitabina i tenofovira zapažaju se u serumu unutar 0,5 do 3,0 h od doziranja natašte. Uzimanje lijeka sa hranom rezultiralo je odlaganjem od približno tri četvrtine sata u postizanju maksimalnih koncentracija tenofovira i porastom vrijednosti PIK i C</w:t>
      </w:r>
      <w:r w:rsidRPr="006927C1">
        <w:rPr>
          <w:bCs/>
          <w:sz w:val="22"/>
          <w:szCs w:val="22"/>
          <w:vertAlign w:val="subscript"/>
          <w:lang w:val="sr-Latn-ME"/>
        </w:rPr>
        <w:t>max</w:t>
      </w:r>
      <w:r w:rsidRPr="006927C1">
        <w:rPr>
          <w:bCs/>
          <w:sz w:val="22"/>
          <w:szCs w:val="22"/>
          <w:lang w:val="sr-Latn-ME"/>
        </w:rPr>
        <w:t xml:space="preserve"> za tenofovir od približno 35% odnosno 15%, kada je lijek uziman sa obrokom bogatim mastima ili sa laganim obrokom, u poređenju sa uzimanjem natašte. Da bi se optimiz</w:t>
      </w:r>
      <w:r w:rsidR="003A2040" w:rsidRPr="006927C1">
        <w:rPr>
          <w:bCs/>
          <w:sz w:val="22"/>
          <w:szCs w:val="22"/>
          <w:lang w:val="sr-Latn-ME"/>
        </w:rPr>
        <w:t>ovala</w:t>
      </w:r>
      <w:r w:rsidRPr="006927C1">
        <w:rPr>
          <w:bCs/>
          <w:sz w:val="22"/>
          <w:szCs w:val="22"/>
          <w:lang w:val="sr-Latn-ME"/>
        </w:rPr>
        <w:t xml:space="preserve"> resorpcija tenofovira, preporučuje se da se lijek Gilestra Duo uzima sa hranom. </w:t>
      </w:r>
    </w:p>
    <w:p w:rsidR="00AE4815" w:rsidRPr="006927C1" w:rsidRDefault="00AE4815" w:rsidP="00BE466F">
      <w:pPr>
        <w:tabs>
          <w:tab w:val="left" w:pos="540"/>
          <w:tab w:val="left" w:pos="569"/>
        </w:tabs>
        <w:jc w:val="both"/>
        <w:rPr>
          <w:bCs/>
          <w:sz w:val="22"/>
          <w:szCs w:val="22"/>
          <w:lang w:val="sr-Latn-ME"/>
        </w:rPr>
      </w:pPr>
    </w:p>
    <w:p w:rsidR="00AE4815" w:rsidRPr="006927C1" w:rsidRDefault="00AE4815" w:rsidP="00A73C74">
      <w:pPr>
        <w:tabs>
          <w:tab w:val="left" w:pos="540"/>
          <w:tab w:val="left" w:pos="569"/>
        </w:tabs>
        <w:jc w:val="both"/>
        <w:rPr>
          <w:bCs/>
          <w:sz w:val="22"/>
          <w:szCs w:val="22"/>
          <w:lang w:val="sr-Latn-ME"/>
        </w:rPr>
      </w:pPr>
      <w:r w:rsidRPr="006927C1">
        <w:rPr>
          <w:bCs/>
          <w:i/>
          <w:sz w:val="22"/>
          <w:szCs w:val="22"/>
          <w:lang w:val="sr-Latn-ME"/>
        </w:rPr>
        <w:t>Distribucija</w:t>
      </w:r>
      <w:r w:rsidRPr="006927C1">
        <w:rPr>
          <w:bCs/>
          <w:sz w:val="22"/>
          <w:szCs w:val="22"/>
          <w:lang w:val="sr-Latn-ME"/>
        </w:rPr>
        <w:t xml:space="preserve"> </w:t>
      </w:r>
    </w:p>
    <w:p w:rsidR="00AE4815" w:rsidRPr="006927C1" w:rsidRDefault="00AE4815" w:rsidP="003A2040">
      <w:pPr>
        <w:tabs>
          <w:tab w:val="left" w:pos="540"/>
          <w:tab w:val="left" w:pos="569"/>
        </w:tabs>
        <w:jc w:val="both"/>
        <w:rPr>
          <w:bCs/>
          <w:sz w:val="22"/>
          <w:szCs w:val="22"/>
          <w:lang w:val="sr-Latn-ME"/>
        </w:rPr>
      </w:pPr>
      <w:r w:rsidRPr="006927C1">
        <w:rPr>
          <w:bCs/>
          <w:sz w:val="22"/>
          <w:szCs w:val="22"/>
          <w:lang w:val="sr-Latn-ME"/>
        </w:rPr>
        <w:t xml:space="preserve">Nakon intravenske primjene volumen distribucije emtricitabina i tenofovira bio je približno 1,4 </w:t>
      </w:r>
      <w:r w:rsidR="003A2040" w:rsidRPr="006927C1">
        <w:rPr>
          <w:bCs/>
          <w:sz w:val="22"/>
          <w:szCs w:val="22"/>
          <w:lang w:val="sr-Latn-ME"/>
        </w:rPr>
        <w:t>l</w:t>
      </w:r>
      <w:r w:rsidRPr="006927C1">
        <w:rPr>
          <w:bCs/>
          <w:sz w:val="22"/>
          <w:szCs w:val="22"/>
          <w:lang w:val="sr-Latn-ME"/>
        </w:rPr>
        <w:t xml:space="preserve">/kg odnosno 800 ml/kg. Nakon peroralne primjene emtricitabina illi tenofovir dizoproksila, emtricitabin i tenofovir se široko distribuiraju u organizmu. </w:t>
      </w:r>
      <w:r w:rsidRPr="006927C1">
        <w:rPr>
          <w:bCs/>
          <w:i/>
          <w:sz w:val="22"/>
          <w:szCs w:val="22"/>
          <w:lang w:val="sr-Latn-ME"/>
        </w:rPr>
        <w:t>In vitro</w:t>
      </w:r>
      <w:r w:rsidRPr="006927C1">
        <w:rPr>
          <w:bCs/>
          <w:sz w:val="22"/>
          <w:szCs w:val="22"/>
          <w:lang w:val="sr-Latn-ME"/>
        </w:rPr>
        <w:t xml:space="preserve"> vezivanje emtricitabina za humane plazmatske proteine bilo je &lt; 4% i nije zavisilo od koncentracije u rasponu od 0,02 do 200 mikrograma/ml. </w:t>
      </w:r>
      <w:r w:rsidRPr="006927C1">
        <w:rPr>
          <w:bCs/>
          <w:i/>
          <w:sz w:val="22"/>
          <w:szCs w:val="22"/>
          <w:lang w:val="sr-Latn-ME"/>
        </w:rPr>
        <w:t>In vitro</w:t>
      </w:r>
      <w:r w:rsidRPr="006927C1">
        <w:rPr>
          <w:bCs/>
          <w:sz w:val="22"/>
          <w:szCs w:val="22"/>
          <w:lang w:val="sr-Latn-ME"/>
        </w:rPr>
        <w:t xml:space="preserve"> vezivanje tenofovira za proteine plazme ili seruma bilo je manje od 0,7 odnosno 7,2%, u opsegu koncentracija tenofovira od 0,01 do 25 mikrograma/ml.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Biotransformacija</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Metabolizam emtricitabina je ograničen. Biotransformacija emtricitabina uključuje oksidaciju tiolnog dijela molekule pri čemu nastaju 3'-sulfoksid diastereoizomeri (oko 9% doze), i konjugaciju sa glukuronskom kisjelinom, pri čemu nastaje 2'-O-glukuronid (oko 4% doze). </w:t>
      </w:r>
      <w:r w:rsidRPr="006927C1">
        <w:rPr>
          <w:bCs/>
          <w:i/>
          <w:sz w:val="22"/>
          <w:szCs w:val="22"/>
          <w:lang w:val="sr-Latn-ME"/>
        </w:rPr>
        <w:t>In vitro</w:t>
      </w:r>
      <w:r w:rsidRPr="006927C1">
        <w:rPr>
          <w:bCs/>
          <w:sz w:val="22"/>
          <w:szCs w:val="22"/>
          <w:lang w:val="sr-Latn-ME"/>
        </w:rPr>
        <w:t xml:space="preserve"> ispitivanja pokazala </w:t>
      </w:r>
      <w:r w:rsidRPr="006927C1">
        <w:rPr>
          <w:bCs/>
          <w:sz w:val="22"/>
          <w:szCs w:val="22"/>
          <w:lang w:val="sr-Latn-ME"/>
        </w:rPr>
        <w:lastRenderedPageBreak/>
        <w:t>su da ni tenofovir dizoproksil ni tenofovir ni</w:t>
      </w:r>
      <w:r w:rsidR="003A2040" w:rsidRPr="006927C1">
        <w:rPr>
          <w:bCs/>
          <w:sz w:val="22"/>
          <w:szCs w:val="22"/>
          <w:lang w:val="sr-Latn-ME"/>
        </w:rPr>
        <w:t>je</w:t>
      </w:r>
      <w:r w:rsidRPr="006927C1">
        <w:rPr>
          <w:bCs/>
          <w:sz w:val="22"/>
          <w:szCs w:val="22"/>
          <w:lang w:val="sr-Latn-ME"/>
        </w:rPr>
        <w:t xml:space="preserve">su supstrati za CYP450 enzime. Ni emtricitabin ni tenofovir </w:t>
      </w:r>
      <w:r w:rsidRPr="006927C1">
        <w:rPr>
          <w:bCs/>
          <w:i/>
          <w:sz w:val="22"/>
          <w:szCs w:val="22"/>
          <w:lang w:val="sr-Latn-ME"/>
        </w:rPr>
        <w:t>in vitro</w:t>
      </w:r>
      <w:r w:rsidRPr="006927C1">
        <w:rPr>
          <w:bCs/>
          <w:sz w:val="22"/>
          <w:szCs w:val="22"/>
          <w:lang w:val="sr-Latn-ME"/>
        </w:rPr>
        <w:t xml:space="preserve"> ni</w:t>
      </w:r>
      <w:r w:rsidR="003A2040" w:rsidRPr="006927C1">
        <w:rPr>
          <w:bCs/>
          <w:sz w:val="22"/>
          <w:szCs w:val="22"/>
          <w:lang w:val="sr-Latn-ME"/>
        </w:rPr>
        <w:t>je</w:t>
      </w:r>
      <w:r w:rsidRPr="006927C1">
        <w:rPr>
          <w:bCs/>
          <w:sz w:val="22"/>
          <w:szCs w:val="22"/>
          <w:lang w:val="sr-Latn-ME"/>
        </w:rPr>
        <w:t xml:space="preserve">su inhibirali metabolizam ljekova koji je posredovan bilo kojim od glavnih humanih izoformi humanog CYP450 uključenih u biotransformaciju ljekova. Takođe, emtricitabin nije inhibirao uridin-5'-difosfoglukuronil transferazu, enzim koji je odgovoran za glukuronidaciju.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Eliminacija</w:t>
      </w:r>
      <w:r w:rsidRPr="006927C1">
        <w:rPr>
          <w:bCs/>
          <w:sz w:val="22"/>
          <w:szCs w:val="22"/>
          <w:lang w:val="sr-Latn-ME"/>
        </w:rPr>
        <w:t xml:space="preserve"> </w:t>
      </w:r>
    </w:p>
    <w:p w:rsidR="003A2040" w:rsidRPr="006927C1" w:rsidRDefault="00AE4815">
      <w:pPr>
        <w:tabs>
          <w:tab w:val="left" w:pos="540"/>
          <w:tab w:val="left" w:pos="569"/>
        </w:tabs>
        <w:jc w:val="both"/>
        <w:rPr>
          <w:bCs/>
          <w:sz w:val="22"/>
          <w:szCs w:val="22"/>
          <w:lang w:val="sr-Latn-ME"/>
        </w:rPr>
      </w:pPr>
      <w:r w:rsidRPr="006927C1">
        <w:rPr>
          <w:bCs/>
          <w:sz w:val="22"/>
          <w:szCs w:val="22"/>
          <w:lang w:val="sr-Latn-ME"/>
        </w:rPr>
        <w:t>Emtricitabin se prvenstveno izlučuje preko bubrega pri čemu je ukupna doza zastupljena u urinu (oko 86%) i fecesu (oko 14%). Trinaest procenata doze emtricitabina nađeno je u urinu u vidu tri metabolita. Sistemski klirens emtricitabina u prosjeku je iznosio 307 ml/min. Nakon oralne primjene, poluvrijeme eliminacije emtricitabina je oko 10 sati.</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Tenofovir se prvenstveno izlučuje preko bubrega kako filtracijom tako i aktivnim transportnim sistemom tubula pri čemu nakon intravenske primjene približno oko 70-80% doze izluči u nepromijenjenom obliku urinom. Prividni klirens tenofovira je u prosjeku iznosio oko 307 ml/min. Procijenjeno je da je bubrežni klirens oko 210 ml/min, što prelazi brzinu glomerularne filtracije. To ukazuje na činjenicu da je aktivna tubularna sekrecija važan dio eliminacije tenofovira. Nakon oralne primjene, poluvrijeme eliminacije tenofovira iznosi približno 12 do 18 sati.</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Starije osobe</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Ni</w:t>
      </w:r>
      <w:r w:rsidR="003A2040" w:rsidRPr="006927C1">
        <w:rPr>
          <w:bCs/>
          <w:sz w:val="22"/>
          <w:szCs w:val="22"/>
          <w:lang w:val="sr-Latn-ME"/>
        </w:rPr>
        <w:t>je</w:t>
      </w:r>
      <w:r w:rsidRPr="006927C1">
        <w:rPr>
          <w:bCs/>
          <w:sz w:val="22"/>
          <w:szCs w:val="22"/>
          <w:lang w:val="sr-Latn-ME"/>
        </w:rPr>
        <w:t xml:space="preserve">su sprovedena farmakokinetička ispitivanja emtricitabina ili tenofovira kod starijih osoba (starijih od 65 godina).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 xml:space="preserve">Pol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Farmakokinetika emtricitabina i tenofovira slične su kod pacijenata muškog i ženskog pola.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Etnička pripadnost</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Ni</w:t>
      </w:r>
      <w:r w:rsidR="003A2040" w:rsidRPr="006927C1">
        <w:rPr>
          <w:bCs/>
          <w:sz w:val="22"/>
          <w:szCs w:val="22"/>
          <w:lang w:val="sr-Latn-ME"/>
        </w:rPr>
        <w:t>je</w:t>
      </w:r>
      <w:r w:rsidRPr="006927C1">
        <w:rPr>
          <w:bCs/>
          <w:sz w:val="22"/>
          <w:szCs w:val="22"/>
          <w:lang w:val="sr-Latn-ME"/>
        </w:rPr>
        <w:t xml:space="preserve">su ustanovljene klinički značajne razlike u farmakokinetici emtricitabina vezane za etničku pripadnost. Farmakokinetika tenofovira (primijenjena u obliku tenofovir dizoproksila) nije posebno ispitivana u grupama različite etničke pripadnosti.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Pedijatrijska populacija</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Ni</w:t>
      </w:r>
      <w:r w:rsidR="003A2040" w:rsidRPr="006927C1">
        <w:rPr>
          <w:bCs/>
          <w:sz w:val="22"/>
          <w:szCs w:val="22"/>
          <w:lang w:val="sr-Latn-ME"/>
        </w:rPr>
        <w:t>je</w:t>
      </w:r>
      <w:r w:rsidRPr="006927C1">
        <w:rPr>
          <w:bCs/>
          <w:sz w:val="22"/>
          <w:szCs w:val="22"/>
          <w:lang w:val="sr-Latn-ME"/>
        </w:rPr>
        <w:t>su sprovedene farmakokinetičke studije kod djece i adolescenata (mlađih od 18 godina). Farmakokinetika tenofovira u stanju dinamičke ravnoteže procjenjivana je kod 8 adolescenata inficiranih virusom HIV-1 (uzrasta 12 do &lt; 18 godina) tjelesne mase ≥ 35 kg i kod 23 djeteta inficirana virusom HIV-1 uzrasta od 2 do &lt; 12 godina. Izloženost tenofoviru postignuta kod ovih pacijenata koji su oralno primali dnevne doze od 245 mg tenofovir dizoproksila ili 6,5 mg/kg tjelesne mase tenofovir dizoproksila do maksimalne doze od 245 mg bila je slična izloženosti postignutoj kod odraslih koji su jednom dnevno primali doze od 245 mg tenovofir dizoproksila. Farmakokinetičke studije tenofovir dizoproksila ni</w:t>
      </w:r>
      <w:r w:rsidR="003A2040" w:rsidRPr="006927C1">
        <w:rPr>
          <w:bCs/>
          <w:sz w:val="22"/>
          <w:szCs w:val="22"/>
          <w:lang w:val="sr-Latn-ME"/>
        </w:rPr>
        <w:t>je</w:t>
      </w:r>
      <w:r w:rsidRPr="006927C1">
        <w:rPr>
          <w:bCs/>
          <w:sz w:val="22"/>
          <w:szCs w:val="22"/>
          <w:lang w:val="sr-Latn-ME"/>
        </w:rPr>
        <w:t>su sprovedene kod djece mlađe od 2 godine. Generalno, farmakokinetika emtricitabina kod odojčadi, djece i adolescenata (starosti 4 mjeseca do 18 godina) slična je kao kod odraslih osoba.</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Na osnovu sličnih izloženosti emtricitabinu i tenofoviru kod adolescenata i odraslih inficiranih virusom HIV-1 i sličnih izloženosti emtricitabinu i tenofoviru kod odraslih koji su inficirani i koji ni</w:t>
      </w:r>
      <w:r w:rsidR="003A2040" w:rsidRPr="006927C1">
        <w:rPr>
          <w:bCs/>
          <w:sz w:val="22"/>
          <w:szCs w:val="22"/>
          <w:lang w:val="sr-Latn-ME"/>
        </w:rPr>
        <w:t>je</w:t>
      </w:r>
      <w:r w:rsidRPr="006927C1">
        <w:rPr>
          <w:bCs/>
          <w:sz w:val="22"/>
          <w:szCs w:val="22"/>
          <w:lang w:val="sr-Latn-ME"/>
        </w:rPr>
        <w:t>su inficirani virusom HIV-1, očekuje se da je farmakokinetika emtricitabina i tenofovira (primijenjenog u obliku tenofovir dizoproksila) slična i kod adolescenata inficiranih virusom HIV-1 i kod onih koji ni</w:t>
      </w:r>
      <w:r w:rsidR="003A2040" w:rsidRPr="006927C1">
        <w:rPr>
          <w:bCs/>
          <w:sz w:val="22"/>
          <w:szCs w:val="22"/>
          <w:lang w:val="sr-Latn-ME"/>
        </w:rPr>
        <w:t>je</w:t>
      </w:r>
      <w:r w:rsidRPr="006927C1">
        <w:rPr>
          <w:bCs/>
          <w:sz w:val="22"/>
          <w:szCs w:val="22"/>
          <w:lang w:val="sr-Latn-ME"/>
        </w:rPr>
        <w:t>su inficirani virusom HIV-1.</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Oštećenje funkcije bubrega</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Ograničeni farmakokinetički podaci dostupni su za emtricitabin i tenofovir nakon istovremene primjene u okviru odvojenih preparata ili kao kombinovani lijek kod pacijenata sa oštećenjem funkcije bubrega. Farmakokinetički parametri određeni su uglavnom nakon primjene jednokratnih doza od 200 mg emtricitabina ili 245 mg tenofovir dizoproksila kod ispitanika koji ni</w:t>
      </w:r>
      <w:r w:rsidR="003A2040" w:rsidRPr="006927C1">
        <w:rPr>
          <w:bCs/>
          <w:sz w:val="22"/>
          <w:szCs w:val="22"/>
          <w:lang w:val="sr-Latn-ME"/>
        </w:rPr>
        <w:t>je</w:t>
      </w:r>
      <w:r w:rsidRPr="006927C1">
        <w:rPr>
          <w:bCs/>
          <w:sz w:val="22"/>
          <w:szCs w:val="22"/>
          <w:lang w:val="sr-Latn-ME"/>
        </w:rPr>
        <w:t xml:space="preserve">su bili inficirani virusom HIV-a, a imali su različiti stepen oštećenja funkcije bubrega. Stepen oštećenja funkcije bubrega definisan je prema početnom klirensu kreatinina (CrCl) (normalna funkcija bubrega kada je CrCl &gt; 80 ml/min; blago oštećenje uz CrCl = 50-79 ml/min; umjereno oštećenje uz CrCl = 30-49 ml/min i teško oštećenje funkcije bubrega kada je CrCl = 10-29 ml/min).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Prosječna vrijednost (% koeficijenta varijacije, CV) izloženosti emtricitabinu povećala se  sa 12   (25%) mikrograma•h/ml kod ispitanika sa normalnom funkcijom bubrega, na 20 (6%) mikrograma•h/ml, 25 (23%) mikrograma•h/ml i 34 (6%) mikrograma•h/ml, kod ispitanika sa blagim, umjerenim, odnosno teškim oštećenjem funkcije bubrega.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Prosječna vrijednost (% koeficijenta varijacije CV) izloženosti tenofoviru se povećala sa 2185 (12%) nanograma•h/ml kod pacijenata sa normalnom bubrežnom funkcijom, na 3064 (30%) nanograma•h/ml, 6009 (42%) nanograma•h/ml i 15 985 (45%) nanograma•h/ml kod ispitanika sa blagim, umjerenim odnosno teškim oštećenjem funkcije bubrega.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Očekuje se da će produženi interval između doza za lijek Gilestra Duo kod pacijenata sa umjerenim oštećenjem funkcije bubrega dovesti do pove</w:t>
      </w:r>
      <w:r w:rsidR="003A2040" w:rsidRPr="006927C1">
        <w:rPr>
          <w:bCs/>
          <w:sz w:val="22"/>
          <w:szCs w:val="22"/>
          <w:lang w:val="sr-Latn-ME"/>
        </w:rPr>
        <w:t>ć</w:t>
      </w:r>
      <w:r w:rsidRPr="006927C1">
        <w:rPr>
          <w:bCs/>
          <w:sz w:val="22"/>
          <w:szCs w:val="22"/>
          <w:lang w:val="sr-Latn-ME"/>
        </w:rPr>
        <w:t>anja maksimalnih koncentracija u plazmi i manjih vrijednosti C</w:t>
      </w:r>
      <w:r w:rsidRPr="006927C1">
        <w:rPr>
          <w:bCs/>
          <w:sz w:val="22"/>
          <w:szCs w:val="22"/>
          <w:vertAlign w:val="subscript"/>
          <w:lang w:val="sr-Latn-ME"/>
        </w:rPr>
        <w:t>min</w:t>
      </w:r>
      <w:r w:rsidRPr="006927C1">
        <w:rPr>
          <w:bCs/>
          <w:sz w:val="22"/>
          <w:szCs w:val="22"/>
          <w:lang w:val="sr-Latn-ME"/>
        </w:rPr>
        <w:t xml:space="preserve"> u poredjenju sa pacijentima sa normalnom funkcijom bubrega. </w:t>
      </w: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Kod ispitanika u terminalnoj fazi oboljenja bubrega (engl. </w:t>
      </w:r>
      <w:r w:rsidRPr="006927C1">
        <w:rPr>
          <w:bCs/>
          <w:i/>
          <w:sz w:val="22"/>
          <w:szCs w:val="22"/>
          <w:lang w:val="sr-Latn-ME"/>
        </w:rPr>
        <w:t>end-stage renal disease</w:t>
      </w:r>
      <w:r w:rsidRPr="006927C1">
        <w:rPr>
          <w:bCs/>
          <w:sz w:val="22"/>
          <w:szCs w:val="22"/>
          <w:lang w:val="sr-Latn-ME"/>
        </w:rPr>
        <w:t xml:space="preserve">, ESRD) kojima je neophodna hemodijaliza, izloženost lijeku između dijaliza značajno se povećala tokom 72 sata na 53 (19%) mikrograma•h/ml emtricitabina, a tokom 48 sati na 42857 (29%) nanograma•h/ml za tenofovir.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Sprovedeno je malo kliničko ispitivanje da bi se procijenila bezbjednost primjene, antivirusno djelovanje i farmakokinetika tenofovir dizoproksila u kombinaciji sa emtricitabinom kod pacijenata koji su inficirani HIV-om i imaju oštećenje funkcije bubrega. Podgrupa pacijenata sa početnim klirensom kreatinina između 50 i 60 ml/min, koji su primali dozu jednom dnevno, imala je 2-4 puta povećanu izloženost tenofoviru i pogoršanje funkcije bubrega.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Nije ispitivana farmakokinetika emtricitabina i tenofovira (primijenjenog u obliku tenofovir dizoproksila) kod pedijatrijskih pacijenata sa oštećenjem funkcije bubrega. Ne mogu se dati preporuke za doziranje kod pedijatrijskih pacijenata jer nema dovoljno podataka (vidjeti odeljke 4.2 i 4.4).</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i/>
          <w:sz w:val="22"/>
          <w:szCs w:val="22"/>
          <w:lang w:val="sr-Latn-ME"/>
        </w:rPr>
        <w:t>Oštećenje funkcije jetre</w:t>
      </w:r>
      <w:r w:rsidRPr="006927C1">
        <w:rPr>
          <w:bCs/>
          <w:sz w:val="22"/>
          <w:szCs w:val="22"/>
          <w:lang w:val="sr-Latn-ME"/>
        </w:rPr>
        <w:t xml:space="preserve">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 xml:space="preserve">Farmakokinetika lijeka Gilestra Duo nije ispitana kod pacijenata sa oštećenjem funkcije jetre.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Farmakokinetika emtricitabina nije ispitana kod pacijenata koji ni</w:t>
      </w:r>
      <w:r w:rsidR="0007535D" w:rsidRPr="006927C1">
        <w:rPr>
          <w:bCs/>
          <w:sz w:val="22"/>
          <w:szCs w:val="22"/>
          <w:lang w:val="sr-Latn-ME"/>
        </w:rPr>
        <w:t>je</w:t>
      </w:r>
      <w:r w:rsidRPr="006927C1">
        <w:rPr>
          <w:bCs/>
          <w:sz w:val="22"/>
          <w:szCs w:val="22"/>
          <w:lang w:val="sr-Latn-ME"/>
        </w:rPr>
        <w:t xml:space="preserve">su inficirani virusom HBV-a, a koji imaju različiti stepen hepatičke insuficijencije. Generalno je farmakokinetika emtricitabina kod osoba inficiranih virusom HBV-a bila slična farmakokinetici kod zdravih ispitanika i kod HIV-om inficiranih ispitanika. </w:t>
      </w:r>
    </w:p>
    <w:p w:rsidR="00AE4815" w:rsidRPr="006927C1" w:rsidRDefault="00AE4815">
      <w:pPr>
        <w:tabs>
          <w:tab w:val="left" w:pos="540"/>
          <w:tab w:val="left" w:pos="569"/>
        </w:tabs>
        <w:jc w:val="both"/>
        <w:rPr>
          <w:bCs/>
          <w:sz w:val="22"/>
          <w:szCs w:val="22"/>
          <w:lang w:val="sr-Latn-ME"/>
        </w:rPr>
      </w:pPr>
    </w:p>
    <w:p w:rsidR="00AE4815" w:rsidRPr="006927C1" w:rsidRDefault="00AE4815">
      <w:pPr>
        <w:tabs>
          <w:tab w:val="left" w:pos="540"/>
          <w:tab w:val="left" w:pos="569"/>
        </w:tabs>
        <w:jc w:val="both"/>
        <w:rPr>
          <w:bCs/>
          <w:sz w:val="22"/>
          <w:szCs w:val="22"/>
          <w:lang w:val="sr-Latn-ME"/>
        </w:rPr>
      </w:pPr>
      <w:r w:rsidRPr="006927C1">
        <w:rPr>
          <w:bCs/>
          <w:sz w:val="22"/>
          <w:szCs w:val="22"/>
          <w:lang w:val="sr-Latn-ME"/>
        </w:rPr>
        <w:t>Pojedinačna doza tenofovir dizoproksila od 245 mg primjenjivana je kod ispitanika koji ni</w:t>
      </w:r>
      <w:r w:rsidR="0007535D" w:rsidRPr="006927C1">
        <w:rPr>
          <w:bCs/>
          <w:sz w:val="22"/>
          <w:szCs w:val="22"/>
          <w:lang w:val="sr-Latn-ME"/>
        </w:rPr>
        <w:t>je</w:t>
      </w:r>
      <w:r w:rsidRPr="006927C1">
        <w:rPr>
          <w:bCs/>
          <w:sz w:val="22"/>
          <w:szCs w:val="22"/>
          <w:lang w:val="sr-Latn-ME"/>
        </w:rPr>
        <w:t xml:space="preserve">su inficirani HIV-om i sa  različitim stepenom oštećenja funkcije jetre definisanim prema klasifikaciji </w:t>
      </w:r>
      <w:r w:rsidRPr="006927C1">
        <w:rPr>
          <w:bCs/>
          <w:i/>
          <w:sz w:val="22"/>
          <w:szCs w:val="22"/>
          <w:lang w:val="sr-Latn-ME"/>
        </w:rPr>
        <w:t xml:space="preserve">Child-Pugh-Turcotte </w:t>
      </w:r>
      <w:r w:rsidRPr="006927C1">
        <w:rPr>
          <w:bCs/>
          <w:sz w:val="22"/>
          <w:szCs w:val="22"/>
          <w:lang w:val="sr-Latn-ME"/>
        </w:rPr>
        <w:t>(CPT). Farmakokinetika tenofovira nije se bitno izmijenila kod ispitanika sa oštećenjem funkcije jetre, što navodi na zaključak da kod tih ispitanika nije potrebno prilagođavati dozu. Kod zdravih ispitanika pros</w:t>
      </w:r>
      <w:r w:rsidR="0007535D" w:rsidRPr="006927C1">
        <w:rPr>
          <w:bCs/>
          <w:sz w:val="22"/>
          <w:szCs w:val="22"/>
          <w:lang w:val="sr-Latn-ME"/>
        </w:rPr>
        <w:t>j</w:t>
      </w:r>
      <w:r w:rsidRPr="006927C1">
        <w:rPr>
          <w:bCs/>
          <w:sz w:val="22"/>
          <w:szCs w:val="22"/>
          <w:lang w:val="sr-Latn-ME"/>
        </w:rPr>
        <w:t>ečne vrijednosti (%CV) C</w:t>
      </w:r>
      <w:r w:rsidRPr="006927C1">
        <w:rPr>
          <w:bCs/>
          <w:sz w:val="22"/>
          <w:szCs w:val="22"/>
          <w:vertAlign w:val="subscript"/>
          <w:lang w:val="sr-Latn-ME"/>
        </w:rPr>
        <w:t>max</w:t>
      </w:r>
      <w:r w:rsidRPr="006927C1">
        <w:rPr>
          <w:bCs/>
          <w:sz w:val="22"/>
          <w:szCs w:val="22"/>
          <w:lang w:val="sr-Latn-ME"/>
        </w:rPr>
        <w:t xml:space="preserve"> i PIK </w:t>
      </w:r>
      <w:r w:rsidRPr="006927C1">
        <w:rPr>
          <w:bCs/>
          <w:sz w:val="22"/>
          <w:szCs w:val="22"/>
          <w:vertAlign w:val="subscript"/>
          <w:lang w:val="sr-Latn-ME"/>
        </w:rPr>
        <w:t>0-∞</w:t>
      </w:r>
      <w:r w:rsidRPr="006927C1">
        <w:rPr>
          <w:bCs/>
          <w:sz w:val="22"/>
          <w:szCs w:val="22"/>
          <w:lang w:val="sr-Latn-ME"/>
        </w:rPr>
        <w:t xml:space="preserve"> tenofovira bile su 223 (34,8%) nanograma/ml odnosno 2050 (50,8%) nanograma•h/ml, u poređenju sa 289 (46,0%) nanograma/ml i 2310 (43,5%) nanograma•h/ml kod ispitanika sa umjerenim oštećenjem funkcije jetre, i 305 (24,8%) nanograma/ml i 2740 (44,0%) nanograma•h/ml kod ispitanika sa teškim oštećenjem funkcije jetre.</w:t>
      </w:r>
    </w:p>
    <w:p w:rsidR="0072020E" w:rsidRPr="006927C1" w:rsidRDefault="0072020E" w:rsidP="00867B0F">
      <w:pPr>
        <w:tabs>
          <w:tab w:val="left" w:pos="540"/>
          <w:tab w:val="left" w:pos="569"/>
        </w:tabs>
        <w:jc w:val="both"/>
        <w:rPr>
          <w:bCs/>
          <w:sz w:val="22"/>
          <w:szCs w:val="22"/>
          <w:lang w:val="sr-Latn-ME"/>
        </w:rPr>
      </w:pPr>
    </w:p>
    <w:p w:rsidR="0072020E" w:rsidRPr="006927C1" w:rsidRDefault="0072020E" w:rsidP="00867B0F">
      <w:pPr>
        <w:tabs>
          <w:tab w:val="left" w:pos="540"/>
          <w:tab w:val="left" w:pos="569"/>
        </w:tabs>
        <w:jc w:val="both"/>
        <w:rPr>
          <w:b/>
          <w:bCs/>
          <w:sz w:val="22"/>
          <w:szCs w:val="22"/>
          <w:lang w:val="sr-Latn-ME"/>
        </w:rPr>
      </w:pPr>
      <w:r w:rsidRPr="006927C1">
        <w:rPr>
          <w:b/>
          <w:bCs/>
          <w:sz w:val="22"/>
          <w:szCs w:val="22"/>
          <w:lang w:val="sr-Latn-ME"/>
        </w:rPr>
        <w:t xml:space="preserve">5.3. </w:t>
      </w:r>
      <w:r w:rsidR="00480FB1" w:rsidRPr="006927C1">
        <w:rPr>
          <w:b/>
          <w:bCs/>
          <w:sz w:val="22"/>
          <w:szCs w:val="22"/>
          <w:lang w:val="sr-Latn-ME"/>
        </w:rPr>
        <w:tab/>
      </w:r>
      <w:r w:rsidRPr="006927C1">
        <w:rPr>
          <w:b/>
          <w:bCs/>
          <w:sz w:val="22"/>
          <w:szCs w:val="22"/>
          <w:lang w:val="sr-Latn-ME"/>
        </w:rPr>
        <w:t xml:space="preserve">Pretklinički podaci o bezbjednosti </w:t>
      </w:r>
    </w:p>
    <w:p w:rsidR="00836B35" w:rsidRPr="006927C1" w:rsidRDefault="00836B35" w:rsidP="00867B0F">
      <w:pPr>
        <w:tabs>
          <w:tab w:val="left" w:pos="540"/>
          <w:tab w:val="left" w:pos="569"/>
        </w:tabs>
        <w:jc w:val="both"/>
        <w:rPr>
          <w:bCs/>
          <w:sz w:val="22"/>
          <w:szCs w:val="22"/>
          <w:lang w:val="sr-Latn-ME"/>
        </w:rPr>
      </w:pPr>
    </w:p>
    <w:p w:rsidR="00347E26" w:rsidRPr="006927C1" w:rsidRDefault="00347E26" w:rsidP="00386268">
      <w:pPr>
        <w:tabs>
          <w:tab w:val="left" w:pos="540"/>
          <w:tab w:val="left" w:pos="569"/>
        </w:tabs>
        <w:jc w:val="both"/>
        <w:rPr>
          <w:bCs/>
          <w:sz w:val="22"/>
          <w:szCs w:val="22"/>
          <w:lang w:val="sr-Latn-ME"/>
        </w:rPr>
      </w:pPr>
      <w:r w:rsidRPr="006927C1">
        <w:rPr>
          <w:bCs/>
          <w:i/>
          <w:sz w:val="22"/>
          <w:szCs w:val="22"/>
          <w:lang w:val="sr-Latn-ME"/>
        </w:rPr>
        <w:t>Emtricitabin</w:t>
      </w:r>
      <w:r w:rsidRPr="006927C1">
        <w:rPr>
          <w:bCs/>
          <w:sz w:val="22"/>
          <w:szCs w:val="22"/>
          <w:lang w:val="sr-Latn-ME"/>
        </w:rPr>
        <w:t xml:space="preserve">: Pretklinički podaci o emtricitabinu ne ukazuju na posebne rizike po ljude na osnovu konvencionalnih ispitivanja farmakološke bezbjednosti, toksičnosti ponovljenih doza i genotoksičnosti karcinogenog potencijala i toksičnosti po reprodukciju i razvoj. </w:t>
      </w:r>
    </w:p>
    <w:p w:rsidR="00347E26" w:rsidRPr="006927C1" w:rsidRDefault="00347E26" w:rsidP="00BE466F">
      <w:pPr>
        <w:tabs>
          <w:tab w:val="left" w:pos="540"/>
          <w:tab w:val="left" w:pos="569"/>
        </w:tabs>
        <w:jc w:val="both"/>
        <w:rPr>
          <w:bCs/>
          <w:sz w:val="22"/>
          <w:szCs w:val="22"/>
          <w:lang w:val="sr-Latn-ME"/>
        </w:rPr>
      </w:pPr>
    </w:p>
    <w:p w:rsidR="00347E26" w:rsidRPr="006927C1" w:rsidRDefault="00347E26">
      <w:pPr>
        <w:tabs>
          <w:tab w:val="left" w:pos="540"/>
          <w:tab w:val="left" w:pos="569"/>
        </w:tabs>
        <w:jc w:val="both"/>
        <w:rPr>
          <w:bCs/>
          <w:sz w:val="22"/>
          <w:szCs w:val="22"/>
          <w:lang w:val="sr-Latn-ME"/>
        </w:rPr>
      </w:pPr>
      <w:r w:rsidRPr="006927C1">
        <w:rPr>
          <w:bCs/>
          <w:i/>
          <w:sz w:val="22"/>
          <w:szCs w:val="22"/>
          <w:lang w:val="sr-Latn-ME"/>
        </w:rPr>
        <w:t>Tenofovir dizoproksil</w:t>
      </w:r>
      <w:r w:rsidRPr="006927C1">
        <w:rPr>
          <w:bCs/>
          <w:sz w:val="22"/>
          <w:szCs w:val="22"/>
          <w:lang w:val="sr-Latn-ME"/>
        </w:rPr>
        <w:t xml:space="preserve">: Pretkliničke studije bezbjednosne farmakologije tenofovir dizoproksila ne ukazuju na poseban rizik za ljude. Studije toksičnosti ponovljenih doza sprovedene na pacovima, psima i majmunima pri nivoima izloženosti višim ili jednakim kliničkim nivoima izloženosti i sa mogućim značajem za kliničku upotrebu, uključuju toksičnost za bubrege i kosti i smanjenje koncentracije fosfata u serumu. Toksičnost za kosti je ispoljena kroz osteomalaciju (kod majmuna) i smanjenje BMD-a (kod pacova i pasa). Kod mladih odraslih pacova i pasa toksičnost za kosti javila se pri izloženosti dozi ≥ 5 </w:t>
      </w:r>
      <w:r w:rsidRPr="006927C1">
        <w:rPr>
          <w:bCs/>
          <w:sz w:val="22"/>
          <w:szCs w:val="22"/>
          <w:lang w:val="sr-Latn-ME"/>
        </w:rPr>
        <w:lastRenderedPageBreak/>
        <w:t>puta većoj od izloženosti kod pedijatrijskih ili odraslih pacijenata; toksičnost za kosti pojavila se kod mladih inficiranih majmuna pri vrlo visokim izloženostima nakon su</w:t>
      </w:r>
      <w:r w:rsidR="0007535D" w:rsidRPr="006927C1">
        <w:rPr>
          <w:bCs/>
          <w:sz w:val="22"/>
          <w:szCs w:val="22"/>
          <w:lang w:val="sr-Latn-ME"/>
        </w:rPr>
        <w:t>b</w:t>
      </w:r>
      <w:r w:rsidRPr="006927C1">
        <w:rPr>
          <w:bCs/>
          <w:sz w:val="22"/>
          <w:szCs w:val="22"/>
          <w:lang w:val="sr-Latn-ME"/>
        </w:rPr>
        <w:t>kutanog doziranja (≥ 40 puta veća izloženost nego kod pacijenata). Nalazi studija na pacovima i majmunima su pokazali da postoji smanjenje intestinalne resorpcije fosfata sa mogućim sekundarnim smanjenjem gustine kostiju BMD-a, koje je povezano sa supstancom.</w:t>
      </w:r>
    </w:p>
    <w:p w:rsidR="00347E26" w:rsidRPr="006927C1" w:rsidRDefault="00347E26">
      <w:pPr>
        <w:tabs>
          <w:tab w:val="left" w:pos="540"/>
          <w:tab w:val="left" w:pos="569"/>
        </w:tabs>
        <w:jc w:val="both"/>
        <w:rPr>
          <w:bCs/>
          <w:sz w:val="22"/>
          <w:szCs w:val="22"/>
          <w:lang w:val="sr-Latn-ME"/>
        </w:rPr>
      </w:pPr>
    </w:p>
    <w:p w:rsidR="00347E26" w:rsidRPr="006927C1" w:rsidRDefault="00347E26">
      <w:pPr>
        <w:tabs>
          <w:tab w:val="left" w:pos="540"/>
          <w:tab w:val="left" w:pos="569"/>
        </w:tabs>
        <w:jc w:val="both"/>
        <w:rPr>
          <w:bCs/>
          <w:sz w:val="22"/>
          <w:szCs w:val="22"/>
          <w:lang w:val="sr-Latn-ME"/>
        </w:rPr>
      </w:pPr>
      <w:r w:rsidRPr="006927C1">
        <w:rPr>
          <w:bCs/>
          <w:sz w:val="22"/>
          <w:szCs w:val="22"/>
          <w:lang w:val="sr-Latn-ME"/>
        </w:rPr>
        <w:t xml:space="preserve">Studije genotoksičnosti su pokazale pozitivne rezultate u </w:t>
      </w:r>
      <w:r w:rsidRPr="006927C1">
        <w:rPr>
          <w:bCs/>
          <w:i/>
          <w:sz w:val="22"/>
          <w:szCs w:val="22"/>
          <w:lang w:val="sr-Latn-ME"/>
        </w:rPr>
        <w:t>in vitro</w:t>
      </w:r>
      <w:r w:rsidRPr="006927C1">
        <w:rPr>
          <w:bCs/>
          <w:sz w:val="22"/>
          <w:szCs w:val="22"/>
          <w:lang w:val="sr-Latn-ME"/>
        </w:rPr>
        <w:t xml:space="preserve"> testu mišjeg limfoma, nepouzdane rezultate kod jednog soja korišćenog u Ames</w:t>
      </w:r>
      <w:r w:rsidR="0007535D" w:rsidRPr="006927C1">
        <w:rPr>
          <w:bCs/>
          <w:sz w:val="22"/>
          <w:szCs w:val="22"/>
          <w:lang w:val="sr-Latn-ME"/>
        </w:rPr>
        <w:t>-</w:t>
      </w:r>
      <w:r w:rsidRPr="006927C1">
        <w:rPr>
          <w:bCs/>
          <w:sz w:val="22"/>
          <w:szCs w:val="22"/>
          <w:lang w:val="sr-Latn-ME"/>
        </w:rPr>
        <w:t xml:space="preserve">ovom testu i slabo pozitivne rezultate UDS testa (test neplanirane DNK sinteze; engl. </w:t>
      </w:r>
      <w:r w:rsidRPr="006927C1">
        <w:rPr>
          <w:bCs/>
          <w:i/>
          <w:sz w:val="22"/>
          <w:szCs w:val="22"/>
          <w:lang w:val="sr-Latn-ME"/>
        </w:rPr>
        <w:t xml:space="preserve">unscheduled DNA synthesis, </w:t>
      </w:r>
      <w:r w:rsidRPr="006927C1">
        <w:rPr>
          <w:bCs/>
          <w:sz w:val="22"/>
          <w:szCs w:val="22"/>
          <w:lang w:val="sr-Latn-ME"/>
        </w:rPr>
        <w:t xml:space="preserve">UDS) na primarnim hepatocitima pacova. Međutim, rezultati su bili negativni na </w:t>
      </w:r>
      <w:r w:rsidRPr="006927C1">
        <w:rPr>
          <w:bCs/>
          <w:i/>
          <w:sz w:val="22"/>
          <w:szCs w:val="22"/>
          <w:lang w:val="sr-Latn-ME"/>
        </w:rPr>
        <w:t>in vivo</w:t>
      </w:r>
      <w:r w:rsidRPr="006927C1">
        <w:rPr>
          <w:bCs/>
          <w:sz w:val="22"/>
          <w:szCs w:val="22"/>
          <w:lang w:val="sr-Latn-ME"/>
        </w:rPr>
        <w:t xml:space="preserve"> testu mikronukleusa na koštanoj srži miša. </w:t>
      </w:r>
    </w:p>
    <w:p w:rsidR="00347E26" w:rsidRPr="006927C1" w:rsidRDefault="00347E26">
      <w:pPr>
        <w:tabs>
          <w:tab w:val="left" w:pos="540"/>
          <w:tab w:val="left" w:pos="569"/>
        </w:tabs>
        <w:jc w:val="both"/>
        <w:rPr>
          <w:bCs/>
          <w:sz w:val="22"/>
          <w:szCs w:val="22"/>
          <w:lang w:val="sr-Latn-ME"/>
        </w:rPr>
      </w:pPr>
    </w:p>
    <w:p w:rsidR="00347E26" w:rsidRPr="006927C1" w:rsidRDefault="00347E26">
      <w:pPr>
        <w:tabs>
          <w:tab w:val="left" w:pos="540"/>
          <w:tab w:val="left" w:pos="569"/>
        </w:tabs>
        <w:jc w:val="both"/>
        <w:rPr>
          <w:bCs/>
          <w:sz w:val="22"/>
          <w:szCs w:val="22"/>
          <w:lang w:val="sr-Latn-ME"/>
        </w:rPr>
      </w:pPr>
      <w:r w:rsidRPr="006927C1">
        <w:rPr>
          <w:bCs/>
          <w:sz w:val="22"/>
          <w:szCs w:val="22"/>
          <w:lang w:val="sr-Latn-ME"/>
        </w:rPr>
        <w:t xml:space="preserve">U studijama oralne karcinogenosti na pacovima i miševima, uočena je mala incidenca duodenalnih tumora pri ekstremno visokim oralnim dozama kod miša. Mala je vjerovatnoća da ovi tumori mogu da budu od značaja kod ljudi. </w:t>
      </w:r>
    </w:p>
    <w:p w:rsidR="00347E26" w:rsidRPr="006927C1" w:rsidRDefault="00347E26">
      <w:pPr>
        <w:tabs>
          <w:tab w:val="left" w:pos="540"/>
          <w:tab w:val="left" w:pos="569"/>
        </w:tabs>
        <w:jc w:val="both"/>
        <w:rPr>
          <w:bCs/>
          <w:sz w:val="22"/>
          <w:szCs w:val="22"/>
          <w:lang w:val="sr-Latn-ME"/>
        </w:rPr>
      </w:pPr>
    </w:p>
    <w:p w:rsidR="00347E26" w:rsidRPr="006927C1" w:rsidRDefault="00347E26">
      <w:pPr>
        <w:tabs>
          <w:tab w:val="left" w:pos="540"/>
          <w:tab w:val="left" w:pos="569"/>
        </w:tabs>
        <w:jc w:val="both"/>
        <w:rPr>
          <w:bCs/>
          <w:sz w:val="22"/>
          <w:szCs w:val="22"/>
          <w:lang w:val="sr-Latn-ME"/>
        </w:rPr>
      </w:pPr>
      <w:r w:rsidRPr="006927C1">
        <w:rPr>
          <w:bCs/>
          <w:sz w:val="22"/>
          <w:szCs w:val="22"/>
          <w:lang w:val="sr-Latn-ME"/>
        </w:rPr>
        <w:t>Studije reproduktivne toksičnosti na pacovima i kunićima ni</w:t>
      </w:r>
      <w:r w:rsidR="0007535D" w:rsidRPr="006927C1">
        <w:rPr>
          <w:bCs/>
          <w:sz w:val="22"/>
          <w:szCs w:val="22"/>
          <w:lang w:val="sr-Latn-ME"/>
        </w:rPr>
        <w:t>je</w:t>
      </w:r>
      <w:r w:rsidRPr="006927C1">
        <w:rPr>
          <w:bCs/>
          <w:sz w:val="22"/>
          <w:szCs w:val="22"/>
          <w:lang w:val="sr-Latn-ME"/>
        </w:rPr>
        <w:t xml:space="preserve">su pokazale efekte na parenje, plodnost, trudnoću ili razvoj fetusa. Ipak, tenofovir dizoproksil je smanjio indeks vitalnosti i tjelesnu masu mladunaca tokom studija peri- i postnatalne toksičnosti pri dozama koje su bile toksične za majku. </w:t>
      </w:r>
    </w:p>
    <w:p w:rsidR="00347E26" w:rsidRPr="006927C1" w:rsidRDefault="00347E26">
      <w:pPr>
        <w:tabs>
          <w:tab w:val="left" w:pos="540"/>
          <w:tab w:val="left" w:pos="569"/>
        </w:tabs>
        <w:jc w:val="both"/>
        <w:rPr>
          <w:bCs/>
          <w:sz w:val="22"/>
          <w:szCs w:val="22"/>
          <w:lang w:val="sr-Latn-ME"/>
        </w:rPr>
      </w:pPr>
    </w:p>
    <w:p w:rsidR="00347E26" w:rsidRPr="006927C1" w:rsidRDefault="00347E26">
      <w:pPr>
        <w:tabs>
          <w:tab w:val="left" w:pos="540"/>
          <w:tab w:val="left" w:pos="569"/>
        </w:tabs>
        <w:jc w:val="both"/>
        <w:rPr>
          <w:bCs/>
          <w:sz w:val="22"/>
          <w:szCs w:val="22"/>
          <w:lang w:val="sr-Latn-ME"/>
        </w:rPr>
      </w:pPr>
      <w:r w:rsidRPr="006927C1">
        <w:rPr>
          <w:bCs/>
          <w:i/>
          <w:sz w:val="22"/>
          <w:szCs w:val="22"/>
          <w:lang w:val="sr-Latn-ME"/>
        </w:rPr>
        <w:t>Kombinacija emtricitabina i tenofovir dizoproksila</w:t>
      </w:r>
      <w:r w:rsidRPr="006927C1">
        <w:rPr>
          <w:bCs/>
          <w:sz w:val="22"/>
          <w:szCs w:val="22"/>
          <w:lang w:val="sr-Latn-ME"/>
        </w:rPr>
        <w:t>: Ispitivanja genotoksičnosti i toksičnosti ponovljenih doza u trajanju od jednog mjeseca ili manje sa kombinacijom tih aktivnih supstanci ni</w:t>
      </w:r>
      <w:r w:rsidR="0007535D" w:rsidRPr="006927C1">
        <w:rPr>
          <w:bCs/>
          <w:sz w:val="22"/>
          <w:szCs w:val="22"/>
          <w:lang w:val="sr-Latn-ME"/>
        </w:rPr>
        <w:t>je</w:t>
      </w:r>
      <w:r w:rsidRPr="006927C1">
        <w:rPr>
          <w:bCs/>
          <w:sz w:val="22"/>
          <w:szCs w:val="22"/>
          <w:lang w:val="sr-Latn-ME"/>
        </w:rPr>
        <w:t>su pokazala egzacerbaciju toksikoloških efekata u poređenju sa ispitivanjima sprovedenim sa svakom od komponenata lijeka odvojeno.</w:t>
      </w:r>
    </w:p>
    <w:p w:rsidR="00396DFD" w:rsidRPr="006927C1" w:rsidRDefault="00396DFD" w:rsidP="00867B0F">
      <w:pPr>
        <w:tabs>
          <w:tab w:val="left" w:pos="540"/>
          <w:tab w:val="left" w:pos="569"/>
        </w:tabs>
        <w:jc w:val="both"/>
        <w:rPr>
          <w:b/>
          <w:bCs/>
          <w:sz w:val="22"/>
          <w:szCs w:val="22"/>
          <w:lang w:val="sr-Latn-ME"/>
        </w:rPr>
      </w:pPr>
    </w:p>
    <w:p w:rsidR="00CD05E9" w:rsidRPr="006927C1" w:rsidRDefault="00CD05E9" w:rsidP="00867B0F">
      <w:pPr>
        <w:tabs>
          <w:tab w:val="left" w:pos="540"/>
          <w:tab w:val="left" w:pos="569"/>
        </w:tabs>
        <w:jc w:val="both"/>
        <w:rPr>
          <w:b/>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6. </w:t>
      </w:r>
      <w:r w:rsidR="00480FB1" w:rsidRPr="006927C1">
        <w:rPr>
          <w:b/>
          <w:bCs/>
          <w:sz w:val="22"/>
          <w:szCs w:val="22"/>
          <w:lang w:val="sr-Latn-ME"/>
        </w:rPr>
        <w:tab/>
      </w:r>
      <w:r w:rsidRPr="006927C1">
        <w:rPr>
          <w:b/>
          <w:bCs/>
          <w:sz w:val="22"/>
          <w:szCs w:val="22"/>
          <w:lang w:val="sr-Latn-ME"/>
        </w:rPr>
        <w:t>FARMACEUTSKI PODACI</w:t>
      </w:r>
    </w:p>
    <w:p w:rsidR="00836B35" w:rsidRPr="006927C1" w:rsidRDefault="00836B35" w:rsidP="00480FB1">
      <w:pPr>
        <w:tabs>
          <w:tab w:val="left" w:pos="540"/>
          <w:tab w:val="left" w:pos="569"/>
        </w:tabs>
        <w:rPr>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6.1. </w:t>
      </w:r>
      <w:r w:rsidR="00480FB1" w:rsidRPr="006927C1">
        <w:rPr>
          <w:b/>
          <w:bCs/>
          <w:sz w:val="22"/>
          <w:szCs w:val="22"/>
          <w:lang w:val="sr-Latn-ME"/>
        </w:rPr>
        <w:tab/>
      </w:r>
      <w:r w:rsidRPr="006927C1">
        <w:rPr>
          <w:b/>
          <w:bCs/>
          <w:sz w:val="22"/>
          <w:szCs w:val="22"/>
          <w:lang w:val="sr-Latn-ME"/>
        </w:rPr>
        <w:t>Lista pomoćnih supstanci</w:t>
      </w:r>
      <w:r w:rsidR="002E0135" w:rsidRPr="006927C1">
        <w:rPr>
          <w:b/>
          <w:bCs/>
          <w:sz w:val="22"/>
          <w:szCs w:val="22"/>
          <w:lang w:val="sr-Latn-ME"/>
        </w:rPr>
        <w:t xml:space="preserve"> (ekscipijenasa)</w:t>
      </w:r>
    </w:p>
    <w:p w:rsidR="00347E26" w:rsidRPr="006927C1" w:rsidRDefault="00347E26" w:rsidP="00480FB1">
      <w:pPr>
        <w:tabs>
          <w:tab w:val="left" w:pos="540"/>
          <w:tab w:val="left" w:pos="569"/>
        </w:tabs>
        <w:rPr>
          <w:b/>
          <w:bCs/>
          <w:sz w:val="22"/>
          <w:szCs w:val="22"/>
          <w:lang w:val="sr-Latn-ME"/>
        </w:rPr>
      </w:pPr>
    </w:p>
    <w:p w:rsidR="00347E26" w:rsidRPr="006927C1" w:rsidRDefault="00347E26" w:rsidP="00347E26">
      <w:pPr>
        <w:tabs>
          <w:tab w:val="left" w:pos="540"/>
          <w:tab w:val="left" w:pos="569"/>
        </w:tabs>
        <w:rPr>
          <w:bCs/>
          <w:sz w:val="22"/>
          <w:szCs w:val="22"/>
          <w:lang w:val="sr-Latn-ME"/>
        </w:rPr>
      </w:pPr>
      <w:r w:rsidRPr="006927C1">
        <w:rPr>
          <w:bCs/>
          <w:i/>
          <w:sz w:val="22"/>
          <w:szCs w:val="22"/>
          <w:lang w:val="sr-Latn-ME"/>
        </w:rPr>
        <w:t>Jezgro tablete</w:t>
      </w:r>
      <w:r w:rsidRPr="006927C1">
        <w:rPr>
          <w:bCs/>
          <w:sz w:val="22"/>
          <w:szCs w:val="22"/>
          <w:lang w:val="sr-Latn-ME"/>
        </w:rPr>
        <w:t xml:space="preserve">: </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Laktoza, monohidrat;</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Celuloza, mikrokristalna (E460);</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Skrob, kukuruzni, preželatinizovan;</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Kroskarmeloza natrijum;</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Magnezijum stearat (E470b).</w:t>
      </w:r>
    </w:p>
    <w:p w:rsidR="00347E26" w:rsidRPr="006927C1" w:rsidRDefault="00347E26" w:rsidP="00347E26">
      <w:pPr>
        <w:tabs>
          <w:tab w:val="left" w:pos="540"/>
          <w:tab w:val="left" w:pos="569"/>
        </w:tabs>
        <w:rPr>
          <w:bCs/>
          <w:sz w:val="22"/>
          <w:szCs w:val="22"/>
          <w:lang w:val="sr-Latn-ME"/>
        </w:rPr>
      </w:pPr>
    </w:p>
    <w:p w:rsidR="00347E26" w:rsidRPr="006927C1" w:rsidRDefault="00347E26" w:rsidP="00347E26">
      <w:pPr>
        <w:tabs>
          <w:tab w:val="left" w:pos="540"/>
          <w:tab w:val="left" w:pos="569"/>
        </w:tabs>
        <w:rPr>
          <w:bCs/>
          <w:sz w:val="22"/>
          <w:szCs w:val="22"/>
          <w:lang w:val="sr-Latn-ME"/>
        </w:rPr>
      </w:pPr>
      <w:r w:rsidRPr="006927C1">
        <w:rPr>
          <w:bCs/>
          <w:i/>
          <w:sz w:val="22"/>
          <w:szCs w:val="22"/>
          <w:lang w:val="sr-Latn-ME"/>
        </w:rPr>
        <w:t>Film obloga</w:t>
      </w:r>
      <w:r w:rsidRPr="006927C1">
        <w:rPr>
          <w:bCs/>
          <w:sz w:val="22"/>
          <w:szCs w:val="22"/>
          <w:lang w:val="sr-Latn-ME"/>
        </w:rPr>
        <w:t xml:space="preserve">: </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Polivinil alkohol (E1203);</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 xml:space="preserve">Titan dioksid (E171); </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Makrogol 3350 (E1521);</w:t>
      </w: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Talk (E553b);</w:t>
      </w:r>
    </w:p>
    <w:p w:rsidR="0072020E" w:rsidRPr="006927C1" w:rsidRDefault="00347E26" w:rsidP="00480FB1">
      <w:pPr>
        <w:tabs>
          <w:tab w:val="left" w:pos="540"/>
          <w:tab w:val="left" w:pos="569"/>
        </w:tabs>
        <w:rPr>
          <w:bCs/>
          <w:sz w:val="22"/>
          <w:szCs w:val="22"/>
          <w:lang w:val="sr-Latn-ME"/>
        </w:rPr>
      </w:pPr>
      <w:r w:rsidRPr="006927C1">
        <w:rPr>
          <w:bCs/>
          <w:sz w:val="22"/>
          <w:szCs w:val="22"/>
          <w:lang w:val="sr-Latn-ME"/>
        </w:rPr>
        <w:t>Indigo Carmine Aluminium Lake (E132).</w:t>
      </w:r>
    </w:p>
    <w:p w:rsidR="00504D7D" w:rsidRPr="006927C1" w:rsidRDefault="00504D7D" w:rsidP="00480FB1">
      <w:pPr>
        <w:tabs>
          <w:tab w:val="left" w:pos="540"/>
          <w:tab w:val="left" w:pos="569"/>
        </w:tabs>
        <w:rPr>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6.2. </w:t>
      </w:r>
      <w:r w:rsidR="00480FB1" w:rsidRPr="006927C1">
        <w:rPr>
          <w:b/>
          <w:bCs/>
          <w:sz w:val="22"/>
          <w:szCs w:val="22"/>
          <w:lang w:val="sr-Latn-ME"/>
        </w:rPr>
        <w:tab/>
      </w:r>
      <w:r w:rsidRPr="006927C1">
        <w:rPr>
          <w:b/>
          <w:bCs/>
          <w:sz w:val="22"/>
          <w:szCs w:val="22"/>
          <w:lang w:val="sr-Latn-ME"/>
        </w:rPr>
        <w:t>Inkompatibilnost</w:t>
      </w:r>
      <w:r w:rsidR="002846DB" w:rsidRPr="006927C1">
        <w:rPr>
          <w:b/>
          <w:bCs/>
          <w:sz w:val="22"/>
          <w:szCs w:val="22"/>
          <w:lang w:val="sr-Latn-ME"/>
        </w:rPr>
        <w:t>i</w:t>
      </w:r>
    </w:p>
    <w:p w:rsidR="00347E26" w:rsidRPr="006927C1" w:rsidRDefault="00347E26" w:rsidP="00480FB1">
      <w:pPr>
        <w:tabs>
          <w:tab w:val="left" w:pos="540"/>
          <w:tab w:val="left" w:pos="569"/>
        </w:tabs>
        <w:rPr>
          <w:bCs/>
          <w:sz w:val="22"/>
          <w:szCs w:val="22"/>
          <w:lang w:val="sr-Latn-ME"/>
        </w:rPr>
      </w:pPr>
    </w:p>
    <w:p w:rsidR="00347E26" w:rsidRPr="006927C1" w:rsidRDefault="00347E26" w:rsidP="00480FB1">
      <w:pPr>
        <w:tabs>
          <w:tab w:val="left" w:pos="540"/>
          <w:tab w:val="left" w:pos="569"/>
        </w:tabs>
        <w:rPr>
          <w:bCs/>
          <w:sz w:val="22"/>
          <w:szCs w:val="22"/>
          <w:lang w:val="sr-Latn-ME"/>
        </w:rPr>
      </w:pPr>
      <w:r w:rsidRPr="006927C1">
        <w:rPr>
          <w:bCs/>
          <w:sz w:val="22"/>
          <w:szCs w:val="22"/>
          <w:lang w:val="sr-Latn-ME"/>
        </w:rPr>
        <w:t>Nije primjenljivo.</w:t>
      </w:r>
    </w:p>
    <w:p w:rsidR="0072020E" w:rsidRPr="006927C1" w:rsidRDefault="0072020E" w:rsidP="00480FB1">
      <w:pPr>
        <w:tabs>
          <w:tab w:val="left" w:pos="540"/>
          <w:tab w:val="left" w:pos="569"/>
        </w:tabs>
        <w:rPr>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6.3.</w:t>
      </w:r>
      <w:r w:rsidR="00C05DF8" w:rsidRPr="006927C1">
        <w:rPr>
          <w:b/>
          <w:bCs/>
          <w:sz w:val="22"/>
          <w:szCs w:val="22"/>
          <w:lang w:val="sr-Latn-ME"/>
        </w:rPr>
        <w:t xml:space="preserve"> </w:t>
      </w:r>
      <w:r w:rsidR="00480FB1" w:rsidRPr="006927C1">
        <w:rPr>
          <w:b/>
          <w:bCs/>
          <w:sz w:val="22"/>
          <w:szCs w:val="22"/>
          <w:lang w:val="sr-Latn-ME"/>
        </w:rPr>
        <w:tab/>
      </w:r>
      <w:r w:rsidRPr="006927C1">
        <w:rPr>
          <w:b/>
          <w:bCs/>
          <w:sz w:val="22"/>
          <w:szCs w:val="22"/>
          <w:lang w:val="sr-Latn-ME"/>
        </w:rPr>
        <w:t>Rok upotrebe</w:t>
      </w:r>
    </w:p>
    <w:p w:rsidR="0072020E" w:rsidRPr="006927C1" w:rsidRDefault="0072020E" w:rsidP="00480FB1">
      <w:pPr>
        <w:tabs>
          <w:tab w:val="left" w:pos="540"/>
          <w:tab w:val="left" w:pos="569"/>
        </w:tabs>
        <w:rPr>
          <w:bCs/>
          <w:sz w:val="22"/>
          <w:szCs w:val="22"/>
          <w:lang w:val="sr-Latn-ME"/>
        </w:rPr>
      </w:pPr>
    </w:p>
    <w:p w:rsidR="00347E26" w:rsidRPr="006927C1" w:rsidRDefault="00347E26" w:rsidP="00480FB1">
      <w:pPr>
        <w:tabs>
          <w:tab w:val="left" w:pos="540"/>
          <w:tab w:val="left" w:pos="569"/>
        </w:tabs>
        <w:rPr>
          <w:bCs/>
          <w:sz w:val="22"/>
          <w:szCs w:val="22"/>
          <w:lang w:val="sr-Latn-ME"/>
        </w:rPr>
      </w:pPr>
      <w:r w:rsidRPr="006927C1">
        <w:rPr>
          <w:bCs/>
          <w:sz w:val="22"/>
          <w:szCs w:val="22"/>
          <w:lang w:val="sr-Latn-ME"/>
        </w:rPr>
        <w:t>4 godine.</w:t>
      </w:r>
    </w:p>
    <w:p w:rsidR="00347E26" w:rsidRPr="006927C1" w:rsidRDefault="00347E26" w:rsidP="00480FB1">
      <w:pPr>
        <w:tabs>
          <w:tab w:val="left" w:pos="540"/>
          <w:tab w:val="left" w:pos="569"/>
        </w:tabs>
        <w:rPr>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6.4. </w:t>
      </w:r>
      <w:r w:rsidR="00480FB1" w:rsidRPr="006927C1">
        <w:rPr>
          <w:b/>
          <w:bCs/>
          <w:sz w:val="22"/>
          <w:szCs w:val="22"/>
          <w:lang w:val="sr-Latn-ME"/>
        </w:rPr>
        <w:tab/>
      </w:r>
      <w:r w:rsidRPr="006927C1">
        <w:rPr>
          <w:b/>
          <w:bCs/>
          <w:sz w:val="22"/>
          <w:szCs w:val="22"/>
          <w:lang w:val="sr-Latn-ME"/>
        </w:rPr>
        <w:t>Posebne mjere upozorenja pri čuvanju</w:t>
      </w:r>
      <w:r w:rsidR="00F8570A" w:rsidRPr="006927C1">
        <w:rPr>
          <w:b/>
          <w:bCs/>
          <w:sz w:val="22"/>
          <w:szCs w:val="22"/>
          <w:lang w:val="sr-Latn-ME"/>
        </w:rPr>
        <w:t xml:space="preserve"> lijeka</w:t>
      </w:r>
    </w:p>
    <w:p w:rsidR="00347E26" w:rsidRPr="006927C1" w:rsidRDefault="00347E26" w:rsidP="00480FB1">
      <w:pPr>
        <w:tabs>
          <w:tab w:val="left" w:pos="540"/>
          <w:tab w:val="left" w:pos="569"/>
        </w:tabs>
        <w:rPr>
          <w:b/>
          <w:bCs/>
          <w:sz w:val="22"/>
          <w:szCs w:val="22"/>
          <w:lang w:val="sr-Latn-ME"/>
        </w:rPr>
      </w:pPr>
    </w:p>
    <w:p w:rsidR="00347E26" w:rsidRPr="006927C1" w:rsidRDefault="00347E26" w:rsidP="00347E26">
      <w:pPr>
        <w:tabs>
          <w:tab w:val="left" w:pos="540"/>
          <w:tab w:val="left" w:pos="569"/>
        </w:tabs>
        <w:rPr>
          <w:bCs/>
          <w:sz w:val="22"/>
          <w:szCs w:val="22"/>
          <w:lang w:val="sr-Latn-ME"/>
        </w:rPr>
      </w:pPr>
      <w:r w:rsidRPr="006927C1">
        <w:rPr>
          <w:bCs/>
          <w:sz w:val="22"/>
          <w:szCs w:val="22"/>
          <w:lang w:val="sr-Latn-ME"/>
        </w:rPr>
        <w:t>Čuvati u originalnom pakovanju radi zaštite od vlage. Lijek čuvati u dobro zatvorenoj boci.</w:t>
      </w:r>
    </w:p>
    <w:p w:rsidR="00EC2532" w:rsidRPr="006927C1" w:rsidRDefault="00EC2532" w:rsidP="00480FB1">
      <w:pPr>
        <w:tabs>
          <w:tab w:val="left" w:pos="540"/>
          <w:tab w:val="left" w:pos="569"/>
        </w:tabs>
        <w:rPr>
          <w:bCs/>
          <w:sz w:val="22"/>
          <w:szCs w:val="22"/>
          <w:lang w:val="sr-Latn-ME"/>
        </w:rPr>
      </w:pPr>
    </w:p>
    <w:p w:rsidR="001837EC" w:rsidRPr="006927C1" w:rsidRDefault="001837EC" w:rsidP="00480FB1">
      <w:pPr>
        <w:tabs>
          <w:tab w:val="left" w:pos="540"/>
          <w:tab w:val="left" w:pos="569"/>
        </w:tabs>
        <w:rPr>
          <w:b/>
          <w:bCs/>
          <w:sz w:val="22"/>
          <w:szCs w:val="22"/>
          <w:lang w:val="sr-Latn-ME"/>
        </w:rPr>
      </w:pPr>
    </w:p>
    <w:p w:rsidR="001837EC" w:rsidRPr="006927C1" w:rsidRDefault="001837EC" w:rsidP="00480FB1">
      <w:pPr>
        <w:tabs>
          <w:tab w:val="left" w:pos="540"/>
          <w:tab w:val="left" w:pos="569"/>
        </w:tabs>
        <w:rPr>
          <w:b/>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lastRenderedPageBreak/>
        <w:t xml:space="preserve">6.5. </w:t>
      </w:r>
      <w:r w:rsidR="00480FB1" w:rsidRPr="006927C1">
        <w:rPr>
          <w:b/>
          <w:bCs/>
          <w:sz w:val="22"/>
          <w:szCs w:val="22"/>
          <w:lang w:val="sr-Latn-ME"/>
        </w:rPr>
        <w:tab/>
      </w:r>
      <w:r w:rsidR="002846DB" w:rsidRPr="006927C1">
        <w:rPr>
          <w:b/>
          <w:bCs/>
          <w:sz w:val="22"/>
          <w:szCs w:val="22"/>
          <w:lang w:val="sr-Latn-ME"/>
        </w:rPr>
        <w:t xml:space="preserve">Vrsta i sadržaj </w:t>
      </w:r>
      <w:r w:rsidR="00F8570A" w:rsidRPr="006927C1">
        <w:rPr>
          <w:b/>
          <w:bCs/>
          <w:sz w:val="22"/>
          <w:szCs w:val="22"/>
          <w:lang w:val="sr-Latn-ME"/>
        </w:rPr>
        <w:t>pakovanja</w:t>
      </w:r>
      <w:r w:rsidR="00C06864" w:rsidRPr="006927C1">
        <w:rPr>
          <w:b/>
          <w:bCs/>
          <w:sz w:val="22"/>
          <w:szCs w:val="22"/>
          <w:lang w:val="sr-Latn-ME"/>
        </w:rPr>
        <w:t xml:space="preserve"> </w:t>
      </w:r>
    </w:p>
    <w:p w:rsidR="00347E26" w:rsidRPr="006927C1" w:rsidRDefault="00347E26" w:rsidP="00480FB1">
      <w:pPr>
        <w:tabs>
          <w:tab w:val="left" w:pos="540"/>
          <w:tab w:val="left" w:pos="569"/>
        </w:tabs>
        <w:rPr>
          <w:b/>
          <w:bCs/>
          <w:sz w:val="22"/>
          <w:szCs w:val="22"/>
          <w:lang w:val="sr-Latn-ME"/>
        </w:rPr>
      </w:pPr>
    </w:p>
    <w:p w:rsidR="00347E26" w:rsidRPr="006927C1" w:rsidRDefault="00C84318" w:rsidP="00347E26">
      <w:pPr>
        <w:tabs>
          <w:tab w:val="left" w:pos="540"/>
          <w:tab w:val="left" w:pos="569"/>
        </w:tabs>
        <w:jc w:val="both"/>
        <w:rPr>
          <w:bCs/>
          <w:sz w:val="22"/>
          <w:szCs w:val="22"/>
          <w:lang w:val="sr-Latn-ME"/>
        </w:rPr>
      </w:pPr>
      <w:r w:rsidRPr="006927C1">
        <w:rPr>
          <w:bCs/>
          <w:sz w:val="22"/>
          <w:szCs w:val="22"/>
          <w:lang w:val="sr-Latn-ME"/>
        </w:rPr>
        <w:t>Unutraš</w:t>
      </w:r>
      <w:r w:rsidR="00347E26" w:rsidRPr="006927C1">
        <w:rPr>
          <w:bCs/>
          <w:sz w:val="22"/>
          <w:szCs w:val="22"/>
          <w:lang w:val="sr-Latn-ME"/>
        </w:rPr>
        <w:t xml:space="preserve">nje pakovanje je HDPE boca sa plastičnim (polipropilenskim) sigurnosnim zatvaračem za djecu i sa plastičnim (HDPE) kanisterom unutar boce koji sadrži silika gel. Boca sadrži 30 film tableta. </w:t>
      </w:r>
    </w:p>
    <w:p w:rsidR="00347E26" w:rsidRPr="006927C1" w:rsidRDefault="00347E26" w:rsidP="00347E26">
      <w:pPr>
        <w:tabs>
          <w:tab w:val="left" w:pos="540"/>
          <w:tab w:val="left" w:pos="569"/>
        </w:tabs>
        <w:jc w:val="both"/>
        <w:rPr>
          <w:bCs/>
          <w:sz w:val="22"/>
          <w:szCs w:val="22"/>
          <w:lang w:val="sr-Latn-ME"/>
        </w:rPr>
      </w:pPr>
    </w:p>
    <w:p w:rsidR="00347E26" w:rsidRPr="006927C1" w:rsidRDefault="00347E26" w:rsidP="00347E26">
      <w:pPr>
        <w:tabs>
          <w:tab w:val="left" w:pos="540"/>
          <w:tab w:val="left" w:pos="569"/>
        </w:tabs>
        <w:jc w:val="both"/>
        <w:rPr>
          <w:bCs/>
          <w:sz w:val="22"/>
          <w:szCs w:val="22"/>
          <w:lang w:val="sr-Latn-ME"/>
        </w:rPr>
      </w:pPr>
      <w:r w:rsidRPr="006927C1">
        <w:rPr>
          <w:bCs/>
          <w:sz w:val="22"/>
          <w:szCs w:val="22"/>
          <w:lang w:val="sr-Latn-ME"/>
        </w:rPr>
        <w:t>Spoljašnje pakovanje je složiva kartonska kutija u kojoj se nalazi jedna plastična boca sa 30 film tableta i Uputstvo za lijek.</w:t>
      </w:r>
    </w:p>
    <w:p w:rsidR="0072020E" w:rsidRPr="006927C1" w:rsidRDefault="0072020E" w:rsidP="00480FB1">
      <w:pPr>
        <w:tabs>
          <w:tab w:val="left" w:pos="540"/>
          <w:tab w:val="left" w:pos="569"/>
        </w:tabs>
        <w:rPr>
          <w:bCs/>
          <w:sz w:val="22"/>
          <w:szCs w:val="22"/>
          <w:lang w:val="sr-Latn-ME"/>
        </w:rPr>
      </w:pPr>
    </w:p>
    <w:p w:rsidR="002846DB"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6.6. </w:t>
      </w:r>
      <w:r w:rsidR="00480FB1" w:rsidRPr="006927C1">
        <w:rPr>
          <w:b/>
          <w:bCs/>
          <w:sz w:val="22"/>
          <w:szCs w:val="22"/>
          <w:lang w:val="sr-Latn-ME"/>
        </w:rPr>
        <w:tab/>
      </w:r>
      <w:r w:rsidRPr="006927C1">
        <w:rPr>
          <w:b/>
          <w:bCs/>
          <w:color w:val="000000"/>
          <w:sz w:val="22"/>
          <w:szCs w:val="22"/>
          <w:lang w:val="sr-Latn-ME"/>
        </w:rPr>
        <w:t>Posebne mjere opreza pri odlaganju materijala koji treba odbaciti nakon primjene lijeka</w:t>
      </w:r>
      <w:r w:rsidRPr="006927C1">
        <w:rPr>
          <w:b/>
          <w:bCs/>
          <w:sz w:val="22"/>
          <w:szCs w:val="22"/>
          <w:lang w:val="sr-Latn-ME"/>
        </w:rPr>
        <w:t xml:space="preserve"> </w:t>
      </w:r>
      <w:r w:rsidR="00310F03" w:rsidRPr="006927C1">
        <w:rPr>
          <w:b/>
          <w:bCs/>
          <w:sz w:val="22"/>
          <w:szCs w:val="22"/>
          <w:lang w:val="sr-Latn-ME"/>
        </w:rPr>
        <w:t>(i druga uputs</w:t>
      </w:r>
      <w:r w:rsidR="004109FA" w:rsidRPr="006927C1">
        <w:rPr>
          <w:b/>
          <w:bCs/>
          <w:sz w:val="22"/>
          <w:szCs w:val="22"/>
          <w:lang w:val="sr-Latn-ME"/>
        </w:rPr>
        <w:t>t</w:t>
      </w:r>
      <w:r w:rsidR="00310F03" w:rsidRPr="006927C1">
        <w:rPr>
          <w:b/>
          <w:bCs/>
          <w:sz w:val="22"/>
          <w:szCs w:val="22"/>
          <w:lang w:val="sr-Latn-ME"/>
        </w:rPr>
        <w:t xml:space="preserve">va za rukovanje lijekom) </w:t>
      </w:r>
    </w:p>
    <w:p w:rsidR="00347E26" w:rsidRPr="006927C1" w:rsidRDefault="00347E26" w:rsidP="00480FB1">
      <w:pPr>
        <w:tabs>
          <w:tab w:val="left" w:pos="540"/>
          <w:tab w:val="left" w:pos="569"/>
        </w:tabs>
        <w:rPr>
          <w:b/>
          <w:bCs/>
          <w:sz w:val="22"/>
          <w:szCs w:val="22"/>
          <w:lang w:val="sr-Latn-ME"/>
        </w:rPr>
      </w:pPr>
    </w:p>
    <w:p w:rsidR="00347E26" w:rsidRPr="006927C1" w:rsidRDefault="00347E26" w:rsidP="00347E26">
      <w:pPr>
        <w:tabs>
          <w:tab w:val="left" w:pos="540"/>
          <w:tab w:val="left" w:pos="569"/>
        </w:tabs>
        <w:jc w:val="both"/>
        <w:rPr>
          <w:bCs/>
          <w:sz w:val="22"/>
          <w:szCs w:val="22"/>
          <w:lang w:val="sr-Latn-ME"/>
        </w:rPr>
      </w:pPr>
      <w:r w:rsidRPr="006927C1">
        <w:rPr>
          <w:bCs/>
          <w:sz w:val="22"/>
          <w:szCs w:val="22"/>
          <w:lang w:val="sr-Latn-ME"/>
        </w:rPr>
        <w:t>Svu neiskorišćenu količinu lijeka ili otpadnog materijala nakon njegove upotrebe treba ukloniti, u skladu sa važećim propisima.</w:t>
      </w:r>
    </w:p>
    <w:p w:rsidR="0072020E" w:rsidRPr="006927C1" w:rsidRDefault="0072020E" w:rsidP="00480FB1">
      <w:pPr>
        <w:tabs>
          <w:tab w:val="left" w:pos="540"/>
          <w:tab w:val="left" w:pos="569"/>
        </w:tabs>
        <w:rPr>
          <w:bCs/>
          <w:sz w:val="22"/>
          <w:szCs w:val="22"/>
          <w:lang w:val="sr-Latn-ME"/>
        </w:rPr>
      </w:pPr>
    </w:p>
    <w:p w:rsidR="005E1C6E" w:rsidRPr="006927C1" w:rsidRDefault="005E1C6E" w:rsidP="00480FB1">
      <w:pPr>
        <w:tabs>
          <w:tab w:val="left" w:pos="540"/>
          <w:tab w:val="left" w:pos="569"/>
        </w:tabs>
        <w:rPr>
          <w:bCs/>
          <w:sz w:val="22"/>
          <w:szCs w:val="22"/>
          <w:lang w:val="sr-Latn-ME"/>
        </w:rPr>
      </w:pPr>
    </w:p>
    <w:p w:rsidR="00F8570A"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7. </w:t>
      </w:r>
      <w:r w:rsidR="00480FB1" w:rsidRPr="006927C1">
        <w:rPr>
          <w:b/>
          <w:bCs/>
          <w:sz w:val="22"/>
          <w:szCs w:val="22"/>
          <w:lang w:val="sr-Latn-ME"/>
        </w:rPr>
        <w:tab/>
      </w:r>
      <w:r w:rsidRPr="006927C1">
        <w:rPr>
          <w:b/>
          <w:bCs/>
          <w:sz w:val="22"/>
          <w:szCs w:val="22"/>
          <w:lang w:val="sr-Latn-ME"/>
        </w:rPr>
        <w:t>NOSILAC DOZVOLE</w:t>
      </w:r>
      <w:r w:rsidR="00483928" w:rsidRPr="006927C1">
        <w:rPr>
          <w:b/>
          <w:bCs/>
          <w:sz w:val="22"/>
          <w:szCs w:val="22"/>
          <w:lang w:val="sr-Latn-ME"/>
        </w:rPr>
        <w:t xml:space="preserve"> </w:t>
      </w:r>
    </w:p>
    <w:p w:rsidR="00C61BE0" w:rsidRPr="006927C1" w:rsidRDefault="00C61BE0" w:rsidP="00480FB1">
      <w:pPr>
        <w:tabs>
          <w:tab w:val="left" w:pos="540"/>
          <w:tab w:val="left" w:pos="569"/>
        </w:tabs>
        <w:rPr>
          <w:bCs/>
          <w:sz w:val="22"/>
          <w:szCs w:val="22"/>
          <w:lang w:val="sr-Latn-ME"/>
        </w:rPr>
      </w:pPr>
    </w:p>
    <w:p w:rsidR="00C37FD7" w:rsidRPr="006927C1" w:rsidRDefault="00347E26" w:rsidP="00480FB1">
      <w:pPr>
        <w:tabs>
          <w:tab w:val="left" w:pos="540"/>
          <w:tab w:val="left" w:pos="569"/>
        </w:tabs>
        <w:rPr>
          <w:bCs/>
          <w:sz w:val="22"/>
          <w:szCs w:val="22"/>
          <w:lang w:val="sr-Latn-ME"/>
        </w:rPr>
      </w:pPr>
      <w:r w:rsidRPr="006927C1">
        <w:rPr>
          <w:bCs/>
          <w:sz w:val="22"/>
          <w:szCs w:val="22"/>
          <w:lang w:val="sr-Latn-ME"/>
        </w:rPr>
        <w:t>Evropa Lek Pharma d.o.o.</w:t>
      </w:r>
      <w:r w:rsidR="00017392">
        <w:rPr>
          <w:bCs/>
          <w:sz w:val="22"/>
          <w:szCs w:val="22"/>
          <w:lang w:val="sr-Latn-ME"/>
        </w:rPr>
        <w:t xml:space="preserve"> Podgorica</w:t>
      </w:r>
    </w:p>
    <w:p w:rsidR="00347E26" w:rsidRPr="006927C1" w:rsidRDefault="00347E26" w:rsidP="00480FB1">
      <w:pPr>
        <w:tabs>
          <w:tab w:val="left" w:pos="540"/>
          <w:tab w:val="left" w:pos="569"/>
        </w:tabs>
        <w:rPr>
          <w:bCs/>
          <w:sz w:val="22"/>
          <w:szCs w:val="22"/>
          <w:lang w:val="sr-Latn-ME"/>
        </w:rPr>
      </w:pPr>
      <w:r w:rsidRPr="006927C1">
        <w:rPr>
          <w:bCs/>
          <w:sz w:val="22"/>
          <w:szCs w:val="22"/>
          <w:lang w:val="sr-Latn-ME"/>
        </w:rPr>
        <w:t>Kritskog odreda 4/1</w:t>
      </w:r>
      <w:r w:rsidR="00F61E6B" w:rsidRPr="006927C1">
        <w:rPr>
          <w:bCs/>
          <w:sz w:val="22"/>
          <w:szCs w:val="22"/>
          <w:lang w:val="sr-Latn-ME"/>
        </w:rPr>
        <w:t>, 81000 Podgorica, Crna Gora</w:t>
      </w:r>
    </w:p>
    <w:p w:rsidR="00F61E6B" w:rsidRPr="006927C1" w:rsidRDefault="00F61E6B" w:rsidP="00480FB1">
      <w:pPr>
        <w:tabs>
          <w:tab w:val="left" w:pos="540"/>
          <w:tab w:val="left" w:pos="569"/>
        </w:tabs>
        <w:rPr>
          <w:bCs/>
          <w:sz w:val="22"/>
          <w:szCs w:val="22"/>
          <w:lang w:val="sr-Latn-ME"/>
        </w:rPr>
      </w:pPr>
    </w:p>
    <w:p w:rsidR="00EC4ECE" w:rsidRPr="006927C1" w:rsidRDefault="00EC4ECE" w:rsidP="00480FB1">
      <w:pPr>
        <w:tabs>
          <w:tab w:val="left" w:pos="540"/>
          <w:tab w:val="left" w:pos="569"/>
        </w:tabs>
        <w:rPr>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8. </w:t>
      </w:r>
      <w:r w:rsidR="00480FB1" w:rsidRPr="006927C1">
        <w:rPr>
          <w:b/>
          <w:bCs/>
          <w:sz w:val="22"/>
          <w:szCs w:val="22"/>
          <w:lang w:val="sr-Latn-ME"/>
        </w:rPr>
        <w:tab/>
      </w:r>
      <w:r w:rsidRPr="006927C1">
        <w:rPr>
          <w:b/>
          <w:bCs/>
          <w:sz w:val="22"/>
          <w:szCs w:val="22"/>
          <w:lang w:val="sr-Latn-ME"/>
        </w:rPr>
        <w:t>BROJ DOZVOLE</w:t>
      </w:r>
      <w:r w:rsidR="008A6D43" w:rsidRPr="006927C1">
        <w:rPr>
          <w:b/>
          <w:bCs/>
          <w:sz w:val="22"/>
          <w:szCs w:val="22"/>
          <w:lang w:val="sr-Latn-ME"/>
        </w:rPr>
        <w:t xml:space="preserve"> ZA STAVLJANJE LIJEKA U PROMET</w:t>
      </w:r>
    </w:p>
    <w:p w:rsidR="0072020E" w:rsidRPr="006927C1" w:rsidRDefault="0072020E" w:rsidP="00480FB1">
      <w:pPr>
        <w:tabs>
          <w:tab w:val="left" w:pos="540"/>
          <w:tab w:val="left" w:pos="569"/>
        </w:tabs>
        <w:rPr>
          <w:bCs/>
          <w:sz w:val="22"/>
          <w:szCs w:val="22"/>
          <w:lang w:val="sr-Latn-ME"/>
        </w:rPr>
      </w:pPr>
    </w:p>
    <w:p w:rsidR="00EC4ECE" w:rsidRPr="006927C1" w:rsidRDefault="00EC4ECE" w:rsidP="00480FB1">
      <w:pPr>
        <w:tabs>
          <w:tab w:val="left" w:pos="540"/>
          <w:tab w:val="left" w:pos="569"/>
        </w:tabs>
        <w:rPr>
          <w:bCs/>
          <w:sz w:val="22"/>
          <w:szCs w:val="22"/>
          <w:lang w:val="sr-Latn-ME"/>
        </w:rPr>
      </w:pPr>
      <w:r w:rsidRPr="006927C1">
        <w:rPr>
          <w:bCs/>
          <w:sz w:val="22"/>
          <w:szCs w:val="22"/>
          <w:lang w:val="sr-Latn-ME"/>
        </w:rPr>
        <w:t>2030/22/2433 - 4164</w:t>
      </w:r>
    </w:p>
    <w:p w:rsidR="00FD250B" w:rsidRPr="006927C1" w:rsidRDefault="00FD250B" w:rsidP="00480FB1">
      <w:pPr>
        <w:tabs>
          <w:tab w:val="left" w:pos="540"/>
          <w:tab w:val="left" w:pos="569"/>
        </w:tabs>
        <w:rPr>
          <w:bCs/>
          <w:sz w:val="22"/>
          <w:szCs w:val="22"/>
          <w:lang w:val="sr-Latn-ME"/>
        </w:rPr>
      </w:pPr>
    </w:p>
    <w:p w:rsidR="00017392" w:rsidRDefault="00017392" w:rsidP="00480FB1">
      <w:pPr>
        <w:tabs>
          <w:tab w:val="left" w:pos="540"/>
          <w:tab w:val="left" w:pos="569"/>
        </w:tabs>
        <w:rPr>
          <w:b/>
          <w:bCs/>
          <w:sz w:val="22"/>
          <w:szCs w:val="22"/>
          <w:lang w:val="sr-Latn-ME"/>
        </w:rPr>
      </w:pPr>
    </w:p>
    <w:p w:rsidR="0072020E" w:rsidRPr="006927C1" w:rsidRDefault="0072020E" w:rsidP="00480FB1">
      <w:pPr>
        <w:tabs>
          <w:tab w:val="left" w:pos="540"/>
          <w:tab w:val="left" w:pos="569"/>
        </w:tabs>
        <w:rPr>
          <w:b/>
          <w:bCs/>
          <w:sz w:val="22"/>
          <w:szCs w:val="22"/>
          <w:lang w:val="sr-Latn-ME"/>
        </w:rPr>
      </w:pPr>
      <w:r w:rsidRPr="006927C1">
        <w:rPr>
          <w:b/>
          <w:bCs/>
          <w:sz w:val="22"/>
          <w:szCs w:val="22"/>
          <w:lang w:val="sr-Latn-ME"/>
        </w:rPr>
        <w:t xml:space="preserve">9. </w:t>
      </w:r>
      <w:r w:rsidR="00480FB1" w:rsidRPr="006927C1">
        <w:rPr>
          <w:b/>
          <w:bCs/>
          <w:sz w:val="22"/>
          <w:szCs w:val="22"/>
          <w:lang w:val="sr-Latn-ME"/>
        </w:rPr>
        <w:tab/>
      </w:r>
      <w:r w:rsidRPr="006927C1">
        <w:rPr>
          <w:b/>
          <w:bCs/>
          <w:sz w:val="22"/>
          <w:szCs w:val="22"/>
          <w:lang w:val="sr-Latn-ME"/>
        </w:rPr>
        <w:t xml:space="preserve">DATUM </w:t>
      </w:r>
      <w:r w:rsidR="00C05DF8" w:rsidRPr="006927C1">
        <w:rPr>
          <w:b/>
          <w:bCs/>
          <w:sz w:val="22"/>
          <w:szCs w:val="22"/>
          <w:lang w:val="sr-Latn-ME"/>
        </w:rPr>
        <w:t xml:space="preserve">PRVE </w:t>
      </w:r>
      <w:r w:rsidR="008A6D43" w:rsidRPr="006927C1">
        <w:rPr>
          <w:b/>
          <w:bCs/>
          <w:sz w:val="22"/>
          <w:szCs w:val="22"/>
          <w:lang w:val="sr-Latn-ME"/>
        </w:rPr>
        <w:t>DOZVOLE</w:t>
      </w:r>
      <w:r w:rsidR="00C05DF8" w:rsidRPr="006927C1">
        <w:rPr>
          <w:b/>
          <w:bCs/>
          <w:sz w:val="22"/>
          <w:szCs w:val="22"/>
          <w:lang w:val="sr-Latn-ME"/>
        </w:rPr>
        <w:t>/OBNOVE DOZVOLE</w:t>
      </w:r>
      <w:r w:rsidR="008A6D43" w:rsidRPr="006927C1">
        <w:rPr>
          <w:b/>
          <w:bCs/>
          <w:sz w:val="22"/>
          <w:szCs w:val="22"/>
          <w:lang w:val="sr-Latn-ME"/>
        </w:rPr>
        <w:t xml:space="preserve"> ZA STAVLJANJE LIJEKA U PROMET</w:t>
      </w:r>
    </w:p>
    <w:p w:rsidR="0072020E" w:rsidRPr="006927C1" w:rsidRDefault="0072020E" w:rsidP="00480FB1">
      <w:pPr>
        <w:tabs>
          <w:tab w:val="left" w:pos="540"/>
          <w:tab w:val="left" w:pos="569"/>
        </w:tabs>
        <w:rPr>
          <w:bCs/>
          <w:sz w:val="22"/>
          <w:szCs w:val="22"/>
          <w:lang w:val="sr-Latn-ME"/>
        </w:rPr>
      </w:pPr>
    </w:p>
    <w:p w:rsidR="00EC4ECE" w:rsidRDefault="00EC4ECE" w:rsidP="00480FB1">
      <w:pPr>
        <w:tabs>
          <w:tab w:val="left" w:pos="540"/>
          <w:tab w:val="left" w:pos="569"/>
        </w:tabs>
        <w:rPr>
          <w:rFonts w:ascii="TimesNewRoman" w:hAnsi="TimesNewRoman" w:cs="TimesNewRoman"/>
          <w:sz w:val="22"/>
          <w:szCs w:val="22"/>
          <w:lang w:val="sr-Latn-ME" w:eastAsia="sr-Latn-ME"/>
        </w:rPr>
      </w:pPr>
      <w:r w:rsidRPr="006927C1">
        <w:rPr>
          <w:rFonts w:ascii="TimesNewRoman" w:hAnsi="TimesNewRoman" w:cs="TimesNewRoman"/>
          <w:sz w:val="22"/>
          <w:szCs w:val="22"/>
          <w:lang w:val="sr-Latn-ME" w:eastAsia="sr-Latn-ME"/>
        </w:rPr>
        <w:t>30.09.2022. godine</w:t>
      </w:r>
    </w:p>
    <w:p w:rsidR="00FD250B" w:rsidRPr="006927C1" w:rsidRDefault="00FD250B" w:rsidP="00480FB1">
      <w:pPr>
        <w:tabs>
          <w:tab w:val="left" w:pos="540"/>
          <w:tab w:val="left" w:pos="569"/>
        </w:tabs>
        <w:rPr>
          <w:bCs/>
          <w:sz w:val="22"/>
          <w:szCs w:val="22"/>
          <w:lang w:val="sr-Latn-ME"/>
        </w:rPr>
      </w:pPr>
    </w:p>
    <w:p w:rsidR="00017392" w:rsidRDefault="00017392" w:rsidP="00C05DF8">
      <w:pPr>
        <w:tabs>
          <w:tab w:val="left" w:pos="540"/>
          <w:tab w:val="left" w:pos="569"/>
        </w:tabs>
        <w:ind w:left="540" w:hanging="540"/>
        <w:rPr>
          <w:b/>
          <w:bCs/>
          <w:sz w:val="22"/>
          <w:szCs w:val="22"/>
          <w:lang w:val="sr-Latn-ME"/>
        </w:rPr>
      </w:pPr>
    </w:p>
    <w:p w:rsidR="003F6A59" w:rsidRPr="006927C1" w:rsidRDefault="0072020E" w:rsidP="00C05DF8">
      <w:pPr>
        <w:tabs>
          <w:tab w:val="left" w:pos="540"/>
          <w:tab w:val="left" w:pos="569"/>
        </w:tabs>
        <w:ind w:left="540" w:hanging="540"/>
        <w:rPr>
          <w:bCs/>
          <w:sz w:val="22"/>
          <w:szCs w:val="22"/>
          <w:lang w:val="sr-Latn-ME"/>
        </w:rPr>
      </w:pPr>
      <w:r w:rsidRPr="006927C1">
        <w:rPr>
          <w:b/>
          <w:bCs/>
          <w:sz w:val="22"/>
          <w:szCs w:val="22"/>
          <w:lang w:val="sr-Latn-ME"/>
        </w:rPr>
        <w:t xml:space="preserve">10. </w:t>
      </w:r>
      <w:r w:rsidR="00480FB1" w:rsidRPr="006927C1">
        <w:rPr>
          <w:b/>
          <w:bCs/>
          <w:sz w:val="22"/>
          <w:szCs w:val="22"/>
          <w:lang w:val="sr-Latn-ME"/>
        </w:rPr>
        <w:tab/>
      </w:r>
      <w:r w:rsidR="002846DB" w:rsidRPr="006927C1">
        <w:rPr>
          <w:b/>
          <w:bCs/>
          <w:sz w:val="22"/>
          <w:szCs w:val="22"/>
          <w:lang w:val="sr-Latn-ME"/>
        </w:rPr>
        <w:t>D</w:t>
      </w:r>
      <w:r w:rsidR="00EC2532" w:rsidRPr="006927C1">
        <w:rPr>
          <w:b/>
          <w:bCs/>
          <w:sz w:val="22"/>
          <w:szCs w:val="22"/>
          <w:lang w:val="sr-Latn-ME"/>
        </w:rPr>
        <w:t xml:space="preserve">ATUM REVIZIJE TEKSTA </w:t>
      </w:r>
    </w:p>
    <w:p w:rsidR="003F6A59" w:rsidRPr="006927C1" w:rsidRDefault="003F6A59" w:rsidP="00DE3F5C">
      <w:pPr>
        <w:rPr>
          <w:sz w:val="22"/>
          <w:szCs w:val="22"/>
          <w:lang w:val="sr-Latn-ME"/>
        </w:rPr>
      </w:pPr>
    </w:p>
    <w:p w:rsidR="00EC4ECE" w:rsidRPr="006927C1" w:rsidRDefault="00EC4ECE" w:rsidP="00DE3F5C">
      <w:pPr>
        <w:rPr>
          <w:sz w:val="22"/>
          <w:szCs w:val="22"/>
          <w:lang w:val="sr-Latn-ME"/>
        </w:rPr>
      </w:pPr>
      <w:r w:rsidRPr="006927C1">
        <w:rPr>
          <w:sz w:val="22"/>
          <w:szCs w:val="22"/>
          <w:lang w:val="sr-Latn-ME"/>
        </w:rPr>
        <w:t>Septembar, 2022. godine</w:t>
      </w:r>
    </w:p>
    <w:sectPr w:rsidR="00EC4ECE" w:rsidRPr="006927C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BE" w:rsidRDefault="00636DBE">
      <w:r>
        <w:separator/>
      </w:r>
    </w:p>
  </w:endnote>
  <w:endnote w:type="continuationSeparator" w:id="0">
    <w:p w:rsidR="00636DBE" w:rsidRDefault="0063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9D" w:rsidRPr="00B23F69" w:rsidRDefault="00CC2F9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275F8">
      <w:rPr>
        <w:noProof/>
        <w:sz w:val="22"/>
        <w:szCs w:val="22"/>
      </w:rPr>
      <w:t>34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275F8">
      <w:rPr>
        <w:noProof/>
        <w:sz w:val="22"/>
        <w:szCs w:val="22"/>
      </w:rPr>
      <w:t>34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BE" w:rsidRDefault="00636DBE">
      <w:r>
        <w:separator/>
      </w:r>
    </w:p>
  </w:footnote>
  <w:footnote w:type="continuationSeparator" w:id="0">
    <w:p w:rsidR="00636DBE" w:rsidRDefault="0063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D70BA9"/>
    <w:multiLevelType w:val="hybridMultilevel"/>
    <w:tmpl w:val="2DB25A8A"/>
    <w:lvl w:ilvl="0" w:tplc="CD8E63D6">
      <w:start w:val="1"/>
      <w:numFmt w:val="decimal"/>
      <w:lvlText w:val="%1"/>
      <w:lvlJc w:val="left"/>
      <w:pPr>
        <w:ind w:left="204" w:hanging="188"/>
      </w:pPr>
      <w:rPr>
        <w:rFonts w:ascii="Times New Roman" w:eastAsia="Times New Roman" w:hAnsi="Times New Roman" w:cs="Times New Roman" w:hint="default"/>
        <w:w w:val="103"/>
        <w:sz w:val="20"/>
        <w:szCs w:val="20"/>
      </w:rPr>
    </w:lvl>
    <w:lvl w:ilvl="1" w:tplc="791EF0AE">
      <w:numFmt w:val="bullet"/>
      <w:lvlText w:val="•"/>
      <w:lvlJc w:val="left"/>
      <w:pPr>
        <w:ind w:left="1158" w:hanging="188"/>
      </w:pPr>
      <w:rPr>
        <w:rFonts w:hint="default"/>
      </w:rPr>
    </w:lvl>
    <w:lvl w:ilvl="2" w:tplc="C218A0BA">
      <w:numFmt w:val="bullet"/>
      <w:lvlText w:val="•"/>
      <w:lvlJc w:val="left"/>
      <w:pPr>
        <w:ind w:left="2116" w:hanging="188"/>
      </w:pPr>
      <w:rPr>
        <w:rFonts w:hint="default"/>
      </w:rPr>
    </w:lvl>
    <w:lvl w:ilvl="3" w:tplc="8CF875B6">
      <w:numFmt w:val="bullet"/>
      <w:lvlText w:val="•"/>
      <w:lvlJc w:val="left"/>
      <w:pPr>
        <w:ind w:left="3074" w:hanging="188"/>
      </w:pPr>
      <w:rPr>
        <w:rFonts w:hint="default"/>
      </w:rPr>
    </w:lvl>
    <w:lvl w:ilvl="4" w:tplc="30CC58D0">
      <w:numFmt w:val="bullet"/>
      <w:lvlText w:val="•"/>
      <w:lvlJc w:val="left"/>
      <w:pPr>
        <w:ind w:left="4032" w:hanging="188"/>
      </w:pPr>
      <w:rPr>
        <w:rFonts w:hint="default"/>
      </w:rPr>
    </w:lvl>
    <w:lvl w:ilvl="5" w:tplc="B846F764">
      <w:numFmt w:val="bullet"/>
      <w:lvlText w:val="•"/>
      <w:lvlJc w:val="left"/>
      <w:pPr>
        <w:ind w:left="4990" w:hanging="188"/>
      </w:pPr>
      <w:rPr>
        <w:rFonts w:hint="default"/>
      </w:rPr>
    </w:lvl>
    <w:lvl w:ilvl="6" w:tplc="61209864">
      <w:numFmt w:val="bullet"/>
      <w:lvlText w:val="•"/>
      <w:lvlJc w:val="left"/>
      <w:pPr>
        <w:ind w:left="5948" w:hanging="188"/>
      </w:pPr>
      <w:rPr>
        <w:rFonts w:hint="default"/>
      </w:rPr>
    </w:lvl>
    <w:lvl w:ilvl="7" w:tplc="C6F4172E">
      <w:numFmt w:val="bullet"/>
      <w:lvlText w:val="•"/>
      <w:lvlJc w:val="left"/>
      <w:pPr>
        <w:ind w:left="6906" w:hanging="188"/>
      </w:pPr>
      <w:rPr>
        <w:rFonts w:hint="default"/>
      </w:rPr>
    </w:lvl>
    <w:lvl w:ilvl="8" w:tplc="C7324B4C">
      <w:numFmt w:val="bullet"/>
      <w:lvlText w:val="•"/>
      <w:lvlJc w:val="left"/>
      <w:pPr>
        <w:ind w:left="7864" w:hanging="188"/>
      </w:pPr>
      <w:rPr>
        <w:rFonts w:hint="default"/>
      </w:rPr>
    </w:lvl>
  </w:abstractNum>
  <w:abstractNum w:abstractNumId="4" w15:restartNumberingAfterBreak="0">
    <w:nsid w:val="171B196B"/>
    <w:multiLevelType w:val="hybridMultilevel"/>
    <w:tmpl w:val="8252F486"/>
    <w:lvl w:ilvl="0" w:tplc="7876B06C">
      <w:numFmt w:val="bullet"/>
      <w:lvlText w:val=""/>
      <w:lvlJc w:val="left"/>
      <w:pPr>
        <w:ind w:left="674" w:hanging="562"/>
      </w:pPr>
      <w:rPr>
        <w:rFonts w:ascii="Symbol" w:eastAsia="Symbol" w:hAnsi="Symbol" w:cs="Symbol" w:hint="default"/>
        <w:b w:val="0"/>
        <w:bCs w:val="0"/>
        <w:i w:val="0"/>
        <w:iCs w:val="0"/>
        <w:w w:val="100"/>
        <w:sz w:val="22"/>
        <w:szCs w:val="22"/>
      </w:rPr>
    </w:lvl>
    <w:lvl w:ilvl="1" w:tplc="D138CE16">
      <w:numFmt w:val="bullet"/>
      <w:lvlText w:val="•"/>
      <w:lvlJc w:val="left"/>
      <w:pPr>
        <w:ind w:left="1642" w:hanging="562"/>
      </w:pPr>
      <w:rPr>
        <w:rFonts w:hint="default"/>
      </w:rPr>
    </w:lvl>
    <w:lvl w:ilvl="2" w:tplc="A7F2A10C">
      <w:numFmt w:val="bullet"/>
      <w:lvlText w:val="•"/>
      <w:lvlJc w:val="left"/>
      <w:pPr>
        <w:ind w:left="2605" w:hanging="562"/>
      </w:pPr>
      <w:rPr>
        <w:rFonts w:hint="default"/>
      </w:rPr>
    </w:lvl>
    <w:lvl w:ilvl="3" w:tplc="E326CF92">
      <w:numFmt w:val="bullet"/>
      <w:lvlText w:val="•"/>
      <w:lvlJc w:val="left"/>
      <w:pPr>
        <w:ind w:left="3567" w:hanging="562"/>
      </w:pPr>
      <w:rPr>
        <w:rFonts w:hint="default"/>
      </w:rPr>
    </w:lvl>
    <w:lvl w:ilvl="4" w:tplc="9718FAA4">
      <w:numFmt w:val="bullet"/>
      <w:lvlText w:val="•"/>
      <w:lvlJc w:val="left"/>
      <w:pPr>
        <w:ind w:left="4530" w:hanging="562"/>
      </w:pPr>
      <w:rPr>
        <w:rFonts w:hint="default"/>
      </w:rPr>
    </w:lvl>
    <w:lvl w:ilvl="5" w:tplc="E7B0E918">
      <w:numFmt w:val="bullet"/>
      <w:lvlText w:val="•"/>
      <w:lvlJc w:val="left"/>
      <w:pPr>
        <w:ind w:left="5492" w:hanging="562"/>
      </w:pPr>
      <w:rPr>
        <w:rFonts w:hint="default"/>
      </w:rPr>
    </w:lvl>
    <w:lvl w:ilvl="6" w:tplc="C56EC8FA">
      <w:numFmt w:val="bullet"/>
      <w:lvlText w:val="•"/>
      <w:lvlJc w:val="left"/>
      <w:pPr>
        <w:ind w:left="6455" w:hanging="562"/>
      </w:pPr>
      <w:rPr>
        <w:rFonts w:hint="default"/>
      </w:rPr>
    </w:lvl>
    <w:lvl w:ilvl="7" w:tplc="9666650A">
      <w:numFmt w:val="bullet"/>
      <w:lvlText w:val="•"/>
      <w:lvlJc w:val="left"/>
      <w:pPr>
        <w:ind w:left="7417" w:hanging="562"/>
      </w:pPr>
      <w:rPr>
        <w:rFonts w:hint="default"/>
      </w:rPr>
    </w:lvl>
    <w:lvl w:ilvl="8" w:tplc="A6BAA5EA">
      <w:numFmt w:val="bullet"/>
      <w:lvlText w:val="•"/>
      <w:lvlJc w:val="left"/>
      <w:pPr>
        <w:ind w:left="8380" w:hanging="562"/>
      </w:pPr>
      <w:rPr>
        <w:rFont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09A79D9"/>
    <w:multiLevelType w:val="multilevel"/>
    <w:tmpl w:val="EC365A26"/>
    <w:lvl w:ilvl="0">
      <w:start w:val="1"/>
      <w:numFmt w:val="decimal"/>
      <w:lvlText w:val="%1."/>
      <w:lvlJc w:val="left"/>
      <w:pPr>
        <w:ind w:left="334" w:hanging="222"/>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501" w:hanging="389"/>
      </w:pPr>
      <w:rPr>
        <w:rFonts w:ascii="Times New Roman" w:eastAsia="Times New Roman" w:hAnsi="Times New Roman" w:cs="Times New Roman" w:hint="default"/>
        <w:b/>
        <w:bCs/>
        <w:i w:val="0"/>
        <w:iCs w:val="0"/>
        <w:w w:val="100"/>
        <w:sz w:val="22"/>
        <w:szCs w:val="22"/>
      </w:rPr>
    </w:lvl>
    <w:lvl w:ilvl="2">
      <w:numFmt w:val="bullet"/>
      <w:lvlText w:val="•"/>
      <w:lvlJc w:val="left"/>
      <w:pPr>
        <w:ind w:left="1589" w:hanging="389"/>
      </w:pPr>
      <w:rPr>
        <w:rFonts w:hint="default"/>
      </w:rPr>
    </w:lvl>
    <w:lvl w:ilvl="3">
      <w:numFmt w:val="bullet"/>
      <w:lvlText w:val="•"/>
      <w:lvlJc w:val="left"/>
      <w:pPr>
        <w:ind w:left="2679" w:hanging="389"/>
      </w:pPr>
      <w:rPr>
        <w:rFonts w:hint="default"/>
      </w:rPr>
    </w:lvl>
    <w:lvl w:ilvl="4">
      <w:numFmt w:val="bullet"/>
      <w:lvlText w:val="•"/>
      <w:lvlJc w:val="left"/>
      <w:pPr>
        <w:ind w:left="3768" w:hanging="389"/>
      </w:pPr>
      <w:rPr>
        <w:rFonts w:hint="default"/>
      </w:rPr>
    </w:lvl>
    <w:lvl w:ilvl="5">
      <w:numFmt w:val="bullet"/>
      <w:lvlText w:val="•"/>
      <w:lvlJc w:val="left"/>
      <w:pPr>
        <w:ind w:left="4857" w:hanging="389"/>
      </w:pPr>
      <w:rPr>
        <w:rFonts w:hint="default"/>
      </w:rPr>
    </w:lvl>
    <w:lvl w:ilvl="6">
      <w:numFmt w:val="bullet"/>
      <w:lvlText w:val="•"/>
      <w:lvlJc w:val="left"/>
      <w:pPr>
        <w:ind w:left="5947" w:hanging="389"/>
      </w:pPr>
      <w:rPr>
        <w:rFonts w:hint="default"/>
      </w:rPr>
    </w:lvl>
    <w:lvl w:ilvl="7">
      <w:numFmt w:val="bullet"/>
      <w:lvlText w:val="•"/>
      <w:lvlJc w:val="left"/>
      <w:pPr>
        <w:ind w:left="7036" w:hanging="389"/>
      </w:pPr>
      <w:rPr>
        <w:rFonts w:hint="default"/>
      </w:rPr>
    </w:lvl>
    <w:lvl w:ilvl="8">
      <w:numFmt w:val="bullet"/>
      <w:lvlText w:val="•"/>
      <w:lvlJc w:val="left"/>
      <w:pPr>
        <w:ind w:left="8126" w:hanging="389"/>
      </w:pPr>
      <w:rPr>
        <w:rFont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221197"/>
    <w:multiLevelType w:val="hybridMultilevel"/>
    <w:tmpl w:val="D7AE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4"/>
  </w:num>
  <w:num w:numId="3">
    <w:abstractNumId w:val="1"/>
  </w:num>
  <w:num w:numId="4">
    <w:abstractNumId w:val="13"/>
  </w:num>
  <w:num w:numId="5">
    <w:abstractNumId w:val="8"/>
  </w:num>
  <w:num w:numId="6">
    <w:abstractNumId w:val="2"/>
  </w:num>
  <w:num w:numId="7">
    <w:abstractNumId w:val="11"/>
  </w:num>
  <w:num w:numId="8">
    <w:abstractNumId w:val="7"/>
  </w:num>
  <w:num w:numId="9">
    <w:abstractNumId w:val="10"/>
  </w:num>
  <w:num w:numId="10">
    <w:abstractNumId w:val="16"/>
  </w:num>
  <w:num w:numId="11">
    <w:abstractNumId w:val="9"/>
  </w:num>
  <w:num w:numId="12">
    <w:abstractNumId w:val="5"/>
  </w:num>
  <w:num w:numId="13">
    <w:abstractNumId w:val="0"/>
    <w:lvlOverride w:ilvl="0">
      <w:startOverride w:val="7"/>
    </w:lvlOverride>
  </w:num>
  <w:num w:numId="14">
    <w:abstractNumId w:val="17"/>
  </w:num>
  <w:num w:numId="15">
    <w:abstractNumId w:val="4"/>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8F7"/>
    <w:rsid w:val="00017392"/>
    <w:rsid w:val="000176CA"/>
    <w:rsid w:val="00031462"/>
    <w:rsid w:val="00036FA0"/>
    <w:rsid w:val="0003793F"/>
    <w:rsid w:val="00042B2C"/>
    <w:rsid w:val="00057E35"/>
    <w:rsid w:val="0007535D"/>
    <w:rsid w:val="00076726"/>
    <w:rsid w:val="000777E8"/>
    <w:rsid w:val="00080303"/>
    <w:rsid w:val="000A3F58"/>
    <w:rsid w:val="000D2343"/>
    <w:rsid w:val="000D3449"/>
    <w:rsid w:val="000D425A"/>
    <w:rsid w:val="000D4869"/>
    <w:rsid w:val="000D60CC"/>
    <w:rsid w:val="000E2084"/>
    <w:rsid w:val="000E6F55"/>
    <w:rsid w:val="000F77FA"/>
    <w:rsid w:val="00107BF7"/>
    <w:rsid w:val="00126F53"/>
    <w:rsid w:val="0014766D"/>
    <w:rsid w:val="001536CC"/>
    <w:rsid w:val="001837EC"/>
    <w:rsid w:val="001A3FBA"/>
    <w:rsid w:val="001A5518"/>
    <w:rsid w:val="001B1C6A"/>
    <w:rsid w:val="001B7C43"/>
    <w:rsid w:val="001C1263"/>
    <w:rsid w:val="001C1417"/>
    <w:rsid w:val="001E3695"/>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9793E"/>
    <w:rsid w:val="002B1B81"/>
    <w:rsid w:val="002C6637"/>
    <w:rsid w:val="002E0135"/>
    <w:rsid w:val="002E37A5"/>
    <w:rsid w:val="00306FC0"/>
    <w:rsid w:val="00310F03"/>
    <w:rsid w:val="003247D2"/>
    <w:rsid w:val="003445C1"/>
    <w:rsid w:val="00347E26"/>
    <w:rsid w:val="00355B61"/>
    <w:rsid w:val="00362686"/>
    <w:rsid w:val="003653D4"/>
    <w:rsid w:val="00371510"/>
    <w:rsid w:val="00386268"/>
    <w:rsid w:val="00396DFD"/>
    <w:rsid w:val="003A2040"/>
    <w:rsid w:val="003A7059"/>
    <w:rsid w:val="003B7A36"/>
    <w:rsid w:val="003C17AB"/>
    <w:rsid w:val="003C5021"/>
    <w:rsid w:val="003C5113"/>
    <w:rsid w:val="003C7823"/>
    <w:rsid w:val="003D10E7"/>
    <w:rsid w:val="003D4013"/>
    <w:rsid w:val="003E1DCC"/>
    <w:rsid w:val="003F11A1"/>
    <w:rsid w:val="003F6A59"/>
    <w:rsid w:val="004065C8"/>
    <w:rsid w:val="004109FA"/>
    <w:rsid w:val="00411B4B"/>
    <w:rsid w:val="00415BEE"/>
    <w:rsid w:val="00424630"/>
    <w:rsid w:val="00427F85"/>
    <w:rsid w:val="00436F42"/>
    <w:rsid w:val="004378B4"/>
    <w:rsid w:val="00451314"/>
    <w:rsid w:val="00452E9D"/>
    <w:rsid w:val="004534C7"/>
    <w:rsid w:val="004671AA"/>
    <w:rsid w:val="00480FB1"/>
    <w:rsid w:val="00483928"/>
    <w:rsid w:val="00491DD6"/>
    <w:rsid w:val="004C331F"/>
    <w:rsid w:val="004D6103"/>
    <w:rsid w:val="004E2121"/>
    <w:rsid w:val="004E3BCE"/>
    <w:rsid w:val="004E70AD"/>
    <w:rsid w:val="004F0E97"/>
    <w:rsid w:val="00501DD1"/>
    <w:rsid w:val="00504D7D"/>
    <w:rsid w:val="00515C21"/>
    <w:rsid w:val="00530BD7"/>
    <w:rsid w:val="005354AB"/>
    <w:rsid w:val="00544743"/>
    <w:rsid w:val="00545CD2"/>
    <w:rsid w:val="005476F3"/>
    <w:rsid w:val="00556CC6"/>
    <w:rsid w:val="0057055E"/>
    <w:rsid w:val="00572527"/>
    <w:rsid w:val="00573E40"/>
    <w:rsid w:val="00576348"/>
    <w:rsid w:val="00592959"/>
    <w:rsid w:val="005A0B2E"/>
    <w:rsid w:val="005A23D2"/>
    <w:rsid w:val="005A36CB"/>
    <w:rsid w:val="005B1147"/>
    <w:rsid w:val="005B49B8"/>
    <w:rsid w:val="005C0741"/>
    <w:rsid w:val="005C5EF4"/>
    <w:rsid w:val="005E1C6E"/>
    <w:rsid w:val="005E2E0B"/>
    <w:rsid w:val="005E7A7D"/>
    <w:rsid w:val="00602457"/>
    <w:rsid w:val="00636DBE"/>
    <w:rsid w:val="00644FC3"/>
    <w:rsid w:val="00646BD1"/>
    <w:rsid w:val="006551F0"/>
    <w:rsid w:val="006561C2"/>
    <w:rsid w:val="00671CB3"/>
    <w:rsid w:val="00674BAF"/>
    <w:rsid w:val="00682200"/>
    <w:rsid w:val="006927C1"/>
    <w:rsid w:val="00692BF6"/>
    <w:rsid w:val="00692EB4"/>
    <w:rsid w:val="006A1497"/>
    <w:rsid w:val="006B0BD1"/>
    <w:rsid w:val="006B5404"/>
    <w:rsid w:val="006D20A5"/>
    <w:rsid w:val="006D37BF"/>
    <w:rsid w:val="006E487A"/>
    <w:rsid w:val="00702E22"/>
    <w:rsid w:val="0072020E"/>
    <w:rsid w:val="00776AF0"/>
    <w:rsid w:val="00786071"/>
    <w:rsid w:val="00792773"/>
    <w:rsid w:val="007A3ECB"/>
    <w:rsid w:val="007D7BB3"/>
    <w:rsid w:val="008102F5"/>
    <w:rsid w:val="00824AB9"/>
    <w:rsid w:val="00836B35"/>
    <w:rsid w:val="00843BDE"/>
    <w:rsid w:val="00855B54"/>
    <w:rsid w:val="008605AD"/>
    <w:rsid w:val="00867B0F"/>
    <w:rsid w:val="0087588C"/>
    <w:rsid w:val="0089705C"/>
    <w:rsid w:val="008A6D43"/>
    <w:rsid w:val="008B491E"/>
    <w:rsid w:val="008C1A28"/>
    <w:rsid w:val="008C2E98"/>
    <w:rsid w:val="008D28ED"/>
    <w:rsid w:val="008E49BD"/>
    <w:rsid w:val="008E53E9"/>
    <w:rsid w:val="008E5771"/>
    <w:rsid w:val="008F4ACF"/>
    <w:rsid w:val="00924166"/>
    <w:rsid w:val="00931357"/>
    <w:rsid w:val="00932AD6"/>
    <w:rsid w:val="00940173"/>
    <w:rsid w:val="00940B9B"/>
    <w:rsid w:val="0095676E"/>
    <w:rsid w:val="00956983"/>
    <w:rsid w:val="00963CF0"/>
    <w:rsid w:val="00964BB1"/>
    <w:rsid w:val="009775D9"/>
    <w:rsid w:val="00997175"/>
    <w:rsid w:val="009A1847"/>
    <w:rsid w:val="009B062A"/>
    <w:rsid w:val="009C0F94"/>
    <w:rsid w:val="009E7AD4"/>
    <w:rsid w:val="009E7C6F"/>
    <w:rsid w:val="009F1793"/>
    <w:rsid w:val="009F2D23"/>
    <w:rsid w:val="00A01D69"/>
    <w:rsid w:val="00A02335"/>
    <w:rsid w:val="00A46C9A"/>
    <w:rsid w:val="00A619F3"/>
    <w:rsid w:val="00A62A73"/>
    <w:rsid w:val="00A718BB"/>
    <w:rsid w:val="00A73C74"/>
    <w:rsid w:val="00A87FF6"/>
    <w:rsid w:val="00AA0A3B"/>
    <w:rsid w:val="00AA2763"/>
    <w:rsid w:val="00AA33B6"/>
    <w:rsid w:val="00AA689E"/>
    <w:rsid w:val="00AB4AD5"/>
    <w:rsid w:val="00AB50CA"/>
    <w:rsid w:val="00AB6D64"/>
    <w:rsid w:val="00AC53CE"/>
    <w:rsid w:val="00AD2193"/>
    <w:rsid w:val="00AE4815"/>
    <w:rsid w:val="00AF2AC7"/>
    <w:rsid w:val="00AF74CE"/>
    <w:rsid w:val="00B173DE"/>
    <w:rsid w:val="00B208DB"/>
    <w:rsid w:val="00B23F69"/>
    <w:rsid w:val="00B275F8"/>
    <w:rsid w:val="00B60619"/>
    <w:rsid w:val="00B66A70"/>
    <w:rsid w:val="00B67366"/>
    <w:rsid w:val="00B80EE1"/>
    <w:rsid w:val="00B84135"/>
    <w:rsid w:val="00BE466F"/>
    <w:rsid w:val="00C04D34"/>
    <w:rsid w:val="00C05DF8"/>
    <w:rsid w:val="00C06864"/>
    <w:rsid w:val="00C10F54"/>
    <w:rsid w:val="00C23B78"/>
    <w:rsid w:val="00C23D8D"/>
    <w:rsid w:val="00C37AA3"/>
    <w:rsid w:val="00C37FD7"/>
    <w:rsid w:val="00C43419"/>
    <w:rsid w:val="00C44CF3"/>
    <w:rsid w:val="00C53F6F"/>
    <w:rsid w:val="00C61BE0"/>
    <w:rsid w:val="00C6707E"/>
    <w:rsid w:val="00C70B0E"/>
    <w:rsid w:val="00C773CA"/>
    <w:rsid w:val="00C83785"/>
    <w:rsid w:val="00C84318"/>
    <w:rsid w:val="00C94C0D"/>
    <w:rsid w:val="00CA1FEB"/>
    <w:rsid w:val="00CB39A7"/>
    <w:rsid w:val="00CC2F9D"/>
    <w:rsid w:val="00CC5F01"/>
    <w:rsid w:val="00CD05E9"/>
    <w:rsid w:val="00CD4F85"/>
    <w:rsid w:val="00CD6F02"/>
    <w:rsid w:val="00CE246D"/>
    <w:rsid w:val="00CF07A0"/>
    <w:rsid w:val="00CF3E03"/>
    <w:rsid w:val="00D0082A"/>
    <w:rsid w:val="00D21455"/>
    <w:rsid w:val="00D226B1"/>
    <w:rsid w:val="00D37F53"/>
    <w:rsid w:val="00D47634"/>
    <w:rsid w:val="00D709B3"/>
    <w:rsid w:val="00DA16E4"/>
    <w:rsid w:val="00DA2ED6"/>
    <w:rsid w:val="00DB01FF"/>
    <w:rsid w:val="00DB76B8"/>
    <w:rsid w:val="00DC2EA1"/>
    <w:rsid w:val="00DD6AAF"/>
    <w:rsid w:val="00DE27AA"/>
    <w:rsid w:val="00DE3F5C"/>
    <w:rsid w:val="00DF1D20"/>
    <w:rsid w:val="00DF4AB3"/>
    <w:rsid w:val="00E21324"/>
    <w:rsid w:val="00E246B9"/>
    <w:rsid w:val="00E31FEA"/>
    <w:rsid w:val="00E42D88"/>
    <w:rsid w:val="00E45169"/>
    <w:rsid w:val="00E47787"/>
    <w:rsid w:val="00E51C30"/>
    <w:rsid w:val="00E64180"/>
    <w:rsid w:val="00E74AEE"/>
    <w:rsid w:val="00E868E5"/>
    <w:rsid w:val="00E9237A"/>
    <w:rsid w:val="00E92C61"/>
    <w:rsid w:val="00E939FA"/>
    <w:rsid w:val="00EA5765"/>
    <w:rsid w:val="00EB02BC"/>
    <w:rsid w:val="00EC2532"/>
    <w:rsid w:val="00EC4ECE"/>
    <w:rsid w:val="00ED7812"/>
    <w:rsid w:val="00EE212C"/>
    <w:rsid w:val="00EF3B86"/>
    <w:rsid w:val="00F317E9"/>
    <w:rsid w:val="00F34554"/>
    <w:rsid w:val="00F36FF2"/>
    <w:rsid w:val="00F40A13"/>
    <w:rsid w:val="00F45F77"/>
    <w:rsid w:val="00F5167F"/>
    <w:rsid w:val="00F52258"/>
    <w:rsid w:val="00F616F8"/>
    <w:rsid w:val="00F61E6B"/>
    <w:rsid w:val="00F8570A"/>
    <w:rsid w:val="00F86D7D"/>
    <w:rsid w:val="00F91C7B"/>
    <w:rsid w:val="00FD250B"/>
    <w:rsid w:val="00FD3D7A"/>
    <w:rsid w:val="00FD445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1"/>
    <w:qFormat/>
    <w:rsid w:val="005B1147"/>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5B1147"/>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5B1147"/>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uiPriority w:val="1"/>
    <w:rsid w:val="005B1147"/>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5B1147"/>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5B1147"/>
    <w:rPr>
      <w:rFonts w:ascii="Arial" w:hAnsi="Arial" w:cs="Arial"/>
      <w:i/>
      <w:iCs/>
      <w:color w:val="999999"/>
      <w:sz w:val="16"/>
      <w:szCs w:val="24"/>
      <w:lang w:val="en-US" w:eastAsia="en-US"/>
    </w:rPr>
  </w:style>
  <w:style w:type="character" w:customStyle="1" w:styleId="HeaderChar">
    <w:name w:val="Header Char"/>
    <w:basedOn w:val="DefaultParagraphFont"/>
    <w:link w:val="Header"/>
    <w:rsid w:val="005B1147"/>
    <w:rPr>
      <w:sz w:val="24"/>
      <w:szCs w:val="24"/>
      <w:lang w:val="en-US" w:eastAsia="en-US"/>
    </w:rPr>
  </w:style>
  <w:style w:type="character" w:customStyle="1" w:styleId="FooterChar">
    <w:name w:val="Footer Char"/>
    <w:basedOn w:val="DefaultParagraphFont"/>
    <w:link w:val="Footer"/>
    <w:uiPriority w:val="99"/>
    <w:rsid w:val="005B1147"/>
    <w:rPr>
      <w:sz w:val="24"/>
      <w:szCs w:val="24"/>
      <w:lang w:val="en-US" w:eastAsia="en-US"/>
    </w:rPr>
  </w:style>
  <w:style w:type="character" w:customStyle="1" w:styleId="Heading2Char">
    <w:name w:val="Heading 2 Char"/>
    <w:basedOn w:val="DefaultParagraphFont"/>
    <w:link w:val="Heading2"/>
    <w:uiPriority w:val="1"/>
    <w:rsid w:val="005B1147"/>
    <w:rPr>
      <w:rFonts w:ascii="Arial" w:hAnsi="Arial" w:cs="Arial"/>
      <w:i/>
      <w:iCs/>
      <w:color w:val="999999"/>
      <w:sz w:val="18"/>
      <w:szCs w:val="24"/>
      <w:lang w:val="en-US" w:eastAsia="en-US"/>
    </w:rPr>
  </w:style>
  <w:style w:type="numbering" w:customStyle="1" w:styleId="NoList1">
    <w:name w:val="No List1"/>
    <w:next w:val="NoList"/>
    <w:uiPriority w:val="99"/>
    <w:semiHidden/>
    <w:unhideWhenUsed/>
    <w:rsid w:val="005B1147"/>
  </w:style>
  <w:style w:type="character" w:customStyle="1" w:styleId="CommentSubjectChar">
    <w:name w:val="Comment Subject Char"/>
    <w:basedOn w:val="CommentTextChar"/>
    <w:link w:val="CommentSubject"/>
    <w:semiHidden/>
    <w:rsid w:val="005B1147"/>
    <w:rPr>
      <w:b/>
      <w:bCs/>
      <w:lang w:val="en-US" w:eastAsia="en-US"/>
    </w:rPr>
  </w:style>
  <w:style w:type="character" w:customStyle="1" w:styleId="BalloonTextChar">
    <w:name w:val="Balloon Text Char"/>
    <w:basedOn w:val="DefaultParagraphFont"/>
    <w:link w:val="BalloonText"/>
    <w:semiHidden/>
    <w:rsid w:val="005B1147"/>
    <w:rPr>
      <w:rFonts w:ascii="Tahoma" w:hAnsi="Tahoma" w:cs="Tahoma"/>
      <w:sz w:val="16"/>
      <w:szCs w:val="16"/>
      <w:lang w:val="en-US" w:eastAsia="en-US"/>
    </w:rPr>
  </w:style>
  <w:style w:type="paragraph" w:customStyle="1" w:styleId="NASLOV123">
    <w:name w:val="NASLOV 123"/>
    <w:basedOn w:val="Normal"/>
    <w:qFormat/>
    <w:rsid w:val="005B1147"/>
    <w:pPr>
      <w:tabs>
        <w:tab w:val="left" w:pos="284"/>
      </w:tabs>
      <w:spacing w:before="200" w:after="200"/>
    </w:pPr>
    <w:rPr>
      <w:b/>
      <w:sz w:val="22"/>
      <w:szCs w:val="22"/>
    </w:rPr>
  </w:style>
  <w:style w:type="table" w:styleId="TableGrid">
    <w:name w:val="Table Grid"/>
    <w:basedOn w:val="TableNormal"/>
    <w:rsid w:val="005B11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B1147"/>
    <w:pPr>
      <w:widowControl w:val="0"/>
      <w:autoSpaceDE w:val="0"/>
      <w:autoSpaceDN w:val="0"/>
    </w:pPr>
    <w:rPr>
      <w:sz w:val="22"/>
      <w:szCs w:val="22"/>
    </w:rPr>
  </w:style>
  <w:style w:type="character" w:customStyle="1" w:styleId="BodyTextChar">
    <w:name w:val="Body Text Char"/>
    <w:basedOn w:val="DefaultParagraphFont"/>
    <w:link w:val="BodyText"/>
    <w:uiPriority w:val="1"/>
    <w:rsid w:val="005B1147"/>
    <w:rPr>
      <w:sz w:val="22"/>
      <w:szCs w:val="22"/>
      <w:lang w:val="en-US" w:eastAsia="en-US"/>
    </w:rPr>
  </w:style>
  <w:style w:type="paragraph" w:customStyle="1" w:styleId="TableParagraph">
    <w:name w:val="Table Paragraph"/>
    <w:basedOn w:val="Normal"/>
    <w:uiPriority w:val="1"/>
    <w:qFormat/>
    <w:rsid w:val="005B1147"/>
    <w:pPr>
      <w:widowControl w:val="0"/>
      <w:autoSpaceDE w:val="0"/>
      <w:autoSpaceDN w:val="0"/>
      <w:ind w:left="110"/>
    </w:pPr>
    <w:rPr>
      <w:sz w:val="22"/>
      <w:szCs w:val="22"/>
    </w:rPr>
  </w:style>
  <w:style w:type="paragraph" w:styleId="ListParagraph">
    <w:name w:val="List Paragraph"/>
    <w:basedOn w:val="Normal"/>
    <w:uiPriority w:val="1"/>
    <w:qFormat/>
    <w:rsid w:val="005B1147"/>
    <w:pPr>
      <w:widowControl w:val="0"/>
      <w:autoSpaceDE w:val="0"/>
      <w:autoSpaceDN w:val="0"/>
      <w:ind w:left="332" w:hanging="390"/>
    </w:pPr>
    <w:rPr>
      <w:sz w:val="22"/>
      <w:szCs w:val="22"/>
    </w:rPr>
  </w:style>
  <w:style w:type="paragraph" w:styleId="Revision">
    <w:name w:val="Revision"/>
    <w:hidden/>
    <w:uiPriority w:val="99"/>
    <w:semiHidden/>
    <w:rsid w:val="005B1147"/>
    <w:rPr>
      <w:sz w:val="22"/>
      <w:szCs w:val="24"/>
      <w:lang w:val="en-US" w:eastAsia="en-US"/>
    </w:rPr>
  </w:style>
  <w:style w:type="paragraph" w:styleId="HTMLPreformatted">
    <w:name w:val="HTML Preformatted"/>
    <w:basedOn w:val="Normal"/>
    <w:link w:val="HTMLPreformattedChar"/>
    <w:uiPriority w:val="99"/>
    <w:unhideWhenUsed/>
    <w:rsid w:val="005B1147"/>
    <w:pPr>
      <w:tabs>
        <w:tab w:val="left" w:pos="284"/>
      </w:tabs>
      <w:jc w:val="both"/>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B1147"/>
    <w:rPr>
      <w:rFonts w:ascii="Consolas" w:hAnsi="Consolas" w:cs="Consolas"/>
      <w:lang w:val="en-US" w:eastAsia="en-US"/>
    </w:rPr>
  </w:style>
  <w:style w:type="character" w:customStyle="1" w:styleId="y2iqfc">
    <w:name w:val="y2iqfc"/>
    <w:basedOn w:val="DefaultParagraphFont"/>
    <w:rsid w:val="005B1147"/>
  </w:style>
  <w:style w:type="table" w:customStyle="1" w:styleId="TableGrid1">
    <w:name w:val="Table Grid1"/>
    <w:basedOn w:val="TableNormal"/>
    <w:next w:val="TableGrid"/>
    <w:rsid w:val="00932A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92EB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AEF1-4111-4F59-A372-69F6D10D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14222</Words>
  <Characters>81066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95098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2</cp:revision>
  <dcterms:created xsi:type="dcterms:W3CDTF">2022-09-30T12:03:00Z</dcterms:created>
  <dcterms:modified xsi:type="dcterms:W3CDTF">2022-09-30T12:03:00Z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