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EC0535" w:rsidRDefault="001A5518" w:rsidP="001A5518">
      <w:pPr>
        <w:rPr>
          <w:b/>
          <w:bCs/>
          <w:i/>
          <w:iCs/>
          <w:color w:val="FF0000"/>
          <w:sz w:val="22"/>
          <w:szCs w:val="22"/>
          <w:u w:val="single"/>
          <w:lang w:val="sr-Latn-ME"/>
        </w:rPr>
      </w:pPr>
    </w:p>
    <w:p w:rsidR="00F91C7B" w:rsidRPr="00EC0535" w:rsidRDefault="00F91C7B" w:rsidP="001A5518">
      <w:pPr>
        <w:rPr>
          <w:b/>
          <w:bCs/>
          <w:i/>
          <w:iCs/>
          <w:color w:val="FF0000"/>
          <w:sz w:val="22"/>
          <w:szCs w:val="22"/>
          <w:u w:val="single"/>
          <w:lang w:val="sr-Latn-ME"/>
        </w:rPr>
      </w:pPr>
    </w:p>
    <w:p w:rsidR="00C37FD7" w:rsidRPr="00EC0535" w:rsidRDefault="002510A5" w:rsidP="00250526">
      <w:pPr>
        <w:jc w:val="center"/>
        <w:rPr>
          <w:b/>
          <w:bCs/>
          <w:iCs/>
          <w:sz w:val="22"/>
          <w:szCs w:val="22"/>
          <w:u w:val="single"/>
          <w:lang w:val="sr-Latn-ME"/>
        </w:rPr>
      </w:pPr>
      <w:r w:rsidRPr="00EC0535">
        <w:rPr>
          <w:b/>
          <w:bCs/>
          <w:iCs/>
          <w:sz w:val="22"/>
          <w:szCs w:val="22"/>
          <w:u w:val="single"/>
          <w:lang w:val="sr-Latn-ME"/>
        </w:rPr>
        <w:t>SAŽETAK KARAKTERISTIKA LIJEKA</w:t>
      </w:r>
    </w:p>
    <w:p w:rsidR="003C17AB" w:rsidRPr="00EC0535" w:rsidRDefault="003C17AB" w:rsidP="00F5167F">
      <w:pPr>
        <w:tabs>
          <w:tab w:val="left" w:pos="540"/>
          <w:tab w:val="left" w:pos="569"/>
        </w:tabs>
        <w:rPr>
          <w:noProof/>
          <w:sz w:val="22"/>
          <w:szCs w:val="22"/>
          <w:lang w:val="sr-Latn-ME"/>
        </w:rPr>
      </w:pPr>
    </w:p>
    <w:p w:rsidR="00C37FD7" w:rsidRPr="00EC0535" w:rsidRDefault="00C37FD7" w:rsidP="00F5167F">
      <w:pPr>
        <w:tabs>
          <w:tab w:val="left" w:pos="540"/>
          <w:tab w:val="left" w:pos="569"/>
        </w:tabs>
        <w:rPr>
          <w:bCs/>
          <w:sz w:val="22"/>
          <w:szCs w:val="22"/>
          <w:lang w:val="sr-Latn-ME"/>
        </w:rPr>
      </w:pPr>
    </w:p>
    <w:p w:rsidR="00411B4B" w:rsidRPr="00EC0535" w:rsidRDefault="00411B4B" w:rsidP="00F5167F">
      <w:pPr>
        <w:tabs>
          <w:tab w:val="left" w:pos="540"/>
          <w:tab w:val="left" w:pos="569"/>
        </w:tabs>
        <w:rPr>
          <w:b/>
          <w:bCs/>
          <w:sz w:val="22"/>
          <w:szCs w:val="22"/>
          <w:lang w:val="sr-Latn-ME"/>
        </w:rPr>
      </w:pPr>
      <w:r w:rsidRPr="00EC0535">
        <w:rPr>
          <w:b/>
          <w:bCs/>
          <w:sz w:val="22"/>
          <w:szCs w:val="22"/>
          <w:lang w:val="sr-Latn-ME"/>
        </w:rPr>
        <w:t>1.</w:t>
      </w:r>
      <w:r w:rsidR="00F5167F" w:rsidRPr="00EC0535">
        <w:rPr>
          <w:b/>
          <w:bCs/>
          <w:sz w:val="22"/>
          <w:szCs w:val="22"/>
          <w:lang w:val="sr-Latn-ME"/>
        </w:rPr>
        <w:tab/>
      </w:r>
      <w:r w:rsidR="002846DB" w:rsidRPr="00EC0535">
        <w:rPr>
          <w:b/>
          <w:bCs/>
          <w:sz w:val="22"/>
          <w:szCs w:val="22"/>
          <w:lang w:val="sr-Latn-ME"/>
        </w:rPr>
        <w:t xml:space="preserve">NAZIV </w:t>
      </w:r>
      <w:r w:rsidRPr="00EC0535">
        <w:rPr>
          <w:b/>
          <w:bCs/>
          <w:sz w:val="22"/>
          <w:szCs w:val="22"/>
          <w:lang w:val="sr-Latn-ME"/>
        </w:rPr>
        <w:t>LIJEKA</w:t>
      </w:r>
    </w:p>
    <w:p w:rsidR="00EC2532" w:rsidRPr="00EC0535" w:rsidRDefault="00EC2532">
      <w:pPr>
        <w:rPr>
          <w:sz w:val="22"/>
          <w:szCs w:val="22"/>
          <w:lang w:val="sr-Latn-ME"/>
        </w:rPr>
      </w:pPr>
    </w:p>
    <w:p w:rsidR="00250526" w:rsidRPr="00EC0535" w:rsidRDefault="00693220" w:rsidP="00250526">
      <w:pPr>
        <w:rPr>
          <w:iCs/>
          <w:sz w:val="22"/>
          <w:szCs w:val="22"/>
          <w:lang w:val="sr-Latn-ME"/>
        </w:rPr>
      </w:pPr>
      <w:r w:rsidRPr="00EC0535">
        <w:rPr>
          <w:iCs/>
          <w:sz w:val="22"/>
          <w:szCs w:val="22"/>
          <w:lang w:val="sr-Latn-ME"/>
        </w:rPr>
        <w:t>Erlotinib Pharmascience</w:t>
      </w:r>
      <w:r w:rsidR="00250526" w:rsidRPr="00EC0535">
        <w:rPr>
          <w:iCs/>
          <w:sz w:val="22"/>
          <w:szCs w:val="22"/>
          <w:lang w:val="sr-Latn-ME"/>
        </w:rPr>
        <w:t>, 100mg, film tableta</w:t>
      </w:r>
    </w:p>
    <w:p w:rsidR="00250526" w:rsidRPr="00EC0535" w:rsidRDefault="00693220">
      <w:pPr>
        <w:rPr>
          <w:iCs/>
          <w:sz w:val="22"/>
          <w:szCs w:val="22"/>
          <w:lang w:val="sr-Latn-ME"/>
        </w:rPr>
      </w:pPr>
      <w:r w:rsidRPr="00EC0535">
        <w:rPr>
          <w:iCs/>
          <w:sz w:val="22"/>
          <w:szCs w:val="22"/>
          <w:lang w:val="sr-Latn-ME"/>
        </w:rPr>
        <w:t>Erlotinib Pharmascience</w:t>
      </w:r>
      <w:r w:rsidR="00250526" w:rsidRPr="00EC0535">
        <w:rPr>
          <w:iCs/>
          <w:sz w:val="22"/>
          <w:szCs w:val="22"/>
          <w:lang w:val="sr-Latn-ME"/>
        </w:rPr>
        <w:t>, 150mg, film tableta</w:t>
      </w:r>
    </w:p>
    <w:p w:rsidR="000D425A" w:rsidRPr="00EC0535" w:rsidRDefault="000D425A">
      <w:pPr>
        <w:rPr>
          <w:bCs/>
          <w:sz w:val="22"/>
          <w:szCs w:val="22"/>
          <w:lang w:val="sr-Latn-ME"/>
        </w:rPr>
      </w:pPr>
    </w:p>
    <w:p w:rsidR="006D20A5" w:rsidRPr="00EC0535" w:rsidRDefault="006D20A5" w:rsidP="006D20A5">
      <w:pPr>
        <w:rPr>
          <w:sz w:val="22"/>
          <w:szCs w:val="22"/>
          <w:lang w:val="sr-Latn-ME"/>
        </w:rPr>
      </w:pPr>
      <w:r w:rsidRPr="00EC0535">
        <w:rPr>
          <w:sz w:val="22"/>
          <w:szCs w:val="22"/>
          <w:lang w:val="sr-Latn-ME"/>
        </w:rPr>
        <w:t>INN:</w:t>
      </w:r>
      <w:r w:rsidR="00250526" w:rsidRPr="00EC0535">
        <w:rPr>
          <w:sz w:val="22"/>
          <w:szCs w:val="22"/>
          <w:lang w:val="sr-Latn-ME"/>
        </w:rPr>
        <w:t xml:space="preserve"> erlotinib</w:t>
      </w:r>
    </w:p>
    <w:p w:rsidR="006D20A5" w:rsidRPr="00EC0535" w:rsidRDefault="006D20A5">
      <w:pPr>
        <w:rPr>
          <w:bCs/>
          <w:sz w:val="22"/>
          <w:szCs w:val="22"/>
          <w:lang w:val="sr-Latn-ME"/>
        </w:rPr>
      </w:pPr>
    </w:p>
    <w:p w:rsidR="00530BD7" w:rsidRPr="00EC0535" w:rsidRDefault="00530BD7">
      <w:pPr>
        <w:rPr>
          <w:bCs/>
          <w:sz w:val="22"/>
          <w:szCs w:val="22"/>
          <w:lang w:val="sr-Latn-ME"/>
        </w:rPr>
      </w:pPr>
    </w:p>
    <w:p w:rsidR="00411B4B" w:rsidRPr="00EC0535" w:rsidRDefault="00411B4B" w:rsidP="00F5167F">
      <w:pPr>
        <w:tabs>
          <w:tab w:val="left" w:pos="540"/>
          <w:tab w:val="left" w:pos="569"/>
        </w:tabs>
        <w:rPr>
          <w:b/>
          <w:bCs/>
          <w:sz w:val="22"/>
          <w:szCs w:val="22"/>
          <w:lang w:val="sr-Latn-ME"/>
        </w:rPr>
      </w:pPr>
      <w:r w:rsidRPr="00EC0535">
        <w:rPr>
          <w:b/>
          <w:bCs/>
          <w:sz w:val="22"/>
          <w:szCs w:val="22"/>
          <w:lang w:val="sr-Latn-ME"/>
        </w:rPr>
        <w:t xml:space="preserve">2. </w:t>
      </w:r>
      <w:r w:rsidR="00F5167F" w:rsidRPr="00EC0535">
        <w:rPr>
          <w:b/>
          <w:bCs/>
          <w:sz w:val="22"/>
          <w:szCs w:val="22"/>
          <w:lang w:val="sr-Latn-ME"/>
        </w:rPr>
        <w:tab/>
      </w:r>
      <w:r w:rsidRPr="00EC0535">
        <w:rPr>
          <w:b/>
          <w:bCs/>
          <w:sz w:val="22"/>
          <w:szCs w:val="22"/>
          <w:lang w:val="sr-Latn-ME"/>
        </w:rPr>
        <w:t>KVALITATIVNI I KVANTITATIVNI SASTAV</w:t>
      </w:r>
    </w:p>
    <w:p w:rsidR="005A0B2E" w:rsidRPr="00EC0535" w:rsidRDefault="005A0B2E">
      <w:pPr>
        <w:rPr>
          <w:sz w:val="22"/>
          <w:szCs w:val="22"/>
          <w:lang w:val="sr-Latn-ME"/>
        </w:rPr>
      </w:pPr>
    </w:p>
    <w:p w:rsidR="00996D14" w:rsidRPr="00EC0535" w:rsidRDefault="00693220" w:rsidP="00996D14">
      <w:pPr>
        <w:jc w:val="both"/>
        <w:rPr>
          <w:i/>
          <w:iCs/>
          <w:sz w:val="22"/>
          <w:szCs w:val="22"/>
          <w:lang w:val="sr-Latn-ME"/>
        </w:rPr>
      </w:pPr>
      <w:r w:rsidRPr="00EC0535">
        <w:rPr>
          <w:i/>
          <w:iCs/>
          <w:sz w:val="22"/>
          <w:szCs w:val="22"/>
          <w:lang w:val="sr-Latn-ME"/>
        </w:rPr>
        <w:t>Erlotinib Pharmascience</w:t>
      </w:r>
      <w:r w:rsidR="00996D14" w:rsidRPr="00EC0535">
        <w:rPr>
          <w:i/>
          <w:iCs/>
          <w:sz w:val="22"/>
          <w:szCs w:val="22"/>
          <w:lang w:val="sr-Latn-ME"/>
        </w:rPr>
        <w:t>, 100mg, film tableta</w:t>
      </w:r>
    </w:p>
    <w:p w:rsidR="00250526" w:rsidRPr="00EC0535" w:rsidRDefault="00250526" w:rsidP="00996D14">
      <w:pPr>
        <w:jc w:val="both"/>
        <w:rPr>
          <w:sz w:val="22"/>
          <w:szCs w:val="22"/>
          <w:lang w:val="sr-Latn-ME"/>
        </w:rPr>
      </w:pPr>
      <w:r w:rsidRPr="00EC0535">
        <w:rPr>
          <w:sz w:val="22"/>
          <w:szCs w:val="22"/>
          <w:lang w:val="sr-Latn-ME"/>
        </w:rPr>
        <w:t>Jedna film tableta sadrži 100 mg erlotiniba (u obliku erlotinib hidrohlorida).</w:t>
      </w:r>
    </w:p>
    <w:p w:rsidR="00996D14" w:rsidRPr="00EC0535" w:rsidRDefault="00693220" w:rsidP="00996D14">
      <w:pPr>
        <w:jc w:val="both"/>
        <w:rPr>
          <w:i/>
          <w:iCs/>
          <w:sz w:val="22"/>
          <w:szCs w:val="22"/>
          <w:lang w:val="sr-Latn-ME"/>
        </w:rPr>
      </w:pPr>
      <w:r w:rsidRPr="00EC0535">
        <w:rPr>
          <w:i/>
          <w:iCs/>
          <w:sz w:val="22"/>
          <w:szCs w:val="22"/>
          <w:lang w:val="sr-Latn-ME"/>
        </w:rPr>
        <w:t>Erlotinib Pharmascience</w:t>
      </w:r>
      <w:r w:rsidR="00996D14" w:rsidRPr="00EC0535">
        <w:rPr>
          <w:i/>
          <w:iCs/>
          <w:sz w:val="22"/>
          <w:szCs w:val="22"/>
          <w:lang w:val="sr-Latn-ME"/>
        </w:rPr>
        <w:t>, 150mg, film tableta</w:t>
      </w:r>
    </w:p>
    <w:p w:rsidR="00250526" w:rsidRPr="00EC0535" w:rsidRDefault="00250526" w:rsidP="00996D14">
      <w:pPr>
        <w:jc w:val="both"/>
        <w:rPr>
          <w:sz w:val="22"/>
          <w:szCs w:val="22"/>
          <w:lang w:val="sr-Latn-ME"/>
        </w:rPr>
      </w:pPr>
      <w:r w:rsidRPr="00EC0535">
        <w:rPr>
          <w:sz w:val="22"/>
          <w:szCs w:val="22"/>
          <w:lang w:val="sr-Latn-ME"/>
        </w:rPr>
        <w:t>Jedna film tableta sadrži 150 mg erlotiniba (u obliku erlotinib hidrohlorida).</w:t>
      </w:r>
    </w:p>
    <w:p w:rsidR="00250526" w:rsidRPr="00EC0535" w:rsidRDefault="00250526" w:rsidP="00996D14">
      <w:pPr>
        <w:jc w:val="both"/>
        <w:rPr>
          <w:sz w:val="22"/>
          <w:szCs w:val="22"/>
          <w:lang w:val="sr-Latn-ME"/>
        </w:rPr>
      </w:pPr>
    </w:p>
    <w:p w:rsidR="00250526" w:rsidRPr="00EC0535" w:rsidRDefault="00250526" w:rsidP="00996D14">
      <w:pPr>
        <w:jc w:val="both"/>
        <w:rPr>
          <w:sz w:val="22"/>
          <w:szCs w:val="22"/>
          <w:lang w:val="sr-Latn-ME"/>
        </w:rPr>
      </w:pPr>
      <w:r w:rsidRPr="00EC0535">
        <w:rPr>
          <w:sz w:val="22"/>
          <w:szCs w:val="22"/>
          <w:lang w:val="sr-Latn-ME"/>
        </w:rPr>
        <w:t>Pomoćne supstance ss poznatim dejstvom:</w:t>
      </w:r>
    </w:p>
    <w:p w:rsidR="00996D14" w:rsidRPr="00EC0535" w:rsidRDefault="00693220" w:rsidP="00996D14">
      <w:pPr>
        <w:jc w:val="both"/>
        <w:rPr>
          <w:i/>
          <w:iCs/>
          <w:sz w:val="22"/>
          <w:szCs w:val="22"/>
          <w:lang w:val="sr-Latn-ME"/>
        </w:rPr>
      </w:pPr>
      <w:r w:rsidRPr="00EC0535">
        <w:rPr>
          <w:i/>
          <w:iCs/>
          <w:sz w:val="22"/>
          <w:szCs w:val="22"/>
          <w:lang w:val="sr-Latn-ME"/>
        </w:rPr>
        <w:t>Erlotinib Pharmascience</w:t>
      </w:r>
      <w:r w:rsidR="00996D14" w:rsidRPr="00EC0535">
        <w:rPr>
          <w:i/>
          <w:iCs/>
          <w:sz w:val="22"/>
          <w:szCs w:val="22"/>
          <w:lang w:val="sr-Latn-ME"/>
        </w:rPr>
        <w:t>, 100mg, film tableta</w:t>
      </w:r>
    </w:p>
    <w:p w:rsidR="00250526" w:rsidRPr="00EC0535" w:rsidRDefault="00250526" w:rsidP="00996D14">
      <w:pPr>
        <w:jc w:val="both"/>
        <w:rPr>
          <w:sz w:val="22"/>
          <w:szCs w:val="22"/>
          <w:lang w:val="sr-Latn-ME"/>
        </w:rPr>
      </w:pPr>
      <w:r w:rsidRPr="00EC0535">
        <w:rPr>
          <w:sz w:val="22"/>
          <w:szCs w:val="22"/>
          <w:lang w:val="sr-Latn-ME"/>
        </w:rPr>
        <w:t>Svaka film tableta sadrž</w:t>
      </w:r>
      <w:r w:rsidR="00176468" w:rsidRPr="00EC0535">
        <w:rPr>
          <w:sz w:val="22"/>
          <w:szCs w:val="22"/>
          <w:lang w:val="sr-Latn-ME"/>
        </w:rPr>
        <w:t xml:space="preserve">i </w:t>
      </w:r>
      <w:r w:rsidR="00693220" w:rsidRPr="00EC0535">
        <w:rPr>
          <w:sz w:val="22"/>
          <w:szCs w:val="22"/>
          <w:lang w:val="sr-Latn-ME"/>
        </w:rPr>
        <w:t>95</w:t>
      </w:r>
      <w:r w:rsidR="00176468" w:rsidRPr="00EC0535">
        <w:rPr>
          <w:sz w:val="22"/>
          <w:szCs w:val="22"/>
          <w:lang w:val="sr-Latn-ME"/>
        </w:rPr>
        <w:t>,</w:t>
      </w:r>
      <w:r w:rsidR="00693220" w:rsidRPr="00EC0535">
        <w:rPr>
          <w:sz w:val="22"/>
          <w:szCs w:val="22"/>
          <w:lang w:val="sr-Latn-ME"/>
        </w:rPr>
        <w:t>93</w:t>
      </w:r>
      <w:r w:rsidRPr="00EC0535">
        <w:rPr>
          <w:sz w:val="22"/>
          <w:szCs w:val="22"/>
          <w:lang w:val="sr-Latn-ME"/>
        </w:rPr>
        <w:t xml:space="preserve"> mg laktoz</w:t>
      </w:r>
      <w:r w:rsidR="00533ADB" w:rsidRPr="00EC0535">
        <w:rPr>
          <w:sz w:val="22"/>
          <w:szCs w:val="22"/>
          <w:lang w:val="sr-Latn-ME"/>
        </w:rPr>
        <w:t>e, monoh</w:t>
      </w:r>
      <w:r w:rsidR="00693220" w:rsidRPr="00EC0535">
        <w:rPr>
          <w:sz w:val="22"/>
          <w:szCs w:val="22"/>
          <w:lang w:val="sr-Latn-ME"/>
        </w:rPr>
        <w:t>idrat</w:t>
      </w:r>
      <w:r w:rsidR="00FF1BEA" w:rsidRPr="00EC0535">
        <w:rPr>
          <w:sz w:val="22"/>
          <w:szCs w:val="22"/>
          <w:lang w:val="sr-Latn-ME"/>
        </w:rPr>
        <w:t>a</w:t>
      </w:r>
      <w:r w:rsidRPr="00EC0535">
        <w:rPr>
          <w:sz w:val="22"/>
          <w:szCs w:val="22"/>
          <w:lang w:val="sr-Latn-ME"/>
        </w:rPr>
        <w:t>.</w:t>
      </w:r>
    </w:p>
    <w:p w:rsidR="00996D14" w:rsidRPr="00EC0535" w:rsidRDefault="00693220" w:rsidP="00996D14">
      <w:pPr>
        <w:jc w:val="both"/>
        <w:rPr>
          <w:i/>
          <w:iCs/>
          <w:sz w:val="22"/>
          <w:szCs w:val="22"/>
          <w:lang w:val="sr-Latn-ME"/>
        </w:rPr>
      </w:pPr>
      <w:r w:rsidRPr="00EC0535">
        <w:rPr>
          <w:i/>
          <w:iCs/>
          <w:sz w:val="22"/>
          <w:szCs w:val="22"/>
          <w:lang w:val="sr-Latn-ME"/>
        </w:rPr>
        <w:t>Erlotinib Pharmascience</w:t>
      </w:r>
      <w:r w:rsidR="00996D14" w:rsidRPr="00EC0535">
        <w:rPr>
          <w:i/>
          <w:iCs/>
          <w:sz w:val="22"/>
          <w:szCs w:val="22"/>
          <w:lang w:val="sr-Latn-ME"/>
        </w:rPr>
        <w:t>, 150mg, film tableta</w:t>
      </w:r>
    </w:p>
    <w:p w:rsidR="00250526" w:rsidRPr="00EC0535" w:rsidRDefault="00250526" w:rsidP="00996D14">
      <w:pPr>
        <w:jc w:val="both"/>
        <w:rPr>
          <w:sz w:val="22"/>
          <w:szCs w:val="22"/>
          <w:lang w:val="sr-Latn-ME"/>
        </w:rPr>
      </w:pPr>
      <w:r w:rsidRPr="00EC0535">
        <w:rPr>
          <w:sz w:val="22"/>
          <w:szCs w:val="22"/>
          <w:lang w:val="sr-Latn-ME"/>
        </w:rPr>
        <w:t xml:space="preserve">Svaka film tableta sadrži </w:t>
      </w:r>
      <w:r w:rsidR="00693220" w:rsidRPr="00EC0535">
        <w:rPr>
          <w:sz w:val="22"/>
          <w:szCs w:val="22"/>
          <w:lang w:val="sr-Latn-ME"/>
        </w:rPr>
        <w:t xml:space="preserve">143.90 </w:t>
      </w:r>
      <w:r w:rsidRPr="00EC0535">
        <w:rPr>
          <w:sz w:val="22"/>
          <w:szCs w:val="22"/>
          <w:lang w:val="sr-Latn-ME"/>
        </w:rPr>
        <w:t xml:space="preserve">mg </w:t>
      </w:r>
      <w:r w:rsidR="00693220" w:rsidRPr="00EC0535">
        <w:rPr>
          <w:sz w:val="22"/>
          <w:szCs w:val="22"/>
          <w:lang w:val="sr-Latn-ME"/>
        </w:rPr>
        <w:t>laktoz</w:t>
      </w:r>
      <w:r w:rsidR="00533ADB" w:rsidRPr="00EC0535">
        <w:rPr>
          <w:sz w:val="22"/>
          <w:szCs w:val="22"/>
          <w:lang w:val="sr-Latn-ME"/>
        </w:rPr>
        <w:t>e, monoh</w:t>
      </w:r>
      <w:r w:rsidR="00693220" w:rsidRPr="00EC0535">
        <w:rPr>
          <w:sz w:val="22"/>
          <w:szCs w:val="22"/>
          <w:lang w:val="sr-Latn-ME"/>
        </w:rPr>
        <w:t>idrat</w:t>
      </w:r>
      <w:r w:rsidR="00FF1BEA" w:rsidRPr="00EC0535">
        <w:rPr>
          <w:sz w:val="22"/>
          <w:szCs w:val="22"/>
          <w:lang w:val="sr-Latn-ME"/>
        </w:rPr>
        <w:t>a</w:t>
      </w:r>
      <w:r w:rsidRPr="00EC0535">
        <w:rPr>
          <w:sz w:val="22"/>
          <w:szCs w:val="22"/>
          <w:lang w:val="sr-Latn-ME"/>
        </w:rPr>
        <w:t>.</w:t>
      </w:r>
    </w:p>
    <w:p w:rsidR="00250526" w:rsidRPr="00EC0535" w:rsidRDefault="00250526">
      <w:pPr>
        <w:rPr>
          <w:sz w:val="22"/>
          <w:szCs w:val="22"/>
          <w:lang w:val="sr-Latn-ME"/>
        </w:rPr>
      </w:pPr>
    </w:p>
    <w:p w:rsidR="0003793F" w:rsidRPr="00EC0535" w:rsidRDefault="0003793F">
      <w:pPr>
        <w:rPr>
          <w:sz w:val="22"/>
          <w:szCs w:val="22"/>
          <w:lang w:val="sr-Latn-ME"/>
        </w:rPr>
      </w:pPr>
      <w:r w:rsidRPr="00EC0535">
        <w:rPr>
          <w:sz w:val="22"/>
          <w:szCs w:val="22"/>
          <w:lang w:val="sr-Latn-ME"/>
        </w:rPr>
        <w:t>Za spisak svih ekscipijenasa, pogledati dio 6.1.</w:t>
      </w:r>
    </w:p>
    <w:p w:rsidR="0003793F" w:rsidRPr="00EC0535" w:rsidRDefault="0003793F">
      <w:pPr>
        <w:rPr>
          <w:sz w:val="22"/>
          <w:szCs w:val="22"/>
          <w:lang w:val="sr-Latn-ME"/>
        </w:rPr>
      </w:pPr>
    </w:p>
    <w:p w:rsidR="00C37FD7" w:rsidRPr="00EC0535" w:rsidRDefault="00C37FD7">
      <w:pPr>
        <w:rPr>
          <w:sz w:val="22"/>
          <w:szCs w:val="22"/>
          <w:lang w:val="sr-Latn-ME"/>
        </w:rPr>
      </w:pPr>
    </w:p>
    <w:p w:rsidR="00411B4B" w:rsidRPr="00EC0535" w:rsidRDefault="00411B4B" w:rsidP="00F5167F">
      <w:pPr>
        <w:tabs>
          <w:tab w:val="left" w:pos="540"/>
          <w:tab w:val="left" w:pos="569"/>
        </w:tabs>
        <w:rPr>
          <w:b/>
          <w:bCs/>
          <w:sz w:val="22"/>
          <w:szCs w:val="22"/>
          <w:lang w:val="sr-Latn-ME"/>
        </w:rPr>
      </w:pPr>
      <w:r w:rsidRPr="00EC0535">
        <w:rPr>
          <w:b/>
          <w:bCs/>
          <w:sz w:val="22"/>
          <w:szCs w:val="22"/>
          <w:lang w:val="sr-Latn-ME"/>
        </w:rPr>
        <w:t xml:space="preserve">3. </w:t>
      </w:r>
      <w:r w:rsidR="00F5167F" w:rsidRPr="00EC0535">
        <w:rPr>
          <w:b/>
          <w:bCs/>
          <w:sz w:val="22"/>
          <w:szCs w:val="22"/>
          <w:lang w:val="sr-Latn-ME"/>
        </w:rPr>
        <w:tab/>
      </w:r>
      <w:r w:rsidRPr="00EC0535">
        <w:rPr>
          <w:b/>
          <w:bCs/>
          <w:sz w:val="22"/>
          <w:szCs w:val="22"/>
          <w:lang w:val="sr-Latn-ME"/>
        </w:rPr>
        <w:t>FARMACEUTSKI OBLIK</w:t>
      </w:r>
      <w:r w:rsidR="009F2D23" w:rsidRPr="00EC0535">
        <w:rPr>
          <w:b/>
          <w:bCs/>
          <w:sz w:val="22"/>
          <w:szCs w:val="22"/>
          <w:lang w:val="sr-Latn-ME"/>
        </w:rPr>
        <w:t xml:space="preserve"> </w:t>
      </w:r>
    </w:p>
    <w:p w:rsidR="006021B6" w:rsidRPr="00EC0535" w:rsidRDefault="006021B6" w:rsidP="00F5167F">
      <w:pPr>
        <w:tabs>
          <w:tab w:val="left" w:pos="540"/>
          <w:tab w:val="left" w:pos="569"/>
        </w:tabs>
        <w:rPr>
          <w:b/>
          <w:bCs/>
          <w:sz w:val="22"/>
          <w:szCs w:val="22"/>
          <w:lang w:val="sr-Latn-ME"/>
        </w:rPr>
      </w:pPr>
    </w:p>
    <w:p w:rsidR="006021B6" w:rsidRPr="00EC0535" w:rsidRDefault="006021B6" w:rsidP="006021B6">
      <w:pPr>
        <w:rPr>
          <w:bCs/>
          <w:sz w:val="22"/>
          <w:szCs w:val="22"/>
          <w:lang w:val="sr-Latn-ME"/>
        </w:rPr>
      </w:pPr>
      <w:r w:rsidRPr="00EC0535">
        <w:rPr>
          <w:bCs/>
          <w:sz w:val="22"/>
          <w:szCs w:val="22"/>
          <w:lang w:val="sr-Latn-ME"/>
        </w:rPr>
        <w:t>Film tableta.</w:t>
      </w:r>
    </w:p>
    <w:p w:rsidR="006021B6" w:rsidRPr="00EC0535" w:rsidRDefault="006021B6" w:rsidP="006021B6">
      <w:pPr>
        <w:rPr>
          <w:bCs/>
          <w:sz w:val="22"/>
          <w:szCs w:val="22"/>
          <w:lang w:val="sr-Latn-ME"/>
        </w:rPr>
      </w:pPr>
    </w:p>
    <w:p w:rsidR="00E20D6C" w:rsidRPr="00EC0535" w:rsidRDefault="00693220" w:rsidP="006021B6">
      <w:pPr>
        <w:rPr>
          <w:bCs/>
          <w:i/>
          <w:sz w:val="22"/>
          <w:szCs w:val="22"/>
          <w:lang w:val="sr-Latn-ME"/>
        </w:rPr>
      </w:pPr>
      <w:r w:rsidRPr="00EC0535">
        <w:rPr>
          <w:bCs/>
          <w:i/>
          <w:sz w:val="22"/>
          <w:szCs w:val="22"/>
          <w:lang w:val="sr-Latn-ME"/>
        </w:rPr>
        <w:t>Erlotinib Pharmascience</w:t>
      </w:r>
      <w:r w:rsidR="006021B6" w:rsidRPr="00EC0535">
        <w:rPr>
          <w:bCs/>
          <w:i/>
          <w:sz w:val="22"/>
          <w:szCs w:val="22"/>
          <w:lang w:val="sr-Latn-ME"/>
        </w:rPr>
        <w:t xml:space="preserve"> 100 mg film tablet</w:t>
      </w:r>
      <w:r w:rsidR="00533ADB" w:rsidRPr="00EC0535">
        <w:rPr>
          <w:bCs/>
          <w:i/>
          <w:sz w:val="22"/>
          <w:szCs w:val="22"/>
          <w:lang w:val="sr-Latn-ME"/>
        </w:rPr>
        <w:t>a</w:t>
      </w:r>
      <w:r w:rsidR="006021B6" w:rsidRPr="00EC0535">
        <w:rPr>
          <w:bCs/>
          <w:i/>
          <w:sz w:val="22"/>
          <w:szCs w:val="22"/>
          <w:lang w:val="sr-Latn-ME"/>
        </w:rPr>
        <w:t xml:space="preserve">: </w:t>
      </w:r>
    </w:p>
    <w:p w:rsidR="00533ADB" w:rsidRPr="00EC0535" w:rsidRDefault="00533ADB" w:rsidP="00533ADB">
      <w:pPr>
        <w:tabs>
          <w:tab w:val="left" w:pos="540"/>
          <w:tab w:val="left" w:pos="569"/>
        </w:tabs>
        <w:rPr>
          <w:bCs/>
          <w:sz w:val="22"/>
          <w:szCs w:val="22"/>
          <w:lang w:val="sr-Latn-ME"/>
        </w:rPr>
      </w:pPr>
      <w:r w:rsidRPr="00EC0535">
        <w:rPr>
          <w:bCs/>
          <w:sz w:val="22"/>
          <w:szCs w:val="22"/>
          <w:lang w:val="sr-Latn-ME"/>
        </w:rPr>
        <w:t>Bijele do žućkaste, okrugle, bikonveksne film tablete, sa utisnutom oznakom “100” sa jedne strane</w:t>
      </w:r>
      <w:r w:rsidR="003C5B4D" w:rsidRPr="00EC0535">
        <w:rPr>
          <w:bCs/>
          <w:sz w:val="22"/>
          <w:szCs w:val="22"/>
          <w:lang w:val="sr-Latn-ME"/>
        </w:rPr>
        <w:t xml:space="preserve"> tablete</w:t>
      </w:r>
      <w:r w:rsidRPr="00EC0535">
        <w:rPr>
          <w:bCs/>
          <w:sz w:val="22"/>
          <w:szCs w:val="22"/>
          <w:lang w:val="sr-Latn-ME"/>
        </w:rPr>
        <w:t>.</w:t>
      </w:r>
      <w:r w:rsidR="003C5B4D" w:rsidRPr="00EC0535">
        <w:rPr>
          <w:bCs/>
          <w:sz w:val="22"/>
          <w:szCs w:val="22"/>
          <w:lang w:val="sr-Latn-ME"/>
        </w:rPr>
        <w:t xml:space="preserve"> </w:t>
      </w:r>
      <w:r w:rsidRPr="00EC0535">
        <w:rPr>
          <w:bCs/>
          <w:sz w:val="22"/>
          <w:szCs w:val="22"/>
          <w:lang w:val="sr-Latn-ME"/>
        </w:rPr>
        <w:t>Prečnik tablete iznosi 8.9 mm.</w:t>
      </w:r>
    </w:p>
    <w:p w:rsidR="003C5B4D" w:rsidRPr="00EC0535" w:rsidRDefault="003C5B4D" w:rsidP="00533ADB">
      <w:pPr>
        <w:tabs>
          <w:tab w:val="left" w:pos="540"/>
          <w:tab w:val="left" w:pos="569"/>
        </w:tabs>
        <w:rPr>
          <w:bCs/>
          <w:i/>
          <w:sz w:val="22"/>
          <w:szCs w:val="22"/>
          <w:lang w:val="sr-Latn-ME"/>
        </w:rPr>
      </w:pPr>
    </w:p>
    <w:p w:rsidR="00533ADB" w:rsidRPr="00EC0535" w:rsidRDefault="00533ADB" w:rsidP="00533ADB">
      <w:pPr>
        <w:tabs>
          <w:tab w:val="left" w:pos="540"/>
          <w:tab w:val="left" w:pos="569"/>
        </w:tabs>
        <w:rPr>
          <w:bCs/>
          <w:i/>
          <w:sz w:val="22"/>
          <w:szCs w:val="22"/>
          <w:lang w:val="sr-Latn-ME"/>
        </w:rPr>
      </w:pPr>
      <w:r w:rsidRPr="00EC0535">
        <w:rPr>
          <w:bCs/>
          <w:i/>
          <w:sz w:val="22"/>
          <w:szCs w:val="22"/>
          <w:lang w:val="sr-Latn-ME"/>
        </w:rPr>
        <w:t xml:space="preserve">Erlotinib </w:t>
      </w:r>
      <w:r w:rsidRPr="00EC0535">
        <w:rPr>
          <w:i/>
          <w:sz w:val="22"/>
          <w:szCs w:val="22"/>
          <w:lang w:val="sr-Latn-ME"/>
        </w:rPr>
        <w:t>Pharmascience</w:t>
      </w:r>
      <w:r w:rsidRPr="00EC0535">
        <w:rPr>
          <w:bCs/>
          <w:i/>
          <w:sz w:val="22"/>
          <w:szCs w:val="22"/>
          <w:lang w:val="sr-Latn-ME"/>
        </w:rPr>
        <w:t>, 150 mg, film tableta</w:t>
      </w:r>
    </w:p>
    <w:p w:rsidR="00533ADB" w:rsidRPr="00EC0535" w:rsidRDefault="00533ADB" w:rsidP="00533ADB">
      <w:pPr>
        <w:tabs>
          <w:tab w:val="left" w:pos="540"/>
          <w:tab w:val="left" w:pos="569"/>
        </w:tabs>
        <w:rPr>
          <w:bCs/>
          <w:sz w:val="22"/>
          <w:szCs w:val="22"/>
          <w:lang w:val="sr-Latn-ME"/>
        </w:rPr>
      </w:pPr>
      <w:r w:rsidRPr="00EC0535">
        <w:rPr>
          <w:bCs/>
          <w:sz w:val="22"/>
          <w:szCs w:val="22"/>
          <w:lang w:val="sr-Latn-ME"/>
        </w:rPr>
        <w:t>Bijele do žućkaste, okrugle, bikonveksne film tablete, sa utisnutom oznakom “150” sa jedne strane</w:t>
      </w:r>
      <w:r w:rsidR="003C5B4D" w:rsidRPr="00EC0535">
        <w:rPr>
          <w:bCs/>
          <w:sz w:val="22"/>
          <w:szCs w:val="22"/>
          <w:lang w:val="sr-Latn-ME"/>
        </w:rPr>
        <w:t xml:space="preserve"> tablete</w:t>
      </w:r>
      <w:r w:rsidRPr="00EC0535">
        <w:rPr>
          <w:bCs/>
          <w:sz w:val="22"/>
          <w:szCs w:val="22"/>
          <w:lang w:val="sr-Latn-ME"/>
        </w:rPr>
        <w:t>.</w:t>
      </w:r>
      <w:r w:rsidRPr="00EC0535">
        <w:rPr>
          <w:b/>
          <w:bCs/>
          <w:sz w:val="22"/>
          <w:szCs w:val="22"/>
          <w:lang w:val="sr-Latn-ME"/>
        </w:rPr>
        <w:t xml:space="preserve"> </w:t>
      </w:r>
      <w:r w:rsidRPr="00EC0535">
        <w:rPr>
          <w:bCs/>
          <w:sz w:val="22"/>
          <w:szCs w:val="22"/>
          <w:lang w:val="sr-Latn-ME"/>
        </w:rPr>
        <w:t>Prečnik tablete iznosi 10.5 mm.</w:t>
      </w:r>
    </w:p>
    <w:p w:rsidR="00EC2532" w:rsidRPr="00EC0535" w:rsidRDefault="00EC2532">
      <w:pPr>
        <w:rPr>
          <w:bCs/>
          <w:color w:val="FF0000"/>
          <w:sz w:val="22"/>
          <w:szCs w:val="22"/>
          <w:lang w:val="sr-Latn-ME"/>
        </w:rPr>
      </w:pPr>
    </w:p>
    <w:p w:rsidR="00411B4B" w:rsidRPr="00EC0535" w:rsidRDefault="00411B4B" w:rsidP="00F5167F">
      <w:pPr>
        <w:tabs>
          <w:tab w:val="left" w:pos="540"/>
          <w:tab w:val="left" w:pos="569"/>
        </w:tabs>
        <w:rPr>
          <w:b/>
          <w:bCs/>
          <w:sz w:val="22"/>
          <w:szCs w:val="22"/>
          <w:lang w:val="sr-Latn-ME"/>
        </w:rPr>
      </w:pPr>
      <w:r w:rsidRPr="00EC0535">
        <w:rPr>
          <w:b/>
          <w:bCs/>
          <w:sz w:val="22"/>
          <w:szCs w:val="22"/>
          <w:lang w:val="sr-Latn-ME"/>
        </w:rPr>
        <w:t xml:space="preserve">4. </w:t>
      </w:r>
      <w:r w:rsidR="00480FB1" w:rsidRPr="00EC0535">
        <w:rPr>
          <w:b/>
          <w:bCs/>
          <w:sz w:val="22"/>
          <w:szCs w:val="22"/>
          <w:lang w:val="sr-Latn-ME"/>
        </w:rPr>
        <w:tab/>
      </w:r>
      <w:r w:rsidRPr="00EC0535">
        <w:rPr>
          <w:b/>
          <w:bCs/>
          <w:sz w:val="22"/>
          <w:szCs w:val="22"/>
          <w:lang w:val="sr-Latn-ME"/>
        </w:rPr>
        <w:t>KLINIČKI PODACI</w:t>
      </w:r>
    </w:p>
    <w:p w:rsidR="00CD6F02" w:rsidRPr="00EC0535" w:rsidRDefault="00CD6F02" w:rsidP="00480FB1">
      <w:pPr>
        <w:tabs>
          <w:tab w:val="left" w:pos="540"/>
          <w:tab w:val="left" w:pos="569"/>
        </w:tabs>
        <w:rPr>
          <w:bCs/>
          <w:sz w:val="22"/>
          <w:szCs w:val="22"/>
          <w:lang w:val="sr-Latn-ME"/>
        </w:rPr>
      </w:pPr>
    </w:p>
    <w:p w:rsidR="00411B4B" w:rsidRPr="00EC0535" w:rsidRDefault="00411B4B" w:rsidP="00480FB1">
      <w:pPr>
        <w:tabs>
          <w:tab w:val="left" w:pos="540"/>
          <w:tab w:val="left" w:pos="569"/>
        </w:tabs>
        <w:rPr>
          <w:b/>
          <w:bCs/>
          <w:sz w:val="22"/>
          <w:szCs w:val="22"/>
          <w:lang w:val="sr-Latn-ME"/>
        </w:rPr>
      </w:pPr>
      <w:r w:rsidRPr="00EC0535">
        <w:rPr>
          <w:b/>
          <w:bCs/>
          <w:sz w:val="22"/>
          <w:szCs w:val="22"/>
          <w:lang w:val="sr-Latn-ME"/>
        </w:rPr>
        <w:t xml:space="preserve">4.1. </w:t>
      </w:r>
      <w:r w:rsidR="00480FB1" w:rsidRPr="00EC0535">
        <w:rPr>
          <w:b/>
          <w:bCs/>
          <w:sz w:val="22"/>
          <w:szCs w:val="22"/>
          <w:lang w:val="sr-Latn-ME"/>
        </w:rPr>
        <w:tab/>
      </w:r>
      <w:r w:rsidRPr="00EC0535">
        <w:rPr>
          <w:b/>
          <w:bCs/>
          <w:sz w:val="22"/>
          <w:szCs w:val="22"/>
          <w:lang w:val="sr-Latn-ME"/>
        </w:rPr>
        <w:t>Terapijske indikacije</w:t>
      </w:r>
    </w:p>
    <w:p w:rsidR="00996D14" w:rsidRPr="00EC0535" w:rsidRDefault="00996D14" w:rsidP="00480FB1">
      <w:pPr>
        <w:tabs>
          <w:tab w:val="left" w:pos="540"/>
          <w:tab w:val="left" w:pos="569"/>
        </w:tabs>
        <w:rPr>
          <w:b/>
          <w:bCs/>
          <w:sz w:val="22"/>
          <w:szCs w:val="22"/>
          <w:lang w:val="sr-Latn-ME"/>
        </w:rPr>
      </w:pPr>
    </w:p>
    <w:p w:rsidR="00996D14" w:rsidRPr="00EC0535" w:rsidRDefault="00996D14" w:rsidP="00996D14">
      <w:pPr>
        <w:tabs>
          <w:tab w:val="left" w:pos="540"/>
          <w:tab w:val="left" w:pos="569"/>
        </w:tabs>
        <w:rPr>
          <w:bCs/>
          <w:sz w:val="22"/>
          <w:szCs w:val="22"/>
          <w:u w:val="single"/>
          <w:lang w:val="sr-Latn-ME"/>
        </w:rPr>
      </w:pPr>
      <w:r w:rsidRPr="00EC0535">
        <w:rPr>
          <w:bCs/>
          <w:sz w:val="22"/>
          <w:szCs w:val="22"/>
          <w:u w:val="single"/>
          <w:lang w:val="sr-Latn-ME"/>
        </w:rPr>
        <w:t xml:space="preserve">Nemikrocelularni karcinom pluća </w:t>
      </w:r>
      <w:r w:rsidR="00533ADB" w:rsidRPr="00EC0535">
        <w:rPr>
          <w:bCs/>
          <w:sz w:val="22"/>
          <w:szCs w:val="22"/>
          <w:u w:val="single"/>
          <w:lang w:val="sr-Latn-ME"/>
        </w:rPr>
        <w:t>(</w:t>
      </w:r>
      <w:r w:rsidR="00533ADB" w:rsidRPr="00EC0535">
        <w:rPr>
          <w:bCs/>
          <w:sz w:val="22"/>
          <w:szCs w:val="22"/>
          <w:lang w:val="sr-Latn-ME"/>
        </w:rPr>
        <w:t xml:space="preserve">engl. </w:t>
      </w:r>
      <w:r w:rsidR="00533ADB" w:rsidRPr="00EC0535">
        <w:rPr>
          <w:bCs/>
          <w:i/>
          <w:sz w:val="22"/>
          <w:szCs w:val="22"/>
          <w:lang w:val="sr-Latn-ME"/>
        </w:rPr>
        <w:t>non-small cell lung cancer</w:t>
      </w:r>
      <w:r w:rsidR="00533ADB" w:rsidRPr="00EC0535">
        <w:rPr>
          <w:bCs/>
          <w:sz w:val="22"/>
          <w:szCs w:val="22"/>
          <w:lang w:val="sr-Latn-ME"/>
        </w:rPr>
        <w:t>, NSCLC)</w:t>
      </w:r>
    </w:p>
    <w:p w:rsidR="00996D14" w:rsidRPr="00EC0535" w:rsidRDefault="00996D14" w:rsidP="00996D14">
      <w:pPr>
        <w:tabs>
          <w:tab w:val="left" w:pos="540"/>
          <w:tab w:val="left" w:pos="569"/>
        </w:tabs>
        <w:rPr>
          <w:bCs/>
          <w:sz w:val="22"/>
          <w:szCs w:val="22"/>
          <w:u w:val="single"/>
          <w:lang w:val="sr-Latn-ME"/>
        </w:rPr>
      </w:pPr>
    </w:p>
    <w:p w:rsidR="00996D14" w:rsidRPr="00EC0535" w:rsidRDefault="00C95093" w:rsidP="00996D14">
      <w:pPr>
        <w:tabs>
          <w:tab w:val="left" w:pos="540"/>
          <w:tab w:val="left" w:pos="569"/>
        </w:tabs>
        <w:jc w:val="both"/>
        <w:rPr>
          <w:bCs/>
          <w:sz w:val="22"/>
          <w:szCs w:val="22"/>
          <w:lang w:val="sr-Latn-ME"/>
        </w:rPr>
      </w:pPr>
      <w:r w:rsidRPr="00EC0535">
        <w:rPr>
          <w:bCs/>
          <w:sz w:val="22"/>
          <w:szCs w:val="22"/>
          <w:lang w:val="sr-Latn-ME"/>
        </w:rPr>
        <w:t xml:space="preserve">Lijek </w:t>
      </w:r>
      <w:r w:rsidR="00693220" w:rsidRPr="00EC0535">
        <w:rPr>
          <w:bCs/>
          <w:sz w:val="22"/>
          <w:szCs w:val="22"/>
          <w:lang w:val="sr-Latn-ME"/>
        </w:rPr>
        <w:t>Erlotinib Pharmascience</w:t>
      </w:r>
      <w:r w:rsidR="00996D14" w:rsidRPr="00EC0535">
        <w:rPr>
          <w:bCs/>
          <w:sz w:val="22"/>
          <w:szCs w:val="22"/>
          <w:lang w:val="sr-Latn-ME"/>
        </w:rPr>
        <w:t xml:space="preserve"> je indikovan kao terapija prvog izbora </w:t>
      </w:r>
      <w:r w:rsidR="0045392D" w:rsidRPr="00EC0535">
        <w:rPr>
          <w:bCs/>
          <w:sz w:val="22"/>
          <w:szCs w:val="22"/>
          <w:lang w:val="sr-Latn-ME"/>
        </w:rPr>
        <w:t xml:space="preserve">kod </w:t>
      </w:r>
      <w:r w:rsidR="00996D14" w:rsidRPr="00EC0535">
        <w:rPr>
          <w:bCs/>
          <w:sz w:val="22"/>
          <w:szCs w:val="22"/>
          <w:lang w:val="sr-Latn-ME"/>
        </w:rPr>
        <w:t>pacijenata sa lokalno uznapredovalim ili metastatskim nemikrocelularnim karcinomom pluća (NSCLC) sa EGFR aktivirajućim mutacijama.</w:t>
      </w:r>
    </w:p>
    <w:p w:rsidR="00996D14" w:rsidRPr="00EC0535" w:rsidRDefault="00996D14" w:rsidP="00996D14">
      <w:pPr>
        <w:tabs>
          <w:tab w:val="left" w:pos="540"/>
          <w:tab w:val="left" w:pos="569"/>
        </w:tabs>
        <w:jc w:val="both"/>
        <w:rPr>
          <w:bCs/>
          <w:color w:val="FF0000"/>
          <w:sz w:val="22"/>
          <w:szCs w:val="22"/>
          <w:lang w:val="sr-Latn-ME"/>
        </w:rPr>
      </w:pPr>
    </w:p>
    <w:p w:rsidR="00996D14" w:rsidRPr="00EC0535" w:rsidRDefault="00C95093" w:rsidP="00996D14">
      <w:pPr>
        <w:tabs>
          <w:tab w:val="left" w:pos="540"/>
          <w:tab w:val="left" w:pos="569"/>
        </w:tabs>
        <w:jc w:val="both"/>
        <w:rPr>
          <w:bCs/>
          <w:sz w:val="22"/>
          <w:szCs w:val="22"/>
          <w:lang w:val="sr-Latn-ME"/>
        </w:rPr>
      </w:pPr>
      <w:r w:rsidRPr="00EC0535">
        <w:rPr>
          <w:bCs/>
          <w:sz w:val="22"/>
          <w:szCs w:val="22"/>
          <w:lang w:val="sr-Latn-ME"/>
        </w:rPr>
        <w:t xml:space="preserve">Lijek </w:t>
      </w:r>
      <w:r w:rsidR="00693220" w:rsidRPr="00EC0535">
        <w:rPr>
          <w:bCs/>
          <w:sz w:val="22"/>
          <w:szCs w:val="22"/>
          <w:lang w:val="sr-Latn-ME"/>
        </w:rPr>
        <w:t>Erlotinib Pharmascience</w:t>
      </w:r>
      <w:r w:rsidR="00996D14" w:rsidRPr="00EC0535">
        <w:rPr>
          <w:bCs/>
          <w:sz w:val="22"/>
          <w:szCs w:val="22"/>
          <w:lang w:val="sr-Latn-ME"/>
        </w:rPr>
        <w:t xml:space="preserve"> je takođe indikovan kao terapija održavanja kod pacijenata sa lokalno uznapredovalim ili metastatskim NSCLC-om sa EGFR aktivirajućim mutacijama i stabilnom bolešću nakon prve linije hemoterapije (engl. </w:t>
      </w:r>
      <w:r w:rsidR="00996D14" w:rsidRPr="00EC0535">
        <w:rPr>
          <w:bCs/>
          <w:i/>
          <w:sz w:val="22"/>
          <w:szCs w:val="22"/>
          <w:lang w:val="sr-Latn-ME"/>
        </w:rPr>
        <w:t>switch maintenance</w:t>
      </w:r>
      <w:r w:rsidR="00996D14" w:rsidRPr="00EC0535">
        <w:rPr>
          <w:bCs/>
          <w:sz w:val="22"/>
          <w:szCs w:val="22"/>
          <w:lang w:val="sr-Latn-ME"/>
        </w:rPr>
        <w:t>).</w:t>
      </w:r>
    </w:p>
    <w:p w:rsidR="00996D14" w:rsidRPr="00EC0535" w:rsidRDefault="00996D14" w:rsidP="00996D14">
      <w:pPr>
        <w:tabs>
          <w:tab w:val="left" w:pos="540"/>
          <w:tab w:val="left" w:pos="569"/>
        </w:tabs>
        <w:jc w:val="both"/>
        <w:rPr>
          <w:bCs/>
          <w:color w:val="FF0000"/>
          <w:sz w:val="22"/>
          <w:szCs w:val="22"/>
          <w:lang w:val="sr-Latn-ME"/>
        </w:rPr>
      </w:pPr>
    </w:p>
    <w:p w:rsidR="00996D14" w:rsidRPr="00EC0535" w:rsidRDefault="00C95093" w:rsidP="00996D14">
      <w:pPr>
        <w:tabs>
          <w:tab w:val="left" w:pos="540"/>
          <w:tab w:val="left" w:pos="569"/>
        </w:tabs>
        <w:jc w:val="both"/>
        <w:rPr>
          <w:bCs/>
          <w:sz w:val="22"/>
          <w:szCs w:val="22"/>
          <w:lang w:val="sr-Latn-ME"/>
        </w:rPr>
      </w:pPr>
      <w:r w:rsidRPr="00EC0535">
        <w:rPr>
          <w:bCs/>
          <w:sz w:val="22"/>
          <w:szCs w:val="22"/>
          <w:lang w:val="sr-Latn-ME"/>
        </w:rPr>
        <w:t xml:space="preserve">Lijek </w:t>
      </w:r>
      <w:r w:rsidR="00693220" w:rsidRPr="00EC0535">
        <w:rPr>
          <w:bCs/>
          <w:sz w:val="22"/>
          <w:szCs w:val="22"/>
          <w:lang w:val="sr-Latn-ME"/>
        </w:rPr>
        <w:t>Erlotinib Pharmascience</w:t>
      </w:r>
      <w:r w:rsidR="00996D14" w:rsidRPr="00EC0535">
        <w:rPr>
          <w:bCs/>
          <w:sz w:val="22"/>
          <w:szCs w:val="22"/>
          <w:lang w:val="sr-Latn-ME"/>
        </w:rPr>
        <w:t xml:space="preserve"> je tak</w:t>
      </w:r>
      <w:r w:rsidR="00533ADB" w:rsidRPr="00EC0535">
        <w:rPr>
          <w:bCs/>
          <w:sz w:val="22"/>
          <w:szCs w:val="22"/>
          <w:lang w:val="sr-Latn-ME"/>
        </w:rPr>
        <w:t>o</w:t>
      </w:r>
      <w:r w:rsidR="00996D14" w:rsidRPr="00EC0535">
        <w:rPr>
          <w:bCs/>
          <w:sz w:val="22"/>
          <w:szCs w:val="22"/>
          <w:lang w:val="sr-Latn-ME"/>
        </w:rPr>
        <w:t xml:space="preserve">đe indikovan kao terapija pacijenata sa lokalno </w:t>
      </w:r>
      <w:r w:rsidR="00CA294F" w:rsidRPr="00EC0535">
        <w:rPr>
          <w:bCs/>
          <w:sz w:val="22"/>
          <w:szCs w:val="22"/>
          <w:lang w:val="sr-Latn-ME"/>
        </w:rPr>
        <w:t xml:space="preserve">uznapredovalim </w:t>
      </w:r>
      <w:r w:rsidR="00996D14" w:rsidRPr="00EC0535">
        <w:rPr>
          <w:bCs/>
          <w:sz w:val="22"/>
          <w:szCs w:val="22"/>
          <w:lang w:val="sr-Latn-ME"/>
        </w:rPr>
        <w:t xml:space="preserve">ili metastatskim </w:t>
      </w:r>
      <w:r w:rsidR="00533ADB" w:rsidRPr="00EC0535">
        <w:rPr>
          <w:bCs/>
          <w:sz w:val="22"/>
          <w:szCs w:val="22"/>
          <w:lang w:val="sr-Latn-ME"/>
        </w:rPr>
        <w:t>NSCLC</w:t>
      </w:r>
      <w:r w:rsidR="00996D14" w:rsidRPr="00EC0535">
        <w:rPr>
          <w:bCs/>
          <w:sz w:val="22"/>
          <w:szCs w:val="22"/>
          <w:lang w:val="sr-Latn-ME"/>
        </w:rPr>
        <w:t xml:space="preserve"> nakon neuspjeha najmanje jednog prethodnog hemioterapijskog režima. Kod </w:t>
      </w:r>
      <w:r w:rsidR="00996D14" w:rsidRPr="00EC0535">
        <w:rPr>
          <w:bCs/>
          <w:sz w:val="22"/>
          <w:szCs w:val="22"/>
          <w:lang w:val="sr-Latn-ME"/>
        </w:rPr>
        <w:lastRenderedPageBreak/>
        <w:t xml:space="preserve">pacijenata sa </w:t>
      </w:r>
      <w:r w:rsidRPr="00EC0535">
        <w:rPr>
          <w:bCs/>
          <w:sz w:val="22"/>
          <w:szCs w:val="22"/>
          <w:lang w:val="sr-Latn-ME"/>
        </w:rPr>
        <w:t>karcinomom</w:t>
      </w:r>
      <w:r w:rsidR="00996D14" w:rsidRPr="00EC0535">
        <w:rPr>
          <w:bCs/>
          <w:sz w:val="22"/>
          <w:szCs w:val="22"/>
          <w:lang w:val="sr-Latn-ME"/>
        </w:rPr>
        <w:t xml:space="preserve"> bez </w:t>
      </w:r>
      <w:r w:rsidRPr="00EC0535">
        <w:rPr>
          <w:bCs/>
          <w:sz w:val="22"/>
          <w:szCs w:val="22"/>
          <w:lang w:val="sr-Latn-ME"/>
        </w:rPr>
        <w:t>EGFR aktivirajućih mutacija</w:t>
      </w:r>
      <w:r w:rsidR="00996D14" w:rsidRPr="00EC0535">
        <w:rPr>
          <w:bCs/>
          <w:sz w:val="22"/>
          <w:szCs w:val="22"/>
          <w:lang w:val="sr-Latn-ME"/>
        </w:rPr>
        <w:t xml:space="preserve">, </w:t>
      </w:r>
      <w:r w:rsidRPr="00EC0535">
        <w:rPr>
          <w:bCs/>
          <w:sz w:val="22"/>
          <w:szCs w:val="22"/>
          <w:lang w:val="sr-Latn-ME"/>
        </w:rPr>
        <w:t xml:space="preserve">lijek </w:t>
      </w:r>
      <w:r w:rsidR="00693220" w:rsidRPr="00EC0535">
        <w:rPr>
          <w:bCs/>
          <w:sz w:val="22"/>
          <w:szCs w:val="22"/>
          <w:lang w:val="sr-Latn-ME"/>
        </w:rPr>
        <w:t>Erlotinib Pharmascience</w:t>
      </w:r>
      <w:r w:rsidR="00996D14" w:rsidRPr="00EC0535">
        <w:rPr>
          <w:bCs/>
          <w:sz w:val="22"/>
          <w:szCs w:val="22"/>
          <w:lang w:val="sr-Latn-ME"/>
        </w:rPr>
        <w:t xml:space="preserve"> je indikovan kada se druge opcije li</w:t>
      </w:r>
      <w:r w:rsidRPr="00EC0535">
        <w:rPr>
          <w:bCs/>
          <w:sz w:val="22"/>
          <w:szCs w:val="22"/>
          <w:lang w:val="sr-Latn-ME"/>
        </w:rPr>
        <w:t>j</w:t>
      </w:r>
      <w:r w:rsidR="00996D14" w:rsidRPr="00EC0535">
        <w:rPr>
          <w:bCs/>
          <w:sz w:val="22"/>
          <w:szCs w:val="22"/>
          <w:lang w:val="sr-Latn-ME"/>
        </w:rPr>
        <w:t xml:space="preserve">ečenja ne smatraju </w:t>
      </w:r>
      <w:r w:rsidR="00CA294F" w:rsidRPr="00EC0535">
        <w:rPr>
          <w:bCs/>
          <w:sz w:val="22"/>
          <w:szCs w:val="22"/>
          <w:lang w:val="sr-Latn-ME"/>
        </w:rPr>
        <w:t>odgovarajućim</w:t>
      </w:r>
      <w:r w:rsidR="00996D14" w:rsidRPr="00EC0535">
        <w:rPr>
          <w:bCs/>
          <w:sz w:val="22"/>
          <w:szCs w:val="22"/>
          <w:lang w:val="sr-Latn-ME"/>
        </w:rPr>
        <w:t>.</w:t>
      </w:r>
    </w:p>
    <w:p w:rsidR="00996D14" w:rsidRPr="00EC0535" w:rsidRDefault="00996D14" w:rsidP="00996D14">
      <w:pPr>
        <w:tabs>
          <w:tab w:val="left" w:pos="540"/>
          <w:tab w:val="left" w:pos="569"/>
        </w:tabs>
        <w:jc w:val="both"/>
        <w:rPr>
          <w:bCs/>
          <w:color w:val="FF0000"/>
          <w:sz w:val="22"/>
          <w:szCs w:val="22"/>
          <w:lang w:val="sr-Latn-ME"/>
        </w:rPr>
      </w:pPr>
    </w:p>
    <w:p w:rsidR="00996D14" w:rsidRPr="00EC0535" w:rsidRDefault="00996D14" w:rsidP="00996D14">
      <w:pPr>
        <w:tabs>
          <w:tab w:val="left" w:pos="540"/>
          <w:tab w:val="left" w:pos="569"/>
        </w:tabs>
        <w:jc w:val="both"/>
        <w:rPr>
          <w:bCs/>
          <w:sz w:val="22"/>
          <w:szCs w:val="22"/>
          <w:lang w:val="sr-Latn-ME"/>
        </w:rPr>
      </w:pPr>
      <w:r w:rsidRPr="00EC0535">
        <w:rPr>
          <w:bCs/>
          <w:sz w:val="22"/>
          <w:szCs w:val="22"/>
          <w:lang w:val="sr-Latn-ME"/>
        </w:rPr>
        <w:t xml:space="preserve">Prilikom propisivanja lijeka </w:t>
      </w:r>
      <w:r w:rsidR="00693220" w:rsidRPr="00EC0535">
        <w:rPr>
          <w:bCs/>
          <w:sz w:val="22"/>
          <w:szCs w:val="22"/>
          <w:lang w:val="sr-Latn-ME"/>
        </w:rPr>
        <w:t>Erlotinib Pharmascience</w:t>
      </w:r>
      <w:r w:rsidR="00C95093" w:rsidRPr="00EC0535">
        <w:rPr>
          <w:bCs/>
          <w:sz w:val="22"/>
          <w:szCs w:val="22"/>
          <w:lang w:val="sr-Latn-ME"/>
        </w:rPr>
        <w:t>,</w:t>
      </w:r>
      <w:r w:rsidRPr="00EC0535">
        <w:rPr>
          <w:bCs/>
          <w:sz w:val="22"/>
          <w:szCs w:val="22"/>
          <w:lang w:val="sr-Latn-ME"/>
        </w:rPr>
        <w:t xml:space="preserve"> treba uzeti u obzir faktore povezane sa produženim preživljavanjem.</w:t>
      </w:r>
    </w:p>
    <w:p w:rsidR="00996D14" w:rsidRPr="00EC0535" w:rsidRDefault="00996D14" w:rsidP="00996D14">
      <w:pPr>
        <w:tabs>
          <w:tab w:val="left" w:pos="540"/>
          <w:tab w:val="left" w:pos="569"/>
        </w:tabs>
        <w:jc w:val="both"/>
        <w:rPr>
          <w:bCs/>
          <w:color w:val="FF0000"/>
          <w:sz w:val="22"/>
          <w:szCs w:val="22"/>
          <w:lang w:val="sr-Latn-ME"/>
        </w:rPr>
      </w:pPr>
    </w:p>
    <w:p w:rsidR="00996D14" w:rsidRPr="00EC0535" w:rsidRDefault="00996D14" w:rsidP="00996D14">
      <w:pPr>
        <w:tabs>
          <w:tab w:val="left" w:pos="540"/>
          <w:tab w:val="left" w:pos="569"/>
        </w:tabs>
        <w:jc w:val="both"/>
        <w:rPr>
          <w:bCs/>
          <w:sz w:val="22"/>
          <w:szCs w:val="22"/>
          <w:lang w:val="sr-Latn-ME"/>
        </w:rPr>
      </w:pPr>
      <w:r w:rsidRPr="00EC0535">
        <w:rPr>
          <w:bCs/>
          <w:sz w:val="22"/>
          <w:szCs w:val="22"/>
          <w:lang w:val="sr-Latn-ME"/>
        </w:rPr>
        <w:t xml:space="preserve">Kod pacijenata sa EGFR-IHC negativnim tumorima (EGFR - receptor za epidermalni faktor rasta) nije dokazano produženje preživljavanja ni drugi klinički relevantni efekti liječenja (vidjeti </w:t>
      </w:r>
      <w:r w:rsidR="00CA294F" w:rsidRPr="00EC0535">
        <w:rPr>
          <w:bCs/>
          <w:sz w:val="22"/>
          <w:szCs w:val="22"/>
          <w:lang w:val="sr-Latn-ME"/>
        </w:rPr>
        <w:t xml:space="preserve">dio </w:t>
      </w:r>
      <w:r w:rsidRPr="00EC0535">
        <w:rPr>
          <w:bCs/>
          <w:sz w:val="22"/>
          <w:szCs w:val="22"/>
          <w:lang w:val="sr-Latn-ME"/>
        </w:rPr>
        <w:t>5.1).</w:t>
      </w:r>
    </w:p>
    <w:p w:rsidR="00996D14" w:rsidRPr="00EC0535" w:rsidRDefault="00996D14" w:rsidP="00996D14">
      <w:pPr>
        <w:tabs>
          <w:tab w:val="left" w:pos="540"/>
          <w:tab w:val="left" w:pos="569"/>
        </w:tabs>
        <w:jc w:val="both"/>
        <w:rPr>
          <w:bCs/>
          <w:color w:val="FF0000"/>
          <w:sz w:val="22"/>
          <w:szCs w:val="22"/>
          <w:lang w:val="sr-Latn-ME"/>
        </w:rPr>
      </w:pPr>
    </w:p>
    <w:p w:rsidR="00996D14" w:rsidRPr="00EC0535" w:rsidRDefault="00996D14" w:rsidP="00996D14">
      <w:pPr>
        <w:tabs>
          <w:tab w:val="left" w:pos="540"/>
          <w:tab w:val="left" w:pos="569"/>
        </w:tabs>
        <w:jc w:val="both"/>
        <w:rPr>
          <w:bCs/>
          <w:sz w:val="22"/>
          <w:szCs w:val="22"/>
          <w:u w:val="single"/>
          <w:lang w:val="sr-Latn-ME"/>
        </w:rPr>
      </w:pPr>
      <w:r w:rsidRPr="00EC0535">
        <w:rPr>
          <w:bCs/>
          <w:sz w:val="22"/>
          <w:szCs w:val="22"/>
          <w:u w:val="single"/>
          <w:lang w:val="sr-Latn-ME"/>
        </w:rPr>
        <w:t xml:space="preserve">Karcinom pankreasa </w:t>
      </w:r>
    </w:p>
    <w:p w:rsidR="00996D14" w:rsidRPr="00EC0535" w:rsidRDefault="00C95093" w:rsidP="00996D14">
      <w:pPr>
        <w:tabs>
          <w:tab w:val="left" w:pos="540"/>
          <w:tab w:val="left" w:pos="569"/>
        </w:tabs>
        <w:jc w:val="both"/>
        <w:rPr>
          <w:bCs/>
          <w:sz w:val="22"/>
          <w:szCs w:val="22"/>
          <w:lang w:val="sr-Latn-ME"/>
        </w:rPr>
      </w:pPr>
      <w:r w:rsidRPr="00EC0535">
        <w:rPr>
          <w:bCs/>
          <w:sz w:val="22"/>
          <w:szCs w:val="22"/>
          <w:lang w:val="sr-Latn-ME"/>
        </w:rPr>
        <w:t xml:space="preserve">Lijek </w:t>
      </w:r>
      <w:r w:rsidR="00693220" w:rsidRPr="00EC0535">
        <w:rPr>
          <w:bCs/>
          <w:sz w:val="22"/>
          <w:szCs w:val="22"/>
          <w:lang w:val="sr-Latn-ME"/>
        </w:rPr>
        <w:t>Erlotinib Pharmascience</w:t>
      </w:r>
      <w:r w:rsidR="00996D14" w:rsidRPr="00EC0535">
        <w:rPr>
          <w:bCs/>
          <w:sz w:val="22"/>
          <w:szCs w:val="22"/>
          <w:lang w:val="sr-Latn-ME"/>
        </w:rPr>
        <w:t xml:space="preserve"> je u kombinaciji sa gemcitabinom indikovan za liječenje pacijenata sa metastatskim karcinomom pankreasa.</w:t>
      </w:r>
    </w:p>
    <w:p w:rsidR="00996D14" w:rsidRPr="00EC0535" w:rsidRDefault="00996D14" w:rsidP="00996D14">
      <w:pPr>
        <w:tabs>
          <w:tab w:val="left" w:pos="540"/>
          <w:tab w:val="left" w:pos="569"/>
        </w:tabs>
        <w:jc w:val="both"/>
        <w:rPr>
          <w:bCs/>
          <w:sz w:val="22"/>
          <w:szCs w:val="22"/>
          <w:lang w:val="sr-Latn-ME"/>
        </w:rPr>
      </w:pPr>
    </w:p>
    <w:p w:rsidR="00996D14" w:rsidRPr="00EC0535" w:rsidRDefault="00996D14" w:rsidP="00996D14">
      <w:pPr>
        <w:tabs>
          <w:tab w:val="left" w:pos="540"/>
          <w:tab w:val="left" w:pos="569"/>
        </w:tabs>
        <w:jc w:val="both"/>
        <w:rPr>
          <w:bCs/>
          <w:sz w:val="22"/>
          <w:szCs w:val="22"/>
          <w:lang w:val="sr-Latn-ME"/>
        </w:rPr>
      </w:pPr>
      <w:r w:rsidRPr="00EC0535">
        <w:rPr>
          <w:bCs/>
          <w:sz w:val="22"/>
          <w:szCs w:val="22"/>
          <w:lang w:val="sr-Latn-ME"/>
        </w:rPr>
        <w:t xml:space="preserve">Prilikom propisivanja lijeka </w:t>
      </w:r>
      <w:r w:rsidR="00693220" w:rsidRPr="00EC0535">
        <w:rPr>
          <w:bCs/>
          <w:sz w:val="22"/>
          <w:szCs w:val="22"/>
          <w:lang w:val="sr-Latn-ME"/>
        </w:rPr>
        <w:t>Erlotinib Pharmascience</w:t>
      </w:r>
      <w:r w:rsidRPr="00EC0535">
        <w:rPr>
          <w:bCs/>
          <w:sz w:val="22"/>
          <w:szCs w:val="22"/>
          <w:lang w:val="sr-Latn-ME"/>
        </w:rPr>
        <w:t xml:space="preserve"> trebalo bi uzeti u obzir faktore povezane sa produženim preživljavanjem (vidjeti </w:t>
      </w:r>
      <w:r w:rsidR="00CA294F" w:rsidRPr="00EC0535">
        <w:rPr>
          <w:bCs/>
          <w:sz w:val="22"/>
          <w:szCs w:val="22"/>
          <w:lang w:val="sr-Latn-ME"/>
        </w:rPr>
        <w:t xml:space="preserve">djelove </w:t>
      </w:r>
      <w:r w:rsidRPr="00EC0535">
        <w:rPr>
          <w:bCs/>
          <w:sz w:val="22"/>
          <w:szCs w:val="22"/>
          <w:lang w:val="sr-Latn-ME"/>
        </w:rPr>
        <w:t>4.2 i 5.1).</w:t>
      </w:r>
    </w:p>
    <w:p w:rsidR="00996D14" w:rsidRPr="00EC0535" w:rsidRDefault="00996D14" w:rsidP="00996D14">
      <w:pPr>
        <w:tabs>
          <w:tab w:val="left" w:pos="540"/>
          <w:tab w:val="left" w:pos="569"/>
        </w:tabs>
        <w:jc w:val="both"/>
        <w:rPr>
          <w:bCs/>
          <w:sz w:val="22"/>
          <w:szCs w:val="22"/>
          <w:lang w:val="sr-Latn-ME"/>
        </w:rPr>
      </w:pPr>
    </w:p>
    <w:p w:rsidR="00996D14" w:rsidRPr="00EC0535" w:rsidRDefault="00996D14" w:rsidP="00996D14">
      <w:pPr>
        <w:tabs>
          <w:tab w:val="left" w:pos="540"/>
          <w:tab w:val="left" w:pos="569"/>
        </w:tabs>
        <w:jc w:val="both"/>
        <w:rPr>
          <w:bCs/>
          <w:sz w:val="22"/>
          <w:szCs w:val="22"/>
          <w:lang w:val="sr-Latn-ME"/>
        </w:rPr>
      </w:pPr>
      <w:r w:rsidRPr="00EC0535">
        <w:rPr>
          <w:bCs/>
          <w:sz w:val="22"/>
          <w:szCs w:val="22"/>
          <w:lang w:val="sr-Latn-ME"/>
        </w:rPr>
        <w:t xml:space="preserve">Kod pacijenata sa lokalno uznapredovalom bolešću nije </w:t>
      </w:r>
      <w:r w:rsidR="00CA294F" w:rsidRPr="00EC0535">
        <w:rPr>
          <w:bCs/>
          <w:sz w:val="22"/>
          <w:szCs w:val="22"/>
          <w:lang w:val="sr-Latn-ME"/>
        </w:rPr>
        <w:t xml:space="preserve">pokazano </w:t>
      </w:r>
      <w:r w:rsidRPr="00EC0535">
        <w:rPr>
          <w:bCs/>
          <w:sz w:val="22"/>
          <w:szCs w:val="22"/>
          <w:lang w:val="sr-Latn-ME"/>
        </w:rPr>
        <w:t>produženje preživljavanja.</w:t>
      </w:r>
    </w:p>
    <w:p w:rsidR="00411B4B" w:rsidRPr="00EC0535" w:rsidRDefault="00411B4B" w:rsidP="00480FB1">
      <w:pPr>
        <w:tabs>
          <w:tab w:val="left" w:pos="540"/>
          <w:tab w:val="left" w:pos="569"/>
        </w:tabs>
        <w:rPr>
          <w:bCs/>
          <w:color w:val="FF0000"/>
          <w:sz w:val="22"/>
          <w:szCs w:val="22"/>
          <w:lang w:val="sr-Latn-ME"/>
        </w:rPr>
      </w:pPr>
    </w:p>
    <w:p w:rsidR="00411B4B" w:rsidRPr="00EC0535" w:rsidRDefault="00411B4B" w:rsidP="00480FB1">
      <w:pPr>
        <w:tabs>
          <w:tab w:val="left" w:pos="540"/>
          <w:tab w:val="left" w:pos="569"/>
        </w:tabs>
        <w:rPr>
          <w:b/>
          <w:bCs/>
          <w:sz w:val="22"/>
          <w:szCs w:val="22"/>
          <w:lang w:val="sr-Latn-ME"/>
        </w:rPr>
      </w:pPr>
      <w:r w:rsidRPr="00EC0535">
        <w:rPr>
          <w:b/>
          <w:bCs/>
          <w:sz w:val="22"/>
          <w:szCs w:val="22"/>
          <w:lang w:val="sr-Latn-ME"/>
        </w:rPr>
        <w:t xml:space="preserve">4.2. </w:t>
      </w:r>
      <w:r w:rsidR="00480FB1" w:rsidRPr="00EC0535">
        <w:rPr>
          <w:b/>
          <w:bCs/>
          <w:sz w:val="22"/>
          <w:szCs w:val="22"/>
          <w:lang w:val="sr-Latn-ME"/>
        </w:rPr>
        <w:tab/>
      </w:r>
      <w:r w:rsidRPr="00EC0535">
        <w:rPr>
          <w:b/>
          <w:bCs/>
          <w:sz w:val="22"/>
          <w:szCs w:val="22"/>
          <w:lang w:val="sr-Latn-ME"/>
        </w:rPr>
        <w:t>Doziranje i način primjene</w:t>
      </w:r>
    </w:p>
    <w:p w:rsidR="009443D0" w:rsidRPr="00EC0535" w:rsidRDefault="009443D0" w:rsidP="00480FB1">
      <w:pPr>
        <w:tabs>
          <w:tab w:val="left" w:pos="540"/>
          <w:tab w:val="left" w:pos="569"/>
        </w:tabs>
        <w:rPr>
          <w:b/>
          <w:bCs/>
          <w:sz w:val="22"/>
          <w:szCs w:val="22"/>
          <w:lang w:val="sr-Latn-ME"/>
        </w:rPr>
      </w:pPr>
    </w:p>
    <w:p w:rsidR="00740054" w:rsidRPr="00EC0535" w:rsidRDefault="00740054" w:rsidP="00740054">
      <w:pPr>
        <w:tabs>
          <w:tab w:val="left" w:pos="540"/>
          <w:tab w:val="left" w:pos="569"/>
        </w:tabs>
        <w:jc w:val="both"/>
        <w:rPr>
          <w:bCs/>
          <w:sz w:val="22"/>
          <w:szCs w:val="22"/>
          <w:lang w:val="sr-Latn-ME"/>
        </w:rPr>
      </w:pPr>
      <w:r w:rsidRPr="00EC0535">
        <w:rPr>
          <w:bCs/>
          <w:sz w:val="22"/>
          <w:szCs w:val="22"/>
          <w:lang w:val="sr-Latn-ME"/>
        </w:rPr>
        <w:t xml:space="preserve">Terapiju lijekom </w:t>
      </w:r>
      <w:r w:rsidR="00693220" w:rsidRPr="00EC0535">
        <w:rPr>
          <w:bCs/>
          <w:sz w:val="22"/>
          <w:szCs w:val="22"/>
          <w:lang w:val="sr-Latn-ME"/>
        </w:rPr>
        <w:t>Erlotinib Pharmascience</w:t>
      </w:r>
      <w:r w:rsidRPr="00EC0535">
        <w:rPr>
          <w:bCs/>
          <w:sz w:val="22"/>
          <w:szCs w:val="22"/>
          <w:lang w:val="sr-Latn-ME"/>
        </w:rPr>
        <w:t xml:space="preserve"> treba da nadzire ljekar sa iskustvom u primjeni </w:t>
      </w:r>
      <w:r w:rsidR="00CA294F" w:rsidRPr="00EC0535">
        <w:rPr>
          <w:bCs/>
          <w:sz w:val="22"/>
          <w:szCs w:val="22"/>
          <w:lang w:val="sr-Latn-ME"/>
        </w:rPr>
        <w:t xml:space="preserve">antikarcinomske </w:t>
      </w:r>
      <w:r w:rsidRPr="00EC0535">
        <w:rPr>
          <w:bCs/>
          <w:sz w:val="22"/>
          <w:szCs w:val="22"/>
          <w:lang w:val="sr-Latn-ME"/>
        </w:rPr>
        <w:t>terapije.</w:t>
      </w:r>
    </w:p>
    <w:p w:rsidR="00740054" w:rsidRPr="00EC0535" w:rsidRDefault="00740054" w:rsidP="00740054">
      <w:pPr>
        <w:tabs>
          <w:tab w:val="left" w:pos="540"/>
          <w:tab w:val="left" w:pos="569"/>
        </w:tabs>
        <w:jc w:val="both"/>
        <w:rPr>
          <w:bCs/>
          <w:sz w:val="22"/>
          <w:szCs w:val="22"/>
          <w:lang w:val="sr-Latn-ME"/>
        </w:rPr>
      </w:pPr>
    </w:p>
    <w:p w:rsidR="00CA294F" w:rsidRPr="00EC0535" w:rsidRDefault="00CA294F" w:rsidP="00CA294F">
      <w:pPr>
        <w:tabs>
          <w:tab w:val="left" w:pos="540"/>
          <w:tab w:val="left" w:pos="569"/>
        </w:tabs>
        <w:rPr>
          <w:bCs/>
          <w:sz w:val="22"/>
          <w:szCs w:val="22"/>
          <w:u w:val="single"/>
          <w:lang w:val="sr-Latn-ME"/>
        </w:rPr>
      </w:pPr>
      <w:r w:rsidRPr="00EC0535">
        <w:rPr>
          <w:bCs/>
          <w:sz w:val="22"/>
          <w:szCs w:val="22"/>
          <w:u w:val="single"/>
          <w:lang w:val="sr-Latn-ME"/>
        </w:rPr>
        <w:t>Doziranje</w:t>
      </w:r>
    </w:p>
    <w:p w:rsidR="00CA294F" w:rsidRPr="00EC0535" w:rsidRDefault="00CA294F" w:rsidP="00CA294F">
      <w:pPr>
        <w:tabs>
          <w:tab w:val="left" w:pos="540"/>
          <w:tab w:val="left" w:pos="569"/>
        </w:tabs>
        <w:rPr>
          <w:bCs/>
          <w:sz w:val="22"/>
          <w:szCs w:val="22"/>
          <w:u w:val="single"/>
          <w:lang w:val="sr-Latn-ME"/>
        </w:rPr>
      </w:pPr>
    </w:p>
    <w:p w:rsidR="00740054" w:rsidRPr="00EC0535" w:rsidRDefault="00740054" w:rsidP="00740054">
      <w:pPr>
        <w:tabs>
          <w:tab w:val="left" w:pos="540"/>
          <w:tab w:val="left" w:pos="569"/>
        </w:tabs>
        <w:jc w:val="both"/>
        <w:rPr>
          <w:bCs/>
          <w:sz w:val="22"/>
          <w:szCs w:val="22"/>
          <w:u w:val="single"/>
          <w:lang w:val="sr-Latn-ME"/>
        </w:rPr>
      </w:pPr>
      <w:r w:rsidRPr="00EC0535">
        <w:rPr>
          <w:bCs/>
          <w:sz w:val="22"/>
          <w:szCs w:val="22"/>
          <w:u w:val="single"/>
          <w:lang w:val="sr-Latn-ME"/>
        </w:rPr>
        <w:t>Pacijenti sa nemikrocelularnim karcinomom pluća</w:t>
      </w:r>
    </w:p>
    <w:p w:rsidR="00C95093" w:rsidRPr="00EC0535" w:rsidRDefault="00C95093" w:rsidP="00C95093">
      <w:pPr>
        <w:tabs>
          <w:tab w:val="left" w:pos="540"/>
          <w:tab w:val="left" w:pos="569"/>
        </w:tabs>
        <w:jc w:val="both"/>
        <w:rPr>
          <w:bCs/>
          <w:sz w:val="22"/>
          <w:szCs w:val="22"/>
          <w:lang w:val="sr-Latn-ME"/>
        </w:rPr>
      </w:pPr>
      <w:r w:rsidRPr="00EC0535">
        <w:rPr>
          <w:bCs/>
          <w:sz w:val="22"/>
          <w:szCs w:val="22"/>
          <w:lang w:val="sr-Latn-ME"/>
        </w:rPr>
        <w:t>Treba sprovesti testiranje na EGFR mutacije u skladu sa odobrenim indikacijama (vidjeti dio 4.1).</w:t>
      </w:r>
    </w:p>
    <w:p w:rsidR="00C95093" w:rsidRPr="00EC0535" w:rsidRDefault="00C95093" w:rsidP="00C95093">
      <w:pPr>
        <w:tabs>
          <w:tab w:val="left" w:pos="540"/>
          <w:tab w:val="left" w:pos="569"/>
        </w:tabs>
        <w:jc w:val="both"/>
        <w:rPr>
          <w:bCs/>
          <w:sz w:val="22"/>
          <w:szCs w:val="22"/>
          <w:lang w:val="sr-Latn-ME"/>
        </w:rPr>
      </w:pPr>
      <w:r w:rsidRPr="00EC0535">
        <w:rPr>
          <w:bCs/>
          <w:sz w:val="22"/>
          <w:szCs w:val="22"/>
          <w:lang w:val="sr-Latn-ME"/>
        </w:rPr>
        <w:t xml:space="preserve">Preporučena dnevna doza lijeka Erlotinib Pharmascience iznosi 150 mg, a primjenjuje se najmanje sat vremena prije ili dva sata nakon unosa hrane. </w:t>
      </w:r>
    </w:p>
    <w:p w:rsidR="00740054" w:rsidRPr="00EC0535" w:rsidRDefault="00740054" w:rsidP="00740054">
      <w:pPr>
        <w:tabs>
          <w:tab w:val="left" w:pos="540"/>
          <w:tab w:val="left" w:pos="569"/>
        </w:tabs>
        <w:jc w:val="both"/>
        <w:rPr>
          <w:bCs/>
          <w:sz w:val="22"/>
          <w:szCs w:val="22"/>
          <w:lang w:val="sr-Latn-ME"/>
        </w:rPr>
      </w:pPr>
    </w:p>
    <w:p w:rsidR="00740054" w:rsidRPr="00EC0535" w:rsidRDefault="00740054" w:rsidP="00740054">
      <w:pPr>
        <w:tabs>
          <w:tab w:val="left" w:pos="540"/>
          <w:tab w:val="left" w:pos="569"/>
        </w:tabs>
        <w:jc w:val="both"/>
        <w:rPr>
          <w:bCs/>
          <w:sz w:val="22"/>
          <w:szCs w:val="22"/>
          <w:u w:val="single"/>
          <w:lang w:val="sr-Latn-ME"/>
        </w:rPr>
      </w:pPr>
      <w:r w:rsidRPr="00EC0535">
        <w:rPr>
          <w:bCs/>
          <w:sz w:val="22"/>
          <w:szCs w:val="22"/>
          <w:u w:val="single"/>
          <w:lang w:val="sr-Latn-ME"/>
        </w:rPr>
        <w:t>Pacijenti sa karcinomom pankreasa</w:t>
      </w:r>
    </w:p>
    <w:p w:rsidR="00740054" w:rsidRPr="00EC0535" w:rsidRDefault="00740054" w:rsidP="00740054">
      <w:pPr>
        <w:tabs>
          <w:tab w:val="left" w:pos="540"/>
          <w:tab w:val="left" w:pos="569"/>
        </w:tabs>
        <w:jc w:val="both"/>
        <w:rPr>
          <w:bCs/>
          <w:sz w:val="22"/>
          <w:szCs w:val="22"/>
          <w:lang w:val="sr-Latn-ME"/>
        </w:rPr>
      </w:pPr>
      <w:r w:rsidRPr="00EC0535">
        <w:rPr>
          <w:bCs/>
          <w:sz w:val="22"/>
          <w:szCs w:val="22"/>
          <w:lang w:val="sr-Latn-ME"/>
        </w:rPr>
        <w:t xml:space="preserve">Preporučena dnevna doza lijeka </w:t>
      </w:r>
      <w:r w:rsidR="00693220" w:rsidRPr="00EC0535">
        <w:rPr>
          <w:bCs/>
          <w:sz w:val="22"/>
          <w:szCs w:val="22"/>
          <w:lang w:val="sr-Latn-ME"/>
        </w:rPr>
        <w:t>Erlotinib Pharmascience</w:t>
      </w:r>
      <w:r w:rsidRPr="00EC0535">
        <w:rPr>
          <w:bCs/>
          <w:sz w:val="22"/>
          <w:szCs w:val="22"/>
          <w:lang w:val="sr-Latn-ME"/>
        </w:rPr>
        <w:t xml:space="preserve"> iznosi 100 mg</w:t>
      </w:r>
      <w:r w:rsidR="00CA294F" w:rsidRPr="00EC0535">
        <w:rPr>
          <w:bCs/>
          <w:sz w:val="22"/>
          <w:szCs w:val="22"/>
          <w:lang w:val="sr-Latn-ME"/>
        </w:rPr>
        <w:t>,</w:t>
      </w:r>
      <w:r w:rsidRPr="00EC0535">
        <w:rPr>
          <w:bCs/>
          <w:sz w:val="22"/>
          <w:szCs w:val="22"/>
          <w:lang w:val="sr-Latn-ME"/>
        </w:rPr>
        <w:t xml:space="preserve"> prim</w:t>
      </w:r>
      <w:r w:rsidR="0076677E" w:rsidRPr="00EC0535">
        <w:rPr>
          <w:bCs/>
          <w:sz w:val="22"/>
          <w:szCs w:val="22"/>
          <w:lang w:val="sr-Latn-ME"/>
        </w:rPr>
        <w:t>i</w:t>
      </w:r>
      <w:r w:rsidRPr="00EC0535">
        <w:rPr>
          <w:bCs/>
          <w:sz w:val="22"/>
          <w:szCs w:val="22"/>
          <w:lang w:val="sr-Latn-ME"/>
        </w:rPr>
        <w:t>jenjena najmanje jedan sat prije ili dva sata nakon obroka, u kombinaciji sa gemcitabinom (</w:t>
      </w:r>
      <w:r w:rsidR="00CA294F" w:rsidRPr="00EC0535">
        <w:rPr>
          <w:bCs/>
          <w:sz w:val="22"/>
          <w:szCs w:val="22"/>
          <w:lang w:val="sr-Latn-ME"/>
        </w:rPr>
        <w:t xml:space="preserve">vidjeti </w:t>
      </w:r>
      <w:r w:rsidRPr="00EC0535">
        <w:rPr>
          <w:bCs/>
          <w:sz w:val="22"/>
          <w:szCs w:val="22"/>
          <w:lang w:val="sr-Latn-ME"/>
        </w:rPr>
        <w:t xml:space="preserve">Sažetak karakteristika lijeka </w:t>
      </w:r>
      <w:r w:rsidR="00CA294F" w:rsidRPr="00EC0535">
        <w:rPr>
          <w:bCs/>
          <w:sz w:val="22"/>
          <w:szCs w:val="22"/>
          <w:lang w:val="sr-Latn-ME"/>
        </w:rPr>
        <w:t xml:space="preserve">za </w:t>
      </w:r>
      <w:r w:rsidRPr="00EC0535">
        <w:rPr>
          <w:bCs/>
          <w:sz w:val="22"/>
          <w:szCs w:val="22"/>
          <w:lang w:val="sr-Latn-ME"/>
        </w:rPr>
        <w:t xml:space="preserve">gemcitabin za indikaciju karcinom pankreasa). Kod pacijenata kod kojih se ne </w:t>
      </w:r>
      <w:r w:rsidR="00C95093" w:rsidRPr="00EC0535">
        <w:rPr>
          <w:bCs/>
          <w:sz w:val="22"/>
          <w:szCs w:val="22"/>
          <w:lang w:val="sr-Latn-ME"/>
        </w:rPr>
        <w:t>pojavi</w:t>
      </w:r>
      <w:r w:rsidRPr="00EC0535">
        <w:rPr>
          <w:bCs/>
          <w:sz w:val="22"/>
          <w:szCs w:val="22"/>
          <w:lang w:val="sr-Latn-ME"/>
        </w:rPr>
        <w:t xml:space="preserve"> osip u prvih 4 do 8 nedjelja terapije, </w:t>
      </w:r>
      <w:r w:rsidR="00C95093" w:rsidRPr="00EC0535">
        <w:rPr>
          <w:bCs/>
          <w:sz w:val="22"/>
          <w:szCs w:val="22"/>
          <w:lang w:val="sr-Latn-ME"/>
        </w:rPr>
        <w:t xml:space="preserve">potrebno je razmotriti potrebu daljnjeg liječenja lijekom Erlotinib Pharmascience (vidjeti </w:t>
      </w:r>
      <w:r w:rsidR="00CA294F" w:rsidRPr="00EC0535">
        <w:rPr>
          <w:bCs/>
          <w:sz w:val="22"/>
          <w:szCs w:val="22"/>
          <w:lang w:val="sr-Latn-ME"/>
        </w:rPr>
        <w:t xml:space="preserve">dio </w:t>
      </w:r>
      <w:r w:rsidR="00C95093" w:rsidRPr="00EC0535">
        <w:rPr>
          <w:bCs/>
          <w:sz w:val="22"/>
          <w:szCs w:val="22"/>
          <w:lang w:val="sr-Latn-ME"/>
        </w:rPr>
        <w:t>5.1).</w:t>
      </w:r>
    </w:p>
    <w:p w:rsidR="00740054" w:rsidRPr="00EC0535" w:rsidRDefault="00C95093" w:rsidP="00740054">
      <w:pPr>
        <w:tabs>
          <w:tab w:val="left" w:pos="540"/>
          <w:tab w:val="left" w:pos="569"/>
        </w:tabs>
        <w:jc w:val="both"/>
        <w:rPr>
          <w:bCs/>
          <w:sz w:val="22"/>
          <w:szCs w:val="22"/>
          <w:lang w:val="sr-Latn-ME"/>
        </w:rPr>
      </w:pPr>
      <w:r w:rsidRPr="00EC0535">
        <w:rPr>
          <w:bCs/>
          <w:sz w:val="22"/>
          <w:szCs w:val="22"/>
          <w:lang w:val="sr-Latn-ME"/>
        </w:rPr>
        <w:t>Kada je potrebno prilagođavanje doze, dozu treba smanjivati postepeno za po 50 mg (vidjeti dio 4.4).</w:t>
      </w:r>
    </w:p>
    <w:p w:rsidR="00740054" w:rsidRPr="00EC0535" w:rsidRDefault="00C95093" w:rsidP="00740054">
      <w:pPr>
        <w:tabs>
          <w:tab w:val="left" w:pos="540"/>
          <w:tab w:val="left" w:pos="569"/>
        </w:tabs>
        <w:jc w:val="both"/>
        <w:rPr>
          <w:bCs/>
          <w:sz w:val="22"/>
          <w:szCs w:val="22"/>
          <w:lang w:val="sr-Latn-ME"/>
        </w:rPr>
      </w:pPr>
      <w:r w:rsidRPr="00EC0535">
        <w:rPr>
          <w:bCs/>
          <w:sz w:val="22"/>
          <w:szCs w:val="22"/>
          <w:lang w:val="sr-Latn-ME"/>
        </w:rPr>
        <w:t xml:space="preserve">Lijek </w:t>
      </w:r>
      <w:r w:rsidR="00693220" w:rsidRPr="00EC0535">
        <w:rPr>
          <w:bCs/>
          <w:sz w:val="22"/>
          <w:szCs w:val="22"/>
          <w:lang w:val="sr-Latn-ME"/>
        </w:rPr>
        <w:t>Erlotinib Pharmascience</w:t>
      </w:r>
      <w:r w:rsidR="00740054" w:rsidRPr="00EC0535">
        <w:rPr>
          <w:bCs/>
          <w:sz w:val="22"/>
          <w:szCs w:val="22"/>
          <w:lang w:val="sr-Latn-ME"/>
        </w:rPr>
        <w:t xml:space="preserve"> je dostupan u jačinama od 100 mg i 150 mg.</w:t>
      </w:r>
    </w:p>
    <w:p w:rsidR="00740054" w:rsidRPr="00EC0535" w:rsidRDefault="00740054" w:rsidP="00740054">
      <w:pPr>
        <w:tabs>
          <w:tab w:val="left" w:pos="540"/>
          <w:tab w:val="left" w:pos="569"/>
        </w:tabs>
        <w:jc w:val="both"/>
        <w:rPr>
          <w:bCs/>
          <w:sz w:val="22"/>
          <w:szCs w:val="22"/>
          <w:lang w:val="sr-Latn-ME"/>
        </w:rPr>
      </w:pPr>
    </w:p>
    <w:p w:rsidR="009443D0" w:rsidRPr="00EC0535" w:rsidRDefault="00C95093" w:rsidP="009443D0">
      <w:pPr>
        <w:tabs>
          <w:tab w:val="left" w:pos="540"/>
          <w:tab w:val="left" w:pos="569"/>
        </w:tabs>
        <w:jc w:val="both"/>
        <w:rPr>
          <w:bCs/>
          <w:i/>
          <w:sz w:val="22"/>
          <w:szCs w:val="22"/>
          <w:lang w:val="sr-Latn-ME"/>
        </w:rPr>
      </w:pPr>
      <w:r w:rsidRPr="00EC0535">
        <w:rPr>
          <w:bCs/>
          <w:i/>
          <w:sz w:val="22"/>
          <w:szCs w:val="22"/>
          <w:lang w:val="sr-Latn-ME"/>
        </w:rPr>
        <w:t xml:space="preserve">Lijek </w:t>
      </w:r>
      <w:r w:rsidR="009443D0" w:rsidRPr="00EC0535">
        <w:rPr>
          <w:bCs/>
          <w:i/>
          <w:sz w:val="22"/>
          <w:szCs w:val="22"/>
          <w:lang w:val="sr-Latn-ME"/>
        </w:rPr>
        <w:t>Erlotinib Pharmascience nije dostupan u jačinama od 25 mg i 50 mg. Ukoliko su potrebne ove doze</w:t>
      </w:r>
      <w:r w:rsidR="00986946" w:rsidRPr="00EC0535">
        <w:rPr>
          <w:bCs/>
          <w:i/>
          <w:sz w:val="22"/>
          <w:szCs w:val="22"/>
          <w:lang w:val="sr-Latn-ME"/>
        </w:rPr>
        <w:t>,</w:t>
      </w:r>
      <w:r w:rsidR="009443D0" w:rsidRPr="00EC0535">
        <w:rPr>
          <w:bCs/>
          <w:i/>
          <w:sz w:val="22"/>
          <w:szCs w:val="22"/>
          <w:lang w:val="sr-Latn-ME"/>
        </w:rPr>
        <w:t xml:space="preserve"> treba koristiti druge proizvode dostupne na tržištu.</w:t>
      </w:r>
    </w:p>
    <w:p w:rsidR="009443D0" w:rsidRPr="00EC0535" w:rsidRDefault="009443D0" w:rsidP="00740054">
      <w:pPr>
        <w:tabs>
          <w:tab w:val="left" w:pos="540"/>
          <w:tab w:val="left" w:pos="569"/>
        </w:tabs>
        <w:jc w:val="both"/>
        <w:rPr>
          <w:bCs/>
          <w:color w:val="FF0000"/>
          <w:sz w:val="22"/>
          <w:szCs w:val="22"/>
          <w:lang w:val="sr-Latn-ME"/>
        </w:rPr>
      </w:pPr>
    </w:p>
    <w:p w:rsidR="00740054" w:rsidRPr="00EC0535" w:rsidRDefault="00740054" w:rsidP="00740054">
      <w:pPr>
        <w:tabs>
          <w:tab w:val="left" w:pos="540"/>
          <w:tab w:val="left" w:pos="569"/>
        </w:tabs>
        <w:jc w:val="both"/>
        <w:rPr>
          <w:bCs/>
          <w:sz w:val="22"/>
          <w:szCs w:val="22"/>
          <w:lang w:val="sr-Latn-ME"/>
        </w:rPr>
      </w:pPr>
      <w:r w:rsidRPr="00EC0535">
        <w:rPr>
          <w:bCs/>
          <w:sz w:val="22"/>
          <w:szCs w:val="22"/>
          <w:lang w:val="sr-Latn-ME"/>
        </w:rPr>
        <w:t>Pri istovremenoj primjeni supstrata i modulatora CYP3A4 možda će biti potrebno prilagođavanje doze</w:t>
      </w:r>
    </w:p>
    <w:p w:rsidR="00740054" w:rsidRPr="00EC0535" w:rsidRDefault="00740054" w:rsidP="00740054">
      <w:pPr>
        <w:tabs>
          <w:tab w:val="left" w:pos="540"/>
          <w:tab w:val="left" w:pos="569"/>
        </w:tabs>
        <w:jc w:val="both"/>
        <w:rPr>
          <w:bCs/>
          <w:sz w:val="22"/>
          <w:szCs w:val="22"/>
          <w:lang w:val="sr-Latn-ME"/>
        </w:rPr>
      </w:pPr>
      <w:r w:rsidRPr="00EC0535">
        <w:rPr>
          <w:bCs/>
          <w:sz w:val="22"/>
          <w:szCs w:val="22"/>
          <w:lang w:val="sr-Latn-ME"/>
        </w:rPr>
        <w:t xml:space="preserve">(vidjeti </w:t>
      </w:r>
      <w:r w:rsidR="00986946" w:rsidRPr="00EC0535">
        <w:rPr>
          <w:bCs/>
          <w:sz w:val="22"/>
          <w:szCs w:val="22"/>
          <w:lang w:val="sr-Latn-ME"/>
        </w:rPr>
        <w:t xml:space="preserve">dio </w:t>
      </w:r>
      <w:r w:rsidRPr="00EC0535">
        <w:rPr>
          <w:bCs/>
          <w:sz w:val="22"/>
          <w:szCs w:val="22"/>
          <w:lang w:val="sr-Latn-ME"/>
        </w:rPr>
        <w:t>4.5).</w:t>
      </w:r>
    </w:p>
    <w:p w:rsidR="00740054" w:rsidRPr="00EC0535" w:rsidRDefault="00740054" w:rsidP="00740054">
      <w:pPr>
        <w:tabs>
          <w:tab w:val="left" w:pos="540"/>
          <w:tab w:val="left" w:pos="569"/>
        </w:tabs>
        <w:jc w:val="both"/>
        <w:rPr>
          <w:bCs/>
          <w:color w:val="FF0000"/>
          <w:sz w:val="22"/>
          <w:szCs w:val="22"/>
          <w:lang w:val="sr-Latn-ME"/>
        </w:rPr>
      </w:pPr>
    </w:p>
    <w:p w:rsidR="00740054" w:rsidRPr="00EC0535" w:rsidRDefault="00740054" w:rsidP="00740054">
      <w:pPr>
        <w:tabs>
          <w:tab w:val="left" w:pos="540"/>
          <w:tab w:val="left" w:pos="569"/>
        </w:tabs>
        <w:jc w:val="both"/>
        <w:rPr>
          <w:bCs/>
          <w:sz w:val="22"/>
          <w:szCs w:val="22"/>
          <w:u w:val="single"/>
          <w:lang w:val="sr-Latn-ME"/>
        </w:rPr>
      </w:pPr>
      <w:r w:rsidRPr="00EC0535">
        <w:rPr>
          <w:bCs/>
          <w:sz w:val="22"/>
          <w:szCs w:val="22"/>
          <w:u w:val="single"/>
          <w:lang w:val="sr-Latn-ME"/>
        </w:rPr>
        <w:t>Pacijenti sa oštećenom funkcijom jetre</w:t>
      </w:r>
    </w:p>
    <w:p w:rsidR="00740054" w:rsidRPr="00EC0535" w:rsidRDefault="00740054" w:rsidP="00740054">
      <w:pPr>
        <w:tabs>
          <w:tab w:val="left" w:pos="540"/>
          <w:tab w:val="left" w:pos="569"/>
        </w:tabs>
        <w:jc w:val="both"/>
        <w:rPr>
          <w:bCs/>
          <w:sz w:val="22"/>
          <w:szCs w:val="22"/>
          <w:lang w:val="sr-Latn-ME"/>
        </w:rPr>
      </w:pPr>
      <w:r w:rsidRPr="00EC0535">
        <w:rPr>
          <w:bCs/>
          <w:sz w:val="22"/>
          <w:szCs w:val="22"/>
          <w:lang w:val="sr-Latn-ME"/>
        </w:rPr>
        <w:t>Erlotinib se eliminiše metaboliziranjem u jetri i bilijarnom ekskrecijom. Iako je izloženost erlotinibu kod pacijenata sa umjerenim oštećenjem funkcije jetre (</w:t>
      </w:r>
      <w:r w:rsidRPr="00A728E1">
        <w:rPr>
          <w:bCs/>
          <w:i/>
          <w:sz w:val="22"/>
          <w:szCs w:val="22"/>
          <w:lang w:val="sr-Latn-ME"/>
        </w:rPr>
        <w:t>Child-Pugh</w:t>
      </w:r>
      <w:r w:rsidRPr="00EC0535">
        <w:rPr>
          <w:bCs/>
          <w:sz w:val="22"/>
          <w:szCs w:val="22"/>
          <w:lang w:val="sr-Latn-ME"/>
        </w:rPr>
        <w:t xml:space="preserve"> indeks 7 – 9) bila slična onoj kod pacijenata sa normalnom funkcijom jetre, potreban je oprez prilikom primjene lijeka </w:t>
      </w:r>
      <w:r w:rsidR="00693220" w:rsidRPr="00EC0535">
        <w:rPr>
          <w:bCs/>
          <w:sz w:val="22"/>
          <w:szCs w:val="22"/>
          <w:lang w:val="sr-Latn-ME"/>
        </w:rPr>
        <w:t>Erlotinib Pharmascience</w:t>
      </w:r>
      <w:r w:rsidRPr="00EC0535">
        <w:rPr>
          <w:bCs/>
          <w:sz w:val="22"/>
          <w:szCs w:val="22"/>
          <w:lang w:val="sr-Latn-ME"/>
        </w:rPr>
        <w:t xml:space="preserve"> kod pacijenata sa oštećenjem funkcije jetre. Ako se pojave ozbiljna neželjena dejstva</w:t>
      </w:r>
      <w:r w:rsidR="009F3B95" w:rsidRPr="00EC0535">
        <w:rPr>
          <w:bCs/>
          <w:sz w:val="22"/>
          <w:szCs w:val="22"/>
          <w:lang w:val="sr-Latn-ME"/>
        </w:rPr>
        <w:t>,</w:t>
      </w:r>
      <w:r w:rsidRPr="00EC0535">
        <w:rPr>
          <w:bCs/>
          <w:sz w:val="22"/>
          <w:szCs w:val="22"/>
          <w:lang w:val="sr-Latn-ME"/>
        </w:rPr>
        <w:t xml:space="preserve"> trebalo bi razmotriti smanjenje doze ili prekid terapije lijekom </w:t>
      </w:r>
      <w:r w:rsidR="00693220" w:rsidRPr="00EC0535">
        <w:rPr>
          <w:bCs/>
          <w:sz w:val="22"/>
          <w:szCs w:val="22"/>
          <w:lang w:val="sr-Latn-ME"/>
        </w:rPr>
        <w:t>Erlotinib Pharmascience</w:t>
      </w:r>
      <w:r w:rsidRPr="00EC0535">
        <w:rPr>
          <w:bCs/>
          <w:sz w:val="22"/>
          <w:szCs w:val="22"/>
          <w:lang w:val="sr-Latn-ME"/>
        </w:rPr>
        <w:t xml:space="preserve">. Bezbjednost i efikasnost erlotiniba kod pacijenata sa </w:t>
      </w:r>
      <w:r w:rsidR="009F3B95" w:rsidRPr="00EC0535">
        <w:rPr>
          <w:bCs/>
          <w:sz w:val="22"/>
          <w:szCs w:val="22"/>
          <w:lang w:val="sr-Latn-ME"/>
        </w:rPr>
        <w:t xml:space="preserve">teškim </w:t>
      </w:r>
      <w:r w:rsidRPr="00EC0535">
        <w:rPr>
          <w:bCs/>
          <w:sz w:val="22"/>
          <w:szCs w:val="22"/>
          <w:lang w:val="sr-Latn-ME"/>
        </w:rPr>
        <w:t xml:space="preserve">poremećajima funkcije jetre (AST/SGOT i ALT/SGPT &gt; 5 x gornja granica normale) nije ispitana. </w:t>
      </w:r>
      <w:r w:rsidR="00C95093" w:rsidRPr="00EC0535">
        <w:rPr>
          <w:bCs/>
          <w:sz w:val="22"/>
          <w:szCs w:val="22"/>
          <w:lang w:val="sr-Latn-ME"/>
        </w:rPr>
        <w:t xml:space="preserve">Ne preporučuje se primjena lijeka Erlotinib Pharmascience kod pacijenata sa teškom disfunkcijom jetre </w:t>
      </w:r>
      <w:r w:rsidRPr="00EC0535">
        <w:rPr>
          <w:bCs/>
          <w:sz w:val="22"/>
          <w:szCs w:val="22"/>
          <w:lang w:val="sr-Latn-ME"/>
        </w:rPr>
        <w:t xml:space="preserve">(vidjeti </w:t>
      </w:r>
      <w:r w:rsidR="00986946" w:rsidRPr="00EC0535">
        <w:rPr>
          <w:bCs/>
          <w:sz w:val="22"/>
          <w:szCs w:val="22"/>
          <w:lang w:val="sr-Latn-ME"/>
        </w:rPr>
        <w:t xml:space="preserve">dio </w:t>
      </w:r>
      <w:r w:rsidRPr="00EC0535">
        <w:rPr>
          <w:bCs/>
          <w:sz w:val="22"/>
          <w:szCs w:val="22"/>
          <w:lang w:val="sr-Latn-ME"/>
        </w:rPr>
        <w:t>5.2).</w:t>
      </w:r>
    </w:p>
    <w:p w:rsidR="00740054" w:rsidRPr="00EC0535" w:rsidRDefault="00740054" w:rsidP="00740054">
      <w:pPr>
        <w:tabs>
          <w:tab w:val="left" w:pos="540"/>
          <w:tab w:val="left" w:pos="569"/>
        </w:tabs>
        <w:jc w:val="both"/>
        <w:rPr>
          <w:bCs/>
          <w:sz w:val="22"/>
          <w:szCs w:val="22"/>
          <w:lang w:val="sr-Latn-ME"/>
        </w:rPr>
      </w:pPr>
    </w:p>
    <w:p w:rsidR="00740054" w:rsidRPr="00EC0535" w:rsidRDefault="00740054" w:rsidP="00740054">
      <w:pPr>
        <w:tabs>
          <w:tab w:val="left" w:pos="540"/>
          <w:tab w:val="left" w:pos="569"/>
        </w:tabs>
        <w:jc w:val="both"/>
        <w:rPr>
          <w:bCs/>
          <w:sz w:val="22"/>
          <w:szCs w:val="22"/>
          <w:u w:val="single"/>
          <w:lang w:val="sr-Latn-ME"/>
        </w:rPr>
      </w:pPr>
      <w:r w:rsidRPr="00EC0535">
        <w:rPr>
          <w:bCs/>
          <w:sz w:val="22"/>
          <w:szCs w:val="22"/>
          <w:u w:val="single"/>
          <w:lang w:val="sr-Latn-ME"/>
        </w:rPr>
        <w:t>Pacijenti sa oštećenom funkcijom bubrega</w:t>
      </w:r>
    </w:p>
    <w:p w:rsidR="00740054" w:rsidRPr="00EC0535" w:rsidRDefault="00740054" w:rsidP="00740054">
      <w:pPr>
        <w:tabs>
          <w:tab w:val="left" w:pos="540"/>
          <w:tab w:val="left" w:pos="569"/>
        </w:tabs>
        <w:jc w:val="both"/>
        <w:rPr>
          <w:bCs/>
          <w:sz w:val="22"/>
          <w:szCs w:val="22"/>
          <w:lang w:val="sr-Latn-ME"/>
        </w:rPr>
      </w:pPr>
      <w:r w:rsidRPr="00EC0535">
        <w:rPr>
          <w:bCs/>
          <w:sz w:val="22"/>
          <w:szCs w:val="22"/>
          <w:lang w:val="sr-Latn-ME"/>
        </w:rPr>
        <w:lastRenderedPageBreak/>
        <w:t xml:space="preserve">Bezbjednost i efikasnost </w:t>
      </w:r>
      <w:r w:rsidR="00C95093" w:rsidRPr="00EC0535">
        <w:rPr>
          <w:bCs/>
          <w:sz w:val="22"/>
          <w:szCs w:val="22"/>
          <w:lang w:val="sr-Latn-ME"/>
        </w:rPr>
        <w:t xml:space="preserve">primjene </w:t>
      </w:r>
      <w:r w:rsidRPr="00EC0535">
        <w:rPr>
          <w:bCs/>
          <w:sz w:val="22"/>
          <w:szCs w:val="22"/>
          <w:lang w:val="sr-Latn-ME"/>
        </w:rPr>
        <w:t>erlotiniba nije ispitana kod pacijenata sa oštećenom funkcijom bubrega (koncentracija serumskog kreatinina &gt; 1,5 puta od gornje granice normale). Na osnovu farmakokinetičkih podataka</w:t>
      </w:r>
      <w:r w:rsidR="00864227" w:rsidRPr="00EC0535">
        <w:rPr>
          <w:bCs/>
          <w:sz w:val="22"/>
          <w:szCs w:val="22"/>
          <w:lang w:val="sr-Latn-ME"/>
        </w:rPr>
        <w:t>,</w:t>
      </w:r>
      <w:r w:rsidRPr="00EC0535">
        <w:rPr>
          <w:bCs/>
          <w:sz w:val="22"/>
          <w:szCs w:val="22"/>
          <w:lang w:val="sr-Latn-ME"/>
        </w:rPr>
        <w:t xml:space="preserve"> nije potrebno prilagođavanje doze kod pacijenata sa blagim ili</w:t>
      </w:r>
      <w:r w:rsidR="00864227" w:rsidRPr="00EC0535">
        <w:rPr>
          <w:bCs/>
          <w:sz w:val="22"/>
          <w:szCs w:val="22"/>
          <w:lang w:val="sr-Latn-ME"/>
        </w:rPr>
        <w:t xml:space="preserve"> </w:t>
      </w:r>
      <w:r w:rsidRPr="00EC0535">
        <w:rPr>
          <w:bCs/>
          <w:sz w:val="22"/>
          <w:szCs w:val="22"/>
          <w:lang w:val="sr-Latn-ME"/>
        </w:rPr>
        <w:t xml:space="preserve">umjerenim oštećenjem bubrega (vidjeti </w:t>
      </w:r>
      <w:r w:rsidR="00864227" w:rsidRPr="00EC0535">
        <w:rPr>
          <w:bCs/>
          <w:sz w:val="22"/>
          <w:szCs w:val="22"/>
          <w:lang w:val="sr-Latn-ME"/>
        </w:rPr>
        <w:t xml:space="preserve">dio </w:t>
      </w:r>
      <w:r w:rsidRPr="00EC0535">
        <w:rPr>
          <w:bCs/>
          <w:sz w:val="22"/>
          <w:szCs w:val="22"/>
          <w:lang w:val="sr-Latn-ME"/>
        </w:rPr>
        <w:t xml:space="preserve">5.2). Ne preporučuje se primjena </w:t>
      </w:r>
      <w:r w:rsidR="00C95093" w:rsidRPr="00EC0535">
        <w:rPr>
          <w:bCs/>
          <w:sz w:val="22"/>
          <w:szCs w:val="22"/>
          <w:lang w:val="sr-Latn-ME"/>
        </w:rPr>
        <w:t xml:space="preserve">lijeka </w:t>
      </w:r>
      <w:r w:rsidRPr="00EC0535">
        <w:rPr>
          <w:bCs/>
          <w:sz w:val="22"/>
          <w:szCs w:val="22"/>
          <w:lang w:val="sr-Latn-ME"/>
        </w:rPr>
        <w:t xml:space="preserve">Erlotinib </w:t>
      </w:r>
      <w:r w:rsidR="00C95093" w:rsidRPr="00EC0535">
        <w:rPr>
          <w:bCs/>
          <w:sz w:val="22"/>
          <w:szCs w:val="22"/>
          <w:lang w:val="sr-Latn-ME"/>
        </w:rPr>
        <w:t>Pharmascience</w:t>
      </w:r>
      <w:r w:rsidRPr="00EC0535">
        <w:rPr>
          <w:bCs/>
          <w:sz w:val="22"/>
          <w:szCs w:val="22"/>
          <w:lang w:val="sr-Latn-ME"/>
        </w:rPr>
        <w:t xml:space="preserve"> kod pacijenata s</w:t>
      </w:r>
      <w:r w:rsidR="00C95093" w:rsidRPr="00EC0535">
        <w:rPr>
          <w:bCs/>
          <w:sz w:val="22"/>
          <w:szCs w:val="22"/>
          <w:lang w:val="sr-Latn-ME"/>
        </w:rPr>
        <w:t>a</w:t>
      </w:r>
      <w:r w:rsidRPr="00EC0535">
        <w:rPr>
          <w:bCs/>
          <w:sz w:val="22"/>
          <w:szCs w:val="22"/>
          <w:lang w:val="sr-Latn-ME"/>
        </w:rPr>
        <w:t xml:space="preserve"> teškim oštećenjem bubrega.</w:t>
      </w:r>
    </w:p>
    <w:p w:rsidR="00740054" w:rsidRPr="00EC0535" w:rsidRDefault="00740054" w:rsidP="00740054">
      <w:pPr>
        <w:tabs>
          <w:tab w:val="left" w:pos="540"/>
          <w:tab w:val="left" w:pos="569"/>
        </w:tabs>
        <w:jc w:val="both"/>
        <w:rPr>
          <w:bCs/>
          <w:sz w:val="22"/>
          <w:szCs w:val="22"/>
          <w:lang w:val="sr-Latn-ME"/>
        </w:rPr>
      </w:pPr>
    </w:p>
    <w:p w:rsidR="00740054" w:rsidRPr="00EC0535" w:rsidRDefault="00740054" w:rsidP="00740054">
      <w:pPr>
        <w:tabs>
          <w:tab w:val="left" w:pos="540"/>
          <w:tab w:val="left" w:pos="569"/>
        </w:tabs>
        <w:jc w:val="both"/>
        <w:rPr>
          <w:bCs/>
          <w:sz w:val="22"/>
          <w:szCs w:val="22"/>
          <w:u w:val="single"/>
          <w:lang w:val="sr-Latn-ME"/>
        </w:rPr>
      </w:pPr>
      <w:r w:rsidRPr="00EC0535">
        <w:rPr>
          <w:bCs/>
          <w:sz w:val="22"/>
          <w:szCs w:val="22"/>
          <w:u w:val="single"/>
          <w:lang w:val="sr-Latn-ME"/>
        </w:rPr>
        <w:t>Pedijatrijska populacija</w:t>
      </w:r>
    </w:p>
    <w:p w:rsidR="00740054" w:rsidRPr="00EC0535" w:rsidRDefault="00740054" w:rsidP="00740054">
      <w:pPr>
        <w:tabs>
          <w:tab w:val="left" w:pos="540"/>
          <w:tab w:val="left" w:pos="569"/>
        </w:tabs>
        <w:jc w:val="both"/>
        <w:rPr>
          <w:bCs/>
          <w:sz w:val="22"/>
          <w:szCs w:val="22"/>
          <w:lang w:val="sr-Latn-ME"/>
        </w:rPr>
      </w:pPr>
      <w:r w:rsidRPr="00EC0535">
        <w:rPr>
          <w:bCs/>
          <w:sz w:val="22"/>
          <w:szCs w:val="22"/>
          <w:lang w:val="sr-Latn-ME"/>
        </w:rPr>
        <w:t xml:space="preserve">Bezbjednost i efikasnost </w:t>
      </w:r>
      <w:r w:rsidR="00B838E6" w:rsidRPr="00EC0535">
        <w:rPr>
          <w:bCs/>
          <w:sz w:val="22"/>
          <w:szCs w:val="22"/>
          <w:lang w:val="sr-Latn-ME"/>
        </w:rPr>
        <w:t xml:space="preserve">primjene </w:t>
      </w:r>
      <w:r w:rsidRPr="00EC0535">
        <w:rPr>
          <w:bCs/>
          <w:sz w:val="22"/>
          <w:szCs w:val="22"/>
          <w:lang w:val="sr-Latn-ME"/>
        </w:rPr>
        <w:t xml:space="preserve">erlotiniba u odobrenim indikacijama kod pacijenata mlađih od 18 godina nijesu </w:t>
      </w:r>
      <w:r w:rsidR="00864227" w:rsidRPr="00EC0535">
        <w:rPr>
          <w:bCs/>
          <w:sz w:val="22"/>
          <w:szCs w:val="22"/>
          <w:lang w:val="sr-Latn-ME"/>
        </w:rPr>
        <w:t>ustanovljene</w:t>
      </w:r>
      <w:r w:rsidRPr="00EC0535">
        <w:rPr>
          <w:bCs/>
          <w:sz w:val="22"/>
          <w:szCs w:val="22"/>
          <w:lang w:val="sr-Latn-ME"/>
        </w:rPr>
        <w:t xml:space="preserve">. Primjena lijeka </w:t>
      </w:r>
      <w:r w:rsidR="00693220" w:rsidRPr="00EC0535">
        <w:rPr>
          <w:bCs/>
          <w:sz w:val="22"/>
          <w:szCs w:val="22"/>
          <w:lang w:val="sr-Latn-ME"/>
        </w:rPr>
        <w:t>Erlotinib Pharmascience</w:t>
      </w:r>
      <w:r w:rsidRPr="00EC0535">
        <w:rPr>
          <w:bCs/>
          <w:sz w:val="22"/>
          <w:szCs w:val="22"/>
          <w:lang w:val="sr-Latn-ME"/>
        </w:rPr>
        <w:t xml:space="preserve"> se ne preporučuje se kod pedijatrijskih pacijenata.</w:t>
      </w:r>
    </w:p>
    <w:p w:rsidR="00740054" w:rsidRPr="00EC0535" w:rsidRDefault="00740054" w:rsidP="00740054">
      <w:pPr>
        <w:tabs>
          <w:tab w:val="left" w:pos="540"/>
          <w:tab w:val="left" w:pos="569"/>
        </w:tabs>
        <w:jc w:val="both"/>
        <w:rPr>
          <w:bCs/>
          <w:sz w:val="22"/>
          <w:szCs w:val="22"/>
          <w:lang w:val="sr-Latn-ME"/>
        </w:rPr>
      </w:pPr>
    </w:p>
    <w:p w:rsidR="00740054" w:rsidRPr="00EC0535" w:rsidRDefault="00740054" w:rsidP="00740054">
      <w:pPr>
        <w:tabs>
          <w:tab w:val="left" w:pos="540"/>
          <w:tab w:val="left" w:pos="569"/>
        </w:tabs>
        <w:jc w:val="both"/>
        <w:rPr>
          <w:bCs/>
          <w:sz w:val="22"/>
          <w:szCs w:val="22"/>
          <w:u w:val="single"/>
          <w:lang w:val="sr-Latn-ME"/>
        </w:rPr>
      </w:pPr>
      <w:r w:rsidRPr="00EC0535">
        <w:rPr>
          <w:bCs/>
          <w:sz w:val="22"/>
          <w:szCs w:val="22"/>
          <w:u w:val="single"/>
          <w:lang w:val="sr-Latn-ME"/>
        </w:rPr>
        <w:t>Pušači</w:t>
      </w:r>
    </w:p>
    <w:p w:rsidR="00452E9D" w:rsidRPr="00EC0535" w:rsidRDefault="00740054" w:rsidP="00740054">
      <w:pPr>
        <w:tabs>
          <w:tab w:val="left" w:pos="540"/>
          <w:tab w:val="left" w:pos="569"/>
        </w:tabs>
        <w:jc w:val="both"/>
        <w:rPr>
          <w:bCs/>
          <w:sz w:val="22"/>
          <w:szCs w:val="22"/>
          <w:lang w:val="sr-Latn-ME"/>
        </w:rPr>
      </w:pPr>
      <w:r w:rsidRPr="00EC0535">
        <w:rPr>
          <w:bCs/>
          <w:sz w:val="22"/>
          <w:szCs w:val="22"/>
          <w:lang w:val="sr-Latn-ME"/>
        </w:rPr>
        <w:t xml:space="preserve">Pokazalo se da pušenje cigareta smanjuje izloženost erlotinibu za 50 do 60%. Maksimalna podnošljiva doza lijeka </w:t>
      </w:r>
      <w:r w:rsidR="00693220" w:rsidRPr="00EC0535">
        <w:rPr>
          <w:bCs/>
          <w:sz w:val="22"/>
          <w:szCs w:val="22"/>
          <w:lang w:val="sr-Latn-ME"/>
        </w:rPr>
        <w:t>Erlotinib Pharmascience</w:t>
      </w:r>
      <w:r w:rsidRPr="00EC0535">
        <w:rPr>
          <w:bCs/>
          <w:sz w:val="22"/>
          <w:szCs w:val="22"/>
          <w:lang w:val="sr-Latn-ME"/>
        </w:rPr>
        <w:t xml:space="preserve"> kod pacijenata pušača sa nemikrocelularnim karcinomom pluća iznosi 300 mg. Doza od 300 mg nije povećala efikasnost terapije druge linije nakon neuspjeha hemioterapije u poređenju sa dozom od 150 mg kod pacijenata koji nastave sa pušenjem cigareta. Podaci o bezbjednosti su bili uporedivi među dozama od 300 mg i 150 mg; ipak</w:t>
      </w:r>
      <w:r w:rsidR="00864227" w:rsidRPr="00EC0535">
        <w:rPr>
          <w:bCs/>
          <w:sz w:val="22"/>
          <w:szCs w:val="22"/>
          <w:lang w:val="sr-Latn-ME"/>
        </w:rPr>
        <w:t>,</w:t>
      </w:r>
      <w:r w:rsidRPr="00EC0535">
        <w:rPr>
          <w:bCs/>
          <w:sz w:val="22"/>
          <w:szCs w:val="22"/>
          <w:lang w:val="sr-Latn-ME"/>
        </w:rPr>
        <w:t xml:space="preserve"> postojao je značajan porast incidence osipa, intersticijalne bolesti pluća, i dijereje kod pacijenata koji su primili veće doze erlotiniba. </w:t>
      </w:r>
      <w:r w:rsidR="00B838E6" w:rsidRPr="00EC0535">
        <w:rPr>
          <w:bCs/>
          <w:sz w:val="22"/>
          <w:szCs w:val="22"/>
          <w:lang w:val="sr-Latn-ME"/>
        </w:rPr>
        <w:t>Zbog toga p</w:t>
      </w:r>
      <w:r w:rsidRPr="00EC0535">
        <w:rPr>
          <w:bCs/>
          <w:sz w:val="22"/>
          <w:szCs w:val="22"/>
          <w:lang w:val="sr-Latn-ME"/>
        </w:rPr>
        <w:t xml:space="preserve">ušačima treba savjetovati da prestanu sa pušenjem (vidjeti </w:t>
      </w:r>
      <w:r w:rsidR="00864227" w:rsidRPr="00EC0535">
        <w:rPr>
          <w:bCs/>
          <w:sz w:val="22"/>
          <w:szCs w:val="22"/>
          <w:lang w:val="sr-Latn-ME"/>
        </w:rPr>
        <w:t xml:space="preserve">djelove </w:t>
      </w:r>
      <w:r w:rsidRPr="00EC0535">
        <w:rPr>
          <w:bCs/>
          <w:sz w:val="22"/>
          <w:szCs w:val="22"/>
          <w:lang w:val="sr-Latn-ME"/>
        </w:rPr>
        <w:t>4.4, 4.5, 5.1 i 5.2).</w:t>
      </w:r>
    </w:p>
    <w:p w:rsidR="00740054" w:rsidRPr="00EC0535" w:rsidRDefault="00740054" w:rsidP="00480FB1">
      <w:pPr>
        <w:tabs>
          <w:tab w:val="left" w:pos="540"/>
          <w:tab w:val="left" w:pos="569"/>
        </w:tabs>
        <w:rPr>
          <w:b/>
          <w:bCs/>
          <w:color w:val="FF0000"/>
          <w:sz w:val="22"/>
          <w:szCs w:val="22"/>
          <w:lang w:val="sr-Latn-ME"/>
        </w:rPr>
      </w:pPr>
    </w:p>
    <w:p w:rsidR="009443D0" w:rsidRPr="00EC0535" w:rsidRDefault="009443D0" w:rsidP="009443D0">
      <w:pPr>
        <w:tabs>
          <w:tab w:val="left" w:pos="540"/>
          <w:tab w:val="left" w:pos="569"/>
        </w:tabs>
        <w:rPr>
          <w:bCs/>
          <w:sz w:val="22"/>
          <w:szCs w:val="22"/>
          <w:u w:val="single"/>
          <w:lang w:val="sr-Latn-ME"/>
        </w:rPr>
      </w:pPr>
      <w:r w:rsidRPr="00EC0535">
        <w:rPr>
          <w:bCs/>
          <w:sz w:val="22"/>
          <w:szCs w:val="22"/>
          <w:u w:val="single"/>
          <w:lang w:val="sr-Latn-ME"/>
        </w:rPr>
        <w:t>Način primjene</w:t>
      </w:r>
    </w:p>
    <w:p w:rsidR="009443D0" w:rsidRPr="00EC0535" w:rsidRDefault="009443D0" w:rsidP="009443D0">
      <w:pPr>
        <w:tabs>
          <w:tab w:val="left" w:pos="540"/>
          <w:tab w:val="left" w:pos="569"/>
        </w:tabs>
        <w:rPr>
          <w:bCs/>
          <w:sz w:val="22"/>
          <w:szCs w:val="22"/>
          <w:u w:val="single"/>
          <w:lang w:val="sr-Latn-ME"/>
        </w:rPr>
      </w:pPr>
    </w:p>
    <w:p w:rsidR="009443D0" w:rsidRPr="00EC0535" w:rsidRDefault="009443D0" w:rsidP="009443D0">
      <w:pPr>
        <w:tabs>
          <w:tab w:val="left" w:pos="540"/>
          <w:tab w:val="left" w:pos="569"/>
        </w:tabs>
        <w:rPr>
          <w:bCs/>
          <w:sz w:val="22"/>
          <w:szCs w:val="22"/>
          <w:lang w:val="sr-Latn-ME"/>
        </w:rPr>
      </w:pPr>
      <w:r w:rsidRPr="00EC0535">
        <w:rPr>
          <w:bCs/>
          <w:sz w:val="22"/>
          <w:szCs w:val="22"/>
          <w:lang w:val="sr-Latn-ME"/>
        </w:rPr>
        <w:t>Za oralnu upotrebu.</w:t>
      </w:r>
    </w:p>
    <w:p w:rsidR="009443D0" w:rsidRPr="00EC0535" w:rsidRDefault="009443D0" w:rsidP="009443D0">
      <w:pPr>
        <w:tabs>
          <w:tab w:val="left" w:pos="540"/>
          <w:tab w:val="left" w:pos="569"/>
        </w:tabs>
        <w:rPr>
          <w:bCs/>
          <w:sz w:val="22"/>
          <w:szCs w:val="22"/>
          <w:lang w:val="sr-Latn-ME"/>
        </w:rPr>
      </w:pPr>
    </w:p>
    <w:p w:rsidR="00411B4B" w:rsidRPr="00EC0535" w:rsidRDefault="00411B4B" w:rsidP="00480FB1">
      <w:pPr>
        <w:tabs>
          <w:tab w:val="left" w:pos="540"/>
          <w:tab w:val="left" w:pos="569"/>
        </w:tabs>
        <w:rPr>
          <w:b/>
          <w:bCs/>
          <w:sz w:val="22"/>
          <w:szCs w:val="22"/>
          <w:lang w:val="sr-Latn-ME"/>
        </w:rPr>
      </w:pPr>
      <w:r w:rsidRPr="00EC0535">
        <w:rPr>
          <w:b/>
          <w:bCs/>
          <w:sz w:val="22"/>
          <w:szCs w:val="22"/>
          <w:lang w:val="sr-Latn-ME"/>
        </w:rPr>
        <w:t xml:space="preserve">4.3. </w:t>
      </w:r>
      <w:r w:rsidR="00480FB1" w:rsidRPr="00EC0535">
        <w:rPr>
          <w:b/>
          <w:bCs/>
          <w:sz w:val="22"/>
          <w:szCs w:val="22"/>
          <w:lang w:val="sr-Latn-ME"/>
        </w:rPr>
        <w:tab/>
      </w:r>
      <w:r w:rsidRPr="00EC0535">
        <w:rPr>
          <w:b/>
          <w:bCs/>
          <w:sz w:val="22"/>
          <w:szCs w:val="22"/>
          <w:lang w:val="sr-Latn-ME"/>
        </w:rPr>
        <w:t>Kontraindikacije</w:t>
      </w:r>
    </w:p>
    <w:p w:rsidR="0072020E" w:rsidRPr="00EC0535" w:rsidRDefault="0072020E" w:rsidP="00480FB1">
      <w:pPr>
        <w:tabs>
          <w:tab w:val="left" w:pos="540"/>
          <w:tab w:val="left" w:pos="569"/>
        </w:tabs>
        <w:rPr>
          <w:bCs/>
          <w:sz w:val="22"/>
          <w:szCs w:val="22"/>
          <w:lang w:val="sr-Latn-ME"/>
        </w:rPr>
      </w:pPr>
    </w:p>
    <w:p w:rsidR="00740054" w:rsidRPr="00EC0535" w:rsidRDefault="00740054" w:rsidP="00480FB1">
      <w:pPr>
        <w:tabs>
          <w:tab w:val="left" w:pos="540"/>
          <w:tab w:val="left" w:pos="569"/>
        </w:tabs>
        <w:rPr>
          <w:bCs/>
          <w:sz w:val="22"/>
          <w:szCs w:val="22"/>
          <w:lang w:val="sr-Latn-ME"/>
        </w:rPr>
      </w:pPr>
      <w:r w:rsidRPr="00EC0535">
        <w:rPr>
          <w:bCs/>
          <w:sz w:val="22"/>
          <w:szCs w:val="22"/>
          <w:lang w:val="sr-Latn-ME"/>
        </w:rPr>
        <w:t xml:space="preserve">Preosjetljivost na erlotinib ili </w:t>
      </w:r>
      <w:r w:rsidR="003D75E5" w:rsidRPr="00EC0535">
        <w:rPr>
          <w:bCs/>
          <w:sz w:val="22"/>
          <w:szCs w:val="22"/>
          <w:lang w:val="sr-Latn-ME"/>
        </w:rPr>
        <w:t xml:space="preserve">na </w:t>
      </w:r>
      <w:r w:rsidRPr="00EC0535">
        <w:rPr>
          <w:bCs/>
          <w:sz w:val="22"/>
          <w:szCs w:val="22"/>
          <w:lang w:val="sr-Latn-ME"/>
        </w:rPr>
        <w:t xml:space="preserve">neku od pomoćnih supstanci navedenih u </w:t>
      </w:r>
      <w:r w:rsidR="003D75E5" w:rsidRPr="00EC0535">
        <w:rPr>
          <w:bCs/>
          <w:sz w:val="22"/>
          <w:szCs w:val="22"/>
          <w:lang w:val="sr-Latn-ME"/>
        </w:rPr>
        <w:t xml:space="preserve">dijelu </w:t>
      </w:r>
      <w:r w:rsidRPr="00EC0535">
        <w:rPr>
          <w:bCs/>
          <w:sz w:val="22"/>
          <w:szCs w:val="22"/>
          <w:lang w:val="sr-Latn-ME"/>
        </w:rPr>
        <w:t>6.1.</w:t>
      </w:r>
    </w:p>
    <w:p w:rsidR="00740054" w:rsidRPr="00EC0535" w:rsidRDefault="00740054" w:rsidP="00480FB1">
      <w:pPr>
        <w:tabs>
          <w:tab w:val="left" w:pos="540"/>
          <w:tab w:val="left" w:pos="569"/>
        </w:tabs>
        <w:rPr>
          <w:bCs/>
          <w:sz w:val="22"/>
          <w:szCs w:val="22"/>
          <w:lang w:val="sr-Latn-ME"/>
        </w:rPr>
      </w:pPr>
    </w:p>
    <w:p w:rsidR="00411B4B" w:rsidRPr="00EC0535" w:rsidRDefault="00411B4B" w:rsidP="00480FB1">
      <w:pPr>
        <w:tabs>
          <w:tab w:val="left" w:pos="540"/>
          <w:tab w:val="left" w:pos="569"/>
        </w:tabs>
        <w:rPr>
          <w:b/>
          <w:bCs/>
          <w:sz w:val="22"/>
          <w:szCs w:val="22"/>
          <w:lang w:val="sr-Latn-ME"/>
        </w:rPr>
      </w:pPr>
      <w:r w:rsidRPr="00EC0535">
        <w:rPr>
          <w:b/>
          <w:bCs/>
          <w:sz w:val="22"/>
          <w:szCs w:val="22"/>
          <w:lang w:val="sr-Latn-ME"/>
        </w:rPr>
        <w:t xml:space="preserve">4.4. </w:t>
      </w:r>
      <w:r w:rsidR="00480FB1" w:rsidRPr="00EC0535">
        <w:rPr>
          <w:b/>
          <w:bCs/>
          <w:sz w:val="22"/>
          <w:szCs w:val="22"/>
          <w:lang w:val="sr-Latn-ME"/>
        </w:rPr>
        <w:tab/>
      </w:r>
      <w:r w:rsidRPr="00EC0535">
        <w:rPr>
          <w:b/>
          <w:bCs/>
          <w:sz w:val="22"/>
          <w:szCs w:val="22"/>
          <w:lang w:val="sr-Latn-ME"/>
        </w:rPr>
        <w:t>Posebna upozorenja i mjere opreza pri upotrebi lijeka</w:t>
      </w:r>
    </w:p>
    <w:p w:rsidR="0072020E" w:rsidRPr="00EC0535" w:rsidRDefault="0072020E" w:rsidP="00480FB1">
      <w:pPr>
        <w:tabs>
          <w:tab w:val="left" w:pos="540"/>
          <w:tab w:val="left" w:pos="569"/>
        </w:tabs>
        <w:rPr>
          <w:bCs/>
          <w:sz w:val="22"/>
          <w:szCs w:val="22"/>
          <w:lang w:val="sr-Latn-ME"/>
        </w:rPr>
      </w:pPr>
    </w:p>
    <w:p w:rsidR="007E53C2" w:rsidRPr="00EC0535" w:rsidRDefault="00B838E6" w:rsidP="000F3979">
      <w:pPr>
        <w:tabs>
          <w:tab w:val="left" w:pos="540"/>
          <w:tab w:val="left" w:pos="569"/>
        </w:tabs>
        <w:jc w:val="both"/>
        <w:rPr>
          <w:sz w:val="22"/>
          <w:szCs w:val="22"/>
          <w:u w:val="single"/>
          <w:lang w:val="sr-Latn-ME"/>
        </w:rPr>
      </w:pPr>
      <w:r w:rsidRPr="00EC0535">
        <w:rPr>
          <w:sz w:val="22"/>
          <w:szCs w:val="22"/>
          <w:u w:val="single"/>
          <w:lang w:val="sr-Latn-ME"/>
        </w:rPr>
        <w:t>Određivanje statusa EGFR mutacije</w:t>
      </w:r>
    </w:p>
    <w:p w:rsidR="00B838E6" w:rsidRPr="00EC0535" w:rsidRDefault="00B838E6" w:rsidP="000F3979">
      <w:pPr>
        <w:tabs>
          <w:tab w:val="left" w:pos="540"/>
          <w:tab w:val="left" w:pos="569"/>
        </w:tabs>
        <w:jc w:val="both"/>
        <w:rPr>
          <w:sz w:val="22"/>
          <w:szCs w:val="22"/>
          <w:u w:val="single"/>
          <w:lang w:val="sr-Latn-ME"/>
        </w:rPr>
      </w:pPr>
    </w:p>
    <w:p w:rsidR="000F3979" w:rsidRPr="00EC0535" w:rsidRDefault="000F3979" w:rsidP="000F3979">
      <w:pPr>
        <w:tabs>
          <w:tab w:val="left" w:pos="540"/>
          <w:tab w:val="left" w:pos="569"/>
        </w:tabs>
        <w:jc w:val="both"/>
        <w:rPr>
          <w:sz w:val="22"/>
          <w:szCs w:val="22"/>
          <w:lang w:val="sr-Latn-ME"/>
        </w:rPr>
      </w:pPr>
      <w:r w:rsidRPr="00EC0535">
        <w:rPr>
          <w:sz w:val="22"/>
          <w:szCs w:val="22"/>
          <w:lang w:val="sr-Latn-ME"/>
        </w:rPr>
        <w:t xml:space="preserve">Kada se razmatra primjena lijeka </w:t>
      </w:r>
      <w:r w:rsidR="00693220" w:rsidRPr="00EC0535">
        <w:rPr>
          <w:sz w:val="22"/>
          <w:szCs w:val="22"/>
          <w:lang w:val="sr-Latn-ME"/>
        </w:rPr>
        <w:t>Erlotinib Pharmascience</w:t>
      </w:r>
      <w:r w:rsidRPr="00EC0535">
        <w:rPr>
          <w:sz w:val="22"/>
          <w:szCs w:val="22"/>
          <w:lang w:val="sr-Latn-ME"/>
        </w:rPr>
        <w:t xml:space="preserve"> kao terapije prvog izbora ili terapije održavanja kod pacijenata sa lokalno uznapredovalim ili metastatskim nemikrocelularnim karcinomom pluća, važno je odrediti status EGFR mutacija.</w:t>
      </w:r>
    </w:p>
    <w:p w:rsidR="000F3979" w:rsidRPr="00EC0535" w:rsidRDefault="000F3979" w:rsidP="000F3979">
      <w:pPr>
        <w:tabs>
          <w:tab w:val="left" w:pos="540"/>
          <w:tab w:val="left" w:pos="569"/>
        </w:tabs>
        <w:jc w:val="both"/>
        <w:rPr>
          <w:sz w:val="22"/>
          <w:szCs w:val="22"/>
          <w:lang w:val="sr-Latn-ME"/>
        </w:rPr>
      </w:pPr>
    </w:p>
    <w:p w:rsidR="000F3979" w:rsidRPr="00EC0535" w:rsidRDefault="000F3979" w:rsidP="000F3979">
      <w:pPr>
        <w:tabs>
          <w:tab w:val="left" w:pos="540"/>
          <w:tab w:val="left" w:pos="569"/>
        </w:tabs>
        <w:jc w:val="both"/>
        <w:rPr>
          <w:sz w:val="22"/>
          <w:szCs w:val="22"/>
          <w:lang w:val="sr-Latn-ME"/>
        </w:rPr>
      </w:pPr>
      <w:r w:rsidRPr="00EC0535">
        <w:rPr>
          <w:sz w:val="22"/>
          <w:szCs w:val="22"/>
          <w:lang w:val="sr-Latn-ME"/>
        </w:rPr>
        <w:t>Potrebno je koristiti validiranu, robusnu, pouzdanu i osjetljivu metodu sa prethodno predviđenim pragom pozitivnosti i dokazanom korisnošću za određivanje statusa EGFR mutacija</w:t>
      </w:r>
      <w:r w:rsidR="00306231" w:rsidRPr="00EC0535">
        <w:rPr>
          <w:sz w:val="22"/>
          <w:szCs w:val="22"/>
          <w:lang w:val="sr-Latn-ME"/>
        </w:rPr>
        <w:t>,</w:t>
      </w:r>
      <w:r w:rsidRPr="00EC0535">
        <w:rPr>
          <w:sz w:val="22"/>
          <w:szCs w:val="22"/>
          <w:lang w:val="sr-Latn-ME"/>
        </w:rPr>
        <w:t xml:space="preserve"> koristeći ili tumorski DNK iz uzorka tkiva ili </w:t>
      </w:r>
      <w:r w:rsidR="00306231" w:rsidRPr="00EC0535">
        <w:rPr>
          <w:sz w:val="22"/>
          <w:szCs w:val="22"/>
          <w:lang w:val="sr-Latn-ME"/>
        </w:rPr>
        <w:t xml:space="preserve">cirkulišuću slobodnu </w:t>
      </w:r>
      <w:r w:rsidRPr="00EC0535">
        <w:rPr>
          <w:sz w:val="22"/>
          <w:szCs w:val="22"/>
          <w:lang w:val="sr-Latn-ME"/>
        </w:rPr>
        <w:t xml:space="preserve">DNK (cfDNK) </w:t>
      </w:r>
      <w:r w:rsidR="00CA59C9" w:rsidRPr="00EC0535">
        <w:rPr>
          <w:sz w:val="22"/>
          <w:szCs w:val="22"/>
          <w:lang w:val="sr-Latn-ME"/>
        </w:rPr>
        <w:t xml:space="preserve">dobijenu </w:t>
      </w:r>
      <w:r w:rsidRPr="00EC0535">
        <w:rPr>
          <w:sz w:val="22"/>
          <w:szCs w:val="22"/>
          <w:lang w:val="sr-Latn-ME"/>
        </w:rPr>
        <w:t>iz uzorka krvi (plazme), koju je potrebno obaviti u skladu sa lokalnom medicin</w:t>
      </w:r>
      <w:r w:rsidR="00306231" w:rsidRPr="00EC0535">
        <w:rPr>
          <w:sz w:val="22"/>
          <w:szCs w:val="22"/>
          <w:lang w:val="sr-Latn-ME"/>
        </w:rPr>
        <w:t>s</w:t>
      </w:r>
      <w:r w:rsidRPr="00EC0535">
        <w:rPr>
          <w:sz w:val="22"/>
          <w:szCs w:val="22"/>
          <w:lang w:val="sr-Latn-ME"/>
        </w:rPr>
        <w:t>kom praksom.</w:t>
      </w:r>
    </w:p>
    <w:p w:rsidR="000F3979" w:rsidRPr="00EC0535" w:rsidRDefault="000F3979" w:rsidP="000F3979">
      <w:pPr>
        <w:tabs>
          <w:tab w:val="left" w:pos="540"/>
          <w:tab w:val="left" w:pos="569"/>
        </w:tabs>
        <w:jc w:val="both"/>
        <w:rPr>
          <w:sz w:val="22"/>
          <w:szCs w:val="22"/>
          <w:lang w:val="sr-Latn-ME"/>
        </w:rPr>
      </w:pPr>
    </w:p>
    <w:p w:rsidR="000F3979" w:rsidRPr="00EC0535" w:rsidRDefault="00A74255" w:rsidP="000F3979">
      <w:pPr>
        <w:tabs>
          <w:tab w:val="left" w:pos="540"/>
          <w:tab w:val="left" w:pos="569"/>
        </w:tabs>
        <w:jc w:val="both"/>
        <w:rPr>
          <w:sz w:val="22"/>
          <w:szCs w:val="22"/>
          <w:lang w:val="sr-Latn-ME"/>
        </w:rPr>
      </w:pPr>
      <w:r w:rsidRPr="00EC0535">
        <w:rPr>
          <w:sz w:val="22"/>
          <w:szCs w:val="22"/>
          <w:lang w:val="sr-Latn-ME"/>
        </w:rPr>
        <w:t>Ukoliko se korišćenjem testa cfDNK iz plazme dobije negativan rezultat na aktivirajuće mutacije, potrebno je sprovesti test sa uzorkom tumorskog tkiva kad god je to moguće, zbog moguće pojave lažno negativnog rezultata testa na uzorku plazme.</w:t>
      </w:r>
    </w:p>
    <w:p w:rsidR="00A74255" w:rsidRPr="00EC0535" w:rsidRDefault="00A74255" w:rsidP="000F3979">
      <w:pPr>
        <w:tabs>
          <w:tab w:val="left" w:pos="540"/>
          <w:tab w:val="left" w:pos="569"/>
        </w:tabs>
        <w:jc w:val="both"/>
        <w:rPr>
          <w:color w:val="FF0000"/>
          <w:sz w:val="22"/>
          <w:szCs w:val="22"/>
          <w:lang w:val="sr-Latn-ME"/>
        </w:rPr>
      </w:pPr>
    </w:p>
    <w:p w:rsidR="000F3979" w:rsidRPr="00EC0535" w:rsidRDefault="000F3979" w:rsidP="000F3979">
      <w:pPr>
        <w:tabs>
          <w:tab w:val="left" w:pos="540"/>
          <w:tab w:val="left" w:pos="569"/>
        </w:tabs>
        <w:jc w:val="both"/>
        <w:rPr>
          <w:sz w:val="22"/>
          <w:szCs w:val="22"/>
          <w:u w:val="single"/>
          <w:lang w:val="sr-Latn-ME"/>
        </w:rPr>
      </w:pPr>
      <w:r w:rsidRPr="00EC0535">
        <w:rPr>
          <w:sz w:val="22"/>
          <w:szCs w:val="22"/>
          <w:u w:val="single"/>
          <w:lang w:val="sr-Latn-ME"/>
        </w:rPr>
        <w:t xml:space="preserve">Pušači </w:t>
      </w:r>
    </w:p>
    <w:p w:rsidR="007E53C2" w:rsidRPr="00EC0535" w:rsidRDefault="007E53C2" w:rsidP="000F3979">
      <w:pPr>
        <w:tabs>
          <w:tab w:val="left" w:pos="540"/>
          <w:tab w:val="left" w:pos="569"/>
        </w:tabs>
        <w:jc w:val="both"/>
        <w:rPr>
          <w:sz w:val="22"/>
          <w:szCs w:val="22"/>
          <w:u w:val="single"/>
          <w:lang w:val="sr-Latn-ME"/>
        </w:rPr>
      </w:pPr>
    </w:p>
    <w:p w:rsidR="000F3979" w:rsidRPr="00EC0535" w:rsidRDefault="00A74255" w:rsidP="000F3979">
      <w:pPr>
        <w:tabs>
          <w:tab w:val="left" w:pos="540"/>
          <w:tab w:val="left" w:pos="569"/>
        </w:tabs>
        <w:jc w:val="both"/>
        <w:rPr>
          <w:sz w:val="22"/>
          <w:szCs w:val="22"/>
          <w:lang w:val="sr-Latn-ME"/>
        </w:rPr>
      </w:pPr>
      <w:r w:rsidRPr="00EC0535">
        <w:rPr>
          <w:sz w:val="22"/>
          <w:szCs w:val="22"/>
          <w:lang w:val="sr-Latn-ME"/>
        </w:rPr>
        <w:t>Aktivnim p</w:t>
      </w:r>
      <w:r w:rsidR="000F3979" w:rsidRPr="00EC0535">
        <w:rPr>
          <w:sz w:val="22"/>
          <w:szCs w:val="22"/>
          <w:lang w:val="sr-Latn-ME"/>
        </w:rPr>
        <w:t>ušačima treba savjetovati da prestanu sa pušenjem</w:t>
      </w:r>
      <w:r w:rsidR="00306231" w:rsidRPr="00EC0535">
        <w:rPr>
          <w:sz w:val="22"/>
          <w:szCs w:val="22"/>
          <w:lang w:val="sr-Latn-ME"/>
        </w:rPr>
        <w:t>,</w:t>
      </w:r>
      <w:r w:rsidR="000F3979" w:rsidRPr="00EC0535">
        <w:rPr>
          <w:sz w:val="22"/>
          <w:szCs w:val="22"/>
          <w:lang w:val="sr-Latn-ME"/>
        </w:rPr>
        <w:t xml:space="preserve"> jer je ustanovljeno da je koncentracija erlotiniba u plazmi pušača značajno manja u poređenju sa koncentracijom kod nepušača. Stepen smanjenja </w:t>
      </w:r>
      <w:r w:rsidRPr="00EC0535">
        <w:rPr>
          <w:sz w:val="22"/>
          <w:szCs w:val="22"/>
          <w:lang w:val="sr-Latn-ME"/>
        </w:rPr>
        <w:t xml:space="preserve">koncentracije </w:t>
      </w:r>
      <w:r w:rsidR="000F3979" w:rsidRPr="00EC0535">
        <w:rPr>
          <w:sz w:val="22"/>
          <w:szCs w:val="22"/>
          <w:lang w:val="sr-Latn-ME"/>
        </w:rPr>
        <w:t xml:space="preserve">je vjerovatno klinički značajan (vidjeti </w:t>
      </w:r>
      <w:r w:rsidR="00306231" w:rsidRPr="00EC0535">
        <w:rPr>
          <w:sz w:val="22"/>
          <w:szCs w:val="22"/>
          <w:lang w:val="sr-Latn-ME"/>
        </w:rPr>
        <w:t xml:space="preserve">djelove </w:t>
      </w:r>
      <w:r w:rsidR="000F3979" w:rsidRPr="00EC0535">
        <w:rPr>
          <w:sz w:val="22"/>
          <w:szCs w:val="22"/>
          <w:lang w:val="sr-Latn-ME"/>
        </w:rPr>
        <w:t xml:space="preserve">4.2, 4.5, 5.1 i 5.2). </w:t>
      </w:r>
    </w:p>
    <w:p w:rsidR="00D74D18" w:rsidRPr="00EC0535" w:rsidRDefault="00D74D18" w:rsidP="00D74D18">
      <w:pPr>
        <w:tabs>
          <w:tab w:val="left" w:pos="540"/>
          <w:tab w:val="left" w:pos="569"/>
        </w:tabs>
        <w:rPr>
          <w:bCs/>
          <w:color w:val="FF0000"/>
          <w:sz w:val="22"/>
          <w:szCs w:val="22"/>
          <w:u w:val="single"/>
          <w:lang w:val="sr-Latn-ME"/>
        </w:rPr>
      </w:pPr>
    </w:p>
    <w:p w:rsidR="00D74D18" w:rsidRPr="00EC0535" w:rsidRDefault="00D74D18" w:rsidP="00D74D18">
      <w:pPr>
        <w:tabs>
          <w:tab w:val="left" w:pos="540"/>
          <w:tab w:val="left" w:pos="569"/>
        </w:tabs>
        <w:rPr>
          <w:bCs/>
          <w:sz w:val="22"/>
          <w:szCs w:val="22"/>
          <w:u w:val="single"/>
          <w:lang w:val="sr-Latn-ME"/>
        </w:rPr>
      </w:pPr>
      <w:r w:rsidRPr="00EC0535">
        <w:rPr>
          <w:bCs/>
          <w:sz w:val="22"/>
          <w:szCs w:val="22"/>
          <w:u w:val="single"/>
          <w:lang w:val="sr-Latn-ME"/>
        </w:rPr>
        <w:t xml:space="preserve">Intersticijalna bolest pluća </w:t>
      </w:r>
    </w:p>
    <w:p w:rsidR="00D74D18" w:rsidRPr="00EC0535" w:rsidRDefault="00D74D18" w:rsidP="00D74D18">
      <w:pPr>
        <w:tabs>
          <w:tab w:val="left" w:pos="540"/>
          <w:tab w:val="left" w:pos="569"/>
        </w:tabs>
        <w:rPr>
          <w:bCs/>
          <w:color w:val="FF0000"/>
          <w:sz w:val="22"/>
          <w:szCs w:val="22"/>
          <w:lang w:val="sr-Latn-ME"/>
        </w:rPr>
      </w:pPr>
    </w:p>
    <w:p w:rsidR="00D74D18" w:rsidRPr="00EC0535" w:rsidRDefault="00D74D18" w:rsidP="00D74D18">
      <w:pPr>
        <w:tabs>
          <w:tab w:val="left" w:pos="540"/>
          <w:tab w:val="left" w:pos="569"/>
        </w:tabs>
        <w:jc w:val="both"/>
        <w:rPr>
          <w:bCs/>
          <w:sz w:val="22"/>
          <w:szCs w:val="22"/>
          <w:lang w:val="sr-Latn-ME"/>
        </w:rPr>
      </w:pPr>
      <w:r w:rsidRPr="00EC0535">
        <w:rPr>
          <w:bCs/>
          <w:sz w:val="22"/>
          <w:szCs w:val="22"/>
          <w:lang w:val="sr-Latn-ME"/>
        </w:rPr>
        <w:t xml:space="preserve">Slučajevi slični intersticijalnoj bolesti pluća (ILD, </w:t>
      </w:r>
      <w:r w:rsidRPr="00A728E1">
        <w:rPr>
          <w:bCs/>
          <w:sz w:val="22"/>
          <w:szCs w:val="22"/>
          <w:lang w:val="sr-Latn-ME"/>
        </w:rPr>
        <w:t>eng</w:t>
      </w:r>
      <w:r w:rsidR="00306231" w:rsidRPr="00A728E1">
        <w:rPr>
          <w:bCs/>
          <w:sz w:val="22"/>
          <w:szCs w:val="22"/>
          <w:lang w:val="sr-Latn-ME"/>
        </w:rPr>
        <w:t>l</w:t>
      </w:r>
      <w:r w:rsidRPr="00A728E1">
        <w:rPr>
          <w:bCs/>
          <w:sz w:val="22"/>
          <w:szCs w:val="22"/>
          <w:lang w:val="sr-Latn-ME"/>
        </w:rPr>
        <w:t>.</w:t>
      </w:r>
      <w:r w:rsidRPr="00EC0535">
        <w:rPr>
          <w:bCs/>
          <w:i/>
          <w:sz w:val="22"/>
          <w:szCs w:val="22"/>
          <w:lang w:val="sr-Latn-ME"/>
        </w:rPr>
        <w:t xml:space="preserve"> Interstitial Lung Desease</w:t>
      </w:r>
      <w:r w:rsidRPr="00EC0535">
        <w:rPr>
          <w:bCs/>
          <w:sz w:val="22"/>
          <w:szCs w:val="22"/>
          <w:lang w:val="sr-Latn-ME"/>
        </w:rPr>
        <w:t xml:space="preserve">), uključujući i slučajeve sa smrtnim ishodom, su povremeno prijavljivani kod pacijenata koji primaju erlotinib za liječenje nemikrocelularnog karcinoma pluća (NSCLC), karcinoma pankreasa ili drugih uznapredovalih solidnih tumora. U pivotalnoj studiji BR.21 kod pacijenata sa nemikrocelularnim karcinomom pluća </w:t>
      </w:r>
      <w:r w:rsidRPr="00EC0535">
        <w:rPr>
          <w:bCs/>
          <w:sz w:val="22"/>
          <w:szCs w:val="22"/>
          <w:lang w:val="sr-Latn-ME"/>
        </w:rPr>
        <w:lastRenderedPageBreak/>
        <w:t xml:space="preserve">incidenca pojave intersticijalne bolesti pluća (0,8%) bila je ista u grupama koje su primale placebo i grupama koje su primale erlotinib. U metaanalizi kontrolisanih kliničkih ispitivanja kod nemikrocelularnog karcinoma pluća (isključujući studije faze I </w:t>
      </w:r>
      <w:r w:rsidR="00DA1D60" w:rsidRPr="00EC0535">
        <w:rPr>
          <w:bCs/>
          <w:sz w:val="22"/>
          <w:szCs w:val="22"/>
          <w:lang w:val="sr-Latn-ME"/>
        </w:rPr>
        <w:t xml:space="preserve">i </w:t>
      </w:r>
      <w:r w:rsidRPr="00EC0535">
        <w:rPr>
          <w:bCs/>
          <w:sz w:val="22"/>
          <w:szCs w:val="22"/>
          <w:lang w:val="sr-Latn-ME"/>
        </w:rPr>
        <w:t>studije faze II sa jednom grupom, usl</w:t>
      </w:r>
      <w:r w:rsidR="00DA1D60" w:rsidRPr="00EC0535">
        <w:rPr>
          <w:bCs/>
          <w:sz w:val="22"/>
          <w:szCs w:val="22"/>
          <w:lang w:val="sr-Latn-ME"/>
        </w:rPr>
        <w:t>j</w:t>
      </w:r>
      <w:r w:rsidRPr="00EC0535">
        <w:rPr>
          <w:bCs/>
          <w:sz w:val="22"/>
          <w:szCs w:val="22"/>
          <w:lang w:val="sr-Latn-ME"/>
        </w:rPr>
        <w:t>ed nedostatka kontrolne grupe) incidenca slučajeva sličnih intersticijalnoj bolesti pluća iznosila je 0,9 % u grupi koja je primala erlotinib u odnosu na 0,4% kod pacijenata u kontrolnoj grupi. U kliničkoj studiji sa pacijenatima sa karcinomom pankreasa</w:t>
      </w:r>
      <w:r w:rsidR="00DA1D60" w:rsidRPr="00EC0535">
        <w:rPr>
          <w:bCs/>
          <w:sz w:val="22"/>
          <w:szCs w:val="22"/>
          <w:lang w:val="sr-Latn-ME"/>
        </w:rPr>
        <w:t>,</w:t>
      </w:r>
      <w:r w:rsidRPr="00EC0535">
        <w:rPr>
          <w:bCs/>
          <w:sz w:val="22"/>
          <w:szCs w:val="22"/>
          <w:lang w:val="sr-Latn-ME"/>
        </w:rPr>
        <w:t xml:space="preserve"> incidenca</w:t>
      </w:r>
      <w:r w:rsidR="00DA1D60" w:rsidRPr="00EC0535">
        <w:rPr>
          <w:bCs/>
          <w:sz w:val="22"/>
          <w:szCs w:val="22"/>
          <w:lang w:val="sr-Latn-ME"/>
        </w:rPr>
        <w:t xml:space="preserve"> </w:t>
      </w:r>
      <w:r w:rsidRPr="00EC0535">
        <w:rPr>
          <w:bCs/>
          <w:sz w:val="22"/>
          <w:szCs w:val="22"/>
          <w:lang w:val="sr-Latn-ME"/>
        </w:rPr>
        <w:t>slučajeva sličnih ILD iznosila je 2,5 % kod pacijenata koji su primali gemcitabin u kombinaciji sa erlotinibom, u odnosu na 0</w:t>
      </w:r>
      <w:r w:rsidR="00DA1D60" w:rsidRPr="00EC0535">
        <w:rPr>
          <w:bCs/>
          <w:sz w:val="22"/>
          <w:szCs w:val="22"/>
          <w:lang w:val="sr-Latn-ME"/>
        </w:rPr>
        <w:t>,</w:t>
      </w:r>
      <w:r w:rsidRPr="00EC0535">
        <w:rPr>
          <w:bCs/>
          <w:sz w:val="22"/>
          <w:szCs w:val="22"/>
          <w:lang w:val="sr-Latn-ME"/>
        </w:rPr>
        <w:t xml:space="preserve">4% kod pacijenata koji su primali gemcitabin u kombinaciji sa placebom. Kod pacijenata za koje se sumnjalo da imaju simptome slične ILD, prijavljene su sljedeće dijagnoze: pneumonitis, radijacioni pneumonitis, alergijski pneumonitis, intersticijalna pneumonija, intersticijalna bolest pluća, obliterativni bronhiolitis, plućna fibroza, akutni respiratorni distres sindrom (ARDS), alveolitis i infiltracija pluća. Simptomi su započinjali od nekoliko dana do nekoliko mjeseci od početka terapije lijekom </w:t>
      </w:r>
      <w:r w:rsidR="00693220" w:rsidRPr="00EC0535">
        <w:rPr>
          <w:bCs/>
          <w:sz w:val="22"/>
          <w:szCs w:val="22"/>
          <w:lang w:val="sr-Latn-ME"/>
        </w:rPr>
        <w:t>Erlotinib Pharmascience</w:t>
      </w:r>
      <w:r w:rsidRPr="00EC0535">
        <w:rPr>
          <w:bCs/>
          <w:sz w:val="22"/>
          <w:szCs w:val="22"/>
          <w:lang w:val="sr-Latn-ME"/>
        </w:rPr>
        <w:t xml:space="preserve">. Učestali su bili i ometajući faktori (engl. </w:t>
      </w:r>
      <w:r w:rsidRPr="00A728E1">
        <w:rPr>
          <w:bCs/>
          <w:i/>
          <w:sz w:val="22"/>
          <w:szCs w:val="22"/>
          <w:lang w:val="sr-Latn-ME"/>
        </w:rPr>
        <w:t>confounding factor</w:t>
      </w:r>
      <w:r w:rsidR="002758BC" w:rsidRPr="00EC0535">
        <w:rPr>
          <w:bCs/>
          <w:i/>
          <w:sz w:val="22"/>
          <w:szCs w:val="22"/>
          <w:lang w:val="sr-Latn-ME"/>
        </w:rPr>
        <w:t>s</w:t>
      </w:r>
      <w:r w:rsidRPr="00EC0535">
        <w:rPr>
          <w:bCs/>
          <w:sz w:val="22"/>
          <w:szCs w:val="22"/>
          <w:lang w:val="sr-Latn-ME"/>
        </w:rPr>
        <w:t xml:space="preserve">) ili doprinoseći faktori (engl. </w:t>
      </w:r>
      <w:r w:rsidRPr="00A728E1">
        <w:rPr>
          <w:bCs/>
          <w:i/>
          <w:sz w:val="22"/>
          <w:szCs w:val="22"/>
          <w:lang w:val="sr-Latn-ME"/>
        </w:rPr>
        <w:t>contributing factor</w:t>
      </w:r>
      <w:r w:rsidR="002758BC" w:rsidRPr="00EC0535">
        <w:rPr>
          <w:bCs/>
          <w:i/>
          <w:sz w:val="22"/>
          <w:szCs w:val="22"/>
          <w:lang w:val="sr-Latn-ME"/>
        </w:rPr>
        <w:t>s</w:t>
      </w:r>
      <w:r w:rsidRPr="00EC0535">
        <w:rPr>
          <w:bCs/>
          <w:sz w:val="22"/>
          <w:szCs w:val="22"/>
          <w:lang w:val="sr-Latn-ME"/>
        </w:rPr>
        <w:t>), kao što su istovremena ili prethodna hem</w:t>
      </w:r>
      <w:r w:rsidR="002758BC" w:rsidRPr="00EC0535">
        <w:rPr>
          <w:bCs/>
          <w:sz w:val="22"/>
          <w:szCs w:val="22"/>
          <w:lang w:val="sr-Latn-ME"/>
        </w:rPr>
        <w:t>i</w:t>
      </w:r>
      <w:r w:rsidRPr="00EC0535">
        <w:rPr>
          <w:bCs/>
          <w:sz w:val="22"/>
          <w:szCs w:val="22"/>
          <w:lang w:val="sr-Latn-ME"/>
        </w:rPr>
        <w:t>oterapija, prethodna radijaciona terapija, prethodno postojeće oboljenje plućnog parenhima, metastatsko oboljenje pluća ili plućne infekcije. Veća incidenca ILD (približno 5% sa stopom smrtnosti 1,5%) uočava se među pacijentima u kliničkim studijama koje su se sprovodile u Japanu.</w:t>
      </w:r>
    </w:p>
    <w:p w:rsidR="00D74D18" w:rsidRPr="00EC0535" w:rsidRDefault="00D74D18" w:rsidP="00D74D18">
      <w:pPr>
        <w:tabs>
          <w:tab w:val="left" w:pos="540"/>
          <w:tab w:val="left" w:pos="569"/>
        </w:tabs>
        <w:jc w:val="both"/>
        <w:rPr>
          <w:bCs/>
          <w:color w:val="FF0000"/>
          <w:sz w:val="22"/>
          <w:szCs w:val="22"/>
          <w:lang w:val="sr-Latn-ME"/>
        </w:rPr>
      </w:pPr>
    </w:p>
    <w:p w:rsidR="00D74D18" w:rsidRPr="00EC0535" w:rsidRDefault="00D74D18" w:rsidP="00D74D18">
      <w:pPr>
        <w:tabs>
          <w:tab w:val="left" w:pos="540"/>
          <w:tab w:val="left" w:pos="569"/>
        </w:tabs>
        <w:jc w:val="both"/>
        <w:rPr>
          <w:bCs/>
          <w:sz w:val="22"/>
          <w:szCs w:val="22"/>
          <w:lang w:val="sr-Latn-ME"/>
        </w:rPr>
      </w:pPr>
      <w:r w:rsidRPr="00EC0535">
        <w:rPr>
          <w:bCs/>
          <w:sz w:val="22"/>
          <w:szCs w:val="22"/>
          <w:lang w:val="sr-Latn-ME"/>
        </w:rPr>
        <w:t xml:space="preserve">Kod pacijenata kod kojih se razviju akutni novi i/ili progresivni neobjašnjeni plućni simptomi, kao što su dispnea, kašalj ili groznica, potrebno je obustaviti terapiju erlotinibom dok se ne uradi dijagnostička procjena. </w:t>
      </w:r>
      <w:r w:rsidR="0044798A" w:rsidRPr="00EC0535">
        <w:rPr>
          <w:bCs/>
          <w:sz w:val="22"/>
          <w:szCs w:val="22"/>
          <w:lang w:val="sr-Latn-ME"/>
        </w:rPr>
        <w:t xml:space="preserve">Pacijente </w:t>
      </w:r>
      <w:r w:rsidRPr="00EC0535">
        <w:rPr>
          <w:bCs/>
          <w:sz w:val="22"/>
          <w:szCs w:val="22"/>
          <w:lang w:val="sr-Latn-ME"/>
        </w:rPr>
        <w:t xml:space="preserve">koji su istovremeno liječeni erlotinibom i gemcitabinom treba </w:t>
      </w:r>
      <w:r w:rsidR="0044798A" w:rsidRPr="00EC0535">
        <w:rPr>
          <w:bCs/>
          <w:sz w:val="22"/>
          <w:szCs w:val="22"/>
          <w:lang w:val="sr-Latn-ME"/>
        </w:rPr>
        <w:t xml:space="preserve">pažljivo </w:t>
      </w:r>
      <w:r w:rsidRPr="00EC0535">
        <w:rPr>
          <w:bCs/>
          <w:sz w:val="22"/>
          <w:szCs w:val="22"/>
          <w:lang w:val="sr-Latn-ME"/>
        </w:rPr>
        <w:t xml:space="preserve">pratiti zbog mogućnosti razvoja toksičnih simptoma sličnih intersticijalnoj bolesti pluća. Ako se dijagnostikuje ILD, potrebno je prekinuti terapiju lijekom </w:t>
      </w:r>
      <w:r w:rsidR="00693220" w:rsidRPr="00EC0535">
        <w:rPr>
          <w:bCs/>
          <w:sz w:val="22"/>
          <w:szCs w:val="22"/>
          <w:lang w:val="sr-Latn-ME"/>
        </w:rPr>
        <w:t>Erlotinib Pharmascience</w:t>
      </w:r>
      <w:r w:rsidRPr="00EC0535">
        <w:rPr>
          <w:bCs/>
          <w:sz w:val="22"/>
          <w:szCs w:val="22"/>
          <w:lang w:val="sr-Latn-ME"/>
        </w:rPr>
        <w:t xml:space="preserve"> i započeti odgovarajuće liječenje po potrebi (vidjeti </w:t>
      </w:r>
      <w:r w:rsidR="0044798A" w:rsidRPr="00EC0535">
        <w:rPr>
          <w:bCs/>
          <w:sz w:val="22"/>
          <w:szCs w:val="22"/>
          <w:lang w:val="sr-Latn-ME"/>
        </w:rPr>
        <w:t xml:space="preserve">dio </w:t>
      </w:r>
      <w:r w:rsidRPr="00EC0535">
        <w:rPr>
          <w:bCs/>
          <w:sz w:val="22"/>
          <w:szCs w:val="22"/>
          <w:lang w:val="sr-Latn-ME"/>
        </w:rPr>
        <w:t>4.8).</w:t>
      </w:r>
    </w:p>
    <w:p w:rsidR="00057E35" w:rsidRPr="00EC0535" w:rsidRDefault="00057E35" w:rsidP="00D74D18">
      <w:pPr>
        <w:tabs>
          <w:tab w:val="left" w:pos="540"/>
          <w:tab w:val="left" w:pos="569"/>
        </w:tabs>
        <w:jc w:val="both"/>
        <w:rPr>
          <w:bCs/>
          <w:color w:val="FF0000"/>
          <w:sz w:val="22"/>
          <w:szCs w:val="22"/>
          <w:lang w:val="sr-Latn-ME"/>
        </w:rPr>
      </w:pPr>
    </w:p>
    <w:p w:rsidR="007E53C2" w:rsidRPr="00EC0535" w:rsidRDefault="007E53C2" w:rsidP="007E53C2">
      <w:pPr>
        <w:tabs>
          <w:tab w:val="left" w:pos="540"/>
          <w:tab w:val="left" w:pos="569"/>
        </w:tabs>
        <w:jc w:val="both"/>
        <w:rPr>
          <w:bCs/>
          <w:sz w:val="22"/>
          <w:szCs w:val="22"/>
          <w:u w:val="single"/>
          <w:lang w:val="sr-Latn-ME"/>
        </w:rPr>
      </w:pPr>
      <w:r w:rsidRPr="00EC0535">
        <w:rPr>
          <w:bCs/>
          <w:sz w:val="22"/>
          <w:szCs w:val="22"/>
          <w:u w:val="single"/>
          <w:lang w:val="sr-Latn-ME"/>
        </w:rPr>
        <w:t>Dijareja, dehidra</w:t>
      </w:r>
      <w:r w:rsidR="00812474" w:rsidRPr="00EC0535">
        <w:rPr>
          <w:bCs/>
          <w:sz w:val="22"/>
          <w:szCs w:val="22"/>
          <w:u w:val="single"/>
          <w:lang w:val="sr-Latn-ME"/>
        </w:rPr>
        <w:t>ta</w:t>
      </w:r>
      <w:r w:rsidRPr="00EC0535">
        <w:rPr>
          <w:bCs/>
          <w:sz w:val="22"/>
          <w:szCs w:val="22"/>
          <w:u w:val="single"/>
          <w:lang w:val="sr-Latn-ME"/>
        </w:rPr>
        <w:t xml:space="preserve">cija, disbalans elektrolita i bubrežna insuficijencija </w:t>
      </w:r>
    </w:p>
    <w:p w:rsidR="007E53C2" w:rsidRPr="00EC0535" w:rsidRDefault="007E53C2" w:rsidP="007E53C2">
      <w:pPr>
        <w:tabs>
          <w:tab w:val="left" w:pos="540"/>
          <w:tab w:val="left" w:pos="569"/>
        </w:tabs>
        <w:jc w:val="both"/>
        <w:rPr>
          <w:bCs/>
          <w:sz w:val="22"/>
          <w:szCs w:val="22"/>
          <w:u w:val="single"/>
          <w:lang w:val="sr-Latn-ME"/>
        </w:rPr>
      </w:pPr>
    </w:p>
    <w:p w:rsidR="007E53C2" w:rsidRPr="00EC0535" w:rsidRDefault="007E53C2" w:rsidP="007E53C2">
      <w:pPr>
        <w:tabs>
          <w:tab w:val="left" w:pos="540"/>
          <w:tab w:val="left" w:pos="569"/>
        </w:tabs>
        <w:jc w:val="both"/>
        <w:rPr>
          <w:bCs/>
          <w:sz w:val="22"/>
          <w:szCs w:val="22"/>
          <w:lang w:val="sr-Latn-ME"/>
        </w:rPr>
      </w:pPr>
      <w:r w:rsidRPr="00EC0535">
        <w:rPr>
          <w:bCs/>
          <w:sz w:val="22"/>
          <w:szCs w:val="22"/>
          <w:lang w:val="sr-Latn-ME"/>
        </w:rPr>
        <w:t>Dijareja (uključujući veoma r</w:t>
      </w:r>
      <w:r w:rsidR="00812474" w:rsidRPr="00EC0535">
        <w:rPr>
          <w:bCs/>
          <w:sz w:val="22"/>
          <w:szCs w:val="22"/>
          <w:lang w:val="sr-Latn-ME"/>
        </w:rPr>
        <w:t>ij</w:t>
      </w:r>
      <w:r w:rsidRPr="00EC0535">
        <w:rPr>
          <w:bCs/>
          <w:sz w:val="22"/>
          <w:szCs w:val="22"/>
          <w:lang w:val="sr-Latn-ME"/>
        </w:rPr>
        <w:t xml:space="preserve">etke slučajeve sa fatalnim ishodom) zabilježena je kod približno 50% pacijenata na terapiji lijekom </w:t>
      </w:r>
      <w:r w:rsidR="00693220" w:rsidRPr="00EC0535">
        <w:rPr>
          <w:bCs/>
          <w:sz w:val="22"/>
          <w:szCs w:val="22"/>
          <w:lang w:val="sr-Latn-ME"/>
        </w:rPr>
        <w:t>Erlotinib Pharmascience</w:t>
      </w:r>
      <w:r w:rsidRPr="00EC0535">
        <w:rPr>
          <w:bCs/>
          <w:sz w:val="22"/>
          <w:szCs w:val="22"/>
          <w:lang w:val="sr-Latn-ME"/>
        </w:rPr>
        <w:t xml:space="preserve">, a umjerenu ili tešku dijareju treba liječiti npr. loperamidom. U nekim slučajevima može biti potrebno smanjenje doze. U kliničkim studijama doze su smanjivane postepeno, za po 50 mg. Smanjenje doze za po 25 mg nije ispitivano. U slučaju teške ili perzistentne dijareje, mučnine, anoreksije ili povraćanja praćenih dehidratacijom, terapiju lijekom </w:t>
      </w:r>
      <w:r w:rsidR="00693220" w:rsidRPr="00EC0535">
        <w:rPr>
          <w:bCs/>
          <w:sz w:val="22"/>
          <w:szCs w:val="22"/>
          <w:lang w:val="sr-Latn-ME"/>
        </w:rPr>
        <w:t>Erlotinib Pharmascience</w:t>
      </w:r>
      <w:r w:rsidRPr="00EC0535">
        <w:rPr>
          <w:bCs/>
          <w:sz w:val="22"/>
          <w:szCs w:val="22"/>
          <w:lang w:val="sr-Latn-ME"/>
        </w:rPr>
        <w:t xml:space="preserve"> treba prekinuti i preduzeti odgovarajuće mjere u cilju liječenja dehidratacije (vidjeti </w:t>
      </w:r>
      <w:r w:rsidR="00812474" w:rsidRPr="00EC0535">
        <w:rPr>
          <w:bCs/>
          <w:sz w:val="22"/>
          <w:szCs w:val="22"/>
          <w:lang w:val="sr-Latn-ME"/>
        </w:rPr>
        <w:t xml:space="preserve">dio </w:t>
      </w:r>
      <w:r w:rsidRPr="00EC0535">
        <w:rPr>
          <w:bCs/>
          <w:sz w:val="22"/>
          <w:szCs w:val="22"/>
          <w:lang w:val="sr-Latn-ME"/>
        </w:rPr>
        <w:t>4.8). Prijavljen</w:t>
      </w:r>
      <w:r w:rsidR="00A74255" w:rsidRPr="00EC0535">
        <w:rPr>
          <w:bCs/>
          <w:sz w:val="22"/>
          <w:szCs w:val="22"/>
          <w:lang w:val="sr-Latn-ME"/>
        </w:rPr>
        <w:t>i su rijetki slučajevi hipokal</w:t>
      </w:r>
      <w:r w:rsidR="00812474" w:rsidRPr="00EC0535">
        <w:rPr>
          <w:bCs/>
          <w:sz w:val="22"/>
          <w:szCs w:val="22"/>
          <w:lang w:val="sr-Latn-ME"/>
        </w:rPr>
        <w:t>ij</w:t>
      </w:r>
      <w:r w:rsidRPr="00EC0535">
        <w:rPr>
          <w:bCs/>
          <w:sz w:val="22"/>
          <w:szCs w:val="22"/>
          <w:lang w:val="sr-Latn-ME"/>
        </w:rPr>
        <w:t>emije i bubrežne insuficijencije (uključujući smrtne slučajeve). Neki slučajevi bili su posljedica teške dehidratacije usl</w:t>
      </w:r>
      <w:r w:rsidR="00812474" w:rsidRPr="00EC0535">
        <w:rPr>
          <w:bCs/>
          <w:sz w:val="22"/>
          <w:szCs w:val="22"/>
          <w:lang w:val="sr-Latn-ME"/>
        </w:rPr>
        <w:t>j</w:t>
      </w:r>
      <w:r w:rsidRPr="00EC0535">
        <w:rPr>
          <w:bCs/>
          <w:sz w:val="22"/>
          <w:szCs w:val="22"/>
          <w:lang w:val="sr-Latn-ME"/>
        </w:rPr>
        <w:t>ed dijareje, povraćanja i/ili anoreksije, dok je u drugim slučajevima istovremena hem</w:t>
      </w:r>
      <w:r w:rsidR="00812474" w:rsidRPr="00EC0535">
        <w:rPr>
          <w:bCs/>
          <w:sz w:val="22"/>
          <w:szCs w:val="22"/>
          <w:lang w:val="sr-Latn-ME"/>
        </w:rPr>
        <w:t>i</w:t>
      </w:r>
      <w:r w:rsidRPr="00EC0535">
        <w:rPr>
          <w:bCs/>
          <w:sz w:val="22"/>
          <w:szCs w:val="22"/>
          <w:lang w:val="sr-Latn-ME"/>
        </w:rPr>
        <w:t xml:space="preserve">oterapija bila doprinoseći faktor. U mnogo težim dijarejama ili </w:t>
      </w:r>
      <w:r w:rsidR="00812474" w:rsidRPr="00EC0535">
        <w:rPr>
          <w:bCs/>
          <w:sz w:val="22"/>
          <w:szCs w:val="22"/>
          <w:lang w:val="sr-Latn-ME"/>
        </w:rPr>
        <w:t xml:space="preserve">onim </w:t>
      </w:r>
      <w:r w:rsidRPr="00EC0535">
        <w:rPr>
          <w:bCs/>
          <w:sz w:val="22"/>
          <w:szCs w:val="22"/>
          <w:lang w:val="sr-Latn-ME"/>
        </w:rPr>
        <w:t>koje traju duže ili dovode do dehidratacije, naročito u grupi pacijenata sa otežavajućim faktorima rizika (istovremena hemioterapija ili primjena drugih ljekova, simptomi ili oboljenja ili druga predisponirajuća stanja, uključujući i starije životno doba)</w:t>
      </w:r>
      <w:r w:rsidR="00BC6230" w:rsidRPr="00EC0535">
        <w:rPr>
          <w:bCs/>
          <w:sz w:val="22"/>
          <w:szCs w:val="22"/>
          <w:lang w:val="sr-Latn-ME"/>
        </w:rPr>
        <w:t>,</w:t>
      </w:r>
      <w:r w:rsidRPr="00EC0535">
        <w:rPr>
          <w:bCs/>
          <w:sz w:val="22"/>
          <w:szCs w:val="22"/>
          <w:lang w:val="sr-Latn-ME"/>
        </w:rPr>
        <w:t xml:space="preserve"> terapiju lijekom </w:t>
      </w:r>
      <w:r w:rsidR="00693220" w:rsidRPr="00EC0535">
        <w:rPr>
          <w:bCs/>
          <w:sz w:val="22"/>
          <w:szCs w:val="22"/>
          <w:lang w:val="sr-Latn-ME"/>
        </w:rPr>
        <w:t>Erlotinib Pharmascience</w:t>
      </w:r>
      <w:r w:rsidRPr="00EC0535">
        <w:rPr>
          <w:bCs/>
          <w:sz w:val="22"/>
          <w:szCs w:val="22"/>
          <w:lang w:val="sr-Latn-ME"/>
        </w:rPr>
        <w:t xml:space="preserve"> treba prekinuti i sprovesti adekvatne mjere, u cilju intenzivne rehidratacije pacijenta intravenskim putem. Dodatno, u cilju prevencije rizika od dehidratacije treba pratiti funkciju bubrega i elektrolite u serumu, uključujući kalijum.</w:t>
      </w:r>
    </w:p>
    <w:p w:rsidR="007E53C2" w:rsidRPr="00EC0535" w:rsidRDefault="007E53C2" w:rsidP="007E53C2">
      <w:pPr>
        <w:tabs>
          <w:tab w:val="left" w:pos="540"/>
          <w:tab w:val="left" w:pos="569"/>
        </w:tabs>
        <w:jc w:val="both"/>
        <w:rPr>
          <w:bCs/>
          <w:color w:val="FF0000"/>
          <w:sz w:val="22"/>
          <w:szCs w:val="22"/>
          <w:lang w:val="sr-Latn-ME"/>
        </w:rPr>
      </w:pPr>
    </w:p>
    <w:p w:rsidR="007E53C2" w:rsidRPr="00EC0535" w:rsidRDefault="007E53C2" w:rsidP="007E53C2">
      <w:pPr>
        <w:tabs>
          <w:tab w:val="left" w:pos="540"/>
          <w:tab w:val="left" w:pos="569"/>
        </w:tabs>
        <w:jc w:val="both"/>
        <w:rPr>
          <w:bCs/>
          <w:sz w:val="22"/>
          <w:szCs w:val="22"/>
          <w:u w:val="single"/>
          <w:lang w:val="sr-Latn-ME"/>
        </w:rPr>
      </w:pPr>
      <w:r w:rsidRPr="00EC0535">
        <w:rPr>
          <w:bCs/>
          <w:sz w:val="22"/>
          <w:szCs w:val="22"/>
          <w:u w:val="single"/>
          <w:lang w:val="sr-Latn-ME"/>
        </w:rPr>
        <w:t xml:space="preserve">Hepatitis, insuficijencija jetre </w:t>
      </w:r>
    </w:p>
    <w:p w:rsidR="007E53C2" w:rsidRPr="00EC0535" w:rsidRDefault="007E53C2" w:rsidP="007E53C2">
      <w:pPr>
        <w:tabs>
          <w:tab w:val="left" w:pos="540"/>
          <w:tab w:val="left" w:pos="569"/>
        </w:tabs>
        <w:jc w:val="both"/>
        <w:rPr>
          <w:bCs/>
          <w:sz w:val="22"/>
          <w:szCs w:val="22"/>
          <w:u w:val="single"/>
          <w:lang w:val="sr-Latn-ME"/>
        </w:rPr>
      </w:pPr>
    </w:p>
    <w:p w:rsidR="007E53C2" w:rsidRPr="00EC0535" w:rsidRDefault="007E53C2" w:rsidP="007E53C2">
      <w:pPr>
        <w:tabs>
          <w:tab w:val="left" w:pos="540"/>
          <w:tab w:val="left" w:pos="569"/>
        </w:tabs>
        <w:jc w:val="both"/>
        <w:rPr>
          <w:bCs/>
          <w:sz w:val="22"/>
          <w:szCs w:val="22"/>
          <w:lang w:val="sr-Latn-ME"/>
        </w:rPr>
      </w:pPr>
      <w:r w:rsidRPr="00EC0535">
        <w:rPr>
          <w:bCs/>
          <w:sz w:val="22"/>
          <w:szCs w:val="22"/>
          <w:lang w:val="sr-Latn-ME"/>
        </w:rPr>
        <w:t xml:space="preserve">Prijavljeni su rijetki slučajevi insuficijencije jetre (uključujući smrtne slučajeve) tokom primjene lijeka </w:t>
      </w:r>
      <w:r w:rsidR="00693220" w:rsidRPr="00EC0535">
        <w:rPr>
          <w:bCs/>
          <w:sz w:val="22"/>
          <w:szCs w:val="22"/>
          <w:lang w:val="sr-Latn-ME"/>
        </w:rPr>
        <w:t>Erlotinib Pharmascience</w:t>
      </w:r>
      <w:r w:rsidRPr="00EC0535">
        <w:rPr>
          <w:bCs/>
          <w:sz w:val="22"/>
          <w:szCs w:val="22"/>
          <w:lang w:val="sr-Latn-ME"/>
        </w:rPr>
        <w:t xml:space="preserve">. Doprinoseći faktori koji otežavaju tumačenje uključivali su prethodno postojeća oboljenja jetre ili istovremenu primjenu hepatotoksičnih ljekova. Stoga, kod ovakvih pacijenata, treba razmotriti periodično testiranje funkcije jetre. Terapiju lijekom </w:t>
      </w:r>
      <w:r w:rsidR="00693220" w:rsidRPr="00EC0535">
        <w:rPr>
          <w:bCs/>
          <w:sz w:val="22"/>
          <w:szCs w:val="22"/>
          <w:lang w:val="sr-Latn-ME"/>
        </w:rPr>
        <w:t>Erlotinib Pharmascience</w:t>
      </w:r>
      <w:r w:rsidRPr="00EC0535">
        <w:rPr>
          <w:bCs/>
          <w:sz w:val="22"/>
          <w:szCs w:val="22"/>
          <w:lang w:val="sr-Latn-ME"/>
        </w:rPr>
        <w:t xml:space="preserve"> treba prekinuti ukoliko su promjene funkcije jetre teške (vidjeti </w:t>
      </w:r>
      <w:r w:rsidR="00581AEA" w:rsidRPr="00EC0535">
        <w:rPr>
          <w:bCs/>
          <w:sz w:val="22"/>
          <w:szCs w:val="22"/>
          <w:lang w:val="sr-Latn-ME"/>
        </w:rPr>
        <w:t xml:space="preserve">dio </w:t>
      </w:r>
      <w:r w:rsidRPr="00EC0535">
        <w:rPr>
          <w:bCs/>
          <w:sz w:val="22"/>
          <w:szCs w:val="22"/>
          <w:lang w:val="sr-Latn-ME"/>
        </w:rPr>
        <w:t xml:space="preserve">4.8). Ne preporučuje se primjena lijeka </w:t>
      </w:r>
      <w:r w:rsidR="00693220" w:rsidRPr="00EC0535">
        <w:rPr>
          <w:bCs/>
          <w:sz w:val="22"/>
          <w:szCs w:val="22"/>
          <w:lang w:val="sr-Latn-ME"/>
        </w:rPr>
        <w:t>Erlotinib Pharmascience</w:t>
      </w:r>
      <w:r w:rsidRPr="00EC0535">
        <w:rPr>
          <w:bCs/>
          <w:sz w:val="22"/>
          <w:szCs w:val="22"/>
          <w:lang w:val="sr-Latn-ME"/>
        </w:rPr>
        <w:t xml:space="preserve"> kod pacijenata sa teškom disfunkcijom jetre.</w:t>
      </w:r>
    </w:p>
    <w:p w:rsidR="007E53C2" w:rsidRPr="00EC0535" w:rsidRDefault="007E53C2" w:rsidP="007E53C2">
      <w:pPr>
        <w:tabs>
          <w:tab w:val="left" w:pos="540"/>
          <w:tab w:val="left" w:pos="569"/>
        </w:tabs>
        <w:jc w:val="both"/>
        <w:rPr>
          <w:bCs/>
          <w:color w:val="FF0000"/>
          <w:sz w:val="22"/>
          <w:szCs w:val="22"/>
          <w:lang w:val="sr-Latn-ME"/>
        </w:rPr>
      </w:pPr>
    </w:p>
    <w:p w:rsidR="007E53C2" w:rsidRPr="00EC0535" w:rsidRDefault="007E53C2" w:rsidP="007E53C2">
      <w:pPr>
        <w:tabs>
          <w:tab w:val="left" w:pos="540"/>
          <w:tab w:val="left" w:pos="569"/>
        </w:tabs>
        <w:jc w:val="both"/>
        <w:rPr>
          <w:bCs/>
          <w:sz w:val="22"/>
          <w:szCs w:val="22"/>
          <w:u w:val="single"/>
          <w:lang w:val="sr-Latn-ME"/>
        </w:rPr>
      </w:pPr>
      <w:r w:rsidRPr="00EC0535">
        <w:rPr>
          <w:bCs/>
          <w:sz w:val="22"/>
          <w:szCs w:val="22"/>
          <w:u w:val="single"/>
          <w:lang w:val="sr-Latn-ME"/>
        </w:rPr>
        <w:t xml:space="preserve">Gastrointestinalna perforacija </w:t>
      </w:r>
    </w:p>
    <w:p w:rsidR="007E53C2" w:rsidRPr="00EC0535" w:rsidRDefault="007E53C2" w:rsidP="007E53C2">
      <w:pPr>
        <w:tabs>
          <w:tab w:val="left" w:pos="540"/>
          <w:tab w:val="left" w:pos="569"/>
        </w:tabs>
        <w:jc w:val="both"/>
        <w:rPr>
          <w:bCs/>
          <w:sz w:val="22"/>
          <w:szCs w:val="22"/>
          <w:u w:val="single"/>
          <w:lang w:val="sr-Latn-ME"/>
        </w:rPr>
      </w:pPr>
    </w:p>
    <w:p w:rsidR="007E53C2" w:rsidRPr="00EC0535" w:rsidRDefault="007E53C2" w:rsidP="007E53C2">
      <w:pPr>
        <w:tabs>
          <w:tab w:val="left" w:pos="540"/>
          <w:tab w:val="left" w:pos="569"/>
        </w:tabs>
        <w:jc w:val="both"/>
        <w:rPr>
          <w:bCs/>
          <w:sz w:val="22"/>
          <w:szCs w:val="22"/>
          <w:lang w:val="sr-Latn-ME"/>
        </w:rPr>
      </w:pPr>
      <w:r w:rsidRPr="00EC0535">
        <w:rPr>
          <w:bCs/>
          <w:sz w:val="22"/>
          <w:szCs w:val="22"/>
          <w:lang w:val="sr-Latn-ME"/>
        </w:rPr>
        <w:t xml:space="preserve">Pacijenti koji primaju lijek </w:t>
      </w:r>
      <w:r w:rsidR="00693220" w:rsidRPr="00EC0535">
        <w:rPr>
          <w:bCs/>
          <w:sz w:val="22"/>
          <w:szCs w:val="22"/>
          <w:lang w:val="sr-Latn-ME"/>
        </w:rPr>
        <w:t>Erlotinib Pharmascience</w:t>
      </w:r>
      <w:r w:rsidRPr="00EC0535">
        <w:rPr>
          <w:bCs/>
          <w:sz w:val="22"/>
          <w:szCs w:val="22"/>
          <w:lang w:val="sr-Latn-ME"/>
        </w:rPr>
        <w:t xml:space="preserve"> imaju povećan rizik od razvoja gastrointestinalne perforacije, koja je uočena povremeno (uključujući neke slučajeve sa smrtnim ishodom). Povećan rizik imaju pacijenti koji istovremeno primaju neki od antiangiogenih ljekova, kortikosteroide, NSAIL i/ili </w:t>
      </w:r>
      <w:r w:rsidRPr="00EC0535">
        <w:rPr>
          <w:bCs/>
          <w:sz w:val="22"/>
          <w:szCs w:val="22"/>
          <w:lang w:val="sr-Latn-ME"/>
        </w:rPr>
        <w:lastRenderedPageBreak/>
        <w:t>hem</w:t>
      </w:r>
      <w:r w:rsidR="00581AEA" w:rsidRPr="00EC0535">
        <w:rPr>
          <w:bCs/>
          <w:sz w:val="22"/>
          <w:szCs w:val="22"/>
          <w:lang w:val="sr-Latn-ME"/>
        </w:rPr>
        <w:t>i</w:t>
      </w:r>
      <w:r w:rsidRPr="00EC0535">
        <w:rPr>
          <w:bCs/>
          <w:sz w:val="22"/>
          <w:szCs w:val="22"/>
          <w:lang w:val="sr-Latn-ME"/>
        </w:rPr>
        <w:t xml:space="preserve">oterapiju taksanima, ili oni koji u anamnezi imaju peptički ulkus ili divertikularnu bolest. Primjenu lijeka </w:t>
      </w:r>
      <w:r w:rsidR="00693220" w:rsidRPr="00EC0535">
        <w:rPr>
          <w:bCs/>
          <w:sz w:val="22"/>
          <w:szCs w:val="22"/>
          <w:lang w:val="sr-Latn-ME"/>
        </w:rPr>
        <w:t>Erlotinib Pharmascience</w:t>
      </w:r>
      <w:r w:rsidRPr="00EC0535">
        <w:rPr>
          <w:bCs/>
          <w:sz w:val="22"/>
          <w:szCs w:val="22"/>
          <w:lang w:val="sr-Latn-ME"/>
        </w:rPr>
        <w:t xml:space="preserve"> treba trajno prekinuti kod pacijenata kod kojih se razvije gastrointestinalna perforacija (vidjeti </w:t>
      </w:r>
      <w:r w:rsidR="00581AEA" w:rsidRPr="00EC0535">
        <w:rPr>
          <w:bCs/>
          <w:sz w:val="22"/>
          <w:szCs w:val="22"/>
          <w:lang w:val="sr-Latn-ME"/>
        </w:rPr>
        <w:t xml:space="preserve">dio </w:t>
      </w:r>
      <w:r w:rsidRPr="00EC0535">
        <w:rPr>
          <w:bCs/>
          <w:sz w:val="22"/>
          <w:szCs w:val="22"/>
          <w:lang w:val="sr-Latn-ME"/>
        </w:rPr>
        <w:t>4.8).</w:t>
      </w:r>
    </w:p>
    <w:p w:rsidR="007E53C2" w:rsidRPr="00EC0535" w:rsidRDefault="007E53C2" w:rsidP="007E53C2">
      <w:pPr>
        <w:tabs>
          <w:tab w:val="left" w:pos="540"/>
          <w:tab w:val="left" w:pos="569"/>
        </w:tabs>
        <w:jc w:val="both"/>
        <w:rPr>
          <w:bCs/>
          <w:sz w:val="22"/>
          <w:szCs w:val="22"/>
          <w:lang w:val="sr-Latn-ME"/>
        </w:rPr>
      </w:pPr>
    </w:p>
    <w:p w:rsidR="007E53C2" w:rsidRPr="00EC0535" w:rsidRDefault="007E53C2" w:rsidP="007E53C2">
      <w:pPr>
        <w:tabs>
          <w:tab w:val="left" w:pos="540"/>
          <w:tab w:val="left" w:pos="569"/>
        </w:tabs>
        <w:jc w:val="both"/>
        <w:rPr>
          <w:bCs/>
          <w:sz w:val="22"/>
          <w:szCs w:val="22"/>
          <w:u w:val="single"/>
          <w:lang w:val="sr-Latn-ME"/>
        </w:rPr>
      </w:pPr>
      <w:r w:rsidRPr="00EC0535">
        <w:rPr>
          <w:bCs/>
          <w:sz w:val="22"/>
          <w:szCs w:val="22"/>
          <w:u w:val="single"/>
          <w:lang w:val="sr-Latn-ME"/>
        </w:rPr>
        <w:t xml:space="preserve">Bulozne i eksfolijativne promjene na koži </w:t>
      </w:r>
    </w:p>
    <w:p w:rsidR="007E53C2" w:rsidRPr="00EC0535" w:rsidRDefault="007E53C2" w:rsidP="007E53C2">
      <w:pPr>
        <w:tabs>
          <w:tab w:val="left" w:pos="540"/>
          <w:tab w:val="left" w:pos="569"/>
        </w:tabs>
        <w:jc w:val="both"/>
        <w:rPr>
          <w:bCs/>
          <w:sz w:val="22"/>
          <w:szCs w:val="22"/>
          <w:u w:val="single"/>
          <w:lang w:val="sr-Latn-ME"/>
        </w:rPr>
      </w:pPr>
    </w:p>
    <w:p w:rsidR="007E53C2" w:rsidRPr="00EC0535" w:rsidRDefault="007E53C2" w:rsidP="007E53C2">
      <w:pPr>
        <w:tabs>
          <w:tab w:val="left" w:pos="540"/>
          <w:tab w:val="left" w:pos="569"/>
        </w:tabs>
        <w:jc w:val="both"/>
        <w:rPr>
          <w:bCs/>
          <w:sz w:val="22"/>
          <w:szCs w:val="22"/>
          <w:lang w:val="sr-Latn-ME"/>
        </w:rPr>
      </w:pPr>
      <w:r w:rsidRPr="00EC0535">
        <w:rPr>
          <w:bCs/>
          <w:sz w:val="22"/>
          <w:szCs w:val="22"/>
          <w:lang w:val="sr-Latn-ME"/>
        </w:rPr>
        <w:t xml:space="preserve">Prijavljene su bulozne, eksfolijativne i </w:t>
      </w:r>
      <w:r w:rsidR="00581AEA" w:rsidRPr="00EC0535">
        <w:rPr>
          <w:bCs/>
          <w:sz w:val="22"/>
          <w:szCs w:val="22"/>
          <w:lang w:val="sr-Latn-ME"/>
        </w:rPr>
        <w:t xml:space="preserve">vezikularne </w:t>
      </w:r>
      <w:r w:rsidRPr="00EC0535">
        <w:rPr>
          <w:bCs/>
          <w:sz w:val="22"/>
          <w:szCs w:val="22"/>
          <w:lang w:val="sr-Latn-ME"/>
        </w:rPr>
        <w:t xml:space="preserve">promjene na koži, uključujući vrlo rijetke slučajeve koji upućuju na </w:t>
      </w:r>
      <w:r w:rsidRPr="00EC0535">
        <w:rPr>
          <w:bCs/>
          <w:i/>
          <w:sz w:val="22"/>
          <w:szCs w:val="22"/>
          <w:lang w:val="sr-Latn-ME"/>
        </w:rPr>
        <w:t>Stevens-Johnson</w:t>
      </w:r>
      <w:r w:rsidR="00581AEA" w:rsidRPr="00EC0535">
        <w:rPr>
          <w:bCs/>
          <w:sz w:val="22"/>
          <w:szCs w:val="22"/>
          <w:lang w:val="sr-Latn-ME"/>
        </w:rPr>
        <w:t>-ov</w:t>
      </w:r>
      <w:r w:rsidRPr="00EC0535">
        <w:rPr>
          <w:bCs/>
          <w:sz w:val="22"/>
          <w:szCs w:val="22"/>
          <w:lang w:val="sr-Latn-ME"/>
        </w:rPr>
        <w:t xml:space="preserve"> sindrom/toksičnu epidermalnu nekrolizu, koji su u nekim slučajevima imali smrtni ishod (vidjeti </w:t>
      </w:r>
      <w:r w:rsidR="00581AEA" w:rsidRPr="00EC0535">
        <w:rPr>
          <w:bCs/>
          <w:sz w:val="22"/>
          <w:szCs w:val="22"/>
          <w:lang w:val="sr-Latn-ME"/>
        </w:rPr>
        <w:t xml:space="preserve">dio </w:t>
      </w:r>
      <w:r w:rsidRPr="00EC0535">
        <w:rPr>
          <w:bCs/>
          <w:sz w:val="22"/>
          <w:szCs w:val="22"/>
          <w:lang w:val="sr-Latn-ME"/>
        </w:rPr>
        <w:t xml:space="preserve">4.8). Liječenje </w:t>
      </w:r>
      <w:r w:rsidR="004B11F7" w:rsidRPr="00EC0535">
        <w:rPr>
          <w:bCs/>
          <w:sz w:val="22"/>
          <w:szCs w:val="22"/>
          <w:lang w:val="sr-Latn-ME"/>
        </w:rPr>
        <w:t xml:space="preserve">lijekom Erlotinib </w:t>
      </w:r>
      <w:r w:rsidR="00237670" w:rsidRPr="00EC0535">
        <w:rPr>
          <w:bCs/>
          <w:sz w:val="22"/>
          <w:szCs w:val="22"/>
          <w:lang w:val="sr-Latn-ME"/>
        </w:rPr>
        <w:t>Pharmascience</w:t>
      </w:r>
      <w:r w:rsidRPr="00EC0535">
        <w:rPr>
          <w:bCs/>
          <w:sz w:val="22"/>
          <w:szCs w:val="22"/>
          <w:lang w:val="sr-Latn-ME"/>
        </w:rPr>
        <w:t xml:space="preserve"> treba trajno ili privremeno prekinuti ukoliko pacijent razvije teške bulozne, eksfolijativne i</w:t>
      </w:r>
      <w:r w:rsidR="004B11F7" w:rsidRPr="00EC0535">
        <w:rPr>
          <w:bCs/>
          <w:sz w:val="22"/>
          <w:szCs w:val="22"/>
          <w:lang w:val="sr-Latn-ME"/>
        </w:rPr>
        <w:t>li</w:t>
      </w:r>
      <w:r w:rsidRPr="00EC0535">
        <w:rPr>
          <w:bCs/>
          <w:sz w:val="22"/>
          <w:szCs w:val="22"/>
          <w:lang w:val="sr-Latn-ME"/>
        </w:rPr>
        <w:t xml:space="preserve"> </w:t>
      </w:r>
      <w:r w:rsidR="00581AEA" w:rsidRPr="00EC0535">
        <w:rPr>
          <w:bCs/>
          <w:sz w:val="22"/>
          <w:szCs w:val="22"/>
          <w:lang w:val="sr-Latn-ME"/>
        </w:rPr>
        <w:t xml:space="preserve">vezikularne </w:t>
      </w:r>
      <w:r w:rsidRPr="00EC0535">
        <w:rPr>
          <w:bCs/>
          <w:sz w:val="22"/>
          <w:szCs w:val="22"/>
          <w:lang w:val="sr-Latn-ME"/>
        </w:rPr>
        <w:t>promjene na koži. Pacijente sa buloznim ili eksfolijativnim promjenama na koži treba testirati na kožne infekcije i liječiti u skladu sa lokalnim</w:t>
      </w:r>
      <w:r w:rsidR="00D0461E" w:rsidRPr="00EC0535">
        <w:rPr>
          <w:bCs/>
          <w:sz w:val="22"/>
          <w:szCs w:val="22"/>
          <w:lang w:val="sr-Latn-ME"/>
        </w:rPr>
        <w:t xml:space="preserve"> terapijskim</w:t>
      </w:r>
      <w:r w:rsidRPr="00EC0535">
        <w:rPr>
          <w:bCs/>
          <w:sz w:val="22"/>
          <w:szCs w:val="22"/>
          <w:lang w:val="sr-Latn-ME"/>
        </w:rPr>
        <w:t xml:space="preserve"> smjernicama. </w:t>
      </w:r>
    </w:p>
    <w:p w:rsidR="007E53C2" w:rsidRPr="00EC0535" w:rsidRDefault="007E53C2" w:rsidP="007E53C2">
      <w:pPr>
        <w:tabs>
          <w:tab w:val="left" w:pos="540"/>
          <w:tab w:val="left" w:pos="569"/>
        </w:tabs>
        <w:jc w:val="both"/>
        <w:rPr>
          <w:bCs/>
          <w:sz w:val="22"/>
          <w:szCs w:val="22"/>
          <w:lang w:val="sr-Latn-ME"/>
        </w:rPr>
      </w:pPr>
    </w:p>
    <w:p w:rsidR="007E53C2" w:rsidRPr="00EC0535" w:rsidRDefault="007E53C2" w:rsidP="007E53C2">
      <w:pPr>
        <w:tabs>
          <w:tab w:val="left" w:pos="540"/>
          <w:tab w:val="left" w:pos="569"/>
        </w:tabs>
        <w:jc w:val="both"/>
        <w:rPr>
          <w:bCs/>
          <w:sz w:val="22"/>
          <w:szCs w:val="22"/>
          <w:u w:val="single"/>
          <w:lang w:val="sr-Latn-ME"/>
        </w:rPr>
      </w:pPr>
      <w:r w:rsidRPr="00EC0535">
        <w:rPr>
          <w:bCs/>
          <w:sz w:val="22"/>
          <w:szCs w:val="22"/>
          <w:u w:val="single"/>
          <w:lang w:val="sr-Latn-ME"/>
        </w:rPr>
        <w:t>Poremećaji oka</w:t>
      </w:r>
    </w:p>
    <w:p w:rsidR="007E53C2" w:rsidRPr="00EC0535" w:rsidRDefault="007E53C2" w:rsidP="007E53C2">
      <w:pPr>
        <w:tabs>
          <w:tab w:val="left" w:pos="540"/>
          <w:tab w:val="left" w:pos="569"/>
        </w:tabs>
        <w:jc w:val="both"/>
        <w:rPr>
          <w:bCs/>
          <w:sz w:val="22"/>
          <w:szCs w:val="22"/>
          <w:lang w:val="sr-Latn-ME"/>
        </w:rPr>
      </w:pPr>
    </w:p>
    <w:p w:rsidR="007E53C2" w:rsidRPr="00EC0535" w:rsidRDefault="007E53C2" w:rsidP="007E53C2">
      <w:pPr>
        <w:tabs>
          <w:tab w:val="left" w:pos="540"/>
          <w:tab w:val="left" w:pos="569"/>
        </w:tabs>
        <w:jc w:val="both"/>
        <w:rPr>
          <w:bCs/>
          <w:sz w:val="22"/>
          <w:szCs w:val="22"/>
          <w:lang w:val="sr-Latn-ME"/>
        </w:rPr>
      </w:pPr>
      <w:r w:rsidRPr="00EC0535">
        <w:rPr>
          <w:bCs/>
          <w:sz w:val="22"/>
          <w:szCs w:val="22"/>
          <w:lang w:val="sr-Latn-ME"/>
        </w:rPr>
        <w:t xml:space="preserve">Pacijente sa znacima i simptomima koji ukazuju na keratitis, poput akutnog ili pogoršanja postojećeg: zapaljenja oka, suzenja, osjetljivosti na svjetlost, zamagljenog vida, bola u oku i/ili crvenila oka, treba odmah uputiti oftalmologu. Ukoliko se potvrdi dijagnoza ulceroznog keratitisa, terapiju lijekom Erlotinib </w:t>
      </w:r>
      <w:r w:rsidR="00237670" w:rsidRPr="00EC0535">
        <w:rPr>
          <w:bCs/>
          <w:sz w:val="22"/>
          <w:szCs w:val="22"/>
          <w:lang w:val="sr-Latn-ME"/>
        </w:rPr>
        <w:t>Pharmascience</w:t>
      </w:r>
      <w:r w:rsidRPr="00EC0535">
        <w:rPr>
          <w:bCs/>
          <w:sz w:val="22"/>
          <w:szCs w:val="22"/>
          <w:lang w:val="sr-Latn-ME"/>
        </w:rPr>
        <w:t xml:space="preserve"> treba prekinuti/obustaviti. U slučaju dijagnoze keratitisa, treba dobro procijeniti odnos između koristi i rizika od dalje primjene lijeka </w:t>
      </w:r>
      <w:r w:rsidR="00693220" w:rsidRPr="00EC0535">
        <w:rPr>
          <w:bCs/>
          <w:sz w:val="22"/>
          <w:szCs w:val="22"/>
          <w:lang w:val="sr-Latn-ME"/>
        </w:rPr>
        <w:t>Erlotinib Pharmascience</w:t>
      </w:r>
      <w:r w:rsidRPr="00EC0535">
        <w:rPr>
          <w:bCs/>
          <w:sz w:val="22"/>
          <w:szCs w:val="22"/>
          <w:lang w:val="sr-Latn-ME"/>
        </w:rPr>
        <w:t xml:space="preserve">. Potreban je oprez pri primjeni lijeka </w:t>
      </w:r>
      <w:r w:rsidR="00693220" w:rsidRPr="00EC0535">
        <w:rPr>
          <w:bCs/>
          <w:sz w:val="22"/>
          <w:szCs w:val="22"/>
          <w:lang w:val="sr-Latn-ME"/>
        </w:rPr>
        <w:t>Erlotinib Pharmascience</w:t>
      </w:r>
      <w:r w:rsidRPr="00EC0535">
        <w:rPr>
          <w:bCs/>
          <w:sz w:val="22"/>
          <w:szCs w:val="22"/>
          <w:lang w:val="sr-Latn-ME"/>
        </w:rPr>
        <w:t xml:space="preserve"> kod pacijenata koji su imali keratitis, ulcerozni keratitis ili teži oblik suvog oka u istoriji bolesti. Primjena kontaktnih sočiva takođe je faktor rizika za pojavu keratitisa ili ulceracija. Tokom primjene lijeka </w:t>
      </w:r>
      <w:r w:rsidR="00693220" w:rsidRPr="00EC0535">
        <w:rPr>
          <w:bCs/>
          <w:sz w:val="22"/>
          <w:szCs w:val="22"/>
          <w:lang w:val="sr-Latn-ME"/>
        </w:rPr>
        <w:t>Erlotinib Pharmascience</w:t>
      </w:r>
      <w:r w:rsidRPr="00EC0535">
        <w:rPr>
          <w:bCs/>
          <w:sz w:val="22"/>
          <w:szCs w:val="22"/>
          <w:lang w:val="sr-Latn-ME"/>
        </w:rPr>
        <w:t xml:space="preserve">, prijavljeni su veoma rijetki slučajevi perforacije ili ulceracije rožnjače (vidjeti </w:t>
      </w:r>
      <w:r w:rsidR="00237670" w:rsidRPr="00EC0535">
        <w:rPr>
          <w:bCs/>
          <w:sz w:val="22"/>
          <w:szCs w:val="22"/>
          <w:lang w:val="sr-Latn-ME"/>
        </w:rPr>
        <w:t xml:space="preserve">dio </w:t>
      </w:r>
      <w:r w:rsidRPr="00EC0535">
        <w:rPr>
          <w:bCs/>
          <w:sz w:val="22"/>
          <w:szCs w:val="22"/>
          <w:lang w:val="sr-Latn-ME"/>
        </w:rPr>
        <w:t>4.8).</w:t>
      </w:r>
    </w:p>
    <w:p w:rsidR="007E53C2" w:rsidRPr="00EC0535" w:rsidRDefault="007E53C2" w:rsidP="007E53C2">
      <w:pPr>
        <w:tabs>
          <w:tab w:val="left" w:pos="540"/>
          <w:tab w:val="left" w:pos="569"/>
        </w:tabs>
        <w:jc w:val="both"/>
        <w:rPr>
          <w:bCs/>
          <w:sz w:val="22"/>
          <w:szCs w:val="22"/>
          <w:lang w:val="sr-Latn-ME"/>
        </w:rPr>
      </w:pPr>
    </w:p>
    <w:p w:rsidR="007E53C2" w:rsidRPr="00EC0535" w:rsidRDefault="007E53C2" w:rsidP="007E53C2">
      <w:pPr>
        <w:tabs>
          <w:tab w:val="left" w:pos="540"/>
          <w:tab w:val="left" w:pos="569"/>
        </w:tabs>
        <w:jc w:val="both"/>
        <w:rPr>
          <w:bCs/>
          <w:sz w:val="22"/>
          <w:szCs w:val="22"/>
          <w:u w:val="single"/>
          <w:lang w:val="sr-Latn-ME"/>
        </w:rPr>
      </w:pPr>
      <w:r w:rsidRPr="00EC0535">
        <w:rPr>
          <w:bCs/>
          <w:sz w:val="22"/>
          <w:szCs w:val="22"/>
          <w:u w:val="single"/>
          <w:lang w:val="sr-Latn-ME"/>
        </w:rPr>
        <w:t xml:space="preserve">Interakcije sa drugim ljekovima </w:t>
      </w:r>
    </w:p>
    <w:p w:rsidR="007E53C2" w:rsidRPr="00EC0535" w:rsidRDefault="007E53C2" w:rsidP="007E53C2">
      <w:pPr>
        <w:tabs>
          <w:tab w:val="left" w:pos="540"/>
          <w:tab w:val="left" w:pos="569"/>
        </w:tabs>
        <w:jc w:val="both"/>
        <w:rPr>
          <w:bCs/>
          <w:sz w:val="22"/>
          <w:szCs w:val="22"/>
          <w:u w:val="single"/>
          <w:lang w:val="sr-Latn-ME"/>
        </w:rPr>
      </w:pPr>
    </w:p>
    <w:p w:rsidR="007E53C2" w:rsidRPr="00EC0535" w:rsidRDefault="007E53C2" w:rsidP="007E53C2">
      <w:pPr>
        <w:tabs>
          <w:tab w:val="left" w:pos="540"/>
          <w:tab w:val="left" w:pos="569"/>
        </w:tabs>
        <w:jc w:val="both"/>
        <w:rPr>
          <w:bCs/>
          <w:sz w:val="22"/>
          <w:szCs w:val="22"/>
          <w:lang w:val="sr-Latn-ME"/>
        </w:rPr>
      </w:pPr>
      <w:r w:rsidRPr="00EC0535">
        <w:rPr>
          <w:bCs/>
          <w:sz w:val="22"/>
          <w:szCs w:val="22"/>
          <w:lang w:val="sr-Latn-ME"/>
        </w:rPr>
        <w:t xml:space="preserve">Snažni induktori CYP3A4 mogu da smanje efikasnost erlotiniba, a snažni inhibitori CYP3A4 mogu dovesti do povećane toksičnosti. </w:t>
      </w:r>
      <w:r w:rsidR="00850579" w:rsidRPr="00EC0535">
        <w:rPr>
          <w:bCs/>
          <w:sz w:val="22"/>
          <w:szCs w:val="22"/>
          <w:lang w:val="sr-Latn-ME"/>
        </w:rPr>
        <w:t xml:space="preserve">Istovremenu primjenu ovakvih agenasa i erlotiniba treba izbjegavati </w:t>
      </w:r>
      <w:r w:rsidRPr="00EC0535">
        <w:rPr>
          <w:bCs/>
          <w:sz w:val="22"/>
          <w:szCs w:val="22"/>
          <w:lang w:val="sr-Latn-ME"/>
        </w:rPr>
        <w:t xml:space="preserve">(vidjeti </w:t>
      </w:r>
      <w:r w:rsidR="00237670" w:rsidRPr="00EC0535">
        <w:rPr>
          <w:bCs/>
          <w:sz w:val="22"/>
          <w:szCs w:val="22"/>
          <w:lang w:val="sr-Latn-ME"/>
        </w:rPr>
        <w:t xml:space="preserve">dio </w:t>
      </w:r>
      <w:r w:rsidRPr="00EC0535">
        <w:rPr>
          <w:bCs/>
          <w:sz w:val="22"/>
          <w:szCs w:val="22"/>
          <w:lang w:val="sr-Latn-ME"/>
        </w:rPr>
        <w:t>4.5).</w:t>
      </w:r>
    </w:p>
    <w:p w:rsidR="007E53C2" w:rsidRPr="00EC0535" w:rsidRDefault="007E53C2" w:rsidP="007E53C2">
      <w:pPr>
        <w:tabs>
          <w:tab w:val="left" w:pos="540"/>
          <w:tab w:val="left" w:pos="569"/>
        </w:tabs>
        <w:jc w:val="both"/>
        <w:rPr>
          <w:b/>
          <w:bCs/>
          <w:sz w:val="22"/>
          <w:szCs w:val="22"/>
          <w:lang w:val="sr-Latn-ME"/>
        </w:rPr>
      </w:pPr>
    </w:p>
    <w:p w:rsidR="007E53C2" w:rsidRPr="00EC0535" w:rsidRDefault="007E53C2" w:rsidP="007E53C2">
      <w:pPr>
        <w:tabs>
          <w:tab w:val="left" w:pos="540"/>
          <w:tab w:val="left" w:pos="569"/>
        </w:tabs>
        <w:jc w:val="both"/>
        <w:rPr>
          <w:bCs/>
          <w:sz w:val="22"/>
          <w:szCs w:val="22"/>
          <w:u w:val="single"/>
          <w:lang w:val="sr-Latn-ME"/>
        </w:rPr>
      </w:pPr>
      <w:r w:rsidRPr="00EC0535">
        <w:rPr>
          <w:bCs/>
          <w:sz w:val="22"/>
          <w:szCs w:val="22"/>
          <w:u w:val="single"/>
          <w:lang w:val="sr-Latn-ME"/>
        </w:rPr>
        <w:t xml:space="preserve">Druge vrste interakcija </w:t>
      </w:r>
    </w:p>
    <w:p w:rsidR="007E53C2" w:rsidRPr="00EC0535" w:rsidRDefault="007E53C2" w:rsidP="007E53C2">
      <w:pPr>
        <w:tabs>
          <w:tab w:val="left" w:pos="540"/>
          <w:tab w:val="left" w:pos="569"/>
        </w:tabs>
        <w:jc w:val="both"/>
        <w:rPr>
          <w:bCs/>
          <w:sz w:val="22"/>
          <w:szCs w:val="22"/>
          <w:u w:val="single"/>
          <w:lang w:val="sr-Latn-ME"/>
        </w:rPr>
      </w:pPr>
    </w:p>
    <w:p w:rsidR="007E53C2" w:rsidRPr="00EC0535" w:rsidRDefault="00850579" w:rsidP="007E53C2">
      <w:pPr>
        <w:tabs>
          <w:tab w:val="left" w:pos="540"/>
          <w:tab w:val="left" w:pos="569"/>
        </w:tabs>
        <w:jc w:val="both"/>
        <w:rPr>
          <w:bCs/>
          <w:sz w:val="22"/>
          <w:szCs w:val="22"/>
          <w:lang w:val="sr-Latn-ME"/>
        </w:rPr>
      </w:pPr>
      <w:r w:rsidRPr="00EC0535">
        <w:rPr>
          <w:bCs/>
          <w:sz w:val="22"/>
          <w:szCs w:val="22"/>
          <w:lang w:val="sr-Latn-ME"/>
        </w:rPr>
        <w:t xml:space="preserve">Erlotinib karakteriše smanjena rastvorljivost pri pH vrijednostima iznad 5. </w:t>
      </w:r>
      <w:r w:rsidR="007E53C2" w:rsidRPr="00EC0535">
        <w:rPr>
          <w:bCs/>
          <w:sz w:val="22"/>
          <w:szCs w:val="22"/>
          <w:lang w:val="sr-Latn-ME"/>
        </w:rPr>
        <w:t>Ljekovi koji mijenjaju pH vrijednost gornji</w:t>
      </w:r>
      <w:r w:rsidRPr="00EC0535">
        <w:rPr>
          <w:bCs/>
          <w:sz w:val="22"/>
          <w:szCs w:val="22"/>
          <w:lang w:val="sr-Latn-ME"/>
        </w:rPr>
        <w:t>h</w:t>
      </w:r>
      <w:r w:rsidR="007E53C2" w:rsidRPr="00EC0535">
        <w:rPr>
          <w:bCs/>
          <w:sz w:val="22"/>
          <w:szCs w:val="22"/>
          <w:lang w:val="sr-Latn-ME"/>
        </w:rPr>
        <w:t xml:space="preserve"> </w:t>
      </w:r>
      <w:r w:rsidR="00237670" w:rsidRPr="00EC0535">
        <w:rPr>
          <w:bCs/>
          <w:sz w:val="22"/>
          <w:szCs w:val="22"/>
          <w:lang w:val="sr-Latn-ME"/>
        </w:rPr>
        <w:t xml:space="preserve">djelova </w:t>
      </w:r>
      <w:r w:rsidR="007E53C2" w:rsidRPr="00EC0535">
        <w:rPr>
          <w:bCs/>
          <w:sz w:val="22"/>
          <w:szCs w:val="22"/>
          <w:lang w:val="sr-Latn-ME"/>
        </w:rPr>
        <w:t xml:space="preserve">gastrointestinalnog trakta, kao </w:t>
      </w:r>
      <w:r w:rsidRPr="00EC0535">
        <w:rPr>
          <w:bCs/>
          <w:sz w:val="22"/>
          <w:szCs w:val="22"/>
          <w:lang w:val="sr-Latn-ME"/>
        </w:rPr>
        <w:t xml:space="preserve">što su </w:t>
      </w:r>
      <w:r w:rsidR="007E53C2" w:rsidRPr="00EC0535">
        <w:rPr>
          <w:bCs/>
          <w:sz w:val="22"/>
          <w:szCs w:val="22"/>
          <w:lang w:val="sr-Latn-ME"/>
        </w:rPr>
        <w:t>i</w:t>
      </w:r>
      <w:r w:rsidR="009A3E29" w:rsidRPr="00EC0535">
        <w:rPr>
          <w:bCs/>
          <w:sz w:val="22"/>
          <w:szCs w:val="22"/>
          <w:lang w:val="sr-Latn-ME"/>
        </w:rPr>
        <w:t>n</w:t>
      </w:r>
      <w:r w:rsidR="007E53C2" w:rsidRPr="00EC0535">
        <w:rPr>
          <w:bCs/>
          <w:sz w:val="22"/>
          <w:szCs w:val="22"/>
          <w:lang w:val="sr-Latn-ME"/>
        </w:rPr>
        <w:t>hibitori protonske pumpe, H</w:t>
      </w:r>
      <w:r w:rsidR="007E53C2" w:rsidRPr="00A728E1">
        <w:rPr>
          <w:bCs/>
          <w:sz w:val="22"/>
          <w:szCs w:val="22"/>
          <w:vertAlign w:val="subscript"/>
          <w:lang w:val="sr-Latn-ME"/>
        </w:rPr>
        <w:t>2</w:t>
      </w:r>
      <w:r w:rsidR="007E53C2" w:rsidRPr="00EC0535">
        <w:rPr>
          <w:bCs/>
          <w:sz w:val="22"/>
          <w:szCs w:val="22"/>
          <w:lang w:val="sr-Latn-ME"/>
        </w:rPr>
        <w:t xml:space="preserve"> antagonisti i antacidi, mogu prom</w:t>
      </w:r>
      <w:r w:rsidR="00237670" w:rsidRPr="00EC0535">
        <w:rPr>
          <w:bCs/>
          <w:sz w:val="22"/>
          <w:szCs w:val="22"/>
          <w:lang w:val="sr-Latn-ME"/>
        </w:rPr>
        <w:t>i</w:t>
      </w:r>
      <w:r w:rsidR="007E53C2" w:rsidRPr="00EC0535">
        <w:rPr>
          <w:bCs/>
          <w:sz w:val="22"/>
          <w:szCs w:val="22"/>
          <w:lang w:val="sr-Latn-ME"/>
        </w:rPr>
        <w:t xml:space="preserve">jeniti rastvorljivost erlotiniba, a time i njegovu biološku raspoloživost. Povećanje doze lijeka </w:t>
      </w:r>
      <w:r w:rsidR="00693220" w:rsidRPr="00EC0535">
        <w:rPr>
          <w:bCs/>
          <w:sz w:val="22"/>
          <w:szCs w:val="22"/>
          <w:lang w:val="sr-Latn-ME"/>
        </w:rPr>
        <w:t>Erlotinib Pharmascience</w:t>
      </w:r>
      <w:r w:rsidR="007E53C2" w:rsidRPr="00EC0535">
        <w:rPr>
          <w:bCs/>
          <w:sz w:val="22"/>
          <w:szCs w:val="22"/>
          <w:lang w:val="sr-Latn-ME"/>
        </w:rPr>
        <w:t xml:space="preserve"> pri istovremenoj primjeni sa ovim ljekovima, neće kompenzovati smanjenu izloženost erlotinibu. Kombinaciju erlotiniba i inhibitora protonske pumpe treba izbjegavati. Iako efekti istovremene primjene erlotiniba sa H</w:t>
      </w:r>
      <w:r w:rsidR="007E53C2" w:rsidRPr="00A728E1">
        <w:rPr>
          <w:bCs/>
          <w:sz w:val="22"/>
          <w:szCs w:val="22"/>
          <w:vertAlign w:val="subscript"/>
          <w:lang w:val="sr-Latn-ME"/>
        </w:rPr>
        <w:t>2</w:t>
      </w:r>
      <w:r w:rsidR="007E53C2" w:rsidRPr="00EC0535">
        <w:rPr>
          <w:bCs/>
          <w:sz w:val="22"/>
          <w:szCs w:val="22"/>
          <w:lang w:val="sr-Latn-ME"/>
        </w:rPr>
        <w:t xml:space="preserve"> antagonistima i antacidima nijesu sasvim poznati, smanjenje biološke raspoloživosti je moguće. Stoga, ovakve kombinacije takođe treba izbjegavati (vidjeti </w:t>
      </w:r>
      <w:r w:rsidR="00237670" w:rsidRPr="00EC0535">
        <w:rPr>
          <w:bCs/>
          <w:sz w:val="22"/>
          <w:szCs w:val="22"/>
          <w:lang w:val="sr-Latn-ME"/>
        </w:rPr>
        <w:t xml:space="preserve">dio </w:t>
      </w:r>
      <w:r w:rsidR="007E53C2" w:rsidRPr="00EC0535">
        <w:rPr>
          <w:bCs/>
          <w:sz w:val="22"/>
          <w:szCs w:val="22"/>
          <w:lang w:val="sr-Latn-ME"/>
        </w:rPr>
        <w:t xml:space="preserve">4.5). Ukoliko je tokom terapije lijekom </w:t>
      </w:r>
      <w:r w:rsidR="00693220" w:rsidRPr="00EC0535">
        <w:rPr>
          <w:bCs/>
          <w:sz w:val="22"/>
          <w:szCs w:val="22"/>
          <w:lang w:val="sr-Latn-ME"/>
        </w:rPr>
        <w:t>Erlotinib Pharmascience</w:t>
      </w:r>
      <w:r w:rsidR="007E53C2" w:rsidRPr="00EC0535">
        <w:rPr>
          <w:bCs/>
          <w:sz w:val="22"/>
          <w:szCs w:val="22"/>
          <w:lang w:val="sr-Latn-ME"/>
        </w:rPr>
        <w:t xml:space="preserve"> neophodna i primjena antacida, tada ih treba uzimati najmanje 4 sata prije ili 2 sata nakon primjene dnevne doze lijeka </w:t>
      </w:r>
      <w:r w:rsidR="00693220" w:rsidRPr="00EC0535">
        <w:rPr>
          <w:bCs/>
          <w:sz w:val="22"/>
          <w:szCs w:val="22"/>
          <w:lang w:val="sr-Latn-ME"/>
        </w:rPr>
        <w:t>Erlotinib Pharmascience</w:t>
      </w:r>
      <w:r w:rsidR="007E53C2" w:rsidRPr="00EC0535">
        <w:rPr>
          <w:bCs/>
          <w:sz w:val="22"/>
          <w:szCs w:val="22"/>
          <w:lang w:val="sr-Latn-ME"/>
        </w:rPr>
        <w:t xml:space="preserve">. </w:t>
      </w:r>
    </w:p>
    <w:p w:rsidR="007E53C2" w:rsidRPr="00EC0535" w:rsidRDefault="007E53C2" w:rsidP="007E53C2">
      <w:pPr>
        <w:tabs>
          <w:tab w:val="left" w:pos="540"/>
          <w:tab w:val="left" w:pos="569"/>
        </w:tabs>
        <w:jc w:val="both"/>
        <w:rPr>
          <w:bCs/>
          <w:sz w:val="22"/>
          <w:szCs w:val="22"/>
          <w:lang w:val="sr-Latn-ME"/>
        </w:rPr>
      </w:pPr>
    </w:p>
    <w:p w:rsidR="00850579" w:rsidRPr="00EC0535" w:rsidRDefault="00850579" w:rsidP="00850579">
      <w:pPr>
        <w:tabs>
          <w:tab w:val="left" w:pos="540"/>
          <w:tab w:val="left" w:pos="569"/>
        </w:tabs>
        <w:jc w:val="both"/>
        <w:rPr>
          <w:b/>
          <w:sz w:val="22"/>
          <w:szCs w:val="22"/>
          <w:lang w:val="sr-Latn-ME"/>
        </w:rPr>
      </w:pPr>
      <w:r w:rsidRPr="00EC0535">
        <w:rPr>
          <w:b/>
          <w:sz w:val="22"/>
          <w:szCs w:val="22"/>
          <w:lang w:val="sr-Latn-ME"/>
        </w:rPr>
        <w:t>Lijek Erlotinib Pharmascience sadrži laktozu.</w:t>
      </w:r>
    </w:p>
    <w:p w:rsidR="00850579" w:rsidRPr="00EC0535" w:rsidRDefault="00850579" w:rsidP="00850579">
      <w:pPr>
        <w:tabs>
          <w:tab w:val="left" w:pos="540"/>
          <w:tab w:val="left" w:pos="569"/>
        </w:tabs>
        <w:jc w:val="both"/>
        <w:rPr>
          <w:sz w:val="22"/>
          <w:szCs w:val="22"/>
          <w:lang w:val="sr-Latn-ME"/>
        </w:rPr>
      </w:pPr>
      <w:r w:rsidRPr="00EC0535">
        <w:rPr>
          <w:sz w:val="22"/>
          <w:szCs w:val="22"/>
          <w:lang w:val="sr-Latn-ME"/>
        </w:rPr>
        <w:t>Pacijenti sa rijetkim nasl</w:t>
      </w:r>
      <w:r w:rsidR="00237670" w:rsidRPr="00EC0535">
        <w:rPr>
          <w:sz w:val="22"/>
          <w:szCs w:val="22"/>
          <w:lang w:val="sr-Latn-ME"/>
        </w:rPr>
        <w:t>j</w:t>
      </w:r>
      <w:r w:rsidRPr="00EC0535">
        <w:rPr>
          <w:sz w:val="22"/>
          <w:szCs w:val="22"/>
          <w:lang w:val="sr-Latn-ME"/>
        </w:rPr>
        <w:t xml:space="preserve">ednim oboljenjem intolerancije na galaktozu, </w:t>
      </w:r>
      <w:r w:rsidR="006B3ACC" w:rsidRPr="00EC0535">
        <w:rPr>
          <w:sz w:val="22"/>
          <w:szCs w:val="22"/>
          <w:lang w:val="sr-Latn-ME"/>
        </w:rPr>
        <w:t xml:space="preserve">potpunim </w:t>
      </w:r>
      <w:r w:rsidRPr="00EC0535">
        <w:rPr>
          <w:sz w:val="22"/>
          <w:szCs w:val="22"/>
          <w:lang w:val="sr-Latn-ME"/>
        </w:rPr>
        <w:t>nedostatkom laktaze ili glukozno-galaktoznom malapsorpcijom, ne smiju da uzimaju ovaj lijek.</w:t>
      </w:r>
    </w:p>
    <w:p w:rsidR="007E53C2" w:rsidRPr="00EC0535" w:rsidRDefault="007E53C2" w:rsidP="007E53C2">
      <w:pPr>
        <w:tabs>
          <w:tab w:val="left" w:pos="540"/>
          <w:tab w:val="left" w:pos="569"/>
        </w:tabs>
        <w:jc w:val="both"/>
        <w:rPr>
          <w:bCs/>
          <w:color w:val="FF0000"/>
          <w:sz w:val="22"/>
          <w:szCs w:val="22"/>
          <w:lang w:val="sr-Latn-ME"/>
        </w:rPr>
      </w:pPr>
    </w:p>
    <w:p w:rsidR="00411B4B" w:rsidRPr="00EC0535" w:rsidRDefault="00411B4B" w:rsidP="00480FB1">
      <w:pPr>
        <w:tabs>
          <w:tab w:val="left" w:pos="540"/>
          <w:tab w:val="left" w:pos="569"/>
        </w:tabs>
        <w:rPr>
          <w:b/>
          <w:bCs/>
          <w:sz w:val="22"/>
          <w:szCs w:val="22"/>
          <w:lang w:val="sr-Latn-ME"/>
        </w:rPr>
      </w:pPr>
      <w:r w:rsidRPr="00EC0535">
        <w:rPr>
          <w:b/>
          <w:bCs/>
          <w:sz w:val="22"/>
          <w:szCs w:val="22"/>
          <w:lang w:val="sr-Latn-ME"/>
        </w:rPr>
        <w:t>4.5.</w:t>
      </w:r>
      <w:r w:rsidR="000D60CC" w:rsidRPr="00EC0535">
        <w:rPr>
          <w:b/>
          <w:bCs/>
          <w:sz w:val="22"/>
          <w:szCs w:val="22"/>
          <w:lang w:val="sr-Latn-ME"/>
        </w:rPr>
        <w:tab/>
      </w:r>
      <w:r w:rsidRPr="00EC0535">
        <w:rPr>
          <w:b/>
          <w:bCs/>
          <w:sz w:val="22"/>
          <w:szCs w:val="22"/>
          <w:lang w:val="sr-Latn-ME"/>
        </w:rPr>
        <w:t>Interakcije sa drugim ljekovima i druge vrste interakcija</w:t>
      </w:r>
    </w:p>
    <w:p w:rsidR="0072020E" w:rsidRPr="00EC0535" w:rsidRDefault="0072020E" w:rsidP="00480FB1">
      <w:pPr>
        <w:tabs>
          <w:tab w:val="left" w:pos="540"/>
          <w:tab w:val="left" w:pos="569"/>
        </w:tabs>
        <w:rPr>
          <w:bCs/>
          <w:sz w:val="22"/>
          <w:szCs w:val="22"/>
          <w:lang w:val="sr-Latn-ME"/>
        </w:rPr>
      </w:pPr>
    </w:p>
    <w:p w:rsidR="0020077A" w:rsidRPr="00EC0535" w:rsidRDefault="0020077A" w:rsidP="0020077A">
      <w:pPr>
        <w:tabs>
          <w:tab w:val="left" w:pos="540"/>
          <w:tab w:val="left" w:pos="569"/>
        </w:tabs>
        <w:rPr>
          <w:bCs/>
          <w:sz w:val="22"/>
          <w:szCs w:val="22"/>
          <w:lang w:val="sr-Latn-ME"/>
        </w:rPr>
      </w:pPr>
      <w:r w:rsidRPr="00EC0535">
        <w:rPr>
          <w:bCs/>
          <w:sz w:val="22"/>
          <w:szCs w:val="22"/>
          <w:lang w:val="sr-Latn-ME"/>
        </w:rPr>
        <w:t xml:space="preserve">Ispitivanja interakcija sprovedena su samo </w:t>
      </w:r>
      <w:r w:rsidR="00647307" w:rsidRPr="00EC0535">
        <w:rPr>
          <w:bCs/>
          <w:sz w:val="22"/>
          <w:szCs w:val="22"/>
          <w:lang w:val="sr-Latn-ME"/>
        </w:rPr>
        <w:t>kod odraslih</w:t>
      </w:r>
      <w:r w:rsidRPr="00EC0535">
        <w:rPr>
          <w:bCs/>
          <w:sz w:val="22"/>
          <w:szCs w:val="22"/>
          <w:lang w:val="sr-Latn-ME"/>
        </w:rPr>
        <w:t xml:space="preserve">. </w:t>
      </w:r>
    </w:p>
    <w:p w:rsidR="0020077A" w:rsidRPr="00EC0535" w:rsidRDefault="0020077A" w:rsidP="0020077A">
      <w:pPr>
        <w:tabs>
          <w:tab w:val="left" w:pos="540"/>
          <w:tab w:val="left" w:pos="569"/>
        </w:tabs>
        <w:rPr>
          <w:bCs/>
          <w:color w:val="FF0000"/>
          <w:sz w:val="22"/>
          <w:szCs w:val="22"/>
          <w:lang w:val="sr-Latn-ME"/>
        </w:rPr>
      </w:pPr>
    </w:p>
    <w:p w:rsidR="0020077A" w:rsidRPr="00EC0535" w:rsidRDefault="0020077A" w:rsidP="0020077A">
      <w:pPr>
        <w:tabs>
          <w:tab w:val="left" w:pos="540"/>
          <w:tab w:val="left" w:pos="569"/>
        </w:tabs>
        <w:rPr>
          <w:bCs/>
          <w:sz w:val="22"/>
          <w:szCs w:val="22"/>
          <w:u w:val="single"/>
          <w:lang w:val="sr-Latn-ME"/>
        </w:rPr>
      </w:pPr>
      <w:r w:rsidRPr="00EC0535">
        <w:rPr>
          <w:bCs/>
          <w:sz w:val="22"/>
          <w:szCs w:val="22"/>
          <w:u w:val="single"/>
          <w:lang w:val="sr-Latn-ME"/>
        </w:rPr>
        <w:t xml:space="preserve">Erlotinib i drugi CYP supstrati </w:t>
      </w:r>
    </w:p>
    <w:p w:rsidR="0020077A" w:rsidRPr="00EC0535" w:rsidRDefault="0020077A" w:rsidP="0020077A">
      <w:pPr>
        <w:tabs>
          <w:tab w:val="left" w:pos="540"/>
          <w:tab w:val="left" w:pos="569"/>
        </w:tabs>
        <w:rPr>
          <w:bCs/>
          <w:sz w:val="22"/>
          <w:szCs w:val="22"/>
          <w:lang w:val="sr-Latn-ME"/>
        </w:rPr>
      </w:pPr>
    </w:p>
    <w:p w:rsidR="009443D0" w:rsidRPr="00EC0535" w:rsidRDefault="0020077A" w:rsidP="0020077A">
      <w:pPr>
        <w:tabs>
          <w:tab w:val="left" w:pos="540"/>
          <w:tab w:val="left" w:pos="569"/>
        </w:tabs>
        <w:jc w:val="both"/>
        <w:rPr>
          <w:bCs/>
          <w:sz w:val="22"/>
          <w:szCs w:val="22"/>
          <w:lang w:val="sr-Latn-ME"/>
        </w:rPr>
      </w:pPr>
      <w:r w:rsidRPr="00EC0535">
        <w:rPr>
          <w:bCs/>
          <w:sz w:val="22"/>
          <w:szCs w:val="22"/>
          <w:lang w:val="sr-Latn-ME"/>
        </w:rPr>
        <w:t xml:space="preserve">Erlotinib je snažan inhibitor CYP1A1 i umjereni inhibitor CYP3A4 i CYP2C8, kao i snažan inhibitor </w:t>
      </w:r>
      <w:r w:rsidR="00CD077A" w:rsidRPr="00EC0535">
        <w:rPr>
          <w:bCs/>
          <w:sz w:val="22"/>
          <w:szCs w:val="22"/>
          <w:lang w:val="sr-Latn-ME"/>
        </w:rPr>
        <w:t xml:space="preserve">glukuronidacije </w:t>
      </w:r>
      <w:r w:rsidRPr="00EC0535">
        <w:rPr>
          <w:bCs/>
          <w:sz w:val="22"/>
          <w:szCs w:val="22"/>
          <w:lang w:val="sr-Latn-ME"/>
        </w:rPr>
        <w:t xml:space="preserve">UGT1A1 </w:t>
      </w:r>
      <w:r w:rsidRPr="00EC0535">
        <w:rPr>
          <w:bCs/>
          <w:i/>
          <w:sz w:val="22"/>
          <w:szCs w:val="22"/>
          <w:lang w:val="sr-Latn-ME"/>
        </w:rPr>
        <w:t>in vitro</w:t>
      </w:r>
      <w:r w:rsidRPr="00EC0535">
        <w:rPr>
          <w:bCs/>
          <w:sz w:val="22"/>
          <w:szCs w:val="22"/>
          <w:lang w:val="sr-Latn-ME"/>
        </w:rPr>
        <w:t xml:space="preserve">. </w:t>
      </w:r>
    </w:p>
    <w:p w:rsidR="0020077A" w:rsidRPr="00EC0535" w:rsidRDefault="0020077A" w:rsidP="0020077A">
      <w:pPr>
        <w:tabs>
          <w:tab w:val="left" w:pos="540"/>
          <w:tab w:val="left" w:pos="569"/>
        </w:tabs>
        <w:jc w:val="both"/>
        <w:rPr>
          <w:bCs/>
          <w:sz w:val="22"/>
          <w:szCs w:val="22"/>
          <w:lang w:val="sr-Latn-ME"/>
        </w:rPr>
      </w:pPr>
      <w:r w:rsidRPr="00EC0535">
        <w:rPr>
          <w:bCs/>
          <w:sz w:val="22"/>
          <w:szCs w:val="22"/>
          <w:lang w:val="sr-Latn-ME"/>
        </w:rPr>
        <w:lastRenderedPageBreak/>
        <w:t>Fiziološki značaj snažne inhibicije CYP1A1 nije poznat</w:t>
      </w:r>
      <w:r w:rsidR="006B3ACC" w:rsidRPr="00EC0535">
        <w:rPr>
          <w:bCs/>
          <w:sz w:val="22"/>
          <w:szCs w:val="22"/>
          <w:lang w:val="sr-Latn-ME"/>
        </w:rPr>
        <w:t>,</w:t>
      </w:r>
      <w:r w:rsidRPr="00EC0535">
        <w:rPr>
          <w:bCs/>
          <w:sz w:val="22"/>
          <w:szCs w:val="22"/>
          <w:lang w:val="sr-Latn-ME"/>
        </w:rPr>
        <w:t xml:space="preserve"> zbog veoma ograničene ekspresije CYP1A1 u tkivima čovjeka. </w:t>
      </w:r>
    </w:p>
    <w:p w:rsidR="0020077A" w:rsidRPr="00EC0535" w:rsidRDefault="0020077A" w:rsidP="0020077A">
      <w:pPr>
        <w:tabs>
          <w:tab w:val="left" w:pos="540"/>
          <w:tab w:val="left" w:pos="569"/>
        </w:tabs>
        <w:jc w:val="both"/>
        <w:rPr>
          <w:bCs/>
          <w:sz w:val="22"/>
          <w:szCs w:val="22"/>
          <w:lang w:val="sr-Latn-ME"/>
        </w:rPr>
      </w:pPr>
      <w:r w:rsidRPr="00EC0535">
        <w:rPr>
          <w:bCs/>
          <w:sz w:val="22"/>
          <w:szCs w:val="22"/>
          <w:lang w:val="sr-Latn-ME"/>
        </w:rPr>
        <w:t>Kada se erlotinib primjenjuje istovremeno sa ciprofloksacinom, umjerenim CYP1A2 inhibitorom, izloženost erlotinibu [PIK] značajno se poveća za 39%, dok nije uočena statistički značajna promjena C</w:t>
      </w:r>
      <w:r w:rsidRPr="00EC0535">
        <w:rPr>
          <w:bCs/>
          <w:sz w:val="22"/>
          <w:szCs w:val="22"/>
          <w:vertAlign w:val="subscript"/>
          <w:lang w:val="sr-Latn-ME"/>
        </w:rPr>
        <w:t>max</w:t>
      </w:r>
      <w:r w:rsidRPr="00EC0535">
        <w:rPr>
          <w:bCs/>
          <w:sz w:val="22"/>
          <w:szCs w:val="22"/>
          <w:lang w:val="sr-Latn-ME"/>
        </w:rPr>
        <w:t>. Slično, izloženost aktivnim metabolitima se povećala za oko 60% i 48% za PIK, odnosno C</w:t>
      </w:r>
      <w:r w:rsidRPr="00EC0535">
        <w:rPr>
          <w:bCs/>
          <w:sz w:val="22"/>
          <w:szCs w:val="22"/>
          <w:vertAlign w:val="subscript"/>
          <w:lang w:val="sr-Latn-ME"/>
        </w:rPr>
        <w:t>max</w:t>
      </w:r>
      <w:r w:rsidRPr="00EC0535">
        <w:rPr>
          <w:bCs/>
          <w:sz w:val="22"/>
          <w:szCs w:val="22"/>
          <w:lang w:val="sr-Latn-ME"/>
        </w:rPr>
        <w:t>. Nije utvrđen klinički značaj ovih povećanja. Potreban je oprez kada se ciprofloksacin ili snažni CYP1A2 inibitori (npr. fluvoksamin) primjenjuju u kombinaciji sa erlotinibom. Ukoliko se prim</w:t>
      </w:r>
      <w:r w:rsidR="006B3ACC" w:rsidRPr="00EC0535">
        <w:rPr>
          <w:bCs/>
          <w:sz w:val="22"/>
          <w:szCs w:val="22"/>
          <w:lang w:val="sr-Latn-ME"/>
        </w:rPr>
        <w:t>i</w:t>
      </w:r>
      <w:r w:rsidRPr="00EC0535">
        <w:rPr>
          <w:bCs/>
          <w:sz w:val="22"/>
          <w:szCs w:val="22"/>
          <w:lang w:val="sr-Latn-ME"/>
        </w:rPr>
        <w:t xml:space="preserve">jete neželjena dejstva povezana sa erlotinibom, doza erlotiniba se može smanjiti. </w:t>
      </w:r>
    </w:p>
    <w:p w:rsidR="0020077A" w:rsidRPr="00EC0535" w:rsidRDefault="0020077A" w:rsidP="0020077A">
      <w:pPr>
        <w:tabs>
          <w:tab w:val="left" w:pos="540"/>
          <w:tab w:val="left" w:pos="569"/>
        </w:tabs>
        <w:jc w:val="both"/>
        <w:rPr>
          <w:bCs/>
          <w:sz w:val="22"/>
          <w:szCs w:val="22"/>
          <w:lang w:val="sr-Latn-ME"/>
        </w:rPr>
      </w:pPr>
      <w:r w:rsidRPr="00EC0535">
        <w:rPr>
          <w:bCs/>
          <w:sz w:val="22"/>
          <w:szCs w:val="22"/>
          <w:lang w:val="sr-Latn-ME"/>
        </w:rPr>
        <w:t xml:space="preserve">Prethodna ili istovremena primjena lijeka </w:t>
      </w:r>
      <w:r w:rsidR="00693220" w:rsidRPr="00EC0535">
        <w:rPr>
          <w:bCs/>
          <w:sz w:val="22"/>
          <w:szCs w:val="22"/>
          <w:lang w:val="sr-Latn-ME"/>
        </w:rPr>
        <w:t>Erlotinib Pharmascience</w:t>
      </w:r>
      <w:r w:rsidRPr="00EC0535">
        <w:rPr>
          <w:bCs/>
          <w:sz w:val="22"/>
          <w:szCs w:val="22"/>
          <w:lang w:val="sr-Latn-ME"/>
        </w:rPr>
        <w:t xml:space="preserve"> nije mijenjala klirens prototipnih supstrata CYP3A4, midazolama i eritromicina, ali se dešavalo da snižava oralnu biorasploživost midazolama do 24%. U drugoj kliničkoj studiji, erlotinib nije pokazao uticaj na farmakokinetiku istovremeno prim</w:t>
      </w:r>
      <w:r w:rsidR="006B3ACC" w:rsidRPr="00EC0535">
        <w:rPr>
          <w:bCs/>
          <w:sz w:val="22"/>
          <w:szCs w:val="22"/>
          <w:lang w:val="sr-Latn-ME"/>
        </w:rPr>
        <w:t>i</w:t>
      </w:r>
      <w:r w:rsidRPr="00EC0535">
        <w:rPr>
          <w:bCs/>
          <w:sz w:val="22"/>
          <w:szCs w:val="22"/>
          <w:lang w:val="sr-Latn-ME"/>
        </w:rPr>
        <w:t xml:space="preserve">jenjenog supstrata CYP3A4/2C8 paklitaksela. Stoga nije vjerovatan značajan uticaj na klirens drugih CYP3A4 supstrata. </w:t>
      </w:r>
    </w:p>
    <w:p w:rsidR="0020077A" w:rsidRPr="00EC0535" w:rsidRDefault="0020077A" w:rsidP="0020077A">
      <w:pPr>
        <w:tabs>
          <w:tab w:val="left" w:pos="540"/>
          <w:tab w:val="left" w:pos="569"/>
        </w:tabs>
        <w:jc w:val="both"/>
        <w:rPr>
          <w:bCs/>
          <w:sz w:val="22"/>
          <w:szCs w:val="22"/>
          <w:lang w:val="sr-Latn-ME"/>
        </w:rPr>
      </w:pPr>
      <w:r w:rsidRPr="00EC0535">
        <w:rPr>
          <w:bCs/>
          <w:sz w:val="22"/>
          <w:szCs w:val="22"/>
          <w:lang w:val="sr-Latn-ME"/>
        </w:rPr>
        <w:t xml:space="preserve">Inhibicija </w:t>
      </w:r>
      <w:r w:rsidR="006B3ACC" w:rsidRPr="00EC0535">
        <w:rPr>
          <w:bCs/>
          <w:sz w:val="22"/>
          <w:szCs w:val="22"/>
          <w:lang w:val="sr-Latn-ME"/>
        </w:rPr>
        <w:t xml:space="preserve">glukuronidacije </w:t>
      </w:r>
      <w:r w:rsidRPr="00EC0535">
        <w:rPr>
          <w:bCs/>
          <w:sz w:val="22"/>
          <w:szCs w:val="22"/>
          <w:lang w:val="sr-Latn-ME"/>
        </w:rPr>
        <w:t>može da izazove interakcije sa ljekovima koji su supstrati UGT1A1</w:t>
      </w:r>
      <w:r w:rsidR="00CD077A" w:rsidRPr="00EC0535">
        <w:rPr>
          <w:bCs/>
          <w:sz w:val="22"/>
          <w:szCs w:val="22"/>
          <w:lang w:val="sr-Latn-ME"/>
        </w:rPr>
        <w:t>,</w:t>
      </w:r>
      <w:r w:rsidRPr="00EC0535">
        <w:rPr>
          <w:bCs/>
          <w:sz w:val="22"/>
          <w:szCs w:val="22"/>
          <w:lang w:val="sr-Latn-ME"/>
        </w:rPr>
        <w:t xml:space="preserve"> i njihova eliminacija se odvija isključivo ovim putem. Kod pacijen</w:t>
      </w:r>
      <w:r w:rsidR="006B3ACC" w:rsidRPr="00EC0535">
        <w:rPr>
          <w:bCs/>
          <w:sz w:val="22"/>
          <w:szCs w:val="22"/>
          <w:lang w:val="sr-Latn-ME"/>
        </w:rPr>
        <w:t>a</w:t>
      </w:r>
      <w:r w:rsidRPr="00EC0535">
        <w:rPr>
          <w:bCs/>
          <w:sz w:val="22"/>
          <w:szCs w:val="22"/>
          <w:lang w:val="sr-Latn-ME"/>
        </w:rPr>
        <w:t xml:space="preserve">ta sa niskim nivoom ekspresije UGT1A1 ili genetskim poremećajima glukorinidacije (npr. </w:t>
      </w:r>
      <w:r w:rsidRPr="00A728E1">
        <w:rPr>
          <w:bCs/>
          <w:i/>
          <w:sz w:val="22"/>
          <w:szCs w:val="22"/>
          <w:lang w:val="sr-Latn-ME"/>
        </w:rPr>
        <w:t>Gilbert</w:t>
      </w:r>
      <w:r w:rsidR="006B3ACC" w:rsidRPr="00EC0535">
        <w:rPr>
          <w:bCs/>
          <w:sz w:val="22"/>
          <w:szCs w:val="22"/>
          <w:lang w:val="sr-Latn-ME"/>
        </w:rPr>
        <w:t>-</w:t>
      </w:r>
      <w:r w:rsidRPr="00EC0535">
        <w:rPr>
          <w:bCs/>
          <w:sz w:val="22"/>
          <w:szCs w:val="22"/>
          <w:lang w:val="sr-Latn-ME"/>
        </w:rPr>
        <w:t xml:space="preserve">ova bolest) može doći do povišene koncentracije bilirubina u serumu, pa je potreban oprez pri liječenju. </w:t>
      </w:r>
    </w:p>
    <w:p w:rsidR="0020077A" w:rsidRPr="00EC0535" w:rsidRDefault="0020077A" w:rsidP="0020077A">
      <w:pPr>
        <w:tabs>
          <w:tab w:val="left" w:pos="540"/>
          <w:tab w:val="left" w:pos="569"/>
        </w:tabs>
        <w:jc w:val="both"/>
        <w:rPr>
          <w:bCs/>
          <w:sz w:val="22"/>
          <w:szCs w:val="22"/>
          <w:lang w:val="sr-Latn-ME"/>
        </w:rPr>
      </w:pPr>
      <w:r w:rsidRPr="00EC0535">
        <w:rPr>
          <w:bCs/>
          <w:sz w:val="22"/>
          <w:szCs w:val="22"/>
          <w:lang w:val="sr-Latn-ME"/>
        </w:rPr>
        <w:t>Erlotinib se kod ljudi metaboliše u jetri posredstvom hepatičkih citohroma, prvenstveno CYP3A4 i u manjoj mjeri CYP1A2. Ekstrahepatički metabolizam preko CYP3A4 u crijevima, CYP1A1 u plućima i CYP1B1 u tumorskom tkivu takođe potencijalno doprinosi metaboličkom klirensu erlotiniba. Potencijalne interakcije mogu nastati sa aktivnim supstancama koje se metabolišu preko ovih enzima ili su njihovi inhibitori ili ih indukuju.</w:t>
      </w:r>
    </w:p>
    <w:p w:rsidR="0020077A" w:rsidRPr="00EC0535" w:rsidRDefault="0020077A" w:rsidP="0020077A">
      <w:pPr>
        <w:tabs>
          <w:tab w:val="left" w:pos="540"/>
          <w:tab w:val="left" w:pos="569"/>
        </w:tabs>
        <w:rPr>
          <w:bCs/>
          <w:color w:val="FF0000"/>
          <w:sz w:val="22"/>
          <w:szCs w:val="22"/>
          <w:lang w:val="sr-Latn-ME"/>
        </w:rPr>
      </w:pPr>
    </w:p>
    <w:p w:rsidR="0020077A" w:rsidRPr="00EC0535" w:rsidRDefault="0020077A" w:rsidP="0020077A">
      <w:pPr>
        <w:tabs>
          <w:tab w:val="left" w:pos="540"/>
          <w:tab w:val="left" w:pos="569"/>
        </w:tabs>
        <w:jc w:val="both"/>
        <w:rPr>
          <w:bCs/>
          <w:sz w:val="22"/>
          <w:szCs w:val="22"/>
          <w:lang w:val="sr-Latn-ME"/>
        </w:rPr>
      </w:pPr>
      <w:r w:rsidRPr="00EC0535">
        <w:rPr>
          <w:bCs/>
          <w:sz w:val="22"/>
          <w:szCs w:val="22"/>
          <w:lang w:val="sr-Latn-ME"/>
        </w:rPr>
        <w:t>Snažni inhibitori aktivnosti CYP3A4 smanjuju metabolizam erlotiniba i povećavaju koncentraciju erlotiniba u plazmi. U jednoj kliničkoj studiji, istovremena upotreba erlotiniba sa ketokonazolom (200 mg oralno, dva puta na dan tokom 5 dana), koji je snažan inhibitor CYP3A4, dovela je do povećane izloženosti erlotinibu (86% PIK i 69% C</w:t>
      </w:r>
      <w:r w:rsidRPr="00EC0535">
        <w:rPr>
          <w:bCs/>
          <w:sz w:val="22"/>
          <w:szCs w:val="22"/>
          <w:vertAlign w:val="subscript"/>
          <w:lang w:val="sr-Latn-ME"/>
        </w:rPr>
        <w:t>max</w:t>
      </w:r>
      <w:r w:rsidRPr="00EC0535">
        <w:rPr>
          <w:bCs/>
          <w:sz w:val="22"/>
          <w:szCs w:val="22"/>
          <w:lang w:val="sr-Latn-ME"/>
        </w:rPr>
        <w:t>). Prema tome, potreban je oprez kada se erlotinib kombinuje sa snažnim inhibitorom CYP3A4, npr. azolnim antimikoticima (tj. ketokonazolom, itrakonazolom, vorikonazolom), inhibitorima proteaze, eritromicinom ili klaritromicinom. Ako je neophodno, dozu erlotiniba treba smanjiti, posebno ako se prim</w:t>
      </w:r>
      <w:r w:rsidR="002E4784" w:rsidRPr="00EC0535">
        <w:rPr>
          <w:bCs/>
          <w:sz w:val="22"/>
          <w:szCs w:val="22"/>
          <w:lang w:val="sr-Latn-ME"/>
        </w:rPr>
        <w:t>i</w:t>
      </w:r>
      <w:r w:rsidRPr="00EC0535">
        <w:rPr>
          <w:bCs/>
          <w:sz w:val="22"/>
          <w:szCs w:val="22"/>
          <w:lang w:val="sr-Latn-ME"/>
        </w:rPr>
        <w:t>jete znaci toksičnosti.</w:t>
      </w:r>
    </w:p>
    <w:p w:rsidR="0020077A" w:rsidRPr="00EC0535" w:rsidRDefault="0020077A" w:rsidP="0020077A">
      <w:pPr>
        <w:tabs>
          <w:tab w:val="left" w:pos="540"/>
          <w:tab w:val="left" w:pos="569"/>
        </w:tabs>
        <w:jc w:val="both"/>
        <w:rPr>
          <w:bCs/>
          <w:sz w:val="22"/>
          <w:szCs w:val="22"/>
          <w:lang w:val="sr-Latn-ME"/>
        </w:rPr>
      </w:pPr>
    </w:p>
    <w:p w:rsidR="0020077A" w:rsidRPr="00EC0535" w:rsidRDefault="0020077A" w:rsidP="0020077A">
      <w:pPr>
        <w:tabs>
          <w:tab w:val="left" w:pos="540"/>
          <w:tab w:val="left" w:pos="569"/>
        </w:tabs>
        <w:jc w:val="both"/>
        <w:rPr>
          <w:bCs/>
          <w:sz w:val="22"/>
          <w:szCs w:val="22"/>
          <w:lang w:val="sr-Latn-ME"/>
        </w:rPr>
      </w:pPr>
      <w:r w:rsidRPr="00EC0535">
        <w:rPr>
          <w:bCs/>
          <w:sz w:val="22"/>
          <w:szCs w:val="22"/>
          <w:lang w:val="sr-Latn-ME"/>
        </w:rPr>
        <w:t xml:space="preserve">Snažni induktori aktivnosti CYP3A4 pojačavaju metabolizam erlotiniba i značajno smanjuju koncentracije erlotiniba u plazmi. U jednoj kliničkoj studiji, istovremena upotreba erlotiniba i rifampicina (600 mg oralno, jednom dnevno tokom 7 dana), snažnog induktora CYP3A4, dovelo je do 69% smanjenja medijane vrijednosti PIK erlotiniba. Istovremena primjena rifampicina sa pojedinačnom dozom od 450 mg </w:t>
      </w:r>
      <w:r w:rsidR="00CC64C5" w:rsidRPr="00EC0535">
        <w:rPr>
          <w:bCs/>
          <w:sz w:val="22"/>
          <w:szCs w:val="22"/>
          <w:lang w:val="sr-Latn-ME"/>
        </w:rPr>
        <w:t>erlotiniba</w:t>
      </w:r>
      <w:r w:rsidRPr="00EC0535">
        <w:rPr>
          <w:bCs/>
          <w:sz w:val="22"/>
          <w:szCs w:val="22"/>
          <w:lang w:val="sr-Latn-ME"/>
        </w:rPr>
        <w:t xml:space="preserve"> dovela je do srednje izloženosti erlotinibu (PIK) od 57,5% izloženosti nakon pojedinačne doze od 150 mg </w:t>
      </w:r>
      <w:r w:rsidR="00CC64C5" w:rsidRPr="00EC0535">
        <w:rPr>
          <w:bCs/>
          <w:sz w:val="22"/>
          <w:szCs w:val="22"/>
          <w:lang w:val="sr-Latn-ME"/>
        </w:rPr>
        <w:t>erlotiniba</w:t>
      </w:r>
      <w:r w:rsidRPr="00EC0535">
        <w:rPr>
          <w:bCs/>
          <w:sz w:val="22"/>
          <w:szCs w:val="22"/>
          <w:lang w:val="sr-Latn-ME"/>
        </w:rPr>
        <w:t xml:space="preserve"> bez rifampicina. Stoga</w:t>
      </w:r>
      <w:r w:rsidR="00CC64C5" w:rsidRPr="00EC0535">
        <w:rPr>
          <w:bCs/>
          <w:sz w:val="22"/>
          <w:szCs w:val="22"/>
          <w:lang w:val="sr-Latn-ME"/>
        </w:rPr>
        <w:t xml:space="preserve"> je potrebno</w:t>
      </w:r>
      <w:r w:rsidRPr="00EC0535">
        <w:rPr>
          <w:bCs/>
          <w:sz w:val="22"/>
          <w:szCs w:val="22"/>
          <w:lang w:val="sr-Latn-ME"/>
        </w:rPr>
        <w:t xml:space="preserve"> izbjegavati istovremenu primjenu lijeka </w:t>
      </w:r>
      <w:r w:rsidR="00693220" w:rsidRPr="00EC0535">
        <w:rPr>
          <w:bCs/>
          <w:sz w:val="22"/>
          <w:szCs w:val="22"/>
          <w:lang w:val="sr-Latn-ME"/>
        </w:rPr>
        <w:t>Erlotinib Pharmascience</w:t>
      </w:r>
      <w:r w:rsidRPr="00EC0535">
        <w:rPr>
          <w:bCs/>
          <w:sz w:val="22"/>
          <w:szCs w:val="22"/>
          <w:lang w:val="sr-Latn-ME"/>
        </w:rPr>
        <w:t xml:space="preserve"> sa CYP3A4 induktorima. Za pacijente koji</w:t>
      </w:r>
      <w:r w:rsidR="002C1258" w:rsidRPr="00EC0535">
        <w:rPr>
          <w:bCs/>
          <w:sz w:val="22"/>
          <w:szCs w:val="22"/>
          <w:lang w:val="sr-Latn-ME"/>
        </w:rPr>
        <w:t>ma</w:t>
      </w:r>
      <w:r w:rsidRPr="00EC0535">
        <w:rPr>
          <w:bCs/>
          <w:sz w:val="22"/>
          <w:szCs w:val="22"/>
          <w:lang w:val="sr-Latn-ME"/>
        </w:rPr>
        <w:t xml:space="preserve"> </w:t>
      </w:r>
      <w:r w:rsidR="002C1258" w:rsidRPr="00EC0535">
        <w:rPr>
          <w:bCs/>
          <w:sz w:val="22"/>
          <w:szCs w:val="22"/>
          <w:lang w:val="sr-Latn-ME"/>
        </w:rPr>
        <w:t xml:space="preserve">je neophodno </w:t>
      </w:r>
      <w:r w:rsidRPr="00EC0535">
        <w:rPr>
          <w:bCs/>
          <w:sz w:val="22"/>
          <w:szCs w:val="22"/>
          <w:lang w:val="sr-Latn-ME"/>
        </w:rPr>
        <w:t>istovremeno l</w:t>
      </w:r>
      <w:r w:rsidR="00CC64C5" w:rsidRPr="00EC0535">
        <w:rPr>
          <w:bCs/>
          <w:sz w:val="22"/>
          <w:szCs w:val="22"/>
          <w:lang w:val="sr-Latn-ME"/>
        </w:rPr>
        <w:t>ij</w:t>
      </w:r>
      <w:r w:rsidRPr="00EC0535">
        <w:rPr>
          <w:bCs/>
          <w:sz w:val="22"/>
          <w:szCs w:val="22"/>
          <w:lang w:val="sr-Latn-ME"/>
        </w:rPr>
        <w:t>ečenje l</w:t>
      </w:r>
      <w:r w:rsidR="00CC64C5" w:rsidRPr="00EC0535">
        <w:rPr>
          <w:bCs/>
          <w:sz w:val="22"/>
          <w:szCs w:val="22"/>
          <w:lang w:val="sr-Latn-ME"/>
        </w:rPr>
        <w:t>ij</w:t>
      </w:r>
      <w:r w:rsidRPr="00EC0535">
        <w:rPr>
          <w:bCs/>
          <w:sz w:val="22"/>
          <w:szCs w:val="22"/>
          <w:lang w:val="sr-Latn-ME"/>
        </w:rPr>
        <w:t xml:space="preserve">ekom </w:t>
      </w:r>
      <w:r w:rsidR="00693220" w:rsidRPr="00EC0535">
        <w:rPr>
          <w:bCs/>
          <w:sz w:val="22"/>
          <w:szCs w:val="22"/>
          <w:lang w:val="sr-Latn-ME"/>
        </w:rPr>
        <w:t>Erlotinib Pharmascience</w:t>
      </w:r>
      <w:r w:rsidRPr="00EC0535">
        <w:rPr>
          <w:bCs/>
          <w:sz w:val="22"/>
          <w:szCs w:val="22"/>
          <w:lang w:val="sr-Latn-ME"/>
        </w:rPr>
        <w:t xml:space="preserve"> i snažnim CYP3A4 induktorima, kao što je rifampicin, treba razmotriti povećanje doze na 300 mg</w:t>
      </w:r>
      <w:r w:rsidR="002C1258" w:rsidRPr="00EC0535">
        <w:rPr>
          <w:bCs/>
          <w:sz w:val="22"/>
          <w:szCs w:val="22"/>
          <w:lang w:val="sr-Latn-ME"/>
        </w:rPr>
        <w:t>,</w:t>
      </w:r>
      <w:r w:rsidRPr="00EC0535">
        <w:rPr>
          <w:bCs/>
          <w:sz w:val="22"/>
          <w:szCs w:val="22"/>
          <w:lang w:val="sr-Latn-ME"/>
        </w:rPr>
        <w:t xml:space="preserve"> pritom pažljivo pratiti bezbjednost pacijenta (uključujući funkcije bubrega i jetre i elektrolite u serumu), i ukoliko se dobro podnosi u periodu dužem od dvije nedjelje, treba razmotriti dalje povećanje na 450 mg uz pažljivo praćenje bezbjednosti terapije. Do smanjene izloženosti erlotinibu može doći i pri istovremenoj upotrebi drugih induktora, npr. fenitoina, karbamazepina, barbiturata ili kantariona (</w:t>
      </w:r>
      <w:r w:rsidRPr="00EC0535">
        <w:rPr>
          <w:bCs/>
          <w:i/>
          <w:sz w:val="22"/>
          <w:szCs w:val="22"/>
          <w:lang w:val="sr-Latn-ME"/>
        </w:rPr>
        <w:t>Hypericum perforatum</w:t>
      </w:r>
      <w:r w:rsidRPr="00EC0535">
        <w:rPr>
          <w:bCs/>
          <w:sz w:val="22"/>
          <w:szCs w:val="22"/>
          <w:lang w:val="sr-Latn-ME"/>
        </w:rPr>
        <w:t>). Treba biti oprezan i kada se ove aktivne supstance kombinuju sa erlotinibom. Treba uzeti u obzir i druge terapijske opcije koje nemaju snažnu CYP3A4 indukcionu aktivnost, kad god je to moguće.</w:t>
      </w:r>
    </w:p>
    <w:p w:rsidR="0020077A" w:rsidRPr="00EC0535" w:rsidRDefault="0020077A" w:rsidP="0020077A">
      <w:pPr>
        <w:tabs>
          <w:tab w:val="left" w:pos="540"/>
          <w:tab w:val="left" w:pos="569"/>
        </w:tabs>
        <w:rPr>
          <w:bCs/>
          <w:sz w:val="22"/>
          <w:szCs w:val="22"/>
          <w:u w:val="single"/>
          <w:lang w:val="sr-Latn-ME"/>
        </w:rPr>
      </w:pPr>
    </w:p>
    <w:p w:rsidR="0020077A" w:rsidRPr="00EC0535" w:rsidRDefault="0020077A" w:rsidP="0020077A">
      <w:pPr>
        <w:tabs>
          <w:tab w:val="left" w:pos="540"/>
          <w:tab w:val="left" w:pos="569"/>
        </w:tabs>
        <w:rPr>
          <w:bCs/>
          <w:sz w:val="22"/>
          <w:szCs w:val="22"/>
          <w:u w:val="single"/>
          <w:lang w:val="sr-Latn-ME"/>
        </w:rPr>
      </w:pPr>
      <w:r w:rsidRPr="00EC0535">
        <w:rPr>
          <w:bCs/>
          <w:sz w:val="22"/>
          <w:szCs w:val="22"/>
          <w:u w:val="single"/>
          <w:lang w:val="sr-Latn-ME"/>
        </w:rPr>
        <w:t xml:space="preserve">Erlotinib i kumarinski antikoagulansi </w:t>
      </w:r>
    </w:p>
    <w:p w:rsidR="0020077A" w:rsidRPr="00EC0535" w:rsidRDefault="0020077A" w:rsidP="0020077A">
      <w:pPr>
        <w:tabs>
          <w:tab w:val="left" w:pos="540"/>
          <w:tab w:val="left" w:pos="569"/>
        </w:tabs>
        <w:rPr>
          <w:bCs/>
          <w:sz w:val="22"/>
          <w:szCs w:val="22"/>
          <w:u w:val="single"/>
          <w:lang w:val="sr-Latn-ME"/>
        </w:rPr>
      </w:pPr>
    </w:p>
    <w:p w:rsidR="00850579" w:rsidRPr="00EC0535" w:rsidRDefault="0020077A" w:rsidP="0020077A">
      <w:pPr>
        <w:tabs>
          <w:tab w:val="left" w:pos="540"/>
          <w:tab w:val="left" w:pos="569"/>
        </w:tabs>
        <w:jc w:val="both"/>
        <w:rPr>
          <w:bCs/>
          <w:sz w:val="22"/>
          <w:szCs w:val="22"/>
          <w:lang w:val="sr-Latn-ME"/>
        </w:rPr>
      </w:pPr>
      <w:r w:rsidRPr="00EC0535">
        <w:rPr>
          <w:bCs/>
          <w:sz w:val="22"/>
          <w:szCs w:val="22"/>
          <w:lang w:val="sr-Latn-ME"/>
        </w:rPr>
        <w:t xml:space="preserve">Kod pacijenata </w:t>
      </w:r>
      <w:r w:rsidR="00850579" w:rsidRPr="00EC0535">
        <w:rPr>
          <w:bCs/>
          <w:sz w:val="22"/>
          <w:szCs w:val="22"/>
          <w:lang w:val="sr-Latn-ME"/>
        </w:rPr>
        <w:t xml:space="preserve">na terapiji erlotinibom prijavljeni su slučajevi interakcije sa kumarinskim antikoagulansima, uključujući varfarin, koji su doveli do povećanja INR vrijednost i (engl. </w:t>
      </w:r>
      <w:r w:rsidR="00850579" w:rsidRPr="00EC0535">
        <w:rPr>
          <w:bCs/>
          <w:i/>
          <w:sz w:val="22"/>
          <w:szCs w:val="22"/>
          <w:lang w:val="sr-Latn-ME"/>
        </w:rPr>
        <w:t>International Normalized Ratio</w:t>
      </w:r>
      <w:r w:rsidR="00850579" w:rsidRPr="00EC0535">
        <w:rPr>
          <w:bCs/>
          <w:sz w:val="22"/>
          <w:szCs w:val="22"/>
          <w:lang w:val="sr-Latn-ME"/>
        </w:rPr>
        <w:t xml:space="preserve">) i </w:t>
      </w:r>
      <w:r w:rsidR="002673E0" w:rsidRPr="00EC0535">
        <w:rPr>
          <w:bCs/>
          <w:sz w:val="22"/>
          <w:szCs w:val="22"/>
          <w:lang w:val="sr-Latn-ME"/>
        </w:rPr>
        <w:t xml:space="preserve">pojave </w:t>
      </w:r>
      <w:r w:rsidR="00850579" w:rsidRPr="00EC0535">
        <w:rPr>
          <w:bCs/>
          <w:sz w:val="22"/>
          <w:szCs w:val="22"/>
          <w:lang w:val="sr-Latn-ME"/>
        </w:rPr>
        <w:t xml:space="preserve">krvarenja, koja su u nekim slučajevima imala smrtni ishod. Pacijente koji su na terapiji kumarinskim antikoagulansima treba redovno pratiti u cilju uočavanja eventualnih promjena u vrijednostima protrombinskog vremena ili INR. </w:t>
      </w:r>
    </w:p>
    <w:p w:rsidR="0020077A" w:rsidRPr="00EC0535" w:rsidRDefault="0020077A" w:rsidP="0020077A">
      <w:pPr>
        <w:tabs>
          <w:tab w:val="left" w:pos="540"/>
          <w:tab w:val="left" w:pos="569"/>
        </w:tabs>
        <w:rPr>
          <w:bCs/>
          <w:color w:val="FF0000"/>
          <w:sz w:val="22"/>
          <w:szCs w:val="22"/>
          <w:lang w:val="sr-Latn-ME"/>
        </w:rPr>
      </w:pPr>
    </w:p>
    <w:p w:rsidR="0020077A" w:rsidRPr="00EC0535" w:rsidRDefault="0020077A" w:rsidP="0020077A">
      <w:pPr>
        <w:tabs>
          <w:tab w:val="left" w:pos="540"/>
          <w:tab w:val="left" w:pos="569"/>
        </w:tabs>
        <w:jc w:val="both"/>
        <w:rPr>
          <w:bCs/>
          <w:sz w:val="22"/>
          <w:szCs w:val="22"/>
          <w:u w:val="single"/>
          <w:lang w:val="sr-Latn-ME"/>
        </w:rPr>
      </w:pPr>
      <w:r w:rsidRPr="00EC0535">
        <w:rPr>
          <w:bCs/>
          <w:sz w:val="22"/>
          <w:szCs w:val="22"/>
          <w:u w:val="single"/>
          <w:lang w:val="sr-Latn-ME"/>
        </w:rPr>
        <w:t xml:space="preserve">Erlotinib i statini </w:t>
      </w:r>
    </w:p>
    <w:p w:rsidR="002C1258" w:rsidRPr="00EC0535" w:rsidRDefault="002C1258" w:rsidP="0020077A">
      <w:pPr>
        <w:tabs>
          <w:tab w:val="left" w:pos="540"/>
          <w:tab w:val="left" w:pos="569"/>
        </w:tabs>
        <w:jc w:val="both"/>
        <w:rPr>
          <w:bCs/>
          <w:sz w:val="22"/>
          <w:szCs w:val="22"/>
          <w:lang w:val="sr-Latn-ME"/>
        </w:rPr>
      </w:pPr>
    </w:p>
    <w:p w:rsidR="0020077A" w:rsidRPr="00EC0535" w:rsidRDefault="0020077A" w:rsidP="0020077A">
      <w:pPr>
        <w:tabs>
          <w:tab w:val="left" w:pos="540"/>
          <w:tab w:val="left" w:pos="569"/>
        </w:tabs>
        <w:jc w:val="both"/>
        <w:rPr>
          <w:bCs/>
          <w:sz w:val="22"/>
          <w:szCs w:val="22"/>
          <w:lang w:val="sr-Latn-ME"/>
        </w:rPr>
      </w:pPr>
      <w:r w:rsidRPr="00EC0535">
        <w:rPr>
          <w:bCs/>
          <w:sz w:val="22"/>
          <w:szCs w:val="22"/>
          <w:lang w:val="sr-Latn-ME"/>
        </w:rPr>
        <w:lastRenderedPageBreak/>
        <w:t xml:space="preserve">Kombinacija lijeka </w:t>
      </w:r>
      <w:r w:rsidR="00693220" w:rsidRPr="00EC0535">
        <w:rPr>
          <w:bCs/>
          <w:sz w:val="22"/>
          <w:szCs w:val="22"/>
          <w:lang w:val="sr-Latn-ME"/>
        </w:rPr>
        <w:t>Erlotinib Pharmascience</w:t>
      </w:r>
      <w:r w:rsidRPr="00EC0535">
        <w:rPr>
          <w:bCs/>
          <w:sz w:val="22"/>
          <w:szCs w:val="22"/>
          <w:lang w:val="sr-Latn-ME"/>
        </w:rPr>
        <w:t xml:space="preserve"> i statina može da poveća mogućnost razvoja miopatije indukovane statinima, uključujući rabdomiolizu, što je rijetko zabilježeno. </w:t>
      </w:r>
    </w:p>
    <w:p w:rsidR="0020077A" w:rsidRPr="00EC0535" w:rsidRDefault="0020077A" w:rsidP="0020077A">
      <w:pPr>
        <w:tabs>
          <w:tab w:val="left" w:pos="540"/>
          <w:tab w:val="left" w:pos="569"/>
        </w:tabs>
        <w:jc w:val="both"/>
        <w:rPr>
          <w:bCs/>
          <w:color w:val="FF0000"/>
          <w:sz w:val="22"/>
          <w:szCs w:val="22"/>
          <w:lang w:val="sr-Latn-ME"/>
        </w:rPr>
      </w:pPr>
    </w:p>
    <w:p w:rsidR="0020077A" w:rsidRPr="00EC0535" w:rsidRDefault="0020077A" w:rsidP="0020077A">
      <w:pPr>
        <w:tabs>
          <w:tab w:val="left" w:pos="540"/>
          <w:tab w:val="left" w:pos="569"/>
        </w:tabs>
        <w:jc w:val="both"/>
        <w:rPr>
          <w:bCs/>
          <w:sz w:val="22"/>
          <w:szCs w:val="22"/>
          <w:u w:val="single"/>
          <w:lang w:val="sr-Latn-ME"/>
        </w:rPr>
      </w:pPr>
      <w:r w:rsidRPr="00EC0535">
        <w:rPr>
          <w:bCs/>
          <w:sz w:val="22"/>
          <w:szCs w:val="22"/>
          <w:u w:val="single"/>
          <w:lang w:val="sr-Latn-ME"/>
        </w:rPr>
        <w:t xml:space="preserve">Erlotinib i pušači </w:t>
      </w:r>
    </w:p>
    <w:p w:rsidR="0020077A" w:rsidRPr="00EC0535" w:rsidRDefault="0020077A" w:rsidP="0020077A">
      <w:pPr>
        <w:tabs>
          <w:tab w:val="left" w:pos="540"/>
          <w:tab w:val="left" w:pos="569"/>
        </w:tabs>
        <w:jc w:val="both"/>
        <w:rPr>
          <w:bCs/>
          <w:sz w:val="22"/>
          <w:szCs w:val="22"/>
          <w:u w:val="single"/>
          <w:lang w:val="sr-Latn-ME"/>
        </w:rPr>
      </w:pPr>
    </w:p>
    <w:p w:rsidR="0020077A" w:rsidRPr="00EC0535" w:rsidRDefault="0020077A" w:rsidP="0020077A">
      <w:pPr>
        <w:tabs>
          <w:tab w:val="left" w:pos="540"/>
          <w:tab w:val="left" w:pos="569"/>
        </w:tabs>
        <w:jc w:val="both"/>
        <w:rPr>
          <w:bCs/>
          <w:sz w:val="22"/>
          <w:szCs w:val="22"/>
          <w:lang w:val="sr-Latn-ME"/>
        </w:rPr>
      </w:pPr>
      <w:r w:rsidRPr="00EC0535">
        <w:rPr>
          <w:bCs/>
          <w:sz w:val="22"/>
          <w:szCs w:val="22"/>
          <w:lang w:val="sr-Latn-ME"/>
        </w:rPr>
        <w:t>Rezultati ispitivanja farmakokinetičkih interakcija kod zdravih ispitanika pokazali su značajno smanjenje PIK</w:t>
      </w:r>
      <w:r w:rsidRPr="00EC0535">
        <w:rPr>
          <w:bCs/>
          <w:sz w:val="22"/>
          <w:szCs w:val="22"/>
          <w:vertAlign w:val="subscript"/>
          <w:lang w:val="sr-Latn-ME"/>
        </w:rPr>
        <w:t>inf</w:t>
      </w:r>
      <w:r w:rsidRPr="00EC0535">
        <w:rPr>
          <w:bCs/>
          <w:sz w:val="22"/>
          <w:szCs w:val="22"/>
          <w:lang w:val="sr-Latn-ME"/>
        </w:rPr>
        <w:t>, C</w:t>
      </w:r>
      <w:r w:rsidRPr="00EC0535">
        <w:rPr>
          <w:bCs/>
          <w:sz w:val="22"/>
          <w:szCs w:val="22"/>
          <w:vertAlign w:val="subscript"/>
          <w:lang w:val="sr-Latn-ME"/>
        </w:rPr>
        <w:t>max</w:t>
      </w:r>
      <w:r w:rsidRPr="00EC0535">
        <w:rPr>
          <w:bCs/>
          <w:sz w:val="22"/>
          <w:szCs w:val="22"/>
          <w:lang w:val="sr-Latn-ME"/>
        </w:rPr>
        <w:t xml:space="preserve"> i koncentracije u plazmi nakon 24 sata (2</w:t>
      </w:r>
      <w:r w:rsidR="00DC1C09" w:rsidRPr="00EC0535">
        <w:rPr>
          <w:bCs/>
          <w:sz w:val="22"/>
          <w:szCs w:val="22"/>
          <w:lang w:val="sr-Latn-ME"/>
        </w:rPr>
        <w:t>,</w:t>
      </w:r>
      <w:r w:rsidRPr="00EC0535">
        <w:rPr>
          <w:bCs/>
          <w:sz w:val="22"/>
          <w:szCs w:val="22"/>
          <w:lang w:val="sr-Latn-ME"/>
        </w:rPr>
        <w:t>8, 1</w:t>
      </w:r>
      <w:r w:rsidR="00DC1C09" w:rsidRPr="00EC0535">
        <w:rPr>
          <w:bCs/>
          <w:sz w:val="22"/>
          <w:szCs w:val="22"/>
          <w:lang w:val="sr-Latn-ME"/>
        </w:rPr>
        <w:t>,</w:t>
      </w:r>
      <w:r w:rsidRPr="00EC0535">
        <w:rPr>
          <w:bCs/>
          <w:sz w:val="22"/>
          <w:szCs w:val="22"/>
          <w:lang w:val="sr-Latn-ME"/>
        </w:rPr>
        <w:t xml:space="preserve">5 odnosno 9 puta), respektivno, nakon primjene </w:t>
      </w:r>
      <w:r w:rsidR="00DC1C09" w:rsidRPr="00EC0535">
        <w:rPr>
          <w:bCs/>
          <w:sz w:val="22"/>
          <w:szCs w:val="22"/>
          <w:lang w:val="sr-Latn-ME"/>
        </w:rPr>
        <w:t>erlotiniba</w:t>
      </w:r>
      <w:r w:rsidRPr="00EC0535">
        <w:rPr>
          <w:bCs/>
          <w:sz w:val="22"/>
          <w:szCs w:val="22"/>
          <w:lang w:val="sr-Latn-ME"/>
        </w:rPr>
        <w:t xml:space="preserve"> kod pušača u poređenju sa primjenom kod nepušača. Stoga pacijente koji puše treba podstaknuti da prestanu da puše, što je prije moguće, prije početka terapije lijekom </w:t>
      </w:r>
      <w:r w:rsidR="00693220" w:rsidRPr="00EC0535">
        <w:rPr>
          <w:bCs/>
          <w:sz w:val="22"/>
          <w:szCs w:val="22"/>
          <w:lang w:val="sr-Latn-ME"/>
        </w:rPr>
        <w:t>Erlotinib Pharmascience</w:t>
      </w:r>
      <w:r w:rsidRPr="00EC0535">
        <w:rPr>
          <w:bCs/>
          <w:sz w:val="22"/>
          <w:szCs w:val="22"/>
          <w:lang w:val="sr-Latn-ME"/>
        </w:rPr>
        <w:t xml:space="preserve">, jer u </w:t>
      </w:r>
      <w:r w:rsidR="00DC1C09" w:rsidRPr="00EC0535">
        <w:rPr>
          <w:bCs/>
          <w:sz w:val="22"/>
          <w:szCs w:val="22"/>
          <w:lang w:val="sr-Latn-ME"/>
        </w:rPr>
        <w:t xml:space="preserve">suprotnom </w:t>
      </w:r>
      <w:r w:rsidRPr="00EC0535">
        <w:rPr>
          <w:bCs/>
          <w:sz w:val="22"/>
          <w:szCs w:val="22"/>
          <w:lang w:val="sr-Latn-ME"/>
        </w:rPr>
        <w:t xml:space="preserve">može doći do smanjenja koncentracija erlotiniba u plazmi. Prema podacima iz studije CURRENTS, nije bilo dokaza da je korist liječenja kod aktivnih pušača veća prilikom primjene veće doze erlotiniba (300 mg) nego prilikom primjene preporučene doze od 150 mg. Podaci o bezbjednosti za doze od 300 mg i 150 mg bili su uporedivi, međutim, kod pacijenata koji su primali veću dozu erlotiniba zabilježeno je brojčano povećanje incidencije osipa, </w:t>
      </w:r>
      <w:r w:rsidR="00DC1C09" w:rsidRPr="00EC0535">
        <w:rPr>
          <w:bCs/>
          <w:sz w:val="22"/>
          <w:szCs w:val="22"/>
          <w:lang w:val="sr-Latn-ME"/>
        </w:rPr>
        <w:t xml:space="preserve">intersticijalne </w:t>
      </w:r>
      <w:r w:rsidRPr="00EC0535">
        <w:rPr>
          <w:bCs/>
          <w:sz w:val="22"/>
          <w:szCs w:val="22"/>
          <w:lang w:val="sr-Latn-ME"/>
        </w:rPr>
        <w:t xml:space="preserve">bolesti pluća i dijareje (vidjeti </w:t>
      </w:r>
      <w:r w:rsidR="00DC1C09" w:rsidRPr="00EC0535">
        <w:rPr>
          <w:bCs/>
          <w:sz w:val="22"/>
          <w:szCs w:val="22"/>
          <w:lang w:val="sr-Latn-ME"/>
        </w:rPr>
        <w:t xml:space="preserve">djelove </w:t>
      </w:r>
      <w:r w:rsidRPr="00EC0535">
        <w:rPr>
          <w:bCs/>
          <w:sz w:val="22"/>
          <w:szCs w:val="22"/>
          <w:lang w:val="sr-Latn-ME"/>
        </w:rPr>
        <w:t>4.2, 4.4, 5.1 i 5.2).</w:t>
      </w:r>
    </w:p>
    <w:p w:rsidR="00E308EE" w:rsidRPr="00EC0535" w:rsidRDefault="00E308EE" w:rsidP="0020077A">
      <w:pPr>
        <w:tabs>
          <w:tab w:val="left" w:pos="540"/>
          <w:tab w:val="left" w:pos="569"/>
        </w:tabs>
        <w:jc w:val="both"/>
        <w:rPr>
          <w:bCs/>
          <w:sz w:val="22"/>
          <w:szCs w:val="22"/>
          <w:lang w:val="sr-Latn-ME"/>
        </w:rPr>
      </w:pPr>
    </w:p>
    <w:p w:rsidR="00E308EE" w:rsidRPr="00EC0535" w:rsidRDefault="00E308EE" w:rsidP="00E308EE">
      <w:pPr>
        <w:tabs>
          <w:tab w:val="left" w:pos="540"/>
          <w:tab w:val="left" w:pos="569"/>
        </w:tabs>
        <w:jc w:val="both"/>
        <w:rPr>
          <w:bCs/>
          <w:sz w:val="22"/>
          <w:szCs w:val="22"/>
          <w:u w:val="single"/>
          <w:lang w:val="sr-Latn-ME"/>
        </w:rPr>
      </w:pPr>
      <w:r w:rsidRPr="00EC0535">
        <w:rPr>
          <w:bCs/>
          <w:sz w:val="22"/>
          <w:szCs w:val="22"/>
          <w:u w:val="single"/>
          <w:lang w:val="sr-Latn-ME"/>
        </w:rPr>
        <w:t xml:space="preserve">Erlotinib i inhibitori P-glikoproteina </w:t>
      </w:r>
    </w:p>
    <w:p w:rsidR="00E308EE" w:rsidRPr="00EC0535" w:rsidRDefault="00E308EE" w:rsidP="00E308EE">
      <w:pPr>
        <w:tabs>
          <w:tab w:val="left" w:pos="540"/>
          <w:tab w:val="left" w:pos="569"/>
        </w:tabs>
        <w:jc w:val="both"/>
        <w:rPr>
          <w:bCs/>
          <w:sz w:val="22"/>
          <w:szCs w:val="22"/>
          <w:lang w:val="sr-Latn-ME"/>
        </w:rPr>
      </w:pPr>
    </w:p>
    <w:p w:rsidR="00E308EE" w:rsidRPr="00EC0535" w:rsidRDefault="00E308EE" w:rsidP="00E308EE">
      <w:pPr>
        <w:tabs>
          <w:tab w:val="left" w:pos="540"/>
          <w:tab w:val="left" w:pos="569"/>
        </w:tabs>
        <w:jc w:val="both"/>
        <w:rPr>
          <w:bCs/>
          <w:sz w:val="22"/>
          <w:szCs w:val="22"/>
          <w:lang w:val="sr-Latn-ME"/>
        </w:rPr>
      </w:pPr>
      <w:r w:rsidRPr="00EC0535">
        <w:rPr>
          <w:bCs/>
          <w:sz w:val="22"/>
          <w:szCs w:val="22"/>
          <w:lang w:val="sr-Latn-ME"/>
        </w:rPr>
        <w:t>Erlotinib je supstrat za P-glikoprotein, nosač za aktivne supstance. Istovremena primjena inhibitora Pgp, npr. ciklosporina i verapamila, može da dovede do izmijenjene distribucije i/ili izmijenjene eliminacije erlotiniba. Posljedice ove interakcije za npr. CNS toksičnost nijesu utvrđene. U svim ovim situacijama potreban je oprez.</w:t>
      </w:r>
    </w:p>
    <w:p w:rsidR="00E308EE" w:rsidRPr="00EC0535" w:rsidRDefault="00E308EE" w:rsidP="00E308EE">
      <w:pPr>
        <w:tabs>
          <w:tab w:val="left" w:pos="540"/>
          <w:tab w:val="left" w:pos="569"/>
        </w:tabs>
        <w:jc w:val="both"/>
        <w:rPr>
          <w:bCs/>
          <w:sz w:val="22"/>
          <w:szCs w:val="22"/>
          <w:lang w:val="sr-Latn-ME"/>
        </w:rPr>
      </w:pPr>
    </w:p>
    <w:p w:rsidR="00E308EE" w:rsidRPr="00EC0535" w:rsidRDefault="00E308EE" w:rsidP="00E308EE">
      <w:pPr>
        <w:tabs>
          <w:tab w:val="left" w:pos="540"/>
          <w:tab w:val="left" w:pos="569"/>
        </w:tabs>
        <w:jc w:val="both"/>
        <w:rPr>
          <w:bCs/>
          <w:sz w:val="22"/>
          <w:szCs w:val="22"/>
          <w:u w:val="single"/>
          <w:lang w:val="sr-Latn-ME"/>
        </w:rPr>
      </w:pPr>
      <w:r w:rsidRPr="00EC0535">
        <w:rPr>
          <w:bCs/>
          <w:sz w:val="22"/>
          <w:szCs w:val="22"/>
          <w:u w:val="single"/>
          <w:lang w:val="sr-Latn-ME"/>
        </w:rPr>
        <w:t xml:space="preserve">Erlotinib i ljekovi koji mijenjaju pH </w:t>
      </w:r>
    </w:p>
    <w:p w:rsidR="00E308EE" w:rsidRPr="00EC0535" w:rsidRDefault="00E308EE" w:rsidP="00E308EE">
      <w:pPr>
        <w:tabs>
          <w:tab w:val="left" w:pos="540"/>
          <w:tab w:val="left" w:pos="569"/>
        </w:tabs>
        <w:jc w:val="both"/>
        <w:rPr>
          <w:bCs/>
          <w:sz w:val="22"/>
          <w:szCs w:val="22"/>
          <w:lang w:val="sr-Latn-ME"/>
        </w:rPr>
      </w:pPr>
    </w:p>
    <w:p w:rsidR="00E308EE" w:rsidRPr="00EC0535" w:rsidRDefault="00E308EE" w:rsidP="00E308EE">
      <w:pPr>
        <w:tabs>
          <w:tab w:val="left" w:pos="540"/>
          <w:tab w:val="left" w:pos="569"/>
        </w:tabs>
        <w:jc w:val="both"/>
        <w:rPr>
          <w:bCs/>
          <w:sz w:val="22"/>
          <w:szCs w:val="22"/>
          <w:lang w:val="sr-Latn-ME"/>
        </w:rPr>
      </w:pPr>
      <w:r w:rsidRPr="00EC0535">
        <w:rPr>
          <w:bCs/>
          <w:sz w:val="22"/>
          <w:szCs w:val="22"/>
          <w:lang w:val="sr-Latn-ME"/>
        </w:rPr>
        <w:t>Karakteristika erlotiniba je smanjena rastvorljivost pri vrijednostima pH iznad 5. Stoga, ljekovi koji mijenjaju pH vrijednost u gornjem dijelu gastrointestinalnog trakta (GIT) mogu promijeniti rastvorljivost erlotiniba i time njegovu biološku raspoloživost. Istovremena primjena erlotiniba i omeprazola, inhibitora protonske pumpe (PPI), smanjuje izloženost erlotinibu [PIK] i maksimalnu koncentraciju [C</w:t>
      </w:r>
      <w:r w:rsidRPr="00EC0535">
        <w:rPr>
          <w:bCs/>
          <w:sz w:val="22"/>
          <w:szCs w:val="22"/>
          <w:vertAlign w:val="subscript"/>
          <w:lang w:val="sr-Latn-ME"/>
        </w:rPr>
        <w:t>max</w:t>
      </w:r>
      <w:r w:rsidRPr="00EC0535">
        <w:rPr>
          <w:bCs/>
          <w:sz w:val="22"/>
          <w:szCs w:val="22"/>
          <w:lang w:val="sr-Latn-ME"/>
        </w:rPr>
        <w:t>] za 46% odnosno za 61%. Nije bilo promjene u T</w:t>
      </w:r>
      <w:r w:rsidRPr="00EC0535">
        <w:rPr>
          <w:bCs/>
          <w:sz w:val="22"/>
          <w:szCs w:val="22"/>
          <w:vertAlign w:val="subscript"/>
          <w:lang w:val="sr-Latn-ME"/>
        </w:rPr>
        <w:t>max</w:t>
      </w:r>
      <w:r w:rsidRPr="00EC0535">
        <w:rPr>
          <w:bCs/>
          <w:sz w:val="22"/>
          <w:szCs w:val="22"/>
          <w:lang w:val="sr-Latn-ME"/>
        </w:rPr>
        <w:t xml:space="preserve"> ili poluvremenu eliminacije. Istovremena primjena </w:t>
      </w:r>
      <w:r w:rsidR="00A53808" w:rsidRPr="00EC0535">
        <w:rPr>
          <w:bCs/>
          <w:sz w:val="22"/>
          <w:szCs w:val="22"/>
          <w:lang w:val="sr-Latn-ME"/>
        </w:rPr>
        <w:t>erlotiniba</w:t>
      </w:r>
      <w:r w:rsidRPr="00EC0535">
        <w:rPr>
          <w:bCs/>
          <w:sz w:val="22"/>
          <w:szCs w:val="22"/>
          <w:lang w:val="sr-Latn-ME"/>
        </w:rPr>
        <w:t xml:space="preserve"> sa 300 mg ranitidina, antagoniste H2 receptora, smanjila je izloženost erlotinibu [PIK] i maksimalnu koncentraciju [C</w:t>
      </w:r>
      <w:r w:rsidRPr="00EC0535">
        <w:rPr>
          <w:bCs/>
          <w:sz w:val="22"/>
          <w:szCs w:val="22"/>
          <w:vertAlign w:val="subscript"/>
          <w:lang w:val="sr-Latn-ME"/>
        </w:rPr>
        <w:t>max</w:t>
      </w:r>
      <w:r w:rsidRPr="00EC0535">
        <w:rPr>
          <w:bCs/>
          <w:sz w:val="22"/>
          <w:szCs w:val="22"/>
          <w:lang w:val="sr-Latn-ME"/>
        </w:rPr>
        <w:t xml:space="preserve">] za 33% odnosno za 54%. Povećanje doze lijeka </w:t>
      </w:r>
      <w:r w:rsidR="00693220" w:rsidRPr="00EC0535">
        <w:rPr>
          <w:bCs/>
          <w:sz w:val="22"/>
          <w:szCs w:val="22"/>
          <w:lang w:val="sr-Latn-ME"/>
        </w:rPr>
        <w:t>Erlotinib Pharmascience</w:t>
      </w:r>
      <w:r w:rsidRPr="00EC0535">
        <w:rPr>
          <w:bCs/>
          <w:sz w:val="22"/>
          <w:szCs w:val="22"/>
          <w:lang w:val="sr-Latn-ME"/>
        </w:rPr>
        <w:t xml:space="preserve"> prilikom istovremene primjene sa ovim ljekovima vjerovatno neće nadoknaditi gubitak izloženosti lijeku. Međutim, kada </w:t>
      </w:r>
      <w:r w:rsidR="00A53808" w:rsidRPr="00EC0535">
        <w:rPr>
          <w:bCs/>
          <w:sz w:val="22"/>
          <w:szCs w:val="22"/>
          <w:lang w:val="sr-Latn-ME"/>
        </w:rPr>
        <w:t xml:space="preserve">su </w:t>
      </w:r>
      <w:r w:rsidRPr="00EC0535">
        <w:rPr>
          <w:bCs/>
          <w:sz w:val="22"/>
          <w:szCs w:val="22"/>
          <w:lang w:val="sr-Latn-ME"/>
        </w:rPr>
        <w:t xml:space="preserve">doze </w:t>
      </w:r>
      <w:r w:rsidR="00A53808" w:rsidRPr="00EC0535">
        <w:rPr>
          <w:bCs/>
          <w:sz w:val="22"/>
          <w:szCs w:val="22"/>
          <w:lang w:val="sr-Latn-ME"/>
        </w:rPr>
        <w:t xml:space="preserve">bile raspoređene </w:t>
      </w:r>
      <w:r w:rsidRPr="00EC0535">
        <w:rPr>
          <w:bCs/>
          <w:sz w:val="22"/>
          <w:szCs w:val="22"/>
          <w:lang w:val="sr-Latn-ME"/>
        </w:rPr>
        <w:t xml:space="preserve">tako da se </w:t>
      </w:r>
      <w:r w:rsidR="00A53808" w:rsidRPr="00EC0535">
        <w:rPr>
          <w:bCs/>
          <w:sz w:val="22"/>
          <w:szCs w:val="22"/>
          <w:lang w:val="sr-Latn-ME"/>
        </w:rPr>
        <w:t xml:space="preserve">erlotinib </w:t>
      </w:r>
      <w:r w:rsidRPr="00EC0535">
        <w:rPr>
          <w:bCs/>
          <w:sz w:val="22"/>
          <w:szCs w:val="22"/>
          <w:lang w:val="sr-Latn-ME"/>
        </w:rPr>
        <w:t xml:space="preserve">primjenjuje 2 sata prije ili 10 sati nakon ranitidina, koji se </w:t>
      </w:r>
      <w:r w:rsidR="00A53808" w:rsidRPr="00EC0535">
        <w:rPr>
          <w:bCs/>
          <w:sz w:val="22"/>
          <w:szCs w:val="22"/>
          <w:lang w:val="sr-Latn-ME"/>
        </w:rPr>
        <w:t xml:space="preserve">davao </w:t>
      </w:r>
      <w:r w:rsidRPr="00EC0535">
        <w:rPr>
          <w:bCs/>
          <w:sz w:val="22"/>
          <w:szCs w:val="22"/>
          <w:lang w:val="sr-Latn-ME"/>
        </w:rPr>
        <w:t xml:space="preserve">dva puta dnevno u dozi do 150 mg, izloženost erlotinibu [PIK] i </w:t>
      </w:r>
      <w:r w:rsidR="00A53808" w:rsidRPr="00EC0535">
        <w:rPr>
          <w:bCs/>
          <w:sz w:val="22"/>
          <w:szCs w:val="22"/>
          <w:lang w:val="sr-Latn-ME"/>
        </w:rPr>
        <w:t xml:space="preserve">maksimalna koncentracija </w:t>
      </w:r>
      <w:r w:rsidRPr="00EC0535">
        <w:rPr>
          <w:bCs/>
          <w:sz w:val="22"/>
          <w:szCs w:val="22"/>
          <w:lang w:val="sr-Latn-ME"/>
        </w:rPr>
        <w:t>[C</w:t>
      </w:r>
      <w:r w:rsidRPr="00EC0535">
        <w:rPr>
          <w:bCs/>
          <w:sz w:val="22"/>
          <w:szCs w:val="22"/>
          <w:vertAlign w:val="subscript"/>
          <w:lang w:val="sr-Latn-ME"/>
        </w:rPr>
        <w:t>ma</w:t>
      </w:r>
      <w:r w:rsidRPr="00EC0535">
        <w:rPr>
          <w:bCs/>
          <w:sz w:val="22"/>
          <w:szCs w:val="22"/>
          <w:lang w:val="sr-Latn-ME"/>
        </w:rPr>
        <w:t>x] smanjene su samo za 15% odnosno za 17%. Efekat antacida na resorpciju erlotiniba nije ispitivan</w:t>
      </w:r>
      <w:r w:rsidR="00A53808" w:rsidRPr="00EC0535">
        <w:rPr>
          <w:bCs/>
          <w:sz w:val="22"/>
          <w:szCs w:val="22"/>
          <w:lang w:val="sr-Latn-ME"/>
        </w:rPr>
        <w:t>,</w:t>
      </w:r>
      <w:r w:rsidRPr="00EC0535">
        <w:rPr>
          <w:bCs/>
          <w:sz w:val="22"/>
          <w:szCs w:val="22"/>
          <w:lang w:val="sr-Latn-ME"/>
        </w:rPr>
        <w:t xml:space="preserve"> ali resorpcija može biti narušena, što dovodi do nižih nivoa u plazmi. Kombinacija erlotiniba i inhibitora protonske pumpe treba da se izbjegava. Ukoliko je primjena antacida neophodna tokom terapije lijekom </w:t>
      </w:r>
      <w:r w:rsidR="00693220" w:rsidRPr="00EC0535">
        <w:rPr>
          <w:bCs/>
          <w:sz w:val="22"/>
          <w:szCs w:val="22"/>
          <w:lang w:val="sr-Latn-ME"/>
        </w:rPr>
        <w:t>Erlotinib Pharmascience</w:t>
      </w:r>
      <w:r w:rsidRPr="00EC0535">
        <w:rPr>
          <w:bCs/>
          <w:sz w:val="22"/>
          <w:szCs w:val="22"/>
          <w:lang w:val="sr-Latn-ME"/>
        </w:rPr>
        <w:t xml:space="preserve">, treba ih uzeti najmanje 4 sata prije ili 2 sata nakon dnevne doze lijeka </w:t>
      </w:r>
      <w:r w:rsidR="00693220" w:rsidRPr="00EC0535">
        <w:rPr>
          <w:bCs/>
          <w:sz w:val="22"/>
          <w:szCs w:val="22"/>
          <w:lang w:val="sr-Latn-ME"/>
        </w:rPr>
        <w:t>Erlotinib Pharmascience</w:t>
      </w:r>
      <w:r w:rsidRPr="00EC0535">
        <w:rPr>
          <w:bCs/>
          <w:sz w:val="22"/>
          <w:szCs w:val="22"/>
          <w:lang w:val="sr-Latn-ME"/>
        </w:rPr>
        <w:t>. Ukoliko se razmatra upotreba ranitidina, treba rasporediti doziranje</w:t>
      </w:r>
      <w:r w:rsidR="00A53808" w:rsidRPr="00EC0535">
        <w:rPr>
          <w:bCs/>
          <w:sz w:val="22"/>
          <w:szCs w:val="22"/>
          <w:lang w:val="sr-Latn-ME"/>
        </w:rPr>
        <w:t>;</w:t>
      </w:r>
      <w:r w:rsidRPr="00EC0535">
        <w:rPr>
          <w:bCs/>
          <w:sz w:val="22"/>
          <w:szCs w:val="22"/>
          <w:lang w:val="sr-Latn-ME"/>
        </w:rPr>
        <w:t xml:space="preserve"> lijek </w:t>
      </w:r>
      <w:r w:rsidR="00693220" w:rsidRPr="00EC0535">
        <w:rPr>
          <w:bCs/>
          <w:sz w:val="22"/>
          <w:szCs w:val="22"/>
          <w:lang w:val="sr-Latn-ME"/>
        </w:rPr>
        <w:t>Erlotinib Pharmascience</w:t>
      </w:r>
      <w:r w:rsidRPr="00EC0535">
        <w:rPr>
          <w:bCs/>
          <w:sz w:val="22"/>
          <w:szCs w:val="22"/>
          <w:lang w:val="sr-Latn-ME"/>
        </w:rPr>
        <w:t xml:space="preserve"> </w:t>
      </w:r>
      <w:r w:rsidR="00A53808" w:rsidRPr="00EC0535">
        <w:rPr>
          <w:bCs/>
          <w:sz w:val="22"/>
          <w:szCs w:val="22"/>
          <w:lang w:val="sr-Latn-ME"/>
        </w:rPr>
        <w:t xml:space="preserve">mora da se uzme </w:t>
      </w:r>
      <w:r w:rsidRPr="00EC0535">
        <w:rPr>
          <w:bCs/>
          <w:sz w:val="22"/>
          <w:szCs w:val="22"/>
          <w:lang w:val="sr-Latn-ME"/>
        </w:rPr>
        <w:t xml:space="preserve">najmanje 2 sata prije ili 10 sati nakon doze ranitidina. </w:t>
      </w:r>
    </w:p>
    <w:p w:rsidR="00E308EE" w:rsidRPr="00EC0535" w:rsidRDefault="00E308EE" w:rsidP="00E308EE">
      <w:pPr>
        <w:tabs>
          <w:tab w:val="left" w:pos="540"/>
          <w:tab w:val="left" w:pos="569"/>
        </w:tabs>
        <w:rPr>
          <w:bCs/>
          <w:sz w:val="22"/>
          <w:szCs w:val="22"/>
          <w:lang w:val="sr-Latn-ME"/>
        </w:rPr>
      </w:pPr>
    </w:p>
    <w:p w:rsidR="00E308EE" w:rsidRPr="00EC0535" w:rsidRDefault="00E308EE" w:rsidP="00E308EE">
      <w:pPr>
        <w:tabs>
          <w:tab w:val="left" w:pos="540"/>
          <w:tab w:val="left" w:pos="569"/>
        </w:tabs>
        <w:jc w:val="both"/>
        <w:rPr>
          <w:bCs/>
          <w:sz w:val="22"/>
          <w:szCs w:val="22"/>
          <w:u w:val="single"/>
          <w:lang w:val="sr-Latn-ME"/>
        </w:rPr>
      </w:pPr>
      <w:r w:rsidRPr="00EC0535">
        <w:rPr>
          <w:bCs/>
          <w:sz w:val="22"/>
          <w:szCs w:val="22"/>
          <w:u w:val="single"/>
          <w:lang w:val="sr-Latn-ME"/>
        </w:rPr>
        <w:t xml:space="preserve">Erlotinib i gemcitabin </w:t>
      </w:r>
    </w:p>
    <w:p w:rsidR="00E308EE" w:rsidRPr="00EC0535" w:rsidRDefault="00E308EE" w:rsidP="00E308EE">
      <w:pPr>
        <w:tabs>
          <w:tab w:val="left" w:pos="540"/>
          <w:tab w:val="left" w:pos="569"/>
        </w:tabs>
        <w:jc w:val="both"/>
        <w:rPr>
          <w:bCs/>
          <w:sz w:val="22"/>
          <w:szCs w:val="22"/>
          <w:lang w:val="sr-Latn-ME"/>
        </w:rPr>
      </w:pPr>
    </w:p>
    <w:p w:rsidR="00E308EE" w:rsidRPr="00EC0535" w:rsidRDefault="00E308EE" w:rsidP="00E308EE">
      <w:pPr>
        <w:tabs>
          <w:tab w:val="left" w:pos="540"/>
          <w:tab w:val="left" w:pos="569"/>
        </w:tabs>
        <w:jc w:val="both"/>
        <w:rPr>
          <w:bCs/>
          <w:sz w:val="22"/>
          <w:szCs w:val="22"/>
          <w:lang w:val="sr-Latn-ME"/>
        </w:rPr>
      </w:pPr>
      <w:r w:rsidRPr="00EC0535">
        <w:rPr>
          <w:bCs/>
          <w:sz w:val="22"/>
          <w:szCs w:val="22"/>
          <w:lang w:val="sr-Latn-ME"/>
        </w:rPr>
        <w:t>U jednoj studiji faze Ib, nije bilo značajnih dejstava gemcitabina na farmakokinetiku erlotiniba, niti je bilo značajnih dejstava erlotiniba na farmakokinetiku gemcitabina.</w:t>
      </w:r>
    </w:p>
    <w:p w:rsidR="00E308EE" w:rsidRPr="00EC0535" w:rsidRDefault="00E308EE" w:rsidP="00E308EE">
      <w:pPr>
        <w:tabs>
          <w:tab w:val="left" w:pos="540"/>
          <w:tab w:val="left" w:pos="569"/>
        </w:tabs>
        <w:jc w:val="both"/>
        <w:rPr>
          <w:bCs/>
          <w:sz w:val="22"/>
          <w:szCs w:val="22"/>
          <w:u w:val="single"/>
          <w:lang w:val="sr-Latn-ME"/>
        </w:rPr>
      </w:pPr>
    </w:p>
    <w:p w:rsidR="00E308EE" w:rsidRPr="00EC0535" w:rsidRDefault="00E308EE" w:rsidP="00E308EE">
      <w:pPr>
        <w:tabs>
          <w:tab w:val="left" w:pos="540"/>
          <w:tab w:val="left" w:pos="569"/>
        </w:tabs>
        <w:jc w:val="both"/>
        <w:rPr>
          <w:bCs/>
          <w:sz w:val="22"/>
          <w:szCs w:val="22"/>
          <w:u w:val="single"/>
          <w:lang w:val="sr-Latn-ME"/>
        </w:rPr>
      </w:pPr>
      <w:r w:rsidRPr="00EC0535">
        <w:rPr>
          <w:bCs/>
          <w:sz w:val="22"/>
          <w:szCs w:val="22"/>
          <w:u w:val="single"/>
          <w:lang w:val="sr-Latn-ME"/>
        </w:rPr>
        <w:t xml:space="preserve">Erlotinib i karboplatin/paklitaksel </w:t>
      </w:r>
    </w:p>
    <w:p w:rsidR="00E308EE" w:rsidRPr="00EC0535" w:rsidRDefault="00E308EE" w:rsidP="00E308EE">
      <w:pPr>
        <w:tabs>
          <w:tab w:val="left" w:pos="540"/>
          <w:tab w:val="left" w:pos="569"/>
        </w:tabs>
        <w:jc w:val="both"/>
        <w:rPr>
          <w:bCs/>
          <w:sz w:val="22"/>
          <w:szCs w:val="22"/>
          <w:lang w:val="sr-Latn-ME"/>
        </w:rPr>
      </w:pPr>
    </w:p>
    <w:p w:rsidR="00E308EE" w:rsidRPr="00EC0535" w:rsidRDefault="00E308EE" w:rsidP="00E308EE">
      <w:pPr>
        <w:tabs>
          <w:tab w:val="left" w:pos="540"/>
          <w:tab w:val="left" w:pos="569"/>
        </w:tabs>
        <w:jc w:val="both"/>
        <w:rPr>
          <w:bCs/>
          <w:sz w:val="22"/>
          <w:szCs w:val="22"/>
          <w:lang w:val="sr-Latn-ME"/>
        </w:rPr>
      </w:pPr>
      <w:r w:rsidRPr="00EC0535">
        <w:rPr>
          <w:bCs/>
          <w:sz w:val="22"/>
          <w:szCs w:val="22"/>
          <w:lang w:val="sr-Latn-ME"/>
        </w:rPr>
        <w:t>Erlotinib povećava koncentraciju platine. U kliničkoj studiji, istovremena upotreba erlotiniba sa karboplatinom i paklitakselom dovela je do povećanja ukupnog PIK</w:t>
      </w:r>
      <w:r w:rsidRPr="00A728E1">
        <w:rPr>
          <w:bCs/>
          <w:sz w:val="22"/>
          <w:szCs w:val="22"/>
          <w:vertAlign w:val="subscript"/>
          <w:lang w:val="sr-Latn-ME"/>
        </w:rPr>
        <w:t>0-48</w:t>
      </w:r>
      <w:r w:rsidRPr="00EC0535">
        <w:rPr>
          <w:bCs/>
          <w:sz w:val="22"/>
          <w:szCs w:val="22"/>
          <w:lang w:val="sr-Latn-ME"/>
        </w:rPr>
        <w:t xml:space="preserve"> platine za 10,6%. Iako statistički značajna, ova razlika nije smatrana klinički značajnom. U kliničkoj praksi, moguće je da postoje drugi kofaktori koji dovode do povećanja izloženosti karboplatinu</w:t>
      </w:r>
      <w:r w:rsidR="00EB6830" w:rsidRPr="00EC0535">
        <w:rPr>
          <w:bCs/>
          <w:sz w:val="22"/>
          <w:szCs w:val="22"/>
          <w:lang w:val="sr-Latn-ME"/>
        </w:rPr>
        <w:t>,</w:t>
      </w:r>
      <w:r w:rsidRPr="00EC0535">
        <w:rPr>
          <w:bCs/>
          <w:sz w:val="22"/>
          <w:szCs w:val="22"/>
          <w:lang w:val="sr-Latn-ME"/>
        </w:rPr>
        <w:t xml:space="preserve"> kao što je oštećenje funkcije bubrega. Nije bilo značajnih efekata karboplatina ili paklitaksela na farmakokinetiku erlotiniba. </w:t>
      </w:r>
    </w:p>
    <w:p w:rsidR="00E308EE" w:rsidRPr="00EC0535" w:rsidRDefault="00E308EE" w:rsidP="00E308EE">
      <w:pPr>
        <w:tabs>
          <w:tab w:val="left" w:pos="540"/>
          <w:tab w:val="left" w:pos="569"/>
        </w:tabs>
        <w:jc w:val="both"/>
        <w:rPr>
          <w:bCs/>
          <w:color w:val="FF0000"/>
          <w:sz w:val="22"/>
          <w:szCs w:val="22"/>
          <w:u w:val="single"/>
          <w:lang w:val="sr-Latn-ME"/>
        </w:rPr>
      </w:pPr>
    </w:p>
    <w:p w:rsidR="00E308EE" w:rsidRPr="00EC0535" w:rsidRDefault="00E308EE" w:rsidP="00E308EE">
      <w:pPr>
        <w:tabs>
          <w:tab w:val="left" w:pos="540"/>
          <w:tab w:val="left" w:pos="569"/>
        </w:tabs>
        <w:jc w:val="both"/>
        <w:rPr>
          <w:bCs/>
          <w:sz w:val="22"/>
          <w:szCs w:val="22"/>
          <w:u w:val="single"/>
          <w:lang w:val="sr-Latn-ME"/>
        </w:rPr>
      </w:pPr>
      <w:r w:rsidRPr="00EC0535">
        <w:rPr>
          <w:bCs/>
          <w:sz w:val="22"/>
          <w:szCs w:val="22"/>
          <w:u w:val="single"/>
          <w:lang w:val="sr-Latn-ME"/>
        </w:rPr>
        <w:t xml:space="preserve">Erlotinib i kapecitabin </w:t>
      </w:r>
    </w:p>
    <w:p w:rsidR="00E308EE" w:rsidRPr="00EC0535" w:rsidRDefault="00E308EE" w:rsidP="00E308EE">
      <w:pPr>
        <w:tabs>
          <w:tab w:val="left" w:pos="540"/>
          <w:tab w:val="left" w:pos="569"/>
        </w:tabs>
        <w:jc w:val="both"/>
        <w:rPr>
          <w:bCs/>
          <w:sz w:val="22"/>
          <w:szCs w:val="22"/>
          <w:lang w:val="sr-Latn-ME"/>
        </w:rPr>
      </w:pPr>
    </w:p>
    <w:p w:rsidR="00E308EE" w:rsidRPr="00EC0535" w:rsidRDefault="00E308EE" w:rsidP="00E308EE">
      <w:pPr>
        <w:tabs>
          <w:tab w:val="left" w:pos="540"/>
          <w:tab w:val="left" w:pos="569"/>
        </w:tabs>
        <w:jc w:val="both"/>
        <w:rPr>
          <w:bCs/>
          <w:sz w:val="22"/>
          <w:szCs w:val="22"/>
          <w:lang w:val="sr-Latn-ME"/>
        </w:rPr>
      </w:pPr>
      <w:r w:rsidRPr="00EC0535">
        <w:rPr>
          <w:bCs/>
          <w:sz w:val="22"/>
          <w:szCs w:val="22"/>
          <w:lang w:val="sr-Latn-ME"/>
        </w:rPr>
        <w:t>Kapecitabin može da poveća koncentraciju erlotiniba. Kada je erlotinib dat u kombinaciji sa kapecitabinom, došlo je do statistički značajnog povećanja PIK-a erlotiniba i graničnog povećanja u C</w:t>
      </w:r>
      <w:r w:rsidRPr="00EC0535">
        <w:rPr>
          <w:bCs/>
          <w:sz w:val="22"/>
          <w:szCs w:val="22"/>
          <w:vertAlign w:val="subscript"/>
          <w:lang w:val="sr-Latn-ME"/>
        </w:rPr>
        <w:t>max</w:t>
      </w:r>
      <w:r w:rsidRPr="00EC0535">
        <w:rPr>
          <w:bCs/>
          <w:sz w:val="22"/>
          <w:szCs w:val="22"/>
          <w:lang w:val="sr-Latn-ME"/>
        </w:rPr>
        <w:t xml:space="preserve"> u poređenju sa vrijednostima uočenim u drugoj studiji gd</w:t>
      </w:r>
      <w:r w:rsidR="0051478D" w:rsidRPr="00EC0535">
        <w:rPr>
          <w:bCs/>
          <w:sz w:val="22"/>
          <w:szCs w:val="22"/>
          <w:lang w:val="sr-Latn-ME"/>
        </w:rPr>
        <w:t>j</w:t>
      </w:r>
      <w:r w:rsidRPr="00EC0535">
        <w:rPr>
          <w:bCs/>
          <w:sz w:val="22"/>
          <w:szCs w:val="22"/>
          <w:lang w:val="sr-Latn-ME"/>
        </w:rPr>
        <w:t xml:space="preserve">e je erlotinib primjenjivan samostalno. Nije bilo značajnog uticaja erlotiniba na farmakokinetiku kapecitabina. </w:t>
      </w:r>
    </w:p>
    <w:p w:rsidR="00E308EE" w:rsidRPr="00EC0535" w:rsidRDefault="00E308EE" w:rsidP="00E308EE">
      <w:pPr>
        <w:tabs>
          <w:tab w:val="left" w:pos="540"/>
          <w:tab w:val="left" w:pos="569"/>
        </w:tabs>
        <w:jc w:val="both"/>
        <w:rPr>
          <w:bCs/>
          <w:sz w:val="22"/>
          <w:szCs w:val="22"/>
          <w:u w:val="single"/>
          <w:lang w:val="sr-Latn-ME"/>
        </w:rPr>
      </w:pPr>
    </w:p>
    <w:p w:rsidR="00E308EE" w:rsidRPr="00EC0535" w:rsidRDefault="00E308EE" w:rsidP="00E308EE">
      <w:pPr>
        <w:tabs>
          <w:tab w:val="left" w:pos="540"/>
          <w:tab w:val="left" w:pos="569"/>
        </w:tabs>
        <w:jc w:val="both"/>
        <w:rPr>
          <w:bCs/>
          <w:sz w:val="22"/>
          <w:szCs w:val="22"/>
          <w:u w:val="single"/>
          <w:lang w:val="sr-Latn-ME"/>
        </w:rPr>
      </w:pPr>
      <w:r w:rsidRPr="00EC0535">
        <w:rPr>
          <w:bCs/>
          <w:sz w:val="22"/>
          <w:szCs w:val="22"/>
          <w:u w:val="single"/>
          <w:lang w:val="sr-Latn-ME"/>
        </w:rPr>
        <w:t xml:space="preserve">Erlotinib i inhibitori proteazoma </w:t>
      </w:r>
    </w:p>
    <w:p w:rsidR="00E308EE" w:rsidRPr="00EC0535" w:rsidRDefault="00E308EE" w:rsidP="00E308EE">
      <w:pPr>
        <w:tabs>
          <w:tab w:val="left" w:pos="540"/>
          <w:tab w:val="left" w:pos="569"/>
        </w:tabs>
        <w:jc w:val="both"/>
        <w:rPr>
          <w:bCs/>
          <w:sz w:val="22"/>
          <w:szCs w:val="22"/>
          <w:lang w:val="sr-Latn-ME"/>
        </w:rPr>
      </w:pPr>
    </w:p>
    <w:p w:rsidR="00D10EC0" w:rsidRPr="00EC0535" w:rsidRDefault="00D10EC0" w:rsidP="00A728E1">
      <w:pPr>
        <w:jc w:val="both"/>
        <w:rPr>
          <w:bCs/>
          <w:sz w:val="22"/>
          <w:szCs w:val="22"/>
          <w:lang w:val="sr-Latn-ME"/>
        </w:rPr>
      </w:pPr>
      <w:r w:rsidRPr="00EC0535">
        <w:rPr>
          <w:bCs/>
          <w:sz w:val="22"/>
          <w:szCs w:val="22"/>
          <w:lang w:val="sr-Latn-ME"/>
        </w:rPr>
        <w:t>Može se očekivati da inhibitori proteazoma, uključujući bortezomib, zbog svog mehanizma dejstva utiču na efekte inhibitora EGFR</w:t>
      </w:r>
      <w:r w:rsidR="008550C0" w:rsidRPr="00EC0535">
        <w:rPr>
          <w:bCs/>
          <w:sz w:val="22"/>
          <w:szCs w:val="22"/>
          <w:lang w:val="sr-Latn-ME"/>
        </w:rPr>
        <w:t>,</w:t>
      </w:r>
      <w:r w:rsidRPr="00EC0535">
        <w:rPr>
          <w:bCs/>
          <w:sz w:val="22"/>
          <w:szCs w:val="22"/>
          <w:lang w:val="sr-Latn-ME"/>
        </w:rPr>
        <w:t xml:space="preserve"> uključujući erlotinib. Ovakav uticaj podržavaju ograničeni klinički podaci i pretklinička ispitivanja koja pokazuju degradaciju EGFR preko proteazoma.</w:t>
      </w:r>
    </w:p>
    <w:p w:rsidR="00D10EC0" w:rsidRPr="00EC0535" w:rsidRDefault="00D10EC0" w:rsidP="00480FB1">
      <w:pPr>
        <w:tabs>
          <w:tab w:val="left" w:pos="540"/>
          <w:tab w:val="left" w:pos="569"/>
        </w:tabs>
        <w:rPr>
          <w:bCs/>
          <w:sz w:val="22"/>
          <w:szCs w:val="22"/>
          <w:lang w:val="sr-Latn-ME"/>
        </w:rPr>
      </w:pPr>
    </w:p>
    <w:p w:rsidR="0072020E" w:rsidRPr="00EC0535" w:rsidRDefault="0072020E" w:rsidP="00480FB1">
      <w:pPr>
        <w:tabs>
          <w:tab w:val="left" w:pos="540"/>
          <w:tab w:val="left" w:pos="569"/>
        </w:tabs>
        <w:rPr>
          <w:b/>
          <w:sz w:val="22"/>
          <w:szCs w:val="22"/>
          <w:lang w:val="sr-Latn-ME"/>
        </w:rPr>
      </w:pPr>
      <w:r w:rsidRPr="00EC0535">
        <w:rPr>
          <w:b/>
          <w:bCs/>
          <w:sz w:val="22"/>
          <w:szCs w:val="22"/>
          <w:lang w:val="sr-Latn-ME"/>
        </w:rPr>
        <w:t xml:space="preserve">4.6. </w:t>
      </w:r>
      <w:r w:rsidR="00480FB1" w:rsidRPr="00EC0535">
        <w:rPr>
          <w:b/>
          <w:bCs/>
          <w:sz w:val="22"/>
          <w:szCs w:val="22"/>
          <w:lang w:val="sr-Latn-ME"/>
        </w:rPr>
        <w:tab/>
      </w:r>
      <w:r w:rsidR="006D20A5" w:rsidRPr="00EC0535">
        <w:rPr>
          <w:b/>
          <w:sz w:val="22"/>
          <w:szCs w:val="22"/>
          <w:lang w:val="sr-Latn-ME"/>
        </w:rPr>
        <w:t>Plodnost, trudnoća i dojenje</w:t>
      </w:r>
    </w:p>
    <w:p w:rsidR="002031B3" w:rsidRPr="00EC0535" w:rsidRDefault="002031B3" w:rsidP="00480FB1">
      <w:pPr>
        <w:tabs>
          <w:tab w:val="left" w:pos="540"/>
          <w:tab w:val="left" w:pos="569"/>
        </w:tabs>
        <w:rPr>
          <w:sz w:val="22"/>
          <w:szCs w:val="22"/>
          <w:u w:val="single"/>
          <w:lang w:val="sr-Latn-ME"/>
        </w:rPr>
      </w:pPr>
    </w:p>
    <w:p w:rsidR="00D10EC0" w:rsidRPr="00EC0535" w:rsidRDefault="00D921C5" w:rsidP="00D10EC0">
      <w:pPr>
        <w:tabs>
          <w:tab w:val="left" w:pos="540"/>
          <w:tab w:val="left" w:pos="569"/>
        </w:tabs>
        <w:jc w:val="both"/>
        <w:rPr>
          <w:bCs/>
          <w:sz w:val="22"/>
          <w:szCs w:val="22"/>
          <w:u w:val="single"/>
          <w:lang w:val="sr-Latn-ME"/>
        </w:rPr>
      </w:pPr>
      <w:r w:rsidRPr="00EC0535">
        <w:rPr>
          <w:bCs/>
          <w:sz w:val="22"/>
          <w:szCs w:val="22"/>
          <w:u w:val="single"/>
          <w:lang w:val="sr-Latn-ME"/>
        </w:rPr>
        <w:t xml:space="preserve">Plodnost </w:t>
      </w:r>
    </w:p>
    <w:p w:rsidR="00D10EC0" w:rsidRPr="00EC0535" w:rsidRDefault="00D10EC0" w:rsidP="00D10EC0">
      <w:pPr>
        <w:tabs>
          <w:tab w:val="left" w:pos="540"/>
          <w:tab w:val="left" w:pos="569"/>
        </w:tabs>
        <w:jc w:val="both"/>
        <w:rPr>
          <w:bCs/>
          <w:sz w:val="22"/>
          <w:szCs w:val="22"/>
          <w:u w:val="single"/>
          <w:lang w:val="sr-Latn-ME"/>
        </w:rPr>
      </w:pPr>
    </w:p>
    <w:p w:rsidR="00D10EC0" w:rsidRPr="00EC0535" w:rsidRDefault="00D10EC0" w:rsidP="00E308EE">
      <w:pPr>
        <w:tabs>
          <w:tab w:val="left" w:pos="540"/>
          <w:tab w:val="left" w:pos="569"/>
        </w:tabs>
        <w:jc w:val="both"/>
        <w:rPr>
          <w:bCs/>
          <w:sz w:val="22"/>
          <w:szCs w:val="22"/>
          <w:u w:val="single"/>
          <w:lang w:val="sr-Latn-ME"/>
        </w:rPr>
      </w:pPr>
      <w:r w:rsidRPr="00EC0535">
        <w:rPr>
          <w:bCs/>
          <w:sz w:val="22"/>
          <w:szCs w:val="22"/>
          <w:lang w:val="sr-Latn-ME"/>
        </w:rPr>
        <w:t>Studije na životinjama nijesu pokazale štetan uticaj na plodnost. Međutim, štetno dejstvo na plodnost se ne može isključiti</w:t>
      </w:r>
      <w:r w:rsidR="000B5074" w:rsidRPr="00EC0535">
        <w:rPr>
          <w:bCs/>
          <w:sz w:val="22"/>
          <w:szCs w:val="22"/>
          <w:lang w:val="sr-Latn-ME"/>
        </w:rPr>
        <w:t>,</w:t>
      </w:r>
      <w:r w:rsidRPr="00EC0535">
        <w:rPr>
          <w:bCs/>
          <w:sz w:val="22"/>
          <w:szCs w:val="22"/>
          <w:lang w:val="sr-Latn-ME"/>
        </w:rPr>
        <w:t xml:space="preserve"> jer su studije na životinjama pokazale uticaj na reproduktivne parametre (vidjeti </w:t>
      </w:r>
      <w:r w:rsidR="000B5074" w:rsidRPr="00EC0535">
        <w:rPr>
          <w:bCs/>
          <w:sz w:val="22"/>
          <w:szCs w:val="22"/>
          <w:lang w:val="sr-Latn-ME"/>
        </w:rPr>
        <w:t xml:space="preserve">dio </w:t>
      </w:r>
      <w:r w:rsidRPr="00EC0535">
        <w:rPr>
          <w:bCs/>
          <w:sz w:val="22"/>
          <w:szCs w:val="22"/>
          <w:lang w:val="sr-Latn-ME"/>
        </w:rPr>
        <w:t xml:space="preserve">5.3).  Potencijalni rizik za ljude nije poznat. </w:t>
      </w:r>
    </w:p>
    <w:p w:rsidR="00D10EC0" w:rsidRPr="00EC0535" w:rsidRDefault="00D10EC0" w:rsidP="00E308EE">
      <w:pPr>
        <w:tabs>
          <w:tab w:val="left" w:pos="540"/>
          <w:tab w:val="left" w:pos="569"/>
        </w:tabs>
        <w:jc w:val="both"/>
        <w:rPr>
          <w:bCs/>
          <w:sz w:val="22"/>
          <w:szCs w:val="22"/>
          <w:u w:val="single"/>
          <w:lang w:val="sr-Latn-ME"/>
        </w:rPr>
      </w:pPr>
    </w:p>
    <w:p w:rsidR="00E308EE" w:rsidRPr="00EC0535" w:rsidRDefault="00E308EE" w:rsidP="00E308EE">
      <w:pPr>
        <w:tabs>
          <w:tab w:val="left" w:pos="540"/>
          <w:tab w:val="left" w:pos="569"/>
        </w:tabs>
        <w:jc w:val="both"/>
        <w:rPr>
          <w:bCs/>
          <w:sz w:val="22"/>
          <w:szCs w:val="22"/>
          <w:u w:val="single"/>
          <w:lang w:val="sr-Latn-ME"/>
        </w:rPr>
      </w:pPr>
      <w:r w:rsidRPr="00EC0535">
        <w:rPr>
          <w:bCs/>
          <w:sz w:val="22"/>
          <w:szCs w:val="22"/>
          <w:u w:val="single"/>
          <w:lang w:val="sr-Latn-ME"/>
        </w:rPr>
        <w:t>Trudnoća</w:t>
      </w:r>
    </w:p>
    <w:p w:rsidR="00E308EE" w:rsidRPr="00EC0535" w:rsidRDefault="00E308EE" w:rsidP="00E308EE">
      <w:pPr>
        <w:tabs>
          <w:tab w:val="left" w:pos="540"/>
          <w:tab w:val="left" w:pos="569"/>
        </w:tabs>
        <w:jc w:val="both"/>
        <w:rPr>
          <w:bCs/>
          <w:sz w:val="22"/>
          <w:szCs w:val="22"/>
          <w:u w:val="single"/>
          <w:lang w:val="sr-Latn-ME"/>
        </w:rPr>
      </w:pPr>
    </w:p>
    <w:p w:rsidR="00E308EE" w:rsidRPr="00EC0535" w:rsidRDefault="00D10EC0" w:rsidP="00E308EE">
      <w:pPr>
        <w:tabs>
          <w:tab w:val="left" w:pos="540"/>
          <w:tab w:val="left" w:pos="569"/>
        </w:tabs>
        <w:jc w:val="both"/>
        <w:rPr>
          <w:bCs/>
          <w:sz w:val="22"/>
          <w:szCs w:val="22"/>
          <w:lang w:val="sr-Latn-ME"/>
        </w:rPr>
      </w:pPr>
      <w:r w:rsidRPr="00EC0535">
        <w:rPr>
          <w:bCs/>
          <w:sz w:val="22"/>
          <w:szCs w:val="22"/>
          <w:lang w:val="sr-Latn-ME"/>
        </w:rPr>
        <w:t xml:space="preserve">Nema dostupnih podataka o primjeni erlotiniba kod trudnica </w:t>
      </w:r>
      <w:r w:rsidR="00E308EE" w:rsidRPr="00EC0535">
        <w:rPr>
          <w:bCs/>
          <w:sz w:val="22"/>
          <w:szCs w:val="22"/>
          <w:lang w:val="sr-Latn-ME"/>
        </w:rPr>
        <w:t xml:space="preserve">Studije na životinjama pokazale su da nema dokaza o teratogenosti i abnormalnosti porođaja. Međutim, štetan uticaj na trudnoću ne može se isključiti, pošto su studije na pacovima i kunićima pokazale povećani embriofetalni letalitet (vidjeti </w:t>
      </w:r>
      <w:r w:rsidR="004F3A1F" w:rsidRPr="00EC0535">
        <w:rPr>
          <w:bCs/>
          <w:sz w:val="22"/>
          <w:szCs w:val="22"/>
          <w:lang w:val="sr-Latn-ME"/>
        </w:rPr>
        <w:t xml:space="preserve">dio </w:t>
      </w:r>
      <w:r w:rsidR="00E308EE" w:rsidRPr="00EC0535">
        <w:rPr>
          <w:bCs/>
          <w:sz w:val="22"/>
          <w:szCs w:val="22"/>
          <w:lang w:val="sr-Latn-ME"/>
        </w:rPr>
        <w:t xml:space="preserve">5.3). Potencijalni rizik za ljude nije poznat. </w:t>
      </w:r>
    </w:p>
    <w:p w:rsidR="00E308EE" w:rsidRPr="00EC0535" w:rsidRDefault="00E308EE" w:rsidP="00E308EE">
      <w:pPr>
        <w:tabs>
          <w:tab w:val="left" w:pos="540"/>
          <w:tab w:val="left" w:pos="569"/>
        </w:tabs>
        <w:jc w:val="both"/>
        <w:rPr>
          <w:bCs/>
          <w:sz w:val="22"/>
          <w:szCs w:val="22"/>
          <w:lang w:val="sr-Latn-ME"/>
        </w:rPr>
      </w:pPr>
    </w:p>
    <w:p w:rsidR="00E308EE" w:rsidRPr="00EC0535" w:rsidRDefault="00E308EE" w:rsidP="00E308EE">
      <w:pPr>
        <w:tabs>
          <w:tab w:val="left" w:pos="540"/>
          <w:tab w:val="left" w:pos="569"/>
        </w:tabs>
        <w:jc w:val="both"/>
        <w:rPr>
          <w:bCs/>
          <w:sz w:val="22"/>
          <w:szCs w:val="22"/>
          <w:u w:val="single"/>
          <w:lang w:val="sr-Latn-ME"/>
        </w:rPr>
      </w:pPr>
      <w:r w:rsidRPr="00EC0535">
        <w:rPr>
          <w:bCs/>
          <w:sz w:val="22"/>
          <w:szCs w:val="22"/>
          <w:u w:val="single"/>
          <w:lang w:val="sr-Latn-ME"/>
        </w:rPr>
        <w:t xml:space="preserve">Žene u reproduktivnom periodu </w:t>
      </w:r>
    </w:p>
    <w:p w:rsidR="00E308EE" w:rsidRPr="00EC0535" w:rsidRDefault="00E308EE" w:rsidP="00E308EE">
      <w:pPr>
        <w:tabs>
          <w:tab w:val="left" w:pos="540"/>
          <w:tab w:val="left" w:pos="569"/>
        </w:tabs>
        <w:jc w:val="both"/>
        <w:rPr>
          <w:bCs/>
          <w:sz w:val="22"/>
          <w:szCs w:val="22"/>
          <w:u w:val="single"/>
          <w:lang w:val="sr-Latn-ME"/>
        </w:rPr>
      </w:pPr>
    </w:p>
    <w:p w:rsidR="00E308EE" w:rsidRPr="00EC0535" w:rsidRDefault="00E308EE" w:rsidP="00E308EE">
      <w:pPr>
        <w:tabs>
          <w:tab w:val="left" w:pos="540"/>
          <w:tab w:val="left" w:pos="569"/>
        </w:tabs>
        <w:jc w:val="both"/>
        <w:rPr>
          <w:bCs/>
          <w:sz w:val="22"/>
          <w:szCs w:val="22"/>
          <w:lang w:val="sr-Latn-ME"/>
        </w:rPr>
      </w:pPr>
      <w:r w:rsidRPr="00EC0535">
        <w:rPr>
          <w:bCs/>
          <w:sz w:val="22"/>
          <w:szCs w:val="22"/>
          <w:lang w:val="sr-Latn-ME"/>
        </w:rPr>
        <w:t xml:space="preserve">Ženama </w:t>
      </w:r>
      <w:r w:rsidR="004F3A1F" w:rsidRPr="00EC0535">
        <w:rPr>
          <w:bCs/>
          <w:sz w:val="22"/>
          <w:szCs w:val="22"/>
          <w:lang w:val="sr-Latn-ME"/>
        </w:rPr>
        <w:t>u reproduktivnom periodu</w:t>
      </w:r>
      <w:r w:rsidRPr="00EC0535">
        <w:rPr>
          <w:bCs/>
          <w:sz w:val="22"/>
          <w:szCs w:val="22"/>
          <w:lang w:val="sr-Latn-ME"/>
        </w:rPr>
        <w:t xml:space="preserve"> treba savjetovati da </w:t>
      </w:r>
      <w:r w:rsidR="004F3A1F" w:rsidRPr="00EC0535">
        <w:rPr>
          <w:bCs/>
          <w:sz w:val="22"/>
          <w:szCs w:val="22"/>
          <w:lang w:val="sr-Latn-ME"/>
        </w:rPr>
        <w:t xml:space="preserve">izbjegavaju </w:t>
      </w:r>
      <w:r w:rsidRPr="00EC0535">
        <w:rPr>
          <w:bCs/>
          <w:sz w:val="22"/>
          <w:szCs w:val="22"/>
          <w:lang w:val="sr-Latn-ME"/>
        </w:rPr>
        <w:t xml:space="preserve">trudnoću za vrijeme primjene erlotiniba. Tokom trajanja terapije treba koristiti odgovarajuću kontracepciju i sa njom nastaviti još najmanje 2 nedjelje nakon završetka ove terapije. Terapiju kod trudnica treba nastaviti samo ako je potencijalna korist za majku veća od rizika po fetus. </w:t>
      </w:r>
    </w:p>
    <w:p w:rsidR="00E308EE" w:rsidRPr="00EC0535" w:rsidRDefault="00E308EE" w:rsidP="00E308EE">
      <w:pPr>
        <w:tabs>
          <w:tab w:val="left" w:pos="540"/>
          <w:tab w:val="left" w:pos="569"/>
        </w:tabs>
        <w:jc w:val="both"/>
        <w:rPr>
          <w:bCs/>
          <w:sz w:val="22"/>
          <w:szCs w:val="22"/>
          <w:lang w:val="sr-Latn-ME"/>
        </w:rPr>
      </w:pPr>
    </w:p>
    <w:p w:rsidR="00E308EE" w:rsidRPr="00EC0535" w:rsidRDefault="00E308EE" w:rsidP="00E308EE">
      <w:pPr>
        <w:tabs>
          <w:tab w:val="left" w:pos="540"/>
          <w:tab w:val="left" w:pos="569"/>
        </w:tabs>
        <w:jc w:val="both"/>
        <w:rPr>
          <w:bCs/>
          <w:sz w:val="22"/>
          <w:szCs w:val="22"/>
          <w:u w:val="single"/>
          <w:lang w:val="sr-Latn-ME"/>
        </w:rPr>
      </w:pPr>
      <w:r w:rsidRPr="00EC0535">
        <w:rPr>
          <w:bCs/>
          <w:sz w:val="22"/>
          <w:szCs w:val="22"/>
          <w:u w:val="single"/>
          <w:lang w:val="sr-Latn-ME"/>
        </w:rPr>
        <w:t xml:space="preserve">Dojenje </w:t>
      </w:r>
    </w:p>
    <w:p w:rsidR="00E308EE" w:rsidRPr="00EC0535" w:rsidRDefault="00E308EE" w:rsidP="00E308EE">
      <w:pPr>
        <w:tabs>
          <w:tab w:val="left" w:pos="540"/>
          <w:tab w:val="left" w:pos="569"/>
        </w:tabs>
        <w:jc w:val="both"/>
        <w:rPr>
          <w:bCs/>
          <w:sz w:val="22"/>
          <w:szCs w:val="22"/>
          <w:u w:val="single"/>
          <w:lang w:val="sr-Latn-ME"/>
        </w:rPr>
      </w:pPr>
    </w:p>
    <w:p w:rsidR="00E308EE" w:rsidRPr="00EC0535" w:rsidRDefault="00E308EE" w:rsidP="00E308EE">
      <w:pPr>
        <w:tabs>
          <w:tab w:val="left" w:pos="540"/>
          <w:tab w:val="left" w:pos="569"/>
        </w:tabs>
        <w:jc w:val="both"/>
        <w:rPr>
          <w:bCs/>
          <w:sz w:val="22"/>
          <w:szCs w:val="22"/>
          <w:lang w:val="sr-Latn-ME"/>
        </w:rPr>
      </w:pPr>
      <w:r w:rsidRPr="00EC0535">
        <w:rPr>
          <w:bCs/>
          <w:sz w:val="22"/>
          <w:szCs w:val="22"/>
          <w:lang w:val="sr-Latn-ME"/>
        </w:rPr>
        <w:t xml:space="preserve">Nije poznato da li se erlotinib izlučuje u majčino mlijeko. Nisu sprovedene studije koje bi ocijenile uticaj erlotiniba na proizvodnju mlijeka ili njegovu prisutnost u majčinom mlijeku. Budući da potencijalna opasnost po odojče nije poznata, majke je potrebno savjetovati da ne doje za vrijeme primjene </w:t>
      </w:r>
      <w:r w:rsidR="006F05E2" w:rsidRPr="00EC0535">
        <w:rPr>
          <w:bCs/>
          <w:sz w:val="22"/>
          <w:szCs w:val="22"/>
          <w:lang w:val="sr-Latn-ME"/>
        </w:rPr>
        <w:t>lijeka Erlotinib Pharmascience</w:t>
      </w:r>
      <w:r w:rsidRPr="00EC0535">
        <w:rPr>
          <w:bCs/>
          <w:sz w:val="22"/>
          <w:szCs w:val="22"/>
          <w:lang w:val="sr-Latn-ME"/>
        </w:rPr>
        <w:t xml:space="preserve"> i još najmanje 2 </w:t>
      </w:r>
      <w:r w:rsidR="00827B1D" w:rsidRPr="00EC0535">
        <w:rPr>
          <w:bCs/>
          <w:sz w:val="22"/>
          <w:szCs w:val="22"/>
          <w:lang w:val="sr-Latn-ME"/>
        </w:rPr>
        <w:t xml:space="preserve">nedjelje </w:t>
      </w:r>
      <w:r w:rsidRPr="00EC0535">
        <w:rPr>
          <w:bCs/>
          <w:sz w:val="22"/>
          <w:szCs w:val="22"/>
          <w:lang w:val="sr-Latn-ME"/>
        </w:rPr>
        <w:t xml:space="preserve">nakon posljednje doze lijeka. </w:t>
      </w:r>
    </w:p>
    <w:p w:rsidR="00E308EE" w:rsidRPr="00EC0535" w:rsidRDefault="00E308EE" w:rsidP="00E308EE">
      <w:pPr>
        <w:tabs>
          <w:tab w:val="left" w:pos="540"/>
          <w:tab w:val="left" w:pos="569"/>
        </w:tabs>
        <w:jc w:val="both"/>
        <w:rPr>
          <w:bCs/>
          <w:sz w:val="22"/>
          <w:szCs w:val="22"/>
          <w:lang w:val="sr-Latn-ME"/>
        </w:rPr>
      </w:pPr>
    </w:p>
    <w:p w:rsidR="0072020E" w:rsidRPr="00EC0535" w:rsidRDefault="0072020E" w:rsidP="00396DFD">
      <w:pPr>
        <w:tabs>
          <w:tab w:val="left" w:pos="540"/>
          <w:tab w:val="left" w:pos="569"/>
        </w:tabs>
        <w:ind w:left="540" w:hanging="540"/>
        <w:rPr>
          <w:b/>
          <w:bCs/>
          <w:sz w:val="22"/>
          <w:szCs w:val="22"/>
          <w:lang w:val="sr-Latn-ME"/>
        </w:rPr>
      </w:pPr>
      <w:r w:rsidRPr="00EC0535">
        <w:rPr>
          <w:b/>
          <w:bCs/>
          <w:sz w:val="22"/>
          <w:szCs w:val="22"/>
          <w:lang w:val="sr-Latn-ME"/>
        </w:rPr>
        <w:t xml:space="preserve">4.7. </w:t>
      </w:r>
      <w:r w:rsidR="00480FB1" w:rsidRPr="00EC0535">
        <w:rPr>
          <w:b/>
          <w:bCs/>
          <w:sz w:val="22"/>
          <w:szCs w:val="22"/>
          <w:lang w:val="sr-Latn-ME"/>
        </w:rPr>
        <w:tab/>
      </w:r>
      <w:r w:rsidRPr="00EC0535">
        <w:rPr>
          <w:b/>
          <w:bCs/>
          <w:sz w:val="22"/>
          <w:szCs w:val="22"/>
          <w:lang w:val="sr-Latn-ME"/>
        </w:rPr>
        <w:t xml:space="preserve">Uticaj na </w:t>
      </w:r>
      <w:r w:rsidR="002031B3" w:rsidRPr="00EC0535">
        <w:rPr>
          <w:b/>
          <w:bCs/>
          <w:sz w:val="22"/>
          <w:szCs w:val="22"/>
          <w:lang w:val="sr-Latn-ME"/>
        </w:rPr>
        <w:t xml:space="preserve">sposobnost </w:t>
      </w:r>
      <w:r w:rsidR="00F34554" w:rsidRPr="00EC0535">
        <w:rPr>
          <w:b/>
          <w:bCs/>
          <w:sz w:val="22"/>
          <w:szCs w:val="22"/>
          <w:lang w:val="sr-Latn-ME"/>
        </w:rPr>
        <w:t>upravljanja vozili</w:t>
      </w:r>
      <w:r w:rsidRPr="00EC0535">
        <w:rPr>
          <w:b/>
          <w:bCs/>
          <w:sz w:val="22"/>
          <w:szCs w:val="22"/>
          <w:lang w:val="sr-Latn-ME"/>
        </w:rPr>
        <w:t>m</w:t>
      </w:r>
      <w:r w:rsidR="00F34554" w:rsidRPr="00EC0535">
        <w:rPr>
          <w:b/>
          <w:bCs/>
          <w:sz w:val="22"/>
          <w:szCs w:val="22"/>
          <w:lang w:val="sr-Latn-ME"/>
        </w:rPr>
        <w:t>a</w:t>
      </w:r>
      <w:r w:rsidRPr="00EC0535">
        <w:rPr>
          <w:b/>
          <w:bCs/>
          <w:sz w:val="22"/>
          <w:szCs w:val="22"/>
          <w:lang w:val="sr-Latn-ME"/>
        </w:rPr>
        <w:t xml:space="preserve"> i </w:t>
      </w:r>
      <w:r w:rsidR="000D3449" w:rsidRPr="00EC0535">
        <w:rPr>
          <w:b/>
          <w:bCs/>
          <w:sz w:val="22"/>
          <w:szCs w:val="22"/>
          <w:lang w:val="sr-Latn-ME"/>
        </w:rPr>
        <w:t xml:space="preserve">rukovanje </w:t>
      </w:r>
      <w:r w:rsidRPr="00EC0535">
        <w:rPr>
          <w:b/>
          <w:bCs/>
          <w:sz w:val="22"/>
          <w:szCs w:val="22"/>
          <w:lang w:val="sr-Latn-ME"/>
        </w:rPr>
        <w:t>mašinama</w:t>
      </w:r>
    </w:p>
    <w:p w:rsidR="00E308EE" w:rsidRPr="00EC0535" w:rsidRDefault="00E308EE" w:rsidP="00396DFD">
      <w:pPr>
        <w:tabs>
          <w:tab w:val="left" w:pos="540"/>
          <w:tab w:val="left" w:pos="569"/>
        </w:tabs>
        <w:ind w:left="540" w:hanging="540"/>
        <w:rPr>
          <w:b/>
          <w:bCs/>
          <w:sz w:val="22"/>
          <w:szCs w:val="22"/>
          <w:lang w:val="sr-Latn-ME"/>
        </w:rPr>
      </w:pPr>
    </w:p>
    <w:p w:rsidR="00E308EE" w:rsidRPr="00EC0535" w:rsidRDefault="00E308EE" w:rsidP="00E308EE">
      <w:pPr>
        <w:tabs>
          <w:tab w:val="left" w:pos="0"/>
        </w:tabs>
        <w:jc w:val="both"/>
        <w:rPr>
          <w:bCs/>
          <w:sz w:val="22"/>
          <w:szCs w:val="22"/>
          <w:lang w:val="sr-Latn-ME"/>
        </w:rPr>
      </w:pPr>
      <w:r w:rsidRPr="00EC0535">
        <w:rPr>
          <w:bCs/>
          <w:sz w:val="22"/>
          <w:szCs w:val="22"/>
          <w:lang w:val="sr-Latn-ME"/>
        </w:rPr>
        <w:t xml:space="preserve">Nijesu spovedena ispitivanja o uticaju na sposobnost </w:t>
      </w:r>
      <w:r w:rsidR="009C6B85" w:rsidRPr="00EC0535">
        <w:rPr>
          <w:bCs/>
          <w:sz w:val="22"/>
          <w:szCs w:val="22"/>
          <w:lang w:val="sr-Latn-ME"/>
        </w:rPr>
        <w:t xml:space="preserve">upravljanja </w:t>
      </w:r>
      <w:r w:rsidRPr="00EC0535">
        <w:rPr>
          <w:bCs/>
          <w:sz w:val="22"/>
          <w:szCs w:val="22"/>
          <w:lang w:val="sr-Latn-ME"/>
        </w:rPr>
        <w:t>vozilima i rukovanje mašinama</w:t>
      </w:r>
      <w:r w:rsidR="009C6B85" w:rsidRPr="00EC0535">
        <w:rPr>
          <w:bCs/>
          <w:sz w:val="22"/>
          <w:szCs w:val="22"/>
          <w:lang w:val="sr-Latn-ME"/>
        </w:rPr>
        <w:t>,</w:t>
      </w:r>
      <w:r w:rsidRPr="00EC0535">
        <w:rPr>
          <w:bCs/>
          <w:sz w:val="22"/>
          <w:szCs w:val="22"/>
          <w:lang w:val="sr-Latn-ME"/>
        </w:rPr>
        <w:t xml:space="preserve"> ali se erlotinib ne povezuje sa smanjenjem mentalnih sposobnosti.</w:t>
      </w:r>
    </w:p>
    <w:p w:rsidR="0072020E" w:rsidRPr="00EC0535" w:rsidRDefault="0072020E" w:rsidP="00480FB1">
      <w:pPr>
        <w:tabs>
          <w:tab w:val="left" w:pos="540"/>
          <w:tab w:val="left" w:pos="569"/>
        </w:tabs>
        <w:rPr>
          <w:b/>
          <w:bCs/>
          <w:color w:val="FF0000"/>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4.8. </w:t>
      </w:r>
      <w:r w:rsidR="00480FB1" w:rsidRPr="00EC0535">
        <w:rPr>
          <w:b/>
          <w:bCs/>
          <w:sz w:val="22"/>
          <w:szCs w:val="22"/>
          <w:lang w:val="sr-Latn-ME"/>
        </w:rPr>
        <w:tab/>
      </w:r>
      <w:r w:rsidRPr="00EC0535">
        <w:rPr>
          <w:b/>
          <w:bCs/>
          <w:sz w:val="22"/>
          <w:szCs w:val="22"/>
          <w:lang w:val="sr-Latn-ME"/>
        </w:rPr>
        <w:t>Neželjena dejstva</w:t>
      </w:r>
    </w:p>
    <w:p w:rsidR="004E70AD" w:rsidRPr="00EC0535" w:rsidRDefault="004E70AD" w:rsidP="00480FB1">
      <w:pPr>
        <w:tabs>
          <w:tab w:val="left" w:pos="540"/>
          <w:tab w:val="left" w:pos="569"/>
        </w:tabs>
        <w:rPr>
          <w:b/>
          <w:bCs/>
          <w:sz w:val="22"/>
          <w:szCs w:val="22"/>
          <w:lang w:val="sr-Latn-ME"/>
        </w:rPr>
      </w:pPr>
    </w:p>
    <w:p w:rsidR="00CD2B8A" w:rsidRPr="00EC0535" w:rsidRDefault="00CD2B8A" w:rsidP="00CD2B8A">
      <w:pPr>
        <w:tabs>
          <w:tab w:val="left" w:pos="540"/>
          <w:tab w:val="left" w:pos="569"/>
        </w:tabs>
        <w:jc w:val="both"/>
        <w:rPr>
          <w:bCs/>
          <w:sz w:val="22"/>
          <w:szCs w:val="22"/>
          <w:lang w:val="sr-Latn-ME"/>
        </w:rPr>
      </w:pPr>
      <w:r w:rsidRPr="00EC0535">
        <w:rPr>
          <w:bCs/>
          <w:sz w:val="22"/>
          <w:szCs w:val="22"/>
          <w:lang w:val="sr-Latn-ME"/>
        </w:rPr>
        <w:t xml:space="preserve">Procjena bezbjednosti erlotiniba se zasniva na podacima </w:t>
      </w:r>
      <w:r w:rsidR="00A519D7" w:rsidRPr="00EC0535">
        <w:rPr>
          <w:bCs/>
          <w:sz w:val="22"/>
          <w:szCs w:val="22"/>
          <w:lang w:val="sr-Latn-ME"/>
        </w:rPr>
        <w:t xml:space="preserve">prikupljenim </w:t>
      </w:r>
      <w:r w:rsidRPr="00EC0535">
        <w:rPr>
          <w:bCs/>
          <w:sz w:val="22"/>
          <w:szCs w:val="22"/>
          <w:lang w:val="sr-Latn-ME"/>
        </w:rPr>
        <w:t xml:space="preserve">od više od 1500 pacijenata koji su bili na tretmanu najmanje </w:t>
      </w:r>
      <w:r w:rsidR="00A519D7" w:rsidRPr="00EC0535">
        <w:rPr>
          <w:bCs/>
          <w:sz w:val="22"/>
          <w:szCs w:val="22"/>
          <w:lang w:val="sr-Latn-ME"/>
        </w:rPr>
        <w:t xml:space="preserve">jednom </w:t>
      </w:r>
      <w:r w:rsidRPr="00EC0535">
        <w:rPr>
          <w:bCs/>
          <w:sz w:val="22"/>
          <w:szCs w:val="22"/>
          <w:lang w:val="sr-Latn-ME"/>
        </w:rPr>
        <w:t xml:space="preserve">dozom od 150 mg erlotiniba kao </w:t>
      </w:r>
      <w:r w:rsidR="00A519D7" w:rsidRPr="00EC0535">
        <w:rPr>
          <w:bCs/>
          <w:sz w:val="22"/>
          <w:szCs w:val="22"/>
          <w:lang w:val="sr-Latn-ME"/>
        </w:rPr>
        <w:t xml:space="preserve">monoterapija, </w:t>
      </w:r>
      <w:r w:rsidRPr="00EC0535">
        <w:rPr>
          <w:bCs/>
          <w:sz w:val="22"/>
          <w:szCs w:val="22"/>
          <w:lang w:val="sr-Latn-ME"/>
        </w:rPr>
        <w:t>i više od 3000 pacijenata koji su primali 100 mg ili 150 mg erlotiniba u kombinaciji sa gemcitabinom.</w:t>
      </w:r>
    </w:p>
    <w:p w:rsidR="00CD2B8A" w:rsidRPr="00EC0535" w:rsidRDefault="00CD2B8A" w:rsidP="00CD2B8A">
      <w:pPr>
        <w:tabs>
          <w:tab w:val="left" w:pos="540"/>
          <w:tab w:val="left" w:pos="569"/>
        </w:tabs>
        <w:jc w:val="both"/>
        <w:rPr>
          <w:bCs/>
          <w:sz w:val="22"/>
          <w:szCs w:val="22"/>
          <w:lang w:val="sr-Latn-ME"/>
        </w:rPr>
      </w:pPr>
      <w:r w:rsidRPr="00EC0535">
        <w:rPr>
          <w:bCs/>
          <w:sz w:val="22"/>
          <w:szCs w:val="22"/>
          <w:lang w:val="sr-Latn-ME"/>
        </w:rPr>
        <w:t xml:space="preserve">Incidenca neželjenih dejstava iz kliničkih studija koja su prijavljena kod primjene erlotiniba kao monoterapije ili u kombinaciji sa hemioterapijom prema gradusu toksičnosti u skladu sa opštim kriterijumima toksičnosti Nacionalnog instituta za </w:t>
      </w:r>
      <w:r w:rsidR="00A519D7" w:rsidRPr="00EC0535">
        <w:rPr>
          <w:bCs/>
          <w:sz w:val="22"/>
          <w:szCs w:val="22"/>
          <w:lang w:val="sr-Latn-ME"/>
        </w:rPr>
        <w:t xml:space="preserve">karcinom </w:t>
      </w:r>
      <w:r w:rsidRPr="00EC0535">
        <w:rPr>
          <w:bCs/>
          <w:sz w:val="22"/>
          <w:szCs w:val="22"/>
          <w:lang w:val="sr-Latn-ME"/>
        </w:rPr>
        <w:t xml:space="preserve">((engl. </w:t>
      </w:r>
      <w:r w:rsidRPr="00EC0535">
        <w:rPr>
          <w:bCs/>
          <w:i/>
          <w:iCs/>
          <w:sz w:val="22"/>
          <w:szCs w:val="22"/>
          <w:lang w:val="sr-Latn-ME"/>
        </w:rPr>
        <w:t>National Cancer Institute-Common Toxicity Criteria</w:t>
      </w:r>
      <w:r w:rsidRPr="00EC0535">
        <w:rPr>
          <w:bCs/>
          <w:sz w:val="22"/>
          <w:szCs w:val="22"/>
          <w:lang w:val="sr-Latn-ME"/>
        </w:rPr>
        <w:t xml:space="preserve">, NCI-CTC) sažeto je prikazana u Tabeli 1. </w:t>
      </w:r>
      <w:r w:rsidR="00A519D7" w:rsidRPr="00EC0535">
        <w:rPr>
          <w:bCs/>
          <w:sz w:val="22"/>
          <w:szCs w:val="22"/>
          <w:lang w:val="sr-Latn-ME"/>
        </w:rPr>
        <w:t xml:space="preserve">Navedena </w:t>
      </w:r>
      <w:r w:rsidRPr="00EC0535">
        <w:rPr>
          <w:bCs/>
          <w:sz w:val="22"/>
          <w:szCs w:val="22"/>
          <w:lang w:val="sr-Latn-ME"/>
        </w:rPr>
        <w:t>neželjena dejstva su bila ona koje su češće prim</w:t>
      </w:r>
      <w:r w:rsidR="00A519D7" w:rsidRPr="00EC0535">
        <w:rPr>
          <w:bCs/>
          <w:sz w:val="22"/>
          <w:szCs w:val="22"/>
          <w:lang w:val="sr-Latn-ME"/>
        </w:rPr>
        <w:t>i</w:t>
      </w:r>
      <w:r w:rsidRPr="00EC0535">
        <w:rPr>
          <w:bCs/>
          <w:sz w:val="22"/>
          <w:szCs w:val="22"/>
          <w:lang w:val="sr-Latn-ME"/>
        </w:rPr>
        <w:t xml:space="preserve">jećena (≥3%) kod pacijenata u grupi koja je primala erlotinib nego u grupi koja je primala </w:t>
      </w:r>
      <w:r w:rsidRPr="00EC0535">
        <w:rPr>
          <w:bCs/>
          <w:sz w:val="22"/>
          <w:szCs w:val="22"/>
          <w:lang w:val="sr-Latn-ME"/>
        </w:rPr>
        <w:lastRenderedPageBreak/>
        <w:t>placebo</w:t>
      </w:r>
      <w:r w:rsidR="00A519D7" w:rsidRPr="00EC0535">
        <w:rPr>
          <w:bCs/>
          <w:sz w:val="22"/>
          <w:szCs w:val="22"/>
          <w:lang w:val="sr-Latn-ME"/>
        </w:rPr>
        <w:t>,</w:t>
      </w:r>
      <w:r w:rsidRPr="00EC0535">
        <w:rPr>
          <w:bCs/>
          <w:sz w:val="22"/>
          <w:szCs w:val="22"/>
          <w:lang w:val="sr-Latn-ME"/>
        </w:rPr>
        <w:t xml:space="preserve"> i kod najmanje 10% pacijenata koji su primali erlotinib. Ostala neželjena dejstva, uključujući i ona iz drugih studija, sumirana su u Tabeli 2.</w:t>
      </w:r>
    </w:p>
    <w:p w:rsidR="00CD2B8A" w:rsidRPr="00EC0535" w:rsidRDefault="00CD2B8A" w:rsidP="00CD2B8A">
      <w:pPr>
        <w:tabs>
          <w:tab w:val="left" w:pos="540"/>
          <w:tab w:val="left" w:pos="569"/>
        </w:tabs>
        <w:jc w:val="both"/>
        <w:rPr>
          <w:bCs/>
          <w:sz w:val="22"/>
          <w:szCs w:val="22"/>
          <w:lang w:val="sr-Latn-ME"/>
        </w:rPr>
      </w:pPr>
      <w:r w:rsidRPr="00EC0535">
        <w:rPr>
          <w:bCs/>
          <w:sz w:val="22"/>
          <w:szCs w:val="22"/>
          <w:lang w:val="sr-Latn-ME"/>
        </w:rPr>
        <w:t>Neželjena dejstva iz kliničkih studija (Tabela 1) su navedena prema MEdDRA klasama sistema organa. Sljedeći termini su korišćeni za rangiranje neželjenih dejstava prema učestalosti: veoma čest</w:t>
      </w:r>
      <w:r w:rsidR="001A6D35" w:rsidRPr="00EC0535">
        <w:rPr>
          <w:bCs/>
          <w:sz w:val="22"/>
          <w:szCs w:val="22"/>
          <w:lang w:val="sr-Latn-ME"/>
        </w:rPr>
        <w:t>o</w:t>
      </w:r>
      <w:r w:rsidRPr="00EC0535">
        <w:rPr>
          <w:bCs/>
          <w:sz w:val="22"/>
          <w:szCs w:val="22"/>
          <w:lang w:val="sr-Latn-ME"/>
        </w:rPr>
        <w:t xml:space="preserve"> (≥1/10); čest</w:t>
      </w:r>
      <w:r w:rsidR="001A6D35" w:rsidRPr="00EC0535">
        <w:rPr>
          <w:bCs/>
          <w:sz w:val="22"/>
          <w:szCs w:val="22"/>
          <w:lang w:val="sr-Latn-ME"/>
        </w:rPr>
        <w:t>o</w:t>
      </w:r>
      <w:r w:rsidRPr="00EC0535">
        <w:rPr>
          <w:bCs/>
          <w:sz w:val="22"/>
          <w:szCs w:val="22"/>
          <w:lang w:val="sr-Latn-ME"/>
        </w:rPr>
        <w:t xml:space="preserve"> (≥1/100 do &lt;1/10); povremen</w:t>
      </w:r>
      <w:r w:rsidR="001A6D35" w:rsidRPr="00EC0535">
        <w:rPr>
          <w:bCs/>
          <w:sz w:val="22"/>
          <w:szCs w:val="22"/>
          <w:lang w:val="sr-Latn-ME"/>
        </w:rPr>
        <w:t>o</w:t>
      </w:r>
      <w:r w:rsidRPr="00EC0535">
        <w:rPr>
          <w:bCs/>
          <w:sz w:val="22"/>
          <w:szCs w:val="22"/>
          <w:lang w:val="sr-Latn-ME"/>
        </w:rPr>
        <w:t xml:space="preserve"> (≥1/1000 do &lt;1/100); rijetk</w:t>
      </w:r>
      <w:r w:rsidR="001A6D35" w:rsidRPr="00EC0535">
        <w:rPr>
          <w:bCs/>
          <w:sz w:val="22"/>
          <w:szCs w:val="22"/>
          <w:lang w:val="sr-Latn-ME"/>
        </w:rPr>
        <w:t>o</w:t>
      </w:r>
      <w:r w:rsidRPr="00EC0535">
        <w:rPr>
          <w:bCs/>
          <w:sz w:val="22"/>
          <w:szCs w:val="22"/>
          <w:lang w:val="sr-Latn-ME"/>
        </w:rPr>
        <w:t xml:space="preserve"> (≥1/10000 do &lt;1/1000); veoma rijetk</w:t>
      </w:r>
      <w:r w:rsidR="001A6D35" w:rsidRPr="00EC0535">
        <w:rPr>
          <w:bCs/>
          <w:sz w:val="22"/>
          <w:szCs w:val="22"/>
          <w:lang w:val="sr-Latn-ME"/>
        </w:rPr>
        <w:t>o</w:t>
      </w:r>
      <w:r w:rsidRPr="00EC0535">
        <w:rPr>
          <w:bCs/>
          <w:sz w:val="22"/>
          <w:szCs w:val="22"/>
          <w:lang w:val="sr-Latn-ME"/>
        </w:rPr>
        <w:t xml:space="preserve"> (&lt;1/10000).</w:t>
      </w:r>
    </w:p>
    <w:p w:rsidR="00CD2B8A" w:rsidRPr="00EC0535" w:rsidRDefault="00CD2B8A" w:rsidP="00CD2B8A">
      <w:pPr>
        <w:tabs>
          <w:tab w:val="left" w:pos="540"/>
          <w:tab w:val="left" w:pos="569"/>
        </w:tabs>
        <w:jc w:val="both"/>
        <w:rPr>
          <w:bCs/>
          <w:sz w:val="22"/>
          <w:szCs w:val="22"/>
          <w:lang w:val="sr-Latn-ME"/>
        </w:rPr>
      </w:pPr>
      <w:r w:rsidRPr="00EC0535">
        <w:rPr>
          <w:bCs/>
          <w:sz w:val="22"/>
          <w:szCs w:val="22"/>
          <w:lang w:val="sr-Latn-ME"/>
        </w:rPr>
        <w:t>U svakoj grupi učestalosti, neželjene reakcije su prikazane u opadajućem nizu prema ozbiljnosti.</w:t>
      </w:r>
    </w:p>
    <w:p w:rsidR="00F7298E" w:rsidRPr="00EC0535" w:rsidRDefault="00F7298E" w:rsidP="00CD2B8A">
      <w:pPr>
        <w:tabs>
          <w:tab w:val="left" w:pos="540"/>
          <w:tab w:val="left" w:pos="569"/>
        </w:tabs>
        <w:jc w:val="both"/>
        <w:rPr>
          <w:bCs/>
          <w:color w:val="FF0000"/>
          <w:sz w:val="22"/>
          <w:szCs w:val="22"/>
          <w:lang w:val="sr-Latn-ME"/>
        </w:rPr>
      </w:pPr>
    </w:p>
    <w:p w:rsidR="00CD2B8A" w:rsidRPr="00EC0535" w:rsidRDefault="00CD2B8A" w:rsidP="00CD2B8A">
      <w:pPr>
        <w:tabs>
          <w:tab w:val="left" w:pos="540"/>
          <w:tab w:val="left" w:pos="569"/>
        </w:tabs>
        <w:jc w:val="both"/>
        <w:rPr>
          <w:bCs/>
          <w:sz w:val="22"/>
          <w:szCs w:val="22"/>
          <w:u w:val="single"/>
          <w:lang w:val="sr-Latn-ME"/>
        </w:rPr>
      </w:pPr>
      <w:r w:rsidRPr="00EC0535">
        <w:rPr>
          <w:bCs/>
          <w:sz w:val="22"/>
          <w:szCs w:val="22"/>
          <w:u w:val="single"/>
          <w:lang w:val="sr-Latn-ME"/>
        </w:rPr>
        <w:t>Nemikrocelularni karcinom pluća (prim</w:t>
      </w:r>
      <w:r w:rsidR="00A519D7" w:rsidRPr="00EC0535">
        <w:rPr>
          <w:bCs/>
          <w:sz w:val="22"/>
          <w:szCs w:val="22"/>
          <w:u w:val="single"/>
          <w:lang w:val="sr-Latn-ME"/>
        </w:rPr>
        <w:t>j</w:t>
      </w:r>
      <w:r w:rsidRPr="00EC0535">
        <w:rPr>
          <w:bCs/>
          <w:sz w:val="22"/>
          <w:szCs w:val="22"/>
          <w:u w:val="single"/>
          <w:lang w:val="sr-Latn-ME"/>
        </w:rPr>
        <w:t>ena erlotiniba kao monoterapija)</w:t>
      </w:r>
    </w:p>
    <w:p w:rsidR="00CD2B8A" w:rsidRPr="00EC0535" w:rsidRDefault="00CD2B8A" w:rsidP="00CD2B8A">
      <w:pPr>
        <w:tabs>
          <w:tab w:val="left" w:pos="540"/>
          <w:tab w:val="left" w:pos="569"/>
        </w:tabs>
        <w:jc w:val="both"/>
        <w:rPr>
          <w:bCs/>
          <w:sz w:val="22"/>
          <w:szCs w:val="22"/>
          <w:u w:val="single"/>
          <w:lang w:val="sr-Latn-ME"/>
        </w:rPr>
      </w:pPr>
    </w:p>
    <w:p w:rsidR="00CD2B8A" w:rsidRPr="00EC0535" w:rsidRDefault="00CD2B8A" w:rsidP="00CD2B8A">
      <w:pPr>
        <w:tabs>
          <w:tab w:val="left" w:pos="540"/>
          <w:tab w:val="left" w:pos="569"/>
        </w:tabs>
        <w:jc w:val="both"/>
        <w:rPr>
          <w:bCs/>
          <w:i/>
          <w:sz w:val="22"/>
          <w:szCs w:val="22"/>
          <w:u w:val="single"/>
          <w:lang w:val="sr-Latn-ME"/>
        </w:rPr>
      </w:pPr>
      <w:r w:rsidRPr="00EC0535">
        <w:rPr>
          <w:bCs/>
          <w:i/>
          <w:sz w:val="22"/>
          <w:szCs w:val="22"/>
          <w:u w:val="single"/>
          <w:lang w:val="sr-Latn-ME"/>
        </w:rPr>
        <w:t xml:space="preserve">Terapija prve linije kod pacijenata sa EGFR mutacijama </w:t>
      </w:r>
    </w:p>
    <w:p w:rsidR="00CD2B8A" w:rsidRPr="00EC0535" w:rsidRDefault="00CD2B8A" w:rsidP="00CD2B8A">
      <w:pPr>
        <w:tabs>
          <w:tab w:val="left" w:pos="540"/>
          <w:tab w:val="left" w:pos="569"/>
        </w:tabs>
        <w:jc w:val="both"/>
        <w:rPr>
          <w:bCs/>
          <w:sz w:val="22"/>
          <w:szCs w:val="22"/>
          <w:lang w:val="sr-Latn-ME"/>
        </w:rPr>
      </w:pPr>
      <w:r w:rsidRPr="00EC0535">
        <w:rPr>
          <w:bCs/>
          <w:sz w:val="22"/>
          <w:szCs w:val="22"/>
          <w:lang w:val="sr-Latn-ME"/>
        </w:rPr>
        <w:t>U otvorenoj, randomizovanoj studiji faze III, ML20650</w:t>
      </w:r>
      <w:r w:rsidR="00802160" w:rsidRPr="00EC0535">
        <w:rPr>
          <w:bCs/>
          <w:sz w:val="22"/>
          <w:szCs w:val="22"/>
          <w:lang w:val="sr-Latn-ME"/>
        </w:rPr>
        <w:t>,</w:t>
      </w:r>
      <w:r w:rsidRPr="00EC0535">
        <w:rPr>
          <w:bCs/>
          <w:sz w:val="22"/>
          <w:szCs w:val="22"/>
          <w:lang w:val="sr-Latn-ME"/>
        </w:rPr>
        <w:t xml:space="preserve"> u kojoj je učestvovalo 154 pacijenta</w:t>
      </w:r>
      <w:r w:rsidR="00907B4E" w:rsidRPr="00EC0535">
        <w:rPr>
          <w:bCs/>
          <w:sz w:val="22"/>
          <w:szCs w:val="22"/>
          <w:lang w:val="sr-Latn-ME"/>
        </w:rPr>
        <w:t xml:space="preserve">, </w:t>
      </w:r>
      <w:r w:rsidRPr="00EC0535">
        <w:rPr>
          <w:bCs/>
          <w:sz w:val="22"/>
          <w:szCs w:val="22"/>
          <w:lang w:val="sr-Latn-ME"/>
        </w:rPr>
        <w:t xml:space="preserve">bezbjednost erlotiniba kao prve linije terapije pacijenata sa nemikrocelularnim karcinomom pluća sa EGFR aktivirajućim mutacijama je ispitivana kod 75 pacijenata. Nijesu uočeni novi bezbjednosni signali kod ovih pacijenata. </w:t>
      </w:r>
    </w:p>
    <w:p w:rsidR="00CD2B8A" w:rsidRPr="00EC0535" w:rsidRDefault="00CD2B8A" w:rsidP="00CD2B8A">
      <w:pPr>
        <w:tabs>
          <w:tab w:val="left" w:pos="540"/>
          <w:tab w:val="left" w:pos="569"/>
        </w:tabs>
        <w:jc w:val="both"/>
        <w:rPr>
          <w:bCs/>
          <w:sz w:val="22"/>
          <w:szCs w:val="22"/>
          <w:lang w:val="sr-Latn-ME"/>
        </w:rPr>
      </w:pPr>
      <w:r w:rsidRPr="00EC0535">
        <w:rPr>
          <w:bCs/>
          <w:sz w:val="22"/>
          <w:szCs w:val="22"/>
          <w:lang w:val="sr-Latn-ME"/>
        </w:rPr>
        <w:t>Najčešće prim</w:t>
      </w:r>
      <w:r w:rsidR="00907B4E" w:rsidRPr="00EC0535">
        <w:rPr>
          <w:bCs/>
          <w:sz w:val="22"/>
          <w:szCs w:val="22"/>
          <w:lang w:val="sr-Latn-ME"/>
        </w:rPr>
        <w:t>i</w:t>
      </w:r>
      <w:r w:rsidRPr="00EC0535">
        <w:rPr>
          <w:bCs/>
          <w:sz w:val="22"/>
          <w:szCs w:val="22"/>
          <w:lang w:val="sr-Latn-ME"/>
        </w:rPr>
        <w:t xml:space="preserve">jećena neželjena dejstva kod pacijenata koji su primali erlotinib u studiji ML20650 su bila osip i dijareja (bilo </w:t>
      </w:r>
      <w:r w:rsidR="00907B4E" w:rsidRPr="00EC0535">
        <w:rPr>
          <w:bCs/>
          <w:sz w:val="22"/>
          <w:szCs w:val="22"/>
          <w:lang w:val="sr-Latn-ME"/>
        </w:rPr>
        <w:t xml:space="preserve">kog </w:t>
      </w:r>
      <w:r w:rsidRPr="00EC0535">
        <w:rPr>
          <w:bCs/>
          <w:sz w:val="22"/>
          <w:szCs w:val="22"/>
          <w:lang w:val="sr-Latn-ME"/>
        </w:rPr>
        <w:t xml:space="preserve">gradusa kod 80%, odnosno 57% pacijenata). </w:t>
      </w:r>
      <w:r w:rsidR="004A19CD" w:rsidRPr="00EC0535">
        <w:rPr>
          <w:bCs/>
          <w:sz w:val="22"/>
          <w:szCs w:val="22"/>
          <w:lang w:val="sr-Latn-ME"/>
        </w:rPr>
        <w:t xml:space="preserve">Najčešće </w:t>
      </w:r>
      <w:r w:rsidRPr="00EC0535">
        <w:rPr>
          <w:bCs/>
          <w:sz w:val="22"/>
          <w:szCs w:val="22"/>
          <w:lang w:val="sr-Latn-ME"/>
        </w:rPr>
        <w:t xml:space="preserve">su bila gradusa </w:t>
      </w:r>
      <w:r w:rsidR="004A19CD" w:rsidRPr="00EC0535">
        <w:rPr>
          <w:bCs/>
          <w:sz w:val="22"/>
          <w:szCs w:val="22"/>
          <w:lang w:val="sr-Latn-ME"/>
        </w:rPr>
        <w:t xml:space="preserve">težine </w:t>
      </w:r>
      <w:r w:rsidRPr="00EC0535">
        <w:rPr>
          <w:bCs/>
          <w:sz w:val="22"/>
          <w:szCs w:val="22"/>
          <w:lang w:val="sr-Latn-ME"/>
        </w:rPr>
        <w:t>1/2, i ova neželjena dejstva su prolazila bez posebnog liječenja. Osip i dijareja gradusa 3 javili su se kod 9% odnosno kod 4% pacijenata koji su primali erlotinib. Osip i dijareja gradusa 4 nijesu prim</w:t>
      </w:r>
      <w:r w:rsidR="004A19CD" w:rsidRPr="00EC0535">
        <w:rPr>
          <w:bCs/>
          <w:sz w:val="22"/>
          <w:szCs w:val="22"/>
          <w:lang w:val="sr-Latn-ME"/>
        </w:rPr>
        <w:t>i</w:t>
      </w:r>
      <w:r w:rsidRPr="00EC0535">
        <w:rPr>
          <w:bCs/>
          <w:sz w:val="22"/>
          <w:szCs w:val="22"/>
          <w:lang w:val="sr-Latn-ME"/>
        </w:rPr>
        <w:t>jećeni. Prekid terapije zbog osipa i dijareje bio je potreban kod 1% pacijenata. Modifikacije doze (privremeni prekid primjene ili smanjenje doze) zbog osipa i dijareje bile su potrebne kod 11% odnosno 7% pacijenata.</w:t>
      </w:r>
    </w:p>
    <w:p w:rsidR="00CD2B8A" w:rsidRPr="00EC0535" w:rsidRDefault="00CD2B8A" w:rsidP="00CD2B8A">
      <w:pPr>
        <w:tabs>
          <w:tab w:val="left" w:pos="540"/>
          <w:tab w:val="left" w:pos="569"/>
        </w:tabs>
        <w:jc w:val="both"/>
        <w:rPr>
          <w:bCs/>
          <w:sz w:val="22"/>
          <w:szCs w:val="22"/>
          <w:lang w:val="sr-Latn-ME"/>
        </w:rPr>
      </w:pPr>
    </w:p>
    <w:p w:rsidR="00CD2B8A" w:rsidRPr="00EC0535" w:rsidRDefault="00CD2B8A" w:rsidP="00CD2B8A">
      <w:pPr>
        <w:tabs>
          <w:tab w:val="left" w:pos="540"/>
          <w:tab w:val="left" w:pos="569"/>
        </w:tabs>
        <w:jc w:val="both"/>
        <w:rPr>
          <w:bCs/>
          <w:i/>
          <w:sz w:val="22"/>
          <w:szCs w:val="22"/>
          <w:u w:val="single"/>
          <w:lang w:val="sr-Latn-ME"/>
        </w:rPr>
      </w:pPr>
      <w:r w:rsidRPr="00EC0535">
        <w:rPr>
          <w:bCs/>
          <w:i/>
          <w:sz w:val="22"/>
          <w:szCs w:val="22"/>
          <w:u w:val="single"/>
          <w:lang w:val="sr-Latn-ME"/>
        </w:rPr>
        <w:t>Terapija održavanja</w:t>
      </w:r>
    </w:p>
    <w:p w:rsidR="00CD2B8A" w:rsidRPr="00EC0535" w:rsidRDefault="00CD2B8A" w:rsidP="00CD2B8A">
      <w:pPr>
        <w:tabs>
          <w:tab w:val="left" w:pos="540"/>
          <w:tab w:val="left" w:pos="569"/>
        </w:tabs>
        <w:jc w:val="both"/>
        <w:rPr>
          <w:bCs/>
          <w:i/>
          <w:sz w:val="22"/>
          <w:szCs w:val="22"/>
          <w:u w:val="single"/>
          <w:lang w:val="sr-Latn-ME"/>
        </w:rPr>
      </w:pPr>
      <w:r w:rsidRPr="00EC0535">
        <w:rPr>
          <w:bCs/>
          <w:sz w:val="22"/>
          <w:szCs w:val="22"/>
          <w:lang w:val="sr-Latn-ME"/>
        </w:rPr>
        <w:t>U druge dvije dvostruko slijepe, randomizovane, placebom kontrolisane studije faze III</w:t>
      </w:r>
      <w:r w:rsidR="004B5384" w:rsidRPr="00EC0535">
        <w:rPr>
          <w:bCs/>
          <w:sz w:val="22"/>
          <w:szCs w:val="22"/>
          <w:lang w:val="sr-Latn-ME"/>
        </w:rPr>
        <w:t xml:space="preserve"> </w:t>
      </w:r>
      <w:r w:rsidRPr="00EC0535">
        <w:rPr>
          <w:bCs/>
          <w:sz w:val="22"/>
          <w:szCs w:val="22"/>
          <w:lang w:val="sr-Latn-ME"/>
        </w:rPr>
        <w:t>- BO18192 (SATURN) i BO25460 (IUNO)</w:t>
      </w:r>
      <w:r w:rsidR="004B5384" w:rsidRPr="00EC0535">
        <w:rPr>
          <w:bCs/>
          <w:sz w:val="22"/>
          <w:szCs w:val="22"/>
          <w:lang w:val="sr-Latn-ME"/>
        </w:rPr>
        <w:t>,</w:t>
      </w:r>
      <w:r w:rsidRPr="00EC0535">
        <w:rPr>
          <w:bCs/>
          <w:sz w:val="22"/>
          <w:szCs w:val="22"/>
          <w:lang w:val="sr-Latn-ME"/>
        </w:rPr>
        <w:t xml:space="preserve"> erlotinib je primijenjen kao terapija održavanja nakon prve linije hemioterapije. Ove studije su sprovedene </w:t>
      </w:r>
      <w:r w:rsidR="009E2A15" w:rsidRPr="00EC0535">
        <w:rPr>
          <w:bCs/>
          <w:sz w:val="22"/>
          <w:szCs w:val="22"/>
          <w:lang w:val="sr-Latn-ME"/>
        </w:rPr>
        <w:t xml:space="preserve">kod </w:t>
      </w:r>
      <w:r w:rsidRPr="00EC0535">
        <w:rPr>
          <w:bCs/>
          <w:sz w:val="22"/>
          <w:szCs w:val="22"/>
          <w:lang w:val="sr-Latn-ME"/>
        </w:rPr>
        <w:t>ukupno 1532 pacijenta sa uznapredovalim, rekurentnim ili metastatskim nemikrocelularnim karcinomom pluća poslije primjene prve linije standardne hemioterapije na bazi platine</w:t>
      </w:r>
      <w:r w:rsidR="009E2A15" w:rsidRPr="00EC0535">
        <w:rPr>
          <w:bCs/>
          <w:sz w:val="22"/>
          <w:szCs w:val="22"/>
          <w:lang w:val="sr-Latn-ME"/>
        </w:rPr>
        <w:t>,</w:t>
      </w:r>
      <w:r w:rsidRPr="00EC0535">
        <w:rPr>
          <w:bCs/>
          <w:sz w:val="22"/>
          <w:szCs w:val="22"/>
          <w:lang w:val="sr-Latn-ME"/>
        </w:rPr>
        <w:t xml:space="preserve"> i nijesu uočeni novi bezbjednosni signali.</w:t>
      </w:r>
    </w:p>
    <w:p w:rsidR="00CD2B8A" w:rsidRPr="00EC0535" w:rsidRDefault="00CD2B8A" w:rsidP="00CD2B8A">
      <w:pPr>
        <w:tabs>
          <w:tab w:val="left" w:pos="540"/>
          <w:tab w:val="left" w:pos="569"/>
        </w:tabs>
        <w:jc w:val="both"/>
        <w:rPr>
          <w:bCs/>
          <w:sz w:val="22"/>
          <w:szCs w:val="22"/>
          <w:lang w:val="sr-Latn-ME"/>
        </w:rPr>
      </w:pPr>
    </w:p>
    <w:p w:rsidR="00CD2B8A" w:rsidRPr="00EC0535" w:rsidRDefault="00CD2B8A" w:rsidP="00CD2B8A">
      <w:pPr>
        <w:tabs>
          <w:tab w:val="left" w:pos="540"/>
          <w:tab w:val="left" w:pos="569"/>
        </w:tabs>
        <w:jc w:val="both"/>
        <w:rPr>
          <w:bCs/>
          <w:sz w:val="22"/>
          <w:szCs w:val="22"/>
          <w:lang w:val="sr-Latn-ME"/>
        </w:rPr>
      </w:pPr>
      <w:r w:rsidRPr="00EC0535">
        <w:rPr>
          <w:bCs/>
          <w:sz w:val="22"/>
          <w:szCs w:val="22"/>
          <w:lang w:val="sr-Latn-ME"/>
        </w:rPr>
        <w:t>Najčešća neželjena dejstva kod pacijenata liječenih erlotinibom u studijama BO18192 i BO25460 bila su osip (BO18192 - bilo kog gradusa: 49,2%; gradusa 3: 6,0%; BO25460 - bilo kojeg gradusa: 39,4%; gradusa 3: 5,0%)  i dijareja (BO18192 - bilo kog gradusa: 20,3%; gradusa 3: 1,8%; BO25460 - bilo kog gradusa: 24,2%, gradusa 3: 2,5%).). Nijesu zabilježeni slučajevi osipa i dijareje gradusa 4 ni u jednoj od ove dvije studije. Osip i dijareja su bili uzrok obustavljanja terapije erlotinibom kod 1% i &lt;1% pacijenata, redom, u studiji BO18192, dok u studiji BO25460 nijednom pacijentu terapija nije bila obustavljena zbog osipa ili dijareje. Modifikacija doze (prekid ili smanjenje) zbog osipa i dijareje bila je neophodna kod 8,3% i 3% pacijenata, redom, u studiji BO18192 i kod 5,6% i 2,8% pacijenata, redom, u studiji BO25460.</w:t>
      </w:r>
    </w:p>
    <w:p w:rsidR="008E6C38" w:rsidRPr="00EC0535" w:rsidRDefault="008E6C38" w:rsidP="00CD2B8A">
      <w:pPr>
        <w:tabs>
          <w:tab w:val="left" w:pos="540"/>
          <w:tab w:val="left" w:pos="569"/>
        </w:tabs>
        <w:jc w:val="both"/>
        <w:rPr>
          <w:bCs/>
          <w:sz w:val="22"/>
          <w:szCs w:val="22"/>
          <w:lang w:val="sr-Latn-ME"/>
        </w:rPr>
      </w:pPr>
    </w:p>
    <w:p w:rsidR="008E6C38" w:rsidRPr="00EC0535" w:rsidRDefault="008E6C38" w:rsidP="008E6C38">
      <w:pPr>
        <w:widowControl w:val="0"/>
        <w:autoSpaceDE w:val="0"/>
        <w:autoSpaceDN w:val="0"/>
        <w:adjustRightInd w:val="0"/>
        <w:jc w:val="both"/>
        <w:rPr>
          <w:i/>
          <w:iCs/>
          <w:color w:val="000000"/>
          <w:sz w:val="22"/>
          <w:szCs w:val="22"/>
          <w:u w:val="single"/>
          <w:lang w:val="sr-Latn-ME" w:eastAsia="el-GR"/>
        </w:rPr>
      </w:pPr>
      <w:r w:rsidRPr="00EC0535">
        <w:rPr>
          <w:i/>
          <w:iCs/>
          <w:color w:val="000000"/>
          <w:sz w:val="22"/>
          <w:szCs w:val="22"/>
          <w:u w:val="single"/>
          <w:lang w:val="sr-Latn-ME" w:eastAsia="el-GR"/>
        </w:rPr>
        <w:t xml:space="preserve">Druga i sljedeće linije treapije </w:t>
      </w:r>
    </w:p>
    <w:p w:rsidR="00CE4F97" w:rsidRPr="00EC0535" w:rsidRDefault="00CE4F97" w:rsidP="00CE4F97">
      <w:pPr>
        <w:tabs>
          <w:tab w:val="left" w:pos="540"/>
          <w:tab w:val="left" w:pos="569"/>
        </w:tabs>
        <w:jc w:val="both"/>
        <w:rPr>
          <w:bCs/>
          <w:sz w:val="22"/>
          <w:szCs w:val="22"/>
          <w:lang w:val="sr-Latn-ME"/>
        </w:rPr>
      </w:pPr>
      <w:r w:rsidRPr="00EC0535">
        <w:rPr>
          <w:bCs/>
          <w:sz w:val="22"/>
          <w:szCs w:val="22"/>
          <w:lang w:val="sr-Latn-ME"/>
        </w:rPr>
        <w:t>U randomizovanoj dvostruko-slijepoj studiji (BR.21; erlotinib prim</w:t>
      </w:r>
      <w:r w:rsidR="009E2A15" w:rsidRPr="00EC0535">
        <w:rPr>
          <w:bCs/>
          <w:sz w:val="22"/>
          <w:szCs w:val="22"/>
          <w:lang w:val="sr-Latn-ME"/>
        </w:rPr>
        <w:t>i</w:t>
      </w:r>
      <w:r w:rsidRPr="00EC0535">
        <w:rPr>
          <w:bCs/>
          <w:sz w:val="22"/>
          <w:szCs w:val="22"/>
          <w:lang w:val="sr-Latn-ME"/>
        </w:rPr>
        <w:t xml:space="preserve">jenjen kao druga linija terapije), osip (75%) i dijareja (54%) su bile najčešće prijavljena neželjena dejstva na ovaj lijek (engl. </w:t>
      </w:r>
      <w:r w:rsidRPr="00A728E1">
        <w:rPr>
          <w:bCs/>
          <w:i/>
          <w:sz w:val="22"/>
          <w:szCs w:val="22"/>
          <w:lang w:val="sr-Latn-ME"/>
        </w:rPr>
        <w:t>adverse drug reaction</w:t>
      </w:r>
      <w:r w:rsidRPr="00EC0535">
        <w:rPr>
          <w:bCs/>
          <w:sz w:val="22"/>
          <w:szCs w:val="22"/>
          <w:lang w:val="sr-Latn-ME"/>
        </w:rPr>
        <w:t xml:space="preserve">, ADR). Najčešće su bila gradusa </w:t>
      </w:r>
      <w:r w:rsidR="009E2A15" w:rsidRPr="00EC0535">
        <w:rPr>
          <w:bCs/>
          <w:sz w:val="22"/>
          <w:szCs w:val="22"/>
          <w:lang w:val="sr-Latn-ME"/>
        </w:rPr>
        <w:t xml:space="preserve">težine </w:t>
      </w:r>
      <w:r w:rsidRPr="00EC0535">
        <w:rPr>
          <w:bCs/>
          <w:sz w:val="22"/>
          <w:szCs w:val="22"/>
          <w:lang w:val="sr-Latn-ME"/>
        </w:rPr>
        <w:t>1/2, i ova neželjena dejstva su prolazila bez posebnog liječenja. Osip i dijareja gradusa 3/4 javili su se kod 9% odnosno 6% pacijenata koji su primali lijek i kod oba slučaja do obustavljanja terapije došlo je kod 1% pacijenata. Smanjenje doze zbog osipa i dijareje bilo je potrebno kod 6% odnosno 1% pacijenata. U studiji BR.21 medijana vremena do pojave osipa iznosila je 8 dana, a medijana vremena do pojave dijareje iznosila je 12 dana.</w:t>
      </w:r>
    </w:p>
    <w:p w:rsidR="00CE4F97" w:rsidRPr="00EC0535" w:rsidRDefault="00CE4F97" w:rsidP="00CE4F97">
      <w:pPr>
        <w:tabs>
          <w:tab w:val="left" w:pos="540"/>
          <w:tab w:val="left" w:pos="569"/>
        </w:tabs>
        <w:jc w:val="both"/>
        <w:rPr>
          <w:bCs/>
          <w:sz w:val="22"/>
          <w:szCs w:val="22"/>
          <w:lang w:val="sr-Latn-ME"/>
        </w:rPr>
      </w:pPr>
    </w:p>
    <w:p w:rsidR="00CE4F97" w:rsidRPr="00EC0535" w:rsidRDefault="00CE4F97" w:rsidP="00CE4F97">
      <w:pPr>
        <w:tabs>
          <w:tab w:val="left" w:pos="540"/>
          <w:tab w:val="left" w:pos="569"/>
        </w:tabs>
        <w:jc w:val="both"/>
        <w:rPr>
          <w:bCs/>
          <w:sz w:val="22"/>
          <w:szCs w:val="22"/>
          <w:lang w:val="sr-Latn-ME"/>
        </w:rPr>
      </w:pPr>
      <w:r w:rsidRPr="00EC0535">
        <w:rPr>
          <w:bCs/>
          <w:sz w:val="22"/>
          <w:szCs w:val="22"/>
          <w:lang w:val="sr-Latn-ME"/>
        </w:rPr>
        <w:t>Uopšteno, osip na koži se manifestuje kao blag do umjeren eritematozni ili papulopustulozni osip, koji se može pojaviti ili pogoršati na djelovima izloženim suncu. Za pacijente koji su izloženi suncu, može se preporučiti zaštitna odjeća, i/ili zaštitne kreme (npr. mineralnog sastava).</w:t>
      </w:r>
    </w:p>
    <w:p w:rsidR="00CE4F97" w:rsidRPr="00EC0535" w:rsidRDefault="00CE4F97" w:rsidP="00CE4F97">
      <w:pPr>
        <w:tabs>
          <w:tab w:val="left" w:pos="540"/>
          <w:tab w:val="left" w:pos="569"/>
        </w:tabs>
        <w:jc w:val="both"/>
        <w:rPr>
          <w:bCs/>
          <w:sz w:val="22"/>
          <w:szCs w:val="22"/>
          <w:lang w:val="sr-Latn-ME"/>
        </w:rPr>
      </w:pPr>
    </w:p>
    <w:p w:rsidR="00CE4F97" w:rsidRPr="00EC0535" w:rsidRDefault="00CE4F97" w:rsidP="00CE4F97">
      <w:pPr>
        <w:tabs>
          <w:tab w:val="left" w:pos="540"/>
          <w:tab w:val="left" w:pos="569"/>
        </w:tabs>
        <w:jc w:val="both"/>
        <w:rPr>
          <w:bCs/>
          <w:sz w:val="22"/>
          <w:szCs w:val="22"/>
          <w:u w:val="single"/>
          <w:lang w:val="sr-Latn-ME"/>
        </w:rPr>
      </w:pPr>
      <w:r w:rsidRPr="00EC0535">
        <w:rPr>
          <w:bCs/>
          <w:sz w:val="22"/>
          <w:szCs w:val="22"/>
          <w:u w:val="single"/>
          <w:lang w:val="sr-Latn-ME"/>
        </w:rPr>
        <w:t>Karcinom pankreasa (primjena erlotiniba u kombinaciji sa gemcitabinom):</w:t>
      </w:r>
    </w:p>
    <w:p w:rsidR="00CE4F97" w:rsidRPr="00EC0535" w:rsidRDefault="00CE4F97" w:rsidP="00CE4F97">
      <w:pPr>
        <w:tabs>
          <w:tab w:val="left" w:pos="540"/>
          <w:tab w:val="left" w:pos="569"/>
        </w:tabs>
        <w:jc w:val="both"/>
        <w:rPr>
          <w:bCs/>
          <w:sz w:val="22"/>
          <w:szCs w:val="22"/>
          <w:lang w:val="sr-Latn-ME"/>
        </w:rPr>
      </w:pPr>
      <w:r w:rsidRPr="00EC0535">
        <w:rPr>
          <w:bCs/>
          <w:sz w:val="22"/>
          <w:szCs w:val="22"/>
          <w:lang w:val="sr-Latn-ME"/>
        </w:rPr>
        <w:t>Najčešća neželjena dejstva u pivotalnoj studiji PA.3 kod pacijenata oboljelih od karcinoma pankreasa koji su primali erlotinib 100 mg u kombinaciji sa gemcitabinom bila su zamor, kožni osip i dijareja. U grupi koja je primala erlotinib u kombinaciji sa gemcitabinom</w:t>
      </w:r>
      <w:r w:rsidR="00C65056" w:rsidRPr="00EC0535">
        <w:rPr>
          <w:bCs/>
          <w:sz w:val="22"/>
          <w:szCs w:val="22"/>
          <w:lang w:val="sr-Latn-ME"/>
        </w:rPr>
        <w:t>,</w:t>
      </w:r>
      <w:r w:rsidRPr="00EC0535">
        <w:rPr>
          <w:bCs/>
          <w:sz w:val="22"/>
          <w:szCs w:val="22"/>
          <w:lang w:val="sr-Latn-ME"/>
        </w:rPr>
        <w:t xml:space="preserve"> kod 5% pacijenata zabilježeni su osip i </w:t>
      </w:r>
      <w:r w:rsidRPr="00EC0535">
        <w:rPr>
          <w:bCs/>
          <w:sz w:val="22"/>
          <w:szCs w:val="22"/>
          <w:lang w:val="sr-Latn-ME"/>
        </w:rPr>
        <w:lastRenderedPageBreak/>
        <w:t>dijareja gradusa 3/4. Medijana vremena do pojave osipa i dijareje bila je 10 dana, odnosno 15 dana. Kod 2% pacijenata koji su primali erlotinib u kombinaciji sa gemcitabinom, zbog osipa i dijareje se morala smanjiti doza, dok je kod 1% pacijenata ispitivanje prekinuto.</w:t>
      </w:r>
    </w:p>
    <w:p w:rsidR="00CE4F97" w:rsidRPr="00EC0535" w:rsidRDefault="00CE4F97" w:rsidP="00CE4F97">
      <w:pPr>
        <w:tabs>
          <w:tab w:val="left" w:pos="540"/>
          <w:tab w:val="left" w:pos="569"/>
        </w:tabs>
        <w:jc w:val="both"/>
        <w:rPr>
          <w:bCs/>
          <w:sz w:val="22"/>
          <w:szCs w:val="22"/>
          <w:lang w:val="sr-Latn-ME"/>
        </w:rPr>
      </w:pPr>
    </w:p>
    <w:p w:rsidR="00CE4F97" w:rsidRPr="00A728E1" w:rsidRDefault="00CE4F97" w:rsidP="00CE4F97">
      <w:pPr>
        <w:tabs>
          <w:tab w:val="left" w:pos="540"/>
          <w:tab w:val="left" w:pos="569"/>
        </w:tabs>
        <w:jc w:val="both"/>
        <w:rPr>
          <w:b/>
          <w:bCs/>
          <w:sz w:val="22"/>
          <w:szCs w:val="22"/>
          <w:lang w:val="sr-Latn-ME"/>
        </w:rPr>
      </w:pPr>
      <w:r w:rsidRPr="00A728E1">
        <w:rPr>
          <w:b/>
          <w:bCs/>
          <w:sz w:val="22"/>
          <w:szCs w:val="22"/>
          <w:lang w:val="sr-Latn-ME"/>
        </w:rPr>
        <w:t xml:space="preserve">Tabela 1. Neželjena dejstva </w:t>
      </w:r>
      <w:r w:rsidR="00C65056" w:rsidRPr="00A728E1">
        <w:rPr>
          <w:b/>
          <w:bCs/>
          <w:sz w:val="22"/>
          <w:szCs w:val="22"/>
          <w:lang w:val="sr-Latn-ME"/>
        </w:rPr>
        <w:t xml:space="preserve">koja </w:t>
      </w:r>
      <w:r w:rsidRPr="00A728E1">
        <w:rPr>
          <w:b/>
          <w:bCs/>
          <w:sz w:val="22"/>
          <w:szCs w:val="22"/>
          <w:lang w:val="sr-Latn-ME"/>
        </w:rPr>
        <w:t>su se javila kod ≥10% pacijenata u studijama BR.21 (liječenih erlotinibom) i PA.3 (liječenih erlotinibom i gemcitabinom) i neželjena dejstva koja su se javljala češće (≥ 3%) nego uz placebo u studijama BR.21 (liječenje erlotinibom) i PA.3 (liječenje erlotinibom i gemcitabinom)</w:t>
      </w:r>
    </w:p>
    <w:tbl>
      <w:tblPr>
        <w:tblW w:w="5000" w:type="pct"/>
        <w:tblLook w:val="04A0" w:firstRow="1" w:lastRow="0" w:firstColumn="1" w:lastColumn="0" w:noHBand="0" w:noVBand="1"/>
      </w:tblPr>
      <w:tblGrid>
        <w:gridCol w:w="2040"/>
        <w:gridCol w:w="1031"/>
        <w:gridCol w:w="863"/>
        <w:gridCol w:w="857"/>
        <w:gridCol w:w="961"/>
        <w:gridCol w:w="857"/>
        <w:gridCol w:w="859"/>
        <w:gridCol w:w="1595"/>
      </w:tblGrid>
      <w:tr w:rsidR="00F14A82" w:rsidRPr="00EC0535" w:rsidTr="008E6C38">
        <w:trPr>
          <w:trHeight w:val="1130"/>
        </w:trPr>
        <w:tc>
          <w:tcPr>
            <w:tcW w:w="11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58F" w:rsidRPr="00EC0535" w:rsidRDefault="0006558F" w:rsidP="0006558F">
            <w:pPr>
              <w:jc w:val="center"/>
              <w:rPr>
                <w:sz w:val="22"/>
                <w:szCs w:val="22"/>
                <w:lang w:val="sr-Latn-ME" w:eastAsia="en-GB"/>
              </w:rPr>
            </w:pPr>
            <w:r w:rsidRPr="00EC0535">
              <w:rPr>
                <w:sz w:val="22"/>
                <w:szCs w:val="22"/>
                <w:lang w:val="sr-Latn-ME"/>
              </w:rPr>
              <w:t> </w:t>
            </w:r>
          </w:p>
        </w:tc>
        <w:tc>
          <w:tcPr>
            <w:tcW w:w="151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Erlotinib (BR.21)</w:t>
            </w:r>
          </w:p>
          <w:p w:rsidR="0006558F" w:rsidRPr="00EC0535" w:rsidRDefault="0006558F" w:rsidP="0006558F">
            <w:pPr>
              <w:jc w:val="center"/>
              <w:rPr>
                <w:b/>
                <w:bCs/>
                <w:sz w:val="22"/>
                <w:szCs w:val="20"/>
                <w:lang w:val="sr-Latn-ME"/>
              </w:rPr>
            </w:pPr>
            <w:r w:rsidRPr="00EC0535">
              <w:rPr>
                <w:b/>
                <w:bCs/>
                <w:sz w:val="22"/>
                <w:szCs w:val="20"/>
                <w:lang w:val="sr-Latn-ME"/>
              </w:rPr>
              <w:t>N = 485</w:t>
            </w:r>
          </w:p>
        </w:tc>
        <w:tc>
          <w:tcPr>
            <w:tcW w:w="1477"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Erlotinib (PA.3)</w:t>
            </w:r>
          </w:p>
          <w:p w:rsidR="0006558F" w:rsidRPr="00EC0535" w:rsidRDefault="0006558F" w:rsidP="0006558F">
            <w:pPr>
              <w:jc w:val="center"/>
              <w:rPr>
                <w:b/>
                <w:bCs/>
                <w:sz w:val="22"/>
                <w:szCs w:val="20"/>
                <w:lang w:val="sr-Latn-ME"/>
              </w:rPr>
            </w:pPr>
            <w:r w:rsidRPr="00EC0535">
              <w:rPr>
                <w:b/>
                <w:bCs/>
                <w:sz w:val="22"/>
                <w:szCs w:val="20"/>
                <w:lang w:val="sr-Latn-ME"/>
              </w:rPr>
              <w:t>N = 259</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 xml:space="preserve">Kategorija najveće učestalosti </w:t>
            </w:r>
          </w:p>
        </w:tc>
      </w:tr>
      <w:tr w:rsidR="00F14A82" w:rsidRPr="00EC0535" w:rsidTr="008E6C38">
        <w:trPr>
          <w:trHeight w:val="510"/>
        </w:trPr>
        <w:tc>
          <w:tcPr>
            <w:tcW w:w="1125" w:type="pct"/>
            <w:tcBorders>
              <w:top w:val="single" w:sz="4" w:space="0" w:color="auto"/>
              <w:left w:val="single" w:sz="4" w:space="0" w:color="7B7B7B"/>
              <w:bottom w:val="single" w:sz="4" w:space="0" w:color="7B7B7B"/>
              <w:right w:val="single" w:sz="4" w:space="0" w:color="7B7B7B"/>
            </w:tcBorders>
            <w:shd w:val="clear" w:color="auto" w:fill="FFFFFF"/>
            <w:vAlign w:val="center"/>
            <w:hideMark/>
          </w:tcPr>
          <w:p w:rsidR="0006558F" w:rsidRPr="00EC0535" w:rsidRDefault="0006558F" w:rsidP="0006558F">
            <w:pPr>
              <w:rPr>
                <w:b/>
                <w:bCs/>
                <w:sz w:val="22"/>
                <w:szCs w:val="20"/>
                <w:lang w:val="sr-Latn-ME"/>
              </w:rPr>
            </w:pPr>
            <w:r w:rsidRPr="00EC0535">
              <w:rPr>
                <w:b/>
                <w:bCs/>
                <w:sz w:val="22"/>
                <w:szCs w:val="20"/>
                <w:lang w:val="sr-Latn-ME"/>
              </w:rPr>
              <w:t>NCI-CTC gradus</w:t>
            </w:r>
          </w:p>
        </w:tc>
        <w:tc>
          <w:tcPr>
            <w:tcW w:w="5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Bilo koji gradusi</w:t>
            </w:r>
          </w:p>
        </w:tc>
        <w:tc>
          <w:tcPr>
            <w:tcW w:w="476" w:type="pct"/>
            <w:tcBorders>
              <w:top w:val="single" w:sz="4" w:space="0" w:color="auto"/>
              <w:left w:val="single" w:sz="4" w:space="0" w:color="7B7B7B"/>
              <w:bottom w:val="single" w:sz="4" w:space="0" w:color="7B7B7B"/>
              <w:right w:val="single" w:sz="4" w:space="0" w:color="7B7B7B"/>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3</w:t>
            </w:r>
          </w:p>
        </w:tc>
        <w:tc>
          <w:tcPr>
            <w:tcW w:w="473" w:type="pct"/>
            <w:tcBorders>
              <w:top w:val="single" w:sz="4" w:space="0" w:color="auto"/>
              <w:left w:val="nil"/>
              <w:bottom w:val="single" w:sz="4" w:space="0" w:color="7B7B7B"/>
              <w:right w:val="single" w:sz="4" w:space="0" w:color="7B7B7B"/>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4</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Bilo koji  gradusi</w:t>
            </w:r>
          </w:p>
        </w:tc>
        <w:tc>
          <w:tcPr>
            <w:tcW w:w="473" w:type="pct"/>
            <w:tcBorders>
              <w:top w:val="single" w:sz="4" w:space="0" w:color="auto"/>
              <w:left w:val="nil"/>
              <w:bottom w:val="single" w:sz="4" w:space="0" w:color="auto"/>
              <w:right w:val="single" w:sz="4" w:space="0" w:color="auto"/>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3</w:t>
            </w:r>
          </w:p>
        </w:tc>
        <w:tc>
          <w:tcPr>
            <w:tcW w:w="474" w:type="pct"/>
            <w:tcBorders>
              <w:top w:val="single" w:sz="4" w:space="0" w:color="auto"/>
              <w:left w:val="nil"/>
              <w:bottom w:val="single" w:sz="4" w:space="0" w:color="auto"/>
              <w:right w:val="nil"/>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4</w:t>
            </w:r>
          </w:p>
        </w:tc>
        <w:tc>
          <w:tcPr>
            <w:tcW w:w="880" w:type="pct"/>
            <w:tcBorders>
              <w:top w:val="single" w:sz="4" w:space="0" w:color="auto"/>
              <w:left w:val="single" w:sz="4" w:space="0" w:color="auto"/>
              <w:bottom w:val="nil"/>
              <w:right w:val="single" w:sz="4" w:space="0" w:color="auto"/>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 </w:t>
            </w:r>
          </w:p>
        </w:tc>
      </w:tr>
      <w:tr w:rsidR="00F14A82" w:rsidRPr="00EC0535" w:rsidTr="00F14A82">
        <w:trPr>
          <w:trHeight w:val="765"/>
        </w:trPr>
        <w:tc>
          <w:tcPr>
            <w:tcW w:w="1125" w:type="pct"/>
            <w:tcBorders>
              <w:top w:val="nil"/>
              <w:left w:val="single" w:sz="4" w:space="0" w:color="7B7B7B"/>
              <w:bottom w:val="single" w:sz="4" w:space="0" w:color="auto"/>
              <w:right w:val="single" w:sz="4" w:space="0" w:color="7B7B7B"/>
            </w:tcBorders>
            <w:shd w:val="clear" w:color="auto" w:fill="FFFFFF"/>
            <w:vAlign w:val="center"/>
            <w:hideMark/>
          </w:tcPr>
          <w:p w:rsidR="0006558F" w:rsidRPr="00EC0535" w:rsidRDefault="0006558F" w:rsidP="0006558F">
            <w:pPr>
              <w:rPr>
                <w:b/>
                <w:bCs/>
                <w:sz w:val="22"/>
                <w:szCs w:val="20"/>
                <w:lang w:val="sr-Latn-ME"/>
              </w:rPr>
            </w:pPr>
            <w:r w:rsidRPr="00EC0535">
              <w:rPr>
                <w:b/>
                <w:bCs/>
                <w:sz w:val="22"/>
                <w:szCs w:val="20"/>
                <w:lang w:val="sr-Latn-ME"/>
              </w:rPr>
              <w:t>MedDRA preporučeni izraz</w:t>
            </w:r>
          </w:p>
        </w:tc>
        <w:tc>
          <w:tcPr>
            <w:tcW w:w="569" w:type="pct"/>
            <w:tcBorders>
              <w:top w:val="single" w:sz="4" w:space="0" w:color="7B7B7B"/>
              <w:left w:val="nil"/>
              <w:bottom w:val="single" w:sz="4" w:space="0" w:color="auto"/>
              <w:right w:val="single" w:sz="4" w:space="0" w:color="7B7B7B"/>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w:t>
            </w:r>
          </w:p>
        </w:tc>
        <w:tc>
          <w:tcPr>
            <w:tcW w:w="476" w:type="pct"/>
            <w:tcBorders>
              <w:top w:val="nil"/>
              <w:left w:val="nil"/>
              <w:bottom w:val="single" w:sz="4" w:space="0" w:color="auto"/>
              <w:right w:val="single" w:sz="4" w:space="0" w:color="7B7B7B"/>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w:t>
            </w:r>
          </w:p>
        </w:tc>
        <w:tc>
          <w:tcPr>
            <w:tcW w:w="473" w:type="pct"/>
            <w:tcBorders>
              <w:top w:val="nil"/>
              <w:left w:val="nil"/>
              <w:bottom w:val="single" w:sz="4" w:space="0" w:color="auto"/>
              <w:right w:val="single" w:sz="4" w:space="0" w:color="7B7B7B"/>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w:t>
            </w:r>
          </w:p>
        </w:tc>
        <w:tc>
          <w:tcPr>
            <w:tcW w:w="530" w:type="pct"/>
            <w:tcBorders>
              <w:top w:val="single" w:sz="4" w:space="0" w:color="7B7B7B"/>
              <w:left w:val="nil"/>
              <w:bottom w:val="single" w:sz="4" w:space="0" w:color="auto"/>
              <w:right w:val="nil"/>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w:t>
            </w:r>
          </w:p>
        </w:tc>
        <w:tc>
          <w:tcPr>
            <w:tcW w:w="473" w:type="pct"/>
            <w:tcBorders>
              <w:top w:val="nil"/>
              <w:left w:val="single" w:sz="4" w:space="0" w:color="auto"/>
              <w:bottom w:val="single" w:sz="4" w:space="0" w:color="auto"/>
              <w:right w:val="single" w:sz="4" w:space="0" w:color="auto"/>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w:t>
            </w:r>
          </w:p>
        </w:tc>
        <w:tc>
          <w:tcPr>
            <w:tcW w:w="474" w:type="pct"/>
            <w:tcBorders>
              <w:top w:val="nil"/>
              <w:left w:val="nil"/>
              <w:bottom w:val="single" w:sz="4" w:space="0" w:color="auto"/>
              <w:right w:val="single" w:sz="4" w:space="0" w:color="auto"/>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w:t>
            </w:r>
          </w:p>
        </w:tc>
        <w:tc>
          <w:tcPr>
            <w:tcW w:w="880" w:type="pct"/>
            <w:tcBorders>
              <w:top w:val="nil"/>
              <w:left w:val="nil"/>
              <w:bottom w:val="single" w:sz="4" w:space="0" w:color="auto"/>
              <w:right w:val="single" w:sz="4" w:space="0" w:color="7B7B7B"/>
            </w:tcBorders>
            <w:shd w:val="clear" w:color="auto" w:fill="FFFFFF"/>
            <w:vAlign w:val="center"/>
            <w:hideMark/>
          </w:tcPr>
          <w:p w:rsidR="0006558F" w:rsidRPr="00EC0535" w:rsidRDefault="0006558F" w:rsidP="0006558F">
            <w:pPr>
              <w:jc w:val="center"/>
              <w:rPr>
                <w:b/>
                <w:bCs/>
                <w:sz w:val="22"/>
                <w:szCs w:val="20"/>
                <w:lang w:val="sr-Latn-ME"/>
              </w:rPr>
            </w:pPr>
            <w:r w:rsidRPr="00EC0535">
              <w:rPr>
                <w:b/>
                <w:bCs/>
                <w:sz w:val="22"/>
                <w:szCs w:val="20"/>
                <w:lang w:val="sr-Latn-ME"/>
              </w:rPr>
              <w:t> </w:t>
            </w:r>
          </w:p>
        </w:tc>
      </w:tr>
      <w:tr w:rsidR="00F14A82" w:rsidRPr="00EC0535" w:rsidTr="00F14A82">
        <w:trPr>
          <w:trHeight w:val="300"/>
        </w:trPr>
        <w:tc>
          <w:tcPr>
            <w:tcW w:w="1125" w:type="pct"/>
            <w:tcBorders>
              <w:top w:val="nil"/>
              <w:left w:val="single" w:sz="4" w:space="0" w:color="7B7B7B"/>
              <w:bottom w:val="single" w:sz="4" w:space="0" w:color="auto"/>
              <w:right w:val="single" w:sz="4" w:space="0" w:color="7B7B7B"/>
            </w:tcBorders>
            <w:shd w:val="clear" w:color="auto" w:fill="FFFFFF"/>
            <w:vAlign w:val="center"/>
          </w:tcPr>
          <w:p w:rsidR="0006558F" w:rsidRPr="00EC0535" w:rsidRDefault="0006558F" w:rsidP="0006558F">
            <w:pPr>
              <w:rPr>
                <w:sz w:val="22"/>
                <w:szCs w:val="20"/>
                <w:lang w:val="sr-Latn-ME"/>
              </w:rPr>
            </w:pPr>
          </w:p>
        </w:tc>
        <w:tc>
          <w:tcPr>
            <w:tcW w:w="0" w:type="auto"/>
            <w:tcBorders>
              <w:top w:val="nil"/>
              <w:left w:val="single" w:sz="4" w:space="0" w:color="7B7B7B"/>
              <w:bottom w:val="single" w:sz="4" w:space="0" w:color="auto"/>
              <w:right w:val="single" w:sz="4" w:space="0" w:color="7B7B7B"/>
            </w:tcBorders>
            <w:shd w:val="clear" w:color="auto" w:fill="FFFFFF"/>
            <w:vAlign w:val="center"/>
          </w:tcPr>
          <w:p w:rsidR="0006558F" w:rsidRPr="00EC0535" w:rsidRDefault="0006558F" w:rsidP="0006558F">
            <w:pPr>
              <w:jc w:val="center"/>
              <w:rPr>
                <w:sz w:val="22"/>
                <w:szCs w:val="20"/>
                <w:lang w:val="sr-Latn-ME"/>
              </w:rPr>
            </w:pPr>
          </w:p>
        </w:tc>
        <w:tc>
          <w:tcPr>
            <w:tcW w:w="0" w:type="auto"/>
            <w:tcBorders>
              <w:top w:val="nil"/>
              <w:left w:val="single" w:sz="4" w:space="0" w:color="7B7B7B"/>
              <w:bottom w:val="single" w:sz="4" w:space="0" w:color="auto"/>
              <w:right w:val="single" w:sz="4" w:space="0" w:color="7B7B7B"/>
            </w:tcBorders>
            <w:shd w:val="clear" w:color="auto" w:fill="FFFFFF"/>
            <w:vAlign w:val="center"/>
          </w:tcPr>
          <w:p w:rsidR="0006558F" w:rsidRPr="00EC0535" w:rsidRDefault="0006558F" w:rsidP="0006558F">
            <w:pPr>
              <w:jc w:val="center"/>
              <w:rPr>
                <w:sz w:val="22"/>
                <w:szCs w:val="20"/>
                <w:lang w:val="sr-Latn-ME"/>
              </w:rPr>
            </w:pPr>
          </w:p>
        </w:tc>
        <w:tc>
          <w:tcPr>
            <w:tcW w:w="0" w:type="auto"/>
            <w:tcBorders>
              <w:top w:val="nil"/>
              <w:left w:val="single" w:sz="4" w:space="0" w:color="7B7B7B"/>
              <w:bottom w:val="single" w:sz="4" w:space="0" w:color="auto"/>
              <w:right w:val="single" w:sz="4" w:space="0" w:color="7B7B7B"/>
            </w:tcBorders>
            <w:shd w:val="clear" w:color="auto" w:fill="FFFFFF"/>
            <w:vAlign w:val="center"/>
          </w:tcPr>
          <w:p w:rsidR="0006558F" w:rsidRPr="00EC0535" w:rsidRDefault="0006558F" w:rsidP="0006558F">
            <w:pPr>
              <w:jc w:val="center"/>
              <w:rPr>
                <w:sz w:val="22"/>
                <w:szCs w:val="20"/>
                <w:lang w:val="sr-Latn-ME"/>
              </w:rPr>
            </w:pPr>
          </w:p>
        </w:tc>
        <w:tc>
          <w:tcPr>
            <w:tcW w:w="0" w:type="auto"/>
            <w:tcBorders>
              <w:top w:val="nil"/>
              <w:left w:val="single" w:sz="4" w:space="0" w:color="7B7B7B"/>
              <w:bottom w:val="single" w:sz="4" w:space="0" w:color="auto"/>
              <w:right w:val="single" w:sz="4" w:space="0" w:color="7B7B7B"/>
            </w:tcBorders>
            <w:shd w:val="clear" w:color="auto" w:fill="FFFFFF"/>
            <w:vAlign w:val="center"/>
          </w:tcPr>
          <w:p w:rsidR="0006558F" w:rsidRPr="00EC0535" w:rsidRDefault="0006558F" w:rsidP="0006558F">
            <w:pPr>
              <w:jc w:val="center"/>
              <w:rPr>
                <w:sz w:val="22"/>
                <w:szCs w:val="20"/>
                <w:lang w:val="sr-Latn-ME"/>
              </w:rPr>
            </w:pPr>
          </w:p>
        </w:tc>
        <w:tc>
          <w:tcPr>
            <w:tcW w:w="0" w:type="auto"/>
            <w:tcBorders>
              <w:top w:val="nil"/>
              <w:left w:val="single" w:sz="4" w:space="0" w:color="7B7B7B"/>
              <w:bottom w:val="single" w:sz="4" w:space="0" w:color="auto"/>
              <w:right w:val="single" w:sz="4" w:space="0" w:color="7B7B7B"/>
            </w:tcBorders>
            <w:shd w:val="clear" w:color="auto" w:fill="FFFFFF"/>
            <w:vAlign w:val="center"/>
          </w:tcPr>
          <w:p w:rsidR="0006558F" w:rsidRPr="00EC0535" w:rsidRDefault="0006558F" w:rsidP="0006558F">
            <w:pPr>
              <w:jc w:val="center"/>
              <w:rPr>
                <w:sz w:val="22"/>
                <w:szCs w:val="20"/>
                <w:lang w:val="sr-Latn-ME"/>
              </w:rPr>
            </w:pPr>
          </w:p>
        </w:tc>
        <w:tc>
          <w:tcPr>
            <w:tcW w:w="0" w:type="auto"/>
            <w:tcBorders>
              <w:top w:val="nil"/>
              <w:left w:val="single" w:sz="4" w:space="0" w:color="7B7B7B"/>
              <w:bottom w:val="single" w:sz="4" w:space="0" w:color="auto"/>
              <w:right w:val="single" w:sz="4" w:space="0" w:color="7B7B7B"/>
            </w:tcBorders>
            <w:shd w:val="clear" w:color="auto" w:fill="FFFFFF"/>
            <w:vAlign w:val="center"/>
          </w:tcPr>
          <w:p w:rsidR="0006558F" w:rsidRPr="00EC0535" w:rsidRDefault="0006558F" w:rsidP="0006558F">
            <w:pPr>
              <w:jc w:val="center"/>
              <w:rPr>
                <w:sz w:val="22"/>
                <w:szCs w:val="20"/>
                <w:lang w:val="sr-Latn-ME"/>
              </w:rPr>
            </w:pPr>
          </w:p>
        </w:tc>
        <w:tc>
          <w:tcPr>
            <w:tcW w:w="0" w:type="auto"/>
            <w:tcBorders>
              <w:top w:val="nil"/>
              <w:left w:val="single" w:sz="4" w:space="0" w:color="7B7B7B"/>
              <w:bottom w:val="single" w:sz="4" w:space="0" w:color="auto"/>
              <w:right w:val="single" w:sz="4" w:space="0" w:color="7B7B7B"/>
            </w:tcBorders>
            <w:shd w:val="clear" w:color="auto" w:fill="FFFFFF"/>
            <w:vAlign w:val="center"/>
          </w:tcPr>
          <w:p w:rsidR="0006558F" w:rsidRPr="00EC0535" w:rsidRDefault="0006558F" w:rsidP="0006558F">
            <w:pPr>
              <w:jc w:val="center"/>
              <w:rPr>
                <w:sz w:val="22"/>
                <w:szCs w:val="20"/>
                <w:lang w:val="sr-Latn-ME"/>
              </w:rPr>
            </w:pPr>
          </w:p>
        </w:tc>
      </w:tr>
      <w:tr w:rsidR="00F14A82" w:rsidRPr="00EC0535" w:rsidTr="00F14A82">
        <w:trPr>
          <w:trHeight w:val="300"/>
        </w:trPr>
        <w:tc>
          <w:tcPr>
            <w:tcW w:w="1125" w:type="pct"/>
            <w:tcBorders>
              <w:top w:val="nil"/>
              <w:left w:val="single" w:sz="4" w:space="0" w:color="7B7B7B"/>
              <w:bottom w:val="single" w:sz="4" w:space="0" w:color="auto"/>
              <w:right w:val="single" w:sz="4" w:space="0" w:color="7B7B7B"/>
            </w:tcBorders>
            <w:shd w:val="clear" w:color="auto" w:fill="FFFFFF"/>
            <w:vAlign w:val="center"/>
          </w:tcPr>
          <w:p w:rsidR="008511A0" w:rsidRPr="00EC0535" w:rsidRDefault="00F14A82" w:rsidP="008511A0">
            <w:pPr>
              <w:ind w:right="-225"/>
              <w:rPr>
                <w:sz w:val="22"/>
                <w:szCs w:val="20"/>
                <w:lang w:val="sr-Latn-ME"/>
              </w:rPr>
            </w:pPr>
            <w:r w:rsidRPr="00EC0535">
              <w:rPr>
                <w:i/>
                <w:iCs/>
                <w:sz w:val="22"/>
                <w:szCs w:val="20"/>
                <w:lang w:val="sr-Latn-ME"/>
              </w:rPr>
              <w:t>Infekcije i infestacije</w:t>
            </w:r>
            <w:r w:rsidRPr="00EC0535">
              <w:rPr>
                <w:sz w:val="22"/>
                <w:szCs w:val="20"/>
                <w:lang w:val="sr-Latn-ME"/>
              </w:rPr>
              <w:t xml:space="preserve"> </w:t>
            </w:r>
          </w:p>
          <w:p w:rsidR="00AD07B6" w:rsidRPr="00EC0535" w:rsidRDefault="00AD07B6" w:rsidP="00A728E1">
            <w:pPr>
              <w:ind w:right="-225"/>
              <w:jc w:val="right"/>
              <w:rPr>
                <w:sz w:val="22"/>
                <w:szCs w:val="20"/>
                <w:lang w:val="sr-Latn-ME"/>
              </w:rPr>
            </w:pPr>
          </w:p>
          <w:p w:rsidR="00F14A82" w:rsidRPr="00EC0535" w:rsidRDefault="00F14A82" w:rsidP="00A728E1">
            <w:pPr>
              <w:ind w:right="-225"/>
              <w:jc w:val="center"/>
              <w:rPr>
                <w:sz w:val="22"/>
                <w:szCs w:val="20"/>
                <w:lang w:val="sr-Latn-ME"/>
              </w:rPr>
            </w:pPr>
            <w:r w:rsidRPr="00EC0535">
              <w:rPr>
                <w:sz w:val="22"/>
                <w:szCs w:val="20"/>
                <w:lang w:val="sr-Latn-ME"/>
              </w:rPr>
              <w:t>Infekcija*</w:t>
            </w:r>
          </w:p>
        </w:tc>
        <w:tc>
          <w:tcPr>
            <w:tcW w:w="0" w:type="auto"/>
            <w:tcBorders>
              <w:top w:val="nil"/>
              <w:left w:val="single" w:sz="4" w:space="0" w:color="7B7B7B"/>
              <w:bottom w:val="single" w:sz="4" w:space="0" w:color="auto"/>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24</w:t>
            </w:r>
          </w:p>
        </w:tc>
        <w:tc>
          <w:tcPr>
            <w:tcW w:w="0" w:type="auto"/>
            <w:tcBorders>
              <w:top w:val="nil"/>
              <w:left w:val="single" w:sz="4" w:space="0" w:color="7B7B7B"/>
              <w:bottom w:val="single" w:sz="4" w:space="0" w:color="auto"/>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4</w:t>
            </w:r>
          </w:p>
        </w:tc>
        <w:tc>
          <w:tcPr>
            <w:tcW w:w="0" w:type="auto"/>
            <w:tcBorders>
              <w:top w:val="nil"/>
              <w:left w:val="single" w:sz="4" w:space="0" w:color="7B7B7B"/>
              <w:bottom w:val="single" w:sz="4" w:space="0" w:color="auto"/>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0</w:t>
            </w:r>
          </w:p>
        </w:tc>
        <w:tc>
          <w:tcPr>
            <w:tcW w:w="0" w:type="auto"/>
            <w:tcBorders>
              <w:top w:val="nil"/>
              <w:left w:val="single" w:sz="4" w:space="0" w:color="7B7B7B"/>
              <w:bottom w:val="single" w:sz="4" w:space="0" w:color="auto"/>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31</w:t>
            </w:r>
          </w:p>
        </w:tc>
        <w:tc>
          <w:tcPr>
            <w:tcW w:w="0" w:type="auto"/>
            <w:tcBorders>
              <w:top w:val="nil"/>
              <w:left w:val="single" w:sz="4" w:space="0" w:color="7B7B7B"/>
              <w:bottom w:val="single" w:sz="4" w:space="0" w:color="auto"/>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3</w:t>
            </w:r>
          </w:p>
        </w:tc>
        <w:tc>
          <w:tcPr>
            <w:tcW w:w="0" w:type="auto"/>
            <w:tcBorders>
              <w:top w:val="nil"/>
              <w:left w:val="single" w:sz="4" w:space="0" w:color="7B7B7B"/>
              <w:bottom w:val="single" w:sz="4" w:space="0" w:color="auto"/>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&lt;1</w:t>
            </w:r>
          </w:p>
        </w:tc>
        <w:tc>
          <w:tcPr>
            <w:tcW w:w="0" w:type="auto"/>
            <w:tcBorders>
              <w:top w:val="nil"/>
              <w:left w:val="single" w:sz="4" w:space="0" w:color="7B7B7B"/>
              <w:bottom w:val="single" w:sz="4" w:space="0" w:color="auto"/>
              <w:right w:val="single" w:sz="4" w:space="0" w:color="7B7B7B"/>
            </w:tcBorders>
            <w:shd w:val="clear" w:color="auto" w:fill="FFFFFF"/>
            <w:vAlign w:val="center"/>
          </w:tcPr>
          <w:p w:rsidR="00F14A82" w:rsidRPr="00EC0535" w:rsidRDefault="00F14A82" w:rsidP="001A6D35">
            <w:pPr>
              <w:jc w:val="center"/>
              <w:rPr>
                <w:sz w:val="22"/>
                <w:szCs w:val="20"/>
                <w:lang w:val="sr-Latn-ME"/>
              </w:rPr>
            </w:pPr>
            <w:r w:rsidRPr="00EC0535">
              <w:rPr>
                <w:sz w:val="22"/>
                <w:szCs w:val="20"/>
                <w:lang w:val="sr-Latn-ME"/>
              </w:rPr>
              <w:t>veoma čest</w:t>
            </w:r>
            <w:r w:rsidR="001A6D35" w:rsidRPr="00EC0535">
              <w:rPr>
                <w:sz w:val="22"/>
                <w:szCs w:val="20"/>
                <w:lang w:val="sr-Latn-ME"/>
              </w:rPr>
              <w:t>o</w:t>
            </w:r>
          </w:p>
        </w:tc>
      </w:tr>
      <w:tr w:rsidR="00F14A82" w:rsidRPr="00EC0535" w:rsidTr="00F14A82">
        <w:trPr>
          <w:trHeight w:val="510"/>
        </w:trPr>
        <w:tc>
          <w:tcPr>
            <w:tcW w:w="1125" w:type="pct"/>
            <w:tcBorders>
              <w:top w:val="nil"/>
              <w:left w:val="single" w:sz="4" w:space="0" w:color="7B7B7B"/>
              <w:bottom w:val="nil"/>
              <w:right w:val="single" w:sz="4" w:space="0" w:color="7B7B7B"/>
            </w:tcBorders>
            <w:shd w:val="clear" w:color="auto" w:fill="FFFFFF"/>
            <w:vAlign w:val="center"/>
          </w:tcPr>
          <w:p w:rsidR="00F14A82" w:rsidRPr="00EC0535" w:rsidRDefault="00F14A82" w:rsidP="00F14A82">
            <w:pPr>
              <w:rPr>
                <w:sz w:val="22"/>
                <w:szCs w:val="20"/>
                <w:lang w:val="sr-Latn-ME"/>
              </w:rPr>
            </w:pPr>
            <w:r w:rsidRPr="00EC0535">
              <w:rPr>
                <w:i/>
                <w:iCs/>
                <w:sz w:val="22"/>
                <w:szCs w:val="20"/>
                <w:lang w:val="sr-Latn-ME"/>
              </w:rPr>
              <w:t>Poremećaji metabolizma i ishrane</w:t>
            </w:r>
          </w:p>
        </w:tc>
        <w:tc>
          <w:tcPr>
            <w:tcW w:w="569" w:type="pct"/>
            <w:tcBorders>
              <w:top w:val="nil"/>
              <w:left w:val="nil"/>
              <w:bottom w:val="nil"/>
              <w:right w:val="single" w:sz="4" w:space="0" w:color="7B7B7B"/>
            </w:tcBorders>
            <w:shd w:val="clear" w:color="auto" w:fill="FFFFFF"/>
            <w:vAlign w:val="center"/>
          </w:tcPr>
          <w:p w:rsidR="00F14A82" w:rsidRPr="00EC0535" w:rsidRDefault="00F14A82" w:rsidP="00F14A82">
            <w:pPr>
              <w:jc w:val="center"/>
              <w:rPr>
                <w:sz w:val="22"/>
                <w:szCs w:val="20"/>
                <w:lang w:val="sr-Latn-ME"/>
              </w:rPr>
            </w:pPr>
          </w:p>
        </w:tc>
        <w:tc>
          <w:tcPr>
            <w:tcW w:w="476" w:type="pct"/>
            <w:tcBorders>
              <w:top w:val="nil"/>
              <w:left w:val="nil"/>
              <w:bottom w:val="nil"/>
              <w:right w:val="single" w:sz="4" w:space="0" w:color="7B7B7B"/>
            </w:tcBorders>
            <w:shd w:val="clear" w:color="auto" w:fill="FFFFFF"/>
            <w:vAlign w:val="center"/>
          </w:tcPr>
          <w:p w:rsidR="00F14A82" w:rsidRPr="00EC0535" w:rsidRDefault="00F14A82" w:rsidP="00F14A82">
            <w:pPr>
              <w:jc w:val="center"/>
              <w:rPr>
                <w:sz w:val="22"/>
                <w:szCs w:val="20"/>
                <w:lang w:val="sr-Latn-ME"/>
              </w:rPr>
            </w:pPr>
          </w:p>
        </w:tc>
        <w:tc>
          <w:tcPr>
            <w:tcW w:w="473" w:type="pct"/>
            <w:tcBorders>
              <w:top w:val="nil"/>
              <w:left w:val="nil"/>
              <w:bottom w:val="nil"/>
              <w:right w:val="single" w:sz="4" w:space="0" w:color="7B7B7B"/>
            </w:tcBorders>
            <w:shd w:val="clear" w:color="auto" w:fill="FFFFFF"/>
            <w:vAlign w:val="center"/>
          </w:tcPr>
          <w:p w:rsidR="00F14A82" w:rsidRPr="00EC0535" w:rsidRDefault="00F14A82" w:rsidP="00F14A82">
            <w:pPr>
              <w:jc w:val="center"/>
              <w:rPr>
                <w:sz w:val="22"/>
                <w:szCs w:val="20"/>
                <w:lang w:val="sr-Latn-ME"/>
              </w:rPr>
            </w:pPr>
          </w:p>
        </w:tc>
        <w:tc>
          <w:tcPr>
            <w:tcW w:w="530" w:type="pct"/>
            <w:tcBorders>
              <w:top w:val="nil"/>
              <w:left w:val="nil"/>
              <w:bottom w:val="nil"/>
              <w:right w:val="single" w:sz="4" w:space="0" w:color="7B7B7B"/>
            </w:tcBorders>
            <w:shd w:val="clear" w:color="auto" w:fill="FFFFFF"/>
            <w:vAlign w:val="center"/>
          </w:tcPr>
          <w:p w:rsidR="00F14A82" w:rsidRPr="00EC0535" w:rsidRDefault="00F14A82" w:rsidP="00F14A82">
            <w:pPr>
              <w:jc w:val="center"/>
              <w:rPr>
                <w:sz w:val="22"/>
                <w:szCs w:val="20"/>
                <w:lang w:val="sr-Latn-ME"/>
              </w:rPr>
            </w:pPr>
          </w:p>
        </w:tc>
        <w:tc>
          <w:tcPr>
            <w:tcW w:w="473" w:type="pct"/>
            <w:tcBorders>
              <w:top w:val="nil"/>
              <w:left w:val="nil"/>
              <w:bottom w:val="nil"/>
              <w:right w:val="single" w:sz="4" w:space="0" w:color="7B7B7B"/>
            </w:tcBorders>
            <w:shd w:val="clear" w:color="auto" w:fill="FFFFFF"/>
            <w:vAlign w:val="center"/>
          </w:tcPr>
          <w:p w:rsidR="00F14A82" w:rsidRPr="00EC0535" w:rsidRDefault="00F14A82" w:rsidP="00F14A82">
            <w:pPr>
              <w:jc w:val="center"/>
              <w:rPr>
                <w:sz w:val="22"/>
                <w:szCs w:val="20"/>
                <w:lang w:val="sr-Latn-ME"/>
              </w:rPr>
            </w:pPr>
          </w:p>
        </w:tc>
        <w:tc>
          <w:tcPr>
            <w:tcW w:w="474" w:type="pct"/>
            <w:tcBorders>
              <w:top w:val="nil"/>
              <w:left w:val="nil"/>
              <w:bottom w:val="nil"/>
              <w:right w:val="single" w:sz="4" w:space="0" w:color="7B7B7B"/>
            </w:tcBorders>
            <w:shd w:val="clear" w:color="auto" w:fill="FFFFFF"/>
            <w:vAlign w:val="center"/>
          </w:tcPr>
          <w:p w:rsidR="00F14A82" w:rsidRPr="00EC0535" w:rsidRDefault="00F14A82" w:rsidP="00F14A82">
            <w:pPr>
              <w:jc w:val="center"/>
              <w:rPr>
                <w:sz w:val="22"/>
                <w:szCs w:val="20"/>
                <w:lang w:val="sr-Latn-ME"/>
              </w:rPr>
            </w:pPr>
          </w:p>
        </w:tc>
        <w:tc>
          <w:tcPr>
            <w:tcW w:w="880" w:type="pct"/>
            <w:tcBorders>
              <w:top w:val="nil"/>
              <w:left w:val="nil"/>
              <w:bottom w:val="nil"/>
              <w:right w:val="single" w:sz="4" w:space="0" w:color="7B7B7B"/>
            </w:tcBorders>
            <w:shd w:val="clear" w:color="auto" w:fill="FFFFFF"/>
            <w:vAlign w:val="center"/>
          </w:tcPr>
          <w:p w:rsidR="00F14A82" w:rsidRPr="00EC0535" w:rsidRDefault="00F14A82" w:rsidP="00F14A82">
            <w:pPr>
              <w:jc w:val="center"/>
              <w:rPr>
                <w:sz w:val="22"/>
                <w:szCs w:val="20"/>
                <w:lang w:val="sr-Latn-ME"/>
              </w:rPr>
            </w:pPr>
          </w:p>
        </w:tc>
      </w:tr>
      <w:tr w:rsidR="00F14A82" w:rsidRPr="00EC0535" w:rsidTr="00F14A82">
        <w:trPr>
          <w:trHeight w:val="510"/>
        </w:trPr>
        <w:tc>
          <w:tcPr>
            <w:tcW w:w="1125" w:type="pct"/>
            <w:tcBorders>
              <w:top w:val="nil"/>
              <w:left w:val="single" w:sz="4" w:space="0" w:color="7B7B7B"/>
              <w:right w:val="single" w:sz="4" w:space="0" w:color="7B7B7B"/>
            </w:tcBorders>
            <w:shd w:val="clear" w:color="auto" w:fill="FFFFFF"/>
            <w:vAlign w:val="center"/>
          </w:tcPr>
          <w:p w:rsidR="00F14A82" w:rsidRPr="00EC0535" w:rsidRDefault="00F14A82" w:rsidP="00A728E1">
            <w:pPr>
              <w:jc w:val="right"/>
              <w:rPr>
                <w:sz w:val="22"/>
                <w:szCs w:val="20"/>
                <w:lang w:val="sr-Latn-ME"/>
              </w:rPr>
            </w:pPr>
            <w:r w:rsidRPr="00EC0535">
              <w:rPr>
                <w:sz w:val="22"/>
                <w:szCs w:val="20"/>
                <w:lang w:val="sr-Latn-ME"/>
              </w:rPr>
              <w:t>Anoreksija</w:t>
            </w:r>
          </w:p>
        </w:tc>
        <w:tc>
          <w:tcPr>
            <w:tcW w:w="569" w:type="pct"/>
            <w:tcBorders>
              <w:top w:val="nil"/>
              <w:left w:val="nil"/>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52</w:t>
            </w:r>
          </w:p>
        </w:tc>
        <w:tc>
          <w:tcPr>
            <w:tcW w:w="476" w:type="pct"/>
            <w:tcBorders>
              <w:top w:val="nil"/>
              <w:left w:val="nil"/>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8</w:t>
            </w:r>
          </w:p>
        </w:tc>
        <w:tc>
          <w:tcPr>
            <w:tcW w:w="473" w:type="pct"/>
            <w:tcBorders>
              <w:top w:val="nil"/>
              <w:left w:val="nil"/>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1</w:t>
            </w:r>
          </w:p>
        </w:tc>
        <w:tc>
          <w:tcPr>
            <w:tcW w:w="530" w:type="pct"/>
            <w:tcBorders>
              <w:top w:val="nil"/>
              <w:left w:val="nil"/>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w:t>
            </w:r>
          </w:p>
        </w:tc>
        <w:tc>
          <w:tcPr>
            <w:tcW w:w="473" w:type="pct"/>
            <w:tcBorders>
              <w:top w:val="nil"/>
              <w:left w:val="nil"/>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w:t>
            </w:r>
          </w:p>
        </w:tc>
        <w:tc>
          <w:tcPr>
            <w:tcW w:w="474" w:type="pct"/>
            <w:tcBorders>
              <w:top w:val="nil"/>
              <w:left w:val="nil"/>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w:t>
            </w:r>
          </w:p>
        </w:tc>
        <w:tc>
          <w:tcPr>
            <w:tcW w:w="880" w:type="pct"/>
            <w:tcBorders>
              <w:top w:val="nil"/>
              <w:left w:val="nil"/>
              <w:right w:val="single" w:sz="4" w:space="0" w:color="7B7B7B"/>
            </w:tcBorders>
            <w:shd w:val="clear" w:color="auto" w:fill="FFFFFF"/>
            <w:vAlign w:val="center"/>
          </w:tcPr>
          <w:p w:rsidR="00F14A82" w:rsidRPr="00EC0535" w:rsidRDefault="00F14A82" w:rsidP="00F14A82">
            <w:pPr>
              <w:jc w:val="center"/>
              <w:rPr>
                <w:sz w:val="22"/>
                <w:szCs w:val="20"/>
                <w:lang w:val="sr-Latn-ME"/>
              </w:rPr>
            </w:pPr>
            <w:r w:rsidRPr="00EC0535">
              <w:rPr>
                <w:sz w:val="22"/>
                <w:szCs w:val="20"/>
                <w:lang w:val="sr-Latn-ME"/>
              </w:rPr>
              <w:t>veoma čest</w:t>
            </w:r>
            <w:r w:rsidR="001A6D35" w:rsidRPr="00EC0535">
              <w:rPr>
                <w:sz w:val="22"/>
                <w:szCs w:val="20"/>
                <w:lang w:val="sr-Latn-ME"/>
              </w:rPr>
              <w:t>o</w:t>
            </w:r>
          </w:p>
        </w:tc>
      </w:tr>
      <w:tr w:rsidR="00F14A82" w:rsidRPr="00EC0535" w:rsidTr="00F14A82">
        <w:trPr>
          <w:trHeight w:val="765"/>
        </w:trPr>
        <w:tc>
          <w:tcPr>
            <w:tcW w:w="1125" w:type="pct"/>
            <w:tcBorders>
              <w:top w:val="nil"/>
              <w:left w:val="single" w:sz="4" w:space="0" w:color="7B7B7B"/>
              <w:bottom w:val="single" w:sz="4" w:space="0" w:color="auto"/>
              <w:right w:val="single" w:sz="4" w:space="0" w:color="7B7B7B"/>
            </w:tcBorders>
            <w:shd w:val="clear" w:color="auto" w:fill="FFFFFF"/>
            <w:vAlign w:val="center"/>
            <w:hideMark/>
          </w:tcPr>
          <w:p w:rsidR="00F14A82" w:rsidRPr="00EC0535" w:rsidRDefault="00F14A82" w:rsidP="00A728E1">
            <w:pPr>
              <w:jc w:val="right"/>
              <w:rPr>
                <w:sz w:val="22"/>
                <w:szCs w:val="20"/>
                <w:lang w:val="sr-Latn-ME"/>
              </w:rPr>
            </w:pPr>
            <w:r w:rsidRPr="00EC0535">
              <w:rPr>
                <w:sz w:val="22"/>
                <w:szCs w:val="20"/>
                <w:lang w:val="sr-Latn-ME"/>
              </w:rPr>
              <w:t>Smanjenje tjelesne mase</w:t>
            </w:r>
          </w:p>
        </w:tc>
        <w:tc>
          <w:tcPr>
            <w:tcW w:w="569"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6"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3"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530"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39</w:t>
            </w:r>
          </w:p>
        </w:tc>
        <w:tc>
          <w:tcPr>
            <w:tcW w:w="473"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2</w:t>
            </w:r>
          </w:p>
        </w:tc>
        <w:tc>
          <w:tcPr>
            <w:tcW w:w="474"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0</w:t>
            </w:r>
          </w:p>
        </w:tc>
        <w:tc>
          <w:tcPr>
            <w:tcW w:w="880"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veoma čest</w:t>
            </w:r>
            <w:r w:rsidR="001A6D35" w:rsidRPr="00EC0535">
              <w:rPr>
                <w:sz w:val="22"/>
                <w:szCs w:val="20"/>
                <w:lang w:val="sr-Latn-ME"/>
              </w:rPr>
              <w:t>o</w:t>
            </w:r>
          </w:p>
        </w:tc>
      </w:tr>
      <w:tr w:rsidR="00F14A82" w:rsidRPr="00EC0535" w:rsidTr="00F14A82">
        <w:trPr>
          <w:trHeight w:val="765"/>
        </w:trPr>
        <w:tc>
          <w:tcPr>
            <w:tcW w:w="1125" w:type="pct"/>
            <w:tcBorders>
              <w:top w:val="nil"/>
              <w:left w:val="single" w:sz="4" w:space="0" w:color="7B7B7B"/>
              <w:right w:val="single" w:sz="4" w:space="0" w:color="7B7B7B"/>
            </w:tcBorders>
            <w:shd w:val="clear" w:color="auto" w:fill="FFFFFF"/>
            <w:vAlign w:val="center"/>
            <w:hideMark/>
          </w:tcPr>
          <w:p w:rsidR="008511A0" w:rsidRPr="00EC0535" w:rsidRDefault="00F14A82" w:rsidP="00F14A82">
            <w:pPr>
              <w:rPr>
                <w:sz w:val="22"/>
                <w:szCs w:val="20"/>
                <w:lang w:val="sr-Latn-ME"/>
              </w:rPr>
            </w:pPr>
            <w:r w:rsidRPr="00EC0535">
              <w:rPr>
                <w:i/>
                <w:iCs/>
                <w:sz w:val="22"/>
                <w:szCs w:val="20"/>
                <w:lang w:val="sr-Latn-ME"/>
              </w:rPr>
              <w:t>Poremećaji oka</w:t>
            </w:r>
            <w:r w:rsidRPr="00EC0535">
              <w:rPr>
                <w:sz w:val="22"/>
                <w:szCs w:val="20"/>
                <w:lang w:val="sr-Latn-ME"/>
              </w:rPr>
              <w:t xml:space="preserve"> </w:t>
            </w:r>
          </w:p>
          <w:p w:rsidR="00AD07B6" w:rsidRPr="00EC0535" w:rsidRDefault="00AD07B6" w:rsidP="00A728E1">
            <w:pPr>
              <w:jc w:val="right"/>
              <w:rPr>
                <w:i/>
                <w:sz w:val="22"/>
                <w:szCs w:val="20"/>
                <w:lang w:val="sr-Latn-ME"/>
              </w:rPr>
            </w:pPr>
          </w:p>
          <w:p w:rsidR="00F14A82" w:rsidRPr="00EC0535" w:rsidRDefault="00F14A82" w:rsidP="00A728E1">
            <w:pPr>
              <w:jc w:val="right"/>
              <w:rPr>
                <w:sz w:val="22"/>
                <w:szCs w:val="20"/>
                <w:lang w:val="sr-Latn-ME"/>
              </w:rPr>
            </w:pPr>
            <w:r w:rsidRPr="00A728E1">
              <w:rPr>
                <w:i/>
                <w:sz w:val="22"/>
                <w:szCs w:val="20"/>
                <w:lang w:val="sr-Latn-ME"/>
              </w:rPr>
              <w:t>Keratoconjuntivitis sicca</w:t>
            </w:r>
          </w:p>
        </w:tc>
        <w:tc>
          <w:tcPr>
            <w:tcW w:w="569" w:type="pct"/>
            <w:tcBorders>
              <w:top w:val="nil"/>
              <w:left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12</w:t>
            </w:r>
          </w:p>
        </w:tc>
        <w:tc>
          <w:tcPr>
            <w:tcW w:w="476" w:type="pct"/>
            <w:tcBorders>
              <w:top w:val="nil"/>
              <w:left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0</w:t>
            </w:r>
          </w:p>
        </w:tc>
        <w:tc>
          <w:tcPr>
            <w:tcW w:w="473" w:type="pct"/>
            <w:tcBorders>
              <w:top w:val="nil"/>
              <w:left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0</w:t>
            </w:r>
          </w:p>
        </w:tc>
        <w:tc>
          <w:tcPr>
            <w:tcW w:w="530" w:type="pct"/>
            <w:tcBorders>
              <w:top w:val="nil"/>
              <w:left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3" w:type="pct"/>
            <w:tcBorders>
              <w:top w:val="nil"/>
              <w:left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4" w:type="pct"/>
            <w:tcBorders>
              <w:top w:val="nil"/>
              <w:left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880" w:type="pct"/>
            <w:tcBorders>
              <w:top w:val="nil"/>
              <w:left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veoma čest</w:t>
            </w:r>
            <w:r w:rsidR="001A6D35" w:rsidRPr="00EC0535">
              <w:rPr>
                <w:sz w:val="22"/>
                <w:szCs w:val="20"/>
                <w:lang w:val="sr-Latn-ME"/>
              </w:rPr>
              <w:t>o</w:t>
            </w:r>
          </w:p>
        </w:tc>
      </w:tr>
      <w:tr w:rsidR="00F14A82" w:rsidRPr="00EC0535" w:rsidTr="00F14A82">
        <w:trPr>
          <w:trHeight w:val="510"/>
        </w:trPr>
        <w:tc>
          <w:tcPr>
            <w:tcW w:w="1125" w:type="pct"/>
            <w:tcBorders>
              <w:top w:val="nil"/>
              <w:left w:val="single" w:sz="4" w:space="0" w:color="7B7B7B"/>
              <w:bottom w:val="single" w:sz="4" w:space="0" w:color="auto"/>
              <w:right w:val="single" w:sz="4" w:space="0" w:color="7B7B7B"/>
            </w:tcBorders>
            <w:shd w:val="clear" w:color="auto" w:fill="FFFFFF"/>
            <w:vAlign w:val="center"/>
            <w:hideMark/>
          </w:tcPr>
          <w:p w:rsidR="00F14A82" w:rsidRPr="00EC0535" w:rsidRDefault="00F14A82" w:rsidP="00A728E1">
            <w:pPr>
              <w:jc w:val="right"/>
              <w:rPr>
                <w:sz w:val="22"/>
                <w:szCs w:val="20"/>
                <w:lang w:val="sr-Latn-ME"/>
              </w:rPr>
            </w:pPr>
            <w:r w:rsidRPr="00EC0535">
              <w:rPr>
                <w:sz w:val="22"/>
                <w:szCs w:val="20"/>
                <w:lang w:val="sr-Latn-ME"/>
              </w:rPr>
              <w:t>Konjuktivitis</w:t>
            </w:r>
          </w:p>
        </w:tc>
        <w:tc>
          <w:tcPr>
            <w:tcW w:w="569"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12</w:t>
            </w:r>
          </w:p>
        </w:tc>
        <w:tc>
          <w:tcPr>
            <w:tcW w:w="476"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&lt;1</w:t>
            </w:r>
          </w:p>
        </w:tc>
        <w:tc>
          <w:tcPr>
            <w:tcW w:w="473"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0</w:t>
            </w:r>
          </w:p>
        </w:tc>
        <w:tc>
          <w:tcPr>
            <w:tcW w:w="530"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3"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4"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880" w:type="pct"/>
            <w:tcBorders>
              <w:top w:val="nil"/>
              <w:left w:val="nil"/>
              <w:bottom w:val="single" w:sz="4" w:space="0" w:color="auto"/>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veoma čest</w:t>
            </w:r>
            <w:r w:rsidR="001A6D35" w:rsidRPr="00EC0535">
              <w:rPr>
                <w:sz w:val="22"/>
                <w:szCs w:val="20"/>
                <w:lang w:val="sr-Latn-ME"/>
              </w:rPr>
              <w:t>o</w:t>
            </w:r>
          </w:p>
        </w:tc>
      </w:tr>
      <w:tr w:rsidR="00F14A82" w:rsidRPr="00EC0535" w:rsidTr="0006558F">
        <w:trPr>
          <w:trHeight w:val="51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8511A0" w:rsidRPr="00EC0535" w:rsidRDefault="00F14A82" w:rsidP="00F14A82">
            <w:pPr>
              <w:rPr>
                <w:sz w:val="22"/>
                <w:szCs w:val="20"/>
                <w:lang w:val="sr-Latn-ME"/>
              </w:rPr>
            </w:pPr>
            <w:r w:rsidRPr="00EC0535">
              <w:rPr>
                <w:i/>
                <w:sz w:val="22"/>
                <w:szCs w:val="20"/>
                <w:lang w:val="sr-Latn-ME"/>
              </w:rPr>
              <w:t>Psihijatrijski poremećaji</w:t>
            </w:r>
            <w:r w:rsidRPr="00EC0535">
              <w:rPr>
                <w:sz w:val="22"/>
                <w:szCs w:val="20"/>
                <w:lang w:val="sr-Latn-ME"/>
              </w:rPr>
              <w:t xml:space="preserve"> </w:t>
            </w:r>
          </w:p>
          <w:p w:rsidR="00AD07B6" w:rsidRPr="00EC0535" w:rsidRDefault="00AD07B6" w:rsidP="00A728E1">
            <w:pPr>
              <w:jc w:val="right"/>
              <w:rPr>
                <w:sz w:val="22"/>
                <w:szCs w:val="20"/>
                <w:lang w:val="sr-Latn-ME"/>
              </w:rPr>
            </w:pPr>
          </w:p>
          <w:p w:rsidR="00F14A82" w:rsidRPr="00EC0535" w:rsidRDefault="00F14A82" w:rsidP="00A728E1">
            <w:pPr>
              <w:jc w:val="right"/>
              <w:rPr>
                <w:sz w:val="22"/>
                <w:szCs w:val="20"/>
                <w:lang w:val="sr-Latn-ME"/>
              </w:rPr>
            </w:pPr>
            <w:r w:rsidRPr="00EC0535">
              <w:rPr>
                <w:sz w:val="22"/>
                <w:szCs w:val="20"/>
                <w:lang w:val="sr-Latn-ME"/>
              </w:rPr>
              <w:t>Depresija</w:t>
            </w:r>
          </w:p>
        </w:tc>
        <w:tc>
          <w:tcPr>
            <w:tcW w:w="569" w:type="pct"/>
            <w:tcBorders>
              <w:top w:val="nil"/>
              <w:left w:val="nil"/>
              <w:bottom w:val="single" w:sz="4" w:space="0" w:color="7B7B7B"/>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6" w:type="pct"/>
            <w:tcBorders>
              <w:top w:val="nil"/>
              <w:left w:val="nil"/>
              <w:bottom w:val="single" w:sz="4" w:space="0" w:color="7B7B7B"/>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3" w:type="pct"/>
            <w:tcBorders>
              <w:top w:val="nil"/>
              <w:left w:val="nil"/>
              <w:bottom w:val="single" w:sz="4" w:space="0" w:color="7B7B7B"/>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530" w:type="pct"/>
            <w:tcBorders>
              <w:top w:val="nil"/>
              <w:left w:val="nil"/>
              <w:bottom w:val="single" w:sz="4" w:space="0" w:color="7B7B7B"/>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19</w:t>
            </w:r>
          </w:p>
        </w:tc>
        <w:tc>
          <w:tcPr>
            <w:tcW w:w="473" w:type="pct"/>
            <w:tcBorders>
              <w:top w:val="nil"/>
              <w:left w:val="nil"/>
              <w:bottom w:val="single" w:sz="4" w:space="0" w:color="7B7B7B"/>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2</w:t>
            </w:r>
          </w:p>
        </w:tc>
        <w:tc>
          <w:tcPr>
            <w:tcW w:w="474" w:type="pct"/>
            <w:tcBorders>
              <w:top w:val="nil"/>
              <w:left w:val="nil"/>
              <w:bottom w:val="single" w:sz="4" w:space="0" w:color="7B7B7B"/>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0</w:t>
            </w:r>
          </w:p>
        </w:tc>
        <w:tc>
          <w:tcPr>
            <w:tcW w:w="880" w:type="pct"/>
            <w:tcBorders>
              <w:top w:val="nil"/>
              <w:left w:val="nil"/>
              <w:bottom w:val="single" w:sz="4" w:space="0" w:color="7B7B7B"/>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veoma čest</w:t>
            </w:r>
            <w:r w:rsidR="001A6D35" w:rsidRPr="00EC0535">
              <w:rPr>
                <w:sz w:val="22"/>
                <w:szCs w:val="20"/>
                <w:lang w:val="sr-Latn-ME"/>
              </w:rPr>
              <w:t>o</w:t>
            </w:r>
          </w:p>
        </w:tc>
      </w:tr>
      <w:tr w:rsidR="001A6D35" w:rsidRPr="00EC0535" w:rsidTr="00CA294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1A6D35" w:rsidRPr="00EC0535" w:rsidRDefault="001A6D35" w:rsidP="001A6D35">
            <w:pPr>
              <w:rPr>
                <w:sz w:val="22"/>
                <w:szCs w:val="20"/>
                <w:lang w:val="sr-Latn-ME"/>
              </w:rPr>
            </w:pPr>
            <w:r w:rsidRPr="00EC0535">
              <w:rPr>
                <w:i/>
                <w:iCs/>
                <w:sz w:val="22"/>
                <w:szCs w:val="20"/>
                <w:lang w:val="sr-Latn-ME"/>
              </w:rPr>
              <w:t>Poremećaji nervnog sistema</w:t>
            </w:r>
            <w:r w:rsidRPr="00EC0535">
              <w:rPr>
                <w:sz w:val="22"/>
                <w:szCs w:val="20"/>
                <w:lang w:val="sr-Latn-ME"/>
              </w:rPr>
              <w:t xml:space="preserve"> </w:t>
            </w:r>
          </w:p>
          <w:p w:rsidR="00AD07B6" w:rsidRPr="00EC0535" w:rsidRDefault="00AD07B6" w:rsidP="00A728E1">
            <w:pPr>
              <w:jc w:val="right"/>
              <w:rPr>
                <w:sz w:val="22"/>
                <w:szCs w:val="20"/>
                <w:lang w:val="sr-Latn-ME"/>
              </w:rPr>
            </w:pPr>
          </w:p>
          <w:p w:rsidR="001A6D35" w:rsidRPr="00EC0535" w:rsidRDefault="001A6D35" w:rsidP="00A728E1">
            <w:pPr>
              <w:jc w:val="right"/>
              <w:rPr>
                <w:sz w:val="22"/>
                <w:szCs w:val="20"/>
                <w:lang w:val="sr-Latn-ME"/>
              </w:rPr>
            </w:pPr>
            <w:r w:rsidRPr="00EC0535">
              <w:rPr>
                <w:sz w:val="22"/>
                <w:szCs w:val="20"/>
                <w:lang w:val="sr-Latn-ME"/>
              </w:rPr>
              <w:t>Neuropatija</w:t>
            </w:r>
          </w:p>
        </w:tc>
        <w:tc>
          <w:tcPr>
            <w:tcW w:w="569"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6"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530"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13</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w:t>
            </w:r>
          </w:p>
        </w:tc>
        <w:tc>
          <w:tcPr>
            <w:tcW w:w="474"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880"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Glavobolja</w:t>
            </w:r>
          </w:p>
        </w:tc>
        <w:tc>
          <w:tcPr>
            <w:tcW w:w="569" w:type="pct"/>
            <w:tcBorders>
              <w:top w:val="nil"/>
              <w:left w:val="nil"/>
              <w:bottom w:val="single" w:sz="4" w:space="0" w:color="7B7B7B"/>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6" w:type="pct"/>
            <w:tcBorders>
              <w:top w:val="nil"/>
              <w:left w:val="nil"/>
              <w:bottom w:val="single" w:sz="4" w:space="0" w:color="7B7B7B"/>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bottom w:val="single" w:sz="4" w:space="0" w:color="7B7B7B"/>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530" w:type="pct"/>
            <w:tcBorders>
              <w:top w:val="nil"/>
              <w:left w:val="nil"/>
              <w:bottom w:val="single" w:sz="4" w:space="0" w:color="7B7B7B"/>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15</w:t>
            </w:r>
          </w:p>
        </w:tc>
        <w:tc>
          <w:tcPr>
            <w:tcW w:w="473" w:type="pct"/>
            <w:tcBorders>
              <w:top w:val="nil"/>
              <w:left w:val="nil"/>
              <w:bottom w:val="single" w:sz="4" w:space="0" w:color="7B7B7B"/>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474" w:type="pct"/>
            <w:tcBorders>
              <w:top w:val="nil"/>
              <w:left w:val="nil"/>
              <w:bottom w:val="single" w:sz="4" w:space="0" w:color="7B7B7B"/>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880"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veoma često</w:t>
            </w:r>
          </w:p>
        </w:tc>
      </w:tr>
      <w:tr w:rsidR="001A6D35" w:rsidRPr="00EC0535" w:rsidTr="00CA294F">
        <w:trPr>
          <w:trHeight w:val="510"/>
        </w:trPr>
        <w:tc>
          <w:tcPr>
            <w:tcW w:w="1125" w:type="pct"/>
            <w:tcBorders>
              <w:top w:val="single" w:sz="4" w:space="0" w:color="7B7B7B"/>
              <w:left w:val="single" w:sz="4" w:space="0" w:color="7B7B7B"/>
              <w:bottom w:val="nil"/>
              <w:right w:val="single" w:sz="4" w:space="0" w:color="7B7B7B"/>
            </w:tcBorders>
            <w:shd w:val="clear" w:color="auto" w:fill="FFFFFF"/>
            <w:vAlign w:val="center"/>
            <w:hideMark/>
          </w:tcPr>
          <w:p w:rsidR="008511A0" w:rsidRPr="00EC0535" w:rsidRDefault="001A6D35" w:rsidP="001A6D35">
            <w:pPr>
              <w:rPr>
                <w:sz w:val="22"/>
                <w:szCs w:val="20"/>
                <w:lang w:val="sr-Latn-ME"/>
              </w:rPr>
            </w:pPr>
            <w:r w:rsidRPr="00EC0535">
              <w:rPr>
                <w:i/>
                <w:iCs/>
                <w:sz w:val="22"/>
                <w:szCs w:val="20"/>
                <w:lang w:val="sr-Latn-ME"/>
              </w:rPr>
              <w:t>Respiratorni, torakalni i medijastinalni poremećaji</w:t>
            </w:r>
            <w:r w:rsidRPr="00EC0535">
              <w:rPr>
                <w:sz w:val="22"/>
                <w:szCs w:val="20"/>
                <w:lang w:val="sr-Latn-ME"/>
              </w:rPr>
              <w:t xml:space="preserve"> </w:t>
            </w:r>
          </w:p>
          <w:p w:rsidR="00AD07B6" w:rsidRPr="00EC0535" w:rsidRDefault="00AD07B6" w:rsidP="00A728E1">
            <w:pPr>
              <w:jc w:val="right"/>
              <w:rPr>
                <w:sz w:val="22"/>
                <w:szCs w:val="20"/>
                <w:lang w:val="sr-Latn-ME"/>
              </w:rPr>
            </w:pPr>
          </w:p>
          <w:p w:rsidR="001A6D35" w:rsidRPr="00EC0535" w:rsidRDefault="001A6D35" w:rsidP="00A728E1">
            <w:pPr>
              <w:jc w:val="right"/>
              <w:rPr>
                <w:sz w:val="22"/>
                <w:szCs w:val="20"/>
                <w:lang w:val="sr-Latn-ME"/>
              </w:rPr>
            </w:pPr>
            <w:r w:rsidRPr="00EC0535">
              <w:rPr>
                <w:sz w:val="22"/>
                <w:szCs w:val="20"/>
                <w:lang w:val="sr-Latn-ME"/>
              </w:rPr>
              <w:t>Dispneja</w:t>
            </w:r>
          </w:p>
        </w:tc>
        <w:tc>
          <w:tcPr>
            <w:tcW w:w="569" w:type="pct"/>
            <w:tcBorders>
              <w:top w:val="single" w:sz="4" w:space="0" w:color="7B7B7B"/>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41</w:t>
            </w:r>
          </w:p>
        </w:tc>
        <w:tc>
          <w:tcPr>
            <w:tcW w:w="476" w:type="pct"/>
            <w:tcBorders>
              <w:top w:val="single" w:sz="4" w:space="0" w:color="7B7B7B"/>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17</w:t>
            </w:r>
          </w:p>
        </w:tc>
        <w:tc>
          <w:tcPr>
            <w:tcW w:w="473" w:type="pct"/>
            <w:tcBorders>
              <w:top w:val="single" w:sz="4" w:space="0" w:color="7B7B7B"/>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11</w:t>
            </w:r>
          </w:p>
        </w:tc>
        <w:tc>
          <w:tcPr>
            <w:tcW w:w="530" w:type="pct"/>
            <w:tcBorders>
              <w:top w:val="single" w:sz="4" w:space="0" w:color="7B7B7B"/>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single" w:sz="4" w:space="0" w:color="7B7B7B"/>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4" w:type="pct"/>
            <w:tcBorders>
              <w:top w:val="single" w:sz="4" w:space="0" w:color="7B7B7B"/>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880"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veoma često</w:t>
            </w:r>
          </w:p>
        </w:tc>
      </w:tr>
      <w:tr w:rsidR="001A6D35" w:rsidRPr="00EC0535" w:rsidTr="00F14A82">
        <w:trPr>
          <w:trHeight w:val="300"/>
        </w:trPr>
        <w:tc>
          <w:tcPr>
            <w:tcW w:w="1125" w:type="pct"/>
            <w:tcBorders>
              <w:top w:val="nil"/>
              <w:left w:val="single" w:sz="4" w:space="0" w:color="7B7B7B"/>
              <w:bottom w:val="single" w:sz="4" w:space="0" w:color="auto"/>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Kašalj</w:t>
            </w:r>
          </w:p>
        </w:tc>
        <w:tc>
          <w:tcPr>
            <w:tcW w:w="569"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33</w:t>
            </w:r>
          </w:p>
        </w:tc>
        <w:tc>
          <w:tcPr>
            <w:tcW w:w="476"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4</w:t>
            </w:r>
          </w:p>
        </w:tc>
        <w:tc>
          <w:tcPr>
            <w:tcW w:w="473"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530"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16</w:t>
            </w:r>
          </w:p>
        </w:tc>
        <w:tc>
          <w:tcPr>
            <w:tcW w:w="473"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474"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880"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8511A0" w:rsidRPr="00EC0535" w:rsidRDefault="001A6D35" w:rsidP="001A6D35">
            <w:pPr>
              <w:rPr>
                <w:sz w:val="22"/>
                <w:szCs w:val="20"/>
                <w:lang w:val="sr-Latn-ME"/>
              </w:rPr>
            </w:pPr>
            <w:r w:rsidRPr="00EC0535">
              <w:rPr>
                <w:i/>
                <w:iCs/>
                <w:sz w:val="22"/>
                <w:szCs w:val="20"/>
                <w:lang w:val="sr-Latn-ME"/>
              </w:rPr>
              <w:t>Gastrointestinalni poremećaji</w:t>
            </w:r>
            <w:r w:rsidRPr="00EC0535">
              <w:rPr>
                <w:sz w:val="22"/>
                <w:szCs w:val="20"/>
                <w:lang w:val="sr-Latn-ME"/>
              </w:rPr>
              <w:t xml:space="preserve"> </w:t>
            </w:r>
          </w:p>
          <w:p w:rsidR="00AD07B6" w:rsidRPr="00EC0535" w:rsidRDefault="00AD07B6" w:rsidP="00A728E1">
            <w:pPr>
              <w:jc w:val="right"/>
              <w:rPr>
                <w:sz w:val="22"/>
                <w:szCs w:val="20"/>
                <w:lang w:val="sr-Latn-ME"/>
              </w:rPr>
            </w:pPr>
          </w:p>
          <w:p w:rsidR="001A6D35" w:rsidRPr="00EC0535" w:rsidRDefault="001A6D35" w:rsidP="00A728E1">
            <w:pPr>
              <w:jc w:val="right"/>
              <w:rPr>
                <w:sz w:val="22"/>
                <w:szCs w:val="20"/>
                <w:lang w:val="sr-Latn-ME"/>
              </w:rPr>
            </w:pPr>
            <w:r w:rsidRPr="00EC0535">
              <w:rPr>
                <w:sz w:val="22"/>
                <w:szCs w:val="20"/>
                <w:lang w:val="sr-Latn-ME"/>
              </w:rPr>
              <w:lastRenderedPageBreak/>
              <w:t>Dijareja**</w:t>
            </w:r>
          </w:p>
        </w:tc>
        <w:tc>
          <w:tcPr>
            <w:tcW w:w="569"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lastRenderedPageBreak/>
              <w:t>54</w:t>
            </w:r>
          </w:p>
        </w:tc>
        <w:tc>
          <w:tcPr>
            <w:tcW w:w="476"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6</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530"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48</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5</w:t>
            </w:r>
          </w:p>
        </w:tc>
        <w:tc>
          <w:tcPr>
            <w:tcW w:w="474"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880"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Mučnina</w:t>
            </w:r>
          </w:p>
        </w:tc>
        <w:tc>
          <w:tcPr>
            <w:tcW w:w="569"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33</w:t>
            </w:r>
          </w:p>
        </w:tc>
        <w:tc>
          <w:tcPr>
            <w:tcW w:w="476"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3</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530"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4"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880"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veoma često</w:t>
            </w:r>
          </w:p>
        </w:tc>
      </w:tr>
      <w:tr w:rsidR="00F14A82" w:rsidRPr="00EC0535"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F14A82" w:rsidRPr="00EC0535" w:rsidRDefault="00F14A82" w:rsidP="00A728E1">
            <w:pPr>
              <w:jc w:val="right"/>
              <w:rPr>
                <w:sz w:val="22"/>
                <w:szCs w:val="20"/>
                <w:lang w:val="sr-Latn-ME"/>
              </w:rPr>
            </w:pPr>
            <w:r w:rsidRPr="00EC0535">
              <w:rPr>
                <w:sz w:val="22"/>
                <w:szCs w:val="20"/>
                <w:lang w:val="sr-Latn-ME"/>
              </w:rPr>
              <w:t>Povraćanje</w:t>
            </w:r>
          </w:p>
        </w:tc>
        <w:tc>
          <w:tcPr>
            <w:tcW w:w="569" w:type="pct"/>
            <w:tcBorders>
              <w:top w:val="nil"/>
              <w:left w:val="nil"/>
              <w:bottom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23</w:t>
            </w:r>
          </w:p>
        </w:tc>
        <w:tc>
          <w:tcPr>
            <w:tcW w:w="476" w:type="pct"/>
            <w:tcBorders>
              <w:top w:val="nil"/>
              <w:left w:val="nil"/>
              <w:bottom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2</w:t>
            </w:r>
          </w:p>
        </w:tc>
        <w:tc>
          <w:tcPr>
            <w:tcW w:w="473" w:type="pct"/>
            <w:tcBorders>
              <w:top w:val="nil"/>
              <w:left w:val="nil"/>
              <w:bottom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&lt;1</w:t>
            </w:r>
          </w:p>
        </w:tc>
        <w:tc>
          <w:tcPr>
            <w:tcW w:w="530" w:type="pct"/>
            <w:tcBorders>
              <w:top w:val="nil"/>
              <w:left w:val="nil"/>
              <w:bottom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3" w:type="pct"/>
            <w:tcBorders>
              <w:top w:val="nil"/>
              <w:left w:val="nil"/>
              <w:bottom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474" w:type="pct"/>
            <w:tcBorders>
              <w:top w:val="nil"/>
              <w:left w:val="nil"/>
              <w:bottom w:val="nil"/>
              <w:right w:val="single" w:sz="4" w:space="0" w:color="7B7B7B"/>
            </w:tcBorders>
            <w:shd w:val="clear" w:color="auto" w:fill="FFFFFF"/>
            <w:vAlign w:val="center"/>
            <w:hideMark/>
          </w:tcPr>
          <w:p w:rsidR="00F14A82" w:rsidRPr="00EC0535" w:rsidRDefault="00F14A82" w:rsidP="00F14A82">
            <w:pPr>
              <w:jc w:val="center"/>
              <w:rPr>
                <w:sz w:val="22"/>
                <w:szCs w:val="20"/>
                <w:lang w:val="sr-Latn-ME"/>
              </w:rPr>
            </w:pPr>
            <w:r w:rsidRPr="00EC0535">
              <w:rPr>
                <w:sz w:val="22"/>
                <w:szCs w:val="20"/>
                <w:lang w:val="sr-Latn-ME"/>
              </w:rPr>
              <w:t>-</w:t>
            </w:r>
          </w:p>
        </w:tc>
        <w:tc>
          <w:tcPr>
            <w:tcW w:w="880" w:type="pct"/>
            <w:tcBorders>
              <w:top w:val="nil"/>
              <w:left w:val="nil"/>
              <w:bottom w:val="nil"/>
              <w:right w:val="single" w:sz="4" w:space="0" w:color="7B7B7B"/>
            </w:tcBorders>
            <w:shd w:val="clear" w:color="auto" w:fill="FFFFFF"/>
            <w:vAlign w:val="center"/>
            <w:hideMark/>
          </w:tcPr>
          <w:p w:rsidR="00F14A82" w:rsidRPr="00EC0535" w:rsidRDefault="00F14A82" w:rsidP="001A6D35">
            <w:pPr>
              <w:jc w:val="center"/>
              <w:rPr>
                <w:sz w:val="22"/>
                <w:szCs w:val="20"/>
                <w:lang w:val="sr-Latn-ME"/>
              </w:rPr>
            </w:pPr>
            <w:r w:rsidRPr="00EC0535">
              <w:rPr>
                <w:sz w:val="22"/>
                <w:szCs w:val="20"/>
                <w:lang w:val="sr-Latn-ME"/>
              </w:rPr>
              <w:t>veoma čest</w:t>
            </w:r>
            <w:r w:rsidR="001A6D35" w:rsidRPr="00EC0535">
              <w:rPr>
                <w:sz w:val="22"/>
                <w:szCs w:val="20"/>
                <w:lang w:val="sr-Latn-ME"/>
              </w:rPr>
              <w:t>o</w:t>
            </w:r>
          </w:p>
        </w:tc>
      </w:tr>
      <w:tr w:rsidR="001A6D35" w:rsidRPr="00EC0535" w:rsidTr="00CA294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Stomatitis</w:t>
            </w:r>
          </w:p>
        </w:tc>
        <w:tc>
          <w:tcPr>
            <w:tcW w:w="569"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17</w:t>
            </w:r>
          </w:p>
        </w:tc>
        <w:tc>
          <w:tcPr>
            <w:tcW w:w="476"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530"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22</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474"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880" w:type="pct"/>
            <w:tcBorders>
              <w:top w:val="nil"/>
              <w:left w:val="nil"/>
              <w:bottom w:val="nil"/>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Abdominalni bol</w:t>
            </w:r>
          </w:p>
        </w:tc>
        <w:tc>
          <w:tcPr>
            <w:tcW w:w="569"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11</w:t>
            </w:r>
          </w:p>
        </w:tc>
        <w:tc>
          <w:tcPr>
            <w:tcW w:w="476"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2</w:t>
            </w:r>
          </w:p>
        </w:tc>
        <w:tc>
          <w:tcPr>
            <w:tcW w:w="473"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530"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4"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880" w:type="pct"/>
            <w:tcBorders>
              <w:top w:val="nil"/>
              <w:left w:val="nil"/>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Dispepsija</w:t>
            </w:r>
          </w:p>
        </w:tc>
        <w:tc>
          <w:tcPr>
            <w:tcW w:w="569"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6"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530"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17</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474"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880" w:type="pct"/>
            <w:tcBorders>
              <w:top w:val="nil"/>
              <w:left w:val="nil"/>
              <w:bottom w:val="nil"/>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bottom w:val="single" w:sz="4" w:space="0" w:color="auto"/>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Flatulencija</w:t>
            </w:r>
          </w:p>
        </w:tc>
        <w:tc>
          <w:tcPr>
            <w:tcW w:w="569"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6"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530"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13</w:t>
            </w:r>
          </w:p>
        </w:tc>
        <w:tc>
          <w:tcPr>
            <w:tcW w:w="473"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474"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880" w:type="pct"/>
            <w:tcBorders>
              <w:top w:val="nil"/>
              <w:left w:val="nil"/>
              <w:bottom w:val="single" w:sz="4" w:space="0" w:color="auto"/>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AD07B6" w:rsidRPr="00EC0535" w:rsidRDefault="001A6D35" w:rsidP="001A6D35">
            <w:pPr>
              <w:rPr>
                <w:sz w:val="22"/>
                <w:szCs w:val="20"/>
                <w:lang w:val="sr-Latn-ME"/>
              </w:rPr>
            </w:pPr>
            <w:r w:rsidRPr="00EC0535">
              <w:rPr>
                <w:i/>
                <w:iCs/>
                <w:sz w:val="22"/>
                <w:szCs w:val="20"/>
                <w:lang w:val="sr-Latn-ME"/>
              </w:rPr>
              <w:t>Poremećaji kože i potkožnog tkiva</w:t>
            </w:r>
            <w:r w:rsidRPr="00EC0535">
              <w:rPr>
                <w:sz w:val="22"/>
                <w:szCs w:val="20"/>
                <w:lang w:val="sr-Latn-ME"/>
              </w:rPr>
              <w:t xml:space="preserve"> </w:t>
            </w:r>
          </w:p>
          <w:p w:rsidR="00AD07B6" w:rsidRPr="00EC0535" w:rsidRDefault="00AD07B6" w:rsidP="00A728E1">
            <w:pPr>
              <w:jc w:val="right"/>
              <w:rPr>
                <w:sz w:val="22"/>
                <w:szCs w:val="20"/>
                <w:lang w:val="sr-Latn-ME"/>
              </w:rPr>
            </w:pPr>
          </w:p>
          <w:p w:rsidR="001A6D35" w:rsidRPr="00EC0535" w:rsidRDefault="001A6D35" w:rsidP="00A728E1">
            <w:pPr>
              <w:jc w:val="right"/>
              <w:rPr>
                <w:sz w:val="22"/>
                <w:szCs w:val="20"/>
                <w:lang w:val="sr-Latn-ME"/>
              </w:rPr>
            </w:pPr>
            <w:r w:rsidRPr="00EC0535">
              <w:rPr>
                <w:sz w:val="22"/>
                <w:szCs w:val="20"/>
                <w:lang w:val="sr-Latn-ME"/>
              </w:rPr>
              <w:t>Osip***</w:t>
            </w:r>
          </w:p>
        </w:tc>
        <w:tc>
          <w:tcPr>
            <w:tcW w:w="569"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75</w:t>
            </w:r>
          </w:p>
        </w:tc>
        <w:tc>
          <w:tcPr>
            <w:tcW w:w="476"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8</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530"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69</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5</w:t>
            </w:r>
          </w:p>
        </w:tc>
        <w:tc>
          <w:tcPr>
            <w:tcW w:w="474"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880" w:type="pct"/>
            <w:tcBorders>
              <w:top w:val="nil"/>
              <w:left w:val="nil"/>
              <w:bottom w:val="nil"/>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Pruritus</w:t>
            </w:r>
          </w:p>
        </w:tc>
        <w:tc>
          <w:tcPr>
            <w:tcW w:w="569"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13</w:t>
            </w:r>
          </w:p>
        </w:tc>
        <w:tc>
          <w:tcPr>
            <w:tcW w:w="476"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&lt;1</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530"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4"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880" w:type="pct"/>
            <w:tcBorders>
              <w:top w:val="nil"/>
              <w:left w:val="nil"/>
              <w:bottom w:val="nil"/>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 xml:space="preserve">Suva </w:t>
            </w:r>
            <w:r w:rsidR="00AD07B6" w:rsidRPr="00EC0535">
              <w:rPr>
                <w:sz w:val="22"/>
                <w:szCs w:val="20"/>
                <w:lang w:val="sr-Latn-ME"/>
              </w:rPr>
              <w:t>koža</w:t>
            </w:r>
          </w:p>
        </w:tc>
        <w:tc>
          <w:tcPr>
            <w:tcW w:w="569"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12</w:t>
            </w:r>
          </w:p>
        </w:tc>
        <w:tc>
          <w:tcPr>
            <w:tcW w:w="476"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473"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530"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4" w:type="pct"/>
            <w:tcBorders>
              <w:top w:val="nil"/>
              <w:left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880" w:type="pct"/>
            <w:tcBorders>
              <w:top w:val="nil"/>
              <w:left w:val="nil"/>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300"/>
        </w:trPr>
        <w:tc>
          <w:tcPr>
            <w:tcW w:w="1125" w:type="pct"/>
            <w:tcBorders>
              <w:top w:val="nil"/>
              <w:left w:val="single" w:sz="4" w:space="0" w:color="7B7B7B"/>
              <w:bottom w:val="single" w:sz="4" w:space="0" w:color="auto"/>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Alopecija</w:t>
            </w:r>
          </w:p>
        </w:tc>
        <w:tc>
          <w:tcPr>
            <w:tcW w:w="569"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6"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530"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14</w:t>
            </w:r>
          </w:p>
        </w:tc>
        <w:tc>
          <w:tcPr>
            <w:tcW w:w="473"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474"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880" w:type="pct"/>
            <w:tcBorders>
              <w:top w:val="nil"/>
              <w:left w:val="nil"/>
              <w:bottom w:val="single" w:sz="4" w:space="0" w:color="auto"/>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510"/>
        </w:trPr>
        <w:tc>
          <w:tcPr>
            <w:tcW w:w="1125" w:type="pct"/>
            <w:tcBorders>
              <w:top w:val="single" w:sz="4" w:space="0" w:color="auto"/>
              <w:left w:val="single" w:sz="4" w:space="0" w:color="7B7B7B"/>
              <w:bottom w:val="nil"/>
              <w:right w:val="single" w:sz="4" w:space="0" w:color="7B7B7B"/>
            </w:tcBorders>
            <w:shd w:val="clear" w:color="auto" w:fill="FFFFFF"/>
            <w:vAlign w:val="center"/>
            <w:hideMark/>
          </w:tcPr>
          <w:p w:rsidR="001A6D35" w:rsidRPr="00EC0535" w:rsidRDefault="001A6D35" w:rsidP="001A6D35">
            <w:pPr>
              <w:rPr>
                <w:sz w:val="22"/>
                <w:szCs w:val="20"/>
                <w:lang w:val="sr-Latn-ME"/>
              </w:rPr>
            </w:pPr>
            <w:r w:rsidRPr="00EC0535">
              <w:rPr>
                <w:i/>
                <w:iCs/>
                <w:sz w:val="22"/>
                <w:szCs w:val="20"/>
                <w:lang w:val="sr-Latn-ME"/>
              </w:rPr>
              <w:t>Opšti poremećaji i reakcije na mjestu primjene</w:t>
            </w:r>
            <w:r w:rsidRPr="00EC0535">
              <w:rPr>
                <w:sz w:val="22"/>
                <w:szCs w:val="20"/>
                <w:lang w:val="sr-Latn-ME"/>
              </w:rPr>
              <w:t xml:space="preserve"> </w:t>
            </w:r>
          </w:p>
          <w:p w:rsidR="00AD07B6" w:rsidRPr="00EC0535" w:rsidRDefault="00AD07B6" w:rsidP="00A728E1">
            <w:pPr>
              <w:jc w:val="right"/>
              <w:rPr>
                <w:sz w:val="22"/>
                <w:szCs w:val="20"/>
                <w:lang w:val="sr-Latn-ME"/>
              </w:rPr>
            </w:pPr>
          </w:p>
          <w:p w:rsidR="001A6D35" w:rsidRPr="00EC0535" w:rsidRDefault="001A6D35" w:rsidP="00A728E1">
            <w:pPr>
              <w:jc w:val="right"/>
              <w:rPr>
                <w:sz w:val="22"/>
                <w:szCs w:val="20"/>
                <w:lang w:val="sr-Latn-ME"/>
              </w:rPr>
            </w:pPr>
            <w:r w:rsidRPr="00EC0535">
              <w:rPr>
                <w:sz w:val="22"/>
                <w:szCs w:val="20"/>
                <w:lang w:val="sr-Latn-ME"/>
              </w:rPr>
              <w:t>Zamor</w:t>
            </w:r>
          </w:p>
        </w:tc>
        <w:tc>
          <w:tcPr>
            <w:tcW w:w="569" w:type="pct"/>
            <w:tcBorders>
              <w:top w:val="single" w:sz="4" w:space="0" w:color="auto"/>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52</w:t>
            </w:r>
          </w:p>
        </w:tc>
        <w:tc>
          <w:tcPr>
            <w:tcW w:w="476" w:type="pct"/>
            <w:tcBorders>
              <w:top w:val="single" w:sz="4" w:space="0" w:color="auto"/>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14</w:t>
            </w:r>
          </w:p>
        </w:tc>
        <w:tc>
          <w:tcPr>
            <w:tcW w:w="473" w:type="pct"/>
            <w:tcBorders>
              <w:top w:val="single" w:sz="4" w:space="0" w:color="auto"/>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4</w:t>
            </w:r>
          </w:p>
        </w:tc>
        <w:tc>
          <w:tcPr>
            <w:tcW w:w="530" w:type="pct"/>
            <w:tcBorders>
              <w:top w:val="single" w:sz="4" w:space="0" w:color="auto"/>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73</w:t>
            </w:r>
          </w:p>
        </w:tc>
        <w:tc>
          <w:tcPr>
            <w:tcW w:w="473" w:type="pct"/>
            <w:tcBorders>
              <w:top w:val="single" w:sz="4" w:space="0" w:color="auto"/>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14</w:t>
            </w:r>
          </w:p>
        </w:tc>
        <w:tc>
          <w:tcPr>
            <w:tcW w:w="474" w:type="pct"/>
            <w:tcBorders>
              <w:top w:val="single" w:sz="4" w:space="0" w:color="auto"/>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2</w:t>
            </w:r>
          </w:p>
        </w:tc>
        <w:tc>
          <w:tcPr>
            <w:tcW w:w="880" w:type="pct"/>
            <w:tcBorders>
              <w:top w:val="single" w:sz="4" w:space="0" w:color="auto"/>
              <w:left w:val="nil"/>
              <w:bottom w:val="nil"/>
              <w:right w:val="single" w:sz="4" w:space="0" w:color="7B7B7B"/>
            </w:tcBorders>
            <w:shd w:val="clear" w:color="auto" w:fill="FFFFFF"/>
            <w:hideMark/>
          </w:tcPr>
          <w:p w:rsidR="001A6D35" w:rsidRPr="00EC0535" w:rsidRDefault="001A6D35" w:rsidP="001A6D35">
            <w:pPr>
              <w:jc w:val="center"/>
              <w:rPr>
                <w:sz w:val="22"/>
                <w:szCs w:val="20"/>
                <w:lang w:val="sr-Latn-ME"/>
              </w:rPr>
            </w:pPr>
          </w:p>
          <w:p w:rsidR="001A6D35" w:rsidRPr="00EC0535" w:rsidRDefault="001A6D35" w:rsidP="001A6D35">
            <w:pPr>
              <w:jc w:val="center"/>
              <w:rPr>
                <w:sz w:val="22"/>
                <w:szCs w:val="20"/>
                <w:lang w:val="sr-Latn-ME"/>
              </w:rPr>
            </w:pPr>
          </w:p>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Pireksija</w:t>
            </w:r>
          </w:p>
        </w:tc>
        <w:tc>
          <w:tcPr>
            <w:tcW w:w="569"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6"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530"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36</w:t>
            </w:r>
          </w:p>
        </w:tc>
        <w:tc>
          <w:tcPr>
            <w:tcW w:w="473"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3</w:t>
            </w:r>
          </w:p>
        </w:tc>
        <w:tc>
          <w:tcPr>
            <w:tcW w:w="474" w:type="pct"/>
            <w:tcBorders>
              <w:top w:val="nil"/>
              <w:left w:val="nil"/>
              <w:bottom w:val="nil"/>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880" w:type="pct"/>
            <w:tcBorders>
              <w:top w:val="nil"/>
              <w:left w:val="nil"/>
              <w:bottom w:val="nil"/>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r w:rsidR="001A6D35" w:rsidRPr="00EC0535" w:rsidTr="00CA294F">
        <w:trPr>
          <w:trHeight w:val="300"/>
        </w:trPr>
        <w:tc>
          <w:tcPr>
            <w:tcW w:w="1125" w:type="pct"/>
            <w:tcBorders>
              <w:top w:val="nil"/>
              <w:left w:val="single" w:sz="4" w:space="0" w:color="7B7B7B"/>
              <w:bottom w:val="single" w:sz="4" w:space="0" w:color="auto"/>
              <w:right w:val="single" w:sz="4" w:space="0" w:color="7B7B7B"/>
            </w:tcBorders>
            <w:shd w:val="clear" w:color="auto" w:fill="FFFFFF"/>
            <w:vAlign w:val="center"/>
            <w:hideMark/>
          </w:tcPr>
          <w:p w:rsidR="001A6D35" w:rsidRPr="00EC0535" w:rsidRDefault="001A6D35" w:rsidP="00A728E1">
            <w:pPr>
              <w:jc w:val="right"/>
              <w:rPr>
                <w:sz w:val="22"/>
                <w:szCs w:val="20"/>
                <w:lang w:val="sr-Latn-ME"/>
              </w:rPr>
            </w:pPr>
            <w:r w:rsidRPr="00EC0535">
              <w:rPr>
                <w:sz w:val="22"/>
                <w:szCs w:val="20"/>
                <w:lang w:val="sr-Latn-ME"/>
              </w:rPr>
              <w:t>Drhtavica</w:t>
            </w:r>
          </w:p>
        </w:tc>
        <w:tc>
          <w:tcPr>
            <w:tcW w:w="569"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6"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473"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w:t>
            </w:r>
          </w:p>
        </w:tc>
        <w:tc>
          <w:tcPr>
            <w:tcW w:w="530"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12</w:t>
            </w:r>
          </w:p>
        </w:tc>
        <w:tc>
          <w:tcPr>
            <w:tcW w:w="473"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474" w:type="pct"/>
            <w:tcBorders>
              <w:top w:val="nil"/>
              <w:left w:val="nil"/>
              <w:bottom w:val="single" w:sz="4" w:space="0" w:color="auto"/>
              <w:right w:val="single" w:sz="4" w:space="0" w:color="7B7B7B"/>
            </w:tcBorders>
            <w:shd w:val="clear" w:color="auto" w:fill="FFFFFF"/>
            <w:vAlign w:val="center"/>
            <w:hideMark/>
          </w:tcPr>
          <w:p w:rsidR="001A6D35" w:rsidRPr="00EC0535" w:rsidRDefault="001A6D35" w:rsidP="001A6D35">
            <w:pPr>
              <w:jc w:val="center"/>
              <w:rPr>
                <w:sz w:val="22"/>
                <w:szCs w:val="20"/>
                <w:lang w:val="sr-Latn-ME"/>
              </w:rPr>
            </w:pPr>
            <w:r w:rsidRPr="00EC0535">
              <w:rPr>
                <w:sz w:val="22"/>
                <w:szCs w:val="20"/>
                <w:lang w:val="sr-Latn-ME"/>
              </w:rPr>
              <w:t>0</w:t>
            </w:r>
          </w:p>
        </w:tc>
        <w:tc>
          <w:tcPr>
            <w:tcW w:w="880" w:type="pct"/>
            <w:tcBorders>
              <w:top w:val="nil"/>
              <w:left w:val="nil"/>
              <w:bottom w:val="single" w:sz="4" w:space="0" w:color="auto"/>
              <w:right w:val="single" w:sz="4" w:space="0" w:color="7B7B7B"/>
            </w:tcBorders>
            <w:shd w:val="clear" w:color="auto" w:fill="FFFFFF"/>
            <w:hideMark/>
          </w:tcPr>
          <w:p w:rsidR="001A6D35" w:rsidRPr="00EC0535" w:rsidRDefault="001A6D35" w:rsidP="001A6D35">
            <w:pPr>
              <w:jc w:val="center"/>
              <w:rPr>
                <w:lang w:val="sr-Latn-ME"/>
              </w:rPr>
            </w:pPr>
            <w:r w:rsidRPr="00EC0535">
              <w:rPr>
                <w:sz w:val="22"/>
                <w:szCs w:val="20"/>
                <w:lang w:val="sr-Latn-ME"/>
              </w:rPr>
              <w:t>veoma često</w:t>
            </w:r>
          </w:p>
        </w:tc>
      </w:tr>
    </w:tbl>
    <w:p w:rsidR="0006558F" w:rsidRPr="00EC0535" w:rsidRDefault="0006558F" w:rsidP="0006558F">
      <w:pPr>
        <w:tabs>
          <w:tab w:val="left" w:pos="540"/>
          <w:tab w:val="left" w:pos="569"/>
        </w:tabs>
        <w:jc w:val="both"/>
        <w:rPr>
          <w:bCs/>
          <w:sz w:val="20"/>
          <w:szCs w:val="20"/>
          <w:lang w:val="sr-Latn-ME"/>
        </w:rPr>
      </w:pPr>
      <w:r w:rsidRPr="00EC0535">
        <w:rPr>
          <w:bCs/>
          <w:sz w:val="20"/>
          <w:szCs w:val="20"/>
          <w:lang w:val="sr-Latn-ME"/>
        </w:rPr>
        <w:t>*Teške infekcije, sa neutropenijom ili bez nje, uključivale su pneumoniju, sepsu i celulitis.</w:t>
      </w:r>
    </w:p>
    <w:p w:rsidR="0006558F" w:rsidRPr="00EC0535" w:rsidRDefault="0006558F" w:rsidP="0006558F">
      <w:pPr>
        <w:tabs>
          <w:tab w:val="left" w:pos="540"/>
          <w:tab w:val="left" w:pos="569"/>
        </w:tabs>
        <w:jc w:val="both"/>
        <w:rPr>
          <w:bCs/>
          <w:sz w:val="20"/>
          <w:szCs w:val="20"/>
          <w:lang w:val="sr-Latn-ME"/>
        </w:rPr>
      </w:pPr>
      <w:r w:rsidRPr="00EC0535">
        <w:rPr>
          <w:bCs/>
          <w:sz w:val="20"/>
          <w:szCs w:val="20"/>
          <w:lang w:val="sr-Latn-ME"/>
        </w:rPr>
        <w:t>**Može da dovede do dehidra</w:t>
      </w:r>
      <w:r w:rsidR="00DF083C" w:rsidRPr="00EC0535">
        <w:rPr>
          <w:bCs/>
          <w:sz w:val="20"/>
          <w:szCs w:val="20"/>
          <w:lang w:val="sr-Latn-ME"/>
        </w:rPr>
        <w:t>ta</w:t>
      </w:r>
      <w:r w:rsidRPr="00EC0535">
        <w:rPr>
          <w:bCs/>
          <w:sz w:val="20"/>
          <w:szCs w:val="20"/>
          <w:lang w:val="sr-Latn-ME"/>
        </w:rPr>
        <w:t>cije, hipokalijemije i bubrežne insuficijencije.</w:t>
      </w:r>
    </w:p>
    <w:p w:rsidR="0006558F" w:rsidRPr="00EC0535" w:rsidRDefault="0006558F" w:rsidP="0006558F">
      <w:pPr>
        <w:tabs>
          <w:tab w:val="left" w:pos="540"/>
          <w:tab w:val="left" w:pos="569"/>
        </w:tabs>
        <w:jc w:val="both"/>
        <w:rPr>
          <w:bCs/>
          <w:color w:val="FF0000"/>
          <w:sz w:val="20"/>
          <w:szCs w:val="20"/>
          <w:lang w:val="sr-Latn-ME"/>
        </w:rPr>
      </w:pPr>
      <w:r w:rsidRPr="00EC0535">
        <w:rPr>
          <w:bCs/>
          <w:sz w:val="20"/>
          <w:szCs w:val="20"/>
          <w:lang w:val="sr-Latn-ME"/>
        </w:rPr>
        <w:t>*** Osip uključuje i akneformni dermatitis</w:t>
      </w:r>
      <w:r w:rsidRPr="00EC0535">
        <w:rPr>
          <w:bCs/>
          <w:color w:val="FF0000"/>
          <w:sz w:val="20"/>
          <w:szCs w:val="20"/>
          <w:lang w:val="sr-Latn-ME"/>
        </w:rPr>
        <w:t>.</w:t>
      </w:r>
    </w:p>
    <w:p w:rsidR="00715B4E" w:rsidRPr="00EC0535" w:rsidRDefault="00715B4E" w:rsidP="0006558F">
      <w:pPr>
        <w:tabs>
          <w:tab w:val="left" w:pos="540"/>
          <w:tab w:val="left" w:pos="569"/>
        </w:tabs>
        <w:jc w:val="both"/>
        <w:rPr>
          <w:bCs/>
          <w:sz w:val="20"/>
          <w:szCs w:val="20"/>
          <w:lang w:val="sr-Latn-ME"/>
        </w:rPr>
      </w:pPr>
      <w:r w:rsidRPr="00EC0535">
        <w:rPr>
          <w:bCs/>
          <w:sz w:val="20"/>
          <w:szCs w:val="20"/>
          <w:lang w:val="sr-Latn-ME"/>
        </w:rPr>
        <w:t>- Označava proc</w:t>
      </w:r>
      <w:r w:rsidR="00D85521" w:rsidRPr="00EC0535">
        <w:rPr>
          <w:bCs/>
          <w:sz w:val="20"/>
          <w:szCs w:val="20"/>
          <w:lang w:val="sr-Latn-ME"/>
        </w:rPr>
        <w:t>enat</w:t>
      </w:r>
      <w:r w:rsidRPr="00EC0535">
        <w:rPr>
          <w:bCs/>
          <w:sz w:val="20"/>
          <w:szCs w:val="20"/>
          <w:lang w:val="sr-Latn-ME"/>
        </w:rPr>
        <w:t xml:space="preserve"> ispod praga</w:t>
      </w:r>
      <w:r w:rsidR="00D85521" w:rsidRPr="00EC0535">
        <w:rPr>
          <w:bCs/>
          <w:sz w:val="20"/>
          <w:szCs w:val="20"/>
          <w:lang w:val="sr-Latn-ME"/>
        </w:rPr>
        <w:t>.</w:t>
      </w:r>
    </w:p>
    <w:p w:rsidR="0006558F" w:rsidRPr="00EC0535" w:rsidRDefault="0006558F" w:rsidP="00CE4F97">
      <w:pPr>
        <w:tabs>
          <w:tab w:val="left" w:pos="540"/>
          <w:tab w:val="left" w:pos="569"/>
        </w:tabs>
        <w:jc w:val="both"/>
        <w:rPr>
          <w:b/>
          <w:bCs/>
          <w:color w:val="FF0000"/>
          <w:sz w:val="22"/>
          <w:szCs w:val="22"/>
          <w:lang w:val="sr-Latn-ME"/>
        </w:rPr>
      </w:pPr>
    </w:p>
    <w:p w:rsidR="0006558F" w:rsidRPr="00EC0535" w:rsidRDefault="0006558F" w:rsidP="0006558F">
      <w:pPr>
        <w:tabs>
          <w:tab w:val="left" w:pos="540"/>
          <w:tab w:val="left" w:pos="569"/>
        </w:tabs>
        <w:jc w:val="both"/>
        <w:rPr>
          <w:b/>
          <w:bCs/>
          <w:sz w:val="22"/>
          <w:szCs w:val="22"/>
          <w:lang w:val="sr-Latn-ME"/>
        </w:rPr>
      </w:pPr>
      <w:r w:rsidRPr="00EC0535">
        <w:rPr>
          <w:b/>
          <w:bCs/>
          <w:sz w:val="22"/>
          <w:szCs w:val="22"/>
          <w:lang w:val="sr-Latn-ME"/>
        </w:rPr>
        <w:t>Tabela 2: Pregled neželjenih dejstava po kategorijama učestalosti:</w:t>
      </w: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1673"/>
        <w:gridCol w:w="1122"/>
        <w:gridCol w:w="1750"/>
        <w:gridCol w:w="1668"/>
        <w:gridCol w:w="1554"/>
        <w:gridCol w:w="1290"/>
      </w:tblGrid>
      <w:tr w:rsidR="00E20D6C" w:rsidRPr="00EC0535" w:rsidTr="00222BBD">
        <w:tc>
          <w:tcPr>
            <w:tcW w:w="924"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06558F">
            <w:pPr>
              <w:spacing w:after="200" w:line="276" w:lineRule="auto"/>
              <w:rPr>
                <w:rFonts w:eastAsia="Calibri"/>
                <w:sz w:val="22"/>
                <w:szCs w:val="22"/>
                <w:lang w:val="sr-Latn-ME"/>
              </w:rPr>
            </w:pPr>
            <w:r w:rsidRPr="00EC0535">
              <w:rPr>
                <w:rFonts w:eastAsia="Calibri"/>
                <w:b/>
                <w:bCs/>
                <w:sz w:val="22"/>
                <w:szCs w:val="22"/>
                <w:lang w:val="sr-Latn-ME"/>
              </w:rPr>
              <w:t>Sistem organa</w:t>
            </w:r>
          </w:p>
        </w:tc>
        <w:tc>
          <w:tcPr>
            <w:tcW w:w="619"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1A6D35">
            <w:pPr>
              <w:spacing w:after="200" w:line="276" w:lineRule="auto"/>
              <w:rPr>
                <w:rFonts w:eastAsia="Calibri"/>
                <w:sz w:val="22"/>
                <w:szCs w:val="22"/>
                <w:lang w:val="sr-Latn-ME"/>
              </w:rPr>
            </w:pPr>
            <w:r w:rsidRPr="00EC0535">
              <w:rPr>
                <w:rFonts w:eastAsia="Calibri"/>
                <w:b/>
                <w:bCs/>
                <w:sz w:val="22"/>
                <w:szCs w:val="22"/>
                <w:lang w:val="sr-Latn-ME"/>
              </w:rPr>
              <w:t>Veoma čest</w:t>
            </w:r>
            <w:r w:rsidR="001A6D35" w:rsidRPr="00EC0535">
              <w:rPr>
                <w:rFonts w:eastAsia="Calibri"/>
                <w:b/>
                <w:bCs/>
                <w:sz w:val="22"/>
                <w:szCs w:val="22"/>
                <w:lang w:val="sr-Latn-ME"/>
              </w:rPr>
              <w:t>o</w:t>
            </w:r>
            <w:r w:rsidR="00CE3CC1" w:rsidRPr="00EC0535">
              <w:rPr>
                <w:rFonts w:eastAsia="Calibri"/>
                <w:b/>
                <w:bCs/>
                <w:sz w:val="22"/>
                <w:szCs w:val="22"/>
                <w:lang w:val="sr-Latn-ME"/>
              </w:rPr>
              <w:t xml:space="preserve"> </w:t>
            </w:r>
            <w:r w:rsidRPr="00EC0535">
              <w:rPr>
                <w:rFonts w:eastAsia="Calibri"/>
                <w:b/>
                <w:bCs/>
                <w:sz w:val="22"/>
                <w:szCs w:val="22"/>
                <w:lang w:val="sr-Latn-ME"/>
              </w:rPr>
              <w:t>(≥1/10)</w:t>
            </w:r>
          </w:p>
        </w:tc>
        <w:tc>
          <w:tcPr>
            <w:tcW w:w="966"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CE3CC1">
            <w:pPr>
              <w:spacing w:after="200" w:line="276" w:lineRule="auto"/>
              <w:rPr>
                <w:rFonts w:eastAsia="Calibri"/>
                <w:sz w:val="22"/>
                <w:szCs w:val="22"/>
                <w:lang w:val="sr-Latn-ME"/>
              </w:rPr>
            </w:pPr>
            <w:r w:rsidRPr="00EC0535">
              <w:rPr>
                <w:rFonts w:eastAsia="Calibri"/>
                <w:b/>
                <w:bCs/>
                <w:sz w:val="22"/>
                <w:szCs w:val="22"/>
                <w:lang w:val="sr-Latn-ME"/>
              </w:rPr>
              <w:t>Č</w:t>
            </w:r>
            <w:r w:rsidR="001A6D35" w:rsidRPr="00EC0535">
              <w:rPr>
                <w:rFonts w:eastAsia="Calibri"/>
                <w:b/>
                <w:bCs/>
                <w:sz w:val="22"/>
                <w:szCs w:val="22"/>
                <w:lang w:val="sr-Latn-ME"/>
              </w:rPr>
              <w:t>esto</w:t>
            </w:r>
            <w:r w:rsidRPr="00EC0535">
              <w:rPr>
                <w:rFonts w:eastAsia="Calibri"/>
                <w:b/>
                <w:bCs/>
                <w:sz w:val="22"/>
                <w:szCs w:val="22"/>
                <w:lang w:val="sr-Latn-ME"/>
              </w:rPr>
              <w:t xml:space="preserve"> (≥1/100 </w:t>
            </w:r>
            <w:r w:rsidR="00CE3CC1" w:rsidRPr="00EC0535">
              <w:rPr>
                <w:rFonts w:eastAsia="Calibri"/>
                <w:b/>
                <w:bCs/>
                <w:sz w:val="22"/>
                <w:szCs w:val="22"/>
                <w:lang w:val="sr-Latn-ME"/>
              </w:rPr>
              <w:t xml:space="preserve">do </w:t>
            </w:r>
            <w:r w:rsidRPr="00EC0535">
              <w:rPr>
                <w:rFonts w:eastAsia="Calibri"/>
                <w:b/>
                <w:bCs/>
                <w:sz w:val="22"/>
                <w:szCs w:val="22"/>
                <w:lang w:val="sr-Latn-ME"/>
              </w:rPr>
              <w:t>&lt;1/10)</w:t>
            </w:r>
          </w:p>
        </w:tc>
        <w:tc>
          <w:tcPr>
            <w:tcW w:w="921"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1A6D35">
            <w:pPr>
              <w:spacing w:after="200" w:line="276" w:lineRule="auto"/>
              <w:rPr>
                <w:rFonts w:eastAsia="Calibri"/>
                <w:sz w:val="22"/>
                <w:szCs w:val="22"/>
                <w:lang w:val="sr-Latn-ME"/>
              </w:rPr>
            </w:pPr>
            <w:r w:rsidRPr="00EC0535">
              <w:rPr>
                <w:rFonts w:eastAsia="Calibri"/>
                <w:b/>
                <w:bCs/>
                <w:sz w:val="22"/>
                <w:szCs w:val="22"/>
                <w:lang w:val="sr-Latn-ME"/>
              </w:rPr>
              <w:t>Povremen</w:t>
            </w:r>
            <w:r w:rsidR="001A6D35" w:rsidRPr="00EC0535">
              <w:rPr>
                <w:rFonts w:eastAsia="Calibri"/>
                <w:b/>
                <w:bCs/>
                <w:sz w:val="22"/>
                <w:szCs w:val="22"/>
                <w:lang w:val="sr-Latn-ME"/>
              </w:rPr>
              <w:t>o</w:t>
            </w:r>
            <w:r w:rsidRPr="00EC0535">
              <w:rPr>
                <w:rFonts w:eastAsia="Calibri"/>
                <w:b/>
                <w:bCs/>
                <w:sz w:val="22"/>
                <w:szCs w:val="22"/>
                <w:lang w:val="sr-Latn-ME"/>
              </w:rPr>
              <w:t xml:space="preserve"> (≥1/1000 do &lt;1/100)</w:t>
            </w:r>
          </w:p>
        </w:tc>
        <w:tc>
          <w:tcPr>
            <w:tcW w:w="858"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06558F">
            <w:pPr>
              <w:spacing w:after="200" w:line="276" w:lineRule="auto"/>
              <w:rPr>
                <w:rFonts w:eastAsia="Calibri"/>
                <w:sz w:val="22"/>
                <w:szCs w:val="22"/>
                <w:lang w:val="sr-Latn-ME"/>
              </w:rPr>
            </w:pPr>
            <w:r w:rsidRPr="00EC0535">
              <w:rPr>
                <w:rFonts w:eastAsia="Calibri"/>
                <w:b/>
                <w:bCs/>
                <w:sz w:val="22"/>
                <w:szCs w:val="22"/>
                <w:lang w:val="sr-Latn-ME"/>
              </w:rPr>
              <w:t>Rijetk</w:t>
            </w:r>
            <w:r w:rsidR="001A6D35" w:rsidRPr="00EC0535">
              <w:rPr>
                <w:rFonts w:eastAsia="Calibri"/>
                <w:b/>
                <w:bCs/>
                <w:sz w:val="22"/>
                <w:szCs w:val="22"/>
                <w:lang w:val="sr-Latn-ME"/>
              </w:rPr>
              <w:t>o</w:t>
            </w:r>
            <w:r w:rsidRPr="00EC0535">
              <w:rPr>
                <w:rFonts w:eastAsia="Calibri"/>
                <w:b/>
                <w:bCs/>
                <w:sz w:val="22"/>
                <w:szCs w:val="22"/>
                <w:lang w:val="sr-Latn-ME"/>
              </w:rPr>
              <w:t xml:space="preserve"> (≥1/10000 do &lt;1/1000)</w:t>
            </w:r>
          </w:p>
        </w:tc>
        <w:tc>
          <w:tcPr>
            <w:tcW w:w="712"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1A6D35" w:rsidP="00CE3CC1">
            <w:pPr>
              <w:spacing w:after="200" w:line="276" w:lineRule="auto"/>
              <w:rPr>
                <w:rFonts w:eastAsia="Calibri"/>
                <w:sz w:val="22"/>
                <w:szCs w:val="22"/>
                <w:lang w:val="sr-Latn-ME"/>
              </w:rPr>
            </w:pPr>
            <w:r w:rsidRPr="00EC0535">
              <w:rPr>
                <w:rFonts w:eastAsia="Calibri"/>
                <w:b/>
                <w:bCs/>
                <w:sz w:val="22"/>
                <w:szCs w:val="22"/>
                <w:lang w:val="sr-Latn-ME"/>
              </w:rPr>
              <w:t>Veoma rijetko</w:t>
            </w:r>
            <w:r w:rsidR="00CE3CC1" w:rsidRPr="00EC0535">
              <w:rPr>
                <w:rFonts w:eastAsia="Calibri"/>
                <w:b/>
                <w:bCs/>
                <w:sz w:val="22"/>
                <w:szCs w:val="22"/>
                <w:lang w:val="sr-Latn-ME"/>
              </w:rPr>
              <w:t xml:space="preserve"> </w:t>
            </w:r>
            <w:r w:rsidR="0006558F" w:rsidRPr="00EC0535">
              <w:rPr>
                <w:rFonts w:eastAsia="Calibri"/>
                <w:b/>
                <w:bCs/>
                <w:sz w:val="22"/>
                <w:szCs w:val="22"/>
                <w:lang w:val="sr-Latn-ME"/>
              </w:rPr>
              <w:t>(&lt;1/10000)</w:t>
            </w:r>
          </w:p>
        </w:tc>
      </w:tr>
      <w:tr w:rsidR="00E20D6C" w:rsidRPr="00EC0535" w:rsidTr="00222BBD">
        <w:trPr>
          <w:trHeight w:val="35"/>
        </w:trPr>
        <w:tc>
          <w:tcPr>
            <w:tcW w:w="924"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06558F">
            <w:pPr>
              <w:spacing w:after="200" w:line="276" w:lineRule="auto"/>
              <w:rPr>
                <w:rFonts w:eastAsia="Calibri"/>
                <w:sz w:val="22"/>
                <w:szCs w:val="22"/>
                <w:lang w:val="sr-Latn-ME"/>
              </w:rPr>
            </w:pPr>
            <w:r w:rsidRPr="00EC0535">
              <w:rPr>
                <w:rFonts w:eastAsia="Calibri"/>
                <w:sz w:val="22"/>
                <w:szCs w:val="22"/>
                <w:lang w:val="sr-Latn-ME"/>
              </w:rPr>
              <w:t>Poremećaji oka</w:t>
            </w:r>
          </w:p>
        </w:tc>
        <w:tc>
          <w:tcPr>
            <w:tcW w:w="619"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06558F">
            <w:pPr>
              <w:rPr>
                <w:rFonts w:eastAsia="Calibri"/>
                <w:sz w:val="22"/>
                <w:szCs w:val="22"/>
                <w:lang w:val="sr-Latn-ME"/>
              </w:rPr>
            </w:pPr>
          </w:p>
        </w:tc>
        <w:tc>
          <w:tcPr>
            <w:tcW w:w="966"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06558F">
            <w:pPr>
              <w:spacing w:after="200" w:line="276" w:lineRule="auto"/>
              <w:rPr>
                <w:rFonts w:eastAsia="Calibri"/>
                <w:sz w:val="22"/>
                <w:szCs w:val="22"/>
                <w:lang w:val="sr-Latn-ME"/>
              </w:rPr>
            </w:pPr>
            <w:r w:rsidRPr="00EC0535">
              <w:rPr>
                <w:rFonts w:eastAsia="Calibri"/>
                <w:sz w:val="22"/>
                <w:szCs w:val="22"/>
                <w:lang w:val="sr-Latn-ME"/>
              </w:rPr>
              <w:t>Keratitis</w:t>
            </w:r>
          </w:p>
          <w:p w:rsidR="0006558F" w:rsidRPr="00EC0535" w:rsidRDefault="0006558F" w:rsidP="00CE3CC1">
            <w:pPr>
              <w:spacing w:after="200" w:line="276" w:lineRule="auto"/>
              <w:rPr>
                <w:rFonts w:eastAsia="Calibri"/>
                <w:sz w:val="22"/>
                <w:szCs w:val="22"/>
                <w:lang w:val="sr-Latn-ME"/>
              </w:rPr>
            </w:pPr>
            <w:r w:rsidRPr="00EC0535">
              <w:rPr>
                <w:rFonts w:eastAsia="Calibri"/>
                <w:sz w:val="22"/>
                <w:szCs w:val="22"/>
                <w:lang w:val="sr-Latn-ME"/>
              </w:rPr>
              <w:t>Konjunktivitis</w:t>
            </w:r>
            <w:r w:rsidRPr="00EC0535">
              <w:rPr>
                <w:rFonts w:eastAsia="Calibri"/>
                <w:sz w:val="22"/>
                <w:szCs w:val="22"/>
                <w:vertAlign w:val="superscript"/>
                <w:lang w:val="sr-Latn-ME"/>
              </w:rPr>
              <w:t>1</w:t>
            </w:r>
          </w:p>
        </w:tc>
        <w:tc>
          <w:tcPr>
            <w:tcW w:w="921"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06558F">
            <w:pPr>
              <w:spacing w:after="200" w:line="276" w:lineRule="auto"/>
              <w:rPr>
                <w:rFonts w:eastAsia="Calibri"/>
                <w:sz w:val="22"/>
                <w:szCs w:val="22"/>
                <w:lang w:val="sr-Latn-ME"/>
              </w:rPr>
            </w:pPr>
            <w:r w:rsidRPr="00EC0535">
              <w:rPr>
                <w:rFonts w:eastAsia="Calibri"/>
                <w:sz w:val="22"/>
                <w:szCs w:val="22"/>
                <w:lang w:val="sr-Latn-ME"/>
              </w:rPr>
              <w:t>Promjene na trepavicama</w:t>
            </w:r>
            <w:r w:rsidRPr="00EC0535">
              <w:rPr>
                <w:rFonts w:eastAsia="Calibri"/>
                <w:sz w:val="22"/>
                <w:szCs w:val="22"/>
                <w:vertAlign w:val="superscript"/>
                <w:lang w:val="sr-Latn-ME"/>
              </w:rPr>
              <w:t xml:space="preserve"> 2</w:t>
            </w:r>
          </w:p>
        </w:tc>
        <w:tc>
          <w:tcPr>
            <w:tcW w:w="858"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06558F">
            <w:pPr>
              <w:rPr>
                <w:rFonts w:eastAsia="Calibri"/>
                <w:sz w:val="22"/>
                <w:szCs w:val="22"/>
                <w:lang w:val="sr-Latn-ME"/>
              </w:rPr>
            </w:pPr>
          </w:p>
        </w:tc>
        <w:tc>
          <w:tcPr>
            <w:tcW w:w="712"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EC0535" w:rsidRDefault="0006558F" w:rsidP="0006558F">
            <w:pPr>
              <w:spacing w:after="200" w:line="276" w:lineRule="auto"/>
              <w:rPr>
                <w:rFonts w:eastAsia="Calibri"/>
                <w:sz w:val="22"/>
                <w:szCs w:val="22"/>
                <w:lang w:val="sr-Latn-ME"/>
              </w:rPr>
            </w:pPr>
            <w:r w:rsidRPr="00EC0535">
              <w:rPr>
                <w:rFonts w:eastAsia="Calibri"/>
                <w:sz w:val="22"/>
                <w:szCs w:val="22"/>
                <w:lang w:val="sr-Latn-ME"/>
              </w:rPr>
              <w:t>Perforacija kornee</w:t>
            </w:r>
          </w:p>
          <w:p w:rsidR="0006558F" w:rsidRPr="00EC0535" w:rsidRDefault="0006558F" w:rsidP="0006558F">
            <w:pPr>
              <w:spacing w:after="200" w:line="276" w:lineRule="auto"/>
              <w:rPr>
                <w:rFonts w:eastAsia="Calibri"/>
                <w:sz w:val="22"/>
                <w:szCs w:val="22"/>
                <w:lang w:val="sr-Latn-ME"/>
              </w:rPr>
            </w:pPr>
            <w:r w:rsidRPr="00EC0535">
              <w:rPr>
                <w:rFonts w:eastAsia="Calibri"/>
                <w:sz w:val="22"/>
                <w:szCs w:val="22"/>
                <w:lang w:val="sr-Latn-ME"/>
              </w:rPr>
              <w:t>Ulceracije kornee</w:t>
            </w:r>
          </w:p>
          <w:p w:rsidR="0006558F" w:rsidRPr="00EC0535" w:rsidRDefault="0006558F" w:rsidP="0006558F">
            <w:pPr>
              <w:spacing w:after="200" w:line="276" w:lineRule="auto"/>
              <w:rPr>
                <w:rFonts w:eastAsia="Calibri"/>
                <w:sz w:val="22"/>
                <w:szCs w:val="22"/>
                <w:lang w:val="sr-Latn-ME"/>
              </w:rPr>
            </w:pPr>
            <w:r w:rsidRPr="00EC0535">
              <w:rPr>
                <w:rFonts w:eastAsia="Calibri"/>
                <w:sz w:val="22"/>
                <w:szCs w:val="22"/>
                <w:lang w:val="sr-Latn-ME"/>
              </w:rPr>
              <w:t>Uveitis</w:t>
            </w:r>
          </w:p>
        </w:tc>
      </w:tr>
      <w:tr w:rsidR="00E20D6C" w:rsidRPr="00EC0535"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222BBD" w:rsidP="0006558F">
            <w:pPr>
              <w:widowControl w:val="0"/>
              <w:kinsoku w:val="0"/>
              <w:overflowPunct w:val="0"/>
              <w:autoSpaceDE w:val="0"/>
              <w:autoSpaceDN w:val="0"/>
              <w:adjustRightInd w:val="0"/>
              <w:ind w:left="110" w:right="396"/>
              <w:rPr>
                <w:iCs/>
                <w:sz w:val="22"/>
                <w:szCs w:val="22"/>
                <w:lang w:val="sr-Latn-ME" w:eastAsia="en-GB"/>
              </w:rPr>
            </w:pPr>
            <w:r w:rsidRPr="00EC0535">
              <w:rPr>
                <w:iCs/>
                <w:sz w:val="22"/>
                <w:szCs w:val="22"/>
                <w:lang w:val="sr-Latn-ME" w:eastAsia="en-GB"/>
              </w:rPr>
              <w:t>Respiratorni, t</w:t>
            </w:r>
            <w:r w:rsidR="0006558F" w:rsidRPr="00EC0535">
              <w:rPr>
                <w:iCs/>
                <w:sz w:val="22"/>
                <w:szCs w:val="22"/>
                <w:lang w:val="sr-Latn-ME" w:eastAsia="en-GB"/>
              </w:rPr>
              <w:t>orakalni i medijastinalni</w:t>
            </w:r>
          </w:p>
          <w:p w:rsidR="0006558F" w:rsidRPr="00EC0535" w:rsidRDefault="0006558F" w:rsidP="0006558F">
            <w:pPr>
              <w:widowControl w:val="0"/>
              <w:kinsoku w:val="0"/>
              <w:overflowPunct w:val="0"/>
              <w:autoSpaceDE w:val="0"/>
              <w:autoSpaceDN w:val="0"/>
              <w:adjustRightInd w:val="0"/>
              <w:spacing w:line="237" w:lineRule="exact"/>
              <w:ind w:left="110"/>
              <w:rPr>
                <w:iCs/>
                <w:sz w:val="22"/>
                <w:szCs w:val="22"/>
                <w:lang w:val="sr-Latn-ME" w:eastAsia="en-GB"/>
              </w:rPr>
            </w:pPr>
            <w:r w:rsidRPr="00EC0535">
              <w:rPr>
                <w:iCs/>
                <w:sz w:val="22"/>
                <w:szCs w:val="22"/>
                <w:lang w:val="sr-Latn-ME" w:eastAsia="en-GB"/>
              </w:rPr>
              <w:t>poremećaji</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iCs/>
                <w:sz w:val="22"/>
                <w:szCs w:val="22"/>
                <w:lang w:val="sr-Latn-ME"/>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44" w:lineRule="exact"/>
              <w:rPr>
                <w:sz w:val="22"/>
                <w:szCs w:val="22"/>
                <w:lang w:val="sr-Latn-ME" w:eastAsia="en-GB"/>
              </w:rPr>
            </w:pPr>
            <w:r w:rsidRPr="00EC0535">
              <w:rPr>
                <w:sz w:val="22"/>
                <w:szCs w:val="22"/>
                <w:lang w:val="sr-Latn-ME" w:eastAsia="en-GB"/>
              </w:rPr>
              <w:t>Epistaksa</w:t>
            </w: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CE3CC1" w:rsidP="00CE3CC1">
            <w:pPr>
              <w:widowControl w:val="0"/>
              <w:kinsoku w:val="0"/>
              <w:overflowPunct w:val="0"/>
              <w:autoSpaceDE w:val="0"/>
              <w:autoSpaceDN w:val="0"/>
              <w:adjustRightInd w:val="0"/>
              <w:spacing w:line="235" w:lineRule="auto"/>
              <w:ind w:right="207"/>
              <w:rPr>
                <w:sz w:val="22"/>
                <w:szCs w:val="22"/>
                <w:lang w:val="sr-Latn-ME" w:eastAsia="en-GB"/>
              </w:rPr>
            </w:pPr>
            <w:r w:rsidRPr="00EC0535">
              <w:rPr>
                <w:sz w:val="22"/>
                <w:szCs w:val="22"/>
                <w:lang w:val="sr-Latn-ME" w:eastAsia="en-GB"/>
              </w:rPr>
              <w:t xml:space="preserve">Intersticijalna </w:t>
            </w:r>
            <w:r w:rsidR="0006558F" w:rsidRPr="00EC0535">
              <w:rPr>
                <w:sz w:val="22"/>
                <w:szCs w:val="22"/>
                <w:lang w:val="sr-Latn-ME" w:eastAsia="en-GB"/>
              </w:rPr>
              <w:t>bolest pluća³</w:t>
            </w: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sz w:val="22"/>
                <w:szCs w:val="22"/>
                <w:lang w:val="sr-Latn-ME"/>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sz w:val="20"/>
                <w:szCs w:val="20"/>
                <w:lang w:val="sr-Latn-ME" w:eastAsia="en-GB"/>
              </w:rPr>
            </w:pPr>
          </w:p>
        </w:tc>
      </w:tr>
      <w:tr w:rsidR="00E20D6C" w:rsidRPr="00EC0535"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35" w:lineRule="auto"/>
              <w:ind w:left="110" w:right="163"/>
              <w:rPr>
                <w:iCs/>
                <w:sz w:val="22"/>
                <w:szCs w:val="22"/>
                <w:lang w:val="sr-Latn-ME" w:eastAsia="en-GB"/>
              </w:rPr>
            </w:pPr>
            <w:r w:rsidRPr="00EC0535">
              <w:rPr>
                <w:iCs/>
                <w:sz w:val="22"/>
                <w:szCs w:val="22"/>
                <w:lang w:val="sr-Latn-ME" w:eastAsia="en-GB"/>
              </w:rPr>
              <w:t>Gastrointestina</w:t>
            </w:r>
            <w:r w:rsidRPr="00EC0535">
              <w:rPr>
                <w:iCs/>
                <w:sz w:val="22"/>
                <w:szCs w:val="22"/>
                <w:lang w:val="sr-Latn-ME" w:eastAsia="en-GB"/>
              </w:rPr>
              <w:lastRenderedPageBreak/>
              <w:t>lni poremećaji</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49" w:lineRule="exact"/>
              <w:rPr>
                <w:sz w:val="22"/>
                <w:szCs w:val="22"/>
                <w:vertAlign w:val="superscript"/>
                <w:lang w:val="sr-Latn-ME" w:eastAsia="en-GB"/>
              </w:rPr>
            </w:pPr>
            <w:r w:rsidRPr="00EC0535">
              <w:rPr>
                <w:sz w:val="22"/>
                <w:szCs w:val="22"/>
                <w:lang w:val="sr-Latn-ME" w:eastAsia="en-GB"/>
              </w:rPr>
              <w:lastRenderedPageBreak/>
              <w:t>Dijareja</w:t>
            </w:r>
            <w:r w:rsidRPr="00EC0535">
              <w:rPr>
                <w:sz w:val="22"/>
                <w:szCs w:val="22"/>
                <w:vertAlign w:val="superscript"/>
                <w:lang w:val="sr-Latn-ME" w:eastAsia="en-GB"/>
              </w:rPr>
              <w:t>7</w:t>
            </w: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35" w:lineRule="auto"/>
              <w:ind w:left="105" w:right="207"/>
              <w:rPr>
                <w:sz w:val="22"/>
                <w:szCs w:val="22"/>
                <w:vertAlign w:val="superscript"/>
                <w:lang w:val="sr-Latn-ME" w:eastAsia="en-GB"/>
              </w:rPr>
            </w:pPr>
            <w:r w:rsidRPr="00EC0535">
              <w:rPr>
                <w:sz w:val="22"/>
                <w:szCs w:val="22"/>
                <w:lang w:val="sr-Latn-ME" w:eastAsia="en-GB"/>
              </w:rPr>
              <w:t>Gastrointestina</w:t>
            </w:r>
            <w:r w:rsidRPr="00EC0535">
              <w:rPr>
                <w:sz w:val="22"/>
                <w:szCs w:val="22"/>
                <w:lang w:val="sr-Latn-ME" w:eastAsia="en-GB"/>
              </w:rPr>
              <w:lastRenderedPageBreak/>
              <w:t>lno krvarenje</w:t>
            </w:r>
            <w:r w:rsidRPr="00EC0535">
              <w:rPr>
                <w:sz w:val="22"/>
                <w:szCs w:val="22"/>
                <w:vertAlign w:val="superscript"/>
                <w:lang w:val="sr-Latn-ME" w:eastAsia="en-GB"/>
              </w:rPr>
              <w:t>4,7</w:t>
            </w: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35" w:lineRule="auto"/>
              <w:ind w:right="207"/>
              <w:rPr>
                <w:sz w:val="22"/>
                <w:szCs w:val="22"/>
                <w:lang w:val="sr-Latn-ME" w:eastAsia="en-GB"/>
              </w:rPr>
            </w:pPr>
            <w:r w:rsidRPr="00EC0535">
              <w:rPr>
                <w:sz w:val="22"/>
                <w:szCs w:val="22"/>
                <w:lang w:val="sr-Latn-ME" w:eastAsia="en-GB"/>
              </w:rPr>
              <w:lastRenderedPageBreak/>
              <w:t xml:space="preserve">Gastrointesti- </w:t>
            </w:r>
            <w:r w:rsidRPr="00EC0535">
              <w:rPr>
                <w:sz w:val="22"/>
                <w:szCs w:val="22"/>
                <w:lang w:val="sr-Latn-ME" w:eastAsia="en-GB"/>
              </w:rPr>
              <w:lastRenderedPageBreak/>
              <w:t>nalne perforacije</w:t>
            </w:r>
            <w:r w:rsidRPr="00EC0535">
              <w:rPr>
                <w:sz w:val="22"/>
                <w:szCs w:val="22"/>
                <w:vertAlign w:val="superscript"/>
                <w:lang w:val="sr-Latn-ME" w:eastAsia="en-GB"/>
              </w:rPr>
              <w:t>7</w:t>
            </w: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sz w:val="22"/>
                <w:szCs w:val="22"/>
                <w:lang w:val="sr-Latn-ME"/>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sz w:val="20"/>
                <w:szCs w:val="20"/>
                <w:lang w:val="sr-Latn-ME" w:eastAsia="en-GB"/>
              </w:rPr>
            </w:pPr>
          </w:p>
        </w:tc>
      </w:tr>
      <w:tr w:rsidR="00E20D6C" w:rsidRPr="00EC0535"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35" w:lineRule="auto"/>
              <w:ind w:left="110" w:right="286"/>
              <w:rPr>
                <w:iCs/>
                <w:sz w:val="22"/>
                <w:szCs w:val="22"/>
                <w:lang w:val="sr-Latn-ME" w:eastAsia="en-GB"/>
              </w:rPr>
            </w:pPr>
            <w:r w:rsidRPr="00EC0535">
              <w:rPr>
                <w:iCs/>
                <w:sz w:val="22"/>
                <w:szCs w:val="22"/>
                <w:lang w:val="sr-Latn-ME" w:eastAsia="en-GB"/>
              </w:rPr>
              <w:t>Hepatobilijarni poremećaji</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222BBD">
            <w:pPr>
              <w:widowControl w:val="0"/>
              <w:kinsoku w:val="0"/>
              <w:overflowPunct w:val="0"/>
              <w:autoSpaceDE w:val="0"/>
              <w:autoSpaceDN w:val="0"/>
              <w:adjustRightInd w:val="0"/>
              <w:ind w:right="146"/>
              <w:rPr>
                <w:sz w:val="22"/>
                <w:szCs w:val="22"/>
                <w:lang w:val="sr-Latn-ME" w:eastAsia="en-GB"/>
              </w:rPr>
            </w:pPr>
            <w:r w:rsidRPr="00EC0535">
              <w:rPr>
                <w:sz w:val="22"/>
                <w:szCs w:val="22"/>
                <w:lang w:val="sr-Latn-ME" w:eastAsia="en-GB"/>
              </w:rPr>
              <w:t>Abnormalni rezultati ispitivanja</w:t>
            </w:r>
            <w:r w:rsidR="00222BBD" w:rsidRPr="00EC0535">
              <w:rPr>
                <w:sz w:val="22"/>
                <w:szCs w:val="22"/>
                <w:lang w:val="sr-Latn-ME" w:eastAsia="en-GB"/>
              </w:rPr>
              <w:t xml:space="preserve"> </w:t>
            </w:r>
            <w:r w:rsidRPr="00EC0535">
              <w:rPr>
                <w:sz w:val="22"/>
                <w:szCs w:val="22"/>
                <w:lang w:val="sr-Latn-ME" w:eastAsia="en-GB"/>
              </w:rPr>
              <w:t>funkcije jetre</w:t>
            </w:r>
            <w:r w:rsidRPr="00EC0535">
              <w:rPr>
                <w:sz w:val="22"/>
                <w:szCs w:val="22"/>
                <w:vertAlign w:val="superscript"/>
                <w:lang w:val="sr-Latn-ME" w:eastAsia="en-GB"/>
              </w:rPr>
              <w:t>5</w:t>
            </w: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sz w:val="22"/>
                <w:szCs w:val="22"/>
                <w:vertAlign w:val="superscript"/>
                <w:lang w:val="sr-Latn-ME"/>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sz w:val="20"/>
                <w:szCs w:val="20"/>
                <w:lang w:val="sr-Latn-ME" w:eastAsia="en-GB"/>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35" w:lineRule="auto"/>
              <w:ind w:right="242"/>
              <w:rPr>
                <w:sz w:val="22"/>
                <w:szCs w:val="22"/>
                <w:vertAlign w:val="superscript"/>
                <w:lang w:val="sr-Latn-ME" w:eastAsia="en-GB"/>
              </w:rPr>
            </w:pPr>
            <w:r w:rsidRPr="00EC0535">
              <w:rPr>
                <w:sz w:val="22"/>
                <w:szCs w:val="22"/>
                <w:lang w:val="sr-Latn-ME" w:eastAsia="en-GB"/>
              </w:rPr>
              <w:t>Insuficijencija jetre</w:t>
            </w:r>
            <w:r w:rsidRPr="00EC0535">
              <w:rPr>
                <w:sz w:val="22"/>
                <w:szCs w:val="22"/>
                <w:vertAlign w:val="superscript"/>
                <w:lang w:val="sr-Latn-ME" w:eastAsia="en-GB"/>
              </w:rPr>
              <w:t>6</w:t>
            </w: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sz w:val="22"/>
                <w:szCs w:val="22"/>
                <w:vertAlign w:val="superscript"/>
                <w:lang w:val="sr-Latn-ME"/>
              </w:rPr>
            </w:pPr>
          </w:p>
        </w:tc>
      </w:tr>
      <w:tr w:rsidR="00E20D6C" w:rsidRPr="00EC0535"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35" w:lineRule="auto"/>
              <w:ind w:left="110" w:right="78"/>
              <w:rPr>
                <w:iCs/>
                <w:sz w:val="22"/>
                <w:szCs w:val="22"/>
                <w:lang w:val="sr-Latn-ME" w:eastAsia="en-GB"/>
              </w:rPr>
            </w:pPr>
            <w:r w:rsidRPr="00EC0535">
              <w:rPr>
                <w:iCs/>
                <w:sz w:val="22"/>
                <w:szCs w:val="22"/>
                <w:lang w:val="sr-Latn-ME" w:eastAsia="en-GB"/>
              </w:rPr>
              <w:t>Poremećaji kože i potkožnog tkiva</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rPr>
                <w:sz w:val="20"/>
                <w:szCs w:val="20"/>
                <w:lang w:val="sr-Latn-ME" w:eastAsia="en-GB"/>
              </w:rPr>
            </w:pPr>
            <w:r w:rsidRPr="00EC0535">
              <w:rPr>
                <w:sz w:val="22"/>
                <w:szCs w:val="20"/>
                <w:lang w:val="sr-Latn-ME" w:eastAsia="en-GB"/>
              </w:rPr>
              <w:t>Osip</w:t>
            </w: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42" w:lineRule="exact"/>
              <w:ind w:left="105"/>
              <w:rPr>
                <w:sz w:val="22"/>
                <w:szCs w:val="22"/>
                <w:lang w:val="sr-Latn-ME" w:eastAsia="en-GB"/>
              </w:rPr>
            </w:pPr>
            <w:r w:rsidRPr="00EC0535">
              <w:rPr>
                <w:sz w:val="22"/>
                <w:szCs w:val="22"/>
                <w:lang w:val="sr-Latn-ME" w:eastAsia="en-GB"/>
              </w:rPr>
              <w:t>Alopecija</w:t>
            </w:r>
          </w:p>
          <w:p w:rsidR="0006558F" w:rsidRPr="00EC0535" w:rsidRDefault="0006558F" w:rsidP="0006558F">
            <w:pPr>
              <w:widowControl w:val="0"/>
              <w:kinsoku w:val="0"/>
              <w:overflowPunct w:val="0"/>
              <w:autoSpaceDE w:val="0"/>
              <w:autoSpaceDN w:val="0"/>
              <w:adjustRightInd w:val="0"/>
              <w:spacing w:line="251" w:lineRule="exact"/>
              <w:ind w:left="105"/>
              <w:rPr>
                <w:sz w:val="22"/>
                <w:szCs w:val="22"/>
                <w:vertAlign w:val="superscript"/>
                <w:lang w:val="sr-Latn-ME" w:eastAsia="en-GB"/>
              </w:rPr>
            </w:pPr>
            <w:r w:rsidRPr="00EC0535">
              <w:rPr>
                <w:sz w:val="22"/>
                <w:szCs w:val="22"/>
                <w:lang w:val="sr-Latn-ME" w:eastAsia="en-GB"/>
              </w:rPr>
              <w:t>Suva koža</w:t>
            </w:r>
            <w:r w:rsidRPr="00EC0535">
              <w:rPr>
                <w:sz w:val="22"/>
                <w:szCs w:val="22"/>
                <w:vertAlign w:val="superscript"/>
                <w:lang w:val="sr-Latn-ME" w:eastAsia="en-GB"/>
              </w:rPr>
              <w:t>1</w:t>
            </w:r>
          </w:p>
          <w:p w:rsidR="0006558F" w:rsidRPr="00EC0535" w:rsidRDefault="0006558F" w:rsidP="0006558F">
            <w:pPr>
              <w:widowControl w:val="0"/>
              <w:kinsoku w:val="0"/>
              <w:overflowPunct w:val="0"/>
              <w:autoSpaceDE w:val="0"/>
              <w:autoSpaceDN w:val="0"/>
              <w:adjustRightInd w:val="0"/>
              <w:spacing w:before="1"/>
              <w:ind w:left="105"/>
              <w:rPr>
                <w:sz w:val="22"/>
                <w:szCs w:val="22"/>
                <w:lang w:val="sr-Latn-ME" w:eastAsia="en-GB"/>
              </w:rPr>
            </w:pPr>
            <w:r w:rsidRPr="00EC0535">
              <w:rPr>
                <w:sz w:val="22"/>
                <w:szCs w:val="22"/>
                <w:lang w:val="sr-Latn-ME" w:eastAsia="en-GB"/>
              </w:rPr>
              <w:t>Paronihija</w:t>
            </w:r>
          </w:p>
          <w:p w:rsidR="0006558F" w:rsidRPr="00EC0535" w:rsidRDefault="0006558F" w:rsidP="0006558F">
            <w:pPr>
              <w:widowControl w:val="0"/>
              <w:kinsoku w:val="0"/>
              <w:overflowPunct w:val="0"/>
              <w:autoSpaceDE w:val="0"/>
              <w:autoSpaceDN w:val="0"/>
              <w:adjustRightInd w:val="0"/>
              <w:spacing w:before="2" w:line="251" w:lineRule="exact"/>
              <w:ind w:left="105"/>
              <w:rPr>
                <w:sz w:val="22"/>
                <w:szCs w:val="22"/>
                <w:lang w:val="sr-Latn-ME" w:eastAsia="en-GB"/>
              </w:rPr>
            </w:pPr>
            <w:r w:rsidRPr="00EC0535">
              <w:rPr>
                <w:sz w:val="22"/>
                <w:szCs w:val="22"/>
                <w:lang w:val="sr-Latn-ME" w:eastAsia="en-GB"/>
              </w:rPr>
              <w:t>Folikulitis</w:t>
            </w:r>
          </w:p>
          <w:p w:rsidR="0006558F" w:rsidRPr="00EC0535" w:rsidRDefault="0006558F" w:rsidP="0006558F">
            <w:pPr>
              <w:widowControl w:val="0"/>
              <w:kinsoku w:val="0"/>
              <w:overflowPunct w:val="0"/>
              <w:autoSpaceDE w:val="0"/>
              <w:autoSpaceDN w:val="0"/>
              <w:adjustRightInd w:val="0"/>
              <w:ind w:left="105" w:right="207"/>
              <w:rPr>
                <w:sz w:val="22"/>
                <w:szCs w:val="22"/>
                <w:lang w:val="sr-Latn-ME" w:eastAsia="en-GB"/>
              </w:rPr>
            </w:pPr>
            <w:r w:rsidRPr="00EC0535">
              <w:rPr>
                <w:sz w:val="22"/>
                <w:szCs w:val="22"/>
                <w:lang w:val="sr-Latn-ME" w:eastAsia="en-GB"/>
              </w:rPr>
              <w:t>Akne/ Akneiformni dermatitis</w:t>
            </w:r>
          </w:p>
          <w:p w:rsidR="0006558F" w:rsidRPr="00EC0535" w:rsidRDefault="0006558F" w:rsidP="0006558F">
            <w:pPr>
              <w:widowControl w:val="0"/>
              <w:kinsoku w:val="0"/>
              <w:overflowPunct w:val="0"/>
              <w:autoSpaceDE w:val="0"/>
              <w:autoSpaceDN w:val="0"/>
              <w:adjustRightInd w:val="0"/>
              <w:spacing w:before="2"/>
              <w:ind w:left="105"/>
              <w:rPr>
                <w:sz w:val="22"/>
                <w:szCs w:val="22"/>
                <w:lang w:val="sr-Latn-ME" w:eastAsia="en-GB"/>
              </w:rPr>
            </w:pPr>
            <w:r w:rsidRPr="00EC0535">
              <w:rPr>
                <w:sz w:val="22"/>
                <w:szCs w:val="22"/>
                <w:lang w:val="sr-Latn-ME" w:eastAsia="en-GB"/>
              </w:rPr>
              <w:t>Kožne fisure</w:t>
            </w: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42" w:lineRule="exact"/>
              <w:rPr>
                <w:sz w:val="22"/>
                <w:szCs w:val="22"/>
                <w:lang w:val="sr-Latn-ME" w:eastAsia="en-GB"/>
              </w:rPr>
            </w:pPr>
            <w:r w:rsidRPr="00EC0535">
              <w:rPr>
                <w:sz w:val="22"/>
                <w:szCs w:val="22"/>
                <w:lang w:val="sr-Latn-ME" w:eastAsia="en-GB"/>
              </w:rPr>
              <w:t>Hirzuitizam</w:t>
            </w:r>
          </w:p>
          <w:p w:rsidR="0006558F" w:rsidRPr="00EC0535" w:rsidRDefault="0006558F" w:rsidP="0006558F">
            <w:pPr>
              <w:widowControl w:val="0"/>
              <w:kinsoku w:val="0"/>
              <w:overflowPunct w:val="0"/>
              <w:autoSpaceDE w:val="0"/>
              <w:autoSpaceDN w:val="0"/>
              <w:adjustRightInd w:val="0"/>
              <w:ind w:right="457"/>
              <w:rPr>
                <w:sz w:val="22"/>
                <w:szCs w:val="22"/>
                <w:lang w:val="sr-Latn-ME" w:eastAsia="en-GB"/>
              </w:rPr>
            </w:pPr>
            <w:r w:rsidRPr="00EC0535">
              <w:rPr>
                <w:sz w:val="22"/>
                <w:szCs w:val="22"/>
                <w:lang w:val="sr-Latn-ME" w:eastAsia="en-GB"/>
              </w:rPr>
              <w:t>Promjene na obrvama</w:t>
            </w:r>
          </w:p>
          <w:p w:rsidR="0006558F" w:rsidRPr="00EC0535" w:rsidRDefault="0006558F" w:rsidP="0006558F">
            <w:pPr>
              <w:widowControl w:val="0"/>
              <w:kinsoku w:val="0"/>
              <w:overflowPunct w:val="0"/>
              <w:autoSpaceDE w:val="0"/>
              <w:autoSpaceDN w:val="0"/>
              <w:adjustRightInd w:val="0"/>
              <w:spacing w:before="3" w:line="235" w:lineRule="auto"/>
              <w:rPr>
                <w:sz w:val="22"/>
                <w:szCs w:val="22"/>
                <w:lang w:val="sr-Latn-ME" w:eastAsia="en-GB"/>
              </w:rPr>
            </w:pPr>
            <w:r w:rsidRPr="00EC0535">
              <w:rPr>
                <w:sz w:val="22"/>
                <w:szCs w:val="22"/>
                <w:lang w:val="sr-Latn-ME" w:eastAsia="en-GB"/>
              </w:rPr>
              <w:t>Lomljivi i krti nokti</w:t>
            </w:r>
          </w:p>
          <w:p w:rsidR="0006558F" w:rsidRPr="00EC0535" w:rsidRDefault="0006558F" w:rsidP="0006558F">
            <w:pPr>
              <w:widowControl w:val="0"/>
              <w:kinsoku w:val="0"/>
              <w:overflowPunct w:val="0"/>
              <w:autoSpaceDE w:val="0"/>
              <w:autoSpaceDN w:val="0"/>
              <w:adjustRightInd w:val="0"/>
              <w:spacing w:before="1"/>
              <w:ind w:right="140"/>
              <w:rPr>
                <w:sz w:val="22"/>
                <w:szCs w:val="22"/>
                <w:lang w:val="sr-Latn-ME" w:eastAsia="en-GB"/>
              </w:rPr>
            </w:pPr>
            <w:r w:rsidRPr="00EC0535">
              <w:rPr>
                <w:sz w:val="22"/>
                <w:szCs w:val="22"/>
                <w:lang w:val="sr-Latn-ME" w:eastAsia="en-GB"/>
              </w:rPr>
              <w:t>Blaga reakcija kože poput</w:t>
            </w:r>
          </w:p>
          <w:p w:rsidR="0006558F" w:rsidRPr="00EC0535" w:rsidRDefault="0006558F" w:rsidP="0006558F">
            <w:pPr>
              <w:widowControl w:val="0"/>
              <w:kinsoku w:val="0"/>
              <w:overflowPunct w:val="0"/>
              <w:autoSpaceDE w:val="0"/>
              <w:autoSpaceDN w:val="0"/>
              <w:adjustRightInd w:val="0"/>
              <w:spacing w:before="8" w:line="250" w:lineRule="exact"/>
              <w:ind w:left="110" w:right="134"/>
              <w:rPr>
                <w:sz w:val="22"/>
                <w:szCs w:val="22"/>
                <w:lang w:val="sr-Latn-ME" w:eastAsia="en-GB"/>
              </w:rPr>
            </w:pPr>
            <w:r w:rsidRPr="00EC0535">
              <w:rPr>
                <w:sz w:val="22"/>
                <w:szCs w:val="22"/>
                <w:lang w:val="sr-Latn-ME" w:eastAsia="en-GB"/>
              </w:rPr>
              <w:t>hiperpigmentacije</w:t>
            </w: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ind w:left="110" w:right="187"/>
              <w:rPr>
                <w:sz w:val="22"/>
                <w:szCs w:val="22"/>
                <w:lang w:val="sr-Latn-ME" w:eastAsia="en-GB"/>
              </w:rPr>
            </w:pPr>
            <w:r w:rsidRPr="00EC0535">
              <w:rPr>
                <w:sz w:val="22"/>
                <w:szCs w:val="22"/>
                <w:lang w:val="sr-Latn-ME" w:eastAsia="en-GB"/>
              </w:rPr>
              <w:t>Sindrom palmarno- plantarne eritrodizestezije</w:t>
            </w: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ind w:left="105" w:right="209"/>
              <w:rPr>
                <w:sz w:val="22"/>
                <w:szCs w:val="22"/>
                <w:vertAlign w:val="superscript"/>
                <w:lang w:val="sr-Latn-ME" w:eastAsia="en-GB"/>
              </w:rPr>
            </w:pPr>
            <w:r w:rsidRPr="00EC0535">
              <w:rPr>
                <w:sz w:val="22"/>
                <w:szCs w:val="22"/>
                <w:lang w:val="sr-Latn-ME" w:eastAsia="en-GB"/>
              </w:rPr>
              <w:t>-</w:t>
            </w:r>
            <w:r w:rsidRPr="00EC0535">
              <w:rPr>
                <w:i/>
                <w:iCs/>
                <w:sz w:val="22"/>
                <w:szCs w:val="22"/>
                <w:lang w:val="sr-Latn-ME" w:eastAsia="en-GB"/>
              </w:rPr>
              <w:t>Stevens- Johnson</w:t>
            </w:r>
            <w:r w:rsidRPr="00EC0535">
              <w:rPr>
                <w:sz w:val="22"/>
                <w:szCs w:val="22"/>
                <w:lang w:val="sr-Latn-ME" w:eastAsia="en-GB"/>
              </w:rPr>
              <w:t>-ov sindrom/ Toksična epidermalna nekroliza</w:t>
            </w:r>
            <w:r w:rsidRPr="00EC0535">
              <w:rPr>
                <w:sz w:val="22"/>
                <w:szCs w:val="22"/>
                <w:vertAlign w:val="superscript"/>
                <w:lang w:val="sr-Latn-ME" w:eastAsia="en-GB"/>
              </w:rPr>
              <w:t>7</w:t>
            </w:r>
          </w:p>
        </w:tc>
      </w:tr>
      <w:tr w:rsidR="00E20D6C" w:rsidRPr="00EC0535"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ind w:left="110" w:right="640"/>
              <w:rPr>
                <w:iCs/>
                <w:sz w:val="22"/>
                <w:szCs w:val="22"/>
                <w:lang w:val="sr-Latn-ME" w:eastAsia="en-GB"/>
              </w:rPr>
            </w:pPr>
            <w:r w:rsidRPr="00EC0535">
              <w:rPr>
                <w:iCs/>
                <w:sz w:val="22"/>
                <w:szCs w:val="22"/>
                <w:lang w:val="sr-Latn-ME" w:eastAsia="en-GB"/>
              </w:rPr>
              <w:t>Poremećaji bubrega i urinarnog</w:t>
            </w:r>
          </w:p>
          <w:p w:rsidR="0006558F" w:rsidRPr="00EC0535" w:rsidRDefault="0006558F" w:rsidP="0006558F">
            <w:pPr>
              <w:widowControl w:val="0"/>
              <w:kinsoku w:val="0"/>
              <w:overflowPunct w:val="0"/>
              <w:autoSpaceDE w:val="0"/>
              <w:autoSpaceDN w:val="0"/>
              <w:adjustRightInd w:val="0"/>
              <w:spacing w:line="242" w:lineRule="exact"/>
              <w:ind w:left="110"/>
              <w:rPr>
                <w:iCs/>
                <w:sz w:val="22"/>
                <w:szCs w:val="22"/>
                <w:lang w:val="sr-Latn-ME" w:eastAsia="en-GB"/>
              </w:rPr>
            </w:pPr>
            <w:r w:rsidRPr="00EC0535">
              <w:rPr>
                <w:iCs/>
                <w:sz w:val="22"/>
                <w:szCs w:val="22"/>
                <w:lang w:val="sr-Latn-ME" w:eastAsia="en-GB"/>
              </w:rPr>
              <w:t>sistema</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iCs/>
                <w:sz w:val="22"/>
                <w:szCs w:val="22"/>
                <w:lang w:val="sr-Latn-ME"/>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ind w:left="105"/>
              <w:rPr>
                <w:sz w:val="22"/>
                <w:szCs w:val="22"/>
                <w:vertAlign w:val="superscript"/>
                <w:lang w:val="sr-Latn-ME" w:eastAsia="en-GB"/>
              </w:rPr>
            </w:pPr>
            <w:r w:rsidRPr="00EC0535">
              <w:rPr>
                <w:sz w:val="22"/>
                <w:szCs w:val="22"/>
                <w:lang w:val="sr-Latn-ME" w:eastAsia="en-GB"/>
              </w:rPr>
              <w:t>Renalna insuficijencija</w:t>
            </w:r>
            <w:r w:rsidRPr="00EC0535">
              <w:rPr>
                <w:sz w:val="22"/>
                <w:szCs w:val="22"/>
                <w:vertAlign w:val="superscript"/>
                <w:lang w:val="sr-Latn-ME" w:eastAsia="en-GB"/>
              </w:rPr>
              <w:t>1</w:t>
            </w: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widowControl w:val="0"/>
              <w:kinsoku w:val="0"/>
              <w:overflowPunct w:val="0"/>
              <w:autoSpaceDE w:val="0"/>
              <w:autoSpaceDN w:val="0"/>
              <w:adjustRightInd w:val="0"/>
              <w:spacing w:line="244" w:lineRule="exact"/>
              <w:ind w:left="110"/>
              <w:rPr>
                <w:sz w:val="22"/>
                <w:szCs w:val="22"/>
                <w:vertAlign w:val="superscript"/>
                <w:lang w:val="sr-Latn-ME" w:eastAsia="en-GB"/>
              </w:rPr>
            </w:pPr>
            <w:r w:rsidRPr="00EC0535">
              <w:rPr>
                <w:sz w:val="22"/>
                <w:szCs w:val="22"/>
                <w:lang w:val="sr-Latn-ME" w:eastAsia="en-GB"/>
              </w:rPr>
              <w:t>Nefritis</w:t>
            </w:r>
            <w:r w:rsidRPr="00EC0535">
              <w:rPr>
                <w:sz w:val="22"/>
                <w:szCs w:val="22"/>
                <w:vertAlign w:val="superscript"/>
                <w:lang w:val="sr-Latn-ME" w:eastAsia="en-GB"/>
              </w:rPr>
              <w:t>1</w:t>
            </w:r>
          </w:p>
          <w:p w:rsidR="0006558F" w:rsidRPr="00EC0535" w:rsidRDefault="0006558F" w:rsidP="0006558F">
            <w:pPr>
              <w:widowControl w:val="0"/>
              <w:kinsoku w:val="0"/>
              <w:overflowPunct w:val="0"/>
              <w:autoSpaceDE w:val="0"/>
              <w:autoSpaceDN w:val="0"/>
              <w:adjustRightInd w:val="0"/>
              <w:spacing w:before="1"/>
              <w:ind w:left="110"/>
              <w:rPr>
                <w:sz w:val="22"/>
                <w:szCs w:val="22"/>
                <w:vertAlign w:val="superscript"/>
                <w:lang w:val="sr-Latn-ME" w:eastAsia="en-GB"/>
              </w:rPr>
            </w:pPr>
            <w:r w:rsidRPr="00EC0535">
              <w:rPr>
                <w:sz w:val="22"/>
                <w:szCs w:val="22"/>
                <w:lang w:val="sr-Latn-ME" w:eastAsia="en-GB"/>
              </w:rPr>
              <w:t>Proteinurija</w:t>
            </w:r>
            <w:r w:rsidRPr="00EC0535">
              <w:rPr>
                <w:sz w:val="22"/>
                <w:szCs w:val="22"/>
                <w:vertAlign w:val="superscript"/>
                <w:lang w:val="sr-Latn-ME" w:eastAsia="en-GB"/>
              </w:rPr>
              <w:t>1</w:t>
            </w: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sz w:val="22"/>
                <w:szCs w:val="22"/>
                <w:vertAlign w:val="superscript"/>
                <w:lang w:val="sr-Latn-ME"/>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EC0535" w:rsidRDefault="0006558F" w:rsidP="0006558F">
            <w:pPr>
              <w:rPr>
                <w:sz w:val="20"/>
                <w:szCs w:val="20"/>
                <w:lang w:val="sr-Latn-ME" w:eastAsia="en-GB"/>
              </w:rPr>
            </w:pPr>
          </w:p>
        </w:tc>
      </w:tr>
    </w:tbl>
    <w:p w:rsidR="00222BBD" w:rsidRPr="00EC0535" w:rsidRDefault="00222BBD" w:rsidP="00222BBD">
      <w:pPr>
        <w:tabs>
          <w:tab w:val="left" w:pos="540"/>
          <w:tab w:val="left" w:pos="569"/>
        </w:tabs>
        <w:jc w:val="both"/>
        <w:rPr>
          <w:bCs/>
          <w:sz w:val="20"/>
          <w:szCs w:val="22"/>
          <w:lang w:val="sr-Latn-ME"/>
        </w:rPr>
      </w:pPr>
      <w:r w:rsidRPr="00EC0535">
        <w:rPr>
          <w:bCs/>
          <w:sz w:val="20"/>
          <w:szCs w:val="22"/>
          <w:lang w:val="sr-Latn-ME"/>
        </w:rPr>
        <w:t>¹ U kliničkoj studiji PA.3</w:t>
      </w:r>
      <w:r w:rsidR="00100E81" w:rsidRPr="00EC0535">
        <w:rPr>
          <w:bCs/>
          <w:sz w:val="20"/>
          <w:szCs w:val="22"/>
          <w:lang w:val="sr-Latn-ME"/>
        </w:rPr>
        <w:t>.</w:t>
      </w:r>
    </w:p>
    <w:p w:rsidR="00222BBD" w:rsidRPr="00EC0535" w:rsidRDefault="00222BBD" w:rsidP="00222BBD">
      <w:pPr>
        <w:tabs>
          <w:tab w:val="left" w:pos="540"/>
          <w:tab w:val="left" w:pos="569"/>
        </w:tabs>
        <w:jc w:val="both"/>
        <w:rPr>
          <w:bCs/>
          <w:sz w:val="20"/>
          <w:szCs w:val="22"/>
          <w:lang w:val="sr-Latn-ME"/>
        </w:rPr>
      </w:pPr>
      <w:r w:rsidRPr="00EC0535">
        <w:rPr>
          <w:bCs/>
          <w:sz w:val="20"/>
          <w:szCs w:val="22"/>
          <w:lang w:val="sr-Latn-ME"/>
        </w:rPr>
        <w:t>² Uključujući urastanje trepavica, pojačan rast i zadebljanje trepavica.</w:t>
      </w:r>
    </w:p>
    <w:p w:rsidR="00222BBD" w:rsidRPr="00EC0535" w:rsidRDefault="00222BBD" w:rsidP="00222BBD">
      <w:pPr>
        <w:tabs>
          <w:tab w:val="left" w:pos="540"/>
          <w:tab w:val="left" w:pos="569"/>
        </w:tabs>
        <w:jc w:val="both"/>
        <w:rPr>
          <w:bCs/>
          <w:sz w:val="20"/>
          <w:szCs w:val="22"/>
          <w:lang w:val="sr-Latn-ME"/>
        </w:rPr>
      </w:pPr>
      <w:r w:rsidRPr="00EC0535">
        <w:rPr>
          <w:bCs/>
          <w:sz w:val="20"/>
          <w:szCs w:val="22"/>
          <w:lang w:val="sr-Latn-ME"/>
        </w:rPr>
        <w:t xml:space="preserve">³ Uključujući i smrtni ishod, kod pacijenata koji su primali erlotinib za terapiju NSCLC ili druge uznapredovale solidne tumore (vidjeti </w:t>
      </w:r>
      <w:r w:rsidR="00100E81" w:rsidRPr="00EC0535">
        <w:rPr>
          <w:bCs/>
          <w:sz w:val="20"/>
          <w:szCs w:val="22"/>
          <w:lang w:val="sr-Latn-ME"/>
        </w:rPr>
        <w:t xml:space="preserve">dio </w:t>
      </w:r>
      <w:r w:rsidRPr="00EC0535">
        <w:rPr>
          <w:bCs/>
          <w:sz w:val="20"/>
          <w:szCs w:val="22"/>
          <w:lang w:val="sr-Latn-ME"/>
        </w:rPr>
        <w:t xml:space="preserve">4.4). Veća incidenca je uočena kod pacijenata u Japanu (vidjeti </w:t>
      </w:r>
      <w:r w:rsidR="00100E81" w:rsidRPr="00EC0535">
        <w:rPr>
          <w:bCs/>
          <w:sz w:val="20"/>
          <w:szCs w:val="22"/>
          <w:lang w:val="sr-Latn-ME"/>
        </w:rPr>
        <w:t xml:space="preserve">dio </w:t>
      </w:r>
      <w:r w:rsidRPr="00EC0535">
        <w:rPr>
          <w:bCs/>
          <w:sz w:val="20"/>
          <w:szCs w:val="22"/>
          <w:lang w:val="sr-Latn-ME"/>
        </w:rPr>
        <w:t>4.4).</w:t>
      </w:r>
    </w:p>
    <w:p w:rsidR="00222BBD" w:rsidRPr="00EC0535" w:rsidRDefault="00222BBD" w:rsidP="00222BBD">
      <w:pPr>
        <w:tabs>
          <w:tab w:val="left" w:pos="540"/>
          <w:tab w:val="left" w:pos="569"/>
        </w:tabs>
        <w:jc w:val="both"/>
        <w:rPr>
          <w:bCs/>
          <w:sz w:val="20"/>
          <w:szCs w:val="22"/>
          <w:lang w:val="sr-Latn-ME"/>
        </w:rPr>
      </w:pPr>
      <w:r w:rsidRPr="00EC0535">
        <w:rPr>
          <w:bCs/>
          <w:sz w:val="20"/>
          <w:szCs w:val="22"/>
          <w:vertAlign w:val="superscript"/>
          <w:lang w:val="sr-Latn-ME"/>
        </w:rPr>
        <w:t>4</w:t>
      </w:r>
      <w:r w:rsidRPr="00EC0535">
        <w:rPr>
          <w:bCs/>
          <w:sz w:val="20"/>
          <w:szCs w:val="22"/>
          <w:lang w:val="sr-Latn-ME"/>
        </w:rPr>
        <w:t xml:space="preserve"> U kliničkim studijama, neki slučajevi su </w:t>
      </w:r>
      <w:r w:rsidR="00100E81" w:rsidRPr="00EC0535">
        <w:rPr>
          <w:bCs/>
          <w:sz w:val="20"/>
          <w:szCs w:val="22"/>
          <w:lang w:val="sr-Latn-ME"/>
        </w:rPr>
        <w:t xml:space="preserve">bili </w:t>
      </w:r>
      <w:r w:rsidRPr="00EC0535">
        <w:rPr>
          <w:bCs/>
          <w:sz w:val="20"/>
          <w:szCs w:val="22"/>
          <w:lang w:val="sr-Latn-ME"/>
        </w:rPr>
        <w:t xml:space="preserve">povezani sa istovremenom primjenom varfarina, a neki sa istovremenom primjenom NSAIL (vidjeti </w:t>
      </w:r>
      <w:r w:rsidR="00100E81" w:rsidRPr="00EC0535">
        <w:rPr>
          <w:bCs/>
          <w:sz w:val="20"/>
          <w:szCs w:val="22"/>
          <w:lang w:val="sr-Latn-ME"/>
        </w:rPr>
        <w:t xml:space="preserve">dio </w:t>
      </w:r>
      <w:r w:rsidRPr="00EC0535">
        <w:rPr>
          <w:bCs/>
          <w:sz w:val="20"/>
          <w:szCs w:val="22"/>
          <w:lang w:val="sr-Latn-ME"/>
        </w:rPr>
        <w:t>4.5).</w:t>
      </w:r>
    </w:p>
    <w:p w:rsidR="00222BBD" w:rsidRPr="00EC0535" w:rsidRDefault="00222BBD" w:rsidP="00222BBD">
      <w:pPr>
        <w:tabs>
          <w:tab w:val="left" w:pos="540"/>
          <w:tab w:val="left" w:pos="569"/>
        </w:tabs>
        <w:jc w:val="both"/>
        <w:rPr>
          <w:bCs/>
          <w:sz w:val="20"/>
          <w:szCs w:val="22"/>
          <w:lang w:val="sr-Latn-ME"/>
        </w:rPr>
      </w:pPr>
      <w:r w:rsidRPr="00EC0535">
        <w:rPr>
          <w:bCs/>
          <w:sz w:val="20"/>
          <w:szCs w:val="22"/>
          <w:vertAlign w:val="superscript"/>
          <w:lang w:val="sr-Latn-ME"/>
        </w:rPr>
        <w:t>5</w:t>
      </w:r>
      <w:r w:rsidRPr="00EC0535">
        <w:rPr>
          <w:bCs/>
          <w:sz w:val="20"/>
          <w:szCs w:val="22"/>
          <w:lang w:val="sr-Latn-ME"/>
        </w:rPr>
        <w:t xml:space="preserve"> Uključujući povišene vrijednosti alanin aminotransferaze/ALT/, aspartat aminotransferaze/AST/ i bilirubina. One su bile veoma česte u kliničkoj studiji PA.3 i česte u kliničkoj studiji BR.21. One su bile uglavnom blage do umjereno teške, prolazne prirode ili povezane sa metastazama u jetri.</w:t>
      </w:r>
    </w:p>
    <w:p w:rsidR="00222BBD" w:rsidRPr="00EC0535" w:rsidRDefault="00222BBD" w:rsidP="00222BBD">
      <w:pPr>
        <w:tabs>
          <w:tab w:val="left" w:pos="540"/>
          <w:tab w:val="left" w:pos="569"/>
        </w:tabs>
        <w:jc w:val="both"/>
        <w:rPr>
          <w:bCs/>
          <w:sz w:val="20"/>
          <w:szCs w:val="22"/>
          <w:lang w:val="sr-Latn-ME"/>
        </w:rPr>
      </w:pPr>
      <w:r w:rsidRPr="00EC0535">
        <w:rPr>
          <w:bCs/>
          <w:sz w:val="20"/>
          <w:szCs w:val="22"/>
          <w:vertAlign w:val="superscript"/>
          <w:lang w:val="sr-Latn-ME"/>
        </w:rPr>
        <w:t xml:space="preserve">6 </w:t>
      </w:r>
      <w:r w:rsidRPr="00EC0535">
        <w:rPr>
          <w:bCs/>
          <w:sz w:val="20"/>
          <w:szCs w:val="22"/>
          <w:lang w:val="sr-Latn-ME"/>
        </w:rPr>
        <w:t>Uključujući i smrtni ishod. Ometajući faktori su uključivali postojeću bolest jetre i</w:t>
      </w:r>
      <w:r w:rsidR="00100E81" w:rsidRPr="00EC0535">
        <w:rPr>
          <w:bCs/>
          <w:sz w:val="20"/>
          <w:szCs w:val="22"/>
          <w:lang w:val="sr-Latn-ME"/>
        </w:rPr>
        <w:t>li</w:t>
      </w:r>
      <w:r w:rsidRPr="00EC0535">
        <w:rPr>
          <w:bCs/>
          <w:sz w:val="20"/>
          <w:szCs w:val="22"/>
          <w:lang w:val="sr-Latn-ME"/>
        </w:rPr>
        <w:t xml:space="preserve"> istovremenu primjenu hepatotoksičnih ljekova (vidjeti </w:t>
      </w:r>
      <w:r w:rsidR="00100E81" w:rsidRPr="00EC0535">
        <w:rPr>
          <w:bCs/>
          <w:sz w:val="20"/>
          <w:szCs w:val="22"/>
          <w:lang w:val="sr-Latn-ME"/>
        </w:rPr>
        <w:t xml:space="preserve">dio </w:t>
      </w:r>
      <w:r w:rsidRPr="00EC0535">
        <w:rPr>
          <w:bCs/>
          <w:sz w:val="20"/>
          <w:szCs w:val="22"/>
          <w:lang w:val="sr-Latn-ME"/>
        </w:rPr>
        <w:t>4.4.)</w:t>
      </w:r>
      <w:r w:rsidR="00100E81" w:rsidRPr="00EC0535">
        <w:rPr>
          <w:bCs/>
          <w:sz w:val="20"/>
          <w:szCs w:val="22"/>
          <w:lang w:val="sr-Latn-ME"/>
        </w:rPr>
        <w:t>.</w:t>
      </w:r>
    </w:p>
    <w:p w:rsidR="00222BBD" w:rsidRPr="00EC0535" w:rsidRDefault="00222BBD" w:rsidP="00222BBD">
      <w:pPr>
        <w:tabs>
          <w:tab w:val="left" w:pos="540"/>
          <w:tab w:val="left" w:pos="569"/>
        </w:tabs>
        <w:jc w:val="both"/>
        <w:rPr>
          <w:bCs/>
          <w:sz w:val="20"/>
          <w:szCs w:val="22"/>
          <w:lang w:val="sr-Latn-ME"/>
        </w:rPr>
      </w:pPr>
      <w:r w:rsidRPr="00EC0535">
        <w:rPr>
          <w:bCs/>
          <w:sz w:val="20"/>
          <w:szCs w:val="22"/>
          <w:vertAlign w:val="superscript"/>
          <w:lang w:val="sr-Latn-ME"/>
        </w:rPr>
        <w:t>7</w:t>
      </w:r>
      <w:r w:rsidRPr="00EC0535">
        <w:rPr>
          <w:bCs/>
          <w:sz w:val="20"/>
          <w:szCs w:val="22"/>
          <w:lang w:val="sr-Latn-ME"/>
        </w:rPr>
        <w:t xml:space="preserve"> </w:t>
      </w:r>
      <w:r w:rsidR="00100E81" w:rsidRPr="00EC0535">
        <w:rPr>
          <w:bCs/>
          <w:sz w:val="20"/>
          <w:szCs w:val="22"/>
          <w:lang w:val="sr-Latn-ME"/>
        </w:rPr>
        <w:t xml:space="preserve">Uključujući </w:t>
      </w:r>
      <w:r w:rsidRPr="00EC0535">
        <w:rPr>
          <w:bCs/>
          <w:sz w:val="20"/>
          <w:szCs w:val="22"/>
          <w:lang w:val="sr-Latn-ME"/>
        </w:rPr>
        <w:t xml:space="preserve">i smrtni ishod (vidjeti </w:t>
      </w:r>
      <w:r w:rsidR="00100E81" w:rsidRPr="00EC0535">
        <w:rPr>
          <w:bCs/>
          <w:sz w:val="20"/>
          <w:szCs w:val="22"/>
          <w:lang w:val="sr-Latn-ME"/>
        </w:rPr>
        <w:t xml:space="preserve">dio </w:t>
      </w:r>
      <w:r w:rsidRPr="00EC0535">
        <w:rPr>
          <w:bCs/>
          <w:sz w:val="20"/>
          <w:szCs w:val="22"/>
          <w:lang w:val="sr-Latn-ME"/>
        </w:rPr>
        <w:t>4.4.)</w:t>
      </w:r>
      <w:r w:rsidR="00100E81" w:rsidRPr="00EC0535">
        <w:rPr>
          <w:bCs/>
          <w:sz w:val="20"/>
          <w:szCs w:val="22"/>
          <w:lang w:val="sr-Latn-ME"/>
        </w:rPr>
        <w:t>.</w:t>
      </w:r>
    </w:p>
    <w:p w:rsidR="00F7298E" w:rsidRPr="00EC0535" w:rsidRDefault="00F7298E" w:rsidP="00480FB1">
      <w:pPr>
        <w:tabs>
          <w:tab w:val="left" w:pos="540"/>
          <w:tab w:val="left" w:pos="569"/>
        </w:tabs>
        <w:rPr>
          <w:b/>
          <w:bCs/>
          <w:sz w:val="22"/>
          <w:szCs w:val="22"/>
          <w:lang w:val="sr-Latn-ME"/>
        </w:rPr>
      </w:pPr>
    </w:p>
    <w:p w:rsidR="005A23D2" w:rsidRPr="00EC0535" w:rsidRDefault="005A23D2" w:rsidP="00A46C9A">
      <w:pPr>
        <w:spacing w:after="200" w:line="276" w:lineRule="auto"/>
        <w:rPr>
          <w:rFonts w:eastAsia="Calibri"/>
          <w:sz w:val="22"/>
          <w:szCs w:val="22"/>
          <w:u w:val="single"/>
          <w:lang w:val="sr-Latn-ME"/>
        </w:rPr>
      </w:pPr>
      <w:r w:rsidRPr="00EC0535">
        <w:rPr>
          <w:rFonts w:eastAsia="Calibri"/>
          <w:sz w:val="22"/>
          <w:szCs w:val="22"/>
          <w:u w:val="single"/>
          <w:lang w:val="sr-Latn-ME"/>
        </w:rPr>
        <w:t>Prijavljivanje sumnji na neželjena dejstva</w:t>
      </w:r>
    </w:p>
    <w:p w:rsidR="005A23D2" w:rsidRPr="00EC0535" w:rsidRDefault="005A23D2" w:rsidP="00A46C9A">
      <w:pPr>
        <w:spacing w:after="200"/>
        <w:jc w:val="both"/>
        <w:rPr>
          <w:rFonts w:eastAsia="Calibri"/>
          <w:sz w:val="22"/>
          <w:szCs w:val="22"/>
          <w:lang w:val="sr-Latn-ME"/>
        </w:rPr>
      </w:pPr>
      <w:r w:rsidRPr="00EC0535">
        <w:rPr>
          <w:rFonts w:eastAsia="Calibri"/>
          <w:sz w:val="22"/>
          <w:szCs w:val="22"/>
          <w:lang w:val="sr-Latn-ME"/>
        </w:rPr>
        <w:t>Prijavljivanje neželjenih dejstava nakon dobijanja dozvole je od velikog značaja jer obezbjeđuje kont</w:t>
      </w:r>
      <w:r w:rsidR="00EA5765" w:rsidRPr="00EC0535">
        <w:rPr>
          <w:rFonts w:eastAsia="Calibri"/>
          <w:sz w:val="22"/>
          <w:szCs w:val="22"/>
          <w:lang w:val="sr-Latn-ME"/>
        </w:rPr>
        <w:t>inuirano praćenje odnosa korist</w:t>
      </w:r>
      <w:r w:rsidRPr="00EC0535">
        <w:rPr>
          <w:rFonts w:eastAsia="Calibri"/>
          <w:sz w:val="22"/>
          <w:szCs w:val="22"/>
          <w:lang w:val="sr-Latn-ME"/>
        </w:rPr>
        <w:t>/rizik primjene lijeka. Zdravstveni radnici treba da prijave svaku sumnju na neželjeno</w:t>
      </w:r>
      <w:r w:rsidR="009B062A" w:rsidRPr="00EC0535">
        <w:rPr>
          <w:rFonts w:eastAsia="Calibri"/>
          <w:sz w:val="22"/>
          <w:szCs w:val="22"/>
          <w:lang w:val="sr-Latn-ME"/>
        </w:rPr>
        <w:t xml:space="preserve"> </w:t>
      </w:r>
      <w:r w:rsidRPr="00EC0535">
        <w:rPr>
          <w:rFonts w:eastAsia="Calibri"/>
          <w:sz w:val="22"/>
          <w:szCs w:val="22"/>
          <w:lang w:val="sr-Latn-ME"/>
        </w:rPr>
        <w:t xml:space="preserve">dejstvo ovog lijeka </w:t>
      </w:r>
      <w:r w:rsidR="004E70AD" w:rsidRPr="00EC0535">
        <w:rPr>
          <w:rFonts w:eastAsia="Calibri"/>
          <w:sz w:val="22"/>
          <w:szCs w:val="22"/>
          <w:lang w:val="sr-Latn-ME"/>
        </w:rPr>
        <w:t>Institutu</w:t>
      </w:r>
      <w:r w:rsidRPr="00EC0535">
        <w:rPr>
          <w:rFonts w:eastAsia="Calibri"/>
          <w:sz w:val="22"/>
          <w:szCs w:val="22"/>
          <w:lang w:val="sr-Latn-ME"/>
        </w:rPr>
        <w:t xml:space="preserve"> za ljekove i medicinska sredstva</w:t>
      </w:r>
      <w:r w:rsidR="004E70AD" w:rsidRPr="00EC0535">
        <w:rPr>
          <w:rFonts w:eastAsia="Calibri"/>
          <w:sz w:val="22"/>
          <w:szCs w:val="22"/>
          <w:lang w:val="sr-Latn-ME"/>
        </w:rPr>
        <w:t xml:space="preserve"> </w:t>
      </w:r>
      <w:r w:rsidRPr="00EC0535">
        <w:rPr>
          <w:rFonts w:eastAsia="Calibri"/>
          <w:sz w:val="22"/>
          <w:szCs w:val="22"/>
          <w:lang w:val="sr-Latn-ME"/>
        </w:rPr>
        <w:t>(</w:t>
      </w:r>
      <w:r w:rsidR="004E70AD" w:rsidRPr="00EC0535">
        <w:rPr>
          <w:rFonts w:eastAsia="Calibri"/>
          <w:sz w:val="22"/>
          <w:szCs w:val="22"/>
          <w:lang w:val="sr-Latn-ME"/>
        </w:rPr>
        <w:t>CInMED</w:t>
      </w:r>
      <w:r w:rsidRPr="00EC0535">
        <w:rPr>
          <w:rFonts w:eastAsia="Calibri"/>
          <w:sz w:val="22"/>
          <w:szCs w:val="22"/>
          <w:lang w:val="sr-Latn-ME"/>
        </w:rPr>
        <w:t>):</w:t>
      </w:r>
    </w:p>
    <w:p w:rsidR="005A23D2" w:rsidRPr="00EC0535" w:rsidRDefault="004E70AD" w:rsidP="00A46C9A">
      <w:pPr>
        <w:pStyle w:val="NoSpacing"/>
        <w:jc w:val="both"/>
        <w:rPr>
          <w:rFonts w:eastAsia="Calibri"/>
          <w:sz w:val="22"/>
          <w:szCs w:val="22"/>
          <w:lang w:val="sr-Latn-ME"/>
        </w:rPr>
      </w:pPr>
      <w:r w:rsidRPr="00EC0535">
        <w:rPr>
          <w:rFonts w:eastAsia="Calibri"/>
          <w:sz w:val="22"/>
          <w:szCs w:val="22"/>
          <w:lang w:val="sr-Latn-ME"/>
        </w:rPr>
        <w:t xml:space="preserve">Institut </w:t>
      </w:r>
      <w:r w:rsidR="005A23D2" w:rsidRPr="00EC0535">
        <w:rPr>
          <w:rFonts w:eastAsia="Calibri"/>
          <w:sz w:val="22"/>
          <w:szCs w:val="22"/>
          <w:lang w:val="sr-Latn-ME"/>
        </w:rPr>
        <w:t xml:space="preserve">za ljekove i medicinska sredstva </w:t>
      </w:r>
    </w:p>
    <w:p w:rsidR="005A23D2" w:rsidRPr="00EC0535" w:rsidRDefault="005A23D2" w:rsidP="00A46C9A">
      <w:pPr>
        <w:pStyle w:val="NoSpacing"/>
        <w:jc w:val="both"/>
        <w:rPr>
          <w:rFonts w:eastAsia="Calibri"/>
          <w:sz w:val="22"/>
          <w:szCs w:val="22"/>
          <w:lang w:val="sr-Latn-ME"/>
        </w:rPr>
      </w:pPr>
      <w:r w:rsidRPr="00EC0535">
        <w:rPr>
          <w:rFonts w:eastAsia="Calibri"/>
          <w:sz w:val="22"/>
          <w:szCs w:val="22"/>
          <w:lang w:val="sr-Latn-ME"/>
        </w:rPr>
        <w:t>Odjeljenje za farmakovigilancu</w:t>
      </w:r>
    </w:p>
    <w:p w:rsidR="00EA5765" w:rsidRPr="00EC0535" w:rsidRDefault="005A23D2" w:rsidP="00A46C9A">
      <w:pPr>
        <w:pStyle w:val="NoSpacing"/>
        <w:jc w:val="both"/>
        <w:rPr>
          <w:rFonts w:eastAsia="Calibri"/>
          <w:sz w:val="22"/>
          <w:szCs w:val="22"/>
          <w:lang w:val="sr-Latn-ME"/>
        </w:rPr>
      </w:pPr>
      <w:r w:rsidRPr="00EC0535">
        <w:rPr>
          <w:rFonts w:eastAsia="Calibri"/>
          <w:sz w:val="22"/>
          <w:szCs w:val="22"/>
          <w:lang w:val="sr-Latn-ME"/>
        </w:rPr>
        <w:t>Bulevar Ivana Crnojevića 64a, 81000 Podgorica</w:t>
      </w:r>
    </w:p>
    <w:p w:rsidR="00EA5765" w:rsidRPr="00EC0535" w:rsidRDefault="00EA5765" w:rsidP="00A46C9A">
      <w:pPr>
        <w:pStyle w:val="NoSpacing"/>
        <w:rPr>
          <w:rFonts w:eastAsia="Calibri"/>
          <w:sz w:val="22"/>
          <w:szCs w:val="22"/>
          <w:lang w:val="sr-Latn-ME"/>
        </w:rPr>
      </w:pPr>
    </w:p>
    <w:p w:rsidR="005A23D2" w:rsidRPr="00EC0535" w:rsidRDefault="005A23D2" w:rsidP="00A46C9A">
      <w:pPr>
        <w:pStyle w:val="NoSpacing"/>
        <w:jc w:val="both"/>
        <w:rPr>
          <w:rFonts w:eastAsia="Calibri"/>
          <w:sz w:val="22"/>
          <w:szCs w:val="22"/>
          <w:lang w:val="sr-Latn-ME"/>
        </w:rPr>
      </w:pPr>
      <w:r w:rsidRPr="00EC0535">
        <w:rPr>
          <w:rFonts w:eastAsia="Calibri"/>
          <w:sz w:val="22"/>
          <w:szCs w:val="22"/>
          <w:lang w:val="sr-Latn-ME"/>
        </w:rPr>
        <w:t>tel: +382 (0) 20 310 280</w:t>
      </w:r>
    </w:p>
    <w:p w:rsidR="00EA5765" w:rsidRPr="00EC0535" w:rsidRDefault="005A23D2" w:rsidP="00A46C9A">
      <w:pPr>
        <w:pStyle w:val="NoSpacing"/>
        <w:jc w:val="both"/>
        <w:rPr>
          <w:rFonts w:eastAsia="Calibri"/>
          <w:sz w:val="22"/>
          <w:szCs w:val="22"/>
          <w:lang w:val="sr-Latn-ME"/>
        </w:rPr>
      </w:pPr>
      <w:r w:rsidRPr="00EC0535">
        <w:rPr>
          <w:rFonts w:eastAsia="Calibri"/>
          <w:sz w:val="22"/>
          <w:szCs w:val="22"/>
          <w:lang w:val="sr-Latn-ME"/>
        </w:rPr>
        <w:t>fax:</w:t>
      </w:r>
      <w:r w:rsidR="00EA5765" w:rsidRPr="00EC0535">
        <w:rPr>
          <w:rFonts w:eastAsia="Calibri"/>
          <w:sz w:val="22"/>
          <w:szCs w:val="22"/>
          <w:lang w:val="sr-Latn-ME"/>
        </w:rPr>
        <w:t xml:space="preserve"> </w:t>
      </w:r>
      <w:r w:rsidRPr="00EC0535">
        <w:rPr>
          <w:rFonts w:eastAsia="Calibri"/>
          <w:sz w:val="22"/>
          <w:szCs w:val="22"/>
          <w:lang w:val="sr-Latn-ME"/>
        </w:rPr>
        <w:t>+382 (0) 20 310 581</w:t>
      </w:r>
    </w:p>
    <w:p w:rsidR="005A23D2" w:rsidRPr="00EC0535" w:rsidRDefault="005F1021" w:rsidP="00A46C9A">
      <w:pPr>
        <w:pStyle w:val="NoSpacing"/>
        <w:jc w:val="both"/>
        <w:rPr>
          <w:rFonts w:eastAsia="Calibri"/>
          <w:sz w:val="22"/>
          <w:szCs w:val="22"/>
          <w:lang w:val="sr-Latn-ME"/>
        </w:rPr>
      </w:pPr>
      <w:hyperlink r:id="rId8" w:history="1">
        <w:r w:rsidR="004E70AD" w:rsidRPr="00EC0535">
          <w:rPr>
            <w:rStyle w:val="Hyperlink"/>
            <w:rFonts w:eastAsia="Calibri"/>
            <w:color w:val="auto"/>
            <w:sz w:val="22"/>
            <w:szCs w:val="22"/>
            <w:lang w:val="sr-Latn-ME"/>
          </w:rPr>
          <w:t>www.cinmed.me</w:t>
        </w:r>
      </w:hyperlink>
    </w:p>
    <w:p w:rsidR="00EA5765" w:rsidRPr="00EC0535" w:rsidRDefault="005F1021" w:rsidP="00A46C9A">
      <w:pPr>
        <w:pStyle w:val="NoSpacing"/>
        <w:jc w:val="both"/>
        <w:rPr>
          <w:rFonts w:eastAsia="Calibri"/>
          <w:sz w:val="22"/>
          <w:szCs w:val="22"/>
          <w:u w:val="single"/>
          <w:lang w:val="sr-Latn-ME"/>
        </w:rPr>
      </w:pPr>
      <w:hyperlink r:id="rId9" w:history="1">
        <w:r w:rsidR="004E70AD" w:rsidRPr="00EC0535">
          <w:rPr>
            <w:rStyle w:val="Hyperlink"/>
            <w:rFonts w:eastAsia="Calibri"/>
            <w:color w:val="auto"/>
            <w:sz w:val="22"/>
            <w:szCs w:val="22"/>
            <w:lang w:val="sr-Latn-ME"/>
          </w:rPr>
          <w:t>nezeljenadejstva@cinmed.me</w:t>
        </w:r>
      </w:hyperlink>
    </w:p>
    <w:p w:rsidR="005A23D2" w:rsidRPr="00EC0535" w:rsidRDefault="005A23D2" w:rsidP="00A46C9A">
      <w:pPr>
        <w:pStyle w:val="NoSpacing"/>
        <w:jc w:val="both"/>
        <w:rPr>
          <w:rFonts w:eastAsia="Calibri"/>
          <w:sz w:val="22"/>
          <w:szCs w:val="22"/>
          <w:lang w:val="sr-Latn-ME"/>
        </w:rPr>
      </w:pPr>
      <w:r w:rsidRPr="00EC0535">
        <w:rPr>
          <w:rFonts w:eastAsia="Calibri"/>
          <w:sz w:val="22"/>
          <w:szCs w:val="22"/>
          <w:lang w:val="sr-Latn-ME"/>
        </w:rPr>
        <w:t>putem IS zdravstvene zaštite</w:t>
      </w:r>
    </w:p>
    <w:p w:rsidR="00836B35" w:rsidRPr="00EC0535" w:rsidRDefault="00836B35" w:rsidP="00480FB1">
      <w:pPr>
        <w:tabs>
          <w:tab w:val="left" w:pos="540"/>
          <w:tab w:val="left" w:pos="569"/>
        </w:tabs>
        <w:rPr>
          <w:b/>
          <w:bCs/>
          <w:color w:val="FF0000"/>
          <w:sz w:val="22"/>
          <w:szCs w:val="22"/>
          <w:lang w:val="sr-Latn-ME"/>
        </w:rPr>
      </w:pPr>
    </w:p>
    <w:p w:rsidR="00CD6F02"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4.9. </w:t>
      </w:r>
      <w:r w:rsidR="00480FB1" w:rsidRPr="00EC0535">
        <w:rPr>
          <w:b/>
          <w:bCs/>
          <w:sz w:val="22"/>
          <w:szCs w:val="22"/>
          <w:lang w:val="sr-Latn-ME"/>
        </w:rPr>
        <w:tab/>
      </w:r>
      <w:r w:rsidRPr="00EC0535">
        <w:rPr>
          <w:b/>
          <w:bCs/>
          <w:sz w:val="22"/>
          <w:szCs w:val="22"/>
          <w:lang w:val="sr-Latn-ME"/>
        </w:rPr>
        <w:t>Predoziranje</w:t>
      </w:r>
      <w:r w:rsidR="002846DB" w:rsidRPr="00EC0535">
        <w:rPr>
          <w:b/>
          <w:bCs/>
          <w:sz w:val="22"/>
          <w:szCs w:val="22"/>
          <w:lang w:val="sr-Latn-ME"/>
        </w:rPr>
        <w:t xml:space="preserve"> </w:t>
      </w:r>
    </w:p>
    <w:p w:rsidR="00222BBD" w:rsidRPr="00EC0535" w:rsidRDefault="00222BBD" w:rsidP="00480FB1">
      <w:pPr>
        <w:tabs>
          <w:tab w:val="left" w:pos="540"/>
          <w:tab w:val="left" w:pos="569"/>
        </w:tabs>
        <w:rPr>
          <w:b/>
          <w:bCs/>
          <w:sz w:val="22"/>
          <w:szCs w:val="22"/>
          <w:lang w:val="sr-Latn-ME"/>
        </w:rPr>
      </w:pPr>
    </w:p>
    <w:p w:rsidR="00222BBD" w:rsidRPr="00EC0535" w:rsidRDefault="00222BBD" w:rsidP="00222BBD">
      <w:pPr>
        <w:tabs>
          <w:tab w:val="left" w:pos="540"/>
          <w:tab w:val="left" w:pos="569"/>
        </w:tabs>
        <w:jc w:val="both"/>
        <w:rPr>
          <w:bCs/>
          <w:sz w:val="22"/>
          <w:szCs w:val="22"/>
          <w:u w:val="single"/>
          <w:lang w:val="sr-Latn-ME"/>
        </w:rPr>
      </w:pPr>
      <w:r w:rsidRPr="00EC0535">
        <w:rPr>
          <w:bCs/>
          <w:sz w:val="22"/>
          <w:szCs w:val="22"/>
          <w:u w:val="single"/>
          <w:lang w:val="sr-Latn-ME"/>
        </w:rPr>
        <w:t xml:space="preserve">Simptomi </w:t>
      </w:r>
    </w:p>
    <w:p w:rsidR="00222BBD" w:rsidRPr="00EC0535" w:rsidRDefault="00222BBD" w:rsidP="00222BBD">
      <w:pPr>
        <w:tabs>
          <w:tab w:val="left" w:pos="540"/>
          <w:tab w:val="left" w:pos="569"/>
        </w:tabs>
        <w:jc w:val="both"/>
        <w:rPr>
          <w:bCs/>
          <w:sz w:val="22"/>
          <w:szCs w:val="22"/>
          <w:u w:val="single"/>
          <w:lang w:val="sr-Latn-ME"/>
        </w:rPr>
      </w:pPr>
    </w:p>
    <w:p w:rsidR="00222BBD" w:rsidRPr="00EC0535" w:rsidRDefault="00222BBD" w:rsidP="00222BBD">
      <w:pPr>
        <w:tabs>
          <w:tab w:val="left" w:pos="540"/>
          <w:tab w:val="left" w:pos="569"/>
        </w:tabs>
        <w:jc w:val="both"/>
        <w:rPr>
          <w:bCs/>
          <w:sz w:val="22"/>
          <w:szCs w:val="22"/>
          <w:lang w:val="sr-Latn-ME"/>
        </w:rPr>
      </w:pPr>
      <w:r w:rsidRPr="00EC0535">
        <w:rPr>
          <w:bCs/>
          <w:sz w:val="22"/>
          <w:szCs w:val="22"/>
          <w:lang w:val="sr-Latn-ME"/>
        </w:rPr>
        <w:t>Pojedinačna oralna doza erlotiniba do 1000 mg kod zdravih osoba, i do 1600 mg kod pacijenata oboljelih od karcinoma dobro se podnosi</w:t>
      </w:r>
      <w:r w:rsidR="00FB49FC" w:rsidRPr="00EC0535">
        <w:rPr>
          <w:bCs/>
          <w:sz w:val="22"/>
          <w:szCs w:val="22"/>
          <w:lang w:val="sr-Latn-ME"/>
        </w:rPr>
        <w:t>la</w:t>
      </w:r>
      <w:r w:rsidRPr="00EC0535">
        <w:rPr>
          <w:bCs/>
          <w:sz w:val="22"/>
          <w:szCs w:val="22"/>
          <w:lang w:val="sr-Latn-ME"/>
        </w:rPr>
        <w:t xml:space="preserve">. Zdrave osobe su loše podnosile ponovljenu dvostruku dnevnu dozu </w:t>
      </w:r>
      <w:r w:rsidRPr="00EC0535">
        <w:rPr>
          <w:bCs/>
          <w:sz w:val="22"/>
          <w:szCs w:val="22"/>
          <w:lang w:val="sr-Latn-ME"/>
        </w:rPr>
        <w:lastRenderedPageBreak/>
        <w:t xml:space="preserve">od 200 mg poslije samo nekoliko dana doziranja. Na osnovu podataka iz ovih ispitivanja, teške neželjene reakcije kao što su dijareja, osip i moguća povećana aktivnost aminotransferaza jetre mogu da se pojave pri primjeni doze veće od preporučene. </w:t>
      </w:r>
    </w:p>
    <w:p w:rsidR="00222BBD" w:rsidRPr="00EC0535" w:rsidRDefault="00222BBD" w:rsidP="00222BBD">
      <w:pPr>
        <w:tabs>
          <w:tab w:val="left" w:pos="540"/>
          <w:tab w:val="left" w:pos="569"/>
        </w:tabs>
        <w:jc w:val="both"/>
        <w:rPr>
          <w:bCs/>
          <w:sz w:val="22"/>
          <w:szCs w:val="22"/>
          <w:lang w:val="sr-Latn-ME"/>
        </w:rPr>
      </w:pPr>
    </w:p>
    <w:p w:rsidR="00222BBD" w:rsidRPr="00EC0535" w:rsidRDefault="00222BBD" w:rsidP="00222BBD">
      <w:pPr>
        <w:tabs>
          <w:tab w:val="left" w:pos="540"/>
          <w:tab w:val="left" w:pos="569"/>
        </w:tabs>
        <w:jc w:val="both"/>
        <w:rPr>
          <w:bCs/>
          <w:sz w:val="22"/>
          <w:szCs w:val="22"/>
          <w:u w:val="single"/>
          <w:lang w:val="sr-Latn-ME"/>
        </w:rPr>
      </w:pPr>
      <w:r w:rsidRPr="00EC0535">
        <w:rPr>
          <w:bCs/>
          <w:sz w:val="22"/>
          <w:szCs w:val="22"/>
          <w:u w:val="single"/>
          <w:lang w:val="sr-Latn-ME"/>
        </w:rPr>
        <w:t xml:space="preserve">Terapija </w:t>
      </w:r>
    </w:p>
    <w:p w:rsidR="00222BBD" w:rsidRPr="00EC0535" w:rsidRDefault="00222BBD" w:rsidP="00222BBD">
      <w:pPr>
        <w:tabs>
          <w:tab w:val="left" w:pos="540"/>
          <w:tab w:val="left" w:pos="569"/>
        </w:tabs>
        <w:jc w:val="both"/>
        <w:rPr>
          <w:bCs/>
          <w:sz w:val="22"/>
          <w:szCs w:val="22"/>
          <w:lang w:val="sr-Latn-ME"/>
        </w:rPr>
      </w:pPr>
    </w:p>
    <w:p w:rsidR="00222BBD" w:rsidRPr="00EC0535" w:rsidRDefault="00222BBD" w:rsidP="00222BBD">
      <w:pPr>
        <w:tabs>
          <w:tab w:val="left" w:pos="540"/>
          <w:tab w:val="left" w:pos="569"/>
        </w:tabs>
        <w:jc w:val="both"/>
        <w:rPr>
          <w:bCs/>
          <w:sz w:val="22"/>
          <w:szCs w:val="22"/>
          <w:lang w:val="sr-Latn-ME"/>
        </w:rPr>
      </w:pPr>
      <w:r w:rsidRPr="00EC0535">
        <w:rPr>
          <w:bCs/>
          <w:sz w:val="22"/>
          <w:szCs w:val="22"/>
          <w:lang w:val="sr-Latn-ME"/>
        </w:rPr>
        <w:t xml:space="preserve">U slučaju sumnje na predoziranje, potrebno je obustaviti primjenu </w:t>
      </w:r>
      <w:r w:rsidR="006F05E2" w:rsidRPr="00EC0535">
        <w:rPr>
          <w:bCs/>
          <w:sz w:val="22"/>
          <w:szCs w:val="22"/>
          <w:lang w:val="sr-Latn-ME"/>
        </w:rPr>
        <w:t>lijeka Erlotinib Pharmascience</w:t>
      </w:r>
      <w:r w:rsidRPr="00EC0535">
        <w:rPr>
          <w:bCs/>
          <w:sz w:val="22"/>
          <w:szCs w:val="22"/>
          <w:lang w:val="sr-Latn-ME"/>
        </w:rPr>
        <w:t xml:space="preserve"> i započeti simptomatsku terapiju.</w:t>
      </w:r>
    </w:p>
    <w:p w:rsidR="00227BDB" w:rsidRPr="00EC0535" w:rsidRDefault="00227BDB" w:rsidP="00480FB1">
      <w:pPr>
        <w:tabs>
          <w:tab w:val="left" w:pos="540"/>
          <w:tab w:val="left" w:pos="569"/>
        </w:tabs>
        <w:rPr>
          <w:b/>
          <w:bCs/>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5. </w:t>
      </w:r>
      <w:r w:rsidR="00480FB1" w:rsidRPr="00EC0535">
        <w:rPr>
          <w:b/>
          <w:bCs/>
          <w:sz w:val="22"/>
          <w:szCs w:val="22"/>
          <w:lang w:val="sr-Latn-ME"/>
        </w:rPr>
        <w:tab/>
      </w:r>
      <w:r w:rsidRPr="00EC0535">
        <w:rPr>
          <w:b/>
          <w:bCs/>
          <w:sz w:val="22"/>
          <w:szCs w:val="22"/>
          <w:lang w:val="sr-Latn-ME"/>
        </w:rPr>
        <w:t>FARMAKOLOŠK</w:t>
      </w:r>
      <w:r w:rsidR="000D425A" w:rsidRPr="00EC0535">
        <w:rPr>
          <w:b/>
          <w:bCs/>
          <w:sz w:val="22"/>
          <w:szCs w:val="22"/>
          <w:lang w:val="sr-Latn-ME"/>
        </w:rPr>
        <w:t>I</w:t>
      </w:r>
      <w:r w:rsidRPr="00EC0535">
        <w:rPr>
          <w:b/>
          <w:bCs/>
          <w:sz w:val="22"/>
          <w:szCs w:val="22"/>
          <w:lang w:val="sr-Latn-ME"/>
        </w:rPr>
        <w:t xml:space="preserve"> PODACI</w:t>
      </w:r>
    </w:p>
    <w:p w:rsidR="0072020E" w:rsidRPr="00EC0535" w:rsidRDefault="0072020E" w:rsidP="00480FB1">
      <w:pPr>
        <w:tabs>
          <w:tab w:val="left" w:pos="540"/>
          <w:tab w:val="left" w:pos="569"/>
        </w:tabs>
        <w:rPr>
          <w:b/>
          <w:bCs/>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5.1. </w:t>
      </w:r>
      <w:r w:rsidR="00480FB1" w:rsidRPr="00EC0535">
        <w:rPr>
          <w:b/>
          <w:bCs/>
          <w:sz w:val="22"/>
          <w:szCs w:val="22"/>
          <w:lang w:val="sr-Latn-ME"/>
        </w:rPr>
        <w:tab/>
      </w:r>
      <w:r w:rsidRPr="00EC0535">
        <w:rPr>
          <w:b/>
          <w:bCs/>
          <w:sz w:val="22"/>
          <w:szCs w:val="22"/>
          <w:lang w:val="sr-Latn-ME"/>
        </w:rPr>
        <w:t>Farmakodinamski podaci</w:t>
      </w:r>
      <w:r w:rsidR="003A7059" w:rsidRPr="00EC0535">
        <w:rPr>
          <w:b/>
          <w:bCs/>
          <w:sz w:val="22"/>
          <w:szCs w:val="22"/>
          <w:lang w:val="sr-Latn-ME"/>
        </w:rPr>
        <w:t xml:space="preserve"> </w:t>
      </w:r>
    </w:p>
    <w:p w:rsidR="00F45F77" w:rsidRPr="00EC0535" w:rsidRDefault="00F45F77" w:rsidP="00480FB1">
      <w:pPr>
        <w:tabs>
          <w:tab w:val="left" w:pos="540"/>
          <w:tab w:val="left" w:pos="569"/>
        </w:tabs>
        <w:rPr>
          <w:b/>
          <w:bCs/>
          <w:sz w:val="22"/>
          <w:szCs w:val="22"/>
          <w:lang w:val="sr-Latn-ME"/>
        </w:rPr>
      </w:pPr>
    </w:p>
    <w:p w:rsidR="00026E08" w:rsidRPr="00EC0535" w:rsidRDefault="00026E08" w:rsidP="00026E08">
      <w:pPr>
        <w:tabs>
          <w:tab w:val="left" w:pos="540"/>
          <w:tab w:val="left" w:pos="569"/>
        </w:tabs>
        <w:rPr>
          <w:bCs/>
          <w:sz w:val="22"/>
          <w:szCs w:val="22"/>
          <w:lang w:val="sr-Latn-ME"/>
        </w:rPr>
      </w:pPr>
      <w:r w:rsidRPr="00EC0535">
        <w:rPr>
          <w:bCs/>
          <w:sz w:val="22"/>
          <w:szCs w:val="22"/>
          <w:lang w:val="sr-Latn-ME"/>
        </w:rPr>
        <w:t>Farmakoterapijska grupa: Antineoplastici; inhibitori protein kinaze</w:t>
      </w:r>
    </w:p>
    <w:p w:rsidR="00026E08" w:rsidRPr="00EC0535" w:rsidRDefault="00026E08" w:rsidP="00026E08">
      <w:pPr>
        <w:tabs>
          <w:tab w:val="left" w:pos="540"/>
          <w:tab w:val="left" w:pos="569"/>
        </w:tabs>
        <w:jc w:val="both"/>
        <w:rPr>
          <w:bCs/>
          <w:sz w:val="22"/>
          <w:szCs w:val="22"/>
          <w:lang w:val="sr-Latn-ME"/>
        </w:rPr>
      </w:pPr>
    </w:p>
    <w:p w:rsidR="00026E08" w:rsidRPr="00EC0535" w:rsidRDefault="00026E08" w:rsidP="00026E08">
      <w:pPr>
        <w:tabs>
          <w:tab w:val="left" w:pos="540"/>
          <w:tab w:val="left" w:pos="569"/>
        </w:tabs>
        <w:jc w:val="both"/>
        <w:rPr>
          <w:bCs/>
          <w:sz w:val="22"/>
          <w:szCs w:val="22"/>
          <w:lang w:val="sr-Latn-ME"/>
        </w:rPr>
      </w:pPr>
      <w:r w:rsidRPr="00EC0535">
        <w:rPr>
          <w:bCs/>
          <w:sz w:val="22"/>
          <w:szCs w:val="22"/>
          <w:lang w:val="sr-Latn-ME"/>
        </w:rPr>
        <w:t xml:space="preserve">ATC kod: </w:t>
      </w:r>
      <w:r w:rsidR="00420847" w:rsidRPr="00EC0535">
        <w:rPr>
          <w:sz w:val="22"/>
          <w:szCs w:val="22"/>
          <w:lang w:val="sr-Latn-ME"/>
        </w:rPr>
        <w:t>L01EB02</w:t>
      </w:r>
    </w:p>
    <w:p w:rsidR="00026E08" w:rsidRPr="00EC0535" w:rsidRDefault="00026E08" w:rsidP="00026E08">
      <w:pPr>
        <w:tabs>
          <w:tab w:val="left" w:pos="540"/>
          <w:tab w:val="left" w:pos="569"/>
        </w:tabs>
        <w:jc w:val="both"/>
        <w:rPr>
          <w:b/>
          <w:bCs/>
          <w:sz w:val="22"/>
          <w:szCs w:val="22"/>
          <w:lang w:val="sr-Latn-ME"/>
        </w:rPr>
      </w:pPr>
    </w:p>
    <w:p w:rsidR="00026E08" w:rsidRPr="00EC0535" w:rsidRDefault="00026E08" w:rsidP="00026E08">
      <w:pPr>
        <w:tabs>
          <w:tab w:val="left" w:pos="540"/>
          <w:tab w:val="left" w:pos="569"/>
        </w:tabs>
        <w:jc w:val="both"/>
        <w:rPr>
          <w:bCs/>
          <w:sz w:val="22"/>
          <w:szCs w:val="22"/>
          <w:u w:val="single"/>
          <w:lang w:val="sr-Latn-ME"/>
        </w:rPr>
      </w:pPr>
      <w:r w:rsidRPr="00EC0535">
        <w:rPr>
          <w:bCs/>
          <w:sz w:val="22"/>
          <w:szCs w:val="22"/>
          <w:u w:val="single"/>
          <w:lang w:val="sr-Latn-ME"/>
        </w:rPr>
        <w:t xml:space="preserve">Mehanizam dejstva </w:t>
      </w:r>
    </w:p>
    <w:p w:rsidR="00026E08" w:rsidRPr="00EC0535" w:rsidRDefault="00026E08" w:rsidP="00026E08">
      <w:pPr>
        <w:tabs>
          <w:tab w:val="left" w:pos="540"/>
          <w:tab w:val="left" w:pos="569"/>
        </w:tabs>
        <w:jc w:val="both"/>
        <w:rPr>
          <w:bCs/>
          <w:sz w:val="22"/>
          <w:szCs w:val="22"/>
          <w:u w:val="single"/>
          <w:lang w:val="sr-Latn-ME"/>
        </w:rPr>
      </w:pPr>
    </w:p>
    <w:p w:rsidR="00026E08" w:rsidRPr="00EC0535" w:rsidRDefault="00026E08" w:rsidP="00026E08">
      <w:pPr>
        <w:tabs>
          <w:tab w:val="left" w:pos="540"/>
          <w:tab w:val="left" w:pos="569"/>
        </w:tabs>
        <w:jc w:val="both"/>
        <w:rPr>
          <w:bCs/>
          <w:sz w:val="22"/>
          <w:szCs w:val="22"/>
          <w:lang w:val="sr-Latn-ME"/>
        </w:rPr>
      </w:pPr>
      <w:r w:rsidRPr="00EC0535">
        <w:rPr>
          <w:bCs/>
          <w:sz w:val="22"/>
          <w:szCs w:val="22"/>
          <w:lang w:val="sr-Latn-ME"/>
        </w:rPr>
        <w:t>Erlotinib je inhibitor tirozin kinaze receptora za epidermalni faktor rasta/humanog receptora za epidermalni faktor rasta tip 1 (</w:t>
      </w:r>
      <w:r w:rsidRPr="00A728E1">
        <w:rPr>
          <w:bCs/>
          <w:sz w:val="22"/>
          <w:szCs w:val="22"/>
          <w:lang w:val="sr-Latn-ME"/>
        </w:rPr>
        <w:t>engl</w:t>
      </w:r>
      <w:r w:rsidRPr="00EC0535">
        <w:rPr>
          <w:bCs/>
          <w:i/>
          <w:sz w:val="22"/>
          <w:szCs w:val="22"/>
          <w:lang w:val="sr-Latn-ME"/>
        </w:rPr>
        <w:t>. epidermal growth factor receptor</w:t>
      </w:r>
      <w:r w:rsidRPr="00EC0535">
        <w:rPr>
          <w:bCs/>
          <w:sz w:val="22"/>
          <w:szCs w:val="22"/>
          <w:lang w:val="sr-Latn-ME"/>
        </w:rPr>
        <w:t xml:space="preserve">, EGFR koji je poznat i kao HER1). Erlotinib snažno inhibira intracelularnu fosforilaciju EGFR. EGFR je eksprimiran na površini normalnih ćelija i </w:t>
      </w:r>
      <w:r w:rsidR="00420847" w:rsidRPr="00EC0535">
        <w:rPr>
          <w:bCs/>
          <w:sz w:val="22"/>
          <w:szCs w:val="22"/>
          <w:lang w:val="sr-Latn-ME"/>
        </w:rPr>
        <w:t xml:space="preserve">karcinomskih </w:t>
      </w:r>
      <w:r w:rsidRPr="00EC0535">
        <w:rPr>
          <w:bCs/>
          <w:sz w:val="22"/>
          <w:szCs w:val="22"/>
          <w:lang w:val="sr-Latn-ME"/>
        </w:rPr>
        <w:t xml:space="preserve">ćelija. U </w:t>
      </w:r>
      <w:r w:rsidR="00420847" w:rsidRPr="00EC0535">
        <w:rPr>
          <w:bCs/>
          <w:sz w:val="22"/>
          <w:szCs w:val="22"/>
          <w:lang w:val="sr-Latn-ME"/>
        </w:rPr>
        <w:t xml:space="preserve">pretkliničkim </w:t>
      </w:r>
      <w:r w:rsidRPr="00EC0535">
        <w:rPr>
          <w:bCs/>
          <w:sz w:val="22"/>
          <w:szCs w:val="22"/>
          <w:lang w:val="sr-Latn-ME"/>
        </w:rPr>
        <w:t xml:space="preserve">modelima, inhibicija EGFR fosfotirozina dovodi do zastoja u rastu ćelija i/ili njihove smrti. </w:t>
      </w:r>
    </w:p>
    <w:p w:rsidR="00026E08" w:rsidRPr="00EC0535" w:rsidRDefault="00026E08" w:rsidP="00026E08">
      <w:pPr>
        <w:tabs>
          <w:tab w:val="left" w:pos="540"/>
          <w:tab w:val="left" w:pos="569"/>
        </w:tabs>
        <w:jc w:val="both"/>
        <w:rPr>
          <w:bCs/>
          <w:sz w:val="22"/>
          <w:szCs w:val="22"/>
          <w:lang w:val="sr-Latn-ME"/>
        </w:rPr>
      </w:pPr>
      <w:r w:rsidRPr="00EC0535">
        <w:rPr>
          <w:bCs/>
          <w:sz w:val="22"/>
          <w:szCs w:val="22"/>
          <w:lang w:val="sr-Latn-ME"/>
        </w:rPr>
        <w:t>EGFR mutacije mogu dovesti do konstitutivne aktivacije anti-apoptotskih i proliferativnih signalnih puteva. Snažna efikasnost erlotiniba u blokiranju EGFR posredovanih signala, u tumorima pozitivnim na EGFR mutacije, je posljedica čvrstog vezivanja erlotiniba za ATP vezujuće mjesto u mutiranom domenu EGFR kinaze. Usl</w:t>
      </w:r>
      <w:r w:rsidR="001749A9" w:rsidRPr="00EC0535">
        <w:rPr>
          <w:bCs/>
          <w:sz w:val="22"/>
          <w:szCs w:val="22"/>
          <w:lang w:val="sr-Latn-ME"/>
        </w:rPr>
        <w:t>j</w:t>
      </w:r>
      <w:r w:rsidRPr="00EC0535">
        <w:rPr>
          <w:bCs/>
          <w:sz w:val="22"/>
          <w:szCs w:val="22"/>
          <w:lang w:val="sr-Latn-ME"/>
        </w:rPr>
        <w:t>ed blokade nishodnog signala, proliferacija ćelija se zaustavlja i indukuje se ćelijska smrt aktivacijom intrinzičkog puta apoptoze. Prim</w:t>
      </w:r>
      <w:r w:rsidR="001749A9" w:rsidRPr="00EC0535">
        <w:rPr>
          <w:bCs/>
          <w:sz w:val="22"/>
          <w:szCs w:val="22"/>
          <w:lang w:val="sr-Latn-ME"/>
        </w:rPr>
        <w:t>i</w:t>
      </w:r>
      <w:r w:rsidRPr="00EC0535">
        <w:rPr>
          <w:bCs/>
          <w:sz w:val="22"/>
          <w:szCs w:val="22"/>
          <w:lang w:val="sr-Latn-ME"/>
        </w:rPr>
        <w:t xml:space="preserve">jećena je regresija tumora na mišjim modelima sa pojačanom ekspresijom ovih aktivirajućih mutacija EGFR. </w:t>
      </w:r>
    </w:p>
    <w:p w:rsidR="00026E08" w:rsidRPr="00EC0535" w:rsidRDefault="00026E08" w:rsidP="00026E08">
      <w:pPr>
        <w:tabs>
          <w:tab w:val="left" w:pos="540"/>
          <w:tab w:val="left" w:pos="569"/>
        </w:tabs>
        <w:jc w:val="both"/>
        <w:rPr>
          <w:bCs/>
          <w:color w:val="FF0000"/>
          <w:sz w:val="22"/>
          <w:szCs w:val="22"/>
          <w:lang w:val="sr-Latn-ME"/>
        </w:rPr>
      </w:pPr>
    </w:p>
    <w:p w:rsidR="00026E08" w:rsidRPr="00EC0535" w:rsidRDefault="00026E08" w:rsidP="00026E08">
      <w:pPr>
        <w:tabs>
          <w:tab w:val="left" w:pos="540"/>
          <w:tab w:val="left" w:pos="569"/>
        </w:tabs>
        <w:jc w:val="both"/>
        <w:rPr>
          <w:bCs/>
          <w:sz w:val="22"/>
          <w:szCs w:val="22"/>
          <w:u w:val="single"/>
          <w:lang w:val="sr-Latn-ME"/>
        </w:rPr>
      </w:pPr>
      <w:r w:rsidRPr="00EC0535">
        <w:rPr>
          <w:bCs/>
          <w:sz w:val="22"/>
          <w:szCs w:val="22"/>
          <w:u w:val="single"/>
          <w:lang w:val="sr-Latn-ME"/>
        </w:rPr>
        <w:t xml:space="preserve">Klinička </w:t>
      </w:r>
      <w:r w:rsidR="001749A9" w:rsidRPr="00EC0535">
        <w:rPr>
          <w:bCs/>
          <w:sz w:val="22"/>
          <w:szCs w:val="22"/>
          <w:u w:val="single"/>
          <w:lang w:val="sr-Latn-ME"/>
        </w:rPr>
        <w:t xml:space="preserve">efikasnost </w:t>
      </w:r>
    </w:p>
    <w:p w:rsidR="00026E08" w:rsidRPr="00EC0535" w:rsidRDefault="00026E08" w:rsidP="00026E08">
      <w:pPr>
        <w:tabs>
          <w:tab w:val="left" w:pos="540"/>
          <w:tab w:val="left" w:pos="569"/>
        </w:tabs>
        <w:jc w:val="both"/>
        <w:rPr>
          <w:bCs/>
          <w:sz w:val="22"/>
          <w:szCs w:val="22"/>
          <w:lang w:val="sr-Latn-ME"/>
        </w:rPr>
      </w:pPr>
    </w:p>
    <w:p w:rsidR="00026E08" w:rsidRPr="00EC0535" w:rsidRDefault="00026E08" w:rsidP="00026E08">
      <w:pPr>
        <w:tabs>
          <w:tab w:val="left" w:pos="540"/>
          <w:tab w:val="left" w:pos="569"/>
        </w:tabs>
        <w:jc w:val="both"/>
        <w:rPr>
          <w:bCs/>
          <w:i/>
          <w:sz w:val="22"/>
          <w:szCs w:val="22"/>
          <w:u w:val="single"/>
          <w:lang w:val="sr-Latn-ME"/>
        </w:rPr>
      </w:pPr>
      <w:r w:rsidRPr="00EC0535">
        <w:rPr>
          <w:bCs/>
          <w:i/>
          <w:sz w:val="22"/>
          <w:szCs w:val="22"/>
          <w:u w:val="single"/>
          <w:lang w:val="sr-Latn-ME"/>
        </w:rPr>
        <w:t>-</w:t>
      </w:r>
      <w:r w:rsidR="001749A9" w:rsidRPr="00EC0535">
        <w:rPr>
          <w:bCs/>
          <w:i/>
          <w:sz w:val="22"/>
          <w:szCs w:val="22"/>
          <w:u w:val="single"/>
          <w:lang w:val="sr-Latn-ME"/>
        </w:rPr>
        <w:t xml:space="preserve"> </w:t>
      </w:r>
      <w:r w:rsidRPr="00EC0535">
        <w:rPr>
          <w:bCs/>
          <w:i/>
          <w:sz w:val="22"/>
          <w:szCs w:val="22"/>
          <w:u w:val="single"/>
          <w:lang w:val="sr-Latn-ME"/>
        </w:rPr>
        <w:t>Prva linija terapije nemikrocelularnog karcinoma pluća (NSCLC) kod pacijenata sa EGFR aktivirajućim mutacijama (erlotinib prim</w:t>
      </w:r>
      <w:r w:rsidR="001749A9" w:rsidRPr="00EC0535">
        <w:rPr>
          <w:bCs/>
          <w:i/>
          <w:sz w:val="22"/>
          <w:szCs w:val="22"/>
          <w:u w:val="single"/>
          <w:lang w:val="sr-Latn-ME"/>
        </w:rPr>
        <w:t>i</w:t>
      </w:r>
      <w:r w:rsidRPr="00EC0535">
        <w:rPr>
          <w:bCs/>
          <w:i/>
          <w:sz w:val="22"/>
          <w:szCs w:val="22"/>
          <w:u w:val="single"/>
          <w:lang w:val="sr-Latn-ME"/>
        </w:rPr>
        <w:t xml:space="preserve">jenjen kao monoterapija): </w:t>
      </w:r>
    </w:p>
    <w:p w:rsidR="00026E08" w:rsidRPr="00EC0535" w:rsidRDefault="00026E08" w:rsidP="00026E08">
      <w:pPr>
        <w:tabs>
          <w:tab w:val="left" w:pos="540"/>
          <w:tab w:val="left" w:pos="569"/>
        </w:tabs>
        <w:jc w:val="both"/>
        <w:rPr>
          <w:bCs/>
          <w:sz w:val="22"/>
          <w:szCs w:val="22"/>
          <w:lang w:val="sr-Latn-ME"/>
        </w:rPr>
      </w:pPr>
    </w:p>
    <w:p w:rsidR="00026E08" w:rsidRPr="00EC0535" w:rsidRDefault="00026E08" w:rsidP="00026E08">
      <w:pPr>
        <w:tabs>
          <w:tab w:val="left" w:pos="540"/>
          <w:tab w:val="left" w:pos="569"/>
        </w:tabs>
        <w:jc w:val="both"/>
        <w:rPr>
          <w:b/>
          <w:bCs/>
          <w:sz w:val="22"/>
          <w:szCs w:val="22"/>
          <w:lang w:val="sr-Latn-ME"/>
        </w:rPr>
      </w:pPr>
      <w:r w:rsidRPr="00EC0535">
        <w:rPr>
          <w:bCs/>
          <w:sz w:val="22"/>
          <w:szCs w:val="22"/>
          <w:lang w:val="sr-Latn-ME"/>
        </w:rPr>
        <w:t>Efikasnost erlotiniba u prvoj liniji terapije pacijenata sa EGFR aktivirajućim mutacijama kod NSCLC pokazana je u randomizovanoj, otvorenoj studiji faze III (ML20650, EURTAC). Ova studija je sprovedena na pacijentima bijele rase sa metastatskim ili lokalno uznapedovalim NSCLC-om (stadijum IIIB i IV) koji prethodno nijesu primali hem</w:t>
      </w:r>
      <w:r w:rsidR="001749A9" w:rsidRPr="00EC0535">
        <w:rPr>
          <w:bCs/>
          <w:sz w:val="22"/>
          <w:szCs w:val="22"/>
          <w:lang w:val="sr-Latn-ME"/>
        </w:rPr>
        <w:t>i</w:t>
      </w:r>
      <w:r w:rsidRPr="00EC0535">
        <w:rPr>
          <w:bCs/>
          <w:sz w:val="22"/>
          <w:szCs w:val="22"/>
          <w:lang w:val="sr-Latn-ME"/>
        </w:rPr>
        <w:t>oterapiju ili drugu sistemsku antitumorsku terapiju za svoju uznapredovalu bolest, i koji ispoljavaju mutacije u domenu tirozin kinaze na EGF receptoru (deleciju egzona 19 ili mutaciju egzona 21). Pacijenti su bili randomizovani u odnosu 1:1 da primaju ili erlotinib u dozi 150 mg dnevno ili 4 ciklusa dvostruke hem</w:t>
      </w:r>
      <w:r w:rsidR="001749A9" w:rsidRPr="00EC0535">
        <w:rPr>
          <w:bCs/>
          <w:sz w:val="22"/>
          <w:szCs w:val="22"/>
          <w:lang w:val="sr-Latn-ME"/>
        </w:rPr>
        <w:t>i</w:t>
      </w:r>
      <w:r w:rsidRPr="00EC0535">
        <w:rPr>
          <w:bCs/>
          <w:sz w:val="22"/>
          <w:szCs w:val="22"/>
          <w:lang w:val="sr-Latn-ME"/>
        </w:rPr>
        <w:t>oterapije na bazi platine.</w:t>
      </w:r>
    </w:p>
    <w:p w:rsidR="00026E08" w:rsidRPr="00EC0535" w:rsidRDefault="00026E08" w:rsidP="00026E08">
      <w:pPr>
        <w:tabs>
          <w:tab w:val="left" w:pos="540"/>
          <w:tab w:val="left" w:pos="569"/>
        </w:tabs>
        <w:jc w:val="both"/>
        <w:rPr>
          <w:bCs/>
          <w:sz w:val="22"/>
          <w:szCs w:val="22"/>
          <w:lang w:val="sr-Latn-ME"/>
        </w:rPr>
      </w:pPr>
    </w:p>
    <w:p w:rsidR="00026E08" w:rsidRPr="00EC0535" w:rsidRDefault="00026E08" w:rsidP="00026E08">
      <w:pPr>
        <w:tabs>
          <w:tab w:val="left" w:pos="540"/>
          <w:tab w:val="left" w:pos="569"/>
        </w:tabs>
        <w:jc w:val="both"/>
        <w:rPr>
          <w:bCs/>
          <w:sz w:val="22"/>
          <w:szCs w:val="22"/>
          <w:lang w:val="sr-Latn-ME"/>
        </w:rPr>
      </w:pPr>
      <w:r w:rsidRPr="00EC0535">
        <w:rPr>
          <w:bCs/>
          <w:sz w:val="22"/>
          <w:szCs w:val="22"/>
          <w:lang w:val="sr-Latn-ME"/>
        </w:rPr>
        <w:t xml:space="preserve">Primarni parametar praćenja ishoda je bio preživljavanje bez progresije bolesti (PFS) procijenjen od strane istraživača. Rezultati efikasnosti su sumirani u Tabeli 3. </w:t>
      </w:r>
    </w:p>
    <w:p w:rsidR="00026E08" w:rsidRPr="00EC0535" w:rsidRDefault="00026E08" w:rsidP="00026E08">
      <w:pPr>
        <w:tabs>
          <w:tab w:val="left" w:pos="540"/>
          <w:tab w:val="left" w:pos="569"/>
        </w:tabs>
        <w:jc w:val="both"/>
        <w:rPr>
          <w:bCs/>
          <w:sz w:val="22"/>
          <w:szCs w:val="22"/>
          <w:lang w:val="sr-Latn-ME"/>
        </w:rPr>
      </w:pPr>
    </w:p>
    <w:p w:rsidR="00026E08" w:rsidRPr="00EC0535" w:rsidRDefault="00026E08" w:rsidP="00026E08">
      <w:pPr>
        <w:tabs>
          <w:tab w:val="left" w:pos="540"/>
          <w:tab w:val="left" w:pos="569"/>
        </w:tabs>
        <w:jc w:val="both"/>
        <w:rPr>
          <w:bCs/>
          <w:sz w:val="22"/>
          <w:szCs w:val="22"/>
          <w:lang w:val="sr-Latn-ME"/>
        </w:rPr>
      </w:pPr>
      <w:r w:rsidRPr="00EC0535">
        <w:rPr>
          <w:bCs/>
          <w:sz w:val="22"/>
          <w:szCs w:val="22"/>
          <w:lang w:val="sr-Latn-ME"/>
        </w:rPr>
        <w:t xml:space="preserve">Slika 1. </w:t>
      </w:r>
      <w:r w:rsidRPr="00A728E1">
        <w:rPr>
          <w:bCs/>
          <w:i/>
          <w:sz w:val="22"/>
          <w:szCs w:val="22"/>
          <w:lang w:val="sr-Latn-ME"/>
        </w:rPr>
        <w:t>Kaplan-Meier</w:t>
      </w:r>
      <w:r w:rsidRPr="00EC0535">
        <w:rPr>
          <w:bCs/>
          <w:sz w:val="22"/>
          <w:szCs w:val="22"/>
          <w:lang w:val="sr-Latn-ME"/>
        </w:rPr>
        <w:t>-ova kriva preživljavanja bez progresije bolesti (</w:t>
      </w:r>
      <w:r w:rsidR="001749A9" w:rsidRPr="00EC0535">
        <w:rPr>
          <w:bCs/>
          <w:sz w:val="22"/>
          <w:szCs w:val="22"/>
          <w:lang w:val="sr-Latn-ME"/>
        </w:rPr>
        <w:t xml:space="preserve">engl. </w:t>
      </w:r>
      <w:r w:rsidRPr="00A728E1">
        <w:rPr>
          <w:bCs/>
          <w:i/>
          <w:sz w:val="22"/>
          <w:szCs w:val="22"/>
          <w:lang w:val="sr-Latn-ME"/>
        </w:rPr>
        <w:t>progression-free survival</w:t>
      </w:r>
      <w:r w:rsidRPr="00EC0535">
        <w:rPr>
          <w:bCs/>
          <w:sz w:val="22"/>
          <w:szCs w:val="22"/>
          <w:lang w:val="sr-Latn-ME"/>
        </w:rPr>
        <w:t xml:space="preserve">, PFS), procijenjena od strane istraživača u kliničkoj studiji ML20650 (EURTAC) (april 2012. </w:t>
      </w:r>
      <w:r w:rsidR="001749A9" w:rsidRPr="00EC0535">
        <w:rPr>
          <w:bCs/>
          <w:sz w:val="22"/>
          <w:szCs w:val="22"/>
          <w:lang w:val="sr-Latn-ME"/>
        </w:rPr>
        <w:t xml:space="preserve">- </w:t>
      </w:r>
      <w:r w:rsidRPr="00EC0535">
        <w:rPr>
          <w:bCs/>
          <w:sz w:val="22"/>
          <w:szCs w:val="22"/>
          <w:lang w:val="sr-Latn-ME"/>
        </w:rPr>
        <w:t>datum presjeka (</w:t>
      </w:r>
      <w:r w:rsidR="001749A9" w:rsidRPr="00EC0535">
        <w:rPr>
          <w:bCs/>
          <w:sz w:val="22"/>
          <w:szCs w:val="22"/>
          <w:lang w:val="sr-Latn-ME"/>
        </w:rPr>
        <w:t xml:space="preserve">engl. </w:t>
      </w:r>
      <w:r w:rsidRPr="00EC0535">
        <w:rPr>
          <w:bCs/>
          <w:i/>
          <w:sz w:val="22"/>
          <w:szCs w:val="22"/>
          <w:lang w:val="sr-Latn-ME"/>
        </w:rPr>
        <w:t>cut</w:t>
      </w:r>
      <w:r w:rsidR="001749A9" w:rsidRPr="00EC0535">
        <w:rPr>
          <w:bCs/>
          <w:i/>
          <w:sz w:val="22"/>
          <w:szCs w:val="22"/>
          <w:lang w:val="sr-Latn-ME"/>
        </w:rPr>
        <w:t>-</w:t>
      </w:r>
      <w:r w:rsidRPr="00EC0535">
        <w:rPr>
          <w:bCs/>
          <w:i/>
          <w:sz w:val="22"/>
          <w:szCs w:val="22"/>
          <w:lang w:val="sr-Latn-ME"/>
        </w:rPr>
        <w:t>off)</w:t>
      </w:r>
      <w:r w:rsidRPr="00EC0535">
        <w:rPr>
          <w:bCs/>
          <w:sz w:val="22"/>
          <w:szCs w:val="22"/>
          <w:lang w:val="sr-Latn-ME"/>
        </w:rPr>
        <w:t>)</w:t>
      </w:r>
    </w:p>
    <w:p w:rsidR="00026E08" w:rsidRPr="00EC0535" w:rsidRDefault="00F14A82" w:rsidP="00026E08">
      <w:pPr>
        <w:tabs>
          <w:tab w:val="left" w:pos="540"/>
          <w:tab w:val="left" w:pos="569"/>
        </w:tabs>
        <w:jc w:val="both"/>
        <w:rPr>
          <w:bCs/>
          <w:color w:val="FF0000"/>
          <w:sz w:val="22"/>
          <w:szCs w:val="22"/>
          <w:lang w:val="sr-Latn-ME"/>
        </w:rPr>
      </w:pPr>
      <w:r w:rsidRPr="00EC0535">
        <w:rPr>
          <w:bCs/>
          <w:noProof/>
          <w:color w:val="FF0000"/>
          <w:sz w:val="22"/>
          <w:szCs w:val="22"/>
        </w:rPr>
        <w:lastRenderedPageBreak/>
        <w:drawing>
          <wp:inline distT="0" distB="0" distL="0" distR="0" wp14:anchorId="1A0257C5">
            <wp:extent cx="5314315" cy="330454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315" cy="3304540"/>
                    </a:xfrm>
                    <a:prstGeom prst="rect">
                      <a:avLst/>
                    </a:prstGeom>
                    <a:noFill/>
                  </pic:spPr>
                </pic:pic>
              </a:graphicData>
            </a:graphic>
          </wp:inline>
        </w:drawing>
      </w:r>
    </w:p>
    <w:p w:rsidR="002E37A5" w:rsidRPr="00EC0535" w:rsidRDefault="002E37A5" w:rsidP="00026E08">
      <w:pPr>
        <w:tabs>
          <w:tab w:val="left" w:pos="540"/>
          <w:tab w:val="left" w:pos="569"/>
        </w:tabs>
        <w:jc w:val="both"/>
        <w:rPr>
          <w:b/>
          <w:bCs/>
          <w:color w:val="FF0000"/>
          <w:sz w:val="22"/>
          <w:szCs w:val="22"/>
          <w:lang w:val="sr-Latn-ME"/>
        </w:rPr>
      </w:pPr>
    </w:p>
    <w:p w:rsidR="00026E08" w:rsidRPr="00A728E1" w:rsidRDefault="00026E08" w:rsidP="00026E08">
      <w:pPr>
        <w:tabs>
          <w:tab w:val="left" w:pos="540"/>
          <w:tab w:val="left" w:pos="569"/>
        </w:tabs>
        <w:jc w:val="both"/>
        <w:rPr>
          <w:b/>
          <w:bCs/>
          <w:sz w:val="22"/>
          <w:szCs w:val="22"/>
          <w:lang w:val="sr-Latn-ME"/>
        </w:rPr>
      </w:pPr>
      <w:r w:rsidRPr="00A728E1">
        <w:rPr>
          <w:b/>
          <w:bCs/>
          <w:sz w:val="22"/>
          <w:szCs w:val="22"/>
          <w:lang w:val="sr-Latn-ME"/>
        </w:rPr>
        <w:t>Tabela 3. Rezultati efikasnosti erlotiniba u odnosu na hemioterapiju u kliničkoj studiji ML20650 (EURTAC):</w:t>
      </w: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1830"/>
        <w:gridCol w:w="2994"/>
        <w:gridCol w:w="1181"/>
        <w:gridCol w:w="1052"/>
        <w:gridCol w:w="924"/>
        <w:gridCol w:w="1076"/>
      </w:tblGrid>
      <w:tr w:rsidR="00E20D6C" w:rsidRPr="00EC0535" w:rsidTr="00026E08">
        <w:tc>
          <w:tcPr>
            <w:tcW w:w="1010"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rPr>
                <w:sz w:val="22"/>
                <w:szCs w:val="22"/>
                <w:lang w:val="sr-Latn-ME" w:eastAsia="en-GB"/>
              </w:rPr>
            </w:pPr>
            <w:r w:rsidRPr="00EC0535">
              <w:rPr>
                <w:sz w:val="22"/>
                <w:szCs w:val="22"/>
                <w:lang w:val="sr-Latn-ME"/>
              </w:rPr>
              <w:br/>
            </w:r>
          </w:p>
        </w:tc>
        <w:tc>
          <w:tcPr>
            <w:tcW w:w="1653" w:type="pct"/>
            <w:tcBorders>
              <w:top w:val="outset" w:sz="6" w:space="0" w:color="7B7B7B"/>
              <w:left w:val="outset" w:sz="6" w:space="0" w:color="7B7B7B"/>
              <w:bottom w:val="outset" w:sz="6" w:space="0" w:color="7B7B7B"/>
              <w:right w:val="outset" w:sz="6" w:space="0" w:color="7B7B7B"/>
            </w:tcBorders>
            <w:shd w:val="clear" w:color="auto" w:fill="FFFFFF"/>
          </w:tcPr>
          <w:p w:rsidR="00026E08" w:rsidRPr="00EC0535" w:rsidRDefault="00026E08" w:rsidP="00026E08">
            <w:pPr>
              <w:jc w:val="center"/>
              <w:rPr>
                <w:sz w:val="22"/>
                <w:szCs w:val="22"/>
                <w:lang w:val="sr-Latn-ME" w:eastAsia="en-GB"/>
              </w:rPr>
            </w:pPr>
          </w:p>
        </w:tc>
        <w:tc>
          <w:tcPr>
            <w:tcW w:w="652"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jc w:val="center"/>
              <w:rPr>
                <w:b/>
                <w:sz w:val="22"/>
                <w:szCs w:val="22"/>
                <w:lang w:val="sr-Latn-ME" w:eastAsia="en-GB"/>
              </w:rPr>
            </w:pPr>
            <w:r w:rsidRPr="00EC0535">
              <w:rPr>
                <w:b/>
                <w:sz w:val="22"/>
                <w:szCs w:val="22"/>
                <w:lang w:val="sr-Latn-ME" w:eastAsia="en-GB"/>
              </w:rPr>
              <w:t xml:space="preserve">Erlotinib </w:t>
            </w:r>
          </w:p>
        </w:tc>
        <w:tc>
          <w:tcPr>
            <w:tcW w:w="581"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jc w:val="center"/>
              <w:rPr>
                <w:sz w:val="22"/>
                <w:szCs w:val="22"/>
                <w:lang w:val="sr-Latn-ME" w:eastAsia="en-GB"/>
              </w:rPr>
            </w:pPr>
            <w:r w:rsidRPr="00EC0535">
              <w:rPr>
                <w:b/>
                <w:bCs/>
                <w:sz w:val="22"/>
                <w:szCs w:val="22"/>
                <w:lang w:val="sr-Latn-ME" w:eastAsia="en-GB"/>
              </w:rPr>
              <w:t>Hemio-terapija</w:t>
            </w:r>
          </w:p>
        </w:tc>
        <w:tc>
          <w:tcPr>
            <w:tcW w:w="510"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jc w:val="center"/>
              <w:rPr>
                <w:i/>
                <w:sz w:val="22"/>
                <w:szCs w:val="22"/>
                <w:lang w:val="sr-Latn-ME" w:eastAsia="en-GB"/>
              </w:rPr>
            </w:pPr>
            <w:r w:rsidRPr="00EC0535">
              <w:rPr>
                <w:b/>
                <w:bCs/>
                <w:i/>
                <w:sz w:val="22"/>
                <w:szCs w:val="22"/>
                <w:lang w:val="sr-Latn-ME" w:eastAsia="en-GB"/>
              </w:rPr>
              <w:t>Hazard Ratio</w:t>
            </w:r>
          </w:p>
          <w:p w:rsidR="00026E08" w:rsidRPr="00EC0535" w:rsidRDefault="00026E08" w:rsidP="00026E08">
            <w:pPr>
              <w:jc w:val="center"/>
              <w:rPr>
                <w:sz w:val="22"/>
                <w:szCs w:val="22"/>
                <w:lang w:val="sr-Latn-ME" w:eastAsia="en-GB"/>
              </w:rPr>
            </w:pPr>
            <w:r w:rsidRPr="00EC0535">
              <w:rPr>
                <w:b/>
                <w:bCs/>
                <w:sz w:val="22"/>
                <w:szCs w:val="22"/>
                <w:lang w:val="sr-Latn-ME" w:eastAsia="en-GB"/>
              </w:rPr>
              <w:t>(95% CI)</w:t>
            </w:r>
          </w:p>
        </w:tc>
        <w:tc>
          <w:tcPr>
            <w:tcW w:w="594"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rPr>
                <w:sz w:val="22"/>
                <w:szCs w:val="22"/>
                <w:lang w:val="sr-Latn-ME"/>
              </w:rPr>
            </w:pPr>
            <w:r w:rsidRPr="00EC0535">
              <w:rPr>
                <w:b/>
                <w:bCs/>
                <w:sz w:val="22"/>
                <w:szCs w:val="22"/>
                <w:lang w:val="sr-Latn-ME"/>
              </w:rPr>
              <w:t>p-vrijednost</w:t>
            </w:r>
          </w:p>
        </w:tc>
      </w:tr>
      <w:tr w:rsidR="00E20D6C" w:rsidRPr="00EC0535" w:rsidTr="00026E08">
        <w:tc>
          <w:tcPr>
            <w:tcW w:w="1010" w:type="pct"/>
            <w:vMerge w:val="restart"/>
            <w:tcBorders>
              <w:top w:val="outset" w:sz="6" w:space="0" w:color="7B7B7B"/>
              <w:left w:val="outset" w:sz="6" w:space="0" w:color="7B7B7B"/>
              <w:bottom w:val="outset" w:sz="6" w:space="0" w:color="7B7B7B"/>
              <w:right w:val="outset" w:sz="6" w:space="0" w:color="7B7B7B"/>
            </w:tcBorders>
            <w:shd w:val="clear" w:color="auto" w:fill="FFFFFF"/>
          </w:tcPr>
          <w:p w:rsidR="00026E08" w:rsidRPr="00EC0535" w:rsidRDefault="00026E08" w:rsidP="00026E08">
            <w:pPr>
              <w:rPr>
                <w:sz w:val="22"/>
                <w:szCs w:val="22"/>
                <w:lang w:val="sr-Latn-ME" w:eastAsia="en-GB"/>
              </w:rPr>
            </w:pPr>
            <w:r w:rsidRPr="00EC0535">
              <w:rPr>
                <w:sz w:val="22"/>
                <w:szCs w:val="22"/>
                <w:lang w:val="sr-Latn-ME" w:eastAsia="en-GB"/>
              </w:rPr>
              <w:t>Unaprijed planirana međuanaliza</w:t>
            </w:r>
          </w:p>
          <w:p w:rsidR="00026E08" w:rsidRPr="00EC0535" w:rsidRDefault="00026E08" w:rsidP="00026E08">
            <w:pPr>
              <w:rPr>
                <w:sz w:val="22"/>
                <w:szCs w:val="22"/>
                <w:lang w:val="sr-Latn-ME" w:eastAsia="en-GB"/>
              </w:rPr>
            </w:pPr>
            <w:r w:rsidRPr="00EC0535">
              <w:rPr>
                <w:sz w:val="22"/>
                <w:szCs w:val="22"/>
                <w:lang w:val="sr-Latn-ME" w:eastAsia="en-GB"/>
              </w:rPr>
              <w:t>(sa 35% podataka za OS) (n=153)</w:t>
            </w:r>
          </w:p>
          <w:p w:rsidR="00026E08" w:rsidRPr="00EC0535" w:rsidRDefault="00026E08" w:rsidP="00026E08">
            <w:pPr>
              <w:rPr>
                <w:sz w:val="22"/>
                <w:szCs w:val="22"/>
                <w:lang w:val="sr-Latn-ME" w:eastAsia="en-GB"/>
              </w:rPr>
            </w:pPr>
          </w:p>
          <w:p w:rsidR="00026E08" w:rsidRPr="00EC0535" w:rsidRDefault="00026E08" w:rsidP="00026E08">
            <w:pPr>
              <w:rPr>
                <w:sz w:val="22"/>
                <w:szCs w:val="22"/>
                <w:lang w:val="sr-Latn-ME" w:eastAsia="en-GB"/>
              </w:rPr>
            </w:pPr>
            <w:r w:rsidRPr="00EC0535">
              <w:rPr>
                <w:sz w:val="22"/>
                <w:szCs w:val="22"/>
                <w:lang w:val="sr-Latn-ME" w:eastAsia="en-GB"/>
              </w:rPr>
              <w:t xml:space="preserve">Datum presjeka: </w:t>
            </w:r>
          </w:p>
          <w:p w:rsidR="00026E08" w:rsidRPr="00EC0535" w:rsidRDefault="00026E08" w:rsidP="00026E08">
            <w:pPr>
              <w:rPr>
                <w:sz w:val="22"/>
                <w:szCs w:val="22"/>
                <w:lang w:val="sr-Latn-ME" w:eastAsia="en-GB"/>
              </w:rPr>
            </w:pPr>
            <w:r w:rsidRPr="00EC0535">
              <w:rPr>
                <w:sz w:val="22"/>
                <w:szCs w:val="22"/>
                <w:lang w:val="sr-Latn-ME" w:eastAsia="en-GB"/>
              </w:rPr>
              <w:t>Avgust 2010.</w:t>
            </w: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rPr>
            </w:pP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n=77</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n=76</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0"/>
                <w:szCs w:val="20"/>
                <w:lang w:val="sr-Latn-ME" w:eastAsia="en-GB"/>
              </w:rPr>
            </w:pPr>
          </w:p>
        </w:tc>
      </w:tr>
      <w:tr w:rsidR="00E20D6C" w:rsidRPr="00EC0535"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rPr>
                <w:sz w:val="22"/>
                <w:szCs w:val="22"/>
                <w:lang w:val="sr-Latn-ME" w:eastAsia="en-GB"/>
              </w:rPr>
            </w:pPr>
            <w:r w:rsidRPr="00EC0535">
              <w:rPr>
                <w:sz w:val="22"/>
                <w:szCs w:val="22"/>
                <w:lang w:val="sr-Latn-ME" w:eastAsia="en-GB"/>
              </w:rPr>
              <w:t>Primarni ishod:</w:t>
            </w:r>
          </w:p>
          <w:p w:rsidR="00026E08" w:rsidRPr="00EC0535" w:rsidRDefault="00026E08" w:rsidP="00026E08">
            <w:pPr>
              <w:rPr>
                <w:sz w:val="22"/>
                <w:szCs w:val="22"/>
                <w:lang w:val="sr-Latn-ME" w:eastAsia="en-GB"/>
              </w:rPr>
            </w:pPr>
            <w:r w:rsidRPr="00EC0535">
              <w:rPr>
                <w:sz w:val="22"/>
                <w:szCs w:val="22"/>
                <w:lang w:val="sr-Latn-ME" w:eastAsia="en-GB"/>
              </w:rPr>
              <w:t>Preživljavanje bez progre</w:t>
            </w:r>
            <w:r w:rsidR="00AB447A" w:rsidRPr="00EC0535">
              <w:rPr>
                <w:sz w:val="22"/>
                <w:szCs w:val="22"/>
                <w:lang w:val="sr-Latn-ME" w:eastAsia="en-GB"/>
              </w:rPr>
              <w:t>s</w:t>
            </w:r>
            <w:r w:rsidRPr="00EC0535">
              <w:rPr>
                <w:sz w:val="22"/>
                <w:szCs w:val="22"/>
                <w:lang w:val="sr-Latn-ME" w:eastAsia="en-GB"/>
              </w:rPr>
              <w:t>ije bolesti (PFS,</w:t>
            </w:r>
            <w:r w:rsidR="00AB447A" w:rsidRPr="00EC0535">
              <w:rPr>
                <w:sz w:val="22"/>
                <w:szCs w:val="22"/>
                <w:lang w:val="sr-Latn-ME" w:eastAsia="en-GB"/>
              </w:rPr>
              <w:t xml:space="preserve"> </w:t>
            </w:r>
            <w:r w:rsidRPr="00EC0535">
              <w:rPr>
                <w:sz w:val="22"/>
                <w:szCs w:val="22"/>
                <w:lang w:val="sr-Latn-ME" w:eastAsia="en-GB"/>
              </w:rPr>
              <w:t>medijana u mjesecima)*</w:t>
            </w:r>
          </w:p>
          <w:p w:rsidR="00026E08" w:rsidRPr="00EC0535" w:rsidRDefault="00026E08" w:rsidP="00026E08">
            <w:pPr>
              <w:rPr>
                <w:sz w:val="22"/>
                <w:szCs w:val="22"/>
                <w:lang w:val="sr-Latn-ME" w:eastAsia="en-GB"/>
              </w:rPr>
            </w:pPr>
            <w:r w:rsidRPr="00EC0535">
              <w:rPr>
                <w:sz w:val="22"/>
                <w:szCs w:val="22"/>
                <w:lang w:val="sr-Latn-ME" w:eastAsia="en-GB"/>
              </w:rPr>
              <w:t>Procjena istraživača**</w:t>
            </w:r>
          </w:p>
          <w:p w:rsidR="00026E08" w:rsidRPr="00EC0535" w:rsidRDefault="00026E08" w:rsidP="00026E08">
            <w:pPr>
              <w:rPr>
                <w:sz w:val="22"/>
                <w:szCs w:val="22"/>
                <w:lang w:val="sr-Latn-ME" w:eastAsia="en-GB"/>
              </w:rPr>
            </w:pPr>
            <w:r w:rsidRPr="00EC0535">
              <w:rPr>
                <w:sz w:val="22"/>
                <w:szCs w:val="22"/>
                <w:lang w:val="sr-Latn-ME" w:eastAsia="en-GB"/>
              </w:rPr>
              <w:t> </w:t>
            </w:r>
          </w:p>
          <w:p w:rsidR="00026E08" w:rsidRPr="00EC0535" w:rsidRDefault="00026E08" w:rsidP="00026E08">
            <w:pPr>
              <w:rPr>
                <w:sz w:val="22"/>
                <w:szCs w:val="22"/>
                <w:lang w:val="sr-Latn-ME" w:eastAsia="en-GB"/>
              </w:rPr>
            </w:pPr>
            <w:r w:rsidRPr="00EC0535">
              <w:rPr>
                <w:sz w:val="22"/>
                <w:szCs w:val="22"/>
                <w:lang w:val="sr-Latn-ME" w:eastAsia="en-GB"/>
              </w:rPr>
              <w:t>Nezavisna procjena**</w:t>
            </w:r>
          </w:p>
        </w:tc>
        <w:tc>
          <w:tcPr>
            <w:tcW w:w="652"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rPr>
                <w:sz w:val="22"/>
                <w:szCs w:val="22"/>
                <w:lang w:val="sr-Latn-ME" w:eastAsia="en-GB"/>
              </w:rPr>
            </w:pPr>
            <w:r w:rsidRPr="00EC0535">
              <w:rPr>
                <w:sz w:val="22"/>
                <w:szCs w:val="22"/>
                <w:lang w:val="sr-Latn-ME" w:eastAsia="en-GB"/>
              </w:rPr>
              <w:t> </w:t>
            </w:r>
          </w:p>
          <w:p w:rsidR="00026E08" w:rsidRPr="00EC0535" w:rsidRDefault="00026E08" w:rsidP="00026E08">
            <w:pPr>
              <w:jc w:val="center"/>
              <w:rPr>
                <w:sz w:val="22"/>
                <w:szCs w:val="22"/>
                <w:lang w:val="sr-Latn-ME" w:eastAsia="en-GB"/>
              </w:rPr>
            </w:pPr>
            <w:r w:rsidRPr="00EC0535">
              <w:rPr>
                <w:sz w:val="22"/>
                <w:szCs w:val="22"/>
                <w:lang w:val="sr-Latn-ME" w:eastAsia="en-GB"/>
              </w:rPr>
              <w:t>9</w:t>
            </w:r>
            <w:r w:rsidR="00AB447A" w:rsidRPr="00EC0535">
              <w:rPr>
                <w:sz w:val="22"/>
                <w:szCs w:val="22"/>
                <w:lang w:val="sr-Latn-ME" w:eastAsia="en-GB"/>
              </w:rPr>
              <w:t>,</w:t>
            </w:r>
            <w:r w:rsidRPr="00EC0535">
              <w:rPr>
                <w:sz w:val="22"/>
                <w:szCs w:val="22"/>
                <w:lang w:val="sr-Latn-ME" w:eastAsia="en-GB"/>
              </w:rPr>
              <w:t>4</w:t>
            </w:r>
          </w:p>
          <w:p w:rsidR="00026E08" w:rsidRPr="00EC0535" w:rsidRDefault="00026E08" w:rsidP="00026E08">
            <w:pPr>
              <w:rPr>
                <w:sz w:val="22"/>
                <w:szCs w:val="22"/>
                <w:lang w:val="sr-Latn-ME" w:eastAsia="en-GB"/>
              </w:rPr>
            </w:pPr>
            <w:r w:rsidRPr="00EC0535">
              <w:rPr>
                <w:sz w:val="22"/>
                <w:szCs w:val="22"/>
                <w:lang w:val="sr-Latn-ME" w:eastAsia="en-GB"/>
              </w:rPr>
              <w:t> </w:t>
            </w:r>
          </w:p>
          <w:p w:rsidR="00026E08" w:rsidRPr="00EC0535" w:rsidRDefault="00026E08" w:rsidP="00AB447A">
            <w:pPr>
              <w:jc w:val="center"/>
              <w:rPr>
                <w:sz w:val="22"/>
                <w:szCs w:val="22"/>
                <w:lang w:val="sr-Latn-ME" w:eastAsia="en-GB"/>
              </w:rPr>
            </w:pPr>
            <w:r w:rsidRPr="00EC0535">
              <w:rPr>
                <w:sz w:val="22"/>
                <w:szCs w:val="22"/>
                <w:lang w:val="sr-Latn-ME" w:eastAsia="en-GB"/>
              </w:rPr>
              <w:t>10</w:t>
            </w:r>
            <w:r w:rsidR="00AB447A" w:rsidRPr="00EC0535">
              <w:rPr>
                <w:sz w:val="22"/>
                <w:szCs w:val="22"/>
                <w:lang w:val="sr-Latn-ME" w:eastAsia="en-GB"/>
              </w:rPr>
              <w:t>,</w:t>
            </w:r>
            <w:r w:rsidRPr="00EC0535">
              <w:rPr>
                <w:sz w:val="22"/>
                <w:szCs w:val="22"/>
                <w:lang w:val="sr-Latn-ME" w:eastAsia="en-GB"/>
              </w:rPr>
              <w:t>4</w:t>
            </w:r>
          </w:p>
        </w:tc>
        <w:tc>
          <w:tcPr>
            <w:tcW w:w="581"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rPr>
                <w:sz w:val="22"/>
                <w:szCs w:val="22"/>
                <w:lang w:val="sr-Latn-ME" w:eastAsia="en-GB"/>
              </w:rPr>
            </w:pPr>
            <w:r w:rsidRPr="00EC0535">
              <w:rPr>
                <w:sz w:val="22"/>
                <w:szCs w:val="22"/>
                <w:lang w:val="sr-Latn-ME" w:eastAsia="en-GB"/>
              </w:rPr>
              <w:t> </w:t>
            </w:r>
          </w:p>
          <w:p w:rsidR="00026E08" w:rsidRPr="00EC0535" w:rsidRDefault="00026E08" w:rsidP="00026E08">
            <w:pPr>
              <w:jc w:val="center"/>
              <w:rPr>
                <w:sz w:val="22"/>
                <w:szCs w:val="22"/>
                <w:lang w:val="sr-Latn-ME" w:eastAsia="en-GB"/>
              </w:rPr>
            </w:pPr>
            <w:r w:rsidRPr="00EC0535">
              <w:rPr>
                <w:sz w:val="22"/>
                <w:szCs w:val="22"/>
                <w:lang w:val="sr-Latn-ME" w:eastAsia="en-GB"/>
              </w:rPr>
              <w:t>5</w:t>
            </w:r>
            <w:r w:rsidR="00AB447A" w:rsidRPr="00EC0535">
              <w:rPr>
                <w:sz w:val="22"/>
                <w:szCs w:val="22"/>
                <w:lang w:val="sr-Latn-ME" w:eastAsia="en-GB"/>
              </w:rPr>
              <w:t>,</w:t>
            </w:r>
            <w:r w:rsidRPr="00EC0535">
              <w:rPr>
                <w:sz w:val="22"/>
                <w:szCs w:val="22"/>
                <w:lang w:val="sr-Latn-ME" w:eastAsia="en-GB"/>
              </w:rPr>
              <w:t>2</w:t>
            </w:r>
          </w:p>
          <w:p w:rsidR="00026E08" w:rsidRPr="00EC0535" w:rsidRDefault="00026E08" w:rsidP="00026E08">
            <w:pPr>
              <w:rPr>
                <w:sz w:val="22"/>
                <w:szCs w:val="22"/>
                <w:lang w:val="sr-Latn-ME" w:eastAsia="en-GB"/>
              </w:rPr>
            </w:pPr>
            <w:r w:rsidRPr="00EC0535">
              <w:rPr>
                <w:sz w:val="22"/>
                <w:szCs w:val="22"/>
                <w:lang w:val="sr-Latn-ME" w:eastAsia="en-GB"/>
              </w:rPr>
              <w:t> </w:t>
            </w:r>
          </w:p>
          <w:p w:rsidR="00026E08" w:rsidRPr="00EC0535" w:rsidRDefault="00026E08" w:rsidP="00AB447A">
            <w:pPr>
              <w:jc w:val="center"/>
              <w:rPr>
                <w:sz w:val="22"/>
                <w:szCs w:val="22"/>
                <w:lang w:val="sr-Latn-ME" w:eastAsia="en-GB"/>
              </w:rPr>
            </w:pPr>
            <w:r w:rsidRPr="00EC0535">
              <w:rPr>
                <w:sz w:val="22"/>
                <w:szCs w:val="22"/>
                <w:lang w:val="sr-Latn-ME" w:eastAsia="en-GB"/>
              </w:rPr>
              <w:t>5</w:t>
            </w:r>
            <w:r w:rsidR="00AB447A" w:rsidRPr="00EC0535">
              <w:rPr>
                <w:sz w:val="22"/>
                <w:szCs w:val="22"/>
                <w:lang w:val="sr-Latn-ME" w:eastAsia="en-GB"/>
              </w:rPr>
              <w:t>,</w:t>
            </w:r>
            <w:r w:rsidRPr="00EC0535">
              <w:rPr>
                <w:sz w:val="22"/>
                <w:szCs w:val="22"/>
                <w:lang w:val="sr-Latn-ME" w:eastAsia="en-GB"/>
              </w:rPr>
              <w:t>4</w:t>
            </w:r>
          </w:p>
        </w:tc>
        <w:tc>
          <w:tcPr>
            <w:tcW w:w="510"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rPr>
                <w:sz w:val="22"/>
                <w:szCs w:val="22"/>
                <w:lang w:val="sr-Latn-ME" w:eastAsia="en-GB"/>
              </w:rPr>
            </w:pPr>
            <w:r w:rsidRPr="00EC0535">
              <w:rPr>
                <w:sz w:val="22"/>
                <w:szCs w:val="22"/>
                <w:lang w:val="sr-Latn-ME" w:eastAsia="en-GB"/>
              </w:rPr>
              <w:t> </w:t>
            </w:r>
          </w:p>
          <w:p w:rsidR="00026E08" w:rsidRPr="00EC0535" w:rsidRDefault="00026E08" w:rsidP="00026E08">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42</w:t>
            </w:r>
          </w:p>
          <w:p w:rsidR="00026E08" w:rsidRPr="00EC0535" w:rsidRDefault="00026E08" w:rsidP="00026E08">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27-0</w:t>
            </w:r>
            <w:r w:rsidR="00AB447A" w:rsidRPr="00EC0535">
              <w:rPr>
                <w:sz w:val="22"/>
                <w:szCs w:val="22"/>
                <w:lang w:val="sr-Latn-ME" w:eastAsia="en-GB"/>
              </w:rPr>
              <w:t>,</w:t>
            </w:r>
            <w:r w:rsidRPr="00EC0535">
              <w:rPr>
                <w:sz w:val="22"/>
                <w:szCs w:val="22"/>
                <w:lang w:val="sr-Latn-ME" w:eastAsia="en-GB"/>
              </w:rPr>
              <w:t>64]</w:t>
            </w:r>
          </w:p>
          <w:p w:rsidR="00026E08" w:rsidRPr="00EC0535" w:rsidRDefault="00026E08" w:rsidP="00026E08">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47</w:t>
            </w:r>
          </w:p>
          <w:p w:rsidR="00026E08" w:rsidRPr="00EC0535" w:rsidRDefault="00026E08" w:rsidP="00AB447A">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27-0</w:t>
            </w:r>
            <w:r w:rsidR="00AB447A" w:rsidRPr="00EC0535">
              <w:rPr>
                <w:sz w:val="22"/>
                <w:szCs w:val="22"/>
                <w:lang w:val="sr-Latn-ME" w:eastAsia="en-GB"/>
              </w:rPr>
              <w:t>,</w:t>
            </w:r>
            <w:r w:rsidRPr="00EC0535">
              <w:rPr>
                <w:sz w:val="22"/>
                <w:szCs w:val="22"/>
                <w:lang w:val="sr-Latn-ME" w:eastAsia="en-GB"/>
              </w:rPr>
              <w:t>78]</w:t>
            </w:r>
          </w:p>
        </w:tc>
        <w:tc>
          <w:tcPr>
            <w:tcW w:w="594"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EC0535" w:rsidRDefault="00026E08" w:rsidP="00026E08">
            <w:pPr>
              <w:rPr>
                <w:sz w:val="22"/>
                <w:szCs w:val="22"/>
                <w:lang w:val="sr-Latn-ME" w:eastAsia="en-GB"/>
              </w:rPr>
            </w:pPr>
            <w:r w:rsidRPr="00EC0535">
              <w:rPr>
                <w:sz w:val="22"/>
                <w:szCs w:val="22"/>
                <w:lang w:val="sr-Latn-ME" w:eastAsia="en-GB"/>
              </w:rPr>
              <w:t> </w:t>
            </w:r>
          </w:p>
          <w:p w:rsidR="00026E08" w:rsidRPr="00EC0535" w:rsidRDefault="00026E08" w:rsidP="00026E08">
            <w:pPr>
              <w:jc w:val="center"/>
              <w:rPr>
                <w:sz w:val="22"/>
                <w:szCs w:val="22"/>
                <w:lang w:val="sr-Latn-ME" w:eastAsia="en-GB"/>
              </w:rPr>
            </w:pPr>
            <w:r w:rsidRPr="00EC0535">
              <w:rPr>
                <w:sz w:val="22"/>
                <w:szCs w:val="22"/>
                <w:lang w:val="sr-Latn-ME" w:eastAsia="en-GB"/>
              </w:rPr>
              <w:t>p&lt;0</w:t>
            </w:r>
            <w:r w:rsidR="00AB447A" w:rsidRPr="00EC0535">
              <w:rPr>
                <w:sz w:val="22"/>
                <w:szCs w:val="22"/>
                <w:lang w:val="sr-Latn-ME" w:eastAsia="en-GB"/>
              </w:rPr>
              <w:t>,</w:t>
            </w:r>
            <w:r w:rsidRPr="00EC0535">
              <w:rPr>
                <w:sz w:val="22"/>
                <w:szCs w:val="22"/>
                <w:lang w:val="sr-Latn-ME" w:eastAsia="en-GB"/>
              </w:rPr>
              <w:t>0001</w:t>
            </w:r>
          </w:p>
          <w:p w:rsidR="00026E08" w:rsidRPr="00EC0535" w:rsidRDefault="00026E08" w:rsidP="00026E08">
            <w:pPr>
              <w:rPr>
                <w:sz w:val="22"/>
                <w:szCs w:val="22"/>
                <w:lang w:val="sr-Latn-ME" w:eastAsia="en-GB"/>
              </w:rPr>
            </w:pPr>
            <w:r w:rsidRPr="00EC0535">
              <w:rPr>
                <w:sz w:val="22"/>
                <w:szCs w:val="22"/>
                <w:lang w:val="sr-Latn-ME" w:eastAsia="en-GB"/>
              </w:rPr>
              <w:t> </w:t>
            </w:r>
          </w:p>
          <w:p w:rsidR="00026E08" w:rsidRPr="00EC0535" w:rsidRDefault="00026E08" w:rsidP="00AB447A">
            <w:pPr>
              <w:jc w:val="center"/>
              <w:rPr>
                <w:sz w:val="22"/>
                <w:szCs w:val="22"/>
                <w:lang w:val="sr-Latn-ME" w:eastAsia="en-GB"/>
              </w:rPr>
            </w:pPr>
            <w:r w:rsidRPr="00EC0535">
              <w:rPr>
                <w:sz w:val="22"/>
                <w:szCs w:val="22"/>
                <w:lang w:val="sr-Latn-ME" w:eastAsia="en-GB"/>
              </w:rPr>
              <w:t>p=0</w:t>
            </w:r>
            <w:r w:rsidR="00AB447A" w:rsidRPr="00EC0535">
              <w:rPr>
                <w:sz w:val="22"/>
                <w:szCs w:val="22"/>
                <w:lang w:val="sr-Latn-ME" w:eastAsia="en-GB"/>
              </w:rPr>
              <w:t>,</w:t>
            </w:r>
            <w:r w:rsidRPr="00EC0535">
              <w:rPr>
                <w:sz w:val="22"/>
                <w:szCs w:val="22"/>
                <w:lang w:val="sr-Latn-ME" w:eastAsia="en-GB"/>
              </w:rPr>
              <w:t>003</w:t>
            </w:r>
          </w:p>
        </w:tc>
      </w:tr>
      <w:tr w:rsidR="00E20D6C" w:rsidRPr="00EC0535"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r w:rsidRPr="00EC0535">
              <w:rPr>
                <w:sz w:val="22"/>
                <w:szCs w:val="22"/>
                <w:lang w:val="sr-Latn-ME" w:eastAsia="en-GB"/>
              </w:rPr>
              <w:t>Najbolja ukupna stopa odgovora (CR/PR)</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54</w:t>
            </w:r>
            <w:r w:rsidR="00AB447A" w:rsidRPr="00EC0535">
              <w:rPr>
                <w:sz w:val="22"/>
                <w:szCs w:val="22"/>
                <w:lang w:val="sr-Latn-ME" w:eastAsia="en-GB"/>
              </w:rPr>
              <w:t>,</w:t>
            </w:r>
            <w:r w:rsidRPr="00EC0535">
              <w:rPr>
                <w:sz w:val="22"/>
                <w:szCs w:val="22"/>
                <w:lang w:val="sr-Latn-ME" w:eastAsia="en-GB"/>
              </w:rPr>
              <w:t>5%</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10</w:t>
            </w:r>
            <w:r w:rsidR="00AB447A" w:rsidRPr="00EC0535">
              <w:rPr>
                <w:sz w:val="22"/>
                <w:szCs w:val="22"/>
                <w:lang w:val="sr-Latn-ME" w:eastAsia="en-GB"/>
              </w:rPr>
              <w:t>,</w:t>
            </w:r>
            <w:r w:rsidRPr="00EC0535">
              <w:rPr>
                <w:sz w:val="22"/>
                <w:szCs w:val="22"/>
                <w:lang w:val="sr-Latn-ME" w:eastAsia="en-GB"/>
              </w:rPr>
              <w:t>5%</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p&lt;0</w:t>
            </w:r>
            <w:r w:rsidR="00AB447A" w:rsidRPr="00EC0535">
              <w:rPr>
                <w:sz w:val="22"/>
                <w:szCs w:val="22"/>
                <w:lang w:val="sr-Latn-ME" w:eastAsia="en-GB"/>
              </w:rPr>
              <w:t>,</w:t>
            </w:r>
            <w:r w:rsidRPr="00EC0535">
              <w:rPr>
                <w:sz w:val="22"/>
                <w:szCs w:val="22"/>
                <w:lang w:val="sr-Latn-ME" w:eastAsia="en-GB"/>
              </w:rPr>
              <w:t>0001</w:t>
            </w:r>
          </w:p>
        </w:tc>
      </w:tr>
      <w:tr w:rsidR="00E20D6C" w:rsidRPr="00EC0535"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r w:rsidRPr="00EC0535">
              <w:rPr>
                <w:sz w:val="22"/>
                <w:szCs w:val="22"/>
                <w:lang w:val="sr-Latn-ME" w:eastAsia="en-GB"/>
              </w:rPr>
              <w:t>Ukupno preživljavanje (OS) (mjeseci)</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22</w:t>
            </w:r>
            <w:r w:rsidR="00AB447A" w:rsidRPr="00EC0535">
              <w:rPr>
                <w:sz w:val="22"/>
                <w:szCs w:val="22"/>
                <w:lang w:val="sr-Latn-ME" w:eastAsia="en-GB"/>
              </w:rPr>
              <w:t>,</w:t>
            </w:r>
            <w:r w:rsidRPr="00EC0535">
              <w:rPr>
                <w:sz w:val="22"/>
                <w:szCs w:val="22"/>
                <w:lang w:val="sr-Latn-ME" w:eastAsia="en-GB"/>
              </w:rPr>
              <w:t>9</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18</w:t>
            </w:r>
            <w:r w:rsidR="00AB447A" w:rsidRPr="00EC0535">
              <w:rPr>
                <w:sz w:val="22"/>
                <w:szCs w:val="22"/>
                <w:lang w:val="sr-Latn-ME" w:eastAsia="en-GB"/>
              </w:rPr>
              <w:t>,</w:t>
            </w:r>
            <w:r w:rsidRPr="00EC0535">
              <w:rPr>
                <w:sz w:val="22"/>
                <w:szCs w:val="22"/>
                <w:lang w:val="sr-Latn-ME" w:eastAsia="en-GB"/>
              </w:rPr>
              <w:t>8</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80</w:t>
            </w:r>
          </w:p>
          <w:p w:rsidR="00026E08" w:rsidRPr="00EC0535" w:rsidRDefault="00026E08" w:rsidP="00AB447A">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47-1</w:t>
            </w:r>
            <w:r w:rsidR="00AB447A" w:rsidRPr="00EC0535">
              <w:rPr>
                <w:sz w:val="22"/>
                <w:szCs w:val="22"/>
                <w:lang w:val="sr-Latn-ME" w:eastAsia="en-GB"/>
              </w:rPr>
              <w:t>,</w:t>
            </w:r>
            <w:r w:rsidRPr="00EC0535">
              <w:rPr>
                <w:sz w:val="22"/>
                <w:szCs w:val="22"/>
                <w:lang w:val="sr-Latn-ME" w:eastAsia="en-GB"/>
              </w:rPr>
              <w:t>37]</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p=0</w:t>
            </w:r>
            <w:r w:rsidR="00AB447A" w:rsidRPr="00EC0535">
              <w:rPr>
                <w:sz w:val="22"/>
                <w:szCs w:val="22"/>
                <w:lang w:val="sr-Latn-ME" w:eastAsia="en-GB"/>
              </w:rPr>
              <w:t>,</w:t>
            </w:r>
            <w:r w:rsidRPr="00EC0535">
              <w:rPr>
                <w:sz w:val="22"/>
                <w:szCs w:val="22"/>
                <w:lang w:val="sr-Latn-ME" w:eastAsia="en-GB"/>
              </w:rPr>
              <w:t>4170</w:t>
            </w:r>
          </w:p>
        </w:tc>
      </w:tr>
      <w:tr w:rsidR="00E20D6C" w:rsidRPr="00EC0535" w:rsidTr="00026E08">
        <w:tc>
          <w:tcPr>
            <w:tcW w:w="1010" w:type="pct"/>
            <w:vMerge w:val="restart"/>
            <w:tcBorders>
              <w:top w:val="outset" w:sz="6" w:space="0" w:color="7B7B7B"/>
              <w:left w:val="outset" w:sz="6" w:space="0" w:color="7B7B7B"/>
              <w:bottom w:val="outset" w:sz="6" w:space="0" w:color="7B7B7B"/>
              <w:right w:val="outset" w:sz="6" w:space="0" w:color="7B7B7B"/>
            </w:tcBorders>
            <w:shd w:val="clear" w:color="auto" w:fill="FFFFFF"/>
          </w:tcPr>
          <w:p w:rsidR="00026E08" w:rsidRPr="00EC0535" w:rsidRDefault="00026E08" w:rsidP="00026E08">
            <w:pPr>
              <w:rPr>
                <w:sz w:val="22"/>
                <w:szCs w:val="22"/>
                <w:lang w:val="sr-Latn-ME" w:eastAsia="en-GB"/>
              </w:rPr>
            </w:pPr>
            <w:r w:rsidRPr="00EC0535">
              <w:rPr>
                <w:sz w:val="22"/>
                <w:szCs w:val="22"/>
                <w:lang w:val="sr-Latn-ME" w:eastAsia="en-GB"/>
              </w:rPr>
              <w:t>Eksplorativna analiza (sa 40% podataka za OS )</w:t>
            </w:r>
          </w:p>
          <w:p w:rsidR="00026E08" w:rsidRPr="00EC0535" w:rsidRDefault="00026E08" w:rsidP="00026E08">
            <w:pPr>
              <w:rPr>
                <w:sz w:val="22"/>
                <w:szCs w:val="22"/>
                <w:lang w:val="sr-Latn-ME" w:eastAsia="en-GB"/>
              </w:rPr>
            </w:pPr>
            <w:r w:rsidRPr="00EC0535">
              <w:rPr>
                <w:sz w:val="22"/>
                <w:szCs w:val="22"/>
                <w:lang w:val="sr-Latn-ME" w:eastAsia="en-GB"/>
              </w:rPr>
              <w:t>(n=173)</w:t>
            </w:r>
          </w:p>
          <w:p w:rsidR="00026E08" w:rsidRPr="00EC0535" w:rsidRDefault="00026E08" w:rsidP="00026E08">
            <w:pPr>
              <w:rPr>
                <w:sz w:val="22"/>
                <w:szCs w:val="22"/>
                <w:lang w:val="sr-Latn-ME" w:eastAsia="en-GB"/>
              </w:rPr>
            </w:pPr>
          </w:p>
          <w:p w:rsidR="00026E08" w:rsidRPr="00EC0535" w:rsidRDefault="00026E08" w:rsidP="00026E08">
            <w:pPr>
              <w:rPr>
                <w:sz w:val="22"/>
                <w:szCs w:val="22"/>
                <w:lang w:val="sr-Latn-ME" w:eastAsia="en-GB"/>
              </w:rPr>
            </w:pPr>
            <w:r w:rsidRPr="00EC0535">
              <w:rPr>
                <w:sz w:val="22"/>
                <w:szCs w:val="22"/>
                <w:lang w:val="sr-Latn-ME" w:eastAsia="en-GB"/>
              </w:rPr>
              <w:t>Datum presjeka: Januar 2011.</w:t>
            </w: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rPr>
            </w:pP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n=86</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n=87</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0"/>
                <w:szCs w:val="20"/>
                <w:lang w:val="sr-Latn-ME" w:eastAsia="en-GB"/>
              </w:rPr>
            </w:pPr>
          </w:p>
        </w:tc>
      </w:tr>
      <w:tr w:rsidR="00E20D6C" w:rsidRPr="00EC0535"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r w:rsidRPr="00EC0535">
              <w:rPr>
                <w:sz w:val="22"/>
                <w:szCs w:val="22"/>
                <w:lang w:val="sr-Latn-ME" w:eastAsia="en-GB"/>
              </w:rPr>
              <w:t xml:space="preserve">PFS (medijana u mjesecima), </w:t>
            </w:r>
          </w:p>
          <w:p w:rsidR="00026E08" w:rsidRPr="00EC0535" w:rsidRDefault="00026E08" w:rsidP="00026E08">
            <w:pPr>
              <w:rPr>
                <w:sz w:val="22"/>
                <w:szCs w:val="22"/>
                <w:lang w:val="sr-Latn-ME" w:eastAsia="en-GB"/>
              </w:rPr>
            </w:pPr>
            <w:r w:rsidRPr="00EC0535">
              <w:rPr>
                <w:sz w:val="22"/>
                <w:szCs w:val="22"/>
                <w:lang w:val="sr-Latn-ME" w:eastAsia="en-GB"/>
              </w:rPr>
              <w:t>Procjena istraživača</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9</w:t>
            </w:r>
            <w:r w:rsidR="00AB447A" w:rsidRPr="00EC0535">
              <w:rPr>
                <w:sz w:val="22"/>
                <w:szCs w:val="22"/>
                <w:lang w:val="sr-Latn-ME" w:eastAsia="en-GB"/>
              </w:rPr>
              <w:t>,</w:t>
            </w:r>
            <w:r w:rsidRPr="00EC0535">
              <w:rPr>
                <w:sz w:val="22"/>
                <w:szCs w:val="22"/>
                <w:lang w:val="sr-Latn-ME" w:eastAsia="en-GB"/>
              </w:rPr>
              <w:t>7</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5</w:t>
            </w:r>
            <w:r w:rsidR="00AB447A" w:rsidRPr="00EC0535">
              <w:rPr>
                <w:sz w:val="22"/>
                <w:szCs w:val="22"/>
                <w:lang w:val="sr-Latn-ME" w:eastAsia="en-GB"/>
              </w:rPr>
              <w:t>,</w:t>
            </w:r>
            <w:r w:rsidRPr="00EC0535">
              <w:rPr>
                <w:sz w:val="22"/>
                <w:szCs w:val="22"/>
                <w:lang w:val="sr-Latn-ME" w:eastAsia="en-GB"/>
              </w:rPr>
              <w:t>2</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37</w:t>
            </w:r>
          </w:p>
          <w:p w:rsidR="00026E08" w:rsidRPr="00EC0535" w:rsidRDefault="00026E08" w:rsidP="00AB447A">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27-0</w:t>
            </w:r>
            <w:r w:rsidR="00AB447A" w:rsidRPr="00EC0535">
              <w:rPr>
                <w:sz w:val="22"/>
                <w:szCs w:val="22"/>
                <w:lang w:val="sr-Latn-ME" w:eastAsia="en-GB"/>
              </w:rPr>
              <w:t>,</w:t>
            </w:r>
            <w:r w:rsidRPr="00EC0535">
              <w:rPr>
                <w:sz w:val="22"/>
                <w:szCs w:val="22"/>
                <w:lang w:val="sr-Latn-ME" w:eastAsia="en-GB"/>
              </w:rPr>
              <w:t>54]</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p&lt;0</w:t>
            </w:r>
            <w:r w:rsidR="00AB447A" w:rsidRPr="00EC0535">
              <w:rPr>
                <w:sz w:val="22"/>
                <w:szCs w:val="22"/>
                <w:lang w:val="sr-Latn-ME" w:eastAsia="en-GB"/>
              </w:rPr>
              <w:t>,</w:t>
            </w:r>
            <w:r w:rsidRPr="00EC0535">
              <w:rPr>
                <w:sz w:val="22"/>
                <w:szCs w:val="22"/>
                <w:lang w:val="sr-Latn-ME" w:eastAsia="en-GB"/>
              </w:rPr>
              <w:t>0001</w:t>
            </w:r>
          </w:p>
        </w:tc>
      </w:tr>
      <w:tr w:rsidR="00E20D6C" w:rsidRPr="00EC0535"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r w:rsidRPr="00EC0535">
              <w:rPr>
                <w:sz w:val="22"/>
                <w:szCs w:val="22"/>
                <w:lang w:val="sr-Latn-ME" w:eastAsia="en-GB"/>
              </w:rPr>
              <w:t>Najbolja ukupna stopa odgovora (CR/PR)</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58</w:t>
            </w:r>
            <w:r w:rsidR="00AB447A" w:rsidRPr="00EC0535">
              <w:rPr>
                <w:sz w:val="22"/>
                <w:szCs w:val="22"/>
                <w:lang w:val="sr-Latn-ME" w:eastAsia="en-GB"/>
              </w:rPr>
              <w:t>,</w:t>
            </w:r>
            <w:r w:rsidRPr="00EC0535">
              <w:rPr>
                <w:sz w:val="22"/>
                <w:szCs w:val="22"/>
                <w:lang w:val="sr-Latn-ME" w:eastAsia="en-GB"/>
              </w:rPr>
              <w:t>1%</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14</w:t>
            </w:r>
            <w:r w:rsidR="00AB447A" w:rsidRPr="00EC0535">
              <w:rPr>
                <w:sz w:val="22"/>
                <w:szCs w:val="22"/>
                <w:lang w:val="sr-Latn-ME" w:eastAsia="en-GB"/>
              </w:rPr>
              <w:t>,</w:t>
            </w:r>
            <w:r w:rsidRPr="00EC0535">
              <w:rPr>
                <w:sz w:val="22"/>
                <w:szCs w:val="22"/>
                <w:lang w:val="sr-Latn-ME" w:eastAsia="en-GB"/>
              </w:rPr>
              <w:t>9%</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p&lt;0</w:t>
            </w:r>
            <w:r w:rsidR="00AB447A" w:rsidRPr="00EC0535">
              <w:rPr>
                <w:sz w:val="22"/>
                <w:szCs w:val="22"/>
                <w:lang w:val="sr-Latn-ME" w:eastAsia="en-GB"/>
              </w:rPr>
              <w:t>,</w:t>
            </w:r>
            <w:r w:rsidRPr="00EC0535">
              <w:rPr>
                <w:sz w:val="22"/>
                <w:szCs w:val="22"/>
                <w:lang w:val="sr-Latn-ME" w:eastAsia="en-GB"/>
              </w:rPr>
              <w:t>0001</w:t>
            </w:r>
          </w:p>
        </w:tc>
      </w:tr>
      <w:tr w:rsidR="00E20D6C" w:rsidRPr="00EC0535"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r w:rsidRPr="00EC0535">
              <w:rPr>
                <w:sz w:val="22"/>
                <w:szCs w:val="22"/>
                <w:lang w:val="sr-Latn-ME" w:eastAsia="en-GB"/>
              </w:rPr>
              <w:t>OS (mjeseci)</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19</w:t>
            </w:r>
            <w:r w:rsidR="00AB447A" w:rsidRPr="00EC0535">
              <w:rPr>
                <w:sz w:val="22"/>
                <w:szCs w:val="22"/>
                <w:lang w:val="sr-Latn-ME" w:eastAsia="en-GB"/>
              </w:rPr>
              <w:t>,</w:t>
            </w:r>
            <w:r w:rsidRPr="00EC0535">
              <w:rPr>
                <w:sz w:val="22"/>
                <w:szCs w:val="22"/>
                <w:lang w:val="sr-Latn-ME" w:eastAsia="en-GB"/>
              </w:rPr>
              <w:t>3</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19</w:t>
            </w:r>
            <w:r w:rsidR="00AB447A" w:rsidRPr="00EC0535">
              <w:rPr>
                <w:sz w:val="22"/>
                <w:szCs w:val="22"/>
                <w:lang w:val="sr-Latn-ME" w:eastAsia="en-GB"/>
              </w:rPr>
              <w:t>,</w:t>
            </w:r>
            <w:r w:rsidRPr="00EC0535">
              <w:rPr>
                <w:sz w:val="22"/>
                <w:szCs w:val="22"/>
                <w:lang w:val="sr-Latn-ME" w:eastAsia="en-GB"/>
              </w:rPr>
              <w:t>5</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1</w:t>
            </w:r>
            <w:r w:rsidR="00AB447A" w:rsidRPr="00EC0535">
              <w:rPr>
                <w:sz w:val="22"/>
                <w:szCs w:val="22"/>
                <w:lang w:val="sr-Latn-ME" w:eastAsia="en-GB"/>
              </w:rPr>
              <w:t>,</w:t>
            </w:r>
            <w:r w:rsidRPr="00EC0535">
              <w:rPr>
                <w:sz w:val="22"/>
                <w:szCs w:val="22"/>
                <w:lang w:val="sr-Latn-ME" w:eastAsia="en-GB"/>
              </w:rPr>
              <w:t>04</w:t>
            </w:r>
          </w:p>
          <w:p w:rsidR="00026E08" w:rsidRPr="00EC0535" w:rsidRDefault="00026E08" w:rsidP="00AB447A">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65-1</w:t>
            </w:r>
            <w:r w:rsidR="00AB447A" w:rsidRPr="00EC0535">
              <w:rPr>
                <w:sz w:val="22"/>
                <w:szCs w:val="22"/>
                <w:lang w:val="sr-Latn-ME" w:eastAsia="en-GB"/>
              </w:rPr>
              <w:t>,</w:t>
            </w:r>
            <w:r w:rsidRPr="00EC0535">
              <w:rPr>
                <w:sz w:val="22"/>
                <w:szCs w:val="22"/>
                <w:lang w:val="sr-Latn-ME" w:eastAsia="en-GB"/>
              </w:rPr>
              <w:t>68]</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p=0</w:t>
            </w:r>
            <w:r w:rsidR="00AB447A" w:rsidRPr="00EC0535">
              <w:rPr>
                <w:sz w:val="22"/>
                <w:szCs w:val="22"/>
                <w:lang w:val="sr-Latn-ME" w:eastAsia="en-GB"/>
              </w:rPr>
              <w:t>,</w:t>
            </w:r>
            <w:r w:rsidRPr="00EC0535">
              <w:rPr>
                <w:sz w:val="22"/>
                <w:szCs w:val="22"/>
                <w:lang w:val="sr-Latn-ME" w:eastAsia="en-GB"/>
              </w:rPr>
              <w:t>8702</w:t>
            </w:r>
          </w:p>
        </w:tc>
      </w:tr>
      <w:tr w:rsidR="00E20D6C" w:rsidRPr="00EC0535" w:rsidTr="00026E08">
        <w:tc>
          <w:tcPr>
            <w:tcW w:w="1010" w:type="pct"/>
            <w:vMerge w:val="restart"/>
            <w:tcBorders>
              <w:top w:val="outset" w:sz="6" w:space="0" w:color="7B7B7B"/>
              <w:left w:val="outset" w:sz="6" w:space="0" w:color="7B7B7B"/>
              <w:bottom w:val="outset" w:sz="6" w:space="0" w:color="7B7B7B"/>
              <w:right w:val="outset" w:sz="6" w:space="0" w:color="7B7B7B"/>
            </w:tcBorders>
            <w:shd w:val="clear" w:color="auto" w:fill="FFFFFF"/>
          </w:tcPr>
          <w:p w:rsidR="00026E08" w:rsidRPr="00EC0535" w:rsidRDefault="00026E08" w:rsidP="00026E08">
            <w:pPr>
              <w:rPr>
                <w:sz w:val="22"/>
                <w:szCs w:val="22"/>
                <w:lang w:val="sr-Latn-ME" w:eastAsia="en-GB"/>
              </w:rPr>
            </w:pPr>
            <w:r w:rsidRPr="00EC0535">
              <w:rPr>
                <w:sz w:val="22"/>
                <w:szCs w:val="22"/>
                <w:lang w:val="sr-Latn-ME" w:eastAsia="en-GB"/>
              </w:rPr>
              <w:t>Ažurirana analiza (sa 62% podataka za OS)</w:t>
            </w:r>
          </w:p>
          <w:p w:rsidR="00026E08" w:rsidRPr="00EC0535" w:rsidRDefault="00026E08" w:rsidP="00026E08">
            <w:pPr>
              <w:rPr>
                <w:sz w:val="22"/>
                <w:szCs w:val="22"/>
                <w:lang w:val="sr-Latn-ME" w:eastAsia="en-GB"/>
              </w:rPr>
            </w:pPr>
            <w:r w:rsidRPr="00EC0535">
              <w:rPr>
                <w:sz w:val="22"/>
                <w:szCs w:val="22"/>
                <w:lang w:val="sr-Latn-ME" w:eastAsia="en-GB"/>
              </w:rPr>
              <w:t>(n=173)</w:t>
            </w:r>
          </w:p>
          <w:p w:rsidR="00026E08" w:rsidRPr="00EC0535" w:rsidRDefault="00026E08" w:rsidP="00026E08">
            <w:pPr>
              <w:rPr>
                <w:sz w:val="22"/>
                <w:szCs w:val="22"/>
                <w:lang w:val="sr-Latn-ME" w:eastAsia="en-GB"/>
              </w:rPr>
            </w:pPr>
          </w:p>
          <w:p w:rsidR="00026E08" w:rsidRPr="00EC0535" w:rsidRDefault="00026E08" w:rsidP="00026E08">
            <w:pPr>
              <w:rPr>
                <w:sz w:val="22"/>
                <w:szCs w:val="22"/>
                <w:lang w:val="sr-Latn-ME" w:eastAsia="en-GB"/>
              </w:rPr>
            </w:pPr>
            <w:r w:rsidRPr="00EC0535">
              <w:rPr>
                <w:sz w:val="22"/>
                <w:szCs w:val="22"/>
                <w:lang w:val="sr-Latn-ME" w:eastAsia="en-GB"/>
              </w:rPr>
              <w:t>Datum presjeka: April 2012.</w:t>
            </w: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rPr>
            </w:pP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n=86</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n=87</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0"/>
                <w:szCs w:val="20"/>
                <w:lang w:val="sr-Latn-ME" w:eastAsia="en-GB"/>
              </w:rPr>
            </w:pPr>
          </w:p>
        </w:tc>
      </w:tr>
      <w:tr w:rsidR="00E20D6C" w:rsidRPr="00EC0535"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r w:rsidRPr="00EC0535">
              <w:rPr>
                <w:sz w:val="22"/>
                <w:szCs w:val="22"/>
                <w:lang w:val="sr-Latn-ME" w:eastAsia="en-GB"/>
              </w:rPr>
              <w:t>PFS (medijana u mjesecima)</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10</w:t>
            </w:r>
            <w:r w:rsidR="00AB447A" w:rsidRPr="00EC0535">
              <w:rPr>
                <w:sz w:val="22"/>
                <w:szCs w:val="22"/>
                <w:lang w:val="sr-Latn-ME" w:eastAsia="en-GB"/>
              </w:rPr>
              <w:t>,</w:t>
            </w:r>
            <w:r w:rsidRPr="00EC0535">
              <w:rPr>
                <w:sz w:val="22"/>
                <w:szCs w:val="22"/>
                <w:lang w:val="sr-Latn-ME" w:eastAsia="en-GB"/>
              </w:rPr>
              <w:t>4</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5</w:t>
            </w:r>
            <w:r w:rsidR="00AB447A" w:rsidRPr="00EC0535">
              <w:rPr>
                <w:sz w:val="22"/>
                <w:szCs w:val="22"/>
                <w:lang w:val="sr-Latn-ME" w:eastAsia="en-GB"/>
              </w:rPr>
              <w:t>,</w:t>
            </w:r>
            <w:r w:rsidRPr="00EC0535">
              <w:rPr>
                <w:sz w:val="22"/>
                <w:szCs w:val="22"/>
                <w:lang w:val="sr-Latn-ME" w:eastAsia="en-GB"/>
              </w:rPr>
              <w:t>1</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34</w:t>
            </w:r>
          </w:p>
          <w:p w:rsidR="00026E08" w:rsidRPr="00EC0535" w:rsidRDefault="00026E08" w:rsidP="00AB447A">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23-0</w:t>
            </w:r>
            <w:r w:rsidR="00AB447A" w:rsidRPr="00EC0535">
              <w:rPr>
                <w:sz w:val="22"/>
                <w:szCs w:val="22"/>
                <w:lang w:val="sr-Latn-ME" w:eastAsia="en-GB"/>
              </w:rPr>
              <w:t>,</w:t>
            </w:r>
            <w:r w:rsidRPr="00EC0535">
              <w:rPr>
                <w:sz w:val="22"/>
                <w:szCs w:val="22"/>
                <w:lang w:val="sr-Latn-ME" w:eastAsia="en-GB"/>
              </w:rPr>
              <w:t>49]</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p&lt;0</w:t>
            </w:r>
            <w:r w:rsidR="00AB447A" w:rsidRPr="00EC0535">
              <w:rPr>
                <w:sz w:val="22"/>
                <w:szCs w:val="22"/>
                <w:lang w:val="sr-Latn-ME" w:eastAsia="en-GB"/>
              </w:rPr>
              <w:t>,</w:t>
            </w:r>
            <w:r w:rsidRPr="00EC0535">
              <w:rPr>
                <w:sz w:val="22"/>
                <w:szCs w:val="22"/>
                <w:lang w:val="sr-Latn-ME" w:eastAsia="en-GB"/>
              </w:rPr>
              <w:t>0001</w:t>
            </w:r>
          </w:p>
        </w:tc>
      </w:tr>
      <w:tr w:rsidR="00E20D6C" w:rsidRPr="00EC0535"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rPr>
                <w:sz w:val="22"/>
                <w:szCs w:val="22"/>
                <w:lang w:val="sr-Latn-ME" w:eastAsia="en-GB"/>
              </w:rPr>
            </w:pPr>
            <w:r w:rsidRPr="00EC0535">
              <w:rPr>
                <w:sz w:val="22"/>
                <w:szCs w:val="22"/>
                <w:lang w:val="sr-Latn-ME" w:eastAsia="en-GB"/>
              </w:rPr>
              <w:t>OS*** (mjeseci)</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22</w:t>
            </w:r>
            <w:r w:rsidR="00AB447A" w:rsidRPr="00EC0535">
              <w:rPr>
                <w:sz w:val="22"/>
                <w:szCs w:val="22"/>
                <w:lang w:val="sr-Latn-ME" w:eastAsia="en-GB"/>
              </w:rPr>
              <w:t>,</w:t>
            </w:r>
            <w:r w:rsidRPr="00EC0535">
              <w:rPr>
                <w:sz w:val="22"/>
                <w:szCs w:val="22"/>
                <w:lang w:val="sr-Latn-ME" w:eastAsia="en-GB"/>
              </w:rPr>
              <w:t>9</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20</w:t>
            </w:r>
            <w:r w:rsidR="00AB447A" w:rsidRPr="00EC0535">
              <w:rPr>
                <w:sz w:val="22"/>
                <w:szCs w:val="22"/>
                <w:lang w:val="sr-Latn-ME" w:eastAsia="en-GB"/>
              </w:rPr>
              <w:t>,</w:t>
            </w:r>
            <w:r w:rsidRPr="00EC0535">
              <w:rPr>
                <w:sz w:val="22"/>
                <w:szCs w:val="22"/>
                <w:lang w:val="sr-Latn-ME" w:eastAsia="en-GB"/>
              </w:rPr>
              <w:t>8</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026E08">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93</w:t>
            </w:r>
          </w:p>
          <w:p w:rsidR="00026E08" w:rsidRPr="00EC0535" w:rsidRDefault="00026E08" w:rsidP="00AB447A">
            <w:pPr>
              <w:jc w:val="center"/>
              <w:rPr>
                <w:sz w:val="22"/>
                <w:szCs w:val="22"/>
                <w:lang w:val="sr-Latn-ME" w:eastAsia="en-GB"/>
              </w:rPr>
            </w:pPr>
            <w:r w:rsidRPr="00EC0535">
              <w:rPr>
                <w:sz w:val="22"/>
                <w:szCs w:val="22"/>
                <w:lang w:val="sr-Latn-ME" w:eastAsia="en-GB"/>
              </w:rPr>
              <w:t>[0</w:t>
            </w:r>
            <w:r w:rsidR="00AB447A" w:rsidRPr="00EC0535">
              <w:rPr>
                <w:sz w:val="22"/>
                <w:szCs w:val="22"/>
                <w:lang w:val="sr-Latn-ME" w:eastAsia="en-GB"/>
              </w:rPr>
              <w:t>,</w:t>
            </w:r>
            <w:r w:rsidRPr="00EC0535">
              <w:rPr>
                <w:sz w:val="22"/>
                <w:szCs w:val="22"/>
                <w:lang w:val="sr-Latn-ME" w:eastAsia="en-GB"/>
              </w:rPr>
              <w:t>64-1</w:t>
            </w:r>
            <w:r w:rsidR="00AB447A" w:rsidRPr="00EC0535">
              <w:rPr>
                <w:sz w:val="22"/>
                <w:szCs w:val="22"/>
                <w:lang w:val="sr-Latn-ME" w:eastAsia="en-GB"/>
              </w:rPr>
              <w:t>,</w:t>
            </w:r>
            <w:r w:rsidRPr="00EC0535">
              <w:rPr>
                <w:sz w:val="22"/>
                <w:szCs w:val="22"/>
                <w:lang w:val="sr-Latn-ME" w:eastAsia="en-GB"/>
              </w:rPr>
              <w:t>36]</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EC0535" w:rsidRDefault="00026E08" w:rsidP="00AB447A">
            <w:pPr>
              <w:jc w:val="center"/>
              <w:rPr>
                <w:sz w:val="22"/>
                <w:szCs w:val="22"/>
                <w:lang w:val="sr-Latn-ME" w:eastAsia="en-GB"/>
              </w:rPr>
            </w:pPr>
            <w:r w:rsidRPr="00EC0535">
              <w:rPr>
                <w:sz w:val="22"/>
                <w:szCs w:val="22"/>
                <w:lang w:val="sr-Latn-ME" w:eastAsia="en-GB"/>
              </w:rPr>
              <w:t>p=0</w:t>
            </w:r>
            <w:r w:rsidR="00AB447A" w:rsidRPr="00EC0535">
              <w:rPr>
                <w:sz w:val="22"/>
                <w:szCs w:val="22"/>
                <w:lang w:val="sr-Latn-ME" w:eastAsia="en-GB"/>
              </w:rPr>
              <w:t>,</w:t>
            </w:r>
            <w:r w:rsidRPr="00EC0535">
              <w:rPr>
                <w:sz w:val="22"/>
                <w:szCs w:val="22"/>
                <w:lang w:val="sr-Latn-ME" w:eastAsia="en-GB"/>
              </w:rPr>
              <w:t>7149</w:t>
            </w:r>
          </w:p>
        </w:tc>
      </w:tr>
    </w:tbl>
    <w:p w:rsidR="00026E08" w:rsidRPr="00EC0535" w:rsidRDefault="00026E08" w:rsidP="00026E08">
      <w:pPr>
        <w:tabs>
          <w:tab w:val="left" w:pos="540"/>
          <w:tab w:val="left" w:pos="569"/>
        </w:tabs>
        <w:jc w:val="both"/>
        <w:rPr>
          <w:bCs/>
          <w:sz w:val="20"/>
          <w:szCs w:val="22"/>
          <w:lang w:val="sr-Latn-ME"/>
        </w:rPr>
      </w:pPr>
      <w:r w:rsidRPr="00EC0535">
        <w:rPr>
          <w:bCs/>
          <w:sz w:val="20"/>
          <w:szCs w:val="22"/>
          <w:lang w:val="sr-Latn-ME"/>
        </w:rPr>
        <w:t>CR=kompletan odgovor; PR=parcijalni odgovor</w:t>
      </w:r>
    </w:p>
    <w:p w:rsidR="00026E08" w:rsidRPr="00EC0535" w:rsidRDefault="00026E08" w:rsidP="00026E08">
      <w:pPr>
        <w:tabs>
          <w:tab w:val="left" w:pos="540"/>
          <w:tab w:val="left" w:pos="569"/>
        </w:tabs>
        <w:jc w:val="both"/>
        <w:rPr>
          <w:bCs/>
          <w:sz w:val="20"/>
          <w:szCs w:val="22"/>
          <w:lang w:val="sr-Latn-ME"/>
        </w:rPr>
      </w:pPr>
      <w:r w:rsidRPr="00EC0535">
        <w:rPr>
          <w:bCs/>
          <w:sz w:val="20"/>
          <w:szCs w:val="22"/>
          <w:lang w:val="sr-Latn-ME"/>
        </w:rPr>
        <w:t>* 58%-tno smanjenje rizika od progresije bolesti ili smrtog ishoda je zabilježeno</w:t>
      </w:r>
    </w:p>
    <w:p w:rsidR="00026E08" w:rsidRPr="00EC0535" w:rsidRDefault="00026E08" w:rsidP="00026E08">
      <w:pPr>
        <w:tabs>
          <w:tab w:val="left" w:pos="540"/>
          <w:tab w:val="left" w:pos="569"/>
        </w:tabs>
        <w:jc w:val="both"/>
        <w:rPr>
          <w:bCs/>
          <w:sz w:val="20"/>
          <w:szCs w:val="22"/>
          <w:lang w:val="sr-Latn-ME"/>
        </w:rPr>
      </w:pPr>
      <w:r w:rsidRPr="00EC0535">
        <w:rPr>
          <w:bCs/>
          <w:sz w:val="20"/>
          <w:szCs w:val="22"/>
          <w:lang w:val="sr-Latn-ME"/>
        </w:rPr>
        <w:t>** Ukupna stopa podudarnosti između ocjene istraživača (INV) i nezavisne komisije (IRC) je bila 70%</w:t>
      </w:r>
      <w:r w:rsidR="00E32727" w:rsidRPr="00EC0535">
        <w:rPr>
          <w:bCs/>
          <w:sz w:val="20"/>
          <w:szCs w:val="22"/>
          <w:lang w:val="sr-Latn-ME"/>
        </w:rPr>
        <w:t>.</w:t>
      </w:r>
    </w:p>
    <w:p w:rsidR="00026E08" w:rsidRPr="00EC0535" w:rsidRDefault="00026E08" w:rsidP="00026E08">
      <w:pPr>
        <w:tabs>
          <w:tab w:val="left" w:pos="540"/>
          <w:tab w:val="left" w:pos="569"/>
        </w:tabs>
        <w:jc w:val="both"/>
        <w:rPr>
          <w:bCs/>
          <w:sz w:val="20"/>
          <w:szCs w:val="22"/>
          <w:lang w:val="sr-Latn-ME"/>
        </w:rPr>
      </w:pPr>
      <w:r w:rsidRPr="00EC0535">
        <w:rPr>
          <w:bCs/>
          <w:sz w:val="20"/>
          <w:szCs w:val="22"/>
          <w:lang w:val="sr-Latn-ME"/>
        </w:rPr>
        <w:t>*** Visoki procenat pacijenata (82%) iz grupe pacijenata na hemioterapiji je prešao u nastavku terapije na inhibitore EGFR tirozin kinaze i svi su oni, izuzev dva pacijenta, nastavili dalje terapiju erlotinibom.</w:t>
      </w:r>
    </w:p>
    <w:p w:rsidR="00026E08" w:rsidRPr="00EC0535" w:rsidRDefault="00026E08" w:rsidP="00026E08">
      <w:pPr>
        <w:tabs>
          <w:tab w:val="left" w:pos="540"/>
          <w:tab w:val="left" w:pos="569"/>
        </w:tabs>
        <w:jc w:val="both"/>
        <w:rPr>
          <w:b/>
          <w:bCs/>
          <w:sz w:val="22"/>
          <w:szCs w:val="22"/>
          <w:lang w:val="sr-Latn-ME"/>
        </w:rPr>
      </w:pPr>
    </w:p>
    <w:p w:rsidR="00CC64C5" w:rsidRPr="00EC0535" w:rsidRDefault="00AC3E4E" w:rsidP="00CC64C5">
      <w:pPr>
        <w:tabs>
          <w:tab w:val="left" w:pos="540"/>
          <w:tab w:val="left" w:pos="569"/>
        </w:tabs>
        <w:jc w:val="both"/>
        <w:rPr>
          <w:bCs/>
          <w:i/>
          <w:sz w:val="22"/>
          <w:szCs w:val="22"/>
          <w:u w:val="single"/>
          <w:lang w:val="sr-Latn-ME"/>
        </w:rPr>
      </w:pPr>
      <w:r w:rsidRPr="00EC0535">
        <w:rPr>
          <w:bCs/>
          <w:i/>
          <w:sz w:val="22"/>
          <w:szCs w:val="22"/>
          <w:u w:val="single"/>
          <w:lang w:val="sr-Latn-ME"/>
        </w:rPr>
        <w:t xml:space="preserve">- </w:t>
      </w:r>
      <w:r w:rsidR="00CC64C5" w:rsidRPr="00EC0535">
        <w:rPr>
          <w:bCs/>
          <w:i/>
          <w:sz w:val="22"/>
          <w:szCs w:val="22"/>
          <w:u w:val="single"/>
          <w:lang w:val="sr-Latn-ME"/>
        </w:rPr>
        <w:t>Terapija održavanja kod pacijenata sa NSCLC nakon prve linije hemioterapije (erlotin</w:t>
      </w:r>
      <w:r w:rsidR="00CE577D" w:rsidRPr="00EC0535">
        <w:rPr>
          <w:bCs/>
          <w:i/>
          <w:sz w:val="22"/>
          <w:szCs w:val="22"/>
          <w:u w:val="single"/>
          <w:lang w:val="sr-Latn-ME"/>
        </w:rPr>
        <w:t>ib prim</w:t>
      </w:r>
      <w:r w:rsidR="00E32727" w:rsidRPr="00EC0535">
        <w:rPr>
          <w:bCs/>
          <w:i/>
          <w:sz w:val="22"/>
          <w:szCs w:val="22"/>
          <w:u w:val="single"/>
          <w:lang w:val="sr-Latn-ME"/>
        </w:rPr>
        <w:t>i</w:t>
      </w:r>
      <w:r w:rsidR="00CE577D" w:rsidRPr="00EC0535">
        <w:rPr>
          <w:bCs/>
          <w:i/>
          <w:sz w:val="22"/>
          <w:szCs w:val="22"/>
          <w:u w:val="single"/>
          <w:lang w:val="sr-Latn-ME"/>
        </w:rPr>
        <w:t>jenjen kao monoterapija)</w:t>
      </w:r>
    </w:p>
    <w:p w:rsidR="00CC64C5" w:rsidRPr="00EC0535" w:rsidRDefault="00CC64C5" w:rsidP="00CC64C5">
      <w:pPr>
        <w:tabs>
          <w:tab w:val="left" w:pos="540"/>
          <w:tab w:val="left" w:pos="569"/>
        </w:tabs>
        <w:jc w:val="both"/>
        <w:rPr>
          <w:bCs/>
          <w:sz w:val="22"/>
          <w:szCs w:val="22"/>
          <w:lang w:val="sr-Latn-ME"/>
        </w:rPr>
      </w:pPr>
    </w:p>
    <w:p w:rsidR="00CC64C5" w:rsidRPr="00EC0535" w:rsidRDefault="00CC64C5" w:rsidP="00CC64C5">
      <w:pPr>
        <w:tabs>
          <w:tab w:val="left" w:pos="540"/>
          <w:tab w:val="left" w:pos="569"/>
        </w:tabs>
        <w:jc w:val="both"/>
        <w:rPr>
          <w:bCs/>
          <w:sz w:val="22"/>
          <w:szCs w:val="22"/>
          <w:lang w:val="sr-Latn-ME"/>
        </w:rPr>
      </w:pPr>
      <w:r w:rsidRPr="00EC0535">
        <w:rPr>
          <w:bCs/>
          <w:sz w:val="22"/>
          <w:szCs w:val="22"/>
          <w:lang w:val="sr-Latn-ME"/>
        </w:rPr>
        <w:t xml:space="preserve">Efikasnost i bezbjednost erlotiniba kao terapije održavanja nakon prve linije hemioterapije u liječenju NSCLC ispitivana je u randomizovanoj, dvostruko-slijepoj, placebom kontrolisanoj studiji (BO18192, SATURN). Ova studija sprovedena je na 889 pacijenata sa lokalno uznapredovalim ili metastatskim NSCLC kod kojih nije došlo do progresije bolesti nakon primjene 4 ciklusa hemioterapije na bazi platine. Pacijenti su bili randomizovani 1:1 da primaju erlotinib 150 mg ili placebo oralno jednom dnevno do progresije bolesti. Primarni parametar praćenja ishoda ispitivanja uključivao je PFS (preživljavanje bez progresije bolesti) kod svih pacijenata. Demografske i karakteristike bolesti pacijenata pri uključivanju u studiju bile su dobro ujednačene između dvije ispitivane grupe pacijenata. </w:t>
      </w:r>
    </w:p>
    <w:p w:rsidR="00CC64C5" w:rsidRPr="00EC0535" w:rsidRDefault="00CC64C5" w:rsidP="00CC64C5">
      <w:pPr>
        <w:tabs>
          <w:tab w:val="left" w:pos="540"/>
          <w:tab w:val="left" w:pos="569"/>
        </w:tabs>
        <w:jc w:val="both"/>
        <w:rPr>
          <w:bCs/>
          <w:sz w:val="22"/>
          <w:szCs w:val="22"/>
          <w:lang w:val="sr-Latn-ME"/>
        </w:rPr>
      </w:pPr>
      <w:r w:rsidRPr="00EC0535">
        <w:rPr>
          <w:bCs/>
          <w:sz w:val="22"/>
          <w:szCs w:val="22"/>
          <w:lang w:val="sr-Latn-ME"/>
        </w:rPr>
        <w:t xml:space="preserve">Pacijenti sa ECOG PS&gt;1, značajnim hepatičkim ili bubrežnim komorbiditetima nisu bili uključeni u studiju. </w:t>
      </w:r>
    </w:p>
    <w:p w:rsidR="00CC64C5" w:rsidRPr="00EC0535" w:rsidRDefault="00CC64C5" w:rsidP="00CC64C5">
      <w:pPr>
        <w:tabs>
          <w:tab w:val="left" w:pos="540"/>
          <w:tab w:val="left" w:pos="569"/>
        </w:tabs>
        <w:jc w:val="both"/>
        <w:rPr>
          <w:bCs/>
          <w:sz w:val="22"/>
          <w:szCs w:val="22"/>
          <w:lang w:val="sr-Latn-ME"/>
        </w:rPr>
      </w:pPr>
    </w:p>
    <w:p w:rsidR="00CC64C5" w:rsidRPr="00EC0535" w:rsidRDefault="00CC64C5" w:rsidP="00CC64C5">
      <w:pPr>
        <w:tabs>
          <w:tab w:val="left" w:pos="540"/>
          <w:tab w:val="left" w:pos="569"/>
        </w:tabs>
        <w:jc w:val="both"/>
        <w:rPr>
          <w:bCs/>
          <w:sz w:val="22"/>
          <w:szCs w:val="22"/>
          <w:lang w:val="sr-Latn-ME"/>
        </w:rPr>
      </w:pPr>
      <w:r w:rsidRPr="00EC0535">
        <w:rPr>
          <w:bCs/>
          <w:sz w:val="22"/>
          <w:szCs w:val="22"/>
          <w:lang w:val="sr-Latn-ME"/>
        </w:rPr>
        <w:t>U ovoj studiji pokazana je korist u pogledu PFS kao primarnog parametra praćenja ishoda studije (HR = 0,71, p &lt;0,0001) i OS kao sekundarnog parametra praćenja ishoda studije (HR = 0,81; p = 0,0088) u ukupnoj populaciji pacijenata. Međutim, najveća je korist zabilježena u prethodno definisanoj eksploratornoj analizi sprovedenoj kod pacijenata sa EGFR aktivirajućim mutacijama (n=49), koja je pokazala značajnu korist u pogledu PFS-a (HR = 0,10; 95% CI, 0,04 – 0,25; p &lt; 0,0001), i HR za ukupno preživljavanje (OS) od 0,83 (95% CI, 0,34 – 2,02). Šezdeset i sedam posto (67%) pacijenata koji su primali placebo, iz podgrupe pozitivne na mutaciju EGFR-a, primilo je drugu ili narednu liniju terapije sa inhibitorom EGFR tirozin kinaze (EGFR-TKI).</w:t>
      </w:r>
    </w:p>
    <w:p w:rsidR="00CC64C5" w:rsidRPr="00EC0535" w:rsidRDefault="00CC64C5" w:rsidP="00CC64C5">
      <w:pPr>
        <w:tabs>
          <w:tab w:val="left" w:pos="540"/>
          <w:tab w:val="left" w:pos="569"/>
        </w:tabs>
        <w:jc w:val="both"/>
        <w:rPr>
          <w:bCs/>
          <w:sz w:val="22"/>
          <w:szCs w:val="22"/>
          <w:lang w:val="sr-Latn-ME"/>
        </w:rPr>
      </w:pPr>
    </w:p>
    <w:p w:rsidR="00CC64C5" w:rsidRPr="00EC0535" w:rsidRDefault="00CC64C5" w:rsidP="00CC64C5">
      <w:pPr>
        <w:tabs>
          <w:tab w:val="left" w:pos="540"/>
          <w:tab w:val="left" w:pos="569"/>
        </w:tabs>
        <w:jc w:val="both"/>
        <w:rPr>
          <w:bCs/>
          <w:sz w:val="22"/>
          <w:szCs w:val="22"/>
          <w:lang w:val="sr-Latn-ME"/>
        </w:rPr>
      </w:pPr>
      <w:r w:rsidRPr="00EC0535">
        <w:rPr>
          <w:bCs/>
          <w:sz w:val="22"/>
          <w:szCs w:val="22"/>
          <w:lang w:val="sr-Latn-ME"/>
        </w:rPr>
        <w:t>Studija BO25460 (IUNO) sprovedena je na 643 pacijenta sa uznapredovalim NSCLC čiji tumori nijesu imali EGFR aktivirajuće mutacije (deleciju u egzonu 19 ili mutaciju L858R na egzonu 21) i koji nijesu doživ</w:t>
      </w:r>
      <w:r w:rsidR="00D312D8" w:rsidRPr="00EC0535">
        <w:rPr>
          <w:bCs/>
          <w:sz w:val="22"/>
          <w:szCs w:val="22"/>
          <w:lang w:val="sr-Latn-ME"/>
        </w:rPr>
        <w:t>j</w:t>
      </w:r>
      <w:r w:rsidRPr="00EC0535">
        <w:rPr>
          <w:bCs/>
          <w:sz w:val="22"/>
          <w:szCs w:val="22"/>
          <w:lang w:val="sr-Latn-ME"/>
        </w:rPr>
        <w:t xml:space="preserve">eli progresiju bolesti nakon četiri ciklusa hemioterapije na bazi platine. </w:t>
      </w:r>
    </w:p>
    <w:p w:rsidR="00CC64C5" w:rsidRPr="00EC0535" w:rsidRDefault="00CC64C5" w:rsidP="00CC64C5">
      <w:pPr>
        <w:tabs>
          <w:tab w:val="left" w:pos="540"/>
          <w:tab w:val="left" w:pos="569"/>
        </w:tabs>
        <w:jc w:val="both"/>
        <w:rPr>
          <w:bCs/>
          <w:sz w:val="22"/>
          <w:szCs w:val="22"/>
          <w:lang w:val="sr-Latn-ME"/>
        </w:rPr>
      </w:pPr>
    </w:p>
    <w:p w:rsidR="00CC64C5" w:rsidRPr="00EC0535" w:rsidRDefault="00CC64C5" w:rsidP="00CC64C5">
      <w:pPr>
        <w:tabs>
          <w:tab w:val="left" w:pos="540"/>
          <w:tab w:val="left" w:pos="569"/>
        </w:tabs>
        <w:jc w:val="both"/>
        <w:rPr>
          <w:bCs/>
          <w:sz w:val="22"/>
          <w:szCs w:val="22"/>
          <w:lang w:val="sr-Latn-ME"/>
        </w:rPr>
      </w:pPr>
      <w:r w:rsidRPr="00EC0535">
        <w:rPr>
          <w:bCs/>
          <w:sz w:val="22"/>
          <w:szCs w:val="22"/>
          <w:lang w:val="sr-Latn-ME"/>
        </w:rPr>
        <w:t xml:space="preserve">Cilj studije bilo je poređenje ukupnog preživljavanja (OS) terapije održavanja erlotinibom poslije prve linije hemioterapije u odnosu na primjenu erlotiniba u trenutku progresije bolesti. Primarni parametar praćenja ishoda studije nije postignut. Ukupno preživljavanje (OS) pri primjeni erlotiniba kao terapije održavanja poslije prve linije hemioterapije nije bilo superiorno u odnosu na OS ostvareno kada je erlotinib primijenjen kao druga linija terapije kod pacijenata čiji tumori nisu imali EGFR aktivirajuće mutacije (HR = 1,02; 95% CI, 0,85 – 1,22; p = 0,82). Sekundarni parametar praćenja ishoda (PFS) je pokazao da nema razlike između erlotiniba i placeba u terapiji održavanja (HR = 0,94; 95% CI, 0,80 – 1,11; p = 0,48). </w:t>
      </w:r>
    </w:p>
    <w:p w:rsidR="00CC64C5" w:rsidRPr="00EC0535" w:rsidRDefault="00CC64C5" w:rsidP="00CC64C5">
      <w:pPr>
        <w:tabs>
          <w:tab w:val="left" w:pos="540"/>
          <w:tab w:val="left" w:pos="569"/>
        </w:tabs>
        <w:jc w:val="both"/>
        <w:rPr>
          <w:bCs/>
          <w:sz w:val="22"/>
          <w:szCs w:val="22"/>
          <w:lang w:val="sr-Latn-ME"/>
        </w:rPr>
      </w:pPr>
      <w:r w:rsidRPr="00EC0535">
        <w:rPr>
          <w:bCs/>
          <w:sz w:val="22"/>
          <w:szCs w:val="22"/>
          <w:lang w:val="sr-Latn-ME"/>
        </w:rPr>
        <w:t xml:space="preserve">Na osnovu podataka iz studije BO25460 (IUNO), ne preporučuje se primjena erlotiniba za prvu liniju terapije održavanja kod pacijenata bez EGFR aktivirajućih mutacija. </w:t>
      </w:r>
    </w:p>
    <w:p w:rsidR="00CE577D" w:rsidRPr="00EC0535" w:rsidRDefault="00CE577D" w:rsidP="00CC64C5">
      <w:pPr>
        <w:tabs>
          <w:tab w:val="left" w:pos="540"/>
          <w:tab w:val="left" w:pos="569"/>
        </w:tabs>
        <w:jc w:val="both"/>
        <w:rPr>
          <w:bCs/>
          <w:color w:val="FF0000"/>
          <w:sz w:val="22"/>
          <w:szCs w:val="22"/>
          <w:lang w:val="sr-Latn-ME"/>
        </w:rPr>
      </w:pPr>
    </w:p>
    <w:p w:rsidR="00CE577D" w:rsidRPr="00EC0535" w:rsidRDefault="00D312D8" w:rsidP="00CE577D">
      <w:pPr>
        <w:tabs>
          <w:tab w:val="left" w:pos="540"/>
          <w:tab w:val="left" w:pos="569"/>
        </w:tabs>
        <w:jc w:val="both"/>
        <w:rPr>
          <w:bCs/>
          <w:i/>
          <w:sz w:val="22"/>
          <w:szCs w:val="22"/>
          <w:u w:val="single"/>
          <w:lang w:val="sr-Latn-ME"/>
        </w:rPr>
      </w:pPr>
      <w:r w:rsidRPr="00EC0535">
        <w:rPr>
          <w:bCs/>
          <w:i/>
          <w:sz w:val="22"/>
          <w:szCs w:val="22"/>
          <w:u w:val="single"/>
          <w:lang w:val="sr-Latn-ME"/>
        </w:rPr>
        <w:t xml:space="preserve">- </w:t>
      </w:r>
      <w:r w:rsidR="00CE577D" w:rsidRPr="00EC0535">
        <w:rPr>
          <w:bCs/>
          <w:i/>
          <w:sz w:val="22"/>
          <w:szCs w:val="22"/>
          <w:u w:val="single"/>
          <w:lang w:val="sr-Latn-ME"/>
        </w:rPr>
        <w:t>Terapija NSCLC-a nakon neuspjeha primjene najmanje jednog hemioterapijskog režima (erlotinib primijenjen kao monoterapija)</w:t>
      </w:r>
    </w:p>
    <w:p w:rsidR="00CE577D" w:rsidRPr="00EC0535" w:rsidRDefault="00CE577D" w:rsidP="00CE577D">
      <w:pPr>
        <w:tabs>
          <w:tab w:val="left" w:pos="540"/>
          <w:tab w:val="left" w:pos="569"/>
        </w:tabs>
        <w:jc w:val="both"/>
        <w:rPr>
          <w:b/>
          <w:bCs/>
          <w:i/>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Efikasnost i bezbjednost erlotiniba kao druge/treće linije terapije pokazana je u randomizovanoj, dvostruko slijepoj, placebom kontrolisanoj studiji (BR.21), koja je obuhvatila 731 pacijenta sa lokalno uznapredovalim ili metastatskim NSCLC poslije neuspjeha primjene najmanje jednog hemioterapijskog režima. Pacijenti su randomizovani u odnosu 2:1 da primaju oralno erlotinib 150 mg ili placebo jednom dnevno. Parametri praćenja ishoda ispitivanja uključivali su ukupno preživljavanje, preživljavanje bez progresije bolesti (</w:t>
      </w:r>
      <w:r w:rsidR="00B87460" w:rsidRPr="00EC0535">
        <w:rPr>
          <w:bCs/>
          <w:sz w:val="22"/>
          <w:szCs w:val="22"/>
          <w:lang w:val="sr-Latn-ME"/>
        </w:rPr>
        <w:t xml:space="preserve">engl. </w:t>
      </w:r>
      <w:r w:rsidRPr="00EC0535">
        <w:rPr>
          <w:bCs/>
          <w:i/>
          <w:iCs/>
          <w:sz w:val="22"/>
          <w:szCs w:val="22"/>
          <w:lang w:val="sr-Latn-ME"/>
        </w:rPr>
        <w:t>progression-free survival</w:t>
      </w:r>
      <w:r w:rsidRPr="00EC0535">
        <w:rPr>
          <w:bCs/>
          <w:sz w:val="22"/>
          <w:szCs w:val="22"/>
          <w:lang w:val="sr-Latn-ME"/>
        </w:rPr>
        <w:t>, PFS), stopu odgovora, trajanje odgovora, vr</w:t>
      </w:r>
      <w:r w:rsidR="00B87460" w:rsidRPr="00EC0535">
        <w:rPr>
          <w:bCs/>
          <w:sz w:val="22"/>
          <w:szCs w:val="22"/>
          <w:lang w:val="sr-Latn-ME"/>
        </w:rPr>
        <w:t>ij</w:t>
      </w:r>
      <w:r w:rsidRPr="00EC0535">
        <w:rPr>
          <w:bCs/>
          <w:sz w:val="22"/>
          <w:szCs w:val="22"/>
          <w:lang w:val="sr-Latn-ME"/>
        </w:rPr>
        <w:t xml:space="preserve">eme do </w:t>
      </w:r>
      <w:r w:rsidRPr="00EC0535">
        <w:rPr>
          <w:bCs/>
          <w:sz w:val="22"/>
          <w:szCs w:val="22"/>
          <w:lang w:val="sr-Latn-ME"/>
        </w:rPr>
        <w:lastRenderedPageBreak/>
        <w:t>pogoršanja simptoma povezanih sa karcinomom pluća (kašalj, dispnea i bol), i bezbjednost. Primarni parametar praćenja ishoda bilo je preživljavanje.</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Ove dv</w:t>
      </w:r>
      <w:r w:rsidR="00B87460" w:rsidRPr="00EC0535">
        <w:rPr>
          <w:bCs/>
          <w:sz w:val="22"/>
          <w:szCs w:val="22"/>
          <w:lang w:val="sr-Latn-ME"/>
        </w:rPr>
        <w:t>ij</w:t>
      </w:r>
      <w:r w:rsidRPr="00EC0535">
        <w:rPr>
          <w:bCs/>
          <w:sz w:val="22"/>
          <w:szCs w:val="22"/>
          <w:lang w:val="sr-Latn-ME"/>
        </w:rPr>
        <w:t>e grupe su bile dobro uravnotežene u pogledu demografskih karakteristika. Oko dvije trećine pacijenata bili su muškarci i otprilike jedna trećina je imala prije početka terapije (</w:t>
      </w:r>
      <w:r w:rsidR="00B87460" w:rsidRPr="00EC0535">
        <w:rPr>
          <w:bCs/>
          <w:sz w:val="22"/>
          <w:szCs w:val="22"/>
          <w:lang w:val="sr-Latn-ME"/>
        </w:rPr>
        <w:t>početne vrijednosti</w:t>
      </w:r>
      <w:r w:rsidRPr="00EC0535">
        <w:rPr>
          <w:bCs/>
          <w:sz w:val="22"/>
          <w:szCs w:val="22"/>
          <w:lang w:val="sr-Latn-ME"/>
        </w:rPr>
        <w:t>) ECOG performans status (PS) od 2, a 9% su imali ECOG PS 3. Devedeset tri procenta pacijenata koji su primali erlotinib i 92% onih koji su primali placebo, prethodno su primali terapiju koja je sadržala platinu, dok je 36% u prvoj, odnosno 37% u drugoj grupi prethodno primalo terapiju taksanima.</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 xml:space="preserve">Prilagođeni HR (engl. </w:t>
      </w:r>
      <w:r w:rsidRPr="00EC0535">
        <w:rPr>
          <w:bCs/>
          <w:i/>
          <w:iCs/>
          <w:sz w:val="22"/>
          <w:szCs w:val="22"/>
          <w:lang w:val="sr-Latn-ME"/>
        </w:rPr>
        <w:t>adjusted hazard ratio</w:t>
      </w:r>
      <w:r w:rsidRPr="00EC0535">
        <w:rPr>
          <w:bCs/>
          <w:sz w:val="22"/>
          <w:szCs w:val="22"/>
          <w:lang w:val="sr-Latn-ME"/>
        </w:rPr>
        <w:t>) za smrtni ishod u grupi koja je primala erlotinib, u odnosu na grupu koja je primala placebo, iznosio je 0,73 (95% CI, 0,60 – 0,87) (p=0,001). Procenat pacijenata koji su preživjeli poslije 12 mjeseci iznosio je 31,2% u grupi koja je primala erlotinib</w:t>
      </w:r>
      <w:r w:rsidR="00B87460" w:rsidRPr="00EC0535">
        <w:rPr>
          <w:bCs/>
          <w:sz w:val="22"/>
          <w:szCs w:val="22"/>
          <w:lang w:val="sr-Latn-ME"/>
        </w:rPr>
        <w:t>,</w:t>
      </w:r>
      <w:r w:rsidRPr="00EC0535">
        <w:rPr>
          <w:bCs/>
          <w:sz w:val="22"/>
          <w:szCs w:val="22"/>
          <w:lang w:val="sr-Latn-ME"/>
        </w:rPr>
        <w:t xml:space="preserve"> i 21,5% u grupi koja je primala placebo. Medijana ukupnog preživljavanja iznosila je 6,7 mjeseci u grupi koja je primala erlotinib (95% CI, 5,5 do 7,8 mjeseci) u poređenju sa 4,7 mjeseci u grupi koja je primala placebo (95% CI, 4,1 do 6,3 mjeseca). </w:t>
      </w: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 xml:space="preserve">Efekat na ukupno preživljavanje ispitivan je u različitim podgrupama pacijenata. Efekat erlotiniba na ukupno preživljavanje bio je sličan kod pacijenata koji su imali performans status na početku liječenja (ECOG) između 2 i 3 (HR=0,77; 95% CI 0,6-1,0) i 0-1 (HR=0,73; 95% CI 0,6-0,9), muškaraca (HR=0,76; 95% CI 0,6-0,9) i žena (HR=0,80; 95% CI 0,6-1,1), pacijenata mlađih od 65 godina (HR=0,75; 95% CI 0,6-0,9), i starijih pacijenata (HR=0,79; 95% CI 0,6-1,0), pacijenata koji su prethodno primili jedan terapijski režim (HR=0,76; 95% CI 0,6-1,0) i pacijenata koji su primili više od jednog terapijskog režima (HR=0,75; 95% CI 0,6-1,0), pacijenata </w:t>
      </w:r>
      <w:r w:rsidR="00B87460" w:rsidRPr="00EC0535">
        <w:rPr>
          <w:bCs/>
          <w:sz w:val="22"/>
          <w:szCs w:val="22"/>
          <w:lang w:val="sr-Latn-ME"/>
        </w:rPr>
        <w:t>bijelaca</w:t>
      </w:r>
      <w:r w:rsidRPr="00EC0535">
        <w:rPr>
          <w:bCs/>
          <w:sz w:val="22"/>
          <w:szCs w:val="22"/>
          <w:lang w:val="sr-Latn-ME"/>
        </w:rPr>
        <w:t xml:space="preserve"> (HR=0,79; 95% CI 0,6-1,0) i </w:t>
      </w:r>
      <w:r w:rsidR="00B87460" w:rsidRPr="00EC0535">
        <w:rPr>
          <w:bCs/>
          <w:sz w:val="22"/>
          <w:szCs w:val="22"/>
          <w:lang w:val="sr-Latn-ME"/>
        </w:rPr>
        <w:t xml:space="preserve">azijata </w:t>
      </w:r>
      <w:r w:rsidRPr="00EC0535">
        <w:rPr>
          <w:bCs/>
          <w:sz w:val="22"/>
          <w:szCs w:val="22"/>
          <w:lang w:val="sr-Latn-ME"/>
        </w:rPr>
        <w:t>(HR=0,61; 95% CI 0,4-1,0), pacijenata sa adenokarcinomom (HR=0,71; 95% CI 0,6-0,9) i karcinomom skvamoznih ćelija (HR=0,67; 95% CI 0,5-0,9), ali ne i kod pacijenata sa drugim histološkim tipom tumora (HR=1,04; 95% CI 0,7-1,5), pacijenata u četvrtom stadijumu bolesti pri postavljanju dijagnoze (HR=0,92; 95% CI 0,7-1,2), i stadijumu &lt;4 pri postavljanju dijagnoze (HR=0,65; 95% CI 0,5-0,8). Pacijenti koji nikada nijesu pušili imali su daleko veću korist od terapije erlotinibom (preživljavanje HR=0,42; 95% CI 0,28-0,64) u poređenju sa onima koji puše ili su pušili (HR=0,87; 95% CI 0,71-1,05).</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 xml:space="preserve">Kod 45% pacijenata sa poznatim statusom ekspresije EGFR, HR iznosio je 0,68 (95% CI 0,49-0,94) kod pacijenata sa EGFR pozitivnim tumorima i 0,93 (95% CI 0,63-1,36) kod pacijenata sa EGFR-negativnim tumorima (koji su određeni imunohistohemijski korišćenjem EGFR pharmDx kita i koji </w:t>
      </w:r>
      <w:r w:rsidR="00B17820" w:rsidRPr="00EC0535">
        <w:rPr>
          <w:bCs/>
          <w:sz w:val="22"/>
          <w:szCs w:val="22"/>
          <w:lang w:val="sr-Latn-ME"/>
        </w:rPr>
        <w:t xml:space="preserve">su </w:t>
      </w:r>
      <w:r w:rsidRPr="00EC0535">
        <w:rPr>
          <w:bCs/>
          <w:sz w:val="22"/>
          <w:szCs w:val="22"/>
          <w:lang w:val="sr-Latn-ME"/>
        </w:rPr>
        <w:t>definisani kao EGFR-negativni ukoliko je obojeno manje od 10% tumorskih ćelija). Kod preostalih 55% pacijenata sa nepoznatim EGFR statusom ekspresije, HR je iznosio 0,77 (95% CI 0,61-0,98).</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Medijana PFS iznosila je 9,7 nedjelja u grupi koja je primala erlotinib (95% CI, 8,4 do 12,4 nedjelje) u</w:t>
      </w: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 xml:space="preserve">poređenju sa 8,0 nedjelja u grupi koja je primala placebo (95% CI, 7,9 do 8,1 nedjelja). </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 xml:space="preserve">Objektivna stopa odgovora po RECIST (engl. </w:t>
      </w:r>
      <w:r w:rsidRPr="00EC0535">
        <w:rPr>
          <w:bCs/>
          <w:i/>
          <w:iCs/>
          <w:sz w:val="22"/>
          <w:szCs w:val="22"/>
          <w:lang w:val="sr-Latn-ME"/>
        </w:rPr>
        <w:t xml:space="preserve">Response Evaluation Criteria in Solid Tumors) </w:t>
      </w:r>
      <w:r w:rsidRPr="00EC0535">
        <w:rPr>
          <w:bCs/>
          <w:sz w:val="22"/>
          <w:szCs w:val="22"/>
          <w:lang w:val="sr-Latn-ME"/>
        </w:rPr>
        <w:t>u grupi koja je primala erlotinib iznosila je 8,9% (95% CI, 6,4 do 12,0). Kod prvih 330 pacijenata stopu odgovora procijenila je nezavisna centralna komisija (stopa odgovora 6,2%); kod 401 pacijenta stopu odgovora procijenio je istraživač (stopa odgovora 11,2%).</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 xml:space="preserve">Medijana trajanja odgovora iznosila je 34,3 nedjelje, i kretala se u rasponu između 9,7 do 57,6+ nedjelja. Procenat pacijenata koji su ostvarili kompletan odgovor, parcijalan odgovor ili stabilizaciju bolesti iznosio je 44,0% u grupi koja je primala erlotinib odnosno 27,5% u grupi koja je primala placebo (p=0,004). </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Prednost u preživljavanju sa erlotinibom uočena je takođe i kod pacijenata koji nijesu postigli objektivan tumorski odgovor (prema RECIST). Ovo je dokazano HR za smrtni ishod od 0,82 (95% CI, 0,68 do 0,99) među pacijentima čiji je najbolji odgovor bio stabilna bolest ili progresija bolesti.</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Primjena erlotiniba dovela je do poboljšanja simptoma time što je značajno produženo vrijeme do pogoršanja kašlja, dispnee i bola, u poređenju sa placebom.</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lastRenderedPageBreak/>
        <w:t>U dvostruko slijepoj, randomizovanoj studiji faze III (MO22162, CURRENTS) upoređujući dvije doze erlotiniba (300 mg u odnosu na 150 mg) kod trenutnih pušača (u prosjeku 38 kutija godišnje) sa lokalno uznapredovalim ili metastatskim NSCLC kao druga linija terapije nakon neuspjeha hemioterapije, doza od 300 mg erlotiniba nije pokazala PFS korist u odnosu na preporučenu dozu (7</w:t>
      </w:r>
      <w:r w:rsidR="00565CBD" w:rsidRPr="00EC0535">
        <w:rPr>
          <w:bCs/>
          <w:sz w:val="22"/>
          <w:szCs w:val="22"/>
          <w:lang w:val="sr-Latn-ME"/>
        </w:rPr>
        <w:t>,</w:t>
      </w:r>
      <w:r w:rsidRPr="00EC0535">
        <w:rPr>
          <w:bCs/>
          <w:sz w:val="22"/>
          <w:szCs w:val="22"/>
          <w:lang w:val="sr-Latn-ME"/>
        </w:rPr>
        <w:t>00 naspram 6</w:t>
      </w:r>
      <w:r w:rsidR="00565CBD" w:rsidRPr="00EC0535">
        <w:rPr>
          <w:bCs/>
          <w:sz w:val="22"/>
          <w:szCs w:val="22"/>
          <w:lang w:val="sr-Latn-ME"/>
        </w:rPr>
        <w:t>,</w:t>
      </w:r>
      <w:r w:rsidRPr="00EC0535">
        <w:rPr>
          <w:bCs/>
          <w:sz w:val="22"/>
          <w:szCs w:val="22"/>
          <w:lang w:val="sr-Latn-ME"/>
        </w:rPr>
        <w:t xml:space="preserve">86 </w:t>
      </w:r>
      <w:r w:rsidR="00565CBD" w:rsidRPr="00EC0535">
        <w:rPr>
          <w:bCs/>
          <w:sz w:val="22"/>
          <w:szCs w:val="22"/>
          <w:lang w:val="sr-Latn-ME"/>
        </w:rPr>
        <w:t>nedjelja</w:t>
      </w:r>
      <w:r w:rsidRPr="00EC0535">
        <w:rPr>
          <w:bCs/>
          <w:sz w:val="22"/>
          <w:szCs w:val="22"/>
          <w:lang w:val="sr-Latn-ME"/>
        </w:rPr>
        <w:t>, redom).</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 xml:space="preserve">Sekundarni parametri praćenja efikasnosti su bili konzistentni sa primarnim parametrom praćenja ishoda </w:t>
      </w:r>
      <w:r w:rsidR="00565CBD" w:rsidRPr="00EC0535">
        <w:rPr>
          <w:bCs/>
          <w:sz w:val="22"/>
          <w:szCs w:val="22"/>
          <w:lang w:val="sr-Latn-ME"/>
        </w:rPr>
        <w:t xml:space="preserve">i </w:t>
      </w:r>
      <w:r w:rsidRPr="00EC0535">
        <w:rPr>
          <w:bCs/>
          <w:sz w:val="22"/>
          <w:szCs w:val="22"/>
          <w:lang w:val="sr-Latn-ME"/>
        </w:rPr>
        <w:t>nijesu otkrivene razlike u podacima za OS među pacijentima koji su primali erlotinib 300 mg i 150 mg dnevno (HR 1</w:t>
      </w:r>
      <w:r w:rsidR="00565CBD" w:rsidRPr="00EC0535">
        <w:rPr>
          <w:bCs/>
          <w:sz w:val="22"/>
          <w:szCs w:val="22"/>
          <w:lang w:val="sr-Latn-ME"/>
        </w:rPr>
        <w:t>,</w:t>
      </w:r>
      <w:r w:rsidRPr="00EC0535">
        <w:rPr>
          <w:bCs/>
          <w:sz w:val="22"/>
          <w:szCs w:val="22"/>
          <w:lang w:val="sr-Latn-ME"/>
        </w:rPr>
        <w:t>03, 95% CI 0</w:t>
      </w:r>
      <w:r w:rsidR="00565CBD" w:rsidRPr="00EC0535">
        <w:rPr>
          <w:bCs/>
          <w:sz w:val="22"/>
          <w:szCs w:val="22"/>
          <w:lang w:val="sr-Latn-ME"/>
        </w:rPr>
        <w:t>,</w:t>
      </w:r>
      <w:r w:rsidRPr="00EC0535">
        <w:rPr>
          <w:bCs/>
          <w:sz w:val="22"/>
          <w:szCs w:val="22"/>
          <w:lang w:val="sr-Latn-ME"/>
        </w:rPr>
        <w:t>80 do 1</w:t>
      </w:r>
      <w:r w:rsidR="00565CBD" w:rsidRPr="00EC0535">
        <w:rPr>
          <w:bCs/>
          <w:sz w:val="22"/>
          <w:szCs w:val="22"/>
          <w:lang w:val="sr-Latn-ME"/>
        </w:rPr>
        <w:t>,</w:t>
      </w:r>
      <w:r w:rsidRPr="00EC0535">
        <w:rPr>
          <w:bCs/>
          <w:sz w:val="22"/>
          <w:szCs w:val="22"/>
          <w:lang w:val="sr-Latn-ME"/>
        </w:rPr>
        <w:t>32). Podaci o bezbjednosti su bili komparabilni među dozama od 300 mg i 150 mg. Ipak, uočeno je brojčano povećanje učestalosti osipa, intersticijalne bolesti pluća i dijareje, kod pacijenata koji su primali veće doze erlotiniba. Na osnovu podataka iz studije CURRENTS, ne postoje dokazi o bilo kakvoj koristi od veće doze od 300 mg erlotiniba</w:t>
      </w:r>
      <w:r w:rsidR="00565CBD" w:rsidRPr="00EC0535">
        <w:rPr>
          <w:bCs/>
          <w:sz w:val="22"/>
          <w:szCs w:val="22"/>
          <w:lang w:val="sr-Latn-ME"/>
        </w:rPr>
        <w:t>,</w:t>
      </w:r>
      <w:r w:rsidRPr="00EC0535">
        <w:rPr>
          <w:bCs/>
          <w:sz w:val="22"/>
          <w:szCs w:val="22"/>
          <w:lang w:val="sr-Latn-ME"/>
        </w:rPr>
        <w:t xml:space="preserve"> kada se poredi sa preporučenom dozom od 150 mg kod aktivnih pušača.</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 xml:space="preserve">Pacijenti u studiji nijesu bili izabrani na osnovu statusa EGFR mutacija. Vidjeti </w:t>
      </w:r>
      <w:r w:rsidR="00565CBD" w:rsidRPr="00EC0535">
        <w:rPr>
          <w:bCs/>
          <w:sz w:val="22"/>
          <w:szCs w:val="22"/>
          <w:lang w:val="sr-Latn-ME"/>
        </w:rPr>
        <w:t xml:space="preserve">djelove </w:t>
      </w:r>
      <w:r w:rsidRPr="00EC0535">
        <w:rPr>
          <w:bCs/>
          <w:sz w:val="22"/>
          <w:szCs w:val="22"/>
          <w:lang w:val="sr-Latn-ME"/>
        </w:rPr>
        <w:t>4.2, 4.4, 4.5, i 5.2.</w:t>
      </w:r>
    </w:p>
    <w:p w:rsidR="00CE577D" w:rsidRPr="00EC0535" w:rsidRDefault="00CE577D" w:rsidP="00CE577D">
      <w:pPr>
        <w:tabs>
          <w:tab w:val="left" w:pos="540"/>
          <w:tab w:val="left" w:pos="569"/>
        </w:tabs>
        <w:jc w:val="both"/>
        <w:rPr>
          <w:bCs/>
          <w:color w:val="FF0000"/>
          <w:sz w:val="22"/>
          <w:szCs w:val="22"/>
          <w:lang w:val="sr-Latn-ME"/>
        </w:rPr>
      </w:pPr>
    </w:p>
    <w:p w:rsidR="00CE577D" w:rsidRPr="00EC0535" w:rsidRDefault="00565CBD" w:rsidP="00CE577D">
      <w:pPr>
        <w:tabs>
          <w:tab w:val="left" w:pos="540"/>
          <w:tab w:val="left" w:pos="569"/>
        </w:tabs>
        <w:jc w:val="both"/>
        <w:rPr>
          <w:bCs/>
          <w:i/>
          <w:sz w:val="22"/>
          <w:szCs w:val="22"/>
          <w:u w:val="single"/>
          <w:lang w:val="sr-Latn-ME"/>
        </w:rPr>
      </w:pPr>
      <w:r w:rsidRPr="00EC0535">
        <w:rPr>
          <w:bCs/>
          <w:i/>
          <w:sz w:val="22"/>
          <w:szCs w:val="22"/>
          <w:u w:val="single"/>
          <w:lang w:val="sr-Latn-ME"/>
        </w:rPr>
        <w:t xml:space="preserve">- </w:t>
      </w:r>
      <w:r w:rsidR="00CE577D" w:rsidRPr="00EC0535">
        <w:rPr>
          <w:bCs/>
          <w:i/>
          <w:sz w:val="22"/>
          <w:szCs w:val="22"/>
          <w:u w:val="single"/>
          <w:lang w:val="sr-Latn-ME"/>
        </w:rPr>
        <w:t>Karcinom pankreasa (erlotinib u kombinaciji sa gemcitabinom u studiji PA.3)</w:t>
      </w:r>
    </w:p>
    <w:p w:rsidR="00CE577D" w:rsidRPr="00EC0535" w:rsidRDefault="00CE577D" w:rsidP="00CE577D">
      <w:pPr>
        <w:tabs>
          <w:tab w:val="left" w:pos="540"/>
          <w:tab w:val="left" w:pos="569"/>
        </w:tabs>
        <w:jc w:val="both"/>
        <w:rPr>
          <w:b/>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Efikasnost i bezbjednost erlotiniba u kombinaciji sa gemcitabinom kao prva linija terapije ispitivane su u randomizovanoj, dvostruko slijepoj, placebom kontrolisanoj studiji kod pacijenata sa lokalno uznapredovalim, neresektabilnim ili metastatskim karcinomom pankreasa. Pacijenti su randomizovani da primaju erlotinib ili placebo jednom dnevno, po kontinuiranom rasporedu zajedno sa gemcitabinom i.v. (1000 mg/m</w:t>
      </w:r>
      <w:r w:rsidRPr="00A728E1">
        <w:rPr>
          <w:bCs/>
          <w:sz w:val="22"/>
          <w:szCs w:val="22"/>
          <w:vertAlign w:val="superscript"/>
          <w:lang w:val="sr-Latn-ME"/>
        </w:rPr>
        <w:t>2</w:t>
      </w:r>
      <w:r w:rsidRPr="00EC0535">
        <w:rPr>
          <w:bCs/>
          <w:sz w:val="22"/>
          <w:szCs w:val="22"/>
          <w:lang w:val="sr-Latn-ME"/>
        </w:rPr>
        <w:t>, ciklus 1- 8., 15., 22., 29., 36. i 43. dana osmonedjeljnog ciklusa; ciklus 2 i svi sljedeći ciklusi: 1., 8. i 15. dana četvoronedjeljnog ciklusa [za odobrene doze i režime doziranja za karcinom pankreasa vid</w:t>
      </w:r>
      <w:r w:rsidR="00A22879" w:rsidRPr="00EC0535">
        <w:rPr>
          <w:bCs/>
          <w:sz w:val="22"/>
          <w:szCs w:val="22"/>
          <w:lang w:val="sr-Latn-ME"/>
        </w:rPr>
        <w:t>j</w:t>
      </w:r>
      <w:r w:rsidRPr="00EC0535">
        <w:rPr>
          <w:bCs/>
          <w:sz w:val="22"/>
          <w:szCs w:val="22"/>
          <w:lang w:val="sr-Latn-ME"/>
        </w:rPr>
        <w:t xml:space="preserve">eti </w:t>
      </w:r>
      <w:r w:rsidRPr="00EC0535">
        <w:rPr>
          <w:bCs/>
          <w:i/>
          <w:iCs/>
          <w:sz w:val="22"/>
          <w:szCs w:val="22"/>
          <w:lang w:val="sr-Latn-ME"/>
        </w:rPr>
        <w:t>Sažetak</w:t>
      </w:r>
      <w:r w:rsidRPr="00EC0535">
        <w:rPr>
          <w:bCs/>
          <w:sz w:val="22"/>
          <w:szCs w:val="22"/>
          <w:lang w:val="sr-Latn-ME"/>
        </w:rPr>
        <w:t xml:space="preserve"> </w:t>
      </w:r>
      <w:r w:rsidRPr="00EC0535">
        <w:rPr>
          <w:bCs/>
          <w:i/>
          <w:iCs/>
          <w:sz w:val="22"/>
          <w:szCs w:val="22"/>
          <w:lang w:val="sr-Latn-ME"/>
        </w:rPr>
        <w:t xml:space="preserve">karakteristika lijeka </w:t>
      </w:r>
      <w:r w:rsidRPr="00EC0535">
        <w:rPr>
          <w:bCs/>
          <w:sz w:val="22"/>
          <w:szCs w:val="22"/>
          <w:lang w:val="sr-Latn-ME"/>
        </w:rPr>
        <w:t>za gemcitabin]. Erlotinib ili placebo su uzimani oralno jednom dnevno sve do progresije bolesti ili neprihvatljive toksičnosti. Primarni parametar praćenja ishoda je bio ukupno preživljavanje.</w:t>
      </w:r>
    </w:p>
    <w:p w:rsidR="00CE577D" w:rsidRPr="00EC0535" w:rsidRDefault="00CE577D" w:rsidP="00CE577D">
      <w:pPr>
        <w:tabs>
          <w:tab w:val="left" w:pos="540"/>
          <w:tab w:val="left" w:pos="569"/>
        </w:tabs>
        <w:jc w:val="both"/>
        <w:rPr>
          <w:bCs/>
          <w:color w:val="FF0000"/>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Obje terapijske grupe bile su usklađene po demografskim parametrima i opštim osobinama bolesti (100 mg erlotiniba plus gemcitabin u poređenju sa placebo plus gemcitabin), osim što je u grupi erlotinib/gemcitabine bilo neznatno više žena u poređenju sa grupom placebo/gemcitabin:</w:t>
      </w:r>
    </w:p>
    <w:p w:rsidR="00CE577D" w:rsidRPr="00EC0535" w:rsidRDefault="00CE577D" w:rsidP="00CE577D">
      <w:pPr>
        <w:tabs>
          <w:tab w:val="left" w:pos="540"/>
          <w:tab w:val="left" w:pos="569"/>
        </w:tabs>
        <w:jc w:val="both"/>
        <w:rPr>
          <w:bCs/>
          <w:sz w:val="22"/>
          <w:szCs w:val="22"/>
          <w:lang w:val="sr-Latn-ME"/>
        </w:rPr>
      </w:pPr>
    </w:p>
    <w:tbl>
      <w:tblPr>
        <w:tblW w:w="5000" w:type="pct"/>
        <w:jc w:val="center"/>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5599"/>
        <w:gridCol w:w="2344"/>
        <w:gridCol w:w="1114"/>
      </w:tblGrid>
      <w:tr w:rsidR="00E20D6C" w:rsidRPr="00EC0535"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b/>
                <w:sz w:val="22"/>
                <w:szCs w:val="22"/>
                <w:lang w:val="sr-Latn-ME" w:eastAsia="en-GB"/>
              </w:rPr>
            </w:pPr>
            <w:r w:rsidRPr="00EC0535">
              <w:rPr>
                <w:b/>
                <w:sz w:val="22"/>
                <w:szCs w:val="22"/>
                <w:lang w:val="sr-Latn-ME" w:eastAsia="en-GB"/>
              </w:rPr>
              <w:t>Prije početka terapije</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b/>
                <w:bCs/>
                <w:sz w:val="22"/>
                <w:szCs w:val="22"/>
                <w:lang w:val="sr-Latn-ME" w:eastAsia="en-GB"/>
              </w:rPr>
              <w:t>Erlotinib</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b/>
                <w:bCs/>
                <w:sz w:val="22"/>
                <w:szCs w:val="22"/>
                <w:lang w:val="sr-Latn-ME" w:eastAsia="en-GB"/>
              </w:rPr>
              <w:t>Placebo</w:t>
            </w:r>
          </w:p>
        </w:tc>
      </w:tr>
      <w:tr w:rsidR="00E20D6C" w:rsidRPr="00EC0535"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Žene</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51%</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44%</w:t>
            </w:r>
          </w:p>
        </w:tc>
      </w:tr>
      <w:tr w:rsidR="00E20D6C" w:rsidRPr="00EC0535"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Početni ECOG performans status (PS) = 0</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31%</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32%</w:t>
            </w:r>
          </w:p>
        </w:tc>
      </w:tr>
      <w:tr w:rsidR="00E20D6C" w:rsidRPr="00EC0535"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Početni ECOG performans status (PS) = 1</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51%</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51%</w:t>
            </w:r>
          </w:p>
        </w:tc>
      </w:tr>
      <w:tr w:rsidR="00E20D6C" w:rsidRPr="00EC0535"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Početni ECOG performans status (PS) = 2</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17%</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17%</w:t>
            </w:r>
          </w:p>
        </w:tc>
      </w:tr>
      <w:tr w:rsidR="00CE577D" w:rsidRPr="00EC0535"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Metastatska bolest na početku studije</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77%</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76%</w:t>
            </w:r>
          </w:p>
        </w:tc>
      </w:tr>
    </w:tbl>
    <w:p w:rsidR="00CE577D" w:rsidRPr="00EC0535" w:rsidRDefault="00CE577D" w:rsidP="00CE577D">
      <w:pPr>
        <w:tabs>
          <w:tab w:val="left" w:pos="540"/>
          <w:tab w:val="left" w:pos="569"/>
        </w:tabs>
        <w:jc w:val="center"/>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Preživljavanje je procjenjivano u ITT populaciji (</w:t>
      </w:r>
      <w:r w:rsidR="00A22879" w:rsidRPr="00EC0535">
        <w:rPr>
          <w:bCs/>
          <w:sz w:val="22"/>
          <w:szCs w:val="22"/>
          <w:lang w:val="sr-Latn-ME"/>
        </w:rPr>
        <w:t xml:space="preserve">engl. </w:t>
      </w:r>
      <w:r w:rsidRPr="00EC0535">
        <w:rPr>
          <w:bCs/>
          <w:i/>
          <w:iCs/>
          <w:sz w:val="22"/>
          <w:szCs w:val="22"/>
          <w:lang w:val="sr-Latn-ME"/>
        </w:rPr>
        <w:t xml:space="preserve">intent to treat </w:t>
      </w:r>
      <w:r w:rsidRPr="00EC0535">
        <w:rPr>
          <w:bCs/>
          <w:sz w:val="22"/>
          <w:szCs w:val="22"/>
          <w:lang w:val="sr-Latn-ME"/>
        </w:rPr>
        <w:t>- predviđenoj za liječenje), na osnovu podataka o preživljavanju dobijenih praćenjem. Rezultati su prikazani u sl</w:t>
      </w:r>
      <w:r w:rsidR="00A22879" w:rsidRPr="00EC0535">
        <w:rPr>
          <w:bCs/>
          <w:sz w:val="22"/>
          <w:szCs w:val="22"/>
          <w:lang w:val="sr-Latn-ME"/>
        </w:rPr>
        <w:t>j</w:t>
      </w:r>
      <w:r w:rsidRPr="00EC0535">
        <w:rPr>
          <w:bCs/>
          <w:sz w:val="22"/>
          <w:szCs w:val="22"/>
          <w:lang w:val="sr-Latn-ME"/>
        </w:rPr>
        <w:t>edećoj tabeli (rezultati grupe sa metastazama i lokalno uznapredovalom bolešću izvedeni su iz eksploratorne analize podgrupa).</w:t>
      </w:r>
    </w:p>
    <w:p w:rsidR="00CE577D" w:rsidRPr="00EC0535" w:rsidRDefault="00CE577D" w:rsidP="00CE577D">
      <w:pPr>
        <w:tabs>
          <w:tab w:val="left" w:pos="540"/>
          <w:tab w:val="left" w:pos="569"/>
        </w:tabs>
        <w:jc w:val="both"/>
        <w:rPr>
          <w:bCs/>
          <w:sz w:val="22"/>
          <w:szCs w:val="22"/>
          <w:lang w:val="sr-Latn-ME"/>
        </w:rPr>
      </w:pPr>
    </w:p>
    <w:tbl>
      <w:tblPr>
        <w:tblW w:w="5000" w:type="pct"/>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248"/>
        <w:gridCol w:w="980"/>
        <w:gridCol w:w="981"/>
        <w:gridCol w:w="981"/>
        <w:gridCol w:w="1162"/>
        <w:gridCol w:w="710"/>
        <w:gridCol w:w="981"/>
        <w:gridCol w:w="1014"/>
      </w:tblGrid>
      <w:tr w:rsidR="00E20D6C" w:rsidRPr="00EC0535" w:rsidTr="00CE577D">
        <w:tc>
          <w:tcPr>
            <w:tcW w:w="1250" w:type="pct"/>
            <w:tcBorders>
              <w:top w:val="outset" w:sz="6" w:space="0" w:color="7B7B7B"/>
              <w:left w:val="outset" w:sz="6" w:space="0" w:color="7B7B7B"/>
              <w:bottom w:val="outset" w:sz="6" w:space="0" w:color="7B7B7B"/>
              <w:right w:val="outset" w:sz="6" w:space="0" w:color="7B7B7B"/>
            </w:tcBorders>
            <w:vAlign w:val="bottom"/>
            <w:hideMark/>
          </w:tcPr>
          <w:p w:rsidR="00CE577D" w:rsidRPr="00EC0535" w:rsidRDefault="00CE577D" w:rsidP="00CE577D">
            <w:pPr>
              <w:jc w:val="center"/>
              <w:rPr>
                <w:sz w:val="22"/>
                <w:szCs w:val="22"/>
                <w:lang w:val="sr-Latn-ME" w:eastAsia="en-GB"/>
              </w:rPr>
            </w:pPr>
            <w:r w:rsidRPr="00EC0535">
              <w:rPr>
                <w:b/>
                <w:bCs/>
                <w:sz w:val="22"/>
                <w:szCs w:val="22"/>
                <w:lang w:val="sr-Latn-ME" w:eastAsia="en-GB"/>
              </w:rPr>
              <w:t>Ishod</w:t>
            </w:r>
          </w:p>
        </w:tc>
        <w:tc>
          <w:tcPr>
            <w:tcW w:w="550" w:type="pct"/>
            <w:tcBorders>
              <w:top w:val="outset" w:sz="6" w:space="0" w:color="7B7B7B"/>
              <w:left w:val="outset" w:sz="6" w:space="0" w:color="7B7B7B"/>
              <w:bottom w:val="outset" w:sz="6" w:space="0" w:color="7B7B7B"/>
              <w:right w:val="outset" w:sz="6" w:space="0" w:color="7B7B7B"/>
            </w:tcBorders>
            <w:vAlign w:val="bottom"/>
            <w:hideMark/>
          </w:tcPr>
          <w:p w:rsidR="00CE577D" w:rsidRPr="00EC0535" w:rsidRDefault="00CE577D" w:rsidP="00CE577D">
            <w:pPr>
              <w:jc w:val="center"/>
              <w:rPr>
                <w:sz w:val="22"/>
                <w:szCs w:val="22"/>
                <w:lang w:val="sr-Latn-ME" w:eastAsia="en-GB"/>
              </w:rPr>
            </w:pPr>
            <w:r w:rsidRPr="00EC0535">
              <w:rPr>
                <w:b/>
                <w:bCs/>
                <w:sz w:val="22"/>
                <w:szCs w:val="22"/>
                <w:lang w:val="sr-Latn-ME" w:eastAsia="en-GB"/>
              </w:rPr>
              <w:t>Erlotinib  (mjeseci)</w:t>
            </w:r>
          </w:p>
        </w:tc>
        <w:tc>
          <w:tcPr>
            <w:tcW w:w="550" w:type="pct"/>
            <w:tcBorders>
              <w:top w:val="outset" w:sz="6" w:space="0" w:color="7B7B7B"/>
              <w:left w:val="outset" w:sz="6" w:space="0" w:color="7B7B7B"/>
              <w:bottom w:val="outset" w:sz="6" w:space="0" w:color="7B7B7B"/>
              <w:right w:val="outset" w:sz="6" w:space="0" w:color="7B7B7B"/>
            </w:tcBorders>
            <w:vAlign w:val="bottom"/>
            <w:hideMark/>
          </w:tcPr>
          <w:p w:rsidR="00CE577D" w:rsidRPr="00EC0535" w:rsidRDefault="00CE577D" w:rsidP="00CE577D">
            <w:pPr>
              <w:jc w:val="center"/>
              <w:rPr>
                <w:sz w:val="22"/>
                <w:szCs w:val="22"/>
                <w:lang w:val="sr-Latn-ME" w:eastAsia="en-GB"/>
              </w:rPr>
            </w:pPr>
            <w:r w:rsidRPr="00EC0535">
              <w:rPr>
                <w:b/>
                <w:bCs/>
                <w:sz w:val="22"/>
                <w:szCs w:val="22"/>
                <w:lang w:val="sr-Latn-ME" w:eastAsia="en-GB"/>
              </w:rPr>
              <w:t>Placebo</w:t>
            </w:r>
          </w:p>
          <w:p w:rsidR="00CE577D" w:rsidRPr="00EC0535" w:rsidRDefault="00CE577D" w:rsidP="00CE577D">
            <w:pPr>
              <w:jc w:val="center"/>
              <w:rPr>
                <w:sz w:val="22"/>
                <w:szCs w:val="22"/>
                <w:lang w:val="sr-Latn-ME" w:eastAsia="en-GB"/>
              </w:rPr>
            </w:pPr>
            <w:r w:rsidRPr="00EC0535">
              <w:rPr>
                <w:b/>
                <w:bCs/>
                <w:sz w:val="22"/>
                <w:szCs w:val="22"/>
                <w:lang w:val="sr-Latn-ME" w:eastAsia="en-GB"/>
              </w:rPr>
              <w:t>(mjeseci)</w:t>
            </w:r>
          </w:p>
        </w:tc>
        <w:tc>
          <w:tcPr>
            <w:tcW w:w="550" w:type="pct"/>
            <w:tcBorders>
              <w:top w:val="outset" w:sz="6" w:space="0" w:color="7B7B7B"/>
              <w:left w:val="outset" w:sz="6" w:space="0" w:color="7B7B7B"/>
              <w:bottom w:val="outset" w:sz="6" w:space="0" w:color="7B7B7B"/>
              <w:right w:val="outset" w:sz="6" w:space="0" w:color="7B7B7B"/>
            </w:tcBorders>
            <w:vAlign w:val="bottom"/>
            <w:hideMark/>
          </w:tcPr>
          <w:p w:rsidR="00CE577D" w:rsidRPr="00EC0535" w:rsidRDefault="00CE577D" w:rsidP="00CE577D">
            <w:pPr>
              <w:jc w:val="center"/>
              <w:rPr>
                <w:sz w:val="22"/>
                <w:szCs w:val="22"/>
                <w:lang w:val="sr-Latn-ME" w:eastAsia="en-GB"/>
              </w:rPr>
            </w:pPr>
            <w:r w:rsidRPr="00EC0535">
              <w:rPr>
                <w:b/>
                <w:bCs/>
                <w:sz w:val="22"/>
                <w:szCs w:val="22"/>
                <w:lang w:val="sr-Latn-ME" w:eastAsia="en-GB"/>
              </w:rPr>
              <w:t>Δ</w:t>
            </w:r>
          </w:p>
          <w:p w:rsidR="00CE577D" w:rsidRPr="00EC0535" w:rsidRDefault="00CE577D" w:rsidP="00CE577D">
            <w:pPr>
              <w:jc w:val="center"/>
              <w:rPr>
                <w:sz w:val="22"/>
                <w:szCs w:val="22"/>
                <w:lang w:val="sr-Latn-ME" w:eastAsia="en-GB"/>
              </w:rPr>
            </w:pPr>
            <w:r w:rsidRPr="00EC0535">
              <w:rPr>
                <w:b/>
                <w:bCs/>
                <w:sz w:val="22"/>
                <w:szCs w:val="22"/>
                <w:lang w:val="sr-Latn-ME" w:eastAsia="en-GB"/>
              </w:rPr>
              <w:t>(mjeseci)</w:t>
            </w:r>
          </w:p>
        </w:tc>
        <w:tc>
          <w:tcPr>
            <w:tcW w:w="650" w:type="pct"/>
            <w:tcBorders>
              <w:top w:val="outset" w:sz="6" w:space="0" w:color="7B7B7B"/>
              <w:left w:val="outset" w:sz="6" w:space="0" w:color="7B7B7B"/>
              <w:bottom w:val="outset" w:sz="6" w:space="0" w:color="7B7B7B"/>
              <w:right w:val="outset" w:sz="6" w:space="0" w:color="7B7B7B"/>
            </w:tcBorders>
            <w:vAlign w:val="bottom"/>
            <w:hideMark/>
          </w:tcPr>
          <w:p w:rsidR="00CE577D" w:rsidRPr="00EC0535" w:rsidRDefault="00CE577D" w:rsidP="00CE577D">
            <w:pPr>
              <w:jc w:val="center"/>
              <w:rPr>
                <w:sz w:val="22"/>
                <w:szCs w:val="22"/>
                <w:lang w:val="sr-Latn-ME" w:eastAsia="en-GB"/>
              </w:rPr>
            </w:pPr>
            <w:r w:rsidRPr="00EC0535">
              <w:rPr>
                <w:b/>
                <w:bCs/>
                <w:sz w:val="22"/>
                <w:szCs w:val="22"/>
                <w:lang w:val="sr-Latn-ME" w:eastAsia="en-GB"/>
              </w:rPr>
              <w:t>CI of Δ</w:t>
            </w:r>
          </w:p>
        </w:tc>
        <w:tc>
          <w:tcPr>
            <w:tcW w:w="400" w:type="pct"/>
            <w:tcBorders>
              <w:top w:val="outset" w:sz="6" w:space="0" w:color="7B7B7B"/>
              <w:left w:val="outset" w:sz="6" w:space="0" w:color="7B7B7B"/>
              <w:bottom w:val="outset" w:sz="6" w:space="0" w:color="7B7B7B"/>
              <w:right w:val="outset" w:sz="6" w:space="0" w:color="7B7B7B"/>
            </w:tcBorders>
            <w:vAlign w:val="bottom"/>
            <w:hideMark/>
          </w:tcPr>
          <w:p w:rsidR="00CE577D" w:rsidRPr="00EC0535" w:rsidRDefault="00CE577D" w:rsidP="00CE577D">
            <w:pPr>
              <w:jc w:val="center"/>
              <w:rPr>
                <w:sz w:val="22"/>
                <w:szCs w:val="22"/>
                <w:lang w:val="sr-Latn-ME" w:eastAsia="en-GB"/>
              </w:rPr>
            </w:pPr>
            <w:r w:rsidRPr="00EC0535">
              <w:rPr>
                <w:b/>
                <w:bCs/>
                <w:sz w:val="22"/>
                <w:szCs w:val="22"/>
                <w:lang w:val="sr-Latn-ME" w:eastAsia="en-GB"/>
              </w:rPr>
              <w:t>HR</w:t>
            </w:r>
          </w:p>
        </w:tc>
        <w:tc>
          <w:tcPr>
            <w:tcW w:w="550" w:type="pct"/>
            <w:tcBorders>
              <w:top w:val="outset" w:sz="6" w:space="0" w:color="7B7B7B"/>
              <w:left w:val="outset" w:sz="6" w:space="0" w:color="7B7B7B"/>
              <w:bottom w:val="outset" w:sz="6" w:space="0" w:color="7B7B7B"/>
              <w:right w:val="outset" w:sz="6" w:space="0" w:color="7B7B7B"/>
            </w:tcBorders>
            <w:vAlign w:val="bottom"/>
            <w:hideMark/>
          </w:tcPr>
          <w:p w:rsidR="00CE577D" w:rsidRPr="00EC0535" w:rsidRDefault="00CE577D" w:rsidP="00CE577D">
            <w:pPr>
              <w:jc w:val="center"/>
              <w:rPr>
                <w:sz w:val="22"/>
                <w:szCs w:val="22"/>
                <w:lang w:val="sr-Latn-ME" w:eastAsia="en-GB"/>
              </w:rPr>
            </w:pPr>
            <w:r w:rsidRPr="00EC0535">
              <w:rPr>
                <w:b/>
                <w:bCs/>
                <w:sz w:val="22"/>
                <w:szCs w:val="22"/>
                <w:lang w:val="sr-Latn-ME" w:eastAsia="en-GB"/>
              </w:rPr>
              <w:t>CI of HR</w:t>
            </w:r>
          </w:p>
        </w:tc>
        <w:tc>
          <w:tcPr>
            <w:tcW w:w="500" w:type="pct"/>
            <w:tcBorders>
              <w:top w:val="outset" w:sz="6" w:space="0" w:color="7B7B7B"/>
              <w:left w:val="outset" w:sz="6" w:space="0" w:color="7B7B7B"/>
              <w:bottom w:val="outset" w:sz="6" w:space="0" w:color="7B7B7B"/>
              <w:right w:val="outset" w:sz="6" w:space="0" w:color="7B7B7B"/>
            </w:tcBorders>
            <w:vAlign w:val="bottom"/>
            <w:hideMark/>
          </w:tcPr>
          <w:p w:rsidR="00CE577D" w:rsidRPr="00EC0535" w:rsidRDefault="002E2B4A" w:rsidP="00CE577D">
            <w:pPr>
              <w:jc w:val="center"/>
              <w:rPr>
                <w:sz w:val="22"/>
                <w:szCs w:val="22"/>
                <w:lang w:val="sr-Latn-ME" w:eastAsia="en-GB"/>
              </w:rPr>
            </w:pPr>
            <w:r w:rsidRPr="00EC0535">
              <w:rPr>
                <w:b/>
                <w:bCs/>
                <w:i/>
                <w:iCs/>
                <w:sz w:val="22"/>
                <w:szCs w:val="22"/>
                <w:lang w:val="sr-Latn-ME" w:eastAsia="en-GB"/>
              </w:rPr>
              <w:t>p</w:t>
            </w:r>
            <w:r w:rsidR="00CE577D" w:rsidRPr="00EC0535">
              <w:rPr>
                <w:b/>
                <w:bCs/>
                <w:sz w:val="22"/>
                <w:szCs w:val="22"/>
                <w:lang w:val="sr-Latn-ME" w:eastAsia="en-GB"/>
              </w:rPr>
              <w:t>- vrijednost</w:t>
            </w:r>
          </w:p>
        </w:tc>
      </w:tr>
      <w:tr w:rsidR="00E20D6C" w:rsidRPr="00EC0535" w:rsidTr="00CE577D">
        <w:tc>
          <w:tcPr>
            <w:tcW w:w="5000" w:type="pct"/>
            <w:gridSpan w:val="8"/>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Ukupna populacija</w:t>
            </w:r>
          </w:p>
        </w:tc>
      </w:tr>
      <w:tr w:rsidR="00E20D6C" w:rsidRPr="00EC0535"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Medijana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6</w:t>
            </w:r>
            <w:r w:rsidR="002E2B4A" w:rsidRPr="00EC0535">
              <w:rPr>
                <w:sz w:val="22"/>
                <w:szCs w:val="22"/>
                <w:lang w:val="sr-Latn-ME" w:eastAsia="en-GB"/>
              </w:rPr>
              <w:t>,</w:t>
            </w:r>
            <w:r w:rsidRPr="00EC0535">
              <w:rPr>
                <w:sz w:val="22"/>
                <w:szCs w:val="22"/>
                <w:lang w:val="sr-Latn-ME" w:eastAsia="en-GB"/>
              </w:rPr>
              <w:t>4</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6</w:t>
            </w:r>
            <w:r w:rsidR="002E2B4A" w:rsidRPr="00EC0535">
              <w:rPr>
                <w:sz w:val="22"/>
                <w:szCs w:val="22"/>
                <w:lang w:val="sr-Latn-ME" w:eastAsia="en-GB"/>
              </w:rPr>
              <w:t>,</w:t>
            </w:r>
            <w:r w:rsidRPr="00EC0535">
              <w:rPr>
                <w:sz w:val="22"/>
                <w:szCs w:val="22"/>
                <w:lang w:val="sr-Latn-ME" w:eastAsia="en-GB"/>
              </w:rPr>
              <w:t>0</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41</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54-1</w:t>
            </w:r>
            <w:r w:rsidR="002E2B4A" w:rsidRPr="00EC0535">
              <w:rPr>
                <w:sz w:val="22"/>
                <w:szCs w:val="22"/>
                <w:lang w:val="sr-Latn-ME" w:eastAsia="en-GB"/>
              </w:rPr>
              <w:t>,</w:t>
            </w:r>
            <w:r w:rsidRPr="00EC0535">
              <w:rPr>
                <w:sz w:val="22"/>
                <w:szCs w:val="22"/>
                <w:lang w:val="sr-Latn-ME" w:eastAsia="en-GB"/>
              </w:rPr>
              <w:t>64</w:t>
            </w:r>
          </w:p>
        </w:tc>
        <w:tc>
          <w:tcPr>
            <w:tcW w:w="4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82</w:t>
            </w:r>
          </w:p>
        </w:tc>
        <w:tc>
          <w:tcPr>
            <w:tcW w:w="55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69-0</w:t>
            </w:r>
            <w:r w:rsidR="002E2B4A" w:rsidRPr="00EC0535">
              <w:rPr>
                <w:sz w:val="22"/>
                <w:szCs w:val="22"/>
                <w:lang w:val="sr-Latn-ME" w:eastAsia="en-GB"/>
              </w:rPr>
              <w:t>,</w:t>
            </w:r>
            <w:r w:rsidRPr="00EC0535">
              <w:rPr>
                <w:sz w:val="22"/>
                <w:szCs w:val="22"/>
                <w:lang w:val="sr-Latn-ME" w:eastAsia="en-GB"/>
              </w:rPr>
              <w:t>98</w:t>
            </w:r>
          </w:p>
        </w:tc>
        <w:tc>
          <w:tcPr>
            <w:tcW w:w="5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028</w:t>
            </w:r>
          </w:p>
        </w:tc>
      </w:tr>
      <w:tr w:rsidR="00E20D6C" w:rsidRPr="00EC0535"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Srednja vrijednost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8</w:t>
            </w:r>
            <w:r w:rsidR="002E2B4A" w:rsidRPr="00EC0535">
              <w:rPr>
                <w:sz w:val="22"/>
                <w:szCs w:val="22"/>
                <w:lang w:val="sr-Latn-ME" w:eastAsia="en-GB"/>
              </w:rPr>
              <w:t>,</w:t>
            </w:r>
            <w:r w:rsidRPr="00EC0535">
              <w:rPr>
                <w:sz w:val="22"/>
                <w:szCs w:val="22"/>
                <w:lang w:val="sr-Latn-ME" w:eastAsia="en-GB"/>
              </w:rPr>
              <w:t>8</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7</w:t>
            </w:r>
            <w:r w:rsidR="002E2B4A" w:rsidRPr="00EC0535">
              <w:rPr>
                <w:sz w:val="22"/>
                <w:szCs w:val="22"/>
                <w:lang w:val="sr-Latn-ME" w:eastAsia="en-GB"/>
              </w:rPr>
              <w:t>,</w:t>
            </w:r>
            <w:r w:rsidRPr="00EC0535">
              <w:rPr>
                <w:sz w:val="22"/>
                <w:szCs w:val="22"/>
                <w:lang w:val="sr-Latn-ME" w:eastAsia="en-GB"/>
              </w:rPr>
              <w:t>6</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1</w:t>
            </w:r>
            <w:r w:rsidR="002E2B4A" w:rsidRPr="00EC0535">
              <w:rPr>
                <w:sz w:val="22"/>
                <w:szCs w:val="22"/>
                <w:lang w:val="sr-Latn-ME" w:eastAsia="en-GB"/>
              </w:rPr>
              <w:t>,</w:t>
            </w:r>
            <w:r w:rsidRPr="00EC0535">
              <w:rPr>
                <w:sz w:val="22"/>
                <w:szCs w:val="22"/>
                <w:lang w:val="sr-Latn-ME" w:eastAsia="en-GB"/>
              </w:rPr>
              <w:t>16</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05-2</w:t>
            </w:r>
            <w:r w:rsidR="002E2B4A" w:rsidRPr="00EC0535">
              <w:rPr>
                <w:sz w:val="22"/>
                <w:szCs w:val="22"/>
                <w:lang w:val="sr-Latn-ME" w:eastAsia="en-GB"/>
              </w:rPr>
              <w:t>,</w:t>
            </w:r>
            <w:r w:rsidRPr="00EC0535">
              <w:rPr>
                <w:sz w:val="22"/>
                <w:szCs w:val="22"/>
                <w:lang w:val="sr-Latn-ME" w:eastAsia="en-GB"/>
              </w:rPr>
              <w:t>34</w:t>
            </w: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CE577D">
            <w:pPr>
              <w:rPr>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CE577D">
            <w:pPr>
              <w:rPr>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CE577D">
            <w:pPr>
              <w:rPr>
                <w:sz w:val="22"/>
                <w:szCs w:val="22"/>
                <w:lang w:val="sr-Latn-ME" w:eastAsia="en-GB"/>
              </w:rPr>
            </w:pPr>
          </w:p>
        </w:tc>
      </w:tr>
      <w:tr w:rsidR="00E20D6C" w:rsidRPr="00EC0535" w:rsidTr="00CE577D">
        <w:tc>
          <w:tcPr>
            <w:tcW w:w="5000" w:type="pct"/>
            <w:gridSpan w:val="8"/>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Populacija sa metastazama</w:t>
            </w:r>
          </w:p>
        </w:tc>
      </w:tr>
      <w:tr w:rsidR="00E20D6C" w:rsidRPr="00EC0535"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lastRenderedPageBreak/>
              <w:t>Medijana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5</w:t>
            </w:r>
            <w:r w:rsidR="002E2B4A" w:rsidRPr="00EC0535">
              <w:rPr>
                <w:sz w:val="22"/>
                <w:szCs w:val="22"/>
                <w:lang w:val="sr-Latn-ME" w:eastAsia="en-GB"/>
              </w:rPr>
              <w:t>,</w:t>
            </w:r>
            <w:r w:rsidRPr="00EC0535">
              <w:rPr>
                <w:sz w:val="22"/>
                <w:szCs w:val="22"/>
                <w:lang w:val="sr-Latn-ME" w:eastAsia="en-GB"/>
              </w:rPr>
              <w:t>9</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5</w:t>
            </w:r>
            <w:r w:rsidR="002E2B4A" w:rsidRPr="00EC0535">
              <w:rPr>
                <w:sz w:val="22"/>
                <w:szCs w:val="22"/>
                <w:lang w:val="sr-Latn-ME" w:eastAsia="en-GB"/>
              </w:rPr>
              <w:t>,</w:t>
            </w:r>
            <w:r w:rsidRPr="00EC0535">
              <w:rPr>
                <w:sz w:val="22"/>
                <w:szCs w:val="22"/>
                <w:lang w:val="sr-Latn-ME" w:eastAsia="en-GB"/>
              </w:rPr>
              <w:t>1</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87</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26-1</w:t>
            </w:r>
            <w:r w:rsidR="002E2B4A" w:rsidRPr="00EC0535">
              <w:rPr>
                <w:sz w:val="22"/>
                <w:szCs w:val="22"/>
                <w:lang w:val="sr-Latn-ME" w:eastAsia="en-GB"/>
              </w:rPr>
              <w:t>,</w:t>
            </w:r>
            <w:r w:rsidRPr="00EC0535">
              <w:rPr>
                <w:sz w:val="22"/>
                <w:szCs w:val="22"/>
                <w:lang w:val="sr-Latn-ME" w:eastAsia="en-GB"/>
              </w:rPr>
              <w:t>56</w:t>
            </w:r>
          </w:p>
        </w:tc>
        <w:tc>
          <w:tcPr>
            <w:tcW w:w="4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80</w:t>
            </w:r>
          </w:p>
        </w:tc>
        <w:tc>
          <w:tcPr>
            <w:tcW w:w="55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66-0</w:t>
            </w:r>
            <w:r w:rsidR="002E2B4A" w:rsidRPr="00EC0535">
              <w:rPr>
                <w:sz w:val="22"/>
                <w:szCs w:val="22"/>
                <w:lang w:val="sr-Latn-ME" w:eastAsia="en-GB"/>
              </w:rPr>
              <w:t>,</w:t>
            </w:r>
            <w:r w:rsidRPr="00EC0535">
              <w:rPr>
                <w:sz w:val="22"/>
                <w:szCs w:val="22"/>
                <w:lang w:val="sr-Latn-ME" w:eastAsia="en-GB"/>
              </w:rPr>
              <w:t>98</w:t>
            </w:r>
          </w:p>
        </w:tc>
        <w:tc>
          <w:tcPr>
            <w:tcW w:w="5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029</w:t>
            </w:r>
          </w:p>
        </w:tc>
      </w:tr>
      <w:tr w:rsidR="00E20D6C" w:rsidRPr="00EC0535"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Srednja vrijednost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8</w:t>
            </w:r>
            <w:r w:rsidR="002E2B4A" w:rsidRPr="00EC0535">
              <w:rPr>
                <w:sz w:val="22"/>
                <w:szCs w:val="22"/>
                <w:lang w:val="sr-Latn-ME" w:eastAsia="en-GB"/>
              </w:rPr>
              <w:t>,</w:t>
            </w:r>
            <w:r w:rsidRPr="00EC0535">
              <w:rPr>
                <w:sz w:val="22"/>
                <w:szCs w:val="22"/>
                <w:lang w:val="sr-Latn-ME" w:eastAsia="en-GB"/>
              </w:rPr>
              <w:t>1</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6</w:t>
            </w:r>
            <w:r w:rsidR="002E2B4A" w:rsidRPr="00EC0535">
              <w:rPr>
                <w:sz w:val="22"/>
                <w:szCs w:val="22"/>
                <w:lang w:val="sr-Latn-ME" w:eastAsia="en-GB"/>
              </w:rPr>
              <w:t>,</w:t>
            </w:r>
            <w:r w:rsidRPr="00EC0535">
              <w:rPr>
                <w:sz w:val="22"/>
                <w:szCs w:val="22"/>
                <w:lang w:val="sr-Latn-ME" w:eastAsia="en-GB"/>
              </w:rPr>
              <w:t>7</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1</w:t>
            </w:r>
            <w:r w:rsidR="002E2B4A" w:rsidRPr="00EC0535">
              <w:rPr>
                <w:sz w:val="22"/>
                <w:szCs w:val="22"/>
                <w:lang w:val="sr-Latn-ME" w:eastAsia="en-GB"/>
              </w:rPr>
              <w:t>,</w:t>
            </w:r>
            <w:r w:rsidRPr="00EC0535">
              <w:rPr>
                <w:sz w:val="22"/>
                <w:szCs w:val="22"/>
                <w:lang w:val="sr-Latn-ME" w:eastAsia="en-GB"/>
              </w:rPr>
              <w:t>43</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17-2</w:t>
            </w:r>
            <w:r w:rsidR="002E2B4A" w:rsidRPr="00EC0535">
              <w:rPr>
                <w:sz w:val="22"/>
                <w:szCs w:val="22"/>
                <w:lang w:val="sr-Latn-ME" w:eastAsia="en-GB"/>
              </w:rPr>
              <w:t>,</w:t>
            </w:r>
            <w:r w:rsidRPr="00EC0535">
              <w:rPr>
                <w:sz w:val="22"/>
                <w:szCs w:val="22"/>
                <w:lang w:val="sr-Latn-ME" w:eastAsia="en-GB"/>
              </w:rPr>
              <w:t>66</w:t>
            </w: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CE577D">
            <w:pPr>
              <w:rPr>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CE577D">
            <w:pPr>
              <w:rPr>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CE577D">
            <w:pPr>
              <w:rPr>
                <w:sz w:val="22"/>
                <w:szCs w:val="22"/>
                <w:lang w:val="sr-Latn-ME" w:eastAsia="en-GB"/>
              </w:rPr>
            </w:pPr>
          </w:p>
        </w:tc>
      </w:tr>
      <w:tr w:rsidR="00E20D6C" w:rsidRPr="00EC0535" w:rsidTr="00CE577D">
        <w:tc>
          <w:tcPr>
            <w:tcW w:w="5000" w:type="pct"/>
            <w:gridSpan w:val="8"/>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jc w:val="center"/>
              <w:rPr>
                <w:sz w:val="22"/>
                <w:szCs w:val="22"/>
                <w:lang w:val="sr-Latn-ME" w:eastAsia="en-GB"/>
              </w:rPr>
            </w:pPr>
            <w:r w:rsidRPr="00EC0535">
              <w:rPr>
                <w:sz w:val="22"/>
                <w:szCs w:val="22"/>
                <w:lang w:val="sr-Latn-ME" w:eastAsia="en-GB"/>
              </w:rPr>
              <w:t>Populacija sa lokalno uznapredovalom bolešću</w:t>
            </w:r>
          </w:p>
        </w:tc>
      </w:tr>
      <w:tr w:rsidR="00E20D6C" w:rsidRPr="00EC0535"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Medijana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8</w:t>
            </w:r>
            <w:r w:rsidR="002E2B4A" w:rsidRPr="00EC0535">
              <w:rPr>
                <w:sz w:val="22"/>
                <w:szCs w:val="22"/>
                <w:lang w:val="sr-Latn-ME" w:eastAsia="en-GB"/>
              </w:rPr>
              <w:t>,</w:t>
            </w:r>
            <w:r w:rsidRPr="00EC0535">
              <w:rPr>
                <w:sz w:val="22"/>
                <w:szCs w:val="22"/>
                <w:lang w:val="sr-Latn-ME" w:eastAsia="en-GB"/>
              </w:rPr>
              <w:t>5</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8</w:t>
            </w:r>
            <w:r w:rsidR="002E2B4A" w:rsidRPr="00EC0535">
              <w:rPr>
                <w:sz w:val="22"/>
                <w:szCs w:val="22"/>
                <w:lang w:val="sr-Latn-ME" w:eastAsia="en-GB"/>
              </w:rPr>
              <w:t>,</w:t>
            </w:r>
            <w:r w:rsidRPr="00EC0535">
              <w:rPr>
                <w:sz w:val="22"/>
                <w:szCs w:val="22"/>
                <w:lang w:val="sr-Latn-ME" w:eastAsia="en-GB"/>
              </w:rPr>
              <w:t>2</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36</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-2</w:t>
            </w:r>
            <w:r w:rsidR="002E2B4A" w:rsidRPr="00EC0535">
              <w:rPr>
                <w:sz w:val="22"/>
                <w:szCs w:val="22"/>
                <w:lang w:val="sr-Latn-ME" w:eastAsia="en-GB"/>
              </w:rPr>
              <w:t>,</w:t>
            </w:r>
            <w:r w:rsidRPr="00EC0535">
              <w:rPr>
                <w:sz w:val="22"/>
                <w:szCs w:val="22"/>
                <w:lang w:val="sr-Latn-ME" w:eastAsia="en-GB"/>
              </w:rPr>
              <w:t>43-2</w:t>
            </w:r>
            <w:r w:rsidR="002E2B4A" w:rsidRPr="00EC0535">
              <w:rPr>
                <w:sz w:val="22"/>
                <w:szCs w:val="22"/>
                <w:lang w:val="sr-Latn-ME" w:eastAsia="en-GB"/>
              </w:rPr>
              <w:t>,</w:t>
            </w:r>
            <w:r w:rsidRPr="00EC0535">
              <w:rPr>
                <w:sz w:val="22"/>
                <w:szCs w:val="22"/>
                <w:lang w:val="sr-Latn-ME" w:eastAsia="en-GB"/>
              </w:rPr>
              <w:t>96</w:t>
            </w:r>
          </w:p>
        </w:tc>
        <w:tc>
          <w:tcPr>
            <w:tcW w:w="4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93</w:t>
            </w:r>
          </w:p>
        </w:tc>
        <w:tc>
          <w:tcPr>
            <w:tcW w:w="55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65-1</w:t>
            </w:r>
            <w:r w:rsidR="002E2B4A" w:rsidRPr="00EC0535">
              <w:rPr>
                <w:sz w:val="22"/>
                <w:szCs w:val="22"/>
                <w:lang w:val="sr-Latn-ME" w:eastAsia="en-GB"/>
              </w:rPr>
              <w:t>,</w:t>
            </w:r>
            <w:r w:rsidRPr="00EC0535">
              <w:rPr>
                <w:sz w:val="22"/>
                <w:szCs w:val="22"/>
                <w:lang w:val="sr-Latn-ME" w:eastAsia="en-GB"/>
              </w:rPr>
              <w:t>35</w:t>
            </w:r>
          </w:p>
        </w:tc>
        <w:tc>
          <w:tcPr>
            <w:tcW w:w="5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713</w:t>
            </w:r>
          </w:p>
        </w:tc>
      </w:tr>
      <w:tr w:rsidR="00E20D6C" w:rsidRPr="00EC0535"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CE577D">
            <w:pPr>
              <w:rPr>
                <w:sz w:val="22"/>
                <w:szCs w:val="22"/>
                <w:lang w:val="sr-Latn-ME" w:eastAsia="en-GB"/>
              </w:rPr>
            </w:pPr>
            <w:r w:rsidRPr="00EC0535">
              <w:rPr>
                <w:sz w:val="22"/>
                <w:szCs w:val="22"/>
                <w:lang w:val="sr-Latn-ME" w:eastAsia="en-GB"/>
              </w:rPr>
              <w:t>Srednja vrijednost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10</w:t>
            </w:r>
            <w:r w:rsidR="002E2B4A" w:rsidRPr="00EC0535">
              <w:rPr>
                <w:sz w:val="22"/>
                <w:szCs w:val="22"/>
                <w:lang w:val="sr-Latn-ME" w:eastAsia="en-GB"/>
              </w:rPr>
              <w:t>,</w:t>
            </w:r>
            <w:r w:rsidRPr="00EC0535">
              <w:rPr>
                <w:sz w:val="22"/>
                <w:szCs w:val="22"/>
                <w:lang w:val="sr-Latn-ME" w:eastAsia="en-GB"/>
              </w:rPr>
              <w:t>7</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10</w:t>
            </w:r>
            <w:r w:rsidR="002E2B4A" w:rsidRPr="00EC0535">
              <w:rPr>
                <w:sz w:val="22"/>
                <w:szCs w:val="22"/>
                <w:lang w:val="sr-Latn-ME" w:eastAsia="en-GB"/>
              </w:rPr>
              <w:t>,</w:t>
            </w:r>
            <w:r w:rsidRPr="00EC0535">
              <w:rPr>
                <w:sz w:val="22"/>
                <w:szCs w:val="22"/>
                <w:lang w:val="sr-Latn-ME" w:eastAsia="en-GB"/>
              </w:rPr>
              <w:t>5</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0</w:t>
            </w:r>
            <w:r w:rsidR="002E2B4A" w:rsidRPr="00EC0535">
              <w:rPr>
                <w:sz w:val="22"/>
                <w:szCs w:val="22"/>
                <w:lang w:val="sr-Latn-ME" w:eastAsia="en-GB"/>
              </w:rPr>
              <w:t>,</w:t>
            </w:r>
            <w:r w:rsidRPr="00EC0535">
              <w:rPr>
                <w:sz w:val="22"/>
                <w:szCs w:val="22"/>
                <w:lang w:val="sr-Latn-ME" w:eastAsia="en-GB"/>
              </w:rPr>
              <w:t>19</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EC0535" w:rsidRDefault="00CE577D" w:rsidP="002E2B4A">
            <w:pPr>
              <w:jc w:val="center"/>
              <w:rPr>
                <w:sz w:val="22"/>
                <w:szCs w:val="22"/>
                <w:lang w:val="sr-Latn-ME" w:eastAsia="en-GB"/>
              </w:rPr>
            </w:pPr>
            <w:r w:rsidRPr="00EC0535">
              <w:rPr>
                <w:sz w:val="22"/>
                <w:szCs w:val="22"/>
                <w:lang w:val="sr-Latn-ME" w:eastAsia="en-GB"/>
              </w:rPr>
              <w:t>-2</w:t>
            </w:r>
            <w:r w:rsidR="002E2B4A" w:rsidRPr="00EC0535">
              <w:rPr>
                <w:sz w:val="22"/>
                <w:szCs w:val="22"/>
                <w:lang w:val="sr-Latn-ME" w:eastAsia="en-GB"/>
              </w:rPr>
              <w:t>,</w:t>
            </w:r>
            <w:r w:rsidRPr="00EC0535">
              <w:rPr>
                <w:sz w:val="22"/>
                <w:szCs w:val="22"/>
                <w:lang w:val="sr-Latn-ME" w:eastAsia="en-GB"/>
              </w:rPr>
              <w:t>43-2</w:t>
            </w:r>
            <w:r w:rsidR="002E2B4A" w:rsidRPr="00EC0535">
              <w:rPr>
                <w:sz w:val="22"/>
                <w:szCs w:val="22"/>
                <w:lang w:val="sr-Latn-ME" w:eastAsia="en-GB"/>
              </w:rPr>
              <w:t>,</w:t>
            </w:r>
            <w:r w:rsidRPr="00EC0535">
              <w:rPr>
                <w:sz w:val="22"/>
                <w:szCs w:val="22"/>
                <w:lang w:val="sr-Latn-ME" w:eastAsia="en-GB"/>
              </w:rPr>
              <w:t>69</w:t>
            </w: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CE577D">
            <w:pPr>
              <w:rPr>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CE577D">
            <w:pPr>
              <w:rPr>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EC0535" w:rsidRDefault="00CE577D" w:rsidP="00CE577D">
            <w:pPr>
              <w:rPr>
                <w:sz w:val="22"/>
                <w:szCs w:val="22"/>
                <w:lang w:val="sr-Latn-ME" w:eastAsia="en-GB"/>
              </w:rPr>
            </w:pPr>
          </w:p>
        </w:tc>
      </w:tr>
    </w:tbl>
    <w:p w:rsidR="00026E08" w:rsidRPr="00EC0535" w:rsidRDefault="00CE577D" w:rsidP="00CE577D">
      <w:pPr>
        <w:tabs>
          <w:tab w:val="left" w:pos="540"/>
          <w:tab w:val="left" w:pos="569"/>
        </w:tabs>
        <w:jc w:val="center"/>
        <w:rPr>
          <w:b/>
          <w:bCs/>
          <w:color w:val="FF0000"/>
          <w:sz w:val="22"/>
          <w:szCs w:val="22"/>
          <w:lang w:val="sr-Latn-ME"/>
        </w:rPr>
      </w:pPr>
      <w:r w:rsidRPr="00EC0535">
        <w:rPr>
          <w:b/>
          <w:bCs/>
          <w:noProof/>
          <w:color w:val="FF0000"/>
          <w:sz w:val="22"/>
          <w:szCs w:val="22"/>
        </w:rPr>
        <w:drawing>
          <wp:inline distT="0" distB="0" distL="0" distR="0" wp14:anchorId="61E3EF6F">
            <wp:extent cx="4581939" cy="3648965"/>
            <wp:effectExtent l="0" t="0" r="952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5048" cy="3651441"/>
                    </a:xfrm>
                    <a:prstGeom prst="rect">
                      <a:avLst/>
                    </a:prstGeom>
                    <a:noFill/>
                  </pic:spPr>
                </pic:pic>
              </a:graphicData>
            </a:graphic>
          </wp:inline>
        </w:drawing>
      </w:r>
    </w:p>
    <w:p w:rsidR="00026E08" w:rsidRPr="00EC0535" w:rsidRDefault="00CE577D" w:rsidP="00CE577D">
      <w:pPr>
        <w:tabs>
          <w:tab w:val="left" w:pos="540"/>
          <w:tab w:val="left" w:pos="569"/>
        </w:tabs>
        <w:jc w:val="center"/>
        <w:rPr>
          <w:b/>
          <w:bCs/>
          <w:color w:val="FF0000"/>
          <w:sz w:val="22"/>
          <w:szCs w:val="22"/>
          <w:lang w:val="sr-Latn-ME"/>
        </w:rPr>
      </w:pPr>
      <w:r w:rsidRPr="00EC0535">
        <w:rPr>
          <w:b/>
          <w:bCs/>
          <w:noProof/>
          <w:color w:val="FF0000"/>
          <w:sz w:val="22"/>
          <w:szCs w:val="22"/>
        </w:rPr>
        <w:drawing>
          <wp:inline distT="0" distB="0" distL="0" distR="0" wp14:anchorId="51C06A2D">
            <wp:extent cx="4512365" cy="353951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6130" cy="3542463"/>
                    </a:xfrm>
                    <a:prstGeom prst="rect">
                      <a:avLst/>
                    </a:prstGeom>
                    <a:noFill/>
                  </pic:spPr>
                </pic:pic>
              </a:graphicData>
            </a:graphic>
          </wp:inline>
        </w:drawing>
      </w:r>
    </w:p>
    <w:p w:rsidR="00CE577D" w:rsidRPr="00EC0535" w:rsidRDefault="00CE577D" w:rsidP="00CE577D">
      <w:pPr>
        <w:tabs>
          <w:tab w:val="left" w:pos="540"/>
          <w:tab w:val="left" w:pos="569"/>
        </w:tabs>
        <w:jc w:val="both"/>
        <w:rPr>
          <w:bCs/>
          <w:sz w:val="22"/>
          <w:szCs w:val="22"/>
          <w:lang w:val="sr-Latn-ME"/>
        </w:rPr>
      </w:pPr>
      <w:r w:rsidRPr="00EC0535">
        <w:rPr>
          <w:bCs/>
          <w:i/>
          <w:iCs/>
          <w:sz w:val="22"/>
          <w:szCs w:val="22"/>
          <w:lang w:val="sr-Latn-ME"/>
        </w:rPr>
        <w:lastRenderedPageBreak/>
        <w:t xml:space="preserve">Post-hoc </w:t>
      </w:r>
      <w:r w:rsidRPr="00EC0535">
        <w:rPr>
          <w:bCs/>
          <w:sz w:val="22"/>
          <w:szCs w:val="22"/>
          <w:lang w:val="sr-Latn-ME"/>
        </w:rPr>
        <w:t xml:space="preserve">analiza je pokazala da su pacijenti sa povoljnim kliničkim statusom na početku ispitivanja </w:t>
      </w:r>
      <w:r w:rsidR="009E2B83" w:rsidRPr="00EC0535">
        <w:rPr>
          <w:bCs/>
          <w:sz w:val="22"/>
          <w:szCs w:val="22"/>
          <w:lang w:val="sr-Latn-ME"/>
        </w:rPr>
        <w:t xml:space="preserve">(nizak </w:t>
      </w:r>
      <w:r w:rsidRPr="00EC0535">
        <w:rPr>
          <w:bCs/>
          <w:sz w:val="22"/>
          <w:szCs w:val="22"/>
          <w:lang w:val="sr-Latn-ME"/>
        </w:rPr>
        <w:t>intenzitet bola, dobar kvalitet života i dobar PS) imali više koristi od erlotiniba. Ova korist uglavnom proizilazi iz prisustva bola niskog intenziteta.</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i/>
          <w:iCs/>
          <w:sz w:val="22"/>
          <w:szCs w:val="22"/>
          <w:lang w:val="sr-Latn-ME"/>
        </w:rPr>
        <w:t xml:space="preserve">Post-hoc </w:t>
      </w:r>
      <w:r w:rsidRPr="00EC0535">
        <w:rPr>
          <w:bCs/>
          <w:sz w:val="22"/>
          <w:szCs w:val="22"/>
          <w:lang w:val="sr-Latn-ME"/>
        </w:rPr>
        <w:t xml:space="preserve">analiza je takođe pokazala da su pacijenti koji su primali erlotinib i kod kojih se pojavio osip, imali duže ukupno preživljavanje u poređenju sa pacijentima kod kojih se nije razvio osip </w:t>
      </w:r>
      <w:r w:rsidRPr="00EC0535">
        <w:rPr>
          <w:b/>
          <w:bCs/>
          <w:sz w:val="22"/>
          <w:szCs w:val="22"/>
          <w:lang w:val="sr-Latn-ME"/>
        </w:rPr>
        <w:t>(</w:t>
      </w:r>
      <w:r w:rsidRPr="00EC0535">
        <w:rPr>
          <w:bCs/>
          <w:sz w:val="22"/>
          <w:szCs w:val="22"/>
          <w:lang w:val="sr-Latn-ME"/>
        </w:rPr>
        <w:t>medijana ukupnog preživljavanja 7,2 mjeseca u poređenju sa 5 mjeseci, HR: 0,61). Kod 90% pacijenata koji su primali erlotinib razvilo se osip u prva 44 dana. Medijana vremena do pojave osipa iznosila je 10 dana.</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u w:val="single"/>
          <w:lang w:val="sr-Latn-ME"/>
        </w:rPr>
      </w:pPr>
      <w:r w:rsidRPr="00EC0535">
        <w:rPr>
          <w:bCs/>
          <w:sz w:val="22"/>
          <w:szCs w:val="22"/>
          <w:u w:val="single"/>
          <w:lang w:val="sr-Latn-ME"/>
        </w:rPr>
        <w:t>Pedijatrijska populacija</w:t>
      </w:r>
    </w:p>
    <w:p w:rsidR="00CE577D" w:rsidRPr="00EC0535" w:rsidRDefault="00CE577D" w:rsidP="00CE577D">
      <w:pPr>
        <w:tabs>
          <w:tab w:val="left" w:pos="540"/>
          <w:tab w:val="left" w:pos="569"/>
        </w:tabs>
        <w:jc w:val="both"/>
        <w:rPr>
          <w:bCs/>
          <w:sz w:val="22"/>
          <w:szCs w:val="22"/>
          <w:lang w:val="sr-Latn-ME"/>
        </w:rPr>
      </w:pPr>
    </w:p>
    <w:p w:rsidR="00CE577D" w:rsidRPr="00EC0535" w:rsidRDefault="00CE577D" w:rsidP="00CE577D">
      <w:pPr>
        <w:tabs>
          <w:tab w:val="left" w:pos="540"/>
          <w:tab w:val="left" w:pos="569"/>
        </w:tabs>
        <w:jc w:val="both"/>
        <w:rPr>
          <w:bCs/>
          <w:sz w:val="22"/>
          <w:szCs w:val="22"/>
          <w:lang w:val="sr-Latn-ME"/>
        </w:rPr>
      </w:pPr>
      <w:r w:rsidRPr="00EC0535">
        <w:rPr>
          <w:bCs/>
          <w:sz w:val="22"/>
          <w:szCs w:val="22"/>
          <w:lang w:val="sr-Latn-ME"/>
        </w:rPr>
        <w:t xml:space="preserve">Evropska agencija za ljekove je izuzela od obaveze podnošenje rezultata ispitivanja erlotiniba u svim podgrupama pedijatrijske populacije u indikacijama nemikrocelularni karcinom pluća i karcinom pankreasa (vidjeti </w:t>
      </w:r>
      <w:r w:rsidR="00B20425" w:rsidRPr="00EC0535">
        <w:rPr>
          <w:bCs/>
          <w:sz w:val="22"/>
          <w:szCs w:val="22"/>
          <w:lang w:val="sr-Latn-ME"/>
        </w:rPr>
        <w:t xml:space="preserve">dio </w:t>
      </w:r>
      <w:r w:rsidRPr="00EC0535">
        <w:rPr>
          <w:bCs/>
          <w:sz w:val="22"/>
          <w:szCs w:val="22"/>
          <w:lang w:val="sr-Latn-ME"/>
        </w:rPr>
        <w:t>4.2. za informacije o upotrebi u pedijatrijskoj populaciji).</w:t>
      </w:r>
    </w:p>
    <w:p w:rsidR="00CE577D" w:rsidRPr="00EC0535" w:rsidRDefault="00CE577D" w:rsidP="00CE577D">
      <w:pPr>
        <w:tabs>
          <w:tab w:val="left" w:pos="540"/>
          <w:tab w:val="left" w:pos="569"/>
        </w:tabs>
        <w:jc w:val="both"/>
        <w:rPr>
          <w:bCs/>
          <w:color w:val="FF0000"/>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5.2. </w:t>
      </w:r>
      <w:r w:rsidR="00480FB1" w:rsidRPr="00EC0535">
        <w:rPr>
          <w:b/>
          <w:bCs/>
          <w:sz w:val="22"/>
          <w:szCs w:val="22"/>
          <w:lang w:val="sr-Latn-ME"/>
        </w:rPr>
        <w:tab/>
      </w:r>
      <w:r w:rsidRPr="00EC0535">
        <w:rPr>
          <w:b/>
          <w:bCs/>
          <w:sz w:val="22"/>
          <w:szCs w:val="22"/>
          <w:lang w:val="sr-Latn-ME"/>
        </w:rPr>
        <w:t>Farmakokinetički podaci</w:t>
      </w:r>
      <w:r w:rsidR="003A7059" w:rsidRPr="00EC0535">
        <w:rPr>
          <w:b/>
          <w:bCs/>
          <w:sz w:val="22"/>
          <w:szCs w:val="22"/>
          <w:lang w:val="sr-Latn-ME"/>
        </w:rPr>
        <w:t xml:space="preserve"> </w:t>
      </w:r>
    </w:p>
    <w:p w:rsidR="00DD175A" w:rsidRPr="00EC0535" w:rsidRDefault="00DD175A" w:rsidP="00480FB1">
      <w:pPr>
        <w:tabs>
          <w:tab w:val="left" w:pos="540"/>
          <w:tab w:val="left" w:pos="569"/>
        </w:tabs>
        <w:rPr>
          <w:b/>
          <w:bCs/>
          <w:sz w:val="22"/>
          <w:szCs w:val="22"/>
          <w:lang w:val="sr-Latn-ME"/>
        </w:rPr>
      </w:pPr>
    </w:p>
    <w:p w:rsidR="000A57A9" w:rsidRPr="00EC0535" w:rsidRDefault="000A57A9" w:rsidP="00DD175A">
      <w:pPr>
        <w:tabs>
          <w:tab w:val="left" w:pos="540"/>
          <w:tab w:val="left" w:pos="569"/>
        </w:tabs>
        <w:jc w:val="both"/>
        <w:rPr>
          <w:bCs/>
          <w:sz w:val="22"/>
          <w:szCs w:val="22"/>
          <w:u w:val="single"/>
          <w:lang w:val="sr-Latn-ME"/>
        </w:rPr>
      </w:pPr>
      <w:r w:rsidRPr="00EC0535">
        <w:rPr>
          <w:bCs/>
          <w:sz w:val="22"/>
          <w:szCs w:val="22"/>
          <w:u w:val="single"/>
          <w:lang w:val="sr-Latn-ME"/>
        </w:rPr>
        <w:t>Resorpcija</w:t>
      </w:r>
    </w:p>
    <w:p w:rsidR="000A57A9" w:rsidRPr="00EC0535" w:rsidRDefault="000A57A9" w:rsidP="00DD175A">
      <w:pPr>
        <w:tabs>
          <w:tab w:val="left" w:pos="540"/>
          <w:tab w:val="left" w:pos="569"/>
        </w:tabs>
        <w:jc w:val="both"/>
        <w:rPr>
          <w:bCs/>
          <w:sz w:val="22"/>
          <w:szCs w:val="22"/>
          <w:lang w:val="sr-Latn-ME"/>
        </w:rPr>
      </w:pPr>
    </w:p>
    <w:p w:rsidR="000A57A9" w:rsidRPr="00EC0535" w:rsidRDefault="000A57A9" w:rsidP="00DD175A">
      <w:pPr>
        <w:tabs>
          <w:tab w:val="left" w:pos="540"/>
          <w:tab w:val="left" w:pos="569"/>
        </w:tabs>
        <w:jc w:val="both"/>
        <w:rPr>
          <w:bCs/>
          <w:sz w:val="22"/>
          <w:szCs w:val="22"/>
          <w:lang w:val="sr-Latn-ME"/>
        </w:rPr>
      </w:pPr>
      <w:r w:rsidRPr="00EC0535">
        <w:rPr>
          <w:bCs/>
          <w:sz w:val="22"/>
          <w:szCs w:val="22"/>
          <w:lang w:val="sr-Latn-ME"/>
        </w:rPr>
        <w:t xml:space="preserve">Nakon oralne primjene, erlotinib postiže maksimalne koncentracije u plazmi otprilike 4 </w:t>
      </w:r>
      <w:r w:rsidR="00806006" w:rsidRPr="00EC0535">
        <w:rPr>
          <w:bCs/>
          <w:sz w:val="22"/>
          <w:szCs w:val="22"/>
          <w:lang w:val="sr-Latn-ME"/>
        </w:rPr>
        <w:t xml:space="preserve">sata </w:t>
      </w:r>
      <w:r w:rsidRPr="00EC0535">
        <w:rPr>
          <w:bCs/>
          <w:sz w:val="22"/>
          <w:szCs w:val="22"/>
          <w:lang w:val="sr-Latn-ME"/>
        </w:rPr>
        <w:t xml:space="preserve">nakon oralnog uzimanja lijeka. U studiji na zdravim dobrovoljcima, apsolutna bioraspoloživost procijenjena je na 59%. Izloženost lijeku poslije oralne primjene se može povećati ako se lijek uzima sa hranom. </w:t>
      </w:r>
    </w:p>
    <w:p w:rsidR="000A57A9" w:rsidRPr="00EC0535" w:rsidRDefault="000A57A9" w:rsidP="00DD175A">
      <w:pPr>
        <w:tabs>
          <w:tab w:val="left" w:pos="540"/>
          <w:tab w:val="left" w:pos="569"/>
        </w:tabs>
        <w:jc w:val="both"/>
        <w:rPr>
          <w:bCs/>
          <w:sz w:val="22"/>
          <w:szCs w:val="22"/>
          <w:lang w:val="sr-Latn-ME"/>
        </w:rPr>
      </w:pPr>
    </w:p>
    <w:p w:rsidR="000A57A9" w:rsidRPr="00EC0535" w:rsidRDefault="000A57A9" w:rsidP="00DD175A">
      <w:pPr>
        <w:tabs>
          <w:tab w:val="left" w:pos="540"/>
          <w:tab w:val="left" w:pos="569"/>
        </w:tabs>
        <w:jc w:val="both"/>
        <w:rPr>
          <w:bCs/>
          <w:sz w:val="22"/>
          <w:szCs w:val="22"/>
          <w:u w:val="single"/>
          <w:lang w:val="sr-Latn-ME"/>
        </w:rPr>
      </w:pPr>
      <w:r w:rsidRPr="00EC0535">
        <w:rPr>
          <w:bCs/>
          <w:sz w:val="22"/>
          <w:szCs w:val="22"/>
          <w:u w:val="single"/>
          <w:lang w:val="sr-Latn-ME"/>
        </w:rPr>
        <w:t>Distribucija</w:t>
      </w:r>
    </w:p>
    <w:p w:rsidR="000A57A9" w:rsidRPr="00EC0535" w:rsidRDefault="000A57A9" w:rsidP="00DD175A">
      <w:pPr>
        <w:tabs>
          <w:tab w:val="left" w:pos="540"/>
          <w:tab w:val="left" w:pos="569"/>
        </w:tabs>
        <w:jc w:val="both"/>
        <w:rPr>
          <w:bCs/>
          <w:sz w:val="22"/>
          <w:szCs w:val="22"/>
          <w:lang w:val="sr-Latn-ME"/>
        </w:rPr>
      </w:pPr>
    </w:p>
    <w:p w:rsidR="000A57A9" w:rsidRPr="00EC0535" w:rsidRDefault="000A57A9" w:rsidP="00DD175A">
      <w:pPr>
        <w:tabs>
          <w:tab w:val="left" w:pos="540"/>
          <w:tab w:val="left" w:pos="569"/>
        </w:tabs>
        <w:jc w:val="both"/>
        <w:rPr>
          <w:bCs/>
          <w:sz w:val="22"/>
          <w:szCs w:val="22"/>
          <w:lang w:val="sr-Latn-ME"/>
        </w:rPr>
      </w:pPr>
      <w:r w:rsidRPr="00EC0535">
        <w:rPr>
          <w:bCs/>
          <w:sz w:val="22"/>
          <w:szCs w:val="22"/>
          <w:lang w:val="sr-Latn-ME"/>
        </w:rPr>
        <w:t xml:space="preserve">Erlotinib ima prosječan prividni volumen distribucije od 232 </w:t>
      </w:r>
      <w:r w:rsidR="00806006" w:rsidRPr="00EC0535">
        <w:rPr>
          <w:bCs/>
          <w:sz w:val="22"/>
          <w:szCs w:val="22"/>
          <w:lang w:val="sr-Latn-ME"/>
        </w:rPr>
        <w:t xml:space="preserve">l </w:t>
      </w:r>
      <w:r w:rsidRPr="00EC0535">
        <w:rPr>
          <w:bCs/>
          <w:sz w:val="22"/>
          <w:szCs w:val="22"/>
          <w:lang w:val="sr-Latn-ME"/>
        </w:rPr>
        <w:t xml:space="preserve">i distribuira se i u tumorsko tkivo kod ljudi. U jednoj studiji na 4 pacijenta (3 sa nemikrocelularnim karcinomom pluća /NSCLC/ i 1 sa karcinomom larinksa) koji su primali dnevne oralne doze od 150 mg erlotiniba, uzorci tumora uzeti hirurškom ekscizijom 9. dana terapije pokazali su da je u prosjeku koncentracija erlotiniba u tumorskom tkivu iznosila 1185 nanograma/g tkiva. Ovo odgovara ukupnom prosjeku od 63% (raspon 5-161%) maksimalnih koncentracija u plazmi u stanju ravnoteže. Primarni aktivni metaboliti bili su prisutni u tumoru u koncentracijama koje su u prosjeku iznosile 160 nanograma/g tkiva, što odgovara ukupnom prosjeku od 113% (raspon 88-130%) maksimalnih izmjerenih koncentracija u plazmi u stanju ravnoteže. Vezivanje za proteine plazme iznosi približno 95%. Erlotinib se vezuje za serumski albumin i alfa-1 kiseli glikoprotein (AAG). </w:t>
      </w:r>
    </w:p>
    <w:p w:rsidR="000A57A9" w:rsidRPr="00EC0535" w:rsidRDefault="000A57A9" w:rsidP="00DD175A">
      <w:pPr>
        <w:tabs>
          <w:tab w:val="left" w:pos="540"/>
          <w:tab w:val="left" w:pos="569"/>
        </w:tabs>
        <w:jc w:val="both"/>
        <w:rPr>
          <w:bCs/>
          <w:sz w:val="22"/>
          <w:szCs w:val="22"/>
          <w:u w:val="single"/>
          <w:lang w:val="sr-Latn-ME"/>
        </w:rPr>
      </w:pPr>
    </w:p>
    <w:p w:rsidR="000A57A9" w:rsidRPr="00EC0535" w:rsidRDefault="000A57A9" w:rsidP="00DD175A">
      <w:pPr>
        <w:tabs>
          <w:tab w:val="left" w:pos="540"/>
          <w:tab w:val="left" w:pos="569"/>
        </w:tabs>
        <w:jc w:val="both"/>
        <w:rPr>
          <w:bCs/>
          <w:sz w:val="22"/>
          <w:szCs w:val="22"/>
          <w:u w:val="single"/>
          <w:lang w:val="sr-Latn-ME"/>
        </w:rPr>
      </w:pPr>
      <w:r w:rsidRPr="00EC0535">
        <w:rPr>
          <w:bCs/>
          <w:sz w:val="22"/>
          <w:szCs w:val="22"/>
          <w:u w:val="single"/>
          <w:lang w:val="sr-Latn-ME"/>
        </w:rPr>
        <w:t>Metabolizam</w:t>
      </w:r>
    </w:p>
    <w:p w:rsidR="000A57A9" w:rsidRPr="00EC0535" w:rsidRDefault="000A57A9" w:rsidP="00DD175A">
      <w:pPr>
        <w:tabs>
          <w:tab w:val="left" w:pos="540"/>
          <w:tab w:val="left" w:pos="569"/>
        </w:tabs>
        <w:jc w:val="both"/>
        <w:rPr>
          <w:bCs/>
          <w:sz w:val="22"/>
          <w:szCs w:val="22"/>
          <w:lang w:val="sr-Latn-ME"/>
        </w:rPr>
      </w:pPr>
    </w:p>
    <w:p w:rsidR="000A57A9" w:rsidRPr="00EC0535" w:rsidRDefault="000A57A9" w:rsidP="00DD175A">
      <w:pPr>
        <w:tabs>
          <w:tab w:val="left" w:pos="540"/>
          <w:tab w:val="left" w:pos="569"/>
        </w:tabs>
        <w:jc w:val="both"/>
        <w:rPr>
          <w:bCs/>
          <w:sz w:val="22"/>
          <w:szCs w:val="22"/>
          <w:lang w:val="sr-Latn-ME"/>
        </w:rPr>
      </w:pPr>
      <w:r w:rsidRPr="00EC0535">
        <w:rPr>
          <w:bCs/>
          <w:sz w:val="22"/>
          <w:szCs w:val="22"/>
          <w:lang w:val="sr-Latn-ME"/>
        </w:rPr>
        <w:t xml:space="preserve">Kod ljudi erlotinib se metaboliše u jetri posredstvom enzima citohroma, i to prvenstveno CYP3A4 i u manjoj mjeri CYP1A2. Ekstrahepatički metabolizam putem CYP3A4 u crijevima, CYP1A1 u plućima, i 1B1 u tumorskom tkivu potencijalno doprinosi metaboličkom klirensu erlotiniba. Identifikovana su tri glavna metabolička puta: 1) O-demetilacija bilo jednog ili oba bočna lanca poslije čega slijedi oksidacija do karboksilne kiseline; 2) oksidacija acetilenskog dijela poslije čega slijedi hidroliza do aril karboksilne kiseline; i 3) aromatična hidroksilacija fenil-acetilenskog dijela. Primarni metaboliti OSI-420 i OSI-413 erlotiniba dobijeni su putem O-demetilacije bilo kojeg bočnog lanca i imaju aktivnost uporedivu sa erlotinibom u pretkliničkim </w:t>
      </w:r>
      <w:r w:rsidRPr="00EC0535">
        <w:rPr>
          <w:bCs/>
          <w:i/>
          <w:sz w:val="22"/>
          <w:szCs w:val="22"/>
          <w:lang w:val="sr-Latn-ME"/>
        </w:rPr>
        <w:t>in vitro</w:t>
      </w:r>
      <w:r w:rsidRPr="00EC0535">
        <w:rPr>
          <w:bCs/>
          <w:sz w:val="22"/>
          <w:szCs w:val="22"/>
          <w:lang w:val="sr-Latn-ME"/>
        </w:rPr>
        <w:t xml:space="preserve"> analizama i </w:t>
      </w:r>
      <w:r w:rsidRPr="00EC0535">
        <w:rPr>
          <w:bCs/>
          <w:i/>
          <w:sz w:val="22"/>
          <w:szCs w:val="22"/>
          <w:lang w:val="sr-Latn-ME"/>
        </w:rPr>
        <w:t>in vivo</w:t>
      </w:r>
      <w:r w:rsidRPr="00EC0535">
        <w:rPr>
          <w:bCs/>
          <w:sz w:val="22"/>
          <w:szCs w:val="22"/>
          <w:lang w:val="sr-Latn-ME"/>
        </w:rPr>
        <w:t xml:space="preserve"> tumorskim modelima. Oni su u plazmi prisutni u nivoima koji su &lt;10% erlotiniba i imaju sličnu farmakokinetiku kao i erlotinib.</w:t>
      </w:r>
    </w:p>
    <w:p w:rsidR="000A57A9" w:rsidRPr="00EC0535" w:rsidRDefault="000A57A9" w:rsidP="000A57A9">
      <w:pPr>
        <w:tabs>
          <w:tab w:val="left" w:pos="540"/>
          <w:tab w:val="left" w:pos="569"/>
        </w:tabs>
        <w:rPr>
          <w:bCs/>
          <w:sz w:val="22"/>
          <w:szCs w:val="22"/>
          <w:lang w:val="sr-Latn-ME"/>
        </w:rPr>
      </w:pPr>
    </w:p>
    <w:p w:rsidR="000A57A9" w:rsidRPr="00EC0535" w:rsidRDefault="000A57A9" w:rsidP="00DD175A">
      <w:pPr>
        <w:tabs>
          <w:tab w:val="left" w:pos="540"/>
          <w:tab w:val="left" w:pos="569"/>
        </w:tabs>
        <w:jc w:val="both"/>
        <w:rPr>
          <w:bCs/>
          <w:sz w:val="22"/>
          <w:szCs w:val="22"/>
          <w:u w:val="single"/>
          <w:lang w:val="sr-Latn-ME"/>
        </w:rPr>
      </w:pPr>
      <w:r w:rsidRPr="00EC0535">
        <w:rPr>
          <w:bCs/>
          <w:sz w:val="22"/>
          <w:szCs w:val="22"/>
          <w:u w:val="single"/>
          <w:lang w:val="sr-Latn-ME"/>
        </w:rPr>
        <w:t>Eliminacija</w:t>
      </w:r>
    </w:p>
    <w:p w:rsidR="000A57A9" w:rsidRPr="00EC0535" w:rsidRDefault="000A57A9" w:rsidP="00DD175A">
      <w:pPr>
        <w:tabs>
          <w:tab w:val="left" w:pos="540"/>
          <w:tab w:val="left" w:pos="569"/>
        </w:tabs>
        <w:jc w:val="both"/>
        <w:rPr>
          <w:bCs/>
          <w:sz w:val="22"/>
          <w:szCs w:val="22"/>
          <w:u w:val="single"/>
          <w:lang w:val="sr-Latn-ME"/>
        </w:rPr>
      </w:pPr>
    </w:p>
    <w:p w:rsidR="000A57A9" w:rsidRPr="00EC0535" w:rsidRDefault="000A57A9" w:rsidP="00DD175A">
      <w:pPr>
        <w:tabs>
          <w:tab w:val="left" w:pos="540"/>
          <w:tab w:val="left" w:pos="569"/>
        </w:tabs>
        <w:jc w:val="both"/>
        <w:rPr>
          <w:bCs/>
          <w:sz w:val="22"/>
          <w:szCs w:val="22"/>
          <w:lang w:val="sr-Latn-ME"/>
        </w:rPr>
      </w:pPr>
      <w:r w:rsidRPr="00EC0535">
        <w:rPr>
          <w:bCs/>
          <w:sz w:val="22"/>
          <w:szCs w:val="22"/>
          <w:lang w:val="sr-Latn-ME"/>
        </w:rPr>
        <w:t xml:space="preserve">Erlotinib se najvećim dijelom eliminiše u vidu metabolita putem fecesa (&gt;90%), dok renalna eliminacija čini samo mali dio (približno 9%) oralno primijenjene doze. Manje od 2% oralno primijenjene doze eliminiše se u nepromijenjenom obliku. Populaciona farmakokinetička analiza sprovedena na 591 pacijentu koji je primao samo erlotinib pokazuje srednji prividni klirens od 4,47 </w:t>
      </w:r>
      <w:r w:rsidR="00437DD3" w:rsidRPr="00EC0535">
        <w:rPr>
          <w:bCs/>
          <w:sz w:val="22"/>
          <w:szCs w:val="22"/>
          <w:lang w:val="sr-Latn-ME"/>
        </w:rPr>
        <w:t>l</w:t>
      </w:r>
      <w:r w:rsidRPr="00EC0535">
        <w:rPr>
          <w:bCs/>
          <w:sz w:val="22"/>
          <w:szCs w:val="22"/>
          <w:lang w:val="sr-Latn-ME"/>
        </w:rPr>
        <w:t>/sat i medijanu poluvremena eliminacije od 36,2 sata. Prema tome, očekivano vrijeme do postizanja ravnotežnih koncentracija u plazmi iznosi približno 7-8 dana.</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u w:val="single"/>
          <w:lang w:val="sr-Latn-ME"/>
        </w:rPr>
      </w:pPr>
      <w:r w:rsidRPr="00EC0535">
        <w:rPr>
          <w:bCs/>
          <w:sz w:val="22"/>
          <w:szCs w:val="22"/>
          <w:u w:val="single"/>
          <w:lang w:val="sr-Latn-ME"/>
        </w:rPr>
        <w:lastRenderedPageBreak/>
        <w:t>Farmakokinetika u posebnim grupama pacijenata</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Populaciona farmakokinetička analiza je pokazala da nije utvrđen klinički značajan odnos između</w:t>
      </w:r>
      <w:r w:rsidR="00FB328F" w:rsidRPr="00EC0535">
        <w:rPr>
          <w:bCs/>
          <w:sz w:val="22"/>
          <w:szCs w:val="22"/>
          <w:lang w:val="sr-Latn-ME"/>
        </w:rPr>
        <w:t xml:space="preserve"> </w:t>
      </w:r>
      <w:r w:rsidRPr="00EC0535">
        <w:rPr>
          <w:bCs/>
          <w:sz w:val="22"/>
          <w:szCs w:val="22"/>
          <w:lang w:val="sr-Latn-ME"/>
        </w:rPr>
        <w:t xml:space="preserve">predviđenog prividnog klirensa i starosti pacijenta, tjelesne mase, pola i etničke pripadnosti. Faktori vezani za pacijenta, koji su u korelaciji sa farmakokinetikom erlotiniba su: ukupni bilirubin u serumu, AAG (alfa kiseli glikoprotein) i pušenje. Povećane koncetracije ukupnog bilirubina i AAG u serumu povezane su sa smanjenim klirensom erlotiniba. Klinički značaj ovih razlika nije razjašnjen. Međutim, pušači imaju ubrzani klirens erlotiniba. Ovo je potvrđeno u farmakokinetičkoj studiji, na zdravim ispitanicima, nepušačima i pušačima cigareta koji su dobili jednokratnu dozu od 150 mg erlotiniba. </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Geometrijska sredina C</w:t>
      </w:r>
      <w:r w:rsidRPr="00EC0535">
        <w:rPr>
          <w:bCs/>
          <w:sz w:val="22"/>
          <w:szCs w:val="22"/>
          <w:vertAlign w:val="subscript"/>
          <w:lang w:val="sr-Latn-ME"/>
        </w:rPr>
        <w:t>max</w:t>
      </w:r>
      <w:r w:rsidRPr="00EC0535">
        <w:rPr>
          <w:bCs/>
          <w:sz w:val="22"/>
          <w:szCs w:val="22"/>
          <w:lang w:val="sr-Latn-ME"/>
        </w:rPr>
        <w:t xml:space="preserve"> je bila 1056 nanograma/</w:t>
      </w:r>
      <w:r w:rsidR="00FB328F" w:rsidRPr="00EC0535">
        <w:rPr>
          <w:bCs/>
          <w:sz w:val="22"/>
          <w:szCs w:val="22"/>
          <w:lang w:val="sr-Latn-ME"/>
        </w:rPr>
        <w:t xml:space="preserve">ml </w:t>
      </w:r>
      <w:r w:rsidRPr="00EC0535">
        <w:rPr>
          <w:bCs/>
          <w:sz w:val="22"/>
          <w:szCs w:val="22"/>
          <w:lang w:val="sr-Latn-ME"/>
        </w:rPr>
        <w:t>u grupi nepušača i 689 nanograma/</w:t>
      </w:r>
      <w:r w:rsidR="00FB328F" w:rsidRPr="00EC0535">
        <w:rPr>
          <w:bCs/>
          <w:sz w:val="22"/>
          <w:szCs w:val="22"/>
          <w:lang w:val="sr-Latn-ME"/>
        </w:rPr>
        <w:t xml:space="preserve">ml </w:t>
      </w:r>
      <w:r w:rsidRPr="00EC0535">
        <w:rPr>
          <w:bCs/>
          <w:sz w:val="22"/>
          <w:szCs w:val="22"/>
          <w:lang w:val="sr-Latn-ME"/>
        </w:rPr>
        <w:t>u grupi pušača sa prosječnim odnosom pušači -</w:t>
      </w:r>
      <w:r w:rsidR="00FB328F" w:rsidRPr="00EC0535">
        <w:rPr>
          <w:bCs/>
          <w:sz w:val="22"/>
          <w:szCs w:val="22"/>
          <w:lang w:val="sr-Latn-ME"/>
        </w:rPr>
        <w:t xml:space="preserve"> </w:t>
      </w:r>
      <w:r w:rsidRPr="00EC0535">
        <w:rPr>
          <w:bCs/>
          <w:sz w:val="22"/>
          <w:szCs w:val="22"/>
          <w:lang w:val="sr-Latn-ME"/>
        </w:rPr>
        <w:t>nepušači 65,2% (95% CI: 44,3 do 95,9, p=0,031). Geometrijska sredina PIK</w:t>
      </w:r>
      <w:r w:rsidRPr="00EC0535">
        <w:rPr>
          <w:bCs/>
          <w:sz w:val="22"/>
          <w:szCs w:val="22"/>
          <w:vertAlign w:val="subscript"/>
          <w:lang w:val="sr-Latn-ME"/>
        </w:rPr>
        <w:t xml:space="preserve">0-inf </w:t>
      </w:r>
      <w:r w:rsidRPr="00EC0535">
        <w:rPr>
          <w:bCs/>
          <w:sz w:val="22"/>
          <w:szCs w:val="22"/>
          <w:lang w:val="sr-Latn-ME"/>
        </w:rPr>
        <w:t>je bila 18726 nanograma·h/</w:t>
      </w:r>
      <w:r w:rsidR="00FB328F" w:rsidRPr="00EC0535">
        <w:rPr>
          <w:bCs/>
          <w:sz w:val="22"/>
          <w:szCs w:val="22"/>
          <w:lang w:val="sr-Latn-ME"/>
        </w:rPr>
        <w:t xml:space="preserve">ml </w:t>
      </w:r>
      <w:r w:rsidRPr="00EC0535">
        <w:rPr>
          <w:bCs/>
          <w:sz w:val="22"/>
          <w:szCs w:val="22"/>
          <w:lang w:val="sr-Latn-ME"/>
        </w:rPr>
        <w:t>u grupi nepušača i 6718 nanograma·h/</w:t>
      </w:r>
      <w:r w:rsidR="00FB328F" w:rsidRPr="00EC0535">
        <w:rPr>
          <w:bCs/>
          <w:sz w:val="22"/>
          <w:szCs w:val="22"/>
          <w:lang w:val="sr-Latn-ME"/>
        </w:rPr>
        <w:t xml:space="preserve">ml </w:t>
      </w:r>
      <w:r w:rsidRPr="00EC0535">
        <w:rPr>
          <w:bCs/>
          <w:sz w:val="22"/>
          <w:szCs w:val="22"/>
          <w:lang w:val="sr-Latn-ME"/>
        </w:rPr>
        <w:t>u grupi pušača sa prosječnim odnosom od 35,9% (95% CI: 23,7 do 54,3, p&lt;0,0001). Geometrijska sredina C</w:t>
      </w:r>
      <w:r w:rsidRPr="00EC0535">
        <w:rPr>
          <w:bCs/>
          <w:sz w:val="22"/>
          <w:szCs w:val="22"/>
          <w:vertAlign w:val="subscript"/>
          <w:lang w:val="sr-Latn-ME"/>
        </w:rPr>
        <w:t>max</w:t>
      </w:r>
      <w:r w:rsidRPr="00EC0535">
        <w:rPr>
          <w:bCs/>
          <w:sz w:val="22"/>
          <w:szCs w:val="22"/>
          <w:lang w:val="sr-Latn-ME"/>
        </w:rPr>
        <w:t xml:space="preserve"> je bila 288 nanograma/</w:t>
      </w:r>
      <w:r w:rsidR="00FB328F" w:rsidRPr="00EC0535">
        <w:rPr>
          <w:bCs/>
          <w:sz w:val="22"/>
          <w:szCs w:val="22"/>
          <w:lang w:val="sr-Latn-ME"/>
        </w:rPr>
        <w:t xml:space="preserve">ml </w:t>
      </w:r>
      <w:r w:rsidRPr="00EC0535">
        <w:rPr>
          <w:bCs/>
          <w:sz w:val="22"/>
          <w:szCs w:val="22"/>
          <w:lang w:val="sr-Latn-ME"/>
        </w:rPr>
        <w:t>u grupi nepušača i 34,8 nanograma/</w:t>
      </w:r>
      <w:r w:rsidR="00FB328F" w:rsidRPr="00EC0535">
        <w:rPr>
          <w:bCs/>
          <w:sz w:val="22"/>
          <w:szCs w:val="22"/>
          <w:lang w:val="sr-Latn-ME"/>
        </w:rPr>
        <w:t xml:space="preserve">ml </w:t>
      </w:r>
      <w:r w:rsidRPr="00EC0535">
        <w:rPr>
          <w:bCs/>
          <w:sz w:val="22"/>
          <w:szCs w:val="22"/>
          <w:lang w:val="sr-Latn-ME"/>
        </w:rPr>
        <w:t xml:space="preserve">kod pušača sa odnosom 12,1% (95% CI: 4,82 do 30,2, p= 0,0001). </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U pivotalnoj NSCLC studiji faze III, pušači su ostvarili koncentraciju erlotiniba u plazmi neposredno pred primjenu naredne doze, u stanju ravnoteže, od 0,65 mikrograma/</w:t>
      </w:r>
      <w:r w:rsidR="00FB328F" w:rsidRPr="00EC0535">
        <w:rPr>
          <w:bCs/>
          <w:sz w:val="22"/>
          <w:szCs w:val="22"/>
          <w:lang w:val="sr-Latn-ME"/>
        </w:rPr>
        <w:t xml:space="preserve">ml </w:t>
      </w:r>
      <w:r w:rsidRPr="00EC0535">
        <w:rPr>
          <w:bCs/>
          <w:sz w:val="22"/>
          <w:szCs w:val="22"/>
          <w:lang w:val="sr-Latn-ME"/>
        </w:rPr>
        <w:t>(n=16), što je bilo približno 2 puta manje u odnosu na bivše pušače ili pacijente koji nikada nijesu pušili (1,28 mikrograma/</w:t>
      </w:r>
      <w:r w:rsidR="00FB328F" w:rsidRPr="00EC0535">
        <w:rPr>
          <w:bCs/>
          <w:sz w:val="22"/>
          <w:szCs w:val="22"/>
          <w:lang w:val="sr-Latn-ME"/>
        </w:rPr>
        <w:t>ml</w:t>
      </w:r>
      <w:r w:rsidRPr="00EC0535">
        <w:rPr>
          <w:bCs/>
          <w:sz w:val="22"/>
          <w:szCs w:val="22"/>
          <w:lang w:val="sr-Latn-ME"/>
        </w:rPr>
        <w:t>, n=108). Ovaj efekat je bio udružen sa povećanjem od 24% u prividnom plazma klirensu erlotiniba. U studiji faze I, povećanje doze kod NSCLC pacijenata, pušača, farmakokinetička analiza, u stanju ravnoteže, je ukazala na dozno proporcionalno povećanje u izloženosti erlotinibu kada je doza erlotiniba povećana sa 150 mg do maksimalne podnošljive doze od 300 mg. Koncentracija u plazmi neposredno pred primjenu naredene doze u stanju ravnoteže pri dozi od 300 mg kod pušača, u ovoj studiji, iznosila je 1,22 mikrograma/</w:t>
      </w:r>
      <w:r w:rsidR="00FB328F" w:rsidRPr="00EC0535">
        <w:rPr>
          <w:bCs/>
          <w:sz w:val="22"/>
          <w:szCs w:val="22"/>
          <w:lang w:val="sr-Latn-ME"/>
        </w:rPr>
        <w:t xml:space="preserve">ml </w:t>
      </w:r>
      <w:r w:rsidRPr="00EC0535">
        <w:rPr>
          <w:bCs/>
          <w:sz w:val="22"/>
          <w:szCs w:val="22"/>
          <w:lang w:val="sr-Latn-ME"/>
        </w:rPr>
        <w:t xml:space="preserve">(n=17). Vidjeti </w:t>
      </w:r>
      <w:r w:rsidR="00FB328F" w:rsidRPr="00EC0535">
        <w:rPr>
          <w:bCs/>
          <w:sz w:val="22"/>
          <w:szCs w:val="22"/>
          <w:lang w:val="sr-Latn-ME"/>
        </w:rPr>
        <w:t xml:space="preserve">djelove </w:t>
      </w:r>
      <w:r w:rsidRPr="00EC0535">
        <w:rPr>
          <w:bCs/>
          <w:sz w:val="22"/>
          <w:szCs w:val="22"/>
          <w:lang w:val="sr-Latn-ME"/>
        </w:rPr>
        <w:t>4.2, 4.4, 4.5 i 5.1.</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Na osnovu rezultata farmakokinetičkih studija, pacijentima koji puše treba savjetovati da prestanu sa</w:t>
      </w:r>
      <w:r w:rsidR="00FB328F" w:rsidRPr="00EC0535">
        <w:rPr>
          <w:bCs/>
          <w:sz w:val="22"/>
          <w:szCs w:val="22"/>
          <w:lang w:val="sr-Latn-ME"/>
        </w:rPr>
        <w:t xml:space="preserve"> </w:t>
      </w:r>
      <w:r w:rsidRPr="00EC0535">
        <w:rPr>
          <w:bCs/>
          <w:sz w:val="22"/>
          <w:szCs w:val="22"/>
          <w:lang w:val="sr-Latn-ME"/>
        </w:rPr>
        <w:t>pušenjem dok su na terapiji erlotinibom, budući da pušenje smanjuje koncentracije erlotiniba u plazmi.</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Na osnovu populacione farmakokinetičke analize, izgleda da prisustvo opioida pojačava izloženost za oko 11%.</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Jedna druga populaciona farmakokinetička analiza sprovedena je da bi se uključili podaci o erlotinibu</w:t>
      </w: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dobijeni na 204 pacijenta sa karcinomom pankreasa koji su primali erlotinib plus gemcitabin. Ova analiza je pokazala da su kovarijanse koje utiču na klirens erlotiniba kod pacijenata sa karcinomom pankreasa veoma slične onima koje su već zabilježene u prethodnim farmakokinetičkim analizama monoterapije. Nijesu utvrđeni bilo kakvi novi efekti kovarijansi. Istovremeno davanje gemcitabina nije imalo nikakav efekat na plazma klirens erlotiniba.</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u w:val="single"/>
          <w:lang w:val="sr-Latn-ME"/>
        </w:rPr>
        <w:t>Pedijatrijska populacija</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 xml:space="preserve">Nisu sprovedene posebne studije </w:t>
      </w:r>
      <w:r w:rsidR="0089336B" w:rsidRPr="00EC0535">
        <w:rPr>
          <w:bCs/>
          <w:sz w:val="22"/>
          <w:szCs w:val="22"/>
          <w:lang w:val="sr-Latn-ME"/>
        </w:rPr>
        <w:t>kod pedijatrijskih pacijenata</w:t>
      </w:r>
      <w:r w:rsidRPr="00EC0535">
        <w:rPr>
          <w:bCs/>
          <w:sz w:val="22"/>
          <w:szCs w:val="22"/>
          <w:lang w:val="sr-Latn-ME"/>
        </w:rPr>
        <w:t>.</w:t>
      </w:r>
    </w:p>
    <w:p w:rsidR="00DD175A" w:rsidRPr="00EC0535" w:rsidRDefault="00DD175A" w:rsidP="00DD175A">
      <w:pPr>
        <w:tabs>
          <w:tab w:val="left" w:pos="540"/>
          <w:tab w:val="left" w:pos="569"/>
        </w:tabs>
        <w:jc w:val="both"/>
        <w:rPr>
          <w:bCs/>
          <w:sz w:val="22"/>
          <w:szCs w:val="22"/>
          <w:lang w:val="sr-Latn-ME"/>
        </w:rPr>
      </w:pPr>
    </w:p>
    <w:p w:rsidR="00DD175A" w:rsidRPr="00EC0535" w:rsidRDefault="0089336B" w:rsidP="00DD175A">
      <w:pPr>
        <w:tabs>
          <w:tab w:val="left" w:pos="540"/>
          <w:tab w:val="left" w:pos="569"/>
        </w:tabs>
        <w:jc w:val="both"/>
        <w:rPr>
          <w:bCs/>
          <w:sz w:val="22"/>
          <w:szCs w:val="22"/>
          <w:u w:val="single"/>
          <w:lang w:val="sr-Latn-ME"/>
        </w:rPr>
      </w:pPr>
      <w:r w:rsidRPr="00EC0535">
        <w:rPr>
          <w:bCs/>
          <w:sz w:val="22"/>
          <w:szCs w:val="22"/>
          <w:u w:val="single"/>
          <w:lang w:val="sr-Latn-ME"/>
        </w:rPr>
        <w:t>Starije osobe</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 xml:space="preserve">Nisu sprovedene posebne studije </w:t>
      </w:r>
      <w:r w:rsidR="0089336B" w:rsidRPr="00EC0535">
        <w:rPr>
          <w:bCs/>
          <w:sz w:val="22"/>
          <w:szCs w:val="22"/>
          <w:lang w:val="sr-Latn-ME"/>
        </w:rPr>
        <w:t>kod starijih pacijenata</w:t>
      </w:r>
      <w:r w:rsidRPr="00EC0535">
        <w:rPr>
          <w:bCs/>
          <w:sz w:val="22"/>
          <w:szCs w:val="22"/>
          <w:lang w:val="sr-Latn-ME"/>
        </w:rPr>
        <w:t>.</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u w:val="single"/>
          <w:lang w:val="sr-Latn-ME"/>
        </w:rPr>
      </w:pPr>
      <w:r w:rsidRPr="00EC0535">
        <w:rPr>
          <w:bCs/>
          <w:sz w:val="22"/>
          <w:szCs w:val="22"/>
          <w:u w:val="single"/>
          <w:lang w:val="sr-Latn-ME"/>
        </w:rPr>
        <w:t>Oštećena funkcija jetre</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Erlotinib se primarno eliminiše putem jetre. Kod pacijenata sa solidnim tumorima i umjerenim oštećenjem funkcije jetre (</w:t>
      </w:r>
      <w:r w:rsidRPr="00A728E1">
        <w:rPr>
          <w:bCs/>
          <w:i/>
          <w:sz w:val="22"/>
          <w:szCs w:val="22"/>
          <w:lang w:val="sr-Latn-ME"/>
        </w:rPr>
        <w:t>Child-Pugh</w:t>
      </w:r>
      <w:r w:rsidRPr="00EC0535">
        <w:rPr>
          <w:bCs/>
          <w:sz w:val="22"/>
          <w:szCs w:val="22"/>
          <w:lang w:val="sr-Latn-ME"/>
        </w:rPr>
        <w:t xml:space="preserve"> indeks 7-9), geometrijska sredina PIK0-t i C</w:t>
      </w:r>
      <w:r w:rsidRPr="00EC0535">
        <w:rPr>
          <w:bCs/>
          <w:sz w:val="22"/>
          <w:szCs w:val="22"/>
          <w:vertAlign w:val="subscript"/>
          <w:lang w:val="sr-Latn-ME"/>
        </w:rPr>
        <w:t xml:space="preserve">max </w:t>
      </w:r>
      <w:r w:rsidRPr="00EC0535">
        <w:rPr>
          <w:bCs/>
          <w:sz w:val="22"/>
          <w:szCs w:val="22"/>
          <w:lang w:val="sr-Latn-ME"/>
        </w:rPr>
        <w:t>erlotiniba je bila 27000 nanograma·h/</w:t>
      </w:r>
      <w:r w:rsidR="00862DFF" w:rsidRPr="00EC0535">
        <w:rPr>
          <w:bCs/>
          <w:sz w:val="22"/>
          <w:szCs w:val="22"/>
          <w:lang w:val="sr-Latn-ME"/>
        </w:rPr>
        <w:t xml:space="preserve">ml </w:t>
      </w:r>
      <w:r w:rsidRPr="00EC0535">
        <w:rPr>
          <w:bCs/>
          <w:sz w:val="22"/>
          <w:szCs w:val="22"/>
          <w:lang w:val="sr-Latn-ME"/>
        </w:rPr>
        <w:t>i 805 nanograma/</w:t>
      </w:r>
      <w:r w:rsidR="00862DFF" w:rsidRPr="00EC0535">
        <w:rPr>
          <w:bCs/>
          <w:sz w:val="22"/>
          <w:szCs w:val="22"/>
          <w:lang w:val="sr-Latn-ME"/>
        </w:rPr>
        <w:t>ml</w:t>
      </w:r>
      <w:r w:rsidRPr="00EC0535">
        <w:rPr>
          <w:bCs/>
          <w:sz w:val="22"/>
          <w:szCs w:val="22"/>
          <w:lang w:val="sr-Latn-ME"/>
        </w:rPr>
        <w:t>, redom, u poređenju sa 29300 nanograma·h/</w:t>
      </w:r>
      <w:r w:rsidR="00862DFF" w:rsidRPr="00EC0535">
        <w:rPr>
          <w:bCs/>
          <w:sz w:val="22"/>
          <w:szCs w:val="22"/>
          <w:lang w:val="sr-Latn-ME"/>
        </w:rPr>
        <w:t xml:space="preserve">ml </w:t>
      </w:r>
      <w:r w:rsidRPr="00EC0535">
        <w:rPr>
          <w:bCs/>
          <w:sz w:val="22"/>
          <w:szCs w:val="22"/>
          <w:lang w:val="sr-Latn-ME"/>
        </w:rPr>
        <w:t>i 1090 nanograma/</w:t>
      </w:r>
      <w:r w:rsidR="00862DFF" w:rsidRPr="00EC0535">
        <w:rPr>
          <w:bCs/>
          <w:sz w:val="22"/>
          <w:szCs w:val="22"/>
          <w:lang w:val="sr-Latn-ME"/>
        </w:rPr>
        <w:t xml:space="preserve">ml </w:t>
      </w:r>
      <w:r w:rsidRPr="00EC0535">
        <w:rPr>
          <w:bCs/>
          <w:sz w:val="22"/>
          <w:szCs w:val="22"/>
          <w:lang w:val="sr-Latn-ME"/>
        </w:rPr>
        <w:t>kod pacijenata sa normalnom funkcijom jetre</w:t>
      </w:r>
      <w:r w:rsidR="00C61405" w:rsidRPr="00EC0535">
        <w:rPr>
          <w:bCs/>
          <w:sz w:val="22"/>
          <w:szCs w:val="22"/>
          <w:lang w:val="sr-Latn-ME"/>
        </w:rPr>
        <w:t>, uključujući</w:t>
      </w:r>
      <w:r w:rsidRPr="00EC0535">
        <w:rPr>
          <w:bCs/>
          <w:sz w:val="22"/>
          <w:szCs w:val="22"/>
          <w:lang w:val="sr-Latn-ME"/>
        </w:rPr>
        <w:t xml:space="preserve"> i </w:t>
      </w:r>
      <w:r w:rsidR="00C61405" w:rsidRPr="00EC0535">
        <w:rPr>
          <w:bCs/>
          <w:sz w:val="22"/>
          <w:szCs w:val="22"/>
          <w:lang w:val="sr-Latn-ME"/>
        </w:rPr>
        <w:t xml:space="preserve">pacijente </w:t>
      </w:r>
      <w:r w:rsidRPr="00EC0535">
        <w:rPr>
          <w:bCs/>
          <w:sz w:val="22"/>
          <w:szCs w:val="22"/>
          <w:lang w:val="sr-Latn-ME"/>
        </w:rPr>
        <w:t>sa primarnim karcinomom jetre ili metastazama u jetri. Iako je C</w:t>
      </w:r>
      <w:r w:rsidRPr="00EC0535">
        <w:rPr>
          <w:bCs/>
          <w:sz w:val="22"/>
          <w:szCs w:val="22"/>
          <w:vertAlign w:val="subscript"/>
          <w:lang w:val="sr-Latn-ME"/>
        </w:rPr>
        <w:t>max</w:t>
      </w:r>
      <w:r w:rsidRPr="00EC0535">
        <w:rPr>
          <w:bCs/>
          <w:sz w:val="22"/>
          <w:szCs w:val="22"/>
          <w:lang w:val="sr-Latn-ME"/>
        </w:rPr>
        <w:t xml:space="preserve"> bila statistički značajno niža kod pacijenata sa umjereno oštećenom funkcijom jetre, ova razlika se ne smatra klinički značajnom. Nema podataka o uticaju teške disfunkcije jetre na farmakokinetiku erlotiniba. U populacionim farmakokinetičkim </w:t>
      </w:r>
      <w:r w:rsidRPr="00EC0535">
        <w:rPr>
          <w:bCs/>
          <w:sz w:val="22"/>
          <w:szCs w:val="22"/>
          <w:lang w:val="sr-Latn-ME"/>
        </w:rPr>
        <w:lastRenderedPageBreak/>
        <w:t>analizama, povišene koncentracije ukupnog bilirubina u serumu bile su povezane sa smanjenim klirensom erlotiniba.</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u w:val="single"/>
          <w:lang w:val="sr-Latn-ME"/>
        </w:rPr>
      </w:pPr>
      <w:r w:rsidRPr="00EC0535">
        <w:rPr>
          <w:bCs/>
          <w:sz w:val="22"/>
          <w:szCs w:val="22"/>
          <w:u w:val="single"/>
          <w:lang w:val="sr-Latn-ME"/>
        </w:rPr>
        <w:t xml:space="preserve">Oštećena funkcija bubrega </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 xml:space="preserve">Erlotinib i njegovi metaboliti se ne izlučuju u značajnoj mjeri putem bubrega, pošto se manje od 9% pojedinačne doze izluči urinom. U populacionim farmakokinetičkim analizama nije uočen klinički značajan odnos između klirensa erlotiniba i klirensa kreatinina, ali nema </w:t>
      </w:r>
      <w:r w:rsidR="00C61405" w:rsidRPr="00EC0535">
        <w:rPr>
          <w:bCs/>
          <w:sz w:val="22"/>
          <w:szCs w:val="22"/>
          <w:lang w:val="sr-Latn-ME"/>
        </w:rPr>
        <w:t xml:space="preserve">dostupnih </w:t>
      </w:r>
      <w:r w:rsidRPr="00EC0535">
        <w:rPr>
          <w:bCs/>
          <w:sz w:val="22"/>
          <w:szCs w:val="22"/>
          <w:lang w:val="sr-Latn-ME"/>
        </w:rPr>
        <w:t xml:space="preserve">podataka za pacijente sa klirensom kreatinina manjim od 15 </w:t>
      </w:r>
      <w:r w:rsidR="00862DFF" w:rsidRPr="00EC0535">
        <w:rPr>
          <w:bCs/>
          <w:sz w:val="22"/>
          <w:szCs w:val="22"/>
          <w:lang w:val="sr-Latn-ME"/>
        </w:rPr>
        <w:t>ml</w:t>
      </w:r>
      <w:r w:rsidRPr="00EC0535">
        <w:rPr>
          <w:bCs/>
          <w:sz w:val="22"/>
          <w:szCs w:val="22"/>
          <w:lang w:val="sr-Latn-ME"/>
        </w:rPr>
        <w:t>/min.</w:t>
      </w:r>
    </w:p>
    <w:p w:rsidR="0072020E" w:rsidRPr="00EC0535" w:rsidRDefault="0072020E" w:rsidP="00DD175A">
      <w:pPr>
        <w:tabs>
          <w:tab w:val="left" w:pos="540"/>
          <w:tab w:val="left" w:pos="569"/>
        </w:tabs>
        <w:jc w:val="both"/>
        <w:rPr>
          <w:bCs/>
          <w:color w:val="FF0000"/>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5.3. </w:t>
      </w:r>
      <w:r w:rsidR="00480FB1" w:rsidRPr="00EC0535">
        <w:rPr>
          <w:b/>
          <w:bCs/>
          <w:sz w:val="22"/>
          <w:szCs w:val="22"/>
          <w:lang w:val="sr-Latn-ME"/>
        </w:rPr>
        <w:tab/>
      </w:r>
      <w:r w:rsidRPr="00EC0535">
        <w:rPr>
          <w:b/>
          <w:bCs/>
          <w:sz w:val="22"/>
          <w:szCs w:val="22"/>
          <w:lang w:val="sr-Latn-ME"/>
        </w:rPr>
        <w:t xml:space="preserve">Pretklinički podaci o bezbjednosti </w:t>
      </w:r>
    </w:p>
    <w:p w:rsidR="00DD175A" w:rsidRPr="00EC0535" w:rsidRDefault="00DD175A" w:rsidP="00480FB1">
      <w:pPr>
        <w:tabs>
          <w:tab w:val="left" w:pos="540"/>
          <w:tab w:val="left" w:pos="569"/>
        </w:tabs>
        <w:rPr>
          <w:b/>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Efekti hronične primjene zabilježeni kod najmanje jedne životinjske vrste ili u studiji, uključuju promjene na rožnjači (atrofija, ulceracije), koži (degeneracija i inflamacija folikula, crvenilo, i alopecija), jajnicima (atrofija), jetri (nekroza jetre), bubrezima (bubrežna papilarna nekroza i tubularna dilatacija) i gastrointestinalnom traktu (usporeno pražnjenje želuca i dijareja). Parametri eritrocita bili su sniženi, dok su leukociti, prvenstveno neutrofili, bili povišeni. Zabi</w:t>
      </w:r>
      <w:r w:rsidR="00011D61" w:rsidRPr="00EC0535">
        <w:rPr>
          <w:bCs/>
          <w:sz w:val="22"/>
          <w:szCs w:val="22"/>
          <w:lang w:val="sr-Latn-ME"/>
        </w:rPr>
        <w:t>l</w:t>
      </w:r>
      <w:r w:rsidRPr="00EC0535">
        <w:rPr>
          <w:bCs/>
          <w:sz w:val="22"/>
          <w:szCs w:val="22"/>
          <w:lang w:val="sr-Latn-ME"/>
        </w:rPr>
        <w:t xml:space="preserve">ježeno je povećanje ALT, AST i bilirubina povezano sa terapijom. Ovi nalazi su zabilježeni pri izloženostima značajno nižim od relevantnih kliničkih izloženosti. </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 xml:space="preserve">Na osnovu mehanizma dejstva, erlotinib bi mogao biti teratogen. Podaci iz ispitivanja reproduktivne toksičnosti kod pacova i kunića u dozama koje su blizu maksimalne podnošljive doze i/ili dozama toksičnim za majku, pokazali su reproduktivnu toksičnost (embriotoksičnost kod pacova, resorpciju embriona i fetotoksičnost kod kunića) i razvojnu toksičnost (smanjenje rasta mladunaca i preživljavanje </w:t>
      </w:r>
      <w:r w:rsidR="00011D61" w:rsidRPr="00EC0535">
        <w:rPr>
          <w:bCs/>
          <w:sz w:val="22"/>
          <w:szCs w:val="22"/>
          <w:lang w:val="sr-Latn-ME"/>
        </w:rPr>
        <w:t xml:space="preserve">kod </w:t>
      </w:r>
      <w:r w:rsidRPr="00EC0535">
        <w:rPr>
          <w:bCs/>
          <w:sz w:val="22"/>
          <w:szCs w:val="22"/>
          <w:lang w:val="sr-Latn-ME"/>
        </w:rPr>
        <w:t xml:space="preserve">pacova), ali nijesu pokazali teratogenost niti smanjenje plodnosti. Ovi nalazi su zabilježeni pri klinički relevantnim koncentracijama lijeka. </w:t>
      </w:r>
    </w:p>
    <w:p w:rsidR="00DD175A" w:rsidRPr="00EC0535" w:rsidRDefault="00DD175A" w:rsidP="00DD175A">
      <w:pPr>
        <w:tabs>
          <w:tab w:val="left" w:pos="540"/>
          <w:tab w:val="left" w:pos="569"/>
        </w:tabs>
        <w:jc w:val="both"/>
        <w:rPr>
          <w:bCs/>
          <w:sz w:val="22"/>
          <w:szCs w:val="22"/>
          <w:lang w:val="sr-Latn-ME"/>
        </w:rPr>
      </w:pPr>
    </w:p>
    <w:p w:rsidR="00DD175A" w:rsidRPr="00EC0535" w:rsidRDefault="00DD175A" w:rsidP="00DD175A">
      <w:pPr>
        <w:tabs>
          <w:tab w:val="left" w:pos="540"/>
          <w:tab w:val="left" w:pos="569"/>
        </w:tabs>
        <w:jc w:val="both"/>
        <w:rPr>
          <w:bCs/>
          <w:sz w:val="22"/>
          <w:szCs w:val="22"/>
          <w:lang w:val="sr-Latn-ME"/>
        </w:rPr>
      </w:pPr>
      <w:r w:rsidRPr="00EC0535">
        <w:rPr>
          <w:bCs/>
          <w:sz w:val="22"/>
          <w:szCs w:val="22"/>
          <w:lang w:val="sr-Latn-ME"/>
        </w:rPr>
        <w:t>Konvencionalna ispitivanja genotoksičnosti erlotiniba su dala negativan rezultat. Dvogodišnja ispitivanja karcinogenosti erlotiniba sprovedena na pacovima i miševima su dala negativan rezultat sve do izloženosti koje prevazilaze terapijsku izloženost kod ljudi (do 2 odnosno 10 puta više, redom, bazirano na C</w:t>
      </w:r>
      <w:r w:rsidRPr="00EC0535">
        <w:rPr>
          <w:bCs/>
          <w:sz w:val="22"/>
          <w:szCs w:val="22"/>
          <w:vertAlign w:val="subscript"/>
          <w:lang w:val="sr-Latn-ME"/>
        </w:rPr>
        <w:t>max</w:t>
      </w:r>
      <w:r w:rsidRPr="00EC0535">
        <w:rPr>
          <w:bCs/>
          <w:sz w:val="22"/>
          <w:szCs w:val="22"/>
          <w:lang w:val="sr-Latn-ME"/>
        </w:rPr>
        <w:t xml:space="preserve"> i/ili PIK).</w:t>
      </w:r>
    </w:p>
    <w:p w:rsidR="00DD175A" w:rsidRPr="00EC0535" w:rsidRDefault="00DD175A" w:rsidP="00DD175A">
      <w:pPr>
        <w:tabs>
          <w:tab w:val="left" w:pos="540"/>
          <w:tab w:val="left" w:pos="569"/>
        </w:tabs>
        <w:jc w:val="both"/>
        <w:rPr>
          <w:b/>
          <w:bCs/>
          <w:sz w:val="22"/>
          <w:szCs w:val="22"/>
          <w:lang w:val="sr-Latn-ME"/>
        </w:rPr>
      </w:pPr>
    </w:p>
    <w:p w:rsidR="00836B35" w:rsidRPr="00EC0535" w:rsidRDefault="00DD175A" w:rsidP="00DD175A">
      <w:pPr>
        <w:tabs>
          <w:tab w:val="left" w:pos="540"/>
          <w:tab w:val="left" w:pos="569"/>
        </w:tabs>
        <w:jc w:val="both"/>
        <w:rPr>
          <w:bCs/>
          <w:sz w:val="22"/>
          <w:szCs w:val="22"/>
          <w:lang w:val="sr-Latn-ME"/>
        </w:rPr>
      </w:pPr>
      <w:r w:rsidRPr="00EC0535">
        <w:rPr>
          <w:bCs/>
          <w:sz w:val="22"/>
          <w:szCs w:val="22"/>
          <w:lang w:val="sr-Latn-ME"/>
        </w:rPr>
        <w:t>Zabilježena je blaga fototoksična reakcija na koži pacova nakon izlaganja UV zračenju</w:t>
      </w:r>
      <w:r w:rsidR="00011D61" w:rsidRPr="00EC0535">
        <w:rPr>
          <w:bCs/>
          <w:sz w:val="22"/>
          <w:szCs w:val="22"/>
          <w:lang w:val="sr-Latn-ME"/>
        </w:rPr>
        <w:t>.</w:t>
      </w:r>
    </w:p>
    <w:p w:rsidR="00396DFD" w:rsidRPr="00EC0535" w:rsidRDefault="00396DFD" w:rsidP="00DD175A">
      <w:pPr>
        <w:tabs>
          <w:tab w:val="left" w:pos="540"/>
          <w:tab w:val="left" w:pos="569"/>
        </w:tabs>
        <w:jc w:val="both"/>
        <w:rPr>
          <w:b/>
          <w:bCs/>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6. </w:t>
      </w:r>
      <w:r w:rsidR="00480FB1" w:rsidRPr="00EC0535">
        <w:rPr>
          <w:b/>
          <w:bCs/>
          <w:sz w:val="22"/>
          <w:szCs w:val="22"/>
          <w:lang w:val="sr-Latn-ME"/>
        </w:rPr>
        <w:tab/>
      </w:r>
      <w:r w:rsidRPr="00EC0535">
        <w:rPr>
          <w:b/>
          <w:bCs/>
          <w:sz w:val="22"/>
          <w:szCs w:val="22"/>
          <w:lang w:val="sr-Latn-ME"/>
        </w:rPr>
        <w:t>FARMACEUTSKI PODACI</w:t>
      </w:r>
    </w:p>
    <w:p w:rsidR="00836B35" w:rsidRPr="00EC0535" w:rsidRDefault="00836B35" w:rsidP="00480FB1">
      <w:pPr>
        <w:tabs>
          <w:tab w:val="left" w:pos="540"/>
          <w:tab w:val="left" w:pos="569"/>
        </w:tabs>
        <w:rPr>
          <w:bCs/>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6.1. </w:t>
      </w:r>
      <w:r w:rsidR="00480FB1" w:rsidRPr="00EC0535">
        <w:rPr>
          <w:b/>
          <w:bCs/>
          <w:sz w:val="22"/>
          <w:szCs w:val="22"/>
          <w:lang w:val="sr-Latn-ME"/>
        </w:rPr>
        <w:tab/>
      </w:r>
      <w:r w:rsidRPr="00EC0535">
        <w:rPr>
          <w:b/>
          <w:bCs/>
          <w:sz w:val="22"/>
          <w:szCs w:val="22"/>
          <w:lang w:val="sr-Latn-ME"/>
        </w:rPr>
        <w:t>Lista pomoćnih supstanci</w:t>
      </w:r>
      <w:r w:rsidR="002E0135" w:rsidRPr="00EC0535">
        <w:rPr>
          <w:b/>
          <w:bCs/>
          <w:sz w:val="22"/>
          <w:szCs w:val="22"/>
          <w:lang w:val="sr-Latn-ME"/>
        </w:rPr>
        <w:t xml:space="preserve"> (ekscipijenasa)</w:t>
      </w:r>
    </w:p>
    <w:p w:rsidR="001B4FDA" w:rsidRPr="00EC0535" w:rsidRDefault="001B4FDA" w:rsidP="00480FB1">
      <w:pPr>
        <w:tabs>
          <w:tab w:val="left" w:pos="540"/>
          <w:tab w:val="left" w:pos="569"/>
        </w:tabs>
        <w:rPr>
          <w:b/>
          <w:bCs/>
          <w:sz w:val="22"/>
          <w:szCs w:val="22"/>
          <w:lang w:val="sr-Latn-ME"/>
        </w:rPr>
      </w:pPr>
    </w:p>
    <w:p w:rsidR="001B4FDA" w:rsidRPr="00EC0535" w:rsidRDefault="001B4FDA" w:rsidP="001B4FDA">
      <w:pPr>
        <w:autoSpaceDE w:val="0"/>
        <w:autoSpaceDN w:val="0"/>
        <w:adjustRightInd w:val="0"/>
        <w:rPr>
          <w:sz w:val="22"/>
          <w:szCs w:val="22"/>
          <w:lang w:val="sr-Latn-ME" w:eastAsia="en-GB"/>
        </w:rPr>
      </w:pPr>
      <w:r w:rsidRPr="00EC0535">
        <w:rPr>
          <w:i/>
          <w:iCs/>
          <w:sz w:val="22"/>
          <w:szCs w:val="22"/>
          <w:lang w:val="sr-Latn-ME" w:eastAsia="en-GB"/>
        </w:rPr>
        <w:t>Jezgr</w:t>
      </w:r>
      <w:r w:rsidR="001A5A9C" w:rsidRPr="00EC0535">
        <w:rPr>
          <w:i/>
          <w:iCs/>
          <w:sz w:val="22"/>
          <w:szCs w:val="22"/>
          <w:lang w:val="sr-Latn-ME" w:eastAsia="en-GB"/>
        </w:rPr>
        <w:t>o</w:t>
      </w:r>
      <w:r w:rsidRPr="00EC0535">
        <w:rPr>
          <w:i/>
          <w:iCs/>
          <w:sz w:val="22"/>
          <w:szCs w:val="22"/>
          <w:lang w:val="sr-Latn-ME" w:eastAsia="en-GB"/>
        </w:rPr>
        <w:t xml:space="preserve"> tablete: </w:t>
      </w:r>
    </w:p>
    <w:p w:rsidR="001B4FDA" w:rsidRPr="00EC0535" w:rsidRDefault="001B4FDA" w:rsidP="001B4FDA">
      <w:pPr>
        <w:autoSpaceDE w:val="0"/>
        <w:autoSpaceDN w:val="0"/>
        <w:adjustRightInd w:val="0"/>
        <w:rPr>
          <w:sz w:val="22"/>
          <w:szCs w:val="22"/>
          <w:lang w:val="sr-Latn-ME" w:eastAsia="en-GB"/>
        </w:rPr>
      </w:pPr>
      <w:r w:rsidRPr="00EC0535">
        <w:rPr>
          <w:sz w:val="22"/>
          <w:szCs w:val="22"/>
          <w:lang w:val="sr-Latn-ME" w:eastAsia="en-GB"/>
        </w:rPr>
        <w:t xml:space="preserve">laktoza, </w:t>
      </w:r>
      <w:r w:rsidR="001A5A9C" w:rsidRPr="00EC0535">
        <w:rPr>
          <w:sz w:val="22"/>
          <w:szCs w:val="22"/>
          <w:lang w:val="sr-Latn-ME" w:eastAsia="en-GB"/>
        </w:rPr>
        <w:t>monohidrat</w:t>
      </w:r>
      <w:r w:rsidRPr="00EC0535">
        <w:rPr>
          <w:sz w:val="22"/>
          <w:szCs w:val="22"/>
          <w:lang w:val="sr-Latn-ME" w:eastAsia="en-GB"/>
        </w:rPr>
        <w:t xml:space="preserve"> </w:t>
      </w:r>
    </w:p>
    <w:p w:rsidR="001B4FDA" w:rsidRPr="00EC0535" w:rsidRDefault="001B4FDA" w:rsidP="001B4FDA">
      <w:pPr>
        <w:autoSpaceDE w:val="0"/>
        <w:autoSpaceDN w:val="0"/>
        <w:adjustRightInd w:val="0"/>
        <w:rPr>
          <w:sz w:val="22"/>
          <w:szCs w:val="22"/>
          <w:lang w:val="sr-Latn-ME" w:eastAsia="en-GB"/>
        </w:rPr>
      </w:pPr>
      <w:r w:rsidRPr="00EC0535">
        <w:rPr>
          <w:sz w:val="22"/>
          <w:szCs w:val="22"/>
          <w:lang w:val="sr-Latn-ME" w:eastAsia="en-GB"/>
        </w:rPr>
        <w:t xml:space="preserve">celuloza, mikrokristalna </w:t>
      </w:r>
      <w:r w:rsidR="001A5A9C" w:rsidRPr="00EC0535">
        <w:rPr>
          <w:sz w:val="22"/>
          <w:szCs w:val="22"/>
          <w:lang w:val="sr-Latn-ME"/>
        </w:rPr>
        <w:t>(E460)</w:t>
      </w:r>
    </w:p>
    <w:p w:rsidR="001B4FDA" w:rsidRPr="00EC0535" w:rsidRDefault="001B4FDA" w:rsidP="001B4FDA">
      <w:pPr>
        <w:autoSpaceDE w:val="0"/>
        <w:autoSpaceDN w:val="0"/>
        <w:adjustRightInd w:val="0"/>
        <w:rPr>
          <w:sz w:val="22"/>
          <w:szCs w:val="22"/>
          <w:lang w:val="sr-Latn-ME" w:eastAsia="en-GB"/>
        </w:rPr>
      </w:pPr>
      <w:r w:rsidRPr="00EC0535">
        <w:rPr>
          <w:sz w:val="22"/>
          <w:szCs w:val="22"/>
          <w:lang w:val="sr-Latn-ME" w:eastAsia="en-GB"/>
        </w:rPr>
        <w:t xml:space="preserve">natrijum skroboglikolat, </w:t>
      </w:r>
      <w:r w:rsidR="00EC0535">
        <w:rPr>
          <w:sz w:val="22"/>
          <w:szCs w:val="22"/>
          <w:lang w:val="sr-Latn-ME" w:eastAsia="en-GB"/>
        </w:rPr>
        <w:t>tip</w:t>
      </w:r>
      <w:r w:rsidR="00EC0535" w:rsidRPr="00EC0535">
        <w:rPr>
          <w:sz w:val="22"/>
          <w:szCs w:val="22"/>
          <w:lang w:val="sr-Latn-ME" w:eastAsia="en-GB"/>
        </w:rPr>
        <w:t xml:space="preserve"> </w:t>
      </w:r>
      <w:r w:rsidRPr="00EC0535">
        <w:rPr>
          <w:sz w:val="22"/>
          <w:szCs w:val="22"/>
          <w:lang w:val="sr-Latn-ME" w:eastAsia="en-GB"/>
        </w:rPr>
        <w:t xml:space="preserve">A </w:t>
      </w:r>
    </w:p>
    <w:p w:rsidR="001B4FDA" w:rsidRPr="00EC0535" w:rsidRDefault="001A5A9C" w:rsidP="001B4FDA">
      <w:pPr>
        <w:autoSpaceDE w:val="0"/>
        <w:autoSpaceDN w:val="0"/>
        <w:adjustRightInd w:val="0"/>
        <w:rPr>
          <w:iCs/>
          <w:sz w:val="22"/>
          <w:szCs w:val="22"/>
          <w:lang w:val="sr-Latn-ME" w:eastAsia="en-GB"/>
        </w:rPr>
      </w:pPr>
      <w:r w:rsidRPr="00EC0535">
        <w:rPr>
          <w:iCs/>
          <w:sz w:val="22"/>
          <w:szCs w:val="22"/>
          <w:lang w:val="sr-Latn-ME" w:eastAsia="en-GB"/>
        </w:rPr>
        <w:t>magnezijum stearat (E470b)</w:t>
      </w:r>
    </w:p>
    <w:p w:rsidR="00E00669" w:rsidRPr="00EC0535" w:rsidRDefault="00E00669" w:rsidP="001B4FDA">
      <w:pPr>
        <w:autoSpaceDE w:val="0"/>
        <w:autoSpaceDN w:val="0"/>
        <w:adjustRightInd w:val="0"/>
        <w:rPr>
          <w:i/>
          <w:iCs/>
          <w:color w:val="FF0000"/>
          <w:sz w:val="22"/>
          <w:szCs w:val="22"/>
          <w:lang w:val="sr-Latn-ME" w:eastAsia="en-GB"/>
        </w:rPr>
      </w:pPr>
    </w:p>
    <w:p w:rsidR="001B4FDA" w:rsidRPr="00EC0535" w:rsidRDefault="00E00669" w:rsidP="001B4FDA">
      <w:pPr>
        <w:autoSpaceDE w:val="0"/>
        <w:autoSpaceDN w:val="0"/>
        <w:adjustRightInd w:val="0"/>
        <w:rPr>
          <w:sz w:val="22"/>
          <w:szCs w:val="22"/>
          <w:lang w:val="sr-Latn-ME" w:eastAsia="en-GB"/>
        </w:rPr>
      </w:pPr>
      <w:r w:rsidRPr="00EC0535">
        <w:rPr>
          <w:i/>
          <w:iCs/>
          <w:sz w:val="22"/>
          <w:szCs w:val="22"/>
          <w:lang w:val="sr-Latn-ME" w:eastAsia="en-GB"/>
        </w:rPr>
        <w:t>Film (o</w:t>
      </w:r>
      <w:r w:rsidR="001B4FDA" w:rsidRPr="00EC0535">
        <w:rPr>
          <w:i/>
          <w:iCs/>
          <w:sz w:val="22"/>
          <w:szCs w:val="22"/>
          <w:lang w:val="sr-Latn-ME" w:eastAsia="en-GB"/>
        </w:rPr>
        <w:t>bloga</w:t>
      </w:r>
      <w:r w:rsidRPr="00EC0535">
        <w:rPr>
          <w:i/>
          <w:iCs/>
          <w:sz w:val="22"/>
          <w:szCs w:val="22"/>
          <w:lang w:val="sr-Latn-ME" w:eastAsia="en-GB"/>
        </w:rPr>
        <w:t>)</w:t>
      </w:r>
      <w:r w:rsidR="001B4FDA" w:rsidRPr="00EC0535">
        <w:rPr>
          <w:i/>
          <w:iCs/>
          <w:sz w:val="22"/>
          <w:szCs w:val="22"/>
          <w:lang w:val="sr-Latn-ME" w:eastAsia="en-GB"/>
        </w:rPr>
        <w:t xml:space="preserve"> tablete: </w:t>
      </w:r>
    </w:p>
    <w:p w:rsidR="001A5A9C" w:rsidRPr="00EC0535" w:rsidRDefault="001A5A9C" w:rsidP="001A5A9C">
      <w:pPr>
        <w:rPr>
          <w:sz w:val="22"/>
          <w:szCs w:val="22"/>
          <w:lang w:val="sr-Latn-ME" w:eastAsia="en-GB"/>
        </w:rPr>
      </w:pPr>
      <w:r w:rsidRPr="00EC0535">
        <w:rPr>
          <w:sz w:val="22"/>
          <w:szCs w:val="22"/>
          <w:lang w:val="sr-Latn-ME" w:eastAsia="en-GB"/>
        </w:rPr>
        <w:t>pol</w:t>
      </w:r>
      <w:r w:rsidR="00E00669" w:rsidRPr="00EC0535">
        <w:rPr>
          <w:sz w:val="22"/>
          <w:szCs w:val="22"/>
          <w:lang w:val="sr-Latn-ME" w:eastAsia="en-GB"/>
        </w:rPr>
        <w:t>ivinil alk</w:t>
      </w:r>
      <w:r w:rsidRPr="00EC0535">
        <w:rPr>
          <w:sz w:val="22"/>
          <w:szCs w:val="22"/>
          <w:lang w:val="sr-Latn-ME" w:eastAsia="en-GB"/>
        </w:rPr>
        <w:t>ohol (E1203)</w:t>
      </w:r>
    </w:p>
    <w:p w:rsidR="001A5A9C" w:rsidRPr="00EC0535" w:rsidRDefault="001A5A9C" w:rsidP="001A5A9C">
      <w:pPr>
        <w:rPr>
          <w:sz w:val="22"/>
          <w:szCs w:val="22"/>
          <w:lang w:val="sr-Latn-ME" w:eastAsia="en-GB"/>
        </w:rPr>
      </w:pPr>
      <w:r w:rsidRPr="00EC0535">
        <w:rPr>
          <w:sz w:val="22"/>
          <w:szCs w:val="22"/>
          <w:lang w:val="sr-Latn-ME" w:eastAsia="en-GB"/>
        </w:rPr>
        <w:t>titan dioksid (E171)</w:t>
      </w:r>
    </w:p>
    <w:p w:rsidR="001A5A9C" w:rsidRPr="00EC0535" w:rsidRDefault="001A5A9C" w:rsidP="001A5A9C">
      <w:pPr>
        <w:rPr>
          <w:sz w:val="22"/>
          <w:szCs w:val="22"/>
          <w:lang w:val="sr-Latn-ME" w:eastAsia="en-GB"/>
        </w:rPr>
      </w:pPr>
      <w:r w:rsidRPr="00EC0535">
        <w:rPr>
          <w:sz w:val="22"/>
          <w:szCs w:val="22"/>
          <w:lang w:val="sr-Latn-ME" w:eastAsia="en-GB"/>
        </w:rPr>
        <w:t>makrogol 3350 (E1521)</w:t>
      </w:r>
    </w:p>
    <w:p w:rsidR="001A5A9C" w:rsidRPr="00EC0535" w:rsidRDefault="001A5A9C" w:rsidP="001A5A9C">
      <w:pPr>
        <w:rPr>
          <w:sz w:val="22"/>
          <w:szCs w:val="22"/>
          <w:lang w:val="sr-Latn-ME" w:eastAsia="en-GB"/>
        </w:rPr>
      </w:pPr>
      <w:r w:rsidRPr="00EC0535">
        <w:rPr>
          <w:sz w:val="22"/>
          <w:szCs w:val="22"/>
          <w:lang w:val="sr-Latn-ME" w:eastAsia="en-GB"/>
        </w:rPr>
        <w:t>talk (E553b)</w:t>
      </w:r>
    </w:p>
    <w:p w:rsidR="001A5A9C" w:rsidRPr="00EC0535" w:rsidRDefault="00E00669" w:rsidP="001A5A9C">
      <w:pPr>
        <w:rPr>
          <w:sz w:val="22"/>
          <w:szCs w:val="22"/>
          <w:lang w:val="sr-Latn-ME" w:eastAsia="en-GB"/>
        </w:rPr>
      </w:pPr>
      <w:r w:rsidRPr="00EC0535">
        <w:rPr>
          <w:sz w:val="22"/>
          <w:szCs w:val="22"/>
          <w:lang w:val="sr-Latn-ME" w:eastAsia="en-GB"/>
        </w:rPr>
        <w:t>m</w:t>
      </w:r>
      <w:r w:rsidR="001A5A9C" w:rsidRPr="00EC0535">
        <w:rPr>
          <w:sz w:val="22"/>
          <w:szCs w:val="22"/>
          <w:lang w:val="sr-Latn-ME" w:eastAsia="en-GB"/>
        </w:rPr>
        <w:t xml:space="preserve">etakrilna kiselina – </w:t>
      </w:r>
      <w:r w:rsidR="001E4FA0" w:rsidRPr="00EC0535">
        <w:rPr>
          <w:sz w:val="22"/>
          <w:szCs w:val="22"/>
          <w:lang w:val="sr-Latn-ME" w:eastAsia="en-GB"/>
        </w:rPr>
        <w:t xml:space="preserve">etilakrilat </w:t>
      </w:r>
      <w:r w:rsidR="001A5A9C" w:rsidRPr="00EC0535">
        <w:rPr>
          <w:sz w:val="22"/>
          <w:szCs w:val="22"/>
          <w:lang w:val="sr-Latn-ME" w:eastAsia="en-GB"/>
        </w:rPr>
        <w:t>kopolime</w:t>
      </w:r>
      <w:r w:rsidR="001E4FA0">
        <w:rPr>
          <w:sz w:val="22"/>
          <w:szCs w:val="22"/>
          <w:lang w:val="sr-Latn-ME" w:eastAsia="en-GB"/>
        </w:rPr>
        <w:t>r</w:t>
      </w:r>
      <w:r w:rsidR="001A5A9C" w:rsidRPr="00EC0535">
        <w:rPr>
          <w:sz w:val="22"/>
          <w:szCs w:val="22"/>
          <w:lang w:val="sr-Latn-ME" w:eastAsia="en-GB"/>
        </w:rPr>
        <w:t xml:space="preserve"> (1:1), </w:t>
      </w:r>
      <w:r w:rsidR="00EC0535">
        <w:rPr>
          <w:sz w:val="22"/>
          <w:szCs w:val="22"/>
          <w:lang w:val="sr-Latn-ME" w:eastAsia="en-GB"/>
        </w:rPr>
        <w:t>tip</w:t>
      </w:r>
      <w:r w:rsidR="00EC0535" w:rsidRPr="00EC0535">
        <w:rPr>
          <w:sz w:val="22"/>
          <w:szCs w:val="22"/>
          <w:lang w:val="sr-Latn-ME" w:eastAsia="en-GB"/>
        </w:rPr>
        <w:t xml:space="preserve"> </w:t>
      </w:r>
      <w:r w:rsidR="001A5A9C" w:rsidRPr="00EC0535">
        <w:rPr>
          <w:sz w:val="22"/>
          <w:szCs w:val="22"/>
          <w:lang w:val="sr-Latn-ME" w:eastAsia="en-GB"/>
        </w:rPr>
        <w:t>A</w:t>
      </w:r>
    </w:p>
    <w:p w:rsidR="001A5A9C" w:rsidRPr="00EC0535" w:rsidRDefault="00E00669" w:rsidP="00E00669">
      <w:pPr>
        <w:rPr>
          <w:sz w:val="22"/>
          <w:szCs w:val="22"/>
          <w:lang w:val="sr-Latn-ME" w:eastAsia="en-GB"/>
        </w:rPr>
      </w:pPr>
      <w:r w:rsidRPr="00EC0535">
        <w:rPr>
          <w:sz w:val="22"/>
          <w:szCs w:val="22"/>
          <w:lang w:val="sr-Latn-ME" w:eastAsia="en-GB"/>
        </w:rPr>
        <w:t>n</w:t>
      </w:r>
      <w:r w:rsidR="001A5A9C" w:rsidRPr="00EC0535">
        <w:rPr>
          <w:sz w:val="22"/>
          <w:szCs w:val="22"/>
          <w:lang w:val="sr-Latn-ME" w:eastAsia="en-GB"/>
        </w:rPr>
        <w:t>atrijum hidrogenkarbonat</w:t>
      </w:r>
    </w:p>
    <w:p w:rsidR="00E00669" w:rsidRPr="00EC0535" w:rsidRDefault="00E00669" w:rsidP="00E00669">
      <w:pPr>
        <w:rPr>
          <w:b/>
          <w:bCs/>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6.2. </w:t>
      </w:r>
      <w:r w:rsidR="00480FB1" w:rsidRPr="00EC0535">
        <w:rPr>
          <w:b/>
          <w:bCs/>
          <w:sz w:val="22"/>
          <w:szCs w:val="22"/>
          <w:lang w:val="sr-Latn-ME"/>
        </w:rPr>
        <w:tab/>
      </w:r>
      <w:r w:rsidRPr="00EC0535">
        <w:rPr>
          <w:b/>
          <w:bCs/>
          <w:sz w:val="22"/>
          <w:szCs w:val="22"/>
          <w:lang w:val="sr-Latn-ME"/>
        </w:rPr>
        <w:t>Inkompatibilnost</w:t>
      </w:r>
      <w:r w:rsidR="002846DB" w:rsidRPr="00EC0535">
        <w:rPr>
          <w:b/>
          <w:bCs/>
          <w:sz w:val="22"/>
          <w:szCs w:val="22"/>
          <w:lang w:val="sr-Latn-ME"/>
        </w:rPr>
        <w:t>i</w:t>
      </w:r>
    </w:p>
    <w:p w:rsidR="001B4FDA" w:rsidRPr="00EC0535" w:rsidRDefault="001B4FDA" w:rsidP="00480FB1">
      <w:pPr>
        <w:tabs>
          <w:tab w:val="left" w:pos="540"/>
          <w:tab w:val="left" w:pos="569"/>
        </w:tabs>
        <w:rPr>
          <w:b/>
          <w:bCs/>
          <w:sz w:val="22"/>
          <w:szCs w:val="22"/>
          <w:lang w:val="sr-Latn-ME"/>
        </w:rPr>
      </w:pPr>
    </w:p>
    <w:p w:rsidR="001B4FDA" w:rsidRPr="00EC0535" w:rsidRDefault="001B4FDA" w:rsidP="001B4FDA">
      <w:pPr>
        <w:tabs>
          <w:tab w:val="left" w:pos="540"/>
          <w:tab w:val="left" w:pos="569"/>
        </w:tabs>
        <w:rPr>
          <w:bCs/>
          <w:sz w:val="22"/>
          <w:szCs w:val="22"/>
          <w:lang w:val="sr-Latn-ME"/>
        </w:rPr>
      </w:pPr>
      <w:r w:rsidRPr="00EC0535">
        <w:rPr>
          <w:bCs/>
          <w:sz w:val="22"/>
          <w:szCs w:val="22"/>
          <w:lang w:val="sr-Latn-ME"/>
        </w:rPr>
        <w:t>Nije primjenljivo.</w:t>
      </w:r>
    </w:p>
    <w:p w:rsidR="0072020E" w:rsidRPr="00EC0535" w:rsidRDefault="0072020E" w:rsidP="00480FB1">
      <w:pPr>
        <w:tabs>
          <w:tab w:val="left" w:pos="540"/>
          <w:tab w:val="left" w:pos="569"/>
        </w:tabs>
        <w:rPr>
          <w:bCs/>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6.3.</w:t>
      </w:r>
      <w:r w:rsidR="00C05DF8" w:rsidRPr="00EC0535">
        <w:rPr>
          <w:b/>
          <w:bCs/>
          <w:sz w:val="22"/>
          <w:szCs w:val="22"/>
          <w:lang w:val="sr-Latn-ME"/>
        </w:rPr>
        <w:t xml:space="preserve"> </w:t>
      </w:r>
      <w:r w:rsidR="00480FB1" w:rsidRPr="00EC0535">
        <w:rPr>
          <w:b/>
          <w:bCs/>
          <w:sz w:val="22"/>
          <w:szCs w:val="22"/>
          <w:lang w:val="sr-Latn-ME"/>
        </w:rPr>
        <w:tab/>
      </w:r>
      <w:r w:rsidRPr="00EC0535">
        <w:rPr>
          <w:b/>
          <w:bCs/>
          <w:sz w:val="22"/>
          <w:szCs w:val="22"/>
          <w:lang w:val="sr-Latn-ME"/>
        </w:rPr>
        <w:t>Rok upotrebe</w:t>
      </w:r>
    </w:p>
    <w:p w:rsidR="001B4FDA" w:rsidRPr="00EC0535" w:rsidRDefault="001B4FDA" w:rsidP="00480FB1">
      <w:pPr>
        <w:tabs>
          <w:tab w:val="left" w:pos="540"/>
          <w:tab w:val="left" w:pos="569"/>
        </w:tabs>
        <w:rPr>
          <w:b/>
          <w:bCs/>
          <w:sz w:val="22"/>
          <w:szCs w:val="22"/>
          <w:lang w:val="sr-Latn-ME"/>
        </w:rPr>
      </w:pPr>
    </w:p>
    <w:p w:rsidR="001B4FDA" w:rsidRPr="00EC0535" w:rsidRDefault="001A5A9C" w:rsidP="00480FB1">
      <w:pPr>
        <w:tabs>
          <w:tab w:val="left" w:pos="540"/>
          <w:tab w:val="left" w:pos="569"/>
        </w:tabs>
        <w:rPr>
          <w:bCs/>
          <w:sz w:val="22"/>
          <w:szCs w:val="22"/>
          <w:lang w:val="sr-Latn-ME"/>
        </w:rPr>
      </w:pPr>
      <w:r w:rsidRPr="00EC0535">
        <w:rPr>
          <w:bCs/>
          <w:sz w:val="22"/>
          <w:szCs w:val="22"/>
          <w:lang w:val="sr-Latn-ME"/>
        </w:rPr>
        <w:t>4 godine</w:t>
      </w:r>
    </w:p>
    <w:p w:rsidR="0072020E" w:rsidRPr="00EC0535" w:rsidRDefault="0072020E" w:rsidP="00480FB1">
      <w:pPr>
        <w:tabs>
          <w:tab w:val="left" w:pos="540"/>
          <w:tab w:val="left" w:pos="569"/>
        </w:tabs>
        <w:rPr>
          <w:bCs/>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6.4. </w:t>
      </w:r>
      <w:r w:rsidR="00480FB1" w:rsidRPr="00EC0535">
        <w:rPr>
          <w:b/>
          <w:bCs/>
          <w:sz w:val="22"/>
          <w:szCs w:val="22"/>
          <w:lang w:val="sr-Latn-ME"/>
        </w:rPr>
        <w:tab/>
      </w:r>
      <w:r w:rsidRPr="00EC0535">
        <w:rPr>
          <w:b/>
          <w:bCs/>
          <w:sz w:val="22"/>
          <w:szCs w:val="22"/>
          <w:lang w:val="sr-Latn-ME"/>
        </w:rPr>
        <w:t>Posebne mjere upozorenja pri čuvanju</w:t>
      </w:r>
      <w:r w:rsidR="00F8570A" w:rsidRPr="00EC0535">
        <w:rPr>
          <w:b/>
          <w:bCs/>
          <w:sz w:val="22"/>
          <w:szCs w:val="22"/>
          <w:lang w:val="sr-Latn-ME"/>
        </w:rPr>
        <w:t xml:space="preserve"> lijeka</w:t>
      </w:r>
    </w:p>
    <w:p w:rsidR="001B4FDA" w:rsidRPr="00EC0535" w:rsidRDefault="001B4FDA" w:rsidP="00480FB1">
      <w:pPr>
        <w:tabs>
          <w:tab w:val="left" w:pos="540"/>
          <w:tab w:val="left" w:pos="569"/>
        </w:tabs>
        <w:rPr>
          <w:bCs/>
          <w:sz w:val="22"/>
          <w:szCs w:val="22"/>
          <w:lang w:val="sr-Latn-ME"/>
        </w:rPr>
      </w:pPr>
    </w:p>
    <w:p w:rsidR="001B4FDA" w:rsidRPr="00EC0535" w:rsidRDefault="001A5A9C" w:rsidP="00480FB1">
      <w:pPr>
        <w:tabs>
          <w:tab w:val="left" w:pos="540"/>
          <w:tab w:val="left" w:pos="569"/>
        </w:tabs>
        <w:rPr>
          <w:bCs/>
          <w:sz w:val="22"/>
          <w:szCs w:val="22"/>
          <w:lang w:val="sr-Latn-ME"/>
        </w:rPr>
      </w:pPr>
      <w:r w:rsidRPr="00EC0535">
        <w:rPr>
          <w:bCs/>
          <w:sz w:val="22"/>
          <w:szCs w:val="22"/>
          <w:lang w:val="sr-Latn-ME"/>
        </w:rPr>
        <w:t>Lijek ne zahtjeva posebne uslove čuvanja.</w:t>
      </w:r>
    </w:p>
    <w:p w:rsidR="00EC2532" w:rsidRPr="00EC0535" w:rsidRDefault="00EC2532" w:rsidP="00480FB1">
      <w:pPr>
        <w:tabs>
          <w:tab w:val="left" w:pos="540"/>
          <w:tab w:val="left" w:pos="569"/>
        </w:tabs>
        <w:rPr>
          <w:bCs/>
          <w:color w:val="FF0000"/>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6.5. </w:t>
      </w:r>
      <w:r w:rsidR="00480FB1" w:rsidRPr="00EC0535">
        <w:rPr>
          <w:b/>
          <w:bCs/>
          <w:sz w:val="22"/>
          <w:szCs w:val="22"/>
          <w:lang w:val="sr-Latn-ME"/>
        </w:rPr>
        <w:tab/>
      </w:r>
      <w:r w:rsidR="002846DB" w:rsidRPr="00EC0535">
        <w:rPr>
          <w:b/>
          <w:bCs/>
          <w:sz w:val="22"/>
          <w:szCs w:val="22"/>
          <w:lang w:val="sr-Latn-ME"/>
        </w:rPr>
        <w:t xml:space="preserve">Vrsta i sadržaj </w:t>
      </w:r>
      <w:r w:rsidR="00F8570A" w:rsidRPr="00EC0535">
        <w:rPr>
          <w:b/>
          <w:bCs/>
          <w:sz w:val="22"/>
          <w:szCs w:val="22"/>
          <w:lang w:val="sr-Latn-ME"/>
        </w:rPr>
        <w:t>pakovanja</w:t>
      </w:r>
      <w:r w:rsidR="00C06864" w:rsidRPr="00EC0535">
        <w:rPr>
          <w:b/>
          <w:bCs/>
          <w:sz w:val="22"/>
          <w:szCs w:val="22"/>
          <w:lang w:val="sr-Latn-ME"/>
        </w:rPr>
        <w:t xml:space="preserve"> </w:t>
      </w:r>
    </w:p>
    <w:p w:rsidR="001B4FDA" w:rsidRPr="00EC0535" w:rsidRDefault="001B4FDA" w:rsidP="00480FB1">
      <w:pPr>
        <w:tabs>
          <w:tab w:val="left" w:pos="540"/>
          <w:tab w:val="left" w:pos="569"/>
        </w:tabs>
        <w:rPr>
          <w:b/>
          <w:bCs/>
          <w:color w:val="FF0000"/>
          <w:sz w:val="22"/>
          <w:szCs w:val="22"/>
          <w:lang w:val="sr-Latn-ME"/>
        </w:rPr>
      </w:pPr>
    </w:p>
    <w:p w:rsidR="00B479AD" w:rsidRDefault="00B479AD" w:rsidP="001A5A9C">
      <w:pPr>
        <w:jc w:val="both"/>
        <w:rPr>
          <w:sz w:val="22"/>
          <w:szCs w:val="22"/>
          <w:lang w:val="sr-Latn-ME"/>
        </w:rPr>
      </w:pPr>
      <w:r w:rsidRPr="00B479AD">
        <w:rPr>
          <w:sz w:val="22"/>
          <w:szCs w:val="22"/>
          <w:lang w:val="sr-Latn-ME"/>
        </w:rPr>
        <w:t xml:space="preserve">Unutrašnje pakovanje je </w:t>
      </w:r>
      <w:r w:rsidR="00352808">
        <w:rPr>
          <w:sz w:val="22"/>
          <w:szCs w:val="22"/>
          <w:lang w:val="sr-Latn-ME"/>
        </w:rPr>
        <w:t xml:space="preserve">aluminijum - </w:t>
      </w:r>
      <w:r w:rsidRPr="00B479AD">
        <w:rPr>
          <w:sz w:val="22"/>
          <w:szCs w:val="22"/>
          <w:lang w:val="sr-Latn-ME"/>
        </w:rPr>
        <w:t xml:space="preserve">OPA/Alu/PVC blister koji sadrži 10 film tableta. </w:t>
      </w:r>
    </w:p>
    <w:p w:rsidR="00352808" w:rsidRDefault="00B479AD" w:rsidP="001B4FDA">
      <w:pPr>
        <w:tabs>
          <w:tab w:val="left" w:pos="540"/>
          <w:tab w:val="left" w:pos="569"/>
        </w:tabs>
        <w:rPr>
          <w:sz w:val="22"/>
          <w:szCs w:val="22"/>
          <w:lang w:val="sr-Latn-ME"/>
        </w:rPr>
      </w:pPr>
      <w:r w:rsidRPr="00B479AD">
        <w:rPr>
          <w:sz w:val="22"/>
          <w:szCs w:val="22"/>
          <w:lang w:val="sr-Latn-ME"/>
        </w:rPr>
        <w:t>Spoljašnje pakovanje je složiva kartonska kutija u kojoj se nalaze 3 blistera (ukupno 30 film tableta) i Uputstvo za lijek.</w:t>
      </w:r>
    </w:p>
    <w:p w:rsidR="001B4FDA" w:rsidRPr="00EC0535" w:rsidRDefault="001B4FDA" w:rsidP="001B4FDA">
      <w:pPr>
        <w:tabs>
          <w:tab w:val="left" w:pos="540"/>
          <w:tab w:val="left" w:pos="569"/>
        </w:tabs>
        <w:rPr>
          <w:bCs/>
          <w:color w:val="FF0000"/>
          <w:sz w:val="22"/>
          <w:szCs w:val="22"/>
          <w:lang w:val="sr-Latn-ME"/>
        </w:rPr>
      </w:pPr>
    </w:p>
    <w:p w:rsidR="002846DB"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6.6. </w:t>
      </w:r>
      <w:r w:rsidR="00480FB1" w:rsidRPr="00EC0535">
        <w:rPr>
          <w:b/>
          <w:bCs/>
          <w:sz w:val="22"/>
          <w:szCs w:val="22"/>
          <w:lang w:val="sr-Latn-ME"/>
        </w:rPr>
        <w:tab/>
      </w:r>
      <w:r w:rsidRPr="00EC0535">
        <w:rPr>
          <w:b/>
          <w:bCs/>
          <w:sz w:val="22"/>
          <w:szCs w:val="22"/>
          <w:lang w:val="sr-Latn-ME"/>
        </w:rPr>
        <w:t xml:space="preserve">Posebne mjere opreza pri odlaganju materijala koji treba odbaciti nakon primjene lijeka </w:t>
      </w:r>
      <w:r w:rsidR="00310F03" w:rsidRPr="00EC0535">
        <w:rPr>
          <w:b/>
          <w:bCs/>
          <w:sz w:val="22"/>
          <w:szCs w:val="22"/>
          <w:lang w:val="sr-Latn-ME"/>
        </w:rPr>
        <w:t>(i druga uputs</w:t>
      </w:r>
      <w:r w:rsidR="004109FA" w:rsidRPr="00EC0535">
        <w:rPr>
          <w:b/>
          <w:bCs/>
          <w:sz w:val="22"/>
          <w:szCs w:val="22"/>
          <w:lang w:val="sr-Latn-ME"/>
        </w:rPr>
        <w:t>t</w:t>
      </w:r>
      <w:r w:rsidR="00310F03" w:rsidRPr="00EC0535">
        <w:rPr>
          <w:b/>
          <w:bCs/>
          <w:sz w:val="22"/>
          <w:szCs w:val="22"/>
          <w:lang w:val="sr-Latn-ME"/>
        </w:rPr>
        <w:t xml:space="preserve">va za rukovanje lijekom) </w:t>
      </w:r>
    </w:p>
    <w:p w:rsidR="001B4FDA" w:rsidRPr="00EC0535" w:rsidRDefault="001B4FDA" w:rsidP="00480FB1">
      <w:pPr>
        <w:tabs>
          <w:tab w:val="left" w:pos="540"/>
          <w:tab w:val="left" w:pos="569"/>
        </w:tabs>
        <w:rPr>
          <w:b/>
          <w:bCs/>
          <w:sz w:val="22"/>
          <w:szCs w:val="22"/>
          <w:lang w:val="sr-Latn-ME"/>
        </w:rPr>
      </w:pPr>
    </w:p>
    <w:p w:rsidR="001B4FDA" w:rsidRPr="00EC0535" w:rsidRDefault="001B4FDA" w:rsidP="001B4FDA">
      <w:pPr>
        <w:tabs>
          <w:tab w:val="left" w:pos="540"/>
          <w:tab w:val="left" w:pos="569"/>
        </w:tabs>
        <w:rPr>
          <w:bCs/>
          <w:sz w:val="22"/>
          <w:szCs w:val="22"/>
          <w:lang w:val="sr-Latn-ME"/>
        </w:rPr>
      </w:pPr>
      <w:r w:rsidRPr="00EC0535">
        <w:rPr>
          <w:bCs/>
          <w:sz w:val="22"/>
          <w:szCs w:val="22"/>
          <w:lang w:val="sr-Latn-ME"/>
        </w:rPr>
        <w:t>Nema posebnih zahtjeva za odlaganje.</w:t>
      </w:r>
    </w:p>
    <w:p w:rsidR="00B66A70" w:rsidRPr="00EC0535" w:rsidRDefault="001B4FDA" w:rsidP="001B4FDA">
      <w:pPr>
        <w:tabs>
          <w:tab w:val="left" w:pos="540"/>
          <w:tab w:val="left" w:pos="569"/>
        </w:tabs>
        <w:rPr>
          <w:bCs/>
          <w:sz w:val="22"/>
          <w:szCs w:val="22"/>
          <w:lang w:val="sr-Latn-ME"/>
        </w:rPr>
      </w:pPr>
      <w:r w:rsidRPr="00EC0535">
        <w:rPr>
          <w:bCs/>
          <w:sz w:val="22"/>
          <w:szCs w:val="22"/>
          <w:lang w:val="sr-Latn-ME"/>
        </w:rPr>
        <w:t>Neiskorišćeni lijek ili otpadni materijal ukloniti u skladu sa važećim propisima</w:t>
      </w:r>
      <w:r w:rsidR="00F93ACF">
        <w:rPr>
          <w:bCs/>
          <w:sz w:val="22"/>
          <w:szCs w:val="22"/>
          <w:lang w:val="sr-Latn-ME"/>
        </w:rPr>
        <w:t>.</w:t>
      </w:r>
    </w:p>
    <w:p w:rsidR="0072020E" w:rsidRPr="00EC0535" w:rsidRDefault="0072020E" w:rsidP="00480FB1">
      <w:pPr>
        <w:tabs>
          <w:tab w:val="left" w:pos="540"/>
          <w:tab w:val="left" w:pos="569"/>
        </w:tabs>
        <w:rPr>
          <w:bCs/>
          <w:color w:val="FF0000"/>
          <w:sz w:val="22"/>
          <w:szCs w:val="22"/>
          <w:lang w:val="sr-Latn-ME"/>
        </w:rPr>
      </w:pPr>
    </w:p>
    <w:p w:rsidR="00F8570A"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7. </w:t>
      </w:r>
      <w:r w:rsidR="00480FB1" w:rsidRPr="00EC0535">
        <w:rPr>
          <w:b/>
          <w:bCs/>
          <w:sz w:val="22"/>
          <w:szCs w:val="22"/>
          <w:lang w:val="sr-Latn-ME"/>
        </w:rPr>
        <w:tab/>
      </w:r>
      <w:r w:rsidRPr="00EC0535">
        <w:rPr>
          <w:b/>
          <w:bCs/>
          <w:sz w:val="22"/>
          <w:szCs w:val="22"/>
          <w:lang w:val="sr-Latn-ME"/>
        </w:rPr>
        <w:t>NOSILAC DOZVOLE</w:t>
      </w:r>
      <w:r w:rsidR="00483928" w:rsidRPr="00EC0535">
        <w:rPr>
          <w:b/>
          <w:bCs/>
          <w:sz w:val="22"/>
          <w:szCs w:val="22"/>
          <w:lang w:val="sr-Latn-ME"/>
        </w:rPr>
        <w:t xml:space="preserve"> </w:t>
      </w:r>
    </w:p>
    <w:p w:rsidR="001B4FDA" w:rsidRPr="00EC0535" w:rsidRDefault="001B4FDA" w:rsidP="00480FB1">
      <w:pPr>
        <w:tabs>
          <w:tab w:val="left" w:pos="540"/>
          <w:tab w:val="left" w:pos="569"/>
        </w:tabs>
        <w:rPr>
          <w:b/>
          <w:bCs/>
          <w:sz w:val="22"/>
          <w:szCs w:val="22"/>
          <w:lang w:val="sr-Latn-ME"/>
        </w:rPr>
      </w:pPr>
    </w:p>
    <w:p w:rsidR="001B4FDA" w:rsidRPr="00EC0535" w:rsidRDefault="001B4FDA" w:rsidP="001B4FDA">
      <w:pPr>
        <w:tabs>
          <w:tab w:val="left" w:pos="540"/>
          <w:tab w:val="left" w:pos="569"/>
        </w:tabs>
        <w:rPr>
          <w:bCs/>
          <w:sz w:val="22"/>
          <w:szCs w:val="22"/>
          <w:lang w:val="sr-Latn-ME"/>
        </w:rPr>
      </w:pPr>
      <w:r w:rsidRPr="00EC0535">
        <w:rPr>
          <w:bCs/>
          <w:sz w:val="22"/>
          <w:szCs w:val="22"/>
          <w:lang w:val="sr-Latn-ME"/>
        </w:rPr>
        <w:t>Evropa Lek Pharma d.o.o. Podgorica</w:t>
      </w:r>
    </w:p>
    <w:p w:rsidR="001B4FDA" w:rsidRPr="00EC0535" w:rsidRDefault="001B4FDA" w:rsidP="001B4FDA">
      <w:pPr>
        <w:tabs>
          <w:tab w:val="left" w:pos="540"/>
          <w:tab w:val="left" w:pos="569"/>
        </w:tabs>
        <w:rPr>
          <w:bCs/>
          <w:sz w:val="22"/>
          <w:szCs w:val="22"/>
          <w:lang w:val="sr-Latn-ME"/>
        </w:rPr>
      </w:pPr>
      <w:r w:rsidRPr="00EC0535">
        <w:rPr>
          <w:bCs/>
          <w:sz w:val="22"/>
          <w:szCs w:val="22"/>
          <w:lang w:val="sr-Latn-ME"/>
        </w:rPr>
        <w:t>Kritskog odreda 4/1, 81000 Podgorica, Crna Gora</w:t>
      </w:r>
    </w:p>
    <w:p w:rsidR="00C61BE0" w:rsidRPr="00EC0535" w:rsidRDefault="00C61BE0" w:rsidP="00480FB1">
      <w:pPr>
        <w:tabs>
          <w:tab w:val="left" w:pos="540"/>
          <w:tab w:val="left" w:pos="569"/>
        </w:tabs>
        <w:rPr>
          <w:bCs/>
          <w:sz w:val="22"/>
          <w:szCs w:val="22"/>
          <w:lang w:val="sr-Latn-ME"/>
        </w:rPr>
      </w:pPr>
    </w:p>
    <w:p w:rsidR="00C37FD7" w:rsidRPr="00EC0535" w:rsidRDefault="00C37FD7" w:rsidP="00480FB1">
      <w:pPr>
        <w:tabs>
          <w:tab w:val="left" w:pos="540"/>
          <w:tab w:val="left" w:pos="569"/>
        </w:tabs>
        <w:rPr>
          <w:bCs/>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8. </w:t>
      </w:r>
      <w:r w:rsidR="00480FB1" w:rsidRPr="00EC0535">
        <w:rPr>
          <w:b/>
          <w:bCs/>
          <w:sz w:val="22"/>
          <w:szCs w:val="22"/>
          <w:lang w:val="sr-Latn-ME"/>
        </w:rPr>
        <w:tab/>
      </w:r>
      <w:r w:rsidRPr="00EC0535">
        <w:rPr>
          <w:b/>
          <w:bCs/>
          <w:sz w:val="22"/>
          <w:szCs w:val="22"/>
          <w:lang w:val="sr-Latn-ME"/>
        </w:rPr>
        <w:t>BROJ DOZVOLE</w:t>
      </w:r>
      <w:r w:rsidR="008A6D43" w:rsidRPr="00EC0535">
        <w:rPr>
          <w:b/>
          <w:bCs/>
          <w:sz w:val="22"/>
          <w:szCs w:val="22"/>
          <w:lang w:val="sr-Latn-ME"/>
        </w:rPr>
        <w:t xml:space="preserve"> ZA STAVLJANJE LIJEKA U PROMET</w:t>
      </w:r>
    </w:p>
    <w:p w:rsidR="0072020E" w:rsidRDefault="0072020E" w:rsidP="00480FB1">
      <w:pPr>
        <w:tabs>
          <w:tab w:val="left" w:pos="540"/>
          <w:tab w:val="left" w:pos="569"/>
        </w:tabs>
        <w:rPr>
          <w:bCs/>
          <w:sz w:val="22"/>
          <w:szCs w:val="22"/>
          <w:lang w:val="sr-Latn-ME"/>
        </w:rPr>
      </w:pPr>
    </w:p>
    <w:p w:rsidR="00CE3D56" w:rsidRDefault="00CE3D56" w:rsidP="00CE3D56">
      <w:pPr>
        <w:tabs>
          <w:tab w:val="left" w:pos="540"/>
          <w:tab w:val="left" w:pos="569"/>
        </w:tabs>
        <w:rPr>
          <w:bCs/>
          <w:sz w:val="22"/>
          <w:szCs w:val="22"/>
          <w:lang w:val="sr-Latn-ME"/>
        </w:rPr>
      </w:pPr>
      <w:r w:rsidRPr="00CE3D56">
        <w:rPr>
          <w:bCs/>
          <w:sz w:val="22"/>
          <w:szCs w:val="22"/>
          <w:lang w:val="sr-Latn-ME"/>
        </w:rPr>
        <w:t>Erlotinib Pharmascience, film tableta, 100mg, blister, 30 film</w:t>
      </w:r>
      <w:r>
        <w:rPr>
          <w:bCs/>
          <w:sz w:val="22"/>
          <w:szCs w:val="22"/>
          <w:lang w:val="sr-Latn-ME"/>
        </w:rPr>
        <w:t xml:space="preserve"> </w:t>
      </w:r>
      <w:r w:rsidRPr="00CE3D56">
        <w:rPr>
          <w:bCs/>
          <w:sz w:val="22"/>
          <w:szCs w:val="22"/>
          <w:lang w:val="sr-Latn-ME"/>
        </w:rPr>
        <w:t>tableta</w:t>
      </w:r>
      <w:r>
        <w:rPr>
          <w:bCs/>
          <w:sz w:val="22"/>
          <w:szCs w:val="22"/>
          <w:lang w:val="sr-Latn-ME"/>
        </w:rPr>
        <w:t xml:space="preserve">: </w:t>
      </w:r>
      <w:r w:rsidRPr="00CE3D56">
        <w:rPr>
          <w:bCs/>
          <w:sz w:val="22"/>
          <w:szCs w:val="22"/>
          <w:lang w:val="sr-Latn-ME"/>
        </w:rPr>
        <w:t>2030/22/2557 - 1097</w:t>
      </w:r>
    </w:p>
    <w:p w:rsidR="00CE3D56" w:rsidRPr="00EC0535" w:rsidRDefault="00CE3D56" w:rsidP="00CE3D56">
      <w:pPr>
        <w:tabs>
          <w:tab w:val="left" w:pos="540"/>
          <w:tab w:val="left" w:pos="569"/>
        </w:tabs>
        <w:rPr>
          <w:bCs/>
          <w:sz w:val="22"/>
          <w:szCs w:val="22"/>
          <w:lang w:val="sr-Latn-ME"/>
        </w:rPr>
      </w:pPr>
      <w:r w:rsidRPr="00CE3D56">
        <w:rPr>
          <w:bCs/>
          <w:sz w:val="22"/>
          <w:szCs w:val="22"/>
          <w:lang w:val="sr-Latn-ME"/>
        </w:rPr>
        <w:t>Erlotinib</w:t>
      </w:r>
      <w:r>
        <w:rPr>
          <w:bCs/>
          <w:sz w:val="22"/>
          <w:szCs w:val="22"/>
          <w:lang w:val="sr-Latn-ME"/>
        </w:rPr>
        <w:t xml:space="preserve"> Pharmascience, film tableta, 15</w:t>
      </w:r>
      <w:r w:rsidRPr="00CE3D56">
        <w:rPr>
          <w:bCs/>
          <w:sz w:val="22"/>
          <w:szCs w:val="22"/>
          <w:lang w:val="sr-Latn-ME"/>
        </w:rPr>
        <w:t>0mg, blister, 30 film</w:t>
      </w:r>
      <w:r>
        <w:rPr>
          <w:bCs/>
          <w:sz w:val="22"/>
          <w:szCs w:val="22"/>
          <w:lang w:val="sr-Latn-ME"/>
        </w:rPr>
        <w:t xml:space="preserve"> </w:t>
      </w:r>
      <w:r w:rsidRPr="00CE3D56">
        <w:rPr>
          <w:bCs/>
          <w:sz w:val="22"/>
          <w:szCs w:val="22"/>
          <w:lang w:val="sr-Latn-ME"/>
        </w:rPr>
        <w:t>tableta</w:t>
      </w:r>
      <w:r>
        <w:rPr>
          <w:bCs/>
          <w:sz w:val="22"/>
          <w:szCs w:val="22"/>
          <w:lang w:val="sr-Latn-ME"/>
        </w:rPr>
        <w:t xml:space="preserve">: </w:t>
      </w:r>
      <w:r w:rsidRPr="00CE3D56">
        <w:rPr>
          <w:bCs/>
          <w:sz w:val="22"/>
          <w:szCs w:val="22"/>
          <w:lang w:val="sr-Latn-ME"/>
        </w:rPr>
        <w:t>2030/22/2558 - 1098</w:t>
      </w:r>
    </w:p>
    <w:p w:rsidR="00F45F77" w:rsidRPr="00EC0535" w:rsidRDefault="00F45F77" w:rsidP="00480FB1">
      <w:pPr>
        <w:tabs>
          <w:tab w:val="left" w:pos="540"/>
          <w:tab w:val="left" w:pos="569"/>
        </w:tabs>
        <w:rPr>
          <w:bCs/>
          <w:sz w:val="22"/>
          <w:szCs w:val="22"/>
          <w:lang w:val="sr-Latn-ME"/>
        </w:rPr>
      </w:pPr>
    </w:p>
    <w:p w:rsidR="0072020E" w:rsidRPr="00EC0535" w:rsidRDefault="0072020E" w:rsidP="00480FB1">
      <w:pPr>
        <w:tabs>
          <w:tab w:val="left" w:pos="540"/>
          <w:tab w:val="left" w:pos="569"/>
        </w:tabs>
        <w:rPr>
          <w:b/>
          <w:bCs/>
          <w:sz w:val="22"/>
          <w:szCs w:val="22"/>
          <w:lang w:val="sr-Latn-ME"/>
        </w:rPr>
      </w:pPr>
      <w:r w:rsidRPr="00EC0535">
        <w:rPr>
          <w:b/>
          <w:bCs/>
          <w:sz w:val="22"/>
          <w:szCs w:val="22"/>
          <w:lang w:val="sr-Latn-ME"/>
        </w:rPr>
        <w:t xml:space="preserve">9. </w:t>
      </w:r>
      <w:r w:rsidR="00480FB1" w:rsidRPr="00EC0535">
        <w:rPr>
          <w:b/>
          <w:bCs/>
          <w:sz w:val="22"/>
          <w:szCs w:val="22"/>
          <w:lang w:val="sr-Latn-ME"/>
        </w:rPr>
        <w:tab/>
      </w:r>
      <w:r w:rsidRPr="00EC0535">
        <w:rPr>
          <w:b/>
          <w:bCs/>
          <w:sz w:val="22"/>
          <w:szCs w:val="22"/>
          <w:lang w:val="sr-Latn-ME"/>
        </w:rPr>
        <w:t xml:space="preserve">DATUM </w:t>
      </w:r>
      <w:r w:rsidR="00C05DF8" w:rsidRPr="00EC0535">
        <w:rPr>
          <w:b/>
          <w:bCs/>
          <w:sz w:val="22"/>
          <w:szCs w:val="22"/>
          <w:lang w:val="sr-Latn-ME"/>
        </w:rPr>
        <w:t xml:space="preserve">PRVE </w:t>
      </w:r>
      <w:r w:rsidR="008A6D43" w:rsidRPr="00EC0535">
        <w:rPr>
          <w:b/>
          <w:bCs/>
          <w:sz w:val="22"/>
          <w:szCs w:val="22"/>
          <w:lang w:val="sr-Latn-ME"/>
        </w:rPr>
        <w:t>DOZVOLE</w:t>
      </w:r>
      <w:r w:rsidR="00C05DF8" w:rsidRPr="00EC0535">
        <w:rPr>
          <w:b/>
          <w:bCs/>
          <w:sz w:val="22"/>
          <w:szCs w:val="22"/>
          <w:lang w:val="sr-Latn-ME"/>
        </w:rPr>
        <w:t>/OBNOVE DOZVOLE</w:t>
      </w:r>
      <w:r w:rsidR="008A6D43" w:rsidRPr="00EC0535">
        <w:rPr>
          <w:b/>
          <w:bCs/>
          <w:sz w:val="22"/>
          <w:szCs w:val="22"/>
          <w:lang w:val="sr-Latn-ME"/>
        </w:rPr>
        <w:t xml:space="preserve"> ZA STAVLJANJE LIJEKA U PROMET</w:t>
      </w:r>
    </w:p>
    <w:p w:rsidR="0072020E" w:rsidRPr="00EC0535" w:rsidRDefault="0072020E" w:rsidP="00480FB1">
      <w:pPr>
        <w:tabs>
          <w:tab w:val="left" w:pos="540"/>
          <w:tab w:val="left" w:pos="569"/>
        </w:tabs>
        <w:rPr>
          <w:bCs/>
          <w:sz w:val="22"/>
          <w:szCs w:val="22"/>
          <w:lang w:val="sr-Latn-ME"/>
        </w:rPr>
      </w:pPr>
    </w:p>
    <w:p w:rsidR="00836B35" w:rsidRDefault="00CE3D56" w:rsidP="00480FB1">
      <w:pPr>
        <w:tabs>
          <w:tab w:val="left" w:pos="540"/>
          <w:tab w:val="left" w:pos="569"/>
        </w:tabs>
        <w:rPr>
          <w:bCs/>
          <w:sz w:val="22"/>
          <w:szCs w:val="22"/>
          <w:lang w:val="sr-Latn-ME"/>
        </w:rPr>
      </w:pPr>
      <w:r w:rsidRPr="00CE3D56">
        <w:rPr>
          <w:bCs/>
          <w:sz w:val="22"/>
          <w:szCs w:val="22"/>
          <w:lang w:val="sr-Latn-ME"/>
        </w:rPr>
        <w:t>10.10.2022. godine</w:t>
      </w:r>
    </w:p>
    <w:p w:rsidR="00CE3D56" w:rsidRPr="00EC0535" w:rsidRDefault="00CE3D56" w:rsidP="00480FB1">
      <w:pPr>
        <w:tabs>
          <w:tab w:val="left" w:pos="540"/>
          <w:tab w:val="left" w:pos="569"/>
        </w:tabs>
        <w:rPr>
          <w:bCs/>
          <w:sz w:val="22"/>
          <w:szCs w:val="22"/>
          <w:lang w:val="sr-Latn-ME"/>
        </w:rPr>
      </w:pPr>
    </w:p>
    <w:p w:rsidR="003F6A59" w:rsidRPr="00EC0535" w:rsidRDefault="0072020E" w:rsidP="00C05DF8">
      <w:pPr>
        <w:tabs>
          <w:tab w:val="left" w:pos="540"/>
          <w:tab w:val="left" w:pos="569"/>
        </w:tabs>
        <w:ind w:left="540" w:hanging="540"/>
        <w:rPr>
          <w:bCs/>
          <w:sz w:val="22"/>
          <w:szCs w:val="22"/>
          <w:lang w:val="sr-Latn-ME"/>
        </w:rPr>
      </w:pPr>
      <w:r w:rsidRPr="00EC0535">
        <w:rPr>
          <w:b/>
          <w:bCs/>
          <w:sz w:val="22"/>
          <w:szCs w:val="22"/>
          <w:lang w:val="sr-Latn-ME"/>
        </w:rPr>
        <w:t xml:space="preserve">10. </w:t>
      </w:r>
      <w:r w:rsidR="00480FB1" w:rsidRPr="00EC0535">
        <w:rPr>
          <w:b/>
          <w:bCs/>
          <w:sz w:val="22"/>
          <w:szCs w:val="22"/>
          <w:lang w:val="sr-Latn-ME"/>
        </w:rPr>
        <w:tab/>
      </w:r>
      <w:r w:rsidR="002846DB" w:rsidRPr="00EC0535">
        <w:rPr>
          <w:b/>
          <w:bCs/>
          <w:sz w:val="22"/>
          <w:szCs w:val="22"/>
          <w:lang w:val="sr-Latn-ME"/>
        </w:rPr>
        <w:t>D</w:t>
      </w:r>
      <w:r w:rsidR="00EC2532" w:rsidRPr="00EC0535">
        <w:rPr>
          <w:b/>
          <w:bCs/>
          <w:sz w:val="22"/>
          <w:szCs w:val="22"/>
          <w:lang w:val="sr-Latn-ME"/>
        </w:rPr>
        <w:t xml:space="preserve">ATUM REVIZIJE TEKSTA </w:t>
      </w:r>
    </w:p>
    <w:p w:rsidR="003F6A59" w:rsidRPr="00EC0535" w:rsidRDefault="003F6A59" w:rsidP="00480FB1">
      <w:pPr>
        <w:tabs>
          <w:tab w:val="left" w:pos="540"/>
          <w:tab w:val="left" w:pos="569"/>
        </w:tabs>
        <w:rPr>
          <w:bCs/>
          <w:sz w:val="22"/>
          <w:szCs w:val="22"/>
          <w:lang w:val="sr-Latn-ME"/>
        </w:rPr>
      </w:pPr>
    </w:p>
    <w:p w:rsidR="003F6A59" w:rsidRPr="00EC0535" w:rsidRDefault="00CE3D56" w:rsidP="00DE3F5C">
      <w:pPr>
        <w:rPr>
          <w:sz w:val="22"/>
          <w:szCs w:val="22"/>
          <w:lang w:val="sr-Latn-ME"/>
        </w:rPr>
      </w:pPr>
      <w:r>
        <w:rPr>
          <w:bCs/>
          <w:sz w:val="22"/>
          <w:szCs w:val="22"/>
          <w:lang w:val="sr-Latn-ME"/>
        </w:rPr>
        <w:t>Oktobar</w:t>
      </w:r>
      <w:bookmarkStart w:id="0" w:name="_GoBack"/>
      <w:bookmarkEnd w:id="0"/>
      <w:r w:rsidR="001B4FDA" w:rsidRPr="00EC0535">
        <w:rPr>
          <w:bCs/>
          <w:sz w:val="22"/>
          <w:szCs w:val="22"/>
          <w:lang w:val="sr-Latn-ME"/>
        </w:rPr>
        <w:t>, 2022. godine</w:t>
      </w:r>
    </w:p>
    <w:sectPr w:rsidR="003F6A59" w:rsidRPr="00EC0535"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021" w:rsidRDefault="005F1021">
      <w:r>
        <w:separator/>
      </w:r>
    </w:p>
  </w:endnote>
  <w:endnote w:type="continuationSeparator" w:id="0">
    <w:p w:rsidR="005F1021" w:rsidRDefault="005F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EA" w:rsidRPr="00B23F69" w:rsidRDefault="00FF1BE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E3D56">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E3D56">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021" w:rsidRDefault="005F1021">
      <w:r>
        <w:separator/>
      </w:r>
    </w:p>
  </w:footnote>
  <w:footnote w:type="continuationSeparator" w:id="0">
    <w:p w:rsidR="005F1021" w:rsidRDefault="005F1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D61"/>
    <w:rsid w:val="000176CA"/>
    <w:rsid w:val="00026E08"/>
    <w:rsid w:val="00036FA0"/>
    <w:rsid w:val="0003793F"/>
    <w:rsid w:val="00053561"/>
    <w:rsid w:val="00057E35"/>
    <w:rsid w:val="0006558F"/>
    <w:rsid w:val="00076726"/>
    <w:rsid w:val="00080303"/>
    <w:rsid w:val="000A3F58"/>
    <w:rsid w:val="000A57A9"/>
    <w:rsid w:val="000B5074"/>
    <w:rsid w:val="000D2343"/>
    <w:rsid w:val="000D3449"/>
    <w:rsid w:val="000D425A"/>
    <w:rsid w:val="000D60CC"/>
    <w:rsid w:val="000E2084"/>
    <w:rsid w:val="000E6F55"/>
    <w:rsid w:val="000F1284"/>
    <w:rsid w:val="000F3979"/>
    <w:rsid w:val="000F77FA"/>
    <w:rsid w:val="00100E81"/>
    <w:rsid w:val="00107BF7"/>
    <w:rsid w:val="00126F53"/>
    <w:rsid w:val="00131069"/>
    <w:rsid w:val="0014316B"/>
    <w:rsid w:val="0014766D"/>
    <w:rsid w:val="001536CC"/>
    <w:rsid w:val="001749A9"/>
    <w:rsid w:val="00176468"/>
    <w:rsid w:val="001A3FBA"/>
    <w:rsid w:val="001A5518"/>
    <w:rsid w:val="001A5A9C"/>
    <w:rsid w:val="001A6D35"/>
    <w:rsid w:val="001B1C6A"/>
    <w:rsid w:val="001B4FDA"/>
    <w:rsid w:val="001C1263"/>
    <w:rsid w:val="001C1417"/>
    <w:rsid w:val="001E390B"/>
    <w:rsid w:val="001E4FA0"/>
    <w:rsid w:val="001F42FB"/>
    <w:rsid w:val="001F719A"/>
    <w:rsid w:val="0020077A"/>
    <w:rsid w:val="002031B3"/>
    <w:rsid w:val="00215931"/>
    <w:rsid w:val="00222BBD"/>
    <w:rsid w:val="00224C91"/>
    <w:rsid w:val="00227BDB"/>
    <w:rsid w:val="00234CB1"/>
    <w:rsid w:val="002352F8"/>
    <w:rsid w:val="00237670"/>
    <w:rsid w:val="00250526"/>
    <w:rsid w:val="002510A5"/>
    <w:rsid w:val="00254A0A"/>
    <w:rsid w:val="00266046"/>
    <w:rsid w:val="002673E0"/>
    <w:rsid w:val="002758BC"/>
    <w:rsid w:val="002846DB"/>
    <w:rsid w:val="00284CCD"/>
    <w:rsid w:val="002C1258"/>
    <w:rsid w:val="002C6637"/>
    <w:rsid w:val="002E0135"/>
    <w:rsid w:val="002E2B4A"/>
    <w:rsid w:val="002E37A5"/>
    <w:rsid w:val="002E4784"/>
    <w:rsid w:val="002E702B"/>
    <w:rsid w:val="002F1D49"/>
    <w:rsid w:val="00306231"/>
    <w:rsid w:val="00310F03"/>
    <w:rsid w:val="003247D2"/>
    <w:rsid w:val="003445C1"/>
    <w:rsid w:val="00352808"/>
    <w:rsid w:val="00355B61"/>
    <w:rsid w:val="00362686"/>
    <w:rsid w:val="00371510"/>
    <w:rsid w:val="00396DFD"/>
    <w:rsid w:val="003A7059"/>
    <w:rsid w:val="003B7A36"/>
    <w:rsid w:val="003C17AB"/>
    <w:rsid w:val="003C5B4D"/>
    <w:rsid w:val="003C7823"/>
    <w:rsid w:val="003D75E5"/>
    <w:rsid w:val="003E1DCC"/>
    <w:rsid w:val="003F0956"/>
    <w:rsid w:val="003F11A1"/>
    <w:rsid w:val="003F6A59"/>
    <w:rsid w:val="004065C8"/>
    <w:rsid w:val="004109FA"/>
    <w:rsid w:val="00411B4B"/>
    <w:rsid w:val="00415BEE"/>
    <w:rsid w:val="00420847"/>
    <w:rsid w:val="00427F85"/>
    <w:rsid w:val="00436F42"/>
    <w:rsid w:val="004378B4"/>
    <w:rsid w:val="00437DD3"/>
    <w:rsid w:val="0044798A"/>
    <w:rsid w:val="00451314"/>
    <w:rsid w:val="00452E9D"/>
    <w:rsid w:val="004534C7"/>
    <w:rsid w:val="0045392D"/>
    <w:rsid w:val="004671AA"/>
    <w:rsid w:val="00480FB1"/>
    <w:rsid w:val="00483928"/>
    <w:rsid w:val="004A19CD"/>
    <w:rsid w:val="004B11F7"/>
    <w:rsid w:val="004B5384"/>
    <w:rsid w:val="004C331F"/>
    <w:rsid w:val="004D6103"/>
    <w:rsid w:val="004E3BCE"/>
    <w:rsid w:val="004E70AD"/>
    <w:rsid w:val="004F0E97"/>
    <w:rsid w:val="004F3A1F"/>
    <w:rsid w:val="00501DD1"/>
    <w:rsid w:val="0051478D"/>
    <w:rsid w:val="00515C21"/>
    <w:rsid w:val="00530BD7"/>
    <w:rsid w:val="00533ADB"/>
    <w:rsid w:val="00545CD2"/>
    <w:rsid w:val="005476F3"/>
    <w:rsid w:val="00565CBD"/>
    <w:rsid w:val="00572527"/>
    <w:rsid w:val="00573E40"/>
    <w:rsid w:val="00576348"/>
    <w:rsid w:val="00581AEA"/>
    <w:rsid w:val="005915FA"/>
    <w:rsid w:val="005A0B2E"/>
    <w:rsid w:val="005A23D2"/>
    <w:rsid w:val="005A36CB"/>
    <w:rsid w:val="005B49B8"/>
    <w:rsid w:val="005C0741"/>
    <w:rsid w:val="005C5EF4"/>
    <w:rsid w:val="005E2E0B"/>
    <w:rsid w:val="005E7A7D"/>
    <w:rsid w:val="005F1021"/>
    <w:rsid w:val="006021B6"/>
    <w:rsid w:val="00602457"/>
    <w:rsid w:val="00613175"/>
    <w:rsid w:val="00621427"/>
    <w:rsid w:val="0064301E"/>
    <w:rsid w:val="00644FC3"/>
    <w:rsid w:val="00646BD1"/>
    <w:rsid w:val="00647307"/>
    <w:rsid w:val="00652B12"/>
    <w:rsid w:val="006561C2"/>
    <w:rsid w:val="00671CB3"/>
    <w:rsid w:val="00674BAF"/>
    <w:rsid w:val="00682200"/>
    <w:rsid w:val="00692BF6"/>
    <w:rsid w:val="00693220"/>
    <w:rsid w:val="00694D5B"/>
    <w:rsid w:val="006A1497"/>
    <w:rsid w:val="006B0BD1"/>
    <w:rsid w:val="006B3ACC"/>
    <w:rsid w:val="006B5404"/>
    <w:rsid w:val="006D20A5"/>
    <w:rsid w:val="006D37BF"/>
    <w:rsid w:val="006F05E2"/>
    <w:rsid w:val="00702E22"/>
    <w:rsid w:val="00715B4E"/>
    <w:rsid w:val="0072020E"/>
    <w:rsid w:val="00740054"/>
    <w:rsid w:val="0076677E"/>
    <w:rsid w:val="007850A7"/>
    <w:rsid w:val="00786071"/>
    <w:rsid w:val="007A3ECB"/>
    <w:rsid w:val="007B5A6B"/>
    <w:rsid w:val="007D7BB3"/>
    <w:rsid w:val="007E53C2"/>
    <w:rsid w:val="00802160"/>
    <w:rsid w:val="00806006"/>
    <w:rsid w:val="00812474"/>
    <w:rsid w:val="00824AB9"/>
    <w:rsid w:val="00827B1D"/>
    <w:rsid w:val="00836B35"/>
    <w:rsid w:val="00843BDE"/>
    <w:rsid w:val="00850579"/>
    <w:rsid w:val="008511A0"/>
    <w:rsid w:val="008550C0"/>
    <w:rsid w:val="00862DFF"/>
    <w:rsid w:val="00864227"/>
    <w:rsid w:val="0087588C"/>
    <w:rsid w:val="0089336B"/>
    <w:rsid w:val="0089705C"/>
    <w:rsid w:val="008A6D43"/>
    <w:rsid w:val="008B491E"/>
    <w:rsid w:val="008C1A28"/>
    <w:rsid w:val="008C2E98"/>
    <w:rsid w:val="008E49BD"/>
    <w:rsid w:val="008E53E9"/>
    <w:rsid w:val="008E5771"/>
    <w:rsid w:val="008E6C38"/>
    <w:rsid w:val="008E7751"/>
    <w:rsid w:val="008F4ACF"/>
    <w:rsid w:val="00907B4E"/>
    <w:rsid w:val="00924166"/>
    <w:rsid w:val="00940B9B"/>
    <w:rsid w:val="009443D0"/>
    <w:rsid w:val="0095676E"/>
    <w:rsid w:val="00956983"/>
    <w:rsid w:val="00963CF0"/>
    <w:rsid w:val="00964BB1"/>
    <w:rsid w:val="009775D9"/>
    <w:rsid w:val="00986946"/>
    <w:rsid w:val="00996D14"/>
    <w:rsid w:val="00997175"/>
    <w:rsid w:val="009A1847"/>
    <w:rsid w:val="009A3AAB"/>
    <w:rsid w:val="009A3E29"/>
    <w:rsid w:val="009B062A"/>
    <w:rsid w:val="009C6B85"/>
    <w:rsid w:val="009E2A15"/>
    <w:rsid w:val="009E2B83"/>
    <w:rsid w:val="009E7C6F"/>
    <w:rsid w:val="009F1793"/>
    <w:rsid w:val="009F2D23"/>
    <w:rsid w:val="009F3B95"/>
    <w:rsid w:val="00A01D69"/>
    <w:rsid w:val="00A02335"/>
    <w:rsid w:val="00A22879"/>
    <w:rsid w:val="00A46C9A"/>
    <w:rsid w:val="00A519D7"/>
    <w:rsid w:val="00A53808"/>
    <w:rsid w:val="00A619F3"/>
    <w:rsid w:val="00A62A73"/>
    <w:rsid w:val="00A712EB"/>
    <w:rsid w:val="00A728E1"/>
    <w:rsid w:val="00A74255"/>
    <w:rsid w:val="00A87FF6"/>
    <w:rsid w:val="00AA0A3B"/>
    <w:rsid w:val="00AA2763"/>
    <w:rsid w:val="00AA33B6"/>
    <w:rsid w:val="00AB447A"/>
    <w:rsid w:val="00AB50CA"/>
    <w:rsid w:val="00AB6D64"/>
    <w:rsid w:val="00AC3E4E"/>
    <w:rsid w:val="00AC53CE"/>
    <w:rsid w:val="00AD07B6"/>
    <w:rsid w:val="00AD2193"/>
    <w:rsid w:val="00AF2AC7"/>
    <w:rsid w:val="00AF74CE"/>
    <w:rsid w:val="00B17820"/>
    <w:rsid w:val="00B20425"/>
    <w:rsid w:val="00B208DB"/>
    <w:rsid w:val="00B23F69"/>
    <w:rsid w:val="00B479AD"/>
    <w:rsid w:val="00B54789"/>
    <w:rsid w:val="00B60619"/>
    <w:rsid w:val="00B66A70"/>
    <w:rsid w:val="00B67366"/>
    <w:rsid w:val="00B80EE1"/>
    <w:rsid w:val="00B838E6"/>
    <w:rsid w:val="00B84135"/>
    <w:rsid w:val="00B87460"/>
    <w:rsid w:val="00BC6230"/>
    <w:rsid w:val="00C04D34"/>
    <w:rsid w:val="00C05DF8"/>
    <w:rsid w:val="00C06864"/>
    <w:rsid w:val="00C10F54"/>
    <w:rsid w:val="00C23D8D"/>
    <w:rsid w:val="00C37AA3"/>
    <w:rsid w:val="00C37FD7"/>
    <w:rsid w:val="00C43419"/>
    <w:rsid w:val="00C44CF3"/>
    <w:rsid w:val="00C56E0D"/>
    <w:rsid w:val="00C60418"/>
    <w:rsid w:val="00C61405"/>
    <w:rsid w:val="00C61BE0"/>
    <w:rsid w:val="00C65056"/>
    <w:rsid w:val="00C6707E"/>
    <w:rsid w:val="00C70B0E"/>
    <w:rsid w:val="00C773CA"/>
    <w:rsid w:val="00C83785"/>
    <w:rsid w:val="00C94C0D"/>
    <w:rsid w:val="00C95093"/>
    <w:rsid w:val="00CA1FEB"/>
    <w:rsid w:val="00CA294F"/>
    <w:rsid w:val="00CA59C9"/>
    <w:rsid w:val="00CC64C5"/>
    <w:rsid w:val="00CD077A"/>
    <w:rsid w:val="00CD2B8A"/>
    <w:rsid w:val="00CD4F85"/>
    <w:rsid w:val="00CD6F02"/>
    <w:rsid w:val="00CE246D"/>
    <w:rsid w:val="00CE3CC1"/>
    <w:rsid w:val="00CE3D56"/>
    <w:rsid w:val="00CE4F97"/>
    <w:rsid w:val="00CE577D"/>
    <w:rsid w:val="00CF07A0"/>
    <w:rsid w:val="00CF3E03"/>
    <w:rsid w:val="00D0082A"/>
    <w:rsid w:val="00D0461E"/>
    <w:rsid w:val="00D10EC0"/>
    <w:rsid w:val="00D20499"/>
    <w:rsid w:val="00D21455"/>
    <w:rsid w:val="00D312D8"/>
    <w:rsid w:val="00D47634"/>
    <w:rsid w:val="00D709B3"/>
    <w:rsid w:val="00D74D18"/>
    <w:rsid w:val="00D85521"/>
    <w:rsid w:val="00D921C5"/>
    <w:rsid w:val="00DA1D60"/>
    <w:rsid w:val="00DA2ED6"/>
    <w:rsid w:val="00DB76B8"/>
    <w:rsid w:val="00DC1C09"/>
    <w:rsid w:val="00DC2EA1"/>
    <w:rsid w:val="00DD175A"/>
    <w:rsid w:val="00DD6AAF"/>
    <w:rsid w:val="00DE3F5C"/>
    <w:rsid w:val="00DF083C"/>
    <w:rsid w:val="00DF1D20"/>
    <w:rsid w:val="00E00669"/>
    <w:rsid w:val="00E03394"/>
    <w:rsid w:val="00E20D6C"/>
    <w:rsid w:val="00E21324"/>
    <w:rsid w:val="00E246B9"/>
    <w:rsid w:val="00E308EE"/>
    <w:rsid w:val="00E31FEA"/>
    <w:rsid w:val="00E32727"/>
    <w:rsid w:val="00E45169"/>
    <w:rsid w:val="00E47787"/>
    <w:rsid w:val="00E51C30"/>
    <w:rsid w:val="00E64180"/>
    <w:rsid w:val="00E74AEE"/>
    <w:rsid w:val="00E868E5"/>
    <w:rsid w:val="00E9237A"/>
    <w:rsid w:val="00E939FA"/>
    <w:rsid w:val="00E96454"/>
    <w:rsid w:val="00EA5765"/>
    <w:rsid w:val="00EB6830"/>
    <w:rsid w:val="00EC0535"/>
    <w:rsid w:val="00EC2532"/>
    <w:rsid w:val="00ED7812"/>
    <w:rsid w:val="00EE56B6"/>
    <w:rsid w:val="00EF20C3"/>
    <w:rsid w:val="00EF3B86"/>
    <w:rsid w:val="00F14A82"/>
    <w:rsid w:val="00F317E9"/>
    <w:rsid w:val="00F34554"/>
    <w:rsid w:val="00F45F77"/>
    <w:rsid w:val="00F5167F"/>
    <w:rsid w:val="00F52258"/>
    <w:rsid w:val="00F7298E"/>
    <w:rsid w:val="00F8570A"/>
    <w:rsid w:val="00F91C7B"/>
    <w:rsid w:val="00F93ACF"/>
    <w:rsid w:val="00FB328F"/>
    <w:rsid w:val="00FB49FC"/>
    <w:rsid w:val="00FF1BE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6F8E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17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2869">
      <w:bodyDiv w:val="1"/>
      <w:marLeft w:val="0"/>
      <w:marRight w:val="0"/>
      <w:marTop w:val="0"/>
      <w:marBottom w:val="0"/>
      <w:divBdr>
        <w:top w:val="none" w:sz="0" w:space="0" w:color="auto"/>
        <w:left w:val="none" w:sz="0" w:space="0" w:color="auto"/>
        <w:bottom w:val="none" w:sz="0" w:space="0" w:color="auto"/>
        <w:right w:val="none" w:sz="0" w:space="0" w:color="auto"/>
      </w:divBdr>
    </w:div>
    <w:div w:id="198275370">
      <w:bodyDiv w:val="1"/>
      <w:marLeft w:val="0"/>
      <w:marRight w:val="0"/>
      <w:marTop w:val="0"/>
      <w:marBottom w:val="0"/>
      <w:divBdr>
        <w:top w:val="none" w:sz="0" w:space="0" w:color="auto"/>
        <w:left w:val="none" w:sz="0" w:space="0" w:color="auto"/>
        <w:bottom w:val="none" w:sz="0" w:space="0" w:color="auto"/>
        <w:right w:val="none" w:sz="0" w:space="0" w:color="auto"/>
      </w:divBdr>
    </w:div>
    <w:div w:id="212540419">
      <w:bodyDiv w:val="1"/>
      <w:marLeft w:val="0"/>
      <w:marRight w:val="0"/>
      <w:marTop w:val="0"/>
      <w:marBottom w:val="0"/>
      <w:divBdr>
        <w:top w:val="none" w:sz="0" w:space="0" w:color="auto"/>
        <w:left w:val="none" w:sz="0" w:space="0" w:color="auto"/>
        <w:bottom w:val="none" w:sz="0" w:space="0" w:color="auto"/>
        <w:right w:val="none" w:sz="0" w:space="0" w:color="auto"/>
      </w:divBdr>
    </w:div>
    <w:div w:id="286283318">
      <w:bodyDiv w:val="1"/>
      <w:marLeft w:val="0"/>
      <w:marRight w:val="0"/>
      <w:marTop w:val="0"/>
      <w:marBottom w:val="0"/>
      <w:divBdr>
        <w:top w:val="none" w:sz="0" w:space="0" w:color="auto"/>
        <w:left w:val="none" w:sz="0" w:space="0" w:color="auto"/>
        <w:bottom w:val="none" w:sz="0" w:space="0" w:color="auto"/>
        <w:right w:val="none" w:sz="0" w:space="0" w:color="auto"/>
      </w:divBdr>
    </w:div>
    <w:div w:id="372463957">
      <w:bodyDiv w:val="1"/>
      <w:marLeft w:val="0"/>
      <w:marRight w:val="0"/>
      <w:marTop w:val="0"/>
      <w:marBottom w:val="0"/>
      <w:divBdr>
        <w:top w:val="none" w:sz="0" w:space="0" w:color="auto"/>
        <w:left w:val="none" w:sz="0" w:space="0" w:color="auto"/>
        <w:bottom w:val="none" w:sz="0" w:space="0" w:color="auto"/>
        <w:right w:val="none" w:sz="0" w:space="0" w:color="auto"/>
      </w:divBdr>
    </w:div>
    <w:div w:id="383455374">
      <w:bodyDiv w:val="1"/>
      <w:marLeft w:val="0"/>
      <w:marRight w:val="0"/>
      <w:marTop w:val="0"/>
      <w:marBottom w:val="0"/>
      <w:divBdr>
        <w:top w:val="none" w:sz="0" w:space="0" w:color="auto"/>
        <w:left w:val="none" w:sz="0" w:space="0" w:color="auto"/>
        <w:bottom w:val="none" w:sz="0" w:space="0" w:color="auto"/>
        <w:right w:val="none" w:sz="0" w:space="0" w:color="auto"/>
      </w:divBdr>
    </w:div>
    <w:div w:id="547572491">
      <w:bodyDiv w:val="1"/>
      <w:marLeft w:val="0"/>
      <w:marRight w:val="0"/>
      <w:marTop w:val="0"/>
      <w:marBottom w:val="0"/>
      <w:divBdr>
        <w:top w:val="none" w:sz="0" w:space="0" w:color="auto"/>
        <w:left w:val="none" w:sz="0" w:space="0" w:color="auto"/>
        <w:bottom w:val="none" w:sz="0" w:space="0" w:color="auto"/>
        <w:right w:val="none" w:sz="0" w:space="0" w:color="auto"/>
      </w:divBdr>
    </w:div>
    <w:div w:id="549269434">
      <w:bodyDiv w:val="1"/>
      <w:marLeft w:val="0"/>
      <w:marRight w:val="0"/>
      <w:marTop w:val="0"/>
      <w:marBottom w:val="0"/>
      <w:divBdr>
        <w:top w:val="none" w:sz="0" w:space="0" w:color="auto"/>
        <w:left w:val="none" w:sz="0" w:space="0" w:color="auto"/>
        <w:bottom w:val="none" w:sz="0" w:space="0" w:color="auto"/>
        <w:right w:val="none" w:sz="0" w:space="0" w:color="auto"/>
      </w:divBdr>
    </w:div>
    <w:div w:id="604923717">
      <w:bodyDiv w:val="1"/>
      <w:marLeft w:val="0"/>
      <w:marRight w:val="0"/>
      <w:marTop w:val="0"/>
      <w:marBottom w:val="0"/>
      <w:divBdr>
        <w:top w:val="none" w:sz="0" w:space="0" w:color="auto"/>
        <w:left w:val="none" w:sz="0" w:space="0" w:color="auto"/>
        <w:bottom w:val="none" w:sz="0" w:space="0" w:color="auto"/>
        <w:right w:val="none" w:sz="0" w:space="0" w:color="auto"/>
      </w:divBdr>
    </w:div>
    <w:div w:id="735012202">
      <w:bodyDiv w:val="1"/>
      <w:marLeft w:val="0"/>
      <w:marRight w:val="0"/>
      <w:marTop w:val="0"/>
      <w:marBottom w:val="0"/>
      <w:divBdr>
        <w:top w:val="none" w:sz="0" w:space="0" w:color="auto"/>
        <w:left w:val="none" w:sz="0" w:space="0" w:color="auto"/>
        <w:bottom w:val="none" w:sz="0" w:space="0" w:color="auto"/>
        <w:right w:val="none" w:sz="0" w:space="0" w:color="auto"/>
      </w:divBdr>
    </w:div>
    <w:div w:id="826556293">
      <w:bodyDiv w:val="1"/>
      <w:marLeft w:val="0"/>
      <w:marRight w:val="0"/>
      <w:marTop w:val="0"/>
      <w:marBottom w:val="0"/>
      <w:divBdr>
        <w:top w:val="none" w:sz="0" w:space="0" w:color="auto"/>
        <w:left w:val="none" w:sz="0" w:space="0" w:color="auto"/>
        <w:bottom w:val="none" w:sz="0" w:space="0" w:color="auto"/>
        <w:right w:val="none" w:sz="0" w:space="0" w:color="auto"/>
      </w:divBdr>
    </w:div>
    <w:div w:id="891963624">
      <w:bodyDiv w:val="1"/>
      <w:marLeft w:val="0"/>
      <w:marRight w:val="0"/>
      <w:marTop w:val="0"/>
      <w:marBottom w:val="0"/>
      <w:divBdr>
        <w:top w:val="none" w:sz="0" w:space="0" w:color="auto"/>
        <w:left w:val="none" w:sz="0" w:space="0" w:color="auto"/>
        <w:bottom w:val="none" w:sz="0" w:space="0" w:color="auto"/>
        <w:right w:val="none" w:sz="0" w:space="0" w:color="auto"/>
      </w:divBdr>
    </w:div>
    <w:div w:id="942497788">
      <w:bodyDiv w:val="1"/>
      <w:marLeft w:val="0"/>
      <w:marRight w:val="0"/>
      <w:marTop w:val="0"/>
      <w:marBottom w:val="0"/>
      <w:divBdr>
        <w:top w:val="none" w:sz="0" w:space="0" w:color="auto"/>
        <w:left w:val="none" w:sz="0" w:space="0" w:color="auto"/>
        <w:bottom w:val="none" w:sz="0" w:space="0" w:color="auto"/>
        <w:right w:val="none" w:sz="0" w:space="0" w:color="auto"/>
      </w:divBdr>
    </w:div>
    <w:div w:id="1249316539">
      <w:bodyDiv w:val="1"/>
      <w:marLeft w:val="0"/>
      <w:marRight w:val="0"/>
      <w:marTop w:val="0"/>
      <w:marBottom w:val="0"/>
      <w:divBdr>
        <w:top w:val="none" w:sz="0" w:space="0" w:color="auto"/>
        <w:left w:val="none" w:sz="0" w:space="0" w:color="auto"/>
        <w:bottom w:val="none" w:sz="0" w:space="0" w:color="auto"/>
        <w:right w:val="none" w:sz="0" w:space="0" w:color="auto"/>
      </w:divBdr>
    </w:div>
    <w:div w:id="1261988171">
      <w:bodyDiv w:val="1"/>
      <w:marLeft w:val="0"/>
      <w:marRight w:val="0"/>
      <w:marTop w:val="0"/>
      <w:marBottom w:val="0"/>
      <w:divBdr>
        <w:top w:val="none" w:sz="0" w:space="0" w:color="auto"/>
        <w:left w:val="none" w:sz="0" w:space="0" w:color="auto"/>
        <w:bottom w:val="none" w:sz="0" w:space="0" w:color="auto"/>
        <w:right w:val="none" w:sz="0" w:space="0" w:color="auto"/>
      </w:divBdr>
    </w:div>
    <w:div w:id="1396198295">
      <w:bodyDiv w:val="1"/>
      <w:marLeft w:val="0"/>
      <w:marRight w:val="0"/>
      <w:marTop w:val="0"/>
      <w:marBottom w:val="0"/>
      <w:divBdr>
        <w:top w:val="none" w:sz="0" w:space="0" w:color="auto"/>
        <w:left w:val="none" w:sz="0" w:space="0" w:color="auto"/>
        <w:bottom w:val="none" w:sz="0" w:space="0" w:color="auto"/>
        <w:right w:val="none" w:sz="0" w:space="0" w:color="auto"/>
      </w:divBdr>
    </w:div>
    <w:div w:id="1484083907">
      <w:bodyDiv w:val="1"/>
      <w:marLeft w:val="0"/>
      <w:marRight w:val="0"/>
      <w:marTop w:val="0"/>
      <w:marBottom w:val="0"/>
      <w:divBdr>
        <w:top w:val="none" w:sz="0" w:space="0" w:color="auto"/>
        <w:left w:val="none" w:sz="0" w:space="0" w:color="auto"/>
        <w:bottom w:val="none" w:sz="0" w:space="0" w:color="auto"/>
        <w:right w:val="none" w:sz="0" w:space="0" w:color="auto"/>
      </w:divBdr>
    </w:div>
    <w:div w:id="1491828210">
      <w:bodyDiv w:val="1"/>
      <w:marLeft w:val="0"/>
      <w:marRight w:val="0"/>
      <w:marTop w:val="0"/>
      <w:marBottom w:val="0"/>
      <w:divBdr>
        <w:top w:val="none" w:sz="0" w:space="0" w:color="auto"/>
        <w:left w:val="none" w:sz="0" w:space="0" w:color="auto"/>
        <w:bottom w:val="none" w:sz="0" w:space="0" w:color="auto"/>
        <w:right w:val="none" w:sz="0" w:space="0" w:color="auto"/>
      </w:divBdr>
    </w:div>
    <w:div w:id="1546795484">
      <w:bodyDiv w:val="1"/>
      <w:marLeft w:val="0"/>
      <w:marRight w:val="0"/>
      <w:marTop w:val="0"/>
      <w:marBottom w:val="0"/>
      <w:divBdr>
        <w:top w:val="none" w:sz="0" w:space="0" w:color="auto"/>
        <w:left w:val="none" w:sz="0" w:space="0" w:color="auto"/>
        <w:bottom w:val="none" w:sz="0" w:space="0" w:color="auto"/>
        <w:right w:val="none" w:sz="0" w:space="0" w:color="auto"/>
      </w:divBdr>
    </w:div>
    <w:div w:id="1558593011">
      <w:bodyDiv w:val="1"/>
      <w:marLeft w:val="0"/>
      <w:marRight w:val="0"/>
      <w:marTop w:val="0"/>
      <w:marBottom w:val="0"/>
      <w:divBdr>
        <w:top w:val="none" w:sz="0" w:space="0" w:color="auto"/>
        <w:left w:val="none" w:sz="0" w:space="0" w:color="auto"/>
        <w:bottom w:val="none" w:sz="0" w:space="0" w:color="auto"/>
        <w:right w:val="none" w:sz="0" w:space="0" w:color="auto"/>
      </w:divBdr>
    </w:div>
    <w:div w:id="1597208688">
      <w:bodyDiv w:val="1"/>
      <w:marLeft w:val="0"/>
      <w:marRight w:val="0"/>
      <w:marTop w:val="0"/>
      <w:marBottom w:val="0"/>
      <w:divBdr>
        <w:top w:val="none" w:sz="0" w:space="0" w:color="auto"/>
        <w:left w:val="none" w:sz="0" w:space="0" w:color="auto"/>
        <w:bottom w:val="none" w:sz="0" w:space="0" w:color="auto"/>
        <w:right w:val="none" w:sz="0" w:space="0" w:color="auto"/>
      </w:divBdr>
    </w:div>
    <w:div w:id="1667515684">
      <w:bodyDiv w:val="1"/>
      <w:marLeft w:val="0"/>
      <w:marRight w:val="0"/>
      <w:marTop w:val="0"/>
      <w:marBottom w:val="0"/>
      <w:divBdr>
        <w:top w:val="none" w:sz="0" w:space="0" w:color="auto"/>
        <w:left w:val="none" w:sz="0" w:space="0" w:color="auto"/>
        <w:bottom w:val="none" w:sz="0" w:space="0" w:color="auto"/>
        <w:right w:val="none" w:sz="0" w:space="0" w:color="auto"/>
      </w:divBdr>
    </w:div>
    <w:div w:id="1682464692">
      <w:bodyDiv w:val="1"/>
      <w:marLeft w:val="0"/>
      <w:marRight w:val="0"/>
      <w:marTop w:val="0"/>
      <w:marBottom w:val="0"/>
      <w:divBdr>
        <w:top w:val="none" w:sz="0" w:space="0" w:color="auto"/>
        <w:left w:val="none" w:sz="0" w:space="0" w:color="auto"/>
        <w:bottom w:val="none" w:sz="0" w:space="0" w:color="auto"/>
        <w:right w:val="none" w:sz="0" w:space="0" w:color="auto"/>
      </w:divBdr>
    </w:div>
    <w:div w:id="1773698486">
      <w:bodyDiv w:val="1"/>
      <w:marLeft w:val="0"/>
      <w:marRight w:val="0"/>
      <w:marTop w:val="0"/>
      <w:marBottom w:val="0"/>
      <w:divBdr>
        <w:top w:val="none" w:sz="0" w:space="0" w:color="auto"/>
        <w:left w:val="none" w:sz="0" w:space="0" w:color="auto"/>
        <w:bottom w:val="none" w:sz="0" w:space="0" w:color="auto"/>
        <w:right w:val="none" w:sz="0" w:space="0" w:color="auto"/>
      </w:divBdr>
    </w:div>
    <w:div w:id="1804616796">
      <w:bodyDiv w:val="1"/>
      <w:marLeft w:val="0"/>
      <w:marRight w:val="0"/>
      <w:marTop w:val="0"/>
      <w:marBottom w:val="0"/>
      <w:divBdr>
        <w:top w:val="none" w:sz="0" w:space="0" w:color="auto"/>
        <w:left w:val="none" w:sz="0" w:space="0" w:color="auto"/>
        <w:bottom w:val="none" w:sz="0" w:space="0" w:color="auto"/>
        <w:right w:val="none" w:sz="0" w:space="0" w:color="auto"/>
      </w:divBdr>
    </w:div>
    <w:div w:id="1864129387">
      <w:bodyDiv w:val="1"/>
      <w:marLeft w:val="0"/>
      <w:marRight w:val="0"/>
      <w:marTop w:val="0"/>
      <w:marBottom w:val="0"/>
      <w:divBdr>
        <w:top w:val="none" w:sz="0" w:space="0" w:color="auto"/>
        <w:left w:val="none" w:sz="0" w:space="0" w:color="auto"/>
        <w:bottom w:val="none" w:sz="0" w:space="0" w:color="auto"/>
        <w:right w:val="none" w:sz="0" w:space="0" w:color="auto"/>
      </w:divBdr>
    </w:div>
    <w:div w:id="1930460632">
      <w:bodyDiv w:val="1"/>
      <w:marLeft w:val="0"/>
      <w:marRight w:val="0"/>
      <w:marTop w:val="0"/>
      <w:marBottom w:val="0"/>
      <w:divBdr>
        <w:top w:val="none" w:sz="0" w:space="0" w:color="auto"/>
        <w:left w:val="none" w:sz="0" w:space="0" w:color="auto"/>
        <w:bottom w:val="none" w:sz="0" w:space="0" w:color="auto"/>
        <w:right w:val="none" w:sz="0" w:space="0" w:color="auto"/>
      </w:divBdr>
    </w:div>
    <w:div w:id="2021933901">
      <w:bodyDiv w:val="1"/>
      <w:marLeft w:val="0"/>
      <w:marRight w:val="0"/>
      <w:marTop w:val="0"/>
      <w:marBottom w:val="0"/>
      <w:divBdr>
        <w:top w:val="none" w:sz="0" w:space="0" w:color="auto"/>
        <w:left w:val="none" w:sz="0" w:space="0" w:color="auto"/>
        <w:bottom w:val="none" w:sz="0" w:space="0" w:color="auto"/>
        <w:right w:val="none" w:sz="0" w:space="0" w:color="auto"/>
      </w:divBdr>
    </w:div>
    <w:div w:id="2077773919">
      <w:bodyDiv w:val="1"/>
      <w:marLeft w:val="0"/>
      <w:marRight w:val="0"/>
      <w:marTop w:val="0"/>
      <w:marBottom w:val="0"/>
      <w:divBdr>
        <w:top w:val="none" w:sz="0" w:space="0" w:color="auto"/>
        <w:left w:val="none" w:sz="0" w:space="0" w:color="auto"/>
        <w:bottom w:val="none" w:sz="0" w:space="0" w:color="auto"/>
        <w:right w:val="none" w:sz="0" w:space="0" w:color="auto"/>
      </w:divBdr>
    </w:div>
    <w:div w:id="2082216698">
      <w:bodyDiv w:val="1"/>
      <w:marLeft w:val="0"/>
      <w:marRight w:val="0"/>
      <w:marTop w:val="0"/>
      <w:marBottom w:val="0"/>
      <w:divBdr>
        <w:top w:val="none" w:sz="0" w:space="0" w:color="auto"/>
        <w:left w:val="none" w:sz="0" w:space="0" w:color="auto"/>
        <w:bottom w:val="none" w:sz="0" w:space="0" w:color="auto"/>
        <w:right w:val="none" w:sz="0" w:space="0" w:color="auto"/>
      </w:divBdr>
    </w:div>
    <w:div w:id="2090882718">
      <w:bodyDiv w:val="1"/>
      <w:marLeft w:val="0"/>
      <w:marRight w:val="0"/>
      <w:marTop w:val="0"/>
      <w:marBottom w:val="0"/>
      <w:divBdr>
        <w:top w:val="none" w:sz="0" w:space="0" w:color="auto"/>
        <w:left w:val="none" w:sz="0" w:space="0" w:color="auto"/>
        <w:bottom w:val="none" w:sz="0" w:space="0" w:color="auto"/>
        <w:right w:val="none" w:sz="0" w:space="0" w:color="auto"/>
      </w:divBdr>
    </w:div>
    <w:div w:id="21032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95A8-9B42-4BDE-A8D0-E52F1008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9688</Words>
  <Characters>55228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64787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3</cp:revision>
  <dcterms:created xsi:type="dcterms:W3CDTF">2022-09-26T08:34:00Z</dcterms:created>
  <dcterms:modified xsi:type="dcterms:W3CDTF">2022-10-10T12:27:00Z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