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7E0C0C" w:rsidRDefault="001A5518" w:rsidP="001A5518">
      <w:pPr>
        <w:rPr>
          <w:b/>
          <w:bCs/>
          <w:i/>
          <w:iCs/>
          <w:sz w:val="22"/>
          <w:szCs w:val="22"/>
          <w:u w:val="single"/>
          <w:lang w:val="sr-Latn-ME"/>
        </w:rPr>
      </w:pPr>
    </w:p>
    <w:p w:rsidR="00F91C7B" w:rsidRPr="007E0C0C" w:rsidRDefault="00F91C7B" w:rsidP="001A5518">
      <w:pPr>
        <w:rPr>
          <w:b/>
          <w:bCs/>
          <w:i/>
          <w:iCs/>
          <w:sz w:val="22"/>
          <w:szCs w:val="22"/>
          <w:u w:val="single"/>
          <w:lang w:val="sr-Latn-ME"/>
        </w:rPr>
      </w:pPr>
    </w:p>
    <w:p w:rsidR="002510A5" w:rsidRPr="007E0C0C" w:rsidRDefault="002510A5" w:rsidP="002510A5">
      <w:pPr>
        <w:jc w:val="center"/>
        <w:rPr>
          <w:b/>
          <w:bCs/>
          <w:iCs/>
          <w:sz w:val="22"/>
          <w:szCs w:val="22"/>
          <w:u w:val="single"/>
          <w:lang w:val="sr-Latn-ME"/>
        </w:rPr>
      </w:pPr>
      <w:r w:rsidRPr="007E0C0C">
        <w:rPr>
          <w:b/>
          <w:bCs/>
          <w:iCs/>
          <w:sz w:val="22"/>
          <w:szCs w:val="22"/>
          <w:u w:val="single"/>
          <w:lang w:val="sr-Latn-ME"/>
        </w:rPr>
        <w:t>SAŽETAK KARAKTERISTIKA LIJEKA</w:t>
      </w:r>
    </w:p>
    <w:p w:rsidR="002510A5" w:rsidRPr="007E0C0C" w:rsidRDefault="002510A5" w:rsidP="002510A5">
      <w:pPr>
        <w:rPr>
          <w:b/>
          <w:bCs/>
          <w:i/>
          <w:iCs/>
          <w:sz w:val="22"/>
          <w:szCs w:val="22"/>
          <w:u w:val="single"/>
          <w:lang w:val="sr-Latn-ME"/>
        </w:rPr>
      </w:pPr>
    </w:p>
    <w:p w:rsidR="003C17AB" w:rsidRPr="007E0C0C" w:rsidRDefault="003C17AB" w:rsidP="00B33E1A">
      <w:pPr>
        <w:tabs>
          <w:tab w:val="left" w:pos="540"/>
          <w:tab w:val="left" w:pos="569"/>
        </w:tabs>
        <w:jc w:val="both"/>
        <w:rPr>
          <w:noProof/>
          <w:sz w:val="22"/>
          <w:szCs w:val="22"/>
          <w:lang w:val="sr-Latn-ME"/>
        </w:rPr>
      </w:pPr>
    </w:p>
    <w:p w:rsidR="00C37FD7" w:rsidRPr="007E0C0C" w:rsidRDefault="00C37FD7" w:rsidP="00F5167F">
      <w:pPr>
        <w:tabs>
          <w:tab w:val="left" w:pos="540"/>
          <w:tab w:val="left" w:pos="569"/>
        </w:tabs>
        <w:rPr>
          <w:bCs/>
          <w:sz w:val="22"/>
          <w:szCs w:val="22"/>
          <w:lang w:val="sr-Latn-ME"/>
        </w:rPr>
      </w:pPr>
    </w:p>
    <w:p w:rsidR="00411B4B" w:rsidRPr="007E0C0C" w:rsidRDefault="00411B4B" w:rsidP="00F5167F">
      <w:pPr>
        <w:tabs>
          <w:tab w:val="left" w:pos="540"/>
          <w:tab w:val="left" w:pos="569"/>
        </w:tabs>
        <w:rPr>
          <w:b/>
          <w:bCs/>
          <w:sz w:val="22"/>
          <w:szCs w:val="22"/>
          <w:lang w:val="sr-Latn-ME"/>
        </w:rPr>
      </w:pPr>
      <w:r w:rsidRPr="007E0C0C">
        <w:rPr>
          <w:b/>
          <w:bCs/>
          <w:sz w:val="22"/>
          <w:szCs w:val="22"/>
          <w:lang w:val="sr-Latn-ME"/>
        </w:rPr>
        <w:t>1.</w:t>
      </w:r>
      <w:r w:rsidR="00F5167F" w:rsidRPr="007E0C0C">
        <w:rPr>
          <w:b/>
          <w:bCs/>
          <w:sz w:val="22"/>
          <w:szCs w:val="22"/>
          <w:lang w:val="sr-Latn-ME"/>
        </w:rPr>
        <w:tab/>
      </w:r>
      <w:r w:rsidR="002846DB" w:rsidRPr="007E0C0C">
        <w:rPr>
          <w:b/>
          <w:bCs/>
          <w:sz w:val="22"/>
          <w:szCs w:val="22"/>
          <w:lang w:val="sr-Latn-ME"/>
        </w:rPr>
        <w:t xml:space="preserve">NAZIV </w:t>
      </w:r>
      <w:r w:rsidRPr="007E0C0C">
        <w:rPr>
          <w:b/>
          <w:bCs/>
          <w:sz w:val="22"/>
          <w:szCs w:val="22"/>
          <w:lang w:val="sr-Latn-ME"/>
        </w:rPr>
        <w:t>LIJEKA</w:t>
      </w:r>
    </w:p>
    <w:p w:rsidR="00EC2532" w:rsidRPr="007E0C0C" w:rsidRDefault="00EC2532">
      <w:pPr>
        <w:rPr>
          <w:sz w:val="22"/>
          <w:szCs w:val="22"/>
          <w:lang w:val="sr-Latn-ME"/>
        </w:rPr>
      </w:pPr>
    </w:p>
    <w:p w:rsidR="00B33E1A" w:rsidRPr="007E0C0C" w:rsidRDefault="00B33E1A" w:rsidP="00B33E1A">
      <w:pPr>
        <w:jc w:val="both"/>
        <w:rPr>
          <w:iCs/>
          <w:sz w:val="22"/>
          <w:szCs w:val="22"/>
          <w:lang w:val="sr-Latn-ME"/>
        </w:rPr>
      </w:pPr>
      <w:r w:rsidRPr="007E0C0C">
        <w:rPr>
          <w:iCs/>
          <w:sz w:val="22"/>
          <w:szCs w:val="22"/>
          <w:lang w:val="sr-Latn-ME"/>
        </w:rPr>
        <w:t>Oktreotid Teva, 10 mg, prašak i rastvarač za suspenziju za injekciju sa produženim oslobađanjem</w:t>
      </w:r>
      <w:r w:rsidRPr="007E0C0C" w:rsidDel="006A200B">
        <w:rPr>
          <w:iCs/>
          <w:sz w:val="22"/>
          <w:szCs w:val="22"/>
          <w:lang w:val="sr-Latn-ME"/>
        </w:rPr>
        <w:t xml:space="preserve"> </w:t>
      </w:r>
    </w:p>
    <w:p w:rsidR="00B33E1A" w:rsidRPr="007E0C0C" w:rsidRDefault="00B33E1A" w:rsidP="00B33E1A">
      <w:pPr>
        <w:jc w:val="both"/>
        <w:rPr>
          <w:iCs/>
          <w:sz w:val="22"/>
          <w:szCs w:val="22"/>
          <w:lang w:val="sr-Latn-ME"/>
        </w:rPr>
      </w:pPr>
      <w:r w:rsidRPr="007E0C0C">
        <w:rPr>
          <w:iCs/>
          <w:sz w:val="22"/>
          <w:szCs w:val="22"/>
          <w:lang w:val="sr-Latn-ME"/>
        </w:rPr>
        <w:t>Oktreotid Teva, 20 mg, prašak i rastvarač za suspenziju za injekciju sa produženim oslobađanjem</w:t>
      </w:r>
      <w:r w:rsidRPr="007E0C0C" w:rsidDel="006A200B">
        <w:rPr>
          <w:iCs/>
          <w:sz w:val="22"/>
          <w:szCs w:val="22"/>
          <w:lang w:val="sr-Latn-ME"/>
        </w:rPr>
        <w:t xml:space="preserve"> </w:t>
      </w:r>
    </w:p>
    <w:p w:rsidR="000D425A" w:rsidRPr="007E0C0C" w:rsidRDefault="00B33E1A" w:rsidP="00B33E1A">
      <w:pPr>
        <w:jc w:val="both"/>
        <w:rPr>
          <w:bCs/>
          <w:sz w:val="22"/>
          <w:szCs w:val="22"/>
          <w:lang w:val="sr-Latn-ME"/>
        </w:rPr>
      </w:pPr>
      <w:r w:rsidRPr="007E0C0C">
        <w:rPr>
          <w:iCs/>
          <w:sz w:val="22"/>
          <w:szCs w:val="22"/>
          <w:lang w:val="sr-Latn-ME"/>
        </w:rPr>
        <w:t>Oktreotid Teva, 30 mg, prašak i rastvarač za suspenziju za injekciju sa produženim oslobađanjem</w:t>
      </w:r>
    </w:p>
    <w:p w:rsidR="00B33E1A" w:rsidRPr="007E0C0C" w:rsidRDefault="00B33E1A" w:rsidP="006D20A5">
      <w:pPr>
        <w:rPr>
          <w:sz w:val="22"/>
          <w:szCs w:val="22"/>
          <w:lang w:val="sr-Latn-ME"/>
        </w:rPr>
      </w:pPr>
    </w:p>
    <w:p w:rsidR="006D20A5" w:rsidRPr="007E0C0C" w:rsidRDefault="006D20A5">
      <w:pPr>
        <w:rPr>
          <w:sz w:val="22"/>
          <w:szCs w:val="22"/>
          <w:lang w:val="sr-Latn-ME"/>
        </w:rPr>
      </w:pPr>
      <w:r w:rsidRPr="007E0C0C">
        <w:rPr>
          <w:sz w:val="22"/>
          <w:szCs w:val="22"/>
          <w:lang w:val="sr-Latn-ME"/>
        </w:rPr>
        <w:t>INN:</w:t>
      </w:r>
      <w:r w:rsidR="00B33E1A" w:rsidRPr="007E0C0C">
        <w:rPr>
          <w:sz w:val="22"/>
          <w:szCs w:val="22"/>
          <w:lang w:val="sr-Latn-ME"/>
        </w:rPr>
        <w:t xml:space="preserve"> oktreotid</w:t>
      </w:r>
    </w:p>
    <w:p w:rsidR="00530BD7" w:rsidRPr="007E0C0C" w:rsidRDefault="00530BD7">
      <w:pPr>
        <w:rPr>
          <w:bCs/>
          <w:sz w:val="22"/>
          <w:szCs w:val="22"/>
          <w:lang w:val="sr-Latn-ME"/>
        </w:rPr>
      </w:pPr>
    </w:p>
    <w:p w:rsidR="00411B4B" w:rsidRPr="007E0C0C" w:rsidRDefault="00411B4B" w:rsidP="00F5167F">
      <w:pPr>
        <w:tabs>
          <w:tab w:val="left" w:pos="540"/>
          <w:tab w:val="left" w:pos="569"/>
        </w:tabs>
        <w:rPr>
          <w:b/>
          <w:bCs/>
          <w:sz w:val="22"/>
          <w:szCs w:val="22"/>
          <w:lang w:val="sr-Latn-ME"/>
        </w:rPr>
      </w:pPr>
      <w:r w:rsidRPr="007E0C0C">
        <w:rPr>
          <w:b/>
          <w:bCs/>
          <w:sz w:val="22"/>
          <w:szCs w:val="22"/>
          <w:lang w:val="sr-Latn-ME"/>
        </w:rPr>
        <w:t xml:space="preserve">2. </w:t>
      </w:r>
      <w:r w:rsidR="00F5167F" w:rsidRPr="007E0C0C">
        <w:rPr>
          <w:b/>
          <w:bCs/>
          <w:sz w:val="22"/>
          <w:szCs w:val="22"/>
          <w:lang w:val="sr-Latn-ME"/>
        </w:rPr>
        <w:tab/>
      </w:r>
      <w:r w:rsidRPr="007E0C0C">
        <w:rPr>
          <w:b/>
          <w:bCs/>
          <w:sz w:val="22"/>
          <w:szCs w:val="22"/>
          <w:lang w:val="sr-Latn-ME"/>
        </w:rPr>
        <w:t>KVALITATIVNI I KVANTITATIVNI SASTAV</w:t>
      </w:r>
    </w:p>
    <w:p w:rsidR="005A0B2E" w:rsidRPr="007E0C0C" w:rsidRDefault="005A0B2E">
      <w:pPr>
        <w:rPr>
          <w:sz w:val="22"/>
          <w:szCs w:val="22"/>
          <w:lang w:val="sr-Latn-ME"/>
        </w:rPr>
      </w:pPr>
    </w:p>
    <w:p w:rsidR="00B33E1A" w:rsidRPr="007E0C0C" w:rsidRDefault="00B33E1A" w:rsidP="00B33E1A">
      <w:pPr>
        <w:rPr>
          <w:sz w:val="22"/>
          <w:szCs w:val="22"/>
          <w:u w:val="single"/>
          <w:lang w:val="sr-Latn-ME"/>
        </w:rPr>
      </w:pPr>
      <w:r w:rsidRPr="007E0C0C">
        <w:rPr>
          <w:sz w:val="22"/>
          <w:szCs w:val="22"/>
          <w:u w:val="single"/>
          <w:lang w:val="sr-Latn-ME"/>
        </w:rPr>
        <w:t>Oktreotid Teva 10 mg</w:t>
      </w:r>
    </w:p>
    <w:p w:rsidR="00B33E1A" w:rsidRPr="007E0C0C" w:rsidRDefault="00B33E1A" w:rsidP="00B33E1A">
      <w:pPr>
        <w:rPr>
          <w:sz w:val="22"/>
          <w:szCs w:val="22"/>
          <w:lang w:val="sr-Latn-ME"/>
        </w:rPr>
      </w:pPr>
      <w:r w:rsidRPr="007E0C0C">
        <w:rPr>
          <w:sz w:val="22"/>
          <w:szCs w:val="22"/>
          <w:lang w:val="sr-Latn-ME"/>
        </w:rPr>
        <w:t>Svaka bočica sadrži oktreotid acetat što odgovara 10 mg oktreotida.</w:t>
      </w:r>
    </w:p>
    <w:p w:rsidR="00B33E1A" w:rsidRPr="007E0C0C" w:rsidRDefault="00B33E1A" w:rsidP="00B33E1A">
      <w:pPr>
        <w:rPr>
          <w:sz w:val="22"/>
          <w:szCs w:val="22"/>
          <w:u w:val="single"/>
          <w:lang w:val="sr-Latn-ME"/>
        </w:rPr>
      </w:pPr>
      <w:r w:rsidRPr="007E0C0C">
        <w:rPr>
          <w:sz w:val="22"/>
          <w:szCs w:val="22"/>
          <w:u w:val="single"/>
          <w:lang w:val="sr-Latn-ME"/>
        </w:rPr>
        <w:t>Oktreotid Teva 20 mg</w:t>
      </w:r>
    </w:p>
    <w:p w:rsidR="00B33E1A" w:rsidRPr="007E0C0C" w:rsidRDefault="00B33E1A" w:rsidP="00B33E1A">
      <w:pPr>
        <w:rPr>
          <w:sz w:val="22"/>
          <w:szCs w:val="22"/>
          <w:lang w:val="sr-Latn-ME"/>
        </w:rPr>
      </w:pPr>
      <w:r w:rsidRPr="007E0C0C">
        <w:rPr>
          <w:sz w:val="22"/>
          <w:szCs w:val="22"/>
          <w:lang w:val="sr-Latn-ME"/>
        </w:rPr>
        <w:t>Svaka bočica sadrži oktreotid acetat što odgovara 20 mg oktreotida.</w:t>
      </w:r>
    </w:p>
    <w:p w:rsidR="00B33E1A" w:rsidRPr="007E0C0C" w:rsidRDefault="00B33E1A" w:rsidP="00B33E1A">
      <w:pPr>
        <w:rPr>
          <w:sz w:val="22"/>
          <w:szCs w:val="22"/>
          <w:u w:val="single"/>
          <w:lang w:val="sr-Latn-ME"/>
        </w:rPr>
      </w:pPr>
      <w:r w:rsidRPr="007E0C0C">
        <w:rPr>
          <w:sz w:val="22"/>
          <w:szCs w:val="22"/>
          <w:u w:val="single"/>
          <w:lang w:val="sr-Latn-ME"/>
        </w:rPr>
        <w:t>Oktreotid Teva 30 mg</w:t>
      </w:r>
    </w:p>
    <w:p w:rsidR="00B33E1A" w:rsidRPr="007E0C0C" w:rsidRDefault="00B33E1A" w:rsidP="00B33E1A">
      <w:pPr>
        <w:rPr>
          <w:sz w:val="22"/>
          <w:szCs w:val="22"/>
          <w:lang w:val="sr-Latn-ME"/>
        </w:rPr>
      </w:pPr>
      <w:r w:rsidRPr="007E0C0C">
        <w:rPr>
          <w:sz w:val="22"/>
          <w:szCs w:val="22"/>
          <w:lang w:val="sr-Latn-ME"/>
        </w:rPr>
        <w:t>Svaka bočica sadrži oktreotid acetat što odgovara 30 mg oktreotida.</w:t>
      </w:r>
    </w:p>
    <w:p w:rsidR="00B33E1A" w:rsidRPr="007E0C0C" w:rsidRDefault="00B33E1A">
      <w:pPr>
        <w:rPr>
          <w:sz w:val="22"/>
          <w:szCs w:val="22"/>
          <w:lang w:val="sr-Latn-ME"/>
        </w:rPr>
      </w:pPr>
      <w:r w:rsidRPr="007E0C0C">
        <w:rPr>
          <w:sz w:val="22"/>
          <w:szCs w:val="22"/>
          <w:lang w:val="sr-Latn-ME"/>
        </w:rPr>
        <w:t xml:space="preserve"> </w:t>
      </w:r>
    </w:p>
    <w:p w:rsidR="0003793F" w:rsidRPr="007E0C0C" w:rsidRDefault="0003793F">
      <w:pPr>
        <w:rPr>
          <w:sz w:val="22"/>
          <w:szCs w:val="22"/>
          <w:lang w:val="sr-Latn-ME"/>
        </w:rPr>
      </w:pPr>
      <w:r w:rsidRPr="007E0C0C">
        <w:rPr>
          <w:sz w:val="22"/>
          <w:szCs w:val="22"/>
          <w:lang w:val="sr-Latn-ME"/>
        </w:rPr>
        <w:t>Za spisak svih ekscipijenasa, pogledati dio 6.1.</w:t>
      </w:r>
    </w:p>
    <w:p w:rsidR="00C37FD7" w:rsidRPr="007E0C0C" w:rsidRDefault="00C37FD7">
      <w:pPr>
        <w:rPr>
          <w:sz w:val="22"/>
          <w:szCs w:val="22"/>
          <w:lang w:val="sr-Latn-ME"/>
        </w:rPr>
      </w:pPr>
    </w:p>
    <w:p w:rsidR="00411B4B" w:rsidRPr="007E0C0C" w:rsidRDefault="00411B4B" w:rsidP="00F5167F">
      <w:pPr>
        <w:tabs>
          <w:tab w:val="left" w:pos="540"/>
          <w:tab w:val="left" w:pos="569"/>
        </w:tabs>
        <w:rPr>
          <w:b/>
          <w:bCs/>
          <w:sz w:val="22"/>
          <w:szCs w:val="22"/>
          <w:lang w:val="sr-Latn-ME"/>
        </w:rPr>
      </w:pPr>
      <w:r w:rsidRPr="007E0C0C">
        <w:rPr>
          <w:b/>
          <w:bCs/>
          <w:sz w:val="22"/>
          <w:szCs w:val="22"/>
          <w:lang w:val="sr-Latn-ME"/>
        </w:rPr>
        <w:t xml:space="preserve">3. </w:t>
      </w:r>
      <w:r w:rsidR="00F5167F" w:rsidRPr="007E0C0C">
        <w:rPr>
          <w:b/>
          <w:bCs/>
          <w:sz w:val="22"/>
          <w:szCs w:val="22"/>
          <w:lang w:val="sr-Latn-ME"/>
        </w:rPr>
        <w:tab/>
      </w:r>
      <w:r w:rsidRPr="007E0C0C">
        <w:rPr>
          <w:b/>
          <w:bCs/>
          <w:sz w:val="22"/>
          <w:szCs w:val="22"/>
          <w:lang w:val="sr-Latn-ME"/>
        </w:rPr>
        <w:t>FARMACEUTSKI OBLIK</w:t>
      </w:r>
      <w:r w:rsidR="009F2D23" w:rsidRPr="007E0C0C">
        <w:rPr>
          <w:b/>
          <w:bCs/>
          <w:sz w:val="22"/>
          <w:szCs w:val="22"/>
          <w:lang w:val="sr-Latn-ME"/>
        </w:rPr>
        <w:t xml:space="preserve"> </w:t>
      </w:r>
    </w:p>
    <w:p w:rsidR="00B33E1A" w:rsidRPr="007E0C0C" w:rsidRDefault="00B33E1A" w:rsidP="00B33E1A">
      <w:pPr>
        <w:rPr>
          <w:bCs/>
          <w:sz w:val="22"/>
          <w:szCs w:val="22"/>
          <w:lang w:val="sr-Latn-ME"/>
        </w:rPr>
      </w:pPr>
    </w:p>
    <w:p w:rsidR="00B33E1A" w:rsidRPr="007E0C0C" w:rsidRDefault="00B33E1A" w:rsidP="00B33E1A">
      <w:pPr>
        <w:rPr>
          <w:bCs/>
          <w:sz w:val="22"/>
          <w:szCs w:val="22"/>
          <w:lang w:val="sr-Latn-ME"/>
        </w:rPr>
      </w:pPr>
      <w:r w:rsidRPr="007E0C0C">
        <w:rPr>
          <w:bCs/>
          <w:sz w:val="22"/>
          <w:szCs w:val="22"/>
          <w:lang w:val="sr-Latn-ME"/>
        </w:rPr>
        <w:t>Prašak i rastvarač za suspenziju za injekciju sa produženim oslobađanjem.</w:t>
      </w:r>
    </w:p>
    <w:p w:rsidR="00B33E1A" w:rsidRPr="007E0C0C" w:rsidRDefault="00B33E1A" w:rsidP="00B33E1A">
      <w:pPr>
        <w:rPr>
          <w:bCs/>
          <w:sz w:val="22"/>
          <w:szCs w:val="22"/>
          <w:lang w:val="sr-Latn-ME"/>
        </w:rPr>
      </w:pPr>
      <w:r w:rsidRPr="007E0C0C">
        <w:rPr>
          <w:bCs/>
          <w:sz w:val="22"/>
          <w:szCs w:val="22"/>
          <w:lang w:val="sr-Latn-ME"/>
        </w:rPr>
        <w:t xml:space="preserve">Prašak: Bijeli do bjelkasti prašak, bez stranih čestica.  </w:t>
      </w:r>
    </w:p>
    <w:p w:rsidR="00B33E1A" w:rsidRPr="007E0C0C" w:rsidRDefault="00B33E1A" w:rsidP="00B33E1A">
      <w:pPr>
        <w:rPr>
          <w:bCs/>
          <w:sz w:val="22"/>
          <w:szCs w:val="22"/>
          <w:lang w:val="sr-Latn-ME"/>
        </w:rPr>
      </w:pPr>
      <w:r w:rsidRPr="007E0C0C">
        <w:rPr>
          <w:bCs/>
          <w:sz w:val="22"/>
          <w:szCs w:val="22"/>
          <w:lang w:val="sr-Latn-ME"/>
        </w:rPr>
        <w:t>Rastvarač: Bistar, bezbojan rastvor, praktično bez prisustva čestica.</w:t>
      </w:r>
    </w:p>
    <w:p w:rsidR="00EC2532" w:rsidRPr="007E0C0C" w:rsidRDefault="00EC2532">
      <w:pPr>
        <w:rPr>
          <w:bCs/>
          <w:sz w:val="22"/>
          <w:szCs w:val="22"/>
          <w:lang w:val="sr-Latn-ME"/>
        </w:rPr>
      </w:pPr>
    </w:p>
    <w:p w:rsidR="00411B4B" w:rsidRPr="007E0C0C" w:rsidRDefault="00411B4B" w:rsidP="00F5167F">
      <w:pPr>
        <w:tabs>
          <w:tab w:val="left" w:pos="540"/>
          <w:tab w:val="left" w:pos="569"/>
        </w:tabs>
        <w:rPr>
          <w:b/>
          <w:bCs/>
          <w:sz w:val="22"/>
          <w:szCs w:val="22"/>
          <w:lang w:val="sr-Latn-ME"/>
        </w:rPr>
      </w:pPr>
      <w:r w:rsidRPr="007E0C0C">
        <w:rPr>
          <w:b/>
          <w:bCs/>
          <w:sz w:val="22"/>
          <w:szCs w:val="22"/>
          <w:lang w:val="sr-Latn-ME"/>
        </w:rPr>
        <w:t xml:space="preserve">4. </w:t>
      </w:r>
      <w:r w:rsidR="00480FB1" w:rsidRPr="007E0C0C">
        <w:rPr>
          <w:b/>
          <w:bCs/>
          <w:sz w:val="22"/>
          <w:szCs w:val="22"/>
          <w:lang w:val="sr-Latn-ME"/>
        </w:rPr>
        <w:tab/>
      </w:r>
      <w:r w:rsidRPr="007E0C0C">
        <w:rPr>
          <w:b/>
          <w:bCs/>
          <w:sz w:val="22"/>
          <w:szCs w:val="22"/>
          <w:lang w:val="sr-Latn-ME"/>
        </w:rPr>
        <w:t>KLINIČKI PODACI</w:t>
      </w:r>
    </w:p>
    <w:p w:rsidR="00CD6F02" w:rsidRPr="007E0C0C" w:rsidRDefault="00CD6F02" w:rsidP="00480FB1">
      <w:pPr>
        <w:tabs>
          <w:tab w:val="left" w:pos="540"/>
          <w:tab w:val="left" w:pos="569"/>
        </w:tabs>
        <w:rPr>
          <w:bCs/>
          <w:sz w:val="22"/>
          <w:szCs w:val="22"/>
          <w:lang w:val="sr-Latn-ME"/>
        </w:rPr>
      </w:pPr>
    </w:p>
    <w:p w:rsidR="00411B4B" w:rsidRPr="007E0C0C" w:rsidRDefault="00411B4B" w:rsidP="00480FB1">
      <w:pPr>
        <w:tabs>
          <w:tab w:val="left" w:pos="540"/>
          <w:tab w:val="left" w:pos="569"/>
        </w:tabs>
        <w:rPr>
          <w:b/>
          <w:bCs/>
          <w:sz w:val="22"/>
          <w:szCs w:val="22"/>
          <w:lang w:val="sr-Latn-ME"/>
        </w:rPr>
      </w:pPr>
      <w:r w:rsidRPr="007E0C0C">
        <w:rPr>
          <w:b/>
          <w:bCs/>
          <w:sz w:val="22"/>
          <w:szCs w:val="22"/>
          <w:lang w:val="sr-Latn-ME"/>
        </w:rPr>
        <w:t xml:space="preserve">4.1. </w:t>
      </w:r>
      <w:r w:rsidR="00480FB1" w:rsidRPr="007E0C0C">
        <w:rPr>
          <w:b/>
          <w:bCs/>
          <w:sz w:val="22"/>
          <w:szCs w:val="22"/>
          <w:lang w:val="sr-Latn-ME"/>
        </w:rPr>
        <w:tab/>
      </w:r>
      <w:r w:rsidRPr="007E0C0C">
        <w:rPr>
          <w:b/>
          <w:bCs/>
          <w:sz w:val="22"/>
          <w:szCs w:val="22"/>
          <w:lang w:val="sr-Latn-ME"/>
        </w:rPr>
        <w:t>Terapijske indikacije</w:t>
      </w:r>
    </w:p>
    <w:p w:rsidR="00B33E1A" w:rsidRPr="007E0C0C" w:rsidRDefault="00B33E1A" w:rsidP="00480FB1">
      <w:pPr>
        <w:tabs>
          <w:tab w:val="left" w:pos="540"/>
          <w:tab w:val="left" w:pos="569"/>
        </w:tabs>
        <w:rPr>
          <w:b/>
          <w:bCs/>
          <w:sz w:val="22"/>
          <w:szCs w:val="22"/>
          <w:lang w:val="sr-Latn-ME"/>
        </w:rPr>
      </w:pPr>
    </w:p>
    <w:p w:rsidR="00B33E1A" w:rsidRPr="007E0C0C" w:rsidRDefault="00BC7CF4" w:rsidP="00B33E1A">
      <w:pPr>
        <w:tabs>
          <w:tab w:val="left" w:pos="540"/>
          <w:tab w:val="left" w:pos="567"/>
        </w:tabs>
        <w:jc w:val="both"/>
        <w:rPr>
          <w:bCs/>
          <w:sz w:val="22"/>
          <w:szCs w:val="22"/>
          <w:lang w:val="sr-Latn-ME"/>
        </w:rPr>
      </w:pPr>
      <w:r w:rsidRPr="007E0C0C">
        <w:rPr>
          <w:bCs/>
          <w:sz w:val="22"/>
          <w:szCs w:val="22"/>
          <w:lang w:val="sr-Latn-ME"/>
        </w:rPr>
        <w:t xml:space="preserve">Liječenje </w:t>
      </w:r>
      <w:r w:rsidR="00B33E1A" w:rsidRPr="007E0C0C">
        <w:rPr>
          <w:bCs/>
          <w:sz w:val="22"/>
          <w:szCs w:val="22"/>
          <w:lang w:val="sr-Latn-ME"/>
        </w:rPr>
        <w:t xml:space="preserve">pacijenata sa akromegalijom koji nisu pogodni za hiruršku intervenciju ili kod kojih hirurška intervencija nije efikasna, ili u periodu dok radioterapija ne postane u potpunosti efikasna (vidjeti </w:t>
      </w:r>
      <w:r w:rsidRPr="007E0C0C">
        <w:rPr>
          <w:bCs/>
          <w:sz w:val="22"/>
          <w:szCs w:val="22"/>
          <w:lang w:val="sr-Latn-ME"/>
        </w:rPr>
        <w:t xml:space="preserve">dio </w:t>
      </w:r>
      <w:r w:rsidR="00B33E1A" w:rsidRPr="007E0C0C">
        <w:rPr>
          <w:bCs/>
          <w:sz w:val="22"/>
          <w:szCs w:val="22"/>
          <w:lang w:val="sr-Latn-ME"/>
        </w:rPr>
        <w:t>4.2).</w:t>
      </w:r>
    </w:p>
    <w:p w:rsidR="00B33E1A" w:rsidRPr="007E0C0C" w:rsidRDefault="00B33E1A" w:rsidP="00B33E1A">
      <w:pPr>
        <w:tabs>
          <w:tab w:val="left" w:pos="540"/>
          <w:tab w:val="left" w:pos="567"/>
        </w:tabs>
        <w:jc w:val="both"/>
        <w:rPr>
          <w:bCs/>
          <w:sz w:val="22"/>
          <w:szCs w:val="22"/>
          <w:lang w:val="sr-Latn-ME"/>
        </w:rPr>
      </w:pPr>
    </w:p>
    <w:p w:rsidR="00B33E1A" w:rsidRPr="007E0C0C" w:rsidRDefault="00BC7CF4" w:rsidP="00B33E1A">
      <w:pPr>
        <w:tabs>
          <w:tab w:val="left" w:pos="540"/>
          <w:tab w:val="left" w:pos="567"/>
        </w:tabs>
        <w:jc w:val="both"/>
        <w:rPr>
          <w:bCs/>
          <w:sz w:val="22"/>
          <w:szCs w:val="22"/>
          <w:lang w:val="sr-Latn-ME"/>
        </w:rPr>
      </w:pPr>
      <w:r w:rsidRPr="007E0C0C">
        <w:rPr>
          <w:bCs/>
          <w:sz w:val="22"/>
          <w:szCs w:val="22"/>
          <w:lang w:val="sr-Latn-ME"/>
        </w:rPr>
        <w:t xml:space="preserve">Liječenje </w:t>
      </w:r>
      <w:r w:rsidR="00B33E1A" w:rsidRPr="007E0C0C">
        <w:rPr>
          <w:bCs/>
          <w:sz w:val="22"/>
          <w:szCs w:val="22"/>
          <w:lang w:val="sr-Latn-ME"/>
        </w:rPr>
        <w:t>pacijenata sa simptomima povezanim sa funkcionalnim gastroenteropankreatičkim endokrinim tumorima, na primjer karcinoidni</w:t>
      </w:r>
      <w:r w:rsidR="00C32A48" w:rsidRPr="007E0C0C">
        <w:rPr>
          <w:bCs/>
          <w:sz w:val="22"/>
          <w:szCs w:val="22"/>
          <w:lang w:val="sr-Latn-ME"/>
        </w:rPr>
        <w:t>m</w:t>
      </w:r>
      <w:r w:rsidR="00B33E1A" w:rsidRPr="007E0C0C">
        <w:rPr>
          <w:bCs/>
          <w:sz w:val="22"/>
          <w:szCs w:val="22"/>
          <w:lang w:val="sr-Latn-ME"/>
        </w:rPr>
        <w:t xml:space="preserve"> tumori</w:t>
      </w:r>
      <w:r w:rsidR="00C32A48" w:rsidRPr="007E0C0C">
        <w:rPr>
          <w:bCs/>
          <w:sz w:val="22"/>
          <w:szCs w:val="22"/>
          <w:lang w:val="sr-Latn-ME"/>
        </w:rPr>
        <w:t>ma</w:t>
      </w:r>
      <w:r w:rsidR="00B33E1A" w:rsidRPr="007E0C0C">
        <w:rPr>
          <w:bCs/>
          <w:sz w:val="22"/>
          <w:szCs w:val="22"/>
          <w:lang w:val="sr-Latn-ME"/>
        </w:rPr>
        <w:t xml:space="preserve"> sa karakteristikama karcinoidnog sindroma (vidjeti </w:t>
      </w:r>
      <w:r w:rsidRPr="007E0C0C">
        <w:rPr>
          <w:bCs/>
          <w:sz w:val="22"/>
          <w:szCs w:val="22"/>
          <w:lang w:val="sr-Latn-ME"/>
        </w:rPr>
        <w:t xml:space="preserve">dio </w:t>
      </w:r>
      <w:r w:rsidR="00B33E1A" w:rsidRPr="007E0C0C">
        <w:rPr>
          <w:bCs/>
          <w:sz w:val="22"/>
          <w:szCs w:val="22"/>
          <w:lang w:val="sr-Latn-ME"/>
        </w:rPr>
        <w:t>5.1).</w:t>
      </w:r>
    </w:p>
    <w:p w:rsidR="00B33E1A" w:rsidRPr="007E0C0C" w:rsidRDefault="00B33E1A" w:rsidP="00B33E1A">
      <w:pPr>
        <w:tabs>
          <w:tab w:val="left" w:pos="540"/>
          <w:tab w:val="left" w:pos="567"/>
        </w:tabs>
        <w:jc w:val="both"/>
        <w:rPr>
          <w:bCs/>
          <w:sz w:val="22"/>
          <w:szCs w:val="22"/>
          <w:lang w:val="sr-Latn-ME"/>
        </w:rPr>
      </w:pPr>
    </w:p>
    <w:p w:rsidR="00B33E1A" w:rsidRPr="007E0C0C" w:rsidRDefault="00BC7CF4" w:rsidP="00B33E1A">
      <w:pPr>
        <w:tabs>
          <w:tab w:val="left" w:pos="540"/>
          <w:tab w:val="left" w:pos="567"/>
        </w:tabs>
        <w:jc w:val="both"/>
        <w:rPr>
          <w:bCs/>
          <w:sz w:val="22"/>
          <w:szCs w:val="22"/>
          <w:lang w:val="sr-Latn-ME"/>
        </w:rPr>
      </w:pPr>
      <w:r w:rsidRPr="007E0C0C">
        <w:rPr>
          <w:bCs/>
          <w:sz w:val="22"/>
          <w:szCs w:val="22"/>
          <w:lang w:val="sr-Latn-ME"/>
        </w:rPr>
        <w:t xml:space="preserve">Liječenje </w:t>
      </w:r>
      <w:r w:rsidR="00B33E1A" w:rsidRPr="007E0C0C">
        <w:rPr>
          <w:bCs/>
          <w:sz w:val="22"/>
          <w:szCs w:val="22"/>
          <w:lang w:val="sr-Latn-ME"/>
        </w:rPr>
        <w:t>pacijenata sa uznapredovalim neuroendokrinim tumorima srednjeg crijeva ili nepoznatog primarnog porijekla, kada su kao mjesta porijekla isključena mjesta izvan srednjeg crijeva.</w:t>
      </w:r>
    </w:p>
    <w:p w:rsidR="00B33E1A" w:rsidRPr="007E0C0C" w:rsidRDefault="00B33E1A" w:rsidP="00B33E1A">
      <w:pPr>
        <w:tabs>
          <w:tab w:val="left" w:pos="540"/>
          <w:tab w:val="left" w:pos="567"/>
        </w:tabs>
        <w:jc w:val="both"/>
        <w:rPr>
          <w:bCs/>
          <w:sz w:val="22"/>
          <w:szCs w:val="22"/>
          <w:lang w:val="sr-Latn-ME"/>
        </w:rPr>
      </w:pPr>
    </w:p>
    <w:p w:rsidR="00B33E1A" w:rsidRPr="007E0C0C" w:rsidRDefault="00B33E1A" w:rsidP="00B33E1A">
      <w:pPr>
        <w:tabs>
          <w:tab w:val="left" w:pos="540"/>
          <w:tab w:val="left" w:pos="567"/>
        </w:tabs>
        <w:jc w:val="both"/>
        <w:rPr>
          <w:bCs/>
          <w:sz w:val="22"/>
          <w:szCs w:val="22"/>
          <w:lang w:val="sr-Latn-ME"/>
        </w:rPr>
      </w:pPr>
      <w:r w:rsidRPr="007E0C0C">
        <w:rPr>
          <w:bCs/>
          <w:sz w:val="22"/>
          <w:szCs w:val="22"/>
          <w:lang w:val="sr-Latn-ME"/>
        </w:rPr>
        <w:t>Liječenje adenoma hipofize koji luče TSH:</w:t>
      </w:r>
    </w:p>
    <w:p w:rsidR="00B33E1A" w:rsidRPr="007E0C0C" w:rsidRDefault="00B33E1A" w:rsidP="00B33E1A">
      <w:pPr>
        <w:numPr>
          <w:ilvl w:val="0"/>
          <w:numId w:val="12"/>
        </w:numPr>
        <w:tabs>
          <w:tab w:val="left" w:pos="540"/>
          <w:tab w:val="left" w:pos="567"/>
        </w:tabs>
        <w:jc w:val="both"/>
        <w:rPr>
          <w:bCs/>
          <w:sz w:val="22"/>
          <w:szCs w:val="22"/>
          <w:lang w:val="sr-Latn-ME"/>
        </w:rPr>
      </w:pPr>
      <w:r w:rsidRPr="007E0C0C">
        <w:rPr>
          <w:bCs/>
          <w:sz w:val="22"/>
          <w:szCs w:val="22"/>
          <w:lang w:val="sr-Latn-ME"/>
        </w:rPr>
        <w:t>kada se sekrecija nije normalizovala nakon hirurškog zahvata i/ili radioterapije;</w:t>
      </w:r>
    </w:p>
    <w:p w:rsidR="00B33E1A" w:rsidRPr="007E0C0C" w:rsidRDefault="00B33E1A" w:rsidP="00B33E1A">
      <w:pPr>
        <w:numPr>
          <w:ilvl w:val="0"/>
          <w:numId w:val="12"/>
        </w:numPr>
        <w:tabs>
          <w:tab w:val="left" w:pos="540"/>
          <w:tab w:val="left" w:pos="567"/>
        </w:tabs>
        <w:jc w:val="both"/>
        <w:rPr>
          <w:bCs/>
          <w:sz w:val="22"/>
          <w:szCs w:val="22"/>
          <w:lang w:val="sr-Latn-ME"/>
        </w:rPr>
      </w:pPr>
      <w:r w:rsidRPr="007E0C0C">
        <w:rPr>
          <w:bCs/>
          <w:sz w:val="22"/>
          <w:szCs w:val="22"/>
          <w:lang w:val="sr-Latn-ME"/>
        </w:rPr>
        <w:t xml:space="preserve">kod pacijenata kod kojih operacija nije </w:t>
      </w:r>
      <w:r w:rsidR="00BC7CF4" w:rsidRPr="007E0C0C">
        <w:rPr>
          <w:bCs/>
          <w:sz w:val="22"/>
          <w:szCs w:val="22"/>
          <w:lang w:val="sr-Latn-ME"/>
        </w:rPr>
        <w:t>adekvatan način liječenja</w:t>
      </w:r>
      <w:r w:rsidRPr="007E0C0C">
        <w:rPr>
          <w:bCs/>
          <w:sz w:val="22"/>
          <w:szCs w:val="22"/>
          <w:lang w:val="sr-Latn-ME"/>
        </w:rPr>
        <w:t>;</w:t>
      </w:r>
    </w:p>
    <w:p w:rsidR="00B33E1A" w:rsidRPr="007E0C0C" w:rsidRDefault="00B33E1A" w:rsidP="00B33E1A">
      <w:pPr>
        <w:numPr>
          <w:ilvl w:val="0"/>
          <w:numId w:val="12"/>
        </w:numPr>
        <w:tabs>
          <w:tab w:val="left" w:pos="540"/>
          <w:tab w:val="left" w:pos="567"/>
        </w:tabs>
        <w:jc w:val="both"/>
        <w:rPr>
          <w:bCs/>
          <w:sz w:val="22"/>
          <w:szCs w:val="22"/>
          <w:lang w:val="sr-Latn-ME"/>
        </w:rPr>
      </w:pPr>
      <w:r w:rsidRPr="007E0C0C">
        <w:rPr>
          <w:bCs/>
          <w:sz w:val="22"/>
          <w:szCs w:val="22"/>
          <w:lang w:val="sr-Latn-ME"/>
        </w:rPr>
        <w:t xml:space="preserve">kod pacijenata koji su </w:t>
      </w:r>
      <w:r w:rsidR="00BC7CF4" w:rsidRPr="007E0C0C">
        <w:rPr>
          <w:bCs/>
          <w:sz w:val="22"/>
          <w:szCs w:val="22"/>
          <w:lang w:val="sr-Latn-ME"/>
        </w:rPr>
        <w:t xml:space="preserve">na </w:t>
      </w:r>
      <w:r w:rsidRPr="007E0C0C">
        <w:rPr>
          <w:bCs/>
          <w:sz w:val="22"/>
          <w:szCs w:val="22"/>
          <w:lang w:val="sr-Latn-ME"/>
        </w:rPr>
        <w:t>zračen</w:t>
      </w:r>
      <w:r w:rsidR="00BC7CF4" w:rsidRPr="007E0C0C">
        <w:rPr>
          <w:bCs/>
          <w:sz w:val="22"/>
          <w:szCs w:val="22"/>
          <w:lang w:val="sr-Latn-ME"/>
        </w:rPr>
        <w:t>ju</w:t>
      </w:r>
      <w:r w:rsidRPr="007E0C0C">
        <w:rPr>
          <w:bCs/>
          <w:sz w:val="22"/>
          <w:szCs w:val="22"/>
          <w:lang w:val="sr-Latn-ME"/>
        </w:rPr>
        <w:t>, dok radioterapija ne postane efikasna.</w:t>
      </w:r>
    </w:p>
    <w:p w:rsidR="00411B4B" w:rsidRPr="007E0C0C" w:rsidRDefault="00411B4B" w:rsidP="00480FB1">
      <w:pPr>
        <w:tabs>
          <w:tab w:val="left" w:pos="540"/>
          <w:tab w:val="left" w:pos="569"/>
        </w:tabs>
        <w:rPr>
          <w:bCs/>
          <w:sz w:val="22"/>
          <w:szCs w:val="22"/>
          <w:lang w:val="sr-Latn-ME"/>
        </w:rPr>
      </w:pPr>
    </w:p>
    <w:p w:rsidR="00411B4B" w:rsidRPr="007E0C0C" w:rsidRDefault="00411B4B" w:rsidP="00480FB1">
      <w:pPr>
        <w:tabs>
          <w:tab w:val="left" w:pos="540"/>
          <w:tab w:val="left" w:pos="569"/>
        </w:tabs>
        <w:rPr>
          <w:b/>
          <w:bCs/>
          <w:sz w:val="22"/>
          <w:szCs w:val="22"/>
          <w:lang w:val="sr-Latn-ME"/>
        </w:rPr>
      </w:pPr>
      <w:r w:rsidRPr="007E0C0C">
        <w:rPr>
          <w:b/>
          <w:bCs/>
          <w:sz w:val="22"/>
          <w:szCs w:val="22"/>
          <w:lang w:val="sr-Latn-ME"/>
        </w:rPr>
        <w:t xml:space="preserve">4.2. </w:t>
      </w:r>
      <w:r w:rsidR="00480FB1" w:rsidRPr="007E0C0C">
        <w:rPr>
          <w:b/>
          <w:bCs/>
          <w:sz w:val="22"/>
          <w:szCs w:val="22"/>
          <w:lang w:val="sr-Latn-ME"/>
        </w:rPr>
        <w:tab/>
      </w:r>
      <w:r w:rsidRPr="007E0C0C">
        <w:rPr>
          <w:b/>
          <w:bCs/>
          <w:sz w:val="22"/>
          <w:szCs w:val="22"/>
          <w:lang w:val="sr-Latn-ME"/>
        </w:rPr>
        <w:t>Doziranje i način primjene</w:t>
      </w:r>
    </w:p>
    <w:p w:rsidR="0072020E" w:rsidRPr="007E0C0C" w:rsidRDefault="0072020E" w:rsidP="00480FB1">
      <w:pPr>
        <w:tabs>
          <w:tab w:val="left" w:pos="540"/>
          <w:tab w:val="left" w:pos="569"/>
        </w:tabs>
        <w:rPr>
          <w:bCs/>
          <w:sz w:val="22"/>
          <w:szCs w:val="22"/>
          <w:lang w:val="sr-Latn-ME"/>
        </w:rPr>
      </w:pPr>
    </w:p>
    <w:p w:rsidR="00452E9D" w:rsidRPr="007E0C0C" w:rsidRDefault="00452E9D" w:rsidP="00480FB1">
      <w:pPr>
        <w:tabs>
          <w:tab w:val="left" w:pos="540"/>
          <w:tab w:val="left" w:pos="569"/>
        </w:tabs>
        <w:rPr>
          <w:bCs/>
          <w:sz w:val="22"/>
          <w:szCs w:val="22"/>
          <w:u w:val="single"/>
          <w:lang w:val="sr-Latn-ME"/>
        </w:rPr>
      </w:pPr>
      <w:r w:rsidRPr="007E0C0C">
        <w:rPr>
          <w:bCs/>
          <w:sz w:val="22"/>
          <w:szCs w:val="22"/>
          <w:u w:val="single"/>
          <w:lang w:val="sr-Latn-ME"/>
        </w:rPr>
        <w:t>Doziranje</w:t>
      </w:r>
    </w:p>
    <w:p w:rsidR="00D32369" w:rsidRPr="007E0C0C" w:rsidRDefault="00D32369" w:rsidP="00480FB1">
      <w:pPr>
        <w:tabs>
          <w:tab w:val="left" w:pos="540"/>
          <w:tab w:val="left" w:pos="569"/>
        </w:tabs>
        <w:rPr>
          <w:bCs/>
          <w:sz w:val="22"/>
          <w:szCs w:val="22"/>
          <w:u w:val="single"/>
          <w:lang w:val="sr-Latn-ME"/>
        </w:rPr>
      </w:pPr>
    </w:p>
    <w:p w:rsidR="00D32369" w:rsidRPr="007E0C0C" w:rsidRDefault="00D32369" w:rsidP="00D32369">
      <w:pPr>
        <w:tabs>
          <w:tab w:val="left" w:pos="540"/>
          <w:tab w:val="left" w:pos="569"/>
        </w:tabs>
        <w:rPr>
          <w:bCs/>
          <w:i/>
          <w:iCs/>
          <w:sz w:val="22"/>
          <w:szCs w:val="22"/>
          <w:u w:val="single"/>
          <w:lang w:val="sr-Latn-ME"/>
        </w:rPr>
      </w:pPr>
      <w:r w:rsidRPr="007E0C0C">
        <w:rPr>
          <w:bCs/>
          <w:i/>
          <w:iCs/>
          <w:sz w:val="22"/>
          <w:szCs w:val="22"/>
          <w:u w:val="single"/>
          <w:lang w:val="sr-Latn-ME"/>
        </w:rPr>
        <w:t>Akromegalija</w:t>
      </w: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lastRenderedPageBreak/>
        <w:t>Preporučuje se započeti liječenje primjenom 20 mg lijeka Oktreotid Teva u intervalima od 4 nedjelje kroz 3 mjeseca. Pacijenti koji se liječe supkutano oktreotidom mogu započeti liječenje lijekom Oktreotid Teva dan nakon posljednje doze supkutano primijenjenog oktreotida. Naknadno prilagođavanje doze treba da se zasniva na serumskim koncentracijama hormona rasta (GH) i insulinu sličnog faktora rasta-l/somatomedina C (IGF-l) i kliničkim simptomima.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Pacijentima kod kojih, u toku tog 3-mjesečnog perioda, klinički simptomi i biohemijski parametri (GH; IGF-l) nisu potpuno kontrolisani (koncentracije GH-a još uvijek iznad 2,5 mikrogram/l), doza se može povećati do 30 mg svake 4 nedjelje. Ako nakon 3 mjeseca, GH, IGF-1, i/ili simptomi nisu odgovarajuće kontrolisani uz dozu od 30 mg, doza se može povećati na 40 mg svake 4 nedjelje.</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Kod pacijenata čije su koncentracije GH-a stalno ispod 1 mikrogram/l, koncentracije IGF-1 u serumu normalizovane, a većina reverzibilnih znakova/simptoma akromegalije je nestala nakon tromjesečnog liječenja dozom od 20 mg, može se primjenjivati 10 mg lijeka Oktreotid Teva svake 4 nedjelje. Međutim, posebno u ovoj grupi pacijenata, preporučuje se pažljivo praćenje adekvatne kontrole koncentracije GH i IGF-1 u serumu, kao i kliničkih znakova/simptoma pri toj sniženoj dozi lijeka Oktreotid Teva.</w:t>
      </w:r>
    </w:p>
    <w:p w:rsidR="00D32369" w:rsidRPr="007E0C0C" w:rsidRDefault="00D32369" w:rsidP="00D32369">
      <w:pPr>
        <w:tabs>
          <w:tab w:val="left" w:pos="540"/>
          <w:tab w:val="left" w:pos="569"/>
        </w:tabs>
        <w:rPr>
          <w:bCs/>
          <w:sz w:val="22"/>
          <w:szCs w:val="22"/>
          <w:u w:val="single"/>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Kod pacijenata na stabilnoj dozi lijeka Oktreotid Teva  potrebno je provjeravati GH i IGF-1 svakih 6 mjeseci.</w:t>
      </w:r>
    </w:p>
    <w:p w:rsidR="00452E9D" w:rsidRPr="007E0C0C" w:rsidRDefault="00452E9D" w:rsidP="00480FB1">
      <w:pPr>
        <w:tabs>
          <w:tab w:val="left" w:pos="540"/>
          <w:tab w:val="left" w:pos="569"/>
        </w:tabs>
        <w:rPr>
          <w:bCs/>
          <w:sz w:val="22"/>
          <w:szCs w:val="22"/>
          <w:u w:val="single"/>
          <w:lang w:val="sr-Latn-ME"/>
        </w:rPr>
      </w:pPr>
    </w:p>
    <w:p w:rsidR="00D32369" w:rsidRPr="007E0C0C" w:rsidRDefault="00D32369" w:rsidP="00D32369">
      <w:pPr>
        <w:tabs>
          <w:tab w:val="left" w:pos="540"/>
          <w:tab w:val="left" w:pos="569"/>
        </w:tabs>
        <w:jc w:val="both"/>
        <w:rPr>
          <w:bCs/>
          <w:i/>
          <w:sz w:val="22"/>
          <w:szCs w:val="22"/>
          <w:u w:val="single"/>
          <w:lang w:val="sr-Latn-ME"/>
        </w:rPr>
      </w:pPr>
      <w:r w:rsidRPr="007E0C0C">
        <w:rPr>
          <w:bCs/>
          <w:i/>
          <w:sz w:val="22"/>
          <w:szCs w:val="22"/>
          <w:u w:val="single"/>
          <w:lang w:val="sr-Latn-ME"/>
        </w:rPr>
        <w:t>Gastroenteropankreatički endokrini tumori</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i/>
          <w:sz w:val="22"/>
          <w:szCs w:val="22"/>
          <w:lang w:val="sr-Latn-ME"/>
        </w:rPr>
      </w:pPr>
      <w:r w:rsidRPr="007E0C0C">
        <w:rPr>
          <w:bCs/>
          <w:i/>
          <w:sz w:val="22"/>
          <w:szCs w:val="22"/>
          <w:lang w:val="sr-Latn-ME"/>
        </w:rPr>
        <w:t>Liječenje pacijenata sa simptomima udruženim sa funkcionalnim gastroenteropankreatičkim neuroendokrinim tumorima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 xml:space="preserve">Preporučuje se da se </w:t>
      </w:r>
      <w:r w:rsidR="0092134B" w:rsidRPr="007E0C0C">
        <w:rPr>
          <w:bCs/>
          <w:sz w:val="22"/>
          <w:szCs w:val="22"/>
          <w:lang w:val="sr-Latn-ME"/>
        </w:rPr>
        <w:t xml:space="preserve">liječenje </w:t>
      </w:r>
      <w:r w:rsidRPr="007E0C0C">
        <w:rPr>
          <w:bCs/>
          <w:sz w:val="22"/>
          <w:szCs w:val="22"/>
          <w:lang w:val="sr-Latn-ME"/>
        </w:rPr>
        <w:t xml:space="preserve">započne primjenom 20 mg lijeka Oktreotid Teva u intervalima od 4 nedjelje. Pacijenti koji se liječe </w:t>
      </w:r>
      <w:r w:rsidR="0092134B" w:rsidRPr="007E0C0C">
        <w:rPr>
          <w:bCs/>
          <w:sz w:val="22"/>
          <w:szCs w:val="22"/>
          <w:lang w:val="sr-Latn-ME"/>
        </w:rPr>
        <w:t xml:space="preserve">supkutano </w:t>
      </w:r>
      <w:r w:rsidRPr="007E0C0C">
        <w:rPr>
          <w:bCs/>
          <w:sz w:val="22"/>
          <w:szCs w:val="22"/>
          <w:lang w:val="sr-Latn-ME"/>
        </w:rPr>
        <w:t>oktreotidom, treba da nastave</w:t>
      </w:r>
      <w:r w:rsidR="0092134B" w:rsidRPr="007E0C0C">
        <w:rPr>
          <w:bCs/>
          <w:sz w:val="22"/>
          <w:szCs w:val="22"/>
          <w:lang w:val="sr-Latn-ME"/>
        </w:rPr>
        <w:t xml:space="preserve"> liječenje</w:t>
      </w:r>
      <w:r w:rsidRPr="007E0C0C">
        <w:rPr>
          <w:bCs/>
          <w:sz w:val="22"/>
          <w:szCs w:val="22"/>
          <w:lang w:val="sr-Latn-ME"/>
        </w:rPr>
        <w:t xml:space="preserve"> prethodno efikasnom dozom tokom 2 nedjelje nakon prve injekcije lijeka Oktreotid Teva.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Pacijentima čiji su simptomi i biološki markeri dobro kontrolisani nakon 3 mjeseca terapije, doza se može smanjiti na 10 mg lijeka Oktreotid Teva svake 4 nedjelje.</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Pacijentima čiji su simptomi nakon 3 mjeseca terapije samo djelimično pod kontrolom, doza se može povećati na 30 mg lijeka Oktreotid Teva svake 4 nedjelje.</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U danima kada se tokom liječenja lijekom Oktreotid Teva, eventualno pojačaju simptomi udruženi sa</w:t>
      </w: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gastroenteropankreatičkim tumorima, preporučuje se dodatna primjena oktreotida supkutano u dozama koje su propisane prije terapije lijekom Oktreotid Teva. To se može dogoditi uglavnom tokom prva 2 mjeseca terapije dok se ne postignu terapijske koncentracije oktreotida.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i/>
          <w:sz w:val="22"/>
          <w:szCs w:val="22"/>
          <w:lang w:val="sr-Latn-ME"/>
        </w:rPr>
      </w:pPr>
      <w:r w:rsidRPr="007E0C0C">
        <w:rPr>
          <w:bCs/>
          <w:i/>
          <w:sz w:val="22"/>
          <w:szCs w:val="22"/>
          <w:lang w:val="sr-Latn-ME"/>
        </w:rPr>
        <w:t>Liječenje pacijenata sa uznapredovalim neuroendokrinim tumorima srednjeg crijeva ili nepoznatog</w:t>
      </w:r>
    </w:p>
    <w:p w:rsidR="00D32369" w:rsidRPr="007E0C0C" w:rsidRDefault="00D32369" w:rsidP="00D32369">
      <w:pPr>
        <w:tabs>
          <w:tab w:val="left" w:pos="540"/>
          <w:tab w:val="left" w:pos="569"/>
        </w:tabs>
        <w:jc w:val="both"/>
        <w:rPr>
          <w:bCs/>
          <w:i/>
          <w:sz w:val="22"/>
          <w:szCs w:val="22"/>
          <w:lang w:val="sr-Latn-ME"/>
        </w:rPr>
      </w:pPr>
      <w:r w:rsidRPr="007E0C0C">
        <w:rPr>
          <w:bCs/>
          <w:i/>
          <w:sz w:val="22"/>
          <w:szCs w:val="22"/>
          <w:lang w:val="sr-Latn-ME"/>
        </w:rPr>
        <w:t xml:space="preserve">primarnog porijekla kada su kao mjesta porijekla isključena mjesta izvan srednjeg </w:t>
      </w:r>
      <w:r w:rsidR="001D1A1E" w:rsidRPr="007E0C0C">
        <w:rPr>
          <w:bCs/>
          <w:i/>
          <w:sz w:val="22"/>
          <w:szCs w:val="22"/>
          <w:lang w:val="sr-Latn-ME"/>
        </w:rPr>
        <w:t>crijeva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Preporučena doza lijeka Oktreotid Teva iznosi 30 mg primijenjen</w:t>
      </w:r>
      <w:r w:rsidR="001D1A1E" w:rsidRPr="007E0C0C">
        <w:rPr>
          <w:bCs/>
          <w:sz w:val="22"/>
          <w:szCs w:val="22"/>
          <w:lang w:val="sr-Latn-ME"/>
        </w:rPr>
        <w:t>og</w:t>
      </w:r>
      <w:r w:rsidRPr="007E0C0C">
        <w:rPr>
          <w:bCs/>
          <w:sz w:val="22"/>
          <w:szCs w:val="22"/>
          <w:lang w:val="sr-Latn-ME"/>
        </w:rPr>
        <w:t xml:space="preserve"> svake 4 nedjelje (vidjeti </w:t>
      </w:r>
      <w:r w:rsidR="001D1A1E" w:rsidRPr="007E0C0C">
        <w:rPr>
          <w:bCs/>
          <w:sz w:val="22"/>
          <w:szCs w:val="22"/>
          <w:lang w:val="sr-Latn-ME"/>
        </w:rPr>
        <w:t xml:space="preserve">dio </w:t>
      </w:r>
      <w:r w:rsidRPr="007E0C0C">
        <w:rPr>
          <w:bCs/>
          <w:sz w:val="22"/>
          <w:szCs w:val="22"/>
          <w:lang w:val="sr-Latn-ME"/>
        </w:rPr>
        <w:t xml:space="preserve">5.1). </w:t>
      </w:r>
      <w:r w:rsidR="001D1A1E" w:rsidRPr="007E0C0C">
        <w:rPr>
          <w:bCs/>
          <w:sz w:val="22"/>
          <w:szCs w:val="22"/>
          <w:lang w:val="sr-Latn-ME"/>
        </w:rPr>
        <w:t xml:space="preserve">Liječenje </w:t>
      </w:r>
      <w:r w:rsidRPr="007E0C0C">
        <w:rPr>
          <w:bCs/>
          <w:sz w:val="22"/>
          <w:szCs w:val="22"/>
          <w:lang w:val="sr-Latn-ME"/>
        </w:rPr>
        <w:t>lijekom Oktreotid Teva za kontrolisanje tumora treba nastaviti ukoliko nema napredovanja tumora.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i/>
          <w:sz w:val="22"/>
          <w:szCs w:val="22"/>
          <w:u w:val="single"/>
          <w:lang w:val="sr-Latn-ME"/>
        </w:rPr>
      </w:pPr>
      <w:r w:rsidRPr="007E0C0C">
        <w:rPr>
          <w:bCs/>
          <w:i/>
          <w:sz w:val="22"/>
          <w:szCs w:val="22"/>
          <w:u w:val="single"/>
          <w:lang w:val="sr-Latn-ME"/>
        </w:rPr>
        <w:t>Liječenje adenoma koji luče TSH</w:t>
      </w:r>
    </w:p>
    <w:p w:rsidR="00D32369" w:rsidRPr="007E0C0C" w:rsidRDefault="001D1A1E" w:rsidP="00D32369">
      <w:pPr>
        <w:tabs>
          <w:tab w:val="left" w:pos="540"/>
          <w:tab w:val="left" w:pos="569"/>
        </w:tabs>
        <w:jc w:val="both"/>
        <w:rPr>
          <w:bCs/>
          <w:sz w:val="22"/>
          <w:szCs w:val="22"/>
          <w:lang w:val="sr-Latn-ME"/>
        </w:rPr>
      </w:pPr>
      <w:r w:rsidRPr="007E0C0C">
        <w:rPr>
          <w:bCs/>
          <w:sz w:val="22"/>
          <w:szCs w:val="22"/>
          <w:lang w:val="sr-Latn-ME"/>
        </w:rPr>
        <w:t xml:space="preserve">Liječenje </w:t>
      </w:r>
      <w:r w:rsidR="00D32369" w:rsidRPr="007E0C0C">
        <w:rPr>
          <w:bCs/>
          <w:sz w:val="22"/>
          <w:szCs w:val="22"/>
          <w:lang w:val="sr-Latn-ME"/>
        </w:rPr>
        <w:t>lijekom Oktreotid Teva treba započeti dozom od 20 mg u intervalima od 4 nedjelje tokom 3 mjeseca prije razmatranja prilagođavanja doze. Doza se zatim prilagođava na osnovu odgovora TSH-a i tir</w:t>
      </w:r>
      <w:r w:rsidRPr="007E0C0C">
        <w:rPr>
          <w:bCs/>
          <w:sz w:val="22"/>
          <w:szCs w:val="22"/>
          <w:lang w:val="sr-Latn-ME"/>
        </w:rPr>
        <w:t>e</w:t>
      </w:r>
      <w:r w:rsidR="00D32369" w:rsidRPr="007E0C0C">
        <w:rPr>
          <w:bCs/>
          <w:sz w:val="22"/>
          <w:szCs w:val="22"/>
          <w:lang w:val="sr-Latn-ME"/>
        </w:rPr>
        <w:t>oidnih hormona.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i/>
          <w:sz w:val="22"/>
          <w:szCs w:val="22"/>
          <w:u w:val="single"/>
          <w:lang w:val="sr-Latn-ME"/>
        </w:rPr>
      </w:pPr>
      <w:r w:rsidRPr="007E0C0C">
        <w:rPr>
          <w:bCs/>
          <w:i/>
          <w:sz w:val="22"/>
          <w:szCs w:val="22"/>
          <w:u w:val="single"/>
          <w:lang w:val="sr-Latn-ME"/>
        </w:rPr>
        <w:t>Primjena kod pacijenata sa oštećenom funkcijom bubrega</w:t>
      </w: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Oštećena funkcija bubrega ne utiče na ukupnu izloženost (PIK) oktreotidu primijenjenom supkutano. Stoga nije potrebno prilagođavanje doze lijeka Oktreotid Teva.</w:t>
      </w:r>
    </w:p>
    <w:p w:rsidR="00D32369" w:rsidRPr="007E0C0C" w:rsidRDefault="00D32369" w:rsidP="00D32369">
      <w:pPr>
        <w:tabs>
          <w:tab w:val="left" w:pos="540"/>
          <w:tab w:val="left" w:pos="569"/>
        </w:tabs>
        <w:rPr>
          <w:bCs/>
          <w:sz w:val="22"/>
          <w:szCs w:val="22"/>
          <w:lang w:val="sr-Latn-ME"/>
        </w:rPr>
      </w:pPr>
    </w:p>
    <w:p w:rsidR="001D1A1E" w:rsidRPr="007E0C0C" w:rsidRDefault="001D1A1E" w:rsidP="00D32369">
      <w:pPr>
        <w:tabs>
          <w:tab w:val="left" w:pos="540"/>
          <w:tab w:val="left" w:pos="569"/>
        </w:tabs>
        <w:jc w:val="both"/>
        <w:rPr>
          <w:bCs/>
          <w:i/>
          <w:sz w:val="22"/>
          <w:szCs w:val="22"/>
          <w:u w:val="single"/>
          <w:lang w:val="sr-Latn-ME"/>
        </w:rPr>
      </w:pPr>
    </w:p>
    <w:p w:rsidR="00D32369" w:rsidRPr="007E0C0C" w:rsidRDefault="00D32369" w:rsidP="00D32369">
      <w:pPr>
        <w:tabs>
          <w:tab w:val="left" w:pos="540"/>
          <w:tab w:val="left" w:pos="569"/>
        </w:tabs>
        <w:jc w:val="both"/>
        <w:rPr>
          <w:bCs/>
          <w:i/>
          <w:sz w:val="22"/>
          <w:szCs w:val="22"/>
          <w:u w:val="single"/>
          <w:lang w:val="sr-Latn-ME"/>
        </w:rPr>
      </w:pPr>
      <w:r w:rsidRPr="007E0C0C">
        <w:rPr>
          <w:bCs/>
          <w:i/>
          <w:sz w:val="22"/>
          <w:szCs w:val="22"/>
          <w:u w:val="single"/>
          <w:lang w:val="sr-Latn-ME"/>
        </w:rPr>
        <w:lastRenderedPageBreak/>
        <w:t>Primjena kod pacijenata  sa oštećenom funkcijom jetre</w:t>
      </w: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U jednoj studiji sa oktreotidom primijenjenim supkutano i intravenski, pokazano je da se kapacitet eliminacije može smanjiti kod pacijenata sa cirozom jetre, ali ne i kod pacijenata sa masnom jetrom. U određenim slučajevima kod pacijenata sa oštećenom funkcijom jetre može biti potrebno prilagođavanje doze.</w:t>
      </w:r>
    </w:p>
    <w:p w:rsidR="00D32369" w:rsidRPr="007E0C0C" w:rsidRDefault="00D32369" w:rsidP="00D32369">
      <w:pPr>
        <w:tabs>
          <w:tab w:val="left" w:pos="540"/>
          <w:tab w:val="left" w:pos="569"/>
        </w:tabs>
        <w:jc w:val="both"/>
        <w:rPr>
          <w:bCs/>
          <w:i/>
          <w:sz w:val="22"/>
          <w:szCs w:val="22"/>
          <w:u w:val="single"/>
          <w:lang w:val="sr-Latn-ME"/>
        </w:rPr>
      </w:pPr>
    </w:p>
    <w:p w:rsidR="00D32369" w:rsidRPr="007E0C0C" w:rsidRDefault="00D32369" w:rsidP="00D32369">
      <w:pPr>
        <w:tabs>
          <w:tab w:val="left" w:pos="540"/>
          <w:tab w:val="left" w:pos="569"/>
        </w:tabs>
        <w:jc w:val="both"/>
        <w:rPr>
          <w:bCs/>
          <w:i/>
          <w:sz w:val="22"/>
          <w:szCs w:val="22"/>
          <w:u w:val="single"/>
          <w:lang w:val="sr-Latn-ME"/>
        </w:rPr>
      </w:pPr>
      <w:r w:rsidRPr="007E0C0C">
        <w:rPr>
          <w:bCs/>
          <w:i/>
          <w:sz w:val="22"/>
          <w:szCs w:val="22"/>
          <w:u w:val="single"/>
          <w:lang w:val="sr-Latn-ME"/>
        </w:rPr>
        <w:t>Primjena kod starijih osoba</w:t>
      </w: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U jednoj studiji sa oktreotidom primijenjenim supkutano, kod pacijenata  ≥ 65 godina nije bilo potrebno prilagođavanje doze. Stoga za ovu grupu pacijenata nije potrebno prilagođavanje doze lijeka Oktreotid Teva.</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i/>
          <w:sz w:val="22"/>
          <w:szCs w:val="22"/>
          <w:u w:val="single"/>
          <w:lang w:val="sr-Latn-ME"/>
        </w:rPr>
      </w:pPr>
      <w:r w:rsidRPr="007E0C0C">
        <w:rPr>
          <w:bCs/>
          <w:i/>
          <w:sz w:val="22"/>
          <w:szCs w:val="22"/>
          <w:u w:val="single"/>
          <w:lang w:val="sr-Latn-ME"/>
        </w:rPr>
        <w:t>Pedijatrijska populacija</w:t>
      </w: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Postoji ograničeno iskustvo sa primjenom lijeka Oktreotid Teva kod djece.</w:t>
      </w:r>
    </w:p>
    <w:p w:rsidR="00D32369" w:rsidRPr="007E0C0C" w:rsidRDefault="00D32369" w:rsidP="00D32369">
      <w:pPr>
        <w:tabs>
          <w:tab w:val="left" w:pos="540"/>
          <w:tab w:val="left" w:pos="569"/>
        </w:tabs>
        <w:jc w:val="both"/>
        <w:rPr>
          <w:bCs/>
          <w:sz w:val="22"/>
          <w:szCs w:val="22"/>
          <w:lang w:val="sr-Latn-ME"/>
        </w:rPr>
      </w:pPr>
    </w:p>
    <w:p w:rsidR="00D32369" w:rsidRPr="007E0C0C" w:rsidRDefault="00D32369" w:rsidP="00D32369">
      <w:pPr>
        <w:tabs>
          <w:tab w:val="left" w:pos="540"/>
          <w:tab w:val="left" w:pos="569"/>
        </w:tabs>
        <w:jc w:val="both"/>
        <w:rPr>
          <w:bCs/>
          <w:sz w:val="22"/>
          <w:szCs w:val="22"/>
          <w:u w:val="single"/>
          <w:lang w:val="sr-Latn-ME"/>
        </w:rPr>
      </w:pPr>
      <w:r w:rsidRPr="007E0C0C">
        <w:rPr>
          <w:bCs/>
          <w:sz w:val="22"/>
          <w:szCs w:val="22"/>
          <w:u w:val="single"/>
          <w:lang w:val="sr-Latn-ME"/>
        </w:rPr>
        <w:t>Način primjene</w:t>
      </w:r>
    </w:p>
    <w:p w:rsidR="00D32369" w:rsidRPr="007E0C0C" w:rsidRDefault="00D32369" w:rsidP="00D32369">
      <w:pPr>
        <w:tabs>
          <w:tab w:val="left" w:pos="540"/>
          <w:tab w:val="left" w:pos="569"/>
        </w:tabs>
        <w:jc w:val="both"/>
        <w:rPr>
          <w:bCs/>
          <w:sz w:val="22"/>
          <w:szCs w:val="22"/>
          <w:lang w:val="sr-Latn-ME"/>
        </w:rPr>
      </w:pPr>
      <w:r w:rsidRPr="007E0C0C">
        <w:rPr>
          <w:bCs/>
          <w:sz w:val="22"/>
          <w:szCs w:val="22"/>
          <w:lang w:val="sr-Latn-ME"/>
        </w:rPr>
        <w:t xml:space="preserve">Oktreotid Teva može se primijeniti samo dubokom intramuskularnom injekcijom. Mjesto uboda svake sljedeće intramuskularne injekcije treba </w:t>
      </w:r>
      <w:r w:rsidR="0041622A" w:rsidRPr="007E0C0C">
        <w:rPr>
          <w:bCs/>
          <w:sz w:val="22"/>
          <w:szCs w:val="22"/>
          <w:lang w:val="sr-Latn-ME"/>
        </w:rPr>
        <w:t xml:space="preserve">mijenjati  </w:t>
      </w:r>
      <w:r w:rsidRPr="007E0C0C">
        <w:rPr>
          <w:bCs/>
          <w:sz w:val="22"/>
          <w:szCs w:val="22"/>
          <w:lang w:val="sr-Latn-ME"/>
        </w:rPr>
        <w:t xml:space="preserve">između lijevog i desnog glutealnog mišića (vidjeti </w:t>
      </w:r>
      <w:r w:rsidR="001D1A1E" w:rsidRPr="007E0C0C">
        <w:rPr>
          <w:bCs/>
          <w:sz w:val="22"/>
          <w:szCs w:val="22"/>
          <w:lang w:val="sr-Latn-ME"/>
        </w:rPr>
        <w:t xml:space="preserve">dio </w:t>
      </w:r>
      <w:r w:rsidRPr="007E0C0C">
        <w:rPr>
          <w:bCs/>
          <w:sz w:val="22"/>
          <w:szCs w:val="22"/>
          <w:lang w:val="sr-Latn-ME"/>
        </w:rPr>
        <w:t>6.6).</w:t>
      </w:r>
    </w:p>
    <w:p w:rsidR="00452E9D" w:rsidRPr="007E0C0C" w:rsidRDefault="00452E9D" w:rsidP="00480FB1">
      <w:pPr>
        <w:tabs>
          <w:tab w:val="left" w:pos="540"/>
          <w:tab w:val="left" w:pos="569"/>
        </w:tabs>
        <w:rPr>
          <w:bCs/>
          <w:sz w:val="22"/>
          <w:szCs w:val="22"/>
          <w:lang w:val="sr-Latn-ME"/>
        </w:rPr>
      </w:pPr>
    </w:p>
    <w:p w:rsidR="00411B4B" w:rsidRPr="007E0C0C" w:rsidRDefault="00411B4B" w:rsidP="00480FB1">
      <w:pPr>
        <w:tabs>
          <w:tab w:val="left" w:pos="540"/>
          <w:tab w:val="left" w:pos="569"/>
        </w:tabs>
        <w:rPr>
          <w:b/>
          <w:bCs/>
          <w:sz w:val="22"/>
          <w:szCs w:val="22"/>
          <w:lang w:val="sr-Latn-ME"/>
        </w:rPr>
      </w:pPr>
      <w:r w:rsidRPr="007E0C0C">
        <w:rPr>
          <w:b/>
          <w:bCs/>
          <w:sz w:val="22"/>
          <w:szCs w:val="22"/>
          <w:lang w:val="sr-Latn-ME"/>
        </w:rPr>
        <w:t xml:space="preserve">4.3. </w:t>
      </w:r>
      <w:r w:rsidR="00480FB1" w:rsidRPr="007E0C0C">
        <w:rPr>
          <w:b/>
          <w:bCs/>
          <w:sz w:val="22"/>
          <w:szCs w:val="22"/>
          <w:lang w:val="sr-Latn-ME"/>
        </w:rPr>
        <w:tab/>
      </w:r>
      <w:r w:rsidRPr="007E0C0C">
        <w:rPr>
          <w:b/>
          <w:bCs/>
          <w:sz w:val="22"/>
          <w:szCs w:val="22"/>
          <w:lang w:val="sr-Latn-ME"/>
        </w:rPr>
        <w:t>Kontraindikacije</w:t>
      </w:r>
    </w:p>
    <w:p w:rsidR="008A16BF" w:rsidRPr="007E0C0C" w:rsidRDefault="008A16BF" w:rsidP="00480FB1">
      <w:pPr>
        <w:tabs>
          <w:tab w:val="left" w:pos="540"/>
          <w:tab w:val="left" w:pos="569"/>
        </w:tabs>
        <w:rPr>
          <w:b/>
          <w:bCs/>
          <w:sz w:val="22"/>
          <w:szCs w:val="22"/>
          <w:lang w:val="sr-Latn-ME"/>
        </w:rPr>
      </w:pPr>
    </w:p>
    <w:p w:rsidR="008A16BF" w:rsidRPr="007E0C0C" w:rsidRDefault="008A16BF" w:rsidP="008A16BF">
      <w:pPr>
        <w:tabs>
          <w:tab w:val="left" w:pos="540"/>
          <w:tab w:val="left" w:pos="567"/>
        </w:tabs>
        <w:rPr>
          <w:bCs/>
          <w:sz w:val="22"/>
          <w:szCs w:val="22"/>
          <w:lang w:val="sr-Latn-ME"/>
        </w:rPr>
      </w:pPr>
      <w:r w:rsidRPr="007E0C0C">
        <w:rPr>
          <w:bCs/>
          <w:sz w:val="22"/>
          <w:szCs w:val="22"/>
          <w:lang w:val="sr-Latn-ME"/>
        </w:rPr>
        <w:t xml:space="preserve">Preosjetljivost na aktivnu supstancu ili neku od pomoćnih supstanci navedenih u </w:t>
      </w:r>
      <w:r w:rsidR="0041622A" w:rsidRPr="007E0C0C">
        <w:rPr>
          <w:bCs/>
          <w:sz w:val="22"/>
          <w:szCs w:val="22"/>
          <w:lang w:val="sr-Latn-ME"/>
        </w:rPr>
        <w:t xml:space="preserve">dijelu </w:t>
      </w:r>
      <w:r w:rsidRPr="007E0C0C">
        <w:rPr>
          <w:bCs/>
          <w:sz w:val="22"/>
          <w:szCs w:val="22"/>
          <w:lang w:val="sr-Latn-ME"/>
        </w:rPr>
        <w:t>6.1.</w:t>
      </w:r>
    </w:p>
    <w:p w:rsidR="0072020E" w:rsidRPr="007E0C0C" w:rsidRDefault="0072020E" w:rsidP="00480FB1">
      <w:pPr>
        <w:tabs>
          <w:tab w:val="left" w:pos="540"/>
          <w:tab w:val="left" w:pos="569"/>
        </w:tabs>
        <w:rPr>
          <w:bCs/>
          <w:sz w:val="22"/>
          <w:szCs w:val="22"/>
          <w:lang w:val="sr-Latn-ME"/>
        </w:rPr>
      </w:pPr>
    </w:p>
    <w:p w:rsidR="00411B4B" w:rsidRPr="007E0C0C" w:rsidRDefault="00411B4B" w:rsidP="00480FB1">
      <w:pPr>
        <w:tabs>
          <w:tab w:val="left" w:pos="540"/>
          <w:tab w:val="left" w:pos="569"/>
        </w:tabs>
        <w:rPr>
          <w:b/>
          <w:bCs/>
          <w:sz w:val="22"/>
          <w:szCs w:val="22"/>
          <w:lang w:val="sr-Latn-ME"/>
        </w:rPr>
      </w:pPr>
      <w:r w:rsidRPr="007E0C0C">
        <w:rPr>
          <w:b/>
          <w:bCs/>
          <w:sz w:val="22"/>
          <w:szCs w:val="22"/>
          <w:lang w:val="sr-Latn-ME"/>
        </w:rPr>
        <w:t xml:space="preserve">4.4. </w:t>
      </w:r>
      <w:r w:rsidR="00480FB1" w:rsidRPr="007E0C0C">
        <w:rPr>
          <w:b/>
          <w:bCs/>
          <w:sz w:val="22"/>
          <w:szCs w:val="22"/>
          <w:lang w:val="sr-Latn-ME"/>
        </w:rPr>
        <w:tab/>
      </w:r>
      <w:r w:rsidRPr="007E0C0C">
        <w:rPr>
          <w:b/>
          <w:bCs/>
          <w:sz w:val="22"/>
          <w:szCs w:val="22"/>
          <w:lang w:val="sr-Latn-ME"/>
        </w:rPr>
        <w:t>Posebna upozorenja i mjere opreza pri upotrebi lijeka</w:t>
      </w:r>
    </w:p>
    <w:p w:rsidR="0072020E" w:rsidRPr="007E0C0C" w:rsidRDefault="0072020E" w:rsidP="00480FB1">
      <w:pPr>
        <w:tabs>
          <w:tab w:val="left" w:pos="540"/>
          <w:tab w:val="left" w:pos="569"/>
        </w:tabs>
        <w:rPr>
          <w:bCs/>
          <w:sz w:val="22"/>
          <w:szCs w:val="22"/>
          <w:lang w:val="sr-Latn-ME"/>
        </w:rPr>
      </w:pPr>
    </w:p>
    <w:p w:rsidR="008A16BF" w:rsidRPr="007E0C0C" w:rsidRDefault="008A16BF" w:rsidP="008A16BF">
      <w:pPr>
        <w:tabs>
          <w:tab w:val="left" w:pos="540"/>
          <w:tab w:val="left" w:pos="569"/>
        </w:tabs>
        <w:jc w:val="both"/>
        <w:rPr>
          <w:sz w:val="22"/>
          <w:szCs w:val="22"/>
          <w:u w:val="single"/>
          <w:lang w:val="sr-Latn-ME"/>
        </w:rPr>
      </w:pPr>
      <w:r w:rsidRPr="007E0C0C">
        <w:rPr>
          <w:sz w:val="22"/>
          <w:szCs w:val="22"/>
          <w:u w:val="single"/>
          <w:lang w:val="sr-Latn-ME"/>
        </w:rPr>
        <w:t>Opšte</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S obzirom na to da se tumori hipofize koji izlučuju GH mogu ponekad proširiti i pritom izazvati ozbiljne komplikacije (npr. oštećenja vidnog polja), važno je da svi pacijenti budu pažljivo praćeni. Ako se dokaže širenje tumora, pacijentu se mogu preporučiti drugi terapijski postupci.</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 xml:space="preserve">Kod pacijentkinja sa akromegalijom terapijska korist od sniženja vrijednosti hormona rasta (GH) i normalizacije koncentracije insulinu sličnog faktora rasta 1 (IGF-1) može da podrazumijeva potencijalno obnavljanje plodnosti. Pacijentkinje u reproduktivnom periodu potrebno je upozoriti da tokom liječenja oktreotidom, ako je potrebno, koriste odgovarajuću kontracepciju (vidjeti takođe </w:t>
      </w:r>
      <w:r w:rsidR="0041622A" w:rsidRPr="007E0C0C">
        <w:rPr>
          <w:sz w:val="22"/>
          <w:szCs w:val="22"/>
          <w:lang w:val="sr-Latn-ME"/>
        </w:rPr>
        <w:t xml:space="preserve">dio </w:t>
      </w:r>
      <w:r w:rsidRPr="007E0C0C">
        <w:rPr>
          <w:sz w:val="22"/>
          <w:szCs w:val="22"/>
          <w:lang w:val="sr-Latn-ME"/>
        </w:rPr>
        <w:t>4.6).</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Kod pacijenata koji se dugotrajno liječe oktreotidom potrebno je pratiti funkciju štitaste žlijezde.</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Tokom terapije oktreotidom potrebno je pratiti funkciju jetre.</w:t>
      </w:r>
    </w:p>
    <w:p w:rsidR="008A16BF" w:rsidRPr="007E0C0C" w:rsidRDefault="008A16BF" w:rsidP="008A16BF">
      <w:pPr>
        <w:tabs>
          <w:tab w:val="left" w:pos="540"/>
          <w:tab w:val="left" w:pos="569"/>
        </w:tabs>
        <w:rPr>
          <w:sz w:val="22"/>
          <w:szCs w:val="22"/>
          <w:u w:val="single"/>
          <w:lang w:val="sr-Latn-ME"/>
        </w:rPr>
      </w:pPr>
    </w:p>
    <w:p w:rsidR="008A16BF" w:rsidRPr="007E0C0C" w:rsidRDefault="008A16BF" w:rsidP="008A16BF">
      <w:pPr>
        <w:tabs>
          <w:tab w:val="left" w:pos="540"/>
          <w:tab w:val="left" w:pos="569"/>
        </w:tabs>
        <w:jc w:val="both"/>
        <w:rPr>
          <w:sz w:val="22"/>
          <w:szCs w:val="22"/>
          <w:u w:val="single"/>
          <w:lang w:val="sr-Latn-ME"/>
        </w:rPr>
      </w:pPr>
      <w:r w:rsidRPr="007E0C0C">
        <w:rPr>
          <w:sz w:val="22"/>
          <w:szCs w:val="22"/>
          <w:u w:val="single"/>
          <w:lang w:val="sr-Latn-ME"/>
        </w:rPr>
        <w:t>Kardiovaskularni događaji</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Prijavljeni su česti slučajevi bradikardije. Može biti potrebno prilagođavanje doze ljekova kao što su</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 xml:space="preserve">beta-blokatori, blokatori kalcijumskih  kanala ili preparata koji kontrolišu balans tečnosti i elektrolita (vidjeti </w:t>
      </w:r>
      <w:r w:rsidR="0041622A" w:rsidRPr="007E0C0C">
        <w:rPr>
          <w:sz w:val="22"/>
          <w:szCs w:val="22"/>
          <w:lang w:val="sr-Latn-ME"/>
        </w:rPr>
        <w:t xml:space="preserve">dio </w:t>
      </w:r>
      <w:r w:rsidRPr="007E0C0C">
        <w:rPr>
          <w:sz w:val="22"/>
          <w:szCs w:val="22"/>
          <w:lang w:val="sr-Latn-ME"/>
        </w:rPr>
        <w:t>4.5).</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u w:val="single"/>
          <w:lang w:val="sr-Latn-ME"/>
        </w:rPr>
      </w:pPr>
      <w:r w:rsidRPr="007E0C0C">
        <w:rPr>
          <w:sz w:val="22"/>
          <w:szCs w:val="22"/>
          <w:u w:val="single"/>
          <w:lang w:val="sr-Latn-ME"/>
        </w:rPr>
        <w:t>Poremećaji žuči i povezani događaji</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 xml:space="preserve">Holelitijaza je vrlo česta tokom terapije oktreotidom i može se povezati sa holecistitisom i dilatacijom </w:t>
      </w:r>
      <w:r w:rsidR="0041622A" w:rsidRPr="007E0C0C">
        <w:rPr>
          <w:sz w:val="22"/>
          <w:szCs w:val="22"/>
          <w:lang w:val="sr-Latn-ME"/>
        </w:rPr>
        <w:t>žučnog kanala</w:t>
      </w:r>
      <w:r w:rsidRPr="007E0C0C">
        <w:rPr>
          <w:sz w:val="22"/>
          <w:szCs w:val="22"/>
          <w:lang w:val="sr-Latn-ME"/>
        </w:rPr>
        <w:t xml:space="preserve"> (vidjeti </w:t>
      </w:r>
      <w:r w:rsidR="0041622A" w:rsidRPr="007E0C0C">
        <w:rPr>
          <w:sz w:val="22"/>
          <w:szCs w:val="22"/>
          <w:lang w:val="sr-Latn-ME"/>
        </w:rPr>
        <w:t xml:space="preserve">dio </w:t>
      </w:r>
      <w:r w:rsidRPr="007E0C0C">
        <w:rPr>
          <w:sz w:val="22"/>
          <w:szCs w:val="22"/>
          <w:lang w:val="sr-Latn-ME"/>
        </w:rPr>
        <w:t xml:space="preserve">4.8). Dodatno, u postmarketiškom periodu prijavljeni su slučajevi </w:t>
      </w:r>
      <w:r w:rsidR="0041622A" w:rsidRPr="007E0C0C">
        <w:rPr>
          <w:sz w:val="22"/>
          <w:szCs w:val="22"/>
          <w:lang w:val="sr-Latn-ME"/>
        </w:rPr>
        <w:t xml:space="preserve">holangitisa </w:t>
      </w:r>
      <w:r w:rsidRPr="007E0C0C">
        <w:rPr>
          <w:sz w:val="22"/>
          <w:szCs w:val="22"/>
          <w:lang w:val="sr-Latn-ME"/>
        </w:rPr>
        <w:t>kao komplikacije holelitijaze kod pacijenata koji primaju oktreotid injekcije sa produženim oslobadjanjem.</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Preporučuje se ultrazvučni pregled žučne kese prije, kao i u približno 6-mjesečnim intervalima tokom terapije oktreotid injekcijama sa produženim oslobađanjem.</w:t>
      </w:r>
    </w:p>
    <w:p w:rsidR="008A16BF" w:rsidRPr="007E0C0C" w:rsidRDefault="008A16BF" w:rsidP="008A16BF">
      <w:pPr>
        <w:tabs>
          <w:tab w:val="left" w:pos="540"/>
          <w:tab w:val="left" w:pos="569"/>
        </w:tabs>
        <w:rPr>
          <w:sz w:val="22"/>
          <w:szCs w:val="22"/>
          <w:u w:val="single"/>
          <w:lang w:val="sr-Latn-ME"/>
        </w:rPr>
      </w:pPr>
    </w:p>
    <w:p w:rsidR="008A16BF" w:rsidRPr="007E0C0C" w:rsidRDefault="008A16BF" w:rsidP="008A16BF">
      <w:pPr>
        <w:tabs>
          <w:tab w:val="left" w:pos="540"/>
          <w:tab w:val="left" w:pos="569"/>
        </w:tabs>
        <w:jc w:val="both"/>
        <w:rPr>
          <w:sz w:val="22"/>
          <w:szCs w:val="22"/>
          <w:u w:val="single"/>
          <w:lang w:val="sr-Latn-ME"/>
        </w:rPr>
      </w:pPr>
      <w:r w:rsidRPr="007E0C0C">
        <w:rPr>
          <w:sz w:val="22"/>
          <w:szCs w:val="22"/>
          <w:u w:val="single"/>
          <w:lang w:val="sr-Latn-ME"/>
        </w:rPr>
        <w:t>Metabolizam glukoze</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 xml:space="preserve">Lijek Oktreotid Teva može uticati na regulaciju glukoze zbog svog inhibitornog djelovanja na hormon rasta, glukagon i oslobađanje insulina. Postprandijalna tolerancija glukoze može biti smanjena. Kod </w:t>
      </w:r>
      <w:r w:rsidRPr="007E0C0C">
        <w:rPr>
          <w:sz w:val="22"/>
          <w:szCs w:val="22"/>
          <w:lang w:val="sr-Latn-ME"/>
        </w:rPr>
        <w:lastRenderedPageBreak/>
        <w:t>pacijenata liječenih oktreotidom supkutano, u nekim se slučajevima kao rezultat dugotrajne primjene može javiti stanje perzistirajuće hiperglikemije. Takođe je bila prijavljena i hipoglikemija.</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Kod pacijenata koji istovremeno imaju dijabetes melitus tipa I, lijek Oktreotid Teva može uticati na regulaciju glukoze, pa bi mogle biti potrebne niže doze insulina. Kod osoba koje ne boluju od šećerne bolesti, kao i kod pacijenata sa šećernom bolešću tipa II sa djelimično očuvanim rezervama insulina, supkutana primjena oktreotida može rezultirati postprandijalnim porastom glikemije. Stoga se savjetuje praćenje tolerancije glukoze i antidijabetesne terapije.</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Kod pacijenata sa insulinomima oktreotid može, zbog svog relativno jačeg inh</w:t>
      </w:r>
      <w:r w:rsidR="0041622A" w:rsidRPr="007E0C0C">
        <w:rPr>
          <w:sz w:val="22"/>
          <w:szCs w:val="22"/>
          <w:lang w:val="sr-Latn-ME"/>
        </w:rPr>
        <w:t>ibitornog</w:t>
      </w:r>
      <w:r w:rsidRPr="007E0C0C">
        <w:rPr>
          <w:sz w:val="22"/>
          <w:szCs w:val="22"/>
          <w:lang w:val="sr-Latn-ME"/>
        </w:rPr>
        <w:t xml:space="preserve"> dejstva na izlučivanje GH-a i glukagona nego insulina kao i zbog kraćeg trajanja njegovog inhibi</w:t>
      </w:r>
      <w:r w:rsidR="0041622A" w:rsidRPr="007E0C0C">
        <w:rPr>
          <w:sz w:val="22"/>
          <w:szCs w:val="22"/>
          <w:lang w:val="sr-Latn-ME"/>
        </w:rPr>
        <w:t>tornog</w:t>
      </w:r>
      <w:r w:rsidRPr="007E0C0C">
        <w:rPr>
          <w:sz w:val="22"/>
          <w:szCs w:val="22"/>
          <w:lang w:val="sr-Latn-ME"/>
        </w:rPr>
        <w:t xml:space="preserve"> dejstva na insulin, produžiti i pojačati trajanje hipoglikemije. Potrebno je pažljivo praćenje stanja tih pacijenata.</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u w:val="single"/>
          <w:lang w:val="sr-Latn-ME"/>
        </w:rPr>
      </w:pPr>
      <w:r w:rsidRPr="007E0C0C">
        <w:rPr>
          <w:sz w:val="22"/>
          <w:szCs w:val="22"/>
          <w:u w:val="single"/>
          <w:lang w:val="sr-Latn-ME"/>
        </w:rPr>
        <w:t xml:space="preserve">Funkcija pankreasa: </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 xml:space="preserve">Egzokrina insuficijencija pankreasa (engl. </w:t>
      </w:r>
      <w:r w:rsidRPr="007E0C0C">
        <w:rPr>
          <w:i/>
          <w:iCs/>
          <w:sz w:val="22"/>
          <w:szCs w:val="22"/>
          <w:lang w:val="sr-Latn-ME"/>
        </w:rPr>
        <w:t>pancreatic exocrine insufficiency</w:t>
      </w:r>
      <w:r w:rsidRPr="007E0C0C">
        <w:rPr>
          <w:sz w:val="22"/>
          <w:szCs w:val="22"/>
          <w:lang w:val="sr-Latn-ME"/>
        </w:rPr>
        <w:t>, PEI) uočena je kod nekih pacijenata koji su primali terapiju oktreotidom za liječenje gastroenteropankreatičkih neuroendokrinih tumora. Simptomi PEI mogu uključivati steatoreju, mekanu stolicu, nadutost u abdomenu i gubitak težine. Kod simptomatskih pacijenata treba razmotriti skrining i odgovarajuće liječenje PEI u skladu sa kliničkim smjernicama.</w:t>
      </w:r>
    </w:p>
    <w:p w:rsidR="008A16BF" w:rsidRPr="007E0C0C" w:rsidRDefault="008A16BF" w:rsidP="008A16BF">
      <w:pPr>
        <w:tabs>
          <w:tab w:val="left" w:pos="540"/>
          <w:tab w:val="left" w:pos="569"/>
        </w:tabs>
        <w:rPr>
          <w:sz w:val="22"/>
          <w:szCs w:val="22"/>
          <w:u w:val="single"/>
          <w:lang w:val="sr-Latn-ME"/>
        </w:rPr>
      </w:pPr>
    </w:p>
    <w:p w:rsidR="008A16BF" w:rsidRPr="007E0C0C" w:rsidRDefault="008A16BF" w:rsidP="008A16BF">
      <w:pPr>
        <w:tabs>
          <w:tab w:val="left" w:pos="540"/>
          <w:tab w:val="left" w:pos="569"/>
        </w:tabs>
        <w:jc w:val="both"/>
        <w:rPr>
          <w:sz w:val="22"/>
          <w:szCs w:val="22"/>
          <w:u w:val="single"/>
          <w:lang w:val="sr-Latn-ME"/>
        </w:rPr>
      </w:pPr>
      <w:r w:rsidRPr="007E0C0C">
        <w:rPr>
          <w:sz w:val="22"/>
          <w:szCs w:val="22"/>
          <w:u w:val="single"/>
          <w:lang w:val="sr-Latn-ME"/>
        </w:rPr>
        <w:t>Ishrana</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Oktreotid može kod nekih pacijenata promijeniti resorpciju masnoća iz hrane.</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 xml:space="preserve">Kod nekih pacijenata koji su primali terapiju oktreotidom zabilježene su snižene vrijednosti vitamina B12 i poremećen nalaz </w:t>
      </w:r>
      <w:r w:rsidRPr="007E0C0C">
        <w:rPr>
          <w:i/>
          <w:sz w:val="22"/>
          <w:szCs w:val="22"/>
          <w:lang w:val="sr-Latn-ME"/>
        </w:rPr>
        <w:t>Schilling</w:t>
      </w:r>
      <w:r w:rsidRPr="007E0C0C">
        <w:rPr>
          <w:sz w:val="22"/>
          <w:szCs w:val="22"/>
          <w:lang w:val="sr-Latn-ME"/>
        </w:rPr>
        <w:t>-ovog testa. Tokom terapije lijekom Oktreotid Teva preporučuje se praćenje vrijednosti vitamina B12 kod pacijenata koji u anamnezi već od ranije imaju zabilježen nedostatak vitamina B12.</w:t>
      </w:r>
    </w:p>
    <w:p w:rsidR="008A16BF" w:rsidRPr="007E0C0C" w:rsidRDefault="008A16BF" w:rsidP="008A16BF">
      <w:pPr>
        <w:tabs>
          <w:tab w:val="left" w:pos="540"/>
          <w:tab w:val="left" w:pos="569"/>
        </w:tabs>
        <w:jc w:val="both"/>
        <w:rPr>
          <w:sz w:val="22"/>
          <w:szCs w:val="22"/>
          <w:lang w:val="sr-Latn-ME"/>
        </w:rPr>
      </w:pPr>
    </w:p>
    <w:p w:rsidR="008A16BF" w:rsidRPr="007E0C0C" w:rsidRDefault="008A16BF" w:rsidP="008A16BF">
      <w:pPr>
        <w:tabs>
          <w:tab w:val="left" w:pos="540"/>
          <w:tab w:val="left" w:pos="569"/>
        </w:tabs>
        <w:jc w:val="both"/>
        <w:rPr>
          <w:sz w:val="22"/>
          <w:szCs w:val="22"/>
          <w:u w:val="single"/>
          <w:lang w:val="sr-Latn-ME"/>
        </w:rPr>
      </w:pPr>
      <w:r w:rsidRPr="007E0C0C">
        <w:rPr>
          <w:sz w:val="22"/>
          <w:szCs w:val="22"/>
          <w:u w:val="single"/>
          <w:lang w:val="sr-Latn-ME"/>
        </w:rPr>
        <w:t>Sadržaj natrijuma</w:t>
      </w:r>
    </w:p>
    <w:p w:rsidR="008A16BF" w:rsidRPr="007E0C0C" w:rsidRDefault="008A16BF" w:rsidP="008A16BF">
      <w:pPr>
        <w:tabs>
          <w:tab w:val="left" w:pos="540"/>
          <w:tab w:val="left" w:pos="569"/>
        </w:tabs>
        <w:jc w:val="both"/>
        <w:rPr>
          <w:sz w:val="22"/>
          <w:szCs w:val="22"/>
          <w:lang w:val="sr-Latn-ME"/>
        </w:rPr>
      </w:pPr>
      <w:r w:rsidRPr="007E0C0C">
        <w:rPr>
          <w:sz w:val="22"/>
          <w:szCs w:val="22"/>
          <w:lang w:val="sr-Latn-ME"/>
        </w:rPr>
        <w:t>Lijek Oktreotid Teva sadrži manje od 1 mmol (23 mg) natrijuma po dozi, tj. zanemarljive količine natrijuma.</w:t>
      </w:r>
    </w:p>
    <w:p w:rsidR="00057E35" w:rsidRPr="007E0C0C" w:rsidRDefault="00057E35" w:rsidP="00480FB1">
      <w:pPr>
        <w:tabs>
          <w:tab w:val="left" w:pos="540"/>
          <w:tab w:val="left" w:pos="569"/>
        </w:tabs>
        <w:rPr>
          <w:bCs/>
          <w:sz w:val="22"/>
          <w:szCs w:val="22"/>
          <w:lang w:val="sr-Latn-ME"/>
        </w:rPr>
      </w:pPr>
    </w:p>
    <w:p w:rsidR="00411B4B" w:rsidRPr="007E0C0C" w:rsidRDefault="00411B4B" w:rsidP="00480FB1">
      <w:pPr>
        <w:tabs>
          <w:tab w:val="left" w:pos="540"/>
          <w:tab w:val="left" w:pos="569"/>
        </w:tabs>
        <w:rPr>
          <w:b/>
          <w:bCs/>
          <w:sz w:val="22"/>
          <w:szCs w:val="22"/>
          <w:lang w:val="sr-Latn-ME"/>
        </w:rPr>
      </w:pPr>
      <w:r w:rsidRPr="007E0C0C">
        <w:rPr>
          <w:b/>
          <w:bCs/>
          <w:sz w:val="22"/>
          <w:szCs w:val="22"/>
          <w:lang w:val="sr-Latn-ME"/>
        </w:rPr>
        <w:t>4.5.</w:t>
      </w:r>
      <w:r w:rsidR="003B127B" w:rsidRPr="007E0C0C">
        <w:rPr>
          <w:b/>
          <w:bCs/>
          <w:sz w:val="22"/>
          <w:szCs w:val="22"/>
          <w:lang w:val="sr-Latn-ME"/>
        </w:rPr>
        <w:t xml:space="preserve"> </w:t>
      </w:r>
      <w:r w:rsidRPr="007E0C0C">
        <w:rPr>
          <w:b/>
          <w:bCs/>
          <w:sz w:val="22"/>
          <w:szCs w:val="22"/>
          <w:lang w:val="sr-Latn-ME"/>
        </w:rPr>
        <w:t>Interakcije sa drugim ljekovima i druge vrste interakcija</w:t>
      </w:r>
    </w:p>
    <w:p w:rsidR="000B6490" w:rsidRPr="007E0C0C" w:rsidRDefault="000B6490" w:rsidP="00480FB1">
      <w:pPr>
        <w:tabs>
          <w:tab w:val="left" w:pos="540"/>
          <w:tab w:val="left" w:pos="569"/>
        </w:tabs>
        <w:rPr>
          <w:b/>
          <w:bCs/>
          <w:sz w:val="22"/>
          <w:szCs w:val="22"/>
          <w:lang w:val="sr-Latn-ME"/>
        </w:rPr>
      </w:pPr>
    </w:p>
    <w:p w:rsidR="000B6490" w:rsidRPr="007E0C0C" w:rsidRDefault="000B6490" w:rsidP="000B6490">
      <w:pPr>
        <w:tabs>
          <w:tab w:val="left" w:pos="540"/>
          <w:tab w:val="left" w:pos="567"/>
        </w:tabs>
        <w:jc w:val="both"/>
        <w:rPr>
          <w:bCs/>
          <w:sz w:val="22"/>
          <w:szCs w:val="22"/>
          <w:lang w:val="sr-Latn-ME"/>
        </w:rPr>
      </w:pPr>
      <w:r w:rsidRPr="007E0C0C">
        <w:rPr>
          <w:bCs/>
          <w:sz w:val="22"/>
          <w:szCs w:val="22"/>
          <w:lang w:val="sr-Latn-ME"/>
        </w:rPr>
        <w:t xml:space="preserve">Prilagođavanje doze ljekova kao što su beta-blokatori, blokatori kalcijumskih kanala ili supstance koje kontrolišu ravnotežu tečnosti i elektrolita može biti potrebno kada se istovremeno primjenjuje lijek Oktreotid Teva (vidjeti </w:t>
      </w:r>
      <w:r w:rsidR="003B127B" w:rsidRPr="007E0C0C">
        <w:rPr>
          <w:bCs/>
          <w:sz w:val="22"/>
          <w:szCs w:val="22"/>
          <w:lang w:val="sr-Latn-ME"/>
        </w:rPr>
        <w:t xml:space="preserve">dio </w:t>
      </w:r>
      <w:r w:rsidRPr="007E0C0C">
        <w:rPr>
          <w:bCs/>
          <w:sz w:val="22"/>
          <w:szCs w:val="22"/>
          <w:lang w:val="sr-Latn-ME"/>
        </w:rPr>
        <w:t>4.4).</w:t>
      </w:r>
    </w:p>
    <w:p w:rsidR="000B6490" w:rsidRPr="007E0C0C" w:rsidRDefault="000B6490" w:rsidP="000B6490">
      <w:pPr>
        <w:tabs>
          <w:tab w:val="left" w:pos="540"/>
          <w:tab w:val="left" w:pos="567"/>
        </w:tabs>
        <w:jc w:val="both"/>
        <w:rPr>
          <w:bCs/>
          <w:sz w:val="22"/>
          <w:szCs w:val="22"/>
          <w:lang w:val="sr-Latn-ME"/>
        </w:rPr>
      </w:pPr>
    </w:p>
    <w:p w:rsidR="000B6490" w:rsidRPr="007E0C0C" w:rsidRDefault="000B6490" w:rsidP="000B6490">
      <w:pPr>
        <w:tabs>
          <w:tab w:val="left" w:pos="540"/>
          <w:tab w:val="left" w:pos="567"/>
        </w:tabs>
        <w:jc w:val="both"/>
        <w:rPr>
          <w:bCs/>
          <w:sz w:val="22"/>
          <w:szCs w:val="22"/>
          <w:lang w:val="sr-Latn-ME"/>
        </w:rPr>
      </w:pPr>
      <w:r w:rsidRPr="007E0C0C">
        <w:rPr>
          <w:bCs/>
          <w:sz w:val="22"/>
          <w:szCs w:val="22"/>
          <w:lang w:val="sr-Latn-ME"/>
        </w:rPr>
        <w:t xml:space="preserve">Može biti potrebno prilagođavanje doze insulina i antidijabetika kada se istovremeno primjenjuje lijek Oktreotid Teva (vidjeti </w:t>
      </w:r>
      <w:r w:rsidR="003B127B" w:rsidRPr="007E0C0C">
        <w:rPr>
          <w:bCs/>
          <w:sz w:val="22"/>
          <w:szCs w:val="22"/>
          <w:lang w:val="sr-Latn-ME"/>
        </w:rPr>
        <w:t xml:space="preserve">dio </w:t>
      </w:r>
      <w:r w:rsidRPr="007E0C0C">
        <w:rPr>
          <w:bCs/>
          <w:sz w:val="22"/>
          <w:szCs w:val="22"/>
          <w:lang w:val="sr-Latn-ME"/>
        </w:rPr>
        <w:t>4.4).</w:t>
      </w:r>
    </w:p>
    <w:p w:rsidR="000B6490" w:rsidRPr="007E0C0C" w:rsidRDefault="000B6490" w:rsidP="000B6490">
      <w:pPr>
        <w:tabs>
          <w:tab w:val="left" w:pos="540"/>
          <w:tab w:val="left" w:pos="567"/>
        </w:tabs>
        <w:jc w:val="both"/>
        <w:rPr>
          <w:bCs/>
          <w:sz w:val="22"/>
          <w:szCs w:val="22"/>
          <w:lang w:val="sr-Latn-ME"/>
        </w:rPr>
      </w:pPr>
    </w:p>
    <w:p w:rsidR="000B6490" w:rsidRPr="007E0C0C" w:rsidRDefault="000B6490" w:rsidP="000B6490">
      <w:pPr>
        <w:tabs>
          <w:tab w:val="left" w:pos="540"/>
          <w:tab w:val="left" w:pos="567"/>
        </w:tabs>
        <w:jc w:val="both"/>
        <w:rPr>
          <w:bCs/>
          <w:sz w:val="22"/>
          <w:szCs w:val="22"/>
          <w:lang w:val="sr-Latn-ME"/>
        </w:rPr>
      </w:pPr>
      <w:r w:rsidRPr="007E0C0C">
        <w:rPr>
          <w:bCs/>
          <w:sz w:val="22"/>
          <w:szCs w:val="22"/>
          <w:lang w:val="sr-Latn-ME"/>
        </w:rPr>
        <w:t>Otkriveno je da oktreotid smanjuje intestinalnu resorpciju ciklosporina i odlaže resorpciju cimetidina.</w:t>
      </w:r>
    </w:p>
    <w:p w:rsidR="000B6490" w:rsidRPr="007E0C0C" w:rsidRDefault="000B6490" w:rsidP="000B6490">
      <w:pPr>
        <w:tabs>
          <w:tab w:val="left" w:pos="540"/>
          <w:tab w:val="left" w:pos="567"/>
        </w:tabs>
        <w:jc w:val="both"/>
        <w:rPr>
          <w:bCs/>
          <w:sz w:val="22"/>
          <w:szCs w:val="22"/>
          <w:lang w:val="sr-Latn-ME"/>
        </w:rPr>
      </w:pPr>
    </w:p>
    <w:p w:rsidR="000B6490" w:rsidRPr="007E0C0C" w:rsidRDefault="000B6490" w:rsidP="000B6490">
      <w:pPr>
        <w:tabs>
          <w:tab w:val="left" w:pos="540"/>
          <w:tab w:val="left" w:pos="567"/>
        </w:tabs>
        <w:jc w:val="both"/>
        <w:rPr>
          <w:bCs/>
          <w:sz w:val="22"/>
          <w:szCs w:val="22"/>
          <w:lang w:val="sr-Latn-ME"/>
        </w:rPr>
      </w:pPr>
      <w:r w:rsidRPr="007E0C0C">
        <w:rPr>
          <w:bCs/>
          <w:sz w:val="22"/>
          <w:szCs w:val="22"/>
          <w:lang w:val="sr-Latn-ME"/>
        </w:rPr>
        <w:t>Istovremena primjena oktreotida i bromokriptina povećava bioraspoloživost bromokriptina.</w:t>
      </w:r>
    </w:p>
    <w:p w:rsidR="000B6490" w:rsidRPr="007E0C0C" w:rsidRDefault="000B6490" w:rsidP="000B6490">
      <w:pPr>
        <w:tabs>
          <w:tab w:val="left" w:pos="540"/>
          <w:tab w:val="left" w:pos="567"/>
        </w:tabs>
        <w:jc w:val="both"/>
        <w:rPr>
          <w:bCs/>
          <w:sz w:val="22"/>
          <w:szCs w:val="22"/>
          <w:lang w:val="sr-Latn-ME"/>
        </w:rPr>
      </w:pPr>
    </w:p>
    <w:p w:rsidR="000B6490" w:rsidRPr="007E0C0C" w:rsidRDefault="000B6490" w:rsidP="000B6490">
      <w:pPr>
        <w:tabs>
          <w:tab w:val="left" w:pos="540"/>
          <w:tab w:val="left" w:pos="567"/>
        </w:tabs>
        <w:jc w:val="both"/>
        <w:rPr>
          <w:bCs/>
          <w:sz w:val="22"/>
          <w:szCs w:val="22"/>
          <w:lang w:val="sr-Latn-ME"/>
        </w:rPr>
      </w:pPr>
      <w:r w:rsidRPr="007E0C0C">
        <w:rPr>
          <w:bCs/>
          <w:sz w:val="22"/>
          <w:szCs w:val="22"/>
          <w:lang w:val="sr-Latn-ME"/>
        </w:rPr>
        <w:t>Ograničeni objavljeni podaci ukazuju na to da analozi somatostatina mogu smanjiti metabolički klirens jedinjenja za koje je poznato da se metabolišu putem enzima citohroma P450, što može biti uzrokovano supresijom hormona rasta. S obzirom da se ne može isključiti ovakav mogući efekat oktreotida, potreban je oprez kod primjene ljekova koji se uglavnom metabolišu putem CYP3A4 i imaju nizak terapijski indeks (npr. kinidin, terfenadin).</w:t>
      </w:r>
    </w:p>
    <w:p w:rsidR="000B6490" w:rsidRPr="007E0C0C" w:rsidRDefault="000B6490" w:rsidP="000B6490">
      <w:pPr>
        <w:tabs>
          <w:tab w:val="left" w:pos="540"/>
          <w:tab w:val="left" w:pos="567"/>
        </w:tabs>
        <w:rPr>
          <w:bCs/>
          <w:sz w:val="22"/>
          <w:szCs w:val="22"/>
          <w:lang w:val="sr-Latn-ME"/>
        </w:rPr>
      </w:pPr>
    </w:p>
    <w:p w:rsidR="000B6490" w:rsidRPr="007E0C0C" w:rsidRDefault="000B6490" w:rsidP="000B6490">
      <w:pPr>
        <w:tabs>
          <w:tab w:val="left" w:pos="540"/>
          <w:tab w:val="left" w:pos="567"/>
        </w:tabs>
        <w:jc w:val="both"/>
        <w:rPr>
          <w:bCs/>
          <w:sz w:val="22"/>
          <w:szCs w:val="22"/>
          <w:u w:val="single"/>
          <w:lang w:val="sr-Latn-ME"/>
        </w:rPr>
      </w:pPr>
      <w:r w:rsidRPr="007E0C0C">
        <w:rPr>
          <w:bCs/>
          <w:sz w:val="22"/>
          <w:szCs w:val="22"/>
          <w:u w:val="single"/>
          <w:lang w:val="sr-Latn-ME"/>
        </w:rPr>
        <w:t>Istovremena primjena sa radioaktivnim analozima somatostatina</w:t>
      </w:r>
    </w:p>
    <w:p w:rsidR="000B6490" w:rsidRPr="007E0C0C" w:rsidRDefault="000B6490" w:rsidP="000B6490">
      <w:pPr>
        <w:tabs>
          <w:tab w:val="left" w:pos="540"/>
          <w:tab w:val="left" w:pos="567"/>
        </w:tabs>
        <w:jc w:val="both"/>
        <w:rPr>
          <w:bCs/>
          <w:sz w:val="22"/>
          <w:szCs w:val="22"/>
          <w:lang w:val="sr-Latn-ME"/>
        </w:rPr>
      </w:pPr>
    </w:p>
    <w:p w:rsidR="000B6490" w:rsidRPr="007E0C0C" w:rsidRDefault="000B6490" w:rsidP="000B6490">
      <w:pPr>
        <w:tabs>
          <w:tab w:val="left" w:pos="540"/>
          <w:tab w:val="left" w:pos="567"/>
        </w:tabs>
        <w:jc w:val="both"/>
        <w:rPr>
          <w:bCs/>
          <w:sz w:val="22"/>
          <w:szCs w:val="22"/>
          <w:lang w:val="sr-Latn-ME"/>
        </w:rPr>
      </w:pPr>
      <w:r w:rsidRPr="007E0C0C">
        <w:rPr>
          <w:bCs/>
          <w:sz w:val="22"/>
          <w:szCs w:val="22"/>
          <w:lang w:val="sr-Latn-ME"/>
        </w:rPr>
        <w:t xml:space="preserve">Somatostatin i njegovi analozi, kao što je oktreotid, kompetitivno se vezuju za somatostatinske receptore pa mogu uticati na efikasnost radioaktivnih analoga somatostatina. Primjenu lijeka Oktreotid Teva treba izbjegavati najmanje 4 sedmice prije primjene lutecijum (177Lu) oksodotreotida, radiofarmaceutika koji </w:t>
      </w:r>
      <w:r w:rsidRPr="007E0C0C">
        <w:rPr>
          <w:bCs/>
          <w:sz w:val="22"/>
          <w:szCs w:val="22"/>
          <w:lang w:val="sr-Latn-ME"/>
        </w:rPr>
        <w:lastRenderedPageBreak/>
        <w:t>se veže na somatostatinske receptore. Ako je potrebno, pacijent</w:t>
      </w:r>
      <w:r w:rsidR="003B127B" w:rsidRPr="007E0C0C">
        <w:rPr>
          <w:bCs/>
          <w:sz w:val="22"/>
          <w:szCs w:val="22"/>
          <w:lang w:val="sr-Latn-ME"/>
        </w:rPr>
        <w:t>e</w:t>
      </w:r>
      <w:r w:rsidRPr="007E0C0C">
        <w:rPr>
          <w:bCs/>
          <w:sz w:val="22"/>
          <w:szCs w:val="22"/>
          <w:lang w:val="sr-Latn-ME"/>
        </w:rPr>
        <w:t xml:space="preserve"> je moguće liječiti kratkodjelujućim analozima somatostatina sve do 24 sata prije primjene lutecijum (177Lu) oksodotreotida. </w:t>
      </w:r>
    </w:p>
    <w:p w:rsidR="000B6490" w:rsidRPr="007E0C0C" w:rsidRDefault="000B6490" w:rsidP="000B6490">
      <w:pPr>
        <w:tabs>
          <w:tab w:val="left" w:pos="540"/>
          <w:tab w:val="left" w:pos="567"/>
        </w:tabs>
        <w:jc w:val="both"/>
        <w:rPr>
          <w:bCs/>
          <w:sz w:val="22"/>
          <w:szCs w:val="22"/>
          <w:lang w:val="sr-Latn-ME"/>
        </w:rPr>
      </w:pPr>
    </w:p>
    <w:p w:rsidR="0072020E" w:rsidRPr="007E0C0C" w:rsidRDefault="000B6490" w:rsidP="000B6490">
      <w:pPr>
        <w:tabs>
          <w:tab w:val="left" w:pos="540"/>
          <w:tab w:val="left" w:pos="569"/>
        </w:tabs>
        <w:jc w:val="both"/>
        <w:rPr>
          <w:bCs/>
          <w:sz w:val="22"/>
          <w:szCs w:val="22"/>
          <w:lang w:val="sr-Latn-ME"/>
        </w:rPr>
      </w:pPr>
      <w:r w:rsidRPr="007E0C0C">
        <w:rPr>
          <w:bCs/>
          <w:sz w:val="22"/>
          <w:szCs w:val="22"/>
          <w:lang w:val="sr-Latn-ME"/>
        </w:rPr>
        <w:t>Nakon primjene lutecijum (177Lu) oksodotreotida, liječenje Oktreotidom Teva može se nastaviti u roku od 4 do 24 sata ali se mora ponovo prekinuti 4 sedmice prije sljedeće primjene lutecijum (177Lu) oksodotreotida.</w:t>
      </w:r>
    </w:p>
    <w:p w:rsidR="000B6490" w:rsidRPr="007E0C0C" w:rsidRDefault="000B6490" w:rsidP="000B6490">
      <w:pPr>
        <w:tabs>
          <w:tab w:val="left" w:pos="540"/>
          <w:tab w:val="left" w:pos="569"/>
        </w:tabs>
        <w:rPr>
          <w:bCs/>
          <w:sz w:val="22"/>
          <w:szCs w:val="22"/>
          <w:lang w:val="sr-Latn-ME"/>
        </w:rPr>
      </w:pPr>
    </w:p>
    <w:p w:rsidR="0072020E" w:rsidRPr="007E0C0C" w:rsidRDefault="0072020E" w:rsidP="00480FB1">
      <w:pPr>
        <w:tabs>
          <w:tab w:val="left" w:pos="540"/>
          <w:tab w:val="left" w:pos="569"/>
        </w:tabs>
        <w:rPr>
          <w:b/>
          <w:sz w:val="22"/>
          <w:szCs w:val="22"/>
          <w:lang w:val="sr-Latn-ME"/>
        </w:rPr>
      </w:pPr>
      <w:r w:rsidRPr="007E0C0C">
        <w:rPr>
          <w:b/>
          <w:bCs/>
          <w:sz w:val="22"/>
          <w:szCs w:val="22"/>
          <w:lang w:val="sr-Latn-ME"/>
        </w:rPr>
        <w:t xml:space="preserve">4.6. </w:t>
      </w:r>
      <w:r w:rsidR="00480FB1" w:rsidRPr="007E0C0C">
        <w:rPr>
          <w:b/>
          <w:bCs/>
          <w:sz w:val="22"/>
          <w:szCs w:val="22"/>
          <w:lang w:val="sr-Latn-ME"/>
        </w:rPr>
        <w:tab/>
      </w:r>
      <w:r w:rsidR="006D20A5" w:rsidRPr="007E0C0C">
        <w:rPr>
          <w:b/>
          <w:sz w:val="22"/>
          <w:szCs w:val="22"/>
          <w:lang w:val="sr-Latn-ME"/>
        </w:rPr>
        <w:t>Plodnost, trudnoća i dojenje</w:t>
      </w:r>
    </w:p>
    <w:p w:rsidR="002031B3" w:rsidRPr="007E0C0C" w:rsidRDefault="002031B3" w:rsidP="002031B3">
      <w:pPr>
        <w:tabs>
          <w:tab w:val="left" w:pos="540"/>
          <w:tab w:val="left" w:pos="569"/>
        </w:tabs>
        <w:rPr>
          <w:sz w:val="22"/>
          <w:szCs w:val="22"/>
          <w:u w:val="single"/>
          <w:lang w:val="sr-Latn-ME"/>
        </w:rPr>
      </w:pPr>
    </w:p>
    <w:p w:rsidR="007A3ECB" w:rsidRPr="007E0C0C" w:rsidRDefault="007A3ECB" w:rsidP="00480FB1">
      <w:pPr>
        <w:tabs>
          <w:tab w:val="left" w:pos="540"/>
          <w:tab w:val="left" w:pos="569"/>
        </w:tabs>
        <w:rPr>
          <w:sz w:val="22"/>
          <w:szCs w:val="22"/>
          <w:u w:val="single"/>
          <w:lang w:val="sr-Latn-ME"/>
        </w:rPr>
      </w:pPr>
      <w:r w:rsidRPr="007E0C0C">
        <w:rPr>
          <w:sz w:val="22"/>
          <w:szCs w:val="22"/>
          <w:u w:val="single"/>
          <w:lang w:val="sr-Latn-ME"/>
        </w:rPr>
        <w:t>Trudnoća</w:t>
      </w:r>
    </w:p>
    <w:p w:rsidR="00CB73B0" w:rsidRPr="007E0C0C" w:rsidRDefault="00CB73B0" w:rsidP="00CB73B0">
      <w:pPr>
        <w:tabs>
          <w:tab w:val="left" w:pos="540"/>
          <w:tab w:val="left" w:pos="569"/>
        </w:tabs>
        <w:jc w:val="both"/>
        <w:rPr>
          <w:sz w:val="22"/>
          <w:szCs w:val="22"/>
          <w:lang w:val="sr-Latn-ME"/>
        </w:rPr>
      </w:pPr>
      <w:r w:rsidRPr="007E0C0C">
        <w:rPr>
          <w:sz w:val="22"/>
          <w:szCs w:val="22"/>
          <w:lang w:val="sr-Latn-ME"/>
        </w:rPr>
        <w:t xml:space="preserve">Podaci o primjeni oktreotida kod trudnica su ograničeni (manje od 300 ishoda trudnoća) i kod otprilike jedne trećine slučajeva ishodi trudnoće su nepoznati. Većina </w:t>
      </w:r>
      <w:r w:rsidR="003B127B" w:rsidRPr="007E0C0C">
        <w:rPr>
          <w:sz w:val="22"/>
          <w:szCs w:val="22"/>
          <w:lang w:val="sr-Latn-ME"/>
        </w:rPr>
        <w:t>slučajeva</w:t>
      </w:r>
      <w:r w:rsidRPr="007E0C0C">
        <w:rPr>
          <w:sz w:val="22"/>
          <w:szCs w:val="22"/>
          <w:lang w:val="sr-Latn-ME"/>
        </w:rPr>
        <w:t xml:space="preserve"> je dobijena tokom postmarketinške upotrebe oktreotida, a više od 50% izloženih trudnoća je prijavljeno kod pacijentkinja sa akromegalijom. Većina žena je bila izložena oktreotidu tokom prvog trimestra trudnoće u dozama od 100-1200 mikrograma/dan supkutano primijenjenog oktreotida  ili od 10-40 mg/mjesec oktreotida primijenjenog u obliku injekcije sa produženim oslobađanjem. Kongenitalne anomalije su prijavljene kod otprilike 4% slučajeva trudnoća sa poznatim ishodom. U tim slučajevima se nije sumnjalo na uzročnu povezanost sa oktreotidom.</w:t>
      </w:r>
    </w:p>
    <w:p w:rsidR="00CB73B0" w:rsidRPr="007E0C0C" w:rsidRDefault="00CB73B0" w:rsidP="00CB73B0">
      <w:pPr>
        <w:tabs>
          <w:tab w:val="left" w:pos="540"/>
          <w:tab w:val="left" w:pos="567"/>
        </w:tabs>
        <w:jc w:val="both"/>
        <w:rPr>
          <w:sz w:val="22"/>
          <w:szCs w:val="22"/>
          <w:lang w:val="sr-Latn-ME"/>
        </w:rPr>
      </w:pPr>
    </w:p>
    <w:p w:rsidR="00CB73B0" w:rsidRPr="007E0C0C" w:rsidRDefault="00CB73B0" w:rsidP="00CB73B0">
      <w:pPr>
        <w:tabs>
          <w:tab w:val="left" w:pos="540"/>
          <w:tab w:val="left" w:pos="569"/>
        </w:tabs>
        <w:jc w:val="both"/>
        <w:rPr>
          <w:sz w:val="22"/>
          <w:szCs w:val="22"/>
          <w:lang w:val="sr-Latn-ME"/>
        </w:rPr>
      </w:pPr>
      <w:r w:rsidRPr="007E0C0C">
        <w:rPr>
          <w:sz w:val="22"/>
          <w:szCs w:val="22"/>
          <w:lang w:val="sr-Latn-ME"/>
        </w:rPr>
        <w:t xml:space="preserve">Studije na životinjama ne ukazuju na direktna ili indirektna štetna dejstva vezana za reproduktivnu toksičnost (vidjeti </w:t>
      </w:r>
      <w:r w:rsidR="003B127B" w:rsidRPr="007E0C0C">
        <w:rPr>
          <w:sz w:val="22"/>
          <w:szCs w:val="22"/>
          <w:lang w:val="sr-Latn-ME"/>
        </w:rPr>
        <w:t xml:space="preserve">dio </w:t>
      </w:r>
      <w:r w:rsidRPr="007E0C0C">
        <w:rPr>
          <w:sz w:val="22"/>
          <w:szCs w:val="22"/>
          <w:lang w:val="sr-Latn-ME"/>
        </w:rPr>
        <w:t>5.3).</w:t>
      </w:r>
    </w:p>
    <w:p w:rsidR="00CB73B0" w:rsidRPr="007E0C0C" w:rsidRDefault="00CB73B0" w:rsidP="00CB73B0">
      <w:pPr>
        <w:tabs>
          <w:tab w:val="left" w:pos="540"/>
          <w:tab w:val="left" w:pos="569"/>
        </w:tabs>
        <w:jc w:val="both"/>
        <w:rPr>
          <w:sz w:val="22"/>
          <w:szCs w:val="22"/>
          <w:lang w:val="sr-Latn-ME"/>
        </w:rPr>
      </w:pPr>
    </w:p>
    <w:p w:rsidR="00CB73B0" w:rsidRPr="007E0C0C" w:rsidRDefault="00CB73B0" w:rsidP="00CB73B0">
      <w:pPr>
        <w:tabs>
          <w:tab w:val="left" w:pos="540"/>
          <w:tab w:val="left" w:pos="569"/>
        </w:tabs>
        <w:jc w:val="both"/>
        <w:rPr>
          <w:sz w:val="22"/>
          <w:szCs w:val="22"/>
          <w:lang w:val="sr-Latn-ME"/>
        </w:rPr>
      </w:pPr>
      <w:r w:rsidRPr="007E0C0C">
        <w:rPr>
          <w:sz w:val="22"/>
          <w:szCs w:val="22"/>
          <w:lang w:val="sr-Latn-ME"/>
        </w:rPr>
        <w:t xml:space="preserve">Kao mjera predostrožnosti, preporučuje se izbjegavanje primjene lijeka Oktreotid Teva tokom trudnoće (vidjeti </w:t>
      </w:r>
      <w:r w:rsidR="003B127B" w:rsidRPr="007E0C0C">
        <w:rPr>
          <w:sz w:val="22"/>
          <w:szCs w:val="22"/>
          <w:lang w:val="sr-Latn-ME"/>
        </w:rPr>
        <w:t xml:space="preserve">dio </w:t>
      </w:r>
      <w:r w:rsidRPr="007E0C0C">
        <w:rPr>
          <w:sz w:val="22"/>
          <w:szCs w:val="22"/>
          <w:lang w:val="sr-Latn-ME"/>
        </w:rPr>
        <w:t>4.4).</w:t>
      </w:r>
    </w:p>
    <w:p w:rsidR="002031B3" w:rsidRPr="007E0C0C" w:rsidRDefault="002031B3" w:rsidP="00480FB1">
      <w:pPr>
        <w:tabs>
          <w:tab w:val="left" w:pos="540"/>
          <w:tab w:val="left" w:pos="569"/>
        </w:tabs>
        <w:rPr>
          <w:sz w:val="22"/>
          <w:szCs w:val="22"/>
          <w:u w:val="single"/>
          <w:lang w:val="sr-Latn-ME"/>
        </w:rPr>
      </w:pPr>
    </w:p>
    <w:p w:rsidR="0072020E" w:rsidRPr="007E0C0C" w:rsidRDefault="007A3ECB" w:rsidP="00480FB1">
      <w:pPr>
        <w:tabs>
          <w:tab w:val="left" w:pos="540"/>
          <w:tab w:val="left" w:pos="569"/>
        </w:tabs>
        <w:rPr>
          <w:sz w:val="22"/>
          <w:szCs w:val="22"/>
          <w:u w:val="single"/>
          <w:lang w:val="sr-Latn-ME"/>
        </w:rPr>
      </w:pPr>
      <w:r w:rsidRPr="007E0C0C">
        <w:rPr>
          <w:sz w:val="22"/>
          <w:szCs w:val="22"/>
          <w:u w:val="single"/>
          <w:lang w:val="sr-Latn-ME"/>
        </w:rPr>
        <w:t xml:space="preserve">Dojenje </w:t>
      </w:r>
    </w:p>
    <w:p w:rsidR="00CB73B0" w:rsidRPr="007E0C0C" w:rsidRDefault="00CB73B0" w:rsidP="00CB73B0">
      <w:pPr>
        <w:tabs>
          <w:tab w:val="left" w:pos="540"/>
          <w:tab w:val="left" w:pos="569"/>
        </w:tabs>
        <w:jc w:val="both"/>
        <w:rPr>
          <w:sz w:val="22"/>
          <w:szCs w:val="22"/>
          <w:lang w:val="sr-Latn-ME"/>
        </w:rPr>
      </w:pPr>
      <w:r w:rsidRPr="007E0C0C">
        <w:rPr>
          <w:sz w:val="22"/>
          <w:szCs w:val="22"/>
          <w:lang w:val="sr-Latn-ME"/>
        </w:rPr>
        <w:t xml:space="preserve">Nije poznato izlučuje li se oktreotid u majčino mlijeko. Studije na životinjama pokazuju da se oktreotid izlučuje u mlijeko. Pacijentkinje ne </w:t>
      </w:r>
      <w:r w:rsidR="00CE23BD" w:rsidRPr="007E0C0C">
        <w:rPr>
          <w:sz w:val="22"/>
          <w:szCs w:val="22"/>
          <w:lang w:val="sr-Latn-ME"/>
        </w:rPr>
        <w:t xml:space="preserve">smiju </w:t>
      </w:r>
      <w:r w:rsidRPr="007E0C0C">
        <w:rPr>
          <w:sz w:val="22"/>
          <w:szCs w:val="22"/>
          <w:lang w:val="sr-Latn-ME"/>
        </w:rPr>
        <w:t>da doje tokom terapije lijekom Oktreotid Teva.</w:t>
      </w:r>
    </w:p>
    <w:p w:rsidR="00CB73B0" w:rsidRPr="007E0C0C" w:rsidRDefault="00CB73B0" w:rsidP="00480FB1">
      <w:pPr>
        <w:tabs>
          <w:tab w:val="left" w:pos="540"/>
          <w:tab w:val="left" w:pos="569"/>
        </w:tabs>
        <w:rPr>
          <w:sz w:val="22"/>
          <w:szCs w:val="22"/>
          <w:u w:val="single"/>
          <w:lang w:val="sr-Latn-ME"/>
        </w:rPr>
      </w:pPr>
    </w:p>
    <w:p w:rsidR="00CB73B0" w:rsidRPr="007E0C0C" w:rsidRDefault="00CB73B0" w:rsidP="00CB73B0">
      <w:pPr>
        <w:tabs>
          <w:tab w:val="left" w:pos="540"/>
          <w:tab w:val="left" w:pos="569"/>
        </w:tabs>
        <w:rPr>
          <w:sz w:val="22"/>
          <w:szCs w:val="22"/>
          <w:u w:val="single"/>
          <w:lang w:val="sr-Latn-ME"/>
        </w:rPr>
      </w:pPr>
      <w:r w:rsidRPr="007E0C0C">
        <w:rPr>
          <w:sz w:val="22"/>
          <w:szCs w:val="22"/>
          <w:u w:val="single"/>
          <w:lang w:val="sr-Latn-ME"/>
        </w:rPr>
        <w:t>Plodnost</w:t>
      </w:r>
    </w:p>
    <w:p w:rsidR="00CB73B0" w:rsidRPr="007E0C0C" w:rsidRDefault="00CB73B0" w:rsidP="00CB73B0">
      <w:pPr>
        <w:tabs>
          <w:tab w:val="left" w:pos="540"/>
          <w:tab w:val="left" w:pos="569"/>
        </w:tabs>
        <w:jc w:val="both"/>
        <w:rPr>
          <w:bCs/>
          <w:sz w:val="22"/>
          <w:szCs w:val="22"/>
          <w:lang w:val="sr-Latn-ME"/>
        </w:rPr>
      </w:pPr>
      <w:r w:rsidRPr="007E0C0C">
        <w:rPr>
          <w:bCs/>
          <w:sz w:val="22"/>
          <w:szCs w:val="22"/>
          <w:lang w:val="sr-Latn-ME"/>
        </w:rPr>
        <w:t xml:space="preserve">Nije poznato da li oktreotid utiče na plodnost kod ljudi. Kod muških potomaka ženki koje su tretirane tokom trudnoće i dojenja otkriveno je kasno spuštanje testisa. Oktreotid, međutim, nije uticao na plodnost kod pacova pri dozama do 1 mg/kg tjelesne </w:t>
      </w:r>
      <w:r w:rsidR="00CE23BD" w:rsidRPr="007E0C0C">
        <w:rPr>
          <w:bCs/>
          <w:sz w:val="22"/>
          <w:szCs w:val="22"/>
          <w:lang w:val="sr-Latn-ME"/>
        </w:rPr>
        <w:t xml:space="preserve">mase </w:t>
      </w:r>
      <w:r w:rsidRPr="007E0C0C">
        <w:rPr>
          <w:bCs/>
          <w:sz w:val="22"/>
          <w:szCs w:val="22"/>
          <w:lang w:val="sr-Latn-ME"/>
        </w:rPr>
        <w:t xml:space="preserve">na dan (vidjeti </w:t>
      </w:r>
      <w:r w:rsidR="00CE23BD" w:rsidRPr="007E0C0C">
        <w:rPr>
          <w:bCs/>
          <w:sz w:val="22"/>
          <w:szCs w:val="22"/>
          <w:lang w:val="sr-Latn-ME"/>
        </w:rPr>
        <w:t xml:space="preserve">dio </w:t>
      </w:r>
      <w:r w:rsidRPr="007E0C0C">
        <w:rPr>
          <w:bCs/>
          <w:sz w:val="22"/>
          <w:szCs w:val="22"/>
          <w:lang w:val="sr-Latn-ME"/>
        </w:rPr>
        <w:t>5.3).</w:t>
      </w:r>
    </w:p>
    <w:p w:rsidR="00227BDB" w:rsidRPr="007E0C0C" w:rsidRDefault="00227BDB" w:rsidP="00CB73B0">
      <w:pPr>
        <w:tabs>
          <w:tab w:val="left" w:pos="540"/>
          <w:tab w:val="left" w:pos="569"/>
        </w:tabs>
        <w:rPr>
          <w:b/>
          <w:bCs/>
          <w:sz w:val="22"/>
          <w:szCs w:val="22"/>
          <w:lang w:val="sr-Latn-ME"/>
        </w:rPr>
      </w:pPr>
    </w:p>
    <w:p w:rsidR="0072020E" w:rsidRPr="007E0C0C" w:rsidRDefault="0072020E" w:rsidP="00396DFD">
      <w:pPr>
        <w:tabs>
          <w:tab w:val="left" w:pos="540"/>
          <w:tab w:val="left" w:pos="569"/>
        </w:tabs>
        <w:ind w:left="540" w:hanging="540"/>
        <w:rPr>
          <w:b/>
          <w:bCs/>
          <w:sz w:val="22"/>
          <w:szCs w:val="22"/>
          <w:lang w:val="sr-Latn-ME"/>
        </w:rPr>
      </w:pPr>
      <w:r w:rsidRPr="007E0C0C">
        <w:rPr>
          <w:b/>
          <w:bCs/>
          <w:sz w:val="22"/>
          <w:szCs w:val="22"/>
          <w:lang w:val="sr-Latn-ME"/>
        </w:rPr>
        <w:t xml:space="preserve">4.7. </w:t>
      </w:r>
      <w:r w:rsidR="00480FB1" w:rsidRPr="007E0C0C">
        <w:rPr>
          <w:b/>
          <w:bCs/>
          <w:sz w:val="22"/>
          <w:szCs w:val="22"/>
          <w:lang w:val="sr-Latn-ME"/>
        </w:rPr>
        <w:tab/>
      </w:r>
      <w:r w:rsidRPr="007E0C0C">
        <w:rPr>
          <w:b/>
          <w:bCs/>
          <w:sz w:val="22"/>
          <w:szCs w:val="22"/>
          <w:lang w:val="sr-Latn-ME"/>
        </w:rPr>
        <w:t xml:space="preserve">Uticaj na </w:t>
      </w:r>
      <w:r w:rsidR="002031B3" w:rsidRPr="007E0C0C">
        <w:rPr>
          <w:b/>
          <w:bCs/>
          <w:sz w:val="22"/>
          <w:szCs w:val="22"/>
          <w:lang w:val="sr-Latn-ME"/>
        </w:rPr>
        <w:t xml:space="preserve">sposobnost </w:t>
      </w:r>
      <w:r w:rsidR="00F34554" w:rsidRPr="007E0C0C">
        <w:rPr>
          <w:b/>
          <w:bCs/>
          <w:sz w:val="22"/>
          <w:szCs w:val="22"/>
          <w:lang w:val="sr-Latn-ME"/>
        </w:rPr>
        <w:t>upravljanja vozili</w:t>
      </w:r>
      <w:r w:rsidRPr="007E0C0C">
        <w:rPr>
          <w:b/>
          <w:bCs/>
          <w:sz w:val="22"/>
          <w:szCs w:val="22"/>
          <w:lang w:val="sr-Latn-ME"/>
        </w:rPr>
        <w:t>m</w:t>
      </w:r>
      <w:r w:rsidR="00F34554" w:rsidRPr="007E0C0C">
        <w:rPr>
          <w:b/>
          <w:bCs/>
          <w:sz w:val="22"/>
          <w:szCs w:val="22"/>
          <w:lang w:val="sr-Latn-ME"/>
        </w:rPr>
        <w:t>a</w:t>
      </w:r>
      <w:r w:rsidRPr="007E0C0C">
        <w:rPr>
          <w:b/>
          <w:bCs/>
          <w:sz w:val="22"/>
          <w:szCs w:val="22"/>
          <w:lang w:val="sr-Latn-ME"/>
        </w:rPr>
        <w:t xml:space="preserve"> i </w:t>
      </w:r>
      <w:r w:rsidR="000D3449" w:rsidRPr="007E0C0C">
        <w:rPr>
          <w:b/>
          <w:bCs/>
          <w:sz w:val="22"/>
          <w:szCs w:val="22"/>
          <w:lang w:val="sr-Latn-ME"/>
        </w:rPr>
        <w:t xml:space="preserve">rukovanje </w:t>
      </w:r>
      <w:r w:rsidRPr="007E0C0C">
        <w:rPr>
          <w:b/>
          <w:bCs/>
          <w:sz w:val="22"/>
          <w:szCs w:val="22"/>
          <w:lang w:val="sr-Latn-ME"/>
        </w:rPr>
        <w:t>mašinama</w:t>
      </w:r>
    </w:p>
    <w:p w:rsidR="00CB73B0" w:rsidRPr="007E0C0C" w:rsidRDefault="00CB73B0" w:rsidP="00396DFD">
      <w:pPr>
        <w:tabs>
          <w:tab w:val="left" w:pos="540"/>
          <w:tab w:val="left" w:pos="569"/>
        </w:tabs>
        <w:ind w:left="540" w:hanging="540"/>
        <w:rPr>
          <w:b/>
          <w:bCs/>
          <w:sz w:val="22"/>
          <w:szCs w:val="22"/>
          <w:lang w:val="sr-Latn-ME"/>
        </w:rPr>
      </w:pPr>
    </w:p>
    <w:p w:rsidR="00CB73B0" w:rsidRPr="007E0C0C" w:rsidRDefault="00CB73B0" w:rsidP="00CB73B0">
      <w:pPr>
        <w:tabs>
          <w:tab w:val="left" w:pos="540"/>
          <w:tab w:val="left" w:pos="567"/>
        </w:tabs>
        <w:jc w:val="both"/>
        <w:rPr>
          <w:bCs/>
          <w:sz w:val="22"/>
          <w:szCs w:val="22"/>
          <w:lang w:val="sr-Latn-ME"/>
        </w:rPr>
      </w:pPr>
      <w:r w:rsidRPr="007E0C0C">
        <w:rPr>
          <w:bCs/>
          <w:sz w:val="22"/>
          <w:szCs w:val="22"/>
          <w:lang w:val="sr-Latn-ME"/>
        </w:rPr>
        <w:t xml:space="preserve">Lijek Oktreotid Teva ne utiče ili zanemarljivo utiče na sposobnost upravljanja vozilima i rukovanje mašinama. Pacijentima treba savjetovati oprez ako prilikom upravljanja vozilima ili rukovanja mašinama osjete vrtoglavicu, asteniju/umor, ili glavobolju tokom </w:t>
      </w:r>
      <w:r w:rsidR="00CE23BD" w:rsidRPr="007E0C0C">
        <w:rPr>
          <w:bCs/>
          <w:sz w:val="22"/>
          <w:szCs w:val="22"/>
          <w:lang w:val="sr-Latn-ME"/>
        </w:rPr>
        <w:t>liječenja</w:t>
      </w:r>
      <w:r w:rsidRPr="007E0C0C">
        <w:rPr>
          <w:bCs/>
          <w:sz w:val="22"/>
          <w:szCs w:val="22"/>
          <w:lang w:val="sr-Latn-ME"/>
        </w:rPr>
        <w:t xml:space="preserve"> lijekom Oktreotid Teva.</w:t>
      </w:r>
    </w:p>
    <w:p w:rsidR="0072020E" w:rsidRPr="007E0C0C" w:rsidRDefault="0072020E" w:rsidP="00480FB1">
      <w:pPr>
        <w:tabs>
          <w:tab w:val="left" w:pos="540"/>
          <w:tab w:val="left" w:pos="569"/>
        </w:tabs>
        <w:rPr>
          <w:b/>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4.8. </w:t>
      </w:r>
      <w:r w:rsidR="00480FB1" w:rsidRPr="007E0C0C">
        <w:rPr>
          <w:b/>
          <w:bCs/>
          <w:sz w:val="22"/>
          <w:szCs w:val="22"/>
          <w:lang w:val="sr-Latn-ME"/>
        </w:rPr>
        <w:tab/>
      </w:r>
      <w:r w:rsidRPr="007E0C0C">
        <w:rPr>
          <w:b/>
          <w:bCs/>
          <w:sz w:val="22"/>
          <w:szCs w:val="22"/>
          <w:lang w:val="sr-Latn-ME"/>
        </w:rPr>
        <w:t>Neželjena dejstva</w:t>
      </w:r>
    </w:p>
    <w:p w:rsidR="00903886" w:rsidRPr="007E0C0C" w:rsidRDefault="00903886" w:rsidP="00480FB1">
      <w:pPr>
        <w:tabs>
          <w:tab w:val="left" w:pos="540"/>
          <w:tab w:val="left" w:pos="569"/>
        </w:tabs>
        <w:rPr>
          <w:b/>
          <w:bCs/>
          <w:sz w:val="22"/>
          <w:szCs w:val="22"/>
          <w:lang w:val="sr-Latn-ME"/>
        </w:rPr>
      </w:pPr>
    </w:p>
    <w:p w:rsidR="00903886" w:rsidRPr="007E0C0C" w:rsidRDefault="00903886" w:rsidP="00903886">
      <w:pPr>
        <w:tabs>
          <w:tab w:val="left" w:pos="540"/>
          <w:tab w:val="left" w:pos="567"/>
        </w:tabs>
        <w:jc w:val="both"/>
        <w:rPr>
          <w:bCs/>
          <w:sz w:val="22"/>
          <w:szCs w:val="22"/>
          <w:u w:val="single"/>
          <w:lang w:val="sr-Latn-ME"/>
        </w:rPr>
      </w:pPr>
      <w:r w:rsidRPr="007E0C0C">
        <w:rPr>
          <w:bCs/>
          <w:sz w:val="22"/>
          <w:szCs w:val="22"/>
          <w:u w:val="single"/>
          <w:lang w:val="sr-Latn-ME"/>
        </w:rPr>
        <w:t>Sažetak bezbjednosnog profila</w:t>
      </w:r>
    </w:p>
    <w:p w:rsidR="00903886" w:rsidRPr="007E0C0C" w:rsidRDefault="00903886" w:rsidP="00903886">
      <w:pPr>
        <w:tabs>
          <w:tab w:val="left" w:pos="540"/>
          <w:tab w:val="left" w:pos="567"/>
        </w:tabs>
        <w:jc w:val="both"/>
        <w:rPr>
          <w:bCs/>
          <w:sz w:val="22"/>
          <w:szCs w:val="22"/>
          <w:lang w:val="sr-Latn-ME"/>
        </w:rPr>
      </w:pPr>
      <w:r w:rsidRPr="007E0C0C">
        <w:rPr>
          <w:bCs/>
          <w:sz w:val="22"/>
          <w:szCs w:val="22"/>
          <w:lang w:val="sr-Latn-ME"/>
        </w:rPr>
        <w:t>Najčešće neželjene reakcije prijavljene tokom terapije oktreotidom uključuju gastrointestinalne poremećaje, poremećaje nervnog sistema, hepatobilijarne poremećaje, kao i poremećaje metabolizma i ishrane.</w:t>
      </w:r>
    </w:p>
    <w:p w:rsidR="00903886" w:rsidRPr="007E0C0C" w:rsidRDefault="00903886" w:rsidP="00903886">
      <w:pPr>
        <w:tabs>
          <w:tab w:val="left" w:pos="540"/>
          <w:tab w:val="left" w:pos="567"/>
        </w:tabs>
        <w:jc w:val="both"/>
        <w:rPr>
          <w:bCs/>
          <w:sz w:val="22"/>
          <w:szCs w:val="22"/>
          <w:lang w:val="sr-Latn-ME"/>
        </w:rPr>
      </w:pPr>
    </w:p>
    <w:p w:rsidR="00903886" w:rsidRPr="007E0C0C" w:rsidRDefault="00903886" w:rsidP="00903886">
      <w:pPr>
        <w:tabs>
          <w:tab w:val="left" w:pos="540"/>
          <w:tab w:val="left" w:pos="567"/>
        </w:tabs>
        <w:jc w:val="both"/>
        <w:rPr>
          <w:bCs/>
          <w:sz w:val="22"/>
          <w:szCs w:val="22"/>
          <w:lang w:val="sr-Latn-ME"/>
        </w:rPr>
      </w:pPr>
      <w:r w:rsidRPr="007E0C0C">
        <w:rPr>
          <w:bCs/>
          <w:sz w:val="22"/>
          <w:szCs w:val="22"/>
          <w:lang w:val="sr-Latn-ME"/>
        </w:rPr>
        <w:t>Najčešće prijavljivane neželjene reakcije u kliničkim studijama u kojima je bio primijenjen oktreotid su bile dijareja, bol u abdomenu, mučnina, flatulencija, glavobolja, holelitijaza, hiperglikemija i konstipacija. Ostale često prijavljivane neželjene reakcije su bile vrtoglavica, lokalizovana bol, žučni talog, poremećaj funkcije štitaste žlijezde (npr. snižen tireotropin [TSH], snižen ukupni T4 kao i snižen slobodni T4), rijetke stolice, poremećaj tolerancije glukoze, povraćanje, astenija i hipoglikemija.</w:t>
      </w:r>
    </w:p>
    <w:p w:rsidR="00903886" w:rsidRPr="007E0C0C" w:rsidRDefault="00903886" w:rsidP="00903886">
      <w:pPr>
        <w:tabs>
          <w:tab w:val="left" w:pos="540"/>
          <w:tab w:val="left" w:pos="567"/>
        </w:tabs>
        <w:jc w:val="both"/>
        <w:rPr>
          <w:bCs/>
          <w:sz w:val="22"/>
          <w:szCs w:val="22"/>
          <w:lang w:val="sr-Latn-ME"/>
        </w:rPr>
      </w:pPr>
    </w:p>
    <w:p w:rsidR="00903886" w:rsidRPr="007E0C0C" w:rsidRDefault="00903886" w:rsidP="00903886">
      <w:pPr>
        <w:tabs>
          <w:tab w:val="left" w:pos="540"/>
          <w:tab w:val="left" w:pos="567"/>
        </w:tabs>
        <w:jc w:val="both"/>
        <w:rPr>
          <w:bCs/>
          <w:sz w:val="22"/>
          <w:szCs w:val="22"/>
          <w:u w:val="single"/>
          <w:lang w:val="sr-Latn-ME"/>
        </w:rPr>
      </w:pPr>
      <w:r w:rsidRPr="007E0C0C">
        <w:rPr>
          <w:bCs/>
          <w:sz w:val="22"/>
          <w:szCs w:val="22"/>
          <w:u w:val="single"/>
          <w:lang w:val="sr-Latn-ME"/>
        </w:rPr>
        <w:t>Tabelarni prikaz neželjenih reakcija</w:t>
      </w:r>
    </w:p>
    <w:p w:rsidR="00903886" w:rsidRPr="007E0C0C" w:rsidRDefault="00903886" w:rsidP="00903886">
      <w:pPr>
        <w:tabs>
          <w:tab w:val="left" w:pos="540"/>
          <w:tab w:val="left" w:pos="567"/>
        </w:tabs>
        <w:jc w:val="both"/>
        <w:rPr>
          <w:bCs/>
          <w:sz w:val="22"/>
          <w:szCs w:val="22"/>
          <w:lang w:val="sr-Latn-ME"/>
        </w:rPr>
      </w:pPr>
      <w:r w:rsidRPr="007E0C0C">
        <w:rPr>
          <w:bCs/>
          <w:sz w:val="22"/>
          <w:szCs w:val="22"/>
          <w:lang w:val="sr-Latn-ME"/>
        </w:rPr>
        <w:t>Sljedeće neželjene reakcije, navedene u Tabeli 1, bile su prikupljene tokom kliničkih studija sa oktreotidom:</w:t>
      </w:r>
    </w:p>
    <w:p w:rsidR="00903886" w:rsidRPr="007E0C0C" w:rsidRDefault="00903886" w:rsidP="00903886">
      <w:pPr>
        <w:tabs>
          <w:tab w:val="left" w:pos="540"/>
          <w:tab w:val="left" w:pos="567"/>
        </w:tabs>
        <w:jc w:val="both"/>
        <w:rPr>
          <w:bCs/>
          <w:sz w:val="22"/>
          <w:szCs w:val="22"/>
          <w:lang w:val="sr-Latn-ME"/>
        </w:rPr>
      </w:pPr>
    </w:p>
    <w:p w:rsidR="00903886" w:rsidRPr="007E0C0C" w:rsidRDefault="00903886" w:rsidP="00903886">
      <w:pPr>
        <w:tabs>
          <w:tab w:val="left" w:pos="540"/>
          <w:tab w:val="left" w:pos="567"/>
        </w:tabs>
        <w:jc w:val="both"/>
        <w:rPr>
          <w:bCs/>
          <w:sz w:val="22"/>
          <w:szCs w:val="22"/>
          <w:lang w:val="sr-Latn-ME"/>
        </w:rPr>
      </w:pPr>
      <w:r w:rsidRPr="007E0C0C">
        <w:rPr>
          <w:bCs/>
          <w:sz w:val="22"/>
          <w:szCs w:val="22"/>
          <w:lang w:val="sr-Latn-ME"/>
        </w:rPr>
        <w:lastRenderedPageBreak/>
        <w:t xml:space="preserve">Neželjene reakcije (Tabela 1) su navedene po učestalosti, </w:t>
      </w:r>
      <w:r w:rsidR="003C73F5" w:rsidRPr="007E0C0C">
        <w:rPr>
          <w:bCs/>
          <w:sz w:val="22"/>
          <w:szCs w:val="22"/>
          <w:lang w:val="sr-Latn-ME"/>
        </w:rPr>
        <w:t xml:space="preserve"> </w:t>
      </w:r>
      <w:r w:rsidRPr="007E0C0C">
        <w:rPr>
          <w:bCs/>
          <w:sz w:val="22"/>
          <w:szCs w:val="22"/>
          <w:lang w:val="sr-Latn-ME"/>
        </w:rPr>
        <w:t>od najčešćih</w:t>
      </w:r>
      <w:r w:rsidR="003C73F5" w:rsidRPr="007E0C0C">
        <w:rPr>
          <w:bCs/>
          <w:sz w:val="22"/>
          <w:szCs w:val="22"/>
          <w:lang w:val="sr-Latn-ME"/>
        </w:rPr>
        <w:t>,</w:t>
      </w:r>
      <w:r w:rsidRPr="007E0C0C">
        <w:rPr>
          <w:bCs/>
          <w:sz w:val="22"/>
          <w:szCs w:val="22"/>
          <w:lang w:val="sr-Latn-ME"/>
        </w:rPr>
        <w:t xml:space="preserve"> prema sljedećim definicijama: veoma često (≥ 1/10); često (≥ 1/100 i &lt; 1/10); povremeno (≥ 1/1000 i &lt; 1/100); rijetko (≥ 1/10 000 i &lt; 1/1000); veoma rijetko (&lt; 1/10 000), uključujući izolovane </w:t>
      </w:r>
      <w:r w:rsidR="003C73F5" w:rsidRPr="007E0C0C">
        <w:rPr>
          <w:bCs/>
          <w:sz w:val="22"/>
          <w:szCs w:val="22"/>
          <w:lang w:val="sr-Latn-ME"/>
        </w:rPr>
        <w:t>slučajeve</w:t>
      </w:r>
      <w:r w:rsidRPr="007E0C0C">
        <w:rPr>
          <w:bCs/>
          <w:sz w:val="22"/>
          <w:szCs w:val="22"/>
          <w:lang w:val="sr-Latn-ME"/>
        </w:rPr>
        <w:t xml:space="preserve">. Unutar svake grupe učestalosti, neželjena dejstva su navedena </w:t>
      </w:r>
      <w:r w:rsidR="003C73F5" w:rsidRPr="007E0C0C">
        <w:rPr>
          <w:bCs/>
          <w:sz w:val="22"/>
          <w:szCs w:val="22"/>
          <w:lang w:val="sr-Latn-ME"/>
        </w:rPr>
        <w:t xml:space="preserve">po opadajućoj </w:t>
      </w:r>
      <w:r w:rsidRPr="007E0C0C">
        <w:rPr>
          <w:bCs/>
          <w:sz w:val="22"/>
          <w:szCs w:val="22"/>
          <w:lang w:val="sr-Latn-ME"/>
        </w:rPr>
        <w:t>ozbilj</w:t>
      </w:r>
      <w:r w:rsidR="003C73F5" w:rsidRPr="007E0C0C">
        <w:rPr>
          <w:bCs/>
          <w:sz w:val="22"/>
          <w:szCs w:val="22"/>
          <w:lang w:val="sr-Latn-ME"/>
        </w:rPr>
        <w:t>nosti</w:t>
      </w:r>
      <w:r w:rsidRPr="007E0C0C">
        <w:rPr>
          <w:bCs/>
          <w:sz w:val="22"/>
          <w:szCs w:val="22"/>
          <w:lang w:val="sr-Latn-ME"/>
        </w:rPr>
        <w:t>.</w:t>
      </w:r>
    </w:p>
    <w:p w:rsidR="004E70AD" w:rsidRPr="007E0C0C" w:rsidRDefault="004E70AD" w:rsidP="00480FB1">
      <w:pPr>
        <w:tabs>
          <w:tab w:val="left" w:pos="540"/>
          <w:tab w:val="left" w:pos="569"/>
        </w:tabs>
        <w:rPr>
          <w:b/>
          <w:bCs/>
          <w:sz w:val="22"/>
          <w:szCs w:val="22"/>
          <w:lang w:val="sr-Latn-ME"/>
        </w:rPr>
      </w:pPr>
    </w:p>
    <w:p w:rsidR="00903886" w:rsidRPr="007E0C0C" w:rsidRDefault="00903886" w:rsidP="00903886">
      <w:pPr>
        <w:spacing w:after="200" w:line="276" w:lineRule="auto"/>
        <w:rPr>
          <w:rFonts w:eastAsia="Calibri"/>
          <w:b/>
          <w:sz w:val="22"/>
          <w:szCs w:val="22"/>
          <w:lang w:val="sr-Latn-ME"/>
        </w:rPr>
      </w:pPr>
      <w:r w:rsidRPr="007E0C0C">
        <w:rPr>
          <w:rFonts w:eastAsia="Calibri"/>
          <w:b/>
          <w:sz w:val="22"/>
          <w:szCs w:val="22"/>
          <w:lang w:val="sr-Latn-ME"/>
        </w:rPr>
        <w:t>Tabela 1: Neželjene reakcije na lijek prijavljene u kliničkim studijama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954"/>
      </w:tblGrid>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Gastrointestinalni poremećaji</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Veoma 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Dijareja, bol u abdomenu, mučnina, konstipacija, flatulencija.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Dispepsija, povraćanje, nadimanje abdomena, steatoreja, rijetke stolice, promjena boje stolice.</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Poremećaji nervnog sistema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Veoma 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Glavobolja.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Vrtoglavica.</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Endokrini poremećaji</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u w:val="single"/>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Hipotireoza, poremećaj štitaste žlijezde (npr. snižen TSH, snižen ukupni T4 i snižen slobodni T4).</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 xml:space="preserve">Hepatobilijarni poremećaji </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Veoma 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Holelitijaza.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Holecistitis, žučni talog, hiperbilirubinemija.</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Poremećaji metabolizma i ishrane</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Veoma 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Hiperglikemija.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Hipoglikemija, poremećaj tolerancije glukoze, anoreksija.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Povremeno: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Dehidracija.</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Opšti poremećaji i reakcije na mjestu primjene</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Veoma 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Reakcije na mjestu primjene injekcije.</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Astenija.</w:t>
            </w:r>
          </w:p>
        </w:tc>
      </w:tr>
      <w:tr w:rsidR="007B1DCF" w:rsidRPr="007E0C0C" w:rsidTr="007B1DCF">
        <w:tc>
          <w:tcPr>
            <w:tcW w:w="9044" w:type="dxa"/>
            <w:gridSpan w:val="2"/>
            <w:shd w:val="clear" w:color="auto" w:fill="auto"/>
          </w:tcPr>
          <w:p w:rsidR="007B1DCF" w:rsidRPr="007E0C0C" w:rsidRDefault="003C73F5" w:rsidP="007B1DCF">
            <w:pPr>
              <w:tabs>
                <w:tab w:val="left" w:pos="567"/>
              </w:tabs>
              <w:rPr>
                <w:noProof/>
                <w:sz w:val="22"/>
                <w:szCs w:val="22"/>
                <w:u w:val="single"/>
                <w:lang w:val="sr-Latn-ME"/>
              </w:rPr>
            </w:pPr>
            <w:r w:rsidRPr="007E0C0C">
              <w:rPr>
                <w:b/>
                <w:noProof/>
                <w:sz w:val="22"/>
                <w:szCs w:val="22"/>
                <w:lang w:val="sr-Latn-ME"/>
              </w:rPr>
              <w:t>Ispitivanja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u w:val="single"/>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Povišene vrijednosti transaminaza.</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Poremećaji kože i potkožnog tkiva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u w:val="single"/>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Svrab, osip, alopecija.</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Poremećaji respiratornog sistema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u w:val="single"/>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Dispneja.</w:t>
            </w:r>
          </w:p>
        </w:tc>
      </w:tr>
      <w:tr w:rsidR="007B1DCF" w:rsidRPr="007E0C0C" w:rsidTr="007B1DCF">
        <w:tc>
          <w:tcPr>
            <w:tcW w:w="9044" w:type="dxa"/>
            <w:gridSpan w:val="2"/>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Kardiološki poremećaji</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u w:val="single"/>
                <w:lang w:val="sr-Latn-ME"/>
              </w:rPr>
            </w:pPr>
            <w:r w:rsidRPr="007E0C0C">
              <w:rPr>
                <w:noProof/>
                <w:sz w:val="22"/>
                <w:szCs w:val="22"/>
                <w:lang w:val="sr-Latn-ME"/>
              </w:rPr>
              <w:t>Često: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Bradikardija.</w:t>
            </w:r>
          </w:p>
        </w:tc>
      </w:tr>
      <w:tr w:rsidR="007B1DCF" w:rsidRPr="007E0C0C" w:rsidTr="007B1DCF">
        <w:tc>
          <w:tcPr>
            <w:tcW w:w="3090"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Povremeno:</w:t>
            </w:r>
          </w:p>
        </w:tc>
        <w:tc>
          <w:tcPr>
            <w:tcW w:w="5954"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Tahikardija.</w:t>
            </w:r>
          </w:p>
        </w:tc>
      </w:tr>
    </w:tbl>
    <w:p w:rsidR="007B1DCF" w:rsidRPr="007E0C0C" w:rsidRDefault="007B1DCF" w:rsidP="007B1DCF">
      <w:pPr>
        <w:jc w:val="both"/>
        <w:rPr>
          <w:rFonts w:eastAsia="Calibri"/>
          <w:b/>
          <w:sz w:val="22"/>
          <w:szCs w:val="22"/>
          <w:u w:val="single"/>
          <w:lang w:val="sr-Latn-ME"/>
        </w:rPr>
      </w:pPr>
    </w:p>
    <w:p w:rsidR="007B1DCF" w:rsidRPr="007E0C0C" w:rsidRDefault="007B1DCF" w:rsidP="007B1DCF">
      <w:pPr>
        <w:jc w:val="both"/>
        <w:rPr>
          <w:rFonts w:eastAsia="Calibri"/>
          <w:sz w:val="22"/>
          <w:szCs w:val="22"/>
          <w:u w:val="single"/>
          <w:lang w:val="sr-Latn-ME"/>
        </w:rPr>
      </w:pPr>
      <w:r w:rsidRPr="007E0C0C">
        <w:rPr>
          <w:rFonts w:eastAsia="Calibri"/>
          <w:sz w:val="22"/>
          <w:szCs w:val="22"/>
          <w:u w:val="single"/>
          <w:lang w:val="sr-Latn-ME"/>
        </w:rPr>
        <w:t>Postmarketinško iskustvo</w:t>
      </w:r>
    </w:p>
    <w:p w:rsidR="007B1DCF" w:rsidRPr="007E0C0C" w:rsidRDefault="007B1DCF" w:rsidP="007B1DCF">
      <w:pPr>
        <w:jc w:val="both"/>
        <w:rPr>
          <w:rFonts w:eastAsia="Calibri"/>
          <w:sz w:val="22"/>
          <w:szCs w:val="22"/>
          <w:lang w:val="sr-Latn-ME"/>
        </w:rPr>
      </w:pPr>
      <w:r w:rsidRPr="007E0C0C">
        <w:rPr>
          <w:rFonts w:eastAsia="Calibri"/>
          <w:sz w:val="22"/>
          <w:szCs w:val="22"/>
          <w:lang w:val="sr-Latn-ME"/>
        </w:rPr>
        <w:t>Spontano prijavljene neželjene reakcije prikazane u Tabeli 2 su prijavljene dobrovoljno i nije uvijek moguće pouzdano odrediti učestalost ili uzročnu povezanost sa izloženošću lijeku.</w:t>
      </w:r>
    </w:p>
    <w:p w:rsidR="007B1DCF" w:rsidRPr="007E0C0C" w:rsidRDefault="007B1DCF" w:rsidP="007B1DCF">
      <w:pPr>
        <w:jc w:val="both"/>
        <w:rPr>
          <w:rFonts w:eastAsia="Calibri"/>
          <w:sz w:val="22"/>
          <w:szCs w:val="22"/>
          <w:lang w:val="sr-Latn-ME"/>
        </w:rPr>
      </w:pPr>
    </w:p>
    <w:p w:rsidR="007B1DCF" w:rsidRPr="007E0C0C" w:rsidRDefault="007B1DCF" w:rsidP="007B1DCF">
      <w:pPr>
        <w:spacing w:after="200" w:line="276" w:lineRule="auto"/>
        <w:rPr>
          <w:rFonts w:eastAsia="Calibri"/>
          <w:b/>
          <w:sz w:val="22"/>
          <w:szCs w:val="22"/>
          <w:u w:val="single"/>
          <w:lang w:val="sr-Latn-ME"/>
        </w:rPr>
      </w:pPr>
      <w:r w:rsidRPr="007E0C0C">
        <w:rPr>
          <w:rFonts w:eastAsia="Calibri"/>
          <w:b/>
          <w:bCs/>
          <w:sz w:val="22"/>
          <w:szCs w:val="22"/>
          <w:u w:val="single"/>
          <w:lang w:val="sr-Latn-ME"/>
        </w:rPr>
        <w:t xml:space="preserve">Tabela 2: Neželjene reakcije na lijek iz spontanih </w:t>
      </w:r>
      <w:r w:rsidR="003C73F5" w:rsidRPr="007E0C0C">
        <w:rPr>
          <w:rFonts w:eastAsia="Calibri"/>
          <w:b/>
          <w:bCs/>
          <w:sz w:val="22"/>
          <w:szCs w:val="22"/>
          <w:u w:val="single"/>
          <w:lang w:val="sr-Latn-ME"/>
        </w:rPr>
        <w:t>prijava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B1DCF" w:rsidRPr="007E0C0C" w:rsidTr="00DA1E37">
        <w:tc>
          <w:tcPr>
            <w:tcW w:w="9063" w:type="dxa"/>
            <w:shd w:val="clear" w:color="auto" w:fill="auto"/>
          </w:tcPr>
          <w:p w:rsidR="007B1DCF" w:rsidRPr="007E0C0C" w:rsidRDefault="007B1DCF" w:rsidP="007B1DCF">
            <w:pPr>
              <w:tabs>
                <w:tab w:val="left" w:pos="567"/>
              </w:tabs>
              <w:rPr>
                <w:b/>
                <w:noProof/>
                <w:lang w:val="sr-Latn-ME"/>
              </w:rPr>
            </w:pPr>
            <w:r w:rsidRPr="007E0C0C">
              <w:rPr>
                <w:b/>
                <w:noProof/>
                <w:sz w:val="22"/>
                <w:szCs w:val="22"/>
                <w:lang w:val="sr-Latn-ME"/>
              </w:rPr>
              <w:t>Poremećaji krvi i limfnog sistema</w:t>
            </w:r>
          </w:p>
        </w:tc>
      </w:tr>
      <w:tr w:rsidR="007B1DCF" w:rsidRPr="007E0C0C" w:rsidTr="00DA1E37">
        <w:tc>
          <w:tcPr>
            <w:tcW w:w="9063" w:type="dxa"/>
            <w:shd w:val="clear" w:color="auto" w:fill="auto"/>
          </w:tcPr>
          <w:p w:rsidR="007B1DCF" w:rsidRPr="007E0C0C" w:rsidRDefault="007B1DCF" w:rsidP="007B1DCF">
            <w:pPr>
              <w:autoSpaceDE w:val="0"/>
              <w:autoSpaceDN w:val="0"/>
              <w:adjustRightInd w:val="0"/>
              <w:rPr>
                <w:noProof/>
                <w:sz w:val="22"/>
                <w:szCs w:val="22"/>
                <w:lang w:val="sr-Latn-ME" w:bidi="he-IL"/>
              </w:rPr>
            </w:pPr>
            <w:r w:rsidRPr="007E0C0C">
              <w:rPr>
                <w:noProof/>
                <w:sz w:val="22"/>
                <w:szCs w:val="22"/>
                <w:lang w:val="sr-Latn-ME" w:bidi="he-IL"/>
              </w:rPr>
              <w:t xml:space="preserve">Trombocitopenija. </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Poremećaji imunskog sistema</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Anafilaksija, alergijske reakcije/reakcije preosjetljivosti.</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Poremećaji kože i potkožnog tkiva</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Urtikarija.</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u w:val="single"/>
                <w:lang w:val="sr-Latn-ME"/>
              </w:rPr>
            </w:pPr>
            <w:r w:rsidRPr="007E0C0C">
              <w:rPr>
                <w:b/>
                <w:noProof/>
                <w:sz w:val="22"/>
                <w:szCs w:val="22"/>
                <w:lang w:val="sr-Latn-ME"/>
              </w:rPr>
              <w:t xml:space="preserve">Hepatobilijarni poremećaji </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Akutni pankreatitis, akutni hepatitis bez holelitijaze, holestatski hepatitis, holestaza, žutica, holestatska žutica.</w:t>
            </w:r>
          </w:p>
        </w:tc>
      </w:tr>
      <w:tr w:rsidR="007B1DCF" w:rsidRPr="007E0C0C" w:rsidTr="00DA1E37">
        <w:tc>
          <w:tcPr>
            <w:tcW w:w="9063" w:type="dxa"/>
            <w:shd w:val="clear" w:color="auto" w:fill="auto"/>
          </w:tcPr>
          <w:p w:rsidR="007B1DCF" w:rsidRPr="007E0C0C" w:rsidRDefault="00DA1E37" w:rsidP="007B1DCF">
            <w:pPr>
              <w:tabs>
                <w:tab w:val="left" w:pos="567"/>
              </w:tabs>
              <w:rPr>
                <w:b/>
                <w:noProof/>
                <w:sz w:val="22"/>
                <w:szCs w:val="22"/>
                <w:lang w:val="sr-Latn-ME"/>
              </w:rPr>
            </w:pPr>
            <w:r w:rsidRPr="007E0C0C">
              <w:rPr>
                <w:b/>
                <w:noProof/>
                <w:sz w:val="22"/>
                <w:szCs w:val="22"/>
                <w:lang w:val="sr-Latn-ME"/>
              </w:rPr>
              <w:t>Kardiološki</w:t>
            </w:r>
            <w:r w:rsidR="007B1DCF" w:rsidRPr="007E0C0C">
              <w:rPr>
                <w:b/>
                <w:noProof/>
                <w:sz w:val="22"/>
                <w:szCs w:val="22"/>
                <w:lang w:val="sr-Latn-ME"/>
              </w:rPr>
              <w:t xml:space="preserve"> poremećaji</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Aritmije.</w:t>
            </w:r>
          </w:p>
        </w:tc>
      </w:tr>
      <w:tr w:rsidR="007B1DCF" w:rsidRPr="007E0C0C" w:rsidTr="00DA1E37">
        <w:tc>
          <w:tcPr>
            <w:tcW w:w="9063" w:type="dxa"/>
            <w:shd w:val="clear" w:color="auto" w:fill="auto"/>
          </w:tcPr>
          <w:p w:rsidR="007B1DCF" w:rsidRPr="007E0C0C" w:rsidRDefault="003C73F5" w:rsidP="007B1DCF">
            <w:pPr>
              <w:tabs>
                <w:tab w:val="left" w:pos="567"/>
              </w:tabs>
              <w:rPr>
                <w:noProof/>
                <w:sz w:val="22"/>
                <w:szCs w:val="22"/>
                <w:u w:val="single"/>
                <w:lang w:val="sr-Latn-ME"/>
              </w:rPr>
            </w:pPr>
            <w:r w:rsidRPr="007E0C0C">
              <w:rPr>
                <w:b/>
                <w:noProof/>
                <w:sz w:val="22"/>
                <w:szCs w:val="22"/>
                <w:lang w:val="sr-Latn-ME"/>
              </w:rPr>
              <w:t>Ispitivanja</w:t>
            </w:r>
          </w:p>
        </w:tc>
      </w:tr>
      <w:tr w:rsidR="007B1DCF" w:rsidRPr="007E0C0C" w:rsidTr="00DA1E37">
        <w:tc>
          <w:tcPr>
            <w:tcW w:w="9063" w:type="dxa"/>
            <w:shd w:val="clear" w:color="auto" w:fill="auto"/>
          </w:tcPr>
          <w:p w:rsidR="007B1DCF" w:rsidRPr="007E0C0C" w:rsidRDefault="007B1DCF" w:rsidP="007B1DCF">
            <w:pPr>
              <w:tabs>
                <w:tab w:val="left" w:pos="567"/>
              </w:tabs>
              <w:rPr>
                <w:noProof/>
                <w:sz w:val="22"/>
                <w:szCs w:val="22"/>
                <w:lang w:val="sr-Latn-ME"/>
              </w:rPr>
            </w:pPr>
            <w:r w:rsidRPr="007E0C0C">
              <w:rPr>
                <w:noProof/>
                <w:sz w:val="22"/>
                <w:szCs w:val="22"/>
                <w:lang w:val="sr-Latn-ME"/>
              </w:rPr>
              <w:t>Povišene vrijednosti alkalne fosfataze, povišena vrijednost gama glutamil transferaze.</w:t>
            </w:r>
          </w:p>
        </w:tc>
      </w:tr>
    </w:tbl>
    <w:p w:rsidR="00DA1E37" w:rsidRPr="007E0C0C" w:rsidRDefault="00DA1E37" w:rsidP="00DA1E37">
      <w:pPr>
        <w:spacing w:line="276" w:lineRule="auto"/>
        <w:rPr>
          <w:rFonts w:eastAsia="Calibri"/>
          <w:sz w:val="22"/>
          <w:szCs w:val="22"/>
          <w:u w:val="single"/>
          <w:lang w:val="sr-Latn-ME"/>
        </w:rPr>
      </w:pPr>
      <w:r w:rsidRPr="007E0C0C">
        <w:rPr>
          <w:rFonts w:eastAsia="Calibri"/>
          <w:sz w:val="22"/>
          <w:szCs w:val="22"/>
          <w:u w:val="single"/>
          <w:lang w:val="sr-Latn-ME"/>
        </w:rPr>
        <w:lastRenderedPageBreak/>
        <w:t>Opis odabranih neželjenih reakcija</w:t>
      </w:r>
    </w:p>
    <w:p w:rsidR="00DA1E37" w:rsidRPr="007E0C0C" w:rsidRDefault="00DA1E37" w:rsidP="00DA1E37">
      <w:pPr>
        <w:spacing w:line="276" w:lineRule="auto"/>
        <w:rPr>
          <w:rFonts w:eastAsia="Calibri"/>
          <w:i/>
          <w:sz w:val="22"/>
          <w:szCs w:val="22"/>
          <w:u w:val="single"/>
          <w:lang w:val="sr-Latn-ME"/>
        </w:rPr>
      </w:pPr>
    </w:p>
    <w:p w:rsidR="00DA1E37" w:rsidRPr="007E0C0C" w:rsidRDefault="00DA1E37" w:rsidP="00DA1E37">
      <w:pPr>
        <w:spacing w:line="276" w:lineRule="auto"/>
        <w:jc w:val="both"/>
        <w:rPr>
          <w:rFonts w:eastAsia="Calibri"/>
          <w:i/>
          <w:iCs/>
          <w:sz w:val="22"/>
          <w:szCs w:val="22"/>
          <w:lang w:val="sr-Latn-ME"/>
        </w:rPr>
      </w:pPr>
      <w:r w:rsidRPr="007E0C0C">
        <w:rPr>
          <w:rFonts w:eastAsia="Calibri"/>
          <w:i/>
          <w:iCs/>
          <w:sz w:val="22"/>
          <w:szCs w:val="22"/>
          <w:lang w:val="sr-Latn-ME"/>
        </w:rPr>
        <w:t>Žučna kesa i povezani poremećaji</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 xml:space="preserve">Pokazalo se da analozi somatostatina inhibiraju kontraktilnost žučne kese i smanjuju sekreciju žuči, što može dovesti do abnormalnosti žučne kese ili </w:t>
      </w:r>
      <w:r w:rsidR="003C73F5" w:rsidRPr="007E0C0C">
        <w:rPr>
          <w:rFonts w:eastAsia="Calibri"/>
          <w:sz w:val="22"/>
          <w:szCs w:val="22"/>
          <w:lang w:val="sr-Latn-ME"/>
        </w:rPr>
        <w:t>žučnog taloga</w:t>
      </w:r>
      <w:r w:rsidRPr="007E0C0C">
        <w:rPr>
          <w:rFonts w:eastAsia="Calibri"/>
          <w:sz w:val="22"/>
          <w:szCs w:val="22"/>
          <w:lang w:val="sr-Latn-ME"/>
        </w:rPr>
        <w:t xml:space="preserve">. Stvaranje žučnih kamenaca prijavljeno je kod 15 do 30% pacijenata na dugotrajnoj </w:t>
      </w:r>
      <w:r w:rsidR="003C73F5" w:rsidRPr="007E0C0C">
        <w:rPr>
          <w:rFonts w:eastAsia="Calibri"/>
          <w:sz w:val="22"/>
          <w:szCs w:val="22"/>
          <w:lang w:val="sr-Latn-ME"/>
        </w:rPr>
        <w:t xml:space="preserve">supkutanoj </w:t>
      </w:r>
      <w:r w:rsidRPr="007E0C0C">
        <w:rPr>
          <w:rFonts w:eastAsia="Calibri"/>
          <w:sz w:val="22"/>
          <w:szCs w:val="22"/>
          <w:lang w:val="sr-Latn-ME"/>
        </w:rPr>
        <w:t>terapiji oktreotidom. Učestalost u opštoj populaciji (starosti od 40 do 60 godina) je oko 5 do 20%. Dugotrajna izloženost oktreotid injekcijama sa produženim oslobađanjem kod pacijenata sa akromegalijom ili gastroenteropankreatičkim tumorima ukazuje na to da terapija oktreotid injekcijama sa produženim oslobađanjem ne povećava učestalost stvaranja žučnih kamenaca u poređenju sa supkutanom primjenom. Ako se žučni kamenac pojavi, obično je asimptomatski; simptome žučnog kamenca treba tretirati terapijom rastvaranja pomoću žučnih kiselina ili hirurškim zahvatom.</w:t>
      </w:r>
    </w:p>
    <w:p w:rsidR="00DA1E37" w:rsidRPr="007E0C0C" w:rsidRDefault="00DA1E37" w:rsidP="00DA1E37">
      <w:pPr>
        <w:spacing w:line="276" w:lineRule="auto"/>
        <w:rPr>
          <w:rFonts w:eastAsia="Calibri"/>
          <w:sz w:val="22"/>
          <w:szCs w:val="22"/>
          <w:u w:val="single"/>
          <w:lang w:val="sr-Latn-ME"/>
        </w:rPr>
      </w:pPr>
    </w:p>
    <w:p w:rsidR="00DA1E37" w:rsidRPr="007E0C0C" w:rsidRDefault="00DA1E37" w:rsidP="00DA1E37">
      <w:pPr>
        <w:spacing w:line="276" w:lineRule="auto"/>
        <w:jc w:val="both"/>
        <w:rPr>
          <w:rFonts w:eastAsia="Calibri"/>
          <w:i/>
          <w:sz w:val="22"/>
          <w:szCs w:val="22"/>
          <w:lang w:val="sr-Latn-ME"/>
        </w:rPr>
      </w:pPr>
      <w:r w:rsidRPr="007E0C0C">
        <w:rPr>
          <w:rFonts w:eastAsia="Calibri"/>
          <w:i/>
          <w:sz w:val="22"/>
          <w:szCs w:val="22"/>
          <w:lang w:val="sr-Latn-ME"/>
        </w:rPr>
        <w:t>Gastrointestinalni poremećaji</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U rijetkim slučajevima, gastrointestinalna neželjena dejstva mogu da liče na akutnu intestinalnu opstrukciju sa progresivnom distenzijom abdomena, teškim epigastričnim bolom, pojačanom osjetljivošću i napetošću abdomena. Poznato je da se učestalost gastrointestinalnih neželjenih događaja, tokom kontinuiranog liječenja, s vremenom smanjuje.</w:t>
      </w:r>
    </w:p>
    <w:p w:rsidR="00DA1E37" w:rsidRPr="007E0C0C" w:rsidRDefault="00DA1E37" w:rsidP="00DA1E37">
      <w:pPr>
        <w:spacing w:line="276" w:lineRule="auto"/>
        <w:jc w:val="both"/>
        <w:rPr>
          <w:rFonts w:eastAsia="Calibri"/>
          <w:i/>
          <w:iCs/>
          <w:sz w:val="22"/>
          <w:szCs w:val="22"/>
          <w:lang w:val="sr-Latn-ME"/>
        </w:rPr>
      </w:pPr>
    </w:p>
    <w:p w:rsidR="00DA1E37" w:rsidRPr="007E0C0C" w:rsidRDefault="00DA1E37" w:rsidP="00DA1E37">
      <w:pPr>
        <w:spacing w:line="276" w:lineRule="auto"/>
        <w:jc w:val="both"/>
        <w:rPr>
          <w:rFonts w:eastAsia="Calibri"/>
          <w:i/>
          <w:iCs/>
          <w:sz w:val="22"/>
          <w:szCs w:val="22"/>
          <w:lang w:val="sr-Latn-ME"/>
        </w:rPr>
      </w:pPr>
      <w:r w:rsidRPr="007E0C0C">
        <w:rPr>
          <w:rFonts w:eastAsia="Calibri"/>
          <w:i/>
          <w:iCs/>
          <w:sz w:val="22"/>
          <w:szCs w:val="22"/>
          <w:lang w:val="sr-Latn-ME"/>
        </w:rPr>
        <w:t>Preosjetljivost i anafilaktičke reakcije</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 xml:space="preserve">Preosjetljivost i alergijske reakcije su </w:t>
      </w:r>
      <w:r w:rsidR="003C73F5" w:rsidRPr="007E0C0C">
        <w:rPr>
          <w:rFonts w:eastAsia="Calibri"/>
          <w:sz w:val="22"/>
          <w:szCs w:val="22"/>
          <w:lang w:val="sr-Latn-ME"/>
        </w:rPr>
        <w:t xml:space="preserve">prijavljene </w:t>
      </w:r>
      <w:r w:rsidRPr="007E0C0C">
        <w:rPr>
          <w:rFonts w:eastAsia="Calibri"/>
          <w:sz w:val="22"/>
          <w:szCs w:val="22"/>
          <w:lang w:val="sr-Latn-ME"/>
        </w:rPr>
        <w:t>tokom postmarketinškog praćenja. Kada se pojave, uglavnom zahvataju kožu, rijetko usta i disajne puteve. Prijavljeni su izolovani slučajevi anafilaktičkog šoka.</w:t>
      </w:r>
    </w:p>
    <w:p w:rsidR="00DA1E37" w:rsidRPr="007E0C0C" w:rsidRDefault="00DA1E37" w:rsidP="00DA1E37">
      <w:pPr>
        <w:spacing w:line="276" w:lineRule="auto"/>
        <w:jc w:val="both"/>
        <w:rPr>
          <w:rFonts w:eastAsia="Calibri"/>
          <w:i/>
          <w:sz w:val="22"/>
          <w:szCs w:val="22"/>
          <w:lang w:val="sr-Latn-ME"/>
        </w:rPr>
      </w:pPr>
    </w:p>
    <w:p w:rsidR="00DA1E37" w:rsidRPr="007E0C0C" w:rsidRDefault="00DA1E37" w:rsidP="00DA1E37">
      <w:pPr>
        <w:spacing w:line="276" w:lineRule="auto"/>
        <w:jc w:val="both"/>
        <w:rPr>
          <w:rFonts w:eastAsia="Calibri"/>
          <w:i/>
          <w:sz w:val="22"/>
          <w:szCs w:val="22"/>
          <w:lang w:val="sr-Latn-ME"/>
        </w:rPr>
      </w:pPr>
      <w:r w:rsidRPr="007E0C0C">
        <w:rPr>
          <w:rFonts w:eastAsia="Calibri"/>
          <w:i/>
          <w:sz w:val="22"/>
          <w:szCs w:val="22"/>
          <w:lang w:val="sr-Latn-ME"/>
        </w:rPr>
        <w:t>Reakcije na mjestu primjene injekcije</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Reakcije na mjestu primjene injekcije, uključujući bol, crvenilo, krvarenje, svrab, oticanje ili induraciju su često prijavljivane kod pacijenata koji primaju oktreotid injekcije sa produženim oslobađanjem. Međutim, te reakcije u većini slučajeva nisu zahtijevale nikakve kliničke intervencije.</w:t>
      </w:r>
    </w:p>
    <w:p w:rsidR="00DA1E37" w:rsidRPr="007E0C0C" w:rsidRDefault="00DA1E37" w:rsidP="00DA1E37">
      <w:pPr>
        <w:spacing w:line="276" w:lineRule="auto"/>
        <w:jc w:val="both"/>
        <w:rPr>
          <w:rFonts w:eastAsia="Calibri"/>
          <w:sz w:val="22"/>
          <w:szCs w:val="22"/>
          <w:lang w:val="sr-Latn-ME"/>
        </w:rPr>
      </w:pPr>
    </w:p>
    <w:p w:rsidR="00DA1E37" w:rsidRPr="007E0C0C" w:rsidRDefault="00DA1E37" w:rsidP="00DA1E37">
      <w:pPr>
        <w:spacing w:line="276" w:lineRule="auto"/>
        <w:jc w:val="both"/>
        <w:rPr>
          <w:rFonts w:eastAsia="Calibri"/>
          <w:i/>
          <w:sz w:val="22"/>
          <w:szCs w:val="22"/>
          <w:lang w:val="sr-Latn-ME"/>
        </w:rPr>
      </w:pPr>
      <w:r w:rsidRPr="007E0C0C">
        <w:rPr>
          <w:rFonts w:eastAsia="Calibri"/>
          <w:i/>
          <w:sz w:val="22"/>
          <w:szCs w:val="22"/>
          <w:lang w:val="sr-Latn-ME"/>
        </w:rPr>
        <w:t>Poremećaji metabolizma i ishrane</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Iako se izmjerena fekalna ekskrecija masnoće može povećati, do danas nema dokaza da dugotrajna terapija oktreotidom dovodi do nutritivnih nedostataka zbog malapsorpcije.</w:t>
      </w:r>
    </w:p>
    <w:p w:rsidR="00DA1E37" w:rsidRPr="007E0C0C" w:rsidRDefault="00DA1E37" w:rsidP="00DA1E37">
      <w:pPr>
        <w:spacing w:line="276" w:lineRule="auto"/>
        <w:jc w:val="both"/>
        <w:rPr>
          <w:rFonts w:eastAsia="Calibri"/>
          <w:sz w:val="22"/>
          <w:szCs w:val="22"/>
          <w:lang w:val="sr-Latn-ME"/>
        </w:rPr>
      </w:pPr>
    </w:p>
    <w:p w:rsidR="00DA1E37" w:rsidRPr="007E0C0C" w:rsidRDefault="00DA1E37" w:rsidP="00DA1E37">
      <w:pPr>
        <w:spacing w:line="276" w:lineRule="auto"/>
        <w:jc w:val="both"/>
        <w:rPr>
          <w:rFonts w:eastAsia="Calibri"/>
          <w:i/>
          <w:sz w:val="22"/>
          <w:szCs w:val="22"/>
          <w:lang w:val="sr-Latn-ME"/>
        </w:rPr>
      </w:pPr>
      <w:r w:rsidRPr="007E0C0C">
        <w:rPr>
          <w:rFonts w:eastAsia="Calibri"/>
          <w:i/>
          <w:sz w:val="22"/>
          <w:szCs w:val="22"/>
          <w:lang w:val="sr-Latn-ME"/>
        </w:rPr>
        <w:t>Enzimi pankreasa</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 xml:space="preserve">U vrlo rijetkim slučajevima prijavljen je akutni pankreatitis tokom prvih sati ili dana </w:t>
      </w:r>
      <w:r w:rsidR="003C73F5" w:rsidRPr="007E0C0C">
        <w:rPr>
          <w:rFonts w:eastAsia="Calibri"/>
          <w:sz w:val="22"/>
          <w:szCs w:val="22"/>
          <w:lang w:val="sr-Latn-ME"/>
        </w:rPr>
        <w:t xml:space="preserve">supkutane </w:t>
      </w:r>
      <w:r w:rsidRPr="007E0C0C">
        <w:rPr>
          <w:rFonts w:eastAsia="Calibri"/>
          <w:sz w:val="22"/>
          <w:szCs w:val="22"/>
          <w:lang w:val="sr-Latn-ME"/>
        </w:rPr>
        <w:t>terapije</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 xml:space="preserve">oktreotidom, koji bi se povukao nakon prestanka primjene lijeka. Osim toga, kod pacijenata dugotrajno liječenih </w:t>
      </w:r>
      <w:r w:rsidR="003C73F5" w:rsidRPr="007E0C0C">
        <w:rPr>
          <w:rFonts w:eastAsia="Calibri"/>
          <w:sz w:val="22"/>
          <w:szCs w:val="22"/>
          <w:lang w:val="sr-Latn-ME"/>
        </w:rPr>
        <w:t xml:space="preserve">supkutano </w:t>
      </w:r>
      <w:r w:rsidRPr="007E0C0C">
        <w:rPr>
          <w:rFonts w:eastAsia="Calibri"/>
          <w:sz w:val="22"/>
          <w:szCs w:val="22"/>
          <w:lang w:val="sr-Latn-ME"/>
        </w:rPr>
        <w:t>oktreotidom, bio je prijavljen pankreatitis izazvan holelitijazom.</w:t>
      </w:r>
    </w:p>
    <w:p w:rsidR="00DA1E37" w:rsidRPr="007E0C0C" w:rsidRDefault="00DA1E37" w:rsidP="00DA1E37">
      <w:pPr>
        <w:spacing w:line="276" w:lineRule="auto"/>
        <w:jc w:val="both"/>
        <w:rPr>
          <w:rFonts w:eastAsia="Calibri"/>
          <w:i/>
          <w:sz w:val="22"/>
          <w:szCs w:val="22"/>
          <w:lang w:val="sr-Latn-ME"/>
        </w:rPr>
      </w:pPr>
    </w:p>
    <w:p w:rsidR="00DA1E37" w:rsidRPr="007E0C0C" w:rsidRDefault="00DA1E37" w:rsidP="00DA1E37">
      <w:pPr>
        <w:spacing w:line="276" w:lineRule="auto"/>
        <w:jc w:val="both"/>
        <w:rPr>
          <w:rFonts w:eastAsia="Calibri"/>
          <w:i/>
          <w:sz w:val="22"/>
          <w:szCs w:val="22"/>
          <w:lang w:val="sr-Latn-ME"/>
        </w:rPr>
      </w:pPr>
      <w:r w:rsidRPr="007E0C0C">
        <w:rPr>
          <w:rFonts w:eastAsia="Calibri"/>
          <w:i/>
          <w:sz w:val="22"/>
          <w:szCs w:val="22"/>
          <w:lang w:val="sr-Latn-ME"/>
        </w:rPr>
        <w:t>Kardiološki poremećaji</w:t>
      </w:r>
    </w:p>
    <w:p w:rsidR="00DA1E37" w:rsidRPr="007E0C0C" w:rsidRDefault="00DA1E37" w:rsidP="00DA1E37">
      <w:pPr>
        <w:spacing w:line="276" w:lineRule="auto"/>
        <w:jc w:val="both"/>
        <w:rPr>
          <w:rFonts w:eastAsia="Calibri"/>
          <w:sz w:val="22"/>
          <w:szCs w:val="22"/>
          <w:lang w:val="sr-Latn-ME"/>
        </w:rPr>
      </w:pPr>
      <w:r w:rsidRPr="007E0C0C">
        <w:rPr>
          <w:rFonts w:eastAsia="Calibri"/>
          <w:sz w:val="22"/>
          <w:szCs w:val="22"/>
          <w:lang w:val="sr-Latn-ME"/>
        </w:rPr>
        <w:t xml:space="preserve">Bradikardija je često neželjeno dejstvo analoga somatostatina. I kod pacijenata sa akromegalijom i kod pacijenata sa karcinoidnim sindromom su bile primijećene promjene EKG-a kao što je produženje QT intervala, pomjeranje </w:t>
      </w:r>
      <w:r w:rsidR="003C73F5" w:rsidRPr="007E0C0C">
        <w:rPr>
          <w:rFonts w:eastAsia="Calibri"/>
          <w:sz w:val="22"/>
          <w:szCs w:val="22"/>
          <w:lang w:val="sr-Latn-ME"/>
        </w:rPr>
        <w:t>srčane</w:t>
      </w:r>
      <w:r w:rsidR="003C73F5" w:rsidRPr="007E0C0C" w:rsidDel="003C73F5">
        <w:rPr>
          <w:rFonts w:eastAsia="Calibri"/>
          <w:sz w:val="22"/>
          <w:szCs w:val="22"/>
          <w:lang w:val="sr-Latn-ME"/>
        </w:rPr>
        <w:t xml:space="preserve"> </w:t>
      </w:r>
      <w:r w:rsidRPr="007E0C0C">
        <w:rPr>
          <w:rFonts w:eastAsia="Calibri"/>
          <w:sz w:val="22"/>
          <w:szCs w:val="22"/>
          <w:lang w:val="sr-Latn-ME"/>
        </w:rPr>
        <w:t xml:space="preserve">osovine, rana repolarizacija, niska voltaža, poremećaj odnosa R/S zubaca, rana progresija R zupca kao i nespecifične promjene ST-T segmenta. Povezanost ovih događaja sa oktreotid acetatom nije utvrđena zato što je većina ovih pacijenata već imala osnovnu bolest srca (vidjeti </w:t>
      </w:r>
      <w:r w:rsidR="003C73F5" w:rsidRPr="007E0C0C">
        <w:rPr>
          <w:rFonts w:eastAsia="Calibri"/>
          <w:sz w:val="22"/>
          <w:szCs w:val="22"/>
          <w:lang w:val="sr-Latn-ME"/>
        </w:rPr>
        <w:t xml:space="preserve">dio </w:t>
      </w:r>
      <w:r w:rsidRPr="007E0C0C">
        <w:rPr>
          <w:rFonts w:eastAsia="Calibri"/>
          <w:sz w:val="22"/>
          <w:szCs w:val="22"/>
          <w:lang w:val="sr-Latn-ME"/>
        </w:rPr>
        <w:t>4.4).</w:t>
      </w:r>
    </w:p>
    <w:p w:rsidR="00DA1E37" w:rsidRPr="007E0C0C" w:rsidRDefault="00DA1E37" w:rsidP="00DA1E37">
      <w:pPr>
        <w:spacing w:line="276" w:lineRule="auto"/>
        <w:rPr>
          <w:rFonts w:eastAsia="Calibri"/>
          <w:sz w:val="22"/>
          <w:szCs w:val="22"/>
          <w:u w:val="single"/>
          <w:lang w:val="sr-Latn-ME"/>
        </w:rPr>
      </w:pPr>
    </w:p>
    <w:p w:rsidR="00DA1E37" w:rsidRPr="007E0C0C" w:rsidRDefault="00DA1E37" w:rsidP="00DA1E37">
      <w:pPr>
        <w:spacing w:line="276" w:lineRule="auto"/>
        <w:jc w:val="both"/>
        <w:rPr>
          <w:rFonts w:eastAsia="Calibri"/>
          <w:i/>
          <w:iCs/>
          <w:sz w:val="22"/>
          <w:szCs w:val="22"/>
          <w:lang w:val="sr-Latn-ME"/>
        </w:rPr>
      </w:pPr>
      <w:r w:rsidRPr="007E0C0C">
        <w:rPr>
          <w:rFonts w:eastAsia="Calibri"/>
          <w:i/>
          <w:iCs/>
          <w:sz w:val="22"/>
          <w:szCs w:val="22"/>
          <w:lang w:val="sr-Latn-ME"/>
        </w:rPr>
        <w:t>Trombocitopenija</w:t>
      </w:r>
    </w:p>
    <w:p w:rsidR="00DA1E37" w:rsidRPr="007E0C0C" w:rsidRDefault="00300B9E" w:rsidP="00DA1E37">
      <w:pPr>
        <w:spacing w:line="276" w:lineRule="auto"/>
        <w:jc w:val="both"/>
        <w:rPr>
          <w:rFonts w:eastAsia="Calibri"/>
          <w:sz w:val="22"/>
          <w:szCs w:val="22"/>
          <w:lang w:val="sr-Latn-ME"/>
        </w:rPr>
      </w:pPr>
      <w:r w:rsidRPr="007E0C0C">
        <w:rPr>
          <w:rFonts w:eastAsia="Calibri"/>
          <w:sz w:val="22"/>
          <w:szCs w:val="22"/>
          <w:lang w:val="sr-Latn-ME"/>
        </w:rPr>
        <w:t>Trombocitopenija je prijavljena nakon stavljanja u promet</w:t>
      </w:r>
      <w:r w:rsidR="00DA1E37" w:rsidRPr="007E0C0C">
        <w:rPr>
          <w:rFonts w:eastAsia="Calibri"/>
          <w:sz w:val="22"/>
          <w:szCs w:val="22"/>
          <w:lang w:val="sr-Latn-ME"/>
        </w:rPr>
        <w:t>, naročito tokom terapije oktreotid injekcijom (i.v.) kod pacijenata sa cirozom jetre, i tokom liječenja oktreotid injekcijom sa produženim oslobađanjem. Ovo je reverzibilna rekcija i povlači se nakon prekida terapije.</w:t>
      </w:r>
    </w:p>
    <w:p w:rsidR="005A23D2" w:rsidRPr="007E0C0C" w:rsidRDefault="005A23D2" w:rsidP="00DA1E37">
      <w:pPr>
        <w:spacing w:line="276" w:lineRule="auto"/>
        <w:jc w:val="both"/>
        <w:rPr>
          <w:rFonts w:eastAsia="Calibri"/>
          <w:sz w:val="22"/>
          <w:szCs w:val="22"/>
          <w:lang w:val="sr-Latn-ME"/>
        </w:rPr>
      </w:pPr>
      <w:r w:rsidRPr="007E0C0C">
        <w:rPr>
          <w:rFonts w:eastAsia="Calibri"/>
          <w:sz w:val="22"/>
          <w:szCs w:val="22"/>
          <w:u w:val="single"/>
          <w:lang w:val="sr-Latn-ME"/>
        </w:rPr>
        <w:lastRenderedPageBreak/>
        <w:t>Prijavljivanje sumnji na neželjena dejstva</w:t>
      </w:r>
    </w:p>
    <w:p w:rsidR="005A23D2" w:rsidRPr="007E0C0C" w:rsidRDefault="005A23D2" w:rsidP="00DA1E37">
      <w:pPr>
        <w:spacing w:after="200"/>
        <w:jc w:val="both"/>
        <w:rPr>
          <w:rFonts w:eastAsia="Calibri"/>
          <w:sz w:val="22"/>
          <w:szCs w:val="22"/>
          <w:lang w:val="sr-Latn-ME"/>
        </w:rPr>
      </w:pPr>
      <w:r w:rsidRPr="007E0C0C">
        <w:rPr>
          <w:rFonts w:eastAsia="Calibri"/>
          <w:sz w:val="22"/>
          <w:szCs w:val="22"/>
          <w:lang w:val="sr-Latn-ME"/>
        </w:rPr>
        <w:t>Prijavljivanje neželjenih dejstava nakon dobijanja dozvole je od velikog značaja jer obezbjeđuje kont</w:t>
      </w:r>
      <w:r w:rsidR="00EA5765" w:rsidRPr="007E0C0C">
        <w:rPr>
          <w:rFonts w:eastAsia="Calibri"/>
          <w:sz w:val="22"/>
          <w:szCs w:val="22"/>
          <w:lang w:val="sr-Latn-ME"/>
        </w:rPr>
        <w:t>inuirano praćenje odnosa korist</w:t>
      </w:r>
      <w:r w:rsidRPr="007E0C0C">
        <w:rPr>
          <w:rFonts w:eastAsia="Calibri"/>
          <w:sz w:val="22"/>
          <w:szCs w:val="22"/>
          <w:lang w:val="sr-Latn-ME"/>
        </w:rPr>
        <w:t>/rizik primjene lijeka. Zdravstveni radnici treba da prijave svaku sumnju na neželjeno</w:t>
      </w:r>
      <w:r w:rsidR="009B062A" w:rsidRPr="007E0C0C">
        <w:rPr>
          <w:rFonts w:eastAsia="Calibri"/>
          <w:sz w:val="22"/>
          <w:szCs w:val="22"/>
          <w:lang w:val="sr-Latn-ME"/>
        </w:rPr>
        <w:t xml:space="preserve"> </w:t>
      </w:r>
      <w:r w:rsidRPr="007E0C0C">
        <w:rPr>
          <w:rFonts w:eastAsia="Calibri"/>
          <w:sz w:val="22"/>
          <w:szCs w:val="22"/>
          <w:lang w:val="sr-Latn-ME"/>
        </w:rPr>
        <w:t xml:space="preserve">dejstvo ovog lijeka </w:t>
      </w:r>
      <w:r w:rsidR="004E70AD" w:rsidRPr="007E0C0C">
        <w:rPr>
          <w:rFonts w:eastAsia="Calibri"/>
          <w:sz w:val="22"/>
          <w:szCs w:val="22"/>
          <w:lang w:val="sr-Latn-ME"/>
        </w:rPr>
        <w:t>Institutu</w:t>
      </w:r>
      <w:r w:rsidRPr="007E0C0C">
        <w:rPr>
          <w:rFonts w:eastAsia="Calibri"/>
          <w:sz w:val="22"/>
          <w:szCs w:val="22"/>
          <w:lang w:val="sr-Latn-ME"/>
        </w:rPr>
        <w:t xml:space="preserve"> za ljekove i medicinska sredstva</w:t>
      </w:r>
      <w:r w:rsidR="004E70AD" w:rsidRPr="007E0C0C">
        <w:rPr>
          <w:rFonts w:eastAsia="Calibri"/>
          <w:sz w:val="22"/>
          <w:szCs w:val="22"/>
          <w:lang w:val="sr-Latn-ME"/>
        </w:rPr>
        <w:t xml:space="preserve"> </w:t>
      </w:r>
      <w:r w:rsidRPr="007E0C0C">
        <w:rPr>
          <w:rFonts w:eastAsia="Calibri"/>
          <w:sz w:val="22"/>
          <w:szCs w:val="22"/>
          <w:lang w:val="sr-Latn-ME"/>
        </w:rPr>
        <w:t>(</w:t>
      </w:r>
      <w:r w:rsidR="004E70AD" w:rsidRPr="007E0C0C">
        <w:rPr>
          <w:rFonts w:eastAsia="Calibri"/>
          <w:sz w:val="22"/>
          <w:szCs w:val="22"/>
          <w:lang w:val="sr-Latn-ME"/>
        </w:rPr>
        <w:t>CInMED</w:t>
      </w:r>
      <w:r w:rsidRPr="007E0C0C">
        <w:rPr>
          <w:rFonts w:eastAsia="Calibri"/>
          <w:sz w:val="22"/>
          <w:szCs w:val="22"/>
          <w:lang w:val="sr-Latn-ME"/>
        </w:rPr>
        <w:t>):</w:t>
      </w:r>
    </w:p>
    <w:p w:rsidR="005A23D2" w:rsidRPr="007E0C0C" w:rsidRDefault="004E70AD" w:rsidP="00DA1E37">
      <w:pPr>
        <w:pStyle w:val="NoSpacing"/>
        <w:jc w:val="both"/>
        <w:rPr>
          <w:rFonts w:eastAsia="Calibri"/>
          <w:sz w:val="22"/>
          <w:szCs w:val="22"/>
          <w:lang w:val="sr-Latn-ME"/>
        </w:rPr>
      </w:pPr>
      <w:r w:rsidRPr="007E0C0C">
        <w:rPr>
          <w:rFonts w:eastAsia="Calibri"/>
          <w:sz w:val="22"/>
          <w:szCs w:val="22"/>
          <w:lang w:val="sr-Latn-ME"/>
        </w:rPr>
        <w:t xml:space="preserve">Institut </w:t>
      </w:r>
      <w:r w:rsidR="005A23D2" w:rsidRPr="007E0C0C">
        <w:rPr>
          <w:rFonts w:eastAsia="Calibri"/>
          <w:sz w:val="22"/>
          <w:szCs w:val="22"/>
          <w:lang w:val="sr-Latn-ME"/>
        </w:rPr>
        <w:t xml:space="preserve">za ljekove i medicinska sredstva </w:t>
      </w:r>
    </w:p>
    <w:p w:rsidR="005A23D2" w:rsidRPr="007E0C0C" w:rsidRDefault="005A23D2" w:rsidP="00DA1E37">
      <w:pPr>
        <w:pStyle w:val="NoSpacing"/>
        <w:jc w:val="both"/>
        <w:rPr>
          <w:rFonts w:eastAsia="Calibri"/>
          <w:sz w:val="22"/>
          <w:szCs w:val="22"/>
          <w:lang w:val="sr-Latn-ME"/>
        </w:rPr>
      </w:pPr>
      <w:r w:rsidRPr="007E0C0C">
        <w:rPr>
          <w:rFonts w:eastAsia="Calibri"/>
          <w:sz w:val="22"/>
          <w:szCs w:val="22"/>
          <w:lang w:val="sr-Latn-ME"/>
        </w:rPr>
        <w:t>Odjeljenje za farmakovigilancu</w:t>
      </w:r>
    </w:p>
    <w:p w:rsidR="00EA5765" w:rsidRPr="007E0C0C" w:rsidRDefault="005A23D2" w:rsidP="00DA1E37">
      <w:pPr>
        <w:pStyle w:val="NoSpacing"/>
        <w:jc w:val="both"/>
        <w:rPr>
          <w:rFonts w:eastAsia="Calibri"/>
          <w:sz w:val="22"/>
          <w:szCs w:val="22"/>
          <w:lang w:val="sr-Latn-ME"/>
        </w:rPr>
      </w:pPr>
      <w:r w:rsidRPr="007E0C0C">
        <w:rPr>
          <w:rFonts w:eastAsia="Calibri"/>
          <w:sz w:val="22"/>
          <w:szCs w:val="22"/>
          <w:lang w:val="sr-Latn-ME"/>
        </w:rPr>
        <w:t>Bulevar Ivana Crnojevića 64a, 81000 Podgorica</w:t>
      </w:r>
    </w:p>
    <w:p w:rsidR="00EA5765" w:rsidRPr="007E0C0C" w:rsidRDefault="00EA5765" w:rsidP="00A46C9A">
      <w:pPr>
        <w:pStyle w:val="NoSpacing"/>
        <w:rPr>
          <w:rFonts w:eastAsia="Calibri"/>
          <w:sz w:val="22"/>
          <w:szCs w:val="22"/>
          <w:lang w:val="sr-Latn-ME"/>
        </w:rPr>
      </w:pPr>
    </w:p>
    <w:p w:rsidR="005A23D2" w:rsidRPr="007E0C0C" w:rsidRDefault="005A23D2" w:rsidP="00A46C9A">
      <w:pPr>
        <w:pStyle w:val="NoSpacing"/>
        <w:jc w:val="both"/>
        <w:rPr>
          <w:rFonts w:eastAsia="Calibri"/>
          <w:sz w:val="22"/>
          <w:szCs w:val="22"/>
          <w:lang w:val="sr-Latn-ME"/>
        </w:rPr>
      </w:pPr>
      <w:r w:rsidRPr="007E0C0C">
        <w:rPr>
          <w:rFonts w:eastAsia="Calibri"/>
          <w:sz w:val="22"/>
          <w:szCs w:val="22"/>
          <w:lang w:val="sr-Latn-ME"/>
        </w:rPr>
        <w:t>tel: +382 (0) 20 310 280</w:t>
      </w:r>
    </w:p>
    <w:p w:rsidR="00EA5765" w:rsidRPr="007E0C0C" w:rsidRDefault="005A23D2" w:rsidP="00A46C9A">
      <w:pPr>
        <w:pStyle w:val="NoSpacing"/>
        <w:jc w:val="both"/>
        <w:rPr>
          <w:rFonts w:eastAsia="Calibri"/>
          <w:sz w:val="22"/>
          <w:szCs w:val="22"/>
          <w:lang w:val="sr-Latn-ME"/>
        </w:rPr>
      </w:pPr>
      <w:r w:rsidRPr="007E0C0C">
        <w:rPr>
          <w:rFonts w:eastAsia="Calibri"/>
          <w:sz w:val="22"/>
          <w:szCs w:val="22"/>
          <w:lang w:val="sr-Latn-ME"/>
        </w:rPr>
        <w:t>fax:</w:t>
      </w:r>
      <w:r w:rsidR="00EA5765" w:rsidRPr="007E0C0C">
        <w:rPr>
          <w:rFonts w:eastAsia="Calibri"/>
          <w:sz w:val="22"/>
          <w:szCs w:val="22"/>
          <w:lang w:val="sr-Latn-ME"/>
        </w:rPr>
        <w:t xml:space="preserve"> </w:t>
      </w:r>
      <w:r w:rsidRPr="007E0C0C">
        <w:rPr>
          <w:rFonts w:eastAsia="Calibri"/>
          <w:sz w:val="22"/>
          <w:szCs w:val="22"/>
          <w:lang w:val="sr-Latn-ME"/>
        </w:rPr>
        <w:t>+382 (0) 20 310 581</w:t>
      </w:r>
    </w:p>
    <w:p w:rsidR="005A23D2" w:rsidRPr="007E0C0C" w:rsidRDefault="002F2458" w:rsidP="00A46C9A">
      <w:pPr>
        <w:pStyle w:val="NoSpacing"/>
        <w:jc w:val="both"/>
        <w:rPr>
          <w:rFonts w:eastAsia="Calibri"/>
          <w:sz w:val="22"/>
          <w:szCs w:val="22"/>
          <w:lang w:val="sr-Latn-ME"/>
        </w:rPr>
      </w:pPr>
      <w:hyperlink r:id="rId8" w:history="1">
        <w:r w:rsidR="004E70AD" w:rsidRPr="007E0C0C">
          <w:rPr>
            <w:rStyle w:val="Hyperlink"/>
            <w:rFonts w:eastAsia="Calibri"/>
            <w:sz w:val="22"/>
            <w:szCs w:val="22"/>
            <w:lang w:val="sr-Latn-ME"/>
          </w:rPr>
          <w:t>www.cinmed.me</w:t>
        </w:r>
      </w:hyperlink>
    </w:p>
    <w:p w:rsidR="00EA5765" w:rsidRPr="007E0C0C" w:rsidRDefault="002F2458" w:rsidP="00A46C9A">
      <w:pPr>
        <w:pStyle w:val="NoSpacing"/>
        <w:jc w:val="both"/>
        <w:rPr>
          <w:rFonts w:eastAsia="Calibri"/>
          <w:color w:val="0000FF"/>
          <w:sz w:val="22"/>
          <w:szCs w:val="22"/>
          <w:u w:val="single"/>
          <w:lang w:val="sr-Latn-ME"/>
        </w:rPr>
      </w:pPr>
      <w:hyperlink r:id="rId9" w:history="1">
        <w:r w:rsidR="004E70AD" w:rsidRPr="007E0C0C">
          <w:rPr>
            <w:rStyle w:val="Hyperlink"/>
            <w:rFonts w:eastAsia="Calibri"/>
            <w:sz w:val="22"/>
            <w:szCs w:val="22"/>
            <w:lang w:val="sr-Latn-ME"/>
          </w:rPr>
          <w:t>nezeljenadejstva@cinmed.me</w:t>
        </w:r>
      </w:hyperlink>
    </w:p>
    <w:p w:rsidR="005A23D2" w:rsidRPr="007E0C0C" w:rsidRDefault="005A23D2" w:rsidP="00A46C9A">
      <w:pPr>
        <w:pStyle w:val="NoSpacing"/>
        <w:jc w:val="both"/>
        <w:rPr>
          <w:rFonts w:eastAsia="Calibri"/>
          <w:sz w:val="22"/>
          <w:szCs w:val="22"/>
          <w:lang w:val="sr-Latn-ME"/>
        </w:rPr>
      </w:pPr>
      <w:r w:rsidRPr="007E0C0C">
        <w:rPr>
          <w:rFonts w:eastAsia="Calibri"/>
          <w:sz w:val="22"/>
          <w:szCs w:val="22"/>
          <w:lang w:val="sr-Latn-ME"/>
        </w:rPr>
        <w:t>putem IS zdravstvene zaštite</w:t>
      </w:r>
    </w:p>
    <w:p w:rsidR="00836B35" w:rsidRPr="007E0C0C" w:rsidRDefault="00836B35" w:rsidP="00480FB1">
      <w:pPr>
        <w:tabs>
          <w:tab w:val="left" w:pos="540"/>
          <w:tab w:val="left" w:pos="569"/>
        </w:tabs>
        <w:rPr>
          <w:b/>
          <w:bCs/>
          <w:sz w:val="22"/>
          <w:szCs w:val="22"/>
          <w:lang w:val="sr-Latn-ME"/>
        </w:rPr>
      </w:pPr>
    </w:p>
    <w:p w:rsidR="00CD6F02"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4.9. </w:t>
      </w:r>
      <w:r w:rsidR="00480FB1" w:rsidRPr="007E0C0C">
        <w:rPr>
          <w:b/>
          <w:bCs/>
          <w:sz w:val="22"/>
          <w:szCs w:val="22"/>
          <w:lang w:val="sr-Latn-ME"/>
        </w:rPr>
        <w:tab/>
      </w:r>
      <w:r w:rsidRPr="007E0C0C">
        <w:rPr>
          <w:b/>
          <w:bCs/>
          <w:sz w:val="22"/>
          <w:szCs w:val="22"/>
          <w:lang w:val="sr-Latn-ME"/>
        </w:rPr>
        <w:t>Predoziranje</w:t>
      </w:r>
      <w:r w:rsidR="002846DB" w:rsidRPr="007E0C0C">
        <w:rPr>
          <w:b/>
          <w:bCs/>
          <w:sz w:val="22"/>
          <w:szCs w:val="22"/>
          <w:lang w:val="sr-Latn-ME"/>
        </w:rPr>
        <w:t xml:space="preserve"> </w:t>
      </w:r>
    </w:p>
    <w:p w:rsidR="00600B4E" w:rsidRPr="007E0C0C" w:rsidRDefault="00600B4E" w:rsidP="00480FB1">
      <w:pPr>
        <w:tabs>
          <w:tab w:val="left" w:pos="540"/>
          <w:tab w:val="left" w:pos="569"/>
        </w:tabs>
        <w:rPr>
          <w:b/>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Prijavljen je ograničen broj slučajnih predoziranja oktreotid injekcijom sa produženim oslobađanjem. Raspon doza oktreotid injekcija sa produženim oslobađanjem se kretao od 100 mg do 163 mg/mjesec. Jedino prijavljeno neželjeno dejstvo bilo je napad crvenila praćen vrućinom.</w:t>
      </w:r>
    </w:p>
    <w:p w:rsidR="00600B4E" w:rsidRPr="007E0C0C" w:rsidRDefault="00600B4E" w:rsidP="00600B4E">
      <w:pPr>
        <w:tabs>
          <w:tab w:val="left" w:pos="540"/>
          <w:tab w:val="left" w:pos="569"/>
        </w:tabs>
        <w:jc w:val="both"/>
        <w:rPr>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Zabilježena je primjena doza oktreotid injekcije sa produženim oslobađanjem do 60 mg/mjesec i do 90 mg/2 nedjelje kod pacijenata sa karcinomom. Te doze su se generalno dobro podnosile, ali su zabilježena sljedeća neželjena dejstva: učestalo mokrenje, umor, depresija, anksioznost i nedostatak koncentracije.</w:t>
      </w:r>
    </w:p>
    <w:p w:rsidR="00600B4E" w:rsidRPr="007E0C0C" w:rsidRDefault="00600B4E" w:rsidP="00600B4E">
      <w:pPr>
        <w:tabs>
          <w:tab w:val="left" w:pos="540"/>
          <w:tab w:val="left" w:pos="569"/>
        </w:tabs>
        <w:jc w:val="both"/>
        <w:rPr>
          <w:bCs/>
          <w:sz w:val="22"/>
          <w:szCs w:val="22"/>
          <w:lang w:val="sr-Latn-ME"/>
        </w:rPr>
      </w:pPr>
    </w:p>
    <w:p w:rsidR="00CD6F02" w:rsidRPr="007E0C0C" w:rsidRDefault="00600B4E" w:rsidP="00600B4E">
      <w:pPr>
        <w:tabs>
          <w:tab w:val="left" w:pos="540"/>
          <w:tab w:val="left" w:pos="569"/>
        </w:tabs>
        <w:jc w:val="both"/>
        <w:rPr>
          <w:bCs/>
          <w:sz w:val="22"/>
          <w:szCs w:val="22"/>
          <w:lang w:val="sr-Latn-ME"/>
        </w:rPr>
      </w:pPr>
      <w:r w:rsidRPr="007E0C0C">
        <w:rPr>
          <w:bCs/>
          <w:sz w:val="22"/>
          <w:szCs w:val="22"/>
          <w:lang w:val="sr-Latn-ME"/>
        </w:rPr>
        <w:t>Predoziranje se liječi simptomatski.</w:t>
      </w:r>
    </w:p>
    <w:p w:rsidR="00227BDB" w:rsidRPr="007E0C0C" w:rsidRDefault="00227BDB" w:rsidP="00480FB1">
      <w:pPr>
        <w:tabs>
          <w:tab w:val="left" w:pos="540"/>
          <w:tab w:val="left" w:pos="569"/>
        </w:tabs>
        <w:rPr>
          <w:b/>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5. </w:t>
      </w:r>
      <w:r w:rsidR="00480FB1" w:rsidRPr="007E0C0C">
        <w:rPr>
          <w:b/>
          <w:bCs/>
          <w:sz w:val="22"/>
          <w:szCs w:val="22"/>
          <w:lang w:val="sr-Latn-ME"/>
        </w:rPr>
        <w:tab/>
      </w:r>
      <w:r w:rsidRPr="007E0C0C">
        <w:rPr>
          <w:b/>
          <w:bCs/>
          <w:sz w:val="22"/>
          <w:szCs w:val="22"/>
          <w:lang w:val="sr-Latn-ME"/>
        </w:rPr>
        <w:t>FARMAKOLOŠK</w:t>
      </w:r>
      <w:r w:rsidR="000D425A" w:rsidRPr="007E0C0C">
        <w:rPr>
          <w:b/>
          <w:bCs/>
          <w:sz w:val="22"/>
          <w:szCs w:val="22"/>
          <w:lang w:val="sr-Latn-ME"/>
        </w:rPr>
        <w:t>I</w:t>
      </w:r>
      <w:r w:rsidRPr="007E0C0C">
        <w:rPr>
          <w:b/>
          <w:bCs/>
          <w:sz w:val="22"/>
          <w:szCs w:val="22"/>
          <w:lang w:val="sr-Latn-ME"/>
        </w:rPr>
        <w:t xml:space="preserve"> PODACI</w:t>
      </w:r>
    </w:p>
    <w:p w:rsidR="0072020E" w:rsidRPr="007E0C0C" w:rsidRDefault="0072020E" w:rsidP="00480FB1">
      <w:pPr>
        <w:tabs>
          <w:tab w:val="left" w:pos="540"/>
          <w:tab w:val="left" w:pos="569"/>
        </w:tabs>
        <w:rPr>
          <w:b/>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5.1. </w:t>
      </w:r>
      <w:r w:rsidR="00480FB1" w:rsidRPr="007E0C0C">
        <w:rPr>
          <w:b/>
          <w:bCs/>
          <w:sz w:val="22"/>
          <w:szCs w:val="22"/>
          <w:lang w:val="sr-Latn-ME"/>
        </w:rPr>
        <w:tab/>
      </w:r>
      <w:r w:rsidRPr="007E0C0C">
        <w:rPr>
          <w:b/>
          <w:bCs/>
          <w:sz w:val="22"/>
          <w:szCs w:val="22"/>
          <w:lang w:val="sr-Latn-ME"/>
        </w:rPr>
        <w:t>Farmakodinamski podaci</w:t>
      </w:r>
      <w:r w:rsidR="003A7059" w:rsidRPr="007E0C0C">
        <w:rPr>
          <w:b/>
          <w:bCs/>
          <w:sz w:val="22"/>
          <w:szCs w:val="22"/>
          <w:lang w:val="sr-Latn-ME"/>
        </w:rPr>
        <w:t xml:space="preserve"> </w:t>
      </w:r>
    </w:p>
    <w:p w:rsidR="00F45F77" w:rsidRPr="007E0C0C" w:rsidRDefault="00F45F77" w:rsidP="00480FB1">
      <w:pPr>
        <w:tabs>
          <w:tab w:val="left" w:pos="540"/>
          <w:tab w:val="left" w:pos="569"/>
        </w:tabs>
        <w:rPr>
          <w:b/>
          <w:bCs/>
          <w:sz w:val="22"/>
          <w:szCs w:val="22"/>
          <w:lang w:val="sr-Latn-ME"/>
        </w:rPr>
      </w:pPr>
    </w:p>
    <w:p w:rsidR="0072020E" w:rsidRPr="007E0C0C" w:rsidRDefault="0072020E" w:rsidP="00480FB1">
      <w:pPr>
        <w:tabs>
          <w:tab w:val="left" w:pos="540"/>
          <w:tab w:val="left" w:pos="569"/>
        </w:tabs>
        <w:rPr>
          <w:bCs/>
          <w:sz w:val="22"/>
          <w:szCs w:val="22"/>
          <w:lang w:val="sr-Latn-ME"/>
        </w:rPr>
      </w:pPr>
      <w:r w:rsidRPr="007E0C0C">
        <w:rPr>
          <w:bCs/>
          <w:sz w:val="22"/>
          <w:szCs w:val="22"/>
          <w:lang w:val="sr-Latn-ME"/>
        </w:rPr>
        <w:t>Farmakoterapijska grupa:</w:t>
      </w:r>
      <w:r w:rsidR="00600B4E" w:rsidRPr="007E0C0C">
        <w:rPr>
          <w:noProof/>
          <w:sz w:val="22"/>
          <w:szCs w:val="20"/>
          <w:lang w:val="sr-Latn-ME"/>
        </w:rPr>
        <w:t xml:space="preserve"> </w:t>
      </w:r>
      <w:r w:rsidR="00600B4E" w:rsidRPr="007E0C0C">
        <w:rPr>
          <w:bCs/>
          <w:sz w:val="22"/>
          <w:szCs w:val="22"/>
          <w:lang w:val="sr-Latn-ME"/>
        </w:rPr>
        <w:t>Somatostatin i analozi</w:t>
      </w:r>
    </w:p>
    <w:p w:rsidR="0072020E" w:rsidRPr="007E0C0C" w:rsidRDefault="0072020E"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Cs/>
          <w:sz w:val="22"/>
          <w:szCs w:val="22"/>
          <w:lang w:val="sr-Latn-ME"/>
        </w:rPr>
      </w:pPr>
      <w:r w:rsidRPr="007E0C0C">
        <w:rPr>
          <w:bCs/>
          <w:sz w:val="22"/>
          <w:szCs w:val="22"/>
          <w:lang w:val="sr-Latn-ME"/>
        </w:rPr>
        <w:t>ATC kod:</w:t>
      </w:r>
      <w:r w:rsidR="00600B4E" w:rsidRPr="007E0C0C">
        <w:rPr>
          <w:color w:val="000000"/>
          <w:sz w:val="22"/>
          <w:szCs w:val="22"/>
          <w:lang w:val="sr-Latn-ME" w:eastAsia="sr-Latn-ME"/>
        </w:rPr>
        <w:t xml:space="preserve"> </w:t>
      </w:r>
      <w:r w:rsidR="00600B4E" w:rsidRPr="007E0C0C">
        <w:rPr>
          <w:bCs/>
          <w:sz w:val="22"/>
          <w:szCs w:val="22"/>
          <w:lang w:val="sr-Latn-ME"/>
        </w:rPr>
        <w:t>H01CB02</w:t>
      </w:r>
    </w:p>
    <w:p w:rsidR="00600B4E" w:rsidRPr="007E0C0C" w:rsidRDefault="00600B4E" w:rsidP="00480FB1">
      <w:pPr>
        <w:tabs>
          <w:tab w:val="left" w:pos="540"/>
          <w:tab w:val="left" w:pos="569"/>
        </w:tabs>
        <w:rPr>
          <w:bCs/>
          <w:sz w:val="22"/>
          <w:szCs w:val="22"/>
          <w:lang w:val="sr-Latn-ME"/>
        </w:rPr>
      </w:pPr>
    </w:p>
    <w:p w:rsidR="00600B4E" w:rsidRPr="007E0C0C" w:rsidRDefault="00600B4E" w:rsidP="00600B4E">
      <w:pPr>
        <w:tabs>
          <w:tab w:val="left" w:pos="540"/>
          <w:tab w:val="left" w:pos="569"/>
        </w:tabs>
        <w:jc w:val="both"/>
        <w:rPr>
          <w:bCs/>
          <w:sz w:val="22"/>
          <w:szCs w:val="22"/>
          <w:u w:val="single"/>
          <w:lang w:val="sr-Latn-ME"/>
        </w:rPr>
      </w:pPr>
      <w:r w:rsidRPr="007E0C0C">
        <w:rPr>
          <w:bCs/>
          <w:sz w:val="22"/>
          <w:szCs w:val="22"/>
          <w:u w:val="single"/>
          <w:lang w:val="sr-Latn-ME"/>
        </w:rPr>
        <w:t>Mehanizam dejstva</w:t>
      </w: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 xml:space="preserve">Oktreotid je sintetički oktapeptidni derivat prirodnog somatostatina, sa sličnim farmakološkim dejstvima, ali sa značajno dužim djelovanjem. On inhibira patološki povećanu sekreciju hormona rasta (GH), kao i peptida i serotonina koji se proizvode u </w:t>
      </w:r>
      <w:r w:rsidR="00646307" w:rsidRPr="007E0C0C">
        <w:rPr>
          <w:bCs/>
          <w:sz w:val="22"/>
          <w:szCs w:val="22"/>
          <w:lang w:val="sr-Latn-ME"/>
        </w:rPr>
        <w:t xml:space="preserve"> gastroentero</w:t>
      </w:r>
      <w:r w:rsidR="00CD5FB5" w:rsidRPr="007E0C0C">
        <w:rPr>
          <w:bCs/>
          <w:sz w:val="22"/>
          <w:szCs w:val="22"/>
          <w:lang w:val="sr-Latn-ME"/>
        </w:rPr>
        <w:t>pankreatičnom (</w:t>
      </w:r>
      <w:r w:rsidRPr="007E0C0C">
        <w:rPr>
          <w:bCs/>
          <w:sz w:val="22"/>
          <w:szCs w:val="22"/>
          <w:lang w:val="sr-Latn-ME"/>
        </w:rPr>
        <w:t>GEP</w:t>
      </w:r>
      <w:r w:rsidR="00CD5FB5" w:rsidRPr="007E0C0C">
        <w:rPr>
          <w:bCs/>
          <w:sz w:val="22"/>
          <w:szCs w:val="22"/>
          <w:lang w:val="sr-Latn-ME"/>
        </w:rPr>
        <w:t>)</w:t>
      </w:r>
      <w:r w:rsidRPr="007E0C0C">
        <w:rPr>
          <w:bCs/>
          <w:sz w:val="22"/>
          <w:szCs w:val="22"/>
          <w:lang w:val="sr-Latn-ME"/>
        </w:rPr>
        <w:t xml:space="preserve"> endokrinom sistemu.</w:t>
      </w:r>
    </w:p>
    <w:p w:rsidR="00600B4E" w:rsidRPr="007E0C0C" w:rsidRDefault="00600B4E" w:rsidP="00600B4E">
      <w:pPr>
        <w:tabs>
          <w:tab w:val="left" w:pos="540"/>
          <w:tab w:val="left" w:pos="569"/>
        </w:tabs>
        <w:jc w:val="both"/>
        <w:rPr>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Kod životinja je oktreotid potentniji inhibitor oslobađanja GH, glukagona i insulina nego somatostatin, sa većom selektivnošću za supresiju GH i glukagona.</w:t>
      </w:r>
    </w:p>
    <w:p w:rsidR="00600B4E" w:rsidRPr="007E0C0C" w:rsidRDefault="00600B4E" w:rsidP="00600B4E">
      <w:pPr>
        <w:tabs>
          <w:tab w:val="left" w:pos="540"/>
          <w:tab w:val="left" w:pos="569"/>
        </w:tabs>
        <w:jc w:val="both"/>
        <w:rPr>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Kod zdravih ispitanika se pokazalo da oktreotid, poput somatostatina, inhibira:</w:t>
      </w:r>
    </w:p>
    <w:p w:rsidR="00600B4E" w:rsidRPr="007E0C0C" w:rsidRDefault="00600B4E" w:rsidP="00600B4E">
      <w:pPr>
        <w:numPr>
          <w:ilvl w:val="0"/>
          <w:numId w:val="13"/>
        </w:numPr>
        <w:tabs>
          <w:tab w:val="left" w:pos="540"/>
          <w:tab w:val="left" w:pos="567"/>
        </w:tabs>
        <w:jc w:val="both"/>
        <w:rPr>
          <w:bCs/>
          <w:sz w:val="22"/>
          <w:szCs w:val="22"/>
          <w:lang w:val="sr-Latn-ME"/>
        </w:rPr>
      </w:pPr>
      <w:r w:rsidRPr="007E0C0C">
        <w:rPr>
          <w:bCs/>
          <w:sz w:val="22"/>
          <w:szCs w:val="22"/>
          <w:lang w:val="sr-Latn-ME"/>
        </w:rPr>
        <w:t>oslobađanje GH stimuli</w:t>
      </w:r>
      <w:r w:rsidR="00CD5FB5" w:rsidRPr="007E0C0C">
        <w:rPr>
          <w:bCs/>
          <w:sz w:val="22"/>
          <w:szCs w:val="22"/>
          <w:lang w:val="sr-Latn-ME"/>
        </w:rPr>
        <w:t>sano</w:t>
      </w:r>
      <w:r w:rsidRPr="007E0C0C">
        <w:rPr>
          <w:bCs/>
          <w:sz w:val="22"/>
          <w:szCs w:val="22"/>
          <w:lang w:val="sr-Latn-ME"/>
        </w:rPr>
        <w:t xml:space="preserve"> argininom, fizičkom aktivnošću i insulinom izazvanom hipoglikemijom;</w:t>
      </w:r>
    </w:p>
    <w:p w:rsidR="00600B4E" w:rsidRPr="007E0C0C" w:rsidRDefault="00600B4E" w:rsidP="00600B4E">
      <w:pPr>
        <w:numPr>
          <w:ilvl w:val="0"/>
          <w:numId w:val="13"/>
        </w:numPr>
        <w:tabs>
          <w:tab w:val="left" w:pos="540"/>
          <w:tab w:val="left" w:pos="567"/>
        </w:tabs>
        <w:jc w:val="both"/>
        <w:rPr>
          <w:bCs/>
          <w:sz w:val="22"/>
          <w:szCs w:val="22"/>
          <w:lang w:val="sr-Latn-ME"/>
        </w:rPr>
      </w:pPr>
      <w:r w:rsidRPr="007E0C0C">
        <w:rPr>
          <w:bCs/>
          <w:sz w:val="22"/>
          <w:szCs w:val="22"/>
          <w:lang w:val="sr-Latn-ME"/>
        </w:rPr>
        <w:t>postprandijalno oslobađanje insulina, glukagona, gastrina, drugih peptida GEP endokrinog  sistema i argininom stimulisano oslobađanje insulina i glukagona;</w:t>
      </w:r>
    </w:p>
    <w:p w:rsidR="00600B4E" w:rsidRPr="007E0C0C" w:rsidRDefault="00600B4E" w:rsidP="00600B4E">
      <w:pPr>
        <w:numPr>
          <w:ilvl w:val="0"/>
          <w:numId w:val="13"/>
        </w:numPr>
        <w:tabs>
          <w:tab w:val="left" w:pos="540"/>
          <w:tab w:val="left" w:pos="567"/>
        </w:tabs>
        <w:jc w:val="both"/>
        <w:rPr>
          <w:bCs/>
          <w:sz w:val="22"/>
          <w:szCs w:val="22"/>
          <w:lang w:val="sr-Latn-ME"/>
        </w:rPr>
      </w:pPr>
      <w:r w:rsidRPr="007E0C0C">
        <w:rPr>
          <w:bCs/>
          <w:sz w:val="22"/>
          <w:szCs w:val="22"/>
          <w:lang w:val="sr-Latn-ME"/>
        </w:rPr>
        <w:t>oslobađanje tireotropina (TSH) stimuli</w:t>
      </w:r>
      <w:r w:rsidR="00CD5FB5" w:rsidRPr="007E0C0C">
        <w:rPr>
          <w:bCs/>
          <w:sz w:val="22"/>
          <w:szCs w:val="22"/>
          <w:lang w:val="sr-Latn-ME"/>
        </w:rPr>
        <w:t>sano</w:t>
      </w:r>
      <w:r w:rsidRPr="007E0C0C">
        <w:rPr>
          <w:bCs/>
          <w:sz w:val="22"/>
          <w:szCs w:val="22"/>
          <w:lang w:val="sr-Latn-ME"/>
        </w:rPr>
        <w:t xml:space="preserve"> hormonom koji oslobađa tireotropin (TRH).</w:t>
      </w:r>
    </w:p>
    <w:p w:rsidR="00600B4E" w:rsidRPr="007E0C0C" w:rsidRDefault="00600B4E" w:rsidP="00600B4E">
      <w:pPr>
        <w:tabs>
          <w:tab w:val="left" w:pos="540"/>
          <w:tab w:val="left" w:pos="569"/>
        </w:tabs>
        <w:jc w:val="both"/>
        <w:rPr>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Za razliku od somatostatina, oktreotid jače inhibira sekreciju GH nego insulina i nakon prestanka njegove primjene nema ponovne („</w:t>
      </w:r>
      <w:r w:rsidRPr="007E0C0C">
        <w:rPr>
          <w:bCs/>
          <w:i/>
          <w:sz w:val="22"/>
          <w:szCs w:val="22"/>
          <w:lang w:val="sr-Latn-ME"/>
        </w:rPr>
        <w:t>rebound</w:t>
      </w:r>
      <w:r w:rsidRPr="007E0C0C">
        <w:rPr>
          <w:bCs/>
          <w:sz w:val="22"/>
          <w:szCs w:val="22"/>
          <w:lang w:val="sr-Latn-ME"/>
        </w:rPr>
        <w:t>“) hipersekrecije hormona (tj. GH kod pacijenata sa akromegalijom).</w:t>
      </w:r>
    </w:p>
    <w:p w:rsidR="00600B4E" w:rsidRPr="007E0C0C" w:rsidRDefault="00600B4E" w:rsidP="00600B4E">
      <w:pPr>
        <w:tabs>
          <w:tab w:val="left" w:pos="540"/>
          <w:tab w:val="left" w:pos="569"/>
        </w:tabs>
        <w:jc w:val="both"/>
        <w:rPr>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 xml:space="preserve">Kod pacijenata sa akromegalijom, lijek Oktreotid Teva, galenska formulacija oktreotida pogodna za ponovnu primjenu u intervalima od 4 nedjelje, oslobađa ujednačene i terapijske koncentracije oktreotida </w:t>
      </w:r>
      <w:r w:rsidRPr="007E0C0C">
        <w:rPr>
          <w:bCs/>
          <w:sz w:val="22"/>
          <w:szCs w:val="22"/>
          <w:lang w:val="sr-Latn-ME"/>
        </w:rPr>
        <w:lastRenderedPageBreak/>
        <w:t>u serumu, čime ujednačeno snižava koncentraciju GH i normalizuje koncentraciju IGF-1 u serumu kod većine pacijenata. Kod većine pacijenata oktreotid injekcije sa produženim oslobađanjem bitno smanjuju kliničke simptome bolesti, kao što su glavobolja, znojenje, parestezije, umor, osteoartralgija i sindrom karpalnog tunela. Kod prethodno neliječenih pacijenata sa akromegalijom i adenomom hipofize koji luči GH  terapija oktreotidom rezultirala je smanjenjem volumena tumora za &gt; 20% kod značajnog broja (50%) pacijenata.</w:t>
      </w:r>
    </w:p>
    <w:p w:rsidR="00600B4E" w:rsidRPr="007E0C0C" w:rsidRDefault="00600B4E" w:rsidP="00600B4E">
      <w:pPr>
        <w:tabs>
          <w:tab w:val="left" w:pos="540"/>
          <w:tab w:val="left" w:pos="569"/>
        </w:tabs>
        <w:jc w:val="both"/>
        <w:rPr>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Kod pojedinih pacijenata sa adenomom hipofize koji luči GH prijavljeno je da su oktreotid injekcije sa produženim oslobađanjem dovele do smanjenja tumorske mase (prije hirurškog zahvata). Međutim, hirurški zahvat ne smije biti odložen.</w:t>
      </w:r>
    </w:p>
    <w:p w:rsidR="00600B4E" w:rsidRPr="007E0C0C" w:rsidRDefault="00600B4E" w:rsidP="00600B4E">
      <w:pPr>
        <w:tabs>
          <w:tab w:val="left" w:pos="540"/>
          <w:tab w:val="left" w:pos="569"/>
        </w:tabs>
        <w:jc w:val="both"/>
        <w:rPr>
          <w:bCs/>
          <w:sz w:val="22"/>
          <w:szCs w:val="22"/>
          <w:lang w:val="sr-Latn-ME"/>
        </w:rPr>
      </w:pPr>
    </w:p>
    <w:p w:rsidR="00600B4E" w:rsidRPr="007E0C0C" w:rsidRDefault="00600B4E" w:rsidP="00600B4E">
      <w:pPr>
        <w:tabs>
          <w:tab w:val="left" w:pos="540"/>
          <w:tab w:val="left" w:pos="569"/>
        </w:tabs>
        <w:jc w:val="both"/>
        <w:rPr>
          <w:bCs/>
          <w:sz w:val="22"/>
          <w:szCs w:val="22"/>
          <w:lang w:val="sr-Latn-ME"/>
        </w:rPr>
      </w:pPr>
      <w:r w:rsidRPr="007E0C0C">
        <w:rPr>
          <w:bCs/>
          <w:sz w:val="22"/>
          <w:szCs w:val="22"/>
          <w:lang w:val="sr-Latn-ME"/>
        </w:rPr>
        <w:t>Kod pacijenata s funkcionalnim tumorima gastroenteropankreatičkog endokrinog sistema liječenje lijekom Oktreotid Teva omogućava kontinuiranu kontrolu simptoma povezanih sa osnovnom bolešću. Oktreotid u različitim vrstama gastroenteropankreatičkih tumora ima sljedeća dejstva:</w:t>
      </w:r>
    </w:p>
    <w:p w:rsidR="00A637CE" w:rsidRPr="007E0C0C" w:rsidRDefault="00A637CE" w:rsidP="00600B4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u w:val="single"/>
          <w:lang w:val="sr-Latn-ME"/>
        </w:rPr>
      </w:pPr>
      <w:r w:rsidRPr="007E0C0C">
        <w:rPr>
          <w:bCs/>
          <w:sz w:val="22"/>
          <w:szCs w:val="22"/>
          <w:u w:val="single"/>
          <w:lang w:val="sr-Latn-ME"/>
        </w:rPr>
        <w:t>Karcinoidni tumori</w:t>
      </w: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Primjena oktreotida može da dovede do ublažavanja simptoma, posebno crvenila praćenog vrućinom i dijareje. U mnogim slučajevima to je praćeno i smanjenjem vrijednosti serotonina u plazmi i smanjenom urinarnom sekrecijom 5-hidroksi indol sirćetne kisjeline.</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u w:val="single"/>
          <w:lang w:val="sr-Latn-ME"/>
        </w:rPr>
      </w:pPr>
      <w:r w:rsidRPr="007E0C0C">
        <w:rPr>
          <w:bCs/>
          <w:sz w:val="22"/>
          <w:szCs w:val="22"/>
          <w:u w:val="single"/>
          <w:lang w:val="sr-Latn-ME"/>
        </w:rPr>
        <w:t>VIP-omi</w:t>
      </w: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Biohemijska karakteristika ovih tumora je hiperprodukcija vazoaktivnog intestinalnog peptida (VIP). U većini slučajeva primjena oktreotida dovodi do ublažavanja teške sekretorne dijareje karakteristične za to stanje, sa posljedičnim poboljšanjem kvaliteta života. To je praćeno i poboljšanjem u pratećem poremećaju elektrolita, npr. hipokalijemiji, čime se omogućava ukidanje enteralne i parenteralne nadoknade tečnosti i elektrolita. Kod nekih pacijenata snimanje kompjuterizovanom tomografijom ukazuje na usporavanje ili zaustavljanje progresije tumora, ili čak na smanjivanje tumora, naročito metastaza u jetri. Kliničko poboljšanje obično prati sniženje vrijednosti VIP-a u plazmi, koje mogu opasti do normalnih referentnih vrijednosti.</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u w:val="single"/>
          <w:lang w:val="sr-Latn-ME"/>
        </w:rPr>
      </w:pPr>
      <w:r w:rsidRPr="007E0C0C">
        <w:rPr>
          <w:bCs/>
          <w:sz w:val="22"/>
          <w:szCs w:val="22"/>
          <w:u w:val="single"/>
          <w:lang w:val="sr-Latn-ME"/>
        </w:rPr>
        <w:t>Glukagonomi</w:t>
      </w: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 xml:space="preserve">Primjena oktreotida u većini slučajeva rezultira znatnim poboljšanjem nekrolitičkog, migrirajućeg osipa karakterističnog za ovo stanje. Dejstvo oktreotida na blagi oblik dijabetes melitusa, koje se često javlja kod ovih pacijenata, nije izraženo i generalno ne dovodi do smanjenja potrebe za insulinom ili oralnim hipoglikemicima. Oktreotid dovodi do poboljšanja dijareje i posljedično i do povećanja tjelesne </w:t>
      </w:r>
      <w:r w:rsidR="00646307" w:rsidRPr="007E0C0C">
        <w:rPr>
          <w:bCs/>
          <w:sz w:val="22"/>
          <w:szCs w:val="22"/>
          <w:lang w:val="sr-Latn-ME"/>
        </w:rPr>
        <w:t xml:space="preserve">mase </w:t>
      </w:r>
      <w:r w:rsidRPr="007E0C0C">
        <w:rPr>
          <w:bCs/>
          <w:sz w:val="22"/>
          <w:szCs w:val="22"/>
          <w:lang w:val="sr-Latn-ME"/>
        </w:rPr>
        <w:t>pacijenata. Iako primjena oktreotida često dovodi do momentalnog sniženja vrijednosti glukagona u plazmi, ovo sniženje se generalno ne zadržava tokom dugotrajne primjene, uprkos kontinuiranom simptomatskom poboljšanju.</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u w:val="single"/>
          <w:lang w:val="sr-Latn-ME"/>
        </w:rPr>
      </w:pPr>
      <w:r w:rsidRPr="007E0C0C">
        <w:rPr>
          <w:bCs/>
          <w:sz w:val="22"/>
          <w:szCs w:val="22"/>
          <w:u w:val="single"/>
          <w:lang w:val="sr-Latn-ME"/>
        </w:rPr>
        <w:t>Gastrinomi/</w:t>
      </w:r>
      <w:r w:rsidRPr="007E0C0C">
        <w:rPr>
          <w:bCs/>
          <w:i/>
          <w:sz w:val="22"/>
          <w:szCs w:val="22"/>
          <w:u w:val="single"/>
          <w:lang w:val="sr-Latn-ME"/>
        </w:rPr>
        <w:t>Zollinger-Ellison</w:t>
      </w:r>
      <w:r w:rsidRPr="007E0C0C">
        <w:rPr>
          <w:bCs/>
          <w:sz w:val="22"/>
          <w:szCs w:val="22"/>
          <w:u w:val="single"/>
          <w:lang w:val="sr-Latn-ME"/>
        </w:rPr>
        <w:t>-ov sindrom</w:t>
      </w: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Terapija inhibitorima protonske pumpe ili blokatorima H2 receptora generalno kontroliše hipersekreciju želudačne kiseline. Međutim, inhibitori protonske pumpe ili blokatori H2 receptora možda neće adekvatno ublažiti dijareju koja je takođe izražen simptom. Lijek Oktreotid Teva može pomoći u dodatnom smanjivanju povećanog lučenja želudačne kiseline i ublažiti simptome, uključujući dijareju, budući da omogućava supresiju povišenih vrijednosti gastrina kod nekih pacijenata.</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u w:val="single"/>
          <w:lang w:val="sr-Latn-ME"/>
        </w:rPr>
      </w:pPr>
      <w:r w:rsidRPr="007E0C0C">
        <w:rPr>
          <w:bCs/>
          <w:sz w:val="22"/>
          <w:szCs w:val="22"/>
          <w:u w:val="single"/>
          <w:lang w:val="sr-Latn-ME"/>
        </w:rPr>
        <w:t>Insulinomi</w:t>
      </w: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Primjena oktreotida uzrokuje smanjenje vrijednosti cirkulirajućeg imunoreaktivnog insulina. Kod pacijenata sa operabilnim tumorima oktreotid može pomoći u predoperativnom obnavljanju i održavanju normoglikemije. Kod pacijenata sa inoperabilnim benignim ili malignim tumorima glikemijska kontrola može da se poboljša bez istovremeno</w:t>
      </w:r>
      <w:r w:rsidR="00646307" w:rsidRPr="007E0C0C">
        <w:rPr>
          <w:bCs/>
          <w:sz w:val="22"/>
          <w:szCs w:val="22"/>
          <w:lang w:val="sr-Latn-ME"/>
        </w:rPr>
        <w:t>g smanjenja</w:t>
      </w:r>
      <w:r w:rsidRPr="007E0C0C">
        <w:rPr>
          <w:bCs/>
          <w:sz w:val="22"/>
          <w:szCs w:val="22"/>
          <w:lang w:val="sr-Latn-ME"/>
        </w:rPr>
        <w:t xml:space="preserve"> koncentracije cirkuli</w:t>
      </w:r>
      <w:r w:rsidR="00646307" w:rsidRPr="007E0C0C">
        <w:rPr>
          <w:bCs/>
          <w:sz w:val="22"/>
          <w:szCs w:val="22"/>
          <w:lang w:val="sr-Latn-ME"/>
        </w:rPr>
        <w:t>šućeg</w:t>
      </w:r>
      <w:r w:rsidRPr="007E0C0C">
        <w:rPr>
          <w:bCs/>
          <w:sz w:val="22"/>
          <w:szCs w:val="22"/>
          <w:lang w:val="sr-Latn-ME"/>
        </w:rPr>
        <w:t xml:space="preserve"> insulina.</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u w:val="single"/>
          <w:lang w:val="sr-Latn-ME"/>
        </w:rPr>
      </w:pPr>
      <w:r w:rsidRPr="007E0C0C">
        <w:rPr>
          <w:bCs/>
          <w:sz w:val="22"/>
          <w:szCs w:val="22"/>
          <w:u w:val="single"/>
          <w:lang w:val="sr-Latn-ME"/>
        </w:rPr>
        <w:t xml:space="preserve">Uznapredovali neuroendokrini tumori srednjeg </w:t>
      </w:r>
      <w:r w:rsidR="00646307" w:rsidRPr="007E0C0C">
        <w:rPr>
          <w:bCs/>
          <w:sz w:val="22"/>
          <w:szCs w:val="22"/>
          <w:u w:val="single"/>
          <w:lang w:val="sr-Latn-ME"/>
        </w:rPr>
        <w:t>crijeva</w:t>
      </w:r>
      <w:r w:rsidRPr="007E0C0C">
        <w:rPr>
          <w:bCs/>
          <w:sz w:val="22"/>
          <w:szCs w:val="22"/>
          <w:u w:val="single"/>
          <w:lang w:val="sr-Latn-ME"/>
        </w:rPr>
        <w:t xml:space="preserve"> ili nepoznatog primarnog porijekla kada su kao mjesta porijekla isključena mjesta izvan srednjeg </w:t>
      </w:r>
      <w:r w:rsidR="00646307" w:rsidRPr="007E0C0C">
        <w:rPr>
          <w:bCs/>
          <w:sz w:val="22"/>
          <w:szCs w:val="22"/>
          <w:u w:val="single"/>
          <w:lang w:val="sr-Latn-ME"/>
        </w:rPr>
        <w:t>crijeva</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 xml:space="preserve">Jedna randomizovana, dvostruko slijepa, placebom kontrolisana studija faze III (PROMID) pokazala je da oktreotid injekcije sa produženim oslobađanjem inhibiraju rast tumora kod pacijenata sa </w:t>
      </w:r>
      <w:r w:rsidRPr="007E0C0C">
        <w:rPr>
          <w:bCs/>
          <w:sz w:val="22"/>
          <w:szCs w:val="22"/>
          <w:lang w:val="sr-Latn-ME"/>
        </w:rPr>
        <w:lastRenderedPageBreak/>
        <w:t xml:space="preserve">uznapredovalim neuroendokrinim tumorima srednjeg </w:t>
      </w:r>
      <w:r w:rsidR="00646307" w:rsidRPr="007E0C0C">
        <w:rPr>
          <w:bCs/>
          <w:sz w:val="22"/>
          <w:szCs w:val="22"/>
          <w:lang w:val="sr-Latn-ME"/>
        </w:rPr>
        <w:t>crijeva</w:t>
      </w:r>
      <w:r w:rsidRPr="007E0C0C">
        <w:rPr>
          <w:bCs/>
          <w:sz w:val="22"/>
          <w:szCs w:val="22"/>
          <w:lang w:val="sr-Latn-ME"/>
        </w:rPr>
        <w:t>. Ukupno 85 pacijenata bilo je randomizovano u grupu koja je dobijala oktreotid injekcije sa produženim oslobađanjem 30 mg svake 4 nedjelje (n=42) ili placebo (n=43) tokom 18 mjeseci, ili do progresije tumora ili smrti.</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 xml:space="preserve">Glavni kriterijumi za uključivanje bili su: izostanak prethodnog liječenja; histološki potvrđeni; lokalno inoperabilni ili metastatski dobro diferencirani; funkcionalno aktivni ili inaktivni neuroendokrini tumori/karcinomi; sa primarnim tumorom lociranim u srednjem </w:t>
      </w:r>
      <w:r w:rsidR="00646307" w:rsidRPr="007E0C0C">
        <w:rPr>
          <w:bCs/>
          <w:sz w:val="22"/>
          <w:szCs w:val="22"/>
          <w:lang w:val="sr-Latn-ME"/>
        </w:rPr>
        <w:t>crijevu</w:t>
      </w:r>
      <w:r w:rsidRPr="007E0C0C">
        <w:rPr>
          <w:bCs/>
          <w:sz w:val="22"/>
          <w:szCs w:val="22"/>
          <w:lang w:val="sr-Latn-ME"/>
        </w:rPr>
        <w:t xml:space="preserve"> ili tumorom nepoznatog primarnog porijekla za koji se vjeruje da potiče iz srednjeg </w:t>
      </w:r>
      <w:r w:rsidR="00646307" w:rsidRPr="007E0C0C">
        <w:rPr>
          <w:bCs/>
          <w:sz w:val="22"/>
          <w:szCs w:val="22"/>
          <w:lang w:val="sr-Latn-ME"/>
        </w:rPr>
        <w:t>crijeva</w:t>
      </w:r>
      <w:r w:rsidRPr="007E0C0C">
        <w:rPr>
          <w:bCs/>
          <w:sz w:val="22"/>
          <w:szCs w:val="22"/>
          <w:lang w:val="sr-Latn-ME"/>
        </w:rPr>
        <w:t>, ukoliko je primarno porijeklo unutar pankreasa, grudnog koša ili nekog drugog mjesta bilo isključeno.</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 xml:space="preserve">Primarni ishod bio je vrijeme do progresije tumora ili smrti povezane sa tumorom (TTP; engl. </w:t>
      </w:r>
      <w:r w:rsidRPr="007E0C0C">
        <w:rPr>
          <w:bCs/>
          <w:i/>
          <w:sz w:val="22"/>
          <w:szCs w:val="22"/>
          <w:lang w:val="sr-Latn-ME"/>
        </w:rPr>
        <w:t>Time to Progression</w:t>
      </w:r>
      <w:r w:rsidRPr="007E0C0C">
        <w:rPr>
          <w:bCs/>
          <w:sz w:val="22"/>
          <w:szCs w:val="22"/>
          <w:lang w:val="sr-Latn-ME"/>
        </w:rPr>
        <w:t>).</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 xml:space="preserve">U analizi ITT populacije ((ITT; engl. </w:t>
      </w:r>
      <w:r w:rsidRPr="007E0C0C">
        <w:rPr>
          <w:bCs/>
          <w:i/>
          <w:iCs/>
          <w:sz w:val="22"/>
          <w:szCs w:val="22"/>
          <w:lang w:val="sr-Latn-ME"/>
        </w:rPr>
        <w:t>Intent-to-Treat</w:t>
      </w:r>
      <w:r w:rsidRPr="007E0C0C">
        <w:rPr>
          <w:bCs/>
          <w:sz w:val="22"/>
          <w:szCs w:val="22"/>
          <w:lang w:val="sr-Latn-ME"/>
        </w:rPr>
        <w:t>-predviđene za liječenje) (svi randomizovani pacijenti), zabilježeno je 26 slučajeva progresije ili smrti povezane sa tumorom u grupi koja je primala oktreotid injekcije sa produženim oslobađanjem, odnosno 41 slučaj u grupi koja je primala placebo (HR = 0,32; 95% CI; 0,19 do 0,55; p-vrijednost=0,000015).</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U populaciji za konzervativnu ITT analizu (cITT) u kojoj je 3 pacijenata bilo isključeno pri randomizaciji, zabilježeno je 26 odnosno 40 progresija bolesti ili smrti povezanih sa tumorom u grupama koje su primale oktreotid injekcije sa produženim oslobađanjem odnosno placebo (HR=0,34; 95%-tni CI, 0,20 do 0,59; p-vrijednost =0,000072; Slika 1). Medijana vremena do progresije tumora bila je 14,3 mjeseci (95% CI; 11,0 do 28,8 mjeseci) u grupi koja je primala oktreotid injekcije sa produženim oslobađanjem odnosno 6,0 mjeseci (95% CI; 3,7 do 9,4 mjeseca) u grupi koja je primala placebo.</w:t>
      </w:r>
    </w:p>
    <w:p w:rsidR="00A637CE" w:rsidRPr="007E0C0C" w:rsidRDefault="00A637CE" w:rsidP="00A637CE">
      <w:pPr>
        <w:tabs>
          <w:tab w:val="left" w:pos="540"/>
          <w:tab w:val="left" w:pos="569"/>
        </w:tabs>
        <w:jc w:val="both"/>
        <w:rPr>
          <w:bCs/>
          <w:sz w:val="22"/>
          <w:szCs w:val="22"/>
          <w:lang w:val="sr-Latn-ME"/>
        </w:rPr>
      </w:pPr>
    </w:p>
    <w:p w:rsidR="00A637CE" w:rsidRPr="007E0C0C" w:rsidRDefault="00A637CE" w:rsidP="00A637CE">
      <w:pPr>
        <w:tabs>
          <w:tab w:val="left" w:pos="540"/>
          <w:tab w:val="left" w:pos="569"/>
        </w:tabs>
        <w:jc w:val="both"/>
        <w:rPr>
          <w:bCs/>
          <w:sz w:val="22"/>
          <w:szCs w:val="22"/>
          <w:lang w:val="sr-Latn-ME"/>
        </w:rPr>
      </w:pPr>
      <w:r w:rsidRPr="007E0C0C">
        <w:rPr>
          <w:bCs/>
          <w:sz w:val="22"/>
          <w:szCs w:val="22"/>
          <w:lang w:val="sr-Latn-ME"/>
        </w:rPr>
        <w:t xml:space="preserve">Analiza podataka u populaciji liječenoj prema protokolu </w:t>
      </w:r>
      <w:r w:rsidR="007B25C3" w:rsidRPr="007E0C0C">
        <w:rPr>
          <w:bCs/>
          <w:sz w:val="22"/>
          <w:szCs w:val="22"/>
          <w:lang w:val="sr-Latn-ME"/>
        </w:rPr>
        <w:t xml:space="preserve"> ispitivanja </w:t>
      </w:r>
      <w:r w:rsidRPr="007E0C0C">
        <w:rPr>
          <w:bCs/>
          <w:sz w:val="22"/>
          <w:szCs w:val="22"/>
          <w:lang w:val="sr-Latn-ME"/>
        </w:rPr>
        <w:t xml:space="preserve">(PP) u kojoj su dodatni pacijenti bili </w:t>
      </w:r>
      <w:r w:rsidR="007B25C3" w:rsidRPr="007E0C0C">
        <w:rPr>
          <w:bCs/>
          <w:sz w:val="22"/>
          <w:szCs w:val="22"/>
          <w:lang w:val="sr-Latn-ME"/>
        </w:rPr>
        <w:t xml:space="preserve">isključeni </w:t>
      </w:r>
      <w:r w:rsidRPr="007E0C0C">
        <w:rPr>
          <w:bCs/>
          <w:sz w:val="22"/>
          <w:szCs w:val="22"/>
          <w:lang w:val="sr-Latn-ME"/>
        </w:rPr>
        <w:t>na kraju ispitivane terapije, progresija tumora ili smrt povezana sa tumorom bila je zabilježena kod 19 pacijenata koji su primali oktreotid injekcije sa produženim oslobađanjem odnosno kod 38 pacijenata koji su primali placebo (HR = 0,24; 95% CI; 0,13 do 0,45; p-vrijednost = 0,0000036).</w:t>
      </w:r>
    </w:p>
    <w:p w:rsidR="00600B4E" w:rsidRPr="007E0C0C" w:rsidRDefault="00600B4E" w:rsidP="00480FB1">
      <w:pPr>
        <w:tabs>
          <w:tab w:val="left" w:pos="540"/>
          <w:tab w:val="left" w:pos="569"/>
        </w:tabs>
        <w:rPr>
          <w:bCs/>
          <w:sz w:val="22"/>
          <w:szCs w:val="22"/>
          <w:lang w:val="sr-Latn-ME"/>
        </w:rPr>
      </w:pPr>
    </w:p>
    <w:p w:rsidR="00F94DD5" w:rsidRPr="007E0C0C" w:rsidRDefault="00F94DD5" w:rsidP="00F94DD5">
      <w:pPr>
        <w:tabs>
          <w:tab w:val="left" w:pos="540"/>
          <w:tab w:val="left" w:pos="569"/>
        </w:tabs>
        <w:jc w:val="both"/>
        <w:rPr>
          <w:b/>
          <w:bCs/>
          <w:sz w:val="22"/>
          <w:szCs w:val="22"/>
          <w:lang w:val="sr-Latn-ME"/>
        </w:rPr>
      </w:pPr>
      <w:r w:rsidRPr="007E0C0C">
        <w:rPr>
          <w:b/>
          <w:bCs/>
          <w:sz w:val="22"/>
          <w:szCs w:val="22"/>
          <w:lang w:val="sr-Latn-ME"/>
        </w:rPr>
        <w:t>Slika 1 Kaplan-Meierove procjene vremena do progresije (TTP) pri poređenju oktreotid injekcija sa produženim oslobađanjem i placeba (populacija analizirana konzervativnom ITT analizom)</w:t>
      </w:r>
    </w:p>
    <w:p w:rsidR="002E37A5" w:rsidRPr="007E0C0C" w:rsidRDefault="002E37A5" w:rsidP="00480FB1">
      <w:pPr>
        <w:tabs>
          <w:tab w:val="left" w:pos="540"/>
          <w:tab w:val="left" w:pos="569"/>
        </w:tabs>
        <w:rPr>
          <w:b/>
          <w:bCs/>
          <w:sz w:val="22"/>
          <w:szCs w:val="22"/>
          <w:lang w:val="sr-Latn-ME"/>
        </w:rPr>
      </w:pPr>
    </w:p>
    <w:p w:rsidR="00F94DD5" w:rsidRPr="007E0C0C" w:rsidRDefault="00F94DD5" w:rsidP="00F94DD5">
      <w:pPr>
        <w:tabs>
          <w:tab w:val="left" w:pos="540"/>
          <w:tab w:val="left" w:pos="569"/>
        </w:tabs>
        <w:jc w:val="center"/>
        <w:rPr>
          <w:b/>
          <w:bCs/>
          <w:sz w:val="22"/>
          <w:szCs w:val="22"/>
          <w:lang w:val="sr-Latn-ME"/>
        </w:rPr>
      </w:pPr>
      <w:r w:rsidRPr="007E0C0C">
        <w:rPr>
          <w:b/>
          <w:bCs/>
          <w:noProof/>
          <w:sz w:val="22"/>
          <w:szCs w:val="22"/>
        </w:rPr>
        <w:drawing>
          <wp:inline distT="0" distB="0" distL="0" distR="0" wp14:anchorId="355C8694">
            <wp:extent cx="5814294" cy="376974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674" cy="3781011"/>
                    </a:xfrm>
                    <a:prstGeom prst="rect">
                      <a:avLst/>
                    </a:prstGeom>
                    <a:noFill/>
                  </pic:spPr>
                </pic:pic>
              </a:graphicData>
            </a:graphic>
          </wp:inline>
        </w:drawing>
      </w:r>
    </w:p>
    <w:p w:rsidR="00F94DD5" w:rsidRPr="007E0C0C" w:rsidRDefault="00F94DD5" w:rsidP="00F94DD5">
      <w:pPr>
        <w:tabs>
          <w:tab w:val="left" w:pos="540"/>
          <w:tab w:val="left" w:pos="567"/>
        </w:tabs>
        <w:rPr>
          <w:b/>
          <w:bCs/>
          <w:sz w:val="22"/>
          <w:szCs w:val="22"/>
          <w:lang w:val="sr-Latn-ME"/>
        </w:rPr>
      </w:pPr>
    </w:p>
    <w:p w:rsidR="00F94DD5" w:rsidRPr="007E0C0C" w:rsidRDefault="00F94DD5" w:rsidP="00F94DD5">
      <w:pPr>
        <w:tabs>
          <w:tab w:val="left" w:pos="540"/>
          <w:tab w:val="left" w:pos="567"/>
        </w:tabs>
        <w:rPr>
          <w:b/>
          <w:bCs/>
          <w:sz w:val="22"/>
          <w:szCs w:val="22"/>
          <w:lang w:val="sr-Latn-ME"/>
        </w:rPr>
      </w:pPr>
    </w:p>
    <w:p w:rsidR="00F94DD5" w:rsidRPr="007E0C0C" w:rsidRDefault="00F94DD5" w:rsidP="00F94DD5">
      <w:pPr>
        <w:tabs>
          <w:tab w:val="left" w:pos="540"/>
          <w:tab w:val="left" w:pos="567"/>
        </w:tabs>
        <w:rPr>
          <w:b/>
          <w:bCs/>
          <w:sz w:val="22"/>
          <w:szCs w:val="22"/>
          <w:lang w:val="sr-Latn-ME"/>
        </w:rPr>
      </w:pPr>
      <w:r w:rsidRPr="007E0C0C">
        <w:rPr>
          <w:b/>
          <w:bCs/>
          <w:sz w:val="22"/>
          <w:szCs w:val="22"/>
          <w:lang w:val="sr-Latn-ME"/>
        </w:rPr>
        <w:t>Tabela 3: Rezultati koji se odnose na vrijeme do progresije (TTP) prema analizi populacija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38"/>
        <w:gridCol w:w="1492"/>
        <w:gridCol w:w="1538"/>
        <w:gridCol w:w="1492"/>
        <w:gridCol w:w="1535"/>
      </w:tblGrid>
      <w:tr w:rsidR="00F94DD5" w:rsidRPr="007E0C0C" w:rsidTr="00F94DD5">
        <w:tc>
          <w:tcPr>
            <w:tcW w:w="1468" w:type="dxa"/>
            <w:shd w:val="clear" w:color="auto" w:fill="auto"/>
          </w:tcPr>
          <w:p w:rsidR="00F94DD5" w:rsidRPr="007E0C0C" w:rsidRDefault="00F94DD5" w:rsidP="00F94DD5">
            <w:pPr>
              <w:tabs>
                <w:tab w:val="left" w:pos="567"/>
              </w:tabs>
              <w:rPr>
                <w:noProof/>
                <w:sz w:val="22"/>
                <w:szCs w:val="20"/>
                <w:lang w:val="sr-Latn-ME"/>
              </w:rPr>
            </w:pPr>
          </w:p>
        </w:tc>
        <w:tc>
          <w:tcPr>
            <w:tcW w:w="3030" w:type="dxa"/>
            <w:gridSpan w:val="2"/>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TTP događaji</w:t>
            </w:r>
          </w:p>
        </w:tc>
        <w:tc>
          <w:tcPr>
            <w:tcW w:w="3030" w:type="dxa"/>
            <w:gridSpan w:val="2"/>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Medijana TTP-a u mjesecima [95% C.I.]</w:t>
            </w:r>
          </w:p>
        </w:tc>
        <w:tc>
          <w:tcPr>
            <w:tcW w:w="1535" w:type="dxa"/>
            <w:vMerge w:val="restart"/>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HR [95% C.I.]</w:t>
            </w:r>
          </w:p>
          <w:p w:rsidR="00F94DD5" w:rsidRPr="007E0C0C" w:rsidRDefault="00F94DD5" w:rsidP="00F94DD5">
            <w:pPr>
              <w:tabs>
                <w:tab w:val="left" w:pos="567"/>
              </w:tabs>
              <w:rPr>
                <w:noProof/>
                <w:sz w:val="22"/>
                <w:szCs w:val="20"/>
                <w:lang w:val="sr-Latn-ME"/>
              </w:rPr>
            </w:pPr>
            <w:r w:rsidRPr="007E0C0C">
              <w:rPr>
                <w:noProof/>
                <w:sz w:val="22"/>
                <w:szCs w:val="20"/>
                <w:lang w:val="sr-Latn-ME"/>
              </w:rPr>
              <w:t>p- vrijednost *</w:t>
            </w:r>
          </w:p>
        </w:tc>
      </w:tr>
      <w:tr w:rsidR="00F94DD5" w:rsidRPr="007E0C0C" w:rsidTr="00F94DD5">
        <w:tc>
          <w:tcPr>
            <w:tcW w:w="1468" w:type="dxa"/>
            <w:shd w:val="clear" w:color="auto" w:fill="auto"/>
          </w:tcPr>
          <w:p w:rsidR="00F94DD5" w:rsidRPr="007E0C0C" w:rsidRDefault="00F94DD5" w:rsidP="00F94DD5">
            <w:pPr>
              <w:tabs>
                <w:tab w:val="left" w:pos="567"/>
              </w:tabs>
              <w:rPr>
                <w:noProof/>
                <w:sz w:val="22"/>
                <w:szCs w:val="20"/>
                <w:lang w:val="sr-Latn-ME"/>
              </w:rPr>
            </w:pP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bidi="he-IL"/>
              </w:rPr>
              <w:t>Oktreotid injekcije sa produženim oslobađanjem</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Placebo</w:t>
            </w: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bidi="he-IL"/>
              </w:rPr>
              <w:t>Oktreotid injekcija sa produženim oslobađanjem</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Placebo</w:t>
            </w:r>
          </w:p>
        </w:tc>
        <w:tc>
          <w:tcPr>
            <w:tcW w:w="1535" w:type="dxa"/>
            <w:vMerge/>
            <w:shd w:val="clear" w:color="auto" w:fill="auto"/>
          </w:tcPr>
          <w:p w:rsidR="00F94DD5" w:rsidRPr="007E0C0C" w:rsidRDefault="00F94DD5" w:rsidP="00F94DD5">
            <w:pPr>
              <w:tabs>
                <w:tab w:val="left" w:pos="567"/>
              </w:tabs>
              <w:rPr>
                <w:noProof/>
                <w:sz w:val="22"/>
                <w:szCs w:val="20"/>
                <w:lang w:val="sr-Latn-ME"/>
              </w:rPr>
            </w:pPr>
          </w:p>
        </w:tc>
      </w:tr>
      <w:tr w:rsidR="00F94DD5" w:rsidRPr="007E0C0C" w:rsidTr="00F94DD5">
        <w:tc>
          <w:tcPr>
            <w:tcW w:w="1468" w:type="dxa"/>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ITT</w:t>
            </w: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26</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41</w:t>
            </w: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NP</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NP</w:t>
            </w:r>
          </w:p>
        </w:tc>
        <w:tc>
          <w:tcPr>
            <w:tcW w:w="1535" w:type="dxa"/>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0.32</w:t>
            </w:r>
          </w:p>
          <w:p w:rsidR="00F94DD5" w:rsidRPr="007E0C0C" w:rsidRDefault="00F94DD5" w:rsidP="00F94DD5">
            <w:pPr>
              <w:tabs>
                <w:tab w:val="left" w:pos="567"/>
              </w:tabs>
              <w:rPr>
                <w:noProof/>
                <w:sz w:val="22"/>
                <w:szCs w:val="20"/>
                <w:lang w:val="sr-Latn-ME"/>
              </w:rPr>
            </w:pPr>
            <w:r w:rsidRPr="007E0C0C">
              <w:rPr>
                <w:noProof/>
                <w:sz w:val="22"/>
                <w:szCs w:val="20"/>
                <w:lang w:val="sr-Latn-ME"/>
              </w:rPr>
              <w:t>[95% CI, 0.19 to 0.55] P=0.000015</w:t>
            </w:r>
          </w:p>
        </w:tc>
      </w:tr>
      <w:tr w:rsidR="00F94DD5" w:rsidRPr="007E0C0C" w:rsidTr="00F94DD5">
        <w:tc>
          <w:tcPr>
            <w:tcW w:w="1468" w:type="dxa"/>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cITT</w:t>
            </w: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26</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40</w:t>
            </w: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14.3</w:t>
            </w:r>
          </w:p>
          <w:p w:rsidR="00F94DD5" w:rsidRPr="007E0C0C" w:rsidRDefault="00F94DD5" w:rsidP="00F94DD5">
            <w:pPr>
              <w:tabs>
                <w:tab w:val="left" w:pos="567"/>
              </w:tabs>
              <w:jc w:val="center"/>
              <w:rPr>
                <w:noProof/>
                <w:sz w:val="22"/>
                <w:szCs w:val="20"/>
                <w:lang w:val="sr-Latn-ME"/>
              </w:rPr>
            </w:pPr>
            <w:r w:rsidRPr="007E0C0C">
              <w:rPr>
                <w:noProof/>
                <w:sz w:val="22"/>
                <w:szCs w:val="20"/>
                <w:lang w:val="sr-Latn-ME"/>
              </w:rPr>
              <w:t>[95% CI, 11.0 to 28.8]</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6.0</w:t>
            </w:r>
          </w:p>
          <w:p w:rsidR="00F94DD5" w:rsidRPr="007E0C0C" w:rsidRDefault="00F94DD5" w:rsidP="00F94DD5">
            <w:pPr>
              <w:tabs>
                <w:tab w:val="left" w:pos="567"/>
              </w:tabs>
              <w:jc w:val="center"/>
              <w:rPr>
                <w:noProof/>
                <w:sz w:val="22"/>
                <w:szCs w:val="20"/>
                <w:lang w:val="sr-Latn-ME"/>
              </w:rPr>
            </w:pPr>
            <w:r w:rsidRPr="007E0C0C">
              <w:rPr>
                <w:noProof/>
                <w:sz w:val="22"/>
                <w:szCs w:val="20"/>
                <w:lang w:val="sr-Latn-ME"/>
              </w:rPr>
              <w:t>[95% CI, 3.7 to 9.4]</w:t>
            </w:r>
          </w:p>
        </w:tc>
        <w:tc>
          <w:tcPr>
            <w:tcW w:w="1535" w:type="dxa"/>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0.34</w:t>
            </w:r>
          </w:p>
          <w:p w:rsidR="00F94DD5" w:rsidRPr="007E0C0C" w:rsidRDefault="00F94DD5" w:rsidP="00F94DD5">
            <w:pPr>
              <w:tabs>
                <w:tab w:val="left" w:pos="567"/>
              </w:tabs>
              <w:rPr>
                <w:noProof/>
                <w:sz w:val="22"/>
                <w:szCs w:val="20"/>
                <w:lang w:val="sr-Latn-ME"/>
              </w:rPr>
            </w:pPr>
            <w:r w:rsidRPr="007E0C0C">
              <w:rPr>
                <w:noProof/>
                <w:sz w:val="22"/>
                <w:szCs w:val="20"/>
                <w:lang w:val="sr-Latn-ME"/>
              </w:rPr>
              <w:t>[95% CI, 0.20 to 0.59] P=0.000072</w:t>
            </w:r>
          </w:p>
        </w:tc>
      </w:tr>
      <w:tr w:rsidR="00F94DD5" w:rsidRPr="007E0C0C" w:rsidTr="00F94DD5">
        <w:tc>
          <w:tcPr>
            <w:tcW w:w="1468" w:type="dxa"/>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PP</w:t>
            </w: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19</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38</w:t>
            </w:r>
          </w:p>
        </w:tc>
        <w:tc>
          <w:tcPr>
            <w:tcW w:w="1538"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NP</w:t>
            </w:r>
          </w:p>
        </w:tc>
        <w:tc>
          <w:tcPr>
            <w:tcW w:w="1492" w:type="dxa"/>
            <w:shd w:val="clear" w:color="auto" w:fill="auto"/>
            <w:vAlign w:val="center"/>
          </w:tcPr>
          <w:p w:rsidR="00F94DD5" w:rsidRPr="007E0C0C" w:rsidRDefault="00F94DD5" w:rsidP="00F94DD5">
            <w:pPr>
              <w:tabs>
                <w:tab w:val="left" w:pos="567"/>
              </w:tabs>
              <w:jc w:val="center"/>
              <w:rPr>
                <w:noProof/>
                <w:sz w:val="22"/>
                <w:szCs w:val="20"/>
                <w:lang w:val="sr-Latn-ME"/>
              </w:rPr>
            </w:pPr>
            <w:r w:rsidRPr="007E0C0C">
              <w:rPr>
                <w:noProof/>
                <w:sz w:val="22"/>
                <w:szCs w:val="20"/>
                <w:lang w:val="sr-Latn-ME"/>
              </w:rPr>
              <w:t>NP</w:t>
            </w:r>
          </w:p>
        </w:tc>
        <w:tc>
          <w:tcPr>
            <w:tcW w:w="1535" w:type="dxa"/>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0.24</w:t>
            </w:r>
          </w:p>
          <w:p w:rsidR="00F94DD5" w:rsidRPr="007E0C0C" w:rsidRDefault="00F94DD5" w:rsidP="00F94DD5">
            <w:pPr>
              <w:tabs>
                <w:tab w:val="left" w:pos="567"/>
              </w:tabs>
              <w:rPr>
                <w:noProof/>
                <w:sz w:val="22"/>
                <w:szCs w:val="20"/>
                <w:lang w:val="sr-Latn-ME"/>
              </w:rPr>
            </w:pPr>
            <w:r w:rsidRPr="007E0C0C">
              <w:rPr>
                <w:noProof/>
                <w:sz w:val="22"/>
                <w:szCs w:val="20"/>
                <w:lang w:val="sr-Latn-ME"/>
              </w:rPr>
              <w:t>[95% CI, 0.13 to 0.45] P=0.0000036</w:t>
            </w:r>
          </w:p>
        </w:tc>
      </w:tr>
      <w:tr w:rsidR="00F94DD5" w:rsidRPr="007E0C0C" w:rsidTr="00F94DD5">
        <w:tc>
          <w:tcPr>
            <w:tcW w:w="9063" w:type="dxa"/>
            <w:gridSpan w:val="6"/>
            <w:shd w:val="clear" w:color="auto" w:fill="auto"/>
          </w:tcPr>
          <w:p w:rsidR="00F94DD5" w:rsidRPr="007E0C0C" w:rsidRDefault="00F94DD5" w:rsidP="00F94DD5">
            <w:pPr>
              <w:tabs>
                <w:tab w:val="left" w:pos="567"/>
              </w:tabs>
              <w:rPr>
                <w:noProof/>
                <w:sz w:val="22"/>
                <w:szCs w:val="20"/>
                <w:lang w:val="sr-Latn-ME"/>
              </w:rPr>
            </w:pPr>
            <w:r w:rsidRPr="007E0C0C">
              <w:rPr>
                <w:noProof/>
                <w:sz w:val="22"/>
                <w:szCs w:val="20"/>
                <w:lang w:val="sr-Latn-ME"/>
              </w:rPr>
              <w:t>NP=nije prijavljeno; HR=odnos rizika; TTP=vrijeme do progresije tumora; ITT=predviđen</w:t>
            </w:r>
            <w:r w:rsidR="005662F9" w:rsidRPr="007E0C0C">
              <w:rPr>
                <w:noProof/>
                <w:sz w:val="22"/>
                <w:szCs w:val="20"/>
                <w:lang w:val="sr-Latn-ME"/>
              </w:rPr>
              <w:t xml:space="preserve">a za </w:t>
            </w:r>
            <w:r w:rsidRPr="007E0C0C">
              <w:rPr>
                <w:noProof/>
                <w:sz w:val="22"/>
                <w:szCs w:val="20"/>
                <w:lang w:val="sr-Latn-ME"/>
              </w:rPr>
              <w:t>liječenje; cITT=konzervativna ITT analiza; PP=prema protokolu</w:t>
            </w:r>
          </w:p>
          <w:p w:rsidR="00F94DD5" w:rsidRPr="007E0C0C" w:rsidRDefault="00F94DD5" w:rsidP="00F94DD5">
            <w:pPr>
              <w:tabs>
                <w:tab w:val="left" w:pos="567"/>
              </w:tabs>
              <w:rPr>
                <w:noProof/>
                <w:sz w:val="22"/>
                <w:szCs w:val="20"/>
                <w:lang w:val="sr-Latn-ME"/>
              </w:rPr>
            </w:pPr>
            <w:r w:rsidRPr="007E0C0C">
              <w:rPr>
                <w:noProof/>
                <w:sz w:val="22"/>
                <w:szCs w:val="20"/>
                <w:lang w:val="sr-Latn-ME"/>
              </w:rPr>
              <w:t>* Logrank test stratifikovan prema funkcionalnoj aktivnosti</w:t>
            </w:r>
          </w:p>
        </w:tc>
      </w:tr>
    </w:tbl>
    <w:p w:rsidR="00F94DD5" w:rsidRPr="007E0C0C" w:rsidRDefault="00F94DD5" w:rsidP="00480FB1">
      <w:pPr>
        <w:tabs>
          <w:tab w:val="left" w:pos="540"/>
          <w:tab w:val="left" w:pos="569"/>
        </w:tabs>
        <w:rPr>
          <w:b/>
          <w:bCs/>
          <w:sz w:val="22"/>
          <w:szCs w:val="22"/>
          <w:lang w:val="sr-Latn-ME"/>
        </w:rPr>
      </w:pPr>
    </w:p>
    <w:p w:rsidR="000F69E8" w:rsidRPr="007E0C0C" w:rsidRDefault="000F69E8" w:rsidP="000F69E8">
      <w:pPr>
        <w:tabs>
          <w:tab w:val="left" w:pos="540"/>
          <w:tab w:val="left" w:pos="567"/>
        </w:tabs>
        <w:jc w:val="both"/>
        <w:rPr>
          <w:bCs/>
          <w:sz w:val="22"/>
          <w:szCs w:val="22"/>
          <w:lang w:val="sr-Latn-ME"/>
        </w:rPr>
      </w:pPr>
      <w:r w:rsidRPr="007E0C0C">
        <w:rPr>
          <w:bCs/>
          <w:sz w:val="22"/>
          <w:szCs w:val="22"/>
          <w:lang w:val="sr-Latn-ME"/>
        </w:rPr>
        <w:t>Efekat terapije bio je sličan kod pacijenata sa funkcionalno aktivnim (HR = 0,23; 95% CI; 0,09 do 0,57) i inaktivnim tumorima (HR = 0,25; 95% CI; 0,10 do 0,59).</w:t>
      </w:r>
    </w:p>
    <w:p w:rsidR="000F69E8" w:rsidRPr="007E0C0C" w:rsidRDefault="000F69E8" w:rsidP="000F69E8">
      <w:pPr>
        <w:tabs>
          <w:tab w:val="left" w:pos="540"/>
          <w:tab w:val="left" w:pos="567"/>
        </w:tabs>
        <w:jc w:val="both"/>
        <w:rPr>
          <w:bCs/>
          <w:sz w:val="22"/>
          <w:szCs w:val="22"/>
          <w:lang w:val="sr-Latn-ME"/>
        </w:rPr>
      </w:pPr>
    </w:p>
    <w:p w:rsidR="000F69E8" w:rsidRPr="007E0C0C" w:rsidRDefault="000F69E8" w:rsidP="000F69E8">
      <w:pPr>
        <w:tabs>
          <w:tab w:val="left" w:pos="540"/>
          <w:tab w:val="left" w:pos="567"/>
        </w:tabs>
        <w:jc w:val="both"/>
        <w:rPr>
          <w:bCs/>
          <w:sz w:val="22"/>
          <w:szCs w:val="22"/>
          <w:lang w:val="sr-Latn-ME"/>
        </w:rPr>
      </w:pPr>
      <w:r w:rsidRPr="007E0C0C">
        <w:rPr>
          <w:bCs/>
          <w:sz w:val="22"/>
          <w:szCs w:val="22"/>
          <w:lang w:val="sr-Latn-ME"/>
        </w:rPr>
        <w:t>Nakon 6 mjeseci terapije, stabilna bolest je bila uočena kod 67% pacijenata liječenih oktreotid injekcijama sa produženim oslobađanjem kao i kod 37% pacijenata u grupi koja je primala placebo.</w:t>
      </w:r>
    </w:p>
    <w:p w:rsidR="000F69E8" w:rsidRPr="007E0C0C" w:rsidRDefault="000F69E8" w:rsidP="000F69E8">
      <w:pPr>
        <w:tabs>
          <w:tab w:val="left" w:pos="540"/>
          <w:tab w:val="left" w:pos="567"/>
        </w:tabs>
        <w:jc w:val="both"/>
        <w:rPr>
          <w:bCs/>
          <w:sz w:val="22"/>
          <w:szCs w:val="22"/>
          <w:lang w:val="sr-Latn-ME"/>
        </w:rPr>
      </w:pPr>
    </w:p>
    <w:p w:rsidR="000F69E8" w:rsidRPr="007E0C0C" w:rsidRDefault="000F69E8" w:rsidP="000F69E8">
      <w:pPr>
        <w:tabs>
          <w:tab w:val="left" w:pos="540"/>
          <w:tab w:val="left" w:pos="567"/>
        </w:tabs>
        <w:jc w:val="both"/>
        <w:rPr>
          <w:bCs/>
          <w:sz w:val="22"/>
          <w:szCs w:val="22"/>
          <w:lang w:val="sr-Latn-ME"/>
        </w:rPr>
      </w:pPr>
      <w:r w:rsidRPr="007E0C0C">
        <w:rPr>
          <w:bCs/>
          <w:sz w:val="22"/>
          <w:szCs w:val="22"/>
          <w:lang w:val="sr-Latn-ME"/>
        </w:rPr>
        <w:t>Na osnovu značajne kliničke koristi postignute oktreotid injekcijama sa produženim oslobađanjem uočene u unaprijed planiranoj privremenoj</w:t>
      </w:r>
      <w:r w:rsidR="005662F9" w:rsidRPr="007E0C0C">
        <w:rPr>
          <w:bCs/>
          <w:sz w:val="22"/>
          <w:szCs w:val="22"/>
          <w:lang w:val="sr-Latn-ME"/>
        </w:rPr>
        <w:t xml:space="preserve"> (interim)</w:t>
      </w:r>
      <w:r w:rsidRPr="007E0C0C">
        <w:rPr>
          <w:bCs/>
          <w:sz w:val="22"/>
          <w:szCs w:val="22"/>
          <w:lang w:val="sr-Latn-ME"/>
        </w:rPr>
        <w:t xml:space="preserve"> analizi, dalje uključivanje pacijenata bilo je prekinuto.</w:t>
      </w:r>
    </w:p>
    <w:p w:rsidR="000F69E8" w:rsidRPr="007E0C0C" w:rsidRDefault="000F69E8" w:rsidP="000F69E8">
      <w:pPr>
        <w:tabs>
          <w:tab w:val="left" w:pos="540"/>
          <w:tab w:val="left" w:pos="567"/>
        </w:tabs>
        <w:jc w:val="both"/>
        <w:rPr>
          <w:bCs/>
          <w:sz w:val="22"/>
          <w:szCs w:val="22"/>
          <w:lang w:val="sr-Latn-ME"/>
        </w:rPr>
      </w:pPr>
    </w:p>
    <w:p w:rsidR="000F69E8" w:rsidRPr="007E0C0C" w:rsidRDefault="000F69E8" w:rsidP="000F69E8">
      <w:pPr>
        <w:tabs>
          <w:tab w:val="left" w:pos="540"/>
          <w:tab w:val="left" w:pos="567"/>
        </w:tabs>
        <w:jc w:val="both"/>
        <w:rPr>
          <w:bCs/>
          <w:sz w:val="22"/>
          <w:szCs w:val="22"/>
          <w:lang w:val="sr-Latn-ME"/>
        </w:rPr>
      </w:pPr>
      <w:r w:rsidRPr="007E0C0C">
        <w:rPr>
          <w:bCs/>
          <w:sz w:val="22"/>
          <w:szCs w:val="22"/>
          <w:lang w:val="sr-Latn-ME"/>
        </w:rPr>
        <w:t>Bezbjednost primjene oktreotid injekcija sa produženim oslobađanjem u ovom ispitivanju u skladu je sa utvrđenim bezbjednosnim profilom.</w:t>
      </w:r>
    </w:p>
    <w:p w:rsidR="000F69E8" w:rsidRPr="007E0C0C" w:rsidRDefault="000F69E8" w:rsidP="000F69E8">
      <w:pPr>
        <w:tabs>
          <w:tab w:val="left" w:pos="540"/>
          <w:tab w:val="left" w:pos="567"/>
        </w:tabs>
        <w:jc w:val="both"/>
        <w:rPr>
          <w:bCs/>
          <w:sz w:val="22"/>
          <w:szCs w:val="22"/>
          <w:lang w:val="sr-Latn-ME"/>
        </w:rPr>
      </w:pPr>
    </w:p>
    <w:p w:rsidR="000F69E8" w:rsidRPr="007E0C0C" w:rsidRDefault="000F69E8" w:rsidP="000F69E8">
      <w:pPr>
        <w:tabs>
          <w:tab w:val="left" w:pos="540"/>
          <w:tab w:val="left" w:pos="567"/>
        </w:tabs>
        <w:jc w:val="both"/>
        <w:rPr>
          <w:bCs/>
          <w:sz w:val="22"/>
          <w:szCs w:val="22"/>
          <w:u w:val="single"/>
          <w:lang w:val="sr-Latn-ME"/>
        </w:rPr>
      </w:pPr>
      <w:r w:rsidRPr="007E0C0C">
        <w:rPr>
          <w:bCs/>
          <w:sz w:val="22"/>
          <w:szCs w:val="22"/>
          <w:u w:val="single"/>
          <w:lang w:val="sr-Latn-ME"/>
        </w:rPr>
        <w:t>Terapija adenoma hipofize koji luče TSH</w:t>
      </w:r>
    </w:p>
    <w:p w:rsidR="000F69E8" w:rsidRPr="007E0C0C" w:rsidRDefault="000F69E8" w:rsidP="000F69E8">
      <w:pPr>
        <w:tabs>
          <w:tab w:val="left" w:pos="540"/>
          <w:tab w:val="left" w:pos="567"/>
        </w:tabs>
        <w:jc w:val="both"/>
        <w:rPr>
          <w:bCs/>
          <w:sz w:val="22"/>
          <w:szCs w:val="22"/>
          <w:lang w:val="sr-Latn-ME"/>
        </w:rPr>
      </w:pPr>
      <w:r w:rsidRPr="007E0C0C">
        <w:rPr>
          <w:bCs/>
          <w:sz w:val="22"/>
          <w:szCs w:val="22"/>
          <w:lang w:val="sr-Latn-ME"/>
        </w:rPr>
        <w:t>Pokazalo se da oktreotid injekcije sa produženim oslobađanjem, jedna intramuskularna injekcija primijenjena svake 4 nedjelje, suprimiraju povišene vrijednosti hormona štitaste žlijezde, kako bi se normalizovao TSH i ublažili klinički znaci i simptomi hipertireoze kod pacijenata sa adenomima koji luče TSH. Terapijski efekat oktreotid injekcija sa produženim oslobađanjem dostigao je statističku značajnost u poređenju sa početnim vrijednostima nakon 28 dana, a terapijske koristi trajale su do 6 mjeseci.</w:t>
      </w:r>
    </w:p>
    <w:p w:rsidR="00F94DD5" w:rsidRPr="007E0C0C" w:rsidRDefault="00F94DD5" w:rsidP="00480FB1">
      <w:pPr>
        <w:tabs>
          <w:tab w:val="left" w:pos="540"/>
          <w:tab w:val="left" w:pos="569"/>
        </w:tabs>
        <w:rPr>
          <w:b/>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5.2. </w:t>
      </w:r>
      <w:r w:rsidR="00480FB1" w:rsidRPr="007E0C0C">
        <w:rPr>
          <w:b/>
          <w:bCs/>
          <w:sz w:val="22"/>
          <w:szCs w:val="22"/>
          <w:lang w:val="sr-Latn-ME"/>
        </w:rPr>
        <w:tab/>
      </w:r>
      <w:r w:rsidRPr="007E0C0C">
        <w:rPr>
          <w:b/>
          <w:bCs/>
          <w:sz w:val="22"/>
          <w:szCs w:val="22"/>
          <w:lang w:val="sr-Latn-ME"/>
        </w:rPr>
        <w:t>Farmakokinetički podaci</w:t>
      </w:r>
      <w:r w:rsidR="003A7059" w:rsidRPr="007E0C0C">
        <w:rPr>
          <w:b/>
          <w:bCs/>
          <w:sz w:val="22"/>
          <w:szCs w:val="22"/>
          <w:lang w:val="sr-Latn-ME"/>
        </w:rPr>
        <w:t xml:space="preserve"> </w:t>
      </w:r>
    </w:p>
    <w:p w:rsidR="00C6776D" w:rsidRPr="007E0C0C" w:rsidRDefault="00C6776D" w:rsidP="00480FB1">
      <w:pPr>
        <w:tabs>
          <w:tab w:val="left" w:pos="540"/>
          <w:tab w:val="left" w:pos="569"/>
        </w:tabs>
        <w:rPr>
          <w:b/>
          <w:bCs/>
          <w:sz w:val="22"/>
          <w:szCs w:val="22"/>
          <w:lang w:val="sr-Latn-ME"/>
        </w:rPr>
      </w:pPr>
    </w:p>
    <w:p w:rsidR="00C6776D" w:rsidRPr="007E0C0C" w:rsidRDefault="00C6776D" w:rsidP="00C6776D">
      <w:pPr>
        <w:tabs>
          <w:tab w:val="left" w:pos="540"/>
          <w:tab w:val="left" w:pos="567"/>
        </w:tabs>
        <w:jc w:val="both"/>
        <w:rPr>
          <w:bCs/>
          <w:iCs/>
          <w:sz w:val="22"/>
          <w:szCs w:val="22"/>
          <w:u w:val="single"/>
          <w:lang w:val="sr-Latn-ME"/>
        </w:rPr>
      </w:pPr>
      <w:r w:rsidRPr="007E0C0C">
        <w:rPr>
          <w:bCs/>
          <w:iCs/>
          <w:sz w:val="22"/>
          <w:szCs w:val="22"/>
          <w:u w:val="single"/>
          <w:lang w:val="sr-Latn-ME"/>
        </w:rPr>
        <w:t>Resorpcija</w:t>
      </w:r>
    </w:p>
    <w:p w:rsidR="00C6776D" w:rsidRPr="007E0C0C" w:rsidRDefault="00C6776D" w:rsidP="00C6776D">
      <w:pPr>
        <w:tabs>
          <w:tab w:val="left" w:pos="540"/>
          <w:tab w:val="left" w:pos="567"/>
        </w:tabs>
        <w:jc w:val="both"/>
        <w:rPr>
          <w:bCs/>
          <w:iCs/>
          <w:sz w:val="22"/>
          <w:szCs w:val="22"/>
          <w:lang w:val="sr-Latn-ME"/>
        </w:rPr>
      </w:pPr>
      <w:r w:rsidRPr="007E0C0C">
        <w:rPr>
          <w:bCs/>
          <w:iCs/>
          <w:sz w:val="22"/>
          <w:szCs w:val="22"/>
          <w:lang w:val="sr-Latn-ME"/>
        </w:rPr>
        <w:t xml:space="preserve">Nakon jednokratne intramuskularne injekcije </w:t>
      </w:r>
      <w:r w:rsidRPr="007E0C0C">
        <w:rPr>
          <w:bCs/>
          <w:sz w:val="22"/>
          <w:szCs w:val="22"/>
          <w:lang w:val="sr-Latn-ME"/>
        </w:rPr>
        <w:t>oktreotida sa produženim oslobađanjem</w:t>
      </w:r>
      <w:r w:rsidRPr="007E0C0C">
        <w:rPr>
          <w:bCs/>
          <w:iCs/>
          <w:sz w:val="22"/>
          <w:szCs w:val="22"/>
          <w:lang w:val="sr-Latn-ME"/>
        </w:rPr>
        <w:t xml:space="preserve">, koncentracija oktreotida u serumu postiže </w:t>
      </w:r>
      <w:r w:rsidR="0021038E" w:rsidRPr="007E0C0C">
        <w:rPr>
          <w:bCs/>
          <w:iCs/>
          <w:sz w:val="22"/>
          <w:szCs w:val="22"/>
          <w:lang w:val="sr-Latn-ME"/>
        </w:rPr>
        <w:t xml:space="preserve">prolaznu </w:t>
      </w:r>
      <w:r w:rsidRPr="007E0C0C">
        <w:rPr>
          <w:bCs/>
          <w:iCs/>
          <w:sz w:val="22"/>
          <w:szCs w:val="22"/>
          <w:lang w:val="sr-Latn-ME"/>
        </w:rPr>
        <w:t>maksimalnu početnu vrijednost u roku od 1 sata nakon primjene, a zatim tokom 24 sata koncentracija oktreotida progresivno opada na niske vrijednosti koje se ne mogu detektovati. Nakon te početne maksimalne vrijednosti prvog dana kod većine pacijenata oktreotid ostaje sljedećih 7 dana na subterapijskim nivoima. Nakon toga, koncentracije oktreotida opet rastu, a plato koncentracije postiže se oko 14. dana i ostaje relativno stalan tokom sljedeće 3-4 nedjelje. Maksimalna vrijednost tokom prvog dana niža je od vrijednosti tokom plato faze pa se tokom 1. dana ne oslobodi više od 0,5% od ukupne količine lijeka. Približno nakon 42. dana koncentracija oktreotida se polako smanjuje, istovremeno sa završnom fazom razgradnje polimernog matriksa ovog oblika doziranja.</w:t>
      </w:r>
    </w:p>
    <w:p w:rsidR="00C6776D" w:rsidRPr="007E0C0C" w:rsidRDefault="00C6776D" w:rsidP="00C6776D">
      <w:pPr>
        <w:tabs>
          <w:tab w:val="left" w:pos="540"/>
          <w:tab w:val="left" w:pos="567"/>
        </w:tabs>
        <w:jc w:val="both"/>
        <w:rPr>
          <w:bCs/>
          <w:iCs/>
          <w:sz w:val="22"/>
          <w:szCs w:val="22"/>
          <w:lang w:val="sr-Latn-ME"/>
        </w:rPr>
      </w:pPr>
    </w:p>
    <w:p w:rsidR="00C6776D" w:rsidRPr="007E0C0C" w:rsidRDefault="00C6776D" w:rsidP="00C6776D">
      <w:pPr>
        <w:tabs>
          <w:tab w:val="left" w:pos="540"/>
          <w:tab w:val="left" w:pos="567"/>
        </w:tabs>
        <w:jc w:val="both"/>
        <w:rPr>
          <w:bCs/>
          <w:iCs/>
          <w:sz w:val="22"/>
          <w:szCs w:val="22"/>
          <w:lang w:val="sr-Latn-ME"/>
        </w:rPr>
      </w:pPr>
      <w:r w:rsidRPr="007E0C0C">
        <w:rPr>
          <w:bCs/>
          <w:iCs/>
          <w:sz w:val="22"/>
          <w:szCs w:val="22"/>
          <w:lang w:val="sr-Latn-ME"/>
        </w:rPr>
        <w:t xml:space="preserve">Kod pacijenata sa akromegalijom prosječne plato koncentracije oktreotida nakon jednokratnih doza od 10 mg, 20 mg i 30 mg primijenjenih u vidu </w:t>
      </w:r>
      <w:r w:rsidRPr="007E0C0C">
        <w:rPr>
          <w:bCs/>
          <w:sz w:val="22"/>
          <w:szCs w:val="22"/>
          <w:lang w:val="sr-Latn-ME"/>
        </w:rPr>
        <w:t>oktreotid injekcija sa produženim oslobađanjem</w:t>
      </w:r>
      <w:r w:rsidRPr="007E0C0C">
        <w:rPr>
          <w:bCs/>
          <w:iCs/>
          <w:sz w:val="22"/>
          <w:szCs w:val="22"/>
          <w:lang w:val="sr-Latn-ME"/>
        </w:rPr>
        <w:t xml:space="preserve"> iznose 358 ng/l, 926 ng/l, odnosno 1710 ng/l. Koncentracije oktreotida u serumu u stanju dinamičke ravnoteže, postignute nakon 3 injekcije u intervalima od 4 nedjelje, više su približno 1,6-1,8 puta i iznose 1557 ng/l, odnosno 2384 ng/l nakon višekratnih injekcija od 20 mg, odnosno 30 mg </w:t>
      </w:r>
      <w:r w:rsidRPr="007E0C0C">
        <w:rPr>
          <w:bCs/>
          <w:sz w:val="22"/>
          <w:szCs w:val="22"/>
          <w:lang w:val="sr-Latn-ME"/>
        </w:rPr>
        <w:t>oktreotida sa produženim oslobađanjem</w:t>
      </w:r>
      <w:r w:rsidRPr="007E0C0C">
        <w:rPr>
          <w:bCs/>
          <w:iCs/>
          <w:sz w:val="22"/>
          <w:szCs w:val="22"/>
          <w:lang w:val="sr-Latn-ME"/>
        </w:rPr>
        <w:t>.</w:t>
      </w:r>
    </w:p>
    <w:p w:rsidR="00C6776D" w:rsidRPr="007E0C0C" w:rsidRDefault="00C6776D" w:rsidP="00C6776D">
      <w:pPr>
        <w:tabs>
          <w:tab w:val="left" w:pos="540"/>
          <w:tab w:val="left" w:pos="567"/>
        </w:tabs>
        <w:jc w:val="both"/>
        <w:rPr>
          <w:bCs/>
          <w:iCs/>
          <w:sz w:val="22"/>
          <w:szCs w:val="22"/>
          <w:lang w:val="sr-Latn-ME"/>
        </w:rPr>
      </w:pPr>
    </w:p>
    <w:p w:rsidR="00C6776D" w:rsidRPr="007E0C0C" w:rsidRDefault="00C6776D" w:rsidP="00C6776D">
      <w:pPr>
        <w:tabs>
          <w:tab w:val="left" w:pos="540"/>
          <w:tab w:val="left" w:pos="567"/>
        </w:tabs>
        <w:jc w:val="both"/>
        <w:rPr>
          <w:bCs/>
          <w:iCs/>
          <w:sz w:val="22"/>
          <w:szCs w:val="22"/>
          <w:lang w:val="sr-Latn-ME"/>
        </w:rPr>
      </w:pPr>
      <w:r w:rsidRPr="007E0C0C">
        <w:rPr>
          <w:bCs/>
          <w:iCs/>
          <w:sz w:val="22"/>
          <w:szCs w:val="22"/>
          <w:lang w:val="sr-Latn-ME"/>
        </w:rPr>
        <w:t>Kod pacijenata sa karcinoidnim tumorima, srednja vrijednost (i medijana) koncentracije oktreotida u serumu u stanju dinamičke ravnoteže nakon višekratnih injekcija od 10 mg, 20 mg i 30 mg oktreotid injekcija sa produženim oslobađanjem, primijenjenih u intervalima od 4 nedjelje, takođe su linearno rasle sa dozom i iznosile su 1231 (894) ng/l, 2620 (2270) ng/l, odnosno 3928 (3010) ng/l.</w:t>
      </w:r>
    </w:p>
    <w:p w:rsidR="00C6776D" w:rsidRPr="007E0C0C" w:rsidRDefault="00C6776D" w:rsidP="00C6776D">
      <w:pPr>
        <w:tabs>
          <w:tab w:val="left" w:pos="540"/>
          <w:tab w:val="left" w:pos="567"/>
        </w:tabs>
        <w:jc w:val="both"/>
        <w:rPr>
          <w:bCs/>
          <w:iCs/>
          <w:sz w:val="22"/>
          <w:szCs w:val="22"/>
          <w:lang w:val="sr-Latn-ME"/>
        </w:rPr>
      </w:pPr>
    </w:p>
    <w:p w:rsidR="00C6776D" w:rsidRPr="007E0C0C" w:rsidRDefault="00C6776D" w:rsidP="00C6776D">
      <w:pPr>
        <w:tabs>
          <w:tab w:val="left" w:pos="540"/>
          <w:tab w:val="left" w:pos="567"/>
        </w:tabs>
        <w:jc w:val="both"/>
        <w:rPr>
          <w:bCs/>
          <w:iCs/>
          <w:sz w:val="22"/>
          <w:szCs w:val="22"/>
          <w:lang w:val="sr-Latn-ME"/>
        </w:rPr>
      </w:pPr>
      <w:r w:rsidRPr="007E0C0C">
        <w:rPr>
          <w:bCs/>
          <w:iCs/>
          <w:sz w:val="22"/>
          <w:szCs w:val="22"/>
          <w:lang w:val="sr-Latn-ME"/>
        </w:rPr>
        <w:t xml:space="preserve">Tokom 28 mjesečnih </w:t>
      </w:r>
      <w:r w:rsidRPr="007E0C0C">
        <w:rPr>
          <w:bCs/>
          <w:sz w:val="22"/>
          <w:szCs w:val="22"/>
          <w:lang w:val="sr-Latn-ME"/>
        </w:rPr>
        <w:t>oktreotid injekcija sa produženim oslobađanjem</w:t>
      </w:r>
      <w:r w:rsidRPr="007E0C0C">
        <w:rPr>
          <w:bCs/>
          <w:iCs/>
          <w:sz w:val="22"/>
          <w:szCs w:val="22"/>
          <w:lang w:val="sr-Latn-ME"/>
        </w:rPr>
        <w:t xml:space="preserve"> nije došlo do akumulacije oktreotida iznad one očekivane usljed preklapanja profila oslobađanja.</w:t>
      </w:r>
    </w:p>
    <w:p w:rsidR="00C6776D" w:rsidRPr="007E0C0C" w:rsidRDefault="00C6776D" w:rsidP="00C6776D">
      <w:pPr>
        <w:tabs>
          <w:tab w:val="left" w:pos="540"/>
          <w:tab w:val="left" w:pos="567"/>
        </w:tabs>
        <w:jc w:val="both"/>
        <w:rPr>
          <w:bCs/>
          <w:iCs/>
          <w:sz w:val="22"/>
          <w:szCs w:val="22"/>
          <w:u w:val="single"/>
          <w:lang w:val="sr-Latn-ME"/>
        </w:rPr>
      </w:pPr>
    </w:p>
    <w:p w:rsidR="00C6776D" w:rsidRPr="007E0C0C" w:rsidRDefault="00C6776D" w:rsidP="00C6776D">
      <w:pPr>
        <w:tabs>
          <w:tab w:val="left" w:pos="540"/>
          <w:tab w:val="left" w:pos="567"/>
        </w:tabs>
        <w:jc w:val="both"/>
        <w:rPr>
          <w:bCs/>
          <w:iCs/>
          <w:sz w:val="22"/>
          <w:szCs w:val="22"/>
          <w:u w:val="single"/>
          <w:lang w:val="sr-Latn-ME"/>
        </w:rPr>
      </w:pPr>
      <w:r w:rsidRPr="007E0C0C">
        <w:rPr>
          <w:bCs/>
          <w:iCs/>
          <w:sz w:val="22"/>
          <w:szCs w:val="22"/>
          <w:u w:val="single"/>
          <w:lang w:val="sr-Latn-ME"/>
        </w:rPr>
        <w:t>Distribucija i biotransformacija</w:t>
      </w:r>
    </w:p>
    <w:p w:rsidR="00C6776D" w:rsidRPr="007E0C0C" w:rsidRDefault="00C6776D" w:rsidP="00C6776D">
      <w:pPr>
        <w:tabs>
          <w:tab w:val="left" w:pos="540"/>
          <w:tab w:val="left" w:pos="567"/>
        </w:tabs>
        <w:jc w:val="both"/>
        <w:rPr>
          <w:bCs/>
          <w:iCs/>
          <w:sz w:val="22"/>
          <w:szCs w:val="22"/>
          <w:lang w:val="sr-Latn-ME"/>
        </w:rPr>
      </w:pPr>
      <w:r w:rsidRPr="007E0C0C">
        <w:rPr>
          <w:bCs/>
          <w:iCs/>
          <w:sz w:val="22"/>
          <w:szCs w:val="22"/>
          <w:lang w:val="sr-Latn-ME"/>
        </w:rPr>
        <w:t xml:space="preserve">Farmakokinetički profil oktreotida nakon </w:t>
      </w:r>
      <w:r w:rsidRPr="007E0C0C">
        <w:rPr>
          <w:bCs/>
          <w:sz w:val="22"/>
          <w:szCs w:val="22"/>
          <w:lang w:val="sr-Latn-ME"/>
        </w:rPr>
        <w:t>oktreotid injekcija sa produženim oslobađanjem</w:t>
      </w:r>
      <w:r w:rsidRPr="007E0C0C">
        <w:rPr>
          <w:bCs/>
          <w:iCs/>
          <w:sz w:val="22"/>
          <w:szCs w:val="22"/>
          <w:lang w:val="sr-Latn-ME"/>
        </w:rPr>
        <w:t xml:space="preserve"> odraz je profila oslobađanja iz polimernog matriksa i njegove biorazgradnje. Nakon oslobađanja u sistemsku cirkulaciju, oktreotid se distribuira prema svojim poznatim farmakokinetičkim svojstvima, kao što je opisano kod supkutane primjene. Volumen distribucije oktreotida u stanju dinamičke ravnoteže iznosi 0,27 l/kg, a ukupni tjelesni klirens iznosi 160 ml/min. Vezanje za proteine plazme iznosi oko 65%, a lijek se suštinski ne vezuje za krvne ćelije.</w:t>
      </w:r>
    </w:p>
    <w:p w:rsidR="00C6776D" w:rsidRPr="007E0C0C" w:rsidRDefault="00C6776D" w:rsidP="00C6776D">
      <w:pPr>
        <w:tabs>
          <w:tab w:val="left" w:pos="540"/>
          <w:tab w:val="left" w:pos="567"/>
        </w:tabs>
        <w:jc w:val="both"/>
        <w:rPr>
          <w:bCs/>
          <w:iCs/>
          <w:sz w:val="22"/>
          <w:szCs w:val="22"/>
          <w:u w:val="single"/>
          <w:lang w:val="sr-Latn-ME"/>
        </w:rPr>
      </w:pPr>
    </w:p>
    <w:p w:rsidR="00C6776D" w:rsidRPr="007E0C0C" w:rsidRDefault="00C6776D" w:rsidP="00C6776D">
      <w:pPr>
        <w:tabs>
          <w:tab w:val="left" w:pos="540"/>
          <w:tab w:val="left" w:pos="567"/>
        </w:tabs>
        <w:jc w:val="both"/>
        <w:rPr>
          <w:bCs/>
          <w:iCs/>
          <w:sz w:val="22"/>
          <w:szCs w:val="22"/>
          <w:lang w:val="sr-Latn-ME"/>
        </w:rPr>
      </w:pPr>
      <w:r w:rsidRPr="007E0C0C">
        <w:rPr>
          <w:bCs/>
          <w:iCs/>
          <w:sz w:val="22"/>
          <w:szCs w:val="22"/>
          <w:lang w:val="sr-Latn-ME"/>
        </w:rPr>
        <w:t xml:space="preserve">Farmakokinetički podaci sa ograničenim uzorkovanjem krvi kod pedijatrijskih pacijenata sa hipotalamusnom gojaznošću, </w:t>
      </w:r>
      <w:r w:rsidR="0021038E" w:rsidRPr="007E0C0C">
        <w:rPr>
          <w:bCs/>
          <w:iCs/>
          <w:sz w:val="22"/>
          <w:szCs w:val="22"/>
          <w:lang w:val="sr-Latn-ME"/>
        </w:rPr>
        <w:t>uzrasta</w:t>
      </w:r>
      <w:r w:rsidRPr="007E0C0C">
        <w:rPr>
          <w:bCs/>
          <w:iCs/>
          <w:sz w:val="22"/>
          <w:szCs w:val="22"/>
          <w:lang w:val="sr-Latn-ME"/>
        </w:rPr>
        <w:t xml:space="preserve"> od 7–17 godina, koji su primali </w:t>
      </w:r>
      <w:r w:rsidRPr="007E0C0C">
        <w:rPr>
          <w:bCs/>
          <w:sz w:val="22"/>
          <w:szCs w:val="22"/>
          <w:lang w:val="sr-Latn-ME"/>
        </w:rPr>
        <w:t>oktreotid injekcije sa produženim oslobađanjem</w:t>
      </w:r>
      <w:r w:rsidRPr="007E0C0C">
        <w:rPr>
          <w:bCs/>
          <w:iCs/>
          <w:sz w:val="22"/>
          <w:szCs w:val="22"/>
          <w:lang w:val="sr-Latn-ME"/>
        </w:rPr>
        <w:t xml:space="preserve"> u dozi od 40 mg jednom mjesečno, pokazali su srednje najniže koncentracije oktreotida u plazmi od 1395 ng/l nakon prve injekcije i 2973 ng/l u stanju dinamičke ravnoteže. Uočena je viša varijabilnost među ispitanicima.</w:t>
      </w:r>
    </w:p>
    <w:p w:rsidR="00C6776D" w:rsidRPr="007E0C0C" w:rsidRDefault="00C6776D" w:rsidP="00C6776D">
      <w:pPr>
        <w:tabs>
          <w:tab w:val="left" w:pos="540"/>
          <w:tab w:val="left" w:pos="567"/>
        </w:tabs>
        <w:jc w:val="both"/>
        <w:rPr>
          <w:bCs/>
          <w:iCs/>
          <w:sz w:val="22"/>
          <w:szCs w:val="22"/>
          <w:u w:val="single"/>
          <w:lang w:val="sr-Latn-ME"/>
        </w:rPr>
      </w:pPr>
    </w:p>
    <w:p w:rsidR="00C6776D" w:rsidRPr="007E0C0C" w:rsidRDefault="00C6776D" w:rsidP="00C6776D">
      <w:pPr>
        <w:tabs>
          <w:tab w:val="left" w:pos="540"/>
          <w:tab w:val="left" w:pos="567"/>
        </w:tabs>
        <w:jc w:val="both"/>
        <w:rPr>
          <w:bCs/>
          <w:iCs/>
          <w:sz w:val="22"/>
          <w:szCs w:val="22"/>
          <w:lang w:val="sr-Latn-ME"/>
        </w:rPr>
      </w:pPr>
      <w:r w:rsidRPr="007E0C0C">
        <w:rPr>
          <w:bCs/>
          <w:iCs/>
          <w:sz w:val="22"/>
          <w:szCs w:val="22"/>
          <w:lang w:val="sr-Latn-ME"/>
        </w:rPr>
        <w:t xml:space="preserve">Najniže koncentracije oktreotida u stanju dinamičke ravnoteže nisu bile u korelaciji sa godinama i BMI, ali su bile u umjerenoj korelaciji sa tjelesnom masom (52,3–133 kg) i značajno različite između pacijenata muškog i ženskog pola, odnosno oko 17% više kod </w:t>
      </w:r>
      <w:r w:rsidR="0021038E" w:rsidRPr="007E0C0C">
        <w:rPr>
          <w:bCs/>
          <w:iCs/>
          <w:sz w:val="22"/>
          <w:szCs w:val="22"/>
          <w:lang w:val="sr-Latn-ME"/>
        </w:rPr>
        <w:t xml:space="preserve">pacijenata </w:t>
      </w:r>
      <w:r w:rsidRPr="007E0C0C">
        <w:rPr>
          <w:bCs/>
          <w:iCs/>
          <w:sz w:val="22"/>
          <w:szCs w:val="22"/>
          <w:lang w:val="sr-Latn-ME"/>
        </w:rPr>
        <w:t>žensk</w:t>
      </w:r>
      <w:r w:rsidR="0021038E" w:rsidRPr="007E0C0C">
        <w:rPr>
          <w:bCs/>
          <w:iCs/>
          <w:sz w:val="22"/>
          <w:szCs w:val="22"/>
          <w:lang w:val="sr-Latn-ME"/>
        </w:rPr>
        <w:t>og pola</w:t>
      </w:r>
      <w:r w:rsidRPr="007E0C0C">
        <w:rPr>
          <w:bCs/>
          <w:iCs/>
          <w:sz w:val="22"/>
          <w:szCs w:val="22"/>
          <w:lang w:val="sr-Latn-ME"/>
        </w:rPr>
        <w:t>.</w:t>
      </w:r>
    </w:p>
    <w:p w:rsidR="0072020E" w:rsidRPr="007E0C0C" w:rsidRDefault="0072020E"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5.3. </w:t>
      </w:r>
      <w:r w:rsidR="00480FB1" w:rsidRPr="007E0C0C">
        <w:rPr>
          <w:b/>
          <w:bCs/>
          <w:sz w:val="22"/>
          <w:szCs w:val="22"/>
          <w:lang w:val="sr-Latn-ME"/>
        </w:rPr>
        <w:tab/>
      </w:r>
      <w:r w:rsidRPr="007E0C0C">
        <w:rPr>
          <w:b/>
          <w:bCs/>
          <w:sz w:val="22"/>
          <w:szCs w:val="22"/>
          <w:lang w:val="sr-Latn-ME"/>
        </w:rPr>
        <w:t xml:space="preserve">Pretklinički podaci o bezbjednosti </w:t>
      </w:r>
    </w:p>
    <w:p w:rsidR="00906208" w:rsidRPr="007E0C0C" w:rsidRDefault="00906208" w:rsidP="00480FB1">
      <w:pPr>
        <w:tabs>
          <w:tab w:val="left" w:pos="540"/>
          <w:tab w:val="left" w:pos="569"/>
        </w:tabs>
        <w:rPr>
          <w:b/>
          <w:bCs/>
          <w:sz w:val="22"/>
          <w:szCs w:val="22"/>
          <w:lang w:val="sr-Latn-ME"/>
        </w:rPr>
      </w:pPr>
    </w:p>
    <w:p w:rsidR="00906208" w:rsidRPr="007E0C0C" w:rsidRDefault="00906208" w:rsidP="00906208">
      <w:pPr>
        <w:tabs>
          <w:tab w:val="left" w:pos="540"/>
          <w:tab w:val="left" w:pos="567"/>
        </w:tabs>
        <w:jc w:val="both"/>
        <w:rPr>
          <w:bCs/>
          <w:sz w:val="22"/>
          <w:szCs w:val="22"/>
          <w:lang w:val="sr-Latn-ME"/>
        </w:rPr>
      </w:pPr>
      <w:r w:rsidRPr="007E0C0C">
        <w:rPr>
          <w:bCs/>
          <w:sz w:val="22"/>
          <w:szCs w:val="22"/>
          <w:lang w:val="sr-Latn-ME"/>
        </w:rPr>
        <w:t>Studije akutne toksičnosti i toksičnosti ponovljenih doza, genotoksičnosti, kancerogenosti i reproduktivne toksičnosti kod životinja nisu ukazale na bilo kakav poseban rizik za ljude.</w:t>
      </w:r>
    </w:p>
    <w:p w:rsidR="00906208" w:rsidRPr="007E0C0C" w:rsidRDefault="00906208" w:rsidP="00906208">
      <w:pPr>
        <w:tabs>
          <w:tab w:val="left" w:pos="540"/>
          <w:tab w:val="left" w:pos="567"/>
        </w:tabs>
        <w:jc w:val="both"/>
        <w:rPr>
          <w:bCs/>
          <w:sz w:val="22"/>
          <w:szCs w:val="22"/>
          <w:lang w:val="sr-Latn-ME"/>
        </w:rPr>
      </w:pPr>
    </w:p>
    <w:p w:rsidR="00906208" w:rsidRPr="007E0C0C" w:rsidRDefault="00906208" w:rsidP="00906208">
      <w:pPr>
        <w:tabs>
          <w:tab w:val="left" w:pos="540"/>
          <w:tab w:val="left" w:pos="567"/>
        </w:tabs>
        <w:jc w:val="both"/>
        <w:rPr>
          <w:bCs/>
          <w:sz w:val="22"/>
          <w:szCs w:val="22"/>
          <w:lang w:val="sr-Latn-ME"/>
        </w:rPr>
      </w:pPr>
      <w:r w:rsidRPr="007E0C0C">
        <w:rPr>
          <w:bCs/>
          <w:sz w:val="22"/>
          <w:szCs w:val="22"/>
          <w:lang w:val="sr-Latn-ME"/>
        </w:rPr>
        <w:t xml:space="preserve">Reproduktivne studije kod životinja nisu otkrile dokaze o teratogenim, embrio/fetalnim ili drugim reproduktivnim dejstvima izazvanim oktreotidom pri primjeni doze do 1 mg/kg/dan kod roditelja. Kod potomaka pacova uočena je određena retardacija fiziološkog rasta koja je bila prolazna i mogla se pripisati inhibiciji GH koju je uzrokovala prekomjerna farmakodinamička aktivnost (vidjeti </w:t>
      </w:r>
      <w:r w:rsidR="0021038E" w:rsidRPr="007E0C0C">
        <w:rPr>
          <w:bCs/>
          <w:sz w:val="22"/>
          <w:szCs w:val="22"/>
          <w:lang w:val="sr-Latn-ME"/>
        </w:rPr>
        <w:t xml:space="preserve">dio </w:t>
      </w:r>
      <w:r w:rsidRPr="007E0C0C">
        <w:rPr>
          <w:bCs/>
          <w:sz w:val="22"/>
          <w:szCs w:val="22"/>
          <w:lang w:val="sr-Latn-ME"/>
        </w:rPr>
        <w:t>4.6).</w:t>
      </w:r>
    </w:p>
    <w:p w:rsidR="00906208" w:rsidRPr="007E0C0C" w:rsidRDefault="00906208" w:rsidP="00906208">
      <w:pPr>
        <w:tabs>
          <w:tab w:val="left" w:pos="540"/>
          <w:tab w:val="left" w:pos="567"/>
        </w:tabs>
        <w:jc w:val="both"/>
        <w:rPr>
          <w:bCs/>
          <w:sz w:val="22"/>
          <w:szCs w:val="22"/>
          <w:lang w:val="sr-Latn-ME"/>
        </w:rPr>
      </w:pPr>
    </w:p>
    <w:p w:rsidR="00836B35" w:rsidRPr="007E0C0C" w:rsidRDefault="00906208" w:rsidP="00906208">
      <w:pPr>
        <w:tabs>
          <w:tab w:val="left" w:pos="540"/>
          <w:tab w:val="left" w:pos="569"/>
        </w:tabs>
        <w:jc w:val="both"/>
        <w:rPr>
          <w:bCs/>
          <w:sz w:val="22"/>
          <w:szCs w:val="22"/>
          <w:lang w:val="sr-Latn-ME"/>
        </w:rPr>
      </w:pPr>
      <w:r w:rsidRPr="007E0C0C">
        <w:rPr>
          <w:bCs/>
          <w:sz w:val="22"/>
          <w:szCs w:val="22"/>
          <w:lang w:val="sr-Latn-ME"/>
        </w:rPr>
        <w:t>Nisu sprovedene specifične studije kod mladih pacova. U studijama pre- i postnatalnog razvoja uočeni su smanjeni rast i sazrijevanje kod F1 potomaka ženki koje su dobijale oktreotid tokom cijele trudnoće i perioda laktacije. Kasno spuštanje testisa zabilježeno je kod muških F1 potomaka, ali plodnost zahvaćenih F1 muških mladunaca ostala je normalna. Gore navedena zapažanja bila su prolazna pa se stoga smatraju posljedicom inhibicije GH.</w:t>
      </w:r>
    </w:p>
    <w:p w:rsidR="00396DFD" w:rsidRPr="007E0C0C" w:rsidRDefault="00396DFD" w:rsidP="00480FB1">
      <w:pPr>
        <w:tabs>
          <w:tab w:val="left" w:pos="540"/>
          <w:tab w:val="left" w:pos="569"/>
        </w:tabs>
        <w:rPr>
          <w:b/>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6. </w:t>
      </w:r>
      <w:r w:rsidR="00480FB1" w:rsidRPr="007E0C0C">
        <w:rPr>
          <w:b/>
          <w:bCs/>
          <w:sz w:val="22"/>
          <w:szCs w:val="22"/>
          <w:lang w:val="sr-Latn-ME"/>
        </w:rPr>
        <w:tab/>
      </w:r>
      <w:r w:rsidRPr="007E0C0C">
        <w:rPr>
          <w:b/>
          <w:bCs/>
          <w:sz w:val="22"/>
          <w:szCs w:val="22"/>
          <w:lang w:val="sr-Latn-ME"/>
        </w:rPr>
        <w:t>FARMACEUTSKI PODACI</w:t>
      </w:r>
    </w:p>
    <w:p w:rsidR="00836B35" w:rsidRPr="007E0C0C" w:rsidRDefault="00836B35"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6.1. </w:t>
      </w:r>
      <w:r w:rsidR="00480FB1" w:rsidRPr="007E0C0C">
        <w:rPr>
          <w:b/>
          <w:bCs/>
          <w:sz w:val="22"/>
          <w:szCs w:val="22"/>
          <w:lang w:val="sr-Latn-ME"/>
        </w:rPr>
        <w:tab/>
      </w:r>
      <w:r w:rsidRPr="007E0C0C">
        <w:rPr>
          <w:b/>
          <w:bCs/>
          <w:sz w:val="22"/>
          <w:szCs w:val="22"/>
          <w:lang w:val="sr-Latn-ME"/>
        </w:rPr>
        <w:t>Lista pomoćnih supstanci</w:t>
      </w:r>
      <w:r w:rsidR="002E0135" w:rsidRPr="007E0C0C">
        <w:rPr>
          <w:b/>
          <w:bCs/>
          <w:sz w:val="22"/>
          <w:szCs w:val="22"/>
          <w:lang w:val="sr-Latn-ME"/>
        </w:rPr>
        <w:t xml:space="preserve"> (ekscipijenasa)</w:t>
      </w:r>
    </w:p>
    <w:p w:rsidR="00906208" w:rsidRPr="007E0C0C" w:rsidRDefault="00906208" w:rsidP="00480FB1">
      <w:pPr>
        <w:tabs>
          <w:tab w:val="left" w:pos="540"/>
          <w:tab w:val="left" w:pos="569"/>
        </w:tabs>
        <w:rPr>
          <w:b/>
          <w:bCs/>
          <w:sz w:val="22"/>
          <w:szCs w:val="22"/>
          <w:lang w:val="sr-Latn-ME"/>
        </w:rPr>
      </w:pPr>
    </w:p>
    <w:p w:rsidR="00906208" w:rsidRPr="007E0C0C" w:rsidRDefault="00906208" w:rsidP="00906208">
      <w:pPr>
        <w:tabs>
          <w:tab w:val="left" w:pos="540"/>
          <w:tab w:val="left" w:pos="567"/>
        </w:tabs>
        <w:rPr>
          <w:bCs/>
          <w:i/>
          <w:sz w:val="22"/>
          <w:szCs w:val="22"/>
          <w:lang w:val="sr-Latn-ME"/>
        </w:rPr>
      </w:pPr>
      <w:r w:rsidRPr="007E0C0C">
        <w:rPr>
          <w:bCs/>
          <w:i/>
          <w:sz w:val="22"/>
          <w:szCs w:val="22"/>
          <w:lang w:val="sr-Latn-ME"/>
        </w:rPr>
        <w:t>Prašak (bočica):</w:t>
      </w: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Poli (DL-laktid-ko-glikolid);</w:t>
      </w: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Manitol (E421)</w:t>
      </w:r>
    </w:p>
    <w:p w:rsidR="00906208" w:rsidRPr="007E0C0C" w:rsidRDefault="00906208" w:rsidP="00906208">
      <w:pPr>
        <w:tabs>
          <w:tab w:val="left" w:pos="540"/>
          <w:tab w:val="left" w:pos="567"/>
        </w:tabs>
        <w:rPr>
          <w:bCs/>
          <w:sz w:val="22"/>
          <w:szCs w:val="22"/>
          <w:lang w:val="sr-Latn-ME"/>
        </w:rPr>
      </w:pPr>
    </w:p>
    <w:p w:rsidR="00906208" w:rsidRPr="007E0C0C" w:rsidRDefault="00906208" w:rsidP="00906208">
      <w:pPr>
        <w:tabs>
          <w:tab w:val="left" w:pos="540"/>
          <w:tab w:val="left" w:pos="567"/>
        </w:tabs>
        <w:rPr>
          <w:bCs/>
          <w:i/>
          <w:sz w:val="22"/>
          <w:szCs w:val="22"/>
          <w:lang w:val="sr-Latn-ME"/>
        </w:rPr>
      </w:pPr>
      <w:r w:rsidRPr="007E0C0C">
        <w:rPr>
          <w:bCs/>
          <w:i/>
          <w:sz w:val="22"/>
          <w:szCs w:val="22"/>
          <w:lang w:val="sr-Latn-ME"/>
        </w:rPr>
        <w:t>Rastvarač (napunjeni injekcioni špric):</w:t>
      </w: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Karmeloza natrijum;</w:t>
      </w: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Manitol (E421);</w:t>
      </w: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Poloksamer;</w:t>
      </w: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Voda za injekcije.</w:t>
      </w:r>
    </w:p>
    <w:p w:rsidR="0072020E" w:rsidRPr="007E0C0C" w:rsidRDefault="0072020E"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6.2. </w:t>
      </w:r>
      <w:r w:rsidR="00480FB1" w:rsidRPr="007E0C0C">
        <w:rPr>
          <w:b/>
          <w:bCs/>
          <w:sz w:val="22"/>
          <w:szCs w:val="22"/>
          <w:lang w:val="sr-Latn-ME"/>
        </w:rPr>
        <w:tab/>
      </w:r>
      <w:r w:rsidRPr="007E0C0C">
        <w:rPr>
          <w:b/>
          <w:bCs/>
          <w:sz w:val="22"/>
          <w:szCs w:val="22"/>
          <w:lang w:val="sr-Latn-ME"/>
        </w:rPr>
        <w:t>Inkompatibilnost</w:t>
      </w:r>
      <w:r w:rsidR="002846DB" w:rsidRPr="007E0C0C">
        <w:rPr>
          <w:b/>
          <w:bCs/>
          <w:sz w:val="22"/>
          <w:szCs w:val="22"/>
          <w:lang w:val="sr-Latn-ME"/>
        </w:rPr>
        <w:t>i</w:t>
      </w:r>
    </w:p>
    <w:p w:rsidR="00906208" w:rsidRPr="007E0C0C" w:rsidRDefault="00906208" w:rsidP="00480FB1">
      <w:pPr>
        <w:tabs>
          <w:tab w:val="left" w:pos="540"/>
          <w:tab w:val="left" w:pos="569"/>
        </w:tabs>
        <w:rPr>
          <w:b/>
          <w:bCs/>
          <w:sz w:val="22"/>
          <w:szCs w:val="22"/>
          <w:lang w:val="sr-Latn-ME"/>
        </w:rPr>
      </w:pP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Zbog nedostatka studija kompatibilnosti ovaj lijek se ne smije miješati sa drugim ljekovima.</w:t>
      </w:r>
    </w:p>
    <w:p w:rsidR="0072020E" w:rsidRPr="007E0C0C" w:rsidRDefault="0072020E"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6.3.</w:t>
      </w:r>
      <w:r w:rsidR="00C05DF8" w:rsidRPr="007E0C0C">
        <w:rPr>
          <w:b/>
          <w:bCs/>
          <w:sz w:val="22"/>
          <w:szCs w:val="22"/>
          <w:lang w:val="sr-Latn-ME"/>
        </w:rPr>
        <w:t xml:space="preserve"> </w:t>
      </w:r>
      <w:r w:rsidR="00480FB1" w:rsidRPr="007E0C0C">
        <w:rPr>
          <w:b/>
          <w:bCs/>
          <w:sz w:val="22"/>
          <w:szCs w:val="22"/>
          <w:lang w:val="sr-Latn-ME"/>
        </w:rPr>
        <w:tab/>
      </w:r>
      <w:r w:rsidRPr="007E0C0C">
        <w:rPr>
          <w:b/>
          <w:bCs/>
          <w:sz w:val="22"/>
          <w:szCs w:val="22"/>
          <w:lang w:val="sr-Latn-ME"/>
        </w:rPr>
        <w:t>Rok upotrebe</w:t>
      </w:r>
    </w:p>
    <w:p w:rsidR="00906208" w:rsidRPr="007E0C0C" w:rsidRDefault="00906208" w:rsidP="00480FB1">
      <w:pPr>
        <w:tabs>
          <w:tab w:val="left" w:pos="540"/>
          <w:tab w:val="left" w:pos="569"/>
        </w:tabs>
        <w:rPr>
          <w:b/>
          <w:bCs/>
          <w:sz w:val="22"/>
          <w:szCs w:val="22"/>
          <w:lang w:val="sr-Latn-ME"/>
        </w:rPr>
      </w:pP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3 godine</w:t>
      </w:r>
    </w:p>
    <w:p w:rsidR="00906208" w:rsidRPr="007E0C0C" w:rsidRDefault="00906208" w:rsidP="00906208">
      <w:pPr>
        <w:tabs>
          <w:tab w:val="left" w:pos="540"/>
          <w:tab w:val="left" w:pos="567"/>
        </w:tabs>
        <w:rPr>
          <w:b/>
          <w:bCs/>
          <w:sz w:val="22"/>
          <w:szCs w:val="22"/>
          <w:lang w:val="sr-Latn-ME"/>
        </w:rPr>
      </w:pPr>
      <w:r w:rsidRPr="007E0C0C">
        <w:rPr>
          <w:bCs/>
          <w:sz w:val="22"/>
          <w:szCs w:val="22"/>
          <w:lang w:val="sr-Latn-ME"/>
        </w:rPr>
        <w:t xml:space="preserve">Lijek se ne smije čuvati nakon rekonstitucije (mora se odmah primijeniti). </w:t>
      </w:r>
    </w:p>
    <w:p w:rsidR="0072020E" w:rsidRPr="007E0C0C" w:rsidRDefault="0072020E"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6.4. </w:t>
      </w:r>
      <w:r w:rsidR="00480FB1" w:rsidRPr="007E0C0C">
        <w:rPr>
          <w:b/>
          <w:bCs/>
          <w:sz w:val="22"/>
          <w:szCs w:val="22"/>
          <w:lang w:val="sr-Latn-ME"/>
        </w:rPr>
        <w:tab/>
      </w:r>
      <w:r w:rsidRPr="007E0C0C">
        <w:rPr>
          <w:b/>
          <w:bCs/>
          <w:sz w:val="22"/>
          <w:szCs w:val="22"/>
          <w:lang w:val="sr-Latn-ME"/>
        </w:rPr>
        <w:t>Posebne mjere upozorenja pri čuvanju</w:t>
      </w:r>
      <w:r w:rsidR="00F8570A" w:rsidRPr="007E0C0C">
        <w:rPr>
          <w:b/>
          <w:bCs/>
          <w:sz w:val="22"/>
          <w:szCs w:val="22"/>
          <w:lang w:val="sr-Latn-ME"/>
        </w:rPr>
        <w:t xml:space="preserve"> lijeka</w:t>
      </w:r>
    </w:p>
    <w:p w:rsidR="00906208" w:rsidRPr="007E0C0C" w:rsidRDefault="00906208" w:rsidP="00480FB1">
      <w:pPr>
        <w:tabs>
          <w:tab w:val="left" w:pos="540"/>
          <w:tab w:val="left" w:pos="569"/>
        </w:tabs>
        <w:rPr>
          <w:b/>
          <w:bCs/>
          <w:sz w:val="22"/>
          <w:szCs w:val="22"/>
          <w:lang w:val="sr-Latn-ME"/>
        </w:rPr>
      </w:pP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Čuvati u originalnom pakovanju radi zaštite od svjetlosti.</w:t>
      </w: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Čuvati u frižideru (2°C do 8°C). Ne zamrzavati.</w:t>
      </w:r>
    </w:p>
    <w:p w:rsidR="00906208" w:rsidRPr="007E0C0C" w:rsidRDefault="00906208" w:rsidP="00906208">
      <w:pPr>
        <w:tabs>
          <w:tab w:val="left" w:pos="540"/>
          <w:tab w:val="left" w:pos="567"/>
        </w:tabs>
        <w:rPr>
          <w:bCs/>
          <w:iCs/>
          <w:sz w:val="22"/>
          <w:szCs w:val="22"/>
          <w:lang w:val="sr-Latn-ME"/>
        </w:rPr>
      </w:pPr>
      <w:r w:rsidRPr="007E0C0C">
        <w:rPr>
          <w:bCs/>
          <w:sz w:val="22"/>
          <w:szCs w:val="22"/>
          <w:lang w:val="sr-Latn-ME"/>
        </w:rPr>
        <w:t xml:space="preserve">Lijek Oktreotid Teva </w:t>
      </w:r>
      <w:r w:rsidRPr="007E0C0C">
        <w:rPr>
          <w:bCs/>
          <w:iCs/>
          <w:sz w:val="22"/>
          <w:szCs w:val="22"/>
          <w:lang w:val="sr-Latn-ME"/>
        </w:rPr>
        <w:t>se na dan ubrizgavanja može čuvati na temperaturi ispod 25°C.</w:t>
      </w:r>
    </w:p>
    <w:p w:rsidR="00906208" w:rsidRPr="007E0C0C" w:rsidRDefault="00906208" w:rsidP="00906208">
      <w:pPr>
        <w:tabs>
          <w:tab w:val="left" w:pos="540"/>
          <w:tab w:val="left" w:pos="567"/>
        </w:tabs>
        <w:rPr>
          <w:bCs/>
          <w:sz w:val="22"/>
          <w:szCs w:val="22"/>
          <w:lang w:val="sr-Latn-ME"/>
        </w:rPr>
      </w:pPr>
    </w:p>
    <w:p w:rsidR="00906208" w:rsidRPr="007E0C0C" w:rsidRDefault="00906208" w:rsidP="00906208">
      <w:pPr>
        <w:tabs>
          <w:tab w:val="left" w:pos="540"/>
          <w:tab w:val="left" w:pos="567"/>
        </w:tabs>
        <w:rPr>
          <w:bCs/>
          <w:sz w:val="22"/>
          <w:szCs w:val="22"/>
          <w:lang w:val="sr-Latn-ME"/>
        </w:rPr>
      </w:pPr>
      <w:r w:rsidRPr="007E0C0C">
        <w:rPr>
          <w:bCs/>
          <w:sz w:val="22"/>
          <w:szCs w:val="22"/>
          <w:lang w:val="sr-Latn-ME"/>
        </w:rPr>
        <w:t xml:space="preserve">Za uslove čuvanja nakon rekonstitucije lijeka vidjeti </w:t>
      </w:r>
      <w:r w:rsidR="007E0C0C">
        <w:rPr>
          <w:bCs/>
          <w:sz w:val="22"/>
          <w:szCs w:val="22"/>
          <w:lang w:val="sr-Latn-ME"/>
        </w:rPr>
        <w:t>dio</w:t>
      </w:r>
      <w:r w:rsidRPr="007E0C0C">
        <w:rPr>
          <w:bCs/>
          <w:sz w:val="22"/>
          <w:szCs w:val="22"/>
          <w:lang w:val="sr-Latn-ME"/>
        </w:rPr>
        <w:t xml:space="preserve"> 6.3.</w:t>
      </w:r>
    </w:p>
    <w:p w:rsidR="00EC2532" w:rsidRPr="007E0C0C" w:rsidRDefault="00EC2532"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6.5. </w:t>
      </w:r>
      <w:r w:rsidR="00480FB1" w:rsidRPr="007E0C0C">
        <w:rPr>
          <w:b/>
          <w:bCs/>
          <w:sz w:val="22"/>
          <w:szCs w:val="22"/>
          <w:lang w:val="sr-Latn-ME"/>
        </w:rPr>
        <w:tab/>
      </w:r>
      <w:r w:rsidR="002846DB" w:rsidRPr="007E0C0C">
        <w:rPr>
          <w:b/>
          <w:bCs/>
          <w:sz w:val="22"/>
          <w:szCs w:val="22"/>
          <w:lang w:val="sr-Latn-ME"/>
        </w:rPr>
        <w:t xml:space="preserve">Vrsta i sadržaj </w:t>
      </w:r>
      <w:r w:rsidR="00F8570A" w:rsidRPr="007E0C0C">
        <w:rPr>
          <w:b/>
          <w:bCs/>
          <w:sz w:val="22"/>
          <w:szCs w:val="22"/>
          <w:lang w:val="sr-Latn-ME"/>
        </w:rPr>
        <w:t>pakovanja</w:t>
      </w:r>
      <w:r w:rsidR="00C06864" w:rsidRPr="007E0C0C">
        <w:rPr>
          <w:b/>
          <w:bCs/>
          <w:sz w:val="22"/>
          <w:szCs w:val="22"/>
          <w:lang w:val="sr-Latn-ME"/>
        </w:rPr>
        <w:t xml:space="preserve"> </w:t>
      </w:r>
    </w:p>
    <w:p w:rsidR="00800547" w:rsidRPr="007E0C0C" w:rsidRDefault="00800547" w:rsidP="00480FB1">
      <w:pPr>
        <w:tabs>
          <w:tab w:val="left" w:pos="540"/>
          <w:tab w:val="left" w:pos="569"/>
        </w:tabs>
        <w:rPr>
          <w:b/>
          <w:bCs/>
          <w:sz w:val="22"/>
          <w:szCs w:val="22"/>
          <w:lang w:val="sr-Latn-ME"/>
        </w:rPr>
      </w:pPr>
    </w:p>
    <w:p w:rsidR="00800547" w:rsidRPr="007E0C0C" w:rsidRDefault="00800547" w:rsidP="00800547">
      <w:pPr>
        <w:tabs>
          <w:tab w:val="left" w:pos="540"/>
          <w:tab w:val="left" w:pos="567"/>
        </w:tabs>
        <w:jc w:val="both"/>
        <w:rPr>
          <w:bCs/>
          <w:sz w:val="22"/>
          <w:szCs w:val="22"/>
          <w:lang w:val="sr-Latn-ME"/>
        </w:rPr>
      </w:pPr>
      <w:r w:rsidRPr="007E0C0C">
        <w:rPr>
          <w:bCs/>
          <w:sz w:val="22"/>
          <w:szCs w:val="22"/>
          <w:u w:val="single"/>
          <w:lang w:val="sr-Latn-ME"/>
        </w:rPr>
        <w:t>Oktreotid Teva 10 mg:</w:t>
      </w:r>
      <w:r w:rsidRPr="007E0C0C">
        <w:rPr>
          <w:bCs/>
          <w:sz w:val="22"/>
          <w:szCs w:val="22"/>
          <w:lang w:val="sr-Latn-ME"/>
        </w:rPr>
        <w:t xml:space="preserve"> Jedno pakovanje sadrži 1 staklenu bočicu zatvorenu gumenim čepom (hlorobutilna guma) sa aluminijskim prstenom i tamnoplavom „flip-off“ kapicom, koja sadrži prašak za suspenziju za injekciju i 1 napunjeni bezbojni stakleni špric sa prednjim zatvaračem i klipom  (bromobutilna guma) sa 2 ml rastvarača, zajedno upakovane u plastični blister sa 1 nastavkom za bočicu i 1 sigurnosnom iglom za injekciju.</w:t>
      </w:r>
    </w:p>
    <w:p w:rsidR="00800547" w:rsidRPr="007E0C0C" w:rsidRDefault="00800547" w:rsidP="00800547">
      <w:pPr>
        <w:tabs>
          <w:tab w:val="left" w:pos="540"/>
          <w:tab w:val="left" w:pos="567"/>
        </w:tabs>
        <w:jc w:val="both"/>
        <w:rPr>
          <w:bCs/>
          <w:sz w:val="22"/>
          <w:szCs w:val="22"/>
          <w:lang w:val="sr-Latn-ME"/>
        </w:rPr>
      </w:pPr>
    </w:p>
    <w:p w:rsidR="00800547" w:rsidRPr="007E0C0C" w:rsidRDefault="00800547" w:rsidP="00800547">
      <w:pPr>
        <w:tabs>
          <w:tab w:val="left" w:pos="540"/>
          <w:tab w:val="left" w:pos="567"/>
        </w:tabs>
        <w:jc w:val="both"/>
        <w:rPr>
          <w:bCs/>
          <w:sz w:val="22"/>
          <w:szCs w:val="22"/>
          <w:lang w:val="sr-Latn-ME"/>
        </w:rPr>
      </w:pPr>
      <w:r w:rsidRPr="007E0C0C">
        <w:rPr>
          <w:bCs/>
          <w:sz w:val="22"/>
          <w:szCs w:val="22"/>
          <w:u w:val="single"/>
          <w:lang w:val="sr-Latn-ME"/>
        </w:rPr>
        <w:t>Oktreotid Teva 20 mg:</w:t>
      </w:r>
      <w:r w:rsidRPr="007E0C0C">
        <w:rPr>
          <w:bCs/>
          <w:sz w:val="22"/>
          <w:szCs w:val="22"/>
          <w:lang w:val="sr-Latn-ME"/>
        </w:rPr>
        <w:t xml:space="preserve"> Jedno pakovanje sadrži 1 staklenu bočicu zatvorenu gumenim čepom (hlorobutilna guma) sa aluminijskim prstenom i narandžastom „flip-off“ kapicom, koja sadrži prašak za suspenziju za injekciju i 1 napunjeni bezbojni stakleni špric sa prednjim zatvaračem i klipom  (bromobutilna guma) sa 2 ml rastvarača, zajedno upakovane u plastični blister sa 1 nastavkom za bočicu i 1 sigurnosnom iglom za injekciju.</w:t>
      </w:r>
    </w:p>
    <w:p w:rsidR="00800547" w:rsidRPr="007E0C0C" w:rsidRDefault="00800547" w:rsidP="00800547">
      <w:pPr>
        <w:tabs>
          <w:tab w:val="left" w:pos="540"/>
          <w:tab w:val="left" w:pos="567"/>
        </w:tabs>
        <w:jc w:val="both"/>
        <w:rPr>
          <w:bCs/>
          <w:sz w:val="22"/>
          <w:szCs w:val="22"/>
          <w:lang w:val="sr-Latn-ME"/>
        </w:rPr>
      </w:pPr>
    </w:p>
    <w:p w:rsidR="00800547" w:rsidRPr="007E0C0C" w:rsidRDefault="00800547" w:rsidP="00800547">
      <w:pPr>
        <w:tabs>
          <w:tab w:val="left" w:pos="540"/>
          <w:tab w:val="left" w:pos="567"/>
        </w:tabs>
        <w:jc w:val="both"/>
        <w:rPr>
          <w:bCs/>
          <w:sz w:val="22"/>
          <w:szCs w:val="22"/>
          <w:lang w:val="sr-Latn-ME"/>
        </w:rPr>
      </w:pPr>
      <w:r w:rsidRPr="007E0C0C">
        <w:rPr>
          <w:bCs/>
          <w:sz w:val="22"/>
          <w:szCs w:val="22"/>
          <w:u w:val="single"/>
          <w:lang w:val="sr-Latn-ME"/>
        </w:rPr>
        <w:t>Oktreotid Teva 30 mg:</w:t>
      </w:r>
      <w:r w:rsidRPr="007E0C0C">
        <w:rPr>
          <w:bCs/>
          <w:sz w:val="22"/>
          <w:szCs w:val="22"/>
          <w:lang w:val="sr-Latn-ME"/>
        </w:rPr>
        <w:t xml:space="preserve"> Jedno pakovanje sadrži 1 staklenu bočicu zatvorenu gumenim čepom (hlorobutilna guma) sa aluminijskim prstenom i tamnocrvenom „flip-off“ kapicom, koja sadrži prašak za suspenziju za injekciju i 1 napunjeni bezbojni stakleni špric sa prednjim zatvaračem i klipom  (bromobutilna guma) sa 2 ml rastvarača, zajedno upakovane u plastični blister sa 1 nastavkom za bočicu i 1 sigurnosnom iglom za injekciju.</w:t>
      </w:r>
    </w:p>
    <w:p w:rsidR="0072020E" w:rsidRPr="007E0C0C" w:rsidRDefault="0072020E" w:rsidP="00480FB1">
      <w:pPr>
        <w:tabs>
          <w:tab w:val="left" w:pos="540"/>
          <w:tab w:val="left" w:pos="569"/>
        </w:tabs>
        <w:rPr>
          <w:bCs/>
          <w:sz w:val="22"/>
          <w:szCs w:val="22"/>
          <w:lang w:val="sr-Latn-ME"/>
        </w:rPr>
      </w:pPr>
    </w:p>
    <w:p w:rsidR="002846DB"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6.6. </w:t>
      </w:r>
      <w:r w:rsidR="00480FB1" w:rsidRPr="007E0C0C">
        <w:rPr>
          <w:b/>
          <w:bCs/>
          <w:sz w:val="22"/>
          <w:szCs w:val="22"/>
          <w:lang w:val="sr-Latn-ME"/>
        </w:rPr>
        <w:tab/>
      </w:r>
      <w:r w:rsidRPr="007E0C0C">
        <w:rPr>
          <w:b/>
          <w:bCs/>
          <w:color w:val="000000"/>
          <w:sz w:val="22"/>
          <w:szCs w:val="22"/>
          <w:lang w:val="sr-Latn-ME"/>
        </w:rPr>
        <w:t>Posebne mjere opreza pri odlaganju materijala koji treba odbaciti nakon primjene lijeka</w:t>
      </w:r>
      <w:r w:rsidRPr="007E0C0C">
        <w:rPr>
          <w:b/>
          <w:bCs/>
          <w:sz w:val="22"/>
          <w:szCs w:val="22"/>
          <w:lang w:val="sr-Latn-ME"/>
        </w:rPr>
        <w:t xml:space="preserve"> </w:t>
      </w:r>
      <w:r w:rsidR="00310F03" w:rsidRPr="007E0C0C">
        <w:rPr>
          <w:b/>
          <w:bCs/>
          <w:sz w:val="22"/>
          <w:szCs w:val="22"/>
          <w:lang w:val="sr-Latn-ME"/>
        </w:rPr>
        <w:t>(i druga uputs</w:t>
      </w:r>
      <w:r w:rsidR="004109FA" w:rsidRPr="007E0C0C">
        <w:rPr>
          <w:b/>
          <w:bCs/>
          <w:sz w:val="22"/>
          <w:szCs w:val="22"/>
          <w:lang w:val="sr-Latn-ME"/>
        </w:rPr>
        <w:t>t</w:t>
      </w:r>
      <w:r w:rsidR="00310F03" w:rsidRPr="007E0C0C">
        <w:rPr>
          <w:b/>
          <w:bCs/>
          <w:sz w:val="22"/>
          <w:szCs w:val="22"/>
          <w:lang w:val="sr-Latn-ME"/>
        </w:rPr>
        <w:t xml:space="preserve">va za rukovanje lijekom) </w:t>
      </w:r>
    </w:p>
    <w:p w:rsidR="00800547" w:rsidRPr="007E0C0C" w:rsidRDefault="00800547" w:rsidP="00480FB1">
      <w:pPr>
        <w:tabs>
          <w:tab w:val="left" w:pos="540"/>
          <w:tab w:val="left" w:pos="569"/>
        </w:tabs>
        <w:rPr>
          <w:b/>
          <w:bCs/>
          <w:sz w:val="22"/>
          <w:szCs w:val="22"/>
          <w:lang w:val="sr-Latn-ME"/>
        </w:rPr>
      </w:pPr>
    </w:p>
    <w:p w:rsidR="00800547" w:rsidRPr="007E0C0C" w:rsidRDefault="00800547" w:rsidP="00800547">
      <w:pPr>
        <w:tabs>
          <w:tab w:val="left" w:pos="540"/>
          <w:tab w:val="left" w:pos="567"/>
        </w:tabs>
        <w:jc w:val="both"/>
        <w:rPr>
          <w:bCs/>
          <w:sz w:val="22"/>
          <w:szCs w:val="22"/>
          <w:lang w:val="sr-Latn-ME"/>
        </w:rPr>
      </w:pPr>
      <w:r w:rsidRPr="007E0C0C">
        <w:rPr>
          <w:bCs/>
          <w:sz w:val="22"/>
          <w:szCs w:val="22"/>
          <w:lang w:val="sr-Latn-ME"/>
        </w:rPr>
        <w:t>Svu neiskorišćenu količinu lijeka ili otpadnog materijala nakon njegove upotrebe treba ukloniti, u skladu sa važećim nacionalnim propisima.</w:t>
      </w:r>
      <w:r w:rsidRPr="007E0C0C" w:rsidDel="00AB3E6E">
        <w:rPr>
          <w:bCs/>
          <w:sz w:val="22"/>
          <w:szCs w:val="22"/>
          <w:lang w:val="sr-Latn-ME"/>
        </w:rPr>
        <w:t xml:space="preserve"> </w:t>
      </w:r>
    </w:p>
    <w:p w:rsidR="00800547" w:rsidRPr="007E0C0C" w:rsidRDefault="00800547" w:rsidP="00800547">
      <w:pPr>
        <w:tabs>
          <w:tab w:val="left" w:pos="540"/>
          <w:tab w:val="left" w:pos="567"/>
        </w:tabs>
        <w:jc w:val="both"/>
        <w:rPr>
          <w:bCs/>
          <w:sz w:val="22"/>
          <w:szCs w:val="22"/>
          <w:lang w:val="sr-Latn-ME"/>
        </w:rPr>
      </w:pPr>
    </w:p>
    <w:p w:rsidR="009F458B" w:rsidRDefault="009F458B" w:rsidP="00800547">
      <w:pPr>
        <w:tabs>
          <w:tab w:val="left" w:pos="567"/>
        </w:tabs>
        <w:rPr>
          <w:b/>
          <w:noProof/>
          <w:sz w:val="22"/>
          <w:szCs w:val="20"/>
          <w:u w:val="single"/>
          <w:lang w:val="sr-Latn-ME"/>
        </w:rPr>
      </w:pPr>
    </w:p>
    <w:p w:rsidR="009F458B" w:rsidRDefault="009F458B" w:rsidP="00800547">
      <w:pPr>
        <w:tabs>
          <w:tab w:val="left" w:pos="567"/>
        </w:tabs>
        <w:rPr>
          <w:b/>
          <w:noProof/>
          <w:sz w:val="22"/>
          <w:szCs w:val="20"/>
          <w:u w:val="single"/>
          <w:lang w:val="sr-Latn-ME"/>
        </w:rPr>
      </w:pPr>
    </w:p>
    <w:p w:rsidR="009F458B" w:rsidRDefault="009F458B" w:rsidP="00800547">
      <w:pPr>
        <w:tabs>
          <w:tab w:val="left" w:pos="567"/>
        </w:tabs>
        <w:rPr>
          <w:b/>
          <w:noProof/>
          <w:sz w:val="22"/>
          <w:szCs w:val="20"/>
          <w:u w:val="single"/>
          <w:lang w:val="sr-Latn-ME"/>
        </w:rPr>
      </w:pPr>
    </w:p>
    <w:p w:rsidR="009F458B" w:rsidRDefault="009F458B" w:rsidP="00800547">
      <w:pPr>
        <w:tabs>
          <w:tab w:val="left" w:pos="567"/>
        </w:tabs>
        <w:rPr>
          <w:b/>
          <w:noProof/>
          <w:sz w:val="22"/>
          <w:szCs w:val="20"/>
          <w:u w:val="single"/>
          <w:lang w:val="sr-Latn-ME"/>
        </w:rPr>
      </w:pPr>
    </w:p>
    <w:p w:rsidR="009F458B" w:rsidRDefault="009F458B" w:rsidP="00800547">
      <w:pPr>
        <w:tabs>
          <w:tab w:val="left" w:pos="567"/>
        </w:tabs>
        <w:rPr>
          <w:b/>
          <w:noProof/>
          <w:sz w:val="22"/>
          <w:szCs w:val="20"/>
          <w:u w:val="single"/>
          <w:lang w:val="sr-Latn-ME"/>
        </w:rPr>
      </w:pPr>
    </w:p>
    <w:p w:rsidR="009F458B" w:rsidRDefault="009F458B" w:rsidP="00800547">
      <w:pPr>
        <w:tabs>
          <w:tab w:val="left" w:pos="567"/>
        </w:tabs>
        <w:rPr>
          <w:b/>
          <w:noProof/>
          <w:sz w:val="22"/>
          <w:szCs w:val="20"/>
          <w:u w:val="single"/>
          <w:lang w:val="sr-Latn-ME"/>
        </w:rPr>
      </w:pPr>
    </w:p>
    <w:p w:rsidR="009F458B" w:rsidRDefault="009F458B" w:rsidP="00800547">
      <w:pPr>
        <w:tabs>
          <w:tab w:val="left" w:pos="567"/>
        </w:tabs>
        <w:rPr>
          <w:b/>
          <w:noProof/>
          <w:sz w:val="22"/>
          <w:szCs w:val="20"/>
          <w:u w:val="single"/>
          <w:lang w:val="sr-Latn-ME"/>
        </w:rPr>
      </w:pPr>
    </w:p>
    <w:p w:rsidR="00800547" w:rsidRPr="007E0C0C" w:rsidRDefault="00800547" w:rsidP="00800547">
      <w:pPr>
        <w:tabs>
          <w:tab w:val="left" w:pos="567"/>
        </w:tabs>
        <w:rPr>
          <w:b/>
          <w:noProof/>
          <w:sz w:val="22"/>
          <w:szCs w:val="20"/>
          <w:u w:val="single"/>
          <w:lang w:val="sr-Latn-ME"/>
        </w:rPr>
      </w:pPr>
      <w:r w:rsidRPr="007E0C0C">
        <w:rPr>
          <w:b/>
          <w:noProof/>
          <w:sz w:val="22"/>
          <w:szCs w:val="20"/>
          <w:u w:val="single"/>
          <w:lang w:val="sr-Latn-ME"/>
        </w:rPr>
        <w:lastRenderedPageBreak/>
        <w:t>Uputstva za pripremu i intramuskularnu injekciju lijeka Oktreotid Teva</w:t>
      </w:r>
      <w:r w:rsidRPr="007E0C0C" w:rsidDel="00AB3E6E">
        <w:rPr>
          <w:b/>
          <w:noProof/>
          <w:sz w:val="22"/>
          <w:szCs w:val="20"/>
          <w:u w:val="single"/>
          <w:lang w:val="sr-Latn-ME"/>
        </w:rPr>
        <w:t xml:space="preserve"> </w:t>
      </w:r>
    </w:p>
    <w:p w:rsidR="00800547" w:rsidRPr="007E0C0C" w:rsidRDefault="00800547" w:rsidP="00800547">
      <w:pPr>
        <w:tabs>
          <w:tab w:val="left" w:pos="567"/>
        </w:tabs>
        <w:rPr>
          <w:noProof/>
          <w:sz w:val="22"/>
          <w:szCs w:val="22"/>
          <w:lang w:val="sr-Latn-ME"/>
        </w:rPr>
      </w:pPr>
    </w:p>
    <w:p w:rsidR="00800547" w:rsidRPr="007E0C0C" w:rsidRDefault="00800547" w:rsidP="00800547">
      <w:pPr>
        <w:jc w:val="both"/>
        <w:rPr>
          <w:b/>
          <w:sz w:val="22"/>
          <w:szCs w:val="22"/>
          <w:lang w:val="sr-Latn-ME"/>
        </w:rPr>
      </w:pPr>
      <w:r w:rsidRPr="007E0C0C">
        <w:rPr>
          <w:b/>
          <w:sz w:val="22"/>
          <w:szCs w:val="22"/>
          <w:lang w:val="sr-Latn-ME"/>
        </w:rPr>
        <w:t>SAMO ZA DUBOKU INTRAMUSKULARNU INJEKCIJU</w:t>
      </w:r>
    </w:p>
    <w:p w:rsidR="00800547" w:rsidRPr="007E0C0C" w:rsidRDefault="00800547" w:rsidP="00800547">
      <w:pPr>
        <w:jc w:val="both"/>
        <w:rPr>
          <w:b/>
          <w:sz w:val="22"/>
          <w:szCs w:val="22"/>
          <w:lang w:val="sr-Latn-ME"/>
        </w:rPr>
      </w:pPr>
    </w:p>
    <w:p w:rsidR="00800547" w:rsidRPr="007E0C0C" w:rsidRDefault="00800547" w:rsidP="00800547">
      <w:pPr>
        <w:jc w:val="both"/>
        <w:rPr>
          <w:b/>
          <w:sz w:val="22"/>
          <w:szCs w:val="22"/>
          <w:lang w:val="sr-Latn-ME"/>
        </w:rPr>
      </w:pPr>
      <w:r w:rsidRPr="007E0C0C">
        <w:rPr>
          <w:b/>
          <w:sz w:val="22"/>
          <w:szCs w:val="22"/>
          <w:lang w:val="sr-Latn-ME"/>
        </w:rPr>
        <w:t>Sadržaj kompleta za injekciju:</w:t>
      </w:r>
    </w:p>
    <w:p w:rsidR="00800547" w:rsidRPr="007E0C0C" w:rsidRDefault="00800547" w:rsidP="00800547">
      <w:pPr>
        <w:jc w:val="both"/>
        <w:rPr>
          <w:b/>
          <w:sz w:val="22"/>
          <w:szCs w:val="22"/>
          <w:lang w:val="sr-Latn-ME"/>
        </w:rPr>
      </w:pPr>
      <w:r w:rsidRPr="007E0C0C">
        <w:rPr>
          <w:b/>
          <w:noProof/>
          <w:sz w:val="22"/>
          <w:szCs w:val="22"/>
        </w:rPr>
        <w:drawing>
          <wp:inline distT="0" distB="0" distL="0" distR="0" wp14:anchorId="0112A31F" wp14:editId="4308938F">
            <wp:extent cx="4048125" cy="23164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2316480"/>
                    </a:xfrm>
                    <a:prstGeom prst="rect">
                      <a:avLst/>
                    </a:prstGeom>
                    <a:noFill/>
                  </pic:spPr>
                </pic:pic>
              </a:graphicData>
            </a:graphic>
          </wp:inline>
        </w:drawing>
      </w:r>
    </w:p>
    <w:p w:rsidR="00800547" w:rsidRPr="007E0C0C" w:rsidRDefault="00800547" w:rsidP="00800547">
      <w:pPr>
        <w:jc w:val="both"/>
        <w:rPr>
          <w:sz w:val="22"/>
          <w:szCs w:val="22"/>
          <w:lang w:val="sr-Latn-ME"/>
        </w:rPr>
      </w:pPr>
      <w:r w:rsidRPr="007E0C0C">
        <w:rPr>
          <w:sz w:val="22"/>
          <w:szCs w:val="22"/>
          <w:lang w:val="sr-Latn-ME"/>
        </w:rPr>
        <w:t>a.</w:t>
      </w:r>
      <w:r w:rsidRPr="007E0C0C">
        <w:rPr>
          <w:sz w:val="22"/>
          <w:szCs w:val="22"/>
          <w:lang w:val="sr-Latn-ME"/>
        </w:rPr>
        <w:tab/>
        <w:t>Jedna bočica koja sadrži prašak lijeka Oktreotid Teva,</w:t>
      </w:r>
    </w:p>
    <w:p w:rsidR="00800547" w:rsidRPr="007E0C0C" w:rsidRDefault="00800547" w:rsidP="00800547">
      <w:pPr>
        <w:jc w:val="both"/>
        <w:rPr>
          <w:sz w:val="22"/>
          <w:szCs w:val="22"/>
          <w:lang w:val="sr-Latn-ME"/>
        </w:rPr>
      </w:pPr>
      <w:r w:rsidRPr="007E0C0C">
        <w:rPr>
          <w:sz w:val="22"/>
          <w:szCs w:val="22"/>
          <w:lang w:val="sr-Latn-ME"/>
        </w:rPr>
        <w:t>b.</w:t>
      </w:r>
      <w:r w:rsidRPr="007E0C0C">
        <w:rPr>
          <w:sz w:val="22"/>
          <w:szCs w:val="22"/>
          <w:lang w:val="sr-Latn-ME"/>
        </w:rPr>
        <w:tab/>
        <w:t>Jedna napunjeni špric koji sadrži rastvarač za rekonstituciju,</w:t>
      </w:r>
    </w:p>
    <w:p w:rsidR="00800547" w:rsidRPr="007E0C0C" w:rsidRDefault="00800547" w:rsidP="00800547">
      <w:pPr>
        <w:jc w:val="both"/>
        <w:rPr>
          <w:sz w:val="22"/>
          <w:szCs w:val="22"/>
          <w:lang w:val="sr-Latn-ME"/>
        </w:rPr>
      </w:pPr>
      <w:r w:rsidRPr="007E0C0C">
        <w:rPr>
          <w:sz w:val="22"/>
          <w:szCs w:val="22"/>
          <w:lang w:val="sr-Latn-ME"/>
        </w:rPr>
        <w:t>c.</w:t>
      </w:r>
      <w:r w:rsidRPr="007E0C0C">
        <w:rPr>
          <w:sz w:val="22"/>
          <w:szCs w:val="22"/>
          <w:lang w:val="sr-Latn-ME"/>
        </w:rPr>
        <w:tab/>
        <w:t>Jedan nastavak za bočicu za rekonstituciju lijeka,</w:t>
      </w:r>
    </w:p>
    <w:p w:rsidR="00800547" w:rsidRPr="007E0C0C" w:rsidRDefault="00800547" w:rsidP="00800547">
      <w:pPr>
        <w:jc w:val="both"/>
        <w:rPr>
          <w:sz w:val="22"/>
          <w:szCs w:val="22"/>
          <w:lang w:val="sr-Latn-ME"/>
        </w:rPr>
      </w:pPr>
      <w:r w:rsidRPr="007E0C0C">
        <w:rPr>
          <w:sz w:val="22"/>
          <w:szCs w:val="22"/>
          <w:lang w:val="sr-Latn-ME"/>
        </w:rPr>
        <w:t>d.</w:t>
      </w:r>
      <w:r w:rsidRPr="007E0C0C">
        <w:rPr>
          <w:sz w:val="22"/>
          <w:szCs w:val="22"/>
          <w:lang w:val="sr-Latn-ME"/>
        </w:rPr>
        <w:tab/>
        <w:t>Jedna sigurnosna igla za injekciju.</w:t>
      </w:r>
    </w:p>
    <w:p w:rsidR="00800547" w:rsidRPr="007E0C0C" w:rsidRDefault="00800547" w:rsidP="00800547">
      <w:pPr>
        <w:jc w:val="both"/>
        <w:rPr>
          <w:sz w:val="22"/>
          <w:szCs w:val="22"/>
          <w:lang w:val="sr-Latn-ME"/>
        </w:rPr>
      </w:pPr>
    </w:p>
    <w:p w:rsidR="00800547" w:rsidRPr="007E0C0C" w:rsidRDefault="00800547" w:rsidP="00800547">
      <w:pPr>
        <w:jc w:val="both"/>
        <w:rPr>
          <w:sz w:val="22"/>
          <w:szCs w:val="22"/>
          <w:lang w:val="sr-Latn-ME"/>
        </w:rPr>
      </w:pPr>
      <w:r w:rsidRPr="007E0C0C">
        <w:rPr>
          <w:sz w:val="22"/>
          <w:szCs w:val="22"/>
          <w:lang w:val="sr-Latn-ME"/>
        </w:rPr>
        <w:t>Pažljivo se pridržavajte uputstava da biste osigurali pravilnu rekonstituciju lijeka Oktreotid Teva</w:t>
      </w:r>
      <w:r w:rsidR="00CB0002" w:rsidRPr="007E0C0C">
        <w:rPr>
          <w:sz w:val="22"/>
          <w:szCs w:val="22"/>
          <w:lang w:val="sr-Latn-ME"/>
        </w:rPr>
        <w:t xml:space="preserve"> p</w:t>
      </w:r>
      <w:r w:rsidRPr="007E0C0C">
        <w:rPr>
          <w:sz w:val="22"/>
          <w:szCs w:val="22"/>
          <w:lang w:val="sr-Latn-ME"/>
        </w:rPr>
        <w:t>rije duboke intramuskularne injekcije.</w:t>
      </w:r>
    </w:p>
    <w:p w:rsidR="00800547" w:rsidRPr="007E0C0C" w:rsidRDefault="00800547" w:rsidP="00800547">
      <w:pPr>
        <w:jc w:val="both"/>
        <w:rPr>
          <w:sz w:val="22"/>
          <w:szCs w:val="22"/>
          <w:lang w:val="sr-Latn-ME"/>
        </w:rPr>
      </w:pPr>
    </w:p>
    <w:p w:rsidR="00800547" w:rsidRPr="00520082" w:rsidRDefault="00800547" w:rsidP="00800547">
      <w:pPr>
        <w:jc w:val="both"/>
        <w:rPr>
          <w:b/>
          <w:sz w:val="22"/>
          <w:szCs w:val="22"/>
          <w:u w:val="single"/>
          <w:lang w:val="sr-Latn-ME"/>
        </w:rPr>
      </w:pPr>
      <w:r w:rsidRPr="007E0C0C">
        <w:rPr>
          <w:sz w:val="22"/>
          <w:szCs w:val="22"/>
          <w:lang w:val="sr-Latn-ME"/>
        </w:rPr>
        <w:t xml:space="preserve">Postoje tri ključna postupka u rekonstituciji lijeka Oktreotid Teva. </w:t>
      </w:r>
      <w:r w:rsidRPr="00520082">
        <w:rPr>
          <w:b/>
          <w:sz w:val="22"/>
          <w:szCs w:val="22"/>
          <w:u w:val="single"/>
          <w:lang w:val="sr-Latn-ME"/>
        </w:rPr>
        <w:t>Ukoliko se ne pridržavate uputstava to može da dovede do neodgovarajuće primjene lijeka.</w:t>
      </w:r>
    </w:p>
    <w:p w:rsidR="00800547" w:rsidRPr="007E0C0C" w:rsidRDefault="00800547" w:rsidP="00800547">
      <w:pPr>
        <w:jc w:val="both"/>
        <w:rPr>
          <w:b/>
          <w:sz w:val="22"/>
          <w:szCs w:val="22"/>
          <w:lang w:val="sr-Latn-ME"/>
        </w:rPr>
      </w:pPr>
    </w:p>
    <w:p w:rsidR="00800547" w:rsidRPr="007E0C0C" w:rsidRDefault="00800547" w:rsidP="00800547">
      <w:pPr>
        <w:numPr>
          <w:ilvl w:val="0"/>
          <w:numId w:val="15"/>
        </w:numPr>
        <w:contextualSpacing/>
        <w:jc w:val="both"/>
        <w:rPr>
          <w:sz w:val="22"/>
          <w:szCs w:val="22"/>
          <w:lang w:val="sr-Latn-ME"/>
        </w:rPr>
      </w:pPr>
      <w:r w:rsidRPr="007E0C0C">
        <w:rPr>
          <w:b/>
          <w:sz w:val="22"/>
          <w:szCs w:val="22"/>
          <w:u w:val="single"/>
          <w:lang w:val="sr-Latn-ME"/>
        </w:rPr>
        <w:t>Komplet za injekciju mora da dostigne sobnu temperaturu</w:t>
      </w:r>
      <w:r w:rsidRPr="007E0C0C">
        <w:rPr>
          <w:sz w:val="22"/>
          <w:szCs w:val="22"/>
          <w:lang w:val="sr-Latn-ME"/>
        </w:rPr>
        <w:t xml:space="preserve">. Izvadite komplet za injekciju iz frižidera i pustite ga da stoji na sobnoj temperaturi najmanje 30 minuta prije rekonstitucije, ali ne duže od 24 časa. </w:t>
      </w:r>
    </w:p>
    <w:p w:rsidR="00800547" w:rsidRPr="007E0C0C" w:rsidRDefault="00800547" w:rsidP="00800547">
      <w:pPr>
        <w:numPr>
          <w:ilvl w:val="0"/>
          <w:numId w:val="15"/>
        </w:numPr>
        <w:contextualSpacing/>
        <w:jc w:val="both"/>
        <w:rPr>
          <w:sz w:val="22"/>
          <w:szCs w:val="22"/>
          <w:lang w:val="sr-Latn-ME"/>
        </w:rPr>
      </w:pPr>
      <w:r w:rsidRPr="007E0C0C">
        <w:rPr>
          <w:sz w:val="22"/>
          <w:szCs w:val="22"/>
          <w:lang w:val="sr-Latn-ME"/>
        </w:rPr>
        <w:t xml:space="preserve">Posle dodavanja rastvarača, </w:t>
      </w:r>
      <w:r w:rsidRPr="007E0C0C">
        <w:rPr>
          <w:b/>
          <w:sz w:val="22"/>
          <w:szCs w:val="22"/>
          <w:lang w:val="sr-Latn-ME"/>
        </w:rPr>
        <w:t xml:space="preserve">osigurajte da prašak bude potpuno </w:t>
      </w:r>
      <w:r w:rsidR="00CB0002" w:rsidRPr="007E0C0C">
        <w:rPr>
          <w:b/>
          <w:sz w:val="22"/>
          <w:szCs w:val="22"/>
          <w:lang w:val="sr-Latn-ME"/>
        </w:rPr>
        <w:t>natopljen</w:t>
      </w:r>
      <w:r w:rsidR="00CB0002" w:rsidRPr="007E0C0C">
        <w:rPr>
          <w:sz w:val="22"/>
          <w:szCs w:val="22"/>
          <w:lang w:val="sr-Latn-ME"/>
        </w:rPr>
        <w:t xml:space="preserve"> </w:t>
      </w:r>
      <w:r w:rsidRPr="007E0C0C">
        <w:rPr>
          <w:sz w:val="22"/>
          <w:szCs w:val="22"/>
          <w:lang w:val="sr-Latn-ME"/>
        </w:rPr>
        <w:t xml:space="preserve">tako što ćete pustiti bočicu da odstoji 5 minuta. </w:t>
      </w:r>
    </w:p>
    <w:p w:rsidR="00800547" w:rsidRPr="007E0C0C" w:rsidRDefault="00800547" w:rsidP="00800547">
      <w:pPr>
        <w:numPr>
          <w:ilvl w:val="0"/>
          <w:numId w:val="15"/>
        </w:numPr>
        <w:contextualSpacing/>
        <w:jc w:val="both"/>
        <w:rPr>
          <w:sz w:val="22"/>
          <w:szCs w:val="22"/>
          <w:lang w:val="sr-Latn-ME"/>
        </w:rPr>
      </w:pPr>
      <w:r w:rsidRPr="007E0C0C">
        <w:rPr>
          <w:sz w:val="22"/>
          <w:szCs w:val="22"/>
          <w:lang w:val="sr-Latn-ME"/>
        </w:rPr>
        <w:t xml:space="preserve">Nakon </w:t>
      </w:r>
      <w:r w:rsidR="00CB0002" w:rsidRPr="007E0C0C">
        <w:rPr>
          <w:sz w:val="22"/>
          <w:szCs w:val="22"/>
          <w:lang w:val="sr-Latn-ME"/>
        </w:rPr>
        <w:t>natapanja</w:t>
      </w:r>
      <w:r w:rsidRPr="007E0C0C">
        <w:rPr>
          <w:sz w:val="22"/>
          <w:szCs w:val="22"/>
          <w:lang w:val="sr-Latn-ME"/>
        </w:rPr>
        <w:t xml:space="preserve">, </w:t>
      </w:r>
      <w:r w:rsidRPr="007E0C0C">
        <w:rPr>
          <w:b/>
          <w:sz w:val="22"/>
          <w:szCs w:val="22"/>
          <w:u w:val="single"/>
          <w:lang w:val="sr-Latn-ME"/>
        </w:rPr>
        <w:t>umjereno tresite bočicu</w:t>
      </w:r>
      <w:r w:rsidRPr="007E0C0C">
        <w:rPr>
          <w:sz w:val="22"/>
          <w:szCs w:val="22"/>
          <w:lang w:val="sr-Latn-ME"/>
        </w:rPr>
        <w:t xml:space="preserve"> u horizontalnom pravcu najmanje 30 sekundi </w:t>
      </w:r>
      <w:r w:rsidRPr="00520082">
        <w:rPr>
          <w:b/>
          <w:sz w:val="22"/>
          <w:szCs w:val="22"/>
          <w:u w:val="single"/>
          <w:lang w:val="sr-Latn-ME"/>
        </w:rPr>
        <w:t>dok se ne formira ujednačena suspenzija.</w:t>
      </w:r>
      <w:r w:rsidRPr="007E0C0C">
        <w:rPr>
          <w:sz w:val="22"/>
          <w:szCs w:val="22"/>
          <w:lang w:val="sr-Latn-ME"/>
        </w:rPr>
        <w:t xml:space="preserve"> Suspenzija lijeka Oktreotid Teva mora se pripremiti tek </w:t>
      </w:r>
      <w:r w:rsidRPr="00520082">
        <w:rPr>
          <w:b/>
          <w:sz w:val="22"/>
          <w:szCs w:val="22"/>
          <w:lang w:val="sr-Latn-ME"/>
        </w:rPr>
        <w:t>neposredno</w:t>
      </w:r>
      <w:r w:rsidRPr="007E0C0C">
        <w:rPr>
          <w:sz w:val="22"/>
          <w:szCs w:val="22"/>
          <w:lang w:val="sr-Latn-ME"/>
        </w:rPr>
        <w:t xml:space="preserve"> prije primjene. </w:t>
      </w:r>
    </w:p>
    <w:p w:rsidR="00800547" w:rsidRPr="007E0C0C" w:rsidRDefault="00800547" w:rsidP="00800547">
      <w:pPr>
        <w:jc w:val="both"/>
        <w:rPr>
          <w:sz w:val="22"/>
          <w:szCs w:val="22"/>
          <w:lang w:val="sr-Latn-ME"/>
        </w:rPr>
      </w:pPr>
    </w:p>
    <w:p w:rsidR="00800547" w:rsidRPr="007E0C0C" w:rsidRDefault="00800547" w:rsidP="00800547">
      <w:pPr>
        <w:jc w:val="both"/>
        <w:rPr>
          <w:sz w:val="22"/>
          <w:szCs w:val="22"/>
          <w:lang w:val="sr-Latn-ME"/>
        </w:rPr>
      </w:pPr>
      <w:r w:rsidRPr="007E0C0C">
        <w:rPr>
          <w:sz w:val="22"/>
          <w:szCs w:val="22"/>
          <w:lang w:val="sr-Latn-ME"/>
        </w:rPr>
        <w:t>Lijek Oktreotid Teva treba da primjenjuju samo obučeni zdravstveni radnici</w:t>
      </w:r>
    </w:p>
    <w:p w:rsidR="00800547" w:rsidRPr="007E0C0C" w:rsidRDefault="00800547" w:rsidP="00800547">
      <w:pPr>
        <w:rPr>
          <w:sz w:val="22"/>
          <w:szCs w:val="22"/>
          <w:lang w:val="sr-Latn-ME"/>
        </w:rPr>
      </w:pPr>
    </w:p>
    <w:p w:rsidR="00800547" w:rsidRPr="007E0C0C" w:rsidRDefault="00800547" w:rsidP="00800547">
      <w:pPr>
        <w:tabs>
          <w:tab w:val="left" w:pos="567"/>
        </w:tabs>
        <w:rPr>
          <w:b/>
          <w:sz w:val="22"/>
          <w:szCs w:val="22"/>
          <w:lang w:val="sr-Latn-ME"/>
        </w:rPr>
      </w:pPr>
      <w:r w:rsidRPr="007E0C0C">
        <w:rPr>
          <w:b/>
          <w:sz w:val="22"/>
          <w:szCs w:val="22"/>
          <w:lang w:val="sr-Latn-ME"/>
        </w:rPr>
        <w:t>1. korak</w:t>
      </w:r>
    </w:p>
    <w:p w:rsidR="00800547" w:rsidRPr="007E0C0C" w:rsidRDefault="00800547" w:rsidP="00800547">
      <w:pPr>
        <w:tabs>
          <w:tab w:val="left" w:pos="567"/>
        </w:tabs>
        <w:rPr>
          <w:b/>
          <w:sz w:val="22"/>
          <w:szCs w:val="22"/>
          <w:lang w:val="sr-Latn-ME"/>
        </w:rPr>
      </w:pPr>
    </w:p>
    <w:p w:rsidR="00800547" w:rsidRPr="007E0C0C" w:rsidRDefault="00800547" w:rsidP="00800547">
      <w:pPr>
        <w:tabs>
          <w:tab w:val="left" w:pos="567"/>
        </w:tabs>
        <w:rPr>
          <w:sz w:val="22"/>
          <w:szCs w:val="22"/>
          <w:lang w:val="sr-Latn-ME"/>
        </w:rPr>
      </w:pPr>
      <w:r w:rsidRPr="007E0C0C">
        <w:rPr>
          <w:noProof/>
          <w:sz w:val="22"/>
          <w:szCs w:val="22"/>
        </w:rPr>
        <w:drawing>
          <wp:anchor distT="0" distB="0" distL="114300" distR="114300" simplePos="0" relativeHeight="251666432" behindDoc="0" locked="0" layoutInCell="1" allowOverlap="1" wp14:anchorId="3B11B0BD" wp14:editId="30B61528">
            <wp:simplePos x="0" y="0"/>
            <wp:positionH relativeFrom="column">
              <wp:posOffset>4387215</wp:posOffset>
            </wp:positionH>
            <wp:positionV relativeFrom="paragraph">
              <wp:posOffset>106045</wp:posOffset>
            </wp:positionV>
            <wp:extent cx="1410335" cy="119888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0335"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0C">
        <w:rPr>
          <w:sz w:val="22"/>
          <w:szCs w:val="22"/>
          <w:lang w:val="sr-Latn-ME"/>
        </w:rPr>
        <w:t>• Izvadite Oktreotid Teva komplet za injekciju iz frižidera.</w:t>
      </w:r>
    </w:p>
    <w:p w:rsidR="00800547" w:rsidRPr="007E0C0C" w:rsidRDefault="00800547" w:rsidP="00800547">
      <w:pPr>
        <w:tabs>
          <w:tab w:val="left" w:pos="567"/>
        </w:tabs>
        <w:rPr>
          <w:sz w:val="22"/>
          <w:szCs w:val="22"/>
          <w:lang w:val="sr-Latn-ME"/>
        </w:rPr>
      </w:pPr>
    </w:p>
    <w:p w:rsidR="00800547" w:rsidRPr="007E0C0C" w:rsidRDefault="00800547" w:rsidP="00800547">
      <w:pPr>
        <w:tabs>
          <w:tab w:val="left" w:pos="567"/>
        </w:tabs>
        <w:rPr>
          <w:sz w:val="22"/>
          <w:szCs w:val="22"/>
          <w:lang w:val="sr-Latn-ME"/>
        </w:rPr>
      </w:pPr>
      <w:r w:rsidRPr="007E0C0C">
        <w:rPr>
          <w:b/>
          <w:bCs/>
          <w:sz w:val="22"/>
          <w:szCs w:val="22"/>
          <w:lang w:val="sr-Latn-ME"/>
        </w:rPr>
        <w:t>OPREZ:</w:t>
      </w:r>
      <w:r w:rsidRPr="007E0C0C">
        <w:rPr>
          <w:sz w:val="22"/>
          <w:szCs w:val="22"/>
          <w:lang w:val="sr-Latn-ME"/>
        </w:rPr>
        <w:t xml:space="preserve"> </w:t>
      </w:r>
      <w:r w:rsidRPr="007E0C0C">
        <w:rPr>
          <w:b/>
          <w:sz w:val="22"/>
          <w:szCs w:val="22"/>
          <w:lang w:val="sr-Latn-ME"/>
        </w:rPr>
        <w:t>Veoma je važno da postupak rekonstitucije započnete tek nakon što komplet za injekciju dostigne sobnu temperaturu. Ostavite komplet da odstoji na sobnoj temperaturi najmanje 30 minuta pre rekonstitucije, ali ne duže od 24 časa.</w:t>
      </w:r>
    </w:p>
    <w:p w:rsidR="00800547" w:rsidRPr="007E0C0C" w:rsidRDefault="00800547" w:rsidP="00800547">
      <w:pPr>
        <w:tabs>
          <w:tab w:val="left" w:pos="567"/>
        </w:tabs>
        <w:rPr>
          <w:sz w:val="22"/>
          <w:szCs w:val="22"/>
          <w:lang w:val="sr-Latn-ME"/>
        </w:rPr>
      </w:pPr>
    </w:p>
    <w:p w:rsidR="00800547" w:rsidRPr="007E0C0C" w:rsidRDefault="00800547" w:rsidP="00800547">
      <w:pPr>
        <w:tabs>
          <w:tab w:val="left" w:pos="567"/>
        </w:tabs>
        <w:rPr>
          <w:sz w:val="22"/>
          <w:szCs w:val="20"/>
          <w:lang w:val="sr-Latn-ME"/>
        </w:rPr>
      </w:pPr>
      <w:r w:rsidRPr="007E0C0C">
        <w:rPr>
          <w:sz w:val="22"/>
          <w:szCs w:val="20"/>
          <w:lang w:val="sr-Latn-ME"/>
        </w:rPr>
        <w:t>Napomena: Komplet za injekciju može se ponovno staviti u frižider ako bude potrebno.</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r w:rsidRPr="007E0C0C">
        <w:rPr>
          <w:noProof/>
          <w:sz w:val="22"/>
          <w:szCs w:val="20"/>
        </w:rPr>
        <w:lastRenderedPageBreak/>
        <w:drawing>
          <wp:anchor distT="0" distB="0" distL="114300" distR="114300" simplePos="0" relativeHeight="251659264" behindDoc="0" locked="0" layoutInCell="1" allowOverlap="1" wp14:anchorId="545678D8" wp14:editId="1466E418">
            <wp:simplePos x="0" y="0"/>
            <wp:positionH relativeFrom="column">
              <wp:posOffset>3688715</wp:posOffset>
            </wp:positionH>
            <wp:positionV relativeFrom="paragraph">
              <wp:posOffset>67310</wp:posOffset>
            </wp:positionV>
            <wp:extent cx="2489835" cy="209613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9835" cy="209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0C">
        <w:rPr>
          <w:b/>
          <w:sz w:val="22"/>
          <w:szCs w:val="20"/>
          <w:lang w:val="sr-Latn-ME"/>
        </w:rPr>
        <w:t>2. korak</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r w:rsidRPr="007E0C0C">
        <w:rPr>
          <w:sz w:val="22"/>
          <w:szCs w:val="20"/>
          <w:lang w:val="sr-Latn-ME"/>
        </w:rPr>
        <w:t>• Uklonite plastičnu kapicu sa bočice i očistite gumeni čep bočice alkoholnom vatom.</w:t>
      </w:r>
    </w:p>
    <w:p w:rsidR="00800547" w:rsidRPr="007E0C0C" w:rsidRDefault="00800547" w:rsidP="00800547">
      <w:pPr>
        <w:tabs>
          <w:tab w:val="left" w:pos="567"/>
        </w:tabs>
        <w:rPr>
          <w:sz w:val="22"/>
          <w:szCs w:val="20"/>
          <w:lang w:val="sr-Latn-ME"/>
        </w:rPr>
      </w:pPr>
      <w:r w:rsidRPr="007E0C0C">
        <w:rPr>
          <w:sz w:val="22"/>
          <w:szCs w:val="20"/>
          <w:lang w:val="sr-Latn-ME"/>
        </w:rPr>
        <w:t>• Uklonite blister</w:t>
      </w:r>
      <w:r w:rsidR="00CB0002" w:rsidRPr="007E0C0C">
        <w:rPr>
          <w:sz w:val="22"/>
          <w:szCs w:val="20"/>
          <w:lang w:val="sr-Latn-ME"/>
        </w:rPr>
        <w:t xml:space="preserve"> foliju</w:t>
      </w:r>
      <w:r w:rsidRPr="007E0C0C">
        <w:rPr>
          <w:sz w:val="22"/>
          <w:szCs w:val="20"/>
          <w:lang w:val="sr-Latn-ME"/>
        </w:rPr>
        <w:t xml:space="preserve"> sa pakovanja nastavka za bočicu i izvadite nastavak iz pakovanja držeći ga između kapice i tijela nastavka. </w:t>
      </w:r>
      <w:r w:rsidRPr="007E0C0C">
        <w:rPr>
          <w:b/>
          <w:sz w:val="22"/>
          <w:szCs w:val="20"/>
          <w:lang w:val="sr-Latn-ME"/>
        </w:rPr>
        <w:t>NE</w:t>
      </w:r>
      <w:r w:rsidRPr="007E0C0C">
        <w:rPr>
          <w:sz w:val="22"/>
          <w:szCs w:val="20"/>
          <w:lang w:val="sr-Latn-ME"/>
        </w:rPr>
        <w:t xml:space="preserve"> dirajte dio nastavka koji ide na bočicu.</w:t>
      </w:r>
    </w:p>
    <w:p w:rsidR="00800547" w:rsidRPr="007E0C0C" w:rsidRDefault="00800547" w:rsidP="00800547">
      <w:pPr>
        <w:tabs>
          <w:tab w:val="left" w:pos="567"/>
        </w:tabs>
        <w:rPr>
          <w:sz w:val="22"/>
          <w:szCs w:val="20"/>
          <w:lang w:val="sr-Latn-ME"/>
        </w:rPr>
      </w:pPr>
      <w:r w:rsidRPr="007E0C0C">
        <w:rPr>
          <w:sz w:val="22"/>
          <w:szCs w:val="20"/>
          <w:lang w:val="sr-Latn-ME"/>
        </w:rPr>
        <w:t>• Postavite bočicu na ravnu površinu. Nastavak za bočicu postavite na vrh bočice i gurnite ga do kraja prema dolje dok ne čujete „klik“ koji znači da je nastavak nalegao na svoje mjesto.</w:t>
      </w:r>
    </w:p>
    <w:p w:rsidR="00800547" w:rsidRPr="007E0C0C" w:rsidRDefault="00800547" w:rsidP="00800547">
      <w:pPr>
        <w:tabs>
          <w:tab w:val="left" w:pos="567"/>
        </w:tabs>
        <w:rPr>
          <w:sz w:val="22"/>
          <w:szCs w:val="20"/>
          <w:lang w:val="sr-Latn-ME"/>
        </w:rPr>
      </w:pPr>
      <w:r w:rsidRPr="007E0C0C">
        <w:rPr>
          <w:sz w:val="22"/>
          <w:szCs w:val="20"/>
          <w:lang w:val="sr-Latn-ME"/>
        </w:rPr>
        <w:t xml:space="preserve">• Očistite vrh nastavka za bočicu alkoholnom vatom. </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r w:rsidRPr="007E0C0C">
        <w:rPr>
          <w:noProof/>
          <w:sz w:val="22"/>
          <w:szCs w:val="20"/>
        </w:rPr>
        <w:drawing>
          <wp:anchor distT="0" distB="0" distL="114300" distR="114300" simplePos="0" relativeHeight="251660288" behindDoc="0" locked="0" layoutInCell="1" allowOverlap="1" wp14:anchorId="4A49163B" wp14:editId="70E6A109">
            <wp:simplePos x="0" y="0"/>
            <wp:positionH relativeFrom="column">
              <wp:posOffset>3422075</wp:posOffset>
            </wp:positionH>
            <wp:positionV relativeFrom="paragraph">
              <wp:posOffset>115570</wp:posOffset>
            </wp:positionV>
            <wp:extent cx="2861945" cy="12579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1945"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0C">
        <w:rPr>
          <w:b/>
          <w:sz w:val="22"/>
          <w:szCs w:val="20"/>
          <w:lang w:val="sr-Latn-ME"/>
        </w:rPr>
        <w:t>3. korak</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r w:rsidRPr="007E0C0C">
        <w:rPr>
          <w:sz w:val="22"/>
          <w:szCs w:val="20"/>
          <w:lang w:val="sr-Latn-ME"/>
        </w:rPr>
        <w:t xml:space="preserve">• Uklonite glatku bijelu kapicu sa šprica napunjenog   </w:t>
      </w:r>
    </w:p>
    <w:p w:rsidR="00800547" w:rsidRPr="007E0C0C" w:rsidRDefault="00800547" w:rsidP="00800547">
      <w:pPr>
        <w:tabs>
          <w:tab w:val="left" w:pos="567"/>
        </w:tabs>
        <w:rPr>
          <w:sz w:val="22"/>
          <w:szCs w:val="20"/>
          <w:lang w:val="sr-Latn-ME"/>
        </w:rPr>
      </w:pPr>
      <w:r w:rsidRPr="007E0C0C">
        <w:rPr>
          <w:sz w:val="22"/>
          <w:szCs w:val="20"/>
          <w:lang w:val="sr-Latn-ME"/>
        </w:rPr>
        <w:t xml:space="preserve">   rastvaračem i zavrtanjem pričvrstite špric na</w:t>
      </w:r>
    </w:p>
    <w:p w:rsidR="00800547" w:rsidRPr="007E0C0C" w:rsidRDefault="00800547" w:rsidP="00800547">
      <w:pPr>
        <w:tabs>
          <w:tab w:val="left" w:pos="567"/>
        </w:tabs>
        <w:rPr>
          <w:sz w:val="22"/>
          <w:szCs w:val="20"/>
          <w:lang w:val="sr-Latn-ME"/>
        </w:rPr>
      </w:pPr>
      <w:r w:rsidRPr="007E0C0C">
        <w:rPr>
          <w:sz w:val="22"/>
          <w:szCs w:val="20"/>
          <w:lang w:val="sr-Latn-ME"/>
        </w:rPr>
        <w:t xml:space="preserve">   nastavak za bočicu.</w:t>
      </w:r>
    </w:p>
    <w:p w:rsidR="00800547" w:rsidRPr="007E0C0C" w:rsidRDefault="00800547" w:rsidP="00800547">
      <w:pPr>
        <w:tabs>
          <w:tab w:val="left" w:pos="567"/>
        </w:tabs>
        <w:rPr>
          <w:sz w:val="22"/>
          <w:szCs w:val="20"/>
          <w:lang w:val="sr-Latn-ME"/>
        </w:rPr>
      </w:pPr>
      <w:r w:rsidRPr="007E0C0C">
        <w:rPr>
          <w:sz w:val="22"/>
          <w:szCs w:val="20"/>
          <w:lang w:val="sr-Latn-ME"/>
        </w:rPr>
        <w:t>• Polako gurnite klip do kraja kako biste prebacili</w:t>
      </w:r>
    </w:p>
    <w:p w:rsidR="00800547" w:rsidRPr="007E0C0C" w:rsidRDefault="00800547" w:rsidP="00800547">
      <w:pPr>
        <w:tabs>
          <w:tab w:val="left" w:pos="567"/>
        </w:tabs>
        <w:rPr>
          <w:sz w:val="22"/>
          <w:szCs w:val="20"/>
          <w:lang w:val="sr-Latn-ME"/>
        </w:rPr>
      </w:pPr>
      <w:r w:rsidRPr="007E0C0C">
        <w:rPr>
          <w:sz w:val="22"/>
          <w:szCs w:val="20"/>
          <w:lang w:val="sr-Latn-ME"/>
        </w:rPr>
        <w:t xml:space="preserve">  rastvarač u bočicu.</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r w:rsidRPr="007E0C0C">
        <w:rPr>
          <w:b/>
          <w:noProof/>
          <w:sz w:val="22"/>
          <w:szCs w:val="20"/>
          <w:lang w:val="sr-Latn-ME" w:eastAsia="en-GB" w:bidi="he-IL"/>
        </w:rPr>
        <w:t>4. korak</w:t>
      </w:r>
    </w:p>
    <w:p w:rsidR="00800547" w:rsidRPr="007E0C0C" w:rsidRDefault="00800547" w:rsidP="00800547">
      <w:pPr>
        <w:tabs>
          <w:tab w:val="left" w:pos="567"/>
        </w:tabs>
        <w:rPr>
          <w:b/>
          <w:sz w:val="22"/>
          <w:szCs w:val="20"/>
          <w:lang w:val="sr-Latn-ME"/>
        </w:rPr>
      </w:pPr>
      <w:r w:rsidRPr="007E0C0C">
        <w:rPr>
          <w:b/>
          <w:noProof/>
          <w:sz w:val="22"/>
          <w:szCs w:val="20"/>
        </w:rPr>
        <w:drawing>
          <wp:anchor distT="0" distB="0" distL="114300" distR="114300" simplePos="0" relativeHeight="251661312" behindDoc="0" locked="0" layoutInCell="1" allowOverlap="1" wp14:anchorId="5ABCBAAC" wp14:editId="1552419D">
            <wp:simplePos x="0" y="0"/>
            <wp:positionH relativeFrom="column">
              <wp:posOffset>4373629</wp:posOffset>
            </wp:positionH>
            <wp:positionV relativeFrom="paragraph">
              <wp:posOffset>62194</wp:posOffset>
            </wp:positionV>
            <wp:extent cx="1390650" cy="11906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547" w:rsidRPr="007E0C0C" w:rsidRDefault="00800547" w:rsidP="00800547">
      <w:pPr>
        <w:tabs>
          <w:tab w:val="left" w:pos="567"/>
        </w:tabs>
        <w:rPr>
          <w:b/>
          <w:sz w:val="22"/>
          <w:szCs w:val="20"/>
          <w:lang w:val="sr-Latn-ME"/>
        </w:rPr>
      </w:pPr>
      <w:r w:rsidRPr="007E0C0C">
        <w:rPr>
          <w:b/>
          <w:sz w:val="22"/>
          <w:szCs w:val="20"/>
          <w:lang w:val="sr-Latn-ME"/>
        </w:rPr>
        <w:t>OPREZ: Veoma je važno da bočica odstoji 5 minuta kako bi se omogućila potpun</w:t>
      </w:r>
      <w:r w:rsidR="00CB0002" w:rsidRPr="007E0C0C">
        <w:rPr>
          <w:b/>
          <w:sz w:val="22"/>
          <w:szCs w:val="20"/>
          <w:lang w:val="sr-Latn-ME"/>
        </w:rPr>
        <w:t>o</w:t>
      </w:r>
      <w:r w:rsidRPr="007E0C0C">
        <w:rPr>
          <w:b/>
          <w:sz w:val="22"/>
          <w:szCs w:val="20"/>
          <w:lang w:val="sr-Latn-ME"/>
        </w:rPr>
        <w:t xml:space="preserve"> </w:t>
      </w:r>
      <w:r w:rsidR="00CB0002" w:rsidRPr="007E0C0C">
        <w:rPr>
          <w:b/>
          <w:sz w:val="22"/>
          <w:szCs w:val="20"/>
          <w:lang w:val="sr-Latn-ME"/>
        </w:rPr>
        <w:t>natapanje</w:t>
      </w:r>
      <w:r w:rsidRPr="007E0C0C">
        <w:rPr>
          <w:b/>
          <w:sz w:val="22"/>
          <w:szCs w:val="20"/>
          <w:lang w:val="sr-Latn-ME"/>
        </w:rPr>
        <w:t xml:space="preserve"> praška rastvaračem. </w:t>
      </w:r>
    </w:p>
    <w:p w:rsidR="00800547" w:rsidRPr="007E0C0C" w:rsidRDefault="00800547" w:rsidP="00800547">
      <w:pPr>
        <w:tabs>
          <w:tab w:val="left" w:pos="567"/>
        </w:tabs>
        <w:rPr>
          <w:sz w:val="22"/>
          <w:szCs w:val="20"/>
          <w:lang w:val="sr-Latn-ME"/>
        </w:rPr>
      </w:pPr>
      <w:r w:rsidRPr="007E0C0C">
        <w:rPr>
          <w:sz w:val="22"/>
          <w:szCs w:val="20"/>
          <w:lang w:val="sr-Latn-ME"/>
        </w:rPr>
        <w:t xml:space="preserve">Napomena: Normalno je da se štap klipa pomjeri na gore </w:t>
      </w:r>
      <w:r w:rsidR="00CB0002" w:rsidRPr="007E0C0C">
        <w:rPr>
          <w:sz w:val="22"/>
          <w:szCs w:val="20"/>
          <w:lang w:val="sr-Latn-ME"/>
        </w:rPr>
        <w:t>usljed blago povišenog pritiska u bočici</w:t>
      </w:r>
      <w:r w:rsidRPr="007E0C0C">
        <w:rPr>
          <w:sz w:val="22"/>
          <w:szCs w:val="20"/>
          <w:lang w:val="sr-Latn-ME"/>
        </w:rPr>
        <w:t xml:space="preserve">. </w:t>
      </w:r>
    </w:p>
    <w:p w:rsidR="00800547" w:rsidRPr="007E0C0C" w:rsidRDefault="00800547" w:rsidP="00800547">
      <w:pPr>
        <w:tabs>
          <w:tab w:val="left" w:pos="567"/>
        </w:tabs>
        <w:rPr>
          <w:b/>
          <w:sz w:val="22"/>
          <w:szCs w:val="20"/>
          <w:lang w:val="sr-Latn-ME"/>
        </w:rPr>
      </w:pPr>
      <w:r w:rsidRPr="007E0C0C">
        <w:rPr>
          <w:b/>
          <w:sz w:val="22"/>
          <w:szCs w:val="20"/>
          <w:lang w:val="sr-Latn-ME"/>
        </w:rPr>
        <w:t>• U ovoj fazi pripremite pacijenta za injekciju.</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r w:rsidRPr="007E0C0C">
        <w:rPr>
          <w:b/>
          <w:sz w:val="22"/>
          <w:szCs w:val="20"/>
          <w:lang w:val="sr-Latn-ME"/>
        </w:rPr>
        <w:t>5. korak</w:t>
      </w:r>
    </w:p>
    <w:p w:rsidR="00800547" w:rsidRPr="007E0C0C" w:rsidRDefault="00800547" w:rsidP="00800547">
      <w:pPr>
        <w:tabs>
          <w:tab w:val="left" w:pos="567"/>
        </w:tabs>
        <w:rPr>
          <w:b/>
          <w:sz w:val="22"/>
          <w:szCs w:val="20"/>
          <w:lang w:val="sr-Latn-ME"/>
        </w:rPr>
      </w:pPr>
      <w:r w:rsidRPr="007E0C0C">
        <w:rPr>
          <w:b/>
          <w:noProof/>
          <w:sz w:val="22"/>
          <w:szCs w:val="20"/>
        </w:rPr>
        <w:drawing>
          <wp:anchor distT="0" distB="0" distL="114300" distR="114300" simplePos="0" relativeHeight="251662336" behindDoc="0" locked="0" layoutInCell="1" allowOverlap="1" wp14:anchorId="0FABD172" wp14:editId="4D8EB8BD">
            <wp:simplePos x="0" y="0"/>
            <wp:positionH relativeFrom="column">
              <wp:posOffset>4173220</wp:posOffset>
            </wp:positionH>
            <wp:positionV relativeFrom="paragraph">
              <wp:posOffset>116588</wp:posOffset>
            </wp:positionV>
            <wp:extent cx="1821180" cy="1216660"/>
            <wp:effectExtent l="0" t="0" r="762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118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547" w:rsidRPr="007E0C0C" w:rsidRDefault="00800547" w:rsidP="00800547">
      <w:pPr>
        <w:tabs>
          <w:tab w:val="left" w:pos="567"/>
        </w:tabs>
        <w:rPr>
          <w:sz w:val="22"/>
          <w:szCs w:val="20"/>
          <w:lang w:val="sr-Latn-ME"/>
        </w:rPr>
      </w:pPr>
      <w:r w:rsidRPr="007E0C0C">
        <w:rPr>
          <w:sz w:val="22"/>
          <w:szCs w:val="20"/>
          <w:lang w:val="sr-Latn-ME"/>
        </w:rPr>
        <w:t xml:space="preserve">• Nakon perioda </w:t>
      </w:r>
      <w:r w:rsidR="00CB0002" w:rsidRPr="007E0C0C">
        <w:rPr>
          <w:sz w:val="22"/>
          <w:szCs w:val="20"/>
          <w:lang w:val="sr-Latn-ME"/>
        </w:rPr>
        <w:t>natapanja</w:t>
      </w:r>
      <w:r w:rsidRPr="007E0C0C">
        <w:rPr>
          <w:sz w:val="22"/>
          <w:szCs w:val="20"/>
          <w:lang w:val="sr-Latn-ME"/>
        </w:rPr>
        <w:t xml:space="preserve">, provjerite da li je klip gurnut do kraja u špric. </w:t>
      </w:r>
    </w:p>
    <w:p w:rsidR="00800547" w:rsidRPr="007E0C0C" w:rsidRDefault="00800547" w:rsidP="00800547">
      <w:pPr>
        <w:tabs>
          <w:tab w:val="left" w:pos="567"/>
        </w:tabs>
        <w:rPr>
          <w:b/>
          <w:sz w:val="22"/>
          <w:szCs w:val="20"/>
          <w:lang w:val="sr-Latn-ME"/>
        </w:rPr>
      </w:pPr>
      <w:r w:rsidRPr="007E0C0C">
        <w:rPr>
          <w:b/>
          <w:sz w:val="22"/>
          <w:szCs w:val="20"/>
          <w:lang w:val="sr-Latn-ME"/>
        </w:rPr>
        <w:t>OPREZ:</w:t>
      </w:r>
      <w:r w:rsidRPr="007E0C0C">
        <w:rPr>
          <w:sz w:val="22"/>
          <w:szCs w:val="20"/>
          <w:lang w:val="sr-Latn-ME"/>
        </w:rPr>
        <w:t xml:space="preserve"> Držite klip pritisnut i </w:t>
      </w:r>
      <w:r w:rsidRPr="007E0C0C">
        <w:rPr>
          <w:b/>
          <w:sz w:val="22"/>
          <w:szCs w:val="20"/>
          <w:lang w:val="sr-Latn-ME"/>
        </w:rPr>
        <w:t>umjereno</w:t>
      </w:r>
      <w:r w:rsidRPr="007E0C0C">
        <w:rPr>
          <w:sz w:val="22"/>
          <w:szCs w:val="20"/>
          <w:lang w:val="sr-Latn-ME"/>
        </w:rPr>
        <w:t xml:space="preserve"> tresite bočicu u vodoravnom smjeru najmanje 30 sekundi kako bi se prašak u potpunosti suspendovao (ujednačena mliječna suspenzija). </w:t>
      </w:r>
      <w:r w:rsidRPr="007E0C0C">
        <w:rPr>
          <w:b/>
          <w:sz w:val="22"/>
          <w:szCs w:val="20"/>
          <w:lang w:val="sr-Latn-ME"/>
        </w:rPr>
        <w:t>Ponovo umjereno tresite još 30 sekundi ako se prašak nije u potpunosti suspendovao.</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r w:rsidRPr="007E0C0C">
        <w:rPr>
          <w:noProof/>
          <w:sz w:val="22"/>
          <w:szCs w:val="20"/>
        </w:rPr>
        <w:lastRenderedPageBreak/>
        <w:drawing>
          <wp:anchor distT="0" distB="0" distL="114300" distR="114300" simplePos="0" relativeHeight="251663360" behindDoc="0" locked="0" layoutInCell="1" allowOverlap="1" wp14:anchorId="7751F895" wp14:editId="1EBA68BD">
            <wp:simplePos x="0" y="0"/>
            <wp:positionH relativeFrom="column">
              <wp:posOffset>4306570</wp:posOffset>
            </wp:positionH>
            <wp:positionV relativeFrom="paragraph">
              <wp:posOffset>59043</wp:posOffset>
            </wp:positionV>
            <wp:extent cx="1524000" cy="2628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0C">
        <w:rPr>
          <w:b/>
          <w:sz w:val="22"/>
          <w:szCs w:val="20"/>
          <w:lang w:val="sr-Latn-ME"/>
        </w:rPr>
        <w:t>6. korak</w:t>
      </w: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sz w:val="22"/>
          <w:szCs w:val="20"/>
          <w:lang w:val="sr-Latn-ME"/>
        </w:rPr>
      </w:pPr>
      <w:r w:rsidRPr="007E0C0C">
        <w:rPr>
          <w:sz w:val="22"/>
          <w:szCs w:val="20"/>
          <w:lang w:val="sr-Latn-ME"/>
        </w:rPr>
        <w:t>• Okrenite špric i bočicu naopako, polako povucite klip unazad i izvucite sav sadržaj iz bočice u špric.</w:t>
      </w:r>
    </w:p>
    <w:p w:rsidR="00800547" w:rsidRPr="007E0C0C" w:rsidRDefault="00800547" w:rsidP="00800547">
      <w:pPr>
        <w:tabs>
          <w:tab w:val="left" w:pos="567"/>
        </w:tabs>
        <w:rPr>
          <w:sz w:val="22"/>
          <w:szCs w:val="20"/>
          <w:lang w:val="sr-Latn-ME"/>
        </w:rPr>
      </w:pPr>
      <w:r w:rsidRPr="007E0C0C">
        <w:rPr>
          <w:sz w:val="22"/>
          <w:szCs w:val="20"/>
          <w:lang w:val="sr-Latn-ME"/>
        </w:rPr>
        <w:t>• Odvrnite špric sa nastavka za bočicu.</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r w:rsidRPr="007E0C0C">
        <w:rPr>
          <w:noProof/>
          <w:sz w:val="22"/>
          <w:szCs w:val="20"/>
        </w:rPr>
        <w:drawing>
          <wp:anchor distT="0" distB="0" distL="114300" distR="114300" simplePos="0" relativeHeight="251664384" behindDoc="0" locked="0" layoutInCell="1" allowOverlap="1" wp14:anchorId="7050D0D5" wp14:editId="676861BB">
            <wp:simplePos x="0" y="0"/>
            <wp:positionH relativeFrom="column">
              <wp:posOffset>4313184</wp:posOffset>
            </wp:positionH>
            <wp:positionV relativeFrom="paragraph">
              <wp:posOffset>155970</wp:posOffset>
            </wp:positionV>
            <wp:extent cx="1864360" cy="231013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4360" cy="231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0C">
        <w:rPr>
          <w:b/>
          <w:sz w:val="22"/>
          <w:szCs w:val="20"/>
          <w:lang w:val="sr-Latn-ME"/>
        </w:rPr>
        <w:t>7. korak</w:t>
      </w: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sz w:val="22"/>
          <w:szCs w:val="20"/>
          <w:lang w:val="sr-Latn-ME"/>
        </w:rPr>
      </w:pPr>
      <w:r w:rsidRPr="007E0C0C">
        <w:rPr>
          <w:sz w:val="22"/>
          <w:szCs w:val="20"/>
          <w:lang w:val="sr-Latn-ME"/>
        </w:rPr>
        <w:t xml:space="preserve">• Pripremite mjesto primjene injekcije alkoholnom vatom. </w:t>
      </w:r>
    </w:p>
    <w:p w:rsidR="00800547" w:rsidRPr="007E0C0C" w:rsidRDefault="00800547" w:rsidP="00800547">
      <w:pPr>
        <w:tabs>
          <w:tab w:val="left" w:pos="567"/>
        </w:tabs>
        <w:rPr>
          <w:sz w:val="22"/>
          <w:szCs w:val="20"/>
          <w:lang w:val="sr-Latn-ME"/>
        </w:rPr>
      </w:pPr>
      <w:r w:rsidRPr="007E0C0C">
        <w:rPr>
          <w:b/>
          <w:sz w:val="22"/>
          <w:szCs w:val="20"/>
          <w:lang w:val="sr-Latn-ME"/>
        </w:rPr>
        <w:t>•</w:t>
      </w:r>
      <w:r w:rsidRPr="007E0C0C">
        <w:rPr>
          <w:sz w:val="22"/>
          <w:szCs w:val="20"/>
          <w:lang w:val="sr-Latn-ME"/>
        </w:rPr>
        <w:t xml:space="preserve"> Zavrnite sigurnosnu iglu za injekciju na špric.</w:t>
      </w:r>
    </w:p>
    <w:p w:rsidR="00800547" w:rsidRPr="007E0C0C" w:rsidRDefault="00800547" w:rsidP="00800547">
      <w:pPr>
        <w:tabs>
          <w:tab w:val="left" w:pos="567"/>
        </w:tabs>
        <w:rPr>
          <w:sz w:val="22"/>
          <w:szCs w:val="20"/>
          <w:lang w:val="sr-Latn-ME"/>
        </w:rPr>
      </w:pPr>
      <w:r w:rsidRPr="007E0C0C">
        <w:rPr>
          <w:b/>
          <w:sz w:val="22"/>
          <w:szCs w:val="20"/>
          <w:lang w:val="sr-Latn-ME"/>
        </w:rPr>
        <w:t>•</w:t>
      </w:r>
      <w:r w:rsidRPr="007E0C0C">
        <w:rPr>
          <w:sz w:val="22"/>
          <w:szCs w:val="20"/>
          <w:lang w:val="sr-Latn-ME"/>
        </w:rPr>
        <w:t xml:space="preserve"> Ukoliko neće odmah biti primijenjen, lagano </w:t>
      </w:r>
      <w:r w:rsidRPr="007E0C0C">
        <w:rPr>
          <w:b/>
          <w:sz w:val="22"/>
          <w:szCs w:val="20"/>
          <w:lang w:val="sr-Latn-ME"/>
        </w:rPr>
        <w:t>ponovo protresite</w:t>
      </w:r>
      <w:r w:rsidRPr="007E0C0C">
        <w:rPr>
          <w:sz w:val="22"/>
          <w:szCs w:val="20"/>
          <w:lang w:val="sr-Latn-ME"/>
        </w:rPr>
        <w:t xml:space="preserve"> špric kako biste osigurali ujednačenu mliječnu suspenziju.</w:t>
      </w:r>
    </w:p>
    <w:p w:rsidR="00800547" w:rsidRPr="007E0C0C" w:rsidRDefault="00800547" w:rsidP="00800547">
      <w:pPr>
        <w:tabs>
          <w:tab w:val="left" w:pos="567"/>
        </w:tabs>
        <w:rPr>
          <w:b/>
          <w:sz w:val="22"/>
          <w:szCs w:val="20"/>
          <w:lang w:val="sr-Latn-ME"/>
        </w:rPr>
      </w:pPr>
      <w:r w:rsidRPr="007E0C0C">
        <w:rPr>
          <w:b/>
          <w:sz w:val="22"/>
          <w:szCs w:val="20"/>
          <w:lang w:val="sr-Latn-ME"/>
        </w:rPr>
        <w:t xml:space="preserve">• </w:t>
      </w:r>
      <w:r w:rsidRPr="007E0C0C">
        <w:rPr>
          <w:sz w:val="22"/>
          <w:szCs w:val="20"/>
          <w:lang w:val="sr-Latn-ME"/>
        </w:rPr>
        <w:t>Skinite zaštitnu kapicu sa igle.</w:t>
      </w:r>
    </w:p>
    <w:p w:rsidR="00800547" w:rsidRPr="007E0C0C" w:rsidRDefault="00800547" w:rsidP="00800547">
      <w:pPr>
        <w:tabs>
          <w:tab w:val="left" w:pos="567"/>
        </w:tabs>
        <w:rPr>
          <w:b/>
          <w:sz w:val="22"/>
          <w:szCs w:val="20"/>
          <w:lang w:val="sr-Latn-ME"/>
        </w:rPr>
      </w:pPr>
      <w:r w:rsidRPr="007E0C0C">
        <w:rPr>
          <w:b/>
          <w:sz w:val="22"/>
          <w:szCs w:val="20"/>
          <w:lang w:val="sr-Latn-ME"/>
        </w:rPr>
        <w:t>•</w:t>
      </w:r>
      <w:r w:rsidRPr="007E0C0C">
        <w:rPr>
          <w:sz w:val="22"/>
          <w:szCs w:val="20"/>
          <w:lang w:val="sr-Latn-ME"/>
        </w:rPr>
        <w:t xml:space="preserve"> Lagano kucnite po špricu da biste uklonili sve vidljive mjehuriće vazduha i izbacili ih iz šprica.</w:t>
      </w:r>
    </w:p>
    <w:p w:rsidR="00800547" w:rsidRPr="007E0C0C" w:rsidRDefault="00800547" w:rsidP="00800547">
      <w:pPr>
        <w:tabs>
          <w:tab w:val="left" w:pos="567"/>
        </w:tabs>
        <w:rPr>
          <w:sz w:val="22"/>
          <w:szCs w:val="20"/>
          <w:lang w:val="sr-Latn-ME"/>
        </w:rPr>
      </w:pPr>
      <w:r w:rsidRPr="007E0C0C">
        <w:rPr>
          <w:b/>
          <w:sz w:val="22"/>
          <w:szCs w:val="20"/>
          <w:lang w:val="sr-Latn-ME"/>
        </w:rPr>
        <w:t xml:space="preserve">• Odmah </w:t>
      </w:r>
      <w:r w:rsidRPr="007E0C0C">
        <w:rPr>
          <w:sz w:val="22"/>
          <w:szCs w:val="20"/>
          <w:lang w:val="sr-Latn-ME"/>
        </w:rPr>
        <w:t>pređite na Korak 8 za primjenu lijeka kod pacijenta. Odlaganje primjene moglo bi da dovede do stvaranja taloga.</w:t>
      </w: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r w:rsidRPr="007E0C0C">
        <w:rPr>
          <w:b/>
          <w:sz w:val="22"/>
          <w:szCs w:val="20"/>
          <w:lang w:val="sr-Latn-ME"/>
        </w:rPr>
        <w:t>8. korak</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r w:rsidRPr="007E0C0C">
        <w:rPr>
          <w:b/>
          <w:noProof/>
          <w:sz w:val="22"/>
          <w:szCs w:val="20"/>
        </w:rPr>
        <w:drawing>
          <wp:anchor distT="0" distB="0" distL="114300" distR="114300" simplePos="0" relativeHeight="251667456" behindDoc="0" locked="0" layoutInCell="1" allowOverlap="1" wp14:anchorId="2A7A2192" wp14:editId="2A66A154">
            <wp:simplePos x="0" y="0"/>
            <wp:positionH relativeFrom="column">
              <wp:posOffset>4261485</wp:posOffset>
            </wp:positionH>
            <wp:positionV relativeFrom="paragraph">
              <wp:posOffset>64567</wp:posOffset>
            </wp:positionV>
            <wp:extent cx="1876425" cy="1181100"/>
            <wp:effectExtent l="0" t="0" r="9525" b="0"/>
            <wp:wrapSquare wrapText="bothSides"/>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64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0C">
        <w:rPr>
          <w:sz w:val="22"/>
          <w:szCs w:val="20"/>
          <w:lang w:val="sr-Latn-ME"/>
        </w:rPr>
        <w:t xml:space="preserve">• </w:t>
      </w:r>
      <w:r w:rsidRPr="007E0C0C">
        <w:rPr>
          <w:sz w:val="22"/>
          <w:szCs w:val="22"/>
          <w:lang w:val="sr-Latn-ME"/>
        </w:rPr>
        <w:t xml:space="preserve">Oktreotid Teva </w:t>
      </w:r>
      <w:r w:rsidRPr="007E0C0C">
        <w:rPr>
          <w:sz w:val="22"/>
          <w:szCs w:val="20"/>
          <w:lang w:val="sr-Latn-ME"/>
        </w:rPr>
        <w:t>smije se primjenjivati samo dubokom</w:t>
      </w:r>
    </w:p>
    <w:p w:rsidR="00800547" w:rsidRPr="007E0C0C" w:rsidRDefault="00800547" w:rsidP="00800547">
      <w:pPr>
        <w:tabs>
          <w:tab w:val="left" w:pos="567"/>
        </w:tabs>
        <w:rPr>
          <w:sz w:val="22"/>
          <w:szCs w:val="20"/>
          <w:lang w:val="sr-Latn-ME"/>
        </w:rPr>
      </w:pPr>
      <w:r w:rsidRPr="007E0C0C">
        <w:rPr>
          <w:sz w:val="22"/>
          <w:szCs w:val="20"/>
          <w:lang w:val="sr-Latn-ME"/>
        </w:rPr>
        <w:t xml:space="preserve">   intramuskularnom injekcijom, </w:t>
      </w:r>
      <w:r w:rsidRPr="007E0C0C">
        <w:rPr>
          <w:b/>
          <w:sz w:val="22"/>
          <w:szCs w:val="20"/>
          <w:lang w:val="sr-Latn-ME"/>
        </w:rPr>
        <w:t>NIKADA</w:t>
      </w:r>
      <w:r w:rsidRPr="007E0C0C">
        <w:rPr>
          <w:sz w:val="22"/>
          <w:szCs w:val="20"/>
          <w:lang w:val="sr-Latn-ME"/>
        </w:rPr>
        <w:t xml:space="preserve"> intravenski.</w:t>
      </w:r>
    </w:p>
    <w:p w:rsidR="00800547" w:rsidRPr="007E0C0C" w:rsidRDefault="00800547" w:rsidP="00800547">
      <w:pPr>
        <w:tabs>
          <w:tab w:val="left" w:pos="567"/>
        </w:tabs>
        <w:rPr>
          <w:sz w:val="22"/>
          <w:szCs w:val="20"/>
          <w:lang w:val="sr-Latn-ME"/>
        </w:rPr>
      </w:pPr>
      <w:r w:rsidRPr="007E0C0C">
        <w:rPr>
          <w:sz w:val="22"/>
          <w:szCs w:val="20"/>
          <w:lang w:val="sr-Latn-ME"/>
        </w:rPr>
        <w:t xml:space="preserve">• </w:t>
      </w:r>
      <w:r w:rsidR="00CB0002" w:rsidRPr="007E0C0C">
        <w:rPr>
          <w:sz w:val="22"/>
          <w:szCs w:val="20"/>
          <w:lang w:val="sr-Latn-ME"/>
        </w:rPr>
        <w:t>Gurnite</w:t>
      </w:r>
      <w:r w:rsidRPr="007E0C0C">
        <w:rPr>
          <w:sz w:val="22"/>
          <w:szCs w:val="20"/>
          <w:lang w:val="sr-Latn-ME"/>
        </w:rPr>
        <w:t xml:space="preserve"> iglu do kraja u lijevi ili desni gluteus pod uglom od 90º u</w:t>
      </w:r>
    </w:p>
    <w:p w:rsidR="00800547" w:rsidRPr="007E0C0C" w:rsidRDefault="00800547" w:rsidP="00800547">
      <w:pPr>
        <w:tabs>
          <w:tab w:val="left" w:pos="567"/>
        </w:tabs>
        <w:rPr>
          <w:sz w:val="22"/>
          <w:szCs w:val="20"/>
          <w:lang w:val="sr-Latn-ME"/>
        </w:rPr>
      </w:pPr>
      <w:r w:rsidRPr="007E0C0C">
        <w:rPr>
          <w:sz w:val="22"/>
          <w:szCs w:val="20"/>
          <w:lang w:val="sr-Latn-ME"/>
        </w:rPr>
        <w:t xml:space="preserve">   odnosu na kožu.</w:t>
      </w:r>
    </w:p>
    <w:p w:rsidR="00800547" w:rsidRPr="007E0C0C" w:rsidRDefault="00800547" w:rsidP="00800547">
      <w:pPr>
        <w:tabs>
          <w:tab w:val="left" w:pos="567"/>
        </w:tabs>
        <w:rPr>
          <w:sz w:val="22"/>
          <w:szCs w:val="20"/>
          <w:lang w:val="sr-Latn-ME"/>
        </w:rPr>
      </w:pPr>
      <w:r w:rsidRPr="007E0C0C">
        <w:rPr>
          <w:sz w:val="22"/>
          <w:szCs w:val="20"/>
          <w:lang w:val="sr-Latn-ME"/>
        </w:rPr>
        <w:t xml:space="preserve">• Polako povucite klip unazad kako biste provjerili da nije probijen neki </w:t>
      </w:r>
    </w:p>
    <w:p w:rsidR="00800547" w:rsidRPr="007E0C0C" w:rsidRDefault="00800547" w:rsidP="00800547">
      <w:pPr>
        <w:tabs>
          <w:tab w:val="left" w:pos="567"/>
        </w:tabs>
        <w:rPr>
          <w:sz w:val="22"/>
          <w:szCs w:val="20"/>
          <w:lang w:val="sr-Latn-ME"/>
        </w:rPr>
      </w:pPr>
      <w:r w:rsidRPr="007E0C0C">
        <w:rPr>
          <w:sz w:val="22"/>
          <w:szCs w:val="20"/>
          <w:lang w:val="sr-Latn-ME"/>
        </w:rPr>
        <w:t xml:space="preserve">  krvni sud (promijenite položaj ako je igla prodrla u krvni sud).</w:t>
      </w:r>
    </w:p>
    <w:p w:rsidR="00800547" w:rsidRPr="007E0C0C" w:rsidRDefault="00800547" w:rsidP="00800547">
      <w:pPr>
        <w:tabs>
          <w:tab w:val="left" w:pos="567"/>
        </w:tabs>
        <w:rPr>
          <w:sz w:val="22"/>
          <w:szCs w:val="20"/>
          <w:lang w:val="sr-Latn-ME"/>
        </w:rPr>
      </w:pPr>
      <w:r w:rsidRPr="007E0C0C">
        <w:rPr>
          <w:sz w:val="22"/>
          <w:szCs w:val="20"/>
          <w:lang w:val="sr-Latn-ME"/>
        </w:rPr>
        <w:t xml:space="preserve">• Uz </w:t>
      </w:r>
      <w:r w:rsidRPr="007E0C0C">
        <w:rPr>
          <w:b/>
          <w:sz w:val="22"/>
          <w:szCs w:val="20"/>
          <w:lang w:val="sr-Latn-ME"/>
        </w:rPr>
        <w:t>stalan pritisak</w:t>
      </w:r>
      <w:r w:rsidRPr="007E0C0C">
        <w:rPr>
          <w:sz w:val="22"/>
          <w:szCs w:val="20"/>
          <w:lang w:val="sr-Latn-ME"/>
        </w:rPr>
        <w:t xml:space="preserve"> gurajte klip dok se špric ne isprazni. Izvucite</w:t>
      </w:r>
    </w:p>
    <w:p w:rsidR="00800547" w:rsidRPr="007E0C0C" w:rsidRDefault="00800547" w:rsidP="00800547">
      <w:pPr>
        <w:tabs>
          <w:tab w:val="left" w:pos="567"/>
        </w:tabs>
        <w:rPr>
          <w:b/>
          <w:sz w:val="22"/>
          <w:szCs w:val="20"/>
          <w:lang w:val="sr-Latn-ME"/>
        </w:rPr>
      </w:pPr>
      <w:r w:rsidRPr="007E0C0C">
        <w:rPr>
          <w:sz w:val="22"/>
          <w:szCs w:val="20"/>
          <w:lang w:val="sr-Latn-ME"/>
        </w:rPr>
        <w:t xml:space="preserve">   iglu sa mjesta primjene i aktivirajte štitnik (kako je prikazano u </w:t>
      </w:r>
      <w:r w:rsidRPr="007E0C0C">
        <w:rPr>
          <w:b/>
          <w:sz w:val="22"/>
          <w:szCs w:val="20"/>
          <w:lang w:val="sr-Latn-ME"/>
        </w:rPr>
        <w:t>9.</w:t>
      </w:r>
    </w:p>
    <w:p w:rsidR="00800547" w:rsidRPr="007E0C0C" w:rsidRDefault="00800547" w:rsidP="00800547">
      <w:pPr>
        <w:tabs>
          <w:tab w:val="left" w:pos="567"/>
        </w:tabs>
        <w:rPr>
          <w:sz w:val="22"/>
          <w:szCs w:val="20"/>
          <w:lang w:val="sr-Latn-ME"/>
        </w:rPr>
      </w:pPr>
      <w:r w:rsidRPr="007E0C0C">
        <w:rPr>
          <w:b/>
          <w:sz w:val="22"/>
          <w:szCs w:val="20"/>
          <w:lang w:val="sr-Latn-ME"/>
        </w:rPr>
        <w:t xml:space="preserve">   koraku</w:t>
      </w:r>
      <w:r w:rsidRPr="007E0C0C">
        <w:rPr>
          <w:sz w:val="22"/>
          <w:szCs w:val="20"/>
          <w:lang w:val="sr-Latn-ME"/>
        </w:rPr>
        <w:t>).</w:t>
      </w: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p>
    <w:p w:rsidR="00800547" w:rsidRPr="007E0C0C" w:rsidRDefault="00800547" w:rsidP="00800547">
      <w:pPr>
        <w:tabs>
          <w:tab w:val="left" w:pos="567"/>
        </w:tabs>
        <w:rPr>
          <w:b/>
          <w:sz w:val="22"/>
          <w:szCs w:val="20"/>
          <w:lang w:val="sr-Latn-ME"/>
        </w:rPr>
      </w:pPr>
      <w:r w:rsidRPr="007E0C0C">
        <w:rPr>
          <w:b/>
          <w:sz w:val="22"/>
          <w:szCs w:val="20"/>
          <w:lang w:val="sr-Latn-ME"/>
        </w:rPr>
        <w:lastRenderedPageBreak/>
        <w:t>9. korak</w:t>
      </w:r>
    </w:p>
    <w:p w:rsidR="00800547" w:rsidRPr="007E0C0C" w:rsidRDefault="00800547" w:rsidP="00800547">
      <w:pPr>
        <w:tabs>
          <w:tab w:val="left" w:pos="567"/>
        </w:tabs>
        <w:rPr>
          <w:sz w:val="22"/>
          <w:szCs w:val="20"/>
          <w:lang w:val="sr-Latn-ME"/>
        </w:rPr>
      </w:pPr>
      <w:r w:rsidRPr="007E0C0C">
        <w:rPr>
          <w:b/>
          <w:noProof/>
          <w:sz w:val="22"/>
          <w:szCs w:val="20"/>
        </w:rPr>
        <w:drawing>
          <wp:anchor distT="0" distB="0" distL="114300" distR="114300" simplePos="0" relativeHeight="251665408" behindDoc="0" locked="0" layoutInCell="1" allowOverlap="1" wp14:anchorId="3E47CB56" wp14:editId="63508871">
            <wp:simplePos x="0" y="0"/>
            <wp:positionH relativeFrom="column">
              <wp:posOffset>4254500</wp:posOffset>
            </wp:positionH>
            <wp:positionV relativeFrom="paragraph">
              <wp:posOffset>29462</wp:posOffset>
            </wp:positionV>
            <wp:extent cx="1887855" cy="202628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7855" cy="202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547" w:rsidRPr="007E0C0C" w:rsidRDefault="00800547" w:rsidP="00800547">
      <w:pPr>
        <w:tabs>
          <w:tab w:val="left" w:pos="567"/>
        </w:tabs>
        <w:rPr>
          <w:sz w:val="22"/>
          <w:szCs w:val="20"/>
          <w:lang w:val="sr-Latn-ME"/>
        </w:rPr>
      </w:pPr>
      <w:r w:rsidRPr="007E0C0C">
        <w:rPr>
          <w:sz w:val="22"/>
          <w:szCs w:val="20"/>
          <w:lang w:val="sr-Latn-ME"/>
        </w:rPr>
        <w:t>• Aktivirajte sigurnosni štitnik preko igle na jedan od dva načina</w:t>
      </w:r>
    </w:p>
    <w:p w:rsidR="00800547" w:rsidRPr="007E0C0C" w:rsidRDefault="00800547" w:rsidP="00800547">
      <w:pPr>
        <w:tabs>
          <w:tab w:val="left" w:pos="567"/>
        </w:tabs>
        <w:rPr>
          <w:sz w:val="22"/>
          <w:szCs w:val="20"/>
          <w:lang w:val="sr-Latn-ME"/>
        </w:rPr>
      </w:pPr>
      <w:r w:rsidRPr="007E0C0C">
        <w:rPr>
          <w:sz w:val="22"/>
          <w:szCs w:val="20"/>
          <w:lang w:val="sr-Latn-ME"/>
        </w:rPr>
        <w:t xml:space="preserve">   prikazana u nastavku:</w:t>
      </w:r>
    </w:p>
    <w:p w:rsidR="00800547" w:rsidRPr="007E0C0C" w:rsidRDefault="00800547" w:rsidP="00800547">
      <w:pPr>
        <w:tabs>
          <w:tab w:val="left" w:pos="567"/>
        </w:tabs>
        <w:rPr>
          <w:sz w:val="22"/>
          <w:szCs w:val="20"/>
          <w:lang w:val="sr-Latn-ME"/>
        </w:rPr>
      </w:pPr>
      <w:r w:rsidRPr="007E0C0C">
        <w:rPr>
          <w:sz w:val="22"/>
          <w:szCs w:val="20"/>
          <w:lang w:val="sr-Latn-ME"/>
        </w:rPr>
        <w:t xml:space="preserve">   - ili pritisnite zglobni dio štitnika o tvrdu površinu (slika A)</w:t>
      </w:r>
    </w:p>
    <w:p w:rsidR="00800547" w:rsidRPr="007E0C0C" w:rsidRDefault="00800547" w:rsidP="00800547">
      <w:pPr>
        <w:tabs>
          <w:tab w:val="left" w:pos="567"/>
        </w:tabs>
        <w:rPr>
          <w:sz w:val="22"/>
          <w:szCs w:val="20"/>
          <w:lang w:val="sr-Latn-ME"/>
        </w:rPr>
      </w:pPr>
      <w:r w:rsidRPr="007E0C0C">
        <w:rPr>
          <w:sz w:val="22"/>
          <w:szCs w:val="20"/>
          <w:lang w:val="sr-Latn-ME"/>
        </w:rPr>
        <w:t xml:space="preserve">   - ili prstom gurnite zglobni dio prema naprijed (slika B).</w:t>
      </w:r>
    </w:p>
    <w:p w:rsidR="00800547" w:rsidRPr="007E0C0C" w:rsidRDefault="00800547" w:rsidP="00800547">
      <w:pPr>
        <w:tabs>
          <w:tab w:val="left" w:pos="567"/>
        </w:tabs>
        <w:rPr>
          <w:sz w:val="22"/>
          <w:szCs w:val="20"/>
          <w:lang w:val="sr-Latn-ME"/>
        </w:rPr>
      </w:pPr>
      <w:r w:rsidRPr="007E0C0C">
        <w:rPr>
          <w:sz w:val="22"/>
          <w:szCs w:val="20"/>
          <w:lang w:val="sr-Latn-ME"/>
        </w:rPr>
        <w:t>• Čućete „klik“ koji potvrđuje pravilnu aktivaciju.</w:t>
      </w:r>
    </w:p>
    <w:p w:rsidR="00800547" w:rsidRPr="007E0C0C" w:rsidRDefault="00800547" w:rsidP="00800547">
      <w:pPr>
        <w:tabs>
          <w:tab w:val="left" w:pos="567"/>
        </w:tabs>
        <w:rPr>
          <w:sz w:val="22"/>
          <w:szCs w:val="20"/>
          <w:lang w:val="sr-Latn-ME"/>
        </w:rPr>
      </w:pPr>
      <w:r w:rsidRPr="007E0C0C">
        <w:rPr>
          <w:sz w:val="22"/>
          <w:szCs w:val="20"/>
          <w:lang w:val="sr-Latn-ME"/>
        </w:rPr>
        <w:t xml:space="preserve">• Napomena: Zabilježite mjesto ubrizgavanja u zapisnik pacijenta i  </w:t>
      </w:r>
    </w:p>
    <w:p w:rsidR="00800547" w:rsidRPr="007E0C0C" w:rsidRDefault="00800547" w:rsidP="00800547">
      <w:pPr>
        <w:tabs>
          <w:tab w:val="left" w:pos="567"/>
        </w:tabs>
        <w:rPr>
          <w:sz w:val="22"/>
          <w:szCs w:val="20"/>
          <w:lang w:val="sr-Latn-ME"/>
        </w:rPr>
      </w:pPr>
      <w:r w:rsidRPr="007E0C0C">
        <w:rPr>
          <w:sz w:val="22"/>
          <w:szCs w:val="20"/>
          <w:lang w:val="sr-Latn-ME"/>
        </w:rPr>
        <w:t xml:space="preserve">  </w:t>
      </w:r>
      <w:r w:rsidRPr="007E0C0C">
        <w:rPr>
          <w:b/>
          <w:sz w:val="22"/>
          <w:szCs w:val="20"/>
          <w:lang w:val="sr-Latn-ME"/>
        </w:rPr>
        <w:t>m</w:t>
      </w:r>
      <w:r w:rsidR="00CB0002" w:rsidRPr="007E0C0C">
        <w:rPr>
          <w:b/>
          <w:sz w:val="22"/>
          <w:szCs w:val="20"/>
          <w:lang w:val="sr-Latn-ME"/>
        </w:rPr>
        <w:t>i</w:t>
      </w:r>
      <w:r w:rsidRPr="007E0C0C">
        <w:rPr>
          <w:b/>
          <w:sz w:val="22"/>
          <w:szCs w:val="20"/>
          <w:lang w:val="sr-Latn-ME"/>
        </w:rPr>
        <w:t>jenjajte mjesečno</w:t>
      </w:r>
      <w:r w:rsidRPr="007E0C0C">
        <w:rPr>
          <w:sz w:val="22"/>
          <w:szCs w:val="20"/>
          <w:lang w:val="sr-Latn-ME"/>
        </w:rPr>
        <w:t>.</w:t>
      </w:r>
    </w:p>
    <w:p w:rsidR="00800547" w:rsidRPr="007E0C0C" w:rsidRDefault="00800547" w:rsidP="00800547">
      <w:pPr>
        <w:numPr>
          <w:ilvl w:val="12"/>
          <w:numId w:val="0"/>
        </w:numPr>
        <w:ind w:right="-2"/>
        <w:rPr>
          <w:sz w:val="22"/>
          <w:szCs w:val="20"/>
          <w:lang w:val="sr-Latn-ME"/>
        </w:rPr>
      </w:pPr>
      <w:r w:rsidRPr="007E0C0C">
        <w:rPr>
          <w:sz w:val="22"/>
          <w:szCs w:val="20"/>
          <w:lang w:val="sr-Latn-ME"/>
        </w:rPr>
        <w:t>• Odmah odložite špric (u kontejner za oštre predmete).</w:t>
      </w:r>
    </w:p>
    <w:p w:rsidR="00800547" w:rsidRPr="007E0C0C" w:rsidRDefault="00800547" w:rsidP="00800547">
      <w:pPr>
        <w:tabs>
          <w:tab w:val="left" w:pos="567"/>
        </w:tabs>
        <w:spacing w:line="260" w:lineRule="exact"/>
        <w:rPr>
          <w:sz w:val="22"/>
          <w:szCs w:val="20"/>
          <w:lang w:val="sr-Latn-ME"/>
        </w:rPr>
      </w:pPr>
    </w:p>
    <w:p w:rsidR="00800547" w:rsidRPr="007E0C0C" w:rsidRDefault="00800547" w:rsidP="00800547">
      <w:pPr>
        <w:rPr>
          <w:sz w:val="22"/>
          <w:szCs w:val="22"/>
          <w:lang w:val="sr-Latn-ME"/>
        </w:rPr>
      </w:pPr>
    </w:p>
    <w:p w:rsidR="00800547" w:rsidRPr="007E0C0C" w:rsidRDefault="00800547" w:rsidP="00800547">
      <w:pPr>
        <w:tabs>
          <w:tab w:val="left" w:pos="567"/>
        </w:tabs>
        <w:rPr>
          <w:noProof/>
          <w:sz w:val="22"/>
          <w:szCs w:val="22"/>
          <w:lang w:val="sr-Latn-ME"/>
        </w:rPr>
      </w:pPr>
    </w:p>
    <w:p w:rsidR="00800547" w:rsidRPr="007E0C0C" w:rsidRDefault="00800547" w:rsidP="00800547">
      <w:pPr>
        <w:tabs>
          <w:tab w:val="left" w:pos="567"/>
        </w:tabs>
        <w:rPr>
          <w:noProof/>
          <w:sz w:val="22"/>
          <w:szCs w:val="22"/>
          <w:lang w:val="sr-Latn-ME"/>
        </w:rPr>
      </w:pPr>
    </w:p>
    <w:p w:rsidR="00F8570A"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7. </w:t>
      </w:r>
      <w:r w:rsidR="00480FB1" w:rsidRPr="007E0C0C">
        <w:rPr>
          <w:b/>
          <w:bCs/>
          <w:sz w:val="22"/>
          <w:szCs w:val="22"/>
          <w:lang w:val="sr-Latn-ME"/>
        </w:rPr>
        <w:tab/>
      </w:r>
      <w:r w:rsidRPr="007E0C0C">
        <w:rPr>
          <w:b/>
          <w:bCs/>
          <w:sz w:val="22"/>
          <w:szCs w:val="22"/>
          <w:lang w:val="sr-Latn-ME"/>
        </w:rPr>
        <w:t>NOSILAC DOZVOLE</w:t>
      </w:r>
      <w:r w:rsidR="00483928" w:rsidRPr="007E0C0C">
        <w:rPr>
          <w:b/>
          <w:bCs/>
          <w:sz w:val="22"/>
          <w:szCs w:val="22"/>
          <w:lang w:val="sr-Latn-ME"/>
        </w:rPr>
        <w:t xml:space="preserve"> </w:t>
      </w:r>
    </w:p>
    <w:p w:rsidR="00C61BE0" w:rsidRPr="007E0C0C" w:rsidRDefault="00C61BE0" w:rsidP="00480FB1">
      <w:pPr>
        <w:tabs>
          <w:tab w:val="left" w:pos="540"/>
          <w:tab w:val="left" w:pos="569"/>
        </w:tabs>
        <w:rPr>
          <w:bCs/>
          <w:sz w:val="22"/>
          <w:szCs w:val="22"/>
          <w:lang w:val="sr-Latn-ME"/>
        </w:rPr>
      </w:pPr>
    </w:p>
    <w:p w:rsidR="00800547" w:rsidRPr="007E0C0C" w:rsidRDefault="007C2126" w:rsidP="00800547">
      <w:pPr>
        <w:tabs>
          <w:tab w:val="left" w:pos="540"/>
          <w:tab w:val="left" w:pos="569"/>
        </w:tabs>
        <w:rPr>
          <w:bCs/>
          <w:sz w:val="22"/>
          <w:szCs w:val="22"/>
          <w:lang w:val="sr-Latn-ME"/>
        </w:rPr>
      </w:pPr>
      <w:r>
        <w:rPr>
          <w:bCs/>
          <w:sz w:val="22"/>
          <w:szCs w:val="22"/>
          <w:lang w:val="sr-Latn-ME"/>
        </w:rPr>
        <w:t>Evropa Lek Pharma d.o.o. Podgorica</w:t>
      </w:r>
    </w:p>
    <w:p w:rsidR="00800547" w:rsidRPr="007E0C0C" w:rsidRDefault="00800547" w:rsidP="00800547">
      <w:pPr>
        <w:tabs>
          <w:tab w:val="left" w:pos="540"/>
          <w:tab w:val="left" w:pos="569"/>
        </w:tabs>
        <w:rPr>
          <w:bCs/>
          <w:sz w:val="22"/>
          <w:szCs w:val="22"/>
          <w:lang w:val="sr-Latn-ME"/>
        </w:rPr>
      </w:pPr>
      <w:r w:rsidRPr="007E0C0C">
        <w:rPr>
          <w:bCs/>
          <w:sz w:val="22"/>
          <w:szCs w:val="22"/>
          <w:lang w:val="sr-Latn-ME"/>
        </w:rPr>
        <w:t>Kritskog odreda 4/1</w:t>
      </w:r>
    </w:p>
    <w:p w:rsidR="00800547" w:rsidRPr="007E0C0C" w:rsidRDefault="00800547" w:rsidP="00800547">
      <w:pPr>
        <w:tabs>
          <w:tab w:val="left" w:pos="540"/>
          <w:tab w:val="left" w:pos="569"/>
        </w:tabs>
        <w:rPr>
          <w:bCs/>
          <w:sz w:val="22"/>
          <w:szCs w:val="22"/>
          <w:lang w:val="sr-Latn-ME"/>
        </w:rPr>
      </w:pPr>
      <w:r w:rsidRPr="007E0C0C">
        <w:rPr>
          <w:bCs/>
          <w:sz w:val="22"/>
          <w:szCs w:val="22"/>
          <w:lang w:val="sr-Latn-ME"/>
        </w:rPr>
        <w:t>81000 Podgorica</w:t>
      </w:r>
    </w:p>
    <w:p w:rsidR="00800547" w:rsidRPr="007E0C0C" w:rsidRDefault="00800547" w:rsidP="00800547">
      <w:pPr>
        <w:tabs>
          <w:tab w:val="left" w:pos="540"/>
          <w:tab w:val="left" w:pos="569"/>
        </w:tabs>
        <w:rPr>
          <w:bCs/>
          <w:sz w:val="22"/>
          <w:szCs w:val="22"/>
          <w:lang w:val="sr-Latn-ME"/>
        </w:rPr>
      </w:pPr>
      <w:r w:rsidRPr="007E0C0C">
        <w:rPr>
          <w:bCs/>
          <w:sz w:val="22"/>
          <w:szCs w:val="22"/>
          <w:lang w:val="sr-Latn-ME"/>
        </w:rPr>
        <w:t>Crna Gora</w:t>
      </w:r>
    </w:p>
    <w:p w:rsidR="00C37FD7" w:rsidRPr="007E0C0C" w:rsidRDefault="00C37FD7" w:rsidP="00480FB1">
      <w:pPr>
        <w:tabs>
          <w:tab w:val="left" w:pos="540"/>
          <w:tab w:val="left" w:pos="569"/>
        </w:tabs>
        <w:rPr>
          <w:bCs/>
          <w:sz w:val="22"/>
          <w:szCs w:val="22"/>
          <w:lang w:val="sr-Latn-ME"/>
        </w:rPr>
      </w:pPr>
    </w:p>
    <w:p w:rsidR="0072020E" w:rsidRDefault="0072020E" w:rsidP="00480FB1">
      <w:pPr>
        <w:tabs>
          <w:tab w:val="left" w:pos="540"/>
          <w:tab w:val="left" w:pos="569"/>
        </w:tabs>
        <w:rPr>
          <w:b/>
          <w:bCs/>
          <w:sz w:val="22"/>
          <w:szCs w:val="22"/>
          <w:lang w:val="sr-Latn-ME"/>
        </w:rPr>
      </w:pPr>
      <w:r w:rsidRPr="007E0C0C">
        <w:rPr>
          <w:b/>
          <w:bCs/>
          <w:sz w:val="22"/>
          <w:szCs w:val="22"/>
          <w:lang w:val="sr-Latn-ME"/>
        </w:rPr>
        <w:t xml:space="preserve">8. </w:t>
      </w:r>
      <w:r w:rsidR="00480FB1" w:rsidRPr="007E0C0C">
        <w:rPr>
          <w:b/>
          <w:bCs/>
          <w:sz w:val="22"/>
          <w:szCs w:val="22"/>
          <w:lang w:val="sr-Latn-ME"/>
        </w:rPr>
        <w:tab/>
      </w:r>
      <w:r w:rsidRPr="007E0C0C">
        <w:rPr>
          <w:b/>
          <w:bCs/>
          <w:sz w:val="22"/>
          <w:szCs w:val="22"/>
          <w:lang w:val="sr-Latn-ME"/>
        </w:rPr>
        <w:t>BROJ DOZVOLE</w:t>
      </w:r>
      <w:r w:rsidR="008A6D43" w:rsidRPr="007E0C0C">
        <w:rPr>
          <w:b/>
          <w:bCs/>
          <w:sz w:val="22"/>
          <w:szCs w:val="22"/>
          <w:lang w:val="sr-Latn-ME"/>
        </w:rPr>
        <w:t xml:space="preserve"> ZA STAVLJANJE LIJEKA U PROMET</w:t>
      </w:r>
    </w:p>
    <w:p w:rsidR="009F458B" w:rsidRPr="007E0C0C" w:rsidRDefault="009F458B" w:rsidP="00480FB1">
      <w:pPr>
        <w:tabs>
          <w:tab w:val="left" w:pos="540"/>
          <w:tab w:val="left" w:pos="569"/>
        </w:tabs>
        <w:rPr>
          <w:b/>
          <w:bCs/>
          <w:sz w:val="22"/>
          <w:szCs w:val="22"/>
          <w:lang w:val="sr-Latn-ME"/>
        </w:rPr>
      </w:pPr>
    </w:p>
    <w:p w:rsidR="009F458B" w:rsidRDefault="00BA163B" w:rsidP="009F458B">
      <w:pPr>
        <w:rPr>
          <w:rFonts w:ascii="TimesNewRoman" w:hAnsi="TimesNewRoman" w:cs="TimesNewRoman"/>
          <w:sz w:val="22"/>
          <w:szCs w:val="22"/>
          <w:lang w:eastAsia="sr-Latn-ME"/>
        </w:rPr>
      </w:pPr>
      <w:r w:rsidRPr="00902BC4">
        <w:rPr>
          <w:sz w:val="22"/>
          <w:szCs w:val="22"/>
          <w:lang w:val="sr-Latn-ME"/>
        </w:rPr>
        <w:t>Oktreotid Teva</w:t>
      </w:r>
      <w:r w:rsidR="009F458B" w:rsidRPr="00902BC4">
        <w:rPr>
          <w:sz w:val="22"/>
          <w:szCs w:val="22"/>
          <w:lang w:val="sr-Latn-ME"/>
        </w:rPr>
        <w:t>, prašak i rastvarač za suspenziju za injekc</w:t>
      </w:r>
      <w:r w:rsidR="009F458B">
        <w:rPr>
          <w:sz w:val="22"/>
          <w:szCs w:val="22"/>
          <w:lang w:val="sr-Latn-ME"/>
        </w:rPr>
        <w:t xml:space="preserve">iju sa produženim oslobađanjem, </w:t>
      </w:r>
      <w:r w:rsidR="009F458B" w:rsidRPr="00902BC4">
        <w:rPr>
          <w:sz w:val="22"/>
          <w:szCs w:val="22"/>
          <w:lang w:val="sr-Latn-ME"/>
        </w:rPr>
        <w:t>10mg, bočica, staklena, 1x10mg</w:t>
      </w:r>
      <w:r w:rsidR="009F458B">
        <w:rPr>
          <w:sz w:val="22"/>
          <w:szCs w:val="22"/>
          <w:lang w:val="sr-Latn-ME"/>
        </w:rPr>
        <w:t xml:space="preserve">: </w:t>
      </w:r>
      <w:r w:rsidR="009F458B">
        <w:rPr>
          <w:rFonts w:ascii="TimesNewRoman" w:hAnsi="TimesNewRoman" w:cs="TimesNewRoman"/>
          <w:sz w:val="22"/>
          <w:szCs w:val="22"/>
          <w:lang w:eastAsia="sr-Latn-ME"/>
        </w:rPr>
        <w:t xml:space="preserve">2030/22/2553 – 5100 </w:t>
      </w:r>
    </w:p>
    <w:p w:rsidR="009F458B" w:rsidRDefault="00BA163B" w:rsidP="009F458B">
      <w:pPr>
        <w:rPr>
          <w:rFonts w:ascii="TimesNewRoman" w:hAnsi="TimesNewRoman" w:cs="TimesNewRoman"/>
          <w:sz w:val="22"/>
          <w:szCs w:val="22"/>
          <w:lang w:eastAsia="sr-Latn-ME"/>
        </w:rPr>
      </w:pPr>
      <w:r w:rsidRPr="00902BC4">
        <w:rPr>
          <w:sz w:val="22"/>
          <w:szCs w:val="22"/>
          <w:lang w:val="sr-Latn-ME"/>
        </w:rPr>
        <w:t>Oktreotid Teva</w:t>
      </w:r>
      <w:r w:rsidR="009F458B" w:rsidRPr="00902BC4">
        <w:rPr>
          <w:sz w:val="22"/>
          <w:szCs w:val="22"/>
          <w:lang w:val="sr-Latn-ME"/>
        </w:rPr>
        <w:t>, prašak i rastvarač za suspenziju za injekciju sa produženim oslobađanjem,</w:t>
      </w:r>
      <w:r w:rsidR="009F458B">
        <w:rPr>
          <w:sz w:val="22"/>
          <w:szCs w:val="22"/>
          <w:lang w:val="sr-Latn-ME"/>
        </w:rPr>
        <w:t xml:space="preserve"> 20mg, bočica, staklena, 1x20mg: </w:t>
      </w:r>
      <w:r w:rsidR="009F458B">
        <w:rPr>
          <w:rFonts w:ascii="TimesNewRoman" w:hAnsi="TimesNewRoman" w:cs="TimesNewRoman"/>
          <w:sz w:val="22"/>
          <w:szCs w:val="22"/>
          <w:lang w:eastAsia="sr-Latn-ME"/>
        </w:rPr>
        <w:t xml:space="preserve">2030/22/2554 – 5101 </w:t>
      </w:r>
    </w:p>
    <w:p w:rsidR="009F458B" w:rsidRPr="00902BC4" w:rsidRDefault="00BA163B" w:rsidP="009F458B">
      <w:pPr>
        <w:rPr>
          <w:sz w:val="22"/>
          <w:szCs w:val="22"/>
          <w:lang w:val="sr-Latn-ME"/>
        </w:rPr>
      </w:pPr>
      <w:r w:rsidRPr="00902BC4">
        <w:rPr>
          <w:sz w:val="22"/>
          <w:szCs w:val="22"/>
          <w:lang w:val="sr-Latn-ME"/>
        </w:rPr>
        <w:t>Oktreotid Teva</w:t>
      </w:r>
      <w:r w:rsidR="009F458B" w:rsidRPr="00902BC4">
        <w:rPr>
          <w:sz w:val="22"/>
          <w:szCs w:val="22"/>
          <w:lang w:val="sr-Latn-ME"/>
        </w:rPr>
        <w:t>, prašak i rastvarač za suspenziju za injekciju sa produženim oslobađanjem, 30mg, bočica, staklena, 1x30mg</w:t>
      </w:r>
      <w:r w:rsidR="009F458B">
        <w:rPr>
          <w:sz w:val="22"/>
          <w:szCs w:val="22"/>
          <w:lang w:val="sr-Latn-ME"/>
        </w:rPr>
        <w:t xml:space="preserve">: </w:t>
      </w:r>
      <w:r w:rsidR="009F458B">
        <w:rPr>
          <w:rFonts w:ascii="TimesNewRoman" w:hAnsi="TimesNewRoman" w:cs="TimesNewRoman"/>
          <w:sz w:val="22"/>
          <w:szCs w:val="22"/>
          <w:lang w:eastAsia="sr-Latn-ME"/>
        </w:rPr>
        <w:t xml:space="preserve">2030/22/2555 – 5099 </w:t>
      </w:r>
      <w:bookmarkStart w:id="0" w:name="_GoBack"/>
      <w:bookmarkEnd w:id="0"/>
    </w:p>
    <w:p w:rsidR="009F458B" w:rsidRPr="00902BC4" w:rsidRDefault="009F458B" w:rsidP="009F458B">
      <w:pPr>
        <w:rPr>
          <w:sz w:val="22"/>
          <w:szCs w:val="22"/>
          <w:lang w:val="sr-Latn-ME"/>
        </w:rPr>
      </w:pPr>
    </w:p>
    <w:p w:rsidR="00F45F77" w:rsidRPr="007E0C0C" w:rsidRDefault="00F45F77" w:rsidP="00480FB1">
      <w:pPr>
        <w:tabs>
          <w:tab w:val="left" w:pos="540"/>
          <w:tab w:val="left" w:pos="569"/>
        </w:tabs>
        <w:rPr>
          <w:bCs/>
          <w:sz w:val="22"/>
          <w:szCs w:val="22"/>
          <w:lang w:val="sr-Latn-ME"/>
        </w:rPr>
      </w:pPr>
    </w:p>
    <w:p w:rsidR="0072020E" w:rsidRPr="007E0C0C" w:rsidRDefault="0072020E" w:rsidP="00480FB1">
      <w:pPr>
        <w:tabs>
          <w:tab w:val="left" w:pos="540"/>
          <w:tab w:val="left" w:pos="569"/>
        </w:tabs>
        <w:rPr>
          <w:b/>
          <w:bCs/>
          <w:sz w:val="22"/>
          <w:szCs w:val="22"/>
          <w:lang w:val="sr-Latn-ME"/>
        </w:rPr>
      </w:pPr>
      <w:r w:rsidRPr="007E0C0C">
        <w:rPr>
          <w:b/>
          <w:bCs/>
          <w:sz w:val="22"/>
          <w:szCs w:val="22"/>
          <w:lang w:val="sr-Latn-ME"/>
        </w:rPr>
        <w:t xml:space="preserve">9. </w:t>
      </w:r>
      <w:r w:rsidR="00480FB1" w:rsidRPr="007E0C0C">
        <w:rPr>
          <w:b/>
          <w:bCs/>
          <w:sz w:val="22"/>
          <w:szCs w:val="22"/>
          <w:lang w:val="sr-Latn-ME"/>
        </w:rPr>
        <w:tab/>
      </w:r>
      <w:r w:rsidRPr="007E0C0C">
        <w:rPr>
          <w:b/>
          <w:bCs/>
          <w:sz w:val="22"/>
          <w:szCs w:val="22"/>
          <w:lang w:val="sr-Latn-ME"/>
        </w:rPr>
        <w:t xml:space="preserve">DATUM </w:t>
      </w:r>
      <w:r w:rsidR="00C05DF8" w:rsidRPr="007E0C0C">
        <w:rPr>
          <w:b/>
          <w:bCs/>
          <w:sz w:val="22"/>
          <w:szCs w:val="22"/>
          <w:lang w:val="sr-Latn-ME"/>
        </w:rPr>
        <w:t xml:space="preserve">PRVE </w:t>
      </w:r>
      <w:r w:rsidR="008A6D43" w:rsidRPr="007E0C0C">
        <w:rPr>
          <w:b/>
          <w:bCs/>
          <w:sz w:val="22"/>
          <w:szCs w:val="22"/>
          <w:lang w:val="sr-Latn-ME"/>
        </w:rPr>
        <w:t>DOZVOLE</w:t>
      </w:r>
      <w:r w:rsidR="00C05DF8" w:rsidRPr="007E0C0C">
        <w:rPr>
          <w:b/>
          <w:bCs/>
          <w:sz w:val="22"/>
          <w:szCs w:val="22"/>
          <w:lang w:val="sr-Latn-ME"/>
        </w:rPr>
        <w:t>/OBNOVE DOZVOLE</w:t>
      </w:r>
      <w:r w:rsidR="008A6D43" w:rsidRPr="007E0C0C">
        <w:rPr>
          <w:b/>
          <w:bCs/>
          <w:sz w:val="22"/>
          <w:szCs w:val="22"/>
          <w:lang w:val="sr-Latn-ME"/>
        </w:rPr>
        <w:t xml:space="preserve"> ZA STAVLJANJE LIJEKA U PROMET</w:t>
      </w:r>
    </w:p>
    <w:p w:rsidR="0072020E" w:rsidRDefault="0072020E" w:rsidP="00480FB1">
      <w:pPr>
        <w:tabs>
          <w:tab w:val="left" w:pos="540"/>
          <w:tab w:val="left" w:pos="569"/>
        </w:tabs>
        <w:rPr>
          <w:bCs/>
          <w:sz w:val="22"/>
          <w:szCs w:val="22"/>
          <w:lang w:val="sr-Latn-ME"/>
        </w:rPr>
      </w:pPr>
    </w:p>
    <w:p w:rsidR="009F458B" w:rsidRPr="007E0C0C" w:rsidRDefault="00BA163B" w:rsidP="00480FB1">
      <w:pPr>
        <w:tabs>
          <w:tab w:val="left" w:pos="540"/>
          <w:tab w:val="left" w:pos="569"/>
        </w:tabs>
        <w:rPr>
          <w:bCs/>
          <w:sz w:val="22"/>
          <w:szCs w:val="22"/>
          <w:lang w:val="sr-Latn-ME"/>
        </w:rPr>
      </w:pPr>
      <w:r>
        <w:rPr>
          <w:bCs/>
          <w:sz w:val="22"/>
          <w:szCs w:val="22"/>
          <w:lang w:val="sr-Latn-ME"/>
        </w:rPr>
        <w:t>11</w:t>
      </w:r>
      <w:r w:rsidR="009F458B">
        <w:rPr>
          <w:bCs/>
          <w:sz w:val="22"/>
          <w:szCs w:val="22"/>
          <w:lang w:val="sr-Latn-ME"/>
        </w:rPr>
        <w:t>.10.2022. godine</w:t>
      </w:r>
    </w:p>
    <w:p w:rsidR="00836B35" w:rsidRPr="007E0C0C" w:rsidRDefault="00836B35" w:rsidP="00480FB1">
      <w:pPr>
        <w:tabs>
          <w:tab w:val="left" w:pos="540"/>
          <w:tab w:val="left" w:pos="569"/>
        </w:tabs>
        <w:rPr>
          <w:bCs/>
          <w:sz w:val="22"/>
          <w:szCs w:val="22"/>
          <w:lang w:val="sr-Latn-ME"/>
        </w:rPr>
      </w:pPr>
    </w:p>
    <w:p w:rsidR="003F6A59" w:rsidRPr="007E0C0C" w:rsidRDefault="0072020E" w:rsidP="00C05DF8">
      <w:pPr>
        <w:tabs>
          <w:tab w:val="left" w:pos="540"/>
          <w:tab w:val="left" w:pos="569"/>
        </w:tabs>
        <w:ind w:left="540" w:hanging="540"/>
        <w:rPr>
          <w:bCs/>
          <w:sz w:val="22"/>
          <w:szCs w:val="22"/>
          <w:lang w:val="sr-Latn-ME"/>
        </w:rPr>
      </w:pPr>
      <w:r w:rsidRPr="007E0C0C">
        <w:rPr>
          <w:b/>
          <w:bCs/>
          <w:sz w:val="22"/>
          <w:szCs w:val="22"/>
          <w:lang w:val="sr-Latn-ME"/>
        </w:rPr>
        <w:t xml:space="preserve">10. </w:t>
      </w:r>
      <w:r w:rsidR="00480FB1" w:rsidRPr="007E0C0C">
        <w:rPr>
          <w:b/>
          <w:bCs/>
          <w:sz w:val="22"/>
          <w:szCs w:val="22"/>
          <w:lang w:val="sr-Latn-ME"/>
        </w:rPr>
        <w:tab/>
      </w:r>
      <w:r w:rsidR="002846DB" w:rsidRPr="007E0C0C">
        <w:rPr>
          <w:b/>
          <w:bCs/>
          <w:sz w:val="22"/>
          <w:szCs w:val="22"/>
          <w:lang w:val="sr-Latn-ME"/>
        </w:rPr>
        <w:t>D</w:t>
      </w:r>
      <w:r w:rsidR="00EC2532" w:rsidRPr="007E0C0C">
        <w:rPr>
          <w:b/>
          <w:bCs/>
          <w:sz w:val="22"/>
          <w:szCs w:val="22"/>
          <w:lang w:val="sr-Latn-ME"/>
        </w:rPr>
        <w:t xml:space="preserve">ATUM REVIZIJE TEKSTA </w:t>
      </w:r>
    </w:p>
    <w:p w:rsidR="003F6A59" w:rsidRPr="007E0C0C" w:rsidRDefault="003F6A59" w:rsidP="00480FB1">
      <w:pPr>
        <w:tabs>
          <w:tab w:val="left" w:pos="540"/>
          <w:tab w:val="left" w:pos="569"/>
        </w:tabs>
        <w:rPr>
          <w:bCs/>
          <w:sz w:val="22"/>
          <w:szCs w:val="22"/>
          <w:lang w:val="sr-Latn-ME"/>
        </w:rPr>
      </w:pPr>
    </w:p>
    <w:p w:rsidR="009F458B" w:rsidRPr="00902BC4" w:rsidRDefault="009F458B" w:rsidP="009F458B">
      <w:pPr>
        <w:rPr>
          <w:sz w:val="22"/>
          <w:szCs w:val="22"/>
          <w:lang w:val="sr-Latn-ME"/>
        </w:rPr>
      </w:pPr>
      <w:r w:rsidRPr="00902BC4">
        <w:rPr>
          <w:sz w:val="22"/>
          <w:szCs w:val="22"/>
          <w:lang w:val="sr-Latn-ME"/>
        </w:rPr>
        <w:t xml:space="preserve">Oktobar, 2022. godine </w:t>
      </w:r>
    </w:p>
    <w:p w:rsidR="008A6D43" w:rsidRPr="007E0C0C" w:rsidRDefault="008A6D43" w:rsidP="00480FB1">
      <w:pPr>
        <w:tabs>
          <w:tab w:val="left" w:pos="540"/>
          <w:tab w:val="left" w:pos="569"/>
        </w:tabs>
        <w:rPr>
          <w:bCs/>
          <w:sz w:val="22"/>
          <w:szCs w:val="22"/>
          <w:lang w:val="sr-Latn-ME"/>
        </w:rPr>
      </w:pPr>
    </w:p>
    <w:p w:rsidR="003F6A59" w:rsidRPr="007E0C0C" w:rsidRDefault="003F6A59" w:rsidP="00DE3F5C">
      <w:pPr>
        <w:rPr>
          <w:sz w:val="22"/>
          <w:szCs w:val="22"/>
          <w:lang w:val="sr-Latn-ME"/>
        </w:rPr>
      </w:pPr>
    </w:p>
    <w:sectPr w:rsidR="003F6A59" w:rsidRPr="007E0C0C" w:rsidSect="006B5404">
      <w:footerReference w:type="default" r:id="rId2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58" w:rsidRDefault="002F2458">
      <w:r>
        <w:separator/>
      </w:r>
    </w:p>
  </w:endnote>
  <w:endnote w:type="continuationSeparator" w:id="0">
    <w:p w:rsidR="002F2458" w:rsidRDefault="002F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5"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C0C" w:rsidRPr="00B23F69" w:rsidRDefault="007E0C0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A163B">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A163B">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58" w:rsidRDefault="002F2458">
      <w:r>
        <w:separator/>
      </w:r>
    </w:p>
  </w:footnote>
  <w:footnote w:type="continuationSeparator" w:id="0">
    <w:p w:rsidR="002F2458" w:rsidRDefault="002F2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52342"/>
    <w:multiLevelType w:val="hybridMultilevel"/>
    <w:tmpl w:val="A95E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C33D2"/>
    <w:multiLevelType w:val="hybridMultilevel"/>
    <w:tmpl w:val="8F6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1F5402D"/>
    <w:multiLevelType w:val="hybridMultilevel"/>
    <w:tmpl w:val="A132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FD02F41"/>
    <w:multiLevelType w:val="hybridMultilevel"/>
    <w:tmpl w:val="0206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2"/>
  </w:num>
  <w:num w:numId="5">
    <w:abstractNumId w:val="4"/>
  </w:num>
  <w:num w:numId="6">
    <w:abstractNumId w:val="1"/>
  </w:num>
  <w:num w:numId="7">
    <w:abstractNumId w:val="10"/>
  </w:num>
  <w:num w:numId="8">
    <w:abstractNumId w:val="3"/>
  </w:num>
  <w:num w:numId="9">
    <w:abstractNumId w:val="8"/>
  </w:num>
  <w:num w:numId="10">
    <w:abstractNumId w:val="14"/>
  </w:num>
  <w:num w:numId="11">
    <w:abstractNumId w:val="5"/>
  </w:num>
  <w:num w:numId="12">
    <w:abstractNumId w:val="9"/>
  </w:num>
  <w:num w:numId="13">
    <w:abstractNumId w:val="1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612FE"/>
    <w:rsid w:val="00076726"/>
    <w:rsid w:val="00080303"/>
    <w:rsid w:val="000A3F58"/>
    <w:rsid w:val="000B6490"/>
    <w:rsid w:val="000D2343"/>
    <w:rsid w:val="000D3449"/>
    <w:rsid w:val="000D425A"/>
    <w:rsid w:val="000D60CC"/>
    <w:rsid w:val="000E2084"/>
    <w:rsid w:val="000E6F55"/>
    <w:rsid w:val="000F69E8"/>
    <w:rsid w:val="000F77FA"/>
    <w:rsid w:val="00107BF7"/>
    <w:rsid w:val="00126F53"/>
    <w:rsid w:val="0014766D"/>
    <w:rsid w:val="001536CC"/>
    <w:rsid w:val="001A3FBA"/>
    <w:rsid w:val="001A5518"/>
    <w:rsid w:val="001B1C6A"/>
    <w:rsid w:val="001C1263"/>
    <w:rsid w:val="001C1417"/>
    <w:rsid w:val="001D1A1E"/>
    <w:rsid w:val="001E390B"/>
    <w:rsid w:val="001F42FB"/>
    <w:rsid w:val="001F719A"/>
    <w:rsid w:val="002031B3"/>
    <w:rsid w:val="0021038E"/>
    <w:rsid w:val="00215931"/>
    <w:rsid w:val="00223783"/>
    <w:rsid w:val="00224C91"/>
    <w:rsid w:val="00227BDB"/>
    <w:rsid w:val="00234CB1"/>
    <w:rsid w:val="002352F8"/>
    <w:rsid w:val="00242BCD"/>
    <w:rsid w:val="002510A5"/>
    <w:rsid w:val="00254A0A"/>
    <w:rsid w:val="00266046"/>
    <w:rsid w:val="002846DB"/>
    <w:rsid w:val="00284CCD"/>
    <w:rsid w:val="002C6637"/>
    <w:rsid w:val="002D6514"/>
    <w:rsid w:val="002E0135"/>
    <w:rsid w:val="002E37A5"/>
    <w:rsid w:val="002F2458"/>
    <w:rsid w:val="00300B9E"/>
    <w:rsid w:val="00310F03"/>
    <w:rsid w:val="003247D2"/>
    <w:rsid w:val="003445C1"/>
    <w:rsid w:val="00355B61"/>
    <w:rsid w:val="00362686"/>
    <w:rsid w:val="00371510"/>
    <w:rsid w:val="00396DFD"/>
    <w:rsid w:val="003A7059"/>
    <w:rsid w:val="003B127B"/>
    <w:rsid w:val="003B7A36"/>
    <w:rsid w:val="003C17AB"/>
    <w:rsid w:val="003C73F5"/>
    <w:rsid w:val="003C7823"/>
    <w:rsid w:val="003E1DCC"/>
    <w:rsid w:val="003F11A1"/>
    <w:rsid w:val="003F6A59"/>
    <w:rsid w:val="004065C8"/>
    <w:rsid w:val="004109FA"/>
    <w:rsid w:val="00411B4B"/>
    <w:rsid w:val="00415BEE"/>
    <w:rsid w:val="0041622A"/>
    <w:rsid w:val="00427F85"/>
    <w:rsid w:val="00436F42"/>
    <w:rsid w:val="004378B4"/>
    <w:rsid w:val="00451314"/>
    <w:rsid w:val="00452E9D"/>
    <w:rsid w:val="004534C7"/>
    <w:rsid w:val="004601CF"/>
    <w:rsid w:val="004671AA"/>
    <w:rsid w:val="00480FB1"/>
    <w:rsid w:val="00483928"/>
    <w:rsid w:val="004C331F"/>
    <w:rsid w:val="004D6103"/>
    <w:rsid w:val="004E3BCE"/>
    <w:rsid w:val="004E70AD"/>
    <w:rsid w:val="004F0E97"/>
    <w:rsid w:val="00501DD1"/>
    <w:rsid w:val="00515C21"/>
    <w:rsid w:val="00520082"/>
    <w:rsid w:val="00530BD7"/>
    <w:rsid w:val="00545CD2"/>
    <w:rsid w:val="005476F3"/>
    <w:rsid w:val="005662F9"/>
    <w:rsid w:val="00572527"/>
    <w:rsid w:val="00573E40"/>
    <w:rsid w:val="00576348"/>
    <w:rsid w:val="005A0B2E"/>
    <w:rsid w:val="005A23D2"/>
    <w:rsid w:val="005A36CB"/>
    <w:rsid w:val="005B26FE"/>
    <w:rsid w:val="005B49B8"/>
    <w:rsid w:val="005C0741"/>
    <w:rsid w:val="005C5EF4"/>
    <w:rsid w:val="005E2E0B"/>
    <w:rsid w:val="005E7A7D"/>
    <w:rsid w:val="00600B4E"/>
    <w:rsid w:val="00602457"/>
    <w:rsid w:val="00644FC3"/>
    <w:rsid w:val="00646307"/>
    <w:rsid w:val="00646BD1"/>
    <w:rsid w:val="006561C2"/>
    <w:rsid w:val="00671CB3"/>
    <w:rsid w:val="00674BAF"/>
    <w:rsid w:val="00682200"/>
    <w:rsid w:val="00692BF6"/>
    <w:rsid w:val="006A1497"/>
    <w:rsid w:val="006B0BD1"/>
    <w:rsid w:val="006B5404"/>
    <w:rsid w:val="006D0D0B"/>
    <w:rsid w:val="006D20A5"/>
    <w:rsid w:val="006D37BF"/>
    <w:rsid w:val="00702E22"/>
    <w:rsid w:val="0072020E"/>
    <w:rsid w:val="00786071"/>
    <w:rsid w:val="007A108B"/>
    <w:rsid w:val="007A3ECB"/>
    <w:rsid w:val="007B1DCF"/>
    <w:rsid w:val="007B25C3"/>
    <w:rsid w:val="007C2126"/>
    <w:rsid w:val="007D7BB3"/>
    <w:rsid w:val="007E0C0C"/>
    <w:rsid w:val="00800547"/>
    <w:rsid w:val="00824AB9"/>
    <w:rsid w:val="00836B35"/>
    <w:rsid w:val="00843BDE"/>
    <w:rsid w:val="0087588C"/>
    <w:rsid w:val="0089705C"/>
    <w:rsid w:val="008A16BF"/>
    <w:rsid w:val="008A6D43"/>
    <w:rsid w:val="008B491E"/>
    <w:rsid w:val="008C1A28"/>
    <w:rsid w:val="008C2E98"/>
    <w:rsid w:val="008E49BD"/>
    <w:rsid w:val="008E53E9"/>
    <w:rsid w:val="008E5771"/>
    <w:rsid w:val="008F4ACF"/>
    <w:rsid w:val="009013B8"/>
    <w:rsid w:val="00903886"/>
    <w:rsid w:val="00906208"/>
    <w:rsid w:val="0092134B"/>
    <w:rsid w:val="00924166"/>
    <w:rsid w:val="00940B9B"/>
    <w:rsid w:val="0095676E"/>
    <w:rsid w:val="00956983"/>
    <w:rsid w:val="00963CF0"/>
    <w:rsid w:val="00964BB1"/>
    <w:rsid w:val="009775D9"/>
    <w:rsid w:val="00997175"/>
    <w:rsid w:val="009A1847"/>
    <w:rsid w:val="009B062A"/>
    <w:rsid w:val="009E7C6F"/>
    <w:rsid w:val="009F1793"/>
    <w:rsid w:val="009F2D23"/>
    <w:rsid w:val="009F458B"/>
    <w:rsid w:val="00A01D69"/>
    <w:rsid w:val="00A02335"/>
    <w:rsid w:val="00A43E83"/>
    <w:rsid w:val="00A46C9A"/>
    <w:rsid w:val="00A619F3"/>
    <w:rsid w:val="00A62A73"/>
    <w:rsid w:val="00A637CE"/>
    <w:rsid w:val="00A87FF6"/>
    <w:rsid w:val="00AA0A3B"/>
    <w:rsid w:val="00AA2763"/>
    <w:rsid w:val="00AA33B6"/>
    <w:rsid w:val="00AB50CA"/>
    <w:rsid w:val="00AB6D64"/>
    <w:rsid w:val="00AC53CE"/>
    <w:rsid w:val="00AD2193"/>
    <w:rsid w:val="00AF2AC7"/>
    <w:rsid w:val="00AF74CE"/>
    <w:rsid w:val="00B208DB"/>
    <w:rsid w:val="00B23F69"/>
    <w:rsid w:val="00B33E1A"/>
    <w:rsid w:val="00B60619"/>
    <w:rsid w:val="00B66A70"/>
    <w:rsid w:val="00B67366"/>
    <w:rsid w:val="00B80EE1"/>
    <w:rsid w:val="00B84135"/>
    <w:rsid w:val="00B959DC"/>
    <w:rsid w:val="00BA163B"/>
    <w:rsid w:val="00BC7CF4"/>
    <w:rsid w:val="00C04D34"/>
    <w:rsid w:val="00C05DF8"/>
    <w:rsid w:val="00C06864"/>
    <w:rsid w:val="00C10F54"/>
    <w:rsid w:val="00C143F4"/>
    <w:rsid w:val="00C23D8D"/>
    <w:rsid w:val="00C32A48"/>
    <w:rsid w:val="00C37AA3"/>
    <w:rsid w:val="00C37FD7"/>
    <w:rsid w:val="00C43419"/>
    <w:rsid w:val="00C44CF3"/>
    <w:rsid w:val="00C61BE0"/>
    <w:rsid w:val="00C6707E"/>
    <w:rsid w:val="00C6776D"/>
    <w:rsid w:val="00C70B0E"/>
    <w:rsid w:val="00C773CA"/>
    <w:rsid w:val="00C83785"/>
    <w:rsid w:val="00C94C0D"/>
    <w:rsid w:val="00CA1FEB"/>
    <w:rsid w:val="00CB0002"/>
    <w:rsid w:val="00CB73B0"/>
    <w:rsid w:val="00CD4F85"/>
    <w:rsid w:val="00CD5FB5"/>
    <w:rsid w:val="00CD6F02"/>
    <w:rsid w:val="00CE23BD"/>
    <w:rsid w:val="00CE246D"/>
    <w:rsid w:val="00CF07A0"/>
    <w:rsid w:val="00CF3E03"/>
    <w:rsid w:val="00D0082A"/>
    <w:rsid w:val="00D21455"/>
    <w:rsid w:val="00D32369"/>
    <w:rsid w:val="00D47634"/>
    <w:rsid w:val="00D709B3"/>
    <w:rsid w:val="00DA1E37"/>
    <w:rsid w:val="00DA2ED6"/>
    <w:rsid w:val="00DB76B8"/>
    <w:rsid w:val="00DC2EA1"/>
    <w:rsid w:val="00DD6AAF"/>
    <w:rsid w:val="00DE3F5C"/>
    <w:rsid w:val="00DF1D20"/>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F3B86"/>
    <w:rsid w:val="00F317E9"/>
    <w:rsid w:val="00F34554"/>
    <w:rsid w:val="00F45F77"/>
    <w:rsid w:val="00F5167F"/>
    <w:rsid w:val="00F52258"/>
    <w:rsid w:val="00F8570A"/>
    <w:rsid w:val="00F91C7B"/>
    <w:rsid w:val="00F94DD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6736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6.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80E64-4214-4C20-8282-A8B8F445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6502</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43484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4</cp:revision>
  <dcterms:created xsi:type="dcterms:W3CDTF">2022-10-10T10:36:00Z</dcterms:created>
  <dcterms:modified xsi:type="dcterms:W3CDTF">2022-10-11T05:56:00Z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