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43" w:rsidRPr="00EC1542" w:rsidRDefault="00596D43" w:rsidP="00596D43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jc w:val="center"/>
        <w:rPr>
          <w:b/>
          <w:bCs/>
          <w:iCs/>
          <w:szCs w:val="22"/>
          <w:u w:val="single"/>
          <w:lang w:val="sr-Latn-ME"/>
        </w:rPr>
      </w:pPr>
      <w:r w:rsidRPr="00EC1542">
        <w:rPr>
          <w:b/>
          <w:bCs/>
          <w:iCs/>
          <w:szCs w:val="22"/>
          <w:u w:val="single"/>
          <w:lang w:val="sr-Latn-ME"/>
        </w:rPr>
        <w:t>SAŽETAK KARAKTERISTIKA LIJEKA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>1.</w:t>
      </w:r>
      <w:r w:rsidRPr="00EC1542">
        <w:rPr>
          <w:b/>
          <w:bCs/>
          <w:szCs w:val="22"/>
          <w:lang w:val="sr-Latn-ME"/>
        </w:rPr>
        <w:tab/>
        <w:t>NAZIV LIJEKA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 xml:space="preserve">Herbion </w:t>
      </w:r>
      <w:r w:rsidR="00F4305C" w:rsidRPr="00EC1542">
        <w:rPr>
          <w:color w:val="000000"/>
          <w:szCs w:val="22"/>
          <w:lang w:val="sr-Latn-ME"/>
        </w:rPr>
        <w:t>Bronho</w:t>
      </w:r>
      <w:r w:rsidRPr="00EC1542">
        <w:rPr>
          <w:color w:val="000000"/>
          <w:szCs w:val="22"/>
          <w:lang w:val="sr-Latn-ME"/>
        </w:rPr>
        <w:t>, 0,22 – 0,51 g/5 ml + 0,62 g/5 ml, sirup</w:t>
      </w:r>
    </w:p>
    <w:p w:rsidR="00596D43" w:rsidRPr="00EC1542" w:rsidRDefault="00596D43" w:rsidP="00596D43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INN: jagorčevina (</w:t>
      </w:r>
      <w:r w:rsidRPr="00EC1542">
        <w:rPr>
          <w:i/>
          <w:iCs/>
          <w:szCs w:val="22"/>
          <w:lang w:val="sr-Latn-ME"/>
        </w:rPr>
        <w:t xml:space="preserve">Primula veris </w:t>
      </w:r>
      <w:r w:rsidRPr="00EC1542">
        <w:rPr>
          <w:iCs/>
          <w:szCs w:val="22"/>
          <w:lang w:val="sr-Latn-ME"/>
        </w:rPr>
        <w:t>L. i/ili</w:t>
      </w:r>
      <w:r w:rsidRPr="00EC1542">
        <w:rPr>
          <w:i/>
          <w:iCs/>
          <w:szCs w:val="22"/>
          <w:lang w:val="sr-Latn-ME"/>
        </w:rPr>
        <w:t xml:space="preserve"> Primula elatior </w:t>
      </w:r>
      <w:r w:rsidRPr="00EC1542">
        <w:rPr>
          <w:iCs/>
          <w:szCs w:val="22"/>
          <w:lang w:val="sr-Latn-ME"/>
        </w:rPr>
        <w:t>(L.) Hill.</w:t>
      </w:r>
      <w:r w:rsidRPr="00EC1542">
        <w:rPr>
          <w:szCs w:val="22"/>
          <w:lang w:val="sr-Latn-ME"/>
        </w:rPr>
        <w:t>), tečni ekstrakt korijena, timijan (</w:t>
      </w:r>
      <w:r w:rsidRPr="00EC1542">
        <w:rPr>
          <w:i/>
          <w:iCs/>
          <w:szCs w:val="22"/>
          <w:lang w:val="sr-Latn-ME"/>
        </w:rPr>
        <w:t xml:space="preserve">Thymus vulgaris </w:t>
      </w:r>
      <w:r w:rsidRPr="00EC1542">
        <w:rPr>
          <w:iCs/>
          <w:szCs w:val="22"/>
          <w:lang w:val="sr-Latn-ME"/>
        </w:rPr>
        <w:t>L.</w:t>
      </w:r>
      <w:r w:rsidRPr="00EC1542">
        <w:rPr>
          <w:i/>
          <w:iCs/>
          <w:szCs w:val="22"/>
          <w:lang w:val="sr-Latn-ME"/>
        </w:rPr>
        <w:t xml:space="preserve"> </w:t>
      </w:r>
      <w:r w:rsidRPr="00EC1542">
        <w:rPr>
          <w:iCs/>
          <w:szCs w:val="22"/>
          <w:lang w:val="sr-Latn-ME"/>
        </w:rPr>
        <w:t>i/ili</w:t>
      </w:r>
      <w:r w:rsidRPr="00EC1542">
        <w:rPr>
          <w:i/>
          <w:iCs/>
          <w:szCs w:val="22"/>
          <w:lang w:val="sr-Latn-ME"/>
        </w:rPr>
        <w:t xml:space="preserve"> Thymus zygis </w:t>
      </w:r>
      <w:r w:rsidRPr="00EC1542">
        <w:rPr>
          <w:iCs/>
          <w:szCs w:val="22"/>
          <w:lang w:val="sr-Latn-ME"/>
        </w:rPr>
        <w:t>L</w:t>
      </w:r>
      <w:r w:rsidRPr="00EC1542">
        <w:rPr>
          <w:i/>
          <w:iCs/>
          <w:szCs w:val="22"/>
          <w:lang w:val="sr-Latn-ME"/>
        </w:rPr>
        <w:t>.</w:t>
      </w:r>
      <w:r w:rsidRPr="00EC1542">
        <w:rPr>
          <w:szCs w:val="22"/>
          <w:lang w:val="sr-Latn-ME"/>
        </w:rPr>
        <w:t>), tečni ekstrakt herbe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2. </w:t>
      </w:r>
      <w:r w:rsidRPr="00EC1542">
        <w:rPr>
          <w:b/>
          <w:bCs/>
          <w:szCs w:val="22"/>
          <w:lang w:val="sr-Latn-ME"/>
        </w:rPr>
        <w:tab/>
        <w:t>KVALITATIVNI I KVANTITATIVNI SASTAV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5 ml sirupa (1 kašika za doziranje) sadrži 3,08 g tečnog ekstrakta mješavine korijena jagorčevine (</w:t>
      </w:r>
      <w:r w:rsidRPr="00EC1542">
        <w:rPr>
          <w:i/>
          <w:iCs/>
          <w:szCs w:val="22"/>
          <w:lang w:val="sr-Latn-ME"/>
        </w:rPr>
        <w:t>Primula veris</w:t>
      </w:r>
      <w:r w:rsidRPr="00EC1542">
        <w:rPr>
          <w:szCs w:val="22"/>
          <w:lang w:val="sr-Latn-ME"/>
        </w:rPr>
        <w:t xml:space="preserve"> L. i/ili </w:t>
      </w:r>
      <w:r w:rsidRPr="00EC1542">
        <w:rPr>
          <w:i/>
          <w:iCs/>
          <w:szCs w:val="22"/>
          <w:lang w:val="sr-Latn-ME"/>
        </w:rPr>
        <w:t>Primula elatior</w:t>
      </w:r>
      <w:r w:rsidRPr="00EC1542">
        <w:rPr>
          <w:szCs w:val="22"/>
          <w:lang w:val="sr-Latn-ME"/>
        </w:rPr>
        <w:t xml:space="preserve"> (L.) Hill.) i herbe timijana (</w:t>
      </w:r>
      <w:r w:rsidRPr="00EC1542">
        <w:rPr>
          <w:i/>
          <w:iCs/>
          <w:szCs w:val="22"/>
          <w:lang w:val="sr-Latn-ME"/>
        </w:rPr>
        <w:t>Thymus vulgaris</w:t>
      </w:r>
      <w:r w:rsidRPr="00EC1542">
        <w:rPr>
          <w:szCs w:val="22"/>
          <w:lang w:val="sr-Latn-ME"/>
        </w:rPr>
        <w:t xml:space="preserve"> L. i/ili </w:t>
      </w:r>
      <w:r w:rsidRPr="00EC1542">
        <w:rPr>
          <w:i/>
          <w:iCs/>
          <w:szCs w:val="22"/>
          <w:lang w:val="sr-Latn-ME"/>
        </w:rPr>
        <w:t>Thymus zygis</w:t>
      </w:r>
      <w:r w:rsidRPr="00EC1542">
        <w:rPr>
          <w:szCs w:val="22"/>
          <w:lang w:val="sr-Latn-ME"/>
        </w:rPr>
        <w:t xml:space="preserve"> L.), što odgovara 0,22 g - 0,51 g korijena jagorčevine (</w:t>
      </w:r>
      <w:r w:rsidRPr="00EC1542">
        <w:rPr>
          <w:i/>
          <w:iCs/>
          <w:szCs w:val="22"/>
          <w:lang w:val="sr-Latn-ME"/>
        </w:rPr>
        <w:t xml:space="preserve">Primula veris </w:t>
      </w:r>
      <w:r w:rsidRPr="00EC1542">
        <w:rPr>
          <w:iCs/>
          <w:szCs w:val="22"/>
          <w:lang w:val="sr-Latn-ME"/>
        </w:rPr>
        <w:t>L. i/ili</w:t>
      </w:r>
      <w:r w:rsidRPr="00EC1542">
        <w:rPr>
          <w:i/>
          <w:iCs/>
          <w:szCs w:val="22"/>
          <w:lang w:val="sr-Latn-ME"/>
        </w:rPr>
        <w:t xml:space="preserve"> Primula elatior </w:t>
      </w:r>
      <w:r w:rsidRPr="00EC1542">
        <w:rPr>
          <w:iCs/>
          <w:szCs w:val="22"/>
          <w:lang w:val="sr-Latn-ME"/>
        </w:rPr>
        <w:t>(L.)</w:t>
      </w:r>
      <w:r w:rsidRPr="00EC1542">
        <w:rPr>
          <w:i/>
          <w:iCs/>
          <w:szCs w:val="22"/>
          <w:lang w:val="sr-Latn-ME"/>
        </w:rPr>
        <w:t xml:space="preserve"> </w:t>
      </w:r>
      <w:r w:rsidRPr="00EC1542">
        <w:rPr>
          <w:iCs/>
          <w:szCs w:val="22"/>
          <w:lang w:val="sr-Latn-ME"/>
        </w:rPr>
        <w:t>Hill</w:t>
      </w:r>
      <w:r w:rsidRPr="00EC1542">
        <w:rPr>
          <w:i/>
          <w:iCs/>
          <w:szCs w:val="22"/>
          <w:lang w:val="sr-Latn-ME"/>
        </w:rPr>
        <w:t>.</w:t>
      </w:r>
      <w:r w:rsidRPr="00EC1542">
        <w:rPr>
          <w:szCs w:val="22"/>
          <w:lang w:val="sr-Latn-ME"/>
        </w:rPr>
        <w:t>) i 0,62 g herbe timijana (</w:t>
      </w:r>
      <w:r w:rsidRPr="00EC1542">
        <w:rPr>
          <w:i/>
          <w:iCs/>
          <w:szCs w:val="22"/>
          <w:lang w:val="sr-Latn-ME"/>
        </w:rPr>
        <w:t>Thymus vulgaris</w:t>
      </w:r>
      <w:r w:rsidRPr="00EC1542">
        <w:rPr>
          <w:szCs w:val="22"/>
          <w:lang w:val="sr-Latn-ME"/>
        </w:rPr>
        <w:t xml:space="preserve"> L. i/ili </w:t>
      </w:r>
      <w:r w:rsidRPr="00EC1542">
        <w:rPr>
          <w:i/>
          <w:iCs/>
          <w:szCs w:val="22"/>
          <w:lang w:val="sr-Latn-ME"/>
        </w:rPr>
        <w:t>Thymus zygis</w:t>
      </w:r>
      <w:r w:rsidRPr="00EC1542">
        <w:rPr>
          <w:szCs w:val="22"/>
          <w:lang w:val="sr-Latn-ME"/>
        </w:rPr>
        <w:t xml:space="preserve"> L.). Rastvarač za ekstrakciju: voda.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bCs/>
          <w:szCs w:val="22"/>
          <w:lang w:val="sr-Latn-ME"/>
        </w:rPr>
      </w:pPr>
      <w:r w:rsidRPr="00EC1542">
        <w:rPr>
          <w:bCs/>
          <w:szCs w:val="22"/>
          <w:lang w:val="sr-Latn-ME"/>
        </w:rPr>
        <w:t>Pomoćne supstance sa potvrđenim dejstvom:</w:t>
      </w:r>
    </w:p>
    <w:p w:rsidR="00596D43" w:rsidRPr="00EC1542" w:rsidRDefault="00596D43" w:rsidP="00596D43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jc w:val="both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>saharoza: 3,16 g/5 ml,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>-</w:t>
      </w:r>
      <w:r w:rsidRPr="00EC1542">
        <w:rPr>
          <w:color w:val="000000"/>
          <w:szCs w:val="22"/>
          <w:lang w:val="sr-Latn-ME"/>
        </w:rPr>
        <w:tab/>
        <w:t>metil parahidroksibenzoat</w:t>
      </w:r>
      <w:r w:rsidRPr="00EC1542">
        <w:rPr>
          <w:szCs w:val="22"/>
          <w:lang w:val="sr-Latn-ME"/>
        </w:rPr>
        <w:t xml:space="preserve"> (E218)</w:t>
      </w:r>
      <w:r w:rsidRPr="00EC1542">
        <w:rPr>
          <w:color w:val="000000"/>
          <w:szCs w:val="22"/>
          <w:lang w:val="sr-Latn-ME"/>
        </w:rPr>
        <w:t>: 8,75 mg/5 ml.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Za spisak svih ekscipijenasa, pogledati dio 6.1.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3. </w:t>
      </w:r>
      <w:r w:rsidRPr="00EC1542">
        <w:rPr>
          <w:b/>
          <w:bCs/>
          <w:szCs w:val="22"/>
          <w:lang w:val="sr-Latn-ME"/>
        </w:rPr>
        <w:tab/>
        <w:t xml:space="preserve">FARMACEUTSKI OBLIK 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Sirup.</w:t>
      </w: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Sirup specifičnog mirisa i ukusa, braon boje; može biti prisutan mali talog specifičan za prirodne supstance.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 </w:t>
      </w:r>
      <w:r w:rsidRPr="00EC1542">
        <w:rPr>
          <w:b/>
          <w:bCs/>
          <w:szCs w:val="22"/>
          <w:lang w:val="sr-Latn-ME"/>
        </w:rPr>
        <w:tab/>
        <w:t>KLINIČKI PODACI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4.1. </w:t>
      </w:r>
      <w:r w:rsidRPr="00EC1542">
        <w:rPr>
          <w:b/>
          <w:bCs/>
          <w:szCs w:val="22"/>
          <w:lang w:val="sr-Latn-ME"/>
        </w:rPr>
        <w:tab/>
        <w:t>Terapijske indikacije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Herbion </w:t>
      </w:r>
      <w:r w:rsidR="00F4305C" w:rsidRPr="00EC1542">
        <w:rPr>
          <w:szCs w:val="22"/>
          <w:lang w:val="sr-Latn-ME"/>
        </w:rPr>
        <w:t>Bronho</w:t>
      </w:r>
      <w:r w:rsidRPr="00EC1542">
        <w:rPr>
          <w:szCs w:val="22"/>
          <w:lang w:val="sr-Latn-ME"/>
        </w:rPr>
        <w:t xml:space="preserve"> je tradicionalni biljni lijek koji se koristi kao ekspektorans kod prehlade praćene kašljem.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Herbion </w:t>
      </w:r>
      <w:r w:rsidR="00F4305C" w:rsidRPr="00EC1542">
        <w:rPr>
          <w:szCs w:val="22"/>
          <w:lang w:val="sr-Latn-ME"/>
        </w:rPr>
        <w:t>Bronho</w:t>
      </w:r>
      <w:r w:rsidRPr="00EC1542">
        <w:rPr>
          <w:szCs w:val="22"/>
          <w:lang w:val="sr-Latn-ME"/>
        </w:rPr>
        <w:t xml:space="preserve"> je tradicionalni biljni lijek čija se upotreba u navedenoj indikaciji zasniva isključivo na dugotrajnoj upotrebi.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4.2. </w:t>
      </w:r>
      <w:r w:rsidRPr="00EC1542">
        <w:rPr>
          <w:b/>
          <w:bCs/>
          <w:szCs w:val="22"/>
          <w:lang w:val="sr-Latn-ME"/>
        </w:rPr>
        <w:tab/>
        <w:t>Doziranje i način primjene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u w:val="single"/>
          <w:lang w:val="sr-Latn-ME"/>
        </w:rPr>
      </w:pPr>
      <w:r w:rsidRPr="00EC1542">
        <w:rPr>
          <w:szCs w:val="22"/>
          <w:u w:val="single"/>
          <w:lang w:val="sr-Latn-ME"/>
        </w:rPr>
        <w:t>Doziranje</w:t>
      </w:r>
    </w:p>
    <w:p w:rsidR="00596D43" w:rsidRPr="00EC1542" w:rsidRDefault="00596D43" w:rsidP="00596D43">
      <w:pPr>
        <w:rPr>
          <w:lang w:val="sr-Latn-ME"/>
        </w:rPr>
      </w:pPr>
      <w:r w:rsidRPr="00EC1542">
        <w:rPr>
          <w:i/>
          <w:lang w:val="sr-Latn-ME"/>
        </w:rPr>
        <w:t xml:space="preserve">Odrasli i djeca starija od 12 godina: </w:t>
      </w:r>
      <w:r w:rsidRPr="00EC1542">
        <w:rPr>
          <w:lang w:val="sr-Latn-ME"/>
        </w:rPr>
        <w:t>1 kašika za doziranje sirupa 4 puta na dan.Odrasli i djeca starija od 12 godina: 1 kašika za doziranje sirupa 4 puta na dan.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Ne preporučuje se upotreba kod djece mlađe od 12 godina (vidjeti odjeljak 4.4)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lang w:val="sr-Latn-ME"/>
        </w:rPr>
        <w:t>Ako se</w:t>
      </w:r>
      <w:r w:rsidRPr="00EC1542">
        <w:rPr>
          <w:szCs w:val="22"/>
          <w:lang w:val="sr-Latn-ME"/>
        </w:rPr>
        <w:t xml:space="preserve"> simptomi ne povuku poslije nedjelju dana, potrebno je da se pacijent posavjetuje sa ljekarom ili farmaceutom.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Preporučuje se da pacijent pije mnogo čaja i toplih napitaka dok uzima ovaj sirup.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r-Latn-ME"/>
        </w:rPr>
      </w:pPr>
      <w:r w:rsidRPr="00EC1542">
        <w:rPr>
          <w:szCs w:val="22"/>
          <w:u w:val="single"/>
          <w:lang w:val="sr-Latn-ME"/>
        </w:rPr>
        <w:t>Način primjene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lastRenderedPageBreak/>
        <w:t>Oralna upotreba.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Neposredno nakon primjene lijeka pacijent ne treba ništa da jede ili pije, jer hrana i piće mogu da ubrzaju odstranjivanje lijeka sa sluzokože usta i ždrijela.</w:t>
      </w:r>
    </w:p>
    <w:p w:rsidR="00596D43" w:rsidRPr="00EC1542" w:rsidRDefault="00596D43" w:rsidP="00596D43">
      <w:pPr>
        <w:widowControl w:val="0"/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Prije upotrebe, bocu treba promućkati.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4.3. </w:t>
      </w:r>
      <w:r w:rsidRPr="00EC1542">
        <w:rPr>
          <w:b/>
          <w:bCs/>
          <w:szCs w:val="22"/>
          <w:lang w:val="sr-Latn-ME"/>
        </w:rPr>
        <w:tab/>
        <w:t>Kontraindikacije</w:t>
      </w:r>
    </w:p>
    <w:p w:rsidR="00596D43" w:rsidRPr="00EC1542" w:rsidRDefault="00596D43" w:rsidP="00596D43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szCs w:val="22"/>
          <w:lang w:val="sr-Latn-ME" w:eastAsia="sl-SI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Preosjetljivost na aktivne supstance ili na bilo koju od pomoćnih supstanci navedenih u odjeljku 6.1.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Poznata preosjetljivost na druge biljke roda </w:t>
      </w:r>
      <w:r w:rsidRPr="00EC1542">
        <w:rPr>
          <w:i/>
          <w:szCs w:val="22"/>
          <w:lang w:val="sr-Latn-ME"/>
        </w:rPr>
        <w:t>Primula</w:t>
      </w:r>
      <w:r w:rsidRPr="00EC1542">
        <w:rPr>
          <w:szCs w:val="22"/>
          <w:lang w:val="sr-Latn-ME"/>
        </w:rPr>
        <w:t>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Poznata preosjetljivost na druge biljke familije </w:t>
      </w:r>
      <w:r w:rsidRPr="00EC1542">
        <w:rPr>
          <w:i/>
          <w:szCs w:val="22"/>
          <w:lang w:val="sr-Latn-ME"/>
        </w:rPr>
        <w:t xml:space="preserve">Lamiaceae </w:t>
      </w:r>
      <w:r w:rsidRPr="00EC1542">
        <w:rPr>
          <w:szCs w:val="22"/>
          <w:lang w:val="sr-Latn-ME"/>
        </w:rPr>
        <w:t>(familija usnatice).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Kod djece koja su bolovala od akutnog opstruktivnog laringitisa kod djece.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Astma.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4.4. </w:t>
      </w:r>
      <w:r w:rsidRPr="00EC1542">
        <w:rPr>
          <w:b/>
          <w:bCs/>
          <w:szCs w:val="22"/>
          <w:lang w:val="sr-Latn-ME"/>
        </w:rPr>
        <w:tab/>
        <w:t>Posebna upozorenja i mjere opreza pri upotrebi lijeka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Herbion </w:t>
      </w:r>
      <w:r w:rsidR="00F4305C" w:rsidRPr="00EC1542">
        <w:rPr>
          <w:szCs w:val="22"/>
          <w:lang w:val="sr-Latn-ME"/>
        </w:rPr>
        <w:t>Bronho</w:t>
      </w:r>
      <w:r w:rsidRPr="00EC1542">
        <w:rPr>
          <w:szCs w:val="22"/>
          <w:lang w:val="sr-Latn-ME"/>
        </w:rPr>
        <w:t xml:space="preserve"> sadrži saharozu i stoga se ne preporučuje dijabetičarima.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Potreban je oprez kod pacijenata sa gastritisom ili ulkusom želuca.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Ako se jave dispnea, groznica ili gnojni sputum, treba se posavjetovati sa ljekarom ili farmaceutom.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  <w:tab w:val="left" w:pos="284"/>
        </w:tabs>
        <w:spacing w:line="240" w:lineRule="auto"/>
        <w:jc w:val="both"/>
        <w:rPr>
          <w:szCs w:val="22"/>
          <w:u w:val="single"/>
          <w:lang w:val="sr-Latn-ME"/>
        </w:rPr>
      </w:pPr>
      <w:r w:rsidRPr="00EC1542">
        <w:rPr>
          <w:szCs w:val="22"/>
          <w:u w:val="single"/>
          <w:lang w:val="sr-Latn-ME"/>
        </w:rPr>
        <w:t>Pedijatrijska populacija</w:t>
      </w:r>
    </w:p>
    <w:p w:rsidR="00596D43" w:rsidRPr="00EC1542" w:rsidRDefault="00596D43" w:rsidP="00596D43">
      <w:pPr>
        <w:tabs>
          <w:tab w:val="clear" w:pos="567"/>
          <w:tab w:val="left" w:pos="284"/>
        </w:tabs>
        <w:spacing w:line="240" w:lineRule="auto"/>
        <w:jc w:val="both"/>
        <w:rPr>
          <w:szCs w:val="22"/>
          <w:u w:val="single"/>
          <w:lang w:val="sr-Latn-ME"/>
        </w:rPr>
      </w:pPr>
      <w:r w:rsidRPr="00EC1542">
        <w:rPr>
          <w:szCs w:val="22"/>
          <w:lang w:val="sr-Latn-ME"/>
        </w:rPr>
        <w:t>Upotreba ovog sirupa se ne preporučuje kod djece mlađe od 12 godina, bez prethodne konsultacije sa ljekarom.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rFonts w:eastAsia="Calibri"/>
          <w:i/>
          <w:szCs w:val="22"/>
          <w:lang w:val="sr-Latn-ME"/>
        </w:rPr>
      </w:pPr>
      <w:r w:rsidRPr="00EC1542">
        <w:rPr>
          <w:rFonts w:eastAsia="Calibri"/>
          <w:i/>
          <w:szCs w:val="22"/>
          <w:lang w:val="sr-Latn-ME"/>
        </w:rPr>
        <w:t>Posebna upozorenja o pomoćnim supstancama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 xml:space="preserve">Herbion </w:t>
      </w:r>
      <w:r w:rsidR="00F4305C" w:rsidRPr="00EC1542">
        <w:rPr>
          <w:color w:val="000000"/>
          <w:szCs w:val="22"/>
          <w:lang w:val="sr-Latn-ME"/>
        </w:rPr>
        <w:t>Bronho</w:t>
      </w:r>
      <w:r w:rsidRPr="00EC1542">
        <w:rPr>
          <w:color w:val="000000"/>
          <w:szCs w:val="22"/>
          <w:lang w:val="sr-Latn-ME"/>
        </w:rPr>
        <w:t xml:space="preserve"> sadrži saharozu.</w:t>
      </w:r>
      <w:r w:rsidRPr="00EC1542">
        <w:rPr>
          <w:szCs w:val="22"/>
          <w:lang w:val="sr-Latn-ME"/>
        </w:rPr>
        <w:t xml:space="preserve"> </w:t>
      </w:r>
      <w:r w:rsidRPr="00EC1542">
        <w:rPr>
          <w:color w:val="000000"/>
          <w:szCs w:val="22"/>
          <w:lang w:val="sr-Latn-ME"/>
        </w:rPr>
        <w:t>Pacijenti sa rijetkim nasljednim oboljenjem netolerancije na fruktozu, glukozno-galaktoznom malapsorpcijom ili nedostatkom saharaza-izomaltaze, ne smiju koristiti ovaj lijek.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 xml:space="preserve">Herbion </w:t>
      </w:r>
      <w:r w:rsidR="00F4305C" w:rsidRPr="00EC1542">
        <w:rPr>
          <w:color w:val="000000"/>
          <w:szCs w:val="22"/>
          <w:lang w:val="sr-Latn-ME"/>
        </w:rPr>
        <w:t>Bronho</w:t>
      </w:r>
      <w:r w:rsidRPr="00EC1542">
        <w:rPr>
          <w:color w:val="000000"/>
          <w:szCs w:val="22"/>
          <w:lang w:val="sr-Latn-ME"/>
        </w:rPr>
        <w:t xml:space="preserve"> sadrži metil parahidroksibenzoat</w:t>
      </w:r>
      <w:r w:rsidRPr="00EC1542">
        <w:rPr>
          <w:szCs w:val="22"/>
          <w:lang w:val="sr-Latn-ME"/>
        </w:rPr>
        <w:t xml:space="preserve"> (E218)</w:t>
      </w:r>
      <w:r w:rsidRPr="00EC1542">
        <w:rPr>
          <w:color w:val="000000"/>
          <w:szCs w:val="22"/>
          <w:lang w:val="sr-Latn-ME"/>
        </w:rPr>
        <w:t xml:space="preserve"> koji može izazvati alergijske reakcije, čak i odložene.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>4.5.</w:t>
      </w:r>
      <w:r w:rsidRPr="00EC1542">
        <w:rPr>
          <w:b/>
          <w:bCs/>
          <w:szCs w:val="22"/>
          <w:lang w:val="sr-Latn-ME"/>
        </w:rPr>
        <w:tab/>
        <w:t>Interakcije sa drugim ljekovima i druge vrste interakcija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Nema raspoloživih podataka.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4.6. </w:t>
      </w:r>
      <w:r w:rsidRPr="00EC1542">
        <w:rPr>
          <w:b/>
          <w:bCs/>
          <w:szCs w:val="22"/>
          <w:lang w:val="sr-Latn-ME"/>
        </w:rPr>
        <w:tab/>
      </w:r>
      <w:r w:rsidRPr="00EC1542">
        <w:rPr>
          <w:b/>
          <w:szCs w:val="22"/>
          <w:lang w:val="sr-Latn-ME"/>
        </w:rPr>
        <w:t>Plodnost, trudnoća i dojenje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szCs w:val="22"/>
          <w:u w:val="single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Pošto su podaci o bezbjednosti primjene tokom trudnoće i dojenja nedovoljni, ne preporučuje se upotreba ovog sirupa tokom trudnoće i dojenja.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Nijesu dostupni podaci o uticaju lijeka Herbion </w:t>
      </w:r>
      <w:r w:rsidR="00F4305C" w:rsidRPr="00EC1542">
        <w:rPr>
          <w:szCs w:val="22"/>
          <w:lang w:val="sr-Latn-ME"/>
        </w:rPr>
        <w:t>Bronho</w:t>
      </w:r>
      <w:r w:rsidRPr="00EC1542">
        <w:rPr>
          <w:szCs w:val="22"/>
          <w:lang w:val="sr-Latn-ME"/>
        </w:rPr>
        <w:t xml:space="preserve"> na plodnost.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ind w:left="540" w:hanging="540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4.7. </w:t>
      </w:r>
      <w:r w:rsidRPr="00EC1542">
        <w:rPr>
          <w:b/>
          <w:bCs/>
          <w:szCs w:val="22"/>
          <w:lang w:val="sr-Latn-ME"/>
        </w:rPr>
        <w:tab/>
        <w:t>Uticaj na sposobnost upravljanja vozilima i rukovanje mašinama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Nijesu sprovedene studije o uticaju ovog lijeka na sposobnost upravljanja vozilima i rukovanja mašinama.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4.8. </w:t>
      </w:r>
      <w:r w:rsidRPr="00EC1542">
        <w:rPr>
          <w:b/>
          <w:bCs/>
          <w:szCs w:val="22"/>
          <w:lang w:val="sr-Latn-ME"/>
        </w:rPr>
        <w:tab/>
        <w:t>Neželjena dejstva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numPr>
          <w:ilvl w:val="12"/>
          <w:numId w:val="0"/>
        </w:numPr>
        <w:tabs>
          <w:tab w:val="clear" w:pos="567"/>
          <w:tab w:val="left" w:pos="8505"/>
        </w:tabs>
        <w:spacing w:line="240" w:lineRule="auto"/>
        <w:ind w:right="-2"/>
        <w:jc w:val="both"/>
        <w:rPr>
          <w:szCs w:val="22"/>
          <w:lang w:val="sr-Latn-ME" w:eastAsia="sl-SI"/>
        </w:rPr>
      </w:pPr>
      <w:r w:rsidRPr="00EC1542">
        <w:rPr>
          <w:szCs w:val="22"/>
          <w:lang w:val="sr-Latn-ME" w:eastAsia="sl-SI"/>
        </w:rPr>
        <w:t xml:space="preserve">Neželjena dejstva koja se mogu javiti tokom upotrebe lijeka Herbion </w:t>
      </w:r>
      <w:r w:rsidR="00F4305C" w:rsidRPr="00EC1542">
        <w:rPr>
          <w:szCs w:val="22"/>
          <w:lang w:val="sr-Latn-ME" w:eastAsia="sl-SI"/>
        </w:rPr>
        <w:t>Bronho</w:t>
      </w:r>
      <w:r w:rsidRPr="00EC1542">
        <w:rPr>
          <w:szCs w:val="22"/>
          <w:lang w:val="sr-Latn-ME" w:eastAsia="sl-SI"/>
        </w:rPr>
        <w:t xml:space="preserve"> su razvrstana prema klasi sistema organa i učestalosti:</w:t>
      </w:r>
    </w:p>
    <w:p w:rsidR="00596D43" w:rsidRPr="00EC1542" w:rsidRDefault="00596D43" w:rsidP="00596D43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veoma česta (≥ 1/10),</w:t>
      </w:r>
    </w:p>
    <w:p w:rsidR="00596D43" w:rsidRPr="00EC1542" w:rsidRDefault="00596D43" w:rsidP="00596D43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česta (≥ 1/100 do &lt; 1/10),</w:t>
      </w:r>
    </w:p>
    <w:p w:rsidR="00596D43" w:rsidRPr="00EC1542" w:rsidRDefault="00596D43" w:rsidP="00596D43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povremena (≥ 1/1000 do &lt; 1/100),</w:t>
      </w:r>
    </w:p>
    <w:p w:rsidR="00596D43" w:rsidRPr="00EC1542" w:rsidRDefault="00596D43" w:rsidP="00596D43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rijetka (≥ 1/10000 do &lt; 1/1000),</w:t>
      </w:r>
    </w:p>
    <w:p w:rsidR="00596D43" w:rsidRPr="00EC1542" w:rsidRDefault="00596D43" w:rsidP="00596D43">
      <w:pPr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veoma rijetka (&lt; 1/10000),</w:t>
      </w:r>
    </w:p>
    <w:p w:rsidR="00596D43" w:rsidRPr="00EC1542" w:rsidRDefault="00596D43" w:rsidP="00596D43">
      <w:pPr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EC1542">
        <w:rPr>
          <w:szCs w:val="22"/>
          <w:lang w:val="sr-Latn-ME"/>
        </w:rPr>
        <w:t>nepoznata (ne može se procijeniti na osnovu dostupnih podataka).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lastRenderedPageBreak/>
        <w:t>U svakoj kategoriji učestalosti, redosled neželjenih dejstava se kreće od najozbiljnijih do najblažih.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Učestalost neželjenih dejstava na pojedine klase sistema organa: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i/>
          <w:szCs w:val="22"/>
          <w:lang w:val="sr-Latn-ME"/>
        </w:rPr>
      </w:pPr>
      <w:r w:rsidRPr="00EC1542">
        <w:rPr>
          <w:i/>
          <w:szCs w:val="22"/>
          <w:lang w:val="sr-Latn-ME"/>
        </w:rPr>
        <w:t>Poremećaji imunog sistema</w:t>
      </w:r>
    </w:p>
    <w:p w:rsidR="00596D43" w:rsidRPr="00EC1542" w:rsidRDefault="00596D43" w:rsidP="00596D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 xml:space="preserve">Nepoznata: alergijske reakcije, reakcija preosjetljivosti (uključujući jedan slučaj anafilaktičkog šoka i jedan slučaj </w:t>
      </w:r>
      <w:r w:rsidRPr="00EC1542">
        <w:rPr>
          <w:i/>
          <w:szCs w:val="22"/>
          <w:lang w:val="sr-Latn-ME"/>
        </w:rPr>
        <w:t>Quincke</w:t>
      </w:r>
      <w:r w:rsidRPr="00EC1542">
        <w:rPr>
          <w:szCs w:val="22"/>
          <w:lang w:val="sr-Latn-ME"/>
        </w:rPr>
        <w:t>-ovog edema).</w:t>
      </w:r>
    </w:p>
    <w:p w:rsidR="00596D43" w:rsidRPr="00EC1542" w:rsidRDefault="00596D43" w:rsidP="00596D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r-Latn-ME"/>
        </w:rPr>
      </w:pPr>
      <w:r w:rsidRPr="00EC1542">
        <w:rPr>
          <w:i/>
          <w:szCs w:val="22"/>
          <w:lang w:val="sr-Latn-ME"/>
        </w:rPr>
        <w:t>Gastrointestinalni poremećaji</w:t>
      </w:r>
    </w:p>
    <w:p w:rsidR="00596D43" w:rsidRPr="00EC1542" w:rsidRDefault="00596D43" w:rsidP="00596D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Nepoznata: želudačne tegobe, mučnina i povraćanje.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Ako se simptomi bolesti ne poboljšaju tokom primjene ili ako se pojavi neko neželjeno dejstvo koje nije navedeno u ovom uputstvu, treba se posavjetovati sa ljekarom ili farmaceutom.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EC1542">
        <w:rPr>
          <w:rFonts w:eastAsia="Calibri"/>
          <w:szCs w:val="22"/>
          <w:u w:val="single"/>
          <w:lang w:val="sr-Latn-ME"/>
        </w:rPr>
        <w:t>Prijavljivanje sumnji na neželjena dejstva</w:t>
      </w:r>
    </w:p>
    <w:p w:rsidR="002242DF" w:rsidRPr="008916B8" w:rsidRDefault="002242DF" w:rsidP="002242DF">
      <w:pPr>
        <w:tabs>
          <w:tab w:val="clear" w:pos="567"/>
        </w:tabs>
        <w:spacing w:after="200"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 xml:space="preserve">Institut za ljekove i medicinska sredstva </w:t>
      </w:r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Odjeljenje za farmakovigilancu</w:t>
      </w:r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Bulevar Ivana Crnojevića 64a, 81000 Podgorica</w:t>
      </w:r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tel: +382 (0) 20 310 280</w:t>
      </w:r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fax: +382 (0) 20 310 581</w:t>
      </w:r>
    </w:p>
    <w:p w:rsidR="002242DF" w:rsidRPr="008916B8" w:rsidRDefault="00272825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7" w:history="1">
        <w:r w:rsidR="002242DF" w:rsidRPr="008916B8">
          <w:rPr>
            <w:rStyle w:val="Hyperlink"/>
            <w:rFonts w:eastAsia="Calibri"/>
            <w:szCs w:val="22"/>
            <w:lang w:val="sr-Latn-ME"/>
          </w:rPr>
          <w:t>www.cinmed.me</w:t>
        </w:r>
      </w:hyperlink>
    </w:p>
    <w:p w:rsidR="002242DF" w:rsidRPr="00EC1542" w:rsidRDefault="00272825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8" w:history="1">
        <w:r w:rsidR="002242DF" w:rsidRPr="008916B8">
          <w:rPr>
            <w:rStyle w:val="Hyperlink"/>
            <w:rFonts w:eastAsia="Calibri"/>
            <w:szCs w:val="22"/>
            <w:lang w:val="sr-Latn-ME"/>
          </w:rPr>
          <w:t>nezeljenadejstva@cinmed.me</w:t>
        </w:r>
      </w:hyperlink>
    </w:p>
    <w:p w:rsidR="002242DF" w:rsidRPr="008916B8" w:rsidRDefault="002242DF" w:rsidP="008916B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8916B8">
        <w:rPr>
          <w:rFonts w:eastAsia="Calibri"/>
          <w:szCs w:val="22"/>
          <w:lang w:val="sr-Latn-ME"/>
        </w:rPr>
        <w:t>putem IS zdravstvene zaštite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4.9. </w:t>
      </w:r>
      <w:r w:rsidRPr="00EC1542">
        <w:rPr>
          <w:b/>
          <w:bCs/>
          <w:szCs w:val="22"/>
          <w:lang w:val="sr-Latn-ME"/>
        </w:rPr>
        <w:tab/>
        <w:t xml:space="preserve">Predoziranje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Nijesu zabilježeni slučajevi predoziranja.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Predoziranje može izazvati gastrointestinalne poremećaje, povraćanje ili dijareju.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5. </w:t>
      </w:r>
      <w:r w:rsidRPr="00EC1542">
        <w:rPr>
          <w:b/>
          <w:bCs/>
          <w:szCs w:val="22"/>
          <w:lang w:val="sr-Latn-ME"/>
        </w:rPr>
        <w:tab/>
        <w:t>FARMAKOLOŠKI PODACI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5.1. </w:t>
      </w:r>
      <w:r w:rsidRPr="00EC1542">
        <w:rPr>
          <w:b/>
          <w:bCs/>
          <w:szCs w:val="22"/>
          <w:lang w:val="sr-Latn-ME"/>
        </w:rPr>
        <w:tab/>
        <w:t xml:space="preserve">Farmakodinamski podaci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>Farmakoterapijska grupa:</w:t>
      </w:r>
      <w:r w:rsidRPr="00EC1542">
        <w:rPr>
          <w:bCs/>
          <w:szCs w:val="22"/>
          <w:lang w:val="sr-Latn-ME"/>
        </w:rPr>
        <w:t xml:space="preserve"> tradicionalni biljni lijek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>ATC kod:</w:t>
      </w:r>
      <w:r w:rsidRPr="00EC1542">
        <w:rPr>
          <w:bCs/>
          <w:szCs w:val="22"/>
          <w:lang w:val="sr-Latn-ME"/>
        </w:rPr>
        <w:t xml:space="preserve"> /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bCs/>
          <w:szCs w:val="22"/>
          <w:lang w:val="sr-Latn-ME"/>
        </w:rPr>
        <w:t>U odsustvu adekvatnih naučnih podataka, indikacija ovog lijeka se zasniva na dugogodišnjoj tradicionalnoj upotrebi njegovih komponenti.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5.2. </w:t>
      </w:r>
      <w:r w:rsidRPr="00EC1542">
        <w:rPr>
          <w:b/>
          <w:bCs/>
          <w:szCs w:val="22"/>
          <w:lang w:val="sr-Latn-ME"/>
        </w:rPr>
        <w:tab/>
        <w:t xml:space="preserve">Farmakokinetički podaci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Nema podataka.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5.3. </w:t>
      </w:r>
      <w:r w:rsidRPr="00EC1542">
        <w:rPr>
          <w:b/>
          <w:bCs/>
          <w:szCs w:val="22"/>
          <w:lang w:val="sr-Latn-ME"/>
        </w:rPr>
        <w:tab/>
        <w:t xml:space="preserve">Pretklinički podaci o bezbjednosti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Genotoksični potencijal vodenog ekstrakta korijena jagorčevine (</w:t>
      </w:r>
      <w:r w:rsidRPr="00EC1542">
        <w:rPr>
          <w:i/>
          <w:szCs w:val="22"/>
          <w:lang w:val="sr-Latn-ME"/>
        </w:rPr>
        <w:t xml:space="preserve">Primulae veris </w:t>
      </w:r>
      <w:r w:rsidRPr="00EC1542">
        <w:rPr>
          <w:szCs w:val="22"/>
          <w:lang w:val="sr-Latn-ME"/>
        </w:rPr>
        <w:t>L</w:t>
      </w:r>
      <w:r w:rsidRPr="00EC1542">
        <w:rPr>
          <w:i/>
          <w:szCs w:val="22"/>
          <w:lang w:val="sr-Latn-ME"/>
        </w:rPr>
        <w:t xml:space="preserve">. </w:t>
      </w:r>
      <w:r w:rsidRPr="00EC1542">
        <w:rPr>
          <w:szCs w:val="22"/>
          <w:lang w:val="sr-Latn-ME"/>
        </w:rPr>
        <w:t>i/ili</w:t>
      </w:r>
      <w:r w:rsidRPr="00EC1542">
        <w:rPr>
          <w:i/>
          <w:szCs w:val="22"/>
          <w:lang w:val="sr-Latn-ME"/>
        </w:rPr>
        <w:t xml:space="preserve"> Primula elatior </w:t>
      </w:r>
      <w:r w:rsidRPr="00EC1542">
        <w:rPr>
          <w:szCs w:val="22"/>
          <w:lang w:val="sr-Latn-ME"/>
        </w:rPr>
        <w:t>(L).Hill.) i herbe timijana (</w:t>
      </w:r>
      <w:r w:rsidRPr="00EC1542">
        <w:rPr>
          <w:i/>
          <w:szCs w:val="22"/>
          <w:lang w:val="sr-Latn-ME"/>
        </w:rPr>
        <w:t xml:space="preserve">Thymus vulgaris </w:t>
      </w:r>
      <w:r w:rsidRPr="00EC1542">
        <w:rPr>
          <w:szCs w:val="22"/>
          <w:lang w:val="sr-Latn-ME"/>
        </w:rPr>
        <w:t>L</w:t>
      </w:r>
      <w:r w:rsidRPr="00EC1542">
        <w:rPr>
          <w:i/>
          <w:szCs w:val="22"/>
          <w:lang w:val="sr-Latn-ME"/>
        </w:rPr>
        <w:t xml:space="preserve">. </w:t>
      </w:r>
      <w:r w:rsidRPr="00EC1542">
        <w:rPr>
          <w:szCs w:val="22"/>
          <w:lang w:val="sr-Latn-ME"/>
        </w:rPr>
        <w:t>i/ili</w:t>
      </w:r>
      <w:r w:rsidRPr="00EC1542">
        <w:rPr>
          <w:i/>
          <w:szCs w:val="22"/>
          <w:lang w:val="sr-Latn-ME"/>
        </w:rPr>
        <w:t xml:space="preserve"> Thymus zygis </w:t>
      </w:r>
      <w:r w:rsidRPr="00EC1542">
        <w:rPr>
          <w:szCs w:val="22"/>
          <w:lang w:val="sr-Latn-ME"/>
        </w:rPr>
        <w:t>L.) je ispitivan testovima reverzne mutacije na bakterijama Salmonella typhimurium (</w:t>
      </w:r>
      <w:r w:rsidRPr="00EC1542">
        <w:rPr>
          <w:i/>
          <w:szCs w:val="22"/>
          <w:lang w:val="sr-Latn-ME"/>
        </w:rPr>
        <w:t>Ames</w:t>
      </w:r>
      <w:r w:rsidRPr="00EC1542">
        <w:rPr>
          <w:szCs w:val="22"/>
          <w:lang w:val="sr-Latn-ME"/>
        </w:rPr>
        <w:t xml:space="preserve"> test). Ni jedan, ni drugi ekstrakt nijesu ispoljili mutagenost.</w:t>
      </w:r>
    </w:p>
    <w:p w:rsidR="00EC1542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Testovi reproduktivne toksičnosti i karcinogenosti nijesu rađeni.</w:t>
      </w:r>
    </w:p>
    <w:p w:rsidR="000B6CAF" w:rsidRPr="00EC1542" w:rsidRDefault="000B6CAF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lastRenderedPageBreak/>
        <w:t xml:space="preserve">6. </w:t>
      </w:r>
      <w:r w:rsidRPr="00EC1542">
        <w:rPr>
          <w:b/>
          <w:bCs/>
          <w:szCs w:val="22"/>
          <w:lang w:val="sr-Latn-ME"/>
        </w:rPr>
        <w:tab/>
        <w:t>FARMACEUTSKI PODACI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6.1. </w:t>
      </w:r>
      <w:r w:rsidRPr="00EC1542">
        <w:rPr>
          <w:b/>
          <w:bCs/>
          <w:szCs w:val="22"/>
          <w:lang w:val="sr-Latn-ME"/>
        </w:rPr>
        <w:tab/>
        <w:t>Lista pomoćnih supstanci (ekscipijenasa)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Levomentol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Saharoza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>Metil parahidroksibenzoat</w:t>
      </w:r>
      <w:r w:rsidRPr="00EC1542">
        <w:rPr>
          <w:szCs w:val="22"/>
          <w:lang w:val="sr-Latn-ME"/>
        </w:rPr>
        <w:t xml:space="preserve"> (E218)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6.2. </w:t>
      </w:r>
      <w:r w:rsidRPr="00EC1542">
        <w:rPr>
          <w:b/>
          <w:bCs/>
          <w:szCs w:val="22"/>
          <w:lang w:val="sr-Latn-ME"/>
        </w:rPr>
        <w:tab/>
        <w:t>Inkompatibilnosti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Nije primjenjivo.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6.3. </w:t>
      </w:r>
      <w:r w:rsidRPr="00EC1542">
        <w:rPr>
          <w:b/>
          <w:bCs/>
          <w:szCs w:val="22"/>
          <w:lang w:val="sr-Latn-ME"/>
        </w:rPr>
        <w:tab/>
        <w:t>Rok upotrebe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Rok upotrebe prije prvog otvaranja: 3 godine.</w:t>
      </w: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Rok upotrebe nakon prvog otvaranja: 3 mjeseca, na temperaturi do 25°C, u originalnom pakovanju.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6.4. </w:t>
      </w:r>
      <w:r w:rsidRPr="00EC1542">
        <w:rPr>
          <w:b/>
          <w:bCs/>
          <w:szCs w:val="22"/>
          <w:lang w:val="sr-Latn-ME"/>
        </w:rPr>
        <w:tab/>
        <w:t>Posebne mjere upozorenja pri čuvanju lijeka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Uslovi čuvanja prije prvog otvaranja: ovaj lijek ne zahtijeva posebne uslove čuvanja.</w:t>
      </w:r>
    </w:p>
    <w:p w:rsidR="00596D43" w:rsidRPr="00EC1542" w:rsidRDefault="00596D43" w:rsidP="00596D43">
      <w:pPr>
        <w:widowControl w:val="0"/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  <w:tab w:val="left" w:pos="284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Za uslove čuvanja nakon prvog otvaranja lijeka , vidjeti odjeljak 6.3.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6.5. </w:t>
      </w:r>
      <w:r w:rsidRPr="00EC1542">
        <w:rPr>
          <w:b/>
          <w:bCs/>
          <w:szCs w:val="22"/>
          <w:lang w:val="sr-Latn-ME"/>
        </w:rPr>
        <w:tab/>
        <w:t xml:space="preserve">Vrsta i sadržaj pakovanja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Unutrašnje pakovanje lijeka je boca od tamnog stakla (hidrolitičke otopnosti tip III) sa polietilenskim zatvaračem i kašikom za doziranje od polipropilena (graduisana: ¼ = 1,25 ml, ½ =2,5 ml i 5 ml).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  <w:r w:rsidRPr="00EC1542">
        <w:rPr>
          <w:szCs w:val="22"/>
          <w:lang w:val="sr-Latn-ME"/>
        </w:rPr>
        <w:t>Spoljašnje pakovanje lijeka je složiva kartonska kutija u kojoj se nalazi staklena boca, koja sadrži 150 ml sirupa, kašika za doziranje i Uputstvo za lijek.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6.6. </w:t>
      </w:r>
      <w:r w:rsidRPr="00EC1542">
        <w:rPr>
          <w:b/>
          <w:bCs/>
          <w:szCs w:val="22"/>
          <w:lang w:val="sr-Latn-ME"/>
        </w:rPr>
        <w:tab/>
      </w:r>
      <w:r w:rsidRPr="00EC1542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EC1542">
        <w:rPr>
          <w:b/>
          <w:bCs/>
          <w:szCs w:val="22"/>
          <w:lang w:val="sr-Latn-ME"/>
        </w:rPr>
        <w:t xml:space="preserve"> (i druga uputstva za rukovanje lijekom)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iCs/>
          <w:szCs w:val="22"/>
          <w:lang w:val="sr-Latn-ME"/>
        </w:rPr>
      </w:pPr>
      <w:r w:rsidRPr="00EC1542">
        <w:rPr>
          <w:iCs/>
          <w:szCs w:val="22"/>
          <w:lang w:val="sr-Latn-ME"/>
        </w:rPr>
        <w:t>Neupotrijebljeni lijek se uništava u skladu sa važećim propisima.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7. </w:t>
      </w:r>
      <w:r w:rsidRPr="00EC1542">
        <w:rPr>
          <w:b/>
          <w:bCs/>
          <w:szCs w:val="22"/>
          <w:lang w:val="sr-Latn-ME"/>
        </w:rPr>
        <w:tab/>
        <w:t xml:space="preserve">NOSILAC DOZVOLE 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  <w:r w:rsidRPr="00EC1542">
        <w:rPr>
          <w:bCs/>
          <w:szCs w:val="22"/>
          <w:lang w:val="sr-Latn-ME"/>
        </w:rPr>
        <w:t>D.S.D. „KRKA, d.d., Novo mesto“ - predstavništvo Podgorica,</w:t>
      </w:r>
    </w:p>
    <w:p w:rsidR="00596D43" w:rsidRPr="00EC1542" w:rsidRDefault="00596D43" w:rsidP="00596D43">
      <w:pPr>
        <w:tabs>
          <w:tab w:val="clear" w:pos="567"/>
        </w:tabs>
        <w:spacing w:line="240" w:lineRule="auto"/>
        <w:rPr>
          <w:bCs/>
          <w:szCs w:val="22"/>
          <w:lang w:val="sr-Latn-ME"/>
        </w:rPr>
      </w:pPr>
      <w:r w:rsidRPr="00EC1542">
        <w:rPr>
          <w:bCs/>
          <w:szCs w:val="22"/>
          <w:lang w:val="sr-Latn-ME"/>
        </w:rPr>
        <w:t>Svetlane Kane Radević br. 3, 81000 Podgorica, Crna Gora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8. </w:t>
      </w:r>
      <w:r w:rsidRPr="00EC1542">
        <w:rPr>
          <w:b/>
          <w:bCs/>
          <w:szCs w:val="22"/>
          <w:lang w:val="sr-Latn-ME"/>
        </w:rPr>
        <w:tab/>
        <w:t>BROJ DOZVOLE ZA STAVLJANJE LIJEKA U PROMET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8916B8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rFonts w:ascii="TimesNewRomanBold" w:hAnsi="TimesNewRomanBold" w:cs="TimesNewRomanBold"/>
          <w:b/>
          <w:bCs/>
          <w:szCs w:val="22"/>
          <w:lang w:val="sr-Latn-ME" w:eastAsia="sr-Latn-ME"/>
        </w:rPr>
      </w:pPr>
      <w:r w:rsidRPr="00EC1542">
        <w:rPr>
          <w:color w:val="000000"/>
          <w:szCs w:val="22"/>
          <w:lang w:val="sr-Latn-ME"/>
        </w:rPr>
        <w:t>Herbion</w:t>
      </w:r>
      <w:r w:rsidRPr="00EC1542">
        <w:rPr>
          <w:bCs/>
          <w:szCs w:val="22"/>
          <w:vertAlign w:val="superscript"/>
          <w:lang w:val="sr-Latn-ME"/>
        </w:rPr>
        <w:sym w:font="Symbol" w:char="F0D2"/>
      </w:r>
      <w:r w:rsidRPr="00EC1542">
        <w:rPr>
          <w:color w:val="000000"/>
          <w:szCs w:val="22"/>
          <w:lang w:val="sr-Latn-ME"/>
        </w:rPr>
        <w:t xml:space="preserve"> </w:t>
      </w:r>
      <w:r w:rsidR="00F4305C" w:rsidRPr="00EC1542">
        <w:rPr>
          <w:color w:val="000000"/>
          <w:szCs w:val="22"/>
          <w:lang w:val="sr-Latn-ME"/>
        </w:rPr>
        <w:t>Bronho</w:t>
      </w:r>
      <w:r w:rsidRPr="00EC1542">
        <w:rPr>
          <w:color w:val="000000"/>
          <w:szCs w:val="22"/>
          <w:lang w:val="sr-Latn-ME"/>
        </w:rPr>
        <w:t>, sirup,  0,22 – 0,51 g/5 ml + 0,62 g/5 ml, boca, 1x150 ml:</w:t>
      </w:r>
      <w:r w:rsidRPr="008916B8">
        <w:rPr>
          <w:rFonts w:ascii="TimesNewRomanBold" w:hAnsi="TimesNewRomanBold" w:cs="TimesNewRomanBold"/>
          <w:b/>
          <w:bCs/>
          <w:szCs w:val="22"/>
          <w:lang w:val="sr-Latn-ME" w:eastAsia="sr-Latn-ME"/>
        </w:rPr>
        <w:t xml:space="preserve"> 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color w:val="000000"/>
          <w:szCs w:val="22"/>
          <w:lang w:val="sr-Latn-ME"/>
        </w:rPr>
      </w:pPr>
      <w:r w:rsidRPr="008916B8">
        <w:rPr>
          <w:bCs/>
          <w:szCs w:val="22"/>
          <w:lang w:val="sr-Latn-ME" w:eastAsia="sr-Latn-ME"/>
        </w:rPr>
        <w:t>2030/20/933 - 2232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9. </w:t>
      </w:r>
      <w:r w:rsidRPr="00EC1542">
        <w:rPr>
          <w:b/>
          <w:bCs/>
          <w:szCs w:val="22"/>
          <w:lang w:val="sr-Latn-ME"/>
        </w:rPr>
        <w:tab/>
        <w:t>DATUM PRVE DOZVOLE/OBNOVE DOZVOLE ZA STAVLJANJE LIJEKA U PROMET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color w:val="000000"/>
          <w:szCs w:val="22"/>
          <w:lang w:val="sr-Latn-ME"/>
        </w:rPr>
      </w:pPr>
      <w:r w:rsidRPr="00EC1542">
        <w:rPr>
          <w:color w:val="000000"/>
          <w:szCs w:val="22"/>
          <w:lang w:val="sr-Latn-ME"/>
        </w:rPr>
        <w:t>Herbion</w:t>
      </w:r>
      <w:r w:rsidRPr="00EC1542">
        <w:rPr>
          <w:bCs/>
          <w:szCs w:val="22"/>
          <w:vertAlign w:val="superscript"/>
          <w:lang w:val="sr-Latn-ME"/>
        </w:rPr>
        <w:sym w:font="Symbol" w:char="F0D2"/>
      </w:r>
      <w:r w:rsidRPr="00EC1542">
        <w:rPr>
          <w:color w:val="000000"/>
          <w:szCs w:val="22"/>
          <w:lang w:val="sr-Latn-ME"/>
        </w:rPr>
        <w:t xml:space="preserve"> </w:t>
      </w:r>
      <w:r w:rsidR="00F4305C" w:rsidRPr="00EC1542">
        <w:rPr>
          <w:color w:val="000000"/>
          <w:szCs w:val="22"/>
          <w:lang w:val="sr-Latn-ME"/>
        </w:rPr>
        <w:t>Bronho</w:t>
      </w:r>
      <w:r w:rsidRPr="00EC1542">
        <w:rPr>
          <w:color w:val="000000"/>
          <w:szCs w:val="22"/>
          <w:lang w:val="sr-Latn-ME"/>
        </w:rPr>
        <w:t xml:space="preserve">, sirup,  0,22 – 0,51 g/5 ml + 0,62 g/5 ml, boca, 1x150 ml: </w:t>
      </w:r>
    </w:p>
    <w:p w:rsidR="00596D43" w:rsidRPr="00EC1542" w:rsidRDefault="00596D43" w:rsidP="00596D43">
      <w:pPr>
        <w:widowControl w:val="0"/>
        <w:tabs>
          <w:tab w:val="clear" w:pos="567"/>
          <w:tab w:val="center" w:pos="4320"/>
          <w:tab w:val="right" w:pos="8640"/>
        </w:tabs>
        <w:spacing w:line="240" w:lineRule="auto"/>
        <w:rPr>
          <w:szCs w:val="22"/>
          <w:lang w:val="sr-Latn-ME"/>
        </w:rPr>
      </w:pPr>
      <w:r w:rsidRPr="008916B8">
        <w:rPr>
          <w:szCs w:val="22"/>
          <w:lang w:val="sr-Latn-ME" w:eastAsia="sr-Latn-ME"/>
        </w:rPr>
        <w:t>22.10.2020. godine</w:t>
      </w:r>
    </w:p>
    <w:p w:rsidR="00596D43" w:rsidRPr="00EC1542" w:rsidRDefault="00596D43" w:rsidP="00596D43">
      <w:pPr>
        <w:tabs>
          <w:tab w:val="left" w:pos="540"/>
        </w:tabs>
        <w:spacing w:line="240" w:lineRule="auto"/>
        <w:rPr>
          <w:bCs/>
          <w:szCs w:val="22"/>
          <w:lang w:val="sr-Latn-ME"/>
        </w:rPr>
      </w:pPr>
    </w:p>
    <w:p w:rsidR="00596D43" w:rsidRPr="00EC1542" w:rsidRDefault="00596D43" w:rsidP="008916B8">
      <w:pPr>
        <w:tabs>
          <w:tab w:val="left" w:pos="540"/>
        </w:tabs>
        <w:spacing w:line="240" w:lineRule="auto"/>
        <w:ind w:left="540" w:hanging="540"/>
        <w:rPr>
          <w:bCs/>
          <w:szCs w:val="22"/>
          <w:lang w:val="sr-Latn-ME"/>
        </w:rPr>
      </w:pPr>
      <w:r w:rsidRPr="00EC1542">
        <w:rPr>
          <w:b/>
          <w:bCs/>
          <w:szCs w:val="22"/>
          <w:lang w:val="sr-Latn-ME"/>
        </w:rPr>
        <w:t xml:space="preserve">10. </w:t>
      </w:r>
      <w:r w:rsidRPr="00EC1542">
        <w:rPr>
          <w:b/>
          <w:bCs/>
          <w:szCs w:val="22"/>
          <w:lang w:val="sr-Latn-ME"/>
        </w:rPr>
        <w:tab/>
        <w:t xml:space="preserve">DATUM REVIZIJE TEKSTA </w:t>
      </w:r>
    </w:p>
    <w:p w:rsidR="00EC1542" w:rsidRDefault="00EC1542" w:rsidP="00596D43">
      <w:pPr>
        <w:tabs>
          <w:tab w:val="clear" w:pos="567"/>
        </w:tabs>
        <w:spacing w:line="240" w:lineRule="auto"/>
        <w:rPr>
          <w:szCs w:val="22"/>
          <w:lang w:val="sr-Latn-ME"/>
        </w:rPr>
      </w:pPr>
    </w:p>
    <w:p w:rsidR="00812D16" w:rsidRPr="008E38D8" w:rsidRDefault="00EC1542" w:rsidP="008E38D8">
      <w:pPr>
        <w:tabs>
          <w:tab w:val="clear" w:pos="567"/>
        </w:tabs>
        <w:spacing w:line="240" w:lineRule="auto"/>
        <w:rPr>
          <w:szCs w:val="22"/>
          <w:lang w:val="sr-Latn-ME"/>
        </w:rPr>
      </w:pPr>
      <w:r>
        <w:rPr>
          <w:szCs w:val="22"/>
          <w:lang w:val="sr-Latn-ME"/>
        </w:rPr>
        <w:t>Oktobar</w:t>
      </w:r>
      <w:r w:rsidR="00596D43" w:rsidRPr="00EC1542">
        <w:rPr>
          <w:szCs w:val="22"/>
          <w:lang w:val="sr-Latn-ME"/>
        </w:rPr>
        <w:t xml:space="preserve">, </w:t>
      </w:r>
      <w:r w:rsidR="00F4305C" w:rsidRPr="00EC1542">
        <w:rPr>
          <w:szCs w:val="22"/>
          <w:lang w:val="sr-Latn-ME"/>
        </w:rPr>
        <w:t>2022 godine</w:t>
      </w:r>
      <w:r w:rsidR="00596D43" w:rsidRPr="00EC1542">
        <w:rPr>
          <w:szCs w:val="22"/>
          <w:lang w:val="sr-Latn-ME"/>
        </w:rPr>
        <w:t>.</w:t>
      </w:r>
      <w:bookmarkStart w:id="0" w:name="_GoBack"/>
      <w:bookmarkEnd w:id="0"/>
    </w:p>
    <w:sectPr w:rsidR="00812D16" w:rsidRPr="008E38D8" w:rsidSect="0013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25" w:rsidRDefault="00272825">
      <w:pPr>
        <w:spacing w:line="240" w:lineRule="auto"/>
      </w:pPr>
      <w:r>
        <w:separator/>
      </w:r>
    </w:p>
  </w:endnote>
  <w:endnote w:type="continuationSeparator" w:id="0">
    <w:p w:rsidR="00272825" w:rsidRDefault="0027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8E38D8">
      <w:rPr>
        <w:rStyle w:val="PageNumber"/>
        <w:rFonts w:cs="Arial"/>
      </w:rPr>
      <w:t>4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25" w:rsidRDefault="00272825">
      <w:pPr>
        <w:spacing w:line="240" w:lineRule="auto"/>
      </w:pPr>
      <w:r>
        <w:separator/>
      </w:r>
    </w:p>
  </w:footnote>
  <w:footnote w:type="continuationSeparator" w:id="0">
    <w:p w:rsidR="00272825" w:rsidRDefault="0027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Pr="004E5A77" w:rsidRDefault="004E5A77">
    <w:pPr>
      <w:pStyle w:val="Head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F56"/>
    <w:multiLevelType w:val="hybridMultilevel"/>
    <w:tmpl w:val="C9B0EAC2"/>
    <w:lvl w:ilvl="0" w:tplc="E38AE458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183A5F"/>
    <w:multiLevelType w:val="hybridMultilevel"/>
    <w:tmpl w:val="195412F8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12"/>
  </w:num>
  <w:num w:numId="7">
    <w:abstractNumId w:val="7"/>
  </w:num>
  <w:num w:numId="8">
    <w:abstractNumId w:val="9"/>
  </w:num>
  <w:num w:numId="9">
    <w:abstractNumId w:val="21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9"/>
  </w:num>
  <w:num w:numId="17">
    <w:abstractNumId w:val="10"/>
  </w:num>
  <w:num w:numId="18">
    <w:abstractNumId w:val="11"/>
  </w:num>
  <w:num w:numId="19">
    <w:abstractNumId w:val="22"/>
  </w:num>
  <w:num w:numId="20">
    <w:abstractNumId w:val="13"/>
  </w:num>
  <w:num w:numId="21">
    <w:abstractNumId w:val="20"/>
  </w:num>
  <w:num w:numId="22">
    <w:abstractNumId w:val="16"/>
  </w:num>
  <w:num w:numId="23">
    <w:abstractNumId w:val="6"/>
  </w:num>
  <w:num w:numId="24">
    <w:abstractNumId w:val="20"/>
  </w:num>
  <w:num w:numId="25">
    <w:abstractNumId w:val="3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527B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0356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B6CAF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96D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42DF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2825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54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6D43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337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16B8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38D8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44A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739A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6D0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014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1A0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C1542"/>
    <w:rsid w:val="00EC5AC6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305C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11C2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AF50F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BodyText2">
    <w:name w:val="Body Text 2"/>
    <w:basedOn w:val="Normal"/>
    <w:link w:val="BodyText2Char"/>
    <w:rsid w:val="00596D43"/>
    <w:pPr>
      <w:spacing w:after="120" w:line="480" w:lineRule="auto"/>
    </w:pPr>
  </w:style>
  <w:style w:type="character" w:customStyle="1" w:styleId="BodyText2Char">
    <w:name w:val="Body Text 2 Char"/>
    <w:link w:val="BodyText2"/>
    <w:rsid w:val="00596D43"/>
    <w:rPr>
      <w:rFonts w:eastAsia="Times New Roman"/>
      <w:sz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22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Hqrdtemplateclean_en</vt:lpstr>
      <vt:lpstr>Hqrdtemplatecleanen v10.1</vt:lpstr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Berina Ljuca</cp:lastModifiedBy>
  <cp:revision>27</cp:revision>
  <dcterms:created xsi:type="dcterms:W3CDTF">2019-04-02T15:23:00Z</dcterms:created>
  <dcterms:modified xsi:type="dcterms:W3CDTF">2022-10-13T07:06:00Z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