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B32BF5" w:rsidRDefault="001A5518" w:rsidP="001A5518">
      <w:pPr>
        <w:rPr>
          <w:b/>
          <w:bCs/>
          <w:i/>
          <w:iCs/>
          <w:sz w:val="22"/>
          <w:szCs w:val="22"/>
          <w:u w:val="single"/>
          <w:lang w:val="sr-Latn-ME"/>
        </w:rPr>
      </w:pPr>
    </w:p>
    <w:p w:rsidR="00F91C7B" w:rsidRPr="00B32BF5" w:rsidRDefault="00F91C7B" w:rsidP="001A5518">
      <w:pPr>
        <w:rPr>
          <w:b/>
          <w:bCs/>
          <w:i/>
          <w:iCs/>
          <w:sz w:val="22"/>
          <w:szCs w:val="22"/>
          <w:u w:val="single"/>
          <w:lang w:val="sr-Latn-ME"/>
        </w:rPr>
      </w:pPr>
    </w:p>
    <w:p w:rsidR="002510A5" w:rsidRPr="00B32BF5" w:rsidRDefault="002510A5" w:rsidP="002510A5">
      <w:pPr>
        <w:jc w:val="center"/>
        <w:rPr>
          <w:b/>
          <w:bCs/>
          <w:iCs/>
          <w:sz w:val="22"/>
          <w:szCs w:val="22"/>
          <w:u w:val="single"/>
          <w:lang w:val="sr-Latn-ME"/>
        </w:rPr>
      </w:pPr>
      <w:r w:rsidRPr="00B32BF5">
        <w:rPr>
          <w:b/>
          <w:bCs/>
          <w:iCs/>
          <w:sz w:val="22"/>
          <w:szCs w:val="22"/>
          <w:u w:val="single"/>
          <w:lang w:val="sr-Latn-ME"/>
        </w:rPr>
        <w:t>SAŽETAK KARAKTERISTIKA LIJEKA</w:t>
      </w:r>
    </w:p>
    <w:p w:rsidR="002510A5" w:rsidRPr="00B32BF5" w:rsidRDefault="002510A5" w:rsidP="002510A5">
      <w:pPr>
        <w:rPr>
          <w:b/>
          <w:bCs/>
          <w:i/>
          <w:iCs/>
          <w:sz w:val="22"/>
          <w:szCs w:val="22"/>
          <w:u w:val="single"/>
          <w:lang w:val="sr-Latn-ME"/>
        </w:rPr>
      </w:pPr>
    </w:p>
    <w:p w:rsidR="003C17AB" w:rsidRPr="00B32BF5" w:rsidRDefault="003C17AB" w:rsidP="00CA1FEB">
      <w:pPr>
        <w:rPr>
          <w:sz w:val="22"/>
          <w:szCs w:val="22"/>
          <w:lang w:val="sr-Latn-ME"/>
        </w:rPr>
      </w:pPr>
    </w:p>
    <w:p w:rsidR="00C37FD7" w:rsidRPr="00B32BF5" w:rsidRDefault="00C37FD7" w:rsidP="00F5167F">
      <w:pPr>
        <w:tabs>
          <w:tab w:val="left" w:pos="540"/>
          <w:tab w:val="left" w:pos="569"/>
        </w:tabs>
        <w:rPr>
          <w:bCs/>
          <w:sz w:val="22"/>
          <w:szCs w:val="22"/>
          <w:lang w:val="sr-Latn-ME"/>
        </w:rPr>
      </w:pPr>
    </w:p>
    <w:p w:rsidR="00411B4B" w:rsidRPr="00B32BF5" w:rsidRDefault="00411B4B" w:rsidP="000A243B">
      <w:pPr>
        <w:tabs>
          <w:tab w:val="left" w:pos="540"/>
          <w:tab w:val="left" w:pos="569"/>
        </w:tabs>
        <w:jc w:val="both"/>
        <w:rPr>
          <w:b/>
          <w:bCs/>
          <w:sz w:val="22"/>
          <w:szCs w:val="22"/>
          <w:lang w:val="sr-Latn-ME"/>
        </w:rPr>
      </w:pPr>
      <w:r w:rsidRPr="00B32BF5">
        <w:rPr>
          <w:b/>
          <w:bCs/>
          <w:sz w:val="22"/>
          <w:szCs w:val="22"/>
          <w:lang w:val="sr-Latn-ME"/>
        </w:rPr>
        <w:t>1.</w:t>
      </w:r>
      <w:r w:rsidR="00F5167F" w:rsidRPr="00B32BF5">
        <w:rPr>
          <w:b/>
          <w:bCs/>
          <w:sz w:val="22"/>
          <w:szCs w:val="22"/>
          <w:lang w:val="sr-Latn-ME"/>
        </w:rPr>
        <w:tab/>
      </w:r>
      <w:r w:rsidR="002846DB" w:rsidRPr="00B32BF5">
        <w:rPr>
          <w:b/>
          <w:bCs/>
          <w:sz w:val="22"/>
          <w:szCs w:val="22"/>
          <w:lang w:val="sr-Latn-ME"/>
        </w:rPr>
        <w:t xml:space="preserve">NAZIV </w:t>
      </w:r>
      <w:r w:rsidRPr="00B32BF5">
        <w:rPr>
          <w:b/>
          <w:bCs/>
          <w:sz w:val="22"/>
          <w:szCs w:val="22"/>
          <w:lang w:val="sr-Latn-ME"/>
        </w:rPr>
        <w:t>LIJEKA</w:t>
      </w:r>
    </w:p>
    <w:p w:rsidR="00EC2532" w:rsidRPr="00B32BF5" w:rsidRDefault="00EC2532" w:rsidP="000A243B">
      <w:pPr>
        <w:jc w:val="both"/>
        <w:rPr>
          <w:sz w:val="22"/>
          <w:szCs w:val="22"/>
          <w:lang w:val="sr-Latn-ME"/>
        </w:rPr>
      </w:pPr>
    </w:p>
    <w:p w:rsidR="00693173" w:rsidRPr="00B32BF5" w:rsidRDefault="00BE5DE7" w:rsidP="002671C0">
      <w:pPr>
        <w:tabs>
          <w:tab w:val="left" w:pos="567"/>
        </w:tabs>
        <w:spacing w:line="260" w:lineRule="exact"/>
        <w:jc w:val="both"/>
        <w:rPr>
          <w:bCs/>
          <w:sz w:val="22"/>
          <w:szCs w:val="22"/>
          <w:lang w:val="sr-Latn-ME"/>
        </w:rPr>
      </w:pPr>
      <w:r w:rsidRPr="00B32BF5">
        <w:rPr>
          <w:sz w:val="22"/>
          <w:szCs w:val="20"/>
          <w:lang w:val="sr-Latn-ME"/>
        </w:rPr>
        <w:t>Demolox</w:t>
      </w:r>
      <w:r w:rsidR="00693173" w:rsidRPr="00B32BF5">
        <w:rPr>
          <w:sz w:val="22"/>
          <w:szCs w:val="20"/>
          <w:lang w:val="sr-Latn-ME"/>
        </w:rPr>
        <w:t>, 40mg, prašak za rastvor za injekciju/infuziju</w:t>
      </w:r>
    </w:p>
    <w:p w:rsidR="000D425A" w:rsidRPr="00B32BF5" w:rsidRDefault="000D425A" w:rsidP="000A243B">
      <w:pPr>
        <w:jc w:val="both"/>
        <w:rPr>
          <w:bCs/>
          <w:sz w:val="22"/>
          <w:szCs w:val="22"/>
          <w:lang w:val="sr-Latn-ME"/>
        </w:rPr>
      </w:pPr>
    </w:p>
    <w:p w:rsidR="006D20A5" w:rsidRPr="00B32BF5" w:rsidRDefault="006D20A5" w:rsidP="000A243B">
      <w:pPr>
        <w:jc w:val="both"/>
        <w:rPr>
          <w:sz w:val="22"/>
          <w:szCs w:val="22"/>
          <w:lang w:val="sr-Latn-ME"/>
        </w:rPr>
      </w:pPr>
      <w:r w:rsidRPr="00B32BF5">
        <w:rPr>
          <w:sz w:val="22"/>
          <w:szCs w:val="22"/>
          <w:lang w:val="sr-Latn-ME"/>
        </w:rPr>
        <w:t>INN:</w:t>
      </w:r>
      <w:r w:rsidR="00693173" w:rsidRPr="00B32BF5">
        <w:rPr>
          <w:sz w:val="22"/>
          <w:szCs w:val="22"/>
          <w:lang w:val="sr-Latn-ME"/>
        </w:rPr>
        <w:t xml:space="preserve"> esomeprazol</w:t>
      </w:r>
    </w:p>
    <w:p w:rsidR="006D20A5" w:rsidRPr="00B32BF5" w:rsidRDefault="006D20A5" w:rsidP="000A243B">
      <w:pPr>
        <w:jc w:val="both"/>
        <w:rPr>
          <w:bCs/>
          <w:sz w:val="22"/>
          <w:szCs w:val="22"/>
          <w:lang w:val="sr-Latn-ME"/>
        </w:rPr>
      </w:pPr>
    </w:p>
    <w:p w:rsidR="00530BD7" w:rsidRPr="00B32BF5" w:rsidRDefault="00530BD7" w:rsidP="000A243B">
      <w:pPr>
        <w:jc w:val="both"/>
        <w:rPr>
          <w:bCs/>
          <w:sz w:val="22"/>
          <w:szCs w:val="22"/>
          <w:lang w:val="sr-Latn-ME"/>
        </w:rPr>
      </w:pPr>
    </w:p>
    <w:p w:rsidR="00411B4B" w:rsidRPr="00B32BF5" w:rsidRDefault="00411B4B" w:rsidP="000A243B">
      <w:pPr>
        <w:tabs>
          <w:tab w:val="left" w:pos="540"/>
          <w:tab w:val="left" w:pos="569"/>
        </w:tabs>
        <w:jc w:val="both"/>
        <w:rPr>
          <w:b/>
          <w:bCs/>
          <w:sz w:val="22"/>
          <w:szCs w:val="22"/>
          <w:lang w:val="sr-Latn-ME"/>
        </w:rPr>
      </w:pPr>
      <w:r w:rsidRPr="00B32BF5">
        <w:rPr>
          <w:b/>
          <w:bCs/>
          <w:sz w:val="22"/>
          <w:szCs w:val="22"/>
          <w:lang w:val="sr-Latn-ME"/>
        </w:rPr>
        <w:t xml:space="preserve">2. </w:t>
      </w:r>
      <w:r w:rsidR="00F5167F" w:rsidRPr="00B32BF5">
        <w:rPr>
          <w:b/>
          <w:bCs/>
          <w:sz w:val="22"/>
          <w:szCs w:val="22"/>
          <w:lang w:val="sr-Latn-ME"/>
        </w:rPr>
        <w:tab/>
      </w:r>
      <w:r w:rsidRPr="00B32BF5">
        <w:rPr>
          <w:b/>
          <w:bCs/>
          <w:sz w:val="22"/>
          <w:szCs w:val="22"/>
          <w:lang w:val="sr-Latn-ME"/>
        </w:rPr>
        <w:t>KVALITATIVNI I KVANTITATIVNI SASTAV</w:t>
      </w:r>
    </w:p>
    <w:p w:rsidR="00693173" w:rsidRPr="00B32BF5" w:rsidRDefault="00693173" w:rsidP="002671C0">
      <w:pPr>
        <w:tabs>
          <w:tab w:val="left" w:pos="567"/>
        </w:tabs>
        <w:jc w:val="both"/>
        <w:rPr>
          <w:sz w:val="22"/>
          <w:szCs w:val="20"/>
          <w:lang w:val="sr-Latn-ME"/>
        </w:rPr>
      </w:pPr>
    </w:p>
    <w:p w:rsidR="00693173" w:rsidRPr="00B32BF5" w:rsidRDefault="00693173" w:rsidP="00A34CC6">
      <w:pPr>
        <w:tabs>
          <w:tab w:val="left" w:pos="567"/>
        </w:tabs>
        <w:jc w:val="both"/>
        <w:rPr>
          <w:sz w:val="22"/>
          <w:szCs w:val="20"/>
          <w:lang w:val="sr-Latn-ME"/>
        </w:rPr>
      </w:pPr>
      <w:r w:rsidRPr="00B32BF5">
        <w:rPr>
          <w:sz w:val="22"/>
          <w:szCs w:val="20"/>
          <w:lang w:val="sr-Latn-ME"/>
        </w:rPr>
        <w:t xml:space="preserve">Jedna bočica sadrži esomeprazol 40 mg (u obliku esomeprazol natrijuma). </w:t>
      </w:r>
    </w:p>
    <w:p w:rsidR="00693173" w:rsidRPr="00B32BF5" w:rsidRDefault="00693173">
      <w:pPr>
        <w:tabs>
          <w:tab w:val="left" w:pos="567"/>
        </w:tabs>
        <w:jc w:val="both"/>
        <w:rPr>
          <w:sz w:val="22"/>
          <w:szCs w:val="20"/>
          <w:lang w:val="sr-Latn-ME"/>
        </w:rPr>
      </w:pPr>
      <w:r w:rsidRPr="00B32BF5">
        <w:rPr>
          <w:sz w:val="22"/>
          <w:szCs w:val="20"/>
          <w:lang w:val="sr-Latn-ME"/>
        </w:rPr>
        <w:t>Pomoćna supstanca sa potvrđenim dejstvom:</w:t>
      </w:r>
    </w:p>
    <w:p w:rsidR="00693173" w:rsidRPr="00B32BF5" w:rsidRDefault="00693173">
      <w:pPr>
        <w:tabs>
          <w:tab w:val="left" w:pos="567"/>
        </w:tabs>
        <w:jc w:val="both"/>
        <w:rPr>
          <w:sz w:val="22"/>
          <w:szCs w:val="20"/>
          <w:lang w:val="sr-Latn-ME"/>
        </w:rPr>
      </w:pPr>
      <w:r w:rsidRPr="00B32BF5">
        <w:rPr>
          <w:sz w:val="22"/>
          <w:szCs w:val="20"/>
          <w:lang w:val="sr-Latn-ME"/>
        </w:rPr>
        <w:t xml:space="preserve">Jedna bočica sadrži manje od 1 mmol natrijuma (23mg) tj. suštinski je bez natrijuma. </w:t>
      </w:r>
    </w:p>
    <w:p w:rsidR="005A0B2E" w:rsidRPr="00B32BF5" w:rsidRDefault="005A0B2E" w:rsidP="000A243B">
      <w:pPr>
        <w:jc w:val="both"/>
        <w:rPr>
          <w:sz w:val="22"/>
          <w:szCs w:val="22"/>
          <w:lang w:val="sr-Latn-ME"/>
        </w:rPr>
      </w:pPr>
    </w:p>
    <w:p w:rsidR="0003793F" w:rsidRPr="00B32BF5" w:rsidRDefault="0003793F" w:rsidP="000A243B">
      <w:pPr>
        <w:jc w:val="both"/>
        <w:rPr>
          <w:sz w:val="22"/>
          <w:szCs w:val="22"/>
          <w:lang w:val="sr-Latn-ME"/>
        </w:rPr>
      </w:pPr>
      <w:r w:rsidRPr="00B32BF5">
        <w:rPr>
          <w:sz w:val="22"/>
          <w:szCs w:val="22"/>
          <w:lang w:val="sr-Latn-ME"/>
        </w:rPr>
        <w:t>Za spisak svih ekscipijenasa, pogledati dio 6.1.</w:t>
      </w:r>
    </w:p>
    <w:p w:rsidR="0003793F" w:rsidRPr="00B32BF5" w:rsidRDefault="0003793F" w:rsidP="000A243B">
      <w:pPr>
        <w:jc w:val="both"/>
        <w:rPr>
          <w:sz w:val="22"/>
          <w:szCs w:val="22"/>
          <w:lang w:val="sr-Latn-ME"/>
        </w:rPr>
      </w:pPr>
    </w:p>
    <w:p w:rsidR="00C37FD7" w:rsidRPr="00B32BF5" w:rsidRDefault="00C37FD7" w:rsidP="000A243B">
      <w:pPr>
        <w:jc w:val="both"/>
        <w:rPr>
          <w:sz w:val="22"/>
          <w:szCs w:val="22"/>
          <w:lang w:val="sr-Latn-ME"/>
        </w:rPr>
      </w:pPr>
    </w:p>
    <w:p w:rsidR="00411B4B" w:rsidRPr="00B32BF5" w:rsidRDefault="00411B4B" w:rsidP="000A243B">
      <w:pPr>
        <w:tabs>
          <w:tab w:val="left" w:pos="540"/>
          <w:tab w:val="left" w:pos="569"/>
        </w:tabs>
        <w:jc w:val="both"/>
        <w:rPr>
          <w:b/>
          <w:bCs/>
          <w:sz w:val="22"/>
          <w:szCs w:val="22"/>
          <w:lang w:val="sr-Latn-ME"/>
        </w:rPr>
      </w:pPr>
      <w:r w:rsidRPr="00B32BF5">
        <w:rPr>
          <w:b/>
          <w:bCs/>
          <w:sz w:val="22"/>
          <w:szCs w:val="22"/>
          <w:lang w:val="sr-Latn-ME"/>
        </w:rPr>
        <w:t xml:space="preserve">3. </w:t>
      </w:r>
      <w:r w:rsidR="00F5167F" w:rsidRPr="00B32BF5">
        <w:rPr>
          <w:b/>
          <w:bCs/>
          <w:sz w:val="22"/>
          <w:szCs w:val="22"/>
          <w:lang w:val="sr-Latn-ME"/>
        </w:rPr>
        <w:tab/>
      </w:r>
      <w:r w:rsidRPr="00B32BF5">
        <w:rPr>
          <w:b/>
          <w:bCs/>
          <w:sz w:val="22"/>
          <w:szCs w:val="22"/>
          <w:lang w:val="sr-Latn-ME"/>
        </w:rPr>
        <w:t>FARMACEUTSKI OBLIK</w:t>
      </w:r>
      <w:r w:rsidR="009F2D23" w:rsidRPr="00B32BF5">
        <w:rPr>
          <w:b/>
          <w:bCs/>
          <w:sz w:val="22"/>
          <w:szCs w:val="22"/>
          <w:lang w:val="sr-Latn-ME"/>
        </w:rPr>
        <w:t xml:space="preserve"> </w:t>
      </w:r>
    </w:p>
    <w:p w:rsidR="00693173" w:rsidRPr="00B32BF5" w:rsidRDefault="00693173" w:rsidP="002671C0">
      <w:pPr>
        <w:tabs>
          <w:tab w:val="left" w:pos="567"/>
        </w:tabs>
        <w:spacing w:line="260" w:lineRule="exact"/>
        <w:jc w:val="both"/>
        <w:rPr>
          <w:sz w:val="22"/>
          <w:szCs w:val="20"/>
          <w:lang w:val="sr-Latn-ME"/>
        </w:rPr>
      </w:pP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 xml:space="preserve">Prašak za rastvor za injekciju/ infuziju. </w:t>
      </w:r>
    </w:p>
    <w:p w:rsidR="00693173" w:rsidRPr="00B32BF5" w:rsidRDefault="00693173">
      <w:pPr>
        <w:tabs>
          <w:tab w:val="left" w:pos="567"/>
        </w:tabs>
        <w:jc w:val="both"/>
        <w:rPr>
          <w:sz w:val="22"/>
          <w:szCs w:val="20"/>
          <w:lang w:val="sr-Latn-ME"/>
        </w:rPr>
      </w:pPr>
      <w:r w:rsidRPr="00B32BF5">
        <w:rPr>
          <w:sz w:val="22"/>
          <w:szCs w:val="20"/>
          <w:lang w:val="sr-Latn-ME"/>
        </w:rPr>
        <w:t>Porozni kolač ili prašak, bijele do skoro bijele boje.</w:t>
      </w:r>
    </w:p>
    <w:p w:rsidR="00411B4B" w:rsidRPr="00B32BF5" w:rsidRDefault="00411B4B" w:rsidP="000A243B">
      <w:pPr>
        <w:jc w:val="both"/>
        <w:rPr>
          <w:bCs/>
          <w:sz w:val="22"/>
          <w:szCs w:val="22"/>
          <w:lang w:val="sr-Latn-ME"/>
        </w:rPr>
      </w:pPr>
    </w:p>
    <w:p w:rsidR="00EC2532" w:rsidRPr="00B32BF5" w:rsidRDefault="00EC2532" w:rsidP="000A243B">
      <w:pPr>
        <w:jc w:val="both"/>
        <w:rPr>
          <w:bCs/>
          <w:sz w:val="22"/>
          <w:szCs w:val="22"/>
          <w:lang w:val="sr-Latn-ME"/>
        </w:rPr>
      </w:pPr>
    </w:p>
    <w:p w:rsidR="00411B4B" w:rsidRPr="00B32BF5" w:rsidRDefault="00411B4B" w:rsidP="000A243B">
      <w:pPr>
        <w:tabs>
          <w:tab w:val="left" w:pos="540"/>
          <w:tab w:val="left" w:pos="569"/>
        </w:tabs>
        <w:jc w:val="both"/>
        <w:rPr>
          <w:b/>
          <w:bCs/>
          <w:sz w:val="22"/>
          <w:szCs w:val="22"/>
          <w:lang w:val="sr-Latn-ME"/>
        </w:rPr>
      </w:pPr>
      <w:r w:rsidRPr="00B32BF5">
        <w:rPr>
          <w:b/>
          <w:bCs/>
          <w:sz w:val="22"/>
          <w:szCs w:val="22"/>
          <w:lang w:val="sr-Latn-ME"/>
        </w:rPr>
        <w:t xml:space="preserve">4. </w:t>
      </w:r>
      <w:r w:rsidR="00480FB1" w:rsidRPr="00B32BF5">
        <w:rPr>
          <w:b/>
          <w:bCs/>
          <w:sz w:val="22"/>
          <w:szCs w:val="22"/>
          <w:lang w:val="sr-Latn-ME"/>
        </w:rPr>
        <w:tab/>
      </w:r>
      <w:r w:rsidRPr="00B32BF5">
        <w:rPr>
          <w:b/>
          <w:bCs/>
          <w:sz w:val="22"/>
          <w:szCs w:val="22"/>
          <w:lang w:val="sr-Latn-ME"/>
        </w:rPr>
        <w:t>KLINIČKI PODACI</w:t>
      </w:r>
    </w:p>
    <w:p w:rsidR="00CD6F02" w:rsidRPr="00B32BF5" w:rsidRDefault="00CD6F02" w:rsidP="000A243B">
      <w:pPr>
        <w:tabs>
          <w:tab w:val="left" w:pos="540"/>
          <w:tab w:val="left" w:pos="569"/>
        </w:tabs>
        <w:jc w:val="both"/>
        <w:rPr>
          <w:bCs/>
          <w:sz w:val="22"/>
          <w:szCs w:val="22"/>
          <w:lang w:val="sr-Latn-ME"/>
        </w:rPr>
      </w:pPr>
    </w:p>
    <w:p w:rsidR="00411B4B" w:rsidRPr="00B32BF5" w:rsidRDefault="00411B4B" w:rsidP="000A243B">
      <w:pPr>
        <w:tabs>
          <w:tab w:val="left" w:pos="540"/>
          <w:tab w:val="left" w:pos="569"/>
        </w:tabs>
        <w:jc w:val="both"/>
        <w:rPr>
          <w:b/>
          <w:bCs/>
          <w:sz w:val="22"/>
          <w:szCs w:val="22"/>
          <w:lang w:val="sr-Latn-ME"/>
        </w:rPr>
      </w:pPr>
      <w:r w:rsidRPr="00B32BF5">
        <w:rPr>
          <w:b/>
          <w:bCs/>
          <w:sz w:val="22"/>
          <w:szCs w:val="22"/>
          <w:lang w:val="sr-Latn-ME"/>
        </w:rPr>
        <w:t xml:space="preserve">4.1. </w:t>
      </w:r>
      <w:r w:rsidR="00480FB1" w:rsidRPr="00B32BF5">
        <w:rPr>
          <w:b/>
          <w:bCs/>
          <w:sz w:val="22"/>
          <w:szCs w:val="22"/>
          <w:lang w:val="sr-Latn-ME"/>
        </w:rPr>
        <w:tab/>
      </w:r>
      <w:r w:rsidRPr="00B32BF5">
        <w:rPr>
          <w:b/>
          <w:bCs/>
          <w:sz w:val="22"/>
          <w:szCs w:val="22"/>
          <w:lang w:val="sr-Latn-ME"/>
        </w:rPr>
        <w:t>Terapijske indikacije</w:t>
      </w:r>
    </w:p>
    <w:p w:rsidR="00693173" w:rsidRPr="00B32BF5" w:rsidRDefault="00693173" w:rsidP="000A243B">
      <w:pPr>
        <w:tabs>
          <w:tab w:val="left" w:pos="540"/>
          <w:tab w:val="left" w:pos="569"/>
        </w:tabs>
        <w:jc w:val="both"/>
        <w:rPr>
          <w:b/>
          <w:bCs/>
          <w:sz w:val="22"/>
          <w:szCs w:val="22"/>
          <w:lang w:val="sr-Latn-ME"/>
        </w:rPr>
      </w:pPr>
    </w:p>
    <w:p w:rsidR="00693173" w:rsidRPr="00B32BF5" w:rsidRDefault="00693173" w:rsidP="002671C0">
      <w:pPr>
        <w:tabs>
          <w:tab w:val="left" w:pos="567"/>
        </w:tabs>
        <w:spacing w:line="260" w:lineRule="exact"/>
        <w:jc w:val="both"/>
        <w:rPr>
          <w:sz w:val="22"/>
          <w:szCs w:val="20"/>
          <w:lang w:val="sr-Latn-ME"/>
        </w:rPr>
      </w:pPr>
      <w:r w:rsidRPr="00B32BF5">
        <w:rPr>
          <w:sz w:val="22"/>
          <w:szCs w:val="20"/>
          <w:lang w:val="sr-Latn-ME"/>
        </w:rPr>
        <w:t xml:space="preserve">Lijek </w:t>
      </w:r>
      <w:r w:rsidR="0042491B" w:rsidRPr="00B32BF5">
        <w:rPr>
          <w:sz w:val="22"/>
          <w:szCs w:val="20"/>
          <w:lang w:val="sr-Latn-ME"/>
        </w:rPr>
        <w:t>Demolox</w:t>
      </w:r>
      <w:r w:rsidRPr="00B32BF5">
        <w:rPr>
          <w:sz w:val="22"/>
          <w:szCs w:val="20"/>
          <w:lang w:val="sr-Latn-ME"/>
        </w:rPr>
        <w:t xml:space="preserve">, prašak za rastvor za injekciju/infuziju, je indikovan: </w:t>
      </w:r>
    </w:p>
    <w:p w:rsidR="00693173" w:rsidRPr="00B32BF5" w:rsidRDefault="00693173" w:rsidP="00A34CC6">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lang w:val="sr-Latn-ME"/>
        </w:rPr>
      </w:pPr>
      <w:r w:rsidRPr="00B32BF5">
        <w:rPr>
          <w:i/>
          <w:sz w:val="22"/>
          <w:szCs w:val="20"/>
          <w:lang w:val="sr-Latn-ME"/>
        </w:rPr>
        <w:t>Odrasli:</w:t>
      </w:r>
    </w:p>
    <w:p w:rsidR="00693173" w:rsidRPr="00B32BF5" w:rsidRDefault="00693173">
      <w:pPr>
        <w:numPr>
          <w:ilvl w:val="0"/>
          <w:numId w:val="12"/>
        </w:numPr>
        <w:tabs>
          <w:tab w:val="left" w:pos="567"/>
        </w:tabs>
        <w:spacing w:line="260" w:lineRule="exact"/>
        <w:ind w:left="270" w:hanging="270"/>
        <w:jc w:val="both"/>
        <w:rPr>
          <w:sz w:val="22"/>
          <w:szCs w:val="20"/>
          <w:lang w:val="sr-Latn-ME"/>
        </w:rPr>
      </w:pPr>
      <w:r w:rsidRPr="00B32BF5">
        <w:rPr>
          <w:sz w:val="22"/>
          <w:szCs w:val="20"/>
          <w:lang w:val="sr-Latn-ME"/>
        </w:rPr>
        <w:t xml:space="preserve">gastričnu antisekretornu terapiju kada oralna primjena nije moguća, kao za: </w:t>
      </w:r>
    </w:p>
    <w:p w:rsidR="00693173" w:rsidRPr="00B32BF5" w:rsidRDefault="00693173">
      <w:pPr>
        <w:numPr>
          <w:ilvl w:val="0"/>
          <w:numId w:val="13"/>
        </w:numPr>
        <w:tabs>
          <w:tab w:val="left" w:pos="567"/>
        </w:tabs>
        <w:spacing w:line="260" w:lineRule="exact"/>
        <w:ind w:left="810" w:hanging="270"/>
        <w:jc w:val="both"/>
        <w:rPr>
          <w:sz w:val="22"/>
          <w:szCs w:val="20"/>
          <w:lang w:val="sr-Latn-ME"/>
        </w:rPr>
      </w:pPr>
      <w:r w:rsidRPr="00B32BF5">
        <w:rPr>
          <w:sz w:val="22"/>
          <w:szCs w:val="20"/>
          <w:lang w:val="sr-Latn-ME"/>
        </w:rPr>
        <w:t xml:space="preserve">gastroezofagealnu refluksnu bolest kod pacijenata sa ezofagitisom i/ili teškim simptomima refluksa </w:t>
      </w:r>
    </w:p>
    <w:p w:rsidR="00693173" w:rsidRPr="00B32BF5" w:rsidRDefault="00693173">
      <w:pPr>
        <w:numPr>
          <w:ilvl w:val="0"/>
          <w:numId w:val="13"/>
        </w:numPr>
        <w:tabs>
          <w:tab w:val="left" w:pos="567"/>
        </w:tabs>
        <w:spacing w:line="260" w:lineRule="exact"/>
        <w:ind w:left="810" w:hanging="270"/>
        <w:jc w:val="both"/>
        <w:rPr>
          <w:sz w:val="22"/>
          <w:szCs w:val="20"/>
          <w:lang w:val="sr-Latn-ME"/>
        </w:rPr>
      </w:pPr>
      <w:r w:rsidRPr="00B32BF5">
        <w:rPr>
          <w:sz w:val="22"/>
          <w:szCs w:val="20"/>
          <w:lang w:val="sr-Latn-ME"/>
        </w:rPr>
        <w:t xml:space="preserve">liječenje gastričnih ulkusa povezanih sa upotrebom NSAIL </w:t>
      </w:r>
    </w:p>
    <w:p w:rsidR="00693173" w:rsidRPr="00B32BF5" w:rsidRDefault="00693173">
      <w:pPr>
        <w:numPr>
          <w:ilvl w:val="0"/>
          <w:numId w:val="13"/>
        </w:numPr>
        <w:tabs>
          <w:tab w:val="left" w:pos="567"/>
        </w:tabs>
        <w:spacing w:line="260" w:lineRule="exact"/>
        <w:ind w:left="810" w:hanging="270"/>
        <w:jc w:val="both"/>
        <w:rPr>
          <w:sz w:val="22"/>
          <w:szCs w:val="20"/>
          <w:lang w:val="sr-Latn-ME"/>
        </w:rPr>
      </w:pPr>
      <w:r w:rsidRPr="00B32BF5">
        <w:rPr>
          <w:sz w:val="22"/>
          <w:szCs w:val="20"/>
          <w:lang w:val="sr-Latn-ME"/>
        </w:rPr>
        <w:t xml:space="preserve">sprječavanje pojave gastričnih i duodenalnih ulkusa povezanih sa terapijom NSAIL, kod pacijenata izloženih riziku </w:t>
      </w:r>
    </w:p>
    <w:p w:rsidR="00693173" w:rsidRPr="00B32BF5" w:rsidRDefault="00693173">
      <w:pPr>
        <w:numPr>
          <w:ilvl w:val="0"/>
          <w:numId w:val="12"/>
        </w:numPr>
        <w:tabs>
          <w:tab w:val="left" w:pos="567"/>
        </w:tabs>
        <w:spacing w:line="260" w:lineRule="exact"/>
        <w:ind w:left="270" w:hanging="270"/>
        <w:jc w:val="both"/>
        <w:rPr>
          <w:sz w:val="22"/>
          <w:szCs w:val="20"/>
          <w:lang w:val="sr-Latn-ME"/>
        </w:rPr>
      </w:pPr>
      <w:r w:rsidRPr="00B32BF5">
        <w:rPr>
          <w:sz w:val="22"/>
          <w:szCs w:val="20"/>
          <w:lang w:val="sr-Latn-ME"/>
        </w:rPr>
        <w:t xml:space="preserve">prevencija ponovnog krvarenja kod pacijenata sa akutnim krvarenjem želudačnog ili duodenalnog ulkusa nakon terapijske endoskopije.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lang w:val="sr-Latn-ME"/>
        </w:rPr>
      </w:pPr>
      <w:r w:rsidRPr="00B32BF5">
        <w:rPr>
          <w:i/>
          <w:sz w:val="22"/>
          <w:szCs w:val="20"/>
          <w:lang w:val="sr-Latn-ME"/>
        </w:rPr>
        <w:t xml:space="preserve">Djeca i adolescenati uzrasta 1 – 18 godina </w:t>
      </w:r>
    </w:p>
    <w:p w:rsidR="00693173" w:rsidRPr="00B32BF5" w:rsidRDefault="00693173">
      <w:pPr>
        <w:numPr>
          <w:ilvl w:val="0"/>
          <w:numId w:val="14"/>
        </w:numPr>
        <w:tabs>
          <w:tab w:val="left" w:pos="567"/>
        </w:tabs>
        <w:spacing w:line="260" w:lineRule="exact"/>
        <w:ind w:left="270" w:hanging="270"/>
        <w:jc w:val="both"/>
        <w:rPr>
          <w:sz w:val="22"/>
          <w:szCs w:val="20"/>
          <w:lang w:val="sr-Latn-ME"/>
        </w:rPr>
      </w:pPr>
      <w:r w:rsidRPr="00B32BF5">
        <w:rPr>
          <w:sz w:val="22"/>
          <w:szCs w:val="20"/>
          <w:lang w:val="sr-Latn-ME"/>
        </w:rPr>
        <w:t xml:space="preserve">gastričnu antisekretornu terapiju kada primjena lijeka oralnim putem nije moguća, kao za: </w:t>
      </w:r>
    </w:p>
    <w:p w:rsidR="00693173" w:rsidRPr="00B32BF5" w:rsidRDefault="00693173">
      <w:pPr>
        <w:numPr>
          <w:ilvl w:val="0"/>
          <w:numId w:val="15"/>
        </w:numPr>
        <w:tabs>
          <w:tab w:val="left" w:pos="567"/>
        </w:tabs>
        <w:spacing w:line="260" w:lineRule="exact"/>
        <w:ind w:left="810" w:hanging="270"/>
        <w:jc w:val="both"/>
        <w:rPr>
          <w:sz w:val="22"/>
          <w:szCs w:val="20"/>
          <w:lang w:val="sr-Latn-ME"/>
        </w:rPr>
      </w:pPr>
      <w:r w:rsidRPr="00B32BF5">
        <w:rPr>
          <w:sz w:val="22"/>
          <w:szCs w:val="20"/>
          <w:lang w:val="sr-Latn-ME"/>
        </w:rPr>
        <w:t>gastroezofagealnu refluksnu bolest kod pacijenata sa erozivnim refluksnim ezofagitisom i/ili teškim simptomima refluksa.</w:t>
      </w:r>
    </w:p>
    <w:p w:rsidR="00411B4B" w:rsidRPr="00B32BF5" w:rsidRDefault="00411B4B" w:rsidP="000A243B">
      <w:pPr>
        <w:tabs>
          <w:tab w:val="left" w:pos="540"/>
          <w:tab w:val="left" w:pos="569"/>
        </w:tabs>
        <w:jc w:val="both"/>
        <w:rPr>
          <w:bCs/>
          <w:sz w:val="22"/>
          <w:szCs w:val="22"/>
          <w:lang w:val="sr-Latn-ME"/>
        </w:rPr>
      </w:pPr>
    </w:p>
    <w:p w:rsidR="00411B4B" w:rsidRPr="00B32BF5" w:rsidRDefault="00411B4B" w:rsidP="000A243B">
      <w:pPr>
        <w:tabs>
          <w:tab w:val="left" w:pos="540"/>
          <w:tab w:val="left" w:pos="569"/>
        </w:tabs>
        <w:jc w:val="both"/>
        <w:rPr>
          <w:b/>
          <w:bCs/>
          <w:sz w:val="22"/>
          <w:szCs w:val="22"/>
          <w:lang w:val="sr-Latn-ME"/>
        </w:rPr>
      </w:pPr>
      <w:r w:rsidRPr="00B32BF5">
        <w:rPr>
          <w:b/>
          <w:bCs/>
          <w:sz w:val="22"/>
          <w:szCs w:val="22"/>
          <w:lang w:val="sr-Latn-ME"/>
        </w:rPr>
        <w:t xml:space="preserve">4.2. </w:t>
      </w:r>
      <w:r w:rsidR="00480FB1" w:rsidRPr="00B32BF5">
        <w:rPr>
          <w:b/>
          <w:bCs/>
          <w:sz w:val="22"/>
          <w:szCs w:val="22"/>
          <w:lang w:val="sr-Latn-ME"/>
        </w:rPr>
        <w:tab/>
      </w:r>
      <w:r w:rsidRPr="00B32BF5">
        <w:rPr>
          <w:b/>
          <w:bCs/>
          <w:sz w:val="22"/>
          <w:szCs w:val="22"/>
          <w:lang w:val="sr-Latn-ME"/>
        </w:rPr>
        <w:t>Doziranje i način primjene</w:t>
      </w:r>
    </w:p>
    <w:p w:rsidR="0072020E" w:rsidRPr="00B32BF5" w:rsidRDefault="0072020E" w:rsidP="000A243B">
      <w:pPr>
        <w:tabs>
          <w:tab w:val="left" w:pos="540"/>
          <w:tab w:val="left" w:pos="569"/>
        </w:tabs>
        <w:jc w:val="both"/>
        <w:rPr>
          <w:bCs/>
          <w:sz w:val="22"/>
          <w:szCs w:val="22"/>
          <w:lang w:val="sr-Latn-ME"/>
        </w:rPr>
      </w:pPr>
    </w:p>
    <w:p w:rsidR="00452E9D" w:rsidRPr="00B32BF5" w:rsidRDefault="00452E9D" w:rsidP="000A243B">
      <w:pPr>
        <w:tabs>
          <w:tab w:val="left" w:pos="540"/>
          <w:tab w:val="left" w:pos="569"/>
        </w:tabs>
        <w:jc w:val="both"/>
        <w:rPr>
          <w:bCs/>
          <w:sz w:val="22"/>
          <w:szCs w:val="22"/>
          <w:u w:val="single"/>
          <w:lang w:val="sr-Latn-ME"/>
        </w:rPr>
      </w:pPr>
      <w:r w:rsidRPr="00B32BF5">
        <w:rPr>
          <w:bCs/>
          <w:sz w:val="22"/>
          <w:szCs w:val="22"/>
          <w:u w:val="single"/>
          <w:lang w:val="sr-Latn-ME"/>
        </w:rPr>
        <w:t>Doziranje</w:t>
      </w:r>
    </w:p>
    <w:p w:rsidR="00693173" w:rsidRPr="00B32BF5" w:rsidRDefault="00693173" w:rsidP="002671C0">
      <w:pPr>
        <w:tabs>
          <w:tab w:val="left" w:pos="567"/>
        </w:tabs>
        <w:spacing w:line="260" w:lineRule="exact"/>
        <w:jc w:val="both"/>
        <w:rPr>
          <w:i/>
          <w:sz w:val="22"/>
          <w:szCs w:val="20"/>
          <w:lang w:val="sr-Latn-ME"/>
        </w:rPr>
      </w:pPr>
      <w:r w:rsidRPr="00B32BF5">
        <w:rPr>
          <w:i/>
          <w:sz w:val="22"/>
          <w:szCs w:val="20"/>
          <w:lang w:val="sr-Latn-ME"/>
        </w:rPr>
        <w:t xml:space="preserve">Odrasli </w:t>
      </w:r>
    </w:p>
    <w:p w:rsidR="00693173" w:rsidRPr="00B32BF5" w:rsidRDefault="00693173" w:rsidP="00A34CC6">
      <w:pPr>
        <w:tabs>
          <w:tab w:val="left" w:pos="567"/>
        </w:tabs>
        <w:spacing w:line="260" w:lineRule="exact"/>
        <w:jc w:val="both"/>
        <w:rPr>
          <w:i/>
          <w:sz w:val="22"/>
          <w:szCs w:val="20"/>
          <w:lang w:val="sr-Latn-ME"/>
        </w:rPr>
      </w:pPr>
      <w:r w:rsidRPr="00B32BF5">
        <w:rPr>
          <w:i/>
          <w:sz w:val="22"/>
          <w:szCs w:val="20"/>
          <w:lang w:val="sr-Latn-ME"/>
        </w:rPr>
        <w:t>Gastrična antisekretorna terapija, kada oralna primjena nije moguća</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2"/>
          <w:lang w:val="sr-Latn-ME"/>
        </w:rPr>
      </w:pPr>
      <w:r w:rsidRPr="00B32BF5">
        <w:rPr>
          <w:sz w:val="22"/>
          <w:szCs w:val="20"/>
          <w:lang w:val="sr-Latn-ME"/>
        </w:rPr>
        <w:lastRenderedPageBreak/>
        <w:t>Pacijente koji ne mogu da primaju oralnu terapiju treba liječiti parenteralno sa 20-40 mg jednom dnevno. Pacijente sa refluksnim ezofagitisom treba liječiti sa 40 mg jednom dnevno. Pacijente koji se liječe simptomatski od refluksne bolesti treba liječiti sa 20 mg jednom dnevno.</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Za liječenje gastričnih ulkusa povezanih sa terapijom NSAIL uobičajena doza je 20 mg jednom dnevno. Za prevenciju gastričnih i duodenalnih ulkusa povezanih sa terapijom NSAIL, pacijenti izloženi riziku treba da primaju 20 mg jednom dnevno.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Uobičajeno je da intravenska terapija traje kratko i da se prelazi na oralni način primjene čim to bude moguće. </w:t>
      </w:r>
    </w:p>
    <w:p w:rsidR="00A34CC6" w:rsidRPr="00B32BF5" w:rsidRDefault="00A34CC6">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i/>
          <w:sz w:val="22"/>
          <w:szCs w:val="20"/>
          <w:lang w:val="sr-Latn-ME"/>
        </w:rPr>
        <w:t>Prevencija ponovnog krvarenja gastričnog i duodenalnog ulkusa</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Nakon terapijske endoskopije kod akutnog krvarenja gastričnog ili duodenalnog ulkusa, primijeniti dozu od 80 mg, kao bolus infuziju tokom 30 minuta, nakon toga kontinuirano primijeniti intravensku infuziju 8 mg/h tokom 3 dana (72 h).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Nakon parenteralne terapije treba primijeniti oralnu terapiju za supresiju želudačne kiseline.</w:t>
      </w:r>
    </w:p>
    <w:p w:rsidR="00693173" w:rsidRPr="00B32BF5" w:rsidRDefault="00693173">
      <w:pPr>
        <w:tabs>
          <w:tab w:val="left" w:pos="567"/>
        </w:tabs>
        <w:spacing w:line="260" w:lineRule="exact"/>
        <w:jc w:val="both"/>
        <w:rPr>
          <w:sz w:val="18"/>
          <w:szCs w:val="18"/>
          <w:lang w:val="sr-Latn-ME"/>
        </w:rPr>
      </w:pPr>
    </w:p>
    <w:p w:rsidR="00693173" w:rsidRPr="00B32BF5" w:rsidRDefault="00693173" w:rsidP="000A243B">
      <w:pPr>
        <w:tabs>
          <w:tab w:val="left" w:pos="540"/>
          <w:tab w:val="left" w:pos="567"/>
        </w:tabs>
        <w:jc w:val="both"/>
        <w:rPr>
          <w:bCs/>
          <w:sz w:val="22"/>
          <w:szCs w:val="22"/>
          <w:u w:val="single"/>
          <w:lang w:val="sr-Latn-ME"/>
        </w:rPr>
      </w:pPr>
      <w:r w:rsidRPr="00B32BF5">
        <w:rPr>
          <w:bCs/>
          <w:sz w:val="22"/>
          <w:szCs w:val="22"/>
          <w:u w:val="single"/>
          <w:lang w:val="sr-Latn-ME"/>
        </w:rPr>
        <w:t xml:space="preserve">Način primjene </w:t>
      </w:r>
    </w:p>
    <w:p w:rsidR="00693173" w:rsidRPr="00B32BF5" w:rsidRDefault="00693173" w:rsidP="002671C0">
      <w:pPr>
        <w:tabs>
          <w:tab w:val="left" w:pos="567"/>
        </w:tabs>
        <w:spacing w:line="260" w:lineRule="exact"/>
        <w:jc w:val="both"/>
        <w:rPr>
          <w:sz w:val="22"/>
          <w:szCs w:val="20"/>
          <w:lang w:val="sr-Latn-ME"/>
        </w:rPr>
      </w:pPr>
      <w:r w:rsidRPr="00B32BF5">
        <w:rPr>
          <w:sz w:val="22"/>
          <w:szCs w:val="20"/>
          <w:lang w:val="sr-Latn-ME"/>
        </w:rPr>
        <w:t xml:space="preserve">Za pripremu rekonstituisanog rastvora, vidjeti dio 6.6. </w:t>
      </w:r>
    </w:p>
    <w:p w:rsidR="00693173" w:rsidRPr="00B32BF5" w:rsidRDefault="00693173" w:rsidP="00A34CC6">
      <w:pPr>
        <w:tabs>
          <w:tab w:val="left" w:pos="567"/>
        </w:tabs>
        <w:spacing w:line="260" w:lineRule="exact"/>
        <w:jc w:val="both"/>
        <w:rPr>
          <w:sz w:val="22"/>
          <w:szCs w:val="20"/>
          <w:u w:val="single"/>
          <w:lang w:val="sr-Latn-ME"/>
        </w:rPr>
      </w:pPr>
    </w:p>
    <w:p w:rsidR="00693173" w:rsidRPr="00B32BF5" w:rsidRDefault="00693173">
      <w:pPr>
        <w:tabs>
          <w:tab w:val="left" w:pos="567"/>
        </w:tabs>
        <w:spacing w:line="260" w:lineRule="exact"/>
        <w:jc w:val="both"/>
        <w:rPr>
          <w:b/>
          <w:sz w:val="22"/>
          <w:szCs w:val="20"/>
          <w:lang w:val="sr-Latn-ME"/>
        </w:rPr>
      </w:pPr>
      <w:r w:rsidRPr="00B32BF5">
        <w:rPr>
          <w:b/>
          <w:sz w:val="22"/>
          <w:szCs w:val="20"/>
          <w:lang w:val="sr-Latn-ME"/>
        </w:rPr>
        <w:t xml:space="preserve">Injekcija </w:t>
      </w: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Doza od 40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5 ml rekonstituisanog rastvora (8 mg/ml) treba dati kao intravensku injekciju tokom perioda od najmanje 3 minuta.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Doza od 20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2,5 ml ili polovinu rekonstituisanog rastvora (8 mg/ml) treba dati kao intravensku injekciju tokom perioda od najmanje 3 minuta. Neiskorišćenu količinu rastvora treba ukloniti.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b/>
          <w:sz w:val="22"/>
          <w:szCs w:val="20"/>
          <w:lang w:val="sr-Latn-ME"/>
        </w:rPr>
      </w:pPr>
      <w:r w:rsidRPr="00B32BF5">
        <w:rPr>
          <w:b/>
          <w:sz w:val="22"/>
          <w:szCs w:val="20"/>
          <w:lang w:val="sr-Latn-ME"/>
        </w:rPr>
        <w:t xml:space="preserve">Infuzija </w:t>
      </w: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Doza od 40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Rekonstituisani rastvor treba dati kao intravensku infuziju tokom perioda od 10-30 minuta.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Doza od 20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Polovinu rekonstituisanog rastvora treba davati kao intravensku infuziju tokom perioda od 10-30 minuta. Neiskorišćenu količinu rastvora treba ukloniti.</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Bolus doza od 80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Rekonstituisani rastvor treba dati kao kontinuiranu intravensku infuziju tokom 30 minuta.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Doza od 8 mg/h</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Rekonstituisani rastvor treba dati kao kontinuiranu intravensku infuziju tokom perioda od 71,5 h (podešena brzina infuzije je 8 mg/h), (vidjeti poglavlje 6.3 u vezi roka upotrebe rekonstituisanog rastvora).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i/>
          <w:sz w:val="22"/>
          <w:szCs w:val="20"/>
          <w:lang w:val="sr-Latn-ME"/>
        </w:rPr>
        <w:t>Oštećenje funkcije bubrega</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Prilagođavanje doze nije potrebno kod pacijenata sa oštećenjem funkcije bubrega. Zbog ograničenog iskustva sa pacijentima koji boluju od teške bubrežne insuficijencije, njih treba liječiti oprezno (vidjeti dio 5.2).</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i/>
          <w:sz w:val="22"/>
          <w:szCs w:val="20"/>
          <w:lang w:val="sr-Latn-ME"/>
        </w:rPr>
        <w:t>Oštećenje funkcije jetre</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GERB: Prilagođavanje doze nije potrebno kod pacijenata sa blagim do umjerenim oštećenjem  funkcije jetre. Za pacijente sa teško oštećenom funkcijom jetre, ne smije se prekoračiti dnevna doza od 20 mg lijeka </w:t>
      </w:r>
      <w:r w:rsidR="0042491B" w:rsidRPr="00B32BF5">
        <w:rPr>
          <w:sz w:val="22"/>
          <w:szCs w:val="20"/>
          <w:lang w:val="sr-Latn-ME"/>
        </w:rPr>
        <w:t>Demolox</w:t>
      </w:r>
      <w:r w:rsidRPr="00B32BF5">
        <w:rPr>
          <w:sz w:val="22"/>
          <w:szCs w:val="20"/>
          <w:lang w:val="sr-Latn-ME"/>
        </w:rPr>
        <w:t xml:space="preserve">. (vidjeti dio 5.2).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Krvarenje ulkusa: Prilagođavanje doza nije potrebno kod pacijenata sa blagim do umjerenim oštećenjem funkcije jetre. Za pacijente sa sa teškim oštećenjem funkcije jetre, nakon inicijalne bolus doze od 80 mg </w:t>
      </w:r>
      <w:r w:rsidRPr="00B32BF5">
        <w:rPr>
          <w:sz w:val="22"/>
          <w:szCs w:val="20"/>
          <w:lang w:val="sr-Latn-ME"/>
        </w:rPr>
        <w:lastRenderedPageBreak/>
        <w:t xml:space="preserve">esomeprazola i.v.,  kontinuirana intravenska infuzija u dozi od 4 mg/h za 71,5 h može biti dovoljna (vidjeti dio 5.2).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i/>
          <w:sz w:val="22"/>
          <w:szCs w:val="20"/>
          <w:lang w:val="sr-Latn-ME"/>
        </w:rPr>
        <w:t>Stariji pacijent</w:t>
      </w:r>
      <w:r w:rsidR="000B3229" w:rsidRPr="00B32BF5">
        <w:rPr>
          <w:i/>
          <w:sz w:val="22"/>
          <w:szCs w:val="20"/>
          <w:lang w:val="sr-Latn-ME"/>
        </w:rPr>
        <w:t>i</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Nije potrebno prilagođavanje doze kod starijih pacijenata. </w:t>
      </w:r>
    </w:p>
    <w:p w:rsidR="00693173" w:rsidRPr="00B32BF5" w:rsidRDefault="00693173">
      <w:pPr>
        <w:tabs>
          <w:tab w:val="left" w:pos="567"/>
        </w:tabs>
        <w:spacing w:line="260" w:lineRule="exact"/>
        <w:jc w:val="both"/>
        <w:rPr>
          <w:sz w:val="22"/>
          <w:szCs w:val="20"/>
          <w:lang w:val="sr-Latn-ME"/>
        </w:rPr>
      </w:pPr>
    </w:p>
    <w:p w:rsidR="00693173" w:rsidRPr="000A243B" w:rsidRDefault="00693173">
      <w:pPr>
        <w:tabs>
          <w:tab w:val="left" w:pos="567"/>
        </w:tabs>
        <w:spacing w:line="260" w:lineRule="exact"/>
        <w:jc w:val="both"/>
        <w:rPr>
          <w:i/>
          <w:sz w:val="22"/>
          <w:szCs w:val="20"/>
          <w:lang w:val="sr-Latn-ME"/>
        </w:rPr>
      </w:pPr>
      <w:r w:rsidRPr="000A243B">
        <w:rPr>
          <w:i/>
          <w:sz w:val="22"/>
          <w:szCs w:val="20"/>
          <w:lang w:val="sr-Latn-ME"/>
        </w:rPr>
        <w:t xml:space="preserve">Pedijatrijska populacija </w:t>
      </w:r>
    </w:p>
    <w:p w:rsidR="00693173" w:rsidRPr="00B32BF5" w:rsidRDefault="00693173">
      <w:pPr>
        <w:tabs>
          <w:tab w:val="left" w:pos="567"/>
        </w:tabs>
        <w:spacing w:line="260" w:lineRule="exact"/>
        <w:jc w:val="both"/>
        <w:rPr>
          <w:sz w:val="22"/>
          <w:szCs w:val="20"/>
          <w:u w:val="single"/>
          <w:lang w:val="sr-Latn-ME"/>
        </w:rPr>
      </w:pPr>
    </w:p>
    <w:p w:rsidR="00693173" w:rsidRPr="00B32BF5" w:rsidRDefault="00693173">
      <w:pPr>
        <w:tabs>
          <w:tab w:val="left" w:pos="567"/>
        </w:tabs>
        <w:spacing w:line="260" w:lineRule="exact"/>
        <w:jc w:val="both"/>
        <w:rPr>
          <w:b/>
          <w:sz w:val="22"/>
          <w:szCs w:val="20"/>
          <w:u w:val="single"/>
          <w:lang w:val="sr-Latn-ME"/>
        </w:rPr>
      </w:pPr>
      <w:r w:rsidRPr="00B32BF5">
        <w:rPr>
          <w:b/>
          <w:sz w:val="22"/>
          <w:szCs w:val="20"/>
          <w:u w:val="single"/>
          <w:lang w:val="sr-Latn-ME"/>
        </w:rPr>
        <w:t xml:space="preserve">Doziranje </w:t>
      </w:r>
    </w:p>
    <w:p w:rsidR="00693173" w:rsidRPr="00B32BF5" w:rsidRDefault="00693173">
      <w:pPr>
        <w:tabs>
          <w:tab w:val="left" w:pos="567"/>
        </w:tabs>
        <w:spacing w:line="260" w:lineRule="exact"/>
        <w:jc w:val="both"/>
        <w:rPr>
          <w:b/>
          <w:i/>
          <w:sz w:val="22"/>
          <w:szCs w:val="20"/>
          <w:lang w:val="sr-Latn-ME"/>
        </w:rPr>
      </w:pPr>
      <w:r w:rsidRPr="00B32BF5">
        <w:rPr>
          <w:b/>
          <w:i/>
          <w:sz w:val="22"/>
          <w:szCs w:val="20"/>
          <w:lang w:val="sr-Latn-ME"/>
        </w:rPr>
        <w:t xml:space="preserve">Djeca i adolescenti uzrasta od 1 do 18 godina </w:t>
      </w:r>
    </w:p>
    <w:p w:rsidR="00693173" w:rsidRPr="00B32BF5" w:rsidRDefault="00693173">
      <w:pPr>
        <w:tabs>
          <w:tab w:val="left" w:pos="567"/>
        </w:tabs>
        <w:spacing w:line="260" w:lineRule="exact"/>
        <w:jc w:val="both"/>
        <w:rPr>
          <w:i/>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i/>
          <w:sz w:val="22"/>
          <w:szCs w:val="20"/>
          <w:lang w:val="sr-Latn-ME"/>
        </w:rPr>
        <w:t>Gastrična antisekretorna terapija, kada oralna primjena nije moguća</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Pacijenti koji ne mogu da uzimaju oralnu terapiju mogu da dobijaju parenteralnu terapiju jednom dnevno, kao dio cjelokupne terapije za GERB (vidjeti doze u tabeli ispod).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Uobičajeno, trajanje intravenske terapije treba da je kratko</w:t>
      </w:r>
      <w:r w:rsidR="000B3229" w:rsidRPr="00B32BF5">
        <w:rPr>
          <w:sz w:val="22"/>
          <w:szCs w:val="20"/>
          <w:lang w:val="sr-Latn-ME"/>
        </w:rPr>
        <w:t>,</w:t>
      </w:r>
      <w:r w:rsidRPr="00B32BF5">
        <w:rPr>
          <w:sz w:val="22"/>
          <w:szCs w:val="20"/>
          <w:lang w:val="sr-Latn-ME"/>
        </w:rPr>
        <w:t xml:space="preserve"> a prelazak na oralnu primjenu u što kraćem roku.</w:t>
      </w:r>
    </w:p>
    <w:p w:rsidR="00693173" w:rsidRPr="00B32BF5" w:rsidRDefault="00693173">
      <w:pPr>
        <w:tabs>
          <w:tab w:val="left" w:pos="567"/>
        </w:tabs>
        <w:spacing w:line="260" w:lineRule="exact"/>
        <w:jc w:val="both"/>
        <w:rPr>
          <w:sz w:val="22"/>
          <w:szCs w:val="20"/>
          <w:lang w:val="sr-Latn-ME"/>
        </w:rPr>
      </w:pPr>
    </w:p>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 xml:space="preserve">Preporučene intravenske doze esomeprazola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592"/>
        <w:gridCol w:w="2639"/>
      </w:tblGrid>
      <w:tr w:rsidR="00693173" w:rsidRPr="00B32BF5" w:rsidTr="00693173">
        <w:tc>
          <w:tcPr>
            <w:tcW w:w="1951" w:type="dxa"/>
          </w:tcPr>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Starosna grupa</w:t>
            </w:r>
          </w:p>
        </w:tc>
        <w:tc>
          <w:tcPr>
            <w:tcW w:w="5103" w:type="dxa"/>
          </w:tcPr>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Terapija erozivnog refluksnog ezofagitisa</w:t>
            </w:r>
          </w:p>
        </w:tc>
        <w:tc>
          <w:tcPr>
            <w:tcW w:w="2801" w:type="dxa"/>
          </w:tcPr>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Simptomatska terapija GERB-a</w:t>
            </w:r>
          </w:p>
        </w:tc>
      </w:tr>
      <w:tr w:rsidR="00693173" w:rsidRPr="00B32BF5" w:rsidTr="00693173">
        <w:tc>
          <w:tcPr>
            <w:tcW w:w="1951"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1-11 godina</w:t>
            </w:r>
          </w:p>
        </w:tc>
        <w:tc>
          <w:tcPr>
            <w:tcW w:w="5103"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 xml:space="preserve">Tjelesna masa </w:t>
            </w:r>
            <w:r w:rsidRPr="00B32BF5">
              <w:rPr>
                <w:sz w:val="22"/>
                <w:szCs w:val="20"/>
                <w:lang w:val="sr-Latn-ME"/>
              </w:rPr>
              <w:sym w:font="Symbol" w:char="F03C"/>
            </w:r>
            <w:r w:rsidRPr="00B32BF5">
              <w:rPr>
                <w:sz w:val="22"/>
                <w:szCs w:val="20"/>
                <w:lang w:val="sr-Latn-ME"/>
              </w:rPr>
              <w:t xml:space="preserve"> 20 kg: 10 mg jednom dnevno </w:t>
            </w:r>
          </w:p>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Tjelesna masa ≥ 20 kg: 10 mg ili 20</w:t>
            </w:r>
            <w:r w:rsidR="000B3229" w:rsidRPr="00B32BF5">
              <w:rPr>
                <w:sz w:val="22"/>
                <w:szCs w:val="20"/>
                <w:lang w:val="sr-Latn-ME"/>
              </w:rPr>
              <w:t xml:space="preserve"> </w:t>
            </w:r>
            <w:r w:rsidRPr="00B32BF5">
              <w:rPr>
                <w:sz w:val="22"/>
                <w:szCs w:val="20"/>
                <w:lang w:val="sr-Latn-ME"/>
              </w:rPr>
              <w:t xml:space="preserve">mg jednom dnevno </w:t>
            </w:r>
          </w:p>
        </w:tc>
        <w:tc>
          <w:tcPr>
            <w:tcW w:w="2801"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10 mg jednom dnevno</w:t>
            </w:r>
          </w:p>
        </w:tc>
      </w:tr>
      <w:tr w:rsidR="00693173" w:rsidRPr="00B32BF5" w:rsidTr="00693173">
        <w:tc>
          <w:tcPr>
            <w:tcW w:w="1951"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12-18 godina</w:t>
            </w:r>
          </w:p>
        </w:tc>
        <w:tc>
          <w:tcPr>
            <w:tcW w:w="5103"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40 mg jednom dnevno</w:t>
            </w:r>
          </w:p>
        </w:tc>
        <w:tc>
          <w:tcPr>
            <w:tcW w:w="2801"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20 mg jednom dnevno</w:t>
            </w:r>
          </w:p>
          <w:p w:rsidR="00693173" w:rsidRPr="00B32BF5" w:rsidRDefault="00693173" w:rsidP="000A243B">
            <w:pPr>
              <w:tabs>
                <w:tab w:val="left" w:pos="567"/>
              </w:tabs>
              <w:spacing w:line="260" w:lineRule="exact"/>
              <w:jc w:val="both"/>
              <w:rPr>
                <w:sz w:val="22"/>
                <w:szCs w:val="20"/>
                <w:lang w:val="sr-Latn-ME"/>
              </w:rPr>
            </w:pPr>
          </w:p>
        </w:tc>
      </w:tr>
    </w:tbl>
    <w:p w:rsidR="00693173" w:rsidRPr="00B32BF5" w:rsidRDefault="00693173" w:rsidP="000A243B">
      <w:pPr>
        <w:tabs>
          <w:tab w:val="left" w:pos="567"/>
        </w:tabs>
        <w:spacing w:line="260" w:lineRule="exact"/>
        <w:jc w:val="both"/>
        <w:rPr>
          <w:sz w:val="22"/>
          <w:szCs w:val="20"/>
          <w:lang w:val="sr-Latn-ME"/>
        </w:rPr>
      </w:pPr>
    </w:p>
    <w:p w:rsidR="00693173" w:rsidRPr="00B32BF5" w:rsidRDefault="00693173" w:rsidP="002671C0">
      <w:pPr>
        <w:tabs>
          <w:tab w:val="left" w:pos="567"/>
        </w:tabs>
        <w:spacing w:line="260" w:lineRule="exact"/>
        <w:jc w:val="both"/>
        <w:rPr>
          <w:sz w:val="22"/>
          <w:szCs w:val="20"/>
          <w:u w:val="single"/>
          <w:lang w:val="sr-Latn-ME"/>
        </w:rPr>
      </w:pPr>
      <w:r w:rsidRPr="00B32BF5">
        <w:rPr>
          <w:sz w:val="22"/>
          <w:szCs w:val="20"/>
          <w:u w:val="single"/>
          <w:lang w:val="sr-Latn-ME"/>
        </w:rPr>
        <w:t xml:space="preserve">Način primjene </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 xml:space="preserve">Za pripremu rekonstituisanog rastvora, vidjeti dio 6.6.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b/>
          <w:sz w:val="22"/>
          <w:szCs w:val="20"/>
          <w:lang w:val="sr-Latn-ME"/>
        </w:rPr>
      </w:pPr>
      <w:r w:rsidRPr="00B32BF5">
        <w:rPr>
          <w:b/>
          <w:sz w:val="22"/>
          <w:szCs w:val="20"/>
          <w:lang w:val="sr-Latn-ME"/>
        </w:rPr>
        <w:t xml:space="preserve">Injekcija </w:t>
      </w: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 xml:space="preserve">Doza od 40 mg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5 ml rekonstituisanog rastvora (8 mg/ml) treba dati kao intravensku injekciju u trajanju od najmanje 3 minuta.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Doza od 20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2,5 ml ili polovinu rekonstituisanog rastvora (8 mg/ml) treba dati kao intravensku injekciju u trajanju od najmanje 3 minuta. Neiskorišćenu količinu rastvora treba ukloniti.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Doza od 10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1,25 ml ili četvrtinu rekonstituisanog rastvora (8 mg/ml) treba dati kao intravensku injekciju u trajanju od najmanje 3 minuta. Neiskorišćenu količinu rastvora treba ukloniti.</w:t>
      </w:r>
    </w:p>
    <w:p w:rsidR="00693173" w:rsidRPr="00B32BF5" w:rsidRDefault="00693173" w:rsidP="000A243B">
      <w:pPr>
        <w:tabs>
          <w:tab w:val="left" w:pos="567"/>
        </w:tabs>
        <w:spacing w:line="260" w:lineRule="exact"/>
        <w:jc w:val="both"/>
        <w:rPr>
          <w:sz w:val="22"/>
          <w:szCs w:val="22"/>
          <w:lang w:val="sr-Latn-ME"/>
        </w:rPr>
      </w:pPr>
    </w:p>
    <w:p w:rsidR="00693173" w:rsidRPr="00B32BF5" w:rsidRDefault="00693173" w:rsidP="002671C0">
      <w:pPr>
        <w:tabs>
          <w:tab w:val="left" w:pos="567"/>
        </w:tabs>
        <w:spacing w:line="260" w:lineRule="exact"/>
        <w:jc w:val="both"/>
        <w:rPr>
          <w:sz w:val="22"/>
          <w:szCs w:val="20"/>
          <w:lang w:val="sr-Latn-ME"/>
        </w:rPr>
      </w:pPr>
      <w:r w:rsidRPr="00B32BF5">
        <w:rPr>
          <w:b/>
          <w:sz w:val="22"/>
          <w:szCs w:val="20"/>
          <w:lang w:val="sr-Latn-ME"/>
        </w:rPr>
        <w:t>Infuzija</w:t>
      </w:r>
    </w:p>
    <w:p w:rsidR="00693173" w:rsidRPr="00B32BF5" w:rsidRDefault="00693173" w:rsidP="00A34CC6">
      <w:pPr>
        <w:tabs>
          <w:tab w:val="left" w:pos="567"/>
        </w:tabs>
        <w:spacing w:line="260" w:lineRule="exact"/>
        <w:jc w:val="both"/>
        <w:rPr>
          <w:sz w:val="22"/>
          <w:szCs w:val="20"/>
          <w:lang w:val="sr-Latn-ME"/>
        </w:rPr>
      </w:pPr>
      <w:r w:rsidRPr="00B32BF5">
        <w:rPr>
          <w:sz w:val="22"/>
          <w:szCs w:val="20"/>
          <w:u w:val="single"/>
          <w:lang w:val="sr-Latn-ME"/>
        </w:rPr>
        <w:t>Doza od 40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Rekonstituisani rastvor treba dati kao intravensku infuziju tokom perioda od 10-30 minuta.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Doza od 20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Polovinu rekonstituisanog rastvora treba davati kao intravensku infuziju tokom perioda od 10-30 minuta. Neiskorišćenu količinu rastvora treba ukloniti.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Doza od 10 mg</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Četvrtinu rekonstituisanog rastvora treba davati kao intravensku infuziju tokom perioda od 10-30 minuta. Neiskorišćenu količinu rastvora treba ukloniti.</w:t>
      </w:r>
    </w:p>
    <w:p w:rsidR="00452E9D" w:rsidRPr="00B32BF5" w:rsidRDefault="00452E9D" w:rsidP="000A243B">
      <w:pPr>
        <w:tabs>
          <w:tab w:val="left" w:pos="540"/>
          <w:tab w:val="left" w:pos="569"/>
        </w:tabs>
        <w:jc w:val="both"/>
        <w:rPr>
          <w:bCs/>
          <w:sz w:val="22"/>
          <w:szCs w:val="22"/>
          <w:lang w:val="sr-Latn-ME"/>
        </w:rPr>
      </w:pPr>
    </w:p>
    <w:p w:rsidR="00411B4B" w:rsidRPr="00B32BF5" w:rsidRDefault="00411B4B" w:rsidP="000A243B">
      <w:pPr>
        <w:tabs>
          <w:tab w:val="left" w:pos="540"/>
          <w:tab w:val="left" w:pos="569"/>
        </w:tabs>
        <w:jc w:val="both"/>
        <w:rPr>
          <w:b/>
          <w:bCs/>
          <w:sz w:val="22"/>
          <w:szCs w:val="22"/>
          <w:lang w:val="sr-Latn-ME"/>
        </w:rPr>
      </w:pPr>
      <w:r w:rsidRPr="00B32BF5">
        <w:rPr>
          <w:b/>
          <w:bCs/>
          <w:sz w:val="22"/>
          <w:szCs w:val="22"/>
          <w:lang w:val="sr-Latn-ME"/>
        </w:rPr>
        <w:lastRenderedPageBreak/>
        <w:t xml:space="preserve">4.3. </w:t>
      </w:r>
      <w:r w:rsidR="00480FB1" w:rsidRPr="00B32BF5">
        <w:rPr>
          <w:b/>
          <w:bCs/>
          <w:sz w:val="22"/>
          <w:szCs w:val="22"/>
          <w:lang w:val="sr-Latn-ME"/>
        </w:rPr>
        <w:tab/>
      </w:r>
      <w:r w:rsidRPr="00B32BF5">
        <w:rPr>
          <w:b/>
          <w:bCs/>
          <w:sz w:val="22"/>
          <w:szCs w:val="22"/>
          <w:lang w:val="sr-Latn-ME"/>
        </w:rPr>
        <w:t>Kontraindikacije</w:t>
      </w:r>
    </w:p>
    <w:p w:rsidR="0072020E" w:rsidRPr="00B32BF5" w:rsidRDefault="0072020E" w:rsidP="000A243B">
      <w:pPr>
        <w:tabs>
          <w:tab w:val="left" w:pos="540"/>
          <w:tab w:val="left" w:pos="569"/>
        </w:tabs>
        <w:jc w:val="both"/>
        <w:rPr>
          <w:bCs/>
          <w:sz w:val="22"/>
          <w:szCs w:val="22"/>
          <w:lang w:val="sr-Latn-ME"/>
        </w:rPr>
      </w:pPr>
    </w:p>
    <w:p w:rsidR="00693173" w:rsidRPr="00B32BF5" w:rsidRDefault="00693173" w:rsidP="002671C0">
      <w:pPr>
        <w:spacing w:line="260" w:lineRule="exact"/>
        <w:jc w:val="both"/>
        <w:rPr>
          <w:sz w:val="22"/>
          <w:szCs w:val="20"/>
          <w:lang w:val="sr-Latn-ME"/>
        </w:rPr>
      </w:pPr>
      <w:r w:rsidRPr="00B32BF5">
        <w:rPr>
          <w:sz w:val="22"/>
          <w:szCs w:val="20"/>
          <w:lang w:val="sr-Latn-ME"/>
        </w:rPr>
        <w:t>Poznata preosjetljivost na aktivnu supstancu esomeprazol, supstituisane benzimidazole ili bilo koju pomoćnu supstancu naveden</w:t>
      </w:r>
      <w:r w:rsidR="000B3229" w:rsidRPr="00B32BF5">
        <w:rPr>
          <w:sz w:val="22"/>
          <w:szCs w:val="20"/>
          <w:lang w:val="sr-Latn-ME"/>
        </w:rPr>
        <w:t>u</w:t>
      </w:r>
      <w:r w:rsidRPr="00B32BF5">
        <w:rPr>
          <w:sz w:val="22"/>
          <w:szCs w:val="20"/>
          <w:lang w:val="sr-Latn-ME"/>
        </w:rPr>
        <w:t xml:space="preserve"> u dijelu 6.1. </w:t>
      </w:r>
    </w:p>
    <w:p w:rsidR="00693173" w:rsidRPr="00B32BF5" w:rsidRDefault="00693173" w:rsidP="00A34CC6">
      <w:pPr>
        <w:tabs>
          <w:tab w:val="left" w:pos="567"/>
        </w:tabs>
        <w:spacing w:line="260" w:lineRule="exact"/>
        <w:ind w:left="567" w:hanging="567"/>
        <w:jc w:val="both"/>
        <w:rPr>
          <w:sz w:val="22"/>
          <w:szCs w:val="20"/>
          <w:lang w:val="sr-Latn-ME"/>
        </w:rPr>
      </w:pPr>
      <w:r w:rsidRPr="00B32BF5">
        <w:rPr>
          <w:sz w:val="22"/>
          <w:szCs w:val="20"/>
          <w:lang w:val="sr-Latn-ME"/>
        </w:rPr>
        <w:t>Esomeprazol ne treba koristiti istovremeno sa nelfinavirom (vidjeti dio 4.5)</w:t>
      </w:r>
    </w:p>
    <w:p w:rsidR="00693173" w:rsidRPr="00B32BF5" w:rsidRDefault="00693173" w:rsidP="000A243B">
      <w:pPr>
        <w:tabs>
          <w:tab w:val="left" w:pos="540"/>
          <w:tab w:val="left" w:pos="569"/>
        </w:tabs>
        <w:jc w:val="both"/>
        <w:rPr>
          <w:bCs/>
          <w:sz w:val="22"/>
          <w:szCs w:val="22"/>
          <w:lang w:val="sr-Latn-ME"/>
        </w:rPr>
      </w:pPr>
    </w:p>
    <w:p w:rsidR="00693173" w:rsidRPr="00B32BF5" w:rsidRDefault="00693173" w:rsidP="000A243B">
      <w:pPr>
        <w:tabs>
          <w:tab w:val="left" w:pos="540"/>
          <w:tab w:val="left" w:pos="569"/>
        </w:tabs>
        <w:jc w:val="both"/>
        <w:rPr>
          <w:bCs/>
          <w:sz w:val="22"/>
          <w:szCs w:val="22"/>
          <w:lang w:val="sr-Latn-ME"/>
        </w:rPr>
      </w:pPr>
    </w:p>
    <w:p w:rsidR="00411B4B" w:rsidRPr="00B32BF5" w:rsidRDefault="00411B4B" w:rsidP="000A243B">
      <w:pPr>
        <w:tabs>
          <w:tab w:val="left" w:pos="540"/>
          <w:tab w:val="left" w:pos="569"/>
        </w:tabs>
        <w:jc w:val="both"/>
        <w:rPr>
          <w:b/>
          <w:bCs/>
          <w:sz w:val="22"/>
          <w:szCs w:val="22"/>
          <w:lang w:val="sr-Latn-ME"/>
        </w:rPr>
      </w:pPr>
      <w:r w:rsidRPr="00B32BF5">
        <w:rPr>
          <w:b/>
          <w:bCs/>
          <w:sz w:val="22"/>
          <w:szCs w:val="22"/>
          <w:lang w:val="sr-Latn-ME"/>
        </w:rPr>
        <w:t xml:space="preserve">4.4. </w:t>
      </w:r>
      <w:r w:rsidR="00480FB1" w:rsidRPr="00B32BF5">
        <w:rPr>
          <w:b/>
          <w:bCs/>
          <w:sz w:val="22"/>
          <w:szCs w:val="22"/>
          <w:lang w:val="sr-Latn-ME"/>
        </w:rPr>
        <w:tab/>
      </w:r>
      <w:r w:rsidRPr="00B32BF5">
        <w:rPr>
          <w:b/>
          <w:bCs/>
          <w:sz w:val="22"/>
          <w:szCs w:val="22"/>
          <w:lang w:val="sr-Latn-ME"/>
        </w:rPr>
        <w:t>Posebna upozorenja i mjere opreza pri upotrebi lijeka</w:t>
      </w:r>
    </w:p>
    <w:p w:rsidR="0072020E" w:rsidRPr="00B32BF5" w:rsidRDefault="0072020E" w:rsidP="000A243B">
      <w:pPr>
        <w:tabs>
          <w:tab w:val="left" w:pos="540"/>
          <w:tab w:val="left" w:pos="569"/>
        </w:tabs>
        <w:jc w:val="both"/>
        <w:rPr>
          <w:bCs/>
          <w:sz w:val="22"/>
          <w:szCs w:val="22"/>
          <w:lang w:val="sr-Latn-ME"/>
        </w:rPr>
      </w:pPr>
    </w:p>
    <w:p w:rsidR="00693173" w:rsidRPr="00B32BF5" w:rsidRDefault="00693173" w:rsidP="002671C0">
      <w:pPr>
        <w:tabs>
          <w:tab w:val="left" w:pos="567"/>
        </w:tabs>
        <w:spacing w:line="260" w:lineRule="exact"/>
        <w:jc w:val="both"/>
        <w:rPr>
          <w:sz w:val="22"/>
          <w:szCs w:val="20"/>
          <w:lang w:val="sr-Latn-ME"/>
        </w:rPr>
      </w:pPr>
      <w:r w:rsidRPr="00B32BF5">
        <w:rPr>
          <w:sz w:val="22"/>
          <w:szCs w:val="20"/>
          <w:lang w:val="sr-Latn-ME"/>
        </w:rPr>
        <w:t xml:space="preserve">U prisustvu bilo kakvih alarmantnih simptoma (npr. značajni nenamjerni gubitak tjelesne mase, često povraćanje, disfagija, hematemeza ili melena) i kada se sumnja na čir na želucu ili kada je on potvrđen, treba isključiti malignitet jer terapija lijekom </w:t>
      </w:r>
      <w:r w:rsidR="0042491B" w:rsidRPr="00B32BF5">
        <w:rPr>
          <w:sz w:val="22"/>
          <w:szCs w:val="20"/>
          <w:lang w:val="sr-Latn-ME"/>
        </w:rPr>
        <w:t xml:space="preserve">Demolox </w:t>
      </w:r>
      <w:r w:rsidRPr="00B32BF5">
        <w:rPr>
          <w:sz w:val="22"/>
          <w:szCs w:val="20"/>
          <w:lang w:val="sr-Latn-ME"/>
        </w:rPr>
        <w:t>može da ublaži simptome i odloži dijagnozu.</w:t>
      </w:r>
    </w:p>
    <w:p w:rsidR="00693173" w:rsidRPr="00B32BF5" w:rsidRDefault="00693173" w:rsidP="00A34CC6">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 xml:space="preserve">Gastrointestinalne infekcije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Terapija inhibitorima protonske pumpe može da dovede do neznatno povišenog rizika od gastrointestinalnih infekcija kao što su </w:t>
      </w:r>
      <w:r w:rsidRPr="00B32BF5">
        <w:rPr>
          <w:i/>
          <w:sz w:val="22"/>
          <w:szCs w:val="20"/>
          <w:lang w:val="sr-Latn-ME"/>
        </w:rPr>
        <w:t xml:space="preserve">Salmonella </w:t>
      </w:r>
      <w:r w:rsidRPr="00B32BF5">
        <w:rPr>
          <w:sz w:val="22"/>
          <w:szCs w:val="20"/>
          <w:lang w:val="sr-Latn-ME"/>
        </w:rPr>
        <w:t>i</w:t>
      </w:r>
      <w:r w:rsidRPr="00B32BF5">
        <w:rPr>
          <w:i/>
          <w:sz w:val="22"/>
          <w:szCs w:val="20"/>
          <w:lang w:val="sr-Latn-ME"/>
        </w:rPr>
        <w:t xml:space="preserve"> Campylobacter</w:t>
      </w:r>
      <w:r w:rsidRPr="00B32BF5">
        <w:rPr>
          <w:sz w:val="22"/>
          <w:szCs w:val="20"/>
          <w:lang w:val="sr-Latn-ME"/>
        </w:rPr>
        <w:t xml:space="preserve"> (vidjeti dio 5.1).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 xml:space="preserve">Resorpcija vitamina B12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Esomeprazol, kao i svi ljekovi koji smanjuju lučenje želudačne kiseline, može smanjiti resorpciju vitamina B12 (cijanokobalamin) usljed hipohlorhidrije ili ahlorhidrije. To treba uzeti u obzir kod pacijenata sa smanjenim depoima ili faktorima rizika za smanjenu resorpciju vitamina B12 pri dugotrajnoj terapiji.</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Hipomagnezemija</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Prijavljeni su slučajevi teške hipomagnezijemije kod pacijenata liječenih inhibitorima protonske pumpe, kao što je esomeprazol, u trajanju od najmanje tri mjeseca, a u većini slučajeva do godinu dana. Mogu se javiti ozbiljni znaci hipomagnezijemije kao što su iscrpljenost, tetanija, delirijum, konvulzije, vrtoglavice i ventrikularne aritmije, ovi znaci u početku mogu biti prikriveni, pa ih je lako previdjeti. Kod većine pacijenata došlo je do poboljšanja hipomagnezijemije poslije primjene suplemenata magnezijuma i prekida terapije inhibitorima. Kod pacijenata za koje se očekuje da će biti na produženoj terapiji inhibitorima protonske pumpe, ili koji uzimaju inhibitore protonske pumpe sa digoksinom ili ljekovima koji izazivaju hipomagnezijemiju (npr. diuretici), ljekari bi trebalo da razmotre određivanje koncentracije magnezijuma prije terapije inhibitorima protonske pumpe, kao i periodično u toku terapije.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Rizik od fraktura</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Inhibitori protonske pumpe, posebno ako se koriste u visokim dozama i tokom dužeg perioda (&gt; 1 godine), mogu u manjoj mjeri povećati rizik od fraktura kuka, ručnog zgloba i kičme, posebno kod starijih osoba ili ako postoje drugi faktori rizika. U opservacionim studijama uočeno je da inhibitori protonske pumpe mogu povećati ukupni rizik od fraktura za 10-40%. Djelimično, ovo povećanje rizika može biti posljedica drugih faktora rizika. Pacijente sa rizikom od osteoporoze treba liječiti u skladu sa važećim smjernicama uz adekvatnu suplementaciju vitaminom D i kalcijumom.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 xml:space="preserve">Istovremena primjena sa drugim ljekovima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Istovremena primjena esomeprazola sa atazanavirom se ne preporučuje (vidjeti dio 4.5). Ukoliko se procijeni da je primjena kombinacije atazanavira sa inhibitorom protonske pumpe neophodna, preporučuje se strog medicinski nadzor uz povećanje doze atazanavira na 400 mg sa 100 mg ritonavira, a doza esomeprazola od 20 mg se ne smije prekoračiti.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Esomeprazol je inhibitor izoenzima CYP2C19. Kada se započinje ili završava terapija esomeprazolom, treba uzeti u obzir potencijal za interakcije sa ljekovima koji se metabolišu putem CYP2C19. Primijećeno je da postoji interakcija između klopidogrela i esomeprazola (vidjeti dio 4.5). Klinički značaj ove interakcije nije izvjestan. Za svaki slučaj, ne treba savjetovati istovremenu primjenu esomeprazola i klopidogrela. </w:t>
      </w:r>
    </w:p>
    <w:p w:rsidR="00693173" w:rsidRPr="00B32BF5" w:rsidRDefault="00693173">
      <w:pPr>
        <w:tabs>
          <w:tab w:val="left" w:pos="567"/>
        </w:tabs>
        <w:spacing w:line="260" w:lineRule="exact"/>
        <w:jc w:val="both"/>
        <w:rPr>
          <w:sz w:val="22"/>
          <w:szCs w:val="20"/>
          <w:lang w:val="sr-Latn-ME"/>
        </w:rPr>
      </w:pPr>
    </w:p>
    <w:p w:rsidR="006A189C" w:rsidRPr="00B32BF5" w:rsidRDefault="006A189C">
      <w:pPr>
        <w:tabs>
          <w:tab w:val="left" w:pos="567"/>
        </w:tabs>
        <w:spacing w:line="260" w:lineRule="exact"/>
        <w:jc w:val="both"/>
        <w:rPr>
          <w:sz w:val="22"/>
          <w:szCs w:val="20"/>
          <w:lang w:val="sr-Latn-ME"/>
        </w:rPr>
      </w:pPr>
    </w:p>
    <w:p w:rsidR="006A189C" w:rsidRPr="00B32BF5" w:rsidRDefault="006A189C">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lang w:val="sr-Latn-ME"/>
        </w:rPr>
      </w:pPr>
      <w:r w:rsidRPr="00B32BF5">
        <w:rPr>
          <w:i/>
          <w:sz w:val="22"/>
          <w:szCs w:val="20"/>
          <w:lang w:val="sr-Latn-ME"/>
        </w:rPr>
        <w:lastRenderedPageBreak/>
        <w:t>Uticaj na vrijednosti laboratorijskih analiza</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Povećane vrijednosti humanog hromogranina A (CgA), koje se mogu javiti tokom terapije esomeprazolom, može da utiče na rezultate analiza na neuroendokrine tumore. Da bi se ovaj uticaj izbjegao, terapiju esomeprazolom treba prekinuti najmanje 5 dana prije CgA analize (vidjeti dio 5.1).</w:t>
      </w:r>
      <w:r w:rsidRPr="00B32BF5">
        <w:rPr>
          <w:rFonts w:ascii="TimesNewRoman" w:hAnsi="TimesNewRoman" w:cs="TimesNewRoman"/>
          <w:sz w:val="22"/>
          <w:szCs w:val="22"/>
          <w:lang w:val="sr-Latn-ME"/>
        </w:rPr>
        <w:t xml:space="preserve"> </w:t>
      </w:r>
      <w:r w:rsidRPr="00B32BF5">
        <w:rPr>
          <w:sz w:val="22"/>
          <w:szCs w:val="20"/>
          <w:lang w:val="sr-Latn-ME"/>
        </w:rPr>
        <w:t>Ukoliko se vrijednosti CgA i gastrina ne vrate na referentni opseg vrijednosti nakon primijenjenih početnih mjerenja, mjerenje treba ponoviti 14 dana nakon prekida terapije.</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Subakutni kutani lupus erythematosus (SCLE)</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Inhibitori protonske pumpe su povezani sa veoma rijetkim slučajevima SCLE. Ako se pojave lezije, naročito na djelovima kože izloženih suncu i ako su praćeni artlargijom, pacijent bi odmah trebao da zatraži medicinsku pomoć, a ljekar treba da odluči o prekidu primjene lijeka </w:t>
      </w:r>
      <w:r w:rsidR="0042491B" w:rsidRPr="00B32BF5">
        <w:rPr>
          <w:sz w:val="22"/>
          <w:szCs w:val="20"/>
          <w:lang w:val="sr-Latn-ME"/>
        </w:rPr>
        <w:t>Demolox</w:t>
      </w:r>
      <w:r w:rsidRPr="00B32BF5">
        <w:rPr>
          <w:sz w:val="22"/>
          <w:szCs w:val="20"/>
          <w:lang w:val="sr-Latn-ME"/>
        </w:rPr>
        <w:t>. SCLE nakon prethodnog tretmana inhibitorima protonske pumpe može povećati rizik od SCLE sa drugim inhibitorima protonske pumpe.</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Jedna bočica sadrži manje od 1 mmol natrijuma (23mg) tj. suštinski je bez natrijuma.</w:t>
      </w:r>
    </w:p>
    <w:p w:rsidR="00693173" w:rsidRPr="00B32BF5" w:rsidRDefault="00693173" w:rsidP="000A243B">
      <w:pPr>
        <w:tabs>
          <w:tab w:val="left" w:pos="540"/>
          <w:tab w:val="left" w:pos="569"/>
        </w:tabs>
        <w:jc w:val="both"/>
        <w:rPr>
          <w:bCs/>
          <w:sz w:val="22"/>
          <w:szCs w:val="22"/>
          <w:lang w:val="sr-Latn-ME"/>
        </w:rPr>
      </w:pPr>
    </w:p>
    <w:p w:rsidR="00411B4B" w:rsidRPr="00B32BF5" w:rsidRDefault="00411B4B" w:rsidP="000A243B">
      <w:pPr>
        <w:tabs>
          <w:tab w:val="left" w:pos="540"/>
          <w:tab w:val="left" w:pos="569"/>
        </w:tabs>
        <w:jc w:val="both"/>
        <w:rPr>
          <w:b/>
          <w:bCs/>
          <w:sz w:val="22"/>
          <w:szCs w:val="22"/>
          <w:lang w:val="sr-Latn-ME"/>
        </w:rPr>
      </w:pPr>
      <w:r w:rsidRPr="00B32BF5">
        <w:rPr>
          <w:b/>
          <w:bCs/>
          <w:sz w:val="22"/>
          <w:szCs w:val="22"/>
          <w:lang w:val="sr-Latn-ME"/>
        </w:rPr>
        <w:t>4.5.</w:t>
      </w:r>
      <w:r w:rsidR="000D60CC" w:rsidRPr="00B32BF5">
        <w:rPr>
          <w:b/>
          <w:bCs/>
          <w:sz w:val="22"/>
          <w:szCs w:val="22"/>
          <w:lang w:val="sr-Latn-ME"/>
        </w:rPr>
        <w:tab/>
      </w:r>
      <w:r w:rsidRPr="00B32BF5">
        <w:rPr>
          <w:b/>
          <w:bCs/>
          <w:sz w:val="22"/>
          <w:szCs w:val="22"/>
          <w:lang w:val="sr-Latn-ME"/>
        </w:rPr>
        <w:t>Interakcije sa drugim ljekovima i druge vrste interakcija</w:t>
      </w:r>
    </w:p>
    <w:p w:rsidR="00693173" w:rsidRPr="00B32BF5" w:rsidRDefault="00693173" w:rsidP="000A243B">
      <w:pPr>
        <w:tabs>
          <w:tab w:val="left" w:pos="540"/>
          <w:tab w:val="left" w:pos="569"/>
        </w:tabs>
        <w:jc w:val="both"/>
        <w:rPr>
          <w:b/>
          <w:bCs/>
          <w:sz w:val="22"/>
          <w:szCs w:val="22"/>
          <w:lang w:val="sr-Latn-ME"/>
        </w:rPr>
      </w:pPr>
    </w:p>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 xml:space="preserve">Uticaj esomeprazola na farmakokinetiku drugih ljekova </w:t>
      </w:r>
    </w:p>
    <w:p w:rsidR="00693173" w:rsidRPr="00B32BF5" w:rsidRDefault="00693173" w:rsidP="000A243B">
      <w:pPr>
        <w:tabs>
          <w:tab w:val="left" w:pos="567"/>
        </w:tabs>
        <w:spacing w:line="260" w:lineRule="exact"/>
        <w:jc w:val="both"/>
        <w:rPr>
          <w:sz w:val="22"/>
          <w:szCs w:val="20"/>
          <w:lang w:val="sr-Latn-ME"/>
        </w:rPr>
      </w:pPr>
    </w:p>
    <w:p w:rsidR="00693173" w:rsidRPr="00B32BF5" w:rsidRDefault="00693173" w:rsidP="002671C0">
      <w:pPr>
        <w:tabs>
          <w:tab w:val="left" w:pos="567"/>
        </w:tabs>
        <w:spacing w:line="260" w:lineRule="exact"/>
        <w:jc w:val="both"/>
        <w:rPr>
          <w:i/>
          <w:sz w:val="22"/>
          <w:szCs w:val="20"/>
          <w:u w:val="single"/>
          <w:lang w:val="sr-Latn-ME"/>
        </w:rPr>
      </w:pPr>
      <w:r w:rsidRPr="00B32BF5">
        <w:rPr>
          <w:i/>
          <w:sz w:val="22"/>
          <w:szCs w:val="20"/>
          <w:u w:val="single"/>
          <w:lang w:val="sr-Latn-ME"/>
        </w:rPr>
        <w:t xml:space="preserve">Inhibitori proteaze </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Zabilježene su interakcije omeprazola sa nekim inhibitorima proteaze. Klinički značaj i mehanizam ovih interakcija ni</w:t>
      </w:r>
      <w:r w:rsidR="006A189C" w:rsidRPr="00B32BF5">
        <w:rPr>
          <w:sz w:val="22"/>
          <w:szCs w:val="20"/>
          <w:lang w:val="sr-Latn-ME"/>
        </w:rPr>
        <w:t>je</w:t>
      </w:r>
      <w:r w:rsidRPr="00B32BF5">
        <w:rPr>
          <w:sz w:val="22"/>
          <w:szCs w:val="20"/>
          <w:lang w:val="sr-Latn-ME"/>
        </w:rPr>
        <w:t xml:space="preserve">su uvijek poznati. Povećana pH vrijednost u želucu za vrijeme terapije omeprazolom može da utiče na resorpciju inhibitora proteaze. Drugi mogući mehanizam interakcije je preko inhibicije CYP 2C19.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Kada su atazanavir i nelfinavir primjenjivani istovremeno sa omeprazolom, primijećeno je smanjenje njihovih koncentracija u serumu i stoga se ne preporučuje istovremena primjena ovih ljekova. Istovremena primjena omeprazola (40 mg jednom dnevno) sa atazanavirom 300 mg/ritonavirom 100 mg kod zdravih dobrovoljaca dovela je do znatnog smanjenja izloženosti atazanaviru (smanjenje od približno 75% u parametrima PIK, Cmax i Cmin). Povećanje doze atazanavira do 400 mg nije kompenzovalo uticaj omeprazola na izloženost atazanaviru. Istovremena primjena omeprazola (20 mg dnevno) sa ljekovima atazanavir 400 mg/ ritonavir 100 mg kod zdravih dobrovoljaca je rezult</w:t>
      </w:r>
      <w:r w:rsidR="00D33C62" w:rsidRPr="00B32BF5">
        <w:rPr>
          <w:sz w:val="22"/>
          <w:szCs w:val="20"/>
          <w:lang w:val="sr-Latn-ME"/>
        </w:rPr>
        <w:t>ir</w:t>
      </w:r>
      <w:r w:rsidRPr="00B32BF5">
        <w:rPr>
          <w:sz w:val="22"/>
          <w:szCs w:val="20"/>
          <w:lang w:val="sr-Latn-ME"/>
        </w:rPr>
        <w:t>ala smanjenjem izloženosti atazanaviru za oko 30% u poređenju sa izloženošću atazanaviru 300</w:t>
      </w:r>
      <w:r w:rsidR="00D33C62" w:rsidRPr="00B32BF5">
        <w:rPr>
          <w:sz w:val="22"/>
          <w:szCs w:val="20"/>
          <w:lang w:val="sr-Latn-ME"/>
        </w:rPr>
        <w:t xml:space="preserve"> </w:t>
      </w:r>
      <w:r w:rsidRPr="00B32BF5">
        <w:rPr>
          <w:sz w:val="22"/>
          <w:szCs w:val="20"/>
          <w:lang w:val="sr-Latn-ME"/>
        </w:rPr>
        <w:t xml:space="preserve">mg/ ritonaviru 100 mg dnevno bez omeprazola 20 mg dnevno.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Istovremena primjena omeprazola (40 mg dnevno) je dovela do smanjenja srednjih vrijednosti PIK, Cmax i Cmin nelfinavira za 36-39%, dok su srednje vrednosti PIK, Cmax i Cmin aktivnog metabolita M8 smanjene za 75-92%. Zbog sličnih farmakodinamskih efekata i farmakokinetskih osobina omeprazola i esomeprazola, istovremena primjena esomeprazola i atazanavira se ne preporučuje (vidjeti dio 4.4), a istovremena primjena esomeprazola i nelfinavira je kontraindikovana (vidjeti dio 4.3).</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Kada je sakvinavir (zajedno sa ritonavirom) primjenjivan istovremeno sa omeprazolom (40 mg jednom dnevno) zabilježeno je povećanje koncentracije sakvinavira u plazmi (80-100%). Terapija omeprazolom 20 mg dnevno nije imala uticaja na izloženost darunaviru (primijenjen zajedno sa ritonavirom) i amprenaviru (primijenjen zajedno sa ritonavirom). Terapija omeprazolom 20 mg dnevno nije imala uticaja na izloženost amprenaviru (sa ili bez istovremene primjene ritonavira). Terapija omeprazolom 40 mg dnevno nije imala uticaja na izloženost lopinaviru (primijenjen zajedno sa ritonavirom).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 xml:space="preserve">Metotreksat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Kod nekih pacijenata je došlo do povećanja koncentracije metotreksata, kada je primjenjivan sa inhibitorima protonske pumpe. Prilikom primjene visokih doza metotreksata treba razmotriti privremeni prekid terapije esomeprazolom. </w:t>
      </w:r>
    </w:p>
    <w:p w:rsidR="00BB0549" w:rsidRPr="00B32BF5" w:rsidRDefault="00BB0549">
      <w:pPr>
        <w:tabs>
          <w:tab w:val="left" w:pos="567"/>
        </w:tabs>
        <w:spacing w:line="260" w:lineRule="exact"/>
        <w:jc w:val="both"/>
        <w:rPr>
          <w:sz w:val="22"/>
          <w:szCs w:val="20"/>
          <w:lang w:val="sr-Latn-ME"/>
        </w:rPr>
      </w:pPr>
    </w:p>
    <w:p w:rsidR="00720D6F" w:rsidRPr="00B32BF5" w:rsidRDefault="00720D6F">
      <w:pPr>
        <w:tabs>
          <w:tab w:val="left" w:pos="567"/>
        </w:tabs>
        <w:spacing w:line="260" w:lineRule="exact"/>
        <w:jc w:val="both"/>
        <w:rPr>
          <w:sz w:val="22"/>
          <w:szCs w:val="20"/>
          <w:lang w:val="sr-Latn-ME"/>
        </w:rPr>
      </w:pPr>
    </w:p>
    <w:p w:rsidR="00720D6F" w:rsidRPr="00B32BF5" w:rsidRDefault="00720D6F">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lastRenderedPageBreak/>
        <w:t>Takrolimus</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Prijavljeno je da istovremena primjena esomeprazola povećava serumski nivo takrolimusa. Potrebno je sprovesti pojačano praćenje koncentracija takrolimusa, kao i funkcije bubrega (klirens kreatinina) i prilagoditi doziranje takrolimusa ako je potrebno.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Ljekovi čija resorpcija zavisi o</w:t>
      </w:r>
      <w:r w:rsidR="00BB0549" w:rsidRPr="00B32BF5">
        <w:rPr>
          <w:i/>
          <w:sz w:val="22"/>
          <w:szCs w:val="20"/>
          <w:u w:val="single"/>
          <w:lang w:val="sr-Latn-ME"/>
        </w:rPr>
        <w:t>d</w:t>
      </w:r>
      <w:r w:rsidRPr="00B32BF5">
        <w:rPr>
          <w:i/>
          <w:sz w:val="22"/>
          <w:szCs w:val="20"/>
          <w:u w:val="single"/>
          <w:lang w:val="sr-Latn-ME"/>
        </w:rPr>
        <w:t xml:space="preserve"> pH</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Supresija lučenja želudačne kiseline tokom terapije esomeprazolom i drugim inhibitorima protonske pumpe može da poveća ili smanji resorpciju ljekova čij</w:t>
      </w:r>
      <w:r w:rsidR="00BB0549" w:rsidRPr="00B32BF5">
        <w:rPr>
          <w:sz w:val="22"/>
          <w:szCs w:val="20"/>
          <w:lang w:val="sr-Latn-ME"/>
        </w:rPr>
        <w:t>a</w:t>
      </w:r>
      <w:r w:rsidRPr="00B32BF5">
        <w:rPr>
          <w:sz w:val="22"/>
          <w:szCs w:val="20"/>
          <w:lang w:val="sr-Latn-ME"/>
        </w:rPr>
        <w:t xml:space="preserve"> resorpcija zavisi od pH vrijednosti u želucu. Kao i u slučaju drugih ljekova koji smanjuju kiselost želuca, resorpcija ketokonazola, itrakonazola i erlotiniba može da bude smanjena, a resorpcija digoksina povećana tokom terapije esomeprazolom. Istovremena terapija omeprazolom (20</w:t>
      </w:r>
      <w:r w:rsidR="00BB0549" w:rsidRPr="00B32BF5">
        <w:rPr>
          <w:sz w:val="22"/>
          <w:szCs w:val="20"/>
          <w:lang w:val="sr-Latn-ME"/>
        </w:rPr>
        <w:t xml:space="preserve"> </w:t>
      </w:r>
      <w:r w:rsidRPr="00B32BF5">
        <w:rPr>
          <w:sz w:val="22"/>
          <w:szCs w:val="20"/>
          <w:lang w:val="sr-Latn-ME"/>
        </w:rPr>
        <w:t xml:space="preserve">mg dnevno) i digoksinom kod zdravih dobrovoljaca je dovela do povećanja bioraspoloživosti digoksina za 10% (čak i do 30% kod 2 od 10 učesnika). Toksičnost digoksina je bila rijetko prijavljivana. Ipak, treba biti obazriv prilikom primjene visokih doza esomeprazola kod starijih pacijenata. U tom slučaju treba pratiti koncentracije digoksina u krvi.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Ljekovi koji se metabolišu pomoću CYP2C19</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Esomeprazol inhibira CYP2C19, glavni enzim koji metaboliše esomeprazol. Prema tome, kada se esomeprazol kombinuje sa ljekovima koji se metabolišu pomoću CYP2C19, kao što su diazepam, citalopram, imipramin, klomipramin, fenitoin itd., koncentracije ovih ljekova u plazmi mogu da budu povećane i može da bude potrebno smanjenje doze. Ni</w:t>
      </w:r>
      <w:r w:rsidR="00720D6F" w:rsidRPr="00B32BF5">
        <w:rPr>
          <w:sz w:val="22"/>
          <w:szCs w:val="20"/>
          <w:lang w:val="sr-Latn-ME"/>
        </w:rPr>
        <w:t>je</w:t>
      </w:r>
      <w:r w:rsidRPr="00B32BF5">
        <w:rPr>
          <w:sz w:val="22"/>
          <w:szCs w:val="20"/>
          <w:lang w:val="sr-Latn-ME"/>
        </w:rPr>
        <w:t xml:space="preserve">su sprovedene </w:t>
      </w:r>
      <w:r w:rsidRPr="00B32BF5">
        <w:rPr>
          <w:i/>
          <w:sz w:val="22"/>
          <w:szCs w:val="20"/>
          <w:lang w:val="sr-Latn-ME"/>
        </w:rPr>
        <w:t>in vivo</w:t>
      </w:r>
      <w:r w:rsidRPr="00B32BF5">
        <w:rPr>
          <w:sz w:val="22"/>
          <w:szCs w:val="20"/>
          <w:lang w:val="sr-Latn-ME"/>
        </w:rPr>
        <w:t xml:space="preserve"> studije u vezi interakcija ljekova sa visokim dozama lijeka </w:t>
      </w:r>
      <w:r w:rsidR="0042491B" w:rsidRPr="00B32BF5">
        <w:rPr>
          <w:sz w:val="22"/>
          <w:szCs w:val="20"/>
          <w:lang w:val="sr-Latn-ME"/>
        </w:rPr>
        <w:t xml:space="preserve">Demolox </w:t>
      </w:r>
      <w:r w:rsidRPr="00B32BF5">
        <w:rPr>
          <w:sz w:val="22"/>
          <w:szCs w:val="20"/>
          <w:lang w:val="sr-Latn-ME"/>
        </w:rPr>
        <w:t>(80mg + 8mg/h). Efekat esomeprazola na ljekove koji se metabolišu preko CYP2C19 može biti veoma izražen tokom ovog režima davanja, pa je neophodno da tokom 3 dana intravenske terapije pacijenti budu pažljivo praćeni zbog mogućnosti javljanja neželjenih reakcija na lijek.</w:t>
      </w:r>
    </w:p>
    <w:p w:rsidR="00693173" w:rsidRPr="00B32BF5" w:rsidRDefault="00693173" w:rsidP="000A243B">
      <w:pPr>
        <w:tabs>
          <w:tab w:val="left" w:pos="567"/>
        </w:tabs>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 xml:space="preserve">Diazepam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Istovremeno oralno davanje 30 mg esomeprazola dovodilo je do 45% smanjenja klirensa CYP2C19 supstrata diazepama.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 xml:space="preserve">Fenitoin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Istovremena oralna primjena 40 mg esomeprazola i fenitoina dovodilo je do 13% povećanja minimalnih nivoa fenitoina u plazmi za 13% kod pacijenata sa epilepsijom. Preporučuje se praćenje koncentracija fenitoina u plazmi kada se uvodi ili obustavlja terapija esomeprazolom.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Vorikonazol</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Omeprazol (40 mg jednom dnevno) je povećavao i vrijednosti vorikonazola (supstrata CYP2C19): C</w:t>
      </w:r>
      <w:r w:rsidRPr="00B32BF5">
        <w:rPr>
          <w:sz w:val="22"/>
          <w:szCs w:val="20"/>
          <w:vertAlign w:val="subscript"/>
          <w:lang w:val="sr-Latn-ME"/>
        </w:rPr>
        <w:t>max</w:t>
      </w:r>
      <w:r w:rsidRPr="00B32BF5">
        <w:rPr>
          <w:sz w:val="22"/>
          <w:szCs w:val="20"/>
          <w:lang w:val="sr-Latn-ME"/>
        </w:rPr>
        <w:t xml:space="preserve"> za 15%, a PIK</w:t>
      </w:r>
      <w:r w:rsidRPr="00B32BF5">
        <w:rPr>
          <w:rFonts w:ascii="Symbol" w:hAnsi="Symbol" w:cs="Symbol"/>
          <w:sz w:val="14"/>
          <w:szCs w:val="14"/>
          <w:lang w:val="sr-Latn-ME"/>
        </w:rPr>
        <w:t></w:t>
      </w:r>
      <w:r w:rsidRPr="00B32BF5">
        <w:rPr>
          <w:rFonts w:ascii="Symbol" w:hAnsi="Symbol" w:cs="Symbol"/>
          <w:sz w:val="14"/>
          <w:szCs w:val="14"/>
          <w:lang w:val="sr-Latn-ME"/>
        </w:rPr>
        <w:t></w:t>
      </w:r>
      <w:r w:rsidRPr="00B32BF5">
        <w:rPr>
          <w:sz w:val="22"/>
          <w:szCs w:val="20"/>
          <w:lang w:val="sr-Latn-ME"/>
        </w:rPr>
        <w:t xml:space="preserve"> za 41%.</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 xml:space="preserve">Cilostazol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Omeprazol i esomeprazol djeluju kao inhibitori CYP2C19. Omeprazol, primijenjen u dozi od 40 mg zdravim dobrovoljcima u studiji sa ukrštenim dizajnom, povećao je C</w:t>
      </w:r>
      <w:r w:rsidRPr="00B32BF5">
        <w:rPr>
          <w:sz w:val="22"/>
          <w:szCs w:val="20"/>
          <w:vertAlign w:val="subscript"/>
          <w:lang w:val="sr-Latn-ME"/>
        </w:rPr>
        <w:t>max</w:t>
      </w:r>
      <w:r w:rsidRPr="00B32BF5">
        <w:rPr>
          <w:sz w:val="22"/>
          <w:szCs w:val="20"/>
          <w:lang w:val="sr-Latn-ME"/>
        </w:rPr>
        <w:t xml:space="preserve"> i PIK cilostazola za 18% i 26%, a C</w:t>
      </w:r>
      <w:r w:rsidRPr="00B32BF5">
        <w:rPr>
          <w:sz w:val="22"/>
          <w:szCs w:val="20"/>
          <w:vertAlign w:val="subscript"/>
          <w:lang w:val="sr-Latn-ME"/>
        </w:rPr>
        <w:t>max</w:t>
      </w:r>
      <w:r w:rsidRPr="00B32BF5">
        <w:rPr>
          <w:sz w:val="22"/>
          <w:szCs w:val="20"/>
          <w:lang w:val="sr-Latn-ME"/>
        </w:rPr>
        <w:t xml:space="preserve"> i PIK njegovog aktivnog metabolita za 29% i 69%.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Cisaprid</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Kod zdravih dobrovoljaca, istovremena oralna primjena 40 mg esomeprazola i cisaprida dovodilo je do 32% povećanja površine ispod krive koncentracije u plazmi u funkciji vremena (PIK) i do 31% produžetka poluvremena eliminacije (t</w:t>
      </w:r>
      <w:r w:rsidRPr="00B32BF5">
        <w:rPr>
          <w:sz w:val="22"/>
          <w:szCs w:val="20"/>
          <w:vertAlign w:val="subscript"/>
          <w:lang w:val="sr-Latn-ME"/>
        </w:rPr>
        <w:t>1/2</w:t>
      </w:r>
      <w:r w:rsidRPr="00B32BF5">
        <w:rPr>
          <w:sz w:val="22"/>
          <w:szCs w:val="20"/>
          <w:lang w:val="sr-Latn-ME"/>
        </w:rPr>
        <w:t xml:space="preserve">), ali ne i do značajnog povećanja vršnih nivoa cisaprida u plazmi. Neznatno produženi QTc interval zabilježen poslije primjene samog cisaprida nije dodatno produžavan kada je cisaprid dat u kombinaciji sa esomeprazolom.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 xml:space="preserve">Varfarin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Istovremeno oralna primjena 40 mg esomeprazola pacijentima na terapiji varfarinom u kliničkim ispitivanjima pokazalo je da su vremena koagulacije ostajala u prihvatljivim rasponima. Međutim, izlaganje oralnom esomeprazolu po puštanju lijeka u promet otkrilo je nekoliko izolovanih slučajeva povišenih vrijednosti INR</w:t>
      </w:r>
      <w:r w:rsidR="0023546D" w:rsidRPr="00B32BF5">
        <w:rPr>
          <w:sz w:val="22"/>
          <w:szCs w:val="20"/>
          <w:lang w:val="sr-Latn-ME"/>
        </w:rPr>
        <w:t>-a</w:t>
      </w:r>
      <w:r w:rsidRPr="00B32BF5">
        <w:rPr>
          <w:sz w:val="22"/>
          <w:szCs w:val="20"/>
          <w:lang w:val="sr-Latn-ME"/>
        </w:rPr>
        <w:t xml:space="preserve"> do klinički značajnog nivoa kada su se ovi ljekovi davali istovremeno. </w:t>
      </w:r>
      <w:r w:rsidRPr="00B32BF5">
        <w:rPr>
          <w:sz w:val="22"/>
          <w:szCs w:val="20"/>
          <w:lang w:val="sr-Latn-ME"/>
        </w:rPr>
        <w:lastRenderedPageBreak/>
        <w:t>Prema tome, preporučuje se praćenje kada se uvodi i obustavlja istovremena terapija esomeprazolom</w:t>
      </w:r>
      <w:r w:rsidR="0023546D" w:rsidRPr="00B32BF5">
        <w:rPr>
          <w:sz w:val="22"/>
          <w:szCs w:val="20"/>
          <w:lang w:val="sr-Latn-ME"/>
        </w:rPr>
        <w:t>,</w:t>
      </w:r>
      <w:r w:rsidRPr="00B32BF5">
        <w:rPr>
          <w:sz w:val="22"/>
          <w:szCs w:val="20"/>
          <w:lang w:val="sr-Latn-ME"/>
        </w:rPr>
        <w:t xml:space="preserve"> dok pacijent prima varfarin ili neki drugi derivat kumarina.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 xml:space="preserve">Klopidogrel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Rezultati studija na zdravim dobrovoljcima pokazali su da postoji farmakokinetičko/farmakodinamička (PK/PD) interakcija između klopidogrela (inicijalna doza od 300 mg/ doza održavanja od 75 mg/dan) i esomeprazola (40 mg na dan, peroralno) koja rezultira smanjenjem izloženosti aktivnom metabolitu klopidogrela za prosječno 40% i posljedično smanjenjem maksimalne inhibicije (ADP-om indukovane) agregacije trombocita za prosječno 14%.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Kada se klopidogrel primjenjivao zajedno sa fiksnom kombinacijom 20 mg esomeprazola i 81 mg acetilsalicilatne kiseline (ASA) u poređenju sa primjenom samo klopidogrela u studiji na zdravim dobrovoljcima, zabilježeno je smanjenje izloženosti aktivnom metabolitu klopidogrela za skoro 40%. Međutim, maksimalni nivoi inhibicije (ADP-om indukovane) agregacije trombocita kod tih ispitanika bile su jednake u grupama koje su primale klopidogrel i klopidogrel + kombinovani lijek (esomeprazol + ASK).</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Nekonzistentni podaci o kliničkim implikacijama ove PK/PD interakcije esomeprazola u smislu ozbiljnih kardiovaskularnih događaja prijavljivani su i u opservacijskim i u kliničkim studijama. Kao mjera opreza, treba izbjegavati istovremenu primjenu klopidogrela.</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b/>
          <w:sz w:val="22"/>
          <w:szCs w:val="20"/>
          <w:lang w:val="sr-Latn-ME"/>
        </w:rPr>
      </w:pPr>
      <w:r w:rsidRPr="00B32BF5">
        <w:rPr>
          <w:b/>
          <w:sz w:val="22"/>
          <w:szCs w:val="20"/>
          <w:lang w:val="sr-Latn-ME"/>
        </w:rPr>
        <w:t xml:space="preserve">Ispitivani ljekovi čije interakcije nemaju klinički značaj </w:t>
      </w:r>
    </w:p>
    <w:p w:rsidR="0023546D" w:rsidRPr="00B32BF5" w:rsidRDefault="0023546D">
      <w:pPr>
        <w:tabs>
          <w:tab w:val="left" w:pos="567"/>
        </w:tabs>
        <w:spacing w:line="260" w:lineRule="exact"/>
        <w:jc w:val="both"/>
        <w:rPr>
          <w:b/>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 xml:space="preserve">Amoksicilin ili kinidin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Pokazano je da esomeprazol nema klinički relevantnih dejstava na farmakokinetiku amoksicilina ili kinidina.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Naproksen ili rofekoksib</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Studije koje su proučavale istovremenu prim</w:t>
      </w:r>
      <w:r w:rsidR="0023546D" w:rsidRPr="00B32BF5">
        <w:rPr>
          <w:sz w:val="22"/>
          <w:szCs w:val="20"/>
          <w:lang w:val="sr-Latn-ME"/>
        </w:rPr>
        <w:t>j</w:t>
      </w:r>
      <w:r w:rsidRPr="00B32BF5">
        <w:rPr>
          <w:sz w:val="22"/>
          <w:szCs w:val="20"/>
          <w:lang w:val="sr-Latn-ME"/>
        </w:rPr>
        <w:t>enu esomeprazola i bilo naproksena ili rofekoksiba ni</w:t>
      </w:r>
      <w:r w:rsidR="0023546D" w:rsidRPr="00B32BF5">
        <w:rPr>
          <w:sz w:val="22"/>
          <w:szCs w:val="20"/>
          <w:lang w:val="sr-Latn-ME"/>
        </w:rPr>
        <w:t>je</w:t>
      </w:r>
      <w:r w:rsidRPr="00B32BF5">
        <w:rPr>
          <w:sz w:val="22"/>
          <w:szCs w:val="20"/>
          <w:lang w:val="sr-Latn-ME"/>
        </w:rPr>
        <w:t>su</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pokazale klinički relevantne farmakokinetičke interakcije tokom kratkotrajnih studija.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b/>
          <w:sz w:val="22"/>
          <w:szCs w:val="20"/>
          <w:lang w:val="sr-Latn-ME"/>
        </w:rPr>
      </w:pPr>
      <w:r w:rsidRPr="00B32BF5">
        <w:rPr>
          <w:b/>
          <w:sz w:val="22"/>
          <w:szCs w:val="20"/>
          <w:lang w:val="sr-Latn-ME"/>
        </w:rPr>
        <w:t>Dejstva drugih ljekova na farmakokinetiku esomeprazola</w:t>
      </w:r>
    </w:p>
    <w:p w:rsidR="00693173" w:rsidRPr="00B32BF5" w:rsidRDefault="00693173">
      <w:pPr>
        <w:tabs>
          <w:tab w:val="left" w:pos="567"/>
        </w:tabs>
        <w:spacing w:line="260" w:lineRule="exact"/>
        <w:jc w:val="both"/>
        <w:rPr>
          <w:b/>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Ljekovi koji inhibiraju CYP2C19 i/ili CYP3A4</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Esomeprazol se metaboliše pomoću CYP2C19 i CYP3A4. Istovremena oralna primjena esomeprazola i jednog inhibitora CYP3A4, klaritromicina (500 mg 2 puta dnevno), dovodilo je do udvostručavanja izloženosti (PIK) esomeprazolu. Istovremena primjena esomeprazola i kombinovanog inhibitora CYP2C19 i CYP3A4 može da dovede do više od dvostruko povećane izloženosti esomeprazolu. Inhibitor CYP2C19 i CYP3A4, vorikonazol, povećava PIK</w:t>
      </w:r>
      <w:r w:rsidRPr="00B32BF5">
        <w:rPr>
          <w:sz w:val="22"/>
          <w:szCs w:val="20"/>
          <w:vertAlign w:val="subscript"/>
          <w:lang w:val="sr-Latn-ME"/>
        </w:rPr>
        <w:sym w:font="Symbol" w:char="F074"/>
      </w:r>
      <w:r w:rsidRPr="00B32BF5">
        <w:rPr>
          <w:sz w:val="22"/>
          <w:szCs w:val="20"/>
          <w:lang w:val="sr-Latn-ME"/>
        </w:rPr>
        <w:t xml:space="preserve"> omeprazola za 280%. Podešavanje doze esomeprazola nije uv</w:t>
      </w:r>
      <w:r w:rsidR="0023546D" w:rsidRPr="00B32BF5">
        <w:rPr>
          <w:sz w:val="22"/>
          <w:szCs w:val="20"/>
          <w:lang w:val="sr-Latn-ME"/>
        </w:rPr>
        <w:t>ij</w:t>
      </w:r>
      <w:r w:rsidRPr="00B32BF5">
        <w:rPr>
          <w:sz w:val="22"/>
          <w:szCs w:val="20"/>
          <w:lang w:val="sr-Latn-ME"/>
        </w:rPr>
        <w:t xml:space="preserve">ek neophodno ni u jednoj od ovih situacija. Ali, treba ipak razmisliti o podešavanju doze kod pacijenata sa težim oštećenjem funkcije jetre ako je indikovana dugoročnija terapija.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u w:val="single"/>
          <w:lang w:val="sr-Latn-ME"/>
        </w:rPr>
      </w:pPr>
      <w:r w:rsidRPr="00B32BF5">
        <w:rPr>
          <w:i/>
          <w:sz w:val="22"/>
          <w:szCs w:val="20"/>
          <w:u w:val="single"/>
          <w:lang w:val="sr-Latn-ME"/>
        </w:rPr>
        <w:t>Ljekovi koji indukuju CYP2C19 i/ili CYP3A4</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Ljekovi za koje je poznato da indukuju izoenzime CYP2C19 ili CYP3A4 ili oba (kao što su rifampicin i kantarion) mogu da dovede do smanjenja koncentracija esomeprazola u serumu, tako što stabilišu metabolizam esomeprazola.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b/>
          <w:sz w:val="22"/>
          <w:szCs w:val="20"/>
          <w:u w:val="single"/>
          <w:lang w:val="sr-Latn-ME"/>
        </w:rPr>
      </w:pPr>
      <w:r w:rsidRPr="00B32BF5">
        <w:rPr>
          <w:b/>
          <w:sz w:val="22"/>
          <w:szCs w:val="20"/>
          <w:u w:val="single"/>
          <w:lang w:val="sr-Latn-ME"/>
        </w:rPr>
        <w:t>Pedijatrijska populacija</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Studije interakcije su rađene samo sa odraslima.</w:t>
      </w:r>
    </w:p>
    <w:p w:rsidR="0072020E" w:rsidRPr="00B32BF5" w:rsidRDefault="0072020E" w:rsidP="000A243B">
      <w:pPr>
        <w:tabs>
          <w:tab w:val="left" w:pos="540"/>
          <w:tab w:val="left" w:pos="569"/>
        </w:tabs>
        <w:jc w:val="both"/>
        <w:rPr>
          <w:bCs/>
          <w:sz w:val="22"/>
          <w:szCs w:val="22"/>
          <w:lang w:val="sr-Latn-ME"/>
        </w:rPr>
      </w:pPr>
    </w:p>
    <w:p w:rsidR="0072020E" w:rsidRPr="00B32BF5" w:rsidRDefault="0072020E" w:rsidP="000A243B">
      <w:pPr>
        <w:tabs>
          <w:tab w:val="left" w:pos="540"/>
          <w:tab w:val="left" w:pos="569"/>
        </w:tabs>
        <w:jc w:val="both"/>
        <w:rPr>
          <w:b/>
          <w:sz w:val="22"/>
          <w:szCs w:val="22"/>
          <w:lang w:val="sr-Latn-ME"/>
        </w:rPr>
      </w:pPr>
      <w:r w:rsidRPr="00B32BF5">
        <w:rPr>
          <w:b/>
          <w:bCs/>
          <w:sz w:val="22"/>
          <w:szCs w:val="22"/>
          <w:lang w:val="sr-Latn-ME"/>
        </w:rPr>
        <w:t xml:space="preserve">4.6. </w:t>
      </w:r>
      <w:r w:rsidR="00480FB1" w:rsidRPr="00B32BF5">
        <w:rPr>
          <w:b/>
          <w:bCs/>
          <w:sz w:val="22"/>
          <w:szCs w:val="22"/>
          <w:lang w:val="sr-Latn-ME"/>
        </w:rPr>
        <w:tab/>
      </w:r>
      <w:r w:rsidR="006D20A5" w:rsidRPr="00B32BF5">
        <w:rPr>
          <w:b/>
          <w:sz w:val="22"/>
          <w:szCs w:val="22"/>
          <w:lang w:val="sr-Latn-ME"/>
        </w:rPr>
        <w:t>Plodnost, trudnoća i dojenje</w:t>
      </w:r>
    </w:p>
    <w:p w:rsidR="002031B3" w:rsidRPr="00B32BF5" w:rsidRDefault="002031B3" w:rsidP="000A243B">
      <w:pPr>
        <w:tabs>
          <w:tab w:val="left" w:pos="540"/>
          <w:tab w:val="left" w:pos="569"/>
        </w:tabs>
        <w:jc w:val="both"/>
        <w:rPr>
          <w:sz w:val="22"/>
          <w:szCs w:val="22"/>
          <w:u w:val="single"/>
          <w:lang w:val="sr-Latn-ME"/>
        </w:rPr>
      </w:pPr>
    </w:p>
    <w:p w:rsidR="00693173" w:rsidRPr="00B32BF5" w:rsidRDefault="002031B3" w:rsidP="002671C0">
      <w:pPr>
        <w:jc w:val="both"/>
        <w:rPr>
          <w:sz w:val="22"/>
          <w:szCs w:val="20"/>
          <w:u w:val="single"/>
          <w:lang w:val="sr-Latn-ME"/>
        </w:rPr>
      </w:pPr>
      <w:r w:rsidRPr="00B32BF5">
        <w:rPr>
          <w:sz w:val="22"/>
          <w:szCs w:val="22"/>
          <w:u w:val="single"/>
          <w:lang w:val="sr-Latn-ME"/>
        </w:rPr>
        <w:t>Plodnost</w:t>
      </w:r>
      <w:r w:rsidR="00693173" w:rsidRPr="00B32BF5">
        <w:rPr>
          <w:sz w:val="22"/>
          <w:szCs w:val="20"/>
          <w:u w:val="single"/>
          <w:lang w:val="sr-Latn-ME"/>
        </w:rPr>
        <w:t xml:space="preserve"> </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Studije na životinjama sa racemskom mješavinom omeprazola, koja je primijenjena oralno, ni</w:t>
      </w:r>
      <w:r w:rsidR="0023546D" w:rsidRPr="00B32BF5">
        <w:rPr>
          <w:sz w:val="22"/>
          <w:szCs w:val="20"/>
          <w:lang w:val="sr-Latn-ME"/>
        </w:rPr>
        <w:t>je</w:t>
      </w:r>
      <w:r w:rsidRPr="00B32BF5">
        <w:rPr>
          <w:sz w:val="22"/>
          <w:szCs w:val="20"/>
          <w:lang w:val="sr-Latn-ME"/>
        </w:rPr>
        <w:t>su pokazale uticaj na fertilitet.</w:t>
      </w:r>
    </w:p>
    <w:p w:rsidR="00693173" w:rsidRPr="00B32BF5" w:rsidRDefault="00693173">
      <w:pPr>
        <w:tabs>
          <w:tab w:val="left" w:pos="567"/>
        </w:tabs>
        <w:spacing w:line="260" w:lineRule="exact"/>
        <w:jc w:val="both"/>
        <w:rPr>
          <w:sz w:val="22"/>
          <w:szCs w:val="20"/>
          <w:u w:val="single"/>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 xml:space="preserve">Trudnoća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Kada se radi o izlaganju esomeprazolu u trudnoći, nema dovoljno podataka. Podaci dobijeni iz epidemioloških studija na velikom broju izloženih trudnica ukazuju da racemska mješavina omeprazola ne utiče na malformaciju niti ima fetotoksičan uticaj. Ispitivanja sa esomeprazolom na životinjama ni</w:t>
      </w:r>
      <w:r w:rsidR="005033AF" w:rsidRPr="00B32BF5">
        <w:rPr>
          <w:sz w:val="22"/>
          <w:szCs w:val="20"/>
          <w:lang w:val="sr-Latn-ME"/>
        </w:rPr>
        <w:t>je</w:t>
      </w:r>
      <w:r w:rsidRPr="00B32BF5">
        <w:rPr>
          <w:sz w:val="22"/>
          <w:szCs w:val="20"/>
          <w:lang w:val="sr-Latn-ME"/>
        </w:rPr>
        <w:t>su ukazala ni na neposredna, niti na posredna štetna dejstva na embriofetalni razvoj. Ispitivanja na životinjama sa racemskim m</w:t>
      </w:r>
      <w:r w:rsidR="005033AF" w:rsidRPr="00B32BF5">
        <w:rPr>
          <w:sz w:val="22"/>
          <w:szCs w:val="20"/>
          <w:lang w:val="sr-Latn-ME"/>
        </w:rPr>
        <w:t>j</w:t>
      </w:r>
      <w:r w:rsidRPr="00B32BF5">
        <w:rPr>
          <w:sz w:val="22"/>
          <w:szCs w:val="20"/>
          <w:lang w:val="sr-Latn-ME"/>
        </w:rPr>
        <w:t xml:space="preserve">ešavinama ne ukazuju ni na neposredna, niti na posredna štetna dejstva na trudnoću, porođaj ili postnatalni razvoj. Kada se lijek </w:t>
      </w:r>
      <w:r w:rsidR="0042491B" w:rsidRPr="00B32BF5">
        <w:rPr>
          <w:sz w:val="22"/>
          <w:szCs w:val="20"/>
          <w:lang w:val="sr-Latn-ME"/>
        </w:rPr>
        <w:t xml:space="preserve">Demolox </w:t>
      </w:r>
      <w:r w:rsidRPr="00B32BF5">
        <w:rPr>
          <w:sz w:val="22"/>
          <w:szCs w:val="20"/>
          <w:lang w:val="sr-Latn-ME"/>
        </w:rPr>
        <w:t xml:space="preserve">koristi kod trudnica, treba biti oprezan. </w:t>
      </w:r>
    </w:p>
    <w:p w:rsidR="00693173" w:rsidRPr="00B32BF5" w:rsidRDefault="00693173" w:rsidP="000A243B">
      <w:pPr>
        <w:tabs>
          <w:tab w:val="left" w:pos="567"/>
        </w:tabs>
        <w:spacing w:line="260" w:lineRule="exact"/>
        <w:jc w:val="both"/>
        <w:rPr>
          <w:i/>
          <w:sz w:val="22"/>
          <w:szCs w:val="20"/>
          <w:lang w:val="sr-Latn-ME"/>
        </w:rPr>
      </w:pPr>
    </w:p>
    <w:p w:rsidR="00693173" w:rsidRPr="00B32BF5" w:rsidRDefault="00693173" w:rsidP="002671C0">
      <w:pPr>
        <w:tabs>
          <w:tab w:val="left" w:pos="567"/>
        </w:tabs>
        <w:spacing w:line="260" w:lineRule="exact"/>
        <w:jc w:val="both"/>
        <w:rPr>
          <w:sz w:val="22"/>
          <w:szCs w:val="20"/>
          <w:lang w:val="sr-Latn-ME"/>
        </w:rPr>
      </w:pPr>
      <w:r w:rsidRPr="00B32BF5">
        <w:rPr>
          <w:sz w:val="22"/>
          <w:szCs w:val="20"/>
          <w:lang w:val="sr-Latn-ME"/>
        </w:rPr>
        <w:t xml:space="preserve">Umjereni obim podataka koji su prikupljeni od trudnica (između 300-1000 ispitanih trudnoća), pokazuje da esomeprazol nema malformativni efekat niti je toksičan za fetus i novorođenče. </w:t>
      </w:r>
    </w:p>
    <w:p w:rsidR="00693173" w:rsidRPr="00B32BF5" w:rsidRDefault="00693173" w:rsidP="00A34CC6">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Ispitivanja na životinjama ni</w:t>
      </w:r>
      <w:r w:rsidR="005033AF" w:rsidRPr="00B32BF5">
        <w:rPr>
          <w:sz w:val="22"/>
          <w:szCs w:val="20"/>
          <w:lang w:val="sr-Latn-ME"/>
        </w:rPr>
        <w:t>je</w:t>
      </w:r>
      <w:r w:rsidRPr="00B32BF5">
        <w:rPr>
          <w:sz w:val="22"/>
          <w:szCs w:val="20"/>
          <w:lang w:val="sr-Latn-ME"/>
        </w:rPr>
        <w:t xml:space="preserve">su ukazala ni na neposrednu, niti na posrednu reproduktivnu toksičnost (vidjeti dio 5.3). </w:t>
      </w:r>
    </w:p>
    <w:p w:rsidR="00693173" w:rsidRPr="00B32BF5" w:rsidRDefault="00693173">
      <w:pPr>
        <w:tabs>
          <w:tab w:val="left" w:pos="567"/>
        </w:tabs>
        <w:spacing w:line="260" w:lineRule="exact"/>
        <w:jc w:val="both"/>
        <w:rPr>
          <w:i/>
          <w:sz w:val="22"/>
          <w:szCs w:val="20"/>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 xml:space="preserve">Dojenje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Nije poznato da li se esomeprazol izlučuje u mlijeko majki dojilja, nedovoljno je informacija o uticaju esomeprazola na novorođenčad/odojčad. Prema tome, lijek </w:t>
      </w:r>
      <w:r w:rsidR="0042491B" w:rsidRPr="00B32BF5">
        <w:rPr>
          <w:sz w:val="22"/>
          <w:szCs w:val="20"/>
          <w:lang w:val="sr-Latn-ME"/>
        </w:rPr>
        <w:t xml:space="preserve">Demolox </w:t>
      </w:r>
      <w:r w:rsidRPr="00B32BF5">
        <w:rPr>
          <w:sz w:val="22"/>
          <w:szCs w:val="20"/>
          <w:lang w:val="sr-Latn-ME"/>
        </w:rPr>
        <w:t xml:space="preserve">ne treba koristiti u periodu dojenja. </w:t>
      </w:r>
    </w:p>
    <w:p w:rsidR="00227BDB" w:rsidRPr="00B32BF5" w:rsidRDefault="00227BDB" w:rsidP="000A243B">
      <w:pPr>
        <w:tabs>
          <w:tab w:val="left" w:pos="540"/>
          <w:tab w:val="left" w:pos="569"/>
        </w:tabs>
        <w:jc w:val="both"/>
        <w:rPr>
          <w:b/>
          <w:bCs/>
          <w:sz w:val="22"/>
          <w:szCs w:val="22"/>
          <w:lang w:val="sr-Latn-ME"/>
        </w:rPr>
      </w:pPr>
    </w:p>
    <w:p w:rsidR="0072020E" w:rsidRPr="00B32BF5" w:rsidRDefault="0072020E" w:rsidP="000A243B">
      <w:pPr>
        <w:tabs>
          <w:tab w:val="left" w:pos="540"/>
          <w:tab w:val="left" w:pos="569"/>
        </w:tabs>
        <w:ind w:left="540" w:hanging="540"/>
        <w:jc w:val="both"/>
        <w:rPr>
          <w:b/>
          <w:bCs/>
          <w:sz w:val="22"/>
          <w:szCs w:val="22"/>
          <w:lang w:val="sr-Latn-ME"/>
        </w:rPr>
      </w:pPr>
      <w:r w:rsidRPr="00B32BF5">
        <w:rPr>
          <w:b/>
          <w:bCs/>
          <w:sz w:val="22"/>
          <w:szCs w:val="22"/>
          <w:lang w:val="sr-Latn-ME"/>
        </w:rPr>
        <w:t xml:space="preserve">4.7. </w:t>
      </w:r>
      <w:r w:rsidR="00480FB1" w:rsidRPr="00B32BF5">
        <w:rPr>
          <w:b/>
          <w:bCs/>
          <w:sz w:val="22"/>
          <w:szCs w:val="22"/>
          <w:lang w:val="sr-Latn-ME"/>
        </w:rPr>
        <w:tab/>
      </w:r>
      <w:r w:rsidRPr="00B32BF5">
        <w:rPr>
          <w:b/>
          <w:bCs/>
          <w:sz w:val="22"/>
          <w:szCs w:val="22"/>
          <w:lang w:val="sr-Latn-ME"/>
        </w:rPr>
        <w:t xml:space="preserve">Uticaj na </w:t>
      </w:r>
      <w:r w:rsidR="002031B3" w:rsidRPr="00B32BF5">
        <w:rPr>
          <w:b/>
          <w:bCs/>
          <w:sz w:val="22"/>
          <w:szCs w:val="22"/>
          <w:lang w:val="sr-Latn-ME"/>
        </w:rPr>
        <w:t xml:space="preserve">sposobnost </w:t>
      </w:r>
      <w:r w:rsidR="00F34554" w:rsidRPr="00B32BF5">
        <w:rPr>
          <w:b/>
          <w:bCs/>
          <w:sz w:val="22"/>
          <w:szCs w:val="22"/>
          <w:lang w:val="sr-Latn-ME"/>
        </w:rPr>
        <w:t>upravljanja vozili</w:t>
      </w:r>
      <w:r w:rsidRPr="00B32BF5">
        <w:rPr>
          <w:b/>
          <w:bCs/>
          <w:sz w:val="22"/>
          <w:szCs w:val="22"/>
          <w:lang w:val="sr-Latn-ME"/>
        </w:rPr>
        <w:t>m</w:t>
      </w:r>
      <w:r w:rsidR="00F34554" w:rsidRPr="00B32BF5">
        <w:rPr>
          <w:b/>
          <w:bCs/>
          <w:sz w:val="22"/>
          <w:szCs w:val="22"/>
          <w:lang w:val="sr-Latn-ME"/>
        </w:rPr>
        <w:t>a</w:t>
      </w:r>
      <w:r w:rsidRPr="00B32BF5">
        <w:rPr>
          <w:b/>
          <w:bCs/>
          <w:sz w:val="22"/>
          <w:szCs w:val="22"/>
          <w:lang w:val="sr-Latn-ME"/>
        </w:rPr>
        <w:t xml:space="preserve"> i </w:t>
      </w:r>
      <w:r w:rsidR="000D3449" w:rsidRPr="00B32BF5">
        <w:rPr>
          <w:b/>
          <w:bCs/>
          <w:sz w:val="22"/>
          <w:szCs w:val="22"/>
          <w:lang w:val="sr-Latn-ME"/>
        </w:rPr>
        <w:t xml:space="preserve">rukovanje </w:t>
      </w:r>
      <w:r w:rsidRPr="00B32BF5">
        <w:rPr>
          <w:b/>
          <w:bCs/>
          <w:sz w:val="22"/>
          <w:szCs w:val="22"/>
          <w:lang w:val="sr-Latn-ME"/>
        </w:rPr>
        <w:t>mašinama</w:t>
      </w:r>
    </w:p>
    <w:p w:rsidR="00693173" w:rsidRPr="00B32BF5" w:rsidRDefault="00693173" w:rsidP="002671C0">
      <w:pPr>
        <w:tabs>
          <w:tab w:val="left" w:pos="567"/>
        </w:tabs>
        <w:spacing w:line="260" w:lineRule="exact"/>
        <w:jc w:val="both"/>
        <w:rPr>
          <w:sz w:val="22"/>
          <w:szCs w:val="20"/>
          <w:lang w:val="sr-Latn-ME"/>
        </w:rPr>
      </w:pP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Esomeprazol ima zanemarljiv uticaj na sposobnost upravljanja vozilima i rukovanje mašinama. Zabilježene su neželjene reakcije kao što su vrtoglavica (povremeno) i zamagljen vid (povremeno). (vidjeti dio 4.8) Ukoliko se one jave pacijent ne treba da upravlja motornim vozilom niti da rukuje mašinama.</w:t>
      </w:r>
    </w:p>
    <w:p w:rsidR="0072020E" w:rsidRPr="00B32BF5" w:rsidRDefault="0072020E" w:rsidP="000A243B">
      <w:pPr>
        <w:tabs>
          <w:tab w:val="left" w:pos="540"/>
          <w:tab w:val="left" w:pos="569"/>
        </w:tabs>
        <w:jc w:val="both"/>
        <w:rPr>
          <w:b/>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4.8. </w:t>
      </w:r>
      <w:r w:rsidR="00480FB1" w:rsidRPr="00B32BF5">
        <w:rPr>
          <w:b/>
          <w:bCs/>
          <w:sz w:val="22"/>
          <w:szCs w:val="22"/>
          <w:lang w:val="sr-Latn-ME"/>
        </w:rPr>
        <w:tab/>
      </w:r>
      <w:r w:rsidRPr="00B32BF5">
        <w:rPr>
          <w:b/>
          <w:bCs/>
          <w:sz w:val="22"/>
          <w:szCs w:val="22"/>
          <w:lang w:val="sr-Latn-ME"/>
        </w:rPr>
        <w:t>Neželjena dejstva</w:t>
      </w:r>
    </w:p>
    <w:p w:rsidR="005033AF" w:rsidRPr="00B32BF5" w:rsidRDefault="005033AF" w:rsidP="000A243B">
      <w:pPr>
        <w:tabs>
          <w:tab w:val="left" w:pos="540"/>
          <w:tab w:val="left" w:pos="569"/>
        </w:tabs>
        <w:jc w:val="both"/>
        <w:rPr>
          <w:b/>
          <w:bCs/>
          <w:sz w:val="22"/>
          <w:szCs w:val="22"/>
          <w:lang w:val="sr-Latn-ME"/>
        </w:rPr>
      </w:pPr>
    </w:p>
    <w:p w:rsidR="00693173" w:rsidRPr="00B32BF5" w:rsidRDefault="00693173" w:rsidP="002671C0">
      <w:pPr>
        <w:tabs>
          <w:tab w:val="left" w:pos="567"/>
        </w:tabs>
        <w:spacing w:line="260" w:lineRule="exact"/>
        <w:jc w:val="both"/>
        <w:rPr>
          <w:sz w:val="22"/>
          <w:szCs w:val="20"/>
          <w:u w:val="single"/>
          <w:lang w:val="sr-Latn-ME"/>
        </w:rPr>
      </w:pPr>
      <w:r w:rsidRPr="00B32BF5">
        <w:rPr>
          <w:sz w:val="22"/>
          <w:szCs w:val="20"/>
          <w:u w:val="single"/>
          <w:lang w:val="sr-Latn-ME"/>
        </w:rPr>
        <w:t xml:space="preserve">Sažetak bezbjednosnog profila </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Glavobolja, abdominalni bol, dijareja i mučnina su među najčešće prijavljenim neželjenim reakcijama tokom kliničkih studija (i takođe tokom postmarketinškog praćenja). Dodatno, bezbjednosni profil je sličan za različite formulacije ovog lijeka, indikaciona područja, uzrasne grupe i populacije pacijenata. Ni</w:t>
      </w:r>
      <w:r w:rsidR="005033AF" w:rsidRPr="00B32BF5">
        <w:rPr>
          <w:sz w:val="22"/>
          <w:szCs w:val="20"/>
          <w:lang w:val="sr-Latn-ME"/>
        </w:rPr>
        <w:t>je</w:t>
      </w:r>
      <w:r w:rsidRPr="00B32BF5">
        <w:rPr>
          <w:sz w:val="22"/>
          <w:szCs w:val="20"/>
          <w:lang w:val="sr-Latn-ME"/>
        </w:rPr>
        <w:t>su ustanovljene neželjene reakcije u zavisnosti od prim</w:t>
      </w:r>
      <w:r w:rsidR="005033AF" w:rsidRPr="00B32BF5">
        <w:rPr>
          <w:sz w:val="22"/>
          <w:szCs w:val="20"/>
          <w:lang w:val="sr-Latn-ME"/>
        </w:rPr>
        <w:t>i</w:t>
      </w:r>
      <w:r w:rsidRPr="00B32BF5">
        <w:rPr>
          <w:sz w:val="22"/>
          <w:szCs w:val="20"/>
          <w:lang w:val="sr-Latn-ME"/>
        </w:rPr>
        <w:t>jenjene doze.</w:t>
      </w:r>
    </w:p>
    <w:p w:rsidR="00693173" w:rsidRPr="00B32BF5" w:rsidRDefault="00693173">
      <w:pPr>
        <w:tabs>
          <w:tab w:val="left" w:pos="567"/>
        </w:tabs>
        <w:spacing w:line="260" w:lineRule="exact"/>
        <w:jc w:val="both"/>
        <w:rPr>
          <w:sz w:val="22"/>
          <w:szCs w:val="20"/>
          <w:u w:val="single"/>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Tabelarni prikaz neželjenih reakcija</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Sljedeće neželjene reakcije na lijek su identifikovane ili se na njih sumnjalo u programu kliničkog ispitivanja za esomeprazol (oralna ili intravenska primjena) i po stavljanju lijeka u promet (oralna primjena). Učestalosti su definisane prema sljedećoj konvenciji: veoma često (≥1/10); često (≥1/100 i &lt;1/10); povremeno (≥1/1000 i &lt;1/100); rijetko (≥1/10 000 i &lt;1/1000); veoma rijetko (&lt;1/10 000); nepoznato (ne može se procijeniti iz dostupnih podataka).</w:t>
      </w:r>
    </w:p>
    <w:p w:rsidR="00693173" w:rsidRPr="00B32BF5" w:rsidRDefault="00693173" w:rsidP="000A243B">
      <w:pPr>
        <w:tabs>
          <w:tab w:val="left" w:pos="567"/>
        </w:tabs>
        <w:spacing w:line="260" w:lineRule="exact"/>
        <w:jc w:val="both"/>
        <w:rPr>
          <w:sz w:val="22"/>
          <w:szCs w:val="20"/>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921"/>
        <w:gridCol w:w="4074"/>
      </w:tblGrid>
      <w:tr w:rsidR="00693173" w:rsidRPr="00B32BF5" w:rsidTr="00693173">
        <w:tc>
          <w:tcPr>
            <w:tcW w:w="3010" w:type="dxa"/>
          </w:tcPr>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Sistem organa</w:t>
            </w:r>
          </w:p>
        </w:tc>
        <w:tc>
          <w:tcPr>
            <w:tcW w:w="1955" w:type="dxa"/>
          </w:tcPr>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Učestalost</w:t>
            </w:r>
          </w:p>
        </w:tc>
        <w:tc>
          <w:tcPr>
            <w:tcW w:w="4170" w:type="dxa"/>
          </w:tcPr>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Neželjeno dejstvo</w:t>
            </w:r>
          </w:p>
          <w:p w:rsidR="00693173" w:rsidRPr="00B32BF5" w:rsidRDefault="00693173" w:rsidP="000A243B">
            <w:pPr>
              <w:tabs>
                <w:tab w:val="left" w:pos="567"/>
              </w:tabs>
              <w:spacing w:line="260" w:lineRule="exact"/>
              <w:jc w:val="both"/>
              <w:rPr>
                <w:b/>
                <w:noProof/>
                <w:sz w:val="22"/>
                <w:szCs w:val="22"/>
                <w:u w:val="single"/>
                <w:lang w:val="sr-Latn-ME"/>
              </w:rPr>
            </w:pPr>
          </w:p>
        </w:tc>
      </w:tr>
      <w:tr w:rsidR="00693173" w:rsidRPr="00B32BF5" w:rsidTr="00693173">
        <w:tc>
          <w:tcPr>
            <w:tcW w:w="3010" w:type="dxa"/>
            <w:vMerge w:val="restart"/>
          </w:tcPr>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Poremećaji krvi i limfnog sistema</w:t>
            </w: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Leukopenija, trombocitopenija</w:t>
            </w:r>
          </w:p>
        </w:tc>
      </w:tr>
      <w:tr w:rsidR="00693173" w:rsidRPr="00B32BF5" w:rsidTr="00693173">
        <w:tc>
          <w:tcPr>
            <w:tcW w:w="3010" w:type="dxa"/>
            <w:vMerge/>
          </w:tcPr>
          <w:p w:rsidR="00693173" w:rsidRPr="00B32BF5" w:rsidRDefault="00693173" w:rsidP="000A243B">
            <w:pPr>
              <w:tabs>
                <w:tab w:val="left" w:pos="567"/>
              </w:tabs>
              <w:spacing w:line="260" w:lineRule="exact"/>
              <w:jc w:val="both"/>
              <w:rPr>
                <w:b/>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Veoma rijetko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 xml:space="preserve">Agranulocitoza, pancitopenija </w:t>
            </w:r>
          </w:p>
        </w:tc>
      </w:tr>
      <w:tr w:rsidR="00693173" w:rsidRPr="00B32BF5" w:rsidTr="00693173">
        <w:tc>
          <w:tcPr>
            <w:tcW w:w="3010" w:type="dxa"/>
          </w:tcPr>
          <w:p w:rsidR="00693173" w:rsidRPr="00B32BF5" w:rsidRDefault="00693173" w:rsidP="000A243B">
            <w:pPr>
              <w:tabs>
                <w:tab w:val="left" w:pos="567"/>
              </w:tabs>
              <w:spacing w:line="260" w:lineRule="exact"/>
              <w:jc w:val="both"/>
              <w:rPr>
                <w:b/>
                <w:sz w:val="22"/>
                <w:szCs w:val="20"/>
                <w:lang w:val="sr-Latn-ME"/>
              </w:rPr>
            </w:pPr>
          </w:p>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Poremećaji imunskog sistema</w:t>
            </w: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Reakcije preosetljivosti, npr. povišena tjelesna temperatura, angioedem i anafilaktička reakcija/šok</w:t>
            </w:r>
          </w:p>
        </w:tc>
      </w:tr>
      <w:tr w:rsidR="00693173" w:rsidRPr="00B32BF5" w:rsidTr="00693173">
        <w:tc>
          <w:tcPr>
            <w:tcW w:w="3010" w:type="dxa"/>
            <w:vMerge w:val="restart"/>
          </w:tcPr>
          <w:p w:rsidR="00693173" w:rsidRPr="00B32BF5" w:rsidRDefault="00693173" w:rsidP="000A243B">
            <w:pPr>
              <w:tabs>
                <w:tab w:val="left" w:pos="567"/>
              </w:tabs>
              <w:spacing w:line="260" w:lineRule="exact"/>
              <w:jc w:val="both"/>
              <w:rPr>
                <w:b/>
                <w:sz w:val="22"/>
                <w:szCs w:val="20"/>
                <w:lang w:val="sr-Latn-ME"/>
              </w:rPr>
            </w:pPr>
          </w:p>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 xml:space="preserve">Poremećaji metabolizma i ishrane </w:t>
            </w: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Povremeno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Periferni edem</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Hiponatremija</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Nepoznato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Hipomagnezijemija (vidjeti dio 4.4); izražena hipomagnezijemija može korelirati sa hipokalcemijom. Hipomagnezijemija se može dovesti u vezu sa hipokalemijom.</w:t>
            </w:r>
          </w:p>
        </w:tc>
      </w:tr>
      <w:tr w:rsidR="00693173" w:rsidRPr="00B32BF5" w:rsidTr="00693173">
        <w:tc>
          <w:tcPr>
            <w:tcW w:w="3010" w:type="dxa"/>
            <w:vMerge w:val="restart"/>
          </w:tcPr>
          <w:p w:rsidR="00693173" w:rsidRPr="00B32BF5" w:rsidRDefault="00693173" w:rsidP="000A243B">
            <w:pPr>
              <w:tabs>
                <w:tab w:val="left" w:pos="567"/>
              </w:tabs>
              <w:spacing w:line="260" w:lineRule="exact"/>
              <w:jc w:val="both"/>
              <w:rPr>
                <w:b/>
                <w:sz w:val="22"/>
                <w:szCs w:val="20"/>
                <w:lang w:val="sr-Latn-ME"/>
              </w:rPr>
            </w:pPr>
          </w:p>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lastRenderedPageBreak/>
              <w:t xml:space="preserve">Psihijatrijski poremećaji </w:t>
            </w: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lastRenderedPageBreak/>
              <w:t>Povremeno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Nesanica</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Agitiranost, konfuz</w:t>
            </w:r>
            <w:r w:rsidR="00A8221D" w:rsidRPr="00B32BF5">
              <w:rPr>
                <w:sz w:val="22"/>
                <w:szCs w:val="20"/>
                <w:lang w:val="sr-Latn-ME"/>
              </w:rPr>
              <w:t>ija</w:t>
            </w:r>
            <w:r w:rsidRPr="00B32BF5">
              <w:rPr>
                <w:sz w:val="22"/>
                <w:szCs w:val="20"/>
                <w:lang w:val="sr-Latn-ME"/>
              </w:rPr>
              <w:t>, depresija</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Veoma rijetko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Agresivnost, halucinacije</w:t>
            </w:r>
          </w:p>
        </w:tc>
      </w:tr>
      <w:tr w:rsidR="00693173" w:rsidRPr="00B32BF5" w:rsidTr="00693173">
        <w:tc>
          <w:tcPr>
            <w:tcW w:w="3010" w:type="dxa"/>
            <w:vMerge w:val="restart"/>
          </w:tcPr>
          <w:p w:rsidR="00693173" w:rsidRPr="00B32BF5" w:rsidRDefault="00693173" w:rsidP="000A243B">
            <w:pPr>
              <w:tabs>
                <w:tab w:val="left" w:pos="567"/>
              </w:tabs>
              <w:spacing w:line="260" w:lineRule="exact"/>
              <w:jc w:val="both"/>
              <w:rPr>
                <w:b/>
                <w:sz w:val="22"/>
                <w:szCs w:val="20"/>
                <w:lang w:val="sr-Latn-ME"/>
              </w:rPr>
            </w:pPr>
          </w:p>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 xml:space="preserve">Poremećaji nervnog sistema </w:t>
            </w: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Često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Glavobolja</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Povremeno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Vrtoglavica, parestezija, pospanost</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Poremećaj čula ukusa</w:t>
            </w:r>
          </w:p>
        </w:tc>
      </w:tr>
      <w:tr w:rsidR="00693173" w:rsidRPr="00B32BF5" w:rsidTr="00693173">
        <w:tc>
          <w:tcPr>
            <w:tcW w:w="3010" w:type="dxa"/>
          </w:tcPr>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 xml:space="preserve">Poremećaji oka </w:t>
            </w: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Povremeno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Zamagljeni vid</w:t>
            </w:r>
          </w:p>
        </w:tc>
      </w:tr>
      <w:tr w:rsidR="00693173" w:rsidRPr="00B32BF5" w:rsidTr="00693173">
        <w:tc>
          <w:tcPr>
            <w:tcW w:w="3010" w:type="dxa"/>
          </w:tcPr>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Poremećaji uha i labirinta</w:t>
            </w: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Povremeno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Vertigo</w:t>
            </w:r>
          </w:p>
        </w:tc>
      </w:tr>
      <w:tr w:rsidR="00693173" w:rsidRPr="00B32BF5" w:rsidTr="00693173">
        <w:tc>
          <w:tcPr>
            <w:tcW w:w="3010" w:type="dxa"/>
          </w:tcPr>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Respiratorni, torakalni i medijastinalni poremećaji</w:t>
            </w: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Bronhospazam</w:t>
            </w:r>
          </w:p>
        </w:tc>
      </w:tr>
      <w:tr w:rsidR="00693173" w:rsidRPr="00B32BF5" w:rsidTr="00693173">
        <w:tc>
          <w:tcPr>
            <w:tcW w:w="3010" w:type="dxa"/>
            <w:vMerge w:val="restart"/>
          </w:tcPr>
          <w:p w:rsidR="00693173" w:rsidRPr="00B32BF5" w:rsidRDefault="00693173" w:rsidP="000A243B">
            <w:pPr>
              <w:tabs>
                <w:tab w:val="left" w:pos="567"/>
              </w:tabs>
              <w:spacing w:line="260" w:lineRule="exact"/>
              <w:jc w:val="both"/>
              <w:rPr>
                <w:b/>
                <w:sz w:val="22"/>
                <w:szCs w:val="20"/>
                <w:lang w:val="sr-Latn-ME"/>
              </w:rPr>
            </w:pPr>
          </w:p>
          <w:p w:rsidR="00693173" w:rsidRPr="00B32BF5" w:rsidRDefault="00693173" w:rsidP="000A243B">
            <w:pPr>
              <w:tabs>
                <w:tab w:val="left" w:pos="567"/>
              </w:tabs>
              <w:spacing w:line="260" w:lineRule="exact"/>
              <w:jc w:val="both"/>
              <w:rPr>
                <w:b/>
                <w:sz w:val="22"/>
                <w:szCs w:val="20"/>
                <w:lang w:val="sr-Latn-ME"/>
              </w:rPr>
            </w:pPr>
          </w:p>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 xml:space="preserve">Gastrointestinalni poremećaji </w:t>
            </w: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Često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Abdominalni bol, konstipacija, dijareja, flatulencija, mučnina/povraćanje, polipi</w:t>
            </w:r>
          </w:p>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fundusnih žl</w:t>
            </w:r>
            <w:r w:rsidR="00A8221D" w:rsidRPr="00B32BF5">
              <w:rPr>
                <w:sz w:val="22"/>
                <w:szCs w:val="20"/>
                <w:lang w:val="sr-Latn-ME"/>
              </w:rPr>
              <w:t>ij</w:t>
            </w:r>
            <w:r w:rsidRPr="00B32BF5">
              <w:rPr>
                <w:sz w:val="22"/>
                <w:szCs w:val="20"/>
                <w:lang w:val="sr-Latn-ME"/>
              </w:rPr>
              <w:t>ezda (benigni)</w:t>
            </w:r>
          </w:p>
        </w:tc>
      </w:tr>
      <w:tr w:rsidR="00693173" w:rsidRPr="00B32BF5" w:rsidTr="00693173">
        <w:tc>
          <w:tcPr>
            <w:tcW w:w="3010" w:type="dxa"/>
            <w:vMerge/>
          </w:tcPr>
          <w:p w:rsidR="00693173" w:rsidRPr="00B32BF5" w:rsidRDefault="00693173" w:rsidP="000A243B">
            <w:pPr>
              <w:tabs>
                <w:tab w:val="left" w:pos="567"/>
              </w:tabs>
              <w:spacing w:line="260" w:lineRule="exact"/>
              <w:jc w:val="both"/>
              <w:rPr>
                <w:sz w:val="22"/>
                <w:szCs w:val="20"/>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Povremeno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Suva usta</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Stomatitis, gastrointestinalna kandidijaza</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 xml:space="preserve">Nepoznato </w:t>
            </w:r>
          </w:p>
        </w:tc>
        <w:tc>
          <w:tcPr>
            <w:tcW w:w="4170" w:type="dxa"/>
          </w:tcPr>
          <w:p w:rsidR="00693173" w:rsidRPr="00B32BF5" w:rsidRDefault="00693173" w:rsidP="000A243B">
            <w:pPr>
              <w:tabs>
                <w:tab w:val="left" w:pos="567"/>
              </w:tabs>
              <w:spacing w:line="260" w:lineRule="exact"/>
              <w:jc w:val="both"/>
              <w:rPr>
                <w:noProof/>
                <w:sz w:val="22"/>
                <w:szCs w:val="22"/>
                <w:u w:val="single"/>
                <w:lang w:val="sr-Latn-ME"/>
              </w:rPr>
            </w:pPr>
            <w:r w:rsidRPr="00B32BF5">
              <w:rPr>
                <w:sz w:val="22"/>
                <w:szCs w:val="20"/>
                <w:lang w:val="sr-Latn-ME"/>
              </w:rPr>
              <w:t>Mikroskopski kolitis</w:t>
            </w:r>
          </w:p>
        </w:tc>
      </w:tr>
      <w:tr w:rsidR="00693173" w:rsidRPr="00B32BF5" w:rsidTr="00693173">
        <w:tc>
          <w:tcPr>
            <w:tcW w:w="3010" w:type="dxa"/>
            <w:vMerge w:val="restart"/>
          </w:tcPr>
          <w:p w:rsidR="00693173" w:rsidRPr="00B32BF5" w:rsidRDefault="00693173" w:rsidP="000A243B">
            <w:pPr>
              <w:tabs>
                <w:tab w:val="left" w:pos="567"/>
              </w:tabs>
              <w:spacing w:line="260" w:lineRule="exact"/>
              <w:jc w:val="both"/>
              <w:rPr>
                <w:b/>
                <w:sz w:val="22"/>
                <w:szCs w:val="20"/>
                <w:lang w:val="sr-Latn-ME"/>
              </w:rPr>
            </w:pPr>
          </w:p>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 xml:space="preserve">Hepatobilijarni poremećaji </w:t>
            </w: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Povremeno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Povećane vrijednosti enzima jetre</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Hepatitis sa žuticom ili bez nje</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Veoma rijetko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Teška insuficijencija jetre, encefalopacija kod pacijenata koji su već imali oboljenje jetre</w:t>
            </w:r>
          </w:p>
        </w:tc>
      </w:tr>
      <w:tr w:rsidR="00693173" w:rsidRPr="00B32BF5" w:rsidTr="00693173">
        <w:tc>
          <w:tcPr>
            <w:tcW w:w="3010" w:type="dxa"/>
            <w:vMerge w:val="restart"/>
          </w:tcPr>
          <w:p w:rsidR="00693173" w:rsidRPr="00B32BF5" w:rsidRDefault="00693173" w:rsidP="000A243B">
            <w:pPr>
              <w:tabs>
                <w:tab w:val="left" w:pos="567"/>
              </w:tabs>
              <w:spacing w:line="260" w:lineRule="exact"/>
              <w:jc w:val="both"/>
              <w:rPr>
                <w:b/>
                <w:sz w:val="22"/>
                <w:szCs w:val="20"/>
                <w:lang w:val="sr-Latn-ME"/>
              </w:rPr>
            </w:pPr>
          </w:p>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 xml:space="preserve">Poremećaji na nivou kože i potkožnog tkiva </w:t>
            </w: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Često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Reakcije na mjestu primjene*</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Povremeno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Dermatitis, pruritus, ospa, urtikarija</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Alopecija, osetljivost na svjetlost</w:t>
            </w:r>
          </w:p>
        </w:tc>
      </w:tr>
      <w:tr w:rsidR="00693173" w:rsidRPr="00B32BF5" w:rsidTr="00693173">
        <w:trPr>
          <w:trHeight w:val="241"/>
        </w:trPr>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Veoma rijetko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Erythema multiforme, Stevens-Johnson-ov sindrom, toksična epidermalna nekroliza (TEN)</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Nepoznato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Subakutni kožni lupus eritematosis (vidjeti</w:t>
            </w:r>
          </w:p>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dio 4.4)</w:t>
            </w:r>
          </w:p>
        </w:tc>
      </w:tr>
      <w:tr w:rsidR="00693173" w:rsidRPr="00B32BF5" w:rsidTr="00693173">
        <w:tc>
          <w:tcPr>
            <w:tcW w:w="3010" w:type="dxa"/>
            <w:vMerge w:val="restart"/>
          </w:tcPr>
          <w:p w:rsidR="00693173" w:rsidRPr="00B32BF5" w:rsidRDefault="00693173" w:rsidP="000A243B">
            <w:pPr>
              <w:tabs>
                <w:tab w:val="left" w:pos="567"/>
              </w:tabs>
              <w:spacing w:line="260" w:lineRule="exact"/>
              <w:jc w:val="both"/>
              <w:rPr>
                <w:b/>
                <w:sz w:val="22"/>
                <w:szCs w:val="20"/>
                <w:lang w:val="sr-Latn-ME"/>
              </w:rPr>
            </w:pPr>
          </w:p>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 xml:space="preserve">Poremećaji mišićnoskeletnog tkiva, vezivnog i koštanog tkiva </w:t>
            </w: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Povremeno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rFonts w:ascii="TimesNewRoman" w:hAnsi="TimesNewRoman" w:cs="TimesNewRoman"/>
                <w:sz w:val="22"/>
                <w:szCs w:val="22"/>
                <w:lang w:val="sr-Latn-ME"/>
              </w:rPr>
              <w:t xml:space="preserve">Prelom kuka, zgloba ruke ili kičme </w:t>
            </w:r>
            <w:r w:rsidRPr="00B32BF5">
              <w:rPr>
                <w:sz w:val="22"/>
                <w:szCs w:val="20"/>
                <w:lang w:val="sr-Latn-ME"/>
              </w:rPr>
              <w:t>(vidjeti</w:t>
            </w:r>
          </w:p>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dio 4.4)</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Artralgija, mijalgija</w:t>
            </w:r>
          </w:p>
        </w:tc>
      </w:tr>
      <w:tr w:rsidR="00693173" w:rsidRPr="00B32BF5" w:rsidTr="00693173">
        <w:tc>
          <w:tcPr>
            <w:tcW w:w="3010" w:type="dxa"/>
            <w:vMerge/>
          </w:tcPr>
          <w:p w:rsidR="00693173" w:rsidRPr="00B32BF5" w:rsidRDefault="00693173" w:rsidP="000A243B">
            <w:pPr>
              <w:tabs>
                <w:tab w:val="left" w:pos="567"/>
              </w:tabs>
              <w:spacing w:line="260" w:lineRule="exact"/>
              <w:jc w:val="both"/>
              <w:rPr>
                <w:noProof/>
                <w:sz w:val="22"/>
                <w:szCs w:val="22"/>
                <w:u w:val="single"/>
                <w:lang w:val="sr-Latn-ME"/>
              </w:rPr>
            </w:pP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Veoma rijetko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Mišićna slabost</w:t>
            </w:r>
          </w:p>
        </w:tc>
      </w:tr>
      <w:tr w:rsidR="00693173" w:rsidRPr="00B32BF5" w:rsidTr="00693173">
        <w:tc>
          <w:tcPr>
            <w:tcW w:w="3010" w:type="dxa"/>
          </w:tcPr>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 xml:space="preserve">Poremećaji na nivou bubrega i urinarnog sistema </w:t>
            </w: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Veoma rijetko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Intersticijalni nefritis; prijavljeno je da je kod nekih pacijenata praćen renalnom insuficijencijom.</w:t>
            </w:r>
          </w:p>
        </w:tc>
      </w:tr>
      <w:tr w:rsidR="00693173" w:rsidRPr="00B32BF5" w:rsidTr="00693173">
        <w:tc>
          <w:tcPr>
            <w:tcW w:w="3010" w:type="dxa"/>
          </w:tcPr>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 xml:space="preserve">Poremećaji reproduktivnog sistema i na nivou dojki </w:t>
            </w: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Veoma rijetko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Ginekomastija</w:t>
            </w:r>
          </w:p>
        </w:tc>
      </w:tr>
      <w:tr w:rsidR="00693173" w:rsidRPr="00B32BF5" w:rsidTr="00693173">
        <w:tc>
          <w:tcPr>
            <w:tcW w:w="3010" w:type="dxa"/>
          </w:tcPr>
          <w:p w:rsidR="00693173" w:rsidRPr="00B32BF5" w:rsidRDefault="00693173" w:rsidP="000A243B">
            <w:pPr>
              <w:tabs>
                <w:tab w:val="left" w:pos="567"/>
              </w:tabs>
              <w:spacing w:line="260" w:lineRule="exact"/>
              <w:jc w:val="both"/>
              <w:rPr>
                <w:b/>
                <w:noProof/>
                <w:sz w:val="22"/>
                <w:szCs w:val="22"/>
                <w:u w:val="single"/>
                <w:lang w:val="sr-Latn-ME"/>
              </w:rPr>
            </w:pPr>
            <w:r w:rsidRPr="00B32BF5">
              <w:rPr>
                <w:b/>
                <w:sz w:val="22"/>
                <w:szCs w:val="20"/>
                <w:lang w:val="sr-Latn-ME"/>
              </w:rPr>
              <w:t>Opšti poremećaji i reakcije na mjestu prim</w:t>
            </w:r>
            <w:r w:rsidR="00A8221D" w:rsidRPr="00B32BF5">
              <w:rPr>
                <w:b/>
                <w:sz w:val="22"/>
                <w:szCs w:val="20"/>
                <w:lang w:val="sr-Latn-ME"/>
              </w:rPr>
              <w:t>j</w:t>
            </w:r>
            <w:r w:rsidRPr="00B32BF5">
              <w:rPr>
                <w:b/>
                <w:sz w:val="22"/>
                <w:szCs w:val="20"/>
                <w:lang w:val="sr-Latn-ME"/>
              </w:rPr>
              <w:t>ene</w:t>
            </w:r>
          </w:p>
        </w:tc>
        <w:tc>
          <w:tcPr>
            <w:tcW w:w="1955"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Rijetko</w:t>
            </w:r>
          </w:p>
        </w:tc>
        <w:tc>
          <w:tcPr>
            <w:tcW w:w="417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Slabost, pojačano znojenje</w:t>
            </w:r>
          </w:p>
        </w:tc>
      </w:tr>
    </w:tbl>
    <w:p w:rsidR="00693173" w:rsidRPr="00B32BF5" w:rsidRDefault="00693173" w:rsidP="002671C0">
      <w:pPr>
        <w:tabs>
          <w:tab w:val="left" w:pos="567"/>
        </w:tabs>
        <w:spacing w:line="260" w:lineRule="exact"/>
        <w:jc w:val="both"/>
        <w:rPr>
          <w:sz w:val="22"/>
          <w:szCs w:val="20"/>
          <w:lang w:val="sr-Latn-ME"/>
        </w:rPr>
      </w:pPr>
      <w:r w:rsidRPr="00B32BF5">
        <w:rPr>
          <w:sz w:val="22"/>
          <w:szCs w:val="20"/>
          <w:lang w:val="sr-Latn-ME"/>
        </w:rPr>
        <w:t>* reakcije na mjestu primjene su uglavnom bile prim</w:t>
      </w:r>
      <w:r w:rsidR="00A8221D" w:rsidRPr="00B32BF5">
        <w:rPr>
          <w:sz w:val="22"/>
          <w:szCs w:val="20"/>
          <w:lang w:val="sr-Latn-ME"/>
        </w:rPr>
        <w:t>i</w:t>
      </w:r>
      <w:r w:rsidRPr="00B32BF5">
        <w:rPr>
          <w:sz w:val="22"/>
          <w:szCs w:val="20"/>
          <w:lang w:val="sr-Latn-ME"/>
        </w:rPr>
        <w:t xml:space="preserve">jećene u studiji sa primjenom visokih doza, tokom 3 dana (72 h). Vidjeti dio 5.3. </w:t>
      </w:r>
    </w:p>
    <w:p w:rsidR="00693173" w:rsidRPr="00B32BF5" w:rsidRDefault="00693173" w:rsidP="00A34CC6">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Ireverzibilni poremećaj vida zabilježen je u izolovanim slučajevim kritično oboljelih pacijenata koji su primali intravenske injekcije omeprazola (racemata), posebno u visokim dozama, ali uzročna veza nije potvrđena.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i/>
          <w:sz w:val="22"/>
          <w:szCs w:val="20"/>
          <w:lang w:val="sr-Latn-ME"/>
        </w:rPr>
        <w:t>Pedijatrijska populacija</w:t>
      </w:r>
    </w:p>
    <w:p w:rsidR="00693173" w:rsidRPr="00B32BF5" w:rsidRDefault="00693173">
      <w:pPr>
        <w:spacing w:line="260" w:lineRule="exact"/>
        <w:jc w:val="both"/>
        <w:rPr>
          <w:sz w:val="22"/>
          <w:szCs w:val="20"/>
          <w:lang w:val="sr-Latn-ME"/>
        </w:rPr>
      </w:pPr>
      <w:r w:rsidRPr="00B32BF5">
        <w:rPr>
          <w:sz w:val="22"/>
          <w:szCs w:val="20"/>
          <w:lang w:val="sr-Latn-ME"/>
        </w:rPr>
        <w:t>Randomizovana, otvorena, multinacionalna studija je sprovedena radi procjene farmakokinetike ponovljenih intravenskih doza esomeprazola jednom dnevno tokom 4 dana kod pedijatrijskih pacijenata uzrasta od 0 - 18 godina (vidjeti dio 5.2). Procjena bezbjednosti je rađena na uzorku od 57 pacijenata (od toga 8 djece je bilo uzrasta od 1 do 5 godina). Rezultati su bili konzistentni sa poznatim bezbjednosnim profilom esomeprazola i ni</w:t>
      </w:r>
      <w:r w:rsidR="00A8221D" w:rsidRPr="00B32BF5">
        <w:rPr>
          <w:sz w:val="22"/>
          <w:szCs w:val="20"/>
          <w:lang w:val="sr-Latn-ME"/>
        </w:rPr>
        <w:t>je</w:t>
      </w:r>
      <w:r w:rsidRPr="00B32BF5">
        <w:rPr>
          <w:sz w:val="22"/>
          <w:szCs w:val="20"/>
          <w:lang w:val="sr-Latn-ME"/>
        </w:rPr>
        <w:t>su identifikovani novi bezbjednosni signali.</w:t>
      </w:r>
    </w:p>
    <w:p w:rsidR="004E70AD" w:rsidRPr="00B32BF5" w:rsidRDefault="004E70AD" w:rsidP="000A243B">
      <w:pPr>
        <w:tabs>
          <w:tab w:val="left" w:pos="540"/>
          <w:tab w:val="left" w:pos="569"/>
        </w:tabs>
        <w:jc w:val="both"/>
        <w:rPr>
          <w:b/>
          <w:bCs/>
          <w:sz w:val="22"/>
          <w:szCs w:val="22"/>
          <w:lang w:val="sr-Latn-ME"/>
        </w:rPr>
      </w:pPr>
    </w:p>
    <w:p w:rsidR="009E3452" w:rsidRDefault="009E3452" w:rsidP="000A243B">
      <w:pPr>
        <w:spacing w:after="200" w:line="276" w:lineRule="auto"/>
        <w:jc w:val="both"/>
        <w:rPr>
          <w:rFonts w:eastAsia="Calibri"/>
          <w:sz w:val="22"/>
          <w:szCs w:val="22"/>
          <w:u w:val="single"/>
          <w:lang w:val="sr-Latn-ME"/>
        </w:rPr>
      </w:pPr>
    </w:p>
    <w:p w:rsidR="005A23D2" w:rsidRPr="00B32BF5" w:rsidRDefault="005A23D2" w:rsidP="000A243B">
      <w:pPr>
        <w:spacing w:after="200" w:line="276" w:lineRule="auto"/>
        <w:jc w:val="both"/>
        <w:rPr>
          <w:rFonts w:eastAsia="Calibri"/>
          <w:sz w:val="22"/>
          <w:szCs w:val="22"/>
          <w:u w:val="single"/>
          <w:lang w:val="sr-Latn-ME"/>
        </w:rPr>
      </w:pPr>
      <w:r w:rsidRPr="00B32BF5">
        <w:rPr>
          <w:rFonts w:eastAsia="Calibri"/>
          <w:sz w:val="22"/>
          <w:szCs w:val="22"/>
          <w:u w:val="single"/>
          <w:lang w:val="sr-Latn-ME"/>
        </w:rPr>
        <w:lastRenderedPageBreak/>
        <w:t>Prijavljivanje sumnji na neželjena dejstva</w:t>
      </w:r>
    </w:p>
    <w:p w:rsidR="005A23D2" w:rsidRPr="00B32BF5" w:rsidRDefault="005A23D2" w:rsidP="002671C0">
      <w:pPr>
        <w:spacing w:after="200"/>
        <w:jc w:val="both"/>
        <w:rPr>
          <w:rFonts w:eastAsia="Calibri"/>
          <w:sz w:val="22"/>
          <w:szCs w:val="22"/>
          <w:lang w:val="sr-Latn-ME"/>
        </w:rPr>
      </w:pPr>
      <w:r w:rsidRPr="00B32BF5">
        <w:rPr>
          <w:rFonts w:eastAsia="Calibri"/>
          <w:sz w:val="22"/>
          <w:szCs w:val="22"/>
          <w:lang w:val="sr-Latn-ME"/>
        </w:rPr>
        <w:t>Prijavljivanje neželjenih dejstava nakon dobijanja dozvole je od velikog značaja jer obezbjeđuje kont</w:t>
      </w:r>
      <w:r w:rsidR="00EA5765" w:rsidRPr="00B32BF5">
        <w:rPr>
          <w:rFonts w:eastAsia="Calibri"/>
          <w:sz w:val="22"/>
          <w:szCs w:val="22"/>
          <w:lang w:val="sr-Latn-ME"/>
        </w:rPr>
        <w:t>inuirano praćenje odnosa korist</w:t>
      </w:r>
      <w:r w:rsidRPr="00B32BF5">
        <w:rPr>
          <w:rFonts w:eastAsia="Calibri"/>
          <w:sz w:val="22"/>
          <w:szCs w:val="22"/>
          <w:lang w:val="sr-Latn-ME"/>
        </w:rPr>
        <w:t>/rizik primjene lijeka. Zdravstveni radnici treba da prijave svaku sumnju na neželjeno</w:t>
      </w:r>
      <w:r w:rsidR="009B062A" w:rsidRPr="00B32BF5">
        <w:rPr>
          <w:rFonts w:eastAsia="Calibri"/>
          <w:sz w:val="22"/>
          <w:szCs w:val="22"/>
          <w:lang w:val="sr-Latn-ME"/>
        </w:rPr>
        <w:t xml:space="preserve"> </w:t>
      </w:r>
      <w:r w:rsidRPr="00B32BF5">
        <w:rPr>
          <w:rFonts w:eastAsia="Calibri"/>
          <w:sz w:val="22"/>
          <w:szCs w:val="22"/>
          <w:lang w:val="sr-Latn-ME"/>
        </w:rPr>
        <w:t xml:space="preserve">dejstvo ovog lijeka </w:t>
      </w:r>
      <w:r w:rsidR="004E70AD" w:rsidRPr="00B32BF5">
        <w:rPr>
          <w:rFonts w:eastAsia="Calibri"/>
          <w:sz w:val="22"/>
          <w:szCs w:val="22"/>
          <w:lang w:val="sr-Latn-ME"/>
        </w:rPr>
        <w:t>Institutu</w:t>
      </w:r>
      <w:r w:rsidRPr="00B32BF5">
        <w:rPr>
          <w:rFonts w:eastAsia="Calibri"/>
          <w:sz w:val="22"/>
          <w:szCs w:val="22"/>
          <w:lang w:val="sr-Latn-ME"/>
        </w:rPr>
        <w:t xml:space="preserve"> za ljekove i medicinska sredstva</w:t>
      </w:r>
      <w:r w:rsidR="004E70AD" w:rsidRPr="00B32BF5">
        <w:rPr>
          <w:rFonts w:eastAsia="Calibri"/>
          <w:sz w:val="22"/>
          <w:szCs w:val="22"/>
          <w:lang w:val="sr-Latn-ME"/>
        </w:rPr>
        <w:t xml:space="preserve"> </w:t>
      </w:r>
      <w:r w:rsidRPr="00B32BF5">
        <w:rPr>
          <w:rFonts w:eastAsia="Calibri"/>
          <w:sz w:val="22"/>
          <w:szCs w:val="22"/>
          <w:lang w:val="sr-Latn-ME"/>
        </w:rPr>
        <w:t>(</w:t>
      </w:r>
      <w:r w:rsidR="004E70AD" w:rsidRPr="00B32BF5">
        <w:rPr>
          <w:rFonts w:eastAsia="Calibri"/>
          <w:sz w:val="22"/>
          <w:szCs w:val="22"/>
          <w:lang w:val="sr-Latn-ME"/>
        </w:rPr>
        <w:t>CInMED</w:t>
      </w:r>
      <w:r w:rsidRPr="00B32BF5">
        <w:rPr>
          <w:rFonts w:eastAsia="Calibri"/>
          <w:sz w:val="22"/>
          <w:szCs w:val="22"/>
          <w:lang w:val="sr-Latn-ME"/>
        </w:rPr>
        <w:t>):</w:t>
      </w:r>
    </w:p>
    <w:p w:rsidR="005A23D2" w:rsidRPr="00B32BF5" w:rsidRDefault="004E70AD" w:rsidP="00A34CC6">
      <w:pPr>
        <w:pStyle w:val="NoSpacing"/>
        <w:jc w:val="both"/>
        <w:rPr>
          <w:rFonts w:eastAsia="Calibri"/>
          <w:sz w:val="22"/>
          <w:szCs w:val="22"/>
          <w:lang w:val="sr-Latn-ME"/>
        </w:rPr>
      </w:pPr>
      <w:r w:rsidRPr="00B32BF5">
        <w:rPr>
          <w:rFonts w:eastAsia="Calibri"/>
          <w:sz w:val="22"/>
          <w:szCs w:val="22"/>
          <w:lang w:val="sr-Latn-ME"/>
        </w:rPr>
        <w:t xml:space="preserve">Institut </w:t>
      </w:r>
      <w:r w:rsidR="005A23D2" w:rsidRPr="00B32BF5">
        <w:rPr>
          <w:rFonts w:eastAsia="Calibri"/>
          <w:sz w:val="22"/>
          <w:szCs w:val="22"/>
          <w:lang w:val="sr-Latn-ME"/>
        </w:rPr>
        <w:t xml:space="preserve">za ljekove i medicinska sredstva </w:t>
      </w:r>
    </w:p>
    <w:p w:rsidR="005A23D2" w:rsidRPr="00B32BF5" w:rsidRDefault="005A23D2">
      <w:pPr>
        <w:pStyle w:val="NoSpacing"/>
        <w:jc w:val="both"/>
        <w:rPr>
          <w:rFonts w:eastAsia="Calibri"/>
          <w:sz w:val="22"/>
          <w:szCs w:val="22"/>
          <w:lang w:val="sr-Latn-ME"/>
        </w:rPr>
      </w:pPr>
      <w:r w:rsidRPr="00B32BF5">
        <w:rPr>
          <w:rFonts w:eastAsia="Calibri"/>
          <w:sz w:val="22"/>
          <w:szCs w:val="22"/>
          <w:lang w:val="sr-Latn-ME"/>
        </w:rPr>
        <w:t>Odjeljenje za farmakovigilancu</w:t>
      </w:r>
    </w:p>
    <w:p w:rsidR="00EA5765" w:rsidRPr="00B32BF5" w:rsidRDefault="005A23D2">
      <w:pPr>
        <w:pStyle w:val="NoSpacing"/>
        <w:jc w:val="both"/>
        <w:rPr>
          <w:rFonts w:eastAsia="Calibri"/>
          <w:sz w:val="22"/>
          <w:szCs w:val="22"/>
          <w:lang w:val="sr-Latn-ME"/>
        </w:rPr>
      </w:pPr>
      <w:r w:rsidRPr="00B32BF5">
        <w:rPr>
          <w:rFonts w:eastAsia="Calibri"/>
          <w:sz w:val="22"/>
          <w:szCs w:val="22"/>
          <w:lang w:val="sr-Latn-ME"/>
        </w:rPr>
        <w:t>Bulevar Ivana Crnojevića 64a, 81000 Podgorica</w:t>
      </w:r>
    </w:p>
    <w:p w:rsidR="00EA5765" w:rsidRPr="00B32BF5" w:rsidRDefault="00EA5765" w:rsidP="000A243B">
      <w:pPr>
        <w:pStyle w:val="NoSpacing"/>
        <w:jc w:val="both"/>
        <w:rPr>
          <w:rFonts w:eastAsia="Calibri"/>
          <w:sz w:val="22"/>
          <w:szCs w:val="22"/>
          <w:lang w:val="sr-Latn-ME"/>
        </w:rPr>
      </w:pPr>
    </w:p>
    <w:p w:rsidR="005A23D2" w:rsidRPr="00B32BF5" w:rsidRDefault="005A23D2" w:rsidP="002671C0">
      <w:pPr>
        <w:pStyle w:val="NoSpacing"/>
        <w:jc w:val="both"/>
        <w:rPr>
          <w:rFonts w:eastAsia="Calibri"/>
          <w:sz w:val="22"/>
          <w:szCs w:val="22"/>
          <w:lang w:val="sr-Latn-ME"/>
        </w:rPr>
      </w:pPr>
      <w:r w:rsidRPr="00B32BF5">
        <w:rPr>
          <w:rFonts w:eastAsia="Calibri"/>
          <w:sz w:val="22"/>
          <w:szCs w:val="22"/>
          <w:lang w:val="sr-Latn-ME"/>
        </w:rPr>
        <w:t>tel: +382 (0) 20 310 280</w:t>
      </w:r>
    </w:p>
    <w:p w:rsidR="00EA5765" w:rsidRPr="00B32BF5" w:rsidRDefault="005A23D2" w:rsidP="00A34CC6">
      <w:pPr>
        <w:pStyle w:val="NoSpacing"/>
        <w:jc w:val="both"/>
        <w:rPr>
          <w:rFonts w:eastAsia="Calibri"/>
          <w:sz w:val="22"/>
          <w:szCs w:val="22"/>
          <w:lang w:val="sr-Latn-ME"/>
        </w:rPr>
      </w:pPr>
      <w:r w:rsidRPr="00B32BF5">
        <w:rPr>
          <w:rFonts w:eastAsia="Calibri"/>
          <w:sz w:val="22"/>
          <w:szCs w:val="22"/>
          <w:lang w:val="sr-Latn-ME"/>
        </w:rPr>
        <w:t>fax:</w:t>
      </w:r>
      <w:r w:rsidR="00EA5765" w:rsidRPr="00B32BF5">
        <w:rPr>
          <w:rFonts w:eastAsia="Calibri"/>
          <w:sz w:val="22"/>
          <w:szCs w:val="22"/>
          <w:lang w:val="sr-Latn-ME"/>
        </w:rPr>
        <w:t xml:space="preserve"> </w:t>
      </w:r>
      <w:r w:rsidRPr="00B32BF5">
        <w:rPr>
          <w:rFonts w:eastAsia="Calibri"/>
          <w:sz w:val="22"/>
          <w:szCs w:val="22"/>
          <w:lang w:val="sr-Latn-ME"/>
        </w:rPr>
        <w:t>+382 (0) 20 310 581</w:t>
      </w:r>
    </w:p>
    <w:p w:rsidR="005A23D2" w:rsidRPr="00B32BF5" w:rsidRDefault="00395E14">
      <w:pPr>
        <w:pStyle w:val="NoSpacing"/>
        <w:jc w:val="both"/>
        <w:rPr>
          <w:rFonts w:eastAsia="Calibri"/>
          <w:sz w:val="22"/>
          <w:szCs w:val="22"/>
          <w:lang w:val="sr-Latn-ME"/>
        </w:rPr>
      </w:pPr>
      <w:hyperlink r:id="rId8" w:history="1">
        <w:r w:rsidR="004E70AD" w:rsidRPr="00B32BF5">
          <w:rPr>
            <w:rStyle w:val="Hyperlink"/>
            <w:rFonts w:eastAsia="Calibri"/>
            <w:sz w:val="22"/>
            <w:szCs w:val="22"/>
            <w:lang w:val="sr-Latn-ME"/>
          </w:rPr>
          <w:t>www.cinmed.me</w:t>
        </w:r>
      </w:hyperlink>
    </w:p>
    <w:p w:rsidR="00EA5765" w:rsidRPr="00B32BF5" w:rsidRDefault="00395E14">
      <w:pPr>
        <w:pStyle w:val="NoSpacing"/>
        <w:jc w:val="both"/>
        <w:rPr>
          <w:rFonts w:eastAsia="Calibri"/>
          <w:color w:val="0000FF"/>
          <w:sz w:val="22"/>
          <w:szCs w:val="22"/>
          <w:u w:val="single"/>
          <w:lang w:val="sr-Latn-ME"/>
        </w:rPr>
      </w:pPr>
      <w:hyperlink r:id="rId9" w:history="1">
        <w:r w:rsidR="004E70AD" w:rsidRPr="00B32BF5">
          <w:rPr>
            <w:rStyle w:val="Hyperlink"/>
            <w:rFonts w:eastAsia="Calibri"/>
            <w:sz w:val="22"/>
            <w:szCs w:val="22"/>
            <w:lang w:val="sr-Latn-ME"/>
          </w:rPr>
          <w:t>nezeljenadejstva@cinmed.me</w:t>
        </w:r>
      </w:hyperlink>
    </w:p>
    <w:p w:rsidR="005A23D2" w:rsidRPr="00B32BF5" w:rsidRDefault="005A23D2">
      <w:pPr>
        <w:pStyle w:val="NoSpacing"/>
        <w:jc w:val="both"/>
        <w:rPr>
          <w:rFonts w:eastAsia="Calibri"/>
          <w:sz w:val="22"/>
          <w:szCs w:val="22"/>
          <w:lang w:val="sr-Latn-ME"/>
        </w:rPr>
      </w:pPr>
      <w:r w:rsidRPr="00B32BF5">
        <w:rPr>
          <w:rFonts w:eastAsia="Calibri"/>
          <w:sz w:val="22"/>
          <w:szCs w:val="22"/>
          <w:lang w:val="sr-Latn-ME"/>
        </w:rPr>
        <w:t>putem IS zdravstvene zaštite</w:t>
      </w:r>
    </w:p>
    <w:p w:rsidR="00836B35" w:rsidRPr="00B32BF5" w:rsidRDefault="00836B35" w:rsidP="000A243B">
      <w:pPr>
        <w:tabs>
          <w:tab w:val="left" w:pos="540"/>
          <w:tab w:val="left" w:pos="569"/>
        </w:tabs>
        <w:jc w:val="both"/>
        <w:rPr>
          <w:b/>
          <w:bCs/>
          <w:sz w:val="22"/>
          <w:szCs w:val="22"/>
          <w:lang w:val="sr-Latn-ME"/>
        </w:rPr>
      </w:pPr>
    </w:p>
    <w:p w:rsidR="00CD6F02"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4.9. </w:t>
      </w:r>
      <w:r w:rsidR="00480FB1" w:rsidRPr="00B32BF5">
        <w:rPr>
          <w:b/>
          <w:bCs/>
          <w:sz w:val="22"/>
          <w:szCs w:val="22"/>
          <w:lang w:val="sr-Latn-ME"/>
        </w:rPr>
        <w:tab/>
      </w:r>
      <w:r w:rsidRPr="00B32BF5">
        <w:rPr>
          <w:b/>
          <w:bCs/>
          <w:sz w:val="22"/>
          <w:szCs w:val="22"/>
          <w:lang w:val="sr-Latn-ME"/>
        </w:rPr>
        <w:t>Predoziranje</w:t>
      </w:r>
      <w:r w:rsidR="002846DB" w:rsidRPr="00B32BF5">
        <w:rPr>
          <w:b/>
          <w:bCs/>
          <w:sz w:val="22"/>
          <w:szCs w:val="22"/>
          <w:lang w:val="sr-Latn-ME"/>
        </w:rPr>
        <w:t xml:space="preserve"> </w:t>
      </w:r>
    </w:p>
    <w:p w:rsidR="00693173" w:rsidRPr="00B32BF5" w:rsidRDefault="00693173" w:rsidP="002671C0">
      <w:pPr>
        <w:spacing w:line="260" w:lineRule="exact"/>
        <w:jc w:val="both"/>
        <w:rPr>
          <w:sz w:val="22"/>
          <w:szCs w:val="22"/>
          <w:lang w:val="sr-Latn-ME"/>
        </w:rPr>
      </w:pPr>
    </w:p>
    <w:p w:rsidR="00693173" w:rsidRPr="00B32BF5" w:rsidRDefault="00693173" w:rsidP="00A34CC6">
      <w:pPr>
        <w:spacing w:line="260" w:lineRule="exact"/>
        <w:jc w:val="both"/>
        <w:rPr>
          <w:sz w:val="22"/>
          <w:szCs w:val="22"/>
          <w:lang w:val="sr-Latn-ME"/>
        </w:rPr>
      </w:pPr>
      <w:r w:rsidRPr="00B32BF5">
        <w:rPr>
          <w:sz w:val="22"/>
          <w:szCs w:val="22"/>
          <w:lang w:val="sr-Latn-ME"/>
        </w:rPr>
        <w:t xml:space="preserve">Postoje veoma ograničena iskustva sa namjernim predoziranjem. Simptomi povezani sa oralnom dozom od 280 mg bili su gastrointestinalni simptomi i slabost. Pojedinačne oralne doze od 80 mg esomeprazola i intravenske doze od 308 mg esomeprazola tokom 24 h su prolazile bez posljedica. </w:t>
      </w:r>
    </w:p>
    <w:p w:rsidR="00CD6F02" w:rsidRPr="00B32BF5" w:rsidRDefault="00693173" w:rsidP="000A243B">
      <w:pPr>
        <w:spacing w:line="260" w:lineRule="exact"/>
        <w:jc w:val="both"/>
        <w:rPr>
          <w:b/>
          <w:bCs/>
          <w:sz w:val="22"/>
          <w:szCs w:val="22"/>
          <w:lang w:val="sr-Latn-ME"/>
        </w:rPr>
      </w:pPr>
      <w:r w:rsidRPr="00B32BF5">
        <w:rPr>
          <w:sz w:val="22"/>
          <w:szCs w:val="22"/>
          <w:lang w:val="sr-Latn-ME"/>
        </w:rPr>
        <w:t>Nema poznatog antidota. Esomeprazol se ekstenzivno vezuje za proteine plazme, tako da se ne može ukloniti dijalizom. Kao u slučaju svakog drugog predoziranja, terapija treba da bude simptomatska i treba primijeniti opšte suportivne mjere.</w:t>
      </w:r>
    </w:p>
    <w:p w:rsidR="00227BDB" w:rsidRDefault="00227BDB" w:rsidP="000A243B">
      <w:pPr>
        <w:tabs>
          <w:tab w:val="left" w:pos="540"/>
          <w:tab w:val="left" w:pos="569"/>
        </w:tabs>
        <w:jc w:val="both"/>
        <w:rPr>
          <w:b/>
          <w:bCs/>
          <w:sz w:val="22"/>
          <w:szCs w:val="22"/>
          <w:lang w:val="sr-Latn-ME"/>
        </w:rPr>
      </w:pPr>
    </w:p>
    <w:p w:rsidR="009E3452" w:rsidRPr="00B32BF5" w:rsidRDefault="009E3452" w:rsidP="000A243B">
      <w:pPr>
        <w:tabs>
          <w:tab w:val="left" w:pos="540"/>
          <w:tab w:val="left" w:pos="569"/>
        </w:tabs>
        <w:jc w:val="both"/>
        <w:rPr>
          <w:b/>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5. </w:t>
      </w:r>
      <w:r w:rsidR="00480FB1" w:rsidRPr="00B32BF5">
        <w:rPr>
          <w:b/>
          <w:bCs/>
          <w:sz w:val="22"/>
          <w:szCs w:val="22"/>
          <w:lang w:val="sr-Latn-ME"/>
        </w:rPr>
        <w:tab/>
      </w:r>
      <w:r w:rsidRPr="00B32BF5">
        <w:rPr>
          <w:b/>
          <w:bCs/>
          <w:sz w:val="22"/>
          <w:szCs w:val="22"/>
          <w:lang w:val="sr-Latn-ME"/>
        </w:rPr>
        <w:t>FARMAKOLOŠK</w:t>
      </w:r>
      <w:r w:rsidR="000D425A" w:rsidRPr="00B32BF5">
        <w:rPr>
          <w:b/>
          <w:bCs/>
          <w:sz w:val="22"/>
          <w:szCs w:val="22"/>
          <w:lang w:val="sr-Latn-ME"/>
        </w:rPr>
        <w:t>I</w:t>
      </w:r>
      <w:r w:rsidRPr="00B32BF5">
        <w:rPr>
          <w:b/>
          <w:bCs/>
          <w:sz w:val="22"/>
          <w:szCs w:val="22"/>
          <w:lang w:val="sr-Latn-ME"/>
        </w:rPr>
        <w:t xml:space="preserve"> PODACI</w:t>
      </w:r>
    </w:p>
    <w:p w:rsidR="0072020E" w:rsidRPr="00B32BF5" w:rsidRDefault="0072020E" w:rsidP="000A243B">
      <w:pPr>
        <w:tabs>
          <w:tab w:val="left" w:pos="540"/>
          <w:tab w:val="left" w:pos="569"/>
        </w:tabs>
        <w:jc w:val="both"/>
        <w:rPr>
          <w:b/>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5.1. </w:t>
      </w:r>
      <w:r w:rsidR="00480FB1" w:rsidRPr="00B32BF5">
        <w:rPr>
          <w:b/>
          <w:bCs/>
          <w:sz w:val="22"/>
          <w:szCs w:val="22"/>
          <w:lang w:val="sr-Latn-ME"/>
        </w:rPr>
        <w:tab/>
      </w:r>
      <w:r w:rsidRPr="00B32BF5">
        <w:rPr>
          <w:b/>
          <w:bCs/>
          <w:sz w:val="22"/>
          <w:szCs w:val="22"/>
          <w:lang w:val="sr-Latn-ME"/>
        </w:rPr>
        <w:t>Farmakodinamski podaci</w:t>
      </w:r>
      <w:r w:rsidR="003A7059" w:rsidRPr="00B32BF5">
        <w:rPr>
          <w:b/>
          <w:bCs/>
          <w:sz w:val="22"/>
          <w:szCs w:val="22"/>
          <w:lang w:val="sr-Latn-ME"/>
        </w:rPr>
        <w:t xml:space="preserve"> </w:t>
      </w:r>
    </w:p>
    <w:p w:rsidR="00693173" w:rsidRPr="00B32BF5" w:rsidRDefault="00693173" w:rsidP="002671C0">
      <w:pPr>
        <w:tabs>
          <w:tab w:val="left" w:pos="567"/>
        </w:tabs>
        <w:jc w:val="both"/>
        <w:rPr>
          <w:sz w:val="22"/>
          <w:szCs w:val="22"/>
          <w:lang w:val="sr-Latn-ME"/>
        </w:rPr>
      </w:pPr>
    </w:p>
    <w:p w:rsidR="00693173" w:rsidRPr="00B32BF5" w:rsidRDefault="00693173" w:rsidP="00A34CC6">
      <w:pPr>
        <w:tabs>
          <w:tab w:val="left" w:pos="567"/>
        </w:tabs>
        <w:jc w:val="both"/>
        <w:rPr>
          <w:sz w:val="22"/>
          <w:szCs w:val="22"/>
          <w:lang w:val="sr-Latn-ME"/>
        </w:rPr>
      </w:pPr>
      <w:r w:rsidRPr="00B32BF5">
        <w:rPr>
          <w:bCs/>
          <w:sz w:val="22"/>
          <w:szCs w:val="22"/>
          <w:lang w:val="sr-Latn-ME"/>
        </w:rPr>
        <w:t>Farmakoterapijska grupa:</w:t>
      </w:r>
      <w:r w:rsidRPr="00B32BF5">
        <w:rPr>
          <w:sz w:val="22"/>
          <w:szCs w:val="22"/>
          <w:lang w:val="sr-Latn-ME"/>
        </w:rPr>
        <w:t xml:space="preserve"> inhibitor protonske pumpe</w:t>
      </w:r>
    </w:p>
    <w:p w:rsidR="00693173" w:rsidRPr="00B32BF5" w:rsidRDefault="00693173">
      <w:pPr>
        <w:tabs>
          <w:tab w:val="left" w:pos="567"/>
        </w:tabs>
        <w:jc w:val="both"/>
        <w:rPr>
          <w:sz w:val="22"/>
          <w:szCs w:val="20"/>
          <w:lang w:val="sr-Latn-ME"/>
        </w:rPr>
      </w:pPr>
      <w:r w:rsidRPr="00B32BF5">
        <w:rPr>
          <w:sz w:val="22"/>
          <w:szCs w:val="22"/>
          <w:lang w:val="sr-Latn-ME"/>
        </w:rPr>
        <w:t xml:space="preserve">ATC kod: </w:t>
      </w:r>
      <w:r w:rsidRPr="00B32BF5">
        <w:rPr>
          <w:sz w:val="22"/>
          <w:szCs w:val="20"/>
          <w:lang w:val="sr-Latn-ME"/>
        </w:rPr>
        <w:t>A02BC05</w:t>
      </w:r>
    </w:p>
    <w:p w:rsidR="00693173" w:rsidRPr="00B32BF5" w:rsidRDefault="00693173">
      <w:pPr>
        <w:tabs>
          <w:tab w:val="left" w:pos="567"/>
        </w:tabs>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Esomeprazol je S-izomer omeprazola i smanjuje sekreciju želudačne kiseline posredstvom specifičnog, ciljnog mehanizma dejstva. On je specifični inhibitor protonske pumpe u parijetalnim ćelijama. R- i S izomer omeprazola imaju slično farmakodinamsko dejstvo.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lang w:val="sr-Latn-ME"/>
        </w:rPr>
      </w:pPr>
      <w:r w:rsidRPr="00B32BF5">
        <w:rPr>
          <w:i/>
          <w:sz w:val="22"/>
          <w:szCs w:val="20"/>
          <w:lang w:val="sr-Latn-ME"/>
        </w:rPr>
        <w:t xml:space="preserve">Mehanizam dejstva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Esomeprazol je slaba baza i koncentruje se i konvertuje u aktivni oblik u visoko kiseloj sredini sekretornih kanalikula parijetalnih ćelija gdje inhibira enzim H +K + -ATPazu – kiselinske pumpe i inhibira i bazalno i stimulisano lučenje kiseline.</w:t>
      </w:r>
    </w:p>
    <w:p w:rsidR="00693173" w:rsidRPr="00B32BF5" w:rsidRDefault="00693173" w:rsidP="000A243B">
      <w:pPr>
        <w:tabs>
          <w:tab w:val="left" w:pos="567"/>
        </w:tabs>
        <w:spacing w:line="260" w:lineRule="exact"/>
        <w:jc w:val="both"/>
        <w:rPr>
          <w:sz w:val="22"/>
          <w:szCs w:val="20"/>
          <w:lang w:val="sr-Latn-ME"/>
        </w:rPr>
      </w:pPr>
    </w:p>
    <w:p w:rsidR="00693173" w:rsidRPr="00B32BF5" w:rsidRDefault="00693173" w:rsidP="002671C0">
      <w:pPr>
        <w:tabs>
          <w:tab w:val="left" w:pos="567"/>
        </w:tabs>
        <w:spacing w:line="260" w:lineRule="exact"/>
        <w:jc w:val="both"/>
        <w:rPr>
          <w:i/>
          <w:sz w:val="22"/>
          <w:szCs w:val="20"/>
          <w:lang w:val="sr-Latn-ME"/>
        </w:rPr>
      </w:pPr>
      <w:r w:rsidRPr="00B32BF5">
        <w:rPr>
          <w:i/>
          <w:sz w:val="22"/>
          <w:szCs w:val="20"/>
          <w:lang w:val="sr-Latn-ME"/>
        </w:rPr>
        <w:t xml:space="preserve">Farmakodinamski efekti </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 xml:space="preserve">Poslije 5 dana oralnog davanja 20 mg i 40 mg esomeprazola, intragastrični pH održavan je na vrijednosti preko 4 tokom prosječno 13 odnosno 17 časova, tokom 24 časa praćenja kod simptomatskih pacijenata sa GERB. Dejstvo je slično i nezavisno od toga da li se esomeprazol daje oralno ili intravenski.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Korišćenjem PIK kao surogata parametra za koncentraciju u plazmi, pokazan je odnos između inhibicije sekrecije kiseline i izloženosti poslije oralne primjene esomeprazola.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Tokom 24 časovnog perioda intravenske primjene 80 mg esomeprazola u vidu bolus infuzije tokom 30 minuta, nakon čega je uslijedila kontinuirana intravenska infuzija od 8 mg/h za 23,5 h, pH vrijednost u želucu iznad 4 je održana tokom 21 sata, a pH vrijednost iznad 6 je održana tokom 11 do 13 sati, ukupno preko 24h, kod zdravih dobrovoljaca.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lastRenderedPageBreak/>
        <w:t>Kada se daje esomeprazol 40 mg do izl</w:t>
      </w:r>
      <w:r w:rsidR="000A5F3C" w:rsidRPr="00B32BF5">
        <w:rPr>
          <w:sz w:val="22"/>
          <w:szCs w:val="20"/>
          <w:lang w:val="sr-Latn-ME"/>
        </w:rPr>
        <w:t>i</w:t>
      </w:r>
      <w:r w:rsidRPr="00B32BF5">
        <w:rPr>
          <w:sz w:val="22"/>
          <w:szCs w:val="20"/>
          <w:lang w:val="sr-Latn-ME"/>
        </w:rPr>
        <w:t xml:space="preserve">ječenja refluksnog ezofagitisa dolazi kod 78% pacijenata poslije 4 nedjelje i kod 93% poslije 8 nedjelja oralne terapije.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U randomizovanoj, dvostruko slijepoj, placebo kontrolisanoj studiji, pacijenti sa endoskopski potvrđenim krvarenjem peptičkog ulkusa, klasifikovani po Forrest klasifikaciji kao Ia, Ib, IIa ili IIb (9%, 43%, 38% i 10%) su randomizovani da prime esomeprazol rastvor za infuziju (n=375) ili placebo (n=389). Nakon endoskopske hemostaze, pacijenti su primili ili 80 mg esomeprazola kao intravensku infuziju tokom 30 minuta, nakon čega je uslijedila infuzija od 8 mg/h ili placebo, u toku 72 sata. Nakon inicijalnog perioda od 72 h, svi pacijenti su u otvorenom dijelu studije primili 40 mg esomeprazola oralno tokom 27 dana radi supresije želudačne kiseline. Pojavljivanje ponovnog krvarenja u toku 3 dana je bilo 5,9% u grupi pacijenata liječenih esomeprazolom u poređenju sa 10,3% u grupi pacijenata koji su primali placebo. Nakon 30 dana terapije, pojava ponovnog krvarenja u esomeprazol grupi je bila 7,7 % u odnosu na 13,6 % u placebo grupi.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Tokom terapije antisekretornim ljekovima nivoi gastrina u serumu rastu kao odgovor na smanjenu sekreciju kiseline. Nivo hromogranina A se povećava zbog smanjene gastrične kiselosti. Povećanje nivoa CgA može interferirati sa ispitivanjima na neuroendokrine tumore. U literaturi se navodi da terapiju inhibitorima protonske pumpe treba prekinuti najmanje 5 dana prije određivanja CgA. Ako se nivoi CgA i gastrina ne normalizuju u roku od 5 dana, određivanje treba ponoviti nakon 14 dana od prekida terapije esomeprazolom.</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Povećani broj ECL ćelija, koji je možda povezan sa povišenim nivoima gastrina u serumu, zabilježen je kod djece i kod odraslih koji su na dugotrajnoj terapiji esomeprazolom. Smatra se da ovi nalazi nemaju klinički značaj.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Tokom dugoročne oralne terapije antisekretornim ljekovima, bilježi se pojava gastričnih glandularnih cisti sa nešto povećanom učestalošću. Ove promjene su fiziološka posljedica izražene inhibicije sekrecije kiseline, benigne su i izgleda su ireverzibilne.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Smanjena kiselost želuca iz bilo kog razloga, uključujući i primjenu inhibitora protonske pumpe, povećava broj bakterija u želucu koje su inače normalno prisutne u gastrointestinalnom traktu. Terapija inhibitorima protonske pumpe može da dovede do blagog povećanja rizika od gastrointestinalnih infekcija kao što su infekcije bakterijama </w:t>
      </w:r>
      <w:r w:rsidRPr="00B32BF5">
        <w:rPr>
          <w:i/>
          <w:sz w:val="22"/>
          <w:szCs w:val="20"/>
          <w:lang w:val="sr-Latn-ME"/>
        </w:rPr>
        <w:t>Salmonella</w:t>
      </w:r>
      <w:r w:rsidRPr="00B32BF5">
        <w:rPr>
          <w:sz w:val="22"/>
          <w:szCs w:val="20"/>
          <w:lang w:val="sr-Latn-ME"/>
        </w:rPr>
        <w:t xml:space="preserve"> i </w:t>
      </w:r>
      <w:r w:rsidRPr="00B32BF5">
        <w:rPr>
          <w:i/>
          <w:sz w:val="22"/>
          <w:szCs w:val="20"/>
          <w:lang w:val="sr-Latn-ME"/>
        </w:rPr>
        <w:t>Campylobacter</w:t>
      </w:r>
      <w:r w:rsidRPr="00B32BF5">
        <w:rPr>
          <w:sz w:val="22"/>
          <w:szCs w:val="20"/>
          <w:lang w:val="sr-Latn-ME"/>
        </w:rPr>
        <w:t xml:space="preserve"> i kod hospitalizovanih pacijenata bakterijom </w:t>
      </w:r>
      <w:r w:rsidRPr="00B32BF5">
        <w:rPr>
          <w:i/>
          <w:sz w:val="22"/>
          <w:szCs w:val="20"/>
          <w:lang w:val="sr-Latn-ME"/>
        </w:rPr>
        <w:t>Clostridium difficile</w:t>
      </w:r>
      <w:r w:rsidRPr="00B32BF5">
        <w:rPr>
          <w:sz w:val="22"/>
          <w:szCs w:val="20"/>
          <w:lang w:val="sr-Latn-ME"/>
        </w:rPr>
        <w:t xml:space="preserve">. </w:t>
      </w:r>
    </w:p>
    <w:p w:rsidR="00693173" w:rsidRPr="00B32BF5" w:rsidRDefault="00693173" w:rsidP="000A243B">
      <w:pPr>
        <w:tabs>
          <w:tab w:val="left" w:pos="567"/>
        </w:tabs>
        <w:spacing w:line="260" w:lineRule="exact"/>
        <w:jc w:val="both"/>
        <w:rPr>
          <w:sz w:val="22"/>
          <w:szCs w:val="20"/>
          <w:lang w:val="sr-Latn-ME"/>
        </w:rPr>
      </w:pPr>
    </w:p>
    <w:p w:rsidR="00693173" w:rsidRPr="00B32BF5" w:rsidRDefault="00693173" w:rsidP="002671C0">
      <w:pPr>
        <w:tabs>
          <w:tab w:val="left" w:pos="567"/>
        </w:tabs>
        <w:spacing w:line="260" w:lineRule="exact"/>
        <w:jc w:val="both"/>
        <w:rPr>
          <w:i/>
          <w:sz w:val="22"/>
          <w:szCs w:val="20"/>
          <w:u w:val="single"/>
          <w:lang w:val="sr-Latn-ME"/>
        </w:rPr>
      </w:pPr>
      <w:r w:rsidRPr="00B32BF5">
        <w:rPr>
          <w:i/>
          <w:sz w:val="22"/>
          <w:szCs w:val="20"/>
          <w:u w:val="single"/>
          <w:lang w:val="sr-Latn-ME"/>
        </w:rPr>
        <w:t xml:space="preserve">Pedijatrijska populacija </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 xml:space="preserve">U placebo-kontrolisanoj studiji (98 pacijenata uzrasta od 1 do 11 mjeseci) ispitivane su efikasnost i bezbjednost lijeka kod pacijenata sa znakovima i simptomima GERB. Esomeprazol 1 mg/kg je primjenjivan oralno tokom 2 nedjelje (otvorena faza studije), a 80 pacijenata je bilo uključeno još 4 nedjelje (duplo-slijepa faza prekida terapije). Nije bilo značajne razlike između esomeprazola i placeba u primarnom cilju studije, a to je bilo vrijeme do prekida terapije zbog pogoršanja simptoma.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U placebo-kontrolisanoj studiji (52 pacijenta uzrasta </w:t>
      </w:r>
      <w:r w:rsidRPr="00B32BF5">
        <w:rPr>
          <w:sz w:val="22"/>
          <w:szCs w:val="20"/>
          <w:lang w:val="sr-Latn-ME"/>
        </w:rPr>
        <w:sym w:font="Symbol" w:char="F03C"/>
      </w:r>
      <w:r w:rsidRPr="00B32BF5">
        <w:rPr>
          <w:sz w:val="22"/>
          <w:szCs w:val="20"/>
          <w:lang w:val="sr-Latn-ME"/>
        </w:rPr>
        <w:t xml:space="preserve"> 1 mjesec) ispitivane su efikasnost i bezbjednost lijeka kod pacijenata sa znakovima i simptomima GERB. Esomeprazol 0,5 mg/kg jednom dnevno je primjenjivan oralno tokom najmanje 10 dana. Nije bilo značajne razlike između esomeprazola i placeba u primarnom cilju studije, a to je bila promjena u učestalosti pojave simptoma GERB.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Rezultati pedijatrijskih studija dalje pokazuju da je primjena 0,5 mg/kg esomeprazola kod djece mlađe od 1 mjeseca i 1mg/kg kod djece uzrasta od 1 do 11 mjeseci smanjila prosječno vrijeme tokom koga je intraezofagealni pH </w:t>
      </w:r>
      <w:r w:rsidRPr="00B32BF5">
        <w:rPr>
          <w:sz w:val="22"/>
          <w:szCs w:val="20"/>
          <w:lang w:val="sr-Latn-ME"/>
        </w:rPr>
        <w:sym w:font="Symbol" w:char="F03C"/>
      </w:r>
      <w:r w:rsidRPr="00B32BF5">
        <w:rPr>
          <w:sz w:val="22"/>
          <w:szCs w:val="20"/>
          <w:lang w:val="sr-Latn-ME"/>
        </w:rPr>
        <w:t xml:space="preserve"> 4.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Bezbjednosni profil se pokazao sličnim profilu zapaženom kod odraslih.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jc w:val="both"/>
        <w:rPr>
          <w:i/>
          <w:sz w:val="22"/>
          <w:szCs w:val="20"/>
          <w:lang w:val="sr-Latn-ME"/>
        </w:rPr>
      </w:pPr>
      <w:r w:rsidRPr="00B32BF5">
        <w:rPr>
          <w:sz w:val="22"/>
          <w:szCs w:val="20"/>
          <w:lang w:val="sr-Latn-ME"/>
        </w:rPr>
        <w:t xml:space="preserve">U studiji sprovedenoj sa pedijatrijskim pacijentima sa gastroezofagealnom refluksnom bolešću (uzrasta od </w:t>
      </w:r>
      <w:r w:rsidRPr="00B32BF5">
        <w:rPr>
          <w:sz w:val="22"/>
          <w:szCs w:val="20"/>
          <w:lang w:val="sr-Latn-ME"/>
        </w:rPr>
        <w:sym w:font="Symbol" w:char="F03C"/>
      </w:r>
      <w:r w:rsidRPr="00B32BF5">
        <w:rPr>
          <w:sz w:val="22"/>
          <w:szCs w:val="20"/>
          <w:lang w:val="sr-Latn-ME"/>
        </w:rPr>
        <w:t xml:space="preserve">1 do 17 godina) koji su bili na dugotrajnoj terapiji inhibitorima protonske pumpe, 61% djece je </w:t>
      </w:r>
      <w:r w:rsidRPr="00B32BF5">
        <w:rPr>
          <w:sz w:val="22"/>
          <w:szCs w:val="20"/>
          <w:lang w:val="sr-Latn-ME"/>
        </w:rPr>
        <w:lastRenderedPageBreak/>
        <w:t>razvilo hiperplaziju ECL ćelija manjeg stepena, nepoznatog kliničkog značaja i bez razvoja atrofičnog gastritisa ili karcinoidnih tumora.</w:t>
      </w:r>
    </w:p>
    <w:p w:rsidR="002E37A5" w:rsidRPr="00B32BF5" w:rsidRDefault="002E37A5" w:rsidP="000A243B">
      <w:pPr>
        <w:tabs>
          <w:tab w:val="left" w:pos="540"/>
          <w:tab w:val="left" w:pos="569"/>
        </w:tabs>
        <w:jc w:val="both"/>
        <w:rPr>
          <w:b/>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5.2. </w:t>
      </w:r>
      <w:r w:rsidR="00480FB1" w:rsidRPr="00B32BF5">
        <w:rPr>
          <w:b/>
          <w:bCs/>
          <w:sz w:val="22"/>
          <w:szCs w:val="22"/>
          <w:lang w:val="sr-Latn-ME"/>
        </w:rPr>
        <w:tab/>
      </w:r>
      <w:r w:rsidRPr="00B32BF5">
        <w:rPr>
          <w:b/>
          <w:bCs/>
          <w:sz w:val="22"/>
          <w:szCs w:val="22"/>
          <w:lang w:val="sr-Latn-ME"/>
        </w:rPr>
        <w:t>Farmakokinetički podaci</w:t>
      </w:r>
      <w:r w:rsidR="003A7059" w:rsidRPr="00B32BF5">
        <w:rPr>
          <w:b/>
          <w:bCs/>
          <w:sz w:val="22"/>
          <w:szCs w:val="22"/>
          <w:lang w:val="sr-Latn-ME"/>
        </w:rPr>
        <w:t xml:space="preserve"> </w:t>
      </w:r>
    </w:p>
    <w:p w:rsidR="008F665B" w:rsidRPr="00B32BF5" w:rsidRDefault="008F665B" w:rsidP="000A243B">
      <w:pPr>
        <w:tabs>
          <w:tab w:val="left" w:pos="540"/>
          <w:tab w:val="left" w:pos="569"/>
        </w:tabs>
        <w:jc w:val="both"/>
        <w:rPr>
          <w:b/>
          <w:bCs/>
          <w:sz w:val="22"/>
          <w:szCs w:val="22"/>
          <w:lang w:val="sr-Latn-ME"/>
        </w:rPr>
      </w:pPr>
    </w:p>
    <w:p w:rsidR="00693173" w:rsidRPr="00B32BF5" w:rsidRDefault="00693173" w:rsidP="002671C0">
      <w:pPr>
        <w:tabs>
          <w:tab w:val="left" w:pos="567"/>
        </w:tabs>
        <w:spacing w:line="260" w:lineRule="exact"/>
        <w:jc w:val="both"/>
        <w:rPr>
          <w:i/>
          <w:sz w:val="22"/>
          <w:szCs w:val="20"/>
          <w:lang w:val="sr-Latn-ME"/>
        </w:rPr>
      </w:pPr>
      <w:r w:rsidRPr="00B32BF5">
        <w:rPr>
          <w:i/>
          <w:sz w:val="22"/>
          <w:szCs w:val="20"/>
          <w:lang w:val="sr-Latn-ME"/>
        </w:rPr>
        <w:t xml:space="preserve">Distribucija </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 xml:space="preserve">Volumen distribucije u stanju ravnoteže kod zdravih ispitanika iznosi približno 0.22 </w:t>
      </w:r>
      <w:r w:rsidR="008F665B" w:rsidRPr="00B32BF5">
        <w:rPr>
          <w:sz w:val="22"/>
          <w:szCs w:val="20"/>
          <w:lang w:val="sr-Latn-ME"/>
        </w:rPr>
        <w:t>l</w:t>
      </w:r>
      <w:r w:rsidRPr="00B32BF5">
        <w:rPr>
          <w:sz w:val="22"/>
          <w:szCs w:val="20"/>
          <w:lang w:val="sr-Latn-ME"/>
        </w:rPr>
        <w:t xml:space="preserve">/kg tjelesne mase. Esomeprazol se 97 % vezuje za proteine plazme.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lang w:val="sr-Latn-ME"/>
        </w:rPr>
      </w:pPr>
      <w:r w:rsidRPr="00B32BF5">
        <w:rPr>
          <w:i/>
          <w:sz w:val="22"/>
          <w:szCs w:val="20"/>
          <w:lang w:val="sr-Latn-ME"/>
        </w:rPr>
        <w:t xml:space="preserve">Biotransformacija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Esomeprazol se potpuno metaboliše pomoću sistema citohroma P450 (CYP). Glavni dio metabolizma esomeprazola zavisi od polimorfnog CYP2C19, koji je odgovoran za formiranje hidroksi- i desmetil metabolita esomeprazola. Preostali dio zavisi od drugog specifičnog izoforma, CYP3A4, koji je odgovoran za stvaranje esomeprazol sulfona, glavnog metabolita u plazmi.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i/>
          <w:sz w:val="22"/>
          <w:szCs w:val="20"/>
          <w:lang w:val="sr-Latn-ME"/>
        </w:rPr>
        <w:t>Eliminacija</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Dolje navedeni parametri odnose se uglavnom na farmakokinetiku kod pojedinaca sa funkcionalnim CYP2C19 enzimom, koji lij</w:t>
      </w:r>
      <w:r w:rsidR="008F665B" w:rsidRPr="00B32BF5">
        <w:rPr>
          <w:sz w:val="22"/>
          <w:szCs w:val="20"/>
          <w:lang w:val="sr-Latn-ME"/>
        </w:rPr>
        <w:t>e</w:t>
      </w:r>
      <w:r w:rsidRPr="00B32BF5">
        <w:rPr>
          <w:sz w:val="22"/>
          <w:szCs w:val="20"/>
          <w:lang w:val="sr-Latn-ME"/>
        </w:rPr>
        <w:t xml:space="preserve">k ekstenzivno metabolišu.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Ukupni klirens iz plazme je oko 17 </w:t>
      </w:r>
      <w:r w:rsidR="008F665B" w:rsidRPr="00B32BF5">
        <w:rPr>
          <w:sz w:val="22"/>
          <w:szCs w:val="20"/>
          <w:lang w:val="sr-Latn-ME"/>
        </w:rPr>
        <w:t>l</w:t>
      </w:r>
      <w:r w:rsidRPr="00B32BF5">
        <w:rPr>
          <w:sz w:val="22"/>
          <w:szCs w:val="20"/>
          <w:lang w:val="sr-Latn-ME"/>
        </w:rPr>
        <w:t xml:space="preserve">/h poslije pojedinačne doze i oko 9 </w:t>
      </w:r>
      <w:r w:rsidR="008F665B" w:rsidRPr="00B32BF5">
        <w:rPr>
          <w:sz w:val="22"/>
          <w:szCs w:val="20"/>
          <w:lang w:val="sr-Latn-ME"/>
        </w:rPr>
        <w:t>l</w:t>
      </w:r>
      <w:r w:rsidRPr="00B32BF5">
        <w:rPr>
          <w:sz w:val="22"/>
          <w:szCs w:val="20"/>
          <w:lang w:val="sr-Latn-ME"/>
        </w:rPr>
        <w:t>/h posl</w:t>
      </w:r>
      <w:r w:rsidR="008F665B" w:rsidRPr="00B32BF5">
        <w:rPr>
          <w:sz w:val="22"/>
          <w:szCs w:val="20"/>
          <w:lang w:val="sr-Latn-ME"/>
        </w:rPr>
        <w:t>ij</w:t>
      </w:r>
      <w:r w:rsidRPr="00B32BF5">
        <w:rPr>
          <w:sz w:val="22"/>
          <w:szCs w:val="20"/>
          <w:lang w:val="sr-Latn-ME"/>
        </w:rPr>
        <w:t xml:space="preserve">e ponavljanih doza. Poluvrijeme eliminacije iz plazme iznosi oko 1,3h poslije ponavljanog doziranja jednom dnevno.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Esomeprazol se potpuno eliminiše iz plazme između doza bez tendencije da se nagomilava kada se daje jednom dnevno.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Glavni metaboliti esomeprazola nemaju dejstva na sekreciju želudačne kiseline. Skoro 80% oralne doze esomeprazola izlučuje se u urin</w:t>
      </w:r>
      <w:r w:rsidR="008F665B" w:rsidRPr="00B32BF5">
        <w:rPr>
          <w:sz w:val="22"/>
          <w:szCs w:val="20"/>
          <w:lang w:val="sr-Latn-ME"/>
        </w:rPr>
        <w:t>u</w:t>
      </w:r>
      <w:r w:rsidRPr="00B32BF5">
        <w:rPr>
          <w:sz w:val="22"/>
          <w:szCs w:val="20"/>
          <w:lang w:val="sr-Latn-ME"/>
        </w:rPr>
        <w:t xml:space="preserve"> u vidu metabolita, a preostali dio u feces</w:t>
      </w:r>
      <w:r w:rsidR="008F665B" w:rsidRPr="00B32BF5">
        <w:rPr>
          <w:sz w:val="22"/>
          <w:szCs w:val="20"/>
          <w:lang w:val="sr-Latn-ME"/>
        </w:rPr>
        <w:t>u</w:t>
      </w:r>
      <w:r w:rsidRPr="00B32BF5">
        <w:rPr>
          <w:sz w:val="22"/>
          <w:szCs w:val="20"/>
          <w:lang w:val="sr-Latn-ME"/>
        </w:rPr>
        <w:t xml:space="preserve">. U urinu se nalazi manje od 1% osnovnog jedinjenja. </w:t>
      </w:r>
    </w:p>
    <w:p w:rsidR="00693173" w:rsidRPr="00B32BF5" w:rsidRDefault="00693173" w:rsidP="000A243B">
      <w:pPr>
        <w:tabs>
          <w:tab w:val="left" w:pos="567"/>
        </w:tabs>
        <w:spacing w:line="260" w:lineRule="exact"/>
        <w:jc w:val="both"/>
        <w:rPr>
          <w:sz w:val="22"/>
          <w:szCs w:val="20"/>
          <w:lang w:val="sr-Latn-ME"/>
        </w:rPr>
      </w:pPr>
    </w:p>
    <w:p w:rsidR="00693173" w:rsidRPr="00B32BF5" w:rsidRDefault="00693173" w:rsidP="002671C0">
      <w:pPr>
        <w:tabs>
          <w:tab w:val="left" w:pos="567"/>
        </w:tabs>
        <w:spacing w:line="260" w:lineRule="exact"/>
        <w:jc w:val="both"/>
        <w:rPr>
          <w:sz w:val="22"/>
          <w:szCs w:val="20"/>
          <w:lang w:val="sr-Latn-ME"/>
        </w:rPr>
      </w:pPr>
      <w:r w:rsidRPr="00B32BF5">
        <w:rPr>
          <w:i/>
          <w:sz w:val="22"/>
          <w:szCs w:val="20"/>
          <w:lang w:val="sr-Latn-ME"/>
        </w:rPr>
        <w:t>Linearnost/nelinearnost</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Ukupna izloženost (PIK) povećava se sa ponavljanim davanjem esomeprazola. Ovo povećanje je dozno zavisno i dovodi do nelinearnog odnosa doze i PIK posl</w:t>
      </w:r>
      <w:r w:rsidR="008F665B" w:rsidRPr="00B32BF5">
        <w:rPr>
          <w:sz w:val="22"/>
          <w:szCs w:val="20"/>
          <w:lang w:val="sr-Latn-ME"/>
        </w:rPr>
        <w:t>ij</w:t>
      </w:r>
      <w:r w:rsidRPr="00B32BF5">
        <w:rPr>
          <w:sz w:val="22"/>
          <w:szCs w:val="20"/>
          <w:lang w:val="sr-Latn-ME"/>
        </w:rPr>
        <w:t>e ponavljanog davanja. Ova zavisnost od vremena i visine doze posljedica je smanjenja metabolizma prvog prolaza i sistemskog klirensa koja je v</w:t>
      </w:r>
      <w:r w:rsidR="008F665B" w:rsidRPr="00B32BF5">
        <w:rPr>
          <w:sz w:val="22"/>
          <w:szCs w:val="20"/>
          <w:lang w:val="sr-Latn-ME"/>
        </w:rPr>
        <w:t>j</w:t>
      </w:r>
      <w:r w:rsidRPr="00B32BF5">
        <w:rPr>
          <w:sz w:val="22"/>
          <w:szCs w:val="20"/>
          <w:lang w:val="sr-Latn-ME"/>
        </w:rPr>
        <w:t xml:space="preserve">erovatno izazvana inhibicijom enzima CYP2C19 pomoću esomeprazola i/ili njegovog sulfonskog metabolita.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Nakon ponavljanog davanju doze od 40 mg u vidu intravenske injekcije, postižu se srednje koncentracije u plazmi od oko 13,6 mikromol/</w:t>
      </w:r>
      <w:r w:rsidR="008F665B" w:rsidRPr="00B32BF5">
        <w:rPr>
          <w:sz w:val="22"/>
          <w:szCs w:val="20"/>
          <w:lang w:val="sr-Latn-ME"/>
        </w:rPr>
        <w:t>l</w:t>
      </w:r>
      <w:r w:rsidRPr="00B32BF5">
        <w:rPr>
          <w:sz w:val="22"/>
          <w:szCs w:val="20"/>
          <w:lang w:val="sr-Latn-ME"/>
        </w:rPr>
        <w:t>. Srednje maksimalne koncentracije u plazmi poslije odgovarajuće oralne doze su približno 4,6 mikromol/</w:t>
      </w:r>
      <w:r w:rsidR="008F665B" w:rsidRPr="00B32BF5">
        <w:rPr>
          <w:sz w:val="22"/>
          <w:szCs w:val="20"/>
          <w:lang w:val="sr-Latn-ME"/>
        </w:rPr>
        <w:t>l</w:t>
      </w:r>
      <w:r w:rsidRPr="00B32BF5">
        <w:rPr>
          <w:sz w:val="22"/>
          <w:szCs w:val="20"/>
          <w:lang w:val="sr-Latn-ME"/>
        </w:rPr>
        <w:t xml:space="preserve">. Manje povećanje (od oko 30%) može da se vidi pri intravenskoj primjeni u poređenju sa oralno u ukupnoj izloženosti pacijenata.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Postoji dozno-linearno povećanje ukupne izloženosti nakon intravenske primjene esomeprazola u vidu 30- minutne infuzije (40 mg, 80 mg, 120 mg) praćene kontinuiranom infuzijom (4mg/h ili 8mg/h) u toku 23,5 h.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i/>
          <w:sz w:val="22"/>
          <w:szCs w:val="20"/>
          <w:lang w:val="sr-Latn-ME"/>
        </w:rPr>
      </w:pPr>
      <w:r w:rsidRPr="00B32BF5">
        <w:rPr>
          <w:i/>
          <w:sz w:val="22"/>
          <w:szCs w:val="20"/>
          <w:lang w:val="sr-Latn-ME"/>
        </w:rPr>
        <w:t>Posebne populacije pacijenata</w:t>
      </w:r>
    </w:p>
    <w:p w:rsidR="008F665B" w:rsidRPr="00B32BF5" w:rsidRDefault="008F665B">
      <w:pPr>
        <w:tabs>
          <w:tab w:val="left" w:pos="567"/>
        </w:tabs>
        <w:spacing w:line="260" w:lineRule="exact"/>
        <w:jc w:val="both"/>
        <w:rPr>
          <w:sz w:val="22"/>
          <w:szCs w:val="20"/>
          <w:lang w:val="sr-Latn-ME"/>
        </w:rPr>
      </w:pPr>
    </w:p>
    <w:p w:rsidR="00693173" w:rsidRPr="000A243B" w:rsidRDefault="00693173">
      <w:pPr>
        <w:tabs>
          <w:tab w:val="left" w:pos="567"/>
        </w:tabs>
        <w:spacing w:line="260" w:lineRule="exact"/>
        <w:jc w:val="both"/>
        <w:rPr>
          <w:sz w:val="22"/>
          <w:szCs w:val="20"/>
          <w:u w:val="single"/>
          <w:lang w:val="sr-Latn-ME"/>
        </w:rPr>
      </w:pPr>
      <w:r w:rsidRPr="000A243B">
        <w:rPr>
          <w:sz w:val="22"/>
          <w:szCs w:val="20"/>
          <w:u w:val="single"/>
          <w:lang w:val="sr-Latn-ME"/>
        </w:rPr>
        <w:t xml:space="preserve">Slabi metabolizeri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Približno 2,9 </w:t>
      </w:r>
      <w:r w:rsidRPr="00B32BF5">
        <w:rPr>
          <w:sz w:val="22"/>
          <w:szCs w:val="20"/>
          <w:lang w:val="sr-Latn-ME"/>
        </w:rPr>
        <w:sym w:font="Symbol" w:char="F0B1"/>
      </w:r>
      <w:r w:rsidRPr="00B32BF5">
        <w:rPr>
          <w:sz w:val="22"/>
          <w:szCs w:val="20"/>
          <w:lang w:val="sr-Latn-ME"/>
        </w:rPr>
        <w:t xml:space="preserve"> 1,5 % populacije nema funkcionalni CYP2C19 enzim i oni se nazivanju slabi metabolizeri. Kod ovih ljudi, metabolizam esomeprazola je vjerovatno katalizovan pomoću CYP3A4. Poslije ponavljanih doza od 40 mg oralno datog esomeprazola jednom dnevno, srednje ukupno izlaganje bilo je otprilike 100 % veće kod slabih metabolizera, nego kod onih koji imaju funkcionalni enzim CYP2C19 (oni koji ekstenzivno metabolišu). Srednje koncentracije u plazmi bile su povećane za oko 60 %. Slične razlike zabilježene su i kada se radi o intravenskoj primjeni esomeprazola. Ovi nalazi nemaju nikakvih implikacija na doziranje esomeprazole.</w:t>
      </w:r>
    </w:p>
    <w:p w:rsidR="00693173" w:rsidRPr="00B32BF5" w:rsidRDefault="00693173">
      <w:pPr>
        <w:tabs>
          <w:tab w:val="left" w:pos="567"/>
        </w:tabs>
        <w:spacing w:line="260" w:lineRule="exact"/>
        <w:jc w:val="both"/>
        <w:rPr>
          <w:sz w:val="22"/>
          <w:szCs w:val="20"/>
          <w:lang w:val="sr-Latn-ME"/>
        </w:rPr>
      </w:pPr>
    </w:p>
    <w:p w:rsidR="00693173" w:rsidRPr="000A243B" w:rsidRDefault="00693173">
      <w:pPr>
        <w:tabs>
          <w:tab w:val="left" w:pos="567"/>
        </w:tabs>
        <w:spacing w:line="260" w:lineRule="exact"/>
        <w:jc w:val="both"/>
        <w:rPr>
          <w:sz w:val="22"/>
          <w:szCs w:val="20"/>
          <w:u w:val="single"/>
          <w:lang w:val="sr-Latn-ME"/>
        </w:rPr>
      </w:pPr>
      <w:r w:rsidRPr="000A243B">
        <w:rPr>
          <w:sz w:val="22"/>
          <w:szCs w:val="20"/>
          <w:u w:val="single"/>
          <w:lang w:val="sr-Latn-ME"/>
        </w:rPr>
        <w:t xml:space="preserve">Pol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Poslije pojedinačne oralne doze od 40 mg esomeprazola, srednje ukupno izlaganje je približno 30% veće kod žena nego kod muškaraca. Ni</w:t>
      </w:r>
      <w:r w:rsidR="008F665B" w:rsidRPr="00B32BF5">
        <w:rPr>
          <w:sz w:val="22"/>
          <w:szCs w:val="20"/>
          <w:lang w:val="sr-Latn-ME"/>
        </w:rPr>
        <w:t>je</w:t>
      </w:r>
      <w:r w:rsidRPr="00B32BF5">
        <w:rPr>
          <w:sz w:val="22"/>
          <w:szCs w:val="20"/>
          <w:lang w:val="sr-Latn-ME"/>
        </w:rPr>
        <w:t xml:space="preserve">su zabilježene nikakve razlike između polova kada se doze </w:t>
      </w:r>
      <w:r w:rsidRPr="00B32BF5">
        <w:rPr>
          <w:sz w:val="22"/>
          <w:szCs w:val="20"/>
          <w:lang w:val="sr-Latn-ME"/>
        </w:rPr>
        <w:lastRenderedPageBreak/>
        <w:t xml:space="preserve">ponavljaju jednom dnevno. Slične razlike su zabilježene i kada se radi o intravenskom davanju esomeprazola. Ovi nalazi nemaju nikakvih implikacija na doziranje esomeprazola.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 xml:space="preserve">Oštećenje funkcije jetre </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Metabolizam esomeprazola može da bude oslabljen kod pacijenata sa blagim do umjerenim oboljenjem jetre. Brzina metabolisanja je umanjena kod pacijenata sa teškim oboljenjem jetre što dovodi do udvostručenog ukupnog izlaganja lijeku esomeprazol. Prema tome, kod pacijenata sa teškim oboljenjem jetre ne treba prekoračivati dozu od 20 mg kod GERB-a. Za pacijente sa krvarećim ulkusom i težim oštećenjem jetre, nakon inicijalne bolus doze od 80 mg, maksimalna doza od 4 mg/h za 71,5 h, data kontinuiranom intravenskom infuzijom može biti dovoljna. Esomeprazol, a ni njegovi glavni metaboliti ne pokazuju tendenciju nagomilavanja kada se daju jednom dnevno.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u w:val="single"/>
          <w:lang w:val="sr-Latn-ME"/>
        </w:rPr>
      </w:pPr>
      <w:r w:rsidRPr="00B32BF5">
        <w:rPr>
          <w:sz w:val="22"/>
          <w:szCs w:val="20"/>
          <w:u w:val="single"/>
          <w:lang w:val="sr-Latn-ME"/>
        </w:rPr>
        <w:t>Oštećenje funkcije bubrega</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Ni</w:t>
      </w:r>
      <w:r w:rsidR="008F665B" w:rsidRPr="00B32BF5">
        <w:rPr>
          <w:sz w:val="22"/>
          <w:szCs w:val="20"/>
          <w:lang w:val="sr-Latn-ME"/>
        </w:rPr>
        <w:t>je</w:t>
      </w:r>
      <w:r w:rsidRPr="00B32BF5">
        <w:rPr>
          <w:sz w:val="22"/>
          <w:szCs w:val="20"/>
          <w:lang w:val="sr-Latn-ME"/>
        </w:rPr>
        <w:t>su sprovedena ispitivanja kod pacijenata sa oslabljenom funkcijom bubrega. Budući da je bubreg odgovoran za izlučivanje metabolita esomeprazola, ali ne i za osnovno jedinjenje, ne očekuje se da metabolizam esomeprazola bude izm</w:t>
      </w:r>
      <w:r w:rsidR="00CC21B8" w:rsidRPr="00B32BF5">
        <w:rPr>
          <w:sz w:val="22"/>
          <w:szCs w:val="20"/>
          <w:lang w:val="sr-Latn-ME"/>
        </w:rPr>
        <w:t>ij</w:t>
      </w:r>
      <w:r w:rsidRPr="00B32BF5">
        <w:rPr>
          <w:sz w:val="22"/>
          <w:szCs w:val="20"/>
          <w:lang w:val="sr-Latn-ME"/>
        </w:rPr>
        <w:t xml:space="preserve">enjen kod pacijenata sa oslabljenom funkcijom bubrega.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u w:val="single"/>
          <w:lang w:val="sr-Latn-ME"/>
        </w:rPr>
        <w:t>Stariji pacijenti</w:t>
      </w: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 xml:space="preserve">Metabolizam esomeprazola nije značajnije promijenjen kod gerijatrijskih pacijenata (starosti 71-80 godina). </w:t>
      </w:r>
    </w:p>
    <w:p w:rsidR="00693173" w:rsidRPr="00B32BF5" w:rsidRDefault="00693173" w:rsidP="000A243B">
      <w:pPr>
        <w:tabs>
          <w:tab w:val="left" w:pos="567"/>
        </w:tabs>
        <w:spacing w:line="260" w:lineRule="exact"/>
        <w:jc w:val="both"/>
        <w:rPr>
          <w:sz w:val="22"/>
          <w:szCs w:val="20"/>
          <w:lang w:val="sr-Latn-ME"/>
        </w:rPr>
      </w:pPr>
    </w:p>
    <w:p w:rsidR="00693173" w:rsidRPr="000A243B" w:rsidRDefault="00693173" w:rsidP="002671C0">
      <w:pPr>
        <w:tabs>
          <w:tab w:val="left" w:pos="567"/>
        </w:tabs>
        <w:spacing w:line="260" w:lineRule="exact"/>
        <w:jc w:val="both"/>
        <w:rPr>
          <w:sz w:val="22"/>
          <w:szCs w:val="20"/>
          <w:u w:val="single"/>
          <w:lang w:val="sr-Latn-ME"/>
        </w:rPr>
      </w:pPr>
      <w:r w:rsidRPr="000A243B">
        <w:rPr>
          <w:sz w:val="22"/>
          <w:szCs w:val="20"/>
          <w:u w:val="single"/>
          <w:lang w:val="sr-Latn-ME"/>
        </w:rPr>
        <w:t>Pedijatrijska populacija</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U randomizovanoj, otvorenoj, multinacionalnoj studiji sa ponavljanim dozama esomeprazol primjenjivan</w:t>
      </w:r>
      <w:r w:rsidR="00CC21B8" w:rsidRPr="00B32BF5">
        <w:rPr>
          <w:sz w:val="22"/>
          <w:szCs w:val="20"/>
          <w:lang w:val="sr-Latn-ME"/>
        </w:rPr>
        <w:t>im</w:t>
      </w:r>
      <w:r w:rsidRPr="00B32BF5">
        <w:rPr>
          <w:sz w:val="22"/>
          <w:szCs w:val="20"/>
          <w:lang w:val="sr-Latn-ME"/>
        </w:rPr>
        <w:t xml:space="preserve"> jednom dnevno, kao injekcija u trajanju od 3 minuta tokom 4 dana. U studiju je bilo uključeno 59 pacijenata od 0 do 18 godina, od kojih je 50 pacijenata (od toga 7 u starosnoj grupi od 1 do 5 godina) završilo studiju i bilo je uključeno u evaluaciju farmakokinetike esomeprazola.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U tabeli ispod je opisana sistemska izloženost esomeprazolu nakon intravenske primjene 3-minutne injekcije jednom dnevno tokom 4 dana kod pedijatrijskih pacijenata i odraslih zdravih dobrovoljaca. Vrijednosti prikazane u tabeli su geometrijske vrijednosti (opseg vrijednosti). C</w:t>
      </w:r>
      <w:r w:rsidRPr="00B32BF5">
        <w:rPr>
          <w:sz w:val="22"/>
          <w:szCs w:val="20"/>
          <w:vertAlign w:val="subscript"/>
          <w:lang w:val="sr-Latn-ME"/>
        </w:rPr>
        <w:t>ss,max</w:t>
      </w:r>
      <w:r w:rsidRPr="00B32BF5">
        <w:rPr>
          <w:sz w:val="22"/>
          <w:szCs w:val="20"/>
          <w:lang w:val="sr-Latn-ME"/>
        </w:rPr>
        <w:t xml:space="preserve"> je mjerena 5 minuta nakon primjene lijeka u svim pedijatrijskim grupama, 7 minuta nakon primjene lijeka kod odraslih koji su primali dozu od 40</w:t>
      </w:r>
      <w:r w:rsidR="00CC21B8" w:rsidRPr="00B32BF5">
        <w:rPr>
          <w:sz w:val="22"/>
          <w:szCs w:val="20"/>
          <w:lang w:val="sr-Latn-ME"/>
        </w:rPr>
        <w:t xml:space="preserve"> </w:t>
      </w:r>
      <w:r w:rsidRPr="00B32BF5">
        <w:rPr>
          <w:sz w:val="22"/>
          <w:szCs w:val="20"/>
          <w:lang w:val="sr-Latn-ME"/>
        </w:rPr>
        <w:t>mg, a po završenoj infuziji kod odraslih koji su primali dozu od 20 mg.</w:t>
      </w:r>
    </w:p>
    <w:p w:rsidR="00693173" w:rsidRPr="00B32BF5" w:rsidRDefault="00693173" w:rsidP="000A243B">
      <w:pPr>
        <w:tabs>
          <w:tab w:val="left" w:pos="567"/>
        </w:tabs>
        <w:spacing w:line="260" w:lineRule="exact"/>
        <w:jc w:val="both"/>
        <w:rPr>
          <w:sz w:val="22"/>
          <w:szCs w:val="20"/>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2410"/>
        <w:gridCol w:w="2410"/>
      </w:tblGrid>
      <w:tr w:rsidR="00693173" w:rsidRPr="00B32BF5" w:rsidTr="00693173">
        <w:tc>
          <w:tcPr>
            <w:tcW w:w="1951" w:type="dxa"/>
          </w:tcPr>
          <w:p w:rsidR="00693173" w:rsidRPr="00B32BF5" w:rsidRDefault="00693173" w:rsidP="000A243B">
            <w:pPr>
              <w:tabs>
                <w:tab w:val="left" w:pos="567"/>
              </w:tabs>
              <w:spacing w:line="260" w:lineRule="exact"/>
              <w:jc w:val="both"/>
              <w:rPr>
                <w:b/>
                <w:sz w:val="22"/>
                <w:szCs w:val="22"/>
                <w:lang w:val="sr-Latn-ME"/>
              </w:rPr>
            </w:pPr>
            <w:r w:rsidRPr="00B32BF5">
              <w:rPr>
                <w:b/>
                <w:sz w:val="22"/>
                <w:szCs w:val="20"/>
                <w:lang w:val="sr-Latn-ME"/>
              </w:rPr>
              <w:t xml:space="preserve">Starosna grupa </w:t>
            </w:r>
          </w:p>
        </w:tc>
        <w:tc>
          <w:tcPr>
            <w:tcW w:w="2126" w:type="dxa"/>
          </w:tcPr>
          <w:p w:rsidR="00693173" w:rsidRPr="00B32BF5" w:rsidRDefault="00693173" w:rsidP="000A243B">
            <w:pPr>
              <w:tabs>
                <w:tab w:val="left" w:pos="567"/>
              </w:tabs>
              <w:spacing w:line="260" w:lineRule="exact"/>
              <w:jc w:val="both"/>
              <w:rPr>
                <w:b/>
                <w:sz w:val="22"/>
                <w:szCs w:val="22"/>
                <w:lang w:val="sr-Latn-ME"/>
              </w:rPr>
            </w:pPr>
            <w:r w:rsidRPr="00B32BF5">
              <w:rPr>
                <w:b/>
                <w:sz w:val="22"/>
                <w:szCs w:val="20"/>
                <w:lang w:val="sr-Latn-ME"/>
              </w:rPr>
              <w:t>Dozna grupa</w:t>
            </w:r>
          </w:p>
        </w:tc>
        <w:tc>
          <w:tcPr>
            <w:tcW w:w="2410" w:type="dxa"/>
          </w:tcPr>
          <w:p w:rsidR="00693173" w:rsidRPr="00B32BF5" w:rsidRDefault="00693173" w:rsidP="000A243B">
            <w:pPr>
              <w:tabs>
                <w:tab w:val="left" w:pos="567"/>
              </w:tabs>
              <w:spacing w:line="260" w:lineRule="exact"/>
              <w:jc w:val="both"/>
              <w:rPr>
                <w:b/>
                <w:sz w:val="22"/>
                <w:szCs w:val="22"/>
                <w:lang w:val="sr-Latn-ME"/>
              </w:rPr>
            </w:pPr>
            <w:r w:rsidRPr="00B32BF5">
              <w:rPr>
                <w:b/>
                <w:sz w:val="22"/>
                <w:szCs w:val="20"/>
                <w:lang w:val="sr-Latn-ME"/>
              </w:rPr>
              <w:t>PIK (mikromol*h/</w:t>
            </w:r>
            <w:r w:rsidR="00CC21B8" w:rsidRPr="00B32BF5">
              <w:rPr>
                <w:b/>
                <w:sz w:val="22"/>
                <w:szCs w:val="20"/>
                <w:lang w:val="sr-Latn-ME"/>
              </w:rPr>
              <w:t>l</w:t>
            </w:r>
            <w:r w:rsidRPr="00B32BF5">
              <w:rPr>
                <w:b/>
                <w:sz w:val="22"/>
                <w:szCs w:val="20"/>
                <w:lang w:val="sr-Latn-ME"/>
              </w:rPr>
              <w:t>)</w:t>
            </w:r>
          </w:p>
        </w:tc>
        <w:tc>
          <w:tcPr>
            <w:tcW w:w="2410" w:type="dxa"/>
          </w:tcPr>
          <w:p w:rsidR="00693173" w:rsidRPr="00B32BF5" w:rsidRDefault="00693173" w:rsidP="000A243B">
            <w:pPr>
              <w:tabs>
                <w:tab w:val="left" w:pos="567"/>
              </w:tabs>
              <w:spacing w:line="260" w:lineRule="exact"/>
              <w:jc w:val="both"/>
              <w:rPr>
                <w:b/>
                <w:sz w:val="22"/>
                <w:szCs w:val="20"/>
                <w:lang w:val="sr-Latn-ME"/>
              </w:rPr>
            </w:pPr>
            <w:r w:rsidRPr="00B32BF5">
              <w:rPr>
                <w:b/>
                <w:sz w:val="22"/>
                <w:szCs w:val="20"/>
                <w:lang w:val="sr-Latn-ME"/>
              </w:rPr>
              <w:t>C</w:t>
            </w:r>
            <w:r w:rsidRPr="00B32BF5">
              <w:rPr>
                <w:b/>
                <w:sz w:val="22"/>
                <w:szCs w:val="20"/>
                <w:vertAlign w:val="subscript"/>
                <w:lang w:val="sr-Latn-ME"/>
              </w:rPr>
              <w:t>ss,max</w:t>
            </w:r>
            <w:r w:rsidRPr="00B32BF5">
              <w:rPr>
                <w:b/>
                <w:sz w:val="22"/>
                <w:szCs w:val="20"/>
                <w:lang w:val="sr-Latn-ME"/>
              </w:rPr>
              <w:t>(mikromol/</w:t>
            </w:r>
            <w:r w:rsidR="00CC21B8" w:rsidRPr="00B32BF5">
              <w:rPr>
                <w:b/>
                <w:sz w:val="22"/>
                <w:szCs w:val="20"/>
                <w:lang w:val="sr-Latn-ME"/>
              </w:rPr>
              <w:t>l</w:t>
            </w:r>
            <w:r w:rsidRPr="00B32BF5">
              <w:rPr>
                <w:b/>
                <w:sz w:val="22"/>
                <w:szCs w:val="20"/>
                <w:lang w:val="sr-Latn-ME"/>
              </w:rPr>
              <w:t>)</w:t>
            </w:r>
          </w:p>
          <w:p w:rsidR="00693173" w:rsidRPr="00B32BF5" w:rsidRDefault="00693173" w:rsidP="000A243B">
            <w:pPr>
              <w:tabs>
                <w:tab w:val="left" w:pos="567"/>
              </w:tabs>
              <w:spacing w:line="260" w:lineRule="exact"/>
              <w:jc w:val="both"/>
              <w:rPr>
                <w:b/>
                <w:sz w:val="22"/>
                <w:szCs w:val="22"/>
                <w:lang w:val="sr-Latn-ME"/>
              </w:rPr>
            </w:pPr>
          </w:p>
        </w:tc>
      </w:tr>
      <w:tr w:rsidR="00693173" w:rsidRPr="00B32BF5" w:rsidTr="00693173">
        <w:tc>
          <w:tcPr>
            <w:tcW w:w="1951"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 xml:space="preserve">0 - 1 mjesec*        </w:t>
            </w:r>
          </w:p>
        </w:tc>
        <w:tc>
          <w:tcPr>
            <w:tcW w:w="2126"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0,5 mg/kg (n=6)</w:t>
            </w:r>
          </w:p>
        </w:tc>
        <w:tc>
          <w:tcPr>
            <w:tcW w:w="2410"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7,5 (4,5-20,5)</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3,7 (2,7-5,8)</w:t>
            </w:r>
          </w:p>
          <w:p w:rsidR="00693173" w:rsidRPr="00B32BF5" w:rsidRDefault="00693173" w:rsidP="000A243B">
            <w:pPr>
              <w:tabs>
                <w:tab w:val="left" w:pos="567"/>
              </w:tabs>
              <w:spacing w:line="260" w:lineRule="exact"/>
              <w:jc w:val="both"/>
              <w:rPr>
                <w:sz w:val="22"/>
                <w:szCs w:val="22"/>
                <w:lang w:val="sr-Latn-ME"/>
              </w:rPr>
            </w:pPr>
          </w:p>
        </w:tc>
      </w:tr>
      <w:tr w:rsidR="00693173" w:rsidRPr="00B32BF5" w:rsidTr="00693173">
        <w:tc>
          <w:tcPr>
            <w:tcW w:w="1951"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1 - 11 mjeseci*</w:t>
            </w:r>
          </w:p>
        </w:tc>
        <w:tc>
          <w:tcPr>
            <w:tcW w:w="2126"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1,0 mg/kg (n=6)</w:t>
            </w:r>
          </w:p>
        </w:tc>
        <w:tc>
          <w:tcPr>
            <w:tcW w:w="2410"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10,5 (4,5-22,2)</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8,7 (4,5-14,0)</w:t>
            </w:r>
          </w:p>
          <w:p w:rsidR="00693173" w:rsidRPr="00B32BF5" w:rsidRDefault="00693173" w:rsidP="000A243B">
            <w:pPr>
              <w:tabs>
                <w:tab w:val="left" w:pos="567"/>
              </w:tabs>
              <w:spacing w:line="260" w:lineRule="exact"/>
              <w:jc w:val="both"/>
              <w:rPr>
                <w:sz w:val="22"/>
                <w:szCs w:val="22"/>
                <w:lang w:val="sr-Latn-ME"/>
              </w:rPr>
            </w:pPr>
          </w:p>
        </w:tc>
      </w:tr>
      <w:tr w:rsidR="00693173" w:rsidRPr="00B32BF5" w:rsidTr="00693173">
        <w:tc>
          <w:tcPr>
            <w:tcW w:w="1951"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1 - 5 godina</w:t>
            </w:r>
          </w:p>
        </w:tc>
        <w:tc>
          <w:tcPr>
            <w:tcW w:w="2126"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10 mg (n=7)</w:t>
            </w:r>
          </w:p>
        </w:tc>
        <w:tc>
          <w:tcPr>
            <w:tcW w:w="2410"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7,9 (2,9-16,6)</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9,4 (4,4-17,2)</w:t>
            </w:r>
          </w:p>
          <w:p w:rsidR="00693173" w:rsidRPr="00B32BF5" w:rsidRDefault="00693173" w:rsidP="000A243B">
            <w:pPr>
              <w:tabs>
                <w:tab w:val="left" w:pos="567"/>
              </w:tabs>
              <w:spacing w:line="260" w:lineRule="exact"/>
              <w:jc w:val="both"/>
              <w:rPr>
                <w:sz w:val="22"/>
                <w:szCs w:val="22"/>
                <w:lang w:val="sr-Latn-ME"/>
              </w:rPr>
            </w:pPr>
          </w:p>
        </w:tc>
      </w:tr>
      <w:tr w:rsidR="00693173" w:rsidRPr="00B32BF5" w:rsidTr="00693173">
        <w:tc>
          <w:tcPr>
            <w:tcW w:w="1951" w:type="dxa"/>
            <w:vMerge w:val="restart"/>
          </w:tcPr>
          <w:p w:rsidR="00693173" w:rsidRPr="00B32BF5" w:rsidRDefault="00693173" w:rsidP="000A243B">
            <w:pPr>
              <w:tabs>
                <w:tab w:val="left" w:pos="567"/>
              </w:tabs>
              <w:spacing w:line="260" w:lineRule="exact"/>
              <w:jc w:val="both"/>
              <w:rPr>
                <w:sz w:val="22"/>
                <w:szCs w:val="20"/>
                <w:lang w:val="sr-Latn-ME"/>
              </w:rPr>
            </w:pPr>
          </w:p>
          <w:p w:rsidR="00693173" w:rsidRPr="00B32BF5" w:rsidRDefault="00693173" w:rsidP="000A243B">
            <w:pPr>
              <w:tabs>
                <w:tab w:val="left" w:pos="567"/>
              </w:tabs>
              <w:spacing w:line="260" w:lineRule="exact"/>
              <w:jc w:val="both"/>
              <w:rPr>
                <w:sz w:val="22"/>
                <w:szCs w:val="20"/>
                <w:lang w:val="sr-Latn-ME"/>
              </w:rPr>
            </w:pPr>
          </w:p>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6 - 11 godina</w:t>
            </w:r>
          </w:p>
        </w:tc>
        <w:tc>
          <w:tcPr>
            <w:tcW w:w="2126"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10 mg (n=8)</w:t>
            </w:r>
          </w:p>
        </w:tc>
        <w:tc>
          <w:tcPr>
            <w:tcW w:w="2410"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6,9 (3,5-10,9)</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5,6 (3,1-13,2)</w:t>
            </w:r>
          </w:p>
          <w:p w:rsidR="00693173" w:rsidRPr="00B32BF5" w:rsidRDefault="00693173" w:rsidP="000A243B">
            <w:pPr>
              <w:tabs>
                <w:tab w:val="left" w:pos="567"/>
              </w:tabs>
              <w:spacing w:line="260" w:lineRule="exact"/>
              <w:jc w:val="both"/>
              <w:rPr>
                <w:sz w:val="22"/>
                <w:szCs w:val="22"/>
                <w:lang w:val="sr-Latn-ME"/>
              </w:rPr>
            </w:pPr>
          </w:p>
        </w:tc>
      </w:tr>
      <w:tr w:rsidR="00693173" w:rsidRPr="00B32BF5" w:rsidTr="00693173">
        <w:tc>
          <w:tcPr>
            <w:tcW w:w="1951" w:type="dxa"/>
            <w:vMerge/>
          </w:tcPr>
          <w:p w:rsidR="00693173" w:rsidRPr="00B32BF5" w:rsidRDefault="00693173" w:rsidP="000A243B">
            <w:pPr>
              <w:tabs>
                <w:tab w:val="left" w:pos="567"/>
              </w:tabs>
              <w:spacing w:line="260" w:lineRule="exact"/>
              <w:jc w:val="both"/>
              <w:rPr>
                <w:sz w:val="22"/>
                <w:szCs w:val="22"/>
                <w:lang w:val="sr-Latn-ME"/>
              </w:rPr>
            </w:pPr>
          </w:p>
        </w:tc>
        <w:tc>
          <w:tcPr>
            <w:tcW w:w="2126"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20 mg (n=8)</w:t>
            </w:r>
          </w:p>
        </w:tc>
        <w:tc>
          <w:tcPr>
            <w:tcW w:w="2410"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14,4 (7,2-42,3)</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8,8 (3,4-29,4)</w:t>
            </w:r>
          </w:p>
          <w:p w:rsidR="00693173" w:rsidRPr="00B32BF5" w:rsidRDefault="00693173" w:rsidP="000A243B">
            <w:pPr>
              <w:tabs>
                <w:tab w:val="left" w:pos="567"/>
              </w:tabs>
              <w:spacing w:line="260" w:lineRule="exact"/>
              <w:jc w:val="both"/>
              <w:rPr>
                <w:sz w:val="22"/>
                <w:szCs w:val="22"/>
                <w:lang w:val="sr-Latn-ME"/>
              </w:rPr>
            </w:pPr>
          </w:p>
        </w:tc>
      </w:tr>
      <w:tr w:rsidR="00693173" w:rsidRPr="00B32BF5" w:rsidTr="00693173">
        <w:tc>
          <w:tcPr>
            <w:tcW w:w="1951" w:type="dxa"/>
            <w:vMerge/>
          </w:tcPr>
          <w:p w:rsidR="00693173" w:rsidRPr="00B32BF5" w:rsidRDefault="00693173" w:rsidP="000A243B">
            <w:pPr>
              <w:tabs>
                <w:tab w:val="left" w:pos="567"/>
              </w:tabs>
              <w:spacing w:line="260" w:lineRule="exact"/>
              <w:jc w:val="both"/>
              <w:rPr>
                <w:sz w:val="22"/>
                <w:szCs w:val="22"/>
                <w:lang w:val="sr-Latn-ME"/>
              </w:rPr>
            </w:pPr>
          </w:p>
        </w:tc>
        <w:tc>
          <w:tcPr>
            <w:tcW w:w="2126"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20 mg (n=6)**</w:t>
            </w:r>
          </w:p>
        </w:tc>
        <w:tc>
          <w:tcPr>
            <w:tcW w:w="2410" w:type="dxa"/>
          </w:tcPr>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10,1 (7,2-13,7)</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8,1 (3,4-29,4)</w:t>
            </w:r>
          </w:p>
          <w:p w:rsidR="00693173" w:rsidRPr="00B32BF5" w:rsidRDefault="00693173" w:rsidP="000A243B">
            <w:pPr>
              <w:tabs>
                <w:tab w:val="left" w:pos="567"/>
              </w:tabs>
              <w:spacing w:line="260" w:lineRule="exact"/>
              <w:jc w:val="both"/>
              <w:rPr>
                <w:sz w:val="22"/>
                <w:szCs w:val="22"/>
                <w:lang w:val="sr-Latn-ME"/>
              </w:rPr>
            </w:pPr>
          </w:p>
        </w:tc>
      </w:tr>
      <w:tr w:rsidR="00693173" w:rsidRPr="00B32BF5" w:rsidTr="00693173">
        <w:tc>
          <w:tcPr>
            <w:tcW w:w="1951" w:type="dxa"/>
            <w:vMerge w:val="restart"/>
          </w:tcPr>
          <w:p w:rsidR="00693173" w:rsidRPr="00B32BF5" w:rsidRDefault="00693173" w:rsidP="000A243B">
            <w:pPr>
              <w:tabs>
                <w:tab w:val="left" w:pos="567"/>
              </w:tabs>
              <w:spacing w:line="260" w:lineRule="exact"/>
              <w:jc w:val="both"/>
              <w:rPr>
                <w:sz w:val="22"/>
                <w:szCs w:val="20"/>
                <w:lang w:val="sr-Latn-ME"/>
              </w:rPr>
            </w:pPr>
          </w:p>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 xml:space="preserve">12 - 17 godina           </w:t>
            </w:r>
          </w:p>
        </w:tc>
        <w:tc>
          <w:tcPr>
            <w:tcW w:w="2126"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20 mg (n=6)</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8,1 (4,7-15,9)</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7,1 (4,8-9,0)</w:t>
            </w:r>
          </w:p>
          <w:p w:rsidR="00693173" w:rsidRPr="00B32BF5" w:rsidRDefault="00693173" w:rsidP="000A243B">
            <w:pPr>
              <w:tabs>
                <w:tab w:val="left" w:pos="567"/>
              </w:tabs>
              <w:spacing w:line="260" w:lineRule="exact"/>
              <w:jc w:val="both"/>
              <w:rPr>
                <w:sz w:val="22"/>
                <w:szCs w:val="20"/>
                <w:lang w:val="sr-Latn-ME"/>
              </w:rPr>
            </w:pPr>
          </w:p>
        </w:tc>
      </w:tr>
      <w:tr w:rsidR="00693173" w:rsidRPr="00B32BF5" w:rsidTr="00693173">
        <w:tc>
          <w:tcPr>
            <w:tcW w:w="1951" w:type="dxa"/>
            <w:vMerge/>
          </w:tcPr>
          <w:p w:rsidR="00693173" w:rsidRPr="00B32BF5" w:rsidRDefault="00693173" w:rsidP="000A243B">
            <w:pPr>
              <w:tabs>
                <w:tab w:val="left" w:pos="567"/>
              </w:tabs>
              <w:spacing w:line="260" w:lineRule="exact"/>
              <w:jc w:val="both"/>
              <w:rPr>
                <w:sz w:val="22"/>
                <w:szCs w:val="22"/>
                <w:lang w:val="sr-Latn-ME"/>
              </w:rPr>
            </w:pPr>
          </w:p>
        </w:tc>
        <w:tc>
          <w:tcPr>
            <w:tcW w:w="2126"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40 mg (n=8)</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17,6 (13,1-19,8)</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10,5 (7,8-14,2)</w:t>
            </w:r>
          </w:p>
          <w:p w:rsidR="00693173" w:rsidRPr="00B32BF5" w:rsidRDefault="00693173" w:rsidP="000A243B">
            <w:pPr>
              <w:tabs>
                <w:tab w:val="left" w:pos="567"/>
              </w:tabs>
              <w:spacing w:line="260" w:lineRule="exact"/>
              <w:jc w:val="both"/>
              <w:rPr>
                <w:sz w:val="22"/>
                <w:szCs w:val="20"/>
                <w:lang w:val="sr-Latn-ME"/>
              </w:rPr>
            </w:pPr>
          </w:p>
        </w:tc>
      </w:tr>
      <w:tr w:rsidR="00693173" w:rsidRPr="00B32BF5" w:rsidTr="00693173">
        <w:tc>
          <w:tcPr>
            <w:tcW w:w="1951" w:type="dxa"/>
            <w:vMerge w:val="restart"/>
          </w:tcPr>
          <w:p w:rsidR="00693173" w:rsidRPr="00B32BF5" w:rsidRDefault="00693173" w:rsidP="000A243B">
            <w:pPr>
              <w:tabs>
                <w:tab w:val="left" w:pos="567"/>
              </w:tabs>
              <w:spacing w:line="260" w:lineRule="exact"/>
              <w:jc w:val="both"/>
              <w:rPr>
                <w:sz w:val="22"/>
                <w:szCs w:val="20"/>
                <w:lang w:val="sr-Latn-ME"/>
              </w:rPr>
            </w:pPr>
          </w:p>
          <w:p w:rsidR="00693173" w:rsidRPr="00B32BF5" w:rsidRDefault="00693173" w:rsidP="000A243B">
            <w:pPr>
              <w:tabs>
                <w:tab w:val="left" w:pos="567"/>
              </w:tabs>
              <w:spacing w:line="260" w:lineRule="exact"/>
              <w:jc w:val="both"/>
              <w:rPr>
                <w:sz w:val="22"/>
                <w:szCs w:val="22"/>
                <w:lang w:val="sr-Latn-ME"/>
              </w:rPr>
            </w:pPr>
            <w:r w:rsidRPr="00B32BF5">
              <w:rPr>
                <w:sz w:val="22"/>
                <w:szCs w:val="20"/>
                <w:lang w:val="sr-Latn-ME"/>
              </w:rPr>
              <w:t>Odrasli</w:t>
            </w:r>
          </w:p>
        </w:tc>
        <w:tc>
          <w:tcPr>
            <w:tcW w:w="2126"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20 mg (n=22)</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5,1 (1,5-11,8)</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3,9 (1,5-6,7)</w:t>
            </w:r>
          </w:p>
          <w:p w:rsidR="00693173" w:rsidRPr="00B32BF5" w:rsidRDefault="00693173" w:rsidP="000A243B">
            <w:pPr>
              <w:tabs>
                <w:tab w:val="left" w:pos="567"/>
              </w:tabs>
              <w:spacing w:line="260" w:lineRule="exact"/>
              <w:jc w:val="both"/>
              <w:rPr>
                <w:sz w:val="22"/>
                <w:szCs w:val="20"/>
                <w:lang w:val="sr-Latn-ME"/>
              </w:rPr>
            </w:pPr>
          </w:p>
        </w:tc>
      </w:tr>
      <w:tr w:rsidR="00693173" w:rsidRPr="00B32BF5" w:rsidTr="00693173">
        <w:tc>
          <w:tcPr>
            <w:tcW w:w="1951" w:type="dxa"/>
            <w:vMerge/>
          </w:tcPr>
          <w:p w:rsidR="00693173" w:rsidRPr="00B32BF5" w:rsidRDefault="00693173" w:rsidP="000A243B">
            <w:pPr>
              <w:tabs>
                <w:tab w:val="left" w:pos="567"/>
              </w:tabs>
              <w:spacing w:line="260" w:lineRule="exact"/>
              <w:jc w:val="both"/>
              <w:rPr>
                <w:sz w:val="22"/>
                <w:szCs w:val="22"/>
                <w:lang w:val="sr-Latn-ME"/>
              </w:rPr>
            </w:pPr>
          </w:p>
        </w:tc>
        <w:tc>
          <w:tcPr>
            <w:tcW w:w="2126"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40 mg (n=41)</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12,6 (4,8-21,7)</w:t>
            </w:r>
          </w:p>
        </w:tc>
        <w:tc>
          <w:tcPr>
            <w:tcW w:w="2410" w:type="dxa"/>
          </w:tcPr>
          <w:p w:rsidR="00693173" w:rsidRPr="00B32BF5" w:rsidRDefault="00693173" w:rsidP="000A243B">
            <w:pPr>
              <w:tabs>
                <w:tab w:val="left" w:pos="567"/>
              </w:tabs>
              <w:spacing w:line="260" w:lineRule="exact"/>
              <w:jc w:val="both"/>
              <w:rPr>
                <w:sz w:val="22"/>
                <w:szCs w:val="20"/>
                <w:lang w:val="sr-Latn-ME"/>
              </w:rPr>
            </w:pPr>
            <w:r w:rsidRPr="00B32BF5">
              <w:rPr>
                <w:sz w:val="22"/>
                <w:szCs w:val="20"/>
                <w:lang w:val="sr-Latn-ME"/>
              </w:rPr>
              <w:t>8,5 (5,4-17,9)</w:t>
            </w:r>
          </w:p>
        </w:tc>
      </w:tr>
    </w:tbl>
    <w:p w:rsidR="00693173" w:rsidRPr="00B32BF5" w:rsidRDefault="00693173" w:rsidP="000A243B">
      <w:pPr>
        <w:tabs>
          <w:tab w:val="left" w:pos="567"/>
        </w:tabs>
        <w:spacing w:line="260" w:lineRule="exact"/>
        <w:jc w:val="both"/>
        <w:rPr>
          <w:sz w:val="22"/>
          <w:szCs w:val="22"/>
          <w:lang w:val="sr-Latn-ME"/>
        </w:rPr>
      </w:pPr>
    </w:p>
    <w:p w:rsidR="00693173" w:rsidRPr="00B32BF5" w:rsidRDefault="00693173" w:rsidP="002671C0">
      <w:pPr>
        <w:tabs>
          <w:tab w:val="left" w:pos="567"/>
        </w:tabs>
        <w:spacing w:line="260" w:lineRule="exact"/>
        <w:jc w:val="both"/>
        <w:rPr>
          <w:sz w:val="22"/>
          <w:szCs w:val="20"/>
          <w:lang w:val="sr-Latn-ME"/>
        </w:rPr>
      </w:pPr>
      <w:r w:rsidRPr="00B32BF5">
        <w:rPr>
          <w:sz w:val="22"/>
          <w:szCs w:val="20"/>
          <w:lang w:val="sr-Latn-ME"/>
        </w:rPr>
        <w:lastRenderedPageBreak/>
        <w:t>*Pacijent u starosnoj grupi 0 – 1 mjesec je bio definisan kao pacijent starosti ≥ 32 pune ned</w:t>
      </w:r>
      <w:r w:rsidR="00CC21B8" w:rsidRPr="00B32BF5">
        <w:rPr>
          <w:sz w:val="22"/>
          <w:szCs w:val="20"/>
          <w:lang w:val="sr-Latn-ME"/>
        </w:rPr>
        <w:t>j</w:t>
      </w:r>
      <w:r w:rsidRPr="00B32BF5">
        <w:rPr>
          <w:sz w:val="22"/>
          <w:szCs w:val="20"/>
          <w:lang w:val="sr-Latn-ME"/>
        </w:rPr>
        <w:t xml:space="preserve">elje i </w:t>
      </w:r>
      <w:r w:rsidRPr="00B32BF5">
        <w:rPr>
          <w:sz w:val="22"/>
          <w:szCs w:val="20"/>
          <w:lang w:val="sr-Latn-ME"/>
        </w:rPr>
        <w:sym w:font="Symbol" w:char="F03C"/>
      </w:r>
      <w:r w:rsidRPr="00B32BF5">
        <w:rPr>
          <w:sz w:val="22"/>
          <w:szCs w:val="20"/>
          <w:lang w:val="sr-Latn-ME"/>
        </w:rPr>
        <w:t xml:space="preserve"> 44 pune ned</w:t>
      </w:r>
      <w:r w:rsidR="00CC21B8" w:rsidRPr="00B32BF5">
        <w:rPr>
          <w:sz w:val="22"/>
          <w:szCs w:val="20"/>
          <w:lang w:val="sr-Latn-ME"/>
        </w:rPr>
        <w:t>j</w:t>
      </w:r>
      <w:r w:rsidRPr="00B32BF5">
        <w:rPr>
          <w:sz w:val="22"/>
          <w:szCs w:val="20"/>
          <w:lang w:val="sr-Latn-ME"/>
        </w:rPr>
        <w:t>elje, gd</w:t>
      </w:r>
      <w:r w:rsidR="00CC21B8" w:rsidRPr="00B32BF5">
        <w:rPr>
          <w:sz w:val="22"/>
          <w:szCs w:val="20"/>
          <w:lang w:val="sr-Latn-ME"/>
        </w:rPr>
        <w:t>j</w:t>
      </w:r>
      <w:r w:rsidRPr="00B32BF5">
        <w:rPr>
          <w:sz w:val="22"/>
          <w:szCs w:val="20"/>
          <w:lang w:val="sr-Latn-ME"/>
        </w:rPr>
        <w:t xml:space="preserve">e je korigovana ukupna starost računata na osnovu sume gestacijske starosti i vremena nakon rođenja, u punim nedjeljama. Pacijent u starosnoj grupi od 1 do 11 mjeseci je imao korektivnu starost ≥ 44 pune nedjelje. </w:t>
      </w:r>
    </w:p>
    <w:p w:rsidR="00693173" w:rsidRPr="00B32BF5" w:rsidRDefault="00693173" w:rsidP="00A34CC6">
      <w:pPr>
        <w:tabs>
          <w:tab w:val="left" w:pos="567"/>
        </w:tabs>
        <w:spacing w:line="260" w:lineRule="exact"/>
        <w:jc w:val="both"/>
        <w:rPr>
          <w:sz w:val="22"/>
          <w:szCs w:val="20"/>
          <w:lang w:val="sr-Latn-ME"/>
        </w:rPr>
      </w:pPr>
      <w:r w:rsidRPr="00B32BF5">
        <w:rPr>
          <w:sz w:val="22"/>
          <w:szCs w:val="20"/>
          <w:lang w:val="sr-Latn-ME"/>
        </w:rPr>
        <w:t xml:space="preserve">**Dva pacijenta su isključena, jedan je najvjerovatnije bio u populaciji bez funkcionalnog CYP2C19 izoenzima, a drugi je bio na istovremenoj terapiji inhibitorom CYP3A4. </w:t>
      </w:r>
    </w:p>
    <w:p w:rsidR="00693173" w:rsidRPr="00B32BF5" w:rsidRDefault="00693173">
      <w:pPr>
        <w:tabs>
          <w:tab w:val="left" w:pos="567"/>
        </w:tabs>
        <w:spacing w:line="260" w:lineRule="exact"/>
        <w:jc w:val="both"/>
        <w:rPr>
          <w:sz w:val="22"/>
          <w:szCs w:val="20"/>
          <w:lang w:val="sr-Latn-ME"/>
        </w:rPr>
      </w:pPr>
    </w:p>
    <w:p w:rsidR="00693173" w:rsidRPr="00B32BF5" w:rsidRDefault="00693173">
      <w:pPr>
        <w:tabs>
          <w:tab w:val="left" w:pos="567"/>
        </w:tabs>
        <w:spacing w:line="260" w:lineRule="exact"/>
        <w:jc w:val="both"/>
        <w:rPr>
          <w:sz w:val="22"/>
          <w:szCs w:val="20"/>
          <w:lang w:val="sr-Latn-ME"/>
        </w:rPr>
      </w:pPr>
      <w:r w:rsidRPr="00B32BF5">
        <w:rPr>
          <w:sz w:val="22"/>
          <w:szCs w:val="20"/>
          <w:lang w:val="sr-Latn-ME"/>
        </w:rPr>
        <w:t>Model zavisna analiza da će C</w:t>
      </w:r>
      <w:r w:rsidRPr="00B32BF5">
        <w:rPr>
          <w:sz w:val="22"/>
          <w:szCs w:val="20"/>
          <w:vertAlign w:val="subscript"/>
          <w:lang w:val="sr-Latn-ME"/>
        </w:rPr>
        <w:t xml:space="preserve">ss,max </w:t>
      </w:r>
      <w:r w:rsidRPr="00B32BF5">
        <w:rPr>
          <w:sz w:val="22"/>
          <w:szCs w:val="20"/>
          <w:lang w:val="sr-Latn-ME"/>
        </w:rPr>
        <w:t>nakon intravenske primjene esomeprazola kao 10-minutne, 20-minutne i 30-minutne infuzije biti smanjena prosječno za 37% do 49%, 54% do 66% i 61% do 72%, tim redom, u svim starosnim i doznim grupama u odnosu na primjenu lijeka kao 3-minutne injekcije.</w:t>
      </w:r>
    </w:p>
    <w:p w:rsidR="0072020E" w:rsidRPr="00B32BF5" w:rsidRDefault="0072020E" w:rsidP="000A243B">
      <w:pPr>
        <w:tabs>
          <w:tab w:val="left" w:pos="540"/>
          <w:tab w:val="left" w:pos="569"/>
        </w:tabs>
        <w:jc w:val="both"/>
        <w:rPr>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5.3. </w:t>
      </w:r>
      <w:r w:rsidR="00480FB1" w:rsidRPr="00B32BF5">
        <w:rPr>
          <w:b/>
          <w:bCs/>
          <w:sz w:val="22"/>
          <w:szCs w:val="22"/>
          <w:lang w:val="sr-Latn-ME"/>
        </w:rPr>
        <w:tab/>
      </w:r>
      <w:r w:rsidRPr="00B32BF5">
        <w:rPr>
          <w:b/>
          <w:bCs/>
          <w:sz w:val="22"/>
          <w:szCs w:val="22"/>
          <w:lang w:val="sr-Latn-ME"/>
        </w:rPr>
        <w:t xml:space="preserve">Pretklinički podaci o bezbjednosti </w:t>
      </w:r>
    </w:p>
    <w:p w:rsidR="00693173" w:rsidRPr="00B32BF5" w:rsidRDefault="00693173" w:rsidP="002671C0">
      <w:pPr>
        <w:tabs>
          <w:tab w:val="left" w:pos="540"/>
          <w:tab w:val="left" w:pos="569"/>
        </w:tabs>
        <w:jc w:val="both"/>
        <w:rPr>
          <w:sz w:val="22"/>
          <w:szCs w:val="20"/>
          <w:lang w:val="sr-Latn-ME"/>
        </w:rPr>
      </w:pPr>
    </w:p>
    <w:p w:rsidR="00836B35" w:rsidRPr="00B32BF5" w:rsidRDefault="00693173" w:rsidP="00A34CC6">
      <w:pPr>
        <w:tabs>
          <w:tab w:val="left" w:pos="540"/>
          <w:tab w:val="left" w:pos="569"/>
        </w:tabs>
        <w:jc w:val="both"/>
        <w:rPr>
          <w:sz w:val="22"/>
          <w:szCs w:val="20"/>
          <w:lang w:val="sr-Latn-ME"/>
        </w:rPr>
      </w:pPr>
      <w:r w:rsidRPr="00B32BF5">
        <w:rPr>
          <w:sz w:val="22"/>
          <w:szCs w:val="20"/>
          <w:lang w:val="sr-Latn-ME"/>
        </w:rPr>
        <w:t>Pretklinička ispitivanja bezbjednosti ne otkrivaju nikakve posebne opasnosti po ljudsku populaciju, na osnovu konvencionalnih ispitivanja toksičnosti pojedinačnih i ponavljanih doza, embrio-fetalne toksičnosti i mutagenosti. Ispitivanje oralne karcinogenosti sa racemskom smješom pokazalo je hiperplaziju gastričnih ECL-ćelija i karcinoide. Ova gastrična dejstva su rezultat održane, izražene hipergastrinemije usl</w:t>
      </w:r>
      <w:r w:rsidR="00CC21B8" w:rsidRPr="00B32BF5">
        <w:rPr>
          <w:sz w:val="22"/>
          <w:szCs w:val="20"/>
          <w:lang w:val="sr-Latn-ME"/>
        </w:rPr>
        <w:t>j</w:t>
      </w:r>
      <w:r w:rsidRPr="00B32BF5">
        <w:rPr>
          <w:sz w:val="22"/>
          <w:szCs w:val="20"/>
          <w:lang w:val="sr-Latn-ME"/>
        </w:rPr>
        <w:t>ed smanjene produkcije želudačne kiseline i bilježe se posl</w:t>
      </w:r>
      <w:r w:rsidR="00CC21B8" w:rsidRPr="00B32BF5">
        <w:rPr>
          <w:sz w:val="22"/>
          <w:szCs w:val="20"/>
          <w:lang w:val="sr-Latn-ME"/>
        </w:rPr>
        <w:t>ij</w:t>
      </w:r>
      <w:r w:rsidRPr="00B32BF5">
        <w:rPr>
          <w:sz w:val="22"/>
          <w:szCs w:val="20"/>
          <w:lang w:val="sr-Latn-ME"/>
        </w:rPr>
        <w:t>e dugotrajne terapije inhibitorima sekrecije želudačne kiseline kod pacova. U toku pretkliničkog programa za intravensku formulaciju esomeprazola, nije bilo dokaza o iritaciji krvnih sudova, ali je primijećena blaga inflamatorna reakcija na m</w:t>
      </w:r>
      <w:r w:rsidR="00CC21B8" w:rsidRPr="00B32BF5">
        <w:rPr>
          <w:sz w:val="22"/>
          <w:szCs w:val="20"/>
          <w:lang w:val="sr-Latn-ME"/>
        </w:rPr>
        <w:t>j</w:t>
      </w:r>
      <w:r w:rsidRPr="00B32BF5">
        <w:rPr>
          <w:sz w:val="22"/>
          <w:szCs w:val="20"/>
          <w:lang w:val="sr-Latn-ME"/>
        </w:rPr>
        <w:t>estu primjene nakon subkutane injekcije. Vidjeti poglavlje 4.8</w:t>
      </w:r>
      <w:r w:rsidR="00CC21B8" w:rsidRPr="00B32BF5">
        <w:rPr>
          <w:sz w:val="22"/>
          <w:szCs w:val="20"/>
          <w:lang w:val="sr-Latn-ME"/>
        </w:rPr>
        <w:t>.</w:t>
      </w:r>
    </w:p>
    <w:p w:rsidR="00396DFD" w:rsidRDefault="00396DFD" w:rsidP="000A243B">
      <w:pPr>
        <w:tabs>
          <w:tab w:val="left" w:pos="540"/>
          <w:tab w:val="left" w:pos="569"/>
        </w:tabs>
        <w:jc w:val="both"/>
        <w:rPr>
          <w:b/>
          <w:bCs/>
          <w:sz w:val="22"/>
          <w:szCs w:val="22"/>
          <w:lang w:val="sr-Latn-ME"/>
        </w:rPr>
      </w:pPr>
    </w:p>
    <w:p w:rsidR="009E3452" w:rsidRPr="00B32BF5" w:rsidRDefault="009E3452" w:rsidP="000A243B">
      <w:pPr>
        <w:tabs>
          <w:tab w:val="left" w:pos="540"/>
          <w:tab w:val="left" w:pos="569"/>
        </w:tabs>
        <w:jc w:val="both"/>
        <w:rPr>
          <w:b/>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6. </w:t>
      </w:r>
      <w:r w:rsidR="00480FB1" w:rsidRPr="00B32BF5">
        <w:rPr>
          <w:b/>
          <w:bCs/>
          <w:sz w:val="22"/>
          <w:szCs w:val="22"/>
          <w:lang w:val="sr-Latn-ME"/>
        </w:rPr>
        <w:tab/>
      </w:r>
      <w:r w:rsidRPr="00B32BF5">
        <w:rPr>
          <w:b/>
          <w:bCs/>
          <w:sz w:val="22"/>
          <w:szCs w:val="22"/>
          <w:lang w:val="sr-Latn-ME"/>
        </w:rPr>
        <w:t>FARMACEUTSKI PODACI</w:t>
      </w:r>
    </w:p>
    <w:p w:rsidR="00836B35" w:rsidRPr="00B32BF5" w:rsidRDefault="00836B35" w:rsidP="000A243B">
      <w:pPr>
        <w:tabs>
          <w:tab w:val="left" w:pos="540"/>
          <w:tab w:val="left" w:pos="569"/>
        </w:tabs>
        <w:jc w:val="both"/>
        <w:rPr>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6.1. </w:t>
      </w:r>
      <w:r w:rsidR="00480FB1" w:rsidRPr="00B32BF5">
        <w:rPr>
          <w:b/>
          <w:bCs/>
          <w:sz w:val="22"/>
          <w:szCs w:val="22"/>
          <w:lang w:val="sr-Latn-ME"/>
        </w:rPr>
        <w:tab/>
      </w:r>
      <w:r w:rsidRPr="00B32BF5">
        <w:rPr>
          <w:b/>
          <w:bCs/>
          <w:sz w:val="22"/>
          <w:szCs w:val="22"/>
          <w:lang w:val="sr-Latn-ME"/>
        </w:rPr>
        <w:t>Lista pomoćnih supstanci</w:t>
      </w:r>
      <w:r w:rsidR="002E0135" w:rsidRPr="00B32BF5">
        <w:rPr>
          <w:b/>
          <w:bCs/>
          <w:sz w:val="22"/>
          <w:szCs w:val="22"/>
          <w:lang w:val="sr-Latn-ME"/>
        </w:rPr>
        <w:t xml:space="preserve"> (ekscipijenasa)</w:t>
      </w:r>
    </w:p>
    <w:p w:rsidR="00693173" w:rsidRPr="00B32BF5" w:rsidRDefault="00693173" w:rsidP="000A243B">
      <w:pPr>
        <w:tabs>
          <w:tab w:val="left" w:pos="540"/>
          <w:tab w:val="left" w:pos="569"/>
        </w:tabs>
        <w:jc w:val="both"/>
        <w:rPr>
          <w:bCs/>
          <w:sz w:val="22"/>
          <w:szCs w:val="22"/>
          <w:lang w:val="sr-Latn-ME"/>
        </w:rPr>
      </w:pPr>
    </w:p>
    <w:p w:rsidR="00693173" w:rsidRPr="00B32BF5" w:rsidRDefault="00693173" w:rsidP="000A243B">
      <w:pPr>
        <w:tabs>
          <w:tab w:val="left" w:pos="540"/>
          <w:tab w:val="left" w:pos="569"/>
        </w:tabs>
        <w:jc w:val="both"/>
        <w:rPr>
          <w:bCs/>
          <w:sz w:val="22"/>
          <w:szCs w:val="22"/>
          <w:lang w:val="sr-Latn-ME"/>
        </w:rPr>
      </w:pPr>
      <w:r w:rsidRPr="00B32BF5">
        <w:rPr>
          <w:bCs/>
          <w:sz w:val="22"/>
          <w:szCs w:val="22"/>
          <w:lang w:val="sr-Latn-ME"/>
        </w:rPr>
        <w:t xml:space="preserve">Dinatrijum edetat </w:t>
      </w:r>
    </w:p>
    <w:p w:rsidR="00693173" w:rsidRPr="00B32BF5" w:rsidRDefault="00693173" w:rsidP="000A243B">
      <w:pPr>
        <w:tabs>
          <w:tab w:val="left" w:pos="540"/>
          <w:tab w:val="left" w:pos="569"/>
        </w:tabs>
        <w:jc w:val="both"/>
        <w:rPr>
          <w:bCs/>
          <w:sz w:val="22"/>
          <w:szCs w:val="22"/>
          <w:lang w:val="sr-Latn-ME"/>
        </w:rPr>
      </w:pPr>
      <w:r w:rsidRPr="00B32BF5">
        <w:rPr>
          <w:bCs/>
          <w:sz w:val="22"/>
          <w:szCs w:val="22"/>
          <w:lang w:val="sr-Latn-ME"/>
        </w:rPr>
        <w:t>Natrijum hidroksid (za podešavanje pH)</w:t>
      </w:r>
    </w:p>
    <w:p w:rsidR="0072020E" w:rsidRPr="00B32BF5" w:rsidRDefault="0072020E" w:rsidP="000A243B">
      <w:pPr>
        <w:tabs>
          <w:tab w:val="left" w:pos="540"/>
          <w:tab w:val="left" w:pos="569"/>
        </w:tabs>
        <w:jc w:val="both"/>
        <w:rPr>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6.2. </w:t>
      </w:r>
      <w:r w:rsidR="00480FB1" w:rsidRPr="00B32BF5">
        <w:rPr>
          <w:b/>
          <w:bCs/>
          <w:sz w:val="22"/>
          <w:szCs w:val="22"/>
          <w:lang w:val="sr-Latn-ME"/>
        </w:rPr>
        <w:tab/>
      </w:r>
      <w:r w:rsidRPr="00B32BF5">
        <w:rPr>
          <w:b/>
          <w:bCs/>
          <w:sz w:val="22"/>
          <w:szCs w:val="22"/>
          <w:lang w:val="sr-Latn-ME"/>
        </w:rPr>
        <w:t>Inkompatibilnost</w:t>
      </w:r>
      <w:r w:rsidR="002846DB" w:rsidRPr="00B32BF5">
        <w:rPr>
          <w:b/>
          <w:bCs/>
          <w:sz w:val="22"/>
          <w:szCs w:val="22"/>
          <w:lang w:val="sr-Latn-ME"/>
        </w:rPr>
        <w:t>i</w:t>
      </w:r>
    </w:p>
    <w:p w:rsidR="00693173" w:rsidRPr="00B32BF5" w:rsidRDefault="00693173" w:rsidP="00A34CC6">
      <w:pPr>
        <w:tabs>
          <w:tab w:val="left" w:pos="284"/>
          <w:tab w:val="left" w:pos="567"/>
          <w:tab w:val="center" w:pos="4153"/>
          <w:tab w:val="right" w:pos="8306"/>
        </w:tabs>
        <w:spacing w:before="80" w:after="80"/>
        <w:jc w:val="both"/>
        <w:rPr>
          <w:b/>
          <w:bCs/>
          <w:sz w:val="22"/>
          <w:szCs w:val="22"/>
          <w:lang w:val="sr-Latn-ME"/>
        </w:rPr>
      </w:pPr>
      <w:r w:rsidRPr="00B32BF5">
        <w:rPr>
          <w:sz w:val="22"/>
          <w:szCs w:val="20"/>
          <w:lang w:val="sr-Latn-ME"/>
        </w:rPr>
        <w:t>Ovaj lijek se ne smije koristiti sa drugim ljekovima, osim onih koji su navedeni u dijelu  6.6.</w:t>
      </w:r>
    </w:p>
    <w:p w:rsidR="0072020E" w:rsidRPr="00B32BF5" w:rsidRDefault="0072020E" w:rsidP="000A243B">
      <w:pPr>
        <w:tabs>
          <w:tab w:val="left" w:pos="540"/>
          <w:tab w:val="left" w:pos="569"/>
        </w:tabs>
        <w:jc w:val="both"/>
        <w:rPr>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6.3.</w:t>
      </w:r>
      <w:r w:rsidR="00C05DF8" w:rsidRPr="00B32BF5">
        <w:rPr>
          <w:b/>
          <w:bCs/>
          <w:sz w:val="22"/>
          <w:szCs w:val="22"/>
          <w:lang w:val="sr-Latn-ME"/>
        </w:rPr>
        <w:t xml:space="preserve"> </w:t>
      </w:r>
      <w:r w:rsidR="00480FB1" w:rsidRPr="00B32BF5">
        <w:rPr>
          <w:b/>
          <w:bCs/>
          <w:sz w:val="22"/>
          <w:szCs w:val="22"/>
          <w:lang w:val="sr-Latn-ME"/>
        </w:rPr>
        <w:tab/>
      </w:r>
      <w:r w:rsidRPr="00B32BF5">
        <w:rPr>
          <w:b/>
          <w:bCs/>
          <w:sz w:val="22"/>
          <w:szCs w:val="22"/>
          <w:lang w:val="sr-Latn-ME"/>
        </w:rPr>
        <w:t>Rok upotrebe</w:t>
      </w:r>
    </w:p>
    <w:p w:rsidR="009E3452" w:rsidRDefault="009E3452" w:rsidP="00FF6A4C">
      <w:pPr>
        <w:tabs>
          <w:tab w:val="left" w:pos="284"/>
          <w:tab w:val="left" w:pos="567"/>
          <w:tab w:val="center" w:pos="4153"/>
          <w:tab w:val="right" w:pos="8306"/>
        </w:tabs>
        <w:jc w:val="both"/>
        <w:rPr>
          <w:bCs/>
          <w:sz w:val="22"/>
          <w:szCs w:val="22"/>
          <w:lang w:val="sr-Latn-ME"/>
        </w:rPr>
      </w:pPr>
    </w:p>
    <w:p w:rsidR="00693173" w:rsidRPr="00B32BF5" w:rsidRDefault="00693173" w:rsidP="00FF6A4C">
      <w:pPr>
        <w:tabs>
          <w:tab w:val="left" w:pos="284"/>
          <w:tab w:val="left" w:pos="567"/>
          <w:tab w:val="center" w:pos="4153"/>
          <w:tab w:val="right" w:pos="8306"/>
        </w:tabs>
        <w:jc w:val="both"/>
        <w:rPr>
          <w:bCs/>
          <w:sz w:val="22"/>
          <w:szCs w:val="22"/>
          <w:lang w:val="sr-Latn-ME"/>
        </w:rPr>
      </w:pPr>
      <w:r w:rsidRPr="00B32BF5">
        <w:rPr>
          <w:bCs/>
          <w:sz w:val="22"/>
          <w:szCs w:val="22"/>
          <w:lang w:val="sr-Latn-ME"/>
        </w:rPr>
        <w:t xml:space="preserve">Rok upotrebe neotvorenog lijeka: 2 godine. </w:t>
      </w:r>
    </w:p>
    <w:p w:rsidR="00FF6A4C" w:rsidRDefault="00FF6A4C" w:rsidP="00FF6A4C">
      <w:pPr>
        <w:tabs>
          <w:tab w:val="left" w:pos="284"/>
          <w:tab w:val="left" w:pos="567"/>
          <w:tab w:val="center" w:pos="4153"/>
          <w:tab w:val="right" w:pos="8306"/>
        </w:tabs>
        <w:jc w:val="both"/>
        <w:rPr>
          <w:b/>
          <w:bCs/>
          <w:sz w:val="22"/>
          <w:szCs w:val="22"/>
          <w:lang w:val="sr-Latn-ME"/>
        </w:rPr>
      </w:pPr>
    </w:p>
    <w:p w:rsidR="00693173" w:rsidRPr="00B32BF5" w:rsidRDefault="00693173" w:rsidP="00FF6A4C">
      <w:pPr>
        <w:tabs>
          <w:tab w:val="left" w:pos="284"/>
          <w:tab w:val="left" w:pos="567"/>
          <w:tab w:val="center" w:pos="4153"/>
          <w:tab w:val="right" w:pos="8306"/>
        </w:tabs>
        <w:jc w:val="both"/>
        <w:rPr>
          <w:bCs/>
          <w:sz w:val="22"/>
          <w:szCs w:val="22"/>
          <w:lang w:val="sr-Latn-ME"/>
        </w:rPr>
      </w:pPr>
      <w:r w:rsidRPr="00B32BF5">
        <w:rPr>
          <w:b/>
          <w:bCs/>
          <w:sz w:val="22"/>
          <w:szCs w:val="22"/>
          <w:lang w:val="sr-Latn-ME"/>
        </w:rPr>
        <w:t>Stabilnost nakon rekonstitucije:</w:t>
      </w:r>
      <w:r w:rsidRPr="00B32BF5">
        <w:rPr>
          <w:bCs/>
          <w:sz w:val="22"/>
          <w:szCs w:val="22"/>
          <w:lang w:val="sr-Latn-ME"/>
        </w:rPr>
        <w:t xml:space="preserve"> </w:t>
      </w:r>
      <w:r w:rsidR="0016090F">
        <w:rPr>
          <w:bCs/>
          <w:sz w:val="22"/>
          <w:szCs w:val="22"/>
          <w:lang w:val="sr-Latn-ME"/>
        </w:rPr>
        <w:t>e</w:t>
      </w:r>
      <w:r w:rsidRPr="00B32BF5">
        <w:rPr>
          <w:bCs/>
          <w:sz w:val="22"/>
          <w:szCs w:val="22"/>
          <w:lang w:val="sr-Latn-ME"/>
        </w:rPr>
        <w:t>someprazol 40 mg prašak za rastvor za injekciju/infuziju, nakon</w:t>
      </w:r>
    </w:p>
    <w:p w:rsidR="00693173" w:rsidRPr="00B32BF5" w:rsidRDefault="00693173" w:rsidP="00FF6A4C">
      <w:pPr>
        <w:tabs>
          <w:tab w:val="left" w:pos="284"/>
          <w:tab w:val="left" w:pos="567"/>
          <w:tab w:val="center" w:pos="4153"/>
          <w:tab w:val="right" w:pos="8306"/>
        </w:tabs>
        <w:jc w:val="both"/>
        <w:rPr>
          <w:bCs/>
          <w:sz w:val="22"/>
          <w:szCs w:val="22"/>
          <w:lang w:val="sr-Latn-ME"/>
        </w:rPr>
      </w:pPr>
      <w:r w:rsidRPr="00B32BF5">
        <w:rPr>
          <w:bCs/>
          <w:sz w:val="22"/>
          <w:szCs w:val="22"/>
          <w:lang w:val="sr-Latn-ME"/>
        </w:rPr>
        <w:t xml:space="preserve">rekonstitucije je stabilan u roku od 12 sati na </w:t>
      </w:r>
      <w:r w:rsidR="00DD3C3B">
        <w:rPr>
          <w:bCs/>
          <w:sz w:val="22"/>
          <w:szCs w:val="22"/>
          <w:lang w:val="sr-Latn-ME"/>
        </w:rPr>
        <w:t xml:space="preserve">temperaturi </w:t>
      </w:r>
      <w:r w:rsidRPr="00B32BF5">
        <w:rPr>
          <w:bCs/>
          <w:sz w:val="22"/>
          <w:szCs w:val="22"/>
          <w:lang w:val="sr-Latn-ME"/>
        </w:rPr>
        <w:t>30±2°C (RH 65 ±5%) kada je zaštićen od svjetlosti i tokom 6</w:t>
      </w:r>
      <w:r w:rsidR="00A761C0">
        <w:rPr>
          <w:bCs/>
          <w:sz w:val="22"/>
          <w:szCs w:val="22"/>
          <w:lang w:val="sr-Latn-ME"/>
        </w:rPr>
        <w:t xml:space="preserve"> </w:t>
      </w:r>
      <w:r w:rsidRPr="00B32BF5">
        <w:rPr>
          <w:bCs/>
          <w:sz w:val="22"/>
          <w:szCs w:val="22"/>
          <w:lang w:val="sr-Latn-ME"/>
        </w:rPr>
        <w:t xml:space="preserve">sati na </w:t>
      </w:r>
      <w:r w:rsidR="00DD3C3B">
        <w:rPr>
          <w:bCs/>
          <w:sz w:val="22"/>
          <w:szCs w:val="22"/>
          <w:lang w:val="sr-Latn-ME"/>
        </w:rPr>
        <w:t xml:space="preserve">temperaturi </w:t>
      </w:r>
      <w:r w:rsidRPr="00B32BF5">
        <w:rPr>
          <w:bCs/>
          <w:sz w:val="22"/>
          <w:szCs w:val="22"/>
          <w:lang w:val="sr-Latn-ME"/>
        </w:rPr>
        <w:t>30±2°C (RH 65 ±5%) pod jakim v</w:t>
      </w:r>
      <w:r w:rsidR="00A761C0">
        <w:rPr>
          <w:bCs/>
          <w:sz w:val="22"/>
          <w:szCs w:val="22"/>
          <w:lang w:val="sr-Latn-ME"/>
        </w:rPr>
        <w:t>j</w:t>
      </w:r>
      <w:r w:rsidRPr="00B32BF5">
        <w:rPr>
          <w:bCs/>
          <w:sz w:val="22"/>
          <w:szCs w:val="22"/>
          <w:lang w:val="sr-Latn-ME"/>
        </w:rPr>
        <w:t xml:space="preserve">eštačkim svjetlom, kada se rastvori u 5 ml </w:t>
      </w:r>
      <w:r w:rsidR="00A761C0" w:rsidRPr="00B32BF5">
        <w:rPr>
          <w:bCs/>
          <w:sz w:val="22"/>
          <w:szCs w:val="22"/>
          <w:lang w:val="sr-Latn-ME"/>
        </w:rPr>
        <w:t>0,9%</w:t>
      </w:r>
      <w:r w:rsidR="00A761C0">
        <w:rPr>
          <w:bCs/>
          <w:sz w:val="22"/>
          <w:szCs w:val="22"/>
          <w:lang w:val="sr-Latn-ME"/>
        </w:rPr>
        <w:t xml:space="preserve"> rastvora </w:t>
      </w:r>
      <w:r w:rsidRPr="00B32BF5">
        <w:rPr>
          <w:bCs/>
          <w:sz w:val="22"/>
          <w:szCs w:val="22"/>
          <w:lang w:val="sr-Latn-ME"/>
        </w:rPr>
        <w:t>NaCl.</w:t>
      </w:r>
    </w:p>
    <w:p w:rsidR="00FF6A4C" w:rsidRDefault="00FF6A4C" w:rsidP="00FF6A4C">
      <w:pPr>
        <w:tabs>
          <w:tab w:val="left" w:pos="284"/>
          <w:tab w:val="left" w:pos="567"/>
          <w:tab w:val="center" w:pos="4153"/>
          <w:tab w:val="right" w:pos="8306"/>
        </w:tabs>
        <w:jc w:val="both"/>
        <w:rPr>
          <w:b/>
          <w:bCs/>
          <w:sz w:val="22"/>
          <w:szCs w:val="22"/>
          <w:lang w:val="sr-Latn-ME"/>
        </w:rPr>
      </w:pPr>
    </w:p>
    <w:p w:rsidR="00693173" w:rsidRPr="00B32BF5" w:rsidRDefault="00693173" w:rsidP="00FF6A4C">
      <w:pPr>
        <w:tabs>
          <w:tab w:val="left" w:pos="284"/>
          <w:tab w:val="left" w:pos="567"/>
          <w:tab w:val="center" w:pos="4153"/>
          <w:tab w:val="right" w:pos="8306"/>
        </w:tabs>
        <w:jc w:val="both"/>
        <w:rPr>
          <w:bCs/>
          <w:sz w:val="22"/>
          <w:szCs w:val="22"/>
          <w:lang w:val="sr-Latn-ME"/>
        </w:rPr>
      </w:pPr>
      <w:r w:rsidRPr="00B32BF5">
        <w:rPr>
          <w:b/>
          <w:bCs/>
          <w:sz w:val="22"/>
          <w:szCs w:val="22"/>
          <w:lang w:val="sr-Latn-ME"/>
        </w:rPr>
        <w:t>Stabilnost nakon razblaživanja</w:t>
      </w:r>
      <w:r w:rsidRPr="00B32BF5">
        <w:rPr>
          <w:bCs/>
          <w:sz w:val="22"/>
          <w:szCs w:val="22"/>
          <w:lang w:val="sr-Latn-ME"/>
        </w:rPr>
        <w:t xml:space="preserve">: </w:t>
      </w:r>
      <w:r w:rsidR="0016090F">
        <w:rPr>
          <w:bCs/>
          <w:sz w:val="22"/>
          <w:szCs w:val="22"/>
          <w:lang w:val="sr-Latn-ME"/>
        </w:rPr>
        <w:t>e</w:t>
      </w:r>
      <w:r w:rsidRPr="00B32BF5">
        <w:rPr>
          <w:bCs/>
          <w:sz w:val="22"/>
          <w:szCs w:val="22"/>
          <w:lang w:val="sr-Latn-ME"/>
        </w:rPr>
        <w:t>someprazol 40 mg prašak za rastvor za injekciju/infuziju nakon</w:t>
      </w:r>
      <w:r w:rsidR="00DD3C3B">
        <w:rPr>
          <w:bCs/>
          <w:sz w:val="22"/>
          <w:szCs w:val="22"/>
          <w:lang w:val="sr-Latn-ME"/>
        </w:rPr>
        <w:t xml:space="preserve"> </w:t>
      </w:r>
      <w:r w:rsidRPr="00B32BF5">
        <w:rPr>
          <w:bCs/>
          <w:sz w:val="22"/>
          <w:szCs w:val="22"/>
          <w:lang w:val="sr-Latn-ME"/>
        </w:rPr>
        <w:t xml:space="preserve">rekonstitucije sa 5 ml </w:t>
      </w:r>
      <w:r w:rsidR="00A761C0" w:rsidRPr="00B32BF5">
        <w:rPr>
          <w:bCs/>
          <w:sz w:val="22"/>
          <w:szCs w:val="22"/>
          <w:lang w:val="sr-Latn-ME"/>
        </w:rPr>
        <w:t>0,9%</w:t>
      </w:r>
      <w:r w:rsidR="00A761C0">
        <w:rPr>
          <w:bCs/>
          <w:sz w:val="22"/>
          <w:szCs w:val="22"/>
          <w:lang w:val="sr-Latn-ME"/>
        </w:rPr>
        <w:t xml:space="preserve"> rastvora </w:t>
      </w:r>
      <w:r w:rsidRPr="00B32BF5">
        <w:rPr>
          <w:bCs/>
          <w:sz w:val="22"/>
          <w:szCs w:val="22"/>
          <w:lang w:val="sr-Latn-ME"/>
        </w:rPr>
        <w:t xml:space="preserve">NaCl, i razblaživanja do 50 ml i 100 ml </w:t>
      </w:r>
      <w:r w:rsidR="00FF6A4C">
        <w:rPr>
          <w:bCs/>
          <w:sz w:val="22"/>
          <w:szCs w:val="22"/>
          <w:lang w:val="sr-Latn-ME"/>
        </w:rPr>
        <w:t xml:space="preserve">rastvorom </w:t>
      </w:r>
      <w:r w:rsidR="00FF6A4C" w:rsidRPr="00B32BF5">
        <w:rPr>
          <w:bCs/>
          <w:sz w:val="22"/>
          <w:szCs w:val="22"/>
          <w:lang w:val="sr-Latn-ME"/>
        </w:rPr>
        <w:t xml:space="preserve">0,9% </w:t>
      </w:r>
      <w:r w:rsidRPr="00B32BF5">
        <w:rPr>
          <w:bCs/>
          <w:sz w:val="22"/>
          <w:szCs w:val="22"/>
          <w:lang w:val="sr-Latn-ME"/>
        </w:rPr>
        <w:t>NaCl</w:t>
      </w:r>
      <w:r w:rsidR="00DD3C3B">
        <w:rPr>
          <w:bCs/>
          <w:sz w:val="22"/>
          <w:szCs w:val="22"/>
          <w:lang w:val="sr-Latn-ME"/>
        </w:rPr>
        <w:t>,</w:t>
      </w:r>
      <w:r w:rsidRPr="00B32BF5">
        <w:rPr>
          <w:bCs/>
          <w:sz w:val="22"/>
          <w:szCs w:val="22"/>
          <w:lang w:val="sr-Latn-ME"/>
        </w:rPr>
        <w:t xml:space="preserve"> da bi se dobila koncentracija </w:t>
      </w:r>
      <w:r w:rsidR="00FF6A4C">
        <w:rPr>
          <w:bCs/>
          <w:sz w:val="22"/>
          <w:szCs w:val="22"/>
          <w:lang w:val="sr-Latn-ME"/>
        </w:rPr>
        <w:t>e</w:t>
      </w:r>
      <w:r w:rsidRPr="00B32BF5">
        <w:rPr>
          <w:bCs/>
          <w:sz w:val="22"/>
          <w:szCs w:val="22"/>
          <w:lang w:val="sr-Latn-ME"/>
        </w:rPr>
        <w:t>someprazola 0,8 mg/ml i 0,4 mg/ml</w:t>
      </w:r>
      <w:r w:rsidR="00DD3C3B">
        <w:rPr>
          <w:bCs/>
          <w:sz w:val="22"/>
          <w:szCs w:val="22"/>
          <w:lang w:val="sr-Latn-ME"/>
        </w:rPr>
        <w:t xml:space="preserve">, </w:t>
      </w:r>
      <w:r w:rsidRPr="00B32BF5">
        <w:rPr>
          <w:bCs/>
          <w:sz w:val="22"/>
          <w:szCs w:val="22"/>
          <w:lang w:val="sr-Latn-ME"/>
        </w:rPr>
        <w:t xml:space="preserve"> stabilni su 12 sati na temperatur</w:t>
      </w:r>
      <w:r w:rsidR="00FF6A4C">
        <w:rPr>
          <w:bCs/>
          <w:sz w:val="22"/>
          <w:szCs w:val="22"/>
          <w:lang w:val="sr-Latn-ME"/>
        </w:rPr>
        <w:t>i</w:t>
      </w:r>
      <w:r w:rsidRPr="00B32BF5">
        <w:rPr>
          <w:bCs/>
          <w:sz w:val="22"/>
          <w:szCs w:val="22"/>
          <w:lang w:val="sr-Latn-ME"/>
        </w:rPr>
        <w:t xml:space="preserve"> do 30°C.</w:t>
      </w:r>
    </w:p>
    <w:p w:rsidR="00FF6A4C" w:rsidRDefault="00FF6A4C" w:rsidP="00FF6A4C">
      <w:pPr>
        <w:tabs>
          <w:tab w:val="left" w:pos="284"/>
          <w:tab w:val="left" w:pos="567"/>
          <w:tab w:val="center" w:pos="4153"/>
          <w:tab w:val="right" w:pos="8306"/>
        </w:tabs>
        <w:jc w:val="both"/>
        <w:rPr>
          <w:bCs/>
          <w:sz w:val="22"/>
          <w:szCs w:val="22"/>
          <w:lang w:val="sr-Latn-ME"/>
        </w:rPr>
      </w:pPr>
    </w:p>
    <w:p w:rsidR="00693173" w:rsidRPr="00B32BF5" w:rsidRDefault="00693173" w:rsidP="00FF6A4C">
      <w:pPr>
        <w:tabs>
          <w:tab w:val="left" w:pos="284"/>
          <w:tab w:val="left" w:pos="567"/>
          <w:tab w:val="center" w:pos="4153"/>
          <w:tab w:val="right" w:pos="8306"/>
        </w:tabs>
        <w:jc w:val="both"/>
        <w:rPr>
          <w:bCs/>
          <w:sz w:val="22"/>
          <w:szCs w:val="22"/>
          <w:lang w:val="sr-Latn-ME"/>
        </w:rPr>
      </w:pPr>
      <w:r w:rsidRPr="00B32BF5">
        <w:rPr>
          <w:bCs/>
          <w:sz w:val="22"/>
          <w:szCs w:val="22"/>
          <w:lang w:val="sr-Latn-ME"/>
        </w:rPr>
        <w:t>Sa mikrobiološke tačke gledišta, pripremljeni rastvor nakon rekonstitucije/razblaženja treba upotrijebiti odmah.</w:t>
      </w:r>
    </w:p>
    <w:p w:rsidR="0072020E" w:rsidRPr="00B32BF5" w:rsidRDefault="0072020E" w:rsidP="000A243B">
      <w:pPr>
        <w:tabs>
          <w:tab w:val="left" w:pos="540"/>
          <w:tab w:val="left" w:pos="569"/>
        </w:tabs>
        <w:jc w:val="both"/>
        <w:rPr>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6.4. </w:t>
      </w:r>
      <w:r w:rsidR="00480FB1" w:rsidRPr="00B32BF5">
        <w:rPr>
          <w:b/>
          <w:bCs/>
          <w:sz w:val="22"/>
          <w:szCs w:val="22"/>
          <w:lang w:val="sr-Latn-ME"/>
        </w:rPr>
        <w:tab/>
      </w:r>
      <w:r w:rsidRPr="00B32BF5">
        <w:rPr>
          <w:b/>
          <w:bCs/>
          <w:sz w:val="22"/>
          <w:szCs w:val="22"/>
          <w:lang w:val="sr-Latn-ME"/>
        </w:rPr>
        <w:t>Posebne mjere upozorenja pri čuvanju</w:t>
      </w:r>
      <w:r w:rsidR="00F8570A" w:rsidRPr="00B32BF5">
        <w:rPr>
          <w:b/>
          <w:bCs/>
          <w:sz w:val="22"/>
          <w:szCs w:val="22"/>
          <w:lang w:val="sr-Latn-ME"/>
        </w:rPr>
        <w:t xml:space="preserve"> lijeka</w:t>
      </w:r>
    </w:p>
    <w:p w:rsidR="00427CC6" w:rsidRPr="00B32BF5" w:rsidRDefault="00427CC6" w:rsidP="002671C0">
      <w:pPr>
        <w:autoSpaceDE w:val="0"/>
        <w:autoSpaceDN w:val="0"/>
        <w:adjustRightInd w:val="0"/>
        <w:jc w:val="both"/>
        <w:rPr>
          <w:rFonts w:eastAsia="TimesNewRoman"/>
          <w:sz w:val="22"/>
          <w:szCs w:val="22"/>
          <w:lang w:val="sr-Latn-ME"/>
        </w:rPr>
      </w:pPr>
    </w:p>
    <w:p w:rsidR="00427CC6" w:rsidRPr="00B32BF5" w:rsidRDefault="00427CC6" w:rsidP="00A34CC6">
      <w:pPr>
        <w:autoSpaceDE w:val="0"/>
        <w:autoSpaceDN w:val="0"/>
        <w:adjustRightInd w:val="0"/>
        <w:jc w:val="both"/>
        <w:rPr>
          <w:rFonts w:eastAsia="TimesNewRoman"/>
          <w:sz w:val="22"/>
          <w:szCs w:val="22"/>
          <w:lang w:val="sr-Latn-ME"/>
        </w:rPr>
      </w:pPr>
      <w:r w:rsidRPr="00B32BF5">
        <w:rPr>
          <w:rFonts w:eastAsia="TimesNewRoman"/>
          <w:sz w:val="22"/>
          <w:szCs w:val="22"/>
          <w:lang w:val="sr-Latn-ME"/>
        </w:rPr>
        <w:t xml:space="preserve">Čuvati na temperaturi do 25°C. </w:t>
      </w:r>
    </w:p>
    <w:p w:rsidR="00427CC6" w:rsidRPr="00B32BF5" w:rsidRDefault="00427CC6">
      <w:pPr>
        <w:autoSpaceDE w:val="0"/>
        <w:autoSpaceDN w:val="0"/>
        <w:adjustRightInd w:val="0"/>
        <w:jc w:val="both"/>
        <w:rPr>
          <w:rFonts w:eastAsia="TimesNewRoman"/>
          <w:sz w:val="22"/>
          <w:szCs w:val="22"/>
          <w:lang w:val="sr-Latn-ME"/>
        </w:rPr>
      </w:pPr>
      <w:r w:rsidRPr="00B32BF5">
        <w:rPr>
          <w:rFonts w:eastAsia="TimesNewRoman"/>
          <w:sz w:val="22"/>
          <w:szCs w:val="22"/>
          <w:lang w:val="sr-Latn-ME"/>
        </w:rPr>
        <w:t xml:space="preserve">Čuvati u originalnom pakovanju radi zaštite od svjetlosti. </w:t>
      </w:r>
    </w:p>
    <w:p w:rsidR="00427CC6" w:rsidRPr="00B32BF5" w:rsidRDefault="00427CC6">
      <w:pPr>
        <w:autoSpaceDE w:val="0"/>
        <w:autoSpaceDN w:val="0"/>
        <w:adjustRightInd w:val="0"/>
        <w:jc w:val="both"/>
        <w:rPr>
          <w:rFonts w:eastAsia="TimesNewRoman"/>
          <w:sz w:val="22"/>
          <w:szCs w:val="22"/>
          <w:lang w:val="sr-Latn-ME"/>
        </w:rPr>
      </w:pPr>
      <w:r w:rsidRPr="00B32BF5">
        <w:rPr>
          <w:rFonts w:eastAsia="TimesNewRoman"/>
          <w:sz w:val="22"/>
          <w:szCs w:val="22"/>
          <w:lang w:val="sr-Latn-ME"/>
        </w:rPr>
        <w:t>Bočice se mogu čuvati pri jakoj vještačkoj svjetlosti van kutije do 24h.</w:t>
      </w:r>
    </w:p>
    <w:p w:rsidR="00427CC6" w:rsidRPr="00B32BF5" w:rsidRDefault="00427CC6">
      <w:pPr>
        <w:autoSpaceDE w:val="0"/>
        <w:autoSpaceDN w:val="0"/>
        <w:adjustRightInd w:val="0"/>
        <w:jc w:val="both"/>
        <w:rPr>
          <w:rFonts w:eastAsia="TimesNewRoman"/>
          <w:sz w:val="22"/>
          <w:szCs w:val="22"/>
          <w:lang w:val="sr-Latn-ME"/>
        </w:rPr>
      </w:pPr>
      <w:r w:rsidRPr="00B32BF5">
        <w:rPr>
          <w:rFonts w:eastAsia="TimesNewRoman"/>
          <w:sz w:val="22"/>
          <w:szCs w:val="22"/>
          <w:lang w:val="sr-Latn-ME"/>
        </w:rPr>
        <w:t xml:space="preserve"> </w:t>
      </w:r>
    </w:p>
    <w:p w:rsidR="00EC2532" w:rsidRPr="00B32BF5" w:rsidRDefault="00EC2532" w:rsidP="000A243B">
      <w:pPr>
        <w:tabs>
          <w:tab w:val="left" w:pos="540"/>
          <w:tab w:val="left" w:pos="569"/>
        </w:tabs>
        <w:jc w:val="both"/>
        <w:rPr>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6.5. </w:t>
      </w:r>
      <w:r w:rsidR="00480FB1" w:rsidRPr="00B32BF5">
        <w:rPr>
          <w:b/>
          <w:bCs/>
          <w:sz w:val="22"/>
          <w:szCs w:val="22"/>
          <w:lang w:val="sr-Latn-ME"/>
        </w:rPr>
        <w:tab/>
      </w:r>
      <w:r w:rsidR="002846DB" w:rsidRPr="00B32BF5">
        <w:rPr>
          <w:b/>
          <w:bCs/>
          <w:sz w:val="22"/>
          <w:szCs w:val="22"/>
          <w:lang w:val="sr-Latn-ME"/>
        </w:rPr>
        <w:t xml:space="preserve">Vrsta i sadržaj </w:t>
      </w:r>
      <w:r w:rsidR="00F8570A" w:rsidRPr="00B32BF5">
        <w:rPr>
          <w:b/>
          <w:bCs/>
          <w:sz w:val="22"/>
          <w:szCs w:val="22"/>
          <w:lang w:val="sr-Latn-ME"/>
        </w:rPr>
        <w:t>pakovanja</w:t>
      </w:r>
      <w:r w:rsidR="00C06864" w:rsidRPr="00B32BF5">
        <w:rPr>
          <w:b/>
          <w:bCs/>
          <w:sz w:val="22"/>
          <w:szCs w:val="22"/>
          <w:lang w:val="sr-Latn-ME"/>
        </w:rPr>
        <w:t xml:space="preserve"> </w:t>
      </w:r>
    </w:p>
    <w:p w:rsidR="00427CC6" w:rsidRPr="00B32BF5" w:rsidRDefault="00427CC6" w:rsidP="002671C0">
      <w:pPr>
        <w:tabs>
          <w:tab w:val="left" w:pos="567"/>
        </w:tabs>
        <w:spacing w:line="260" w:lineRule="exact"/>
        <w:jc w:val="both"/>
        <w:rPr>
          <w:sz w:val="22"/>
          <w:szCs w:val="20"/>
          <w:lang w:val="sr-Latn-ME"/>
        </w:rPr>
      </w:pPr>
    </w:p>
    <w:p w:rsidR="00427CC6" w:rsidRPr="00B32BF5" w:rsidRDefault="00427CC6" w:rsidP="00A34CC6">
      <w:pPr>
        <w:tabs>
          <w:tab w:val="left" w:pos="567"/>
        </w:tabs>
        <w:spacing w:line="260" w:lineRule="exact"/>
        <w:jc w:val="both"/>
        <w:rPr>
          <w:sz w:val="22"/>
          <w:szCs w:val="20"/>
          <w:lang w:val="sr-Latn-ME"/>
        </w:rPr>
      </w:pPr>
      <w:r w:rsidRPr="00B32BF5">
        <w:rPr>
          <w:sz w:val="22"/>
          <w:szCs w:val="20"/>
          <w:lang w:val="sr-Latn-ME"/>
        </w:rPr>
        <w:t>Unutrašnje pakovanje je bezbojna staklena bočica, tip I, zatvorena čepom od brombutil gume preko kojeg se nalazi aluminijumski zatvarač sa plastičnim flip-off poklopcem.</w:t>
      </w:r>
    </w:p>
    <w:p w:rsidR="00427CC6" w:rsidRPr="00B32BF5" w:rsidRDefault="00427CC6">
      <w:pPr>
        <w:tabs>
          <w:tab w:val="left" w:pos="567"/>
        </w:tabs>
        <w:spacing w:line="260" w:lineRule="exact"/>
        <w:jc w:val="both"/>
        <w:rPr>
          <w:sz w:val="22"/>
          <w:szCs w:val="20"/>
          <w:lang w:val="sr-Latn-ME"/>
        </w:rPr>
      </w:pPr>
    </w:p>
    <w:p w:rsidR="00427CC6" w:rsidRPr="00B32BF5" w:rsidRDefault="00427CC6">
      <w:pPr>
        <w:tabs>
          <w:tab w:val="left" w:pos="567"/>
        </w:tabs>
        <w:spacing w:line="260" w:lineRule="exact"/>
        <w:jc w:val="both"/>
        <w:rPr>
          <w:sz w:val="22"/>
          <w:szCs w:val="20"/>
          <w:lang w:val="sr-Latn-ME"/>
        </w:rPr>
      </w:pPr>
      <w:r w:rsidRPr="00B32BF5">
        <w:rPr>
          <w:sz w:val="22"/>
          <w:szCs w:val="20"/>
          <w:lang w:val="sr-Latn-ME"/>
        </w:rPr>
        <w:t>Spoljašnje pakovanje je složiva kartonska kutija u kojoj se nalazi 10 staklenih bočica i Uputstvo za lijek.</w:t>
      </w:r>
    </w:p>
    <w:p w:rsidR="0072020E" w:rsidRPr="00B32BF5" w:rsidRDefault="0072020E" w:rsidP="000A243B">
      <w:pPr>
        <w:tabs>
          <w:tab w:val="left" w:pos="540"/>
          <w:tab w:val="left" w:pos="569"/>
        </w:tabs>
        <w:jc w:val="both"/>
        <w:rPr>
          <w:bCs/>
          <w:sz w:val="22"/>
          <w:szCs w:val="22"/>
          <w:lang w:val="sr-Latn-ME"/>
        </w:rPr>
      </w:pPr>
    </w:p>
    <w:p w:rsidR="002846DB"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6.6. </w:t>
      </w:r>
      <w:r w:rsidR="00480FB1" w:rsidRPr="00B32BF5">
        <w:rPr>
          <w:b/>
          <w:bCs/>
          <w:sz w:val="22"/>
          <w:szCs w:val="22"/>
          <w:lang w:val="sr-Latn-ME"/>
        </w:rPr>
        <w:tab/>
      </w:r>
      <w:r w:rsidRPr="00B32BF5">
        <w:rPr>
          <w:b/>
          <w:bCs/>
          <w:color w:val="000000"/>
          <w:sz w:val="22"/>
          <w:szCs w:val="22"/>
          <w:lang w:val="sr-Latn-ME"/>
        </w:rPr>
        <w:t>Posebne mjere opreza pri odlaganju materijala koji treba odbaciti nakon primjene lijeka</w:t>
      </w:r>
      <w:r w:rsidRPr="00B32BF5">
        <w:rPr>
          <w:b/>
          <w:bCs/>
          <w:sz w:val="22"/>
          <w:szCs w:val="22"/>
          <w:lang w:val="sr-Latn-ME"/>
        </w:rPr>
        <w:t xml:space="preserve"> </w:t>
      </w:r>
      <w:r w:rsidR="00310F03" w:rsidRPr="00B32BF5">
        <w:rPr>
          <w:b/>
          <w:bCs/>
          <w:sz w:val="22"/>
          <w:szCs w:val="22"/>
          <w:lang w:val="sr-Latn-ME"/>
        </w:rPr>
        <w:t>(i druga uputs</w:t>
      </w:r>
      <w:r w:rsidR="004109FA" w:rsidRPr="00B32BF5">
        <w:rPr>
          <w:b/>
          <w:bCs/>
          <w:sz w:val="22"/>
          <w:szCs w:val="22"/>
          <w:lang w:val="sr-Latn-ME"/>
        </w:rPr>
        <w:t>t</w:t>
      </w:r>
      <w:r w:rsidR="00310F03" w:rsidRPr="00B32BF5">
        <w:rPr>
          <w:b/>
          <w:bCs/>
          <w:sz w:val="22"/>
          <w:szCs w:val="22"/>
          <w:lang w:val="sr-Latn-ME"/>
        </w:rPr>
        <w:t xml:space="preserve">va za rukovanje lijekom) </w:t>
      </w:r>
    </w:p>
    <w:p w:rsidR="00427CC6" w:rsidRPr="00B32BF5" w:rsidRDefault="00427CC6" w:rsidP="002671C0">
      <w:pPr>
        <w:tabs>
          <w:tab w:val="left" w:pos="567"/>
        </w:tabs>
        <w:jc w:val="both"/>
        <w:rPr>
          <w:b/>
          <w:i/>
          <w:sz w:val="22"/>
          <w:szCs w:val="22"/>
          <w:u w:val="single"/>
          <w:lang w:val="sr-Latn-ME"/>
        </w:rPr>
      </w:pPr>
    </w:p>
    <w:p w:rsidR="00427CC6" w:rsidRPr="00B32BF5" w:rsidRDefault="00427CC6" w:rsidP="00A34CC6">
      <w:pPr>
        <w:tabs>
          <w:tab w:val="left" w:pos="567"/>
        </w:tabs>
        <w:jc w:val="both"/>
        <w:rPr>
          <w:b/>
          <w:i/>
          <w:sz w:val="22"/>
          <w:szCs w:val="22"/>
          <w:u w:val="single"/>
          <w:lang w:val="sr-Latn-ME"/>
        </w:rPr>
      </w:pPr>
      <w:r w:rsidRPr="00B32BF5">
        <w:rPr>
          <w:b/>
          <w:i/>
          <w:sz w:val="22"/>
          <w:szCs w:val="22"/>
          <w:u w:val="single"/>
          <w:lang w:val="sr-Latn-ME"/>
        </w:rPr>
        <w:t xml:space="preserve">Uputstvo za pripremanje rastvora </w:t>
      </w:r>
    </w:p>
    <w:p w:rsidR="00427CC6" w:rsidRPr="00B32BF5" w:rsidRDefault="00427CC6">
      <w:pPr>
        <w:tabs>
          <w:tab w:val="left" w:pos="567"/>
        </w:tabs>
        <w:jc w:val="both"/>
        <w:rPr>
          <w:sz w:val="22"/>
          <w:szCs w:val="22"/>
          <w:lang w:val="sr-Latn-ME"/>
        </w:rPr>
      </w:pPr>
      <w:r w:rsidRPr="00B32BF5">
        <w:rPr>
          <w:sz w:val="22"/>
          <w:szCs w:val="22"/>
          <w:lang w:val="sr-Latn-ME"/>
        </w:rPr>
        <w:t xml:space="preserve">Prije upotrebe, reskonstituisani rastvor treba pažljivo pregledati da nema čestica ili prebojavanja. Samo bistar rastvor se smije koristiti. Koristi se samo za jednokratnu primjenu. </w:t>
      </w:r>
    </w:p>
    <w:p w:rsidR="00427CC6" w:rsidRPr="00B32BF5" w:rsidRDefault="00427CC6">
      <w:pPr>
        <w:tabs>
          <w:tab w:val="left" w:pos="567"/>
        </w:tabs>
        <w:jc w:val="both"/>
        <w:rPr>
          <w:sz w:val="22"/>
          <w:szCs w:val="22"/>
          <w:lang w:val="sr-Latn-ME"/>
        </w:rPr>
      </w:pPr>
      <w:r w:rsidRPr="00B32BF5">
        <w:rPr>
          <w:sz w:val="22"/>
          <w:szCs w:val="22"/>
          <w:lang w:val="sr-Latn-ME"/>
        </w:rPr>
        <w:t xml:space="preserve">Ako se ne upotrijebi cio rekonstituisani rastvor, svu količinu neiskorišćenog lijeka treba ukloniti u skladu sa lokalnim propisima. </w:t>
      </w:r>
    </w:p>
    <w:p w:rsidR="00427CC6" w:rsidRPr="00B32BF5" w:rsidRDefault="00427CC6">
      <w:pPr>
        <w:tabs>
          <w:tab w:val="left" w:pos="567"/>
        </w:tabs>
        <w:jc w:val="both"/>
        <w:rPr>
          <w:sz w:val="22"/>
          <w:szCs w:val="22"/>
          <w:lang w:val="sr-Latn-ME"/>
        </w:rPr>
      </w:pPr>
    </w:p>
    <w:p w:rsidR="00427CC6" w:rsidRPr="00B32BF5" w:rsidRDefault="00427CC6">
      <w:pPr>
        <w:tabs>
          <w:tab w:val="left" w:pos="567"/>
        </w:tabs>
        <w:jc w:val="both"/>
        <w:rPr>
          <w:sz w:val="22"/>
          <w:szCs w:val="22"/>
          <w:u w:val="single"/>
          <w:lang w:val="sr-Latn-ME"/>
        </w:rPr>
      </w:pPr>
      <w:r w:rsidRPr="00B32BF5">
        <w:rPr>
          <w:sz w:val="22"/>
          <w:szCs w:val="22"/>
          <w:u w:val="single"/>
          <w:lang w:val="sr-Latn-ME"/>
        </w:rPr>
        <w:t>Injekcija 40mg</w:t>
      </w:r>
    </w:p>
    <w:p w:rsidR="00427CC6" w:rsidRPr="00B32BF5" w:rsidRDefault="00427CC6">
      <w:pPr>
        <w:tabs>
          <w:tab w:val="left" w:pos="567"/>
        </w:tabs>
        <w:jc w:val="both"/>
        <w:rPr>
          <w:sz w:val="22"/>
          <w:szCs w:val="22"/>
          <w:lang w:val="sr-Latn-ME"/>
        </w:rPr>
      </w:pPr>
      <w:r w:rsidRPr="00B32BF5">
        <w:rPr>
          <w:sz w:val="22"/>
          <w:szCs w:val="22"/>
          <w:lang w:val="sr-Latn-ME"/>
        </w:rPr>
        <w:t xml:space="preserve">Rastvor za injekciju (8 mg/ml) se priprema dodavanjem 5 ml 0.9% </w:t>
      </w:r>
      <w:r w:rsidR="0016090F">
        <w:rPr>
          <w:sz w:val="22"/>
          <w:szCs w:val="22"/>
          <w:lang w:val="sr-Latn-ME"/>
        </w:rPr>
        <w:t xml:space="preserve">rastvora </w:t>
      </w:r>
      <w:r w:rsidRPr="00B32BF5">
        <w:rPr>
          <w:sz w:val="22"/>
          <w:szCs w:val="22"/>
          <w:lang w:val="sr-Latn-ME"/>
        </w:rPr>
        <w:t xml:space="preserve">natrijum hlorida za intravensku upotrebu u bočicu sa esomeprazolom. </w:t>
      </w:r>
    </w:p>
    <w:p w:rsidR="00427CC6" w:rsidRPr="00B32BF5" w:rsidRDefault="00427CC6">
      <w:pPr>
        <w:tabs>
          <w:tab w:val="left" w:pos="567"/>
        </w:tabs>
        <w:jc w:val="both"/>
        <w:rPr>
          <w:sz w:val="22"/>
          <w:szCs w:val="22"/>
          <w:lang w:val="sr-Latn-ME"/>
        </w:rPr>
      </w:pPr>
      <w:r w:rsidRPr="00B32BF5">
        <w:rPr>
          <w:sz w:val="22"/>
          <w:szCs w:val="22"/>
          <w:lang w:val="sr-Latn-ME"/>
        </w:rPr>
        <w:t xml:space="preserve">Rekonstituisani rastvor za injekcije je bistar i bezbojan do sasvim blijedo žut. </w:t>
      </w:r>
    </w:p>
    <w:p w:rsidR="00427CC6" w:rsidRPr="00B32BF5" w:rsidRDefault="00427CC6">
      <w:pPr>
        <w:tabs>
          <w:tab w:val="left" w:pos="567"/>
        </w:tabs>
        <w:jc w:val="both"/>
        <w:rPr>
          <w:sz w:val="22"/>
          <w:szCs w:val="22"/>
          <w:lang w:val="sr-Latn-ME"/>
        </w:rPr>
      </w:pPr>
    </w:p>
    <w:p w:rsidR="00427CC6" w:rsidRPr="00B32BF5" w:rsidRDefault="00427CC6">
      <w:pPr>
        <w:tabs>
          <w:tab w:val="left" w:pos="567"/>
        </w:tabs>
        <w:jc w:val="both"/>
        <w:rPr>
          <w:sz w:val="22"/>
          <w:szCs w:val="22"/>
          <w:u w:val="single"/>
          <w:lang w:val="sr-Latn-ME"/>
        </w:rPr>
      </w:pPr>
      <w:r w:rsidRPr="00B32BF5">
        <w:rPr>
          <w:sz w:val="22"/>
          <w:szCs w:val="22"/>
          <w:u w:val="single"/>
          <w:lang w:val="sr-Latn-ME"/>
        </w:rPr>
        <w:t xml:space="preserve">Infuzija 40mg </w:t>
      </w:r>
    </w:p>
    <w:p w:rsidR="00427CC6" w:rsidRPr="00B32BF5" w:rsidRDefault="00427CC6">
      <w:pPr>
        <w:tabs>
          <w:tab w:val="left" w:pos="567"/>
        </w:tabs>
        <w:jc w:val="both"/>
        <w:rPr>
          <w:sz w:val="22"/>
          <w:szCs w:val="22"/>
          <w:lang w:val="sr-Latn-ME"/>
        </w:rPr>
      </w:pPr>
      <w:r w:rsidRPr="00B32BF5">
        <w:rPr>
          <w:sz w:val="22"/>
          <w:szCs w:val="22"/>
          <w:lang w:val="sr-Latn-ME"/>
        </w:rPr>
        <w:t>Rastvor za infuziju se priprema rastvaranjem sadržaja jedne bočice esomeprazola u najviše 100</w:t>
      </w:r>
      <w:r w:rsidR="00D307D6">
        <w:rPr>
          <w:sz w:val="22"/>
          <w:szCs w:val="22"/>
          <w:lang w:val="sr-Latn-ME"/>
        </w:rPr>
        <w:t xml:space="preserve"> </w:t>
      </w:r>
      <w:r w:rsidRPr="00B32BF5">
        <w:rPr>
          <w:sz w:val="22"/>
          <w:szCs w:val="22"/>
          <w:lang w:val="sr-Latn-ME"/>
        </w:rPr>
        <w:t>ml 0,9% rastvor</w:t>
      </w:r>
      <w:r w:rsidR="00D307D6">
        <w:rPr>
          <w:sz w:val="22"/>
          <w:szCs w:val="22"/>
          <w:lang w:val="sr-Latn-ME"/>
        </w:rPr>
        <w:t>a</w:t>
      </w:r>
      <w:r w:rsidRPr="00B32BF5">
        <w:rPr>
          <w:sz w:val="22"/>
          <w:szCs w:val="22"/>
          <w:lang w:val="sr-Latn-ME"/>
        </w:rPr>
        <w:t xml:space="preserve"> NaCl za injekciju/infuziju. </w:t>
      </w:r>
    </w:p>
    <w:p w:rsidR="00427CC6" w:rsidRPr="00B32BF5" w:rsidRDefault="00427CC6">
      <w:pPr>
        <w:tabs>
          <w:tab w:val="left" w:pos="567"/>
        </w:tabs>
        <w:jc w:val="both"/>
        <w:rPr>
          <w:sz w:val="22"/>
          <w:szCs w:val="22"/>
          <w:lang w:val="sr-Latn-ME"/>
        </w:rPr>
      </w:pPr>
      <w:r w:rsidRPr="00B32BF5">
        <w:rPr>
          <w:sz w:val="22"/>
          <w:szCs w:val="22"/>
          <w:lang w:val="sr-Latn-ME"/>
        </w:rPr>
        <w:t xml:space="preserve">Rekonstituisani rastvor za infuzije je bistar i bezbojan do sasvim blijedo žut. </w:t>
      </w:r>
    </w:p>
    <w:p w:rsidR="00427CC6" w:rsidRPr="00B32BF5" w:rsidRDefault="00427CC6">
      <w:pPr>
        <w:tabs>
          <w:tab w:val="left" w:pos="567"/>
        </w:tabs>
        <w:jc w:val="both"/>
        <w:rPr>
          <w:sz w:val="22"/>
          <w:szCs w:val="22"/>
          <w:lang w:val="sr-Latn-ME"/>
        </w:rPr>
      </w:pPr>
    </w:p>
    <w:p w:rsidR="00427CC6" w:rsidRPr="00B32BF5" w:rsidRDefault="00427CC6">
      <w:pPr>
        <w:tabs>
          <w:tab w:val="left" w:pos="567"/>
        </w:tabs>
        <w:jc w:val="both"/>
        <w:rPr>
          <w:sz w:val="22"/>
          <w:szCs w:val="22"/>
          <w:u w:val="single"/>
          <w:lang w:val="sr-Latn-ME"/>
        </w:rPr>
      </w:pPr>
      <w:r w:rsidRPr="00B32BF5">
        <w:rPr>
          <w:sz w:val="22"/>
          <w:szCs w:val="22"/>
          <w:u w:val="single"/>
          <w:lang w:val="sr-Latn-ME"/>
        </w:rPr>
        <w:t>Infuzija 80 mg</w:t>
      </w:r>
    </w:p>
    <w:p w:rsidR="00427CC6" w:rsidRPr="00B32BF5" w:rsidRDefault="00427CC6">
      <w:pPr>
        <w:tabs>
          <w:tab w:val="left" w:pos="567"/>
        </w:tabs>
        <w:jc w:val="both"/>
        <w:rPr>
          <w:sz w:val="22"/>
          <w:szCs w:val="22"/>
          <w:lang w:val="sr-Latn-ME"/>
        </w:rPr>
      </w:pPr>
      <w:r w:rsidRPr="00B32BF5">
        <w:rPr>
          <w:sz w:val="22"/>
          <w:szCs w:val="22"/>
          <w:lang w:val="sr-Latn-ME"/>
        </w:rPr>
        <w:t>Rastvor za infuziju se priprema rastvaranjem sadržaja dvije bočice esomeprazola od 40 mg u najviše 100</w:t>
      </w:r>
      <w:r w:rsidR="00D307D6">
        <w:rPr>
          <w:sz w:val="22"/>
          <w:szCs w:val="22"/>
          <w:lang w:val="sr-Latn-ME"/>
        </w:rPr>
        <w:t xml:space="preserve"> </w:t>
      </w:r>
      <w:r w:rsidRPr="00B32BF5">
        <w:rPr>
          <w:sz w:val="22"/>
          <w:szCs w:val="22"/>
          <w:lang w:val="sr-Latn-ME"/>
        </w:rPr>
        <w:t>ml 0,9% rastvor</w:t>
      </w:r>
      <w:r w:rsidR="00D307D6">
        <w:rPr>
          <w:sz w:val="22"/>
          <w:szCs w:val="22"/>
          <w:lang w:val="sr-Latn-ME"/>
        </w:rPr>
        <w:t>a</w:t>
      </w:r>
      <w:r w:rsidRPr="00B32BF5">
        <w:rPr>
          <w:sz w:val="22"/>
          <w:szCs w:val="22"/>
          <w:lang w:val="sr-Latn-ME"/>
        </w:rPr>
        <w:t xml:space="preserve"> natrijum hlorida za intravensku upotrebu. </w:t>
      </w:r>
    </w:p>
    <w:p w:rsidR="00427CC6" w:rsidRPr="00B32BF5" w:rsidRDefault="00427CC6">
      <w:pPr>
        <w:tabs>
          <w:tab w:val="left" w:pos="567"/>
        </w:tabs>
        <w:jc w:val="both"/>
        <w:rPr>
          <w:sz w:val="22"/>
          <w:szCs w:val="22"/>
          <w:lang w:val="sr-Latn-ME"/>
        </w:rPr>
      </w:pPr>
      <w:r w:rsidRPr="00B32BF5">
        <w:rPr>
          <w:sz w:val="22"/>
          <w:szCs w:val="22"/>
          <w:lang w:val="sr-Latn-ME"/>
        </w:rPr>
        <w:t>Rekonstituisani rastvor za infuzije je bistar i bezbojan do sasvim blijedo žut.</w:t>
      </w:r>
    </w:p>
    <w:p w:rsidR="000C7178" w:rsidRPr="00B32BF5" w:rsidRDefault="00427CC6" w:rsidP="000A243B">
      <w:pPr>
        <w:tabs>
          <w:tab w:val="left" w:pos="569"/>
        </w:tabs>
        <w:jc w:val="both"/>
        <w:rPr>
          <w:b/>
          <w:bCs/>
          <w:sz w:val="22"/>
          <w:szCs w:val="22"/>
          <w:lang w:val="sr-Latn-ME"/>
        </w:rPr>
      </w:pPr>
      <w:r w:rsidRPr="00B32BF5">
        <w:rPr>
          <w:rFonts w:eastAsia="TimesNewRoman"/>
          <w:sz w:val="22"/>
          <w:szCs w:val="22"/>
          <w:lang w:val="sr-Latn-ME"/>
        </w:rPr>
        <w:t xml:space="preserve"> </w:t>
      </w:r>
    </w:p>
    <w:p w:rsidR="0072020E" w:rsidRPr="00B32BF5" w:rsidRDefault="0072020E" w:rsidP="000A243B">
      <w:pPr>
        <w:tabs>
          <w:tab w:val="left" w:pos="540"/>
          <w:tab w:val="left" w:pos="569"/>
        </w:tabs>
        <w:jc w:val="both"/>
        <w:rPr>
          <w:bCs/>
          <w:sz w:val="22"/>
          <w:szCs w:val="22"/>
          <w:lang w:val="sr-Latn-ME"/>
        </w:rPr>
      </w:pPr>
    </w:p>
    <w:p w:rsidR="00F8570A"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7. </w:t>
      </w:r>
      <w:r w:rsidR="00480FB1" w:rsidRPr="00B32BF5">
        <w:rPr>
          <w:b/>
          <w:bCs/>
          <w:sz w:val="22"/>
          <w:szCs w:val="22"/>
          <w:lang w:val="sr-Latn-ME"/>
        </w:rPr>
        <w:tab/>
      </w:r>
      <w:r w:rsidRPr="00B32BF5">
        <w:rPr>
          <w:b/>
          <w:bCs/>
          <w:sz w:val="22"/>
          <w:szCs w:val="22"/>
          <w:lang w:val="sr-Latn-ME"/>
        </w:rPr>
        <w:t>NOSILAC DOZVOLE</w:t>
      </w:r>
      <w:r w:rsidR="00483928" w:rsidRPr="00B32BF5">
        <w:rPr>
          <w:b/>
          <w:bCs/>
          <w:sz w:val="22"/>
          <w:szCs w:val="22"/>
          <w:lang w:val="sr-Latn-ME"/>
        </w:rPr>
        <w:t xml:space="preserve"> </w:t>
      </w:r>
    </w:p>
    <w:p w:rsidR="00427CC6" w:rsidRPr="00B32BF5" w:rsidRDefault="00427CC6" w:rsidP="002671C0">
      <w:pPr>
        <w:tabs>
          <w:tab w:val="left" w:pos="567"/>
        </w:tabs>
        <w:spacing w:line="260" w:lineRule="exact"/>
        <w:jc w:val="both"/>
        <w:rPr>
          <w:sz w:val="22"/>
          <w:szCs w:val="22"/>
          <w:lang w:val="sr-Latn-ME"/>
        </w:rPr>
      </w:pPr>
    </w:p>
    <w:p w:rsidR="00427CC6" w:rsidRPr="00B32BF5" w:rsidRDefault="00427CC6" w:rsidP="00A34CC6">
      <w:pPr>
        <w:tabs>
          <w:tab w:val="left" w:pos="567"/>
        </w:tabs>
        <w:spacing w:line="260" w:lineRule="exact"/>
        <w:jc w:val="both"/>
        <w:rPr>
          <w:sz w:val="22"/>
          <w:szCs w:val="22"/>
          <w:lang w:val="sr-Latn-ME"/>
        </w:rPr>
      </w:pPr>
      <w:r w:rsidRPr="00B32BF5">
        <w:rPr>
          <w:sz w:val="22"/>
          <w:szCs w:val="22"/>
          <w:lang w:val="sr-Latn-ME"/>
        </w:rPr>
        <w:t>Evropa Lek Pharma d.o.o. Podgorica</w:t>
      </w:r>
    </w:p>
    <w:p w:rsidR="00427CC6" w:rsidRPr="00B32BF5" w:rsidRDefault="00427CC6">
      <w:pPr>
        <w:tabs>
          <w:tab w:val="left" w:pos="567"/>
        </w:tabs>
        <w:spacing w:line="260" w:lineRule="exact"/>
        <w:jc w:val="both"/>
        <w:rPr>
          <w:sz w:val="22"/>
          <w:szCs w:val="22"/>
          <w:lang w:val="sr-Latn-ME"/>
        </w:rPr>
      </w:pPr>
      <w:r w:rsidRPr="00B32BF5">
        <w:rPr>
          <w:sz w:val="22"/>
          <w:szCs w:val="22"/>
          <w:lang w:val="sr-Latn-ME"/>
        </w:rPr>
        <w:t xml:space="preserve">Kritskog odreda 4/1 </w:t>
      </w:r>
    </w:p>
    <w:p w:rsidR="00427CC6" w:rsidRPr="00B32BF5" w:rsidRDefault="00427CC6">
      <w:pPr>
        <w:tabs>
          <w:tab w:val="left" w:pos="567"/>
        </w:tabs>
        <w:spacing w:line="260" w:lineRule="exact"/>
        <w:jc w:val="both"/>
        <w:rPr>
          <w:sz w:val="22"/>
          <w:szCs w:val="22"/>
          <w:lang w:val="sr-Latn-ME"/>
        </w:rPr>
      </w:pPr>
      <w:r w:rsidRPr="00B32BF5">
        <w:rPr>
          <w:sz w:val="22"/>
          <w:szCs w:val="22"/>
          <w:lang w:val="sr-Latn-ME"/>
        </w:rPr>
        <w:t>81000 Podgorica, Crna Gora</w:t>
      </w:r>
    </w:p>
    <w:p w:rsidR="00C61BE0" w:rsidRPr="00B32BF5" w:rsidRDefault="00C61BE0" w:rsidP="000A243B">
      <w:pPr>
        <w:tabs>
          <w:tab w:val="left" w:pos="540"/>
          <w:tab w:val="left" w:pos="569"/>
        </w:tabs>
        <w:jc w:val="both"/>
        <w:rPr>
          <w:bCs/>
          <w:sz w:val="22"/>
          <w:szCs w:val="22"/>
          <w:lang w:val="sr-Latn-ME"/>
        </w:rPr>
      </w:pPr>
    </w:p>
    <w:p w:rsidR="00C37FD7" w:rsidRPr="00B32BF5" w:rsidRDefault="00C37FD7" w:rsidP="000A243B">
      <w:pPr>
        <w:tabs>
          <w:tab w:val="left" w:pos="540"/>
          <w:tab w:val="left" w:pos="569"/>
        </w:tabs>
        <w:jc w:val="both"/>
        <w:rPr>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8. </w:t>
      </w:r>
      <w:r w:rsidR="00480FB1" w:rsidRPr="00B32BF5">
        <w:rPr>
          <w:b/>
          <w:bCs/>
          <w:sz w:val="22"/>
          <w:szCs w:val="22"/>
          <w:lang w:val="sr-Latn-ME"/>
        </w:rPr>
        <w:tab/>
      </w:r>
      <w:r w:rsidRPr="00B32BF5">
        <w:rPr>
          <w:b/>
          <w:bCs/>
          <w:sz w:val="22"/>
          <w:szCs w:val="22"/>
          <w:lang w:val="sr-Latn-ME"/>
        </w:rPr>
        <w:t>BROJ DOZVOLE</w:t>
      </w:r>
      <w:r w:rsidR="008A6D43" w:rsidRPr="00B32BF5">
        <w:rPr>
          <w:b/>
          <w:bCs/>
          <w:sz w:val="22"/>
          <w:szCs w:val="22"/>
          <w:lang w:val="sr-Latn-ME"/>
        </w:rPr>
        <w:t xml:space="preserve"> ZA STAVLJANJE LIJEKA U PROMET</w:t>
      </w:r>
    </w:p>
    <w:p w:rsidR="00F45F77" w:rsidRDefault="00F45F77" w:rsidP="000A243B">
      <w:pPr>
        <w:tabs>
          <w:tab w:val="left" w:pos="540"/>
          <w:tab w:val="left" w:pos="569"/>
        </w:tabs>
        <w:jc w:val="both"/>
        <w:rPr>
          <w:bCs/>
          <w:sz w:val="22"/>
          <w:szCs w:val="22"/>
          <w:lang w:val="sr-Latn-ME"/>
        </w:rPr>
      </w:pPr>
    </w:p>
    <w:p w:rsidR="00F92D8B" w:rsidRPr="00F92D8B" w:rsidRDefault="00F92D8B" w:rsidP="00F92D8B">
      <w:pPr>
        <w:tabs>
          <w:tab w:val="left" w:pos="540"/>
          <w:tab w:val="left" w:pos="569"/>
        </w:tabs>
        <w:rPr>
          <w:sz w:val="22"/>
          <w:szCs w:val="22"/>
          <w:lang w:eastAsia="sr-Latn-ME"/>
        </w:rPr>
      </w:pPr>
      <w:r w:rsidRPr="00F92D8B">
        <w:rPr>
          <w:sz w:val="22"/>
          <w:szCs w:val="22"/>
          <w:lang w:eastAsia="sr-Latn-ME"/>
        </w:rPr>
        <w:t xml:space="preserve">2030/22/2627 </w:t>
      </w:r>
      <w:r w:rsidRPr="00F92D8B">
        <w:rPr>
          <w:sz w:val="22"/>
          <w:szCs w:val="22"/>
          <w:lang w:eastAsia="sr-Latn-ME"/>
        </w:rPr>
        <w:t>–</w:t>
      </w:r>
      <w:r w:rsidRPr="00F92D8B">
        <w:rPr>
          <w:sz w:val="22"/>
          <w:szCs w:val="22"/>
          <w:lang w:eastAsia="sr-Latn-ME"/>
        </w:rPr>
        <w:t xml:space="preserve"> 687</w:t>
      </w:r>
    </w:p>
    <w:p w:rsidR="00F92D8B" w:rsidRPr="00B32BF5" w:rsidRDefault="00F92D8B" w:rsidP="000A243B">
      <w:pPr>
        <w:tabs>
          <w:tab w:val="left" w:pos="540"/>
          <w:tab w:val="left" w:pos="569"/>
        </w:tabs>
        <w:jc w:val="both"/>
        <w:rPr>
          <w:bCs/>
          <w:sz w:val="22"/>
          <w:szCs w:val="22"/>
          <w:lang w:val="sr-Latn-ME"/>
        </w:rPr>
      </w:pPr>
    </w:p>
    <w:p w:rsidR="0072020E" w:rsidRPr="00B32BF5" w:rsidRDefault="0072020E" w:rsidP="000A243B">
      <w:pPr>
        <w:tabs>
          <w:tab w:val="left" w:pos="540"/>
          <w:tab w:val="left" w:pos="569"/>
        </w:tabs>
        <w:jc w:val="both"/>
        <w:rPr>
          <w:b/>
          <w:bCs/>
          <w:sz w:val="22"/>
          <w:szCs w:val="22"/>
          <w:lang w:val="sr-Latn-ME"/>
        </w:rPr>
      </w:pPr>
      <w:r w:rsidRPr="00B32BF5">
        <w:rPr>
          <w:b/>
          <w:bCs/>
          <w:sz w:val="22"/>
          <w:szCs w:val="22"/>
          <w:lang w:val="sr-Latn-ME"/>
        </w:rPr>
        <w:t xml:space="preserve">9. </w:t>
      </w:r>
      <w:r w:rsidR="00480FB1" w:rsidRPr="00B32BF5">
        <w:rPr>
          <w:b/>
          <w:bCs/>
          <w:sz w:val="22"/>
          <w:szCs w:val="22"/>
          <w:lang w:val="sr-Latn-ME"/>
        </w:rPr>
        <w:tab/>
      </w:r>
      <w:r w:rsidRPr="00B32BF5">
        <w:rPr>
          <w:b/>
          <w:bCs/>
          <w:sz w:val="22"/>
          <w:szCs w:val="22"/>
          <w:lang w:val="sr-Latn-ME"/>
        </w:rPr>
        <w:t xml:space="preserve">DATUM </w:t>
      </w:r>
      <w:r w:rsidR="00C05DF8" w:rsidRPr="00B32BF5">
        <w:rPr>
          <w:b/>
          <w:bCs/>
          <w:sz w:val="22"/>
          <w:szCs w:val="22"/>
          <w:lang w:val="sr-Latn-ME"/>
        </w:rPr>
        <w:t xml:space="preserve">PRVE </w:t>
      </w:r>
      <w:r w:rsidR="008A6D43" w:rsidRPr="00B32BF5">
        <w:rPr>
          <w:b/>
          <w:bCs/>
          <w:sz w:val="22"/>
          <w:szCs w:val="22"/>
          <w:lang w:val="sr-Latn-ME"/>
        </w:rPr>
        <w:t>DOZVOLE</w:t>
      </w:r>
      <w:r w:rsidR="00C05DF8" w:rsidRPr="00B32BF5">
        <w:rPr>
          <w:b/>
          <w:bCs/>
          <w:sz w:val="22"/>
          <w:szCs w:val="22"/>
          <w:lang w:val="sr-Latn-ME"/>
        </w:rPr>
        <w:t>/OBNOVE DOZVOLE</w:t>
      </w:r>
      <w:r w:rsidR="008A6D43" w:rsidRPr="00B32BF5">
        <w:rPr>
          <w:b/>
          <w:bCs/>
          <w:sz w:val="22"/>
          <w:szCs w:val="22"/>
          <w:lang w:val="sr-Latn-ME"/>
        </w:rPr>
        <w:t xml:space="preserve"> ZA STAVLJANJE LIJEKA U PROMET</w:t>
      </w:r>
    </w:p>
    <w:p w:rsidR="0072020E" w:rsidRPr="00B32BF5" w:rsidRDefault="0072020E" w:rsidP="000A243B">
      <w:pPr>
        <w:tabs>
          <w:tab w:val="left" w:pos="540"/>
          <w:tab w:val="left" w:pos="569"/>
        </w:tabs>
        <w:jc w:val="both"/>
        <w:rPr>
          <w:bCs/>
          <w:sz w:val="22"/>
          <w:szCs w:val="22"/>
          <w:lang w:val="sr-Latn-ME"/>
        </w:rPr>
      </w:pPr>
    </w:p>
    <w:p w:rsidR="00836B35" w:rsidRPr="00F92D8B" w:rsidRDefault="00F92D8B" w:rsidP="000A243B">
      <w:pPr>
        <w:tabs>
          <w:tab w:val="left" w:pos="540"/>
          <w:tab w:val="left" w:pos="569"/>
        </w:tabs>
        <w:jc w:val="both"/>
        <w:rPr>
          <w:bCs/>
          <w:sz w:val="22"/>
          <w:szCs w:val="22"/>
          <w:lang w:val="sr-Latn-ME"/>
        </w:rPr>
      </w:pPr>
      <w:r w:rsidRPr="00F92D8B">
        <w:rPr>
          <w:bCs/>
          <w:sz w:val="22"/>
          <w:szCs w:val="22"/>
          <w:lang w:val="sr-Latn-ME"/>
        </w:rPr>
        <w:t>14.10.2022. godine</w:t>
      </w:r>
    </w:p>
    <w:p w:rsidR="003F46A5" w:rsidRPr="00B32BF5" w:rsidRDefault="003F46A5" w:rsidP="000A243B">
      <w:pPr>
        <w:tabs>
          <w:tab w:val="left" w:pos="540"/>
          <w:tab w:val="left" w:pos="569"/>
        </w:tabs>
        <w:jc w:val="both"/>
        <w:rPr>
          <w:bCs/>
          <w:sz w:val="22"/>
          <w:szCs w:val="22"/>
          <w:lang w:val="sr-Latn-ME"/>
        </w:rPr>
      </w:pPr>
    </w:p>
    <w:p w:rsidR="003F6A59" w:rsidRPr="00B32BF5" w:rsidRDefault="0072020E" w:rsidP="000A243B">
      <w:pPr>
        <w:tabs>
          <w:tab w:val="left" w:pos="540"/>
          <w:tab w:val="left" w:pos="569"/>
        </w:tabs>
        <w:ind w:left="540" w:hanging="540"/>
        <w:jc w:val="both"/>
        <w:rPr>
          <w:bCs/>
          <w:sz w:val="22"/>
          <w:szCs w:val="22"/>
          <w:lang w:val="sr-Latn-ME"/>
        </w:rPr>
      </w:pPr>
      <w:r w:rsidRPr="00B32BF5">
        <w:rPr>
          <w:b/>
          <w:bCs/>
          <w:sz w:val="22"/>
          <w:szCs w:val="22"/>
          <w:lang w:val="sr-Latn-ME"/>
        </w:rPr>
        <w:t xml:space="preserve">10. </w:t>
      </w:r>
      <w:r w:rsidR="00480FB1" w:rsidRPr="00B32BF5">
        <w:rPr>
          <w:b/>
          <w:bCs/>
          <w:sz w:val="22"/>
          <w:szCs w:val="22"/>
          <w:lang w:val="sr-Latn-ME"/>
        </w:rPr>
        <w:tab/>
      </w:r>
      <w:r w:rsidR="002846DB" w:rsidRPr="00B32BF5">
        <w:rPr>
          <w:b/>
          <w:bCs/>
          <w:sz w:val="22"/>
          <w:szCs w:val="22"/>
          <w:lang w:val="sr-Latn-ME"/>
        </w:rPr>
        <w:t>D</w:t>
      </w:r>
      <w:r w:rsidR="00EC2532" w:rsidRPr="00B32BF5">
        <w:rPr>
          <w:b/>
          <w:bCs/>
          <w:sz w:val="22"/>
          <w:szCs w:val="22"/>
          <w:lang w:val="sr-Latn-ME"/>
        </w:rPr>
        <w:t xml:space="preserve">ATUM REVIZIJE TEKSTA </w:t>
      </w:r>
    </w:p>
    <w:p w:rsidR="003F6A59" w:rsidRPr="00B32BF5" w:rsidRDefault="003F6A59" w:rsidP="000A243B">
      <w:pPr>
        <w:tabs>
          <w:tab w:val="left" w:pos="540"/>
          <w:tab w:val="left" w:pos="569"/>
        </w:tabs>
        <w:jc w:val="both"/>
        <w:rPr>
          <w:bCs/>
          <w:sz w:val="22"/>
          <w:szCs w:val="22"/>
          <w:lang w:val="sr-Latn-ME"/>
        </w:rPr>
      </w:pPr>
    </w:p>
    <w:p w:rsidR="008A6D43" w:rsidRPr="00B32BF5" w:rsidRDefault="00F92D8B" w:rsidP="00F92D8B">
      <w:pPr>
        <w:tabs>
          <w:tab w:val="left" w:pos="540"/>
          <w:tab w:val="left" w:pos="569"/>
        </w:tabs>
        <w:rPr>
          <w:bCs/>
          <w:sz w:val="22"/>
          <w:szCs w:val="22"/>
          <w:lang w:val="sr-Latn-ME"/>
        </w:rPr>
      </w:pPr>
      <w:r>
        <w:rPr>
          <w:bCs/>
          <w:sz w:val="22"/>
          <w:szCs w:val="22"/>
          <w:lang w:val="sr-Latn-ME"/>
        </w:rPr>
        <w:t>Oktobar, 2022. godine</w:t>
      </w:r>
    </w:p>
    <w:p w:rsidR="003F6A59" w:rsidRPr="00B32BF5" w:rsidRDefault="003F6A59" w:rsidP="000A243B">
      <w:pPr>
        <w:jc w:val="both"/>
        <w:rPr>
          <w:sz w:val="22"/>
          <w:szCs w:val="22"/>
          <w:lang w:val="sr-Latn-ME"/>
        </w:rPr>
      </w:pPr>
      <w:bookmarkStart w:id="0" w:name="_GoBack"/>
      <w:bookmarkEnd w:id="0"/>
    </w:p>
    <w:sectPr w:rsidR="003F6A59" w:rsidRPr="00B32BF5"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E14" w:rsidRDefault="00395E14">
      <w:r>
        <w:separator/>
      </w:r>
    </w:p>
  </w:endnote>
  <w:endnote w:type="continuationSeparator" w:id="0">
    <w:p w:rsidR="00395E14" w:rsidRDefault="0039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91B" w:rsidRPr="00B23F69" w:rsidRDefault="0042491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92D8B">
      <w:rPr>
        <w:noProof/>
        <w:sz w:val="22"/>
        <w:szCs w:val="22"/>
      </w:rPr>
      <w:t>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92D8B">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E14" w:rsidRDefault="00395E14">
      <w:r>
        <w:separator/>
      </w:r>
    </w:p>
  </w:footnote>
  <w:footnote w:type="continuationSeparator" w:id="0">
    <w:p w:rsidR="00395E14" w:rsidRDefault="00395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3.5pt;visibility:visible" o:bullet="t">
        <v:imagedata r:id="rId1" o:title="BT_1000x858px"/>
      </v:shape>
    </w:pict>
  </w:numPicBullet>
  <w:abstractNum w:abstractNumId="0" w15:restartNumberingAfterBreak="0">
    <w:nsid w:val="0B8938FF"/>
    <w:multiLevelType w:val="hybridMultilevel"/>
    <w:tmpl w:val="B91269F6"/>
    <w:lvl w:ilvl="0" w:tplc="93C6C1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52723F"/>
    <w:multiLevelType w:val="hybridMultilevel"/>
    <w:tmpl w:val="4D58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BAE430F"/>
    <w:multiLevelType w:val="hybridMultilevel"/>
    <w:tmpl w:val="BCE0989A"/>
    <w:lvl w:ilvl="0" w:tplc="93C6C16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B72130"/>
    <w:multiLevelType w:val="hybridMultilevel"/>
    <w:tmpl w:val="D914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1"/>
  </w:num>
  <w:num w:numId="5">
    <w:abstractNumId w:val="6"/>
  </w:num>
  <w:num w:numId="6">
    <w:abstractNumId w:val="2"/>
  </w:num>
  <w:num w:numId="7">
    <w:abstractNumId w:val="10"/>
  </w:num>
  <w:num w:numId="8">
    <w:abstractNumId w:val="5"/>
  </w:num>
  <w:num w:numId="9">
    <w:abstractNumId w:val="8"/>
  </w:num>
  <w:num w:numId="10">
    <w:abstractNumId w:val="14"/>
  </w:num>
  <w:num w:numId="11">
    <w:abstractNumId w:val="7"/>
  </w:num>
  <w:num w:numId="12">
    <w:abstractNumId w:val="3"/>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243B"/>
    <w:rsid w:val="000A3F58"/>
    <w:rsid w:val="000A5F3C"/>
    <w:rsid w:val="000B3229"/>
    <w:rsid w:val="000C7178"/>
    <w:rsid w:val="000D2343"/>
    <w:rsid w:val="000D3449"/>
    <w:rsid w:val="000D425A"/>
    <w:rsid w:val="000D60CC"/>
    <w:rsid w:val="000E2084"/>
    <w:rsid w:val="000E6F55"/>
    <w:rsid w:val="000F77FA"/>
    <w:rsid w:val="00107BF7"/>
    <w:rsid w:val="00126F53"/>
    <w:rsid w:val="0014766D"/>
    <w:rsid w:val="001536CC"/>
    <w:rsid w:val="0016090F"/>
    <w:rsid w:val="001A3FBA"/>
    <w:rsid w:val="001A5518"/>
    <w:rsid w:val="001B1C6A"/>
    <w:rsid w:val="001C1263"/>
    <w:rsid w:val="001C1417"/>
    <w:rsid w:val="001E390B"/>
    <w:rsid w:val="001F42FB"/>
    <w:rsid w:val="001F488A"/>
    <w:rsid w:val="001F719A"/>
    <w:rsid w:val="002031B3"/>
    <w:rsid w:val="00210E4F"/>
    <w:rsid w:val="00215931"/>
    <w:rsid w:val="00224C91"/>
    <w:rsid w:val="00227BDB"/>
    <w:rsid w:val="00234CB1"/>
    <w:rsid w:val="002352F8"/>
    <w:rsid w:val="0023546D"/>
    <w:rsid w:val="002445C7"/>
    <w:rsid w:val="002510A5"/>
    <w:rsid w:val="00254A0A"/>
    <w:rsid w:val="00266046"/>
    <w:rsid w:val="002671C0"/>
    <w:rsid w:val="002846DB"/>
    <w:rsid w:val="00284CCD"/>
    <w:rsid w:val="002C6637"/>
    <w:rsid w:val="002E0135"/>
    <w:rsid w:val="002E37A5"/>
    <w:rsid w:val="00310F03"/>
    <w:rsid w:val="003247D2"/>
    <w:rsid w:val="003445C1"/>
    <w:rsid w:val="00355B61"/>
    <w:rsid w:val="00362686"/>
    <w:rsid w:val="00371510"/>
    <w:rsid w:val="0039567C"/>
    <w:rsid w:val="00395E14"/>
    <w:rsid w:val="00396DFD"/>
    <w:rsid w:val="003A7059"/>
    <w:rsid w:val="003B7A36"/>
    <w:rsid w:val="003C17AB"/>
    <w:rsid w:val="003C7823"/>
    <w:rsid w:val="003E1DCC"/>
    <w:rsid w:val="003F11A1"/>
    <w:rsid w:val="003F46A5"/>
    <w:rsid w:val="003F6A59"/>
    <w:rsid w:val="004065C8"/>
    <w:rsid w:val="004109FA"/>
    <w:rsid w:val="00411B4B"/>
    <w:rsid w:val="00415BEE"/>
    <w:rsid w:val="0042491B"/>
    <w:rsid w:val="004252C9"/>
    <w:rsid w:val="00427CC6"/>
    <w:rsid w:val="00427F85"/>
    <w:rsid w:val="00436F42"/>
    <w:rsid w:val="004378B4"/>
    <w:rsid w:val="00451314"/>
    <w:rsid w:val="00452E9D"/>
    <w:rsid w:val="004534C7"/>
    <w:rsid w:val="004671AA"/>
    <w:rsid w:val="00480FB1"/>
    <w:rsid w:val="00483928"/>
    <w:rsid w:val="004C331F"/>
    <w:rsid w:val="004D6103"/>
    <w:rsid w:val="004E3BCE"/>
    <w:rsid w:val="004E70AD"/>
    <w:rsid w:val="004F0E97"/>
    <w:rsid w:val="00501DD1"/>
    <w:rsid w:val="005033AF"/>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7A7D"/>
    <w:rsid w:val="00602457"/>
    <w:rsid w:val="00644FC3"/>
    <w:rsid w:val="00646BD1"/>
    <w:rsid w:val="006561C2"/>
    <w:rsid w:val="00671CB3"/>
    <w:rsid w:val="00674BAF"/>
    <w:rsid w:val="00682200"/>
    <w:rsid w:val="00692BF6"/>
    <w:rsid w:val="00693173"/>
    <w:rsid w:val="006A1497"/>
    <w:rsid w:val="006A189C"/>
    <w:rsid w:val="006B0BD1"/>
    <w:rsid w:val="006B5404"/>
    <w:rsid w:val="006D20A5"/>
    <w:rsid w:val="006D210D"/>
    <w:rsid w:val="006D37BF"/>
    <w:rsid w:val="00702E22"/>
    <w:rsid w:val="0072020E"/>
    <w:rsid w:val="00720D6F"/>
    <w:rsid w:val="00786071"/>
    <w:rsid w:val="007A3ECB"/>
    <w:rsid w:val="007D7BB3"/>
    <w:rsid w:val="00824AB9"/>
    <w:rsid w:val="00836B35"/>
    <w:rsid w:val="00843BDE"/>
    <w:rsid w:val="0087588C"/>
    <w:rsid w:val="0089705C"/>
    <w:rsid w:val="008A6D43"/>
    <w:rsid w:val="008B491E"/>
    <w:rsid w:val="008C1A28"/>
    <w:rsid w:val="008C2E98"/>
    <w:rsid w:val="008E49BD"/>
    <w:rsid w:val="008E53E9"/>
    <w:rsid w:val="008E5771"/>
    <w:rsid w:val="008F4ACF"/>
    <w:rsid w:val="008F665B"/>
    <w:rsid w:val="00924166"/>
    <w:rsid w:val="00931797"/>
    <w:rsid w:val="00940B9B"/>
    <w:rsid w:val="0095676E"/>
    <w:rsid w:val="00956983"/>
    <w:rsid w:val="00963CF0"/>
    <w:rsid w:val="00964BB1"/>
    <w:rsid w:val="009775D9"/>
    <w:rsid w:val="00997175"/>
    <w:rsid w:val="009A1847"/>
    <w:rsid w:val="009B062A"/>
    <w:rsid w:val="009E3452"/>
    <w:rsid w:val="009E7C6F"/>
    <w:rsid w:val="009F1793"/>
    <w:rsid w:val="009F2D23"/>
    <w:rsid w:val="00A01D69"/>
    <w:rsid w:val="00A02335"/>
    <w:rsid w:val="00A34CC6"/>
    <w:rsid w:val="00A46C9A"/>
    <w:rsid w:val="00A619F3"/>
    <w:rsid w:val="00A62A73"/>
    <w:rsid w:val="00A761C0"/>
    <w:rsid w:val="00A8221D"/>
    <w:rsid w:val="00A87FF6"/>
    <w:rsid w:val="00AA0A3B"/>
    <w:rsid w:val="00AA2763"/>
    <w:rsid w:val="00AA33B6"/>
    <w:rsid w:val="00AB50CA"/>
    <w:rsid w:val="00AB6D64"/>
    <w:rsid w:val="00AC53CE"/>
    <w:rsid w:val="00AD2193"/>
    <w:rsid w:val="00AF2AC7"/>
    <w:rsid w:val="00AF74CE"/>
    <w:rsid w:val="00B208DB"/>
    <w:rsid w:val="00B23F69"/>
    <w:rsid w:val="00B32BF5"/>
    <w:rsid w:val="00B60619"/>
    <w:rsid w:val="00B66A70"/>
    <w:rsid w:val="00B67366"/>
    <w:rsid w:val="00B80EE1"/>
    <w:rsid w:val="00B84135"/>
    <w:rsid w:val="00BB0549"/>
    <w:rsid w:val="00BE5DE7"/>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94C0D"/>
    <w:rsid w:val="00CA1FEB"/>
    <w:rsid w:val="00CC21B8"/>
    <w:rsid w:val="00CD4F85"/>
    <w:rsid w:val="00CD6F02"/>
    <w:rsid w:val="00CE246D"/>
    <w:rsid w:val="00CF07A0"/>
    <w:rsid w:val="00CF3E03"/>
    <w:rsid w:val="00D0082A"/>
    <w:rsid w:val="00D21455"/>
    <w:rsid w:val="00D307D6"/>
    <w:rsid w:val="00D33C62"/>
    <w:rsid w:val="00D47634"/>
    <w:rsid w:val="00D709B3"/>
    <w:rsid w:val="00DA2ED6"/>
    <w:rsid w:val="00DB76B8"/>
    <w:rsid w:val="00DC2EA1"/>
    <w:rsid w:val="00DD3C3B"/>
    <w:rsid w:val="00DD6AAF"/>
    <w:rsid w:val="00DE3F5C"/>
    <w:rsid w:val="00DF1D20"/>
    <w:rsid w:val="00E21324"/>
    <w:rsid w:val="00E246B9"/>
    <w:rsid w:val="00E31FEA"/>
    <w:rsid w:val="00E45169"/>
    <w:rsid w:val="00E47787"/>
    <w:rsid w:val="00E51C30"/>
    <w:rsid w:val="00E64180"/>
    <w:rsid w:val="00E74AEE"/>
    <w:rsid w:val="00E868E5"/>
    <w:rsid w:val="00E9237A"/>
    <w:rsid w:val="00E939FA"/>
    <w:rsid w:val="00EA5765"/>
    <w:rsid w:val="00EC2532"/>
    <w:rsid w:val="00ED7812"/>
    <w:rsid w:val="00EF3B86"/>
    <w:rsid w:val="00F317E9"/>
    <w:rsid w:val="00F34554"/>
    <w:rsid w:val="00F45F77"/>
    <w:rsid w:val="00F5167F"/>
    <w:rsid w:val="00F52258"/>
    <w:rsid w:val="00F52B38"/>
    <w:rsid w:val="00F8570A"/>
    <w:rsid w:val="00F91C7B"/>
    <w:rsid w:val="00F92D8B"/>
    <w:rsid w:val="00FF5F82"/>
    <w:rsid w:val="00FF6A4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574E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246CF-478E-4B08-AC20-1A01F591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6454</Words>
  <Characters>36793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43161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Milena Čolaković</cp:lastModifiedBy>
  <cp:revision>3</cp:revision>
  <dcterms:created xsi:type="dcterms:W3CDTF">2022-10-14T05:45:00Z</dcterms:created>
  <dcterms:modified xsi:type="dcterms:W3CDTF">2022-10-14T06:13:00Z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