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68008" w14:textId="090D34C6" w:rsidR="00CE09F3" w:rsidRPr="00A774F5" w:rsidRDefault="00CE09F3" w:rsidP="00A774F5">
      <w:pPr>
        <w:jc w:val="center"/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</w:pPr>
      <w:r w:rsidRPr="00A774F5"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  <w:t>SAŽETAK KARAKTERISTIKA L</w:t>
      </w:r>
      <w:r w:rsidR="00347475" w:rsidRPr="00A774F5"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  <w:t>IJ</w:t>
      </w:r>
      <w:r w:rsidRPr="00A774F5"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  <w:t>EKA</w:t>
      </w:r>
    </w:p>
    <w:p w14:paraId="617A7D62" w14:textId="77777777" w:rsidR="00383195" w:rsidRPr="00A774F5" w:rsidRDefault="003E3EC7" w:rsidP="00A774F5">
      <w:pPr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 </w:t>
      </w:r>
    </w:p>
    <w:p w14:paraId="33290792" w14:textId="77777777" w:rsidR="00F5775F" w:rsidRPr="00A774F5" w:rsidRDefault="00F5775F" w:rsidP="00A774F5">
      <w:pPr>
        <w:rPr>
          <w:rFonts w:asciiTheme="majorBidi" w:hAnsiTheme="majorBidi" w:cstheme="majorBidi"/>
          <w:bCs/>
          <w:szCs w:val="22"/>
          <w:lang w:val="sr-Latn-ME"/>
        </w:rPr>
      </w:pPr>
    </w:p>
    <w:p w14:paraId="48144641" w14:textId="75E7E0C3" w:rsidR="00CE09F3" w:rsidRPr="00A774F5" w:rsidRDefault="00CE09F3" w:rsidP="00A774F5">
      <w:pPr>
        <w:pStyle w:val="NASLOV123"/>
        <w:rPr>
          <w:rFonts w:asciiTheme="majorBidi" w:hAnsiTheme="majorBidi" w:cstheme="majorBidi"/>
          <w:lang w:val="sr-Latn-ME"/>
        </w:rPr>
      </w:pPr>
      <w:r w:rsidRPr="00A774F5">
        <w:rPr>
          <w:rFonts w:asciiTheme="majorBidi" w:hAnsiTheme="majorBidi" w:cstheme="majorBidi"/>
          <w:lang w:val="sr-Latn-ME"/>
        </w:rPr>
        <w:t xml:space="preserve">1. </w:t>
      </w:r>
      <w:r w:rsidR="00347475" w:rsidRPr="00A774F5">
        <w:rPr>
          <w:rFonts w:asciiTheme="majorBidi" w:hAnsiTheme="majorBidi" w:cstheme="majorBidi"/>
          <w:lang w:val="sr-Latn-ME"/>
        </w:rPr>
        <w:t>NAZIV</w:t>
      </w:r>
      <w:r w:rsidRPr="00A774F5">
        <w:rPr>
          <w:rFonts w:asciiTheme="majorBidi" w:hAnsiTheme="majorBidi" w:cstheme="majorBidi"/>
          <w:lang w:val="sr-Latn-ME"/>
        </w:rPr>
        <w:t xml:space="preserve"> L</w:t>
      </w:r>
      <w:r w:rsidR="00347475" w:rsidRPr="00A774F5">
        <w:rPr>
          <w:rFonts w:asciiTheme="majorBidi" w:hAnsiTheme="majorBidi" w:cstheme="majorBidi"/>
          <w:lang w:val="sr-Latn-ME"/>
        </w:rPr>
        <w:t>IJ</w:t>
      </w:r>
      <w:r w:rsidRPr="00A774F5">
        <w:rPr>
          <w:rFonts w:asciiTheme="majorBidi" w:hAnsiTheme="majorBidi" w:cstheme="majorBidi"/>
          <w:lang w:val="sr-Latn-ME"/>
        </w:rPr>
        <w:t>EKA</w:t>
      </w:r>
    </w:p>
    <w:p w14:paraId="4CD7F9C3" w14:textId="110CDB69" w:rsidR="00C85276" w:rsidRPr="00A774F5" w:rsidRDefault="00C85276" w:rsidP="00A774F5">
      <w:pPr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Neodeksacin</w:t>
      </w:r>
      <w:r w:rsidRPr="00A774F5">
        <w:rPr>
          <w:rFonts w:asciiTheme="majorBidi" w:hAnsiTheme="majorBidi" w:cstheme="majorBidi"/>
          <w:b/>
          <w:szCs w:val="22"/>
          <w:vertAlign w:val="superscript"/>
          <w:lang w:val="sr-Latn-ME"/>
        </w:rPr>
        <w:t>®</w:t>
      </w:r>
      <w:r w:rsidR="008006AF" w:rsidRPr="00A774F5">
        <w:rPr>
          <w:rFonts w:asciiTheme="majorBidi" w:hAnsiTheme="majorBidi" w:cstheme="majorBidi"/>
          <w:bCs/>
          <w:szCs w:val="22"/>
          <w:lang w:val="sr-Latn-ME"/>
        </w:rPr>
        <w:t>,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 xml:space="preserve"> 1 mg/</w:t>
      </w:r>
      <w:r w:rsidR="00DB0B45" w:rsidRPr="00A774F5">
        <w:rPr>
          <w:rFonts w:asciiTheme="majorBidi" w:hAnsiTheme="majorBidi" w:cstheme="majorBidi"/>
          <w:szCs w:val="22"/>
          <w:lang w:val="sr-Latn-ME"/>
        </w:rPr>
        <w:t>ml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 xml:space="preserve"> + 3,5 mg/</w:t>
      </w:r>
      <w:r w:rsidR="00DB0B45" w:rsidRPr="00A774F5">
        <w:rPr>
          <w:rFonts w:asciiTheme="majorBidi" w:hAnsiTheme="majorBidi" w:cstheme="majorBidi"/>
          <w:szCs w:val="22"/>
          <w:lang w:val="sr-Latn-ME"/>
        </w:rPr>
        <w:t>ml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, kapi za oči, rastvor</w:t>
      </w:r>
    </w:p>
    <w:p w14:paraId="149598FE" w14:textId="77777777" w:rsidR="00CE09F3" w:rsidRPr="00A774F5" w:rsidRDefault="00CE09F3" w:rsidP="00A774F5">
      <w:pPr>
        <w:rPr>
          <w:rFonts w:asciiTheme="majorBidi" w:hAnsiTheme="majorBidi" w:cstheme="majorBidi"/>
          <w:bCs/>
          <w:szCs w:val="22"/>
          <w:lang w:val="sr-Latn-ME"/>
        </w:rPr>
      </w:pPr>
    </w:p>
    <w:p w14:paraId="4A1AF202" w14:textId="2B7F3F51" w:rsidR="00CE09F3" w:rsidRPr="00A774F5" w:rsidRDefault="00CF69CC" w:rsidP="00A774F5">
      <w:pPr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INN: deksametazon, neomicin</w:t>
      </w:r>
      <w:bookmarkStart w:id="0" w:name="_GoBack"/>
      <w:bookmarkEnd w:id="0"/>
    </w:p>
    <w:p w14:paraId="06C3173D" w14:textId="77777777" w:rsidR="00CE09F3" w:rsidRPr="00A774F5" w:rsidRDefault="00CE09F3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14:paraId="055F30D7" w14:textId="77777777" w:rsidR="00CE09F3" w:rsidRPr="00A774F5" w:rsidRDefault="00CF69CC" w:rsidP="00A774F5">
      <w:pPr>
        <w:pStyle w:val="NASLOV123"/>
        <w:rPr>
          <w:rFonts w:asciiTheme="majorBidi" w:hAnsiTheme="majorBidi" w:cstheme="majorBidi"/>
          <w:lang w:val="sr-Latn-ME"/>
        </w:rPr>
      </w:pPr>
      <w:r w:rsidRPr="00A774F5">
        <w:rPr>
          <w:rFonts w:asciiTheme="majorBidi" w:hAnsiTheme="majorBidi" w:cstheme="majorBidi"/>
          <w:lang w:val="sr-Latn-ME"/>
        </w:rPr>
        <w:t>2. KVALITATIVNI I KVANTITATIVNI SASTAV</w:t>
      </w:r>
    </w:p>
    <w:p w14:paraId="2FE16BFE" w14:textId="3549FB8D" w:rsidR="00C85276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1 </w:t>
      </w:r>
      <w:r w:rsidR="00DB0B45" w:rsidRPr="00A774F5">
        <w:rPr>
          <w:rFonts w:asciiTheme="majorBidi" w:hAnsiTheme="majorBidi" w:cstheme="majorBidi"/>
          <w:szCs w:val="22"/>
          <w:lang w:val="sr-Latn-ME"/>
        </w:rPr>
        <w:t>ml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 rastvora sadrži:</w:t>
      </w:r>
    </w:p>
    <w:p w14:paraId="75F8B87A" w14:textId="77777777" w:rsidR="00C85276" w:rsidRPr="00A774F5" w:rsidRDefault="00C85276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61CA0BEA" w14:textId="3842E533" w:rsidR="00C85276" w:rsidRPr="00A774F5" w:rsidRDefault="005C2B01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D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eksametazon</w:t>
      </w:r>
      <w:r w:rsidR="00820858" w:rsidRPr="00A774F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natrijum </w:t>
      </w:r>
      <w:r w:rsidR="00820858" w:rsidRPr="00A774F5">
        <w:rPr>
          <w:rFonts w:asciiTheme="majorBidi" w:hAnsiTheme="majorBidi" w:cstheme="majorBidi"/>
          <w:szCs w:val="22"/>
          <w:lang w:val="sr-Latn-ME"/>
        </w:rPr>
        <w:t xml:space="preserve">fosfat 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1,</w:t>
      </w:r>
      <w:r w:rsidRPr="00A774F5">
        <w:rPr>
          <w:rFonts w:asciiTheme="majorBidi" w:hAnsiTheme="majorBidi" w:cstheme="majorBidi"/>
          <w:szCs w:val="22"/>
          <w:lang w:val="sr-Latn-ME"/>
        </w:rPr>
        <w:t>1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 xml:space="preserve"> mg</w:t>
      </w:r>
    </w:p>
    <w:p w14:paraId="1F3809EB" w14:textId="7C510E15" w:rsidR="00C85276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(</w:t>
      </w:r>
      <w:r w:rsidR="005C2B01" w:rsidRPr="00A774F5">
        <w:rPr>
          <w:rFonts w:asciiTheme="majorBidi" w:hAnsiTheme="majorBidi" w:cstheme="majorBidi"/>
          <w:szCs w:val="22"/>
          <w:lang w:val="sr-Latn-ME"/>
        </w:rPr>
        <w:t xml:space="preserve">odgovara 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 xml:space="preserve">deksametazon </w:t>
      </w:r>
      <w:r w:rsidR="005C2B01" w:rsidRPr="00A774F5">
        <w:rPr>
          <w:rFonts w:asciiTheme="majorBidi" w:hAnsiTheme="majorBidi" w:cstheme="majorBidi"/>
          <w:szCs w:val="22"/>
          <w:lang w:val="sr-Latn-ME"/>
        </w:rPr>
        <w:t>fosfata 1,0 mg</w:t>
      </w:r>
      <w:r w:rsidRPr="00A774F5">
        <w:rPr>
          <w:rFonts w:asciiTheme="majorBidi" w:hAnsiTheme="majorBidi" w:cstheme="majorBidi"/>
          <w:szCs w:val="22"/>
          <w:lang w:val="sr-Latn-ME"/>
        </w:rPr>
        <w:t>)</w:t>
      </w:r>
    </w:p>
    <w:p w14:paraId="43E14427" w14:textId="77777777" w:rsidR="00041D88" w:rsidRPr="00A774F5" w:rsidRDefault="00041D88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34006675" w14:textId="77777777" w:rsidR="00C85276" w:rsidRPr="00A774F5" w:rsidRDefault="00041D88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eomicin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ab/>
      </w:r>
      <w:r w:rsidR="00CF69CC" w:rsidRPr="00A774F5">
        <w:rPr>
          <w:rFonts w:asciiTheme="majorBidi" w:hAnsiTheme="majorBidi" w:cstheme="majorBidi"/>
          <w:szCs w:val="22"/>
          <w:lang w:val="sr-Latn-ME"/>
        </w:rPr>
        <w:tab/>
      </w:r>
      <w:r w:rsidR="00CF69CC" w:rsidRPr="00A774F5">
        <w:rPr>
          <w:rFonts w:asciiTheme="majorBidi" w:hAnsiTheme="majorBidi" w:cstheme="majorBidi"/>
          <w:szCs w:val="22"/>
          <w:lang w:val="sr-Latn-ME"/>
        </w:rPr>
        <w:tab/>
        <w:t>3,5 mg</w:t>
      </w:r>
    </w:p>
    <w:p w14:paraId="0E676BA0" w14:textId="795F9464" w:rsidR="00C85276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(u obliku neomicin</w:t>
      </w:r>
      <w:r w:rsidR="00DB0B45" w:rsidRPr="00A774F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sulfata) </w:t>
      </w:r>
    </w:p>
    <w:p w14:paraId="309899CA" w14:textId="77777777" w:rsidR="00C85276" w:rsidRPr="00A774F5" w:rsidRDefault="00C85276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6950AADB" w14:textId="608ABB30" w:rsidR="00C85276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 Neodeksacin sadrži pomoćne supstance sa potvrđenim dejstvom: b</w:t>
      </w:r>
      <w:r w:rsidR="00097C89" w:rsidRPr="00A774F5">
        <w:rPr>
          <w:rFonts w:asciiTheme="majorBidi" w:hAnsiTheme="majorBidi" w:cstheme="majorBidi"/>
          <w:szCs w:val="22"/>
          <w:lang w:val="sr-Latn-ME"/>
        </w:rPr>
        <w:t>enzalkonijum</w:t>
      </w:r>
      <w:r w:rsidR="00DB0B45" w:rsidRPr="00A774F5">
        <w:rPr>
          <w:rFonts w:asciiTheme="majorBidi" w:hAnsiTheme="majorBidi" w:cstheme="majorBidi"/>
          <w:szCs w:val="22"/>
          <w:lang w:val="sr-Latn-ME"/>
        </w:rPr>
        <w:t xml:space="preserve"> </w:t>
      </w:r>
      <w:r w:rsidR="00097C89" w:rsidRPr="00A774F5">
        <w:rPr>
          <w:rFonts w:asciiTheme="majorBidi" w:hAnsiTheme="majorBidi" w:cstheme="majorBidi"/>
          <w:szCs w:val="22"/>
          <w:lang w:val="sr-Latn-ME"/>
        </w:rPr>
        <w:t>hlorid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 i natrijum</w:t>
      </w:r>
      <w:r w:rsidR="00DB0B45" w:rsidRPr="00A774F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A774F5">
        <w:rPr>
          <w:rFonts w:asciiTheme="majorBidi" w:hAnsiTheme="majorBidi" w:cstheme="majorBidi"/>
          <w:szCs w:val="22"/>
          <w:lang w:val="sr-Latn-ME"/>
        </w:rPr>
        <w:t>metabisulfit.</w:t>
      </w:r>
    </w:p>
    <w:p w14:paraId="56B7708B" w14:textId="77777777" w:rsidR="00C85276" w:rsidRPr="00A774F5" w:rsidRDefault="00C85276" w:rsidP="00A774F5">
      <w:pPr>
        <w:tabs>
          <w:tab w:val="clear" w:pos="284"/>
        </w:tabs>
        <w:rPr>
          <w:rFonts w:asciiTheme="majorBidi" w:hAnsiTheme="majorBidi" w:cstheme="majorBidi"/>
          <w:b/>
          <w:szCs w:val="22"/>
          <w:lang w:val="sr-Latn-ME"/>
        </w:rPr>
      </w:pPr>
    </w:p>
    <w:p w14:paraId="6A467DA5" w14:textId="77777777" w:rsidR="00B40F9F" w:rsidRPr="00A774F5" w:rsidRDefault="00B40F9F" w:rsidP="00A774F5">
      <w:pPr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Za spisak svih ekscipijenasa, pogledati dio 6.1.</w:t>
      </w:r>
    </w:p>
    <w:p w14:paraId="0C451F5F" w14:textId="77777777" w:rsidR="00CE09F3" w:rsidRPr="00A774F5" w:rsidRDefault="00CE09F3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52D1371C" w14:textId="77777777" w:rsidR="00CE09F3" w:rsidRPr="00A774F5" w:rsidRDefault="00CF69CC" w:rsidP="00A774F5">
      <w:pPr>
        <w:pStyle w:val="NASLOV123"/>
        <w:rPr>
          <w:rFonts w:asciiTheme="majorBidi" w:hAnsiTheme="majorBidi" w:cstheme="majorBidi"/>
          <w:lang w:val="sr-Latn-ME"/>
        </w:rPr>
      </w:pPr>
      <w:r w:rsidRPr="00A774F5">
        <w:rPr>
          <w:rFonts w:asciiTheme="majorBidi" w:hAnsiTheme="majorBidi" w:cstheme="majorBidi"/>
          <w:lang w:val="sr-Latn-ME"/>
        </w:rPr>
        <w:t>3. FARMACEUTSKI OBLIK</w:t>
      </w:r>
    </w:p>
    <w:p w14:paraId="3F3BFE78" w14:textId="77777777" w:rsidR="00C85276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Kapi za oči, rastvor.</w:t>
      </w:r>
    </w:p>
    <w:p w14:paraId="7B9E1E80" w14:textId="77777777" w:rsidR="00C85276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Bistar, skoro bezbojan rastvor.</w:t>
      </w:r>
    </w:p>
    <w:p w14:paraId="7C051DB1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6B50FF9E" w14:textId="77777777" w:rsidR="00CE09F3" w:rsidRPr="00A774F5" w:rsidRDefault="00CF69CC" w:rsidP="00A774F5">
      <w:pPr>
        <w:pStyle w:val="NASLOV123"/>
        <w:rPr>
          <w:rFonts w:asciiTheme="majorBidi" w:hAnsiTheme="majorBidi" w:cstheme="majorBidi"/>
          <w:lang w:val="sr-Latn-ME"/>
        </w:rPr>
      </w:pPr>
      <w:r w:rsidRPr="00A774F5">
        <w:rPr>
          <w:rFonts w:asciiTheme="majorBidi" w:hAnsiTheme="majorBidi" w:cstheme="majorBidi"/>
          <w:lang w:val="sr-Latn-ME"/>
        </w:rPr>
        <w:t>4. KLINIČKI PODACI</w:t>
      </w:r>
    </w:p>
    <w:p w14:paraId="1D6B3508" w14:textId="77777777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4.1. Terapijske indikacije</w:t>
      </w:r>
    </w:p>
    <w:p w14:paraId="34DE2549" w14:textId="77777777" w:rsidR="00D15F12" w:rsidRPr="00A774F5" w:rsidRDefault="00D15F12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</w:p>
    <w:p w14:paraId="49492FE5" w14:textId="727F893D" w:rsidR="00C85276" w:rsidRPr="00A774F5" w:rsidRDefault="00CF69CC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 Neodeksacin se koristi u terapiji inflamatornih stanja oka koja zaht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evaju kortikosteroidnu terapiju i kod postojanja bakterijske infekcije kao i rizika od nastanka bakterijskih infekcija oka.</w:t>
      </w:r>
    </w:p>
    <w:p w14:paraId="17BF3DE2" w14:textId="77777777" w:rsidR="00C85276" w:rsidRPr="00A774F5" w:rsidRDefault="00C85276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</w:p>
    <w:p w14:paraId="1EB5CAD7" w14:textId="698D6810" w:rsidR="00C85276" w:rsidRPr="00A774F5" w:rsidRDefault="00CF69CC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 Neodeksacin je indikovan u sl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edećim stanjima:</w:t>
      </w:r>
    </w:p>
    <w:p w14:paraId="3F335560" w14:textId="77777777" w:rsidR="00D044B5" w:rsidRPr="00A774F5" w:rsidRDefault="00CF69CC" w:rsidP="00A774F5">
      <w:pPr>
        <w:pStyle w:val="ListParagraph"/>
        <w:numPr>
          <w:ilvl w:val="0"/>
          <w:numId w:val="7"/>
        </w:num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inflamatorna stanja palpebralne i bulbarne konjunktive </w:t>
      </w:r>
    </w:p>
    <w:p w14:paraId="2F5F115A" w14:textId="77777777" w:rsidR="00D044B5" w:rsidRPr="00A774F5" w:rsidRDefault="00CF69CC" w:rsidP="00A774F5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inflamatorna stanja kornee </w:t>
      </w:r>
    </w:p>
    <w:p w14:paraId="6D297C7D" w14:textId="496D48AE" w:rsidR="00C85276" w:rsidRPr="00A774F5" w:rsidRDefault="00CF69CC" w:rsidP="00A774F5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inflamatorna stanja prednjeg segmenta oka, gd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 je rizik od prim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ene kortikosteroida kod nekih infektivnih konjunktivitisa prihvatljiv, kako bi se postiglo smanjenje edema i inflamacije</w:t>
      </w:r>
    </w:p>
    <w:p w14:paraId="6B99BC98" w14:textId="77777777" w:rsidR="00C85276" w:rsidRPr="00A774F5" w:rsidRDefault="00CF69CC" w:rsidP="00A774F5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hronični anteriorni uveitis</w:t>
      </w:r>
    </w:p>
    <w:p w14:paraId="03E516B9" w14:textId="4719E02D" w:rsidR="00C85276" w:rsidRPr="00A774F5" w:rsidRDefault="00CF69CC" w:rsidP="00A774F5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povrede kornee  (hemijske, radijacione, opekotine ili penetracija stranog t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ela).</w:t>
      </w:r>
    </w:p>
    <w:p w14:paraId="06A5624B" w14:textId="77777777" w:rsidR="00C85276" w:rsidRPr="00A774F5" w:rsidRDefault="00C85276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</w:p>
    <w:p w14:paraId="11B89BBC" w14:textId="7F0E5190" w:rsidR="00C85276" w:rsidRPr="00A774F5" w:rsidRDefault="00CF69CC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b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Kombinovana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ena sa antiinfektivnom komponentom u l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eku je indikovana u slučaju postojanja visokog rizika od infekcije ili u stanjima kod kojih se očekuje bakterijska superinfekcija oka.</w:t>
      </w:r>
    </w:p>
    <w:p w14:paraId="723B2F85" w14:textId="77777777" w:rsidR="00C85276" w:rsidRPr="00A774F5" w:rsidRDefault="00C85276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b/>
          <w:szCs w:val="22"/>
          <w:lang w:val="sr-Latn-ME"/>
        </w:rPr>
      </w:pPr>
    </w:p>
    <w:p w14:paraId="639AF24E" w14:textId="3861309D" w:rsidR="00C85276" w:rsidRPr="00A774F5" w:rsidRDefault="00CF69CC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Antiinfektivna komponenta ovog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 je aktivna prema sl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edećim čestim patogenima koji dovode do bakterijskih infekcija oka:</w:t>
      </w:r>
    </w:p>
    <w:p w14:paraId="4A4E973E" w14:textId="77777777" w:rsidR="00C85276" w:rsidRPr="00A774F5" w:rsidRDefault="00CF69CC" w:rsidP="00A774F5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i/>
          <w:szCs w:val="22"/>
          <w:lang w:val="sr-Latn-ME"/>
        </w:rPr>
      </w:pPr>
      <w:r w:rsidRPr="00A774F5">
        <w:rPr>
          <w:rFonts w:asciiTheme="majorBidi" w:hAnsiTheme="majorBidi" w:cstheme="majorBidi"/>
          <w:i/>
          <w:szCs w:val="22"/>
          <w:lang w:val="sr-Latn-ME"/>
        </w:rPr>
        <w:t>Staphylococcus aureus</w:t>
      </w:r>
    </w:p>
    <w:p w14:paraId="440CF77F" w14:textId="77777777" w:rsidR="00C85276" w:rsidRPr="00A774F5" w:rsidRDefault="00CF69CC" w:rsidP="00A774F5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i/>
          <w:szCs w:val="22"/>
          <w:lang w:val="sr-Latn-ME"/>
        </w:rPr>
      </w:pPr>
      <w:r w:rsidRPr="00A774F5">
        <w:rPr>
          <w:rFonts w:asciiTheme="majorBidi" w:hAnsiTheme="majorBidi" w:cstheme="majorBidi"/>
          <w:i/>
          <w:szCs w:val="22"/>
          <w:lang w:val="sr-Latn-ME"/>
        </w:rPr>
        <w:t>Escherichia coli</w:t>
      </w:r>
    </w:p>
    <w:p w14:paraId="407F9209" w14:textId="77777777" w:rsidR="00C85276" w:rsidRPr="00A774F5" w:rsidRDefault="00CF69CC" w:rsidP="00A774F5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i/>
          <w:szCs w:val="22"/>
          <w:lang w:val="sr-Latn-ME"/>
        </w:rPr>
      </w:pPr>
      <w:r w:rsidRPr="00A774F5">
        <w:rPr>
          <w:rFonts w:asciiTheme="majorBidi" w:hAnsiTheme="majorBidi" w:cstheme="majorBidi"/>
          <w:i/>
          <w:szCs w:val="22"/>
          <w:lang w:val="sr-Latn-ME"/>
        </w:rPr>
        <w:t>Haemophilus influenzae</w:t>
      </w:r>
    </w:p>
    <w:p w14:paraId="7912475F" w14:textId="77777777" w:rsidR="00C85276" w:rsidRPr="00A774F5" w:rsidRDefault="00CF69CC" w:rsidP="00A774F5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i/>
          <w:szCs w:val="22"/>
          <w:lang w:val="sr-Latn-ME"/>
        </w:rPr>
      </w:pPr>
      <w:r w:rsidRPr="00A774F5">
        <w:rPr>
          <w:rFonts w:asciiTheme="majorBidi" w:hAnsiTheme="majorBidi" w:cstheme="majorBidi"/>
          <w:i/>
          <w:szCs w:val="22"/>
          <w:lang w:val="sr-Latn-ME"/>
        </w:rPr>
        <w:t>Klebsiela/Enterobacter species</w:t>
      </w:r>
    </w:p>
    <w:p w14:paraId="4D48FB20" w14:textId="77777777" w:rsidR="00C85276" w:rsidRPr="00A774F5" w:rsidRDefault="00CF69CC" w:rsidP="00A774F5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i/>
          <w:szCs w:val="22"/>
          <w:lang w:val="sr-Latn-ME"/>
        </w:rPr>
        <w:t>Neisseria species</w:t>
      </w:r>
    </w:p>
    <w:p w14:paraId="15592B32" w14:textId="77777777" w:rsidR="00244ECD" w:rsidRPr="00A774F5" w:rsidRDefault="00244ECD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</w:p>
    <w:p w14:paraId="653418CB" w14:textId="04BC1DDE" w:rsidR="00C85276" w:rsidRPr="00A774F5" w:rsidRDefault="00CF69CC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lastRenderedPageBreak/>
        <w:t>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 Neodeksacin ne obezb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eđuje odgovarajuću zaštitu od sl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edećih mikroorganizama:</w:t>
      </w:r>
    </w:p>
    <w:p w14:paraId="1AA82201" w14:textId="77777777" w:rsidR="00C85276" w:rsidRPr="00A774F5" w:rsidRDefault="00CF69CC" w:rsidP="00A774F5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i/>
          <w:szCs w:val="22"/>
          <w:lang w:val="sr-Latn-ME"/>
        </w:rPr>
      </w:pPr>
      <w:r w:rsidRPr="00A774F5">
        <w:rPr>
          <w:rFonts w:asciiTheme="majorBidi" w:hAnsiTheme="majorBidi" w:cstheme="majorBidi"/>
          <w:i/>
          <w:szCs w:val="22"/>
          <w:lang w:val="sr-Latn-ME"/>
        </w:rPr>
        <w:t>Pseudomonas aeruginosa</w:t>
      </w:r>
    </w:p>
    <w:p w14:paraId="3F2D3650" w14:textId="77777777" w:rsidR="00C85276" w:rsidRPr="00A774F5" w:rsidRDefault="00CF69CC" w:rsidP="00A774F5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i/>
          <w:szCs w:val="22"/>
          <w:lang w:val="sr-Latn-ME"/>
        </w:rPr>
      </w:pPr>
      <w:r w:rsidRPr="00A774F5">
        <w:rPr>
          <w:rFonts w:asciiTheme="majorBidi" w:hAnsiTheme="majorBidi" w:cstheme="majorBidi"/>
          <w:i/>
          <w:szCs w:val="22"/>
          <w:lang w:val="sr-Latn-ME"/>
        </w:rPr>
        <w:t>Serratia marcescens</w:t>
      </w:r>
    </w:p>
    <w:p w14:paraId="44896C82" w14:textId="77777777" w:rsidR="00CE09F3" w:rsidRPr="00A774F5" w:rsidRDefault="00CF69CC" w:rsidP="00A774F5">
      <w:pPr>
        <w:numPr>
          <w:ilvl w:val="0"/>
          <w:numId w:val="4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i/>
          <w:szCs w:val="22"/>
          <w:lang w:val="sr-Latn-ME"/>
        </w:rPr>
      </w:pPr>
      <w:r w:rsidRPr="00A774F5">
        <w:rPr>
          <w:rFonts w:asciiTheme="majorBidi" w:hAnsiTheme="majorBidi" w:cstheme="majorBidi"/>
          <w:i/>
          <w:szCs w:val="22"/>
          <w:lang w:val="sr-Latn-ME"/>
        </w:rPr>
        <w:t>Streptococci (</w:t>
      </w:r>
      <w:r w:rsidRPr="00A774F5">
        <w:rPr>
          <w:rFonts w:asciiTheme="majorBidi" w:hAnsiTheme="majorBidi" w:cstheme="majorBidi"/>
          <w:szCs w:val="22"/>
          <w:lang w:val="sr-Latn-ME"/>
        </w:rPr>
        <w:t>uključujući</w:t>
      </w:r>
      <w:r w:rsidRPr="00A774F5">
        <w:rPr>
          <w:rFonts w:asciiTheme="majorBidi" w:hAnsiTheme="majorBidi" w:cstheme="majorBidi"/>
          <w:i/>
          <w:szCs w:val="22"/>
          <w:lang w:val="sr-Latn-ME"/>
        </w:rPr>
        <w:t xml:space="preserve"> Streptococcus pneumoniae)</w:t>
      </w:r>
    </w:p>
    <w:p w14:paraId="6714A212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1D9A8D7E" w14:textId="14657F4A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4.2. Doziranje i način prim</w:t>
      </w:r>
      <w:r w:rsidR="00347475" w:rsidRPr="00A774F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ene</w:t>
      </w:r>
    </w:p>
    <w:p w14:paraId="4D32E567" w14:textId="77777777" w:rsidR="00B6265F" w:rsidRPr="00A774F5" w:rsidRDefault="00B6265F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</w:p>
    <w:p w14:paraId="349776F6" w14:textId="54FA7E4F" w:rsidR="00161A79" w:rsidRPr="00A774F5" w:rsidRDefault="00CF69CC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Trajanje terapije varira u zavisnosti od tipa oštećenja i kreće se od nekoliko dana do nekoliko ned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elja, u zavisnosti od terapijskog odgovora.</w:t>
      </w:r>
    </w:p>
    <w:p w14:paraId="31BB8D57" w14:textId="77777777" w:rsidR="00161A79" w:rsidRPr="00A774F5" w:rsidRDefault="00161A79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032A1182" w14:textId="77777777" w:rsidR="00161A79" w:rsidRPr="00A774F5" w:rsidRDefault="00CF69CC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Na početku terapije se 1-2 kapi rastvora ukapava u konjunktivalnu kesu svakog sata tokom dana i svaka dva sata tokom noći. Pri postizanju zadovoljavajućeg terapijskog odgovora, doza se smanjuje na jednu kap rastvora svaka 4 sata. Kasnije je za kontrolu simptoma dovoljno smanjenje doze na jednu kap, 3 ili 4 puta dnevno.</w:t>
      </w:r>
    </w:p>
    <w:p w14:paraId="7FEE65F7" w14:textId="77777777" w:rsidR="00161A79" w:rsidRPr="00A774F5" w:rsidRDefault="00161A79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</w:p>
    <w:p w14:paraId="77CAA858" w14:textId="68889445" w:rsidR="00161A79" w:rsidRPr="00A774F5" w:rsidRDefault="00CF69CC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Na početku terapije, ne treba propisivati više od 20 </w:t>
      </w:r>
      <w:r w:rsidR="00DB0B45" w:rsidRPr="00A774F5">
        <w:rPr>
          <w:rFonts w:asciiTheme="majorBidi" w:hAnsiTheme="majorBidi" w:cstheme="majorBidi"/>
          <w:szCs w:val="22"/>
          <w:lang w:val="sr-Latn-ME"/>
        </w:rPr>
        <w:t>ml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 rastvora, pri čemu se doza ne sm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 povećavati bez prethodne proc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ene (vid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eti od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eljak  4.4</w:t>
      </w:r>
      <w:r w:rsidR="00161A79" w:rsidRPr="00A774F5">
        <w:rPr>
          <w:rFonts w:asciiTheme="majorBidi" w:hAnsiTheme="majorBidi" w:cstheme="majorBidi"/>
          <w:szCs w:val="22"/>
          <w:lang w:val="sr-Latn-ME"/>
        </w:rPr>
        <w:t>).</w:t>
      </w:r>
    </w:p>
    <w:p w14:paraId="34A9333A" w14:textId="77777777" w:rsidR="00161A79" w:rsidRPr="00A774F5" w:rsidRDefault="00161A79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</w:p>
    <w:p w14:paraId="5A1F0A44" w14:textId="1266EB81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b/>
          <w:szCs w:val="22"/>
          <w:lang w:val="sr-Latn-ME"/>
        </w:rPr>
      </w:pPr>
      <w:r w:rsidRPr="00A774F5">
        <w:rPr>
          <w:rFonts w:asciiTheme="majorBidi" w:hAnsiTheme="majorBidi" w:cstheme="majorBidi"/>
          <w:b/>
          <w:szCs w:val="22"/>
          <w:lang w:val="sr-Latn-ME"/>
        </w:rPr>
        <w:t>D</w:t>
      </w:r>
      <w:r w:rsidR="00347475" w:rsidRPr="00A774F5">
        <w:rPr>
          <w:rFonts w:asciiTheme="majorBidi" w:hAnsiTheme="majorBidi" w:cstheme="majorBidi"/>
          <w:b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b/>
          <w:szCs w:val="22"/>
          <w:lang w:val="sr-Latn-ME"/>
        </w:rPr>
        <w:t>eca</w:t>
      </w:r>
    </w:p>
    <w:p w14:paraId="73D9B681" w14:textId="77777777" w:rsidR="00161A79" w:rsidRPr="00A774F5" w:rsidRDefault="00161A79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023B70F9" w14:textId="5695B9DD" w:rsidR="00CE09F3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Efikasnost i bezb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ednost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ene kod d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ece još uvek nije dokazana.</w:t>
      </w:r>
    </w:p>
    <w:p w14:paraId="3D69A88B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1973BD29" w14:textId="77777777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4.3. Kontraindikacije</w:t>
      </w:r>
    </w:p>
    <w:p w14:paraId="082C7E27" w14:textId="77777777" w:rsidR="0077120C" w:rsidRPr="00A774F5" w:rsidRDefault="0077120C" w:rsidP="00A774F5">
      <w:pPr>
        <w:rPr>
          <w:rFonts w:asciiTheme="majorBidi" w:hAnsiTheme="majorBidi" w:cstheme="majorBidi"/>
          <w:bCs/>
          <w:szCs w:val="22"/>
          <w:lang w:val="sr-Latn-ME"/>
        </w:rPr>
      </w:pPr>
    </w:p>
    <w:p w14:paraId="2DF050BF" w14:textId="2C467B8F" w:rsidR="001D5693" w:rsidRPr="00A774F5" w:rsidRDefault="00CF69CC" w:rsidP="00A774F5">
      <w:pPr>
        <w:rPr>
          <w:rFonts w:asciiTheme="majorBidi" w:hAnsiTheme="majorBidi" w:cstheme="majorBidi"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Cs/>
          <w:szCs w:val="22"/>
          <w:lang w:val="sr-Latn-ME"/>
        </w:rPr>
        <w:t>L</w:t>
      </w:r>
      <w:r w:rsidR="00347475" w:rsidRPr="00A774F5">
        <w:rPr>
          <w:rFonts w:asciiTheme="majorBidi" w:hAnsiTheme="majorBidi" w:cstheme="majorBidi"/>
          <w:bCs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bCs/>
          <w:szCs w:val="22"/>
          <w:lang w:val="sr-Latn-ME"/>
        </w:rPr>
        <w:t>ek Neodeksacin je kontraindikovan kod:</w:t>
      </w:r>
    </w:p>
    <w:p w14:paraId="77567A29" w14:textId="77777777" w:rsidR="001D5693" w:rsidRPr="00A774F5" w:rsidRDefault="001D5693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14:paraId="4B9981BC" w14:textId="4AEFE3E5" w:rsidR="00161A79" w:rsidRPr="00A774F5" w:rsidRDefault="00E57CF2" w:rsidP="00A774F5">
      <w:pPr>
        <w:numPr>
          <w:ilvl w:val="0"/>
          <w:numId w:val="5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Preos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et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ljivosti na aktivne supstance (deksametazon, neomicin) ili na bilo koju od pomoćnih supstanci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eka navedenih u od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eljku 6.1, uključujući i sulfite, i na druge kortikosteroide. Preos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etljivost na antibiotsku komponentu l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ij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eka se učestalije javlja u odnosu na druge komponente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eka.</w:t>
      </w:r>
    </w:p>
    <w:p w14:paraId="5B12F977" w14:textId="77777777" w:rsidR="00CE09F3" w:rsidRPr="00A774F5" w:rsidRDefault="00CF69CC" w:rsidP="00A774F5">
      <w:pPr>
        <w:numPr>
          <w:ilvl w:val="0"/>
          <w:numId w:val="5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Većine virusnih infekcija  kornee i konjunktive uključujući epitelijalni herpes simpleks keratitis (dendritski keratits), vakciniju, varičelu, kao i infekcije oka izazvane mikobakterijama i gljivična oboljenja strukture očnog aparata.</w:t>
      </w:r>
    </w:p>
    <w:p w14:paraId="01F920DA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4D6DFDC5" w14:textId="38E4799A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4.4. Posebna upozorenja i m</w:t>
      </w:r>
      <w:r w:rsidR="00347475" w:rsidRPr="00A774F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ere opreza pri upotrebi l</w:t>
      </w:r>
      <w:r w:rsidR="00347475" w:rsidRPr="00A774F5">
        <w:rPr>
          <w:rFonts w:asciiTheme="majorBidi" w:hAnsiTheme="majorBidi" w:cstheme="majorBidi"/>
          <w:b/>
          <w:bCs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eka</w:t>
      </w:r>
    </w:p>
    <w:p w14:paraId="0FAD5FB7" w14:textId="77777777" w:rsidR="00720E5E" w:rsidRPr="00A774F5" w:rsidRDefault="00720E5E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093D9E3D" w14:textId="5797D8BE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Produžena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ena kortikosteroida može dovesti do okularne hipertenzije i/ili glaukoma sa oštećenjem optičkog nerva,  smanjenja oštrine vida, defekta u vidnom  polju i posteriorne subkapsularne katarakte.</w:t>
      </w:r>
    </w:p>
    <w:p w14:paraId="1BEC4AD3" w14:textId="77777777" w:rsidR="00161A79" w:rsidRPr="00A774F5" w:rsidRDefault="00161A79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52FF5120" w14:textId="72DA89FB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Produžena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ena kortikosteroida može suprimirati imunski odgovor organizma na infekciju i na taj način povećati rizik od sekundarnih infekcija oka. Kod oboljenja koja uzrokuju ista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njivanje kornee ili sklere, zabi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lje</w:t>
      </w:r>
      <w:r w:rsidRPr="00A774F5">
        <w:rPr>
          <w:rFonts w:asciiTheme="majorBidi" w:hAnsiTheme="majorBidi" w:cstheme="majorBidi"/>
          <w:szCs w:val="22"/>
          <w:lang w:val="sr-Latn-ME"/>
        </w:rPr>
        <w:t>žene su perforacije usl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ed topikalne prim</w:t>
      </w:r>
      <w:r w:rsidR="00B91D77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ene kortikosteroida. Kod akutnih purulentnih infekcija oka, kortikosteroidi mogu maskirati infekciju ili pojačati već postojeću infekciju. </w:t>
      </w:r>
    </w:p>
    <w:p w14:paraId="27D8159D" w14:textId="77777777" w:rsidR="00161A79" w:rsidRPr="00A774F5" w:rsidRDefault="00161A79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27C1EB79" w14:textId="35AB2211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Ukoliko se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 koristi duže od 10 dana, treba rutinski m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eriti intraokularni pritisak, čak i kada je 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erenje otežano kao kod d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ece i </w:t>
      </w:r>
      <w:r w:rsidR="00161A79" w:rsidRPr="00A774F5">
        <w:rPr>
          <w:rFonts w:asciiTheme="majorBidi" w:hAnsiTheme="majorBidi" w:cstheme="majorBidi"/>
          <w:szCs w:val="22"/>
          <w:lang w:val="sr-Latn-ME"/>
        </w:rPr>
        <w:t>pacijenata</w:t>
      </w:r>
      <w:r w:rsidR="004F2482" w:rsidRPr="00A774F5">
        <w:rPr>
          <w:rFonts w:asciiTheme="majorBidi" w:hAnsiTheme="majorBidi" w:cstheme="majorBidi"/>
          <w:szCs w:val="22"/>
          <w:lang w:val="sr-Latn-ME"/>
        </w:rPr>
        <w:t xml:space="preserve"> koji ne sarađuju</w:t>
      </w:r>
      <w:r w:rsidR="00161A79" w:rsidRPr="00A774F5">
        <w:rPr>
          <w:rFonts w:asciiTheme="majorBidi" w:hAnsiTheme="majorBidi" w:cstheme="majorBidi"/>
          <w:szCs w:val="22"/>
          <w:lang w:val="sr-Latn-ME"/>
        </w:rPr>
        <w:t xml:space="preserve">. Kortikosteroide treba pažljivo koristiti u slučaju okularne hipertenzije i/ili glaukoma. </w:t>
      </w:r>
      <w:r w:rsidRPr="00A774F5">
        <w:rPr>
          <w:rFonts w:asciiTheme="majorBidi" w:hAnsiTheme="majorBidi" w:cstheme="majorBidi"/>
          <w:szCs w:val="22"/>
          <w:lang w:val="sr-Latn-ME"/>
        </w:rPr>
        <w:t>Treba često kontrolisati intraokularni pritisak.</w:t>
      </w:r>
    </w:p>
    <w:p w14:paraId="557346B7" w14:textId="77777777" w:rsidR="00161A79" w:rsidRPr="00A774F5" w:rsidRDefault="00161A79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426CB871" w14:textId="5CF5B1DD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ena kortikosteroida nakon operacije katarakte može usporiti izlečenje i povećati incidenciju konjunktivalnih blistera.</w:t>
      </w:r>
    </w:p>
    <w:p w14:paraId="5FEC9859" w14:textId="77777777" w:rsidR="00161A79" w:rsidRPr="00A774F5" w:rsidRDefault="00161A79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129D6B3F" w14:textId="3394213F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i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ena kortikosteroida u oko, može produžiti tok i pogoršati težinu mnogih virusnih infekcija oka (uključujući herpes simpleks).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ena kortikosteroida u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ečenju pacijenata sa pozitivnom anamnezom herpes simpleksa zaht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eva veliki oprez; neophodan je periodični pregled mikroskopom (vid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eti od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eljak  4.3).</w:t>
      </w:r>
      <w:r w:rsidR="00161A79" w:rsidRPr="00A774F5">
        <w:rPr>
          <w:rFonts w:asciiTheme="majorBidi" w:hAnsiTheme="majorBidi" w:cstheme="majorBidi"/>
          <w:i/>
          <w:szCs w:val="22"/>
          <w:lang w:val="sr-Latn-ME"/>
        </w:rPr>
        <w:t xml:space="preserve"> </w:t>
      </w:r>
      <w:r w:rsidRPr="00A774F5">
        <w:rPr>
          <w:rFonts w:asciiTheme="majorBidi" w:hAnsiTheme="majorBidi" w:cstheme="majorBidi"/>
          <w:szCs w:val="22"/>
          <w:lang w:val="sr-Latn-ME"/>
        </w:rPr>
        <w:t>Neomicin-sulfat povremeno može izazvati preos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etljivost kože. U slučaju pojave reakcija preos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etljivosti, odmah obustaviti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enu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eka.</w:t>
      </w:r>
    </w:p>
    <w:p w14:paraId="3C280C5B" w14:textId="47C5F454" w:rsidR="00A906EE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Ne preporučuje se nošenje kontaktnih sočiva u toku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ečenja infekcija oka.</w:t>
      </w:r>
    </w:p>
    <w:p w14:paraId="676EC8F0" w14:textId="77777777" w:rsidR="00846454" w:rsidRPr="00A774F5" w:rsidRDefault="00846454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201F7CC6" w14:textId="1A0E1D84" w:rsidR="00846454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lastRenderedPageBreak/>
        <w:t>Prilikom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ene kapi za oči koje sadrže deksametazon postoji rizik od nastanka Kušingovog sindroma i/ili supresije nadbubrežne žl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ezde. Interakcija sa CYP3A4 inhibitorima može povećati ovaj rizik.</w:t>
      </w:r>
    </w:p>
    <w:p w14:paraId="73028CBF" w14:textId="77777777" w:rsidR="000C2DA2" w:rsidRPr="00A774F5" w:rsidRDefault="000C2DA2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43DE6CE7" w14:textId="6304D775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Neodeksacin, kapi za oči sadrže natrijum-metabisulfit koji r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etko može izazvati  hipersenzitivne reakcije i bronhospazam.</w:t>
      </w:r>
    </w:p>
    <w:p w14:paraId="4704BAF3" w14:textId="77777777" w:rsidR="00161A79" w:rsidRPr="00A774F5" w:rsidRDefault="00161A79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1B84DEBC" w14:textId="7839C9B2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Neodeksacin, kapi za oči sadrže benzalkonijum-hlorid kao konzervans. Može izazvati iritaciju očiju. Izb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egavati kontakt sa mekim kontaktnim sočivima. Pr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ene skinuti kontaktna sočiva i takođe sačekati najmanje 15 minuta pr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 njihovog ponovnog stavljanja. Poznato je da 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enja boju mekih kontaktnih sočiva. </w:t>
      </w:r>
      <w:r w:rsidRPr="00A774F5">
        <w:rPr>
          <w:rFonts w:asciiTheme="majorBidi" w:hAnsiTheme="majorBidi" w:cstheme="majorBidi"/>
          <w:szCs w:val="22"/>
          <w:lang w:val="sr-Latn-ME"/>
        </w:rPr>
        <w:br/>
      </w:r>
    </w:p>
    <w:p w14:paraId="53619FB2" w14:textId="4FCE88FE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Pacijente koji u terapiji bolesti oka prim</w:t>
      </w:r>
      <w:r w:rsidR="00921461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enjuju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ekove koji sadrže neomicin-sulfat treba sav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etovati da se obrate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ekaru ukoliko crvenilo, iritacija, otok ili bol perzistiraju ili se pogoršaju.</w:t>
      </w:r>
    </w:p>
    <w:p w14:paraId="633861DA" w14:textId="77777777" w:rsidR="00A94FC6" w:rsidRPr="00A774F5" w:rsidRDefault="00A94FC6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050EE182" w14:textId="76A511F9" w:rsidR="00CE09F3" w:rsidRPr="00A774F5" w:rsidRDefault="00CF69CC" w:rsidP="00A774F5">
      <w:pPr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Opšte 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ere opreza</w:t>
      </w:r>
    </w:p>
    <w:p w14:paraId="26EDEEA0" w14:textId="77777777" w:rsidR="005F0FA0" w:rsidRPr="00A774F5" w:rsidRDefault="005F0FA0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10E84506" w14:textId="44EC57AC" w:rsidR="000F2DC1" w:rsidRPr="00A774F5" w:rsidRDefault="00CF69CC" w:rsidP="00A774F5">
      <w:pPr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Inicijalno propisivanje i ponovno davanje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eka u količini većoj od 20 </w:t>
      </w:r>
      <w:r w:rsidR="00DB0B45" w:rsidRPr="00A774F5">
        <w:rPr>
          <w:rFonts w:asciiTheme="majorBidi" w:hAnsiTheme="majorBidi" w:cstheme="majorBidi"/>
          <w:szCs w:val="22"/>
          <w:lang w:val="sr-Latn-ME"/>
        </w:rPr>
        <w:t>ml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 treba da sprovodi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ekar samo nakon pregleda pacijenta uz pomoć uvećanja biomikroskopom ili kada je moguće fluoresceinskim bojenjem. Ukoliko ne dođe do poboljšanja simptoma i znakova bolesti nakon dva dana, treba ponovo pregledati pacijenta.</w:t>
      </w:r>
    </w:p>
    <w:p w14:paraId="39ACA2F0" w14:textId="023E0561" w:rsidR="000F2DC1" w:rsidRPr="00A774F5" w:rsidRDefault="00CF69CC" w:rsidP="00A774F5">
      <w:pPr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Nakon produžene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ene kortikosteroida treba razmotriti mogućnost pojave glivičnih infekcija kornee. Kada je moguće treba uzeti bris.</w:t>
      </w:r>
    </w:p>
    <w:p w14:paraId="2EF3AE06" w14:textId="6F7619B5" w:rsidR="000F2DC1" w:rsidRPr="00A774F5" w:rsidRDefault="00CF69CC" w:rsidP="00A774F5">
      <w:pPr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Ako se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 koristi 10 ili više dana, treba kontrolisati očni pritisak.</w:t>
      </w:r>
    </w:p>
    <w:p w14:paraId="10A38C00" w14:textId="3598BD3E" w:rsidR="00CE09F3" w:rsidRPr="00A774F5" w:rsidRDefault="00CF69CC" w:rsidP="00A774F5">
      <w:pPr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Postoje izv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eštaji o bakterijskom keratitisu povezanim sa upotrebom kapi za oči koje sadrže više aktivnih supstanci. Nastavci za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enu kapi za oči su bili slučajno kontamirani od strane pacijenata koji su imali, najčešće,  pridružene bolesti kornee ili rasc</w:t>
      </w:r>
      <w:r w:rsidR="00894F49" w:rsidRPr="00A774F5">
        <w:rPr>
          <w:rFonts w:asciiTheme="majorBidi" w:hAnsiTheme="majorBidi" w:cstheme="majorBidi"/>
          <w:szCs w:val="22"/>
          <w:lang w:val="sr-Latn-ME"/>
        </w:rPr>
        <w:t>je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p epitela kornee. </w:t>
      </w:r>
      <w:r w:rsidRPr="00A774F5">
        <w:rPr>
          <w:rFonts w:asciiTheme="majorBidi" w:hAnsiTheme="majorBidi" w:cstheme="majorBidi"/>
          <w:szCs w:val="22"/>
          <w:lang w:val="sr-Latn-ME"/>
        </w:rPr>
        <w:br/>
      </w:r>
    </w:p>
    <w:p w14:paraId="6D3E92D8" w14:textId="30FA476F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4.5. Interakcije sa drugim l</w:t>
      </w:r>
      <w:r w:rsidR="00347475" w:rsidRPr="00A774F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ekovima i druge vrste interakcija</w:t>
      </w:r>
    </w:p>
    <w:p w14:paraId="1494672D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1C46E2D2" w14:textId="23DCEAF2" w:rsidR="00161A79" w:rsidRPr="00A774F5" w:rsidRDefault="00CF69CC" w:rsidP="00A774F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Ni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je</w:t>
      </w:r>
      <w:r w:rsidRPr="00A774F5">
        <w:rPr>
          <w:rFonts w:asciiTheme="majorBidi" w:hAnsiTheme="majorBidi" w:cstheme="majorBidi"/>
          <w:szCs w:val="22"/>
          <w:lang w:val="sr-Latn-ME"/>
        </w:rPr>
        <w:t>su opisane interakcije koje bi bile značajne tokom lokalne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ene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eka. Ukoliko se istovremeno koristi više kapi za oči, potrebno je praviti razmak od najmanje 5 minuta između primene različitih kapi.</w:t>
      </w:r>
    </w:p>
    <w:p w14:paraId="667851FA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30EDCCCC" w14:textId="77777777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4.6. Plodnost, trudnoća i dojenje</w:t>
      </w:r>
    </w:p>
    <w:p w14:paraId="2DD673F2" w14:textId="77777777" w:rsidR="007B617E" w:rsidRPr="00A774F5" w:rsidRDefault="007B617E" w:rsidP="00A774F5">
      <w:pPr>
        <w:tabs>
          <w:tab w:val="clear" w:pos="284"/>
        </w:tabs>
        <w:rPr>
          <w:rFonts w:asciiTheme="majorBidi" w:hAnsiTheme="majorBidi" w:cstheme="majorBidi"/>
          <w:b/>
          <w:szCs w:val="22"/>
          <w:lang w:val="sr-Latn-ME"/>
        </w:rPr>
      </w:pPr>
    </w:p>
    <w:p w14:paraId="172AC97B" w14:textId="77777777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Trudnoća</w:t>
      </w:r>
    </w:p>
    <w:p w14:paraId="5F8040DC" w14:textId="77777777" w:rsidR="00161A79" w:rsidRPr="00A774F5" w:rsidRDefault="00161A79" w:rsidP="00A774F5">
      <w:pPr>
        <w:tabs>
          <w:tab w:val="clear" w:pos="284"/>
        </w:tabs>
        <w:rPr>
          <w:rFonts w:asciiTheme="majorBidi" w:hAnsiTheme="majorBidi" w:cstheme="majorBidi"/>
          <w:b/>
          <w:szCs w:val="22"/>
          <w:lang w:val="sr-Latn-ME"/>
        </w:rPr>
      </w:pPr>
    </w:p>
    <w:p w14:paraId="56451535" w14:textId="77777777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i/>
          <w:szCs w:val="22"/>
          <w:lang w:val="sr-Latn-ME"/>
        </w:rPr>
      </w:pPr>
      <w:r w:rsidRPr="00A774F5">
        <w:rPr>
          <w:rFonts w:asciiTheme="majorBidi" w:hAnsiTheme="majorBidi" w:cstheme="majorBidi"/>
          <w:i/>
          <w:szCs w:val="22"/>
          <w:lang w:val="sr-Latn-ME"/>
        </w:rPr>
        <w:t>Teratogenost</w:t>
      </w:r>
    </w:p>
    <w:p w14:paraId="334B7190" w14:textId="72EFF17B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Studije na životinjama su dokazale teratogeni efekat kortikosteroida. Okularna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ena 0,1% deksametazona je u dv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e grupe skotnih kunića dovela do povećanja incidencije fetalnih anomalija  za 15,6% odnosno 32,3%. </w:t>
      </w:r>
    </w:p>
    <w:p w14:paraId="70507CF2" w14:textId="3274DD8F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Kod pacova na dugotrajnoj terapiji deksamet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azonom, zabi</w:t>
      </w:r>
      <w:r w:rsidRPr="00A774F5">
        <w:rPr>
          <w:rFonts w:asciiTheme="majorBidi" w:hAnsiTheme="majorBidi" w:cstheme="majorBidi"/>
          <w:szCs w:val="22"/>
          <w:lang w:val="sr-Latn-ME"/>
        </w:rPr>
        <w:t>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eženi su poremećaji rasta fetusa i povećane stope mortaliteta. Dobro kontrolisane studije na trudnicama još uvek ni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je</w:t>
      </w:r>
      <w:r w:rsidRPr="00A774F5">
        <w:rPr>
          <w:rFonts w:asciiTheme="majorBidi" w:hAnsiTheme="majorBidi" w:cstheme="majorBidi"/>
          <w:szCs w:val="22"/>
          <w:lang w:val="sr-Latn-ME"/>
        </w:rPr>
        <w:t>su sprovedene. Neodeksacin, kapi za oči, rastvor treba koristiti tokom trudnoće samo ukoliko potencijalna korist za majku prevazilazi potencijalni rizik za plod. Novorođenčad majki koje su za vr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eme trudnoće uzimale značajne doze kortikosteroida, moraju biti podvrgnuta detaljnom pregledu  zbog moguće pojave znakova  hipoadrenalizma. </w:t>
      </w:r>
    </w:p>
    <w:p w14:paraId="5AD655BC" w14:textId="77777777" w:rsidR="00161A79" w:rsidRPr="00A774F5" w:rsidRDefault="00161A79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6BA3F705" w14:textId="77777777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Dojenje</w:t>
      </w:r>
    </w:p>
    <w:p w14:paraId="0C485FF9" w14:textId="77777777" w:rsidR="00356F9D" w:rsidRPr="00A774F5" w:rsidRDefault="00356F9D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4F968F53" w14:textId="3FA0B28A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Nije poznato da li  se kortikosteroidi nakon lokalne prim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ene mogu sistemski resorbovati, kako bi doveli do pojave 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erljivih koncetracija  u </w:t>
      </w:r>
      <w:r w:rsidR="00DB0B45" w:rsidRPr="00A774F5">
        <w:rPr>
          <w:rFonts w:asciiTheme="majorBidi" w:hAnsiTheme="majorBidi" w:cstheme="majorBidi"/>
          <w:szCs w:val="22"/>
          <w:lang w:val="sr-Latn-ME"/>
        </w:rPr>
        <w:t>ml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eku dojilje. </w:t>
      </w:r>
    </w:p>
    <w:p w14:paraId="5E054203" w14:textId="12EE28C2" w:rsidR="00CE09F3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Sistemski prim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i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enjeni kortikosteroidi se pojavljuju u </w:t>
      </w:r>
      <w:r w:rsidR="00DB0B45" w:rsidRPr="00A774F5">
        <w:rPr>
          <w:rFonts w:asciiTheme="majorBidi" w:hAnsiTheme="majorBidi" w:cstheme="majorBidi"/>
          <w:szCs w:val="22"/>
          <w:lang w:val="sr-Latn-ME"/>
        </w:rPr>
        <w:t>ml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eku dojilje i mogu zaustaviti rast, uticati na endogenu produkciju kortikosteroida ili izazvati druga neželjena dejstva. Usl</w:t>
      </w:r>
      <w:r w:rsidR="00B91D77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ed potencijalnog rizika od teških neželjenih reakcija kod novorođenčadi usl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ed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ene kapi za oči, treba don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eti odluku o eventualnom prekidu dojenja ili obustavi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ene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eka, uzimajući pri tom u obzir korisno dejstvo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 za majku.</w:t>
      </w:r>
    </w:p>
    <w:p w14:paraId="0AC24549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552B2953" w14:textId="2A1AE8B6" w:rsidR="00951D45" w:rsidRPr="00A774F5" w:rsidRDefault="00CF69CC" w:rsidP="00A774F5">
      <w:pPr>
        <w:rPr>
          <w:rFonts w:asciiTheme="majorBidi" w:hAnsiTheme="majorBidi" w:cstheme="majorBidi"/>
          <w:b/>
          <w:bCs/>
          <w:spacing w:val="-8"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pacing w:val="-8"/>
          <w:szCs w:val="22"/>
          <w:lang w:val="sr-Latn-ME"/>
        </w:rPr>
        <w:t xml:space="preserve">4.7. </w:t>
      </w:r>
      <w:r w:rsidR="00951D45" w:rsidRPr="00A774F5">
        <w:rPr>
          <w:rFonts w:asciiTheme="majorBidi" w:hAnsiTheme="majorBidi" w:cstheme="majorBidi"/>
          <w:b/>
          <w:bCs/>
          <w:spacing w:val="-8"/>
          <w:szCs w:val="22"/>
          <w:lang w:val="sr-Latn-ME"/>
        </w:rPr>
        <w:t xml:space="preserve">Uticaj </w:t>
      </w:r>
      <w:r w:rsidR="00C44262" w:rsidRPr="00A774F5">
        <w:rPr>
          <w:rFonts w:asciiTheme="majorBidi" w:hAnsiTheme="majorBidi" w:cstheme="majorBidi"/>
          <w:b/>
          <w:bCs/>
          <w:spacing w:val="-8"/>
          <w:szCs w:val="22"/>
          <w:lang w:val="sr-Latn-ME"/>
        </w:rPr>
        <w:t xml:space="preserve">lijeka </w:t>
      </w:r>
      <w:r w:rsidR="00951D45" w:rsidRPr="00A774F5">
        <w:rPr>
          <w:rFonts w:asciiTheme="majorBidi" w:hAnsiTheme="majorBidi" w:cstheme="majorBidi"/>
          <w:b/>
          <w:bCs/>
          <w:spacing w:val="-8"/>
          <w:szCs w:val="22"/>
          <w:lang w:val="sr-Latn-ME"/>
        </w:rPr>
        <w:t>na sposobnost upravljanja vozilima i rukovanje mašinama</w:t>
      </w:r>
    </w:p>
    <w:p w14:paraId="73DD4431" w14:textId="77777777" w:rsidR="00951D45" w:rsidRPr="00A774F5" w:rsidRDefault="00951D45" w:rsidP="00A774F5">
      <w:pPr>
        <w:rPr>
          <w:rFonts w:asciiTheme="majorBidi" w:hAnsiTheme="majorBidi" w:cstheme="majorBidi"/>
          <w:b/>
          <w:bCs/>
          <w:spacing w:val="-8"/>
          <w:szCs w:val="22"/>
          <w:lang w:val="sr-Latn-ME"/>
        </w:rPr>
      </w:pPr>
    </w:p>
    <w:p w14:paraId="4E40DA25" w14:textId="04DC7DBF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Nakon ukapavanja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 može doći do prolaznih poremećaja vida. Pacijente treba upozoriti da ne upravljaju vozilima ili rukuju mašinama do momenta potpunog normalizovanja funkcije vida.</w:t>
      </w:r>
    </w:p>
    <w:p w14:paraId="28FDA9CA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6A48A766" w14:textId="77777777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lastRenderedPageBreak/>
        <w:t>4.8. Neželjena dejstva</w:t>
      </w:r>
    </w:p>
    <w:p w14:paraId="004AD218" w14:textId="77777777" w:rsidR="00CE09F3" w:rsidRPr="00A774F5" w:rsidRDefault="00CE09F3" w:rsidP="00A774F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14:paraId="516A949F" w14:textId="0A0BC98B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Neželjena dejstva usl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ed kombinovane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ene kortikosteroida i antiinfektivnih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ekova nastaju kao posl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edica kortikosteroidne, odnosno antiinfektivne komponente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eka, njihove kombinacije ili pomoćnih supstanci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eka.</w:t>
      </w:r>
    </w:p>
    <w:p w14:paraId="00D4708F" w14:textId="79DA82C4" w:rsidR="00337E27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Tačnu incidenciju nije moguće odrediti, jer se ne zna tačan broj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ečenih pacijenata. </w:t>
      </w:r>
    </w:p>
    <w:p w14:paraId="70EEC2D0" w14:textId="77777777" w:rsidR="005E66B9" w:rsidRPr="00A774F5" w:rsidRDefault="005E66B9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12B48D7E" w14:textId="202D7ED9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Najčešće neželjene reakcije usl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ed antiinfektivne komponente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eka su alergijske reakcije. </w:t>
      </w:r>
    </w:p>
    <w:p w14:paraId="33A4D764" w14:textId="09A0E21D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Neželjene reakcije izazvane kortikosteroidnom komponentom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 po opadajućoj učestalosti su: porast intraokularnog pritiska sa mogućim razvojem glaukoma, r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etko oštećenje optičkog nerva, posteriorna supkapsularna katarakta, sporije zarastanje rana.</w:t>
      </w:r>
    </w:p>
    <w:p w14:paraId="55E7EF25" w14:textId="77777777" w:rsidR="00161A79" w:rsidRPr="00A774F5" w:rsidRDefault="00161A79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3DCE33C9" w14:textId="13AA4FD1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Pri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eni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 Neodeksacin kapi za oči, mogu se ispoljiti crvenilo, peckanje, žarenje, svrab, iritacija oka, zamućen vid, otok očnih kapaka ili os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etljivost na sv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etlo.</w:t>
      </w:r>
    </w:p>
    <w:p w14:paraId="2AA57B97" w14:textId="77777777" w:rsidR="00161A79" w:rsidRPr="00A774F5" w:rsidRDefault="00161A79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298313F8" w14:textId="59629BC0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Pri prim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eni 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ekova koji sadrže kortikostero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ide u terapiji bolesti oka, zabi</w:t>
      </w:r>
      <w:r w:rsidRPr="00A774F5">
        <w:rPr>
          <w:rFonts w:asciiTheme="majorBidi" w:hAnsiTheme="majorBidi" w:cstheme="majorBidi"/>
          <w:szCs w:val="22"/>
          <w:lang w:val="sr-Latn-ME"/>
        </w:rPr>
        <w:t>l</w:t>
      </w:r>
      <w:r w:rsidR="0034747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eženi su slučajevi akutnog prednjeg uveitisa, perforacije očne jabučice, keratitisa, konjunktivitisa, kornealne ulceracije, midrijaze, konjunktivalne hiperemije, ptoze, kao i gubitka sposobnosti akomodacije.</w:t>
      </w:r>
    </w:p>
    <w:p w14:paraId="24A1C8D8" w14:textId="77777777" w:rsidR="00161A79" w:rsidRPr="00A774F5" w:rsidRDefault="00161A79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6DA2BF56" w14:textId="77777777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b/>
          <w:szCs w:val="22"/>
          <w:lang w:val="sr-Latn-ME"/>
        </w:rPr>
      </w:pPr>
      <w:r w:rsidRPr="00A774F5">
        <w:rPr>
          <w:rFonts w:asciiTheme="majorBidi" w:hAnsiTheme="majorBidi" w:cstheme="majorBidi"/>
          <w:b/>
          <w:szCs w:val="22"/>
          <w:lang w:val="sr-Latn-ME"/>
        </w:rPr>
        <w:t>Sekundarna infekcija</w:t>
      </w:r>
    </w:p>
    <w:p w14:paraId="17934147" w14:textId="77777777" w:rsidR="00161A79" w:rsidRPr="00A774F5" w:rsidRDefault="00161A79" w:rsidP="00A774F5">
      <w:pPr>
        <w:tabs>
          <w:tab w:val="clear" w:pos="284"/>
        </w:tabs>
        <w:rPr>
          <w:rFonts w:asciiTheme="majorBidi" w:hAnsiTheme="majorBidi" w:cstheme="majorBidi"/>
          <w:b/>
          <w:szCs w:val="22"/>
          <w:lang w:val="sr-Latn-ME"/>
        </w:rPr>
      </w:pPr>
    </w:p>
    <w:p w14:paraId="073BFE2A" w14:textId="0D9D2D3B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Do razvoja sekundarnih infekcija dolazi nakon kombinovane prim</w:t>
      </w:r>
      <w:r w:rsidR="00921461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ene kortikosteroida i antibiotika.</w:t>
      </w:r>
    </w:p>
    <w:p w14:paraId="23923BAB" w14:textId="174D37F6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Usl</w:t>
      </w:r>
      <w:r w:rsidR="00B91D77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ed dugotrajne prim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ene kortikosteroida, postoji velika sklonost ka razvoju gljivičnih i virusnih infekcija kornee. Treba voditi računa o mogućoj gljivičnoj superinfekciji kod svake perzistentne ulceracije kornee, gd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 su u terapiji korišćeni kortikosteroidi.</w:t>
      </w:r>
    </w:p>
    <w:p w14:paraId="3C07E19E" w14:textId="77777777" w:rsidR="00161A79" w:rsidRPr="00A774F5" w:rsidRDefault="00161A79" w:rsidP="00A774F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14:paraId="5BA0E185" w14:textId="77777777" w:rsidR="00951D45" w:rsidRPr="00A774F5" w:rsidRDefault="00951D45" w:rsidP="00A774F5">
      <w:pPr>
        <w:tabs>
          <w:tab w:val="clear" w:pos="284"/>
        </w:tabs>
        <w:spacing w:after="200"/>
        <w:jc w:val="left"/>
        <w:rPr>
          <w:rFonts w:asciiTheme="majorBidi" w:eastAsia="Calibri" w:hAnsiTheme="majorBidi" w:cstheme="majorBidi"/>
          <w:szCs w:val="22"/>
          <w:u w:val="single"/>
          <w:lang w:val="sr-Latn-ME"/>
        </w:rPr>
      </w:pPr>
      <w:r w:rsidRPr="00A774F5">
        <w:rPr>
          <w:rFonts w:asciiTheme="majorBidi" w:eastAsia="Calibri" w:hAnsiTheme="majorBidi" w:cstheme="majorBidi"/>
          <w:szCs w:val="22"/>
          <w:u w:val="single"/>
          <w:lang w:val="sr-Latn-ME"/>
        </w:rPr>
        <w:t>Prijavljivanje sumnji na neželjena dejstva</w:t>
      </w:r>
    </w:p>
    <w:p w14:paraId="45F8866E" w14:textId="37AEEF08" w:rsidR="00951D45" w:rsidRPr="00A774F5" w:rsidRDefault="00951D45" w:rsidP="00A774F5">
      <w:pPr>
        <w:tabs>
          <w:tab w:val="clear" w:pos="284"/>
        </w:tabs>
        <w:spacing w:after="200"/>
        <w:rPr>
          <w:rFonts w:asciiTheme="majorBidi" w:eastAsia="Calibri" w:hAnsiTheme="majorBidi" w:cstheme="majorBidi"/>
          <w:szCs w:val="22"/>
          <w:lang w:val="sr-Latn-ME"/>
        </w:rPr>
      </w:pPr>
      <w:r w:rsidRPr="00A774F5">
        <w:rPr>
          <w:rFonts w:asciiTheme="majorBidi" w:eastAsia="Calibri" w:hAnsiTheme="majorBidi" w:cstheme="majorBidi"/>
          <w:szCs w:val="22"/>
          <w:lang w:val="sr-Latn-ME"/>
        </w:rPr>
        <w:t xml:space="preserve">Prijavljivanje </w:t>
      </w:r>
      <w:r w:rsidR="00A82325" w:rsidRPr="00A774F5">
        <w:rPr>
          <w:rFonts w:asciiTheme="majorBidi" w:eastAsia="Calibri" w:hAnsiTheme="majorBidi" w:cstheme="majorBidi"/>
          <w:szCs w:val="22"/>
          <w:lang w:val="sr-Latn-ME"/>
        </w:rPr>
        <w:t>sumnji</w:t>
      </w:r>
      <w:r w:rsidR="00B91D77" w:rsidRPr="00A774F5">
        <w:rPr>
          <w:rFonts w:asciiTheme="majorBidi" w:eastAsia="Calibri" w:hAnsiTheme="majorBidi" w:cstheme="majorBidi"/>
          <w:szCs w:val="22"/>
          <w:lang w:val="sr-Latn-ME"/>
        </w:rPr>
        <w:t xml:space="preserve"> na </w:t>
      </w:r>
      <w:r w:rsidRPr="00A774F5">
        <w:rPr>
          <w:rFonts w:asciiTheme="majorBidi" w:eastAsia="Calibri" w:hAnsiTheme="majorBidi" w:cstheme="majorBidi"/>
          <w:szCs w:val="22"/>
          <w:lang w:val="sr-Latn-ME"/>
        </w:rPr>
        <w:t>neželjen</w:t>
      </w:r>
      <w:r w:rsidR="00B91D77" w:rsidRPr="00A774F5">
        <w:rPr>
          <w:rFonts w:asciiTheme="majorBidi" w:eastAsia="Calibri" w:hAnsiTheme="majorBidi" w:cstheme="majorBidi"/>
          <w:szCs w:val="22"/>
          <w:lang w:val="sr-Latn-ME"/>
        </w:rPr>
        <w:t>a</w:t>
      </w:r>
      <w:r w:rsidRPr="00A774F5">
        <w:rPr>
          <w:rFonts w:asciiTheme="majorBidi" w:eastAsia="Calibri" w:hAnsiTheme="majorBidi" w:cstheme="majorBidi"/>
          <w:szCs w:val="22"/>
          <w:lang w:val="sr-Latn-ME"/>
        </w:rPr>
        <w:t xml:space="preserve"> dejstva nakon dobijanja dozvole</w:t>
      </w:r>
      <w:r w:rsidR="00C44262" w:rsidRPr="00A774F5">
        <w:rPr>
          <w:rFonts w:asciiTheme="majorBidi" w:eastAsia="Calibri" w:hAnsiTheme="majorBidi" w:cstheme="majorBidi"/>
          <w:szCs w:val="22"/>
          <w:lang w:val="sr-Latn-ME"/>
        </w:rPr>
        <w:t xml:space="preserve"> za lijek</w:t>
      </w:r>
      <w:r w:rsidRPr="00A774F5">
        <w:rPr>
          <w:rFonts w:asciiTheme="majorBidi" w:eastAsia="Calibri" w:hAnsiTheme="majorBidi" w:cstheme="majorBidi"/>
          <w:szCs w:val="22"/>
          <w:lang w:val="sr-Latn-ME"/>
        </w:rPr>
        <w:t xml:space="preserve"> je od velikog značaja jer obezbjeđuje kontinuirano praćenje odnosa korist/rizik </w:t>
      </w:r>
      <w:r w:rsidR="00C44262" w:rsidRPr="00A774F5">
        <w:rPr>
          <w:rFonts w:asciiTheme="majorBidi" w:eastAsia="Calibri" w:hAnsiTheme="majorBidi" w:cstheme="majorBidi"/>
          <w:szCs w:val="22"/>
          <w:lang w:val="sr-Latn-ME"/>
        </w:rPr>
        <w:t xml:space="preserve">pri </w:t>
      </w:r>
      <w:r w:rsidRPr="00A774F5">
        <w:rPr>
          <w:rFonts w:asciiTheme="majorBidi" w:eastAsia="Calibri" w:hAnsiTheme="majorBidi" w:cstheme="majorBidi"/>
          <w:szCs w:val="22"/>
          <w:lang w:val="sr-Latn-ME"/>
        </w:rPr>
        <w:t>primjen</w:t>
      </w:r>
      <w:r w:rsidR="00C44262" w:rsidRPr="00A774F5">
        <w:rPr>
          <w:rFonts w:asciiTheme="majorBidi" w:eastAsia="Calibri" w:hAnsiTheme="majorBidi" w:cstheme="majorBidi"/>
          <w:szCs w:val="22"/>
          <w:lang w:val="sr-Latn-ME"/>
        </w:rPr>
        <w:t>i</w:t>
      </w:r>
      <w:r w:rsidRPr="00A774F5">
        <w:rPr>
          <w:rFonts w:asciiTheme="majorBidi" w:eastAsia="Calibri" w:hAnsiTheme="majorBidi" w:cstheme="majorBidi"/>
          <w:szCs w:val="22"/>
          <w:lang w:val="sr-Latn-ME"/>
        </w:rPr>
        <w:t xml:space="preserve"> lijeka. Zdravstveni radnici treba da prijave svaku sumnju na neželjeno dejstvo ovog lijeka</w:t>
      </w:r>
      <w:r w:rsidR="00A82325" w:rsidRPr="00A774F5">
        <w:rPr>
          <w:rFonts w:asciiTheme="majorBidi" w:eastAsia="Calibri" w:hAnsiTheme="majorBidi" w:cstheme="majorBidi"/>
          <w:szCs w:val="22"/>
          <w:lang w:val="sr-Latn-ME"/>
        </w:rPr>
        <w:t xml:space="preserve"> Institutu</w:t>
      </w:r>
      <w:r w:rsidRPr="00A774F5">
        <w:rPr>
          <w:rFonts w:asciiTheme="majorBidi" w:eastAsia="Calibri" w:hAnsiTheme="majorBidi" w:cstheme="majorBidi"/>
          <w:szCs w:val="22"/>
          <w:lang w:val="sr-Latn-ME"/>
        </w:rPr>
        <w:t xml:space="preserve"> za ljekove i medicinska sredstva Crne Gore (C</w:t>
      </w:r>
      <w:r w:rsidR="00A82325" w:rsidRPr="00A774F5">
        <w:rPr>
          <w:rFonts w:asciiTheme="majorBidi" w:eastAsia="Calibri" w:hAnsiTheme="majorBidi" w:cstheme="majorBidi"/>
          <w:szCs w:val="22"/>
          <w:lang w:val="sr-Latn-ME"/>
        </w:rPr>
        <w:t>INMED</w:t>
      </w:r>
      <w:r w:rsidRPr="00A774F5">
        <w:rPr>
          <w:rFonts w:asciiTheme="majorBidi" w:eastAsia="Calibri" w:hAnsiTheme="majorBidi" w:cstheme="majorBidi"/>
          <w:szCs w:val="22"/>
          <w:lang w:val="sr-Latn-ME"/>
        </w:rPr>
        <w:t>):</w:t>
      </w:r>
    </w:p>
    <w:p w14:paraId="6A49FF01" w14:textId="4D14E690" w:rsidR="00951D45" w:rsidRPr="00A774F5" w:rsidRDefault="00A82325" w:rsidP="00A774F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A774F5">
        <w:rPr>
          <w:rFonts w:asciiTheme="majorBidi" w:eastAsia="Calibri" w:hAnsiTheme="majorBidi" w:cstheme="majorBidi"/>
          <w:szCs w:val="22"/>
          <w:lang w:val="sr-Latn-ME"/>
        </w:rPr>
        <w:t xml:space="preserve">Institut </w:t>
      </w:r>
      <w:r w:rsidR="00951D45" w:rsidRPr="00A774F5">
        <w:rPr>
          <w:rFonts w:asciiTheme="majorBidi" w:eastAsia="Calibri" w:hAnsiTheme="majorBidi" w:cstheme="majorBidi"/>
          <w:szCs w:val="22"/>
          <w:lang w:val="sr-Latn-ME"/>
        </w:rPr>
        <w:t>za ljekove i medicinska sredstva Crne Gore</w:t>
      </w:r>
    </w:p>
    <w:p w14:paraId="33C8A96C" w14:textId="77777777" w:rsidR="00951D45" w:rsidRPr="00A774F5" w:rsidRDefault="00951D45" w:rsidP="00A774F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A774F5">
        <w:rPr>
          <w:rFonts w:asciiTheme="majorBidi" w:eastAsia="Calibri" w:hAnsiTheme="majorBidi" w:cstheme="majorBidi"/>
          <w:szCs w:val="22"/>
          <w:lang w:val="sr-Latn-ME"/>
        </w:rPr>
        <w:t>Odjeljenje za farmakovigilancu</w:t>
      </w:r>
    </w:p>
    <w:p w14:paraId="341868D4" w14:textId="77777777" w:rsidR="00951D45" w:rsidRPr="00A774F5" w:rsidRDefault="00951D45" w:rsidP="00A774F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A774F5">
        <w:rPr>
          <w:rFonts w:asciiTheme="majorBidi" w:eastAsia="Calibri" w:hAnsiTheme="majorBidi" w:cstheme="majorBidi"/>
          <w:szCs w:val="22"/>
          <w:lang w:val="sr-Latn-ME"/>
        </w:rPr>
        <w:t>Bulevar Ivana Crnojevića 64a, 81000 Podgorica</w:t>
      </w:r>
    </w:p>
    <w:p w14:paraId="277A69A1" w14:textId="77777777" w:rsidR="00951D45" w:rsidRPr="00A774F5" w:rsidRDefault="00951D45" w:rsidP="00A774F5">
      <w:pPr>
        <w:tabs>
          <w:tab w:val="clear" w:pos="284"/>
        </w:tabs>
        <w:jc w:val="left"/>
        <w:rPr>
          <w:rFonts w:asciiTheme="majorBidi" w:eastAsia="Calibri" w:hAnsiTheme="majorBidi" w:cstheme="majorBidi"/>
          <w:szCs w:val="22"/>
          <w:lang w:val="sr-Latn-ME"/>
        </w:rPr>
      </w:pPr>
    </w:p>
    <w:p w14:paraId="1E330C73" w14:textId="77777777" w:rsidR="00951D45" w:rsidRPr="00A774F5" w:rsidRDefault="00951D45" w:rsidP="00A774F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A774F5">
        <w:rPr>
          <w:rFonts w:asciiTheme="majorBidi" w:eastAsia="Calibri" w:hAnsiTheme="majorBidi" w:cstheme="majorBidi"/>
          <w:szCs w:val="22"/>
          <w:lang w:val="sr-Latn-ME"/>
        </w:rPr>
        <w:t>tel: +382 (0) 20 310 280</w:t>
      </w:r>
    </w:p>
    <w:p w14:paraId="27714BC8" w14:textId="77777777" w:rsidR="00951D45" w:rsidRPr="00A774F5" w:rsidRDefault="00951D45" w:rsidP="00A774F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A774F5">
        <w:rPr>
          <w:rFonts w:asciiTheme="majorBidi" w:eastAsia="Calibri" w:hAnsiTheme="majorBidi" w:cstheme="majorBidi"/>
          <w:szCs w:val="22"/>
          <w:lang w:val="sr-Latn-ME"/>
        </w:rPr>
        <w:t>fax: +382 (0) 20 310 581</w:t>
      </w:r>
    </w:p>
    <w:p w14:paraId="4074ED61" w14:textId="35DE084A" w:rsidR="00951D45" w:rsidRPr="00A774F5" w:rsidRDefault="00595C06" w:rsidP="00A774F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hyperlink r:id="rId11" w:history="1">
        <w:r w:rsidR="004D11A1" w:rsidRPr="00A774F5">
          <w:rPr>
            <w:rFonts w:asciiTheme="majorBidi" w:eastAsia="Calibri" w:hAnsiTheme="majorBidi" w:cstheme="majorBidi"/>
            <w:color w:val="0000FF"/>
            <w:szCs w:val="22"/>
            <w:u w:val="single"/>
            <w:lang w:val="sr-Latn-ME"/>
          </w:rPr>
          <w:t>www.cinmed.me</w:t>
        </w:r>
      </w:hyperlink>
    </w:p>
    <w:p w14:paraId="47D7AD4A" w14:textId="30F054C9" w:rsidR="00951D45" w:rsidRPr="00A774F5" w:rsidRDefault="004D11A1" w:rsidP="00A774F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nezeljenadejstva@cinmed.me</w:t>
      </w:r>
      <w:r w:rsidR="00951D45" w:rsidRPr="00A774F5">
        <w:rPr>
          <w:rFonts w:asciiTheme="majorBidi" w:eastAsia="Calibri" w:hAnsiTheme="majorBidi" w:cstheme="majorBidi"/>
          <w:szCs w:val="22"/>
          <w:lang w:val="sr-Latn-ME"/>
        </w:rPr>
        <w:t>putem IS zdravstvene zaštite</w:t>
      </w:r>
    </w:p>
    <w:p w14:paraId="49B3E690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15A0FE67" w14:textId="77777777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4.9. Predoziranje</w:t>
      </w:r>
    </w:p>
    <w:p w14:paraId="5C4C71F5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7BBCBB36" w14:textId="135C9709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Ni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je</w:t>
      </w:r>
      <w:r w:rsidRPr="00A774F5">
        <w:rPr>
          <w:rFonts w:asciiTheme="majorBidi" w:hAnsiTheme="majorBidi" w:cstheme="majorBidi"/>
          <w:szCs w:val="22"/>
          <w:lang w:val="sr-Latn-ME"/>
        </w:rPr>
        <w:t>su prijavljeni slučajevi predoziranja l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ekom.</w:t>
      </w:r>
    </w:p>
    <w:p w14:paraId="12670673" w14:textId="77777777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Znaci i simptomi predoziranja mogu biti slični neželjenim dejstvima koja se ispoljavaju kod nekih pacijenata (tačkasti keratitis, eritem, pojačano suzenje, edem i svrab).</w:t>
      </w:r>
    </w:p>
    <w:p w14:paraId="156F18C3" w14:textId="0EF16137" w:rsidR="00161A79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U slučaju predoziranja treba isprati oči </w:t>
      </w:r>
      <w:r w:rsidR="00DB0B45" w:rsidRPr="00A774F5">
        <w:rPr>
          <w:rFonts w:asciiTheme="majorBidi" w:hAnsiTheme="majorBidi" w:cstheme="majorBidi"/>
          <w:szCs w:val="22"/>
          <w:lang w:val="sr-Latn-ME"/>
        </w:rPr>
        <w:t>ml</w:t>
      </w:r>
      <w:r w:rsidRPr="00A774F5">
        <w:rPr>
          <w:rFonts w:asciiTheme="majorBidi" w:hAnsiTheme="majorBidi" w:cstheme="majorBidi"/>
          <w:szCs w:val="22"/>
          <w:lang w:val="sr-Latn-ME"/>
        </w:rPr>
        <w:t>akom vodom.</w:t>
      </w:r>
    </w:p>
    <w:p w14:paraId="6215A00B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72A9B077" w14:textId="77777777" w:rsidR="00CE09F3" w:rsidRPr="00A774F5" w:rsidRDefault="00CF69CC" w:rsidP="00A774F5">
      <w:pPr>
        <w:pStyle w:val="NASLOV123"/>
        <w:rPr>
          <w:rFonts w:asciiTheme="majorBidi" w:hAnsiTheme="majorBidi" w:cstheme="majorBidi"/>
          <w:lang w:val="sr-Latn-ME"/>
        </w:rPr>
      </w:pPr>
      <w:r w:rsidRPr="00A774F5">
        <w:rPr>
          <w:rFonts w:asciiTheme="majorBidi" w:hAnsiTheme="majorBidi" w:cstheme="majorBidi"/>
          <w:lang w:val="sr-Latn-ME"/>
        </w:rPr>
        <w:t>5. FARMAKOLOŠKI PODACI</w:t>
      </w:r>
    </w:p>
    <w:p w14:paraId="72E3C9B3" w14:textId="77777777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5.1. Farmakodinamski podaci</w:t>
      </w:r>
    </w:p>
    <w:p w14:paraId="2F034F3A" w14:textId="77777777" w:rsidR="00244ECD" w:rsidRPr="00A774F5" w:rsidRDefault="00244ECD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14:paraId="27BDDDA0" w14:textId="3F836696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Farmakoterapijska grupa: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A774F5">
        <w:rPr>
          <w:rFonts w:asciiTheme="majorBidi" w:hAnsiTheme="majorBidi" w:cstheme="majorBidi"/>
          <w:bCs/>
          <w:szCs w:val="22"/>
          <w:lang w:val="sr-Latn-ME"/>
        </w:rPr>
        <w:t>kortikosteroidi i antiinfektivi u kombinaciji</w:t>
      </w:r>
    </w:p>
    <w:p w14:paraId="39EC17DF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315C8A33" w14:textId="77777777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ATC šifra: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A774F5">
        <w:rPr>
          <w:rFonts w:asciiTheme="majorBidi" w:hAnsiTheme="majorBidi" w:cstheme="majorBidi"/>
          <w:bCs/>
          <w:szCs w:val="22"/>
          <w:lang w:val="sr-Latn-ME"/>
        </w:rPr>
        <w:t>S01CA01</w:t>
      </w:r>
    </w:p>
    <w:p w14:paraId="462E853E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01BA76A4" w14:textId="5C783EC0" w:rsidR="00494C3C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lastRenderedPageBreak/>
        <w:t>Deksametazon je kortikosteroid sa predominantno glukokortikoidnom aktivnošću. Kada se prim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i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eni lokalno, na m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estu nanošenja smanjuje znake inflamacije i najv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erovatnije odlaže ili usporava zarastanje. </w:t>
      </w:r>
    </w:p>
    <w:p w14:paraId="69662042" w14:textId="77777777" w:rsidR="00494C3C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S obzirom na to da kortikosteroidi mogu inhibirati imunski odgovor organizma na infekciju, mogu se kombinovati sa antibiotikom kada je u pojedinim slučajevima ova inhibicija klinički značajna. </w:t>
      </w:r>
    </w:p>
    <w:p w14:paraId="0DF0640A" w14:textId="77777777" w:rsidR="00494C3C" w:rsidRPr="00A774F5" w:rsidRDefault="00494C3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5A3A98DE" w14:textId="77777777" w:rsidR="00494C3C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Neomicin je aminoglikozidni antibiotik sa svojstvom da prevenira bakterijsku superinfekciju.</w:t>
      </w:r>
    </w:p>
    <w:p w14:paraId="15075032" w14:textId="77777777" w:rsidR="00494C3C" w:rsidRPr="00A774F5" w:rsidRDefault="00494C3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549C55F2" w14:textId="5D2B2550" w:rsidR="00494C3C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Kada se donese odluka o kombinovanoj prim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eni kortikosteroida i antibiotika, ova kombinacija ima prednost u pogledu veće komplijanse i pogodnosti za pacijenta, uz dodatnu sigurnost  o prim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eni odgovarajućih doza oba l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 kao i kompatibilnosti sastojaka kada se ob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 komponente l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 nalaze u istoj formulacij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i</w:t>
      </w:r>
      <w:r w:rsidRPr="00A774F5">
        <w:rPr>
          <w:rFonts w:asciiTheme="majorBidi" w:hAnsiTheme="majorBidi" w:cstheme="majorBidi"/>
          <w:szCs w:val="22"/>
          <w:lang w:val="sr-Latn-ME"/>
        </w:rPr>
        <w:t>, a naročito da će se odgovarajuća količina l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 prim</w:t>
      </w:r>
      <w:r w:rsidR="00C44262" w:rsidRPr="00A774F5">
        <w:rPr>
          <w:rFonts w:asciiTheme="majorBidi" w:hAnsiTheme="majorBidi" w:cstheme="majorBidi"/>
          <w:szCs w:val="22"/>
          <w:lang w:val="sr-Latn-ME"/>
        </w:rPr>
        <w:t>i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eniti. Relativna jačina kortikosteroida zavisi od molekularne strukture, koncentracije i brzine oslobađanja iz vehikuluma.</w:t>
      </w:r>
    </w:p>
    <w:p w14:paraId="0C99FF35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0AE04303" w14:textId="77777777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5.2. Farmakokinetički podaci</w:t>
      </w:r>
    </w:p>
    <w:p w14:paraId="58778AC0" w14:textId="77777777" w:rsidR="009A1754" w:rsidRPr="00A774F5" w:rsidRDefault="009A1754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7D12DE95" w14:textId="5E5130BA" w:rsidR="00494C3C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Farmakokinetičke karakteristike kombinacije deksametazona i neomicina, koja se prim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enjuje lokalno ukapavanjem u oko, ni</w:t>
      </w:r>
      <w:r w:rsidR="006075EB" w:rsidRPr="00A774F5">
        <w:rPr>
          <w:rFonts w:asciiTheme="majorBidi" w:hAnsiTheme="majorBidi" w:cstheme="majorBidi"/>
          <w:szCs w:val="22"/>
          <w:lang w:val="sr-Latn-ME"/>
        </w:rPr>
        <w:t>je</w:t>
      </w:r>
      <w:r w:rsidRPr="00A774F5">
        <w:rPr>
          <w:rFonts w:asciiTheme="majorBidi" w:hAnsiTheme="majorBidi" w:cstheme="majorBidi"/>
          <w:szCs w:val="22"/>
          <w:lang w:val="sr-Latn-ME"/>
        </w:rPr>
        <w:t>su bile predmet posebnog izučavanja.</w:t>
      </w:r>
    </w:p>
    <w:p w14:paraId="57F1FD7A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79961B31" w14:textId="0054B20E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5.3. Pretklinički podaci o bezb</w:t>
      </w:r>
      <w:r w:rsidR="00951D45" w:rsidRPr="00A774F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 xml:space="preserve">ednosti </w:t>
      </w:r>
      <w:r w:rsidR="006075EB" w:rsidRPr="00A774F5">
        <w:rPr>
          <w:rFonts w:asciiTheme="majorBidi" w:hAnsiTheme="majorBidi" w:cstheme="majorBidi"/>
          <w:b/>
          <w:bCs/>
          <w:szCs w:val="22"/>
          <w:lang w:val="sr-Latn-ME"/>
        </w:rPr>
        <w:t>lijeka</w:t>
      </w:r>
    </w:p>
    <w:p w14:paraId="0E9E19E5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625419AA" w14:textId="412BCA42" w:rsidR="00494C3C" w:rsidRPr="00A774F5" w:rsidRDefault="00CF69CC" w:rsidP="00A774F5">
      <w:pPr>
        <w:tabs>
          <w:tab w:val="clear" w:pos="284"/>
        </w:tabs>
        <w:ind w:right="-36"/>
        <w:rPr>
          <w:rFonts w:asciiTheme="majorBidi" w:hAnsiTheme="majorBidi" w:cstheme="majorBidi"/>
          <w:color w:val="000000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Nema relevantnih pretkliničkih podataka o bezb</w:t>
      </w:r>
      <w:r w:rsidR="006075EB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ednosti l</w:t>
      </w:r>
      <w:r w:rsidR="006075EB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 koji se prim</w:t>
      </w:r>
      <w:r w:rsidR="00921461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enjuje lokalno, u obliku kapi za oči, koje bi se mogle dodati informacijama sadržanim u ostalim od</w:t>
      </w:r>
      <w:r w:rsidR="006075EB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eljcima Sažetka karakteristika l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eka.</w:t>
      </w:r>
    </w:p>
    <w:p w14:paraId="4F6986CB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1E64F323" w14:textId="77777777" w:rsidR="00CE09F3" w:rsidRPr="00A774F5" w:rsidRDefault="00CF69CC" w:rsidP="00A774F5">
      <w:pPr>
        <w:pStyle w:val="NASLOV123"/>
        <w:rPr>
          <w:rFonts w:asciiTheme="majorBidi" w:hAnsiTheme="majorBidi" w:cstheme="majorBidi"/>
          <w:lang w:val="sr-Latn-ME"/>
        </w:rPr>
      </w:pPr>
      <w:r w:rsidRPr="00A774F5">
        <w:rPr>
          <w:rFonts w:asciiTheme="majorBidi" w:hAnsiTheme="majorBidi" w:cstheme="majorBidi"/>
          <w:lang w:val="sr-Latn-ME"/>
        </w:rPr>
        <w:t>6. FARMACEUTSKI PODACI</w:t>
      </w:r>
    </w:p>
    <w:p w14:paraId="21D053F1" w14:textId="77777777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6.1. Lista pomoćnih supstanci</w:t>
      </w:r>
    </w:p>
    <w:p w14:paraId="291CD2E1" w14:textId="77777777" w:rsidR="00244ECD" w:rsidRPr="00A774F5" w:rsidRDefault="00244ECD" w:rsidP="00A774F5">
      <w:pPr>
        <w:tabs>
          <w:tab w:val="clear" w:pos="284"/>
          <w:tab w:val="left" w:pos="1080"/>
        </w:tabs>
        <w:ind w:left="720"/>
        <w:jc w:val="left"/>
        <w:rPr>
          <w:rFonts w:asciiTheme="majorBidi" w:hAnsiTheme="majorBidi" w:cstheme="majorBidi"/>
          <w:szCs w:val="22"/>
          <w:lang w:val="sr-Latn-ME"/>
        </w:rPr>
      </w:pPr>
    </w:p>
    <w:p w14:paraId="5031104D" w14:textId="6A4661A4" w:rsidR="00494C3C" w:rsidRPr="00A774F5" w:rsidRDefault="00CF69CC" w:rsidP="00A774F5">
      <w:pPr>
        <w:numPr>
          <w:ilvl w:val="0"/>
          <w:numId w:val="6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B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 xml:space="preserve">enzalkonijum </w:t>
      </w:r>
      <w:r w:rsidR="009A1754" w:rsidRPr="00A774F5">
        <w:rPr>
          <w:rFonts w:asciiTheme="majorBidi" w:hAnsiTheme="majorBidi" w:cstheme="majorBidi"/>
          <w:szCs w:val="22"/>
          <w:lang w:val="sr-Latn-ME"/>
        </w:rPr>
        <w:t>hlorid</w:t>
      </w:r>
      <w:r w:rsidRPr="00A774F5">
        <w:rPr>
          <w:rFonts w:asciiTheme="majorBidi" w:hAnsiTheme="majorBidi" w:cstheme="majorBidi"/>
          <w:szCs w:val="22"/>
          <w:lang w:val="sr-Latn-ME"/>
        </w:rPr>
        <w:t>;</w:t>
      </w:r>
    </w:p>
    <w:p w14:paraId="054B4C51" w14:textId="77777777" w:rsidR="00494C3C" w:rsidRPr="00A774F5" w:rsidRDefault="00CF69CC" w:rsidP="00A774F5">
      <w:pPr>
        <w:numPr>
          <w:ilvl w:val="0"/>
          <w:numId w:val="6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Feniletil </w:t>
      </w:r>
      <w:r w:rsidR="009A1754" w:rsidRPr="00A774F5">
        <w:rPr>
          <w:rFonts w:asciiTheme="majorBidi" w:hAnsiTheme="majorBidi" w:cstheme="majorBidi"/>
          <w:szCs w:val="22"/>
          <w:lang w:val="sr-Latn-ME"/>
        </w:rPr>
        <w:t>alkohol</w:t>
      </w:r>
      <w:r w:rsidRPr="00A774F5">
        <w:rPr>
          <w:rFonts w:asciiTheme="majorBidi" w:hAnsiTheme="majorBidi" w:cstheme="majorBidi"/>
          <w:szCs w:val="22"/>
          <w:lang w:val="sr-Latn-ME"/>
        </w:rPr>
        <w:t>;</w:t>
      </w:r>
    </w:p>
    <w:p w14:paraId="34BB79F2" w14:textId="38E714E2" w:rsidR="00494C3C" w:rsidRPr="00A774F5" w:rsidRDefault="00951D45" w:rsidP="00A774F5">
      <w:pPr>
        <w:numPr>
          <w:ilvl w:val="0"/>
          <w:numId w:val="6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Natrijum 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dihidrogenfosfat, dihidrat;</w:t>
      </w:r>
    </w:p>
    <w:p w14:paraId="17420D70" w14:textId="43FB74D5" w:rsidR="00494C3C" w:rsidRPr="00A774F5" w:rsidRDefault="00951D45" w:rsidP="00A774F5">
      <w:pPr>
        <w:numPr>
          <w:ilvl w:val="0"/>
          <w:numId w:val="6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Dinatrijum 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fosfat, dodekahidrat;</w:t>
      </w:r>
    </w:p>
    <w:p w14:paraId="5C0A30F7" w14:textId="5B435FF4" w:rsidR="00494C3C" w:rsidRPr="00A774F5" w:rsidRDefault="00CF69CC" w:rsidP="00A774F5">
      <w:pPr>
        <w:numPr>
          <w:ilvl w:val="0"/>
          <w:numId w:val="6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Natrijum</w:t>
      </w:r>
      <w:r w:rsidR="00244ECD" w:rsidRPr="00A774F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A774F5">
        <w:rPr>
          <w:rFonts w:asciiTheme="majorBidi" w:hAnsiTheme="majorBidi" w:cstheme="majorBidi"/>
          <w:szCs w:val="22"/>
          <w:lang w:val="sr-Latn-ME"/>
        </w:rPr>
        <w:t>metabisulfit;</w:t>
      </w:r>
    </w:p>
    <w:p w14:paraId="0E05652D" w14:textId="45F18E7B" w:rsidR="00494C3C" w:rsidRPr="00A774F5" w:rsidRDefault="00725736" w:rsidP="00A774F5">
      <w:pPr>
        <w:numPr>
          <w:ilvl w:val="0"/>
          <w:numId w:val="6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Din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 xml:space="preserve">atrijum 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edetat;</w:t>
      </w:r>
    </w:p>
    <w:p w14:paraId="000722FA" w14:textId="77777777" w:rsidR="00494C3C" w:rsidRPr="00A774F5" w:rsidRDefault="00CF69CC" w:rsidP="00A774F5">
      <w:pPr>
        <w:numPr>
          <w:ilvl w:val="0"/>
          <w:numId w:val="6"/>
        </w:numPr>
        <w:tabs>
          <w:tab w:val="clear" w:pos="284"/>
          <w:tab w:val="left" w:pos="1080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Povidon K 90;</w:t>
      </w:r>
    </w:p>
    <w:p w14:paraId="2CD58A11" w14:textId="77777777" w:rsidR="00494C3C" w:rsidRPr="00A774F5" w:rsidRDefault="00CF69CC" w:rsidP="00A774F5">
      <w:pPr>
        <w:numPr>
          <w:ilvl w:val="0"/>
          <w:numId w:val="6"/>
        </w:numPr>
        <w:tabs>
          <w:tab w:val="clear" w:pos="284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Voda za injekcije.</w:t>
      </w:r>
    </w:p>
    <w:p w14:paraId="171E7F54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2057792A" w14:textId="77777777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6.2. Inkompatibilnost</w:t>
      </w:r>
    </w:p>
    <w:p w14:paraId="56CFF442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02DA6411" w14:textId="77777777" w:rsidR="00CE09F3" w:rsidRPr="00A774F5" w:rsidRDefault="00CF69CC" w:rsidP="00A774F5">
      <w:pPr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Nema podataka o inkompatibilnosti.</w:t>
      </w:r>
    </w:p>
    <w:p w14:paraId="0F3D9CB9" w14:textId="77777777" w:rsidR="00C3189A" w:rsidRPr="00A774F5" w:rsidRDefault="00C3189A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49B20FB2" w14:textId="77777777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6.3. Rok upotrebe</w:t>
      </w:r>
    </w:p>
    <w:p w14:paraId="4F10E9C4" w14:textId="77777777" w:rsidR="00C3189A" w:rsidRPr="00A774F5" w:rsidRDefault="00C3189A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56E4F6B1" w14:textId="77777777" w:rsidR="00494C3C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2 godine.</w:t>
      </w:r>
    </w:p>
    <w:p w14:paraId="28D8D31F" w14:textId="18615327" w:rsidR="00E353E8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Nakon prvog otvaranja l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 čuvati na temperaturi do 25</w:t>
      </w:r>
      <w:r w:rsidRPr="00A774F5">
        <w:rPr>
          <w:rFonts w:asciiTheme="majorBidi" w:hAnsiTheme="majorBidi" w:cstheme="majorBidi"/>
          <w:szCs w:val="22"/>
          <w:vertAlign w:val="superscript"/>
          <w:lang w:val="sr-Latn-ME"/>
        </w:rPr>
        <w:t>o</w:t>
      </w:r>
      <w:r w:rsidRPr="00A774F5">
        <w:rPr>
          <w:rFonts w:asciiTheme="majorBidi" w:hAnsiTheme="majorBidi" w:cstheme="majorBidi"/>
          <w:szCs w:val="22"/>
          <w:lang w:val="sr-Latn-ME"/>
        </w:rPr>
        <w:t>C i može se koristiti 8 dana.</w:t>
      </w:r>
    </w:p>
    <w:p w14:paraId="2128188A" w14:textId="576D1355" w:rsidR="00494C3C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L</w:t>
      </w:r>
      <w:r w:rsidR="00A97C79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 ne treba koristiti po isteku roka upotrebe označenog na pakovanju.</w:t>
      </w:r>
    </w:p>
    <w:p w14:paraId="1A423C87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7A18CB13" w14:textId="7934143A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6.4. Posebne m</w:t>
      </w:r>
      <w:r w:rsidR="00951D45" w:rsidRPr="00A774F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ere opreza pri čuvanju</w:t>
      </w:r>
    </w:p>
    <w:p w14:paraId="24339569" w14:textId="77777777" w:rsidR="00494C3C" w:rsidRPr="00A774F5" w:rsidRDefault="00494C3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69F79A35" w14:textId="1C3E00BD" w:rsidR="00494C3C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Čuvati na temperaturi do 25</w:t>
      </w:r>
      <w:r w:rsidRPr="00A774F5">
        <w:rPr>
          <w:rFonts w:asciiTheme="majorBidi" w:hAnsiTheme="majorBidi" w:cstheme="majorBidi"/>
          <w:szCs w:val="22"/>
          <w:vertAlign w:val="superscript"/>
          <w:lang w:val="sr-Latn-ME"/>
        </w:rPr>
        <w:t>o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C u originalnom pakovanju, radi zaštite </w:t>
      </w:r>
      <w:r w:rsidR="00494C3C" w:rsidRPr="00A774F5">
        <w:rPr>
          <w:rFonts w:asciiTheme="majorBidi" w:hAnsiTheme="majorBidi" w:cstheme="majorBidi"/>
          <w:szCs w:val="22"/>
          <w:lang w:val="sr-Latn-ME"/>
        </w:rPr>
        <w:t>od sv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j</w:t>
      </w:r>
      <w:r w:rsidR="00494C3C" w:rsidRPr="00A774F5">
        <w:rPr>
          <w:rFonts w:asciiTheme="majorBidi" w:hAnsiTheme="majorBidi" w:cstheme="majorBidi"/>
          <w:szCs w:val="22"/>
          <w:lang w:val="sr-Latn-ME"/>
        </w:rPr>
        <w:t>etlosti.</w:t>
      </w:r>
    </w:p>
    <w:p w14:paraId="5AE3E4E1" w14:textId="2ACD30AC" w:rsidR="00851330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b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Za uslove čuvanja nakon prvog otvaranja l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eka, vid</w:t>
      </w:r>
      <w:r w:rsidR="00244ECD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eti </w:t>
      </w:r>
      <w:r w:rsidR="00244ECD" w:rsidRPr="00A774F5">
        <w:rPr>
          <w:rFonts w:asciiTheme="majorBidi" w:hAnsiTheme="majorBidi" w:cstheme="majorBidi"/>
          <w:szCs w:val="22"/>
          <w:lang w:val="sr-Latn-ME"/>
        </w:rPr>
        <w:t xml:space="preserve">dio </w:t>
      </w:r>
      <w:r w:rsidRPr="00A774F5">
        <w:rPr>
          <w:rFonts w:asciiTheme="majorBidi" w:hAnsiTheme="majorBidi" w:cstheme="majorBidi"/>
          <w:szCs w:val="22"/>
          <w:lang w:val="sr-Latn-ME"/>
        </w:rPr>
        <w:t>6.3.</w:t>
      </w:r>
    </w:p>
    <w:p w14:paraId="73D06EB7" w14:textId="34D13CFB" w:rsidR="00494C3C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Čuvati van vidokruga i domašaja d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szCs w:val="22"/>
          <w:lang w:val="sr-Latn-ME"/>
        </w:rPr>
        <w:t>ece.</w:t>
      </w:r>
    </w:p>
    <w:p w14:paraId="1E3460A9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5A6D08BD" w14:textId="0D554A79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 xml:space="preserve">6.5. </w:t>
      </w:r>
      <w:r w:rsidR="00951D45" w:rsidRPr="00A774F5">
        <w:rPr>
          <w:rFonts w:asciiTheme="majorBidi" w:hAnsiTheme="majorBidi" w:cstheme="majorBidi"/>
          <w:b/>
          <w:bCs/>
          <w:szCs w:val="22"/>
          <w:lang w:val="sr-Latn-ME"/>
        </w:rPr>
        <w:t>Vrsta</w:t>
      </w: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 xml:space="preserve"> i sadržaj pakovanja </w:t>
      </w:r>
    </w:p>
    <w:p w14:paraId="23F5103B" w14:textId="77777777" w:rsidR="00494C3C" w:rsidRPr="00A774F5" w:rsidRDefault="00494C3C" w:rsidP="00A774F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0B7C6B8C" w14:textId="1A71FD14" w:rsidR="00494C3C" w:rsidRPr="00A774F5" w:rsidRDefault="00CF69CC" w:rsidP="00A774F5">
      <w:pPr>
        <w:tabs>
          <w:tab w:val="clear" w:pos="284"/>
        </w:tabs>
        <w:rPr>
          <w:rFonts w:asciiTheme="majorBidi" w:hAnsiTheme="majorBidi" w:cstheme="majorBidi"/>
          <w:b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Unutrašnje pakovanje je bočica od bezbojnog stakla hidrolitičke otpornosti tip II sa gumenim zatvaračem preko koga se nalazi aluminijumska kapica. U posebnoj kesici nalazi se sterilna kapaljka sa zatvaračem od PVC/PE </w:t>
      </w:r>
      <w:r w:rsidRPr="00A774F5">
        <w:rPr>
          <w:rFonts w:asciiTheme="majorBidi" w:hAnsiTheme="majorBidi" w:cstheme="majorBidi"/>
          <w:szCs w:val="22"/>
          <w:lang w:val="sr-Latn-ME"/>
        </w:rPr>
        <w:lastRenderedPageBreak/>
        <w:t>materijala, ili sterilna kapaljka sa zatvaračem od PE/PE materijala koja služi za doziranje l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eka. Bočica sad</w:t>
      </w:r>
      <w:r w:rsidR="00F3220A" w:rsidRPr="00A774F5">
        <w:rPr>
          <w:rFonts w:asciiTheme="majorBidi" w:hAnsiTheme="majorBidi" w:cstheme="majorBidi"/>
          <w:szCs w:val="22"/>
          <w:lang w:val="sr-Latn-ME"/>
        </w:rPr>
        <w:t>r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ži 10 </w:t>
      </w:r>
      <w:r w:rsidR="00DB0B45" w:rsidRPr="00A774F5">
        <w:rPr>
          <w:rFonts w:asciiTheme="majorBidi" w:hAnsiTheme="majorBidi" w:cstheme="majorBidi"/>
          <w:szCs w:val="22"/>
          <w:lang w:val="sr-Latn-ME"/>
        </w:rPr>
        <w:t>ml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 rastvora.</w:t>
      </w:r>
    </w:p>
    <w:p w14:paraId="3F36919B" w14:textId="525C01F1" w:rsidR="00494C3C" w:rsidRPr="00A774F5" w:rsidRDefault="00CF69CC" w:rsidP="00A774F5">
      <w:pPr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Spoljašnje pakovanje je složiva kartonska kutija u kojoj se nalazi bočica, kesica sa sterilnom kapaljkom i Uputstvo za l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szCs w:val="22"/>
          <w:lang w:val="sr-Latn-ME"/>
        </w:rPr>
        <w:t>ek.</w:t>
      </w:r>
    </w:p>
    <w:p w14:paraId="6CD9972A" w14:textId="77777777" w:rsidR="002B325C" w:rsidRPr="00A774F5" w:rsidRDefault="002B325C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728909D6" w14:textId="2AC77ACD" w:rsidR="00CE09F3" w:rsidRPr="00A774F5" w:rsidRDefault="00CF69CC" w:rsidP="00A774F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6.6. Posebne m</w:t>
      </w:r>
      <w:r w:rsidR="00951D45" w:rsidRPr="00A774F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ere opreza pri odlaganju materijala koji treba odbaciti nakon prim</w:t>
      </w:r>
      <w:r w:rsidR="00951D45" w:rsidRPr="00A774F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ene leka (i druga uputstva za rukovanje l</w:t>
      </w:r>
      <w:r w:rsidR="00951D45" w:rsidRPr="00A774F5">
        <w:rPr>
          <w:rFonts w:asciiTheme="majorBidi" w:hAnsiTheme="majorBidi" w:cstheme="majorBidi"/>
          <w:b/>
          <w:bCs/>
          <w:szCs w:val="22"/>
          <w:lang w:val="sr-Latn-ME"/>
        </w:rPr>
        <w:t>ij</w:t>
      </w:r>
      <w:r w:rsidRPr="00A774F5">
        <w:rPr>
          <w:rFonts w:asciiTheme="majorBidi" w:hAnsiTheme="majorBidi" w:cstheme="majorBidi"/>
          <w:b/>
          <w:bCs/>
          <w:szCs w:val="22"/>
          <w:lang w:val="sr-Latn-ME"/>
        </w:rPr>
        <w:t>ekom)</w:t>
      </w:r>
    </w:p>
    <w:p w14:paraId="0E4B4005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77E3BB3B" w14:textId="23B89245" w:rsidR="004F02D5" w:rsidRPr="00A774F5" w:rsidRDefault="00CF69CC" w:rsidP="00A774F5">
      <w:pPr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Svu </w:t>
      </w:r>
      <w:r w:rsidR="00E544AC" w:rsidRPr="00A774F5">
        <w:rPr>
          <w:rFonts w:asciiTheme="majorBidi" w:hAnsiTheme="majorBidi" w:cstheme="majorBidi"/>
          <w:szCs w:val="22"/>
          <w:lang w:val="sr-Latn-ME"/>
        </w:rPr>
        <w:t>neiskorišćenu količinu l</w:t>
      </w:r>
      <w:r w:rsidR="000447BB" w:rsidRPr="00A774F5">
        <w:rPr>
          <w:rFonts w:asciiTheme="majorBidi" w:hAnsiTheme="majorBidi" w:cstheme="majorBidi"/>
          <w:szCs w:val="22"/>
          <w:lang w:val="sr-Latn-ME"/>
        </w:rPr>
        <w:t>ij</w:t>
      </w:r>
      <w:r w:rsidR="00E544AC" w:rsidRPr="00A774F5">
        <w:rPr>
          <w:rFonts w:asciiTheme="majorBidi" w:hAnsiTheme="majorBidi" w:cstheme="majorBidi"/>
          <w:szCs w:val="22"/>
          <w:lang w:val="sr-Latn-ME"/>
        </w:rPr>
        <w:t>eka ili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 otpadnog materijala nakon njegove upotrebe treba ukloniti, u skladu sa važećim propisima.</w:t>
      </w:r>
    </w:p>
    <w:p w14:paraId="7AD02B3E" w14:textId="77777777" w:rsidR="000447BB" w:rsidRPr="00A774F5" w:rsidRDefault="000447BB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7692C835" w14:textId="77777777" w:rsidR="00CE09F3" w:rsidRPr="00A774F5" w:rsidRDefault="00CF69CC" w:rsidP="00A774F5">
      <w:pPr>
        <w:pStyle w:val="NASLOV123"/>
        <w:rPr>
          <w:rFonts w:asciiTheme="majorBidi" w:hAnsiTheme="majorBidi" w:cstheme="majorBidi"/>
          <w:lang w:val="sr-Latn-ME"/>
        </w:rPr>
      </w:pPr>
      <w:r w:rsidRPr="00A774F5">
        <w:rPr>
          <w:rFonts w:asciiTheme="majorBidi" w:hAnsiTheme="majorBidi" w:cstheme="majorBidi"/>
          <w:lang w:val="sr-Latn-ME"/>
        </w:rPr>
        <w:t xml:space="preserve">7. NOSILAC DOZVOLE </w:t>
      </w:r>
    </w:p>
    <w:p w14:paraId="73D8E8FC" w14:textId="72DB6EDC" w:rsidR="002B325C" w:rsidRPr="00A774F5" w:rsidRDefault="00951D45" w:rsidP="00A774F5">
      <w:pPr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Hemomont d.o.o</w:t>
      </w:r>
      <w:r w:rsidR="000447BB" w:rsidRPr="00A774F5">
        <w:rPr>
          <w:rFonts w:asciiTheme="majorBidi" w:hAnsiTheme="majorBidi" w:cstheme="majorBidi"/>
          <w:szCs w:val="22"/>
          <w:lang w:val="sr-Latn-ME"/>
        </w:rPr>
        <w:t>.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 </w:t>
      </w:r>
    </w:p>
    <w:p w14:paraId="2E7B76D5" w14:textId="2206A88E" w:rsidR="00951D45" w:rsidRPr="00A774F5" w:rsidRDefault="00951D45" w:rsidP="00A774F5">
      <w:pPr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8 marta 55A</w:t>
      </w:r>
      <w:r w:rsidR="000447BB" w:rsidRPr="00A774F5">
        <w:rPr>
          <w:rFonts w:asciiTheme="majorBidi" w:hAnsiTheme="majorBidi" w:cstheme="majorBidi"/>
          <w:szCs w:val="22"/>
          <w:lang w:val="sr-Latn-ME"/>
        </w:rPr>
        <w:t xml:space="preserve">, </w:t>
      </w:r>
      <w:r w:rsidRPr="00A774F5">
        <w:rPr>
          <w:rFonts w:asciiTheme="majorBidi" w:hAnsiTheme="majorBidi" w:cstheme="majorBidi"/>
          <w:szCs w:val="22"/>
          <w:lang w:val="sr-Latn-ME"/>
        </w:rPr>
        <w:t>Podgorica,</w:t>
      </w:r>
      <w:r w:rsidR="000447BB" w:rsidRPr="00A774F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A774F5">
        <w:rPr>
          <w:rFonts w:asciiTheme="majorBidi" w:hAnsiTheme="majorBidi" w:cstheme="majorBidi"/>
          <w:szCs w:val="22"/>
          <w:lang w:val="sr-Latn-ME"/>
        </w:rPr>
        <w:t>Crna Gora</w:t>
      </w:r>
    </w:p>
    <w:p w14:paraId="636F0348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34DDC530" w14:textId="2E93DD51" w:rsidR="00CE09F3" w:rsidRPr="00A774F5" w:rsidRDefault="00CF69CC" w:rsidP="00A774F5">
      <w:pPr>
        <w:pStyle w:val="NASLOV123"/>
        <w:rPr>
          <w:rFonts w:asciiTheme="majorBidi" w:hAnsiTheme="majorBidi" w:cstheme="majorBidi"/>
          <w:lang w:val="sr-Latn-ME"/>
        </w:rPr>
      </w:pPr>
      <w:r w:rsidRPr="00A774F5">
        <w:rPr>
          <w:rFonts w:asciiTheme="majorBidi" w:hAnsiTheme="majorBidi" w:cstheme="majorBidi"/>
          <w:lang w:val="sr-Latn-ME"/>
        </w:rPr>
        <w:t>8. BROJ DOZVOLE ZA STAVLJANJE L</w:t>
      </w:r>
      <w:r w:rsidR="00951D45" w:rsidRPr="00A774F5">
        <w:rPr>
          <w:rFonts w:asciiTheme="majorBidi" w:hAnsiTheme="majorBidi" w:cstheme="majorBidi"/>
          <w:lang w:val="sr-Latn-ME"/>
        </w:rPr>
        <w:t>IJ</w:t>
      </w:r>
      <w:r w:rsidRPr="00A774F5">
        <w:rPr>
          <w:rFonts w:asciiTheme="majorBidi" w:hAnsiTheme="majorBidi" w:cstheme="majorBidi"/>
          <w:lang w:val="sr-Latn-ME"/>
        </w:rPr>
        <w:t>EKA U PROMET</w:t>
      </w:r>
    </w:p>
    <w:p w14:paraId="3AE288B9" w14:textId="749124C5" w:rsidR="00CE09F3" w:rsidRPr="00A774F5" w:rsidRDefault="00951D45" w:rsidP="00A774F5"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Broj </w:t>
      </w:r>
      <w:r w:rsidR="00CF69CC" w:rsidRPr="00A774F5">
        <w:rPr>
          <w:rFonts w:asciiTheme="majorBidi" w:hAnsiTheme="majorBidi" w:cstheme="majorBidi"/>
          <w:szCs w:val="22"/>
          <w:lang w:val="sr-Latn-ME"/>
        </w:rPr>
        <w:t>dozvole:</w:t>
      </w:r>
      <w:r w:rsidR="00E544AC" w:rsidRPr="00A774F5">
        <w:rPr>
          <w:rFonts w:asciiTheme="majorBidi" w:hAnsiTheme="majorBidi" w:cstheme="majorBidi"/>
          <w:szCs w:val="22"/>
          <w:lang w:val="sr-Latn-ME"/>
        </w:rPr>
        <w:t xml:space="preserve"> </w:t>
      </w:r>
      <w:r w:rsidR="00A774F5" w:rsidRPr="00A774F5">
        <w:rPr>
          <w:rFonts w:asciiTheme="majorBidi" w:hAnsiTheme="majorBidi" w:cstheme="majorBidi"/>
          <w:szCs w:val="22"/>
          <w:lang w:val="sr-Latn-ME"/>
        </w:rPr>
        <w:t>2030/22/2689 - 7092</w:t>
      </w:r>
    </w:p>
    <w:p w14:paraId="1FA3E339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6D50B628" w14:textId="77777777" w:rsidR="00CE09F3" w:rsidRPr="00A774F5" w:rsidRDefault="00CF69CC" w:rsidP="00A774F5">
      <w:pPr>
        <w:pStyle w:val="NASLOV123"/>
        <w:jc w:val="both"/>
        <w:rPr>
          <w:rFonts w:asciiTheme="majorBidi" w:hAnsiTheme="majorBidi" w:cstheme="majorBidi"/>
          <w:lang w:val="sr-Latn-ME"/>
        </w:rPr>
      </w:pPr>
      <w:r w:rsidRPr="00A774F5">
        <w:rPr>
          <w:rFonts w:asciiTheme="majorBidi" w:hAnsiTheme="majorBidi" w:cstheme="majorBidi"/>
          <w:lang w:val="sr-Latn-ME"/>
        </w:rPr>
        <w:t>9. DATUM PRVE DOZVOLE I DATUM OBNOVE DOZVOLE ZA STAVLJANJE LEKA U PROMET</w:t>
      </w:r>
    </w:p>
    <w:p w14:paraId="4C68FC10" w14:textId="5BD01C35" w:rsidR="0005798D" w:rsidRPr="00A774F5" w:rsidRDefault="00CF69CC" w:rsidP="00A774F5"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 xml:space="preserve">Datum prve dozvole: 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>18.03.2009.</w:t>
      </w:r>
    </w:p>
    <w:p w14:paraId="729AE26D" w14:textId="15D674E8" w:rsidR="00CE09F3" w:rsidRPr="00A774F5" w:rsidRDefault="00CF69CC" w:rsidP="00A774F5"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sr-Latn-ME"/>
        </w:rPr>
      </w:pPr>
      <w:r w:rsidRPr="00A774F5">
        <w:rPr>
          <w:rFonts w:asciiTheme="majorBidi" w:hAnsiTheme="majorBidi" w:cstheme="majorBidi"/>
          <w:szCs w:val="22"/>
          <w:lang w:val="sr-Latn-ME"/>
        </w:rPr>
        <w:t>Datum</w:t>
      </w:r>
      <w:r w:rsidR="00951D45" w:rsidRPr="00A774F5">
        <w:rPr>
          <w:rFonts w:asciiTheme="majorBidi" w:hAnsiTheme="majorBidi" w:cstheme="majorBidi"/>
          <w:szCs w:val="22"/>
          <w:lang w:val="sr-Latn-ME"/>
        </w:rPr>
        <w:t xml:space="preserve"> </w:t>
      </w:r>
      <w:r w:rsidR="000447BB" w:rsidRPr="00A774F5">
        <w:rPr>
          <w:rFonts w:asciiTheme="majorBidi" w:hAnsiTheme="majorBidi" w:cstheme="majorBidi"/>
          <w:szCs w:val="22"/>
          <w:lang w:val="sr-Latn-ME"/>
        </w:rPr>
        <w:t xml:space="preserve">poslednje </w:t>
      </w:r>
      <w:r w:rsidRPr="00A774F5">
        <w:rPr>
          <w:rFonts w:asciiTheme="majorBidi" w:hAnsiTheme="majorBidi" w:cstheme="majorBidi"/>
          <w:szCs w:val="22"/>
          <w:lang w:val="sr-Latn-ME"/>
        </w:rPr>
        <w:t xml:space="preserve">obnove dozvole: </w:t>
      </w:r>
      <w:r w:rsidR="00A774F5" w:rsidRPr="00A774F5">
        <w:rPr>
          <w:rFonts w:asciiTheme="majorBidi" w:hAnsiTheme="majorBidi" w:cstheme="majorBidi"/>
          <w:szCs w:val="22"/>
          <w:lang w:val="sr-Latn-ME"/>
        </w:rPr>
        <w:t>19.10.2022. godine</w:t>
      </w:r>
    </w:p>
    <w:p w14:paraId="3AED7007" w14:textId="77777777" w:rsidR="00CE09F3" w:rsidRPr="00A774F5" w:rsidRDefault="00CE09F3" w:rsidP="00A774F5">
      <w:pPr>
        <w:rPr>
          <w:rFonts w:asciiTheme="majorBidi" w:hAnsiTheme="majorBidi" w:cstheme="majorBidi"/>
          <w:szCs w:val="22"/>
          <w:lang w:val="sr-Latn-ME"/>
        </w:rPr>
      </w:pPr>
    </w:p>
    <w:p w14:paraId="41EF7CE8" w14:textId="77777777" w:rsidR="00923865" w:rsidRPr="00A774F5" w:rsidRDefault="00CF69CC" w:rsidP="00A774F5">
      <w:pPr>
        <w:pStyle w:val="NASLOV123"/>
        <w:rPr>
          <w:rFonts w:asciiTheme="majorBidi" w:hAnsiTheme="majorBidi" w:cstheme="majorBidi"/>
          <w:lang w:val="sr-Latn-ME"/>
        </w:rPr>
      </w:pPr>
      <w:r w:rsidRPr="00A774F5">
        <w:rPr>
          <w:rFonts w:asciiTheme="majorBidi" w:hAnsiTheme="majorBidi" w:cstheme="majorBidi"/>
          <w:lang w:val="sr-Latn-ME"/>
        </w:rPr>
        <w:t>10. DATUM REVIZIJE TEKSTA</w:t>
      </w:r>
    </w:p>
    <w:p w14:paraId="1B97AB3F" w14:textId="4F8258E7" w:rsidR="002B325C" w:rsidRPr="00A774F5" w:rsidRDefault="00A774F5" w:rsidP="00A774F5">
      <w:pPr>
        <w:pStyle w:val="NASLOV123"/>
        <w:rPr>
          <w:rFonts w:asciiTheme="majorBidi" w:hAnsiTheme="majorBidi" w:cstheme="majorBidi"/>
          <w:b w:val="0"/>
          <w:lang w:val="sr-Latn-ME"/>
        </w:rPr>
      </w:pPr>
      <w:r>
        <w:rPr>
          <w:rFonts w:asciiTheme="majorBidi" w:hAnsiTheme="majorBidi" w:cstheme="majorBidi"/>
          <w:b w:val="0"/>
          <w:lang w:val="sr-Latn-ME"/>
        </w:rPr>
        <w:t>Oktobar, 2022. godine</w:t>
      </w:r>
    </w:p>
    <w:sectPr w:rsidR="002B325C" w:rsidRPr="00A774F5" w:rsidSect="00FE398B">
      <w:footerReference w:type="even" r:id="rId12"/>
      <w:footerReference w:type="default" r:id="rId13"/>
      <w:pgSz w:w="11907" w:h="16840" w:code="9"/>
      <w:pgMar w:top="1162" w:right="1134" w:bottom="1134" w:left="1134" w:header="737" w:footer="57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682B2" w14:textId="77777777" w:rsidR="00595C06" w:rsidRDefault="00595C06">
      <w:r>
        <w:separator/>
      </w:r>
    </w:p>
  </w:endnote>
  <w:endnote w:type="continuationSeparator" w:id="0">
    <w:p w14:paraId="58BE1A52" w14:textId="77777777" w:rsidR="00595C06" w:rsidRDefault="0059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75CD" w14:textId="01B165E4" w:rsidR="002E78D2" w:rsidRDefault="002E78D2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BF8">
      <w:rPr>
        <w:rStyle w:val="PageNumber"/>
        <w:noProof/>
      </w:rPr>
      <w:t>6</w:t>
    </w:r>
    <w:r>
      <w:rPr>
        <w:rStyle w:val="PageNumber"/>
      </w:rPr>
      <w:fldChar w:fldCharType="end"/>
    </w:r>
  </w:p>
  <w:p w14:paraId="22FDF784" w14:textId="77777777" w:rsidR="002E78D2" w:rsidRDefault="002E78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1E0EF" w14:textId="527BA705" w:rsidR="002E78D2" w:rsidRPr="00C536C2" w:rsidRDefault="00595C06" w:rsidP="00FE398B">
    <w:pPr>
      <w:pStyle w:val="Footer"/>
      <w:tabs>
        <w:tab w:val="left" w:pos="5448"/>
      </w:tabs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DB0B45" w:rsidRPr="00B23F69">
              <w:rPr>
                <w:szCs w:val="22"/>
              </w:rPr>
              <w:fldChar w:fldCharType="begin"/>
            </w:r>
            <w:r w:rsidR="00DB0B45" w:rsidRPr="00B23F69">
              <w:rPr>
                <w:szCs w:val="22"/>
              </w:rPr>
              <w:instrText xml:space="preserve"> PAGE </w:instrText>
            </w:r>
            <w:r w:rsidR="00DB0B45" w:rsidRPr="00B23F69">
              <w:rPr>
                <w:szCs w:val="22"/>
              </w:rPr>
              <w:fldChar w:fldCharType="separate"/>
            </w:r>
            <w:r w:rsidR="00FA7BDC">
              <w:rPr>
                <w:noProof/>
                <w:szCs w:val="22"/>
              </w:rPr>
              <w:t>6</w:t>
            </w:r>
            <w:r w:rsidR="00DB0B45" w:rsidRPr="00B23F69">
              <w:rPr>
                <w:szCs w:val="22"/>
              </w:rPr>
              <w:fldChar w:fldCharType="end"/>
            </w:r>
            <w:r w:rsidR="00DB0B45" w:rsidRPr="00B23F69">
              <w:rPr>
                <w:szCs w:val="22"/>
              </w:rPr>
              <w:t xml:space="preserve"> / </w:t>
            </w:r>
            <w:r w:rsidR="00DB0B45" w:rsidRPr="00B23F69">
              <w:rPr>
                <w:szCs w:val="22"/>
              </w:rPr>
              <w:fldChar w:fldCharType="begin"/>
            </w:r>
            <w:r w:rsidR="00DB0B45" w:rsidRPr="00B23F69">
              <w:rPr>
                <w:szCs w:val="22"/>
              </w:rPr>
              <w:instrText xml:space="preserve"> NUMPAGES </w:instrText>
            </w:r>
            <w:r w:rsidR="00DB0B45" w:rsidRPr="00B23F69">
              <w:rPr>
                <w:szCs w:val="22"/>
              </w:rPr>
              <w:fldChar w:fldCharType="separate"/>
            </w:r>
            <w:r w:rsidR="00FA7BDC">
              <w:rPr>
                <w:noProof/>
                <w:szCs w:val="22"/>
              </w:rPr>
              <w:t>6</w:t>
            </w:r>
            <w:r w:rsidR="00DB0B45" w:rsidRPr="00B23F69">
              <w:rPr>
                <w:szCs w:val="22"/>
              </w:rPr>
              <w:fldChar w:fldCharType="end"/>
            </w:r>
            <w:r w:rsidR="00DB0B45">
              <w:rPr>
                <w:szCs w:val="22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CD7E3" w14:textId="77777777" w:rsidR="00595C06" w:rsidRDefault="00595C06">
      <w:r>
        <w:separator/>
      </w:r>
    </w:p>
  </w:footnote>
  <w:footnote w:type="continuationSeparator" w:id="0">
    <w:p w14:paraId="2955E32F" w14:textId="77777777" w:rsidR="00595C06" w:rsidRDefault="0059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A3E7988"/>
    <w:multiLevelType w:val="hybridMultilevel"/>
    <w:tmpl w:val="59129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CBB0B11"/>
    <w:multiLevelType w:val="hybridMultilevel"/>
    <w:tmpl w:val="69BE2610"/>
    <w:lvl w:ilvl="0" w:tplc="8B6ACE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2337"/>
    <w:multiLevelType w:val="hybridMultilevel"/>
    <w:tmpl w:val="6506239C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F14DC"/>
    <w:multiLevelType w:val="hybridMultilevel"/>
    <w:tmpl w:val="CF9E6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7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1254"/>
    <w:rsid w:val="00017801"/>
    <w:rsid w:val="000241D2"/>
    <w:rsid w:val="000340D1"/>
    <w:rsid w:val="00041D88"/>
    <w:rsid w:val="000447BB"/>
    <w:rsid w:val="00051D1B"/>
    <w:rsid w:val="00053807"/>
    <w:rsid w:val="0005798D"/>
    <w:rsid w:val="000602FD"/>
    <w:rsid w:val="00064273"/>
    <w:rsid w:val="00083BE0"/>
    <w:rsid w:val="0008507A"/>
    <w:rsid w:val="00087DD9"/>
    <w:rsid w:val="00095FB6"/>
    <w:rsid w:val="0009758B"/>
    <w:rsid w:val="00097C89"/>
    <w:rsid w:val="000A0782"/>
    <w:rsid w:val="000A0F4A"/>
    <w:rsid w:val="000A2D07"/>
    <w:rsid w:val="000C0F74"/>
    <w:rsid w:val="000C2DA2"/>
    <w:rsid w:val="000D5631"/>
    <w:rsid w:val="000E4A92"/>
    <w:rsid w:val="000E75C0"/>
    <w:rsid w:val="000F2DC1"/>
    <w:rsid w:val="00114B55"/>
    <w:rsid w:val="00121C61"/>
    <w:rsid w:val="00122CCC"/>
    <w:rsid w:val="00141639"/>
    <w:rsid w:val="0014180A"/>
    <w:rsid w:val="00154DB2"/>
    <w:rsid w:val="00157D6A"/>
    <w:rsid w:val="001601DF"/>
    <w:rsid w:val="00161A79"/>
    <w:rsid w:val="00172B33"/>
    <w:rsid w:val="00173D18"/>
    <w:rsid w:val="00175772"/>
    <w:rsid w:val="00175A7E"/>
    <w:rsid w:val="00177C29"/>
    <w:rsid w:val="00182528"/>
    <w:rsid w:val="0018601D"/>
    <w:rsid w:val="001B0957"/>
    <w:rsid w:val="001B5A4A"/>
    <w:rsid w:val="001B706A"/>
    <w:rsid w:val="001D10C9"/>
    <w:rsid w:val="001D5693"/>
    <w:rsid w:val="001E0A07"/>
    <w:rsid w:val="001E6145"/>
    <w:rsid w:val="001E7719"/>
    <w:rsid w:val="001F2D4E"/>
    <w:rsid w:val="001F39B6"/>
    <w:rsid w:val="001F3ED4"/>
    <w:rsid w:val="0022218E"/>
    <w:rsid w:val="0022223A"/>
    <w:rsid w:val="00232A6B"/>
    <w:rsid w:val="0024132F"/>
    <w:rsid w:val="00242DCD"/>
    <w:rsid w:val="00244ECD"/>
    <w:rsid w:val="00247C5C"/>
    <w:rsid w:val="00256A8B"/>
    <w:rsid w:val="0026337F"/>
    <w:rsid w:val="00273BE0"/>
    <w:rsid w:val="002843EF"/>
    <w:rsid w:val="00285F16"/>
    <w:rsid w:val="002A0B4E"/>
    <w:rsid w:val="002A22E9"/>
    <w:rsid w:val="002B1E72"/>
    <w:rsid w:val="002B325C"/>
    <w:rsid w:val="002B6F6A"/>
    <w:rsid w:val="002C0FBF"/>
    <w:rsid w:val="002E3092"/>
    <w:rsid w:val="002E78D2"/>
    <w:rsid w:val="002F5E2F"/>
    <w:rsid w:val="0030683F"/>
    <w:rsid w:val="0031310A"/>
    <w:rsid w:val="00316FC0"/>
    <w:rsid w:val="003356BC"/>
    <w:rsid w:val="00337E27"/>
    <w:rsid w:val="003452C0"/>
    <w:rsid w:val="00347475"/>
    <w:rsid w:val="00351B31"/>
    <w:rsid w:val="0035402C"/>
    <w:rsid w:val="00356F9D"/>
    <w:rsid w:val="003635F5"/>
    <w:rsid w:val="00374CB6"/>
    <w:rsid w:val="00375552"/>
    <w:rsid w:val="00383195"/>
    <w:rsid w:val="00397087"/>
    <w:rsid w:val="003A21C3"/>
    <w:rsid w:val="003A2DF8"/>
    <w:rsid w:val="003A783D"/>
    <w:rsid w:val="003B2082"/>
    <w:rsid w:val="003B2CF3"/>
    <w:rsid w:val="003B60FF"/>
    <w:rsid w:val="003C18A4"/>
    <w:rsid w:val="003C790D"/>
    <w:rsid w:val="003E3EC7"/>
    <w:rsid w:val="0040136F"/>
    <w:rsid w:val="00406CAE"/>
    <w:rsid w:val="004123CD"/>
    <w:rsid w:val="00413A36"/>
    <w:rsid w:val="004234ED"/>
    <w:rsid w:val="00425E2A"/>
    <w:rsid w:val="00427D41"/>
    <w:rsid w:val="00436E8F"/>
    <w:rsid w:val="0045015B"/>
    <w:rsid w:val="00462C33"/>
    <w:rsid w:val="00467E1B"/>
    <w:rsid w:val="004878FC"/>
    <w:rsid w:val="00492248"/>
    <w:rsid w:val="00494C3C"/>
    <w:rsid w:val="00497648"/>
    <w:rsid w:val="004A4AF7"/>
    <w:rsid w:val="004B5A11"/>
    <w:rsid w:val="004B7A50"/>
    <w:rsid w:val="004D11A1"/>
    <w:rsid w:val="004D230F"/>
    <w:rsid w:val="004E7BF8"/>
    <w:rsid w:val="004F02D5"/>
    <w:rsid w:val="004F2482"/>
    <w:rsid w:val="00503974"/>
    <w:rsid w:val="0052230B"/>
    <w:rsid w:val="00525A8A"/>
    <w:rsid w:val="005276F0"/>
    <w:rsid w:val="00530909"/>
    <w:rsid w:val="00565A1D"/>
    <w:rsid w:val="00566A0E"/>
    <w:rsid w:val="00595C06"/>
    <w:rsid w:val="005B3388"/>
    <w:rsid w:val="005C2B01"/>
    <w:rsid w:val="005C3F73"/>
    <w:rsid w:val="005C7891"/>
    <w:rsid w:val="005E0AAD"/>
    <w:rsid w:val="005E562C"/>
    <w:rsid w:val="005E66B9"/>
    <w:rsid w:val="005F0FA0"/>
    <w:rsid w:val="005F5F1C"/>
    <w:rsid w:val="00603302"/>
    <w:rsid w:val="00604E4F"/>
    <w:rsid w:val="006054EE"/>
    <w:rsid w:val="006075EB"/>
    <w:rsid w:val="006118B6"/>
    <w:rsid w:val="00614011"/>
    <w:rsid w:val="006270C0"/>
    <w:rsid w:val="0062719A"/>
    <w:rsid w:val="00630195"/>
    <w:rsid w:val="0063486C"/>
    <w:rsid w:val="0065077B"/>
    <w:rsid w:val="006559AF"/>
    <w:rsid w:val="00660ED5"/>
    <w:rsid w:val="00667EB1"/>
    <w:rsid w:val="00693874"/>
    <w:rsid w:val="00693F46"/>
    <w:rsid w:val="006A15B6"/>
    <w:rsid w:val="006C41EA"/>
    <w:rsid w:val="006C52B1"/>
    <w:rsid w:val="006F158F"/>
    <w:rsid w:val="00711A36"/>
    <w:rsid w:val="007162F7"/>
    <w:rsid w:val="00720E5E"/>
    <w:rsid w:val="00725736"/>
    <w:rsid w:val="00736138"/>
    <w:rsid w:val="0075458E"/>
    <w:rsid w:val="00764648"/>
    <w:rsid w:val="007672F3"/>
    <w:rsid w:val="0077120C"/>
    <w:rsid w:val="0079097E"/>
    <w:rsid w:val="007A4188"/>
    <w:rsid w:val="007A4572"/>
    <w:rsid w:val="007A500F"/>
    <w:rsid w:val="007B16C4"/>
    <w:rsid w:val="007B216F"/>
    <w:rsid w:val="007B5A28"/>
    <w:rsid w:val="007B617E"/>
    <w:rsid w:val="007C1DBD"/>
    <w:rsid w:val="007C2D7E"/>
    <w:rsid w:val="007D17FD"/>
    <w:rsid w:val="007D2C82"/>
    <w:rsid w:val="007D48C5"/>
    <w:rsid w:val="007D7A0E"/>
    <w:rsid w:val="007E06F0"/>
    <w:rsid w:val="007E42D5"/>
    <w:rsid w:val="008006AF"/>
    <w:rsid w:val="00802DFC"/>
    <w:rsid w:val="0081417F"/>
    <w:rsid w:val="00814781"/>
    <w:rsid w:val="00816F7B"/>
    <w:rsid w:val="00820858"/>
    <w:rsid w:val="00834DBB"/>
    <w:rsid w:val="00842FFB"/>
    <w:rsid w:val="00846454"/>
    <w:rsid w:val="00851330"/>
    <w:rsid w:val="008613A7"/>
    <w:rsid w:val="0086351A"/>
    <w:rsid w:val="00874B61"/>
    <w:rsid w:val="00894F49"/>
    <w:rsid w:val="008A48B7"/>
    <w:rsid w:val="008B2482"/>
    <w:rsid w:val="008B3EB5"/>
    <w:rsid w:val="008B4DF6"/>
    <w:rsid w:val="008C4FA6"/>
    <w:rsid w:val="008C5809"/>
    <w:rsid w:val="008D78C9"/>
    <w:rsid w:val="008D7A32"/>
    <w:rsid w:val="008E0FC9"/>
    <w:rsid w:val="008F06D6"/>
    <w:rsid w:val="00910793"/>
    <w:rsid w:val="00913684"/>
    <w:rsid w:val="00921461"/>
    <w:rsid w:val="00923865"/>
    <w:rsid w:val="00926AEE"/>
    <w:rsid w:val="0093016E"/>
    <w:rsid w:val="00934B4D"/>
    <w:rsid w:val="00951D45"/>
    <w:rsid w:val="00955C75"/>
    <w:rsid w:val="009677DF"/>
    <w:rsid w:val="0098773F"/>
    <w:rsid w:val="00991077"/>
    <w:rsid w:val="009946F8"/>
    <w:rsid w:val="00996E6B"/>
    <w:rsid w:val="009A1754"/>
    <w:rsid w:val="009A1D64"/>
    <w:rsid w:val="009A3714"/>
    <w:rsid w:val="009A4351"/>
    <w:rsid w:val="009B1292"/>
    <w:rsid w:val="009B2430"/>
    <w:rsid w:val="009B338B"/>
    <w:rsid w:val="009B58AD"/>
    <w:rsid w:val="009B7935"/>
    <w:rsid w:val="009C231A"/>
    <w:rsid w:val="009C30E9"/>
    <w:rsid w:val="009C7BA2"/>
    <w:rsid w:val="009D1161"/>
    <w:rsid w:val="009D667B"/>
    <w:rsid w:val="009F4449"/>
    <w:rsid w:val="00A02252"/>
    <w:rsid w:val="00A127F1"/>
    <w:rsid w:val="00A24C91"/>
    <w:rsid w:val="00A27031"/>
    <w:rsid w:val="00A27130"/>
    <w:rsid w:val="00A56339"/>
    <w:rsid w:val="00A7147C"/>
    <w:rsid w:val="00A7660B"/>
    <w:rsid w:val="00A774F5"/>
    <w:rsid w:val="00A82325"/>
    <w:rsid w:val="00A86897"/>
    <w:rsid w:val="00A906EE"/>
    <w:rsid w:val="00A94FC6"/>
    <w:rsid w:val="00A95733"/>
    <w:rsid w:val="00A97C79"/>
    <w:rsid w:val="00AB5465"/>
    <w:rsid w:val="00AF4DC3"/>
    <w:rsid w:val="00B002A7"/>
    <w:rsid w:val="00B07AD5"/>
    <w:rsid w:val="00B26FAC"/>
    <w:rsid w:val="00B30702"/>
    <w:rsid w:val="00B31AA2"/>
    <w:rsid w:val="00B40F9F"/>
    <w:rsid w:val="00B5494F"/>
    <w:rsid w:val="00B6265F"/>
    <w:rsid w:val="00B74C0B"/>
    <w:rsid w:val="00B81152"/>
    <w:rsid w:val="00B8400D"/>
    <w:rsid w:val="00B91D77"/>
    <w:rsid w:val="00B93A37"/>
    <w:rsid w:val="00BA01B5"/>
    <w:rsid w:val="00BA065B"/>
    <w:rsid w:val="00BA07ED"/>
    <w:rsid w:val="00BA1819"/>
    <w:rsid w:val="00BA5A22"/>
    <w:rsid w:val="00BA7368"/>
    <w:rsid w:val="00BB55E5"/>
    <w:rsid w:val="00BD725A"/>
    <w:rsid w:val="00BF3750"/>
    <w:rsid w:val="00C06244"/>
    <w:rsid w:val="00C0625A"/>
    <w:rsid w:val="00C257AD"/>
    <w:rsid w:val="00C3189A"/>
    <w:rsid w:val="00C32576"/>
    <w:rsid w:val="00C33D93"/>
    <w:rsid w:val="00C40E2C"/>
    <w:rsid w:val="00C44262"/>
    <w:rsid w:val="00C444AF"/>
    <w:rsid w:val="00C536C2"/>
    <w:rsid w:val="00C55F47"/>
    <w:rsid w:val="00C56352"/>
    <w:rsid w:val="00C56E2E"/>
    <w:rsid w:val="00C63BDF"/>
    <w:rsid w:val="00C64A31"/>
    <w:rsid w:val="00C82E8B"/>
    <w:rsid w:val="00C85276"/>
    <w:rsid w:val="00C87D5F"/>
    <w:rsid w:val="00CA29EF"/>
    <w:rsid w:val="00CB23AC"/>
    <w:rsid w:val="00CC4C88"/>
    <w:rsid w:val="00CD0B1F"/>
    <w:rsid w:val="00CD3F96"/>
    <w:rsid w:val="00CD496F"/>
    <w:rsid w:val="00CE09F3"/>
    <w:rsid w:val="00CE4A4E"/>
    <w:rsid w:val="00CE76DA"/>
    <w:rsid w:val="00CF69CC"/>
    <w:rsid w:val="00D044B5"/>
    <w:rsid w:val="00D0792F"/>
    <w:rsid w:val="00D11E94"/>
    <w:rsid w:val="00D12186"/>
    <w:rsid w:val="00D15F12"/>
    <w:rsid w:val="00D17CEA"/>
    <w:rsid w:val="00D30389"/>
    <w:rsid w:val="00D30A4C"/>
    <w:rsid w:val="00D337F6"/>
    <w:rsid w:val="00D457B4"/>
    <w:rsid w:val="00D52CDB"/>
    <w:rsid w:val="00D57378"/>
    <w:rsid w:val="00D61710"/>
    <w:rsid w:val="00D6611E"/>
    <w:rsid w:val="00D81E07"/>
    <w:rsid w:val="00D85F37"/>
    <w:rsid w:val="00D90E86"/>
    <w:rsid w:val="00DB0B45"/>
    <w:rsid w:val="00DB1512"/>
    <w:rsid w:val="00DB4534"/>
    <w:rsid w:val="00DD2A82"/>
    <w:rsid w:val="00DE024F"/>
    <w:rsid w:val="00DF3B8A"/>
    <w:rsid w:val="00DF46E4"/>
    <w:rsid w:val="00DF4B98"/>
    <w:rsid w:val="00E04856"/>
    <w:rsid w:val="00E2130D"/>
    <w:rsid w:val="00E22149"/>
    <w:rsid w:val="00E26562"/>
    <w:rsid w:val="00E353E8"/>
    <w:rsid w:val="00E45F45"/>
    <w:rsid w:val="00E50CD3"/>
    <w:rsid w:val="00E53C1C"/>
    <w:rsid w:val="00E544AC"/>
    <w:rsid w:val="00E56089"/>
    <w:rsid w:val="00E57CF2"/>
    <w:rsid w:val="00E678D8"/>
    <w:rsid w:val="00E87B6E"/>
    <w:rsid w:val="00E87BE1"/>
    <w:rsid w:val="00E936BB"/>
    <w:rsid w:val="00EA020F"/>
    <w:rsid w:val="00EA1F85"/>
    <w:rsid w:val="00EA473D"/>
    <w:rsid w:val="00EB1BDD"/>
    <w:rsid w:val="00EB61CA"/>
    <w:rsid w:val="00EC01A1"/>
    <w:rsid w:val="00EC1B17"/>
    <w:rsid w:val="00ED4585"/>
    <w:rsid w:val="00ED735F"/>
    <w:rsid w:val="00F045D8"/>
    <w:rsid w:val="00F200B0"/>
    <w:rsid w:val="00F23042"/>
    <w:rsid w:val="00F3220A"/>
    <w:rsid w:val="00F323B2"/>
    <w:rsid w:val="00F33005"/>
    <w:rsid w:val="00F37AFE"/>
    <w:rsid w:val="00F42610"/>
    <w:rsid w:val="00F52E9E"/>
    <w:rsid w:val="00F55B0C"/>
    <w:rsid w:val="00F57737"/>
    <w:rsid w:val="00F5775F"/>
    <w:rsid w:val="00F63F24"/>
    <w:rsid w:val="00FA1D45"/>
    <w:rsid w:val="00FA7B8D"/>
    <w:rsid w:val="00FA7BDC"/>
    <w:rsid w:val="00FC230A"/>
    <w:rsid w:val="00FD3D62"/>
    <w:rsid w:val="00FE398B"/>
    <w:rsid w:val="00FF0D13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05D87F"/>
  <w15:docId w15:val="{850D6275-B5D7-4350-A9E4-05216CE7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D044B5"/>
    <w:pPr>
      <w:ind w:left="720"/>
      <w:contextualSpacing/>
    </w:pPr>
  </w:style>
  <w:style w:type="paragraph" w:styleId="Revision">
    <w:name w:val="Revision"/>
    <w:hidden/>
    <w:uiPriority w:val="99"/>
    <w:semiHidden/>
    <w:rsid w:val="00C40E2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lims.m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451031470644EA6C3A8A69A7DB990" ma:contentTypeVersion="11" ma:contentTypeDescription="Ein neues Dokument erstellen." ma:contentTypeScope="" ma:versionID="622d0174fff6cc711846915405ea611b">
  <xsd:schema xmlns:xsd="http://www.w3.org/2001/XMLSchema" xmlns:xs="http://www.w3.org/2001/XMLSchema" xmlns:p="http://schemas.microsoft.com/office/2006/metadata/properties" xmlns:ns3="d2f37ffa-e208-4768-bf75-d5dcf744520d" xmlns:ns4="ee8900a7-107a-4fba-a226-19445f2255a4" targetNamespace="http://schemas.microsoft.com/office/2006/metadata/properties" ma:root="true" ma:fieldsID="dc174884f048eb6b44ff4aea0d11de00" ns3:_="" ns4:_="">
    <xsd:import namespace="d2f37ffa-e208-4768-bf75-d5dcf744520d"/>
    <xsd:import namespace="ee8900a7-107a-4fba-a226-19445f2255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7ffa-e208-4768-bf75-d5dcf744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900a7-107a-4fba-a226-19445f225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91557-7B41-432D-8679-33A8AF351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55BBE-CB9A-4C68-8E02-19DB359DA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7ffa-e208-4768-bf75-d5dcf744520d"/>
    <ds:schemaRef ds:uri="ee8900a7-107a-4fba-a226-19445f225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C7386-750B-4FA0-AF37-85A2BB8C1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EA29B-DD04-4A60-B0B5-3FBAFA5C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5</cp:revision>
  <cp:lastPrinted>2020-10-20T13:26:00Z</cp:lastPrinted>
  <dcterms:created xsi:type="dcterms:W3CDTF">2022-10-18T11:48:00Z</dcterms:created>
  <dcterms:modified xsi:type="dcterms:W3CDTF">2022-10-25T10:38:00Z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0x0101005F7451031470644EA6C3A8A69A7DB990</vt:lpwstr>
  </property>
</Properties>
</file>