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0D7979" w:rsidRDefault="001A5518" w:rsidP="001A5518">
      <w:pPr>
        <w:rPr>
          <w:b/>
          <w:bCs/>
          <w:i/>
          <w:iCs/>
          <w:sz w:val="22"/>
          <w:szCs w:val="22"/>
          <w:u w:val="single"/>
          <w:lang w:val="sr-Latn-ME"/>
        </w:rPr>
      </w:pPr>
    </w:p>
    <w:p w:rsidR="00F91C7B" w:rsidRPr="000D7979" w:rsidRDefault="00F91C7B" w:rsidP="001A5518">
      <w:pPr>
        <w:rPr>
          <w:b/>
          <w:bCs/>
          <w:i/>
          <w:iCs/>
          <w:sz w:val="22"/>
          <w:szCs w:val="22"/>
          <w:u w:val="single"/>
          <w:lang w:val="sr-Latn-ME"/>
        </w:rPr>
      </w:pPr>
    </w:p>
    <w:p w:rsidR="00C37FD7" w:rsidRPr="000D7979" w:rsidRDefault="002510A5" w:rsidP="00B60A3E">
      <w:pPr>
        <w:jc w:val="center"/>
        <w:rPr>
          <w:b/>
          <w:bCs/>
          <w:iCs/>
          <w:sz w:val="22"/>
          <w:szCs w:val="22"/>
          <w:u w:val="single"/>
          <w:lang w:val="sr-Latn-ME"/>
        </w:rPr>
      </w:pPr>
      <w:r w:rsidRPr="000D7979">
        <w:rPr>
          <w:b/>
          <w:bCs/>
          <w:iCs/>
          <w:sz w:val="22"/>
          <w:szCs w:val="22"/>
          <w:u w:val="single"/>
          <w:lang w:val="sr-Latn-ME"/>
        </w:rPr>
        <w:t>SAŽETAK KARAKTERISTIKA LIJEKA</w:t>
      </w:r>
    </w:p>
    <w:p w:rsidR="003C17AB" w:rsidRPr="000D7979" w:rsidRDefault="003C17AB" w:rsidP="00F5167F">
      <w:pPr>
        <w:tabs>
          <w:tab w:val="left" w:pos="540"/>
          <w:tab w:val="left" w:pos="569"/>
        </w:tabs>
        <w:rPr>
          <w:noProof/>
          <w:sz w:val="22"/>
          <w:szCs w:val="22"/>
          <w:lang w:val="sr-Latn-ME"/>
        </w:rPr>
      </w:pPr>
    </w:p>
    <w:p w:rsidR="00C37FD7" w:rsidRPr="000D7979" w:rsidRDefault="00C37FD7" w:rsidP="00F5167F">
      <w:pPr>
        <w:tabs>
          <w:tab w:val="left" w:pos="540"/>
          <w:tab w:val="left" w:pos="569"/>
        </w:tabs>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1.</w:t>
      </w:r>
      <w:r w:rsidR="00F5167F" w:rsidRPr="000D7979">
        <w:rPr>
          <w:b/>
          <w:bCs/>
          <w:sz w:val="22"/>
          <w:szCs w:val="22"/>
          <w:lang w:val="sr-Latn-ME"/>
        </w:rPr>
        <w:tab/>
      </w:r>
      <w:r w:rsidR="002846DB" w:rsidRPr="000D7979">
        <w:rPr>
          <w:b/>
          <w:bCs/>
          <w:sz w:val="22"/>
          <w:szCs w:val="22"/>
          <w:lang w:val="sr-Latn-ME"/>
        </w:rPr>
        <w:t xml:space="preserve">NAZIV </w:t>
      </w:r>
      <w:r w:rsidRPr="000D7979">
        <w:rPr>
          <w:b/>
          <w:bCs/>
          <w:sz w:val="22"/>
          <w:szCs w:val="22"/>
          <w:lang w:val="sr-Latn-ME"/>
        </w:rPr>
        <w:t>LIJEKA</w:t>
      </w:r>
    </w:p>
    <w:p w:rsidR="00EC2532" w:rsidRPr="000D7979" w:rsidRDefault="00EC2532" w:rsidP="00C45106">
      <w:pPr>
        <w:jc w:val="both"/>
        <w:rPr>
          <w:sz w:val="22"/>
          <w:szCs w:val="22"/>
          <w:lang w:val="sr-Latn-ME"/>
        </w:rPr>
      </w:pPr>
    </w:p>
    <w:p w:rsidR="00B60A3E" w:rsidRPr="000D7979" w:rsidRDefault="00B60A3E" w:rsidP="00C45106">
      <w:pPr>
        <w:jc w:val="both"/>
        <w:rPr>
          <w:iCs/>
          <w:sz w:val="22"/>
          <w:szCs w:val="22"/>
          <w:lang w:val="sr-Latn-ME"/>
        </w:rPr>
      </w:pPr>
      <w:r w:rsidRPr="000D7979">
        <w:rPr>
          <w:iCs/>
          <w:sz w:val="22"/>
          <w:szCs w:val="22"/>
          <w:lang w:val="sr-Latn-ME"/>
        </w:rPr>
        <w:t xml:space="preserve">Sorafenib Teva 200 mg film tablete </w:t>
      </w:r>
    </w:p>
    <w:p w:rsidR="00B60A3E" w:rsidRPr="000D7979" w:rsidRDefault="00B60A3E" w:rsidP="00C45106">
      <w:pPr>
        <w:jc w:val="both"/>
        <w:rPr>
          <w:iCs/>
          <w:sz w:val="22"/>
          <w:szCs w:val="22"/>
          <w:lang w:val="sr-Latn-ME"/>
        </w:rPr>
      </w:pPr>
    </w:p>
    <w:p w:rsidR="00B60A3E" w:rsidRPr="000D7979" w:rsidRDefault="00B60A3E" w:rsidP="00C45106">
      <w:pPr>
        <w:jc w:val="both"/>
        <w:rPr>
          <w:iCs/>
          <w:sz w:val="22"/>
          <w:szCs w:val="22"/>
          <w:lang w:val="sr-Latn-ME"/>
        </w:rPr>
      </w:pPr>
      <w:r w:rsidRPr="000D7979">
        <w:rPr>
          <w:iCs/>
          <w:sz w:val="22"/>
          <w:szCs w:val="22"/>
          <w:lang w:val="sr-Latn-ME"/>
        </w:rPr>
        <w:t>INN: sorafenib</w:t>
      </w:r>
    </w:p>
    <w:p w:rsidR="00530BD7" w:rsidRPr="000D7979" w:rsidRDefault="00530BD7" w:rsidP="00C45106">
      <w:pPr>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2. </w:t>
      </w:r>
      <w:r w:rsidR="00F5167F" w:rsidRPr="000D7979">
        <w:rPr>
          <w:b/>
          <w:bCs/>
          <w:sz w:val="22"/>
          <w:szCs w:val="22"/>
          <w:lang w:val="sr-Latn-ME"/>
        </w:rPr>
        <w:tab/>
      </w:r>
      <w:r w:rsidRPr="000D7979">
        <w:rPr>
          <w:b/>
          <w:bCs/>
          <w:sz w:val="22"/>
          <w:szCs w:val="22"/>
          <w:lang w:val="sr-Latn-ME"/>
        </w:rPr>
        <w:t>KVALITATIVNI I KVANTITATIVNI SASTAV</w:t>
      </w:r>
    </w:p>
    <w:p w:rsidR="005A0B2E" w:rsidRPr="000D7979" w:rsidRDefault="005A0B2E" w:rsidP="00C45106">
      <w:pPr>
        <w:jc w:val="both"/>
        <w:rPr>
          <w:sz w:val="22"/>
          <w:szCs w:val="22"/>
          <w:lang w:val="sr-Latn-ME"/>
        </w:rPr>
      </w:pPr>
    </w:p>
    <w:p w:rsidR="00B60A3E" w:rsidRPr="000D7979" w:rsidRDefault="00B60A3E" w:rsidP="00C00A05">
      <w:pPr>
        <w:jc w:val="both"/>
        <w:rPr>
          <w:sz w:val="22"/>
          <w:szCs w:val="22"/>
          <w:lang w:val="sr-Latn-ME"/>
        </w:rPr>
      </w:pPr>
      <w:r w:rsidRPr="000D7979">
        <w:rPr>
          <w:sz w:val="22"/>
          <w:szCs w:val="22"/>
          <w:lang w:val="sr-Latn-ME"/>
        </w:rPr>
        <w:t xml:space="preserve">Jedna film tableta sadrži 200 mg sorafeniba (u obliku sorafenib tosilata). </w:t>
      </w:r>
    </w:p>
    <w:p w:rsidR="00B60A3E" w:rsidRPr="000D7979" w:rsidRDefault="00B60A3E" w:rsidP="00A13D0A">
      <w:pPr>
        <w:jc w:val="both"/>
        <w:rPr>
          <w:sz w:val="22"/>
          <w:szCs w:val="22"/>
          <w:lang w:val="sr-Latn-ME"/>
        </w:rPr>
      </w:pPr>
    </w:p>
    <w:p w:rsidR="00B60A3E" w:rsidRPr="000D7979" w:rsidRDefault="00B60A3E">
      <w:pPr>
        <w:jc w:val="both"/>
        <w:rPr>
          <w:sz w:val="22"/>
          <w:szCs w:val="22"/>
          <w:u w:val="single"/>
          <w:lang w:val="sr-Latn-ME"/>
        </w:rPr>
      </w:pPr>
      <w:r w:rsidRPr="000D7979">
        <w:rPr>
          <w:sz w:val="22"/>
          <w:szCs w:val="22"/>
          <w:u w:val="single"/>
          <w:lang w:val="sr-Latn-ME"/>
        </w:rPr>
        <w:t>Pomoćna supstanca sa poznatim dejstvom</w:t>
      </w:r>
    </w:p>
    <w:p w:rsidR="00B60A3E" w:rsidRPr="000D7979" w:rsidRDefault="00B60A3E">
      <w:pPr>
        <w:jc w:val="both"/>
        <w:rPr>
          <w:sz w:val="22"/>
          <w:szCs w:val="22"/>
          <w:lang w:val="sr-Latn-ME"/>
        </w:rPr>
      </w:pPr>
      <w:r w:rsidRPr="000D7979">
        <w:rPr>
          <w:sz w:val="22"/>
          <w:szCs w:val="22"/>
          <w:lang w:val="sr-Latn-ME"/>
        </w:rPr>
        <w:t>Svaka film tableta sadrži 5,37 mg natrijuma.</w:t>
      </w:r>
    </w:p>
    <w:p w:rsidR="00B60A3E" w:rsidRPr="000D7979" w:rsidRDefault="00B60A3E">
      <w:pPr>
        <w:jc w:val="both"/>
        <w:rPr>
          <w:sz w:val="22"/>
          <w:szCs w:val="22"/>
          <w:lang w:val="sr-Latn-ME"/>
        </w:rPr>
      </w:pPr>
    </w:p>
    <w:p w:rsidR="0003793F" w:rsidRPr="000D7979" w:rsidRDefault="0003793F">
      <w:pPr>
        <w:jc w:val="both"/>
        <w:rPr>
          <w:sz w:val="22"/>
          <w:szCs w:val="22"/>
          <w:lang w:val="sr-Latn-ME"/>
        </w:rPr>
      </w:pPr>
      <w:r w:rsidRPr="000D7979">
        <w:rPr>
          <w:sz w:val="22"/>
          <w:szCs w:val="22"/>
          <w:lang w:val="sr-Latn-ME"/>
        </w:rPr>
        <w:t>Za spisak svih ekscipijenasa, pogledati dio 6.1.</w:t>
      </w:r>
    </w:p>
    <w:p w:rsidR="00C37FD7" w:rsidRPr="000D7979" w:rsidRDefault="00C37FD7" w:rsidP="00C45106">
      <w:pPr>
        <w:jc w:val="both"/>
        <w:rPr>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3. </w:t>
      </w:r>
      <w:r w:rsidR="00F5167F" w:rsidRPr="000D7979">
        <w:rPr>
          <w:b/>
          <w:bCs/>
          <w:sz w:val="22"/>
          <w:szCs w:val="22"/>
          <w:lang w:val="sr-Latn-ME"/>
        </w:rPr>
        <w:tab/>
      </w:r>
      <w:r w:rsidRPr="000D7979">
        <w:rPr>
          <w:b/>
          <w:bCs/>
          <w:sz w:val="22"/>
          <w:szCs w:val="22"/>
          <w:lang w:val="sr-Latn-ME"/>
        </w:rPr>
        <w:t>FARMACEUTSKI OBLIK</w:t>
      </w:r>
      <w:r w:rsidR="009F2D23" w:rsidRPr="000D7979">
        <w:rPr>
          <w:b/>
          <w:bCs/>
          <w:sz w:val="22"/>
          <w:szCs w:val="22"/>
          <w:lang w:val="sr-Latn-ME"/>
        </w:rPr>
        <w:t xml:space="preserve"> </w:t>
      </w:r>
    </w:p>
    <w:p w:rsidR="00B60A3E" w:rsidRPr="000D7979" w:rsidRDefault="00B60A3E" w:rsidP="00C45106">
      <w:pPr>
        <w:tabs>
          <w:tab w:val="left" w:pos="540"/>
          <w:tab w:val="left" w:pos="569"/>
        </w:tabs>
        <w:jc w:val="both"/>
        <w:rPr>
          <w:b/>
          <w:bCs/>
          <w:sz w:val="22"/>
          <w:szCs w:val="22"/>
          <w:lang w:val="sr-Latn-ME"/>
        </w:rPr>
      </w:pPr>
    </w:p>
    <w:p w:rsidR="00B60A3E" w:rsidRPr="000D7979" w:rsidRDefault="00B60A3E" w:rsidP="00C00A05">
      <w:pPr>
        <w:jc w:val="both"/>
        <w:rPr>
          <w:bCs/>
          <w:sz w:val="22"/>
          <w:szCs w:val="22"/>
          <w:lang w:val="sr-Latn-ME"/>
        </w:rPr>
      </w:pPr>
      <w:r w:rsidRPr="000D7979">
        <w:rPr>
          <w:bCs/>
          <w:sz w:val="22"/>
          <w:szCs w:val="22"/>
          <w:lang w:val="sr-Latn-ME"/>
        </w:rPr>
        <w:t>Film tableta.</w:t>
      </w:r>
    </w:p>
    <w:p w:rsidR="00B60A3E" w:rsidRPr="000D7979" w:rsidRDefault="00B60A3E" w:rsidP="00A13D0A">
      <w:pPr>
        <w:jc w:val="both"/>
        <w:rPr>
          <w:bCs/>
          <w:sz w:val="22"/>
          <w:szCs w:val="22"/>
          <w:lang w:val="sr-Latn-ME"/>
        </w:rPr>
      </w:pPr>
    </w:p>
    <w:p w:rsidR="00411B4B" w:rsidRPr="000D7979" w:rsidRDefault="00B60A3E">
      <w:pPr>
        <w:jc w:val="both"/>
        <w:rPr>
          <w:bCs/>
          <w:sz w:val="22"/>
          <w:szCs w:val="22"/>
          <w:lang w:val="sr-Latn-ME"/>
        </w:rPr>
      </w:pPr>
      <w:r w:rsidRPr="000D7979">
        <w:rPr>
          <w:bCs/>
          <w:sz w:val="22"/>
          <w:szCs w:val="22"/>
          <w:lang w:val="sr-Latn-ME"/>
        </w:rPr>
        <w:t>Ružičaste, okrugle, bikonveksne film tablete sa oznakom „TV“ na jednoj strani i „S3“ na drugoj strani. Dimenzije: približno 11 mm u prečniku.</w:t>
      </w:r>
    </w:p>
    <w:p w:rsidR="00EC2532" w:rsidRPr="000D7979" w:rsidRDefault="00EC2532">
      <w:pPr>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4. </w:t>
      </w:r>
      <w:r w:rsidR="00480FB1" w:rsidRPr="000D7979">
        <w:rPr>
          <w:b/>
          <w:bCs/>
          <w:sz w:val="22"/>
          <w:szCs w:val="22"/>
          <w:lang w:val="sr-Latn-ME"/>
        </w:rPr>
        <w:tab/>
      </w:r>
      <w:r w:rsidRPr="000D7979">
        <w:rPr>
          <w:b/>
          <w:bCs/>
          <w:sz w:val="22"/>
          <w:szCs w:val="22"/>
          <w:lang w:val="sr-Latn-ME"/>
        </w:rPr>
        <w:t>KLINIČKI PODACI</w:t>
      </w:r>
    </w:p>
    <w:p w:rsidR="00CD6F02" w:rsidRPr="000D7979" w:rsidRDefault="00CD6F02" w:rsidP="00C45106">
      <w:pPr>
        <w:tabs>
          <w:tab w:val="left" w:pos="540"/>
          <w:tab w:val="left" w:pos="569"/>
        </w:tabs>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4.1. </w:t>
      </w:r>
      <w:r w:rsidR="00480FB1" w:rsidRPr="000D7979">
        <w:rPr>
          <w:b/>
          <w:bCs/>
          <w:sz w:val="22"/>
          <w:szCs w:val="22"/>
          <w:lang w:val="sr-Latn-ME"/>
        </w:rPr>
        <w:tab/>
      </w:r>
      <w:r w:rsidRPr="000D7979">
        <w:rPr>
          <w:b/>
          <w:bCs/>
          <w:sz w:val="22"/>
          <w:szCs w:val="22"/>
          <w:lang w:val="sr-Latn-ME"/>
        </w:rPr>
        <w:t>Terapijske indikacije</w:t>
      </w:r>
    </w:p>
    <w:p w:rsidR="00B60A3E" w:rsidRPr="000D7979" w:rsidRDefault="00B60A3E" w:rsidP="00C45106">
      <w:pPr>
        <w:tabs>
          <w:tab w:val="left" w:pos="540"/>
          <w:tab w:val="left" w:pos="569"/>
        </w:tabs>
        <w:jc w:val="both"/>
        <w:rPr>
          <w:b/>
          <w:bCs/>
          <w:sz w:val="22"/>
          <w:szCs w:val="22"/>
          <w:lang w:val="sr-Latn-ME"/>
        </w:rPr>
      </w:pPr>
    </w:p>
    <w:p w:rsidR="00B60A3E" w:rsidRPr="000D7979" w:rsidRDefault="00B60A3E" w:rsidP="00C00A05">
      <w:pPr>
        <w:tabs>
          <w:tab w:val="left" w:pos="540"/>
          <w:tab w:val="left" w:pos="569"/>
        </w:tabs>
        <w:jc w:val="both"/>
        <w:rPr>
          <w:bCs/>
          <w:sz w:val="22"/>
          <w:szCs w:val="22"/>
          <w:lang w:val="sr-Latn-ME"/>
        </w:rPr>
      </w:pPr>
      <w:r w:rsidRPr="000D7979">
        <w:rPr>
          <w:bCs/>
          <w:sz w:val="22"/>
          <w:szCs w:val="22"/>
          <w:u w:val="single"/>
          <w:lang w:val="sr-Latn-ME"/>
        </w:rPr>
        <w:t>Hepatocelularni karcinom</w:t>
      </w:r>
    </w:p>
    <w:p w:rsidR="00B60A3E" w:rsidRPr="000D7979" w:rsidRDefault="00B60A3E" w:rsidP="00A13D0A">
      <w:pPr>
        <w:tabs>
          <w:tab w:val="left" w:pos="540"/>
          <w:tab w:val="left" w:pos="569"/>
        </w:tabs>
        <w:jc w:val="both"/>
        <w:rPr>
          <w:bCs/>
          <w:sz w:val="22"/>
          <w:szCs w:val="22"/>
          <w:lang w:val="sr-Latn-ME"/>
        </w:rPr>
      </w:pPr>
    </w:p>
    <w:p w:rsidR="00B60A3E" w:rsidRPr="000D7979" w:rsidRDefault="00B60A3E" w:rsidP="00A13D0A">
      <w:pPr>
        <w:tabs>
          <w:tab w:val="left" w:pos="540"/>
          <w:tab w:val="left" w:pos="569"/>
        </w:tabs>
        <w:jc w:val="both"/>
        <w:rPr>
          <w:bCs/>
          <w:sz w:val="22"/>
          <w:szCs w:val="22"/>
          <w:lang w:val="sr-Latn-ME"/>
        </w:rPr>
      </w:pPr>
      <w:r w:rsidRPr="000D7979">
        <w:rPr>
          <w:bCs/>
          <w:sz w:val="22"/>
          <w:szCs w:val="22"/>
          <w:lang w:val="sr-Latn-ME"/>
        </w:rPr>
        <w:t xml:space="preserve">Lijek Sorafenib Teva je indikovan za liječenje hepatocelularnog karcinoma (vidjeti </w:t>
      </w:r>
      <w:r w:rsidR="00A13D0A" w:rsidRPr="000D7979">
        <w:rPr>
          <w:bCs/>
          <w:sz w:val="22"/>
          <w:szCs w:val="22"/>
          <w:lang w:val="sr-Latn-ME"/>
        </w:rPr>
        <w:t xml:space="preserve">dio </w:t>
      </w:r>
      <w:r w:rsidRPr="000D7979">
        <w:rPr>
          <w:bCs/>
          <w:sz w:val="22"/>
          <w:szCs w:val="22"/>
          <w:lang w:val="sr-Latn-ME"/>
        </w:rPr>
        <w:t>5.1.).</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u w:val="single"/>
          <w:lang w:val="sr-Latn-ME"/>
        </w:rPr>
      </w:pPr>
      <w:r w:rsidRPr="000D7979">
        <w:rPr>
          <w:bCs/>
          <w:sz w:val="22"/>
          <w:szCs w:val="22"/>
          <w:u w:val="single"/>
          <w:lang w:val="sr-Latn-ME"/>
        </w:rPr>
        <w:t>Karcinom bubrežnih ćelija</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lang w:val="sr-Latn-ME"/>
        </w:rPr>
      </w:pPr>
      <w:r w:rsidRPr="000D7979">
        <w:rPr>
          <w:bCs/>
          <w:sz w:val="22"/>
          <w:szCs w:val="22"/>
          <w:lang w:val="sr-Latn-ME"/>
        </w:rPr>
        <w:t>Lijek Sorafenib Teva je indikovan za liječenje pacijenata sa uznapredovalim karcinomom bubrežnih ćelija, kod kojih prethodna terapija zasnovana na primjeni interferona-alfa ili interleukina-2 nije bila uspješna, odnosno kod kojih se smatra da takva terapija nije adekvatna.</w:t>
      </w:r>
    </w:p>
    <w:p w:rsidR="00411B4B" w:rsidRPr="000D7979" w:rsidRDefault="00411B4B">
      <w:pPr>
        <w:tabs>
          <w:tab w:val="left" w:pos="540"/>
          <w:tab w:val="left" w:pos="569"/>
        </w:tabs>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4.2. </w:t>
      </w:r>
      <w:r w:rsidR="00480FB1" w:rsidRPr="000D7979">
        <w:rPr>
          <w:b/>
          <w:bCs/>
          <w:sz w:val="22"/>
          <w:szCs w:val="22"/>
          <w:lang w:val="sr-Latn-ME"/>
        </w:rPr>
        <w:tab/>
      </w:r>
      <w:r w:rsidRPr="000D7979">
        <w:rPr>
          <w:b/>
          <w:bCs/>
          <w:sz w:val="22"/>
          <w:szCs w:val="22"/>
          <w:lang w:val="sr-Latn-ME"/>
        </w:rPr>
        <w:t>Doziranje i način primjene</w:t>
      </w:r>
    </w:p>
    <w:p w:rsidR="00B60A3E" w:rsidRPr="000D7979" w:rsidRDefault="00B60A3E" w:rsidP="00C45106">
      <w:pPr>
        <w:tabs>
          <w:tab w:val="left" w:pos="540"/>
          <w:tab w:val="left" w:pos="569"/>
        </w:tabs>
        <w:jc w:val="both"/>
        <w:rPr>
          <w:b/>
          <w:bCs/>
          <w:sz w:val="22"/>
          <w:szCs w:val="22"/>
          <w:lang w:val="sr-Latn-ME"/>
        </w:rPr>
      </w:pPr>
    </w:p>
    <w:p w:rsidR="00B60A3E" w:rsidRPr="000D7979" w:rsidRDefault="00B60A3E" w:rsidP="00C00A05">
      <w:pPr>
        <w:tabs>
          <w:tab w:val="left" w:pos="540"/>
          <w:tab w:val="left" w:pos="569"/>
        </w:tabs>
        <w:jc w:val="both"/>
        <w:rPr>
          <w:bCs/>
          <w:sz w:val="22"/>
          <w:szCs w:val="22"/>
          <w:lang w:val="sr-Latn-ME"/>
        </w:rPr>
      </w:pPr>
      <w:r w:rsidRPr="000D7979">
        <w:rPr>
          <w:bCs/>
          <w:sz w:val="22"/>
          <w:szCs w:val="22"/>
          <w:lang w:val="sr-Latn-ME"/>
        </w:rPr>
        <w:t xml:space="preserve">Liječenje lijekom Sorafenib Teva treba da nadgleda ljekar koji ima iskustva u primjeni terapije </w:t>
      </w:r>
      <w:r w:rsidR="00457B8C" w:rsidRPr="000D7979">
        <w:rPr>
          <w:bCs/>
          <w:sz w:val="22"/>
          <w:szCs w:val="22"/>
          <w:lang w:val="sr-Latn-ME"/>
        </w:rPr>
        <w:t>anti</w:t>
      </w:r>
      <w:r w:rsidRPr="000D7979">
        <w:rPr>
          <w:bCs/>
          <w:sz w:val="22"/>
          <w:szCs w:val="22"/>
          <w:lang w:val="sr-Latn-ME"/>
        </w:rPr>
        <w:t>neoplasticima.</w:t>
      </w:r>
    </w:p>
    <w:p w:rsidR="0072020E" w:rsidRPr="000D7979" w:rsidRDefault="0072020E" w:rsidP="00A13D0A">
      <w:pPr>
        <w:tabs>
          <w:tab w:val="left" w:pos="540"/>
          <w:tab w:val="left" w:pos="569"/>
        </w:tabs>
        <w:jc w:val="both"/>
        <w:rPr>
          <w:bCs/>
          <w:sz w:val="22"/>
          <w:szCs w:val="22"/>
          <w:lang w:val="sr-Latn-ME"/>
        </w:rPr>
      </w:pPr>
    </w:p>
    <w:p w:rsidR="00452E9D" w:rsidRPr="000D7979" w:rsidRDefault="00452E9D" w:rsidP="00C45106">
      <w:pPr>
        <w:tabs>
          <w:tab w:val="left" w:pos="540"/>
          <w:tab w:val="left" w:pos="569"/>
        </w:tabs>
        <w:jc w:val="both"/>
        <w:rPr>
          <w:bCs/>
          <w:sz w:val="22"/>
          <w:szCs w:val="22"/>
          <w:u w:val="single"/>
          <w:lang w:val="sr-Latn-ME"/>
        </w:rPr>
      </w:pPr>
      <w:r w:rsidRPr="000D7979">
        <w:rPr>
          <w:bCs/>
          <w:sz w:val="22"/>
          <w:szCs w:val="22"/>
          <w:u w:val="single"/>
          <w:lang w:val="sr-Latn-ME"/>
        </w:rPr>
        <w:t>Doziranje</w:t>
      </w:r>
    </w:p>
    <w:p w:rsidR="00B60A3E" w:rsidRPr="000D7979" w:rsidRDefault="00B60A3E" w:rsidP="00C45106">
      <w:pPr>
        <w:tabs>
          <w:tab w:val="left" w:pos="540"/>
          <w:tab w:val="left" w:pos="569"/>
        </w:tabs>
        <w:jc w:val="both"/>
        <w:rPr>
          <w:bCs/>
          <w:sz w:val="22"/>
          <w:szCs w:val="22"/>
          <w:u w:val="single"/>
          <w:lang w:val="sr-Latn-ME"/>
        </w:rPr>
      </w:pPr>
    </w:p>
    <w:p w:rsidR="00B60A3E" w:rsidRPr="000D7979" w:rsidRDefault="00B60A3E" w:rsidP="00C00A05">
      <w:pPr>
        <w:tabs>
          <w:tab w:val="left" w:pos="540"/>
          <w:tab w:val="left" w:pos="569"/>
        </w:tabs>
        <w:jc w:val="both"/>
        <w:rPr>
          <w:bCs/>
          <w:sz w:val="22"/>
          <w:szCs w:val="22"/>
          <w:lang w:val="sr-Latn-ME"/>
        </w:rPr>
      </w:pPr>
      <w:r w:rsidRPr="000D7979">
        <w:rPr>
          <w:bCs/>
          <w:sz w:val="22"/>
          <w:szCs w:val="22"/>
          <w:lang w:val="sr-Latn-ME"/>
        </w:rPr>
        <w:t>Preporučena doza lijeka Sorafenib Teva kod odraslih iznosi 400 mg sorafeniba (dvije tablete od 200 mg) dva puta dnevno (što odgovara ukupnoj dnevnoj dozi od 800 mg).</w:t>
      </w:r>
    </w:p>
    <w:p w:rsidR="00B60A3E" w:rsidRPr="000D7979" w:rsidRDefault="00B60A3E" w:rsidP="00A13D0A">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lang w:val="sr-Latn-ME"/>
        </w:rPr>
      </w:pPr>
      <w:r w:rsidRPr="000D7979">
        <w:rPr>
          <w:bCs/>
          <w:sz w:val="22"/>
          <w:szCs w:val="22"/>
          <w:lang w:val="sr-Latn-ME"/>
        </w:rPr>
        <w:t>Liječenje treba nastaviti sve dok s</w:t>
      </w:r>
      <w:r w:rsidR="001B3268" w:rsidRPr="000D7979">
        <w:rPr>
          <w:bCs/>
          <w:sz w:val="22"/>
          <w:szCs w:val="22"/>
          <w:lang w:val="sr-Latn-ME"/>
        </w:rPr>
        <w:t xml:space="preserve">e ne zabilježi klinička korist </w:t>
      </w:r>
      <w:r w:rsidRPr="000D7979">
        <w:rPr>
          <w:bCs/>
          <w:sz w:val="22"/>
          <w:szCs w:val="22"/>
          <w:lang w:val="sr-Latn-ME"/>
        </w:rPr>
        <w:t>ili dok se ne javi neprihvatljiva toksičnost.</w:t>
      </w:r>
    </w:p>
    <w:p w:rsidR="00B60A3E" w:rsidRPr="000D7979" w:rsidRDefault="00B60A3E">
      <w:pPr>
        <w:tabs>
          <w:tab w:val="left" w:pos="540"/>
          <w:tab w:val="left" w:pos="569"/>
        </w:tabs>
        <w:jc w:val="both"/>
        <w:rPr>
          <w:bCs/>
          <w:sz w:val="22"/>
          <w:szCs w:val="22"/>
          <w:lang w:val="sr-Latn-ME"/>
        </w:rPr>
      </w:pPr>
    </w:p>
    <w:p w:rsidR="00457B8C" w:rsidRPr="000D7979" w:rsidRDefault="00457B8C">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u w:val="single"/>
          <w:lang w:val="sr-Latn-ME"/>
        </w:rPr>
      </w:pPr>
      <w:r w:rsidRPr="000D7979">
        <w:rPr>
          <w:bCs/>
          <w:sz w:val="22"/>
          <w:szCs w:val="22"/>
          <w:u w:val="single"/>
          <w:lang w:val="sr-Latn-ME"/>
        </w:rPr>
        <w:lastRenderedPageBreak/>
        <w:t>Prilagođavanje doze</w:t>
      </w:r>
    </w:p>
    <w:p w:rsidR="00B60A3E" w:rsidRPr="000D7979" w:rsidRDefault="00B60A3E">
      <w:pPr>
        <w:tabs>
          <w:tab w:val="left" w:pos="540"/>
          <w:tab w:val="left" w:pos="569"/>
        </w:tabs>
        <w:jc w:val="both"/>
        <w:rPr>
          <w:bCs/>
          <w:sz w:val="22"/>
          <w:szCs w:val="22"/>
          <w:u w:val="single"/>
          <w:lang w:val="sr-Latn-ME"/>
        </w:rPr>
      </w:pPr>
    </w:p>
    <w:p w:rsidR="00B60A3E" w:rsidRPr="000D7979" w:rsidRDefault="00B25925">
      <w:pPr>
        <w:tabs>
          <w:tab w:val="left" w:pos="540"/>
          <w:tab w:val="left" w:pos="569"/>
        </w:tabs>
        <w:jc w:val="both"/>
        <w:rPr>
          <w:bCs/>
          <w:sz w:val="22"/>
          <w:szCs w:val="22"/>
          <w:lang w:val="sr-Latn-ME"/>
        </w:rPr>
      </w:pPr>
      <w:r w:rsidRPr="000D7979">
        <w:rPr>
          <w:bCs/>
          <w:sz w:val="22"/>
          <w:szCs w:val="22"/>
          <w:lang w:val="sr-Latn-ME"/>
        </w:rPr>
        <w:t>Liječenje</w:t>
      </w:r>
      <w:r w:rsidR="00B60A3E" w:rsidRPr="000D7979">
        <w:rPr>
          <w:bCs/>
          <w:sz w:val="22"/>
          <w:szCs w:val="22"/>
          <w:lang w:val="sr-Latn-ME"/>
        </w:rPr>
        <w:t xml:space="preserve"> suspektnih neželjenih reakcija na lijek može da </w:t>
      </w:r>
      <w:r w:rsidRPr="000D7979">
        <w:rPr>
          <w:bCs/>
          <w:sz w:val="22"/>
          <w:szCs w:val="22"/>
          <w:lang w:val="sr-Latn-ME"/>
        </w:rPr>
        <w:t>zahtijeva</w:t>
      </w:r>
      <w:r w:rsidR="00B60A3E" w:rsidRPr="000D7979">
        <w:rPr>
          <w:bCs/>
          <w:sz w:val="22"/>
          <w:szCs w:val="22"/>
          <w:lang w:val="sr-Latn-ME"/>
        </w:rPr>
        <w:t xml:space="preserve"> privremeni prekid terapije ili smanjenje doze lijeka sorafenib.</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lang w:val="sr-Latn-ME"/>
        </w:rPr>
      </w:pPr>
      <w:r w:rsidRPr="000D7979">
        <w:rPr>
          <w:bCs/>
          <w:sz w:val="22"/>
          <w:szCs w:val="22"/>
          <w:lang w:val="sr-Latn-ME"/>
        </w:rPr>
        <w:t xml:space="preserve">Ukoliko je dozu lijeka neophodno smanjiti tokom liječenja hepatocelularnog karcinoma (HCC; eng. </w:t>
      </w:r>
      <w:r w:rsidRPr="000D7979">
        <w:rPr>
          <w:bCs/>
          <w:i/>
          <w:sz w:val="22"/>
          <w:szCs w:val="22"/>
          <w:lang w:val="sr-Latn-ME"/>
        </w:rPr>
        <w:t xml:space="preserve">hepatocellular carcinoma) </w:t>
      </w:r>
      <w:r w:rsidRPr="000D7979">
        <w:rPr>
          <w:bCs/>
          <w:sz w:val="22"/>
          <w:szCs w:val="22"/>
          <w:lang w:val="sr-Latn-ME"/>
        </w:rPr>
        <w:t xml:space="preserve">i uznapredovalog karcinoma bubrežnih ćelija (RCC; eng. </w:t>
      </w:r>
      <w:r w:rsidRPr="000D7979">
        <w:rPr>
          <w:bCs/>
          <w:i/>
          <w:sz w:val="22"/>
          <w:szCs w:val="22"/>
          <w:lang w:val="sr-Latn-ME"/>
        </w:rPr>
        <w:t xml:space="preserve">renal cell carcinoma), </w:t>
      </w:r>
      <w:r w:rsidRPr="000D7979">
        <w:rPr>
          <w:bCs/>
          <w:sz w:val="22"/>
          <w:szCs w:val="22"/>
          <w:lang w:val="sr-Latn-ME"/>
        </w:rPr>
        <w:t xml:space="preserve">dozu lijeka Sorafenib Teva treba smanjiti na dvije tablete od 200 mg sorafeniba jednom dnevno (vidjeti </w:t>
      </w:r>
      <w:r w:rsidR="00B25925" w:rsidRPr="000D7979">
        <w:rPr>
          <w:bCs/>
          <w:sz w:val="22"/>
          <w:szCs w:val="22"/>
          <w:lang w:val="sr-Latn-ME"/>
        </w:rPr>
        <w:t xml:space="preserve">dio </w:t>
      </w:r>
      <w:r w:rsidRPr="000D7979">
        <w:rPr>
          <w:bCs/>
          <w:sz w:val="22"/>
          <w:szCs w:val="22"/>
          <w:lang w:val="sr-Latn-ME"/>
        </w:rPr>
        <w:t>4.4).</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lang w:val="sr-Latn-ME"/>
        </w:rPr>
      </w:pPr>
      <w:r w:rsidRPr="000D7979">
        <w:rPr>
          <w:bCs/>
          <w:sz w:val="22"/>
          <w:szCs w:val="22"/>
          <w:lang w:val="sr-Latn-ME"/>
        </w:rPr>
        <w:t>Ukoliko dozu treba dodatno smanjiti, doza lijeka Sorafenib Teva se može smanjiti na 400 mg sorafeniba na dan podijeljena u dvije doze (dvije tablete od 200 mg u razmaku od dvanaest sati), a nakon toga, ukoliko je potrebno, može se dodatno smanjiti na jednu tabletu od 200 mg jednom dnevno. Nakon poboljšanja nehematoloških neželjenih reakcija, doza lijeka Sorafenib Teva može se povećati.</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i/>
          <w:sz w:val="22"/>
          <w:szCs w:val="22"/>
          <w:lang w:val="sr-Latn-ME"/>
        </w:rPr>
      </w:pPr>
      <w:r w:rsidRPr="000D7979">
        <w:rPr>
          <w:bCs/>
          <w:i/>
          <w:sz w:val="22"/>
          <w:szCs w:val="22"/>
          <w:lang w:val="sr-Latn-ME"/>
        </w:rPr>
        <w:t>Pedijatrijska populacija</w:t>
      </w:r>
    </w:p>
    <w:p w:rsidR="00B60A3E" w:rsidRPr="000D7979" w:rsidRDefault="00B60A3E">
      <w:pPr>
        <w:tabs>
          <w:tab w:val="left" w:pos="540"/>
          <w:tab w:val="left" w:pos="569"/>
        </w:tabs>
        <w:jc w:val="both"/>
        <w:rPr>
          <w:bCs/>
          <w:sz w:val="22"/>
          <w:szCs w:val="22"/>
          <w:lang w:val="sr-Latn-ME"/>
        </w:rPr>
      </w:pPr>
      <w:r w:rsidRPr="000D7979">
        <w:rPr>
          <w:bCs/>
          <w:sz w:val="22"/>
          <w:szCs w:val="22"/>
          <w:lang w:val="sr-Latn-ME"/>
        </w:rPr>
        <w:t>Bezbjednost i efikasnost lijeka Sorafenib Teva kod djece i adolescenata uzrasta do 18 godina ni</w:t>
      </w:r>
      <w:r w:rsidR="00B25925" w:rsidRPr="000D7979">
        <w:rPr>
          <w:bCs/>
          <w:sz w:val="22"/>
          <w:szCs w:val="22"/>
          <w:lang w:val="sr-Latn-ME"/>
        </w:rPr>
        <w:t>je</w:t>
      </w:r>
      <w:r w:rsidRPr="000D7979">
        <w:rPr>
          <w:bCs/>
          <w:sz w:val="22"/>
          <w:szCs w:val="22"/>
          <w:lang w:val="sr-Latn-ME"/>
        </w:rPr>
        <w:t>su još ustanovljene. Nema podataka o primjeni kod ove starosne grupe.</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i/>
          <w:sz w:val="22"/>
          <w:szCs w:val="22"/>
          <w:lang w:val="sr-Latn-ME"/>
        </w:rPr>
      </w:pPr>
      <w:r w:rsidRPr="000D7979">
        <w:rPr>
          <w:bCs/>
          <w:i/>
          <w:sz w:val="22"/>
          <w:szCs w:val="22"/>
          <w:lang w:val="sr-Latn-ME"/>
        </w:rPr>
        <w:t>Starije osobe</w:t>
      </w:r>
    </w:p>
    <w:p w:rsidR="00B60A3E" w:rsidRPr="000D7979" w:rsidRDefault="00B60A3E">
      <w:pPr>
        <w:tabs>
          <w:tab w:val="left" w:pos="540"/>
          <w:tab w:val="left" w:pos="569"/>
        </w:tabs>
        <w:jc w:val="both"/>
        <w:rPr>
          <w:bCs/>
          <w:sz w:val="22"/>
          <w:szCs w:val="22"/>
          <w:lang w:val="sr-Latn-ME"/>
        </w:rPr>
      </w:pPr>
      <w:r w:rsidRPr="000D7979">
        <w:rPr>
          <w:bCs/>
          <w:sz w:val="22"/>
          <w:szCs w:val="22"/>
          <w:lang w:val="sr-Latn-ME"/>
        </w:rPr>
        <w:t>Kod starijih pacijenata (starijih od 65 godina) dozu lijeka nije potrebno prilagođavati.</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i/>
          <w:sz w:val="22"/>
          <w:szCs w:val="22"/>
          <w:lang w:val="sr-Latn-ME"/>
        </w:rPr>
      </w:pPr>
      <w:r w:rsidRPr="000D7979">
        <w:rPr>
          <w:bCs/>
          <w:i/>
          <w:sz w:val="22"/>
          <w:szCs w:val="22"/>
          <w:lang w:val="sr-Latn-ME"/>
        </w:rPr>
        <w:t>Oštećenje funkcije bubrega</w:t>
      </w:r>
    </w:p>
    <w:p w:rsidR="00B60A3E" w:rsidRPr="000D7979" w:rsidRDefault="00B60A3E">
      <w:pPr>
        <w:tabs>
          <w:tab w:val="left" w:pos="540"/>
          <w:tab w:val="left" w:pos="569"/>
        </w:tabs>
        <w:jc w:val="both"/>
        <w:rPr>
          <w:bCs/>
          <w:sz w:val="22"/>
          <w:szCs w:val="22"/>
          <w:lang w:val="sr-Latn-ME"/>
        </w:rPr>
      </w:pPr>
      <w:r w:rsidRPr="000D7979">
        <w:rPr>
          <w:bCs/>
          <w:sz w:val="22"/>
          <w:szCs w:val="22"/>
          <w:lang w:val="sr-Latn-ME"/>
        </w:rPr>
        <w:t xml:space="preserve">Kod pacijenata sa blagim, umjerenim ili teškim poremećajem funkcije bubrega dozu lijeka nije potrebno prilagođavati. Nema podataka o primjeni kod pacijenata kojima je potrebna dijaliza (vidjeti </w:t>
      </w:r>
      <w:r w:rsidR="00B25925" w:rsidRPr="000D7979">
        <w:rPr>
          <w:bCs/>
          <w:sz w:val="22"/>
          <w:szCs w:val="22"/>
          <w:lang w:val="sr-Latn-ME"/>
        </w:rPr>
        <w:t xml:space="preserve">dio </w:t>
      </w:r>
      <w:r w:rsidRPr="000D7979">
        <w:rPr>
          <w:bCs/>
          <w:sz w:val="22"/>
          <w:szCs w:val="22"/>
          <w:lang w:val="sr-Latn-ME"/>
        </w:rPr>
        <w:t>5.2).</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sz w:val="22"/>
          <w:szCs w:val="22"/>
          <w:lang w:val="sr-Latn-ME"/>
        </w:rPr>
      </w:pPr>
      <w:r w:rsidRPr="000D7979">
        <w:rPr>
          <w:bCs/>
          <w:sz w:val="22"/>
          <w:szCs w:val="22"/>
          <w:lang w:val="sr-Latn-ME"/>
        </w:rPr>
        <w:t>Savjetuje se praćenje ravnoteže tečnosti i elektrolita kod pacijenata sa rizikom za razvoj poremećaja funkcije bubrega.</w:t>
      </w:r>
    </w:p>
    <w:p w:rsidR="00B60A3E" w:rsidRPr="000D7979" w:rsidRDefault="00B60A3E">
      <w:pPr>
        <w:tabs>
          <w:tab w:val="left" w:pos="540"/>
          <w:tab w:val="left" w:pos="569"/>
        </w:tabs>
        <w:jc w:val="both"/>
        <w:rPr>
          <w:bCs/>
          <w:sz w:val="22"/>
          <w:szCs w:val="22"/>
          <w:lang w:val="sr-Latn-ME"/>
        </w:rPr>
      </w:pPr>
    </w:p>
    <w:p w:rsidR="00B60A3E" w:rsidRPr="000D7979" w:rsidRDefault="00B60A3E">
      <w:pPr>
        <w:tabs>
          <w:tab w:val="left" w:pos="540"/>
          <w:tab w:val="left" w:pos="569"/>
        </w:tabs>
        <w:jc w:val="both"/>
        <w:rPr>
          <w:bCs/>
          <w:i/>
          <w:sz w:val="22"/>
          <w:szCs w:val="22"/>
          <w:lang w:val="sr-Latn-ME"/>
        </w:rPr>
      </w:pPr>
      <w:r w:rsidRPr="000D7979">
        <w:rPr>
          <w:bCs/>
          <w:i/>
          <w:sz w:val="22"/>
          <w:szCs w:val="22"/>
          <w:lang w:val="sr-Latn-ME"/>
        </w:rPr>
        <w:t>Oštećenje funkcije jetre</w:t>
      </w:r>
    </w:p>
    <w:p w:rsidR="00B60A3E" w:rsidRPr="000D7979" w:rsidRDefault="00B60A3E">
      <w:pPr>
        <w:tabs>
          <w:tab w:val="left" w:pos="540"/>
          <w:tab w:val="left" w:pos="569"/>
        </w:tabs>
        <w:jc w:val="both"/>
        <w:rPr>
          <w:bCs/>
          <w:sz w:val="22"/>
          <w:szCs w:val="22"/>
          <w:lang w:val="sr-Latn-ME"/>
        </w:rPr>
      </w:pPr>
      <w:r w:rsidRPr="000D7979">
        <w:rPr>
          <w:bCs/>
          <w:sz w:val="22"/>
          <w:szCs w:val="22"/>
          <w:lang w:val="sr-Latn-ME"/>
        </w:rPr>
        <w:t xml:space="preserve">Kod pacijenata sa oštećenjem funkcije jetre stadijuma </w:t>
      </w:r>
      <w:r w:rsidRPr="000D7979">
        <w:rPr>
          <w:bCs/>
          <w:i/>
          <w:sz w:val="22"/>
          <w:szCs w:val="22"/>
          <w:lang w:val="sr-Latn-ME"/>
        </w:rPr>
        <w:t>Child-Pugh</w:t>
      </w:r>
      <w:r w:rsidRPr="000D7979">
        <w:rPr>
          <w:bCs/>
          <w:sz w:val="22"/>
          <w:szCs w:val="22"/>
          <w:lang w:val="sr-Latn-ME"/>
        </w:rPr>
        <w:t xml:space="preserve"> A ili B (blago do umjereno oštećenje) dozu lijeka nije potrebno prilagođavati. Nema podataka o primjeni kod pacijenata sa oštećenjem funkcije jetre stadijuma </w:t>
      </w:r>
      <w:r w:rsidRPr="000D7979">
        <w:rPr>
          <w:bCs/>
          <w:i/>
          <w:sz w:val="22"/>
          <w:szCs w:val="22"/>
          <w:lang w:val="sr-Latn-ME"/>
        </w:rPr>
        <w:t>Child-Pugh</w:t>
      </w:r>
      <w:r w:rsidRPr="000D7979">
        <w:rPr>
          <w:bCs/>
          <w:sz w:val="22"/>
          <w:szCs w:val="22"/>
          <w:lang w:val="sr-Latn-ME"/>
        </w:rPr>
        <w:t xml:space="preserve"> C (teško oštećenje) (vidjeti </w:t>
      </w:r>
      <w:r w:rsidR="00B25925" w:rsidRPr="000D7979">
        <w:rPr>
          <w:bCs/>
          <w:sz w:val="22"/>
          <w:szCs w:val="22"/>
          <w:lang w:val="sr-Latn-ME"/>
        </w:rPr>
        <w:t xml:space="preserve">djelove </w:t>
      </w:r>
      <w:r w:rsidRPr="000D7979">
        <w:rPr>
          <w:bCs/>
          <w:sz w:val="22"/>
          <w:szCs w:val="22"/>
          <w:lang w:val="sr-Latn-ME"/>
        </w:rPr>
        <w:t>4.4 i 5.2).</w:t>
      </w:r>
    </w:p>
    <w:p w:rsidR="00452E9D" w:rsidRPr="000D7979" w:rsidRDefault="00452E9D" w:rsidP="00C45106">
      <w:pPr>
        <w:tabs>
          <w:tab w:val="left" w:pos="540"/>
          <w:tab w:val="left" w:pos="569"/>
        </w:tabs>
        <w:jc w:val="both"/>
        <w:rPr>
          <w:bCs/>
          <w:sz w:val="22"/>
          <w:szCs w:val="22"/>
          <w:u w:val="single"/>
          <w:lang w:val="sr-Latn-ME"/>
        </w:rPr>
      </w:pPr>
    </w:p>
    <w:p w:rsidR="00452E9D" w:rsidRPr="000D7979" w:rsidRDefault="00452E9D" w:rsidP="00C45106">
      <w:pPr>
        <w:tabs>
          <w:tab w:val="left" w:pos="540"/>
          <w:tab w:val="left" w:pos="569"/>
        </w:tabs>
        <w:jc w:val="both"/>
        <w:rPr>
          <w:bCs/>
          <w:sz w:val="22"/>
          <w:szCs w:val="22"/>
          <w:u w:val="single"/>
          <w:lang w:val="sr-Latn-ME"/>
        </w:rPr>
      </w:pPr>
      <w:r w:rsidRPr="000D7979">
        <w:rPr>
          <w:bCs/>
          <w:sz w:val="22"/>
          <w:szCs w:val="22"/>
          <w:u w:val="single"/>
          <w:lang w:val="sr-Latn-ME"/>
        </w:rPr>
        <w:t>Način primjene</w:t>
      </w:r>
    </w:p>
    <w:p w:rsidR="00B60A3E" w:rsidRPr="000D7979" w:rsidRDefault="00B60A3E" w:rsidP="00C45106">
      <w:pPr>
        <w:tabs>
          <w:tab w:val="left" w:pos="540"/>
          <w:tab w:val="left" w:pos="569"/>
        </w:tabs>
        <w:jc w:val="both"/>
        <w:rPr>
          <w:bCs/>
          <w:sz w:val="22"/>
          <w:szCs w:val="22"/>
          <w:u w:val="single"/>
          <w:lang w:val="sr-Latn-ME"/>
        </w:rPr>
      </w:pPr>
    </w:p>
    <w:p w:rsidR="00B60A3E" w:rsidRPr="000D7979" w:rsidRDefault="00B60A3E" w:rsidP="00C00A05">
      <w:pPr>
        <w:tabs>
          <w:tab w:val="left" w:pos="540"/>
          <w:tab w:val="left" w:pos="569"/>
        </w:tabs>
        <w:jc w:val="both"/>
        <w:rPr>
          <w:bCs/>
          <w:sz w:val="22"/>
          <w:szCs w:val="22"/>
          <w:lang w:val="sr-Latn-ME"/>
        </w:rPr>
      </w:pPr>
      <w:r w:rsidRPr="000D7979">
        <w:rPr>
          <w:bCs/>
          <w:sz w:val="22"/>
          <w:szCs w:val="22"/>
          <w:lang w:val="sr-Latn-ME"/>
        </w:rPr>
        <w:t>Za oralnu upotrebu.</w:t>
      </w:r>
    </w:p>
    <w:p w:rsidR="00B60A3E" w:rsidRPr="000D7979" w:rsidRDefault="00B60A3E" w:rsidP="00A13D0A">
      <w:pPr>
        <w:tabs>
          <w:tab w:val="left" w:pos="540"/>
          <w:tab w:val="left" w:pos="569"/>
        </w:tabs>
        <w:jc w:val="both"/>
        <w:rPr>
          <w:bCs/>
          <w:sz w:val="22"/>
          <w:szCs w:val="22"/>
          <w:lang w:val="sr-Latn-ME"/>
        </w:rPr>
      </w:pPr>
      <w:r w:rsidRPr="000D7979">
        <w:rPr>
          <w:bCs/>
          <w:sz w:val="22"/>
          <w:szCs w:val="22"/>
          <w:lang w:val="sr-Latn-ME"/>
        </w:rPr>
        <w:t>Preporučuje se primjena sorafeniba bez hrane ili sa obrokom sa niskim ili umjerenim sadržajem masnoća. Ako pacijent želi da konzumira obrok sa visokim sadržajem masnoća, tablete sorafeniba treba uzeti najmanje 1 sat prije ili 2 sata posl</w:t>
      </w:r>
      <w:r w:rsidR="00B25925" w:rsidRPr="000D7979">
        <w:rPr>
          <w:bCs/>
          <w:sz w:val="22"/>
          <w:szCs w:val="22"/>
          <w:lang w:val="sr-Latn-ME"/>
        </w:rPr>
        <w:t>ij</w:t>
      </w:r>
      <w:r w:rsidRPr="000D7979">
        <w:rPr>
          <w:bCs/>
          <w:sz w:val="22"/>
          <w:szCs w:val="22"/>
          <w:lang w:val="sr-Latn-ME"/>
        </w:rPr>
        <w:t>e obroka. Tablete treba progutati sa čašom vode.</w:t>
      </w:r>
    </w:p>
    <w:p w:rsidR="00452E9D" w:rsidRPr="000D7979" w:rsidRDefault="00452E9D" w:rsidP="00C45106">
      <w:pPr>
        <w:tabs>
          <w:tab w:val="left" w:pos="540"/>
          <w:tab w:val="left" w:pos="569"/>
        </w:tabs>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4.3. </w:t>
      </w:r>
      <w:r w:rsidR="00480FB1" w:rsidRPr="000D7979">
        <w:rPr>
          <w:b/>
          <w:bCs/>
          <w:sz w:val="22"/>
          <w:szCs w:val="22"/>
          <w:lang w:val="sr-Latn-ME"/>
        </w:rPr>
        <w:tab/>
      </w:r>
      <w:r w:rsidRPr="000D7979">
        <w:rPr>
          <w:b/>
          <w:bCs/>
          <w:sz w:val="22"/>
          <w:szCs w:val="22"/>
          <w:lang w:val="sr-Latn-ME"/>
        </w:rPr>
        <w:t>Kontraindikacije</w:t>
      </w:r>
    </w:p>
    <w:p w:rsidR="009804DA" w:rsidRPr="000D7979" w:rsidRDefault="009804DA" w:rsidP="00C45106">
      <w:pPr>
        <w:tabs>
          <w:tab w:val="left" w:pos="540"/>
          <w:tab w:val="left" w:pos="569"/>
        </w:tabs>
        <w:jc w:val="both"/>
        <w:rPr>
          <w:b/>
          <w:bCs/>
          <w:sz w:val="22"/>
          <w:szCs w:val="22"/>
          <w:lang w:val="sr-Latn-ME"/>
        </w:rPr>
      </w:pPr>
    </w:p>
    <w:p w:rsidR="0072020E" w:rsidRPr="000D7979" w:rsidRDefault="009804DA" w:rsidP="00C00A05">
      <w:pPr>
        <w:tabs>
          <w:tab w:val="left" w:pos="540"/>
          <w:tab w:val="left" w:pos="569"/>
        </w:tabs>
        <w:jc w:val="both"/>
        <w:rPr>
          <w:bCs/>
          <w:sz w:val="22"/>
          <w:szCs w:val="22"/>
          <w:lang w:val="sr-Latn-ME"/>
        </w:rPr>
      </w:pPr>
      <w:r w:rsidRPr="000D7979">
        <w:rPr>
          <w:bCs/>
          <w:sz w:val="22"/>
          <w:szCs w:val="22"/>
          <w:lang w:val="sr-Latn-ME"/>
        </w:rPr>
        <w:t xml:space="preserve">Preosjetljivost na aktivnu supstancu ili neku od pomoćnih supstanci navedenih u </w:t>
      </w:r>
      <w:r w:rsidR="00421FDB" w:rsidRPr="000D7979">
        <w:rPr>
          <w:bCs/>
          <w:sz w:val="22"/>
          <w:szCs w:val="22"/>
          <w:lang w:val="sr-Latn-ME"/>
        </w:rPr>
        <w:t xml:space="preserve">dijelu </w:t>
      </w:r>
      <w:r w:rsidRPr="000D7979">
        <w:rPr>
          <w:bCs/>
          <w:sz w:val="22"/>
          <w:szCs w:val="22"/>
          <w:lang w:val="sr-Latn-ME"/>
        </w:rPr>
        <w:t>6.1.</w:t>
      </w:r>
    </w:p>
    <w:p w:rsidR="009804DA" w:rsidRPr="000D7979" w:rsidRDefault="009804DA" w:rsidP="00C45106">
      <w:pPr>
        <w:tabs>
          <w:tab w:val="left" w:pos="540"/>
          <w:tab w:val="left" w:pos="569"/>
        </w:tabs>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 xml:space="preserve">4.4. </w:t>
      </w:r>
      <w:r w:rsidR="00480FB1" w:rsidRPr="000D7979">
        <w:rPr>
          <w:b/>
          <w:bCs/>
          <w:sz w:val="22"/>
          <w:szCs w:val="22"/>
          <w:lang w:val="sr-Latn-ME"/>
        </w:rPr>
        <w:tab/>
      </w:r>
      <w:r w:rsidRPr="000D7979">
        <w:rPr>
          <w:b/>
          <w:bCs/>
          <w:sz w:val="22"/>
          <w:szCs w:val="22"/>
          <w:lang w:val="sr-Latn-ME"/>
        </w:rPr>
        <w:t>Posebna upozorenja i mjere opreza pri upotrebi lijeka</w:t>
      </w:r>
    </w:p>
    <w:p w:rsidR="009804DA" w:rsidRPr="000D7979" w:rsidRDefault="009804DA" w:rsidP="00C45106">
      <w:pPr>
        <w:tabs>
          <w:tab w:val="left" w:pos="540"/>
          <w:tab w:val="left" w:pos="569"/>
        </w:tabs>
        <w:jc w:val="both"/>
        <w:rPr>
          <w:b/>
          <w:bCs/>
          <w:sz w:val="22"/>
          <w:szCs w:val="22"/>
          <w:lang w:val="sr-Latn-ME"/>
        </w:rPr>
      </w:pPr>
    </w:p>
    <w:p w:rsidR="009804DA" w:rsidRPr="000D7979" w:rsidRDefault="009804DA" w:rsidP="00C00A05">
      <w:pPr>
        <w:tabs>
          <w:tab w:val="left" w:pos="540"/>
          <w:tab w:val="left" w:pos="569"/>
        </w:tabs>
        <w:jc w:val="both"/>
        <w:rPr>
          <w:bCs/>
          <w:sz w:val="22"/>
          <w:szCs w:val="22"/>
          <w:lang w:val="sr-Latn-ME"/>
        </w:rPr>
      </w:pPr>
      <w:r w:rsidRPr="000D7979">
        <w:rPr>
          <w:bCs/>
          <w:sz w:val="22"/>
          <w:szCs w:val="22"/>
          <w:u w:val="single"/>
          <w:lang w:val="sr-Latn-ME"/>
        </w:rPr>
        <w:t>Dermatološka toksičnost</w:t>
      </w:r>
    </w:p>
    <w:p w:rsidR="009804DA" w:rsidRPr="000D7979" w:rsidRDefault="009804DA" w:rsidP="00A13D0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Reakcija kože šaka i stopala (palmarno-plantarna eritrodizestezija) i osip predstavljaju najčešće neželjene reakcije na lijek izazvane sorafenibom. Prema uobičajenim kriterijumima stepena toksičnih dejstava (CTC; engl. </w:t>
      </w:r>
      <w:r w:rsidRPr="000D7979">
        <w:rPr>
          <w:bCs/>
          <w:i/>
          <w:sz w:val="22"/>
          <w:szCs w:val="22"/>
          <w:lang w:val="sr-Latn-ME"/>
        </w:rPr>
        <w:t xml:space="preserve">Common Toxicity Criteria), </w:t>
      </w:r>
      <w:r w:rsidRPr="000D7979">
        <w:rPr>
          <w:bCs/>
          <w:sz w:val="22"/>
          <w:szCs w:val="22"/>
          <w:lang w:val="sr-Latn-ME"/>
        </w:rPr>
        <w:t xml:space="preserve">navedene reakcije se rangiraju kao toksična dejstva 1. i 2. stepena i generalno se javljaju tokom prvih šest nedjelja liječenja sorafenibom. </w:t>
      </w:r>
      <w:r w:rsidR="00421FDB" w:rsidRPr="000D7979">
        <w:rPr>
          <w:bCs/>
          <w:sz w:val="22"/>
          <w:szCs w:val="22"/>
          <w:lang w:val="sr-Latn-ME"/>
        </w:rPr>
        <w:t xml:space="preserve">Liječenje </w:t>
      </w:r>
      <w:r w:rsidRPr="000D7979">
        <w:rPr>
          <w:bCs/>
          <w:sz w:val="22"/>
          <w:szCs w:val="22"/>
          <w:lang w:val="sr-Latn-ME"/>
        </w:rPr>
        <w:t xml:space="preserve">dermatoloških toksičnosti može uključivati topikalnu terapiju za ublažavanje simptoma, privremeni </w:t>
      </w:r>
      <w:r w:rsidRPr="000D7979">
        <w:rPr>
          <w:bCs/>
          <w:sz w:val="22"/>
          <w:szCs w:val="22"/>
          <w:lang w:val="sr-Latn-ME"/>
        </w:rPr>
        <w:lastRenderedPageBreak/>
        <w:t xml:space="preserve">prekid terapije i/ili prilagođavanje doze sorafeniba, odnosno, u teškim ili perzistentnim slučajevima, trajni prekid liječenja sorafenibom (vidjeti </w:t>
      </w:r>
      <w:r w:rsidR="00421FDB" w:rsidRPr="000D7979">
        <w:rPr>
          <w:bCs/>
          <w:sz w:val="22"/>
          <w:szCs w:val="22"/>
          <w:lang w:val="sr-Latn-ME"/>
        </w:rPr>
        <w:t xml:space="preserve">dio </w:t>
      </w:r>
      <w:r w:rsidRPr="000D7979">
        <w:rPr>
          <w:bCs/>
          <w:sz w:val="22"/>
          <w:szCs w:val="22"/>
          <w:lang w:val="sr-Latn-ME"/>
        </w:rPr>
        <w:t>4.8).</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u w:val="single"/>
          <w:lang w:val="sr-Latn-ME"/>
        </w:rPr>
      </w:pPr>
      <w:r w:rsidRPr="000D7979">
        <w:rPr>
          <w:bCs/>
          <w:sz w:val="22"/>
          <w:szCs w:val="22"/>
          <w:u w:val="single"/>
          <w:lang w:val="sr-Latn-ME"/>
        </w:rPr>
        <w:t>Hipoglikemija</w:t>
      </w:r>
    </w:p>
    <w:p w:rsidR="00421FDB" w:rsidRPr="000D7979" w:rsidRDefault="00421FDB">
      <w:pPr>
        <w:tabs>
          <w:tab w:val="left" w:pos="540"/>
          <w:tab w:val="left" w:pos="569"/>
        </w:tabs>
        <w:jc w:val="both"/>
        <w:rPr>
          <w:bCs/>
          <w:sz w:val="22"/>
          <w:szCs w:val="22"/>
          <w:u w:val="single"/>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Tokom liječenja sorafenibom, zabilježeno je snižavanje glukoze u krvi, koje je u nekim slučajevima bilo klinički simptomatsko i zahtijevalo hospitalizaciju zbog gubitka</w:t>
      </w:r>
      <w:r w:rsidR="00D61D59" w:rsidRPr="000D7979">
        <w:rPr>
          <w:bCs/>
          <w:sz w:val="22"/>
          <w:szCs w:val="22"/>
          <w:lang w:val="sr-Latn-ME"/>
        </w:rPr>
        <w:t xml:space="preserve"> svijesti</w:t>
      </w:r>
      <w:r w:rsidRPr="000D7979">
        <w:rPr>
          <w:bCs/>
          <w:sz w:val="22"/>
          <w:szCs w:val="22"/>
          <w:lang w:val="sr-Latn-ME"/>
        </w:rPr>
        <w:t xml:space="preserve">. U slučaju simptomatske hipoglikemije, </w:t>
      </w:r>
      <w:r w:rsidR="00D61D59" w:rsidRPr="000D7979">
        <w:rPr>
          <w:bCs/>
          <w:sz w:val="22"/>
          <w:szCs w:val="22"/>
          <w:lang w:val="sr-Latn-ME"/>
        </w:rPr>
        <w:t xml:space="preserve">terapiju </w:t>
      </w:r>
      <w:r w:rsidRPr="000D7979">
        <w:rPr>
          <w:bCs/>
          <w:sz w:val="22"/>
          <w:szCs w:val="22"/>
          <w:lang w:val="sr-Latn-ME"/>
        </w:rPr>
        <w:t>sorafenib</w:t>
      </w:r>
      <w:r w:rsidR="00D61D59" w:rsidRPr="000D7979">
        <w:rPr>
          <w:bCs/>
          <w:sz w:val="22"/>
          <w:szCs w:val="22"/>
          <w:lang w:val="sr-Latn-ME"/>
        </w:rPr>
        <w:t>om</w:t>
      </w:r>
      <w:r w:rsidRPr="000D7979">
        <w:rPr>
          <w:bCs/>
          <w:sz w:val="22"/>
          <w:szCs w:val="22"/>
          <w:lang w:val="sr-Latn-ME"/>
        </w:rPr>
        <w:t xml:space="preserve"> treba</w:t>
      </w:r>
      <w:r w:rsidRPr="000D7979">
        <w:rPr>
          <w:sz w:val="22"/>
          <w:szCs w:val="22"/>
          <w:lang w:val="sr-Latn-ME"/>
        </w:rPr>
        <w:t xml:space="preserve"> </w:t>
      </w:r>
      <w:r w:rsidRPr="000D7979">
        <w:rPr>
          <w:bCs/>
          <w:sz w:val="22"/>
          <w:szCs w:val="22"/>
          <w:lang w:val="sr-Latn-ME"/>
        </w:rPr>
        <w:t>privremeno prekinuti. Koncentraciju glukoze u krvi kod osoba oboljelih od dijabetesa treba redovno kontrolisati kako bi se donijela odluka o podešavanju doze antidijabetika.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Hipertenzija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Kod pacijenata liječenih sorafenibom zabilježeno je povećanje učestalosti arterijske hipertenzije. Obično se radilo o blagoj do umjerenoj hipertenziji, koja se javljala na samom početku liječenja i uspješno zbrinjavala standardnim antihipertenzivima. Krvni pritisak pacijenata treba redovno pratiti i po potrebi liječiti u skladu sa standardnom medicinskom praksom. U slučaju teške ili perzistentne hipertenzije, odnosno ukoliko se javljaju hipertenzivne krize uprkos uvođenju antihipertenzivne terapije, treba razmotriti trajni prekid terapije sorafenibom (vidjeti </w:t>
      </w:r>
      <w:r w:rsidR="00D61D59" w:rsidRPr="000D7979">
        <w:rPr>
          <w:bCs/>
          <w:sz w:val="22"/>
          <w:szCs w:val="22"/>
          <w:lang w:val="sr-Latn-ME"/>
        </w:rPr>
        <w:t>dio</w:t>
      </w:r>
      <w:r w:rsidRPr="000D7979">
        <w:rPr>
          <w:bCs/>
          <w:sz w:val="22"/>
          <w:szCs w:val="22"/>
          <w:lang w:val="sr-Latn-ME"/>
        </w:rPr>
        <w:t xml:space="preserve"> 4.8).</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Hemoragija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Nakon primjene sorafeniba, može se povećati rizik od pojave krvarenja. Ukoliko se javi bilo kakvo krvarenje koje </w:t>
      </w:r>
      <w:r w:rsidR="00D61D59" w:rsidRPr="000D7979">
        <w:rPr>
          <w:bCs/>
          <w:sz w:val="22"/>
          <w:szCs w:val="22"/>
          <w:lang w:val="sr-Latn-ME"/>
        </w:rPr>
        <w:t xml:space="preserve">zahtijeva </w:t>
      </w:r>
      <w:r w:rsidRPr="000D7979">
        <w:rPr>
          <w:bCs/>
          <w:sz w:val="22"/>
          <w:szCs w:val="22"/>
          <w:lang w:val="sr-Latn-ME"/>
        </w:rPr>
        <w:t xml:space="preserve">medicinsku intervenciju, preporučuje se da se razmotri trajni prekid terapije sorafenibom (vidjeti </w:t>
      </w:r>
      <w:r w:rsidR="00D61D59" w:rsidRPr="000D7979">
        <w:rPr>
          <w:bCs/>
          <w:sz w:val="22"/>
          <w:szCs w:val="22"/>
          <w:lang w:val="sr-Latn-ME"/>
        </w:rPr>
        <w:t xml:space="preserve">dio </w:t>
      </w:r>
      <w:r w:rsidRPr="000D7979">
        <w:rPr>
          <w:bCs/>
          <w:sz w:val="22"/>
          <w:szCs w:val="22"/>
          <w:lang w:val="sr-Latn-ME"/>
        </w:rPr>
        <w:t>4.8).</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Srčana ishemija i/ili infarkt</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U jednoj randomizovanoj, dvostruko slijepoj, placebom kontrolisanoj studiji (studija 1, vidjeti </w:t>
      </w:r>
      <w:r w:rsidR="007948F8" w:rsidRPr="000D7979">
        <w:rPr>
          <w:bCs/>
          <w:sz w:val="22"/>
          <w:szCs w:val="22"/>
          <w:lang w:val="sr-Latn-ME"/>
        </w:rPr>
        <w:t xml:space="preserve">dio </w:t>
      </w:r>
      <w:r w:rsidRPr="000D7979">
        <w:rPr>
          <w:bCs/>
          <w:sz w:val="22"/>
          <w:szCs w:val="22"/>
          <w:lang w:val="sr-Latn-ME"/>
        </w:rPr>
        <w:t xml:space="preserve">5.1), učestalost srčane ishemije/infarkta kao posljedice liječenja, zabilježena u grupi liječenoj sorafenibom, bila je veća (4,9%) nego u grupi koja je primala placebo (0,4%). U studiji 3 (vidjeti </w:t>
      </w:r>
      <w:r w:rsidR="007948F8" w:rsidRPr="000D7979">
        <w:rPr>
          <w:bCs/>
          <w:sz w:val="22"/>
          <w:szCs w:val="22"/>
          <w:lang w:val="sr-Latn-ME"/>
        </w:rPr>
        <w:t>dio</w:t>
      </w:r>
      <w:r w:rsidRPr="000D7979">
        <w:rPr>
          <w:bCs/>
          <w:sz w:val="22"/>
          <w:szCs w:val="22"/>
          <w:lang w:val="sr-Latn-ME"/>
        </w:rPr>
        <w:t xml:space="preserve"> 5.1), učestalost srčane ishemije/infarkta kao posljedice liječenja bila je 2,7% kod pacijenata liječenih sorafenibom u poređenju sa 1,3% u grupi koja je primala placebo. Pacijenti sa nestabilnom bolešću koronarnih arterija, kao i pacijenti koji su nedavno imali infarkt miokarda, isključeni su iz ovih studija. Kod pacijenata koji razviju srčanu ishemiju i/ili infarkt miokarda, treba razmotriti privremeni ili trajni prekid terapije sorafenibom (vidjeti </w:t>
      </w:r>
      <w:r w:rsidR="007948F8" w:rsidRPr="000D7979">
        <w:rPr>
          <w:bCs/>
          <w:sz w:val="22"/>
          <w:szCs w:val="22"/>
          <w:lang w:val="sr-Latn-ME"/>
        </w:rPr>
        <w:t xml:space="preserve">dio </w:t>
      </w:r>
      <w:r w:rsidRPr="000D7979">
        <w:rPr>
          <w:bCs/>
          <w:sz w:val="22"/>
          <w:szCs w:val="22"/>
          <w:lang w:val="sr-Latn-ME"/>
        </w:rPr>
        <w:t>4.8).</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Aneurizme i disekcije arterije</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Primjena inhibitora VEGF puta kod pacijenata sa hipertenzijom ili bez nje može uzrokovati stvaranje aneurizmi i/ili disekcija arterije. Prije početka primjene lijeka Sorafenib Teva potrebno je pažljivo razmotriti ovaj rizik kod pacijenata sa faktorima rizika kao što su hipertenzija ili aneurizma u anamnezi.</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Produženje QT intervala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Pokazano je da sorafenib produžava QT/QTc interval (vidjeti </w:t>
      </w:r>
      <w:r w:rsidR="007948F8" w:rsidRPr="000D7979">
        <w:rPr>
          <w:bCs/>
          <w:sz w:val="22"/>
          <w:szCs w:val="22"/>
          <w:lang w:val="sr-Latn-ME"/>
        </w:rPr>
        <w:t xml:space="preserve">dio </w:t>
      </w:r>
      <w:r w:rsidRPr="000D7979">
        <w:rPr>
          <w:bCs/>
          <w:sz w:val="22"/>
          <w:szCs w:val="22"/>
          <w:lang w:val="sr-Latn-ME"/>
        </w:rPr>
        <w:t>5.1), što može dovesti do povećanog rizika od pojave ventrikularnih aritmija. Sorafenib treba primjenjivati oprezno kod pacijenata koji imaju ili kod kojih bi moglo da se razvije produženje QTc intervala, kao što su pacijenti sa kongenitalnim sindromom dugog QT intervala, pacijenti liječeni visokim kumulativnim dozama antraciklina, pacijenti koji uzimaju određene antiaritmike ili druge lijekove koji dovode do produženja QT intervala, kao i oni sa poremećajem elektrolita poput hipokalemije, hipokalcemije ili hipomagnezemije. Kada se sorafenib primjenjuje kod ovih pacijenata treba razmotriti periodično praćenje elektrokardiograma i elektrolita (magnezijuma, kalijuma i kalcijuma).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lastRenderedPageBreak/>
        <w:t>Gastrointestinalna perforacija</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Gastrointestinalna perforacija je povremeni događaj i prijavljen je kod manje od 1% pacijenata koji uzimaju sorafenib. U nekim slučajevima ona nije bila udružena sa očiglednim intraabdominalnim tumorom. Terapiju sorafenibom treba prekinuti (vidjeti </w:t>
      </w:r>
      <w:r w:rsidR="00B777F8" w:rsidRPr="000D7979">
        <w:rPr>
          <w:bCs/>
          <w:sz w:val="22"/>
          <w:szCs w:val="22"/>
          <w:lang w:val="sr-Latn-ME"/>
        </w:rPr>
        <w:t>dio</w:t>
      </w:r>
      <w:r w:rsidRPr="000D7979">
        <w:rPr>
          <w:bCs/>
          <w:sz w:val="22"/>
          <w:szCs w:val="22"/>
          <w:lang w:val="sr-Latn-ME"/>
        </w:rPr>
        <w:t xml:space="preserve"> 4.8).</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u w:val="single"/>
          <w:lang w:val="sr-Latn-ME"/>
        </w:rPr>
        <w:t>Oštećenje funkcije jetre</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 xml:space="preserve">Nema raspoloživih podataka vezanih za pacijente sa oštećenjem funkcije jetre stadijuma </w:t>
      </w:r>
      <w:r w:rsidRPr="000D7979">
        <w:rPr>
          <w:bCs/>
          <w:i/>
          <w:sz w:val="22"/>
          <w:szCs w:val="22"/>
          <w:lang w:val="sr-Latn-ME"/>
        </w:rPr>
        <w:t>Child-Pugh</w:t>
      </w:r>
      <w:r w:rsidRPr="000D7979">
        <w:rPr>
          <w:bCs/>
          <w:sz w:val="22"/>
          <w:szCs w:val="22"/>
          <w:lang w:val="sr-Latn-ME"/>
        </w:rPr>
        <w:t xml:space="preserve"> C (teško oštećenje). S obzirom na to da se sorafenib uglavnom eliminiše putem jetre, kod pacijenata sa teškim oštećenjem funkcije jetre može doći do povećane izloženosti sorafenibu (vidjeti </w:t>
      </w:r>
      <w:r w:rsidR="00B777F8" w:rsidRPr="000D7979">
        <w:rPr>
          <w:bCs/>
          <w:sz w:val="22"/>
          <w:szCs w:val="22"/>
          <w:lang w:val="sr-Latn-ME"/>
        </w:rPr>
        <w:t xml:space="preserve">djelove </w:t>
      </w:r>
      <w:r w:rsidRPr="000D7979">
        <w:rPr>
          <w:bCs/>
          <w:sz w:val="22"/>
          <w:szCs w:val="22"/>
          <w:lang w:val="sr-Latn-ME"/>
        </w:rPr>
        <w:t>4.2 i 5.2).</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u w:val="single"/>
          <w:lang w:val="sr-Latn-ME"/>
        </w:rPr>
      </w:pPr>
      <w:r w:rsidRPr="000D7979">
        <w:rPr>
          <w:bCs/>
          <w:sz w:val="22"/>
          <w:szCs w:val="22"/>
          <w:u w:val="single"/>
          <w:lang w:val="sr-Latn-ME"/>
        </w:rPr>
        <w:t xml:space="preserve">Sindrom lize tumora </w:t>
      </w:r>
    </w:p>
    <w:p w:rsidR="009804DA" w:rsidRPr="000D7979" w:rsidRDefault="009804DA">
      <w:pPr>
        <w:tabs>
          <w:tab w:val="left" w:pos="540"/>
          <w:tab w:val="left" w:pos="569"/>
        </w:tabs>
        <w:jc w:val="both"/>
        <w:rPr>
          <w:bCs/>
          <w:sz w:val="22"/>
          <w:szCs w:val="22"/>
          <w:lang w:val="sr-Latn-ME"/>
        </w:rPr>
      </w:pPr>
    </w:p>
    <w:p w:rsidR="009804DA" w:rsidRPr="000D7979" w:rsidRDefault="009804DA">
      <w:pPr>
        <w:tabs>
          <w:tab w:val="left" w:pos="540"/>
          <w:tab w:val="left" w:pos="569"/>
        </w:tabs>
        <w:jc w:val="both"/>
        <w:rPr>
          <w:bCs/>
          <w:sz w:val="22"/>
          <w:szCs w:val="22"/>
          <w:lang w:val="sr-Latn-ME"/>
        </w:rPr>
      </w:pPr>
      <w:r w:rsidRPr="000D7979">
        <w:rPr>
          <w:bCs/>
          <w:sz w:val="22"/>
          <w:szCs w:val="22"/>
          <w:lang w:val="sr-Latn-ME"/>
        </w:rPr>
        <w:t>Slučajevi sindroma lize tumora, od kojih su neki bili sa smrtnim ishodom, prijavljeni su kod pacijenata liječenih sorafenibom tokom postmarketinškog praćenja. Faktori rizika za sindrom lize tumora uključuju veliko tumorsko opterećenje, postojeću h</w:t>
      </w:r>
      <w:r w:rsidR="005E2BA5" w:rsidRPr="000D7979">
        <w:rPr>
          <w:bCs/>
          <w:sz w:val="22"/>
          <w:szCs w:val="22"/>
          <w:lang w:val="sr-Latn-ME"/>
        </w:rPr>
        <w:t>roničnu</w:t>
      </w:r>
      <w:r w:rsidRPr="000D7979">
        <w:rPr>
          <w:bCs/>
          <w:sz w:val="22"/>
          <w:szCs w:val="22"/>
          <w:lang w:val="sr-Latn-ME"/>
        </w:rPr>
        <w:t xml:space="preserve"> insuficijenciju bubrega, oliguriju, dehidra</w:t>
      </w:r>
      <w:r w:rsidR="005E2BA5" w:rsidRPr="000D7979">
        <w:rPr>
          <w:bCs/>
          <w:sz w:val="22"/>
          <w:szCs w:val="22"/>
          <w:lang w:val="sr-Latn-ME"/>
        </w:rPr>
        <w:t>ta</w:t>
      </w:r>
      <w:r w:rsidRPr="000D7979">
        <w:rPr>
          <w:bCs/>
          <w:sz w:val="22"/>
          <w:szCs w:val="22"/>
          <w:lang w:val="sr-Latn-ME"/>
        </w:rPr>
        <w:t>ciju, hipotenziju i kisjeli urin. Te pacijente treba pažljivo pratiti i odmah liječiti kako je klinički indikovano</w:t>
      </w:r>
      <w:r w:rsidR="005E2BA5" w:rsidRPr="000D7979">
        <w:rPr>
          <w:bCs/>
          <w:sz w:val="22"/>
          <w:szCs w:val="22"/>
          <w:lang w:val="sr-Latn-ME"/>
        </w:rPr>
        <w:t xml:space="preserve"> i </w:t>
      </w:r>
      <w:r w:rsidRPr="000D7979">
        <w:rPr>
          <w:bCs/>
          <w:sz w:val="22"/>
          <w:szCs w:val="22"/>
          <w:lang w:val="sr-Latn-ME"/>
        </w:rPr>
        <w:t>potrebno</w:t>
      </w:r>
      <w:r w:rsidR="005E2BA5" w:rsidRPr="000D7979">
        <w:rPr>
          <w:bCs/>
          <w:sz w:val="22"/>
          <w:szCs w:val="22"/>
          <w:lang w:val="sr-Latn-ME"/>
        </w:rPr>
        <w:t xml:space="preserve"> je</w:t>
      </w:r>
      <w:r w:rsidRPr="000D7979">
        <w:rPr>
          <w:bCs/>
          <w:sz w:val="22"/>
          <w:szCs w:val="22"/>
          <w:lang w:val="sr-Latn-ME"/>
        </w:rPr>
        <w:t xml:space="preserve"> razmotriti profilaktičku hidra</w:t>
      </w:r>
      <w:r w:rsidR="005E2BA5" w:rsidRPr="000D7979">
        <w:rPr>
          <w:bCs/>
          <w:sz w:val="22"/>
          <w:szCs w:val="22"/>
          <w:lang w:val="sr-Latn-ME"/>
        </w:rPr>
        <w:t>ta</w:t>
      </w:r>
      <w:r w:rsidRPr="000D7979">
        <w:rPr>
          <w:bCs/>
          <w:sz w:val="22"/>
          <w:szCs w:val="22"/>
          <w:lang w:val="sr-Latn-ME"/>
        </w:rPr>
        <w:t>ciju.</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u w:val="single"/>
          <w:lang w:val="sr-Latn-ME"/>
        </w:rPr>
        <w:t>Istovremena primjena varfarina</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Tokom terapije sorafenibom kod nekih pacijenata koji su istovremeno liječeni varfarinom</w:t>
      </w:r>
      <w:r w:rsidR="00B777F8" w:rsidRPr="000D7979">
        <w:rPr>
          <w:bCs/>
          <w:sz w:val="22"/>
          <w:szCs w:val="22"/>
          <w:lang w:val="sr-Latn-ME"/>
        </w:rPr>
        <w:t xml:space="preserve">, u </w:t>
      </w:r>
      <w:r w:rsidRPr="000D7979">
        <w:rPr>
          <w:bCs/>
          <w:sz w:val="22"/>
          <w:szCs w:val="22"/>
          <w:lang w:val="sr-Latn-ME"/>
        </w:rPr>
        <w:t xml:space="preserve"> rijetk</w:t>
      </w:r>
      <w:r w:rsidR="00B777F8" w:rsidRPr="000D7979">
        <w:rPr>
          <w:bCs/>
          <w:sz w:val="22"/>
          <w:szCs w:val="22"/>
          <w:lang w:val="sr-Latn-ME"/>
        </w:rPr>
        <w:t>im</w:t>
      </w:r>
      <w:r w:rsidRPr="000D7979">
        <w:rPr>
          <w:bCs/>
          <w:sz w:val="22"/>
          <w:szCs w:val="22"/>
          <w:lang w:val="sr-Latn-ME"/>
        </w:rPr>
        <w:t xml:space="preserve"> je </w:t>
      </w:r>
      <w:r w:rsidR="006A1F4E" w:rsidRPr="000D7979">
        <w:rPr>
          <w:bCs/>
          <w:sz w:val="22"/>
          <w:szCs w:val="22"/>
          <w:lang w:val="sr-Latn-ME"/>
        </w:rPr>
        <w:t xml:space="preserve">slučajevima </w:t>
      </w:r>
      <w:r w:rsidRPr="000D7979">
        <w:rPr>
          <w:bCs/>
          <w:sz w:val="22"/>
          <w:szCs w:val="22"/>
          <w:lang w:val="sr-Latn-ME"/>
        </w:rPr>
        <w:t xml:space="preserve">prijavljivano krvarenje ili povećana vrijednost internacionalnog normalizovanog odnosa (INR; engl. </w:t>
      </w:r>
      <w:r w:rsidRPr="000D7979">
        <w:rPr>
          <w:bCs/>
          <w:i/>
          <w:sz w:val="22"/>
          <w:szCs w:val="22"/>
          <w:lang w:val="sr-Latn-ME"/>
        </w:rPr>
        <w:t xml:space="preserve">International Normalised Ratio). </w:t>
      </w:r>
      <w:r w:rsidRPr="000D7979">
        <w:rPr>
          <w:bCs/>
          <w:sz w:val="22"/>
          <w:szCs w:val="22"/>
          <w:lang w:val="sr-Latn-ME"/>
        </w:rPr>
        <w:t>Pacijente koji istovremeno uzimaju varfarin ili fenprokumon treba redovno pratiti, kako bi se uočile promjene protrombinskog vremena i INR</w:t>
      </w:r>
      <w:r w:rsidR="006A1F4E" w:rsidRPr="000D7979">
        <w:rPr>
          <w:bCs/>
          <w:sz w:val="22"/>
          <w:szCs w:val="22"/>
          <w:lang w:val="sr-Latn-ME"/>
        </w:rPr>
        <w:t>-a</w:t>
      </w:r>
      <w:r w:rsidRPr="000D7979">
        <w:rPr>
          <w:bCs/>
          <w:sz w:val="22"/>
          <w:szCs w:val="22"/>
          <w:lang w:val="sr-Latn-ME"/>
        </w:rPr>
        <w:t xml:space="preserve">, odnosno klinički </w:t>
      </w:r>
      <w:r w:rsidR="006A1F4E" w:rsidRPr="000D7979">
        <w:rPr>
          <w:bCs/>
          <w:sz w:val="22"/>
          <w:szCs w:val="22"/>
          <w:lang w:val="sr-Latn-ME"/>
        </w:rPr>
        <w:t xml:space="preserve">manifestovane </w:t>
      </w:r>
      <w:r w:rsidRPr="000D7979">
        <w:rPr>
          <w:bCs/>
          <w:sz w:val="22"/>
          <w:szCs w:val="22"/>
          <w:lang w:val="sr-Latn-ME"/>
        </w:rPr>
        <w:t xml:space="preserve">epizode krvarenja (vidjeti </w:t>
      </w:r>
      <w:r w:rsidR="006A1F4E" w:rsidRPr="000D7979">
        <w:rPr>
          <w:bCs/>
          <w:sz w:val="22"/>
          <w:szCs w:val="22"/>
          <w:lang w:val="sr-Latn-ME"/>
        </w:rPr>
        <w:t xml:space="preserve">djelove </w:t>
      </w:r>
      <w:r w:rsidRPr="000D7979">
        <w:rPr>
          <w:bCs/>
          <w:sz w:val="22"/>
          <w:szCs w:val="22"/>
          <w:lang w:val="sr-Latn-ME"/>
        </w:rPr>
        <w:t>4.5 i 4.8).</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u w:val="single"/>
          <w:lang w:val="sr-Latn-ME"/>
        </w:rPr>
        <w:t>Komplikacije kod zarastanja rana</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Ni</w:t>
      </w:r>
      <w:r w:rsidR="006A1F4E" w:rsidRPr="000D7979">
        <w:rPr>
          <w:bCs/>
          <w:sz w:val="22"/>
          <w:szCs w:val="22"/>
          <w:lang w:val="sr-Latn-ME"/>
        </w:rPr>
        <w:t>je</w:t>
      </w:r>
      <w:r w:rsidRPr="000D7979">
        <w:rPr>
          <w:bCs/>
          <w:sz w:val="22"/>
          <w:szCs w:val="22"/>
          <w:lang w:val="sr-Latn-ME"/>
        </w:rPr>
        <w:t>su sprovedene zvanične studije uticaja sorafeniba na zarastanje rana. Iz predostrožnosti, kod pacijenata podvrgnutih većim hirurškim intervencijama preporučuje se privremeni prekid terapije sorafenibom. Kliničko iskustvo vezano za najpogodniji momenat ponovnog uvođenja sorafeni</w:t>
      </w:r>
      <w:r w:rsidR="00316400" w:rsidRPr="000D7979">
        <w:rPr>
          <w:bCs/>
          <w:sz w:val="22"/>
          <w:szCs w:val="22"/>
          <w:lang w:val="sr-Latn-ME"/>
        </w:rPr>
        <w:t>ba</w:t>
      </w:r>
      <w:r w:rsidRPr="000D7979">
        <w:rPr>
          <w:bCs/>
          <w:sz w:val="22"/>
          <w:szCs w:val="22"/>
          <w:lang w:val="sr-Latn-ME"/>
        </w:rPr>
        <w:t xml:space="preserve"> u postoperativnom periodu je ograničeno. Stoga takvu odluku treba zasnivati na kliničkoj procjeni adekvatno</w:t>
      </w:r>
      <w:r w:rsidR="00316400" w:rsidRPr="000D7979">
        <w:rPr>
          <w:bCs/>
          <w:sz w:val="22"/>
          <w:szCs w:val="22"/>
          <w:lang w:val="sr-Latn-ME"/>
        </w:rPr>
        <w:t>g</w:t>
      </w:r>
      <w:r w:rsidRPr="000D7979">
        <w:rPr>
          <w:bCs/>
          <w:sz w:val="22"/>
          <w:szCs w:val="22"/>
          <w:lang w:val="sr-Latn-ME"/>
        </w:rPr>
        <w:t xml:space="preserve"> zarastanja rane.</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u w:val="single"/>
          <w:lang w:val="sr-Latn-ME"/>
        </w:rPr>
        <w:t>Starije osobe</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 xml:space="preserve">Prijavljeni su slučajevi insuficijencije bubrega. Treba razmotriti praćenje funkcije bubrega. </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u w:val="single"/>
          <w:lang w:val="sr-Latn-ME"/>
        </w:rPr>
      </w:pPr>
      <w:r w:rsidRPr="000D7979">
        <w:rPr>
          <w:bCs/>
          <w:sz w:val="22"/>
          <w:szCs w:val="22"/>
          <w:u w:val="single"/>
          <w:lang w:val="sr-Latn-ME"/>
        </w:rPr>
        <w:t>Interakcije sa drugim ljekovima</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 xml:space="preserve">Pri istovremenoj primjeni sorafeniba i jedinjenja koji se metabolišu/eliminišu iz organizma pretežno putem UGT1A1 (npr. irinotekan) ili UGT1A9, preporučuje se oprez (vidjeti </w:t>
      </w:r>
      <w:r w:rsidR="00316400" w:rsidRPr="000D7979">
        <w:rPr>
          <w:bCs/>
          <w:sz w:val="22"/>
          <w:szCs w:val="22"/>
          <w:lang w:val="sr-Latn-ME"/>
        </w:rPr>
        <w:t xml:space="preserve">dio </w:t>
      </w:r>
      <w:r w:rsidRPr="000D7979">
        <w:rPr>
          <w:bCs/>
          <w:sz w:val="22"/>
          <w:szCs w:val="22"/>
          <w:lang w:val="sr-Latn-ME"/>
        </w:rPr>
        <w:t>4.5).</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 xml:space="preserve">Oprez se preporučuje pri istovremenoj primjeni sorafeniba i docetaksela (vidjeti </w:t>
      </w:r>
      <w:r w:rsidR="00316400" w:rsidRPr="000D7979">
        <w:rPr>
          <w:bCs/>
          <w:sz w:val="22"/>
          <w:szCs w:val="22"/>
          <w:lang w:val="sr-Latn-ME"/>
        </w:rPr>
        <w:t xml:space="preserve">dio </w:t>
      </w:r>
      <w:r w:rsidRPr="000D7979">
        <w:rPr>
          <w:bCs/>
          <w:sz w:val="22"/>
          <w:szCs w:val="22"/>
          <w:lang w:val="sr-Latn-ME"/>
        </w:rPr>
        <w:t>4.5).</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 xml:space="preserve">Istovremena primjena neomicina ili drugih antibiotika koji izazivaju veći poremećaj gastrointestinalne mikroflore može dovesti do smanjenja bioraspoloživosti sorafeniba (vidjeti </w:t>
      </w:r>
      <w:r w:rsidR="00316400" w:rsidRPr="000D7979">
        <w:rPr>
          <w:bCs/>
          <w:sz w:val="22"/>
          <w:szCs w:val="22"/>
          <w:lang w:val="sr-Latn-ME"/>
        </w:rPr>
        <w:t xml:space="preserve">dio </w:t>
      </w:r>
      <w:r w:rsidRPr="000D7979">
        <w:rPr>
          <w:bCs/>
          <w:sz w:val="22"/>
          <w:szCs w:val="22"/>
          <w:lang w:val="sr-Latn-ME"/>
        </w:rPr>
        <w:t>4.5). Treba razmotriti rizik od smanjenja koncentracije sorafeniba u plazmi prije početka terapije antibioticima.</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 xml:space="preserve">Prijavljena je veća stopa smrtnosti kod pacijenata sa karcinomom skvamoznih ćelija pluća koji su liječeni sorafenibom u kombinaciji sa hemioterapijom na bazi platine. U dvije randomizovane studije </w:t>
      </w:r>
      <w:r w:rsidRPr="000D7979">
        <w:rPr>
          <w:bCs/>
          <w:sz w:val="22"/>
          <w:szCs w:val="22"/>
          <w:lang w:val="sr-Latn-ME"/>
        </w:rPr>
        <w:lastRenderedPageBreak/>
        <w:t xml:space="preserve">kod pacijenata sa nemikrocelularnim karcinomom pluća u podgrupi pacijenata sa karcinomom skvamoznih ćelija liječenih sorafenibom kao dodatak paklitakselu/karboplatinu, HR (engl. </w:t>
      </w:r>
      <w:r w:rsidRPr="000D7979">
        <w:rPr>
          <w:bCs/>
          <w:i/>
          <w:sz w:val="22"/>
          <w:szCs w:val="22"/>
          <w:lang w:val="sr-Latn-ME"/>
        </w:rPr>
        <w:t>Hazard Ratio,</w:t>
      </w:r>
      <w:r w:rsidRPr="000D7979">
        <w:rPr>
          <w:bCs/>
          <w:sz w:val="22"/>
          <w:szCs w:val="22"/>
          <w:lang w:val="sr-Latn-ME"/>
        </w:rPr>
        <w:t>) za ukupno preživljavanje iznosio je 1,81 (95% CI 1,19; 2,74), a kao dodatak gemcitabinu/cisplatinu 1,22 (95% CI 0,82; 1,80). Nije preovladavao nijedan pojedinačni uzrok smrti, već je kod pacijenata liječenih sorafenibom kao dodatkom hemioterapijama na bazi platine uočena veća učestalost neželjenih reakcija u vidu respiratorne insuficijencije, krvarenja i infekcija.</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u w:val="single"/>
          <w:lang w:val="sr-Latn-ME"/>
        </w:rPr>
        <w:t>Posebna upozorenja vezana za oboljenje</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i/>
          <w:sz w:val="22"/>
          <w:szCs w:val="22"/>
          <w:lang w:val="sr-Latn-ME"/>
        </w:rPr>
      </w:pPr>
      <w:r w:rsidRPr="000D7979">
        <w:rPr>
          <w:bCs/>
          <w:i/>
          <w:sz w:val="22"/>
          <w:szCs w:val="22"/>
          <w:u w:val="single"/>
          <w:lang w:val="sr-Latn-ME"/>
        </w:rPr>
        <w:t>Karcinom bubrežnih ćelija</w:t>
      </w:r>
    </w:p>
    <w:p w:rsidR="005E2BA5" w:rsidRPr="000D7979" w:rsidRDefault="005E2BA5">
      <w:pPr>
        <w:tabs>
          <w:tab w:val="left" w:pos="540"/>
          <w:tab w:val="left" w:pos="569"/>
        </w:tabs>
        <w:jc w:val="both"/>
        <w:rPr>
          <w:bCs/>
          <w:i/>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lang w:val="sr-Latn-ME"/>
        </w:rPr>
        <w:t>Pacijenti, koji su u skladu sa kriterijumima prognostičke grupe MSKCC-a (</w:t>
      </w:r>
      <w:r w:rsidRPr="000D7979">
        <w:rPr>
          <w:bCs/>
          <w:i/>
          <w:sz w:val="22"/>
          <w:szCs w:val="22"/>
          <w:lang w:val="sr-Latn-ME"/>
        </w:rPr>
        <w:t>Memorial Sloan Kettering Cancer Center</w:t>
      </w:r>
      <w:r w:rsidRPr="000D7979">
        <w:rPr>
          <w:bCs/>
          <w:sz w:val="22"/>
          <w:szCs w:val="22"/>
          <w:lang w:val="sr-Latn-ME"/>
        </w:rPr>
        <w:t>) svrstani u grupu visoko rizičnih, ni</w:t>
      </w:r>
      <w:r w:rsidR="001C4BE2" w:rsidRPr="000D7979">
        <w:rPr>
          <w:bCs/>
          <w:sz w:val="22"/>
          <w:szCs w:val="22"/>
          <w:lang w:val="sr-Latn-ME"/>
        </w:rPr>
        <w:t>je</w:t>
      </w:r>
      <w:r w:rsidRPr="000D7979">
        <w:rPr>
          <w:bCs/>
          <w:sz w:val="22"/>
          <w:szCs w:val="22"/>
          <w:lang w:val="sr-Latn-ME"/>
        </w:rPr>
        <w:t>su bili uključeni u kliničku studiju III faze karcinoma bubrežnih ćelija (vidjeti studij</w:t>
      </w:r>
      <w:r w:rsidR="001C4BE2" w:rsidRPr="000D7979">
        <w:rPr>
          <w:bCs/>
          <w:sz w:val="22"/>
          <w:szCs w:val="22"/>
          <w:lang w:val="sr-Latn-ME"/>
        </w:rPr>
        <w:t>u</w:t>
      </w:r>
      <w:r w:rsidRPr="000D7979">
        <w:rPr>
          <w:bCs/>
          <w:sz w:val="22"/>
          <w:szCs w:val="22"/>
          <w:lang w:val="sr-Latn-ME"/>
        </w:rPr>
        <w:t xml:space="preserve"> 1 u okviru </w:t>
      </w:r>
      <w:r w:rsidR="001C4BE2" w:rsidRPr="000D7979">
        <w:rPr>
          <w:bCs/>
          <w:sz w:val="22"/>
          <w:szCs w:val="22"/>
          <w:lang w:val="sr-Latn-ME"/>
        </w:rPr>
        <w:t xml:space="preserve">dijela </w:t>
      </w:r>
      <w:r w:rsidRPr="000D7979">
        <w:rPr>
          <w:bCs/>
          <w:sz w:val="22"/>
          <w:szCs w:val="22"/>
          <w:lang w:val="sr-Latn-ME"/>
        </w:rPr>
        <w:t>5.1)</w:t>
      </w:r>
      <w:r w:rsidR="001C4BE2" w:rsidRPr="000D7979">
        <w:rPr>
          <w:bCs/>
          <w:sz w:val="22"/>
          <w:szCs w:val="22"/>
          <w:lang w:val="sr-Latn-ME"/>
        </w:rPr>
        <w:t>,</w:t>
      </w:r>
      <w:r w:rsidRPr="000D7979">
        <w:rPr>
          <w:bCs/>
          <w:sz w:val="22"/>
          <w:szCs w:val="22"/>
          <w:lang w:val="sr-Latn-ME"/>
        </w:rPr>
        <w:t xml:space="preserve"> </w:t>
      </w:r>
      <w:r w:rsidR="001C4BE2" w:rsidRPr="000D7979">
        <w:rPr>
          <w:bCs/>
          <w:sz w:val="22"/>
          <w:szCs w:val="22"/>
          <w:lang w:val="sr-Latn-ME"/>
        </w:rPr>
        <w:t>takođe,</w:t>
      </w:r>
      <w:r w:rsidRPr="000D7979">
        <w:rPr>
          <w:bCs/>
          <w:sz w:val="22"/>
          <w:szCs w:val="22"/>
          <w:lang w:val="sr-Latn-ME"/>
        </w:rPr>
        <w:t xml:space="preserve"> odnos koristi i rizika kod takvih pacijenata nije procijenjen.</w:t>
      </w:r>
    </w:p>
    <w:p w:rsidR="005E2BA5" w:rsidRPr="000D7979" w:rsidRDefault="005E2BA5">
      <w:pPr>
        <w:tabs>
          <w:tab w:val="left" w:pos="540"/>
          <w:tab w:val="left" w:pos="569"/>
        </w:tabs>
        <w:jc w:val="both"/>
        <w:rPr>
          <w:bCs/>
          <w:sz w:val="22"/>
          <w:szCs w:val="22"/>
          <w:lang w:val="sr-Latn-ME"/>
        </w:rPr>
      </w:pPr>
    </w:p>
    <w:p w:rsidR="005E2BA5" w:rsidRPr="000D7979" w:rsidRDefault="005E2BA5">
      <w:pPr>
        <w:tabs>
          <w:tab w:val="left" w:pos="540"/>
          <w:tab w:val="left" w:pos="569"/>
        </w:tabs>
        <w:jc w:val="both"/>
        <w:rPr>
          <w:bCs/>
          <w:sz w:val="22"/>
          <w:szCs w:val="22"/>
          <w:lang w:val="sr-Latn-ME"/>
        </w:rPr>
      </w:pPr>
      <w:r w:rsidRPr="000D7979">
        <w:rPr>
          <w:bCs/>
          <w:sz w:val="22"/>
          <w:szCs w:val="22"/>
          <w:u w:val="single"/>
          <w:lang w:val="sr-Latn-ME"/>
        </w:rPr>
        <w:t>Informacije o supstancama sa potvrđenim dejstvom</w:t>
      </w:r>
    </w:p>
    <w:p w:rsidR="005E2BA5" w:rsidRPr="000D7979" w:rsidRDefault="005E2BA5">
      <w:pPr>
        <w:tabs>
          <w:tab w:val="left" w:pos="540"/>
          <w:tab w:val="left" w:pos="569"/>
        </w:tabs>
        <w:jc w:val="both"/>
        <w:rPr>
          <w:bCs/>
          <w:sz w:val="22"/>
          <w:szCs w:val="22"/>
          <w:lang w:val="sr-Latn-ME"/>
        </w:rPr>
      </w:pPr>
    </w:p>
    <w:p w:rsidR="0072020E" w:rsidRPr="000D7979" w:rsidRDefault="005E2BA5">
      <w:pPr>
        <w:tabs>
          <w:tab w:val="left" w:pos="540"/>
          <w:tab w:val="left" w:pos="569"/>
        </w:tabs>
        <w:jc w:val="both"/>
        <w:rPr>
          <w:bCs/>
          <w:sz w:val="22"/>
          <w:szCs w:val="22"/>
          <w:lang w:val="sr-Latn-ME"/>
        </w:rPr>
      </w:pPr>
      <w:r w:rsidRPr="000D7979">
        <w:rPr>
          <w:bCs/>
          <w:sz w:val="22"/>
          <w:szCs w:val="22"/>
          <w:lang w:val="sr-Latn-ME"/>
        </w:rPr>
        <w:t>Ovaj lijek sadrži manje od 1 mmola (23 mg) natrijuma po tableti, tj. zanemarljive količine natrijuma.</w:t>
      </w:r>
    </w:p>
    <w:p w:rsidR="00057E35" w:rsidRPr="000D7979" w:rsidRDefault="00057E35">
      <w:pPr>
        <w:tabs>
          <w:tab w:val="left" w:pos="540"/>
          <w:tab w:val="left" w:pos="569"/>
        </w:tabs>
        <w:jc w:val="both"/>
        <w:rPr>
          <w:bCs/>
          <w:sz w:val="22"/>
          <w:szCs w:val="22"/>
          <w:lang w:val="sr-Latn-ME"/>
        </w:rPr>
      </w:pPr>
    </w:p>
    <w:p w:rsidR="00411B4B" w:rsidRPr="000D7979" w:rsidRDefault="00411B4B" w:rsidP="00C45106">
      <w:pPr>
        <w:tabs>
          <w:tab w:val="left" w:pos="540"/>
          <w:tab w:val="left" w:pos="569"/>
        </w:tabs>
        <w:jc w:val="both"/>
        <w:rPr>
          <w:b/>
          <w:bCs/>
          <w:sz w:val="22"/>
          <w:szCs w:val="22"/>
          <w:lang w:val="sr-Latn-ME"/>
        </w:rPr>
      </w:pPr>
      <w:r w:rsidRPr="000D7979">
        <w:rPr>
          <w:b/>
          <w:bCs/>
          <w:sz w:val="22"/>
          <w:szCs w:val="22"/>
          <w:lang w:val="sr-Latn-ME"/>
        </w:rPr>
        <w:t>4.5.</w:t>
      </w:r>
      <w:r w:rsidR="000D60CC" w:rsidRPr="000D7979">
        <w:rPr>
          <w:b/>
          <w:bCs/>
          <w:sz w:val="22"/>
          <w:szCs w:val="22"/>
          <w:lang w:val="sr-Latn-ME"/>
        </w:rPr>
        <w:tab/>
      </w:r>
      <w:r w:rsidRPr="000D7979">
        <w:rPr>
          <w:b/>
          <w:bCs/>
          <w:sz w:val="22"/>
          <w:szCs w:val="22"/>
          <w:lang w:val="sr-Latn-ME"/>
        </w:rPr>
        <w:t>Interakcije sa drugim ljekovima i druge vrste interakcija</w:t>
      </w:r>
    </w:p>
    <w:p w:rsidR="00AA1F46" w:rsidRPr="000D7979" w:rsidRDefault="00AA1F46" w:rsidP="00C45106">
      <w:pPr>
        <w:tabs>
          <w:tab w:val="left" w:pos="540"/>
          <w:tab w:val="left" w:pos="569"/>
        </w:tabs>
        <w:jc w:val="both"/>
        <w:rPr>
          <w:b/>
          <w:bCs/>
          <w:sz w:val="22"/>
          <w:szCs w:val="22"/>
          <w:lang w:val="sr-Latn-ME"/>
        </w:rPr>
      </w:pPr>
    </w:p>
    <w:p w:rsidR="00AA1F46" w:rsidRPr="000D7979" w:rsidRDefault="00AA1F46" w:rsidP="00C00A05">
      <w:pPr>
        <w:tabs>
          <w:tab w:val="left" w:pos="540"/>
          <w:tab w:val="left" w:pos="569"/>
        </w:tabs>
        <w:jc w:val="both"/>
        <w:rPr>
          <w:bCs/>
          <w:sz w:val="22"/>
          <w:szCs w:val="22"/>
          <w:lang w:val="sr-Latn-ME"/>
        </w:rPr>
      </w:pPr>
      <w:r w:rsidRPr="000D7979">
        <w:rPr>
          <w:bCs/>
          <w:sz w:val="22"/>
          <w:szCs w:val="22"/>
          <w:u w:val="single"/>
          <w:lang w:val="sr-Latn-ME"/>
        </w:rPr>
        <w:t>Induktori metaboličkih enzima</w:t>
      </w:r>
    </w:p>
    <w:p w:rsidR="00AA1F46" w:rsidRPr="000D7979" w:rsidRDefault="00AA1F46" w:rsidP="00A13D0A">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Primjena rifampicina tokom 5 dana prije primjene jedne doze sorafeniba dovela je do prosječnog smanjenja PIK</w:t>
      </w:r>
      <w:r w:rsidR="00A33EAC" w:rsidRPr="000D7979">
        <w:rPr>
          <w:bCs/>
          <w:sz w:val="22"/>
          <w:szCs w:val="22"/>
          <w:lang w:val="sr-Latn-ME"/>
        </w:rPr>
        <w:t>-a</w:t>
      </w:r>
      <w:r w:rsidRPr="000D7979">
        <w:rPr>
          <w:bCs/>
          <w:sz w:val="22"/>
          <w:szCs w:val="22"/>
          <w:lang w:val="sr-Latn-ME"/>
        </w:rPr>
        <w:t xml:space="preserve"> sorafeniba od 37%. Drugi induktori aktivnosti CYP3A4 i/ili glukuronidacije (npr. </w:t>
      </w:r>
      <w:r w:rsidRPr="000D7979">
        <w:rPr>
          <w:bCs/>
          <w:i/>
          <w:sz w:val="22"/>
          <w:szCs w:val="22"/>
          <w:lang w:val="sr-Latn-ME"/>
        </w:rPr>
        <w:t xml:space="preserve">Hypericum perforatum, </w:t>
      </w:r>
      <w:r w:rsidRPr="000D7979">
        <w:rPr>
          <w:bCs/>
          <w:sz w:val="22"/>
          <w:szCs w:val="22"/>
          <w:lang w:val="sr-Latn-ME"/>
        </w:rPr>
        <w:t>poznat i kao kantarion, fenitoin, karbamazepin, fenobarbit</w:t>
      </w:r>
      <w:r w:rsidR="00A33EAC" w:rsidRPr="000D7979">
        <w:rPr>
          <w:bCs/>
          <w:sz w:val="22"/>
          <w:szCs w:val="22"/>
          <w:lang w:val="sr-Latn-ME"/>
        </w:rPr>
        <w:t>o</w:t>
      </w:r>
      <w:r w:rsidRPr="000D7979">
        <w:rPr>
          <w:bCs/>
          <w:sz w:val="22"/>
          <w:szCs w:val="22"/>
          <w:lang w:val="sr-Latn-ME"/>
        </w:rPr>
        <w:t>l i deksametazon) takođe mogu da ubrzaju metabolizam sorafeniba, snižavajući time njegovu koncentraciju u plazmi.</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Inhibitori CYP3A4</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Ketokonazol, snažan inhibitor CYP3A4, primjenjivan kod zdravih dobrovoljaca muškog pola jednom dnevno tokom 7 dana, nije mijenjao prosječni PIK pojedinačne doze od 50 mg sorafeniba. Ovi podaci upućuju na to da kliničke farmakokinetičke interakcije sorafeniba i inhibitora CYP3A4 ni</w:t>
      </w:r>
      <w:r w:rsidR="00A33EAC" w:rsidRPr="000D7979">
        <w:rPr>
          <w:bCs/>
          <w:sz w:val="22"/>
          <w:szCs w:val="22"/>
          <w:lang w:val="sr-Latn-ME"/>
        </w:rPr>
        <w:t>je</w:t>
      </w:r>
      <w:r w:rsidRPr="000D7979">
        <w:rPr>
          <w:bCs/>
          <w:sz w:val="22"/>
          <w:szCs w:val="22"/>
          <w:lang w:val="sr-Latn-ME"/>
        </w:rPr>
        <w:t>su vjerovatne.</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Supstrati CYP2B6, CYP2C8 i CYP2C9</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 xml:space="preserve">U </w:t>
      </w:r>
      <w:r w:rsidRPr="000D7979">
        <w:rPr>
          <w:bCs/>
          <w:i/>
          <w:sz w:val="22"/>
          <w:szCs w:val="22"/>
          <w:lang w:val="sr-Latn-ME"/>
        </w:rPr>
        <w:t xml:space="preserve">in vitro </w:t>
      </w:r>
      <w:r w:rsidRPr="000D7979">
        <w:rPr>
          <w:bCs/>
          <w:sz w:val="22"/>
          <w:szCs w:val="22"/>
          <w:lang w:val="sr-Latn-ME"/>
        </w:rPr>
        <w:t xml:space="preserve">uslovima, sorafenib podjednako inhibira CYP2B6, CYP2C8 i CYP2C9. Međutim, u kliničkim farmakokinetičkim studijama, istovremena primjena 400 mg sorafeniba dva puta dnevno sa ciklofosfamidom, supstratom CYP2B6 ili paklitakselom, supstratom CYP2C8 nije izazvala klinički značajnu inhibiciju. Ovi podaci ukazuju da je moguće da sorafenib pri preporučenoj dozi od 400 mg dva puta dnevno nije </w:t>
      </w:r>
      <w:r w:rsidRPr="000D7979">
        <w:rPr>
          <w:bCs/>
          <w:i/>
          <w:sz w:val="22"/>
          <w:szCs w:val="22"/>
          <w:lang w:val="sr-Latn-ME"/>
        </w:rPr>
        <w:t xml:space="preserve">in vivo </w:t>
      </w:r>
      <w:r w:rsidRPr="000D7979">
        <w:rPr>
          <w:bCs/>
          <w:sz w:val="22"/>
          <w:szCs w:val="22"/>
          <w:lang w:val="sr-Latn-ME"/>
        </w:rPr>
        <w:t>inhibitor enzima CYP2B6 ili CYP2C8.</w:t>
      </w:r>
    </w:p>
    <w:p w:rsidR="00AA1F46" w:rsidRPr="000D7979" w:rsidRDefault="00AA1F46">
      <w:pPr>
        <w:tabs>
          <w:tab w:val="left" w:pos="540"/>
          <w:tab w:val="left" w:pos="569"/>
        </w:tabs>
        <w:jc w:val="both"/>
        <w:rPr>
          <w:bCs/>
          <w:sz w:val="22"/>
          <w:szCs w:val="22"/>
          <w:lang w:val="sr-Latn-ME"/>
        </w:rPr>
      </w:pPr>
      <w:r w:rsidRPr="000D7979">
        <w:rPr>
          <w:bCs/>
          <w:sz w:val="22"/>
          <w:szCs w:val="22"/>
          <w:lang w:val="sr-Latn-ME"/>
        </w:rPr>
        <w:t xml:space="preserve">Dodatno, u poređenju sa placebom, istovremena terapija sorafenibom i varfarinom, supstratom CYP2C9, nije izazvala promjene u srednjoj vrijednosti PV-INR u odnosu na placebo. Zbog toga se takođe može očekivati da je rizik za klinički značajnu </w:t>
      </w:r>
      <w:r w:rsidRPr="000D7979">
        <w:rPr>
          <w:bCs/>
          <w:i/>
          <w:sz w:val="22"/>
          <w:szCs w:val="22"/>
          <w:lang w:val="sr-Latn-ME"/>
        </w:rPr>
        <w:t xml:space="preserve">in vivo </w:t>
      </w:r>
      <w:r w:rsidRPr="000D7979">
        <w:rPr>
          <w:bCs/>
          <w:sz w:val="22"/>
          <w:szCs w:val="22"/>
          <w:lang w:val="sr-Latn-ME"/>
        </w:rPr>
        <w:t xml:space="preserve">inhibiciju CYP2C9 nizak. Ipak kod pacijenata koji uzimaju varfarin ili fenprokumon treba redovno kontrolisati INR (vidjeti </w:t>
      </w:r>
      <w:r w:rsidR="00A33EAC" w:rsidRPr="000D7979">
        <w:rPr>
          <w:bCs/>
          <w:sz w:val="22"/>
          <w:szCs w:val="22"/>
          <w:lang w:val="sr-Latn-ME"/>
        </w:rPr>
        <w:t xml:space="preserve">dio </w:t>
      </w:r>
      <w:r w:rsidRPr="000D7979">
        <w:rPr>
          <w:bCs/>
          <w:sz w:val="22"/>
          <w:szCs w:val="22"/>
          <w:lang w:val="sr-Latn-ME"/>
        </w:rPr>
        <w:t>4.4).</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Supstrati CYP3A4, CYP2D6 i CYP2C19</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Istovremena primjena sorafeniba i midazolama, dekstromorfana ili omeprazola koji su supstrati citohroma CYP3A4, CYP2D6 odnosno CYP2C19 nije promijenila izloženost ovim ljekovima. To ukazuje da sorafenib nije inhibitor ni induktor ovih citohrom P450 izoenzima. Stoga kliničke farmakokinetičke interakcije sorafeniba sa supstratima tih enzima ni</w:t>
      </w:r>
      <w:r w:rsidR="00A33EAC" w:rsidRPr="000D7979">
        <w:rPr>
          <w:bCs/>
          <w:sz w:val="22"/>
          <w:szCs w:val="22"/>
          <w:lang w:val="sr-Latn-ME"/>
        </w:rPr>
        <w:t>je</w:t>
      </w:r>
      <w:r w:rsidRPr="000D7979">
        <w:rPr>
          <w:bCs/>
          <w:sz w:val="22"/>
          <w:szCs w:val="22"/>
          <w:lang w:val="sr-Latn-ME"/>
        </w:rPr>
        <w:t>su vjerovatne.</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Supstrati UGT1A1 i UGT1A9</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 xml:space="preserve">U </w:t>
      </w:r>
      <w:r w:rsidRPr="000D7979">
        <w:rPr>
          <w:bCs/>
          <w:i/>
          <w:sz w:val="22"/>
          <w:szCs w:val="22"/>
          <w:lang w:val="sr-Latn-ME"/>
        </w:rPr>
        <w:t xml:space="preserve">in vitro </w:t>
      </w:r>
      <w:r w:rsidRPr="000D7979">
        <w:rPr>
          <w:bCs/>
          <w:sz w:val="22"/>
          <w:szCs w:val="22"/>
          <w:lang w:val="sr-Latn-ME"/>
        </w:rPr>
        <w:t xml:space="preserve">uslovima, sorafenib je inhibirao glukuronidaciju koja se odvija putem UGT1A1 i UGT1A9. Klinički značaj ovog nalaza nije poznat (vidjeti </w:t>
      </w:r>
      <w:r w:rsidR="00A33EAC" w:rsidRPr="000D7979">
        <w:rPr>
          <w:bCs/>
          <w:sz w:val="22"/>
          <w:szCs w:val="22"/>
          <w:lang w:val="sr-Latn-ME"/>
        </w:rPr>
        <w:t xml:space="preserve">dio </w:t>
      </w:r>
      <w:r w:rsidRPr="000D7979">
        <w:rPr>
          <w:bCs/>
          <w:sz w:val="22"/>
          <w:szCs w:val="22"/>
          <w:lang w:val="sr-Latn-ME"/>
        </w:rPr>
        <w:t>4.4).</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i/>
          <w:sz w:val="22"/>
          <w:szCs w:val="22"/>
          <w:u w:val="single"/>
          <w:lang w:val="sr-Latn-ME"/>
        </w:rPr>
        <w:t xml:space="preserve">In vitro </w:t>
      </w:r>
      <w:r w:rsidRPr="000D7979">
        <w:rPr>
          <w:bCs/>
          <w:sz w:val="22"/>
          <w:szCs w:val="22"/>
          <w:u w:val="single"/>
          <w:lang w:val="sr-Latn-ME"/>
        </w:rPr>
        <w:t>studije indukcije enzima CYP</w:t>
      </w:r>
      <w:r w:rsidR="002F745E" w:rsidRPr="000D7979">
        <w:rPr>
          <w:bCs/>
          <w:sz w:val="22"/>
          <w:szCs w:val="22"/>
          <w:u w:val="single"/>
          <w:lang w:val="sr-Latn-ME"/>
        </w:rPr>
        <w:t>-a</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Nakon tretiranja kultura humanih ćelija jetre sorafenibom, aktivnost CYP1A2 i CYP3A4 se nije promijenila, što ukazuje na to da sorafenib vjerovatno nije induktor CYP1A2 i CYP3A4.</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P-gp supstrati</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 xml:space="preserve">U </w:t>
      </w:r>
      <w:r w:rsidRPr="000D7979">
        <w:rPr>
          <w:bCs/>
          <w:i/>
          <w:sz w:val="22"/>
          <w:szCs w:val="22"/>
          <w:lang w:val="sr-Latn-ME"/>
        </w:rPr>
        <w:t xml:space="preserve">in vitro </w:t>
      </w:r>
      <w:r w:rsidRPr="000D7979">
        <w:rPr>
          <w:bCs/>
          <w:sz w:val="22"/>
          <w:szCs w:val="22"/>
          <w:lang w:val="sr-Latn-ME"/>
        </w:rPr>
        <w:t>uslovima se pokazalo da sorafenib inhibira transportni protein p-glikoprotein (P-gp). Pri istovremenoj primjeni sorafeniba, mogućnost povećanja koncentracija supstrata P-gp</w:t>
      </w:r>
      <w:r w:rsidR="002F745E" w:rsidRPr="000D7979">
        <w:rPr>
          <w:bCs/>
          <w:sz w:val="22"/>
          <w:szCs w:val="22"/>
          <w:lang w:val="sr-Latn-ME"/>
        </w:rPr>
        <w:t>-a</w:t>
      </w:r>
      <w:r w:rsidRPr="000D7979">
        <w:rPr>
          <w:bCs/>
          <w:sz w:val="22"/>
          <w:szCs w:val="22"/>
          <w:lang w:val="sr-Latn-ME"/>
        </w:rPr>
        <w:t xml:space="preserve"> u plazmi, kakav je digoksin se ne može isključiti.</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u w:val="single"/>
          <w:lang w:val="sr-Latn-ME"/>
        </w:rPr>
        <w:t>Kombinacija sa drugim antineoplasticima</w:t>
      </w:r>
    </w:p>
    <w:p w:rsidR="00AA1F46" w:rsidRPr="000D7979" w:rsidRDefault="00AA1F46">
      <w:pPr>
        <w:tabs>
          <w:tab w:val="left" w:pos="540"/>
          <w:tab w:val="left" w:pos="569"/>
        </w:tabs>
        <w:jc w:val="both"/>
        <w:rPr>
          <w:bCs/>
          <w:sz w:val="22"/>
          <w:szCs w:val="22"/>
          <w:lang w:val="sr-Latn-ME"/>
        </w:rPr>
      </w:pPr>
    </w:p>
    <w:p w:rsidR="00AA1F46" w:rsidRPr="000D7979" w:rsidRDefault="00AA1F46">
      <w:pPr>
        <w:tabs>
          <w:tab w:val="left" w:pos="540"/>
          <w:tab w:val="left" w:pos="569"/>
        </w:tabs>
        <w:jc w:val="both"/>
        <w:rPr>
          <w:bCs/>
          <w:sz w:val="22"/>
          <w:szCs w:val="22"/>
          <w:lang w:val="sr-Latn-ME"/>
        </w:rPr>
      </w:pPr>
      <w:r w:rsidRPr="000D7979">
        <w:rPr>
          <w:bCs/>
          <w:sz w:val="22"/>
          <w:szCs w:val="22"/>
          <w:lang w:val="sr-Latn-ME"/>
        </w:rPr>
        <w:t>U kliničkim studijama, sorafenib je primjenjivan u kombinaciji sa uobičajenim dozama različitih antineoplastika, uključujući gemcitabin, cisplatin, oksaliplatin, paklitaksel, karboplatin, kapecitabin, doksorubicin, irinotekan, docetaksel i ciklofosfamid. Sorafenib nije imao klinički značajan uticaj na farmakokinetiku gemcitabina, cisplatina, karboplatina, oksaliplatina ili ciklofosfamida.</w:t>
      </w:r>
    </w:p>
    <w:p w:rsidR="0072020E" w:rsidRPr="000D7979" w:rsidRDefault="0072020E">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u w:val="single"/>
          <w:lang w:val="sr-Latn-ME"/>
        </w:rPr>
        <w:t>Paklitaksel/karboplatin</w:t>
      </w:r>
    </w:p>
    <w:p w:rsidR="00D81D70" w:rsidRPr="000D7979" w:rsidRDefault="00D81D70">
      <w:pPr>
        <w:tabs>
          <w:tab w:val="left" w:pos="540"/>
          <w:tab w:val="left" w:pos="569"/>
        </w:tabs>
        <w:jc w:val="both"/>
        <w:rPr>
          <w:bCs/>
          <w:sz w:val="22"/>
          <w:szCs w:val="22"/>
          <w:lang w:val="sr-Latn-ME"/>
        </w:rPr>
      </w:pPr>
    </w:p>
    <w:p w:rsidR="00D81D70" w:rsidRPr="000D7979" w:rsidRDefault="00D81D70">
      <w:pPr>
        <w:numPr>
          <w:ilvl w:val="0"/>
          <w:numId w:val="12"/>
        </w:numPr>
        <w:tabs>
          <w:tab w:val="left" w:pos="540"/>
          <w:tab w:val="left" w:pos="569"/>
        </w:tabs>
        <w:jc w:val="both"/>
        <w:rPr>
          <w:bCs/>
          <w:sz w:val="22"/>
          <w:szCs w:val="22"/>
          <w:lang w:val="sr-Latn-ME"/>
        </w:rPr>
      </w:pPr>
      <w:r w:rsidRPr="000D7979">
        <w:rPr>
          <w:bCs/>
          <w:sz w:val="22"/>
          <w:szCs w:val="22"/>
          <w:lang w:val="sr-Latn-ME"/>
        </w:rPr>
        <w:t>Primjena paklitaksela (225 mg/m</w:t>
      </w:r>
      <w:r w:rsidRPr="000D7979">
        <w:rPr>
          <w:bCs/>
          <w:sz w:val="22"/>
          <w:szCs w:val="22"/>
          <w:vertAlign w:val="superscript"/>
          <w:lang w:val="sr-Latn-ME"/>
        </w:rPr>
        <w:t>2</w:t>
      </w:r>
      <w:r w:rsidRPr="000D7979">
        <w:rPr>
          <w:bCs/>
          <w:sz w:val="22"/>
          <w:szCs w:val="22"/>
          <w:lang w:val="sr-Latn-ME"/>
        </w:rPr>
        <w:t>) i karboplatina (PIK = 6) sa sorafenibom (≤ 400 mg dva puta dnevno), sa trodnevnim prekidom u doziranju sorafeniba (dva dana prije i na dan primjene paklitaksela/karboplatina), nije izazvala značajniji uticaj na farmakokinetiku paklitaksela.</w:t>
      </w:r>
    </w:p>
    <w:p w:rsidR="00D81D70" w:rsidRPr="000D7979" w:rsidRDefault="00D81D70">
      <w:pPr>
        <w:numPr>
          <w:ilvl w:val="0"/>
          <w:numId w:val="12"/>
        </w:numPr>
        <w:tabs>
          <w:tab w:val="left" w:pos="540"/>
          <w:tab w:val="left" w:pos="569"/>
        </w:tabs>
        <w:jc w:val="both"/>
        <w:rPr>
          <w:bCs/>
          <w:sz w:val="22"/>
          <w:szCs w:val="22"/>
          <w:lang w:val="sr-Latn-ME"/>
        </w:rPr>
      </w:pPr>
      <w:r w:rsidRPr="000D7979">
        <w:rPr>
          <w:bCs/>
          <w:sz w:val="22"/>
          <w:szCs w:val="22"/>
          <w:lang w:val="sr-Latn-ME"/>
        </w:rPr>
        <w:t>Istovremena primjena paklitaksela (225 mg/m</w:t>
      </w:r>
      <w:r w:rsidRPr="000D7979">
        <w:rPr>
          <w:bCs/>
          <w:sz w:val="22"/>
          <w:szCs w:val="22"/>
          <w:vertAlign w:val="superscript"/>
          <w:lang w:val="sr-Latn-ME"/>
        </w:rPr>
        <w:t>2</w:t>
      </w:r>
      <w:r w:rsidRPr="000D7979">
        <w:rPr>
          <w:bCs/>
          <w:sz w:val="22"/>
          <w:szCs w:val="22"/>
          <w:lang w:val="sr-Latn-ME"/>
        </w:rPr>
        <w:t>, jednom na svake 3 nedjelje) i karboplatina (PIK = 6) sa sorafenibom (400 mg dva puta dnevno bez prekida u doziranju sorafeniba) dovela je do 47%-tnog povećanja izloženosti sorafenibu, do 29%-tnog povećanja izloženosti paklitakselu i do 50%- tnog povećanja izloženosti 6-OH paklitakselu. Nije bilo uticaja na farmakokinetiku karboplatina.</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lang w:val="sr-Latn-ME"/>
        </w:rPr>
        <w:t>Ovi podaci pokazuju da nema potrebe za prilagođavanjem doze kada se paklitaksel i karboplatin primjenjuju istovremeno sa sorafenibom uz trodnevni prekid u doziranju sorafeniba (dva dana prije i na dan primjene paklitaksela/karboplatina). Klinički značaj povećanja nivoa izloženosti sorafenibu i paklitakselu nakon istovremene primjene sorafeniba bez prekida u doziranju, nije poznat.</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u w:val="single"/>
          <w:lang w:val="sr-Latn-ME"/>
        </w:rPr>
        <w:t>Kapecitabin</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lang w:val="sr-Latn-ME"/>
        </w:rPr>
        <w:t>Istovremena primjena kapecitabina (750-1050 mg/m</w:t>
      </w:r>
      <w:r w:rsidRPr="000D7979">
        <w:rPr>
          <w:bCs/>
          <w:sz w:val="22"/>
          <w:szCs w:val="22"/>
          <w:vertAlign w:val="superscript"/>
          <w:lang w:val="sr-Latn-ME"/>
        </w:rPr>
        <w:t>2</w:t>
      </w:r>
      <w:r w:rsidRPr="000D7979">
        <w:rPr>
          <w:bCs/>
          <w:sz w:val="22"/>
          <w:szCs w:val="22"/>
          <w:lang w:val="sr-Latn-ME"/>
        </w:rPr>
        <w:t xml:space="preserve"> dva puta dnevno, od 1. do14. dana u svakom ciklusu od 21 dan) i sorafeniba (200 ili 400 mg dva puta dnevno, kontinuirana, neprekinuta primjena) nije dovela do značajne promjene izloženosti sorafenibu, ali je došlo do porasta od 15-50% u izloženosti kapecitabinu i porasta od 0-52% u izloženosti 5-FU. Klinički značaj ovih malih do umjerenih povećanja izloženosti 5-FU i kapecitabinu kad se primjenjuju istovremeno sa sorafenibom nije poznat.</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u w:val="single"/>
          <w:lang w:val="sr-Latn-ME"/>
        </w:rPr>
        <w:t>Doksorubicin/irinotekan</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lang w:val="sr-Latn-ME"/>
        </w:rPr>
        <w:t>Istovremena primjena sa sorafenibom dovela je do povećanja PIK</w:t>
      </w:r>
      <w:r w:rsidR="00FE2361" w:rsidRPr="000D7979">
        <w:rPr>
          <w:bCs/>
          <w:sz w:val="22"/>
          <w:szCs w:val="22"/>
          <w:lang w:val="sr-Latn-ME"/>
        </w:rPr>
        <w:t>-a</w:t>
      </w:r>
      <w:r w:rsidRPr="000D7979">
        <w:rPr>
          <w:bCs/>
          <w:sz w:val="22"/>
          <w:szCs w:val="22"/>
          <w:lang w:val="sr-Latn-ME"/>
        </w:rPr>
        <w:t xml:space="preserve"> doksorubicina za 21%. Kada se primjenjivao sa irinotekanom čiji se aktivni metabolit SN-38 dalje metaboliše preko UGT1A1 zabilježeno je 67-120%-tno povećanje PIK SN-38, i 26-42%-tno povećanje PIK</w:t>
      </w:r>
      <w:r w:rsidR="00FE2361" w:rsidRPr="000D7979">
        <w:rPr>
          <w:bCs/>
          <w:sz w:val="22"/>
          <w:szCs w:val="22"/>
          <w:lang w:val="sr-Latn-ME"/>
        </w:rPr>
        <w:t>-a</w:t>
      </w:r>
      <w:r w:rsidRPr="000D7979">
        <w:rPr>
          <w:bCs/>
          <w:sz w:val="22"/>
          <w:szCs w:val="22"/>
          <w:lang w:val="sr-Latn-ME"/>
        </w:rPr>
        <w:t xml:space="preserve"> irinotekana. Klinički značaj ovih nalaza nije poznat (vidjeti </w:t>
      </w:r>
      <w:r w:rsidR="00FE2361" w:rsidRPr="000D7979">
        <w:rPr>
          <w:bCs/>
          <w:sz w:val="22"/>
          <w:szCs w:val="22"/>
          <w:lang w:val="sr-Latn-ME"/>
        </w:rPr>
        <w:t xml:space="preserve">dio </w:t>
      </w:r>
      <w:r w:rsidRPr="000D7979">
        <w:rPr>
          <w:bCs/>
          <w:sz w:val="22"/>
          <w:szCs w:val="22"/>
          <w:lang w:val="sr-Latn-ME"/>
        </w:rPr>
        <w:t>4.4).</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u w:val="single"/>
          <w:lang w:val="sr-Latn-ME"/>
        </w:rPr>
        <w:t>Docetaksel</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lang w:val="sr-Latn-ME"/>
        </w:rPr>
        <w:t>Istovremena primjena docetaksela (75 ili 100 mg/m</w:t>
      </w:r>
      <w:r w:rsidRPr="000D7979">
        <w:rPr>
          <w:bCs/>
          <w:sz w:val="22"/>
          <w:szCs w:val="22"/>
          <w:vertAlign w:val="superscript"/>
          <w:lang w:val="sr-Latn-ME"/>
        </w:rPr>
        <w:t>2</w:t>
      </w:r>
      <w:r w:rsidRPr="000D7979">
        <w:rPr>
          <w:bCs/>
          <w:sz w:val="22"/>
          <w:szCs w:val="22"/>
          <w:lang w:val="sr-Latn-ME"/>
        </w:rPr>
        <w:t xml:space="preserve"> </w:t>
      </w:r>
      <w:r w:rsidR="00FE2361" w:rsidRPr="000D7979">
        <w:rPr>
          <w:bCs/>
          <w:sz w:val="22"/>
          <w:szCs w:val="22"/>
          <w:lang w:val="sr-Latn-ME"/>
        </w:rPr>
        <w:t xml:space="preserve">primijenjen </w:t>
      </w:r>
      <w:r w:rsidRPr="000D7979">
        <w:rPr>
          <w:bCs/>
          <w:sz w:val="22"/>
          <w:szCs w:val="22"/>
          <w:lang w:val="sr-Latn-ME"/>
        </w:rPr>
        <w:t>jednom na svakih 21 dan) sa sorafenibom (200 mg dva puta dnevno ili 400 mg dva puta dnevno od 2. do 19. dana tokom ciklusa od 21 dana sa trodnevnim  prekidom u doziranju docetaksela) dovela je do povećanja PIK</w:t>
      </w:r>
      <w:r w:rsidR="00FE2361" w:rsidRPr="000D7979">
        <w:rPr>
          <w:bCs/>
          <w:sz w:val="22"/>
          <w:szCs w:val="22"/>
          <w:lang w:val="sr-Latn-ME"/>
        </w:rPr>
        <w:t>-a</w:t>
      </w:r>
      <w:r w:rsidRPr="000D7979">
        <w:rPr>
          <w:bCs/>
          <w:sz w:val="22"/>
          <w:szCs w:val="22"/>
          <w:lang w:val="sr-Latn-ME"/>
        </w:rPr>
        <w:t xml:space="preserve"> docetaksela od 36-80% i povećanja Cmax docetaksela od 16-32%. Preporučuje se oprez kada se sorafenib primjenjuje istovremeno sa docetakselom (vidjeti </w:t>
      </w:r>
      <w:r w:rsidR="00FE2361" w:rsidRPr="000D7979">
        <w:rPr>
          <w:bCs/>
          <w:sz w:val="22"/>
          <w:szCs w:val="22"/>
          <w:lang w:val="sr-Latn-ME"/>
        </w:rPr>
        <w:t xml:space="preserve">dio </w:t>
      </w:r>
      <w:r w:rsidRPr="000D7979">
        <w:rPr>
          <w:bCs/>
          <w:sz w:val="22"/>
          <w:szCs w:val="22"/>
          <w:lang w:val="sr-Latn-ME"/>
        </w:rPr>
        <w:t>4.4).</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u w:val="single"/>
          <w:lang w:val="sr-Latn-ME"/>
        </w:rPr>
        <w:t>Kombinacije sa drugim ljekovima</w:t>
      </w:r>
    </w:p>
    <w:p w:rsidR="00D81D70" w:rsidRPr="000D7979" w:rsidRDefault="00D81D70">
      <w:pPr>
        <w:tabs>
          <w:tab w:val="left" w:pos="540"/>
          <w:tab w:val="left" w:pos="569"/>
        </w:tabs>
        <w:jc w:val="both"/>
        <w:rPr>
          <w:bCs/>
          <w:sz w:val="22"/>
          <w:szCs w:val="22"/>
          <w:lang w:val="sr-Latn-ME"/>
        </w:rPr>
      </w:pPr>
    </w:p>
    <w:p w:rsidR="00D81D70" w:rsidRPr="000D7979" w:rsidRDefault="00D81D70">
      <w:pPr>
        <w:tabs>
          <w:tab w:val="left" w:pos="540"/>
          <w:tab w:val="left" w:pos="569"/>
        </w:tabs>
        <w:jc w:val="both"/>
        <w:rPr>
          <w:bCs/>
          <w:i/>
          <w:sz w:val="22"/>
          <w:szCs w:val="22"/>
          <w:lang w:val="sr-Latn-ME"/>
        </w:rPr>
      </w:pPr>
      <w:r w:rsidRPr="000D7979">
        <w:rPr>
          <w:bCs/>
          <w:i/>
          <w:sz w:val="22"/>
          <w:szCs w:val="22"/>
          <w:lang w:val="sr-Latn-ME"/>
        </w:rPr>
        <w:t>Neomicin</w:t>
      </w:r>
    </w:p>
    <w:p w:rsidR="00D81D70" w:rsidRPr="000D7979" w:rsidRDefault="00D81D70">
      <w:pPr>
        <w:tabs>
          <w:tab w:val="left" w:pos="540"/>
          <w:tab w:val="left" w:pos="569"/>
        </w:tabs>
        <w:jc w:val="both"/>
        <w:rPr>
          <w:bCs/>
          <w:i/>
          <w:sz w:val="22"/>
          <w:szCs w:val="22"/>
          <w:lang w:val="sr-Latn-ME"/>
        </w:rPr>
      </w:pPr>
    </w:p>
    <w:p w:rsidR="00D81D70" w:rsidRPr="000D7979" w:rsidRDefault="00D81D70">
      <w:pPr>
        <w:tabs>
          <w:tab w:val="left" w:pos="540"/>
          <w:tab w:val="left" w:pos="569"/>
        </w:tabs>
        <w:jc w:val="both"/>
        <w:rPr>
          <w:bCs/>
          <w:sz w:val="22"/>
          <w:szCs w:val="22"/>
          <w:lang w:val="sr-Latn-ME"/>
        </w:rPr>
      </w:pPr>
      <w:r w:rsidRPr="000D7979">
        <w:rPr>
          <w:bCs/>
          <w:sz w:val="22"/>
          <w:szCs w:val="22"/>
          <w:lang w:val="sr-Latn-ME"/>
        </w:rPr>
        <w:t xml:space="preserve">Istovremena primjena neomicina, nesistemskog antimikrobnog lijeka koji se koristi za eradikaciju gastrointestinalne flore, utiče na enterohepatično recikliranje sorafeniba (vidjeti </w:t>
      </w:r>
      <w:r w:rsidR="00FE2361" w:rsidRPr="000D7979">
        <w:rPr>
          <w:bCs/>
          <w:sz w:val="22"/>
          <w:szCs w:val="22"/>
          <w:lang w:val="sr-Latn-ME"/>
        </w:rPr>
        <w:t xml:space="preserve">dio </w:t>
      </w:r>
      <w:r w:rsidRPr="000D7979">
        <w:rPr>
          <w:bCs/>
          <w:sz w:val="22"/>
          <w:szCs w:val="22"/>
          <w:lang w:val="sr-Latn-ME"/>
        </w:rPr>
        <w:t>5.2, Metabolizam i eliminacija) što izaziva smanjeno izlaganje sorafenibu. Kod zdravih dobrovoljaca koji su liječeni neomicinom tokom 5 dana, prosječna izloženost sorafenibu smanjila se za 54%. Dejstva drugih antibiotika ni</w:t>
      </w:r>
      <w:r w:rsidR="00FE2361" w:rsidRPr="000D7979">
        <w:rPr>
          <w:bCs/>
          <w:sz w:val="22"/>
          <w:szCs w:val="22"/>
          <w:lang w:val="sr-Latn-ME"/>
        </w:rPr>
        <w:t>je</w:t>
      </w:r>
      <w:r w:rsidRPr="000D7979">
        <w:rPr>
          <w:bCs/>
          <w:sz w:val="22"/>
          <w:szCs w:val="22"/>
          <w:lang w:val="sr-Latn-ME"/>
        </w:rPr>
        <w:t>su istraživana</w:t>
      </w:r>
      <w:r w:rsidR="00FE2361" w:rsidRPr="000D7979">
        <w:rPr>
          <w:bCs/>
          <w:sz w:val="22"/>
          <w:szCs w:val="22"/>
          <w:lang w:val="sr-Latn-ME"/>
        </w:rPr>
        <w:t>,</w:t>
      </w:r>
      <w:r w:rsidRPr="000D7979">
        <w:rPr>
          <w:bCs/>
          <w:sz w:val="22"/>
          <w:szCs w:val="22"/>
          <w:lang w:val="sr-Latn-ME"/>
        </w:rPr>
        <w:t xml:space="preserve"> ali će vjerovatno zavisiti od njihove sposobnosti da utiču na mikroorganizme koji iskazuju aktivnost glukuronidaze.</w:t>
      </w:r>
    </w:p>
    <w:p w:rsidR="00D81D70" w:rsidRPr="000D7979" w:rsidRDefault="00D81D70">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sz w:val="22"/>
          <w:szCs w:val="22"/>
          <w:lang w:val="sr-Latn-ME"/>
        </w:rPr>
      </w:pPr>
      <w:r w:rsidRPr="000D7979">
        <w:rPr>
          <w:b/>
          <w:bCs/>
          <w:sz w:val="22"/>
          <w:szCs w:val="22"/>
          <w:lang w:val="sr-Latn-ME"/>
        </w:rPr>
        <w:t xml:space="preserve">4.6. </w:t>
      </w:r>
      <w:r w:rsidR="00480FB1" w:rsidRPr="000D7979">
        <w:rPr>
          <w:b/>
          <w:bCs/>
          <w:sz w:val="22"/>
          <w:szCs w:val="22"/>
          <w:lang w:val="sr-Latn-ME"/>
        </w:rPr>
        <w:tab/>
      </w:r>
      <w:r w:rsidR="006D20A5" w:rsidRPr="000D7979">
        <w:rPr>
          <w:b/>
          <w:sz w:val="22"/>
          <w:szCs w:val="22"/>
          <w:lang w:val="sr-Latn-ME"/>
        </w:rPr>
        <w:t>Plodnost, trudnoća i dojenje</w:t>
      </w:r>
    </w:p>
    <w:p w:rsidR="002031B3" w:rsidRPr="000D7979" w:rsidRDefault="002031B3" w:rsidP="00C45106">
      <w:pPr>
        <w:tabs>
          <w:tab w:val="left" w:pos="540"/>
          <w:tab w:val="left" w:pos="569"/>
        </w:tabs>
        <w:jc w:val="both"/>
        <w:rPr>
          <w:sz w:val="22"/>
          <w:szCs w:val="22"/>
          <w:u w:val="single"/>
          <w:lang w:val="sr-Latn-ME"/>
        </w:rPr>
      </w:pPr>
    </w:p>
    <w:p w:rsidR="002031B3" w:rsidRPr="000D7979" w:rsidRDefault="002031B3" w:rsidP="00C45106">
      <w:pPr>
        <w:tabs>
          <w:tab w:val="left" w:pos="540"/>
          <w:tab w:val="left" w:pos="569"/>
        </w:tabs>
        <w:jc w:val="both"/>
        <w:rPr>
          <w:sz w:val="22"/>
          <w:szCs w:val="22"/>
          <w:u w:val="single"/>
          <w:lang w:val="sr-Latn-ME"/>
        </w:rPr>
      </w:pPr>
      <w:r w:rsidRPr="000D7979">
        <w:rPr>
          <w:sz w:val="22"/>
          <w:szCs w:val="22"/>
          <w:u w:val="single"/>
          <w:lang w:val="sr-Latn-ME"/>
        </w:rPr>
        <w:t>Plodnost</w:t>
      </w:r>
    </w:p>
    <w:p w:rsidR="00D81D70" w:rsidRPr="000D7979" w:rsidRDefault="00D81D70" w:rsidP="00C00A05">
      <w:pPr>
        <w:tabs>
          <w:tab w:val="left" w:pos="540"/>
          <w:tab w:val="left" w:pos="569"/>
        </w:tabs>
        <w:jc w:val="both"/>
        <w:rPr>
          <w:sz w:val="22"/>
          <w:szCs w:val="22"/>
          <w:lang w:val="sr-Latn-ME"/>
        </w:rPr>
      </w:pPr>
      <w:r w:rsidRPr="000D7979">
        <w:rPr>
          <w:sz w:val="22"/>
          <w:szCs w:val="22"/>
          <w:lang w:val="sr-Latn-ME"/>
        </w:rPr>
        <w:t xml:space="preserve">Rezultati studija sprovedenih na životinjama ukazuju da sorafenib može smanjiti plodnost kod muškaraca i žena (vidjeti </w:t>
      </w:r>
      <w:r w:rsidR="009F5D6A" w:rsidRPr="000D7979">
        <w:rPr>
          <w:sz w:val="22"/>
          <w:szCs w:val="22"/>
          <w:lang w:val="sr-Latn-ME"/>
        </w:rPr>
        <w:t xml:space="preserve">dio </w:t>
      </w:r>
      <w:r w:rsidRPr="000D7979">
        <w:rPr>
          <w:sz w:val="22"/>
          <w:szCs w:val="22"/>
          <w:lang w:val="sr-Latn-ME"/>
        </w:rPr>
        <w:t>5.3).</w:t>
      </w:r>
    </w:p>
    <w:p w:rsidR="002031B3" w:rsidRPr="000D7979" w:rsidRDefault="002031B3" w:rsidP="00A13D0A">
      <w:pPr>
        <w:tabs>
          <w:tab w:val="left" w:pos="540"/>
          <w:tab w:val="left" w:pos="569"/>
        </w:tabs>
        <w:jc w:val="both"/>
        <w:rPr>
          <w:sz w:val="22"/>
          <w:szCs w:val="22"/>
          <w:lang w:val="sr-Latn-ME"/>
        </w:rPr>
      </w:pPr>
    </w:p>
    <w:p w:rsidR="007A3ECB" w:rsidRPr="000D7979" w:rsidRDefault="007A3ECB" w:rsidP="00C45106">
      <w:pPr>
        <w:tabs>
          <w:tab w:val="left" w:pos="540"/>
          <w:tab w:val="left" w:pos="569"/>
        </w:tabs>
        <w:jc w:val="both"/>
        <w:rPr>
          <w:sz w:val="22"/>
          <w:szCs w:val="22"/>
          <w:u w:val="single"/>
          <w:lang w:val="sr-Latn-ME"/>
        </w:rPr>
      </w:pPr>
      <w:r w:rsidRPr="000D7979">
        <w:rPr>
          <w:sz w:val="22"/>
          <w:szCs w:val="22"/>
          <w:u w:val="single"/>
          <w:lang w:val="sr-Latn-ME"/>
        </w:rPr>
        <w:t>Trudnoća</w:t>
      </w:r>
    </w:p>
    <w:p w:rsidR="00BC6109" w:rsidRPr="000D7979" w:rsidRDefault="00D81D70" w:rsidP="00A13D0A">
      <w:pPr>
        <w:tabs>
          <w:tab w:val="left" w:pos="540"/>
          <w:tab w:val="left" w:pos="569"/>
        </w:tabs>
        <w:jc w:val="both"/>
        <w:rPr>
          <w:sz w:val="22"/>
          <w:szCs w:val="22"/>
          <w:lang w:val="sr-Latn-ME"/>
        </w:rPr>
      </w:pPr>
      <w:r w:rsidRPr="000D7979">
        <w:rPr>
          <w:sz w:val="22"/>
          <w:szCs w:val="22"/>
          <w:lang w:val="sr-Latn-ME"/>
        </w:rPr>
        <w:t xml:space="preserve">Nema podataka o primjeni sorafeniba kod trudnica. Studije na životinjama pokazale su reproduktivnu toksičnost, koja je uključivala i pojavu malformacija (vidjeti </w:t>
      </w:r>
      <w:r w:rsidR="009F5D6A" w:rsidRPr="000D7979">
        <w:rPr>
          <w:sz w:val="22"/>
          <w:szCs w:val="22"/>
          <w:lang w:val="sr-Latn-ME"/>
        </w:rPr>
        <w:t xml:space="preserve">dio </w:t>
      </w:r>
      <w:r w:rsidRPr="000D7979">
        <w:rPr>
          <w:sz w:val="22"/>
          <w:szCs w:val="22"/>
          <w:lang w:val="sr-Latn-ME"/>
        </w:rPr>
        <w:t>5.3). Kod pacova se pokazalo da sorafenib i njegovi metaboliti prolaze kroz placentu, pa se pretpostavlja da štetno djeluju na plod. Sorafenib se ne smije primjenjivati kod trudnica osim ukoliko to nije apsolutno neophodno, nakon pažljivog razmatranja potrebe majke za ovim lijekom i rizika koji on predstavlja za plod.</w:t>
      </w:r>
    </w:p>
    <w:p w:rsidR="002031B3" w:rsidRPr="000D7979" w:rsidRDefault="00D81D70">
      <w:pPr>
        <w:tabs>
          <w:tab w:val="left" w:pos="540"/>
          <w:tab w:val="left" w:pos="569"/>
        </w:tabs>
        <w:jc w:val="both"/>
        <w:rPr>
          <w:sz w:val="22"/>
          <w:szCs w:val="22"/>
          <w:lang w:val="sr-Latn-ME"/>
        </w:rPr>
      </w:pPr>
      <w:r w:rsidRPr="000D7979">
        <w:rPr>
          <w:sz w:val="22"/>
          <w:szCs w:val="22"/>
          <w:lang w:val="sr-Latn-ME"/>
        </w:rPr>
        <w:t>Žene u reproduktivnom periodu moraju koristiti efikasnu kontracepciju tokom terapije.</w:t>
      </w:r>
    </w:p>
    <w:p w:rsidR="00D81D70" w:rsidRPr="000D7979" w:rsidRDefault="00D81D70" w:rsidP="00C45106">
      <w:pPr>
        <w:tabs>
          <w:tab w:val="left" w:pos="540"/>
          <w:tab w:val="left" w:pos="569"/>
        </w:tabs>
        <w:jc w:val="both"/>
        <w:rPr>
          <w:sz w:val="22"/>
          <w:szCs w:val="22"/>
          <w:u w:val="single"/>
          <w:lang w:val="sr-Latn-ME"/>
        </w:rPr>
      </w:pPr>
    </w:p>
    <w:p w:rsidR="0072020E" w:rsidRPr="000D7979" w:rsidRDefault="007A3ECB" w:rsidP="00C45106">
      <w:pPr>
        <w:tabs>
          <w:tab w:val="left" w:pos="540"/>
          <w:tab w:val="left" w:pos="569"/>
        </w:tabs>
        <w:jc w:val="both"/>
        <w:rPr>
          <w:sz w:val="22"/>
          <w:szCs w:val="22"/>
          <w:u w:val="single"/>
          <w:lang w:val="sr-Latn-ME"/>
        </w:rPr>
      </w:pPr>
      <w:r w:rsidRPr="000D7979">
        <w:rPr>
          <w:sz w:val="22"/>
          <w:szCs w:val="22"/>
          <w:u w:val="single"/>
          <w:lang w:val="sr-Latn-ME"/>
        </w:rPr>
        <w:t xml:space="preserve">Dojenje </w:t>
      </w:r>
    </w:p>
    <w:p w:rsidR="00D81D70" w:rsidRPr="000D7979" w:rsidRDefault="00D81D70" w:rsidP="00C00A05">
      <w:pPr>
        <w:tabs>
          <w:tab w:val="left" w:pos="540"/>
          <w:tab w:val="left" w:pos="569"/>
        </w:tabs>
        <w:jc w:val="both"/>
        <w:rPr>
          <w:sz w:val="22"/>
          <w:szCs w:val="22"/>
          <w:lang w:val="sr-Latn-ME"/>
        </w:rPr>
      </w:pPr>
      <w:r w:rsidRPr="000D7979">
        <w:rPr>
          <w:sz w:val="22"/>
          <w:szCs w:val="22"/>
          <w:lang w:val="sr-Latn-ME"/>
        </w:rPr>
        <w:t xml:space="preserve">Nije poznato da li se sorafenib izlučuje u </w:t>
      </w:r>
      <w:r w:rsidR="009F5D6A" w:rsidRPr="000D7979">
        <w:rPr>
          <w:sz w:val="22"/>
          <w:szCs w:val="22"/>
          <w:lang w:val="sr-Latn-ME"/>
        </w:rPr>
        <w:t>majčino</w:t>
      </w:r>
      <w:r w:rsidRPr="000D7979">
        <w:rPr>
          <w:sz w:val="22"/>
          <w:szCs w:val="22"/>
          <w:lang w:val="sr-Latn-ME"/>
        </w:rPr>
        <w:t xml:space="preserve"> mlijeko</w:t>
      </w:r>
      <w:r w:rsidR="009F5D6A" w:rsidRPr="000D7979">
        <w:rPr>
          <w:sz w:val="22"/>
          <w:szCs w:val="22"/>
          <w:lang w:val="sr-Latn-ME"/>
        </w:rPr>
        <w:t xml:space="preserve"> kod ljudi</w:t>
      </w:r>
      <w:r w:rsidRPr="000D7979">
        <w:rPr>
          <w:sz w:val="22"/>
          <w:szCs w:val="22"/>
          <w:lang w:val="sr-Latn-ME"/>
        </w:rPr>
        <w:t xml:space="preserve">. Kod životinja su se sorafenib i/ili njegovi metaboliti izlučivali u mlijeko. S obzirom na to da sorafenib može štetno da utiče na rast i razvoj novorođenčeta (vidjeti </w:t>
      </w:r>
      <w:r w:rsidR="00491561" w:rsidRPr="000D7979">
        <w:rPr>
          <w:sz w:val="22"/>
          <w:szCs w:val="22"/>
          <w:lang w:val="sr-Latn-ME"/>
        </w:rPr>
        <w:t xml:space="preserve">dio </w:t>
      </w:r>
      <w:r w:rsidRPr="000D7979">
        <w:rPr>
          <w:sz w:val="22"/>
          <w:szCs w:val="22"/>
          <w:lang w:val="sr-Latn-ME"/>
        </w:rPr>
        <w:t>5.3), žene ne smiju da doje tokom terapije sorafenibom.</w:t>
      </w:r>
    </w:p>
    <w:p w:rsidR="00227BDB" w:rsidRPr="000D7979" w:rsidRDefault="00227BDB" w:rsidP="00C45106">
      <w:pPr>
        <w:tabs>
          <w:tab w:val="left" w:pos="540"/>
          <w:tab w:val="left" w:pos="569"/>
        </w:tabs>
        <w:ind w:left="540" w:hanging="540"/>
        <w:jc w:val="both"/>
        <w:rPr>
          <w:b/>
          <w:bCs/>
          <w:sz w:val="22"/>
          <w:szCs w:val="22"/>
          <w:lang w:val="sr-Latn-ME"/>
        </w:rPr>
      </w:pPr>
    </w:p>
    <w:p w:rsidR="0072020E" w:rsidRPr="000D7979" w:rsidRDefault="0072020E" w:rsidP="00C45106">
      <w:pPr>
        <w:tabs>
          <w:tab w:val="left" w:pos="540"/>
          <w:tab w:val="left" w:pos="569"/>
        </w:tabs>
        <w:ind w:left="540" w:hanging="540"/>
        <w:jc w:val="both"/>
        <w:rPr>
          <w:b/>
          <w:bCs/>
          <w:sz w:val="22"/>
          <w:szCs w:val="22"/>
          <w:lang w:val="sr-Latn-ME"/>
        </w:rPr>
      </w:pPr>
      <w:r w:rsidRPr="000D7979">
        <w:rPr>
          <w:b/>
          <w:bCs/>
          <w:sz w:val="22"/>
          <w:szCs w:val="22"/>
          <w:lang w:val="sr-Latn-ME"/>
        </w:rPr>
        <w:t xml:space="preserve">4.7. </w:t>
      </w:r>
      <w:r w:rsidR="00480FB1" w:rsidRPr="000D7979">
        <w:rPr>
          <w:b/>
          <w:bCs/>
          <w:sz w:val="22"/>
          <w:szCs w:val="22"/>
          <w:lang w:val="sr-Latn-ME"/>
        </w:rPr>
        <w:tab/>
      </w:r>
      <w:r w:rsidRPr="000D7979">
        <w:rPr>
          <w:b/>
          <w:bCs/>
          <w:sz w:val="22"/>
          <w:szCs w:val="22"/>
          <w:lang w:val="sr-Latn-ME"/>
        </w:rPr>
        <w:t xml:space="preserve">Uticaj na </w:t>
      </w:r>
      <w:r w:rsidR="002031B3" w:rsidRPr="000D7979">
        <w:rPr>
          <w:b/>
          <w:bCs/>
          <w:sz w:val="22"/>
          <w:szCs w:val="22"/>
          <w:lang w:val="sr-Latn-ME"/>
        </w:rPr>
        <w:t xml:space="preserve">sposobnost </w:t>
      </w:r>
      <w:r w:rsidR="00F34554" w:rsidRPr="000D7979">
        <w:rPr>
          <w:b/>
          <w:bCs/>
          <w:sz w:val="22"/>
          <w:szCs w:val="22"/>
          <w:lang w:val="sr-Latn-ME"/>
        </w:rPr>
        <w:t>upravljanja vozili</w:t>
      </w:r>
      <w:r w:rsidRPr="000D7979">
        <w:rPr>
          <w:b/>
          <w:bCs/>
          <w:sz w:val="22"/>
          <w:szCs w:val="22"/>
          <w:lang w:val="sr-Latn-ME"/>
        </w:rPr>
        <w:t>m</w:t>
      </w:r>
      <w:r w:rsidR="00F34554" w:rsidRPr="000D7979">
        <w:rPr>
          <w:b/>
          <w:bCs/>
          <w:sz w:val="22"/>
          <w:szCs w:val="22"/>
          <w:lang w:val="sr-Latn-ME"/>
        </w:rPr>
        <w:t>a</w:t>
      </w:r>
      <w:r w:rsidRPr="000D7979">
        <w:rPr>
          <w:b/>
          <w:bCs/>
          <w:sz w:val="22"/>
          <w:szCs w:val="22"/>
          <w:lang w:val="sr-Latn-ME"/>
        </w:rPr>
        <w:t xml:space="preserve"> i </w:t>
      </w:r>
      <w:r w:rsidR="000D3449" w:rsidRPr="000D7979">
        <w:rPr>
          <w:b/>
          <w:bCs/>
          <w:sz w:val="22"/>
          <w:szCs w:val="22"/>
          <w:lang w:val="sr-Latn-ME"/>
        </w:rPr>
        <w:t xml:space="preserve">rukovanje </w:t>
      </w:r>
      <w:r w:rsidRPr="000D7979">
        <w:rPr>
          <w:b/>
          <w:bCs/>
          <w:sz w:val="22"/>
          <w:szCs w:val="22"/>
          <w:lang w:val="sr-Latn-ME"/>
        </w:rPr>
        <w:t>mašinama</w:t>
      </w:r>
    </w:p>
    <w:p w:rsidR="00D81D70" w:rsidRPr="000D7979" w:rsidRDefault="00D81D70" w:rsidP="00C45106">
      <w:pPr>
        <w:tabs>
          <w:tab w:val="left" w:pos="540"/>
          <w:tab w:val="left" w:pos="569"/>
        </w:tabs>
        <w:ind w:left="540" w:hanging="540"/>
        <w:jc w:val="both"/>
        <w:rPr>
          <w:b/>
          <w:bCs/>
          <w:sz w:val="22"/>
          <w:szCs w:val="22"/>
          <w:lang w:val="sr-Latn-ME"/>
        </w:rPr>
      </w:pPr>
    </w:p>
    <w:p w:rsidR="0072020E" w:rsidRPr="000D7979" w:rsidRDefault="00D81D70" w:rsidP="00C00A05">
      <w:pPr>
        <w:tabs>
          <w:tab w:val="left" w:pos="540"/>
          <w:tab w:val="left" w:pos="569"/>
        </w:tabs>
        <w:jc w:val="both"/>
        <w:rPr>
          <w:bCs/>
          <w:sz w:val="22"/>
          <w:szCs w:val="22"/>
          <w:lang w:val="sr-Latn-ME"/>
        </w:rPr>
      </w:pPr>
      <w:r w:rsidRPr="000D7979">
        <w:rPr>
          <w:bCs/>
          <w:sz w:val="22"/>
          <w:szCs w:val="22"/>
          <w:lang w:val="sr-Latn-ME"/>
        </w:rPr>
        <w:t>Ni</w:t>
      </w:r>
      <w:r w:rsidR="00491561" w:rsidRPr="000D7979">
        <w:rPr>
          <w:bCs/>
          <w:sz w:val="22"/>
          <w:szCs w:val="22"/>
          <w:lang w:val="sr-Latn-ME"/>
        </w:rPr>
        <w:t>je</w:t>
      </w:r>
      <w:r w:rsidRPr="000D7979">
        <w:rPr>
          <w:bCs/>
          <w:sz w:val="22"/>
          <w:szCs w:val="22"/>
          <w:lang w:val="sr-Latn-ME"/>
        </w:rPr>
        <w:t>su sprovedene studije o uticaju na sposobnost upravljanja vozilima i rukovanja mašinama. Nema nikakvih dokaza da sorafenib utiče na sposobnost upravljanja vozilima ili rukovanja mašinama.</w:t>
      </w:r>
    </w:p>
    <w:p w:rsidR="00D81D70" w:rsidRPr="000D7979" w:rsidRDefault="00D81D70"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4.8. </w:t>
      </w:r>
      <w:r w:rsidR="00480FB1" w:rsidRPr="000D7979">
        <w:rPr>
          <w:b/>
          <w:bCs/>
          <w:sz w:val="22"/>
          <w:szCs w:val="22"/>
          <w:lang w:val="sr-Latn-ME"/>
        </w:rPr>
        <w:tab/>
      </w:r>
      <w:r w:rsidRPr="000D7979">
        <w:rPr>
          <w:b/>
          <w:bCs/>
          <w:sz w:val="22"/>
          <w:szCs w:val="22"/>
          <w:lang w:val="sr-Latn-ME"/>
        </w:rPr>
        <w:t>Neželjena dejstva</w:t>
      </w:r>
    </w:p>
    <w:p w:rsidR="004E70AD" w:rsidRPr="000D7979" w:rsidRDefault="004E70AD" w:rsidP="00C45106">
      <w:pPr>
        <w:tabs>
          <w:tab w:val="left" w:pos="540"/>
          <w:tab w:val="left" w:pos="569"/>
        </w:tabs>
        <w:jc w:val="both"/>
        <w:rPr>
          <w:b/>
          <w:bCs/>
          <w:sz w:val="22"/>
          <w:szCs w:val="22"/>
          <w:lang w:val="sr-Latn-ME"/>
        </w:rPr>
      </w:pPr>
    </w:p>
    <w:p w:rsidR="00D8257D" w:rsidRPr="000D7979" w:rsidRDefault="00D8257D" w:rsidP="00C00A05">
      <w:pPr>
        <w:tabs>
          <w:tab w:val="left" w:pos="540"/>
          <w:tab w:val="left" w:pos="569"/>
        </w:tabs>
        <w:jc w:val="both"/>
        <w:rPr>
          <w:bCs/>
          <w:sz w:val="22"/>
          <w:szCs w:val="22"/>
          <w:lang w:val="sr-Latn-ME"/>
        </w:rPr>
      </w:pPr>
      <w:r w:rsidRPr="000D7979">
        <w:rPr>
          <w:bCs/>
          <w:sz w:val="22"/>
          <w:szCs w:val="22"/>
          <w:lang w:val="sr-Latn-ME"/>
        </w:rPr>
        <w:t>Najvažnije ozbiljne neželjene reakcije bile su infarkt/ishemija miokarda, gastrointestinalna perforacija, hepatitis izazvan ljekovima, krvarenje i hipertenzija/hipertenzivna kriza.</w:t>
      </w:r>
    </w:p>
    <w:p w:rsidR="00D8257D" w:rsidRPr="000D7979" w:rsidRDefault="00D8257D" w:rsidP="00A13D0A">
      <w:pPr>
        <w:tabs>
          <w:tab w:val="left" w:pos="540"/>
          <w:tab w:val="left" w:pos="569"/>
        </w:tabs>
        <w:jc w:val="both"/>
        <w:rPr>
          <w:bCs/>
          <w:sz w:val="22"/>
          <w:szCs w:val="22"/>
          <w:lang w:val="sr-Latn-ME"/>
        </w:rPr>
      </w:pPr>
    </w:p>
    <w:p w:rsidR="00D8257D" w:rsidRPr="000D7979" w:rsidRDefault="00D8257D">
      <w:pPr>
        <w:tabs>
          <w:tab w:val="left" w:pos="540"/>
          <w:tab w:val="left" w:pos="569"/>
        </w:tabs>
        <w:jc w:val="both"/>
        <w:rPr>
          <w:bCs/>
          <w:sz w:val="22"/>
          <w:szCs w:val="22"/>
          <w:lang w:val="sr-Latn-ME"/>
        </w:rPr>
      </w:pPr>
      <w:r w:rsidRPr="000D7979">
        <w:rPr>
          <w:bCs/>
          <w:sz w:val="22"/>
          <w:szCs w:val="22"/>
          <w:lang w:val="sr-Latn-ME"/>
        </w:rPr>
        <w:t>Najčešće neželjene reakcije bile su dijareja, umor, alopecija, infekcija, kožna reakcija na šakama i stopalima (odgovara sindromu palmarno-plantarne eritrodizestezije po MedDRA-i) i osip.</w:t>
      </w:r>
    </w:p>
    <w:p w:rsidR="00D8257D" w:rsidRPr="000D7979" w:rsidRDefault="00D8257D">
      <w:pPr>
        <w:tabs>
          <w:tab w:val="left" w:pos="540"/>
          <w:tab w:val="left" w:pos="569"/>
        </w:tabs>
        <w:jc w:val="both"/>
        <w:rPr>
          <w:bCs/>
          <w:sz w:val="22"/>
          <w:szCs w:val="22"/>
          <w:lang w:val="sr-Latn-ME"/>
        </w:rPr>
      </w:pPr>
    </w:p>
    <w:p w:rsidR="00D8257D" w:rsidRPr="000D7979" w:rsidRDefault="00D8257D">
      <w:pPr>
        <w:tabs>
          <w:tab w:val="left" w:pos="540"/>
          <w:tab w:val="left" w:pos="569"/>
        </w:tabs>
        <w:jc w:val="both"/>
        <w:rPr>
          <w:bCs/>
          <w:sz w:val="22"/>
          <w:szCs w:val="22"/>
          <w:lang w:val="sr-Latn-ME"/>
        </w:rPr>
      </w:pPr>
      <w:r w:rsidRPr="000D7979">
        <w:rPr>
          <w:bCs/>
          <w:sz w:val="22"/>
          <w:szCs w:val="22"/>
          <w:lang w:val="sr-Latn-ME"/>
        </w:rPr>
        <w:t xml:space="preserve">Neželjene reakcije prijavljene u višestrukim kliničkim studijama ili tokom postmarketinškog perioda navedene su u Tabeli 1 u nastavku, prema klasama sistema organa (navedenim u MedDRA) i učestalosti. </w:t>
      </w:r>
      <w:r w:rsidRPr="000D7979">
        <w:rPr>
          <w:bCs/>
          <w:sz w:val="22"/>
          <w:szCs w:val="22"/>
          <w:lang w:val="sr-Latn-ME"/>
        </w:rPr>
        <w:lastRenderedPageBreak/>
        <w:t>Prema učestalosti, neželjene reakcije su definisane kao: veoma česte (≥ 1/10), česte (≥ 1/100 i &lt; 1/10), povremene (≥1/1000 i &lt; 1/100), rijetke (≥1/10000 i &lt; 1/1000), nepoznate učestalosti (ne može se procijeniti na osnovu dostupnih podataka).</w:t>
      </w:r>
    </w:p>
    <w:p w:rsidR="00D8257D" w:rsidRPr="000D7979" w:rsidRDefault="00D8257D">
      <w:pPr>
        <w:tabs>
          <w:tab w:val="left" w:pos="540"/>
          <w:tab w:val="left" w:pos="569"/>
        </w:tabs>
        <w:jc w:val="both"/>
        <w:rPr>
          <w:bCs/>
          <w:sz w:val="22"/>
          <w:szCs w:val="22"/>
          <w:lang w:val="sr-Latn-ME"/>
        </w:rPr>
      </w:pPr>
      <w:r w:rsidRPr="000D7979">
        <w:rPr>
          <w:bCs/>
          <w:sz w:val="22"/>
          <w:szCs w:val="22"/>
          <w:lang w:val="sr-Latn-ME"/>
        </w:rPr>
        <w:t>U okviru svake grupe, neželjene reakcije prikazane su od ozbiljnih ka manje ozbiljnim.</w:t>
      </w:r>
    </w:p>
    <w:p w:rsidR="00D8257D" w:rsidRPr="000D7979" w:rsidRDefault="00D8257D" w:rsidP="00C45106">
      <w:pPr>
        <w:tabs>
          <w:tab w:val="left" w:pos="540"/>
          <w:tab w:val="left" w:pos="569"/>
        </w:tabs>
        <w:jc w:val="both"/>
        <w:rPr>
          <w:b/>
          <w:bCs/>
          <w:sz w:val="22"/>
          <w:szCs w:val="22"/>
          <w:lang w:val="sr-Latn-ME"/>
        </w:rPr>
      </w:pPr>
    </w:p>
    <w:p w:rsidR="00D8257D" w:rsidRPr="000D7979" w:rsidRDefault="00D8257D" w:rsidP="00C00A05">
      <w:pPr>
        <w:tabs>
          <w:tab w:val="left" w:pos="540"/>
          <w:tab w:val="left" w:pos="569"/>
        </w:tabs>
        <w:jc w:val="both"/>
        <w:rPr>
          <w:b/>
          <w:bCs/>
          <w:sz w:val="22"/>
          <w:szCs w:val="22"/>
          <w:lang w:val="sr-Latn-ME"/>
        </w:rPr>
      </w:pPr>
      <w:r w:rsidRPr="000D7979">
        <w:rPr>
          <w:b/>
          <w:bCs/>
          <w:sz w:val="22"/>
          <w:szCs w:val="22"/>
          <w:lang w:val="sr-Latn-ME"/>
        </w:rPr>
        <w:t>Tabela 1: Sve neželjene reakcije prijavljene kod pacijenata u višestrukim kliničkim studijama ili tokom postmarketinške upotrebe</w:t>
      </w:r>
    </w:p>
    <w:p w:rsidR="00491561" w:rsidRPr="000D7979" w:rsidRDefault="00491561" w:rsidP="00C00A05">
      <w:pPr>
        <w:tabs>
          <w:tab w:val="left" w:pos="540"/>
          <w:tab w:val="left" w:pos="569"/>
        </w:tabs>
        <w:jc w:val="both"/>
        <w:rPr>
          <w:b/>
          <w:bCs/>
          <w:sz w:val="22"/>
          <w:szCs w:val="22"/>
          <w:lang w:val="sr-Latn-ME"/>
        </w:rPr>
      </w:pPr>
    </w:p>
    <w:tbl>
      <w:tblPr>
        <w:tblStyle w:val="TableGrid"/>
        <w:tblW w:w="0" w:type="auto"/>
        <w:tblLook w:val="04A0" w:firstRow="1" w:lastRow="0" w:firstColumn="1" w:lastColumn="0" w:noHBand="0" w:noVBand="1"/>
      </w:tblPr>
      <w:tblGrid>
        <w:gridCol w:w="1507"/>
        <w:gridCol w:w="1358"/>
        <w:gridCol w:w="1529"/>
        <w:gridCol w:w="1732"/>
        <w:gridCol w:w="1627"/>
        <w:gridCol w:w="1310"/>
      </w:tblGrid>
      <w:tr w:rsidR="00A012BE" w:rsidRPr="000D7979" w:rsidTr="00A012BE">
        <w:tc>
          <w:tcPr>
            <w:tcW w:w="1520" w:type="dxa"/>
            <w:shd w:val="clear" w:color="auto" w:fill="D9D9D9" w:themeFill="background1" w:themeFillShade="D9"/>
            <w:vAlign w:val="center"/>
          </w:tcPr>
          <w:p w:rsidR="00D8257D" w:rsidRPr="000D7979" w:rsidRDefault="00D8257D" w:rsidP="00C45106">
            <w:pPr>
              <w:pStyle w:val="TableParagraph"/>
              <w:spacing w:line="242" w:lineRule="auto"/>
              <w:jc w:val="both"/>
              <w:rPr>
                <w:b/>
                <w:lang w:val="sr-Latn-ME"/>
              </w:rPr>
            </w:pPr>
            <w:r w:rsidRPr="000D7979">
              <w:rPr>
                <w:b/>
                <w:lang w:val="sr-Latn-ME"/>
              </w:rPr>
              <w:t>Klasa sistema organa</w:t>
            </w:r>
          </w:p>
        </w:tc>
        <w:tc>
          <w:tcPr>
            <w:tcW w:w="1369" w:type="dxa"/>
            <w:vAlign w:val="center"/>
          </w:tcPr>
          <w:p w:rsidR="00D8257D" w:rsidRPr="000D7979" w:rsidRDefault="00D8257D" w:rsidP="00C45106">
            <w:pPr>
              <w:pStyle w:val="TableParagraph"/>
              <w:spacing w:line="249" w:lineRule="exact"/>
              <w:jc w:val="both"/>
              <w:rPr>
                <w:b/>
                <w:lang w:val="sr-Latn-ME"/>
              </w:rPr>
            </w:pPr>
            <w:r w:rsidRPr="000D7979">
              <w:rPr>
                <w:b/>
                <w:lang w:val="sr-Latn-ME"/>
              </w:rPr>
              <w:t>Veoma često</w:t>
            </w:r>
          </w:p>
        </w:tc>
        <w:tc>
          <w:tcPr>
            <w:tcW w:w="1467" w:type="dxa"/>
            <w:vAlign w:val="center"/>
          </w:tcPr>
          <w:p w:rsidR="00D8257D" w:rsidRPr="000D7979" w:rsidRDefault="00D8257D" w:rsidP="00C45106">
            <w:pPr>
              <w:pStyle w:val="TableParagraph"/>
              <w:spacing w:line="249" w:lineRule="exact"/>
              <w:jc w:val="both"/>
              <w:rPr>
                <w:b/>
                <w:lang w:val="sr-Latn-ME"/>
              </w:rPr>
            </w:pPr>
            <w:r w:rsidRPr="000D7979">
              <w:rPr>
                <w:b/>
                <w:lang w:val="sr-Latn-ME"/>
              </w:rPr>
              <w:t>Često</w:t>
            </w:r>
          </w:p>
        </w:tc>
        <w:tc>
          <w:tcPr>
            <w:tcW w:w="1746" w:type="dxa"/>
            <w:vAlign w:val="center"/>
          </w:tcPr>
          <w:p w:rsidR="00D8257D" w:rsidRPr="000D7979" w:rsidRDefault="00D8257D" w:rsidP="00C45106">
            <w:pPr>
              <w:pStyle w:val="TableParagraph"/>
              <w:spacing w:line="249" w:lineRule="exact"/>
              <w:ind w:left="5"/>
              <w:jc w:val="both"/>
              <w:rPr>
                <w:b/>
                <w:lang w:val="sr-Latn-ME"/>
              </w:rPr>
            </w:pPr>
            <w:r w:rsidRPr="000D7979">
              <w:rPr>
                <w:b/>
                <w:lang w:val="sr-Latn-ME"/>
              </w:rPr>
              <w:t>Povremeno</w:t>
            </w:r>
          </w:p>
        </w:tc>
        <w:tc>
          <w:tcPr>
            <w:tcW w:w="1641" w:type="dxa"/>
            <w:vAlign w:val="center"/>
          </w:tcPr>
          <w:p w:rsidR="00D8257D" w:rsidRPr="000D7979" w:rsidRDefault="00D8257D" w:rsidP="00C45106">
            <w:pPr>
              <w:pStyle w:val="TableParagraph"/>
              <w:spacing w:line="249" w:lineRule="exact"/>
              <w:ind w:left="5"/>
              <w:jc w:val="both"/>
              <w:rPr>
                <w:b/>
                <w:lang w:val="sr-Latn-ME"/>
              </w:rPr>
            </w:pPr>
            <w:r w:rsidRPr="000D7979">
              <w:rPr>
                <w:b/>
                <w:lang w:val="sr-Latn-ME"/>
              </w:rPr>
              <w:t>Rijetko</w:t>
            </w:r>
          </w:p>
        </w:tc>
        <w:tc>
          <w:tcPr>
            <w:tcW w:w="1320" w:type="dxa"/>
            <w:vAlign w:val="center"/>
          </w:tcPr>
          <w:p w:rsidR="00D8257D" w:rsidRPr="000D7979" w:rsidRDefault="00D8257D" w:rsidP="00C45106">
            <w:pPr>
              <w:pStyle w:val="TableParagraph"/>
              <w:spacing w:line="249" w:lineRule="exact"/>
              <w:jc w:val="both"/>
              <w:rPr>
                <w:b/>
                <w:lang w:val="sr-Latn-ME"/>
              </w:rPr>
            </w:pPr>
            <w:r w:rsidRPr="000D7979">
              <w:rPr>
                <w:b/>
                <w:lang w:val="sr-Latn-ME"/>
              </w:rPr>
              <w:t>Nepoznato</w:t>
            </w:r>
          </w:p>
        </w:tc>
      </w:tr>
      <w:tr w:rsidR="00A012BE" w:rsidRPr="000D7979" w:rsidTr="00A012BE">
        <w:tc>
          <w:tcPr>
            <w:tcW w:w="1520" w:type="dxa"/>
            <w:shd w:val="clear" w:color="auto" w:fill="E6E6E6"/>
            <w:vAlign w:val="center"/>
          </w:tcPr>
          <w:p w:rsidR="00D8257D" w:rsidRPr="000D7979" w:rsidRDefault="00D8257D" w:rsidP="00C45106">
            <w:pPr>
              <w:pStyle w:val="TableParagraph"/>
              <w:spacing w:line="242" w:lineRule="auto"/>
              <w:ind w:right="219"/>
              <w:jc w:val="both"/>
              <w:rPr>
                <w:lang w:val="sr-Latn-ME"/>
              </w:rPr>
            </w:pPr>
            <w:r w:rsidRPr="000D7979">
              <w:rPr>
                <w:lang w:val="sr-Latn-ME"/>
              </w:rPr>
              <w:t>Infekcije i infestacije</w:t>
            </w:r>
          </w:p>
        </w:tc>
        <w:tc>
          <w:tcPr>
            <w:tcW w:w="1369" w:type="dxa"/>
            <w:vAlign w:val="center"/>
          </w:tcPr>
          <w:p w:rsidR="00D8257D" w:rsidRPr="000D7979" w:rsidRDefault="00D8257D" w:rsidP="00C45106">
            <w:pPr>
              <w:pStyle w:val="TableParagraph"/>
              <w:spacing w:line="244" w:lineRule="exact"/>
              <w:jc w:val="both"/>
              <w:rPr>
                <w:lang w:val="sr-Latn-ME"/>
              </w:rPr>
            </w:pPr>
            <w:r w:rsidRPr="000D7979">
              <w:rPr>
                <w:lang w:val="sr-Latn-ME"/>
              </w:rPr>
              <w:t>infekcija</w:t>
            </w:r>
          </w:p>
        </w:tc>
        <w:tc>
          <w:tcPr>
            <w:tcW w:w="1467" w:type="dxa"/>
            <w:vAlign w:val="center"/>
          </w:tcPr>
          <w:p w:rsidR="00D8257D" w:rsidRPr="000D7979" w:rsidRDefault="00D8257D" w:rsidP="00C45106">
            <w:pPr>
              <w:pStyle w:val="TableParagraph"/>
              <w:spacing w:line="244" w:lineRule="exact"/>
              <w:jc w:val="both"/>
              <w:rPr>
                <w:lang w:val="sr-Latn-ME"/>
              </w:rPr>
            </w:pPr>
            <w:r w:rsidRPr="000D7979">
              <w:rPr>
                <w:lang w:val="sr-Latn-ME"/>
              </w:rPr>
              <w:t>folikulitis</w:t>
            </w:r>
          </w:p>
        </w:tc>
        <w:tc>
          <w:tcPr>
            <w:tcW w:w="1746" w:type="dxa"/>
            <w:vAlign w:val="center"/>
          </w:tcPr>
          <w:p w:rsidR="00D8257D" w:rsidRPr="000D7979" w:rsidRDefault="00D8257D" w:rsidP="00C45106">
            <w:pPr>
              <w:pStyle w:val="TableParagraph"/>
              <w:ind w:left="0"/>
              <w:jc w:val="both"/>
              <w:rPr>
                <w:lang w:val="sr-Latn-ME"/>
              </w:rPr>
            </w:pP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D9D9D9" w:themeFill="background1" w:themeFillShade="D9"/>
            <w:vAlign w:val="center"/>
          </w:tcPr>
          <w:p w:rsidR="00D8257D" w:rsidRPr="000D7979" w:rsidRDefault="00D8257D" w:rsidP="00C00A05">
            <w:pPr>
              <w:tabs>
                <w:tab w:val="left" w:pos="540"/>
                <w:tab w:val="left" w:pos="569"/>
              </w:tabs>
              <w:jc w:val="both"/>
              <w:rPr>
                <w:bCs/>
                <w:sz w:val="22"/>
                <w:szCs w:val="22"/>
                <w:lang w:val="sr-Latn-ME"/>
              </w:rPr>
            </w:pPr>
            <w:r w:rsidRPr="000D7979">
              <w:rPr>
                <w:bCs/>
                <w:sz w:val="22"/>
                <w:szCs w:val="22"/>
                <w:lang w:val="sr-Latn-ME"/>
              </w:rPr>
              <w:t>Poremećaji krvi</w:t>
            </w:r>
          </w:p>
          <w:p w:rsidR="00D8257D" w:rsidRPr="000D7979" w:rsidRDefault="00D8257D" w:rsidP="00A13D0A">
            <w:pPr>
              <w:tabs>
                <w:tab w:val="left" w:pos="540"/>
                <w:tab w:val="left" w:pos="569"/>
              </w:tabs>
              <w:jc w:val="both"/>
              <w:rPr>
                <w:bCs/>
                <w:sz w:val="22"/>
                <w:szCs w:val="22"/>
                <w:lang w:val="sr-Latn-ME"/>
              </w:rPr>
            </w:pPr>
            <w:r w:rsidRPr="000D7979">
              <w:rPr>
                <w:bCs/>
                <w:sz w:val="22"/>
                <w:szCs w:val="22"/>
                <w:lang w:val="sr-Latn-ME"/>
              </w:rPr>
              <w:t>i limfnog</w:t>
            </w:r>
          </w:p>
          <w:p w:rsidR="00D8257D" w:rsidRPr="000D7979" w:rsidRDefault="00D8257D">
            <w:pPr>
              <w:tabs>
                <w:tab w:val="left" w:pos="540"/>
                <w:tab w:val="left" w:pos="569"/>
              </w:tabs>
              <w:jc w:val="both"/>
              <w:rPr>
                <w:bCs/>
                <w:sz w:val="22"/>
                <w:szCs w:val="22"/>
                <w:lang w:val="sr-Latn-ME"/>
              </w:rPr>
            </w:pPr>
            <w:r w:rsidRPr="000D7979">
              <w:rPr>
                <w:bCs/>
                <w:sz w:val="22"/>
                <w:szCs w:val="22"/>
                <w:lang w:val="sr-Latn-ME"/>
              </w:rPr>
              <w:t>sistema</w:t>
            </w:r>
          </w:p>
        </w:tc>
        <w:tc>
          <w:tcPr>
            <w:tcW w:w="1369" w:type="dxa"/>
            <w:vAlign w:val="center"/>
          </w:tcPr>
          <w:p w:rsidR="00D8257D" w:rsidRPr="000D7979" w:rsidRDefault="00D8257D" w:rsidP="00C45106">
            <w:pPr>
              <w:jc w:val="both"/>
              <w:rPr>
                <w:sz w:val="22"/>
                <w:szCs w:val="22"/>
                <w:lang w:val="sr-Latn-ME"/>
              </w:rPr>
            </w:pPr>
            <w:r w:rsidRPr="000D7979">
              <w:rPr>
                <w:sz w:val="22"/>
                <w:szCs w:val="22"/>
                <w:lang w:val="sr-Latn-ME"/>
              </w:rPr>
              <w:t>limfopenija</w:t>
            </w:r>
          </w:p>
        </w:tc>
        <w:tc>
          <w:tcPr>
            <w:tcW w:w="1467" w:type="dxa"/>
            <w:vAlign w:val="center"/>
          </w:tcPr>
          <w:p w:rsidR="00D8257D" w:rsidRPr="000D7979" w:rsidRDefault="00D8257D" w:rsidP="00C45106">
            <w:pPr>
              <w:jc w:val="both"/>
              <w:rPr>
                <w:sz w:val="22"/>
                <w:szCs w:val="22"/>
                <w:lang w:val="sr-Latn-ME"/>
              </w:rPr>
            </w:pPr>
            <w:r w:rsidRPr="000D7979">
              <w:rPr>
                <w:sz w:val="22"/>
                <w:szCs w:val="22"/>
                <w:lang w:val="sr-Latn-ME"/>
              </w:rPr>
              <w:t>leukopenija</w:t>
            </w:r>
          </w:p>
          <w:p w:rsidR="00D8257D" w:rsidRPr="000D7979" w:rsidRDefault="00D8257D" w:rsidP="00C45106">
            <w:pPr>
              <w:jc w:val="both"/>
              <w:rPr>
                <w:sz w:val="22"/>
                <w:szCs w:val="22"/>
                <w:lang w:val="sr-Latn-ME"/>
              </w:rPr>
            </w:pPr>
            <w:r w:rsidRPr="000D7979">
              <w:rPr>
                <w:sz w:val="22"/>
                <w:szCs w:val="22"/>
                <w:lang w:val="sr-Latn-ME"/>
              </w:rPr>
              <w:t>neutropenija</w:t>
            </w:r>
          </w:p>
          <w:p w:rsidR="00D8257D" w:rsidRPr="000D7979" w:rsidRDefault="00D8257D" w:rsidP="00C45106">
            <w:pPr>
              <w:jc w:val="both"/>
              <w:rPr>
                <w:sz w:val="22"/>
                <w:szCs w:val="22"/>
                <w:lang w:val="sr-Latn-ME"/>
              </w:rPr>
            </w:pPr>
            <w:r w:rsidRPr="000D7979">
              <w:rPr>
                <w:sz w:val="22"/>
                <w:szCs w:val="22"/>
                <w:lang w:val="sr-Latn-ME"/>
              </w:rPr>
              <w:t>anemija</w:t>
            </w:r>
          </w:p>
          <w:p w:rsidR="00D8257D" w:rsidRPr="000D7979" w:rsidRDefault="00D8257D" w:rsidP="00C45106">
            <w:pPr>
              <w:ind w:right="-87"/>
              <w:jc w:val="both"/>
              <w:rPr>
                <w:sz w:val="22"/>
                <w:szCs w:val="22"/>
                <w:lang w:val="sr-Latn-ME"/>
              </w:rPr>
            </w:pPr>
            <w:r w:rsidRPr="000D7979">
              <w:rPr>
                <w:sz w:val="22"/>
                <w:szCs w:val="22"/>
                <w:lang w:val="sr-Latn-ME"/>
              </w:rPr>
              <w:t>trombocitopenija</w:t>
            </w:r>
          </w:p>
        </w:tc>
        <w:tc>
          <w:tcPr>
            <w:tcW w:w="1746" w:type="dxa"/>
            <w:vAlign w:val="center"/>
          </w:tcPr>
          <w:p w:rsidR="00D8257D" w:rsidRPr="000D7979" w:rsidRDefault="00D8257D" w:rsidP="00C00A05">
            <w:pPr>
              <w:tabs>
                <w:tab w:val="left" w:pos="540"/>
                <w:tab w:val="left" w:pos="569"/>
              </w:tabs>
              <w:jc w:val="both"/>
              <w:rPr>
                <w:b/>
                <w:bCs/>
                <w:sz w:val="22"/>
                <w:szCs w:val="22"/>
                <w:lang w:val="sr-Latn-ME"/>
              </w:rPr>
            </w:pPr>
          </w:p>
        </w:tc>
        <w:tc>
          <w:tcPr>
            <w:tcW w:w="1641" w:type="dxa"/>
            <w:vAlign w:val="center"/>
          </w:tcPr>
          <w:p w:rsidR="00D8257D" w:rsidRPr="000D7979" w:rsidRDefault="00D8257D" w:rsidP="00A13D0A">
            <w:pPr>
              <w:tabs>
                <w:tab w:val="left" w:pos="540"/>
                <w:tab w:val="left" w:pos="569"/>
              </w:tabs>
              <w:jc w:val="both"/>
              <w:rPr>
                <w:b/>
                <w:bCs/>
                <w:sz w:val="22"/>
                <w:szCs w:val="22"/>
                <w:lang w:val="sr-Latn-ME"/>
              </w:rPr>
            </w:pPr>
          </w:p>
        </w:tc>
        <w:tc>
          <w:tcPr>
            <w:tcW w:w="1320" w:type="dxa"/>
            <w:vAlign w:val="center"/>
          </w:tcPr>
          <w:p w:rsidR="00D8257D" w:rsidRPr="000D7979" w:rsidRDefault="00D8257D">
            <w:pPr>
              <w:tabs>
                <w:tab w:val="left" w:pos="540"/>
                <w:tab w:val="left" w:pos="569"/>
              </w:tabs>
              <w:jc w:val="both"/>
              <w:rPr>
                <w:b/>
                <w:bCs/>
                <w:sz w:val="22"/>
                <w:szCs w:val="22"/>
                <w:lang w:val="sr-Latn-ME"/>
              </w:rPr>
            </w:pPr>
          </w:p>
        </w:tc>
      </w:tr>
      <w:tr w:rsidR="00A012BE" w:rsidRPr="000D7979" w:rsidTr="00A012BE">
        <w:tc>
          <w:tcPr>
            <w:tcW w:w="1520" w:type="dxa"/>
            <w:shd w:val="clear" w:color="auto" w:fill="D9D9D9" w:themeFill="background1" w:themeFillShade="D9"/>
            <w:vAlign w:val="center"/>
          </w:tcPr>
          <w:p w:rsidR="00D8257D" w:rsidRPr="000D7979" w:rsidRDefault="00D8257D" w:rsidP="00C00A05">
            <w:pPr>
              <w:tabs>
                <w:tab w:val="left" w:pos="540"/>
                <w:tab w:val="left" w:pos="569"/>
              </w:tabs>
              <w:jc w:val="both"/>
              <w:rPr>
                <w:bCs/>
                <w:sz w:val="22"/>
                <w:szCs w:val="22"/>
                <w:lang w:val="sr-Latn-ME"/>
              </w:rPr>
            </w:pPr>
            <w:r w:rsidRPr="000D7979">
              <w:rPr>
                <w:bCs/>
                <w:sz w:val="22"/>
                <w:szCs w:val="22"/>
                <w:lang w:val="sr-Latn-ME"/>
              </w:rPr>
              <w:t>Poremećaji</w:t>
            </w:r>
          </w:p>
          <w:p w:rsidR="00D8257D" w:rsidRPr="000D7979" w:rsidRDefault="00491561" w:rsidP="00A13D0A">
            <w:pPr>
              <w:tabs>
                <w:tab w:val="left" w:pos="540"/>
                <w:tab w:val="left" w:pos="569"/>
              </w:tabs>
              <w:jc w:val="both"/>
              <w:rPr>
                <w:bCs/>
                <w:sz w:val="22"/>
                <w:szCs w:val="22"/>
                <w:lang w:val="sr-Latn-ME"/>
              </w:rPr>
            </w:pPr>
            <w:r w:rsidRPr="000D7979">
              <w:rPr>
                <w:bCs/>
                <w:sz w:val="22"/>
                <w:szCs w:val="22"/>
                <w:lang w:val="sr-Latn-ME"/>
              </w:rPr>
              <w:t>I</w:t>
            </w:r>
            <w:r w:rsidR="00D8257D" w:rsidRPr="000D7979">
              <w:rPr>
                <w:bCs/>
                <w:sz w:val="22"/>
                <w:szCs w:val="22"/>
                <w:lang w:val="sr-Latn-ME"/>
              </w:rPr>
              <w:t>munog</w:t>
            </w:r>
          </w:p>
          <w:p w:rsidR="00D8257D" w:rsidRPr="000D7979" w:rsidRDefault="00D8257D">
            <w:pPr>
              <w:tabs>
                <w:tab w:val="left" w:pos="540"/>
                <w:tab w:val="left" w:pos="569"/>
              </w:tabs>
              <w:jc w:val="both"/>
              <w:rPr>
                <w:bCs/>
                <w:sz w:val="22"/>
                <w:szCs w:val="22"/>
                <w:lang w:val="sr-Latn-ME"/>
              </w:rPr>
            </w:pPr>
            <w:r w:rsidRPr="000D7979">
              <w:rPr>
                <w:bCs/>
                <w:sz w:val="22"/>
                <w:szCs w:val="22"/>
                <w:lang w:val="sr-Latn-ME"/>
              </w:rPr>
              <w:t>sistema</w:t>
            </w:r>
          </w:p>
        </w:tc>
        <w:tc>
          <w:tcPr>
            <w:tcW w:w="1369" w:type="dxa"/>
            <w:vAlign w:val="center"/>
          </w:tcPr>
          <w:p w:rsidR="00D8257D" w:rsidRPr="000D7979" w:rsidRDefault="00D8257D">
            <w:pPr>
              <w:tabs>
                <w:tab w:val="left" w:pos="540"/>
                <w:tab w:val="left" w:pos="569"/>
              </w:tabs>
              <w:jc w:val="both"/>
              <w:rPr>
                <w:b/>
                <w:bCs/>
                <w:sz w:val="22"/>
                <w:szCs w:val="22"/>
                <w:lang w:val="sr-Latn-ME"/>
              </w:rPr>
            </w:pPr>
          </w:p>
        </w:tc>
        <w:tc>
          <w:tcPr>
            <w:tcW w:w="1467" w:type="dxa"/>
            <w:vAlign w:val="center"/>
          </w:tcPr>
          <w:p w:rsidR="00D8257D" w:rsidRPr="000D7979" w:rsidRDefault="00D8257D">
            <w:pPr>
              <w:tabs>
                <w:tab w:val="left" w:pos="540"/>
                <w:tab w:val="left" w:pos="569"/>
              </w:tabs>
              <w:jc w:val="both"/>
              <w:rPr>
                <w:b/>
                <w:bCs/>
                <w:sz w:val="22"/>
                <w:szCs w:val="22"/>
                <w:lang w:val="sr-Latn-ME"/>
              </w:rPr>
            </w:pPr>
          </w:p>
        </w:tc>
        <w:tc>
          <w:tcPr>
            <w:tcW w:w="1746" w:type="dxa"/>
            <w:vAlign w:val="center"/>
          </w:tcPr>
          <w:p w:rsidR="00D8257D" w:rsidRPr="000D7979" w:rsidRDefault="00D8257D">
            <w:pPr>
              <w:tabs>
                <w:tab w:val="left" w:pos="540"/>
                <w:tab w:val="left" w:pos="569"/>
              </w:tabs>
              <w:jc w:val="both"/>
              <w:rPr>
                <w:bCs/>
                <w:sz w:val="22"/>
                <w:szCs w:val="22"/>
                <w:lang w:val="sr-Latn-ME"/>
              </w:rPr>
            </w:pPr>
            <w:r w:rsidRPr="000D7979">
              <w:rPr>
                <w:bCs/>
                <w:sz w:val="22"/>
                <w:szCs w:val="22"/>
                <w:lang w:val="sr-Latn-ME"/>
              </w:rPr>
              <w:t>reakcije</w:t>
            </w:r>
          </w:p>
          <w:p w:rsidR="00D8257D" w:rsidRPr="000D7979" w:rsidRDefault="00D8257D">
            <w:pPr>
              <w:tabs>
                <w:tab w:val="left" w:pos="540"/>
                <w:tab w:val="left" w:pos="569"/>
              </w:tabs>
              <w:jc w:val="both"/>
              <w:rPr>
                <w:bCs/>
                <w:sz w:val="22"/>
                <w:szCs w:val="22"/>
                <w:lang w:val="sr-Latn-ME"/>
              </w:rPr>
            </w:pPr>
            <w:r w:rsidRPr="000D7979">
              <w:rPr>
                <w:bCs/>
                <w:sz w:val="22"/>
                <w:szCs w:val="22"/>
                <w:lang w:val="sr-Latn-ME"/>
              </w:rPr>
              <w:t>preosjetljivosti</w:t>
            </w:r>
          </w:p>
          <w:p w:rsidR="00D8257D" w:rsidRPr="000D7979" w:rsidRDefault="00D8257D">
            <w:pPr>
              <w:tabs>
                <w:tab w:val="left" w:pos="540"/>
                <w:tab w:val="left" w:pos="569"/>
              </w:tabs>
              <w:ind w:right="-39"/>
              <w:jc w:val="both"/>
              <w:rPr>
                <w:bCs/>
                <w:sz w:val="22"/>
                <w:szCs w:val="22"/>
                <w:lang w:val="sr-Latn-ME"/>
              </w:rPr>
            </w:pPr>
            <w:r w:rsidRPr="000D7979">
              <w:rPr>
                <w:bCs/>
                <w:sz w:val="22"/>
                <w:szCs w:val="22"/>
                <w:lang w:val="sr-Latn-ME"/>
              </w:rPr>
              <w:t>(uključujući</w:t>
            </w:r>
          </w:p>
          <w:p w:rsidR="00D8257D" w:rsidRPr="000D7979" w:rsidRDefault="00A012BE">
            <w:pPr>
              <w:tabs>
                <w:tab w:val="left" w:pos="540"/>
                <w:tab w:val="left" w:pos="569"/>
              </w:tabs>
              <w:ind w:right="611"/>
              <w:jc w:val="both"/>
              <w:rPr>
                <w:bCs/>
                <w:sz w:val="22"/>
                <w:szCs w:val="22"/>
                <w:lang w:val="sr-Latn-ME"/>
              </w:rPr>
            </w:pPr>
            <w:r w:rsidRPr="000D7979">
              <w:rPr>
                <w:bCs/>
                <w:sz w:val="22"/>
                <w:szCs w:val="22"/>
                <w:lang w:val="sr-Latn-ME"/>
              </w:rPr>
              <w:t>r</w:t>
            </w:r>
            <w:r w:rsidR="00BC6109" w:rsidRPr="000D7979">
              <w:rPr>
                <w:bCs/>
                <w:sz w:val="22"/>
                <w:szCs w:val="22"/>
                <w:lang w:val="sr-Latn-ME"/>
              </w:rPr>
              <w:t>eakcij</w:t>
            </w:r>
            <w:r w:rsidRPr="000D7979">
              <w:rPr>
                <w:bCs/>
                <w:sz w:val="22"/>
                <w:szCs w:val="22"/>
                <w:lang w:val="sr-Latn-ME"/>
              </w:rPr>
              <w:t xml:space="preserve">e </w:t>
            </w:r>
            <w:r w:rsidR="00D8257D" w:rsidRPr="000D7979">
              <w:rPr>
                <w:bCs/>
                <w:sz w:val="22"/>
                <w:szCs w:val="22"/>
                <w:lang w:val="sr-Latn-ME"/>
              </w:rPr>
              <w:t>na koži</w:t>
            </w:r>
            <w:r w:rsidRPr="000D7979">
              <w:rPr>
                <w:bCs/>
                <w:sz w:val="22"/>
                <w:szCs w:val="22"/>
                <w:lang w:val="sr-Latn-ME"/>
              </w:rPr>
              <w:t xml:space="preserve"> </w:t>
            </w:r>
            <w:r w:rsidR="00D8257D" w:rsidRPr="000D7979">
              <w:rPr>
                <w:bCs/>
                <w:sz w:val="22"/>
                <w:szCs w:val="22"/>
                <w:lang w:val="sr-Latn-ME"/>
              </w:rPr>
              <w:t>i urtikariju)</w:t>
            </w:r>
          </w:p>
          <w:p w:rsidR="00BC6109" w:rsidRPr="000D7979" w:rsidRDefault="00BC6109">
            <w:pPr>
              <w:tabs>
                <w:tab w:val="left" w:pos="540"/>
                <w:tab w:val="left" w:pos="569"/>
              </w:tabs>
              <w:jc w:val="both"/>
              <w:rPr>
                <w:bCs/>
                <w:sz w:val="22"/>
                <w:szCs w:val="22"/>
                <w:lang w:val="sr-Latn-ME"/>
              </w:rPr>
            </w:pPr>
          </w:p>
          <w:p w:rsidR="00D8257D" w:rsidRPr="000D7979" w:rsidRDefault="00D8257D">
            <w:pPr>
              <w:tabs>
                <w:tab w:val="left" w:pos="540"/>
                <w:tab w:val="left" w:pos="569"/>
              </w:tabs>
              <w:jc w:val="both"/>
              <w:rPr>
                <w:bCs/>
                <w:sz w:val="22"/>
                <w:szCs w:val="22"/>
                <w:lang w:val="sr-Latn-ME"/>
              </w:rPr>
            </w:pPr>
            <w:r w:rsidRPr="000D7979">
              <w:rPr>
                <w:bCs/>
                <w:sz w:val="22"/>
                <w:szCs w:val="22"/>
                <w:lang w:val="sr-Latn-ME"/>
              </w:rPr>
              <w:t>anafilaktička</w:t>
            </w:r>
          </w:p>
          <w:p w:rsidR="00D8257D" w:rsidRPr="000D7979" w:rsidRDefault="00D8257D">
            <w:pPr>
              <w:tabs>
                <w:tab w:val="left" w:pos="540"/>
                <w:tab w:val="left" w:pos="569"/>
              </w:tabs>
              <w:jc w:val="both"/>
              <w:rPr>
                <w:bCs/>
                <w:sz w:val="22"/>
                <w:szCs w:val="22"/>
                <w:lang w:val="sr-Latn-ME"/>
              </w:rPr>
            </w:pPr>
            <w:r w:rsidRPr="000D7979">
              <w:rPr>
                <w:bCs/>
                <w:sz w:val="22"/>
                <w:szCs w:val="22"/>
                <w:lang w:val="sr-Latn-ME"/>
              </w:rPr>
              <w:t>reakcija</w:t>
            </w:r>
          </w:p>
        </w:tc>
        <w:tc>
          <w:tcPr>
            <w:tcW w:w="1641" w:type="dxa"/>
            <w:vAlign w:val="center"/>
          </w:tcPr>
          <w:p w:rsidR="00D8257D" w:rsidRPr="000D7979" w:rsidRDefault="00D8257D">
            <w:pPr>
              <w:tabs>
                <w:tab w:val="left" w:pos="540"/>
                <w:tab w:val="left" w:pos="569"/>
              </w:tabs>
              <w:jc w:val="both"/>
              <w:rPr>
                <w:bCs/>
                <w:sz w:val="22"/>
                <w:szCs w:val="22"/>
                <w:lang w:val="sr-Latn-ME"/>
              </w:rPr>
            </w:pPr>
            <w:r w:rsidRPr="000D7979">
              <w:rPr>
                <w:bCs/>
                <w:sz w:val="22"/>
                <w:szCs w:val="22"/>
                <w:lang w:val="sr-Latn-ME"/>
              </w:rPr>
              <w:t>angioedem</w:t>
            </w:r>
          </w:p>
        </w:tc>
        <w:tc>
          <w:tcPr>
            <w:tcW w:w="1320" w:type="dxa"/>
            <w:vAlign w:val="center"/>
          </w:tcPr>
          <w:p w:rsidR="00D8257D" w:rsidRPr="000D7979" w:rsidRDefault="00D8257D">
            <w:pPr>
              <w:tabs>
                <w:tab w:val="left" w:pos="540"/>
                <w:tab w:val="left" w:pos="569"/>
              </w:tabs>
              <w:jc w:val="both"/>
              <w:rPr>
                <w:b/>
                <w:bCs/>
                <w:sz w:val="22"/>
                <w:szCs w:val="22"/>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7" w:lineRule="auto"/>
              <w:ind w:right="77"/>
              <w:jc w:val="both"/>
              <w:rPr>
                <w:lang w:val="sr-Latn-ME"/>
              </w:rPr>
            </w:pPr>
            <w:r w:rsidRPr="000D7979">
              <w:rPr>
                <w:lang w:val="sr-Latn-ME"/>
              </w:rPr>
              <w:t>Endokrini poremećaji</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D8257D" w:rsidP="00C45106">
            <w:pPr>
              <w:pStyle w:val="TableParagraph"/>
              <w:spacing w:line="238" w:lineRule="exact"/>
              <w:jc w:val="both"/>
              <w:rPr>
                <w:lang w:val="sr-Latn-ME"/>
              </w:rPr>
            </w:pPr>
            <w:r w:rsidRPr="000D7979">
              <w:rPr>
                <w:lang w:val="sr-Latn-ME"/>
              </w:rPr>
              <w:t>hipotireoza</w:t>
            </w: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hipertireoza</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7" w:lineRule="auto"/>
              <w:jc w:val="both"/>
              <w:rPr>
                <w:lang w:val="sr-Latn-ME"/>
              </w:rPr>
            </w:pPr>
            <w:r w:rsidRPr="000D7979">
              <w:rPr>
                <w:lang w:val="sr-Latn-ME"/>
              </w:rPr>
              <w:t>Poremećaji metabolizma i</w:t>
            </w:r>
            <w:r w:rsidR="00BC6109" w:rsidRPr="000D7979">
              <w:rPr>
                <w:lang w:val="sr-Latn-ME"/>
              </w:rPr>
              <w:t xml:space="preserve"> </w:t>
            </w:r>
            <w:r w:rsidRPr="000D7979">
              <w:rPr>
                <w:lang w:val="sr-Latn-ME"/>
              </w:rPr>
              <w:t>ishrane</w:t>
            </w:r>
          </w:p>
        </w:tc>
        <w:tc>
          <w:tcPr>
            <w:tcW w:w="1369" w:type="dxa"/>
            <w:vAlign w:val="center"/>
          </w:tcPr>
          <w:p w:rsidR="00D8257D" w:rsidRPr="000D7979" w:rsidRDefault="00D8257D" w:rsidP="00C45106">
            <w:pPr>
              <w:pStyle w:val="TableParagraph"/>
              <w:spacing w:line="237" w:lineRule="auto"/>
              <w:ind w:right="-134"/>
              <w:jc w:val="both"/>
              <w:rPr>
                <w:lang w:val="sr-Latn-ME"/>
              </w:rPr>
            </w:pPr>
            <w:r w:rsidRPr="000D7979">
              <w:rPr>
                <w:lang w:val="sr-Latn-ME"/>
              </w:rPr>
              <w:t>anoreksija hipofosfatemija</w:t>
            </w:r>
          </w:p>
        </w:tc>
        <w:tc>
          <w:tcPr>
            <w:tcW w:w="1467" w:type="dxa"/>
            <w:vAlign w:val="center"/>
          </w:tcPr>
          <w:p w:rsidR="00D8257D" w:rsidRPr="000D7979" w:rsidRDefault="00D8257D" w:rsidP="00C45106">
            <w:pPr>
              <w:pStyle w:val="TableParagraph"/>
              <w:spacing w:line="237" w:lineRule="auto"/>
              <w:jc w:val="both"/>
              <w:rPr>
                <w:lang w:val="sr-Latn-ME"/>
              </w:rPr>
            </w:pPr>
            <w:r w:rsidRPr="000D7979">
              <w:rPr>
                <w:lang w:val="sr-Latn-ME"/>
              </w:rPr>
              <w:t>hipokalcemija hipokalemija</w:t>
            </w:r>
          </w:p>
          <w:p w:rsidR="00D8257D" w:rsidRPr="000D7979" w:rsidRDefault="00D8257D" w:rsidP="00C45106">
            <w:pPr>
              <w:pStyle w:val="TableParagraph"/>
              <w:jc w:val="both"/>
              <w:rPr>
                <w:lang w:val="sr-Latn-ME"/>
              </w:rPr>
            </w:pPr>
            <w:r w:rsidRPr="000D7979">
              <w:rPr>
                <w:lang w:val="sr-Latn-ME"/>
              </w:rPr>
              <w:t>hiponatremija hipoglikemija</w:t>
            </w: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dehidracija</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r w:rsidRPr="000D7979">
              <w:rPr>
                <w:lang w:val="sr-Latn-ME"/>
              </w:rPr>
              <w:t>sindrom lize tumora</w:t>
            </w: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Psihijatrijski</w:t>
            </w:r>
          </w:p>
          <w:p w:rsidR="00D8257D" w:rsidRPr="000D7979" w:rsidRDefault="00D8257D" w:rsidP="00C45106">
            <w:pPr>
              <w:pStyle w:val="TableParagraph"/>
              <w:spacing w:before="1"/>
              <w:jc w:val="both"/>
              <w:rPr>
                <w:lang w:val="sr-Latn-ME"/>
              </w:rPr>
            </w:pPr>
            <w:r w:rsidRPr="000D7979">
              <w:rPr>
                <w:lang w:val="sr-Latn-ME"/>
              </w:rPr>
              <w:t>poremećaji</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D8257D" w:rsidP="00C45106">
            <w:pPr>
              <w:pStyle w:val="TableParagraph"/>
              <w:spacing w:line="238" w:lineRule="exact"/>
              <w:jc w:val="both"/>
              <w:rPr>
                <w:lang w:val="sr-Latn-ME"/>
              </w:rPr>
            </w:pPr>
            <w:r w:rsidRPr="000D7979">
              <w:rPr>
                <w:lang w:val="sr-Latn-ME"/>
              </w:rPr>
              <w:t>depresija</w:t>
            </w:r>
          </w:p>
        </w:tc>
        <w:tc>
          <w:tcPr>
            <w:tcW w:w="1746" w:type="dxa"/>
            <w:vAlign w:val="center"/>
          </w:tcPr>
          <w:p w:rsidR="00D8257D" w:rsidRPr="000D7979" w:rsidRDefault="00D8257D" w:rsidP="00C45106">
            <w:pPr>
              <w:pStyle w:val="TableParagraph"/>
              <w:ind w:left="0"/>
              <w:jc w:val="both"/>
              <w:rPr>
                <w:lang w:val="sr-Latn-ME"/>
              </w:rPr>
            </w:pP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Poremećaji</w:t>
            </w:r>
          </w:p>
          <w:p w:rsidR="00D8257D" w:rsidRPr="000D7979" w:rsidRDefault="00D8257D" w:rsidP="00C45106">
            <w:pPr>
              <w:pStyle w:val="TableParagraph"/>
              <w:spacing w:before="1"/>
              <w:ind w:right="26"/>
              <w:jc w:val="both"/>
              <w:rPr>
                <w:lang w:val="sr-Latn-ME"/>
              </w:rPr>
            </w:pPr>
            <w:r w:rsidRPr="000D7979">
              <w:rPr>
                <w:lang w:val="sr-Latn-ME"/>
              </w:rPr>
              <w:t>nervnog sistema</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BC6109" w:rsidP="00C45106">
            <w:pPr>
              <w:pStyle w:val="TableParagraph"/>
              <w:tabs>
                <w:tab w:val="left" w:pos="1002"/>
              </w:tabs>
              <w:spacing w:line="238" w:lineRule="exact"/>
              <w:jc w:val="both"/>
              <w:rPr>
                <w:lang w:val="sr-Latn-ME"/>
              </w:rPr>
            </w:pPr>
            <w:r w:rsidRPr="000D7979">
              <w:rPr>
                <w:lang w:val="sr-Latn-ME"/>
              </w:rPr>
              <w:t xml:space="preserve">periferna </w:t>
            </w:r>
            <w:r w:rsidR="00D8257D" w:rsidRPr="000D7979">
              <w:rPr>
                <w:spacing w:val="-4"/>
                <w:lang w:val="sr-Latn-ME"/>
              </w:rPr>
              <w:t>senzorna</w:t>
            </w:r>
          </w:p>
          <w:p w:rsidR="00BC6109" w:rsidRPr="000D7979" w:rsidRDefault="00BC6109" w:rsidP="00C45106">
            <w:pPr>
              <w:pStyle w:val="TableParagraph"/>
              <w:spacing w:before="1"/>
              <w:ind w:right="55"/>
              <w:jc w:val="both"/>
              <w:rPr>
                <w:lang w:val="sr-Latn-ME"/>
              </w:rPr>
            </w:pPr>
            <w:r w:rsidRPr="000D7979">
              <w:rPr>
                <w:lang w:val="sr-Latn-ME"/>
              </w:rPr>
              <w:t>neuropat</w:t>
            </w:r>
            <w:r w:rsidR="00D8257D" w:rsidRPr="000D7979">
              <w:rPr>
                <w:lang w:val="sr-Latn-ME"/>
              </w:rPr>
              <w:t xml:space="preserve">ija </w:t>
            </w:r>
          </w:p>
          <w:p w:rsidR="00BC6109" w:rsidRPr="000D7979" w:rsidRDefault="00BC6109" w:rsidP="00C45106">
            <w:pPr>
              <w:pStyle w:val="TableParagraph"/>
              <w:spacing w:before="1"/>
              <w:ind w:right="55"/>
              <w:jc w:val="both"/>
              <w:rPr>
                <w:lang w:val="sr-Latn-ME"/>
              </w:rPr>
            </w:pPr>
          </w:p>
          <w:p w:rsidR="00D8257D" w:rsidRPr="000D7979" w:rsidRDefault="00D8257D" w:rsidP="00C45106">
            <w:pPr>
              <w:pStyle w:val="TableParagraph"/>
              <w:spacing w:before="1"/>
              <w:ind w:right="55"/>
              <w:jc w:val="both"/>
              <w:rPr>
                <w:lang w:val="sr-Latn-ME"/>
              </w:rPr>
            </w:pPr>
            <w:r w:rsidRPr="000D7979">
              <w:rPr>
                <w:lang w:val="sr-Latn-ME"/>
              </w:rPr>
              <w:t>disgeuzija</w:t>
            </w: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reverzibilna</w:t>
            </w:r>
          </w:p>
          <w:p w:rsidR="00D8257D" w:rsidRPr="000D7979" w:rsidRDefault="00BC6109" w:rsidP="00C45106">
            <w:pPr>
              <w:pStyle w:val="TableParagraph"/>
              <w:spacing w:before="1"/>
              <w:ind w:left="5"/>
              <w:jc w:val="both"/>
              <w:rPr>
                <w:lang w:val="sr-Latn-ME"/>
              </w:rPr>
            </w:pPr>
            <w:r w:rsidRPr="000D7979">
              <w:rPr>
                <w:lang w:val="sr-Latn-ME"/>
              </w:rPr>
              <w:t>posteriorna leukoencefalop</w:t>
            </w:r>
            <w:r w:rsidR="00D8257D" w:rsidRPr="000D7979">
              <w:rPr>
                <w:lang w:val="sr-Latn-ME"/>
              </w:rPr>
              <w:t>atija*</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spacing w:line="238" w:lineRule="exact"/>
              <w:jc w:val="both"/>
              <w:rPr>
                <w:lang w:val="sr-Latn-ME"/>
              </w:rPr>
            </w:pPr>
            <w:r w:rsidRPr="000D7979">
              <w:rPr>
                <w:lang w:val="sr-Latn-ME"/>
              </w:rPr>
              <w:t>encefalopatija°</w:t>
            </w: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Poremećaji uha</w:t>
            </w:r>
            <w:r w:rsidR="00BC6109" w:rsidRPr="000D7979">
              <w:rPr>
                <w:lang w:val="sr-Latn-ME"/>
              </w:rPr>
              <w:t xml:space="preserve"> </w:t>
            </w:r>
            <w:r w:rsidRPr="000D7979">
              <w:rPr>
                <w:lang w:val="sr-Latn-ME"/>
              </w:rPr>
              <w:t>i labirinta</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D8257D" w:rsidP="00C45106">
            <w:pPr>
              <w:pStyle w:val="TableParagraph"/>
              <w:spacing w:line="238" w:lineRule="exact"/>
              <w:jc w:val="both"/>
              <w:rPr>
                <w:lang w:val="sr-Latn-ME"/>
              </w:rPr>
            </w:pPr>
            <w:r w:rsidRPr="000D7979">
              <w:rPr>
                <w:lang w:val="sr-Latn-ME"/>
              </w:rPr>
              <w:t>tinitus</w:t>
            </w:r>
          </w:p>
        </w:tc>
        <w:tc>
          <w:tcPr>
            <w:tcW w:w="1746" w:type="dxa"/>
            <w:vAlign w:val="center"/>
          </w:tcPr>
          <w:p w:rsidR="00D8257D" w:rsidRPr="000D7979" w:rsidRDefault="00D8257D" w:rsidP="00C45106">
            <w:pPr>
              <w:pStyle w:val="TableParagraph"/>
              <w:ind w:left="0"/>
              <w:jc w:val="both"/>
              <w:rPr>
                <w:lang w:val="sr-Latn-ME"/>
              </w:rPr>
            </w:pP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Kardiološki</w:t>
            </w:r>
          </w:p>
          <w:p w:rsidR="00D8257D" w:rsidRPr="000D7979" w:rsidRDefault="00D8257D" w:rsidP="00C45106">
            <w:pPr>
              <w:pStyle w:val="TableParagraph"/>
              <w:spacing w:before="1"/>
              <w:jc w:val="both"/>
              <w:rPr>
                <w:lang w:val="sr-Latn-ME"/>
              </w:rPr>
            </w:pPr>
            <w:r w:rsidRPr="000D7979">
              <w:rPr>
                <w:lang w:val="sr-Latn-ME"/>
              </w:rPr>
              <w:t>poremećaji</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D8257D" w:rsidP="00C45106">
            <w:pPr>
              <w:pStyle w:val="TableParagraph"/>
              <w:spacing w:line="238" w:lineRule="exact"/>
              <w:ind w:right="-15"/>
              <w:jc w:val="both"/>
              <w:rPr>
                <w:lang w:val="sr-Latn-ME"/>
              </w:rPr>
            </w:pPr>
            <w:r w:rsidRPr="000D7979">
              <w:rPr>
                <w:lang w:val="sr-Latn-ME"/>
              </w:rPr>
              <w:t>kongestivna</w:t>
            </w:r>
            <w:r w:rsidRPr="000D7979">
              <w:rPr>
                <w:spacing w:val="38"/>
                <w:lang w:val="sr-Latn-ME"/>
              </w:rPr>
              <w:t xml:space="preserve"> </w:t>
            </w:r>
            <w:r w:rsidRPr="000D7979">
              <w:rPr>
                <w:lang w:val="sr-Latn-ME"/>
              </w:rPr>
              <w:t>srčana</w:t>
            </w:r>
          </w:p>
          <w:p w:rsidR="00A012BE" w:rsidRPr="000D7979" w:rsidRDefault="00D8257D" w:rsidP="00C45106">
            <w:pPr>
              <w:pStyle w:val="TableParagraph"/>
              <w:spacing w:before="1"/>
              <w:ind w:right="-138"/>
              <w:jc w:val="both"/>
              <w:rPr>
                <w:lang w:val="sr-Latn-ME"/>
              </w:rPr>
            </w:pPr>
            <w:r w:rsidRPr="000D7979">
              <w:rPr>
                <w:lang w:val="sr-Latn-ME"/>
              </w:rPr>
              <w:t>insuficijencija*</w:t>
            </w:r>
          </w:p>
          <w:p w:rsidR="00BC6109" w:rsidRPr="000D7979" w:rsidRDefault="00D8257D" w:rsidP="00C45106">
            <w:pPr>
              <w:pStyle w:val="TableParagraph"/>
              <w:spacing w:before="1"/>
              <w:ind w:right="-138"/>
              <w:jc w:val="both"/>
              <w:rPr>
                <w:lang w:val="sr-Latn-ME"/>
              </w:rPr>
            </w:pPr>
            <w:r w:rsidRPr="000D7979">
              <w:rPr>
                <w:lang w:val="sr-Latn-ME"/>
              </w:rPr>
              <w:t xml:space="preserve"> </w:t>
            </w:r>
          </w:p>
          <w:p w:rsidR="00D8257D" w:rsidRPr="000D7979" w:rsidRDefault="00D8257D" w:rsidP="00C45106">
            <w:pPr>
              <w:pStyle w:val="TableParagraph"/>
              <w:spacing w:before="1"/>
              <w:jc w:val="both"/>
              <w:rPr>
                <w:lang w:val="sr-Latn-ME"/>
              </w:rPr>
            </w:pPr>
            <w:r w:rsidRPr="000D7979">
              <w:rPr>
                <w:lang w:val="sr-Latn-ME"/>
              </w:rPr>
              <w:t>ishemija i infarkt miokarda*</w:t>
            </w:r>
          </w:p>
        </w:tc>
        <w:tc>
          <w:tcPr>
            <w:tcW w:w="1746" w:type="dxa"/>
            <w:vAlign w:val="center"/>
          </w:tcPr>
          <w:p w:rsidR="00D8257D" w:rsidRPr="000D7979" w:rsidRDefault="00D8257D" w:rsidP="00C45106">
            <w:pPr>
              <w:pStyle w:val="TableParagraph"/>
              <w:ind w:left="0"/>
              <w:jc w:val="both"/>
              <w:rPr>
                <w:lang w:val="sr-Latn-ME"/>
              </w:rPr>
            </w:pPr>
          </w:p>
        </w:tc>
        <w:tc>
          <w:tcPr>
            <w:tcW w:w="1641"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produženje</w:t>
            </w:r>
          </w:p>
          <w:p w:rsidR="00D8257D" w:rsidRPr="000D7979" w:rsidRDefault="00D8257D" w:rsidP="00C45106">
            <w:pPr>
              <w:pStyle w:val="TableParagraph"/>
              <w:spacing w:before="1"/>
              <w:ind w:left="5"/>
              <w:jc w:val="both"/>
              <w:rPr>
                <w:lang w:val="sr-Latn-ME"/>
              </w:rPr>
            </w:pPr>
            <w:r w:rsidRPr="000D7979">
              <w:rPr>
                <w:lang w:val="sr-Latn-ME"/>
              </w:rPr>
              <w:t>QT intervala</w:t>
            </w: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Vaskularni</w:t>
            </w:r>
          </w:p>
          <w:p w:rsidR="00D8257D" w:rsidRPr="000D7979" w:rsidRDefault="00D8257D" w:rsidP="00C45106">
            <w:pPr>
              <w:pStyle w:val="TableParagraph"/>
              <w:spacing w:before="1"/>
              <w:jc w:val="both"/>
              <w:rPr>
                <w:lang w:val="sr-Latn-ME"/>
              </w:rPr>
            </w:pPr>
            <w:r w:rsidRPr="000D7979">
              <w:rPr>
                <w:lang w:val="sr-Latn-ME"/>
              </w:rPr>
              <w:t>poremećaji</w:t>
            </w:r>
          </w:p>
        </w:tc>
        <w:tc>
          <w:tcPr>
            <w:tcW w:w="1369" w:type="dxa"/>
            <w:vAlign w:val="center"/>
          </w:tcPr>
          <w:p w:rsidR="00D8257D" w:rsidRPr="000D7979" w:rsidRDefault="00D8257D" w:rsidP="00C45106">
            <w:pPr>
              <w:pStyle w:val="TableParagraph"/>
              <w:spacing w:line="238" w:lineRule="exact"/>
              <w:jc w:val="both"/>
              <w:rPr>
                <w:lang w:val="sr-Latn-ME"/>
              </w:rPr>
            </w:pPr>
            <w:r w:rsidRPr="000D7979">
              <w:rPr>
                <w:lang w:val="sr-Latn-ME"/>
              </w:rPr>
              <w:t>krvarenje</w:t>
            </w:r>
          </w:p>
          <w:p w:rsidR="00BC6109" w:rsidRPr="000D7979" w:rsidRDefault="00D8257D" w:rsidP="00C45106">
            <w:pPr>
              <w:pStyle w:val="TableParagraph"/>
              <w:spacing w:before="1"/>
              <w:ind w:right="-197"/>
              <w:jc w:val="both"/>
              <w:rPr>
                <w:lang w:val="sr-Latn-ME"/>
              </w:rPr>
            </w:pPr>
            <w:r w:rsidRPr="000D7979">
              <w:rPr>
                <w:lang w:val="sr-Latn-ME"/>
              </w:rPr>
              <w:t>(uključujući krvarenje</w:t>
            </w:r>
            <w:r w:rsidR="00AB7102" w:rsidRPr="000D7979">
              <w:rPr>
                <w:lang w:val="sr-Latn-ME"/>
              </w:rPr>
              <w:t xml:space="preserve"> u</w:t>
            </w:r>
            <w:r w:rsidRPr="000D7979">
              <w:rPr>
                <w:lang w:val="sr-Latn-ME"/>
              </w:rPr>
              <w:t xml:space="preserve"> u digestivnom*, respiratornom traktu* i </w:t>
            </w:r>
            <w:r w:rsidR="00AB7102" w:rsidRPr="000D7979">
              <w:rPr>
                <w:lang w:val="sr-Latn-ME"/>
              </w:rPr>
              <w:t xml:space="preserve"> I </w:t>
            </w:r>
            <w:r w:rsidRPr="000D7979">
              <w:rPr>
                <w:lang w:val="sr-Latn-ME"/>
              </w:rPr>
              <w:lastRenderedPageBreak/>
              <w:t xml:space="preserve">cerebralna hemoragija*) </w:t>
            </w:r>
          </w:p>
          <w:p w:rsidR="00BC6109" w:rsidRPr="000D7979" w:rsidRDefault="00BC6109" w:rsidP="00C45106">
            <w:pPr>
              <w:pStyle w:val="TableParagraph"/>
              <w:spacing w:before="1"/>
              <w:jc w:val="both"/>
              <w:rPr>
                <w:lang w:val="sr-Latn-ME"/>
              </w:rPr>
            </w:pPr>
          </w:p>
          <w:p w:rsidR="00D8257D" w:rsidRPr="000D7979" w:rsidRDefault="00D8257D" w:rsidP="00C45106">
            <w:pPr>
              <w:pStyle w:val="TableParagraph"/>
              <w:spacing w:before="1"/>
              <w:jc w:val="both"/>
              <w:rPr>
                <w:lang w:val="sr-Latn-ME"/>
              </w:rPr>
            </w:pPr>
            <w:r w:rsidRPr="000D7979">
              <w:rPr>
                <w:lang w:val="sr-Latn-ME"/>
              </w:rPr>
              <w:t>hipertenzija</w:t>
            </w:r>
          </w:p>
        </w:tc>
        <w:tc>
          <w:tcPr>
            <w:tcW w:w="1467" w:type="dxa"/>
            <w:vAlign w:val="center"/>
          </w:tcPr>
          <w:p w:rsidR="00D8257D" w:rsidRPr="000D7979" w:rsidRDefault="00BC6109" w:rsidP="00C45106">
            <w:pPr>
              <w:pStyle w:val="TableParagraph"/>
              <w:spacing w:before="1"/>
              <w:jc w:val="both"/>
              <w:rPr>
                <w:lang w:val="sr-Latn-ME"/>
              </w:rPr>
            </w:pPr>
            <w:r w:rsidRPr="000D7979">
              <w:rPr>
                <w:lang w:val="sr-Latn-ME"/>
              </w:rPr>
              <w:lastRenderedPageBreak/>
              <w:t xml:space="preserve">naleti </w:t>
            </w:r>
            <w:r w:rsidR="00D8257D" w:rsidRPr="000D7979">
              <w:rPr>
                <w:lang w:val="sr-Latn-ME"/>
              </w:rPr>
              <w:t>crvenila</w:t>
            </w: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hipertenzivna</w:t>
            </w:r>
          </w:p>
          <w:p w:rsidR="00D8257D" w:rsidRPr="000D7979" w:rsidRDefault="00D8257D" w:rsidP="00C45106">
            <w:pPr>
              <w:pStyle w:val="TableParagraph"/>
              <w:spacing w:before="1"/>
              <w:ind w:left="5"/>
              <w:jc w:val="both"/>
              <w:rPr>
                <w:lang w:val="sr-Latn-ME"/>
              </w:rPr>
            </w:pPr>
            <w:r w:rsidRPr="000D7979">
              <w:rPr>
                <w:lang w:val="sr-Latn-ME"/>
              </w:rPr>
              <w:t>kriza*</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BC6109" w:rsidP="00C45106">
            <w:pPr>
              <w:pStyle w:val="TableParagraph"/>
              <w:tabs>
                <w:tab w:val="left" w:pos="1410"/>
              </w:tabs>
              <w:spacing w:line="238" w:lineRule="exact"/>
              <w:ind w:right="-106"/>
              <w:jc w:val="both"/>
              <w:rPr>
                <w:lang w:val="sr-Latn-ME"/>
              </w:rPr>
            </w:pPr>
            <w:r w:rsidRPr="000D7979">
              <w:rPr>
                <w:lang w:val="sr-Latn-ME"/>
              </w:rPr>
              <w:t xml:space="preserve">aneurizme i </w:t>
            </w:r>
            <w:r w:rsidR="00D8257D" w:rsidRPr="000D7979">
              <w:rPr>
                <w:lang w:val="sr-Latn-ME"/>
              </w:rPr>
              <w:t>disekcije</w:t>
            </w:r>
            <w:r w:rsidR="00D8257D" w:rsidRPr="000D7979">
              <w:rPr>
                <w:spacing w:val="-15"/>
                <w:lang w:val="sr-Latn-ME"/>
              </w:rPr>
              <w:t xml:space="preserve"> </w:t>
            </w:r>
            <w:r w:rsidR="00D8257D" w:rsidRPr="000D7979">
              <w:rPr>
                <w:lang w:val="sr-Latn-ME"/>
              </w:rPr>
              <w:t>arterije</w:t>
            </w: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jc w:val="both"/>
              <w:rPr>
                <w:lang w:val="sr-Latn-ME"/>
              </w:rPr>
            </w:pPr>
            <w:r w:rsidRPr="000D7979">
              <w:rPr>
                <w:lang w:val="sr-Latn-ME"/>
              </w:rPr>
              <w:t>Respiratorni,</w:t>
            </w:r>
          </w:p>
          <w:p w:rsidR="00D8257D" w:rsidRPr="000D7979" w:rsidRDefault="00D8257D" w:rsidP="00C45106">
            <w:pPr>
              <w:pStyle w:val="TableParagraph"/>
              <w:spacing w:before="1"/>
              <w:ind w:right="-116"/>
              <w:jc w:val="both"/>
              <w:rPr>
                <w:lang w:val="sr-Latn-ME"/>
              </w:rPr>
            </w:pPr>
            <w:r w:rsidRPr="000D7979">
              <w:rPr>
                <w:lang w:val="sr-Latn-ME"/>
              </w:rPr>
              <w:t>torakalni i medijastinalni poremećaji</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BC6109" w:rsidRPr="000D7979" w:rsidRDefault="00BC6109" w:rsidP="00C45106">
            <w:pPr>
              <w:pStyle w:val="TableParagraph"/>
              <w:spacing w:line="238" w:lineRule="exact"/>
              <w:jc w:val="both"/>
              <w:rPr>
                <w:lang w:val="sr-Latn-ME"/>
              </w:rPr>
            </w:pPr>
            <w:r w:rsidRPr="000D7979">
              <w:rPr>
                <w:lang w:val="sr-Latn-ME"/>
              </w:rPr>
              <w:t>r</w:t>
            </w:r>
            <w:r w:rsidR="00D8257D" w:rsidRPr="000D7979">
              <w:rPr>
                <w:lang w:val="sr-Latn-ME"/>
              </w:rPr>
              <w:t>inoreja</w:t>
            </w:r>
          </w:p>
          <w:p w:rsidR="00A012BE" w:rsidRPr="000D7979" w:rsidRDefault="00A012BE" w:rsidP="00C45106">
            <w:pPr>
              <w:pStyle w:val="TableParagraph"/>
              <w:spacing w:line="238" w:lineRule="exact"/>
              <w:ind w:left="0"/>
              <w:jc w:val="both"/>
              <w:rPr>
                <w:lang w:val="sr-Latn-ME"/>
              </w:rPr>
            </w:pPr>
          </w:p>
          <w:p w:rsidR="00D8257D" w:rsidRPr="000D7979" w:rsidRDefault="00D8257D" w:rsidP="00C45106">
            <w:pPr>
              <w:pStyle w:val="TableParagraph"/>
              <w:spacing w:line="238" w:lineRule="exact"/>
              <w:ind w:left="0"/>
              <w:jc w:val="both"/>
              <w:rPr>
                <w:lang w:val="sr-Latn-ME"/>
              </w:rPr>
            </w:pPr>
            <w:r w:rsidRPr="000D7979">
              <w:rPr>
                <w:lang w:val="sr-Latn-ME"/>
              </w:rPr>
              <w:t>disfonija</w:t>
            </w: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događaji nalik</w:t>
            </w:r>
          </w:p>
          <w:p w:rsidR="00D8257D" w:rsidRPr="000D7979" w:rsidRDefault="00D8257D" w:rsidP="00C45106">
            <w:pPr>
              <w:pStyle w:val="TableParagraph"/>
              <w:spacing w:before="1"/>
              <w:ind w:left="5" w:right="134"/>
              <w:jc w:val="both"/>
              <w:rPr>
                <w:lang w:val="sr-Latn-ME"/>
              </w:rPr>
            </w:pPr>
            <w:r w:rsidRPr="000D7979">
              <w:rPr>
                <w:lang w:val="sr-Latn-ME"/>
              </w:rPr>
              <w:t>intersticijalnoj bolesti pluća* (pneumonitis, radijacioni pneumonitis, akutni respiratorni distres itd.)</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ind w:left="0"/>
              <w:jc w:val="both"/>
              <w:rPr>
                <w:lang w:val="sr-Latn-ME"/>
              </w:rPr>
            </w:pPr>
            <w:r w:rsidRPr="000D7979">
              <w:rPr>
                <w:lang w:val="sr-Latn-ME"/>
              </w:rPr>
              <w:t>Gastrointestinalni poremećaji</w:t>
            </w:r>
          </w:p>
        </w:tc>
        <w:tc>
          <w:tcPr>
            <w:tcW w:w="1369" w:type="dxa"/>
            <w:vAlign w:val="center"/>
          </w:tcPr>
          <w:p w:rsidR="00D8257D" w:rsidRPr="000D7979" w:rsidRDefault="00A012BE" w:rsidP="00C45106">
            <w:pPr>
              <w:pStyle w:val="TableParagraph"/>
              <w:spacing w:line="238" w:lineRule="exact"/>
              <w:jc w:val="both"/>
              <w:rPr>
                <w:lang w:val="sr-Latn-ME"/>
              </w:rPr>
            </w:pPr>
            <w:r w:rsidRPr="000D7979">
              <w:rPr>
                <w:lang w:val="sr-Latn-ME"/>
              </w:rPr>
              <w:t>d</w:t>
            </w:r>
            <w:r w:rsidR="00D8257D" w:rsidRPr="000D7979">
              <w:rPr>
                <w:lang w:val="sr-Latn-ME"/>
              </w:rPr>
              <w:t>ijareja</w:t>
            </w:r>
          </w:p>
          <w:p w:rsidR="00A012BE" w:rsidRPr="000D7979" w:rsidRDefault="00A012BE" w:rsidP="00C45106">
            <w:pPr>
              <w:pStyle w:val="TableParagraph"/>
              <w:spacing w:line="238" w:lineRule="exact"/>
              <w:jc w:val="both"/>
              <w:rPr>
                <w:lang w:val="sr-Latn-ME"/>
              </w:rPr>
            </w:pPr>
          </w:p>
          <w:p w:rsidR="00A012BE" w:rsidRPr="000D7979" w:rsidRDefault="00D8257D" w:rsidP="00C45106">
            <w:pPr>
              <w:pStyle w:val="TableParagraph"/>
              <w:spacing w:before="1"/>
              <w:jc w:val="both"/>
              <w:rPr>
                <w:lang w:val="sr-Latn-ME"/>
              </w:rPr>
            </w:pPr>
            <w:r w:rsidRPr="000D7979">
              <w:rPr>
                <w:lang w:val="sr-Latn-ME"/>
              </w:rPr>
              <w:t xml:space="preserve">mučnina </w:t>
            </w:r>
          </w:p>
          <w:p w:rsidR="00A012BE" w:rsidRPr="000D7979" w:rsidRDefault="00A012BE" w:rsidP="00C45106">
            <w:pPr>
              <w:pStyle w:val="TableParagraph"/>
              <w:spacing w:before="1"/>
              <w:jc w:val="both"/>
              <w:rPr>
                <w:lang w:val="sr-Latn-ME"/>
              </w:rPr>
            </w:pPr>
          </w:p>
          <w:p w:rsidR="00A012BE" w:rsidRPr="000D7979" w:rsidRDefault="00D8257D" w:rsidP="00C45106">
            <w:pPr>
              <w:pStyle w:val="TableParagraph"/>
              <w:spacing w:before="1"/>
              <w:jc w:val="both"/>
              <w:rPr>
                <w:lang w:val="sr-Latn-ME"/>
              </w:rPr>
            </w:pPr>
            <w:r w:rsidRPr="000D7979">
              <w:rPr>
                <w:lang w:val="sr-Latn-ME"/>
              </w:rPr>
              <w:t xml:space="preserve">povraćanje </w:t>
            </w:r>
          </w:p>
          <w:p w:rsidR="00A012BE" w:rsidRPr="000D7979" w:rsidRDefault="00A012BE" w:rsidP="00C45106">
            <w:pPr>
              <w:pStyle w:val="TableParagraph"/>
              <w:spacing w:before="1"/>
              <w:jc w:val="both"/>
              <w:rPr>
                <w:lang w:val="sr-Latn-ME"/>
              </w:rPr>
            </w:pPr>
          </w:p>
          <w:p w:rsidR="00D8257D" w:rsidRPr="000D7979" w:rsidRDefault="00D8257D" w:rsidP="00C45106">
            <w:pPr>
              <w:pStyle w:val="TableParagraph"/>
              <w:spacing w:before="1"/>
              <w:jc w:val="both"/>
              <w:rPr>
                <w:lang w:val="sr-Latn-ME"/>
              </w:rPr>
            </w:pPr>
            <w:r w:rsidRPr="000D7979">
              <w:rPr>
                <w:lang w:val="sr-Latn-ME"/>
              </w:rPr>
              <w:t>konstipacija</w:t>
            </w:r>
          </w:p>
        </w:tc>
        <w:tc>
          <w:tcPr>
            <w:tcW w:w="1467" w:type="dxa"/>
            <w:vAlign w:val="center"/>
          </w:tcPr>
          <w:p w:rsidR="00D8257D" w:rsidRPr="000D7979" w:rsidRDefault="00D8257D" w:rsidP="00C45106">
            <w:pPr>
              <w:pStyle w:val="TableParagraph"/>
              <w:spacing w:line="238" w:lineRule="exact"/>
              <w:jc w:val="both"/>
              <w:rPr>
                <w:lang w:val="sr-Latn-ME"/>
              </w:rPr>
            </w:pPr>
            <w:r w:rsidRPr="000D7979">
              <w:rPr>
                <w:lang w:val="sr-Latn-ME"/>
              </w:rPr>
              <w:t>stomatitis</w:t>
            </w:r>
          </w:p>
          <w:p w:rsidR="00A012BE" w:rsidRPr="000D7979" w:rsidRDefault="00A012BE" w:rsidP="00C45106">
            <w:pPr>
              <w:pStyle w:val="TableParagraph"/>
              <w:tabs>
                <w:tab w:val="left" w:pos="1377"/>
              </w:tabs>
              <w:spacing w:before="1"/>
              <w:ind w:right="-15"/>
              <w:jc w:val="both"/>
              <w:rPr>
                <w:lang w:val="sr-Latn-ME"/>
              </w:rPr>
            </w:pPr>
            <w:r w:rsidRPr="000D7979">
              <w:rPr>
                <w:lang w:val="sr-Latn-ME"/>
              </w:rPr>
              <w:t>(uključujući s</w:t>
            </w:r>
            <w:r w:rsidR="00D8257D" w:rsidRPr="000D7979">
              <w:rPr>
                <w:lang w:val="sr-Latn-ME"/>
              </w:rPr>
              <w:t xml:space="preserve">uva usta i glosodiniju) </w:t>
            </w:r>
          </w:p>
          <w:p w:rsidR="00A012BE" w:rsidRPr="000D7979" w:rsidRDefault="00A012BE" w:rsidP="00C45106">
            <w:pPr>
              <w:pStyle w:val="TableParagraph"/>
              <w:tabs>
                <w:tab w:val="left" w:pos="1377"/>
              </w:tabs>
              <w:spacing w:before="1"/>
              <w:ind w:right="-15"/>
              <w:jc w:val="both"/>
              <w:rPr>
                <w:lang w:val="sr-Latn-ME"/>
              </w:rPr>
            </w:pPr>
          </w:p>
          <w:p w:rsidR="00D8257D" w:rsidRPr="000D7979" w:rsidRDefault="00D8257D" w:rsidP="00C45106">
            <w:pPr>
              <w:pStyle w:val="TableParagraph"/>
              <w:tabs>
                <w:tab w:val="left" w:pos="1377"/>
              </w:tabs>
              <w:spacing w:before="1"/>
              <w:ind w:right="-15"/>
              <w:jc w:val="both"/>
              <w:rPr>
                <w:lang w:val="sr-Latn-ME"/>
              </w:rPr>
            </w:pPr>
            <w:r w:rsidRPr="000D7979">
              <w:rPr>
                <w:lang w:val="sr-Latn-ME"/>
              </w:rPr>
              <w:t xml:space="preserve">dispepsija </w:t>
            </w:r>
          </w:p>
          <w:p w:rsidR="00A012BE" w:rsidRPr="000D7979" w:rsidRDefault="00A012BE" w:rsidP="00C45106">
            <w:pPr>
              <w:pStyle w:val="TableParagraph"/>
              <w:tabs>
                <w:tab w:val="left" w:pos="1377"/>
              </w:tabs>
              <w:spacing w:before="1"/>
              <w:ind w:right="-15"/>
              <w:jc w:val="both"/>
              <w:rPr>
                <w:lang w:val="sr-Latn-ME"/>
              </w:rPr>
            </w:pPr>
          </w:p>
          <w:p w:rsidR="00A012BE" w:rsidRPr="000D7979" w:rsidRDefault="00D8257D" w:rsidP="00C45106">
            <w:pPr>
              <w:pStyle w:val="TableParagraph"/>
              <w:tabs>
                <w:tab w:val="left" w:pos="1377"/>
              </w:tabs>
              <w:spacing w:before="1"/>
              <w:ind w:right="-15"/>
              <w:jc w:val="both"/>
              <w:rPr>
                <w:lang w:val="sr-Latn-ME"/>
              </w:rPr>
            </w:pPr>
            <w:r w:rsidRPr="000D7979">
              <w:rPr>
                <w:lang w:val="sr-Latn-ME"/>
              </w:rPr>
              <w:t xml:space="preserve">disfagija </w:t>
            </w:r>
          </w:p>
          <w:p w:rsidR="00A012BE" w:rsidRPr="000D7979" w:rsidRDefault="00A012BE" w:rsidP="00C45106">
            <w:pPr>
              <w:pStyle w:val="TableParagraph"/>
              <w:tabs>
                <w:tab w:val="left" w:pos="1377"/>
              </w:tabs>
              <w:spacing w:before="1"/>
              <w:ind w:right="-15"/>
              <w:jc w:val="both"/>
              <w:rPr>
                <w:lang w:val="sr-Latn-ME"/>
              </w:rPr>
            </w:pPr>
          </w:p>
          <w:p w:rsidR="00D8257D" w:rsidRPr="000D7979" w:rsidRDefault="00D8257D" w:rsidP="00C45106">
            <w:pPr>
              <w:pStyle w:val="TableParagraph"/>
              <w:tabs>
                <w:tab w:val="left" w:pos="1377"/>
              </w:tabs>
              <w:spacing w:before="1"/>
              <w:ind w:right="-15"/>
              <w:jc w:val="both"/>
              <w:rPr>
                <w:lang w:val="sr-Latn-ME"/>
              </w:rPr>
            </w:pPr>
            <w:r w:rsidRPr="000D7979">
              <w:rPr>
                <w:lang w:val="sr-Latn-ME"/>
              </w:rPr>
              <w:t>gastroezofagealna refluksna</w:t>
            </w:r>
            <w:r w:rsidRPr="000D7979">
              <w:rPr>
                <w:spacing w:val="-3"/>
                <w:lang w:val="sr-Latn-ME"/>
              </w:rPr>
              <w:t xml:space="preserve"> </w:t>
            </w:r>
            <w:r w:rsidRPr="000D7979">
              <w:rPr>
                <w:lang w:val="sr-Latn-ME"/>
              </w:rPr>
              <w:t>bolest</w:t>
            </w:r>
          </w:p>
        </w:tc>
        <w:tc>
          <w:tcPr>
            <w:tcW w:w="1746" w:type="dxa"/>
            <w:vAlign w:val="center"/>
          </w:tcPr>
          <w:p w:rsidR="00D8257D" w:rsidRPr="000D7979" w:rsidRDefault="00A012BE" w:rsidP="00C45106">
            <w:pPr>
              <w:pStyle w:val="TableParagraph"/>
              <w:spacing w:line="238" w:lineRule="exact"/>
              <w:ind w:left="5"/>
              <w:jc w:val="both"/>
              <w:rPr>
                <w:lang w:val="sr-Latn-ME"/>
              </w:rPr>
            </w:pPr>
            <w:r w:rsidRPr="000D7979">
              <w:rPr>
                <w:lang w:val="sr-Latn-ME"/>
              </w:rPr>
              <w:t>p</w:t>
            </w:r>
            <w:r w:rsidR="00D8257D" w:rsidRPr="000D7979">
              <w:rPr>
                <w:lang w:val="sr-Latn-ME"/>
              </w:rPr>
              <w:t>ankreatitis</w:t>
            </w:r>
          </w:p>
          <w:p w:rsidR="00A012BE" w:rsidRPr="000D7979" w:rsidRDefault="00A012BE" w:rsidP="00C45106">
            <w:pPr>
              <w:pStyle w:val="TableParagraph"/>
              <w:spacing w:line="238" w:lineRule="exact"/>
              <w:ind w:left="5"/>
              <w:jc w:val="both"/>
              <w:rPr>
                <w:lang w:val="sr-Latn-ME"/>
              </w:rPr>
            </w:pPr>
          </w:p>
          <w:p w:rsidR="00A012BE" w:rsidRPr="000D7979" w:rsidRDefault="00D8257D" w:rsidP="00C45106">
            <w:pPr>
              <w:pStyle w:val="TableParagraph"/>
              <w:spacing w:before="1"/>
              <w:ind w:left="5"/>
              <w:jc w:val="both"/>
              <w:rPr>
                <w:lang w:val="sr-Latn-ME"/>
              </w:rPr>
            </w:pPr>
            <w:r w:rsidRPr="000D7979">
              <w:rPr>
                <w:lang w:val="sr-Latn-ME"/>
              </w:rPr>
              <w:t xml:space="preserve">gastritis </w:t>
            </w:r>
          </w:p>
          <w:p w:rsidR="00A012BE" w:rsidRPr="000D7979" w:rsidRDefault="00A012BE" w:rsidP="00C45106">
            <w:pPr>
              <w:pStyle w:val="TableParagraph"/>
              <w:spacing w:before="1"/>
              <w:ind w:left="5"/>
              <w:jc w:val="both"/>
              <w:rPr>
                <w:lang w:val="sr-Latn-ME"/>
              </w:rPr>
            </w:pPr>
          </w:p>
          <w:p w:rsidR="00D8257D" w:rsidRPr="000D7979" w:rsidRDefault="00A012BE" w:rsidP="00C45106">
            <w:pPr>
              <w:pStyle w:val="TableParagraph"/>
              <w:spacing w:before="1"/>
              <w:ind w:left="5"/>
              <w:jc w:val="both"/>
              <w:rPr>
                <w:lang w:val="sr-Latn-ME"/>
              </w:rPr>
            </w:pPr>
            <w:r w:rsidRPr="000D7979">
              <w:rPr>
                <w:lang w:val="sr-Latn-ME"/>
              </w:rPr>
              <w:t>gastrointestina-</w:t>
            </w:r>
            <w:r w:rsidR="00D8257D" w:rsidRPr="000D7979">
              <w:rPr>
                <w:lang w:val="sr-Latn-ME"/>
              </w:rPr>
              <w:t xml:space="preserve"> </w:t>
            </w:r>
            <w:r w:rsidRPr="000D7979">
              <w:rPr>
                <w:lang w:val="sr-Latn-ME"/>
              </w:rPr>
              <w:t>l</w:t>
            </w:r>
            <w:r w:rsidR="00D8257D" w:rsidRPr="000D7979">
              <w:rPr>
                <w:lang w:val="sr-Latn-ME"/>
              </w:rPr>
              <w:t>ne perforacije*</w:t>
            </w:r>
          </w:p>
        </w:tc>
        <w:tc>
          <w:tcPr>
            <w:tcW w:w="1641" w:type="dxa"/>
            <w:vAlign w:val="center"/>
          </w:tcPr>
          <w:p w:rsidR="00D8257D" w:rsidRPr="000D7979" w:rsidRDefault="00D8257D" w:rsidP="00C45106">
            <w:pPr>
              <w:pStyle w:val="TableParagraph"/>
              <w:ind w:left="0"/>
              <w:jc w:val="both"/>
              <w:rPr>
                <w:lang w:val="sr-Latn-ME"/>
              </w:rPr>
            </w:pP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D8257D" w:rsidRPr="000D7979" w:rsidRDefault="00D8257D" w:rsidP="00C45106">
            <w:pPr>
              <w:pStyle w:val="TableParagraph"/>
              <w:spacing w:line="238" w:lineRule="exact"/>
              <w:ind w:right="-145"/>
              <w:jc w:val="both"/>
              <w:rPr>
                <w:lang w:val="sr-Latn-ME"/>
              </w:rPr>
            </w:pPr>
            <w:r w:rsidRPr="000D7979">
              <w:rPr>
                <w:lang w:val="sr-Latn-ME"/>
              </w:rPr>
              <w:t>Hepatobilijarni</w:t>
            </w:r>
          </w:p>
          <w:p w:rsidR="00D8257D" w:rsidRPr="000D7979" w:rsidRDefault="00D8257D" w:rsidP="00C45106">
            <w:pPr>
              <w:pStyle w:val="TableParagraph"/>
              <w:spacing w:before="1"/>
              <w:jc w:val="both"/>
              <w:rPr>
                <w:lang w:val="sr-Latn-ME"/>
              </w:rPr>
            </w:pPr>
            <w:r w:rsidRPr="000D7979">
              <w:rPr>
                <w:lang w:val="sr-Latn-ME"/>
              </w:rPr>
              <w:t>poremećaji</w:t>
            </w:r>
          </w:p>
        </w:tc>
        <w:tc>
          <w:tcPr>
            <w:tcW w:w="1369" w:type="dxa"/>
            <w:vAlign w:val="center"/>
          </w:tcPr>
          <w:p w:rsidR="00D8257D" w:rsidRPr="000D7979" w:rsidRDefault="00D8257D" w:rsidP="00C45106">
            <w:pPr>
              <w:pStyle w:val="TableParagraph"/>
              <w:ind w:left="0"/>
              <w:jc w:val="both"/>
              <w:rPr>
                <w:lang w:val="sr-Latn-ME"/>
              </w:rPr>
            </w:pPr>
          </w:p>
        </w:tc>
        <w:tc>
          <w:tcPr>
            <w:tcW w:w="1467" w:type="dxa"/>
            <w:vAlign w:val="center"/>
          </w:tcPr>
          <w:p w:rsidR="00D8257D" w:rsidRPr="000D7979" w:rsidRDefault="00D8257D" w:rsidP="00C45106">
            <w:pPr>
              <w:pStyle w:val="TableParagraph"/>
              <w:ind w:left="0"/>
              <w:jc w:val="both"/>
              <w:rPr>
                <w:lang w:val="sr-Latn-ME"/>
              </w:rPr>
            </w:pPr>
          </w:p>
        </w:tc>
        <w:tc>
          <w:tcPr>
            <w:tcW w:w="1746"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povećanje</w:t>
            </w:r>
          </w:p>
          <w:p w:rsidR="00A012BE" w:rsidRPr="000D7979" w:rsidRDefault="00D8257D" w:rsidP="00C45106">
            <w:pPr>
              <w:pStyle w:val="TableParagraph"/>
              <w:spacing w:before="1"/>
              <w:ind w:left="5" w:right="409"/>
              <w:jc w:val="both"/>
              <w:rPr>
                <w:lang w:val="sr-Latn-ME"/>
              </w:rPr>
            </w:pPr>
            <w:r w:rsidRPr="000D7979">
              <w:rPr>
                <w:lang w:val="sr-Latn-ME"/>
              </w:rPr>
              <w:t>vrij</w:t>
            </w:r>
            <w:r w:rsidR="00A012BE" w:rsidRPr="000D7979">
              <w:rPr>
                <w:lang w:val="sr-Latn-ME"/>
              </w:rPr>
              <w:t>ednosti bilirubina i žutica</w:t>
            </w:r>
          </w:p>
          <w:p w:rsidR="00A012BE" w:rsidRPr="000D7979" w:rsidRDefault="00A012BE" w:rsidP="00C45106">
            <w:pPr>
              <w:pStyle w:val="TableParagraph"/>
              <w:spacing w:before="1"/>
              <w:ind w:left="5" w:right="409"/>
              <w:jc w:val="both"/>
              <w:rPr>
                <w:lang w:val="sr-Latn-ME"/>
              </w:rPr>
            </w:pPr>
          </w:p>
          <w:p w:rsidR="00A012BE" w:rsidRPr="000D7979" w:rsidRDefault="00A012BE" w:rsidP="00C45106">
            <w:pPr>
              <w:pStyle w:val="TableParagraph"/>
              <w:spacing w:before="1"/>
              <w:ind w:left="5" w:right="409"/>
              <w:jc w:val="both"/>
              <w:rPr>
                <w:spacing w:val="-1"/>
                <w:lang w:val="sr-Latn-ME"/>
              </w:rPr>
            </w:pPr>
            <w:r w:rsidRPr="000D7979">
              <w:rPr>
                <w:spacing w:val="-1"/>
                <w:lang w:val="sr-Latn-ME"/>
              </w:rPr>
              <w:t>holecistitis</w:t>
            </w:r>
          </w:p>
          <w:p w:rsidR="00A012BE" w:rsidRPr="000D7979" w:rsidRDefault="00A012BE" w:rsidP="00C45106">
            <w:pPr>
              <w:pStyle w:val="TableParagraph"/>
              <w:spacing w:before="1"/>
              <w:ind w:left="5" w:right="409"/>
              <w:jc w:val="both"/>
              <w:rPr>
                <w:spacing w:val="-1"/>
                <w:lang w:val="sr-Latn-ME"/>
              </w:rPr>
            </w:pPr>
          </w:p>
          <w:p w:rsidR="00D8257D" w:rsidRPr="000D7979" w:rsidRDefault="00D8257D" w:rsidP="00C45106">
            <w:pPr>
              <w:pStyle w:val="TableParagraph"/>
              <w:spacing w:before="1"/>
              <w:ind w:right="409"/>
              <w:jc w:val="both"/>
              <w:rPr>
                <w:lang w:val="sr-Latn-ME"/>
              </w:rPr>
            </w:pPr>
            <w:r w:rsidRPr="000D7979">
              <w:rPr>
                <w:lang w:val="sr-Latn-ME"/>
              </w:rPr>
              <w:t>holangitis</w:t>
            </w:r>
          </w:p>
        </w:tc>
        <w:tc>
          <w:tcPr>
            <w:tcW w:w="1641" w:type="dxa"/>
            <w:vAlign w:val="center"/>
          </w:tcPr>
          <w:p w:rsidR="00D8257D" w:rsidRPr="000D7979" w:rsidRDefault="00D8257D" w:rsidP="00C45106">
            <w:pPr>
              <w:pStyle w:val="TableParagraph"/>
              <w:spacing w:line="238" w:lineRule="exact"/>
              <w:ind w:left="5"/>
              <w:jc w:val="both"/>
              <w:rPr>
                <w:lang w:val="sr-Latn-ME"/>
              </w:rPr>
            </w:pPr>
            <w:r w:rsidRPr="000D7979">
              <w:rPr>
                <w:lang w:val="sr-Latn-ME"/>
              </w:rPr>
              <w:t>hepatitis</w:t>
            </w:r>
          </w:p>
          <w:p w:rsidR="00D8257D" w:rsidRPr="000D7979" w:rsidRDefault="00D8257D" w:rsidP="00C45106">
            <w:pPr>
              <w:pStyle w:val="TableParagraph"/>
              <w:tabs>
                <w:tab w:val="left" w:pos="959"/>
              </w:tabs>
              <w:spacing w:before="1"/>
              <w:ind w:left="5" w:right="-147"/>
              <w:jc w:val="both"/>
              <w:rPr>
                <w:lang w:val="sr-Latn-ME"/>
              </w:rPr>
            </w:pPr>
            <w:r w:rsidRPr="000D7979">
              <w:rPr>
                <w:lang w:val="sr-Latn-ME"/>
              </w:rPr>
              <w:t>izazvan ljekovima*</w:t>
            </w:r>
          </w:p>
        </w:tc>
        <w:tc>
          <w:tcPr>
            <w:tcW w:w="1320" w:type="dxa"/>
            <w:vAlign w:val="center"/>
          </w:tcPr>
          <w:p w:rsidR="00D8257D" w:rsidRPr="000D7979" w:rsidRDefault="00D8257D"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tabs>
                <w:tab w:val="left" w:pos="1353"/>
              </w:tabs>
              <w:spacing w:line="237" w:lineRule="auto"/>
              <w:ind w:right="-15"/>
              <w:jc w:val="both"/>
              <w:rPr>
                <w:lang w:val="sr-Latn-ME"/>
              </w:rPr>
            </w:pPr>
            <w:r w:rsidRPr="000D7979">
              <w:rPr>
                <w:lang w:val="sr-Latn-ME"/>
              </w:rPr>
              <w:t xml:space="preserve">Poremećaji </w:t>
            </w:r>
            <w:r w:rsidRPr="000D7979">
              <w:rPr>
                <w:spacing w:val="-3"/>
                <w:lang w:val="sr-Latn-ME"/>
              </w:rPr>
              <w:t>kože</w:t>
            </w:r>
            <w:r w:rsidR="00A012BE" w:rsidRPr="000D7979">
              <w:rPr>
                <w:spacing w:val="-3"/>
                <w:lang w:val="sr-Latn-ME"/>
              </w:rPr>
              <w:t xml:space="preserve"> </w:t>
            </w:r>
            <w:r w:rsidRPr="000D7979">
              <w:rPr>
                <w:lang w:val="sr-Latn-ME"/>
              </w:rPr>
              <w:t>i</w:t>
            </w:r>
          </w:p>
          <w:p w:rsidR="00BC6109" w:rsidRPr="000D7979" w:rsidRDefault="00BC6109" w:rsidP="00C45106">
            <w:pPr>
              <w:pStyle w:val="TableParagraph"/>
              <w:jc w:val="both"/>
              <w:rPr>
                <w:lang w:val="sr-Latn-ME"/>
              </w:rPr>
            </w:pPr>
            <w:r w:rsidRPr="000D7979">
              <w:rPr>
                <w:lang w:val="sr-Latn-ME"/>
              </w:rPr>
              <w:t>potkožnog tkiva</w:t>
            </w:r>
          </w:p>
        </w:tc>
        <w:tc>
          <w:tcPr>
            <w:tcW w:w="1369" w:type="dxa"/>
            <w:vAlign w:val="center"/>
          </w:tcPr>
          <w:p w:rsidR="00A012BE" w:rsidRPr="000D7979" w:rsidRDefault="00A012BE" w:rsidP="00C45106">
            <w:pPr>
              <w:pStyle w:val="TableParagraph"/>
              <w:spacing w:line="237" w:lineRule="auto"/>
              <w:ind w:right="249"/>
              <w:jc w:val="both"/>
              <w:rPr>
                <w:lang w:val="sr-Latn-ME"/>
              </w:rPr>
            </w:pPr>
            <w:r w:rsidRPr="000D7979">
              <w:rPr>
                <w:lang w:val="sr-Latn-ME"/>
              </w:rPr>
              <w:t xml:space="preserve">suva </w:t>
            </w:r>
            <w:r w:rsidR="00BC6109" w:rsidRPr="000D7979">
              <w:rPr>
                <w:lang w:val="sr-Latn-ME"/>
              </w:rPr>
              <w:t xml:space="preserve">koža </w:t>
            </w:r>
          </w:p>
          <w:p w:rsidR="00A012BE" w:rsidRPr="000D7979" w:rsidRDefault="00A012BE" w:rsidP="00C45106">
            <w:pPr>
              <w:pStyle w:val="TableParagraph"/>
              <w:spacing w:line="237" w:lineRule="auto"/>
              <w:ind w:right="249"/>
              <w:jc w:val="both"/>
              <w:rPr>
                <w:lang w:val="sr-Latn-ME"/>
              </w:rPr>
            </w:pPr>
          </w:p>
          <w:p w:rsidR="00BC6109" w:rsidRPr="000D7979" w:rsidRDefault="00BC6109" w:rsidP="00C45106">
            <w:pPr>
              <w:pStyle w:val="TableParagraph"/>
              <w:spacing w:line="237" w:lineRule="auto"/>
              <w:ind w:right="249"/>
              <w:jc w:val="both"/>
              <w:rPr>
                <w:lang w:val="sr-Latn-ME"/>
              </w:rPr>
            </w:pPr>
            <w:r w:rsidRPr="000D7979">
              <w:rPr>
                <w:lang w:val="sr-Latn-ME"/>
              </w:rPr>
              <w:t>osip</w:t>
            </w:r>
          </w:p>
          <w:p w:rsidR="00BC6109" w:rsidRPr="000D7979" w:rsidRDefault="00BC6109" w:rsidP="00C45106">
            <w:pPr>
              <w:pStyle w:val="TableParagraph"/>
              <w:spacing w:line="237" w:lineRule="auto"/>
              <w:ind w:right="647"/>
              <w:jc w:val="both"/>
              <w:rPr>
                <w:lang w:val="sr-Latn-ME"/>
              </w:rPr>
            </w:pPr>
          </w:p>
          <w:p w:rsidR="00BC6109" w:rsidRPr="000D7979" w:rsidRDefault="00BC6109" w:rsidP="00C45106">
            <w:pPr>
              <w:pStyle w:val="TableParagraph"/>
              <w:jc w:val="both"/>
              <w:rPr>
                <w:lang w:val="sr-Latn-ME"/>
              </w:rPr>
            </w:pPr>
            <w:r w:rsidRPr="000D7979">
              <w:rPr>
                <w:lang w:val="sr-Latn-ME"/>
              </w:rPr>
              <w:t>alopecija</w:t>
            </w:r>
          </w:p>
          <w:p w:rsidR="00BC6109" w:rsidRPr="000D7979" w:rsidRDefault="00BC6109" w:rsidP="00C45106">
            <w:pPr>
              <w:pStyle w:val="TableParagraph"/>
              <w:jc w:val="both"/>
              <w:rPr>
                <w:lang w:val="sr-Latn-ME"/>
              </w:rPr>
            </w:pPr>
          </w:p>
          <w:p w:rsidR="00BC6109" w:rsidRPr="000D7979" w:rsidRDefault="00BC6109" w:rsidP="00C45106">
            <w:pPr>
              <w:pStyle w:val="TableParagraph"/>
              <w:ind w:right="-19"/>
              <w:jc w:val="both"/>
              <w:rPr>
                <w:lang w:val="sr-Latn-ME"/>
              </w:rPr>
            </w:pPr>
            <w:r w:rsidRPr="000D7979">
              <w:rPr>
                <w:lang w:val="sr-Latn-ME"/>
              </w:rPr>
              <w:t xml:space="preserve">kožna reakcija na šakama i stopalima** </w:t>
            </w:r>
          </w:p>
          <w:p w:rsidR="00BC6109" w:rsidRPr="000D7979" w:rsidRDefault="00BC6109" w:rsidP="00C45106">
            <w:pPr>
              <w:pStyle w:val="TableParagraph"/>
              <w:ind w:right="-19"/>
              <w:jc w:val="both"/>
              <w:rPr>
                <w:lang w:val="sr-Latn-ME"/>
              </w:rPr>
            </w:pPr>
          </w:p>
          <w:p w:rsidR="00BC6109" w:rsidRPr="000D7979" w:rsidRDefault="00BC6109" w:rsidP="00C45106">
            <w:pPr>
              <w:pStyle w:val="TableParagraph"/>
              <w:ind w:right="-19"/>
              <w:jc w:val="both"/>
              <w:rPr>
                <w:lang w:val="sr-Latn-ME"/>
              </w:rPr>
            </w:pPr>
            <w:r w:rsidRPr="000D7979">
              <w:rPr>
                <w:lang w:val="sr-Latn-ME"/>
              </w:rPr>
              <w:t>eritem</w:t>
            </w:r>
          </w:p>
          <w:p w:rsidR="00BC6109" w:rsidRPr="000D7979" w:rsidRDefault="00BC6109" w:rsidP="00C45106">
            <w:pPr>
              <w:pStyle w:val="TableParagraph"/>
              <w:ind w:left="0" w:right="-19"/>
              <w:jc w:val="both"/>
              <w:rPr>
                <w:lang w:val="sr-Latn-ME"/>
              </w:rPr>
            </w:pPr>
          </w:p>
          <w:p w:rsidR="00BC6109" w:rsidRPr="000D7979" w:rsidRDefault="00BC6109" w:rsidP="00C45106">
            <w:pPr>
              <w:pStyle w:val="TableParagraph"/>
              <w:jc w:val="both"/>
              <w:rPr>
                <w:lang w:val="sr-Latn-ME"/>
              </w:rPr>
            </w:pPr>
            <w:r w:rsidRPr="000D7979">
              <w:rPr>
                <w:lang w:val="sr-Latn-ME"/>
              </w:rPr>
              <w:t>svrab</w:t>
            </w:r>
          </w:p>
        </w:tc>
        <w:tc>
          <w:tcPr>
            <w:tcW w:w="1467" w:type="dxa"/>
            <w:vAlign w:val="center"/>
          </w:tcPr>
          <w:p w:rsidR="00BC6109" w:rsidRPr="000D7979" w:rsidRDefault="00BC6109" w:rsidP="00C45106">
            <w:pPr>
              <w:pStyle w:val="TableParagraph"/>
              <w:spacing w:line="237" w:lineRule="auto"/>
              <w:jc w:val="both"/>
              <w:rPr>
                <w:lang w:val="sr-Latn-ME"/>
              </w:rPr>
            </w:pPr>
            <w:r w:rsidRPr="000D7979">
              <w:rPr>
                <w:lang w:val="sr-Latn-ME"/>
              </w:rPr>
              <w:t>keratoakantom/ karcinom</w:t>
            </w:r>
          </w:p>
          <w:p w:rsidR="00BC6109" w:rsidRPr="000D7979" w:rsidRDefault="00BC6109" w:rsidP="00C45106">
            <w:pPr>
              <w:pStyle w:val="TableParagraph"/>
              <w:ind w:right="238"/>
              <w:jc w:val="both"/>
              <w:rPr>
                <w:lang w:val="sr-Latn-ME"/>
              </w:rPr>
            </w:pPr>
            <w:r w:rsidRPr="000D7979">
              <w:rPr>
                <w:lang w:val="sr-Latn-ME"/>
              </w:rPr>
              <w:t xml:space="preserve">skvamoznih ćelija kože </w:t>
            </w:r>
          </w:p>
          <w:p w:rsidR="00BC6109" w:rsidRPr="000D7979" w:rsidRDefault="00BC6109" w:rsidP="00C45106">
            <w:pPr>
              <w:pStyle w:val="TableParagraph"/>
              <w:ind w:right="595"/>
              <w:jc w:val="both"/>
              <w:rPr>
                <w:lang w:val="sr-Latn-ME"/>
              </w:rPr>
            </w:pPr>
          </w:p>
          <w:p w:rsidR="00BC6109" w:rsidRPr="000D7979" w:rsidRDefault="00BC6109" w:rsidP="00C45106">
            <w:pPr>
              <w:pStyle w:val="TableParagraph"/>
              <w:ind w:right="238"/>
              <w:jc w:val="both"/>
              <w:rPr>
                <w:lang w:val="sr-Latn-ME"/>
              </w:rPr>
            </w:pPr>
            <w:r w:rsidRPr="000D7979">
              <w:rPr>
                <w:lang w:val="sr-Latn-ME"/>
              </w:rPr>
              <w:t>eksfolijativni dermatitis</w:t>
            </w:r>
          </w:p>
          <w:p w:rsidR="00BC6109" w:rsidRPr="000D7979" w:rsidRDefault="00BC6109" w:rsidP="00C45106">
            <w:pPr>
              <w:pStyle w:val="TableParagraph"/>
              <w:ind w:right="595"/>
              <w:jc w:val="both"/>
              <w:rPr>
                <w:lang w:val="sr-Latn-ME"/>
              </w:rPr>
            </w:pPr>
          </w:p>
          <w:p w:rsidR="00BC6109" w:rsidRPr="000D7979" w:rsidRDefault="00BC6109" w:rsidP="00C45106">
            <w:pPr>
              <w:pStyle w:val="TableParagraph"/>
              <w:ind w:right="595"/>
              <w:jc w:val="both"/>
              <w:rPr>
                <w:lang w:val="sr-Latn-ME"/>
              </w:rPr>
            </w:pPr>
            <w:r w:rsidRPr="000D7979">
              <w:rPr>
                <w:lang w:val="sr-Latn-ME"/>
              </w:rPr>
              <w:t>akne</w:t>
            </w:r>
          </w:p>
          <w:p w:rsidR="00BC6109" w:rsidRPr="000D7979" w:rsidRDefault="00BC6109" w:rsidP="00C45106">
            <w:pPr>
              <w:pStyle w:val="TableParagraph"/>
              <w:ind w:right="595"/>
              <w:jc w:val="both"/>
              <w:rPr>
                <w:lang w:val="sr-Latn-ME"/>
              </w:rPr>
            </w:pPr>
          </w:p>
          <w:p w:rsidR="00BC6109" w:rsidRPr="000D7979" w:rsidRDefault="00BC6109" w:rsidP="00C45106">
            <w:pPr>
              <w:pStyle w:val="TableParagraph"/>
              <w:spacing w:line="237" w:lineRule="auto"/>
              <w:jc w:val="both"/>
              <w:rPr>
                <w:lang w:val="sr-Latn-ME"/>
              </w:rPr>
            </w:pPr>
            <w:r w:rsidRPr="000D7979">
              <w:rPr>
                <w:lang w:val="sr-Latn-ME"/>
              </w:rPr>
              <w:t>ljuštenje kože hiperkeratoza</w:t>
            </w:r>
          </w:p>
        </w:tc>
        <w:tc>
          <w:tcPr>
            <w:tcW w:w="1746" w:type="dxa"/>
            <w:vAlign w:val="center"/>
          </w:tcPr>
          <w:p w:rsidR="00BC6109" w:rsidRPr="000D7979" w:rsidRDefault="00BC6109" w:rsidP="00C45106">
            <w:pPr>
              <w:pStyle w:val="TableParagraph"/>
              <w:spacing w:line="238" w:lineRule="exact"/>
              <w:ind w:left="5"/>
              <w:jc w:val="both"/>
              <w:rPr>
                <w:lang w:val="sr-Latn-ME"/>
              </w:rPr>
            </w:pPr>
            <w:r w:rsidRPr="000D7979">
              <w:rPr>
                <w:lang w:val="sr-Latn-ME"/>
              </w:rPr>
              <w:t>ekcem</w:t>
            </w:r>
          </w:p>
          <w:p w:rsidR="00BC6109" w:rsidRPr="000D7979" w:rsidRDefault="00BC6109" w:rsidP="00C45106">
            <w:pPr>
              <w:pStyle w:val="TableParagraph"/>
              <w:spacing w:before="9"/>
              <w:ind w:left="0"/>
              <w:jc w:val="both"/>
              <w:rPr>
                <w:b/>
                <w:lang w:val="sr-Latn-ME"/>
              </w:rPr>
            </w:pPr>
          </w:p>
          <w:p w:rsidR="00BC6109" w:rsidRPr="000D7979" w:rsidRDefault="00BC6109" w:rsidP="00C45106">
            <w:pPr>
              <w:pStyle w:val="TableParagraph"/>
              <w:ind w:left="5" w:right="352"/>
              <w:jc w:val="both"/>
              <w:rPr>
                <w:lang w:val="sr-Latn-ME"/>
              </w:rPr>
            </w:pPr>
            <w:r w:rsidRPr="000D7979">
              <w:rPr>
                <w:spacing w:val="-1"/>
                <w:lang w:val="sr-Latn-ME"/>
              </w:rPr>
              <w:t xml:space="preserve">multiformni </w:t>
            </w:r>
            <w:r w:rsidRPr="000D7979">
              <w:rPr>
                <w:lang w:val="sr-Latn-ME"/>
              </w:rPr>
              <w:t>eritem</w:t>
            </w:r>
          </w:p>
        </w:tc>
        <w:tc>
          <w:tcPr>
            <w:tcW w:w="1641" w:type="dxa"/>
            <w:vAlign w:val="center"/>
          </w:tcPr>
          <w:p w:rsidR="00BC6109" w:rsidRPr="000D7979" w:rsidRDefault="00BC6109" w:rsidP="00C45106">
            <w:pPr>
              <w:pStyle w:val="TableParagraph"/>
              <w:spacing w:line="237" w:lineRule="auto"/>
              <w:ind w:left="5" w:right="-159"/>
              <w:jc w:val="both"/>
              <w:rPr>
                <w:lang w:val="sr-Latn-ME"/>
              </w:rPr>
            </w:pPr>
            <w:r w:rsidRPr="000D7979">
              <w:rPr>
                <w:lang w:val="sr-Latn-ME"/>
              </w:rPr>
              <w:t>recidiv radijacionog</w:t>
            </w:r>
          </w:p>
          <w:p w:rsidR="00BC6109" w:rsidRPr="000D7979" w:rsidRDefault="00BC6109" w:rsidP="00C45106">
            <w:pPr>
              <w:pStyle w:val="TableParagraph"/>
              <w:ind w:left="5" w:right="-17"/>
              <w:jc w:val="both"/>
              <w:rPr>
                <w:lang w:val="sr-Latn-ME"/>
              </w:rPr>
            </w:pPr>
            <w:r w:rsidRPr="000D7979">
              <w:rPr>
                <w:lang w:val="sr-Latn-ME"/>
              </w:rPr>
              <w:t xml:space="preserve">dermatitisa </w:t>
            </w:r>
            <w:r w:rsidRPr="000D7979">
              <w:rPr>
                <w:i/>
                <w:lang w:val="sr-Latn-ME"/>
              </w:rPr>
              <w:t>Stevens- Johnson</w:t>
            </w:r>
            <w:r w:rsidRPr="000D7979">
              <w:rPr>
                <w:lang w:val="sr-Latn-ME"/>
              </w:rPr>
              <w:t xml:space="preserve">-ov sindrom </w:t>
            </w:r>
          </w:p>
          <w:p w:rsidR="00BC6109" w:rsidRPr="000D7979" w:rsidRDefault="00BC6109" w:rsidP="00C45106">
            <w:pPr>
              <w:pStyle w:val="TableParagraph"/>
              <w:ind w:left="5" w:right="141"/>
              <w:jc w:val="both"/>
              <w:rPr>
                <w:lang w:val="sr-Latn-ME"/>
              </w:rPr>
            </w:pPr>
          </w:p>
          <w:p w:rsidR="00BC6109" w:rsidRPr="000D7979" w:rsidRDefault="00BC6109" w:rsidP="00C45106">
            <w:pPr>
              <w:pStyle w:val="TableParagraph"/>
              <w:tabs>
                <w:tab w:val="left" w:pos="890"/>
              </w:tabs>
              <w:ind w:left="5" w:right="141"/>
              <w:jc w:val="both"/>
              <w:rPr>
                <w:lang w:val="sr-Latn-ME"/>
              </w:rPr>
            </w:pPr>
            <w:r w:rsidRPr="000D7979">
              <w:rPr>
                <w:lang w:val="sr-Latn-ME"/>
              </w:rPr>
              <w:t>leukocito</w:t>
            </w:r>
            <w:r w:rsidR="00A012BE" w:rsidRPr="000D7979">
              <w:rPr>
                <w:lang w:val="sr-Latn-ME"/>
              </w:rPr>
              <w:t xml:space="preserve">klastični </w:t>
            </w:r>
            <w:r w:rsidRPr="000D7979">
              <w:rPr>
                <w:lang w:val="sr-Latn-ME"/>
              </w:rPr>
              <w:t xml:space="preserve">vaskulitis </w:t>
            </w:r>
          </w:p>
          <w:p w:rsidR="00BC6109" w:rsidRPr="000D7979" w:rsidRDefault="00BC6109" w:rsidP="00C45106">
            <w:pPr>
              <w:pStyle w:val="TableParagraph"/>
              <w:ind w:left="5" w:right="141"/>
              <w:jc w:val="both"/>
              <w:rPr>
                <w:lang w:val="sr-Latn-ME"/>
              </w:rPr>
            </w:pPr>
          </w:p>
          <w:p w:rsidR="00BC6109" w:rsidRPr="000D7979" w:rsidRDefault="00BC6109" w:rsidP="00C45106">
            <w:pPr>
              <w:pStyle w:val="TableParagraph"/>
              <w:ind w:left="5" w:right="141"/>
              <w:jc w:val="both"/>
              <w:rPr>
                <w:lang w:val="sr-Latn-ME"/>
              </w:rPr>
            </w:pPr>
            <w:r w:rsidRPr="000D7979">
              <w:rPr>
                <w:lang w:val="sr-Latn-ME"/>
              </w:rPr>
              <w:t>toksična</w:t>
            </w:r>
          </w:p>
          <w:p w:rsidR="00BC6109" w:rsidRPr="000D7979" w:rsidRDefault="00BC6109" w:rsidP="00C45106">
            <w:pPr>
              <w:pStyle w:val="TableParagraph"/>
              <w:spacing w:line="250" w:lineRule="exact"/>
              <w:ind w:left="5"/>
              <w:jc w:val="both"/>
              <w:rPr>
                <w:lang w:val="sr-Latn-ME"/>
              </w:rPr>
            </w:pPr>
            <w:r w:rsidRPr="000D7979">
              <w:rPr>
                <w:lang w:val="sr-Latn-ME"/>
              </w:rPr>
              <w:t>epidermalna nekroliza*</w:t>
            </w:r>
          </w:p>
        </w:tc>
        <w:tc>
          <w:tcPr>
            <w:tcW w:w="1320" w:type="dxa"/>
            <w:vAlign w:val="center"/>
          </w:tcPr>
          <w:p w:rsidR="00BC6109" w:rsidRPr="000D7979" w:rsidRDefault="00BC6109"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spacing w:line="238" w:lineRule="exact"/>
              <w:jc w:val="both"/>
              <w:rPr>
                <w:lang w:val="sr-Latn-ME"/>
              </w:rPr>
            </w:pPr>
            <w:r w:rsidRPr="000D7979">
              <w:rPr>
                <w:lang w:val="sr-Latn-ME"/>
              </w:rPr>
              <w:t>Poremećaji</w:t>
            </w:r>
          </w:p>
          <w:p w:rsidR="00BC6109" w:rsidRPr="000D7979" w:rsidRDefault="00BC6109" w:rsidP="00C00A05">
            <w:pPr>
              <w:pStyle w:val="TableParagraph"/>
              <w:spacing w:before="1"/>
              <w:ind w:right="360"/>
              <w:jc w:val="both"/>
              <w:rPr>
                <w:lang w:val="sr-Latn-ME"/>
              </w:rPr>
            </w:pPr>
            <w:r w:rsidRPr="000D7979">
              <w:rPr>
                <w:lang w:val="sr-Latn-ME"/>
              </w:rPr>
              <w:t>mišićno- koštanog sistema i vezivnog tkiva</w:t>
            </w:r>
          </w:p>
        </w:tc>
        <w:tc>
          <w:tcPr>
            <w:tcW w:w="1369" w:type="dxa"/>
            <w:vAlign w:val="center"/>
          </w:tcPr>
          <w:p w:rsidR="00BC6109" w:rsidRPr="000D7979" w:rsidRDefault="00BC6109" w:rsidP="00C45106">
            <w:pPr>
              <w:pStyle w:val="TableParagraph"/>
              <w:spacing w:line="238" w:lineRule="exact"/>
              <w:jc w:val="both"/>
              <w:rPr>
                <w:lang w:val="sr-Latn-ME"/>
              </w:rPr>
            </w:pPr>
            <w:r w:rsidRPr="000D7979">
              <w:rPr>
                <w:lang w:val="sr-Latn-ME"/>
              </w:rPr>
              <w:t>artralgija</w:t>
            </w:r>
          </w:p>
        </w:tc>
        <w:tc>
          <w:tcPr>
            <w:tcW w:w="1467" w:type="dxa"/>
            <w:vAlign w:val="center"/>
          </w:tcPr>
          <w:p w:rsidR="00BC6109" w:rsidRPr="000D7979" w:rsidRDefault="00BC6109" w:rsidP="00C45106">
            <w:pPr>
              <w:pStyle w:val="TableParagraph"/>
              <w:spacing w:line="238" w:lineRule="exact"/>
              <w:jc w:val="both"/>
              <w:rPr>
                <w:lang w:val="sr-Latn-ME"/>
              </w:rPr>
            </w:pPr>
            <w:r w:rsidRPr="000D7979">
              <w:rPr>
                <w:lang w:val="sr-Latn-ME"/>
              </w:rPr>
              <w:t>mijalgija</w:t>
            </w:r>
          </w:p>
          <w:p w:rsidR="00A012BE" w:rsidRPr="000D7979" w:rsidRDefault="00A012BE" w:rsidP="00C45106">
            <w:pPr>
              <w:pStyle w:val="TableParagraph"/>
              <w:spacing w:before="1"/>
              <w:jc w:val="both"/>
              <w:rPr>
                <w:lang w:val="sr-Latn-ME"/>
              </w:rPr>
            </w:pPr>
          </w:p>
          <w:p w:rsidR="00BC6109" w:rsidRPr="000D7979" w:rsidRDefault="00BC6109" w:rsidP="00C45106">
            <w:pPr>
              <w:pStyle w:val="TableParagraph"/>
              <w:spacing w:before="1"/>
              <w:jc w:val="both"/>
              <w:rPr>
                <w:lang w:val="sr-Latn-ME"/>
              </w:rPr>
            </w:pPr>
            <w:r w:rsidRPr="000D7979">
              <w:rPr>
                <w:lang w:val="sr-Latn-ME"/>
              </w:rPr>
              <w:t>mišićni spazam</w:t>
            </w:r>
          </w:p>
        </w:tc>
        <w:tc>
          <w:tcPr>
            <w:tcW w:w="1746" w:type="dxa"/>
            <w:vAlign w:val="center"/>
          </w:tcPr>
          <w:p w:rsidR="00BC6109" w:rsidRPr="000D7979" w:rsidRDefault="00BC6109" w:rsidP="00C45106">
            <w:pPr>
              <w:pStyle w:val="TableParagraph"/>
              <w:ind w:left="0"/>
              <w:jc w:val="both"/>
              <w:rPr>
                <w:lang w:val="sr-Latn-ME"/>
              </w:rPr>
            </w:pPr>
          </w:p>
        </w:tc>
        <w:tc>
          <w:tcPr>
            <w:tcW w:w="1641" w:type="dxa"/>
            <w:vAlign w:val="center"/>
          </w:tcPr>
          <w:p w:rsidR="00BC6109" w:rsidRPr="000D7979" w:rsidRDefault="00BC6109" w:rsidP="00C45106">
            <w:pPr>
              <w:pStyle w:val="TableParagraph"/>
              <w:spacing w:line="238" w:lineRule="exact"/>
              <w:ind w:left="5"/>
              <w:jc w:val="both"/>
              <w:rPr>
                <w:lang w:val="sr-Latn-ME"/>
              </w:rPr>
            </w:pPr>
            <w:r w:rsidRPr="000D7979">
              <w:rPr>
                <w:lang w:val="sr-Latn-ME"/>
              </w:rPr>
              <w:t>rabdomioliza</w:t>
            </w:r>
          </w:p>
        </w:tc>
        <w:tc>
          <w:tcPr>
            <w:tcW w:w="1320" w:type="dxa"/>
            <w:vAlign w:val="center"/>
          </w:tcPr>
          <w:p w:rsidR="00BC6109" w:rsidRPr="000D7979" w:rsidRDefault="00BC6109"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jc w:val="both"/>
              <w:rPr>
                <w:lang w:val="sr-Latn-ME"/>
              </w:rPr>
            </w:pPr>
            <w:r w:rsidRPr="000D7979">
              <w:rPr>
                <w:lang w:val="sr-Latn-ME"/>
              </w:rPr>
              <w:t xml:space="preserve">Poremećaji </w:t>
            </w:r>
            <w:r w:rsidRPr="000D7979">
              <w:rPr>
                <w:lang w:val="sr-Latn-ME"/>
              </w:rPr>
              <w:lastRenderedPageBreak/>
              <w:t>bubrega i urinarnog sistema</w:t>
            </w:r>
          </w:p>
        </w:tc>
        <w:tc>
          <w:tcPr>
            <w:tcW w:w="1369" w:type="dxa"/>
            <w:vAlign w:val="center"/>
          </w:tcPr>
          <w:p w:rsidR="00BC6109" w:rsidRPr="000D7979" w:rsidRDefault="00BC6109" w:rsidP="00C45106">
            <w:pPr>
              <w:pStyle w:val="TableParagraph"/>
              <w:ind w:left="0"/>
              <w:jc w:val="both"/>
              <w:rPr>
                <w:lang w:val="sr-Latn-ME"/>
              </w:rPr>
            </w:pPr>
          </w:p>
        </w:tc>
        <w:tc>
          <w:tcPr>
            <w:tcW w:w="1467" w:type="dxa"/>
            <w:vAlign w:val="center"/>
          </w:tcPr>
          <w:p w:rsidR="00BC6109" w:rsidRPr="000D7979" w:rsidRDefault="00BC6109" w:rsidP="00C45106">
            <w:pPr>
              <w:pStyle w:val="TableParagraph"/>
              <w:jc w:val="both"/>
              <w:rPr>
                <w:lang w:val="sr-Latn-ME"/>
              </w:rPr>
            </w:pPr>
            <w:r w:rsidRPr="000D7979">
              <w:rPr>
                <w:lang w:val="sr-Latn-ME"/>
              </w:rPr>
              <w:t xml:space="preserve">bubrežna </w:t>
            </w:r>
            <w:r w:rsidRPr="000D7979">
              <w:rPr>
                <w:lang w:val="sr-Latn-ME"/>
              </w:rPr>
              <w:lastRenderedPageBreak/>
              <w:t>insuficijencija proteinurija</w:t>
            </w:r>
          </w:p>
        </w:tc>
        <w:tc>
          <w:tcPr>
            <w:tcW w:w="1746" w:type="dxa"/>
            <w:vAlign w:val="center"/>
          </w:tcPr>
          <w:p w:rsidR="00BC6109" w:rsidRPr="000D7979" w:rsidRDefault="00BC6109" w:rsidP="00C45106">
            <w:pPr>
              <w:pStyle w:val="TableParagraph"/>
              <w:ind w:left="0"/>
              <w:jc w:val="both"/>
              <w:rPr>
                <w:lang w:val="sr-Latn-ME"/>
              </w:rPr>
            </w:pPr>
          </w:p>
        </w:tc>
        <w:tc>
          <w:tcPr>
            <w:tcW w:w="1641" w:type="dxa"/>
            <w:vAlign w:val="center"/>
          </w:tcPr>
          <w:p w:rsidR="00BC6109" w:rsidRPr="000D7979" w:rsidRDefault="00BC6109" w:rsidP="00C45106">
            <w:pPr>
              <w:pStyle w:val="TableParagraph"/>
              <w:spacing w:line="237" w:lineRule="auto"/>
              <w:ind w:left="5"/>
              <w:jc w:val="both"/>
              <w:rPr>
                <w:lang w:val="sr-Latn-ME"/>
              </w:rPr>
            </w:pPr>
            <w:r w:rsidRPr="000D7979">
              <w:rPr>
                <w:lang w:val="sr-Latn-ME"/>
              </w:rPr>
              <w:t xml:space="preserve">nefrotski </w:t>
            </w:r>
            <w:r w:rsidRPr="000D7979">
              <w:rPr>
                <w:lang w:val="sr-Latn-ME"/>
              </w:rPr>
              <w:lastRenderedPageBreak/>
              <w:t>sindrom</w:t>
            </w:r>
          </w:p>
        </w:tc>
        <w:tc>
          <w:tcPr>
            <w:tcW w:w="1320" w:type="dxa"/>
            <w:vAlign w:val="center"/>
          </w:tcPr>
          <w:p w:rsidR="00BC6109" w:rsidRPr="000D7979" w:rsidRDefault="00BC6109"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spacing w:line="238" w:lineRule="exact"/>
              <w:jc w:val="both"/>
              <w:rPr>
                <w:lang w:val="sr-Latn-ME"/>
              </w:rPr>
            </w:pPr>
            <w:r w:rsidRPr="000D7979">
              <w:rPr>
                <w:lang w:val="sr-Latn-ME"/>
              </w:rPr>
              <w:t>Poremećaji</w:t>
            </w:r>
          </w:p>
          <w:p w:rsidR="00BC6109" w:rsidRPr="000D7979" w:rsidRDefault="00A012BE" w:rsidP="00C45106">
            <w:pPr>
              <w:pStyle w:val="TableParagraph"/>
              <w:spacing w:before="1"/>
              <w:ind w:right="-207"/>
              <w:jc w:val="both"/>
              <w:rPr>
                <w:lang w:val="sr-Latn-ME"/>
              </w:rPr>
            </w:pPr>
            <w:r w:rsidRPr="000D7979">
              <w:rPr>
                <w:lang w:val="sr-Latn-ME"/>
              </w:rPr>
              <w:t>reproduktivno</w:t>
            </w:r>
            <w:r w:rsidR="00BC6109" w:rsidRPr="000D7979">
              <w:rPr>
                <w:lang w:val="sr-Latn-ME"/>
              </w:rPr>
              <w:t>g sistema i dojki</w:t>
            </w:r>
          </w:p>
        </w:tc>
        <w:tc>
          <w:tcPr>
            <w:tcW w:w="1369" w:type="dxa"/>
            <w:vAlign w:val="center"/>
          </w:tcPr>
          <w:p w:rsidR="00BC6109" w:rsidRPr="000D7979" w:rsidRDefault="00BC6109" w:rsidP="00C45106">
            <w:pPr>
              <w:pStyle w:val="TableParagraph"/>
              <w:ind w:left="0"/>
              <w:jc w:val="both"/>
              <w:rPr>
                <w:lang w:val="sr-Latn-ME"/>
              </w:rPr>
            </w:pPr>
          </w:p>
        </w:tc>
        <w:tc>
          <w:tcPr>
            <w:tcW w:w="1467" w:type="dxa"/>
            <w:vAlign w:val="center"/>
          </w:tcPr>
          <w:p w:rsidR="00BC6109" w:rsidRPr="000D7979" w:rsidRDefault="00A012BE" w:rsidP="00C45106">
            <w:pPr>
              <w:pStyle w:val="TableParagraph"/>
              <w:spacing w:line="238" w:lineRule="exact"/>
              <w:jc w:val="both"/>
              <w:rPr>
                <w:lang w:val="sr-Latn-ME"/>
              </w:rPr>
            </w:pPr>
            <w:r w:rsidRPr="000D7979">
              <w:rPr>
                <w:lang w:val="sr-Latn-ME"/>
              </w:rPr>
              <w:t>e</w:t>
            </w:r>
            <w:r w:rsidR="00BC6109" w:rsidRPr="000D7979">
              <w:rPr>
                <w:lang w:val="sr-Latn-ME"/>
              </w:rPr>
              <w:t>rektilna</w:t>
            </w:r>
          </w:p>
          <w:p w:rsidR="00BC6109" w:rsidRPr="000D7979" w:rsidRDefault="00BC6109" w:rsidP="00C45106">
            <w:pPr>
              <w:pStyle w:val="TableParagraph"/>
              <w:spacing w:before="1"/>
              <w:jc w:val="both"/>
              <w:rPr>
                <w:lang w:val="sr-Latn-ME"/>
              </w:rPr>
            </w:pPr>
            <w:r w:rsidRPr="000D7979">
              <w:rPr>
                <w:lang w:val="sr-Latn-ME"/>
              </w:rPr>
              <w:t>disfunkcija</w:t>
            </w:r>
          </w:p>
        </w:tc>
        <w:tc>
          <w:tcPr>
            <w:tcW w:w="1746" w:type="dxa"/>
            <w:vAlign w:val="center"/>
          </w:tcPr>
          <w:p w:rsidR="00BC6109" w:rsidRPr="000D7979" w:rsidRDefault="00BC6109" w:rsidP="00C45106">
            <w:pPr>
              <w:pStyle w:val="TableParagraph"/>
              <w:spacing w:line="238" w:lineRule="exact"/>
              <w:ind w:left="5"/>
              <w:jc w:val="both"/>
              <w:rPr>
                <w:lang w:val="sr-Latn-ME"/>
              </w:rPr>
            </w:pPr>
            <w:r w:rsidRPr="000D7979">
              <w:rPr>
                <w:lang w:val="sr-Latn-ME"/>
              </w:rPr>
              <w:t>ginekomastija</w:t>
            </w:r>
          </w:p>
        </w:tc>
        <w:tc>
          <w:tcPr>
            <w:tcW w:w="1641" w:type="dxa"/>
            <w:vAlign w:val="center"/>
          </w:tcPr>
          <w:p w:rsidR="00BC6109" w:rsidRPr="000D7979" w:rsidRDefault="00BC6109" w:rsidP="00C45106">
            <w:pPr>
              <w:pStyle w:val="TableParagraph"/>
              <w:ind w:left="0"/>
              <w:jc w:val="both"/>
              <w:rPr>
                <w:lang w:val="sr-Latn-ME"/>
              </w:rPr>
            </w:pPr>
          </w:p>
        </w:tc>
        <w:tc>
          <w:tcPr>
            <w:tcW w:w="1320" w:type="dxa"/>
            <w:vAlign w:val="center"/>
          </w:tcPr>
          <w:p w:rsidR="00BC6109" w:rsidRPr="000D7979" w:rsidRDefault="00BC6109"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spacing w:line="238" w:lineRule="exact"/>
              <w:jc w:val="both"/>
              <w:rPr>
                <w:lang w:val="sr-Latn-ME"/>
              </w:rPr>
            </w:pPr>
            <w:r w:rsidRPr="000D7979">
              <w:rPr>
                <w:lang w:val="sr-Latn-ME"/>
              </w:rPr>
              <w:t>Opšti</w:t>
            </w:r>
          </w:p>
          <w:p w:rsidR="00BC6109" w:rsidRPr="000D7979" w:rsidRDefault="00BC6109" w:rsidP="00C45106">
            <w:pPr>
              <w:pStyle w:val="TableParagraph"/>
              <w:spacing w:before="1"/>
              <w:jc w:val="both"/>
              <w:rPr>
                <w:lang w:val="sr-Latn-ME"/>
              </w:rPr>
            </w:pPr>
            <w:r w:rsidRPr="000D7979">
              <w:rPr>
                <w:lang w:val="sr-Latn-ME"/>
              </w:rPr>
              <w:t>poremećaji i reakcije na m</w:t>
            </w:r>
            <w:r w:rsidR="00A012BE" w:rsidRPr="000D7979">
              <w:rPr>
                <w:lang w:val="sr-Latn-ME"/>
              </w:rPr>
              <w:t>j</w:t>
            </w:r>
            <w:r w:rsidRPr="000D7979">
              <w:rPr>
                <w:lang w:val="sr-Latn-ME"/>
              </w:rPr>
              <w:t>estu prim</w:t>
            </w:r>
            <w:r w:rsidR="00A012BE" w:rsidRPr="000D7979">
              <w:rPr>
                <w:lang w:val="sr-Latn-ME"/>
              </w:rPr>
              <w:t>j</w:t>
            </w:r>
            <w:r w:rsidRPr="000D7979">
              <w:rPr>
                <w:lang w:val="sr-Latn-ME"/>
              </w:rPr>
              <w:t>ene</w:t>
            </w:r>
          </w:p>
        </w:tc>
        <w:tc>
          <w:tcPr>
            <w:tcW w:w="1369" w:type="dxa"/>
            <w:vAlign w:val="center"/>
          </w:tcPr>
          <w:p w:rsidR="00BC6109" w:rsidRPr="000D7979" w:rsidRDefault="00A012BE" w:rsidP="00C45106">
            <w:pPr>
              <w:pStyle w:val="TableParagraph"/>
              <w:spacing w:line="238" w:lineRule="exact"/>
              <w:jc w:val="both"/>
              <w:rPr>
                <w:lang w:val="sr-Latn-ME"/>
              </w:rPr>
            </w:pPr>
            <w:r w:rsidRPr="000D7979">
              <w:rPr>
                <w:lang w:val="sr-Latn-ME"/>
              </w:rPr>
              <w:t>z</w:t>
            </w:r>
            <w:r w:rsidR="00BC6109" w:rsidRPr="000D7979">
              <w:rPr>
                <w:lang w:val="sr-Latn-ME"/>
              </w:rPr>
              <w:t>amor</w:t>
            </w:r>
          </w:p>
          <w:p w:rsidR="00A012BE" w:rsidRPr="000D7979" w:rsidRDefault="00A012BE" w:rsidP="00C45106">
            <w:pPr>
              <w:pStyle w:val="TableParagraph"/>
              <w:spacing w:line="238" w:lineRule="exact"/>
              <w:jc w:val="both"/>
              <w:rPr>
                <w:lang w:val="sr-Latn-ME"/>
              </w:rPr>
            </w:pPr>
          </w:p>
          <w:p w:rsidR="00A012BE" w:rsidRPr="000D7979" w:rsidRDefault="00BC6109" w:rsidP="00C45106">
            <w:pPr>
              <w:pStyle w:val="TableParagraph"/>
              <w:spacing w:before="1"/>
              <w:jc w:val="both"/>
              <w:rPr>
                <w:lang w:val="sr-Latn-ME"/>
              </w:rPr>
            </w:pPr>
            <w:r w:rsidRPr="000D7979">
              <w:rPr>
                <w:lang w:val="sr-Latn-ME"/>
              </w:rPr>
              <w:t xml:space="preserve">bol (uključujući bol u ustima, stomaku i kostima, bol izazvana tumorom, i glavobolja) </w:t>
            </w:r>
          </w:p>
          <w:p w:rsidR="00A012BE" w:rsidRPr="000D7979" w:rsidRDefault="00A012BE" w:rsidP="00C45106">
            <w:pPr>
              <w:pStyle w:val="TableParagraph"/>
              <w:spacing w:before="1"/>
              <w:jc w:val="both"/>
              <w:rPr>
                <w:lang w:val="sr-Latn-ME"/>
              </w:rPr>
            </w:pPr>
          </w:p>
          <w:p w:rsidR="00BC6109" w:rsidRPr="000D7979" w:rsidRDefault="00BC6109" w:rsidP="00C45106">
            <w:pPr>
              <w:pStyle w:val="TableParagraph"/>
              <w:spacing w:before="1"/>
              <w:jc w:val="both"/>
              <w:rPr>
                <w:lang w:val="sr-Latn-ME"/>
              </w:rPr>
            </w:pPr>
            <w:r w:rsidRPr="000D7979">
              <w:rPr>
                <w:lang w:val="sr-Latn-ME"/>
              </w:rPr>
              <w:t>groznica</w:t>
            </w:r>
          </w:p>
        </w:tc>
        <w:tc>
          <w:tcPr>
            <w:tcW w:w="1467" w:type="dxa"/>
            <w:vAlign w:val="center"/>
          </w:tcPr>
          <w:p w:rsidR="00BC6109" w:rsidRPr="000D7979" w:rsidRDefault="00A012BE" w:rsidP="00C45106">
            <w:pPr>
              <w:pStyle w:val="TableParagraph"/>
              <w:spacing w:line="238" w:lineRule="exact"/>
              <w:jc w:val="both"/>
              <w:rPr>
                <w:lang w:val="sr-Latn-ME"/>
              </w:rPr>
            </w:pPr>
            <w:r w:rsidRPr="000D7979">
              <w:rPr>
                <w:lang w:val="sr-Latn-ME"/>
              </w:rPr>
              <w:t>a</w:t>
            </w:r>
            <w:r w:rsidR="00BC6109" w:rsidRPr="000D7979">
              <w:rPr>
                <w:lang w:val="sr-Latn-ME"/>
              </w:rPr>
              <w:t>stenija</w:t>
            </w:r>
          </w:p>
          <w:p w:rsidR="00A012BE" w:rsidRPr="000D7979" w:rsidRDefault="00A012BE" w:rsidP="00C45106">
            <w:pPr>
              <w:pStyle w:val="TableParagraph"/>
              <w:spacing w:line="238" w:lineRule="exact"/>
              <w:jc w:val="both"/>
              <w:rPr>
                <w:lang w:val="sr-Latn-ME"/>
              </w:rPr>
            </w:pPr>
          </w:p>
          <w:p w:rsidR="00BC6109" w:rsidRPr="000D7979" w:rsidRDefault="00BA0C47" w:rsidP="00C45106">
            <w:pPr>
              <w:pStyle w:val="TableParagraph"/>
              <w:spacing w:before="1"/>
              <w:ind w:left="0" w:right="4"/>
              <w:jc w:val="both"/>
              <w:rPr>
                <w:lang w:val="sr-Latn-ME"/>
              </w:rPr>
            </w:pPr>
            <w:r w:rsidRPr="000D7979">
              <w:rPr>
                <w:lang w:val="sr-Latn-ME"/>
              </w:rPr>
              <w:t>oboljenje</w:t>
            </w:r>
            <w:r w:rsidR="00BC6109" w:rsidRPr="000D7979">
              <w:rPr>
                <w:lang w:val="sr-Latn-ME"/>
              </w:rPr>
              <w:t xml:space="preserve"> nalik gripu </w:t>
            </w:r>
          </w:p>
          <w:p w:rsidR="00A012BE" w:rsidRPr="000D7979" w:rsidRDefault="00A012BE" w:rsidP="00C45106">
            <w:pPr>
              <w:pStyle w:val="TableParagraph"/>
              <w:spacing w:before="1"/>
              <w:ind w:right="4"/>
              <w:jc w:val="both"/>
              <w:rPr>
                <w:lang w:val="sr-Latn-ME"/>
              </w:rPr>
            </w:pPr>
          </w:p>
          <w:p w:rsidR="00BC6109" w:rsidRPr="000D7979" w:rsidRDefault="00BC6109" w:rsidP="00C45106">
            <w:pPr>
              <w:pStyle w:val="TableParagraph"/>
              <w:spacing w:before="1"/>
              <w:ind w:right="4"/>
              <w:jc w:val="both"/>
              <w:rPr>
                <w:lang w:val="sr-Latn-ME"/>
              </w:rPr>
            </w:pPr>
            <w:r w:rsidRPr="000D7979">
              <w:rPr>
                <w:lang w:val="sr-Latn-ME"/>
              </w:rPr>
              <w:t>zapaljenje sluzokože</w:t>
            </w:r>
          </w:p>
        </w:tc>
        <w:tc>
          <w:tcPr>
            <w:tcW w:w="1746" w:type="dxa"/>
            <w:vAlign w:val="center"/>
          </w:tcPr>
          <w:p w:rsidR="00BC6109" w:rsidRPr="000D7979" w:rsidRDefault="00BC6109" w:rsidP="00C45106">
            <w:pPr>
              <w:pStyle w:val="TableParagraph"/>
              <w:ind w:left="0"/>
              <w:jc w:val="both"/>
              <w:rPr>
                <w:lang w:val="sr-Latn-ME"/>
              </w:rPr>
            </w:pPr>
          </w:p>
        </w:tc>
        <w:tc>
          <w:tcPr>
            <w:tcW w:w="1641" w:type="dxa"/>
            <w:vAlign w:val="center"/>
          </w:tcPr>
          <w:p w:rsidR="00BC6109" w:rsidRPr="000D7979" w:rsidRDefault="00BC6109" w:rsidP="00C45106">
            <w:pPr>
              <w:pStyle w:val="TableParagraph"/>
              <w:ind w:left="0"/>
              <w:jc w:val="both"/>
              <w:rPr>
                <w:lang w:val="sr-Latn-ME"/>
              </w:rPr>
            </w:pPr>
          </w:p>
        </w:tc>
        <w:tc>
          <w:tcPr>
            <w:tcW w:w="1320" w:type="dxa"/>
            <w:vAlign w:val="center"/>
          </w:tcPr>
          <w:p w:rsidR="00BC6109" w:rsidRPr="000D7979" w:rsidRDefault="00BC6109" w:rsidP="00C45106">
            <w:pPr>
              <w:pStyle w:val="TableParagraph"/>
              <w:ind w:left="0"/>
              <w:jc w:val="both"/>
              <w:rPr>
                <w:lang w:val="sr-Latn-ME"/>
              </w:rPr>
            </w:pPr>
          </w:p>
        </w:tc>
      </w:tr>
      <w:tr w:rsidR="00A012BE" w:rsidRPr="000D7979" w:rsidTr="00A012BE">
        <w:tc>
          <w:tcPr>
            <w:tcW w:w="1520" w:type="dxa"/>
            <w:shd w:val="clear" w:color="auto" w:fill="E6E6E6"/>
            <w:vAlign w:val="center"/>
          </w:tcPr>
          <w:p w:rsidR="00BC6109" w:rsidRPr="000D7979" w:rsidRDefault="00BC6109" w:rsidP="00C45106">
            <w:pPr>
              <w:pStyle w:val="TableParagraph"/>
              <w:spacing w:line="238" w:lineRule="exact"/>
              <w:jc w:val="both"/>
              <w:rPr>
                <w:lang w:val="sr-Latn-ME"/>
              </w:rPr>
            </w:pPr>
            <w:r w:rsidRPr="000D7979">
              <w:rPr>
                <w:lang w:val="sr-Latn-ME"/>
              </w:rPr>
              <w:t>Analize</w:t>
            </w:r>
          </w:p>
        </w:tc>
        <w:tc>
          <w:tcPr>
            <w:tcW w:w="1369" w:type="dxa"/>
            <w:vAlign w:val="center"/>
          </w:tcPr>
          <w:p w:rsidR="00BC6109" w:rsidRPr="000D7979" w:rsidRDefault="00A012BE" w:rsidP="00C45106">
            <w:pPr>
              <w:pStyle w:val="TableParagraph"/>
              <w:spacing w:line="238" w:lineRule="exact"/>
              <w:ind w:right="-15"/>
              <w:jc w:val="both"/>
              <w:rPr>
                <w:lang w:val="sr-Latn-ME"/>
              </w:rPr>
            </w:pPr>
            <w:r w:rsidRPr="000D7979">
              <w:rPr>
                <w:lang w:val="sr-Latn-ME"/>
              </w:rPr>
              <w:t>s</w:t>
            </w:r>
            <w:r w:rsidR="00BC6109" w:rsidRPr="000D7979">
              <w:rPr>
                <w:lang w:val="sr-Latn-ME"/>
              </w:rPr>
              <w:t>manjena</w:t>
            </w:r>
            <w:r w:rsidR="00BC6109" w:rsidRPr="000D7979">
              <w:rPr>
                <w:spacing w:val="7"/>
                <w:lang w:val="sr-Latn-ME"/>
              </w:rPr>
              <w:t xml:space="preserve"> </w:t>
            </w:r>
            <w:r w:rsidR="00BC6109" w:rsidRPr="000D7979">
              <w:rPr>
                <w:lang w:val="sr-Latn-ME"/>
              </w:rPr>
              <w:t>tjelesna</w:t>
            </w:r>
            <w:r w:rsidRPr="000D7979">
              <w:rPr>
                <w:lang w:val="sr-Latn-ME"/>
              </w:rPr>
              <w:t xml:space="preserve"> </w:t>
            </w:r>
            <w:r w:rsidR="00BC6109" w:rsidRPr="000D7979">
              <w:rPr>
                <w:lang w:val="sr-Latn-ME"/>
              </w:rPr>
              <w:t xml:space="preserve">masa </w:t>
            </w:r>
          </w:p>
          <w:p w:rsidR="00BC6109" w:rsidRPr="000D7979" w:rsidRDefault="00BC6109" w:rsidP="00C45106">
            <w:pPr>
              <w:pStyle w:val="TableParagraph"/>
              <w:spacing w:before="1"/>
              <w:ind w:right="690"/>
              <w:jc w:val="both"/>
              <w:rPr>
                <w:lang w:val="sr-Latn-ME"/>
              </w:rPr>
            </w:pPr>
          </w:p>
          <w:p w:rsidR="00BC6109" w:rsidRPr="000D7979" w:rsidRDefault="00BC6109" w:rsidP="00C45106">
            <w:pPr>
              <w:pStyle w:val="TableParagraph"/>
              <w:spacing w:before="1"/>
              <w:ind w:right="-17"/>
              <w:jc w:val="both"/>
              <w:rPr>
                <w:lang w:val="sr-Latn-ME"/>
              </w:rPr>
            </w:pPr>
            <w:r w:rsidRPr="000D7979">
              <w:rPr>
                <w:lang w:val="sr-Latn-ME"/>
              </w:rPr>
              <w:t xml:space="preserve">povećana vrijednost amilaze </w:t>
            </w:r>
          </w:p>
          <w:p w:rsidR="00BC6109" w:rsidRPr="000D7979" w:rsidRDefault="00BC6109" w:rsidP="00C45106">
            <w:pPr>
              <w:pStyle w:val="TableParagraph"/>
              <w:spacing w:before="1"/>
              <w:ind w:right="690"/>
              <w:jc w:val="both"/>
              <w:rPr>
                <w:lang w:val="sr-Latn-ME"/>
              </w:rPr>
            </w:pPr>
          </w:p>
          <w:p w:rsidR="00BC6109" w:rsidRPr="000D7979" w:rsidRDefault="00BC6109" w:rsidP="00C45106">
            <w:pPr>
              <w:pStyle w:val="TableParagraph"/>
              <w:spacing w:before="1"/>
              <w:jc w:val="both"/>
              <w:rPr>
                <w:lang w:val="sr-Latn-ME"/>
              </w:rPr>
            </w:pPr>
            <w:r w:rsidRPr="000D7979">
              <w:rPr>
                <w:lang w:val="sr-Latn-ME"/>
              </w:rPr>
              <w:t>povećana vrijednost lipaze</w:t>
            </w:r>
          </w:p>
        </w:tc>
        <w:tc>
          <w:tcPr>
            <w:tcW w:w="1467" w:type="dxa"/>
            <w:vAlign w:val="center"/>
          </w:tcPr>
          <w:p w:rsidR="00BC6109" w:rsidRPr="000D7979" w:rsidRDefault="00BC6109" w:rsidP="00C45106">
            <w:pPr>
              <w:pStyle w:val="TableParagraph"/>
              <w:spacing w:line="238" w:lineRule="exact"/>
              <w:ind w:right="-15"/>
              <w:jc w:val="both"/>
              <w:rPr>
                <w:lang w:val="sr-Latn-ME"/>
              </w:rPr>
            </w:pPr>
            <w:r w:rsidRPr="000D7979">
              <w:rPr>
                <w:lang w:val="sr-Latn-ME"/>
              </w:rPr>
              <w:t>prolazno</w:t>
            </w:r>
            <w:r w:rsidRPr="000D7979">
              <w:rPr>
                <w:spacing w:val="4"/>
                <w:lang w:val="sr-Latn-ME"/>
              </w:rPr>
              <w:t xml:space="preserve"> </w:t>
            </w:r>
            <w:r w:rsidRPr="000D7979">
              <w:rPr>
                <w:lang w:val="sr-Latn-ME"/>
              </w:rPr>
              <w:t>povećanje</w:t>
            </w:r>
          </w:p>
          <w:p w:rsidR="00BC6109" w:rsidRPr="000D7979" w:rsidRDefault="00BC6109" w:rsidP="00C45106">
            <w:pPr>
              <w:pStyle w:val="TableParagraph"/>
              <w:spacing w:before="3" w:line="237" w:lineRule="auto"/>
              <w:jc w:val="both"/>
              <w:rPr>
                <w:lang w:val="sr-Latn-ME"/>
              </w:rPr>
            </w:pPr>
            <w:r w:rsidRPr="000D7979">
              <w:rPr>
                <w:lang w:val="sr-Latn-ME"/>
              </w:rPr>
              <w:t>vrijednosti transaminaza</w:t>
            </w:r>
          </w:p>
        </w:tc>
        <w:tc>
          <w:tcPr>
            <w:tcW w:w="1746" w:type="dxa"/>
            <w:vAlign w:val="center"/>
          </w:tcPr>
          <w:p w:rsidR="00BC6109" w:rsidRPr="000D7979" w:rsidRDefault="00BC6109" w:rsidP="00C45106">
            <w:pPr>
              <w:pStyle w:val="TableParagraph"/>
              <w:spacing w:line="238" w:lineRule="exact"/>
              <w:ind w:left="5"/>
              <w:jc w:val="both"/>
              <w:rPr>
                <w:lang w:val="sr-Latn-ME"/>
              </w:rPr>
            </w:pPr>
            <w:r w:rsidRPr="000D7979">
              <w:rPr>
                <w:lang w:val="sr-Latn-ME"/>
              </w:rPr>
              <w:t>prolazno</w:t>
            </w:r>
          </w:p>
          <w:p w:rsidR="00BC6109" w:rsidRPr="000D7979" w:rsidRDefault="00BC6109" w:rsidP="00C45106">
            <w:pPr>
              <w:pStyle w:val="TableParagraph"/>
              <w:spacing w:before="1"/>
              <w:ind w:left="5" w:right="-5"/>
              <w:jc w:val="both"/>
              <w:rPr>
                <w:lang w:val="sr-Latn-ME"/>
              </w:rPr>
            </w:pPr>
            <w:r w:rsidRPr="000D7979">
              <w:rPr>
                <w:lang w:val="sr-Latn-ME"/>
              </w:rPr>
              <w:t xml:space="preserve">povećanje alkalne fosfataze u krvi </w:t>
            </w:r>
          </w:p>
          <w:p w:rsidR="00BC6109" w:rsidRPr="000D7979" w:rsidRDefault="00BC6109" w:rsidP="00C45106">
            <w:pPr>
              <w:pStyle w:val="TableParagraph"/>
              <w:spacing w:before="1"/>
              <w:ind w:left="5" w:right="-5"/>
              <w:jc w:val="both"/>
              <w:rPr>
                <w:lang w:val="sr-Latn-ME"/>
              </w:rPr>
            </w:pPr>
          </w:p>
          <w:p w:rsidR="00BC6109" w:rsidRPr="000D7979" w:rsidRDefault="00BC6109" w:rsidP="00C45106">
            <w:pPr>
              <w:pStyle w:val="TableParagraph"/>
              <w:spacing w:before="1"/>
              <w:ind w:left="5" w:right="-98"/>
              <w:jc w:val="both"/>
              <w:rPr>
                <w:lang w:val="sr-Latn-ME"/>
              </w:rPr>
            </w:pPr>
            <w:r w:rsidRPr="000D7979">
              <w:rPr>
                <w:lang w:val="sr-Latn-ME"/>
              </w:rPr>
              <w:t>abnormalna vrijednost INR-a, abnormalna vrijednost protrombina</w:t>
            </w:r>
          </w:p>
        </w:tc>
        <w:tc>
          <w:tcPr>
            <w:tcW w:w="1641" w:type="dxa"/>
            <w:vAlign w:val="center"/>
          </w:tcPr>
          <w:p w:rsidR="00BC6109" w:rsidRPr="000D7979" w:rsidRDefault="00BC6109" w:rsidP="00C45106">
            <w:pPr>
              <w:pStyle w:val="TableParagraph"/>
              <w:ind w:left="0"/>
              <w:jc w:val="both"/>
              <w:rPr>
                <w:lang w:val="sr-Latn-ME"/>
              </w:rPr>
            </w:pPr>
          </w:p>
        </w:tc>
        <w:tc>
          <w:tcPr>
            <w:tcW w:w="1320" w:type="dxa"/>
            <w:vAlign w:val="center"/>
          </w:tcPr>
          <w:p w:rsidR="00BC6109" w:rsidRPr="000D7979" w:rsidRDefault="00BC6109" w:rsidP="00C45106">
            <w:pPr>
              <w:pStyle w:val="TableParagraph"/>
              <w:ind w:left="0"/>
              <w:jc w:val="both"/>
              <w:rPr>
                <w:lang w:val="sr-Latn-ME"/>
              </w:rPr>
            </w:pPr>
          </w:p>
        </w:tc>
      </w:tr>
    </w:tbl>
    <w:p w:rsidR="00BC6109" w:rsidRPr="000D7979" w:rsidRDefault="00BC6109" w:rsidP="00C00A05">
      <w:pPr>
        <w:tabs>
          <w:tab w:val="left" w:pos="540"/>
          <w:tab w:val="left" w:pos="569"/>
        </w:tabs>
        <w:jc w:val="both"/>
        <w:rPr>
          <w:bCs/>
          <w:sz w:val="20"/>
          <w:szCs w:val="22"/>
          <w:lang w:val="sr-Latn-ME"/>
        </w:rPr>
      </w:pPr>
      <w:r w:rsidRPr="000D7979">
        <w:rPr>
          <w:bCs/>
          <w:sz w:val="20"/>
          <w:szCs w:val="22"/>
          <w:lang w:val="sr-Latn-ME"/>
        </w:rPr>
        <w:t>* Neželjene reakcije mogu da ugroze život ili da imaju smrtni ishod. Ove neželjene reakcije su ili povremene ili rjeđe od povremenih.</w:t>
      </w:r>
    </w:p>
    <w:p w:rsidR="00BC6109" w:rsidRPr="000D7979" w:rsidRDefault="00BC6109" w:rsidP="00A13D0A">
      <w:pPr>
        <w:tabs>
          <w:tab w:val="left" w:pos="540"/>
          <w:tab w:val="left" w:pos="569"/>
        </w:tabs>
        <w:jc w:val="both"/>
        <w:rPr>
          <w:bCs/>
          <w:sz w:val="20"/>
          <w:szCs w:val="22"/>
          <w:lang w:val="sr-Latn-ME"/>
        </w:rPr>
      </w:pPr>
      <w:r w:rsidRPr="000D7979">
        <w:rPr>
          <w:bCs/>
          <w:sz w:val="20"/>
          <w:szCs w:val="22"/>
          <w:lang w:val="sr-Latn-ME"/>
        </w:rPr>
        <w:t>** Kožna reakcija na šakama i stopalima odgovara sindromu palmarno-plantarne eritrodizestezije po MedDRA.</w:t>
      </w:r>
    </w:p>
    <w:p w:rsidR="00BC6109" w:rsidRPr="000D7979" w:rsidRDefault="00BC6109">
      <w:pPr>
        <w:tabs>
          <w:tab w:val="left" w:pos="540"/>
          <w:tab w:val="left" w:pos="569"/>
        </w:tabs>
        <w:jc w:val="both"/>
        <w:rPr>
          <w:bCs/>
          <w:sz w:val="20"/>
          <w:szCs w:val="22"/>
          <w:lang w:val="sr-Latn-ME"/>
        </w:rPr>
      </w:pPr>
      <w:r w:rsidRPr="000D7979">
        <w:rPr>
          <w:bCs/>
          <w:sz w:val="20"/>
          <w:szCs w:val="22"/>
          <w:lang w:val="sr-Latn-ME"/>
        </w:rPr>
        <w:t>° Slučajevi su zabilježeni tokom postmarketinškog perioda.</w:t>
      </w:r>
    </w:p>
    <w:p w:rsidR="00D8257D" w:rsidRPr="000D7979" w:rsidRDefault="00D8257D">
      <w:pPr>
        <w:tabs>
          <w:tab w:val="left" w:pos="540"/>
          <w:tab w:val="left" w:pos="569"/>
        </w:tabs>
        <w:jc w:val="both"/>
        <w:rPr>
          <w:b/>
          <w:bCs/>
          <w:sz w:val="22"/>
          <w:szCs w:val="22"/>
          <w:lang w:val="sr-Latn-ME"/>
        </w:rPr>
      </w:pPr>
    </w:p>
    <w:p w:rsidR="003C37AE" w:rsidRPr="000D7979" w:rsidRDefault="003C37AE">
      <w:pPr>
        <w:tabs>
          <w:tab w:val="left" w:pos="540"/>
          <w:tab w:val="left" w:pos="569"/>
        </w:tabs>
        <w:jc w:val="both"/>
        <w:rPr>
          <w:bCs/>
          <w:sz w:val="22"/>
          <w:szCs w:val="22"/>
          <w:u w:val="single"/>
          <w:lang w:val="sr-Latn-ME"/>
        </w:rPr>
      </w:pPr>
      <w:r w:rsidRPr="000D7979">
        <w:rPr>
          <w:bCs/>
          <w:sz w:val="22"/>
          <w:szCs w:val="22"/>
          <w:u w:val="single"/>
          <w:lang w:val="sr-Latn-ME"/>
        </w:rPr>
        <w:t>Dodatne informacije o odabranim neželjenim rekacijama</w:t>
      </w:r>
    </w:p>
    <w:p w:rsidR="003C37AE" w:rsidRPr="000D7979" w:rsidRDefault="003C37AE">
      <w:pPr>
        <w:tabs>
          <w:tab w:val="left" w:pos="540"/>
          <w:tab w:val="left" w:pos="569"/>
        </w:tabs>
        <w:jc w:val="both"/>
        <w:rPr>
          <w:bCs/>
          <w:sz w:val="22"/>
          <w:szCs w:val="22"/>
          <w:lang w:val="sr-Latn-ME"/>
        </w:rPr>
      </w:pPr>
    </w:p>
    <w:p w:rsidR="003C37AE" w:rsidRPr="000D7979" w:rsidRDefault="003C37AE">
      <w:pPr>
        <w:tabs>
          <w:tab w:val="left" w:pos="540"/>
          <w:tab w:val="left" w:pos="569"/>
        </w:tabs>
        <w:jc w:val="both"/>
        <w:rPr>
          <w:bCs/>
          <w:i/>
          <w:sz w:val="22"/>
          <w:szCs w:val="22"/>
          <w:lang w:val="sr-Latn-ME"/>
        </w:rPr>
      </w:pPr>
      <w:r w:rsidRPr="000D7979">
        <w:rPr>
          <w:bCs/>
          <w:i/>
          <w:sz w:val="22"/>
          <w:szCs w:val="22"/>
          <w:lang w:val="sr-Latn-ME"/>
        </w:rPr>
        <w:t>Kongestivna srčana insuficijencija</w:t>
      </w:r>
    </w:p>
    <w:p w:rsidR="003C37AE" w:rsidRPr="000D7979" w:rsidRDefault="003C37AE">
      <w:pPr>
        <w:tabs>
          <w:tab w:val="left" w:pos="540"/>
          <w:tab w:val="left" w:pos="569"/>
        </w:tabs>
        <w:jc w:val="both"/>
        <w:rPr>
          <w:bCs/>
          <w:sz w:val="22"/>
          <w:szCs w:val="22"/>
          <w:lang w:val="sr-Latn-ME"/>
        </w:rPr>
      </w:pPr>
      <w:r w:rsidRPr="000D7979">
        <w:rPr>
          <w:bCs/>
          <w:sz w:val="22"/>
          <w:szCs w:val="22"/>
          <w:lang w:val="sr-Latn-ME"/>
        </w:rPr>
        <w:t>U kliničkim studijama koje su sponzorisale kompanije kongestivna srčana insuficijencija prijavljena je kao neželjena reakcija kod 1,9% pacijenata liječenih sorafenibom (N = 2276). U studiji 11213 (RCC) neželjene</w:t>
      </w:r>
      <w:r w:rsidRPr="000D7979">
        <w:rPr>
          <w:sz w:val="22"/>
          <w:szCs w:val="22"/>
          <w:lang w:val="sr-Latn-ME"/>
        </w:rPr>
        <w:t xml:space="preserve"> </w:t>
      </w:r>
      <w:r w:rsidRPr="000D7979">
        <w:rPr>
          <w:bCs/>
          <w:sz w:val="22"/>
          <w:szCs w:val="22"/>
          <w:lang w:val="sr-Latn-ME"/>
        </w:rPr>
        <w:t>reakcije konzistentne sa kongestivnom srčanom insuficijencijom prijavljene su kod 1,7% pacijenata liječenih</w:t>
      </w:r>
      <w:r w:rsidRPr="000D7979">
        <w:rPr>
          <w:sz w:val="22"/>
          <w:szCs w:val="22"/>
          <w:lang w:val="sr-Latn-ME"/>
        </w:rPr>
        <w:t xml:space="preserve"> </w:t>
      </w:r>
      <w:r w:rsidRPr="000D7979">
        <w:rPr>
          <w:bCs/>
          <w:sz w:val="22"/>
          <w:szCs w:val="22"/>
          <w:lang w:val="sr-Latn-ME"/>
        </w:rPr>
        <w:t>sorafenibom i kod 0,7% onih koji su primali placebo. U studiji 100554 (HCC), ova neželjenih reakcija prijavljena je kod 0,99% onih liječenih sorafenibom i 1,1% onih koji su primali placebo.</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i/>
          <w:sz w:val="22"/>
          <w:szCs w:val="22"/>
          <w:lang w:val="sr-Latn-ME"/>
        </w:rPr>
      </w:pPr>
      <w:r w:rsidRPr="000D7979">
        <w:rPr>
          <w:bCs/>
          <w:i/>
          <w:sz w:val="22"/>
          <w:szCs w:val="22"/>
          <w:lang w:val="sr-Latn-ME"/>
        </w:rPr>
        <w:t>Dodatne informacije o posebnim populacijama</w:t>
      </w:r>
    </w:p>
    <w:p w:rsidR="0094591E" w:rsidRPr="000D7979" w:rsidRDefault="0094591E">
      <w:pPr>
        <w:tabs>
          <w:tab w:val="left" w:pos="540"/>
          <w:tab w:val="left" w:pos="569"/>
        </w:tabs>
        <w:jc w:val="both"/>
        <w:rPr>
          <w:bCs/>
          <w:sz w:val="22"/>
          <w:szCs w:val="22"/>
          <w:lang w:val="sr-Latn-ME"/>
        </w:rPr>
      </w:pPr>
      <w:r w:rsidRPr="000D7979">
        <w:rPr>
          <w:bCs/>
          <w:sz w:val="22"/>
          <w:szCs w:val="22"/>
          <w:lang w:val="sr-Latn-ME"/>
        </w:rPr>
        <w:t>U kliničkim studijama su se određene neželjene reakcije, kao što su kožna reakcija na šakama i stopalima, dijareja, alopecija, smanjenje tjelesne mase, hipertenzija, hipokalcemija i keratoakantom/karcinom skvamoznih ćelija kože, javljale sa znatno većom učestalošću kod pacijenata sa diferenciranim karcinomom štitaste žlijezde nego u studijama kod pacijenata sa karcinomom bubrežnih ćelija ili hepatocelularnim karcinomom.</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u w:val="single"/>
          <w:lang w:val="sr-Latn-ME"/>
        </w:rPr>
        <w:t>Odstupanja u vrijednostima laboratorijskih testova kod pacijenata sa HCC (studija 3) i RCC (studija 1)</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 xml:space="preserve">Povećane vrijednosti lipaze i amilaze su često prijavljivane. Povećane vrijednosti lipaze CTCAE (engl. </w:t>
      </w:r>
      <w:r w:rsidRPr="000D7979">
        <w:rPr>
          <w:bCs/>
          <w:i/>
          <w:sz w:val="22"/>
          <w:szCs w:val="22"/>
          <w:lang w:val="sr-Latn-ME"/>
        </w:rPr>
        <w:t>Common Terminology Criteria for Adverse Events</w:t>
      </w:r>
      <w:r w:rsidRPr="000D7979">
        <w:rPr>
          <w:bCs/>
          <w:sz w:val="22"/>
          <w:szCs w:val="22"/>
          <w:lang w:val="sr-Latn-ME"/>
        </w:rPr>
        <w:t xml:space="preserve">) stepena 3 ili 4 javile su se kod 11% odnosno 9% </w:t>
      </w:r>
      <w:r w:rsidRPr="000D7979">
        <w:rPr>
          <w:bCs/>
          <w:sz w:val="22"/>
          <w:szCs w:val="22"/>
          <w:lang w:val="sr-Latn-ME"/>
        </w:rPr>
        <w:lastRenderedPageBreak/>
        <w:t>pacijenata u grupi liječenoj sorafenibom u studiji 1 (RCC) odnosno studiji 3 (HCC), u poređenju sa 7% i 9% pacijenata u grupi koja je primala placebo. CTCAE povećanja amilaze stepena 3 ili 4 prijavljena su kod 1% odnosno 2% pacijenata u grupi koja je primala sorafenib u studiji 1 odnosno studiji 3, u poređenju sa 3% pacijenata u svakoj od placebo grupa. Klinički pankreatitis prijavljen je kod 2 od 451 pacijenta liječenih sorafenibom (CTCAE stepen 4) u studiji 1, kod 1 od 297 pacijenata liječenih sorafenibom u studiji 3 (CTCAE stepen 2) i kod 1 od 451 pacijenta (CTCAE stepen 2) u placebo grupi u studiji 1.</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Hipofosfatemija je bila veoma čest laboratorijski nalaz, zabilježen kod 45% odnosno 35% pacijenata liječenih sorafenibom u poređenju sa 12% odnosno 11% pacijenata koji su primali placebo u studiji 1 odnosno 3.</w:t>
      </w:r>
    </w:p>
    <w:p w:rsidR="0094591E" w:rsidRPr="000D7979" w:rsidRDefault="0094591E">
      <w:pPr>
        <w:tabs>
          <w:tab w:val="left" w:pos="540"/>
          <w:tab w:val="left" w:pos="569"/>
        </w:tabs>
        <w:jc w:val="both"/>
        <w:rPr>
          <w:bCs/>
          <w:sz w:val="22"/>
          <w:szCs w:val="22"/>
          <w:lang w:val="sr-Latn-ME"/>
        </w:rPr>
      </w:pPr>
      <w:r w:rsidRPr="000D7979">
        <w:rPr>
          <w:bCs/>
          <w:sz w:val="22"/>
          <w:szCs w:val="22"/>
          <w:lang w:val="sr-Latn-ME"/>
        </w:rPr>
        <w:t>Hipofosfatemija CTCAE stepena 3 (1-2 mg/d</w:t>
      </w:r>
      <w:r w:rsidR="002522CA" w:rsidRPr="000D7979">
        <w:rPr>
          <w:bCs/>
          <w:sz w:val="22"/>
          <w:szCs w:val="22"/>
          <w:lang w:val="sr-Latn-ME"/>
        </w:rPr>
        <w:t>l</w:t>
      </w:r>
      <w:r w:rsidRPr="000D7979">
        <w:rPr>
          <w:bCs/>
          <w:sz w:val="22"/>
          <w:szCs w:val="22"/>
          <w:lang w:val="sr-Latn-ME"/>
        </w:rPr>
        <w:t>) u studiji 1 javila se kod 13% pacijenata liječenih sorafenibom i 3% pacijenata u grupi koja je primala placebo, a u studiji 3 kod 11% pacijenata liječenih sorafenibom i kod 2% pacijenata u grupi koja je primala placebo. Nije bilo slučajeva hipofosfatemije CTCAE stepena 4 (&lt; 1 mg/dL) ni kod pacijenata liječenih sorafenibom ni kod pacijenata koji su primali placebo u studiji 1, a zabilježen je jedan slučaj u grupi koja je primala placebo u studiji 3. Etiologija hipofosfatemije udružene sa sorafenibom nije poznata.</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Odstupanja u nalazima laboratorijskih analiza CTCAE stepena 3 ili 4 koja se javljaju kod ≥ 5% pacijenata liječenih sorafenibom uključivala su limfopeniju i neutropeniju.</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Hipokalcemija je zabilježena kod 12% odnosno 26,5% pacijenata liječenih sorafenibom u poređenju sa 7,5% i 14,8% pacijenata koji su primali placebo u kliničkim studijama 1 odnosno 3. U većini izvještaja hipokalcemija je bila niskog stepena (CTCAE stepen 1 ili 2). Hipokalcemija CTCAE stepena 3 (6,0-7,0 mg/d</w:t>
      </w:r>
      <w:r w:rsidR="002522CA" w:rsidRPr="000D7979">
        <w:rPr>
          <w:bCs/>
          <w:sz w:val="22"/>
          <w:szCs w:val="22"/>
          <w:lang w:val="sr-Latn-ME"/>
        </w:rPr>
        <w:t>l</w:t>
      </w:r>
      <w:r w:rsidRPr="000D7979">
        <w:rPr>
          <w:bCs/>
          <w:sz w:val="22"/>
          <w:szCs w:val="22"/>
          <w:lang w:val="sr-Latn-ME"/>
        </w:rPr>
        <w:t>) zabilježena je kod 1,1% i 1,8% pacijenata liječenih sorafenibom i kod 0,2% i 1,1% pacijenata u grupi koja je primala placebo, a hipokalcemija CTCAE stepena 4 (&lt; 6,0 mg/d</w:t>
      </w:r>
      <w:r w:rsidR="002522CA" w:rsidRPr="000D7979">
        <w:rPr>
          <w:bCs/>
          <w:sz w:val="22"/>
          <w:szCs w:val="22"/>
          <w:lang w:val="sr-Latn-ME"/>
        </w:rPr>
        <w:t>l</w:t>
      </w:r>
      <w:r w:rsidRPr="000D7979">
        <w:rPr>
          <w:bCs/>
          <w:sz w:val="22"/>
          <w:szCs w:val="22"/>
          <w:lang w:val="sr-Latn-ME"/>
        </w:rPr>
        <w:t>) kod 1,1% i 0,4% pacijenata liječenih sorafenibom i kod 0,5% i 0% pacijenata u grupi koja je primala placebo u studijama 1 odnosno 3. Etiologija hipokalcemije udružene sa sorafenibom nije poznata.</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U kliničkim studijama 1 i 3 zabilježene su smanjene vrijednosti kalijuma kod 5,4 % odnosno 9,5 % pacijenata liječenih sorafenibom u poređenju sa 0,7 % odnosno 5,9 % pacijenata koji su primali placebo. U većini izvještaja hipokalemija je bila niskog stepena (CTCAE stepen 1). U ovim studijama hipokalemija CTCAE stepena 3 zabilježena je kod 1,1 % odnosno 0,4 % pacijenata liječenih sorafenibom i kod 0,2 % odnosno 0,7 % pacijenata koji su primali placebo. Nije bilo izvještaja o hipokalemiji CTCAE stepena 4.</w:t>
      </w:r>
    </w:p>
    <w:p w:rsidR="00D8257D" w:rsidRPr="000D7979" w:rsidRDefault="00D8257D" w:rsidP="00C45106">
      <w:pPr>
        <w:tabs>
          <w:tab w:val="left" w:pos="540"/>
          <w:tab w:val="left" w:pos="569"/>
        </w:tabs>
        <w:jc w:val="both"/>
        <w:rPr>
          <w:b/>
          <w:bCs/>
          <w:sz w:val="22"/>
          <w:szCs w:val="22"/>
          <w:lang w:val="sr-Latn-ME"/>
        </w:rPr>
      </w:pPr>
    </w:p>
    <w:p w:rsidR="005A23D2" w:rsidRPr="000D7979" w:rsidRDefault="005A23D2" w:rsidP="00C00A05">
      <w:pPr>
        <w:spacing w:after="200" w:line="276" w:lineRule="auto"/>
        <w:jc w:val="both"/>
        <w:rPr>
          <w:rFonts w:eastAsia="Calibri"/>
          <w:sz w:val="22"/>
          <w:szCs w:val="22"/>
          <w:u w:val="single"/>
          <w:lang w:val="sr-Latn-ME"/>
        </w:rPr>
      </w:pPr>
      <w:r w:rsidRPr="000D7979">
        <w:rPr>
          <w:rFonts w:eastAsia="Calibri"/>
          <w:sz w:val="22"/>
          <w:szCs w:val="22"/>
          <w:u w:val="single"/>
          <w:lang w:val="sr-Latn-ME"/>
        </w:rPr>
        <w:t>Prijavljivanje sumnji na neželjena dejstva</w:t>
      </w:r>
    </w:p>
    <w:p w:rsidR="005A23D2" w:rsidRPr="000D7979" w:rsidRDefault="005A23D2" w:rsidP="00A13D0A">
      <w:pPr>
        <w:spacing w:after="200"/>
        <w:jc w:val="both"/>
        <w:rPr>
          <w:rFonts w:eastAsia="Calibri"/>
          <w:sz w:val="22"/>
          <w:szCs w:val="22"/>
          <w:lang w:val="sr-Latn-ME"/>
        </w:rPr>
      </w:pPr>
      <w:r w:rsidRPr="000D7979">
        <w:rPr>
          <w:rFonts w:eastAsia="Calibri"/>
          <w:sz w:val="22"/>
          <w:szCs w:val="22"/>
          <w:lang w:val="sr-Latn-ME"/>
        </w:rPr>
        <w:t>Prijavljivanje neželjenih dejstava nakon dobijanja dozvole je od velikog značaja jer obezbjeđuje kont</w:t>
      </w:r>
      <w:r w:rsidR="00EA5765" w:rsidRPr="000D7979">
        <w:rPr>
          <w:rFonts w:eastAsia="Calibri"/>
          <w:sz w:val="22"/>
          <w:szCs w:val="22"/>
          <w:lang w:val="sr-Latn-ME"/>
        </w:rPr>
        <w:t>inuirano praćenje odnosa korist</w:t>
      </w:r>
      <w:r w:rsidRPr="000D7979">
        <w:rPr>
          <w:rFonts w:eastAsia="Calibri"/>
          <w:sz w:val="22"/>
          <w:szCs w:val="22"/>
          <w:lang w:val="sr-Latn-ME"/>
        </w:rPr>
        <w:t>/rizik primjene lijeka. Zdravstveni radnici treba da prijave svaku sumnju na neželjeno</w:t>
      </w:r>
      <w:r w:rsidR="009B062A" w:rsidRPr="000D7979">
        <w:rPr>
          <w:rFonts w:eastAsia="Calibri"/>
          <w:sz w:val="22"/>
          <w:szCs w:val="22"/>
          <w:lang w:val="sr-Latn-ME"/>
        </w:rPr>
        <w:t xml:space="preserve"> </w:t>
      </w:r>
      <w:r w:rsidRPr="000D7979">
        <w:rPr>
          <w:rFonts w:eastAsia="Calibri"/>
          <w:sz w:val="22"/>
          <w:szCs w:val="22"/>
          <w:lang w:val="sr-Latn-ME"/>
        </w:rPr>
        <w:t xml:space="preserve">dejstvo ovog lijeka </w:t>
      </w:r>
      <w:r w:rsidR="004E70AD" w:rsidRPr="000D7979">
        <w:rPr>
          <w:rFonts w:eastAsia="Calibri"/>
          <w:sz w:val="22"/>
          <w:szCs w:val="22"/>
          <w:lang w:val="sr-Latn-ME"/>
        </w:rPr>
        <w:t>Institutu</w:t>
      </w:r>
      <w:r w:rsidRPr="000D7979">
        <w:rPr>
          <w:rFonts w:eastAsia="Calibri"/>
          <w:sz w:val="22"/>
          <w:szCs w:val="22"/>
          <w:lang w:val="sr-Latn-ME"/>
        </w:rPr>
        <w:t xml:space="preserve"> za ljekove i medicinska sredstva</w:t>
      </w:r>
      <w:r w:rsidR="004E70AD" w:rsidRPr="000D7979">
        <w:rPr>
          <w:rFonts w:eastAsia="Calibri"/>
          <w:sz w:val="22"/>
          <w:szCs w:val="22"/>
          <w:lang w:val="sr-Latn-ME"/>
        </w:rPr>
        <w:t xml:space="preserve"> </w:t>
      </w:r>
      <w:r w:rsidRPr="000D7979">
        <w:rPr>
          <w:rFonts w:eastAsia="Calibri"/>
          <w:sz w:val="22"/>
          <w:szCs w:val="22"/>
          <w:lang w:val="sr-Latn-ME"/>
        </w:rPr>
        <w:t>(</w:t>
      </w:r>
      <w:r w:rsidR="004E70AD" w:rsidRPr="000D7979">
        <w:rPr>
          <w:rFonts w:eastAsia="Calibri"/>
          <w:sz w:val="22"/>
          <w:szCs w:val="22"/>
          <w:lang w:val="sr-Latn-ME"/>
        </w:rPr>
        <w:t>CInMED</w:t>
      </w:r>
      <w:r w:rsidRPr="000D7979">
        <w:rPr>
          <w:rFonts w:eastAsia="Calibri"/>
          <w:sz w:val="22"/>
          <w:szCs w:val="22"/>
          <w:lang w:val="sr-Latn-ME"/>
        </w:rPr>
        <w:t>):</w:t>
      </w:r>
    </w:p>
    <w:p w:rsidR="005A23D2" w:rsidRPr="000D7979" w:rsidRDefault="004E70AD">
      <w:pPr>
        <w:pStyle w:val="NoSpacing"/>
        <w:jc w:val="both"/>
        <w:rPr>
          <w:rFonts w:eastAsia="Calibri"/>
          <w:sz w:val="22"/>
          <w:szCs w:val="22"/>
          <w:lang w:val="sr-Latn-ME"/>
        </w:rPr>
      </w:pPr>
      <w:r w:rsidRPr="000D7979">
        <w:rPr>
          <w:rFonts w:eastAsia="Calibri"/>
          <w:sz w:val="22"/>
          <w:szCs w:val="22"/>
          <w:lang w:val="sr-Latn-ME"/>
        </w:rPr>
        <w:t xml:space="preserve">Institut </w:t>
      </w:r>
      <w:r w:rsidR="005A23D2" w:rsidRPr="000D7979">
        <w:rPr>
          <w:rFonts w:eastAsia="Calibri"/>
          <w:sz w:val="22"/>
          <w:szCs w:val="22"/>
          <w:lang w:val="sr-Latn-ME"/>
        </w:rPr>
        <w:t xml:space="preserve">za ljekove i medicinska sredstva </w:t>
      </w:r>
    </w:p>
    <w:p w:rsidR="005A23D2" w:rsidRPr="000D7979" w:rsidRDefault="005A23D2">
      <w:pPr>
        <w:pStyle w:val="NoSpacing"/>
        <w:jc w:val="both"/>
        <w:rPr>
          <w:rFonts w:eastAsia="Calibri"/>
          <w:sz w:val="22"/>
          <w:szCs w:val="22"/>
          <w:lang w:val="sr-Latn-ME"/>
        </w:rPr>
      </w:pPr>
      <w:r w:rsidRPr="000D7979">
        <w:rPr>
          <w:rFonts w:eastAsia="Calibri"/>
          <w:sz w:val="22"/>
          <w:szCs w:val="22"/>
          <w:lang w:val="sr-Latn-ME"/>
        </w:rPr>
        <w:t>Odjeljenje za farmakovigilancu</w:t>
      </w:r>
    </w:p>
    <w:p w:rsidR="00EA5765" w:rsidRPr="000D7979" w:rsidRDefault="005A23D2">
      <w:pPr>
        <w:pStyle w:val="NoSpacing"/>
        <w:jc w:val="both"/>
        <w:rPr>
          <w:rFonts w:eastAsia="Calibri"/>
          <w:sz w:val="22"/>
          <w:szCs w:val="22"/>
          <w:lang w:val="sr-Latn-ME"/>
        </w:rPr>
      </w:pPr>
      <w:r w:rsidRPr="000D7979">
        <w:rPr>
          <w:rFonts w:eastAsia="Calibri"/>
          <w:sz w:val="22"/>
          <w:szCs w:val="22"/>
          <w:lang w:val="sr-Latn-ME"/>
        </w:rPr>
        <w:t>Bulevar Ivana Crnojevića 64a, 81000 Podgorica</w:t>
      </w:r>
    </w:p>
    <w:p w:rsidR="00EA5765" w:rsidRPr="000D7979" w:rsidRDefault="00EA5765">
      <w:pPr>
        <w:pStyle w:val="NoSpacing"/>
        <w:jc w:val="both"/>
        <w:rPr>
          <w:rFonts w:eastAsia="Calibri"/>
          <w:sz w:val="22"/>
          <w:szCs w:val="22"/>
          <w:lang w:val="sr-Latn-ME"/>
        </w:rPr>
      </w:pPr>
    </w:p>
    <w:p w:rsidR="005A23D2" w:rsidRPr="000D7979" w:rsidRDefault="005A23D2">
      <w:pPr>
        <w:pStyle w:val="NoSpacing"/>
        <w:jc w:val="both"/>
        <w:rPr>
          <w:rFonts w:eastAsia="Calibri"/>
          <w:sz w:val="22"/>
          <w:szCs w:val="22"/>
          <w:lang w:val="sr-Latn-ME"/>
        </w:rPr>
      </w:pPr>
      <w:r w:rsidRPr="000D7979">
        <w:rPr>
          <w:rFonts w:eastAsia="Calibri"/>
          <w:sz w:val="22"/>
          <w:szCs w:val="22"/>
          <w:lang w:val="sr-Latn-ME"/>
        </w:rPr>
        <w:t>tel: +382 (0) 20 310 280</w:t>
      </w:r>
    </w:p>
    <w:p w:rsidR="00EA5765" w:rsidRPr="000D7979" w:rsidRDefault="005A23D2">
      <w:pPr>
        <w:pStyle w:val="NoSpacing"/>
        <w:jc w:val="both"/>
        <w:rPr>
          <w:rFonts w:eastAsia="Calibri"/>
          <w:sz w:val="22"/>
          <w:szCs w:val="22"/>
          <w:lang w:val="sr-Latn-ME"/>
        </w:rPr>
      </w:pPr>
      <w:r w:rsidRPr="000D7979">
        <w:rPr>
          <w:rFonts w:eastAsia="Calibri"/>
          <w:sz w:val="22"/>
          <w:szCs w:val="22"/>
          <w:lang w:val="sr-Latn-ME"/>
        </w:rPr>
        <w:t>fax:</w:t>
      </w:r>
      <w:r w:rsidR="00EA5765" w:rsidRPr="000D7979">
        <w:rPr>
          <w:rFonts w:eastAsia="Calibri"/>
          <w:sz w:val="22"/>
          <w:szCs w:val="22"/>
          <w:lang w:val="sr-Latn-ME"/>
        </w:rPr>
        <w:t xml:space="preserve"> </w:t>
      </w:r>
      <w:r w:rsidRPr="000D7979">
        <w:rPr>
          <w:rFonts w:eastAsia="Calibri"/>
          <w:sz w:val="22"/>
          <w:szCs w:val="22"/>
          <w:lang w:val="sr-Latn-ME"/>
        </w:rPr>
        <w:t>+382 (0) 20 310 581</w:t>
      </w:r>
    </w:p>
    <w:p w:rsidR="005A23D2" w:rsidRPr="000D7979" w:rsidRDefault="002C7EA0">
      <w:pPr>
        <w:pStyle w:val="NoSpacing"/>
        <w:jc w:val="both"/>
        <w:rPr>
          <w:rFonts w:eastAsia="Calibri"/>
          <w:sz w:val="22"/>
          <w:szCs w:val="22"/>
          <w:lang w:val="sr-Latn-ME"/>
        </w:rPr>
      </w:pPr>
      <w:hyperlink r:id="rId8" w:history="1">
        <w:r w:rsidR="004E70AD" w:rsidRPr="000D7979">
          <w:rPr>
            <w:rStyle w:val="Hyperlink"/>
            <w:rFonts w:eastAsia="Calibri"/>
            <w:sz w:val="22"/>
            <w:szCs w:val="22"/>
            <w:lang w:val="sr-Latn-ME"/>
          </w:rPr>
          <w:t>www.cinmed.me</w:t>
        </w:r>
      </w:hyperlink>
    </w:p>
    <w:p w:rsidR="00EA5765" w:rsidRPr="000D7979" w:rsidRDefault="002C7EA0">
      <w:pPr>
        <w:pStyle w:val="NoSpacing"/>
        <w:jc w:val="both"/>
        <w:rPr>
          <w:rFonts w:eastAsia="Calibri"/>
          <w:color w:val="0000FF"/>
          <w:sz w:val="22"/>
          <w:szCs w:val="22"/>
          <w:u w:val="single"/>
          <w:lang w:val="sr-Latn-ME"/>
        </w:rPr>
      </w:pPr>
      <w:hyperlink r:id="rId9" w:history="1">
        <w:r w:rsidR="004E70AD" w:rsidRPr="000D7979">
          <w:rPr>
            <w:rStyle w:val="Hyperlink"/>
            <w:rFonts w:eastAsia="Calibri"/>
            <w:sz w:val="22"/>
            <w:szCs w:val="22"/>
            <w:lang w:val="sr-Latn-ME"/>
          </w:rPr>
          <w:t>nezeljenadejstva@cinmed.me</w:t>
        </w:r>
      </w:hyperlink>
    </w:p>
    <w:p w:rsidR="005A23D2" w:rsidRPr="000D7979" w:rsidRDefault="005A23D2">
      <w:pPr>
        <w:pStyle w:val="NoSpacing"/>
        <w:jc w:val="both"/>
        <w:rPr>
          <w:rFonts w:eastAsia="Calibri"/>
          <w:sz w:val="22"/>
          <w:szCs w:val="22"/>
          <w:lang w:val="sr-Latn-ME"/>
        </w:rPr>
      </w:pPr>
      <w:r w:rsidRPr="000D7979">
        <w:rPr>
          <w:rFonts w:eastAsia="Calibri"/>
          <w:sz w:val="22"/>
          <w:szCs w:val="22"/>
          <w:lang w:val="sr-Latn-ME"/>
        </w:rPr>
        <w:t>putem IS zdravstvene zaštite</w:t>
      </w:r>
    </w:p>
    <w:p w:rsidR="00836B35" w:rsidRPr="000D7979" w:rsidRDefault="00836B35" w:rsidP="00C45106">
      <w:pPr>
        <w:tabs>
          <w:tab w:val="left" w:pos="540"/>
          <w:tab w:val="left" w:pos="569"/>
        </w:tabs>
        <w:jc w:val="both"/>
        <w:rPr>
          <w:b/>
          <w:bCs/>
          <w:sz w:val="22"/>
          <w:szCs w:val="22"/>
          <w:lang w:val="sr-Latn-ME"/>
        </w:rPr>
      </w:pPr>
    </w:p>
    <w:p w:rsidR="000475D9" w:rsidRPr="000D7979" w:rsidRDefault="000475D9" w:rsidP="00C45106">
      <w:pPr>
        <w:tabs>
          <w:tab w:val="left" w:pos="540"/>
          <w:tab w:val="left" w:pos="569"/>
        </w:tabs>
        <w:jc w:val="both"/>
        <w:rPr>
          <w:b/>
          <w:bCs/>
          <w:sz w:val="22"/>
          <w:szCs w:val="22"/>
          <w:lang w:val="sr-Latn-ME"/>
        </w:rPr>
      </w:pPr>
    </w:p>
    <w:p w:rsidR="000475D9" w:rsidRPr="000D7979" w:rsidRDefault="000475D9" w:rsidP="00C45106">
      <w:pPr>
        <w:tabs>
          <w:tab w:val="left" w:pos="540"/>
          <w:tab w:val="left" w:pos="569"/>
        </w:tabs>
        <w:jc w:val="both"/>
        <w:rPr>
          <w:b/>
          <w:bCs/>
          <w:sz w:val="22"/>
          <w:szCs w:val="22"/>
          <w:lang w:val="sr-Latn-ME"/>
        </w:rPr>
      </w:pPr>
    </w:p>
    <w:p w:rsidR="000475D9" w:rsidRPr="000D7979" w:rsidRDefault="000475D9" w:rsidP="00C45106">
      <w:pPr>
        <w:tabs>
          <w:tab w:val="left" w:pos="540"/>
          <w:tab w:val="left" w:pos="569"/>
        </w:tabs>
        <w:jc w:val="both"/>
        <w:rPr>
          <w:b/>
          <w:bCs/>
          <w:sz w:val="22"/>
          <w:szCs w:val="22"/>
          <w:lang w:val="sr-Latn-ME"/>
        </w:rPr>
      </w:pPr>
    </w:p>
    <w:p w:rsidR="00CD6F02" w:rsidRPr="000D7979" w:rsidRDefault="0072020E" w:rsidP="00C45106">
      <w:pPr>
        <w:tabs>
          <w:tab w:val="left" w:pos="540"/>
          <w:tab w:val="left" w:pos="569"/>
        </w:tabs>
        <w:jc w:val="both"/>
        <w:rPr>
          <w:b/>
          <w:bCs/>
          <w:sz w:val="22"/>
          <w:szCs w:val="22"/>
          <w:lang w:val="sr-Latn-ME"/>
        </w:rPr>
      </w:pPr>
      <w:r w:rsidRPr="000D7979">
        <w:rPr>
          <w:b/>
          <w:bCs/>
          <w:sz w:val="22"/>
          <w:szCs w:val="22"/>
          <w:lang w:val="sr-Latn-ME"/>
        </w:rPr>
        <w:lastRenderedPageBreak/>
        <w:t xml:space="preserve">4.9. </w:t>
      </w:r>
      <w:r w:rsidR="00480FB1" w:rsidRPr="000D7979">
        <w:rPr>
          <w:b/>
          <w:bCs/>
          <w:sz w:val="22"/>
          <w:szCs w:val="22"/>
          <w:lang w:val="sr-Latn-ME"/>
        </w:rPr>
        <w:tab/>
      </w:r>
      <w:r w:rsidRPr="000D7979">
        <w:rPr>
          <w:b/>
          <w:bCs/>
          <w:sz w:val="22"/>
          <w:szCs w:val="22"/>
          <w:lang w:val="sr-Latn-ME"/>
        </w:rPr>
        <w:t>Predoziranje</w:t>
      </w:r>
      <w:r w:rsidR="002846DB" w:rsidRPr="000D7979">
        <w:rPr>
          <w:b/>
          <w:bCs/>
          <w:sz w:val="22"/>
          <w:szCs w:val="22"/>
          <w:lang w:val="sr-Latn-ME"/>
        </w:rPr>
        <w:t xml:space="preserve"> </w:t>
      </w:r>
    </w:p>
    <w:p w:rsidR="0094591E" w:rsidRPr="000D7979" w:rsidRDefault="0094591E" w:rsidP="00C45106">
      <w:pPr>
        <w:tabs>
          <w:tab w:val="left" w:pos="540"/>
          <w:tab w:val="left" w:pos="569"/>
        </w:tabs>
        <w:jc w:val="both"/>
        <w:rPr>
          <w:b/>
          <w:bCs/>
          <w:sz w:val="22"/>
          <w:szCs w:val="22"/>
          <w:lang w:val="sr-Latn-ME"/>
        </w:rPr>
      </w:pPr>
    </w:p>
    <w:p w:rsidR="00CD6F02" w:rsidRPr="000D7979" w:rsidRDefault="0094591E" w:rsidP="00C00A05">
      <w:pPr>
        <w:tabs>
          <w:tab w:val="left" w:pos="540"/>
          <w:tab w:val="left" w:pos="569"/>
        </w:tabs>
        <w:jc w:val="both"/>
        <w:rPr>
          <w:bCs/>
          <w:sz w:val="22"/>
          <w:szCs w:val="22"/>
          <w:lang w:val="sr-Latn-ME"/>
        </w:rPr>
      </w:pPr>
      <w:r w:rsidRPr="000D7979">
        <w:rPr>
          <w:bCs/>
          <w:sz w:val="22"/>
          <w:szCs w:val="22"/>
          <w:lang w:val="sr-Latn-ME"/>
        </w:rPr>
        <w:t>Nema specifičnog tretmana za predoziranje sorafenibom. Najveća klinički ispit</w:t>
      </w:r>
      <w:r w:rsidR="000475D9" w:rsidRPr="000D7979">
        <w:rPr>
          <w:bCs/>
          <w:sz w:val="22"/>
          <w:szCs w:val="22"/>
          <w:lang w:val="sr-Latn-ME"/>
        </w:rPr>
        <w:t>iv</w:t>
      </w:r>
      <w:r w:rsidRPr="000D7979">
        <w:rPr>
          <w:bCs/>
          <w:sz w:val="22"/>
          <w:szCs w:val="22"/>
          <w:lang w:val="sr-Latn-ME"/>
        </w:rPr>
        <w:t>ana doza sorafeniba je 800 mg dva puta dnevno. Neželjeni događaji, zabilježeni pri ovoj dozi, bili su prvenstveno dijareja i promjene na koži. Ukoliko se posumnja na predoziranje, uzimanje sorafeniba treba prekinuti i po potrebi sprovesti potpornu terapiju.</w:t>
      </w:r>
    </w:p>
    <w:p w:rsidR="00227BDB" w:rsidRPr="000D7979" w:rsidRDefault="00227BDB"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5. </w:t>
      </w:r>
      <w:r w:rsidR="00480FB1" w:rsidRPr="000D7979">
        <w:rPr>
          <w:b/>
          <w:bCs/>
          <w:sz w:val="22"/>
          <w:szCs w:val="22"/>
          <w:lang w:val="sr-Latn-ME"/>
        </w:rPr>
        <w:tab/>
      </w:r>
      <w:r w:rsidRPr="000D7979">
        <w:rPr>
          <w:b/>
          <w:bCs/>
          <w:sz w:val="22"/>
          <w:szCs w:val="22"/>
          <w:lang w:val="sr-Latn-ME"/>
        </w:rPr>
        <w:t>FARMAKOLOŠK</w:t>
      </w:r>
      <w:r w:rsidR="000D425A" w:rsidRPr="000D7979">
        <w:rPr>
          <w:b/>
          <w:bCs/>
          <w:sz w:val="22"/>
          <w:szCs w:val="22"/>
          <w:lang w:val="sr-Latn-ME"/>
        </w:rPr>
        <w:t>I</w:t>
      </w:r>
      <w:r w:rsidRPr="000D7979">
        <w:rPr>
          <w:b/>
          <w:bCs/>
          <w:sz w:val="22"/>
          <w:szCs w:val="22"/>
          <w:lang w:val="sr-Latn-ME"/>
        </w:rPr>
        <w:t xml:space="preserve"> PODACI</w:t>
      </w:r>
    </w:p>
    <w:p w:rsidR="0072020E" w:rsidRPr="000D7979" w:rsidRDefault="0072020E"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5.1. </w:t>
      </w:r>
      <w:r w:rsidR="00480FB1" w:rsidRPr="000D7979">
        <w:rPr>
          <w:b/>
          <w:bCs/>
          <w:sz w:val="22"/>
          <w:szCs w:val="22"/>
          <w:lang w:val="sr-Latn-ME"/>
        </w:rPr>
        <w:tab/>
      </w:r>
      <w:r w:rsidRPr="000D7979">
        <w:rPr>
          <w:b/>
          <w:bCs/>
          <w:sz w:val="22"/>
          <w:szCs w:val="22"/>
          <w:lang w:val="sr-Latn-ME"/>
        </w:rPr>
        <w:t>Farmakodinamski podaci</w:t>
      </w:r>
      <w:r w:rsidR="003A7059" w:rsidRPr="000D7979">
        <w:rPr>
          <w:b/>
          <w:bCs/>
          <w:sz w:val="22"/>
          <w:szCs w:val="22"/>
          <w:lang w:val="sr-Latn-ME"/>
        </w:rPr>
        <w:t xml:space="preserve"> </w:t>
      </w:r>
    </w:p>
    <w:p w:rsidR="00F45F77" w:rsidRPr="000D7979" w:rsidRDefault="00F45F77"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Cs/>
          <w:sz w:val="22"/>
          <w:szCs w:val="22"/>
          <w:lang w:val="sr-Latn-ME"/>
        </w:rPr>
      </w:pPr>
      <w:r w:rsidRPr="000D7979">
        <w:rPr>
          <w:bCs/>
          <w:sz w:val="22"/>
          <w:szCs w:val="22"/>
          <w:lang w:val="sr-Latn-ME"/>
        </w:rPr>
        <w:t>Farmakoterapijska grupa:</w:t>
      </w:r>
      <w:r w:rsidR="0094591E" w:rsidRPr="000D7979">
        <w:rPr>
          <w:sz w:val="22"/>
          <w:szCs w:val="22"/>
          <w:lang w:val="sr-Latn-ME"/>
        </w:rPr>
        <w:t xml:space="preserve"> </w:t>
      </w:r>
      <w:r w:rsidR="0094591E" w:rsidRPr="000D7979">
        <w:rPr>
          <w:bCs/>
          <w:sz w:val="22"/>
          <w:szCs w:val="22"/>
          <w:lang w:val="sr-Latn-ME"/>
        </w:rPr>
        <w:t>Antineoplastici, inhibitori protein kinaze</w:t>
      </w:r>
    </w:p>
    <w:p w:rsidR="0072020E" w:rsidRPr="000D7979" w:rsidRDefault="0072020E"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Cs/>
          <w:sz w:val="22"/>
          <w:szCs w:val="22"/>
          <w:lang w:val="sr-Latn-ME"/>
        </w:rPr>
      </w:pPr>
      <w:r w:rsidRPr="000D7979">
        <w:rPr>
          <w:bCs/>
          <w:sz w:val="22"/>
          <w:szCs w:val="22"/>
          <w:lang w:val="sr-Latn-ME"/>
        </w:rPr>
        <w:t>ATC kod:</w:t>
      </w:r>
      <w:r w:rsidR="0094591E" w:rsidRPr="000D7979">
        <w:rPr>
          <w:sz w:val="22"/>
          <w:szCs w:val="22"/>
          <w:lang w:val="sr-Latn-ME"/>
        </w:rPr>
        <w:t xml:space="preserve"> </w:t>
      </w:r>
      <w:r w:rsidR="0094591E" w:rsidRPr="000D7979">
        <w:rPr>
          <w:bCs/>
          <w:sz w:val="22"/>
          <w:szCs w:val="22"/>
          <w:lang w:val="sr-Latn-ME"/>
        </w:rPr>
        <w:t>L01</w:t>
      </w:r>
      <w:r w:rsidR="0091162C">
        <w:rPr>
          <w:bCs/>
          <w:sz w:val="22"/>
          <w:szCs w:val="22"/>
          <w:lang w:val="sr-Latn-ME"/>
        </w:rPr>
        <w:t>E</w:t>
      </w:r>
      <w:r w:rsidR="0094591E" w:rsidRPr="000D7979">
        <w:rPr>
          <w:bCs/>
          <w:sz w:val="22"/>
          <w:szCs w:val="22"/>
          <w:lang w:val="sr-Latn-ME"/>
        </w:rPr>
        <w:t>X02</w:t>
      </w:r>
    </w:p>
    <w:p w:rsidR="0094591E" w:rsidRPr="000D7979" w:rsidRDefault="0094591E" w:rsidP="00C45106">
      <w:pPr>
        <w:tabs>
          <w:tab w:val="left" w:pos="540"/>
          <w:tab w:val="left" w:pos="569"/>
        </w:tabs>
        <w:jc w:val="both"/>
        <w:rPr>
          <w:bCs/>
          <w:sz w:val="22"/>
          <w:szCs w:val="22"/>
          <w:lang w:val="sr-Latn-ME"/>
        </w:rPr>
      </w:pPr>
    </w:p>
    <w:p w:rsidR="0094591E" w:rsidRPr="000D7979" w:rsidRDefault="0094591E" w:rsidP="00C00A05">
      <w:pPr>
        <w:tabs>
          <w:tab w:val="left" w:pos="540"/>
          <w:tab w:val="left" w:pos="569"/>
        </w:tabs>
        <w:jc w:val="both"/>
        <w:rPr>
          <w:bCs/>
          <w:sz w:val="22"/>
          <w:szCs w:val="22"/>
          <w:lang w:val="sr-Latn-ME"/>
        </w:rPr>
      </w:pPr>
      <w:r w:rsidRPr="000D7979">
        <w:rPr>
          <w:bCs/>
          <w:sz w:val="22"/>
          <w:szCs w:val="22"/>
          <w:lang w:val="sr-Latn-ME"/>
        </w:rPr>
        <w:t xml:space="preserve">Sorafenib je inhibitor multikinaze, koji je i u </w:t>
      </w:r>
      <w:r w:rsidRPr="000D7979">
        <w:rPr>
          <w:bCs/>
          <w:i/>
          <w:sz w:val="22"/>
          <w:szCs w:val="22"/>
          <w:lang w:val="sr-Latn-ME"/>
        </w:rPr>
        <w:t xml:space="preserve">in vitro </w:t>
      </w:r>
      <w:r w:rsidRPr="000D7979">
        <w:rPr>
          <w:bCs/>
          <w:sz w:val="22"/>
          <w:szCs w:val="22"/>
          <w:lang w:val="sr-Latn-ME"/>
        </w:rPr>
        <w:t xml:space="preserve">i u </w:t>
      </w:r>
      <w:r w:rsidRPr="000D7979">
        <w:rPr>
          <w:bCs/>
          <w:i/>
          <w:sz w:val="22"/>
          <w:szCs w:val="22"/>
          <w:lang w:val="sr-Latn-ME"/>
        </w:rPr>
        <w:t xml:space="preserve">in vivo </w:t>
      </w:r>
      <w:r w:rsidRPr="000D7979">
        <w:rPr>
          <w:bCs/>
          <w:sz w:val="22"/>
          <w:szCs w:val="22"/>
          <w:lang w:val="sr-Latn-ME"/>
        </w:rPr>
        <w:t>uslovima pokazao antiproliferaciona i antiangiogena svojstva.</w:t>
      </w:r>
    </w:p>
    <w:p w:rsidR="0094591E" w:rsidRPr="000D7979" w:rsidRDefault="0094591E" w:rsidP="00A13D0A">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u w:val="single"/>
          <w:lang w:val="sr-Latn-ME"/>
        </w:rPr>
        <w:t>Mehanizam djelovanja i farmakodinamska dejstva</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 xml:space="preserve">Sorafenib je inhibitor multikinaze, koji u </w:t>
      </w:r>
      <w:r w:rsidRPr="000D7979">
        <w:rPr>
          <w:bCs/>
          <w:i/>
          <w:sz w:val="22"/>
          <w:szCs w:val="22"/>
          <w:lang w:val="sr-Latn-ME"/>
        </w:rPr>
        <w:t xml:space="preserve">in vitro </w:t>
      </w:r>
      <w:r w:rsidRPr="000D7979">
        <w:rPr>
          <w:bCs/>
          <w:sz w:val="22"/>
          <w:szCs w:val="22"/>
          <w:lang w:val="sr-Latn-ME"/>
        </w:rPr>
        <w:t>uslovima smanjuje proliferaciju tumorskih ćelija. Kod miševa kojima je odstranjen timus, sorafenib inhibira rast širokog spektra humanih tumorskih ksenotransplantata i smanjuje angiogenezu u tumorskom tkivu. Sorafenib inhibira aktivnost ciljnih mjesta unutar ćelije tumora (CRAF, BRAF, V600E BRAF, c-KIT i FLT-3) i vaskulaturi tumora (CRAF, VEGFR-  2, VEGFR-3 i PDGFR- β). RAF kinaze su serin/treonin kinaze, dok su c-KIT, FLT-3, VEGFR-2, VEGFR-3  i PDGFR- β receptori tirozin kinaze.</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u w:val="single"/>
          <w:lang w:val="sr-Latn-ME"/>
        </w:rPr>
        <w:t>Klinička efikasnost</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i/>
          <w:sz w:val="22"/>
          <w:szCs w:val="22"/>
          <w:lang w:val="sr-Latn-ME"/>
        </w:rPr>
      </w:pPr>
      <w:r w:rsidRPr="000D7979">
        <w:rPr>
          <w:bCs/>
          <w:sz w:val="22"/>
          <w:szCs w:val="22"/>
          <w:lang w:val="sr-Latn-ME"/>
        </w:rPr>
        <w:t xml:space="preserve">Klinička bezbjednost i efikasnost sorafeniba su ispitivane kod pacijenata sa hepatocelularnim karcinomom (HCC; engl. </w:t>
      </w:r>
      <w:r w:rsidRPr="000D7979">
        <w:rPr>
          <w:bCs/>
          <w:i/>
          <w:sz w:val="22"/>
          <w:szCs w:val="22"/>
          <w:lang w:val="sr-Latn-ME"/>
        </w:rPr>
        <w:t xml:space="preserve">hepatocellular carcinoma) </w:t>
      </w:r>
      <w:r w:rsidRPr="000D7979">
        <w:rPr>
          <w:bCs/>
          <w:sz w:val="22"/>
          <w:szCs w:val="22"/>
          <w:lang w:val="sr-Latn-ME"/>
        </w:rPr>
        <w:t xml:space="preserve">kao i kod pacijenata sa uznapredovalim karcinomom bubrežnih  ćelija (RCC; engl. </w:t>
      </w:r>
      <w:r w:rsidRPr="000D7979">
        <w:rPr>
          <w:bCs/>
          <w:i/>
          <w:sz w:val="22"/>
          <w:szCs w:val="22"/>
          <w:lang w:val="sr-Latn-ME"/>
        </w:rPr>
        <w:t>renal cell carcinoma).</w:t>
      </w:r>
    </w:p>
    <w:p w:rsidR="0094591E" w:rsidRPr="000D7979" w:rsidRDefault="0094591E">
      <w:pPr>
        <w:tabs>
          <w:tab w:val="left" w:pos="540"/>
          <w:tab w:val="left" w:pos="569"/>
        </w:tabs>
        <w:jc w:val="both"/>
        <w:rPr>
          <w:bCs/>
          <w:i/>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u w:val="single"/>
          <w:lang w:val="sr-Latn-ME"/>
        </w:rPr>
        <w:t>Hepatocelularni karcinom</w:t>
      </w:r>
    </w:p>
    <w:p w:rsidR="0094591E" w:rsidRPr="000D7979" w:rsidRDefault="0094591E">
      <w:pPr>
        <w:tabs>
          <w:tab w:val="left" w:pos="540"/>
          <w:tab w:val="left" w:pos="569"/>
        </w:tabs>
        <w:jc w:val="both"/>
        <w:rPr>
          <w:bCs/>
          <w:sz w:val="22"/>
          <w:szCs w:val="22"/>
          <w:lang w:val="sr-Latn-ME"/>
        </w:rPr>
      </w:pPr>
    </w:p>
    <w:p w:rsidR="0094591E" w:rsidRPr="000D7979" w:rsidRDefault="0094591E">
      <w:pPr>
        <w:tabs>
          <w:tab w:val="left" w:pos="540"/>
          <w:tab w:val="left" w:pos="569"/>
        </w:tabs>
        <w:jc w:val="both"/>
        <w:rPr>
          <w:bCs/>
          <w:sz w:val="22"/>
          <w:szCs w:val="22"/>
          <w:lang w:val="sr-Latn-ME"/>
        </w:rPr>
      </w:pPr>
      <w:r w:rsidRPr="000D7979">
        <w:rPr>
          <w:bCs/>
          <w:sz w:val="22"/>
          <w:szCs w:val="22"/>
          <w:lang w:val="sr-Latn-ME"/>
        </w:rPr>
        <w:t>Studija 3 (studija 100554) bila je internacionalna, multicentrična, randomizovana, dvostruko slijepa, placebom kontrolisana, klinička studija III faze, na 602 pacijenta sa hepatocelularnim karcinomom. Demografske i karakteristike osnovne bolesti bile su komparabilne između grupe koja je uzimala sorafenib i placebo grupe po pitanju ECOG (</w:t>
      </w:r>
      <w:r w:rsidRPr="000D7979">
        <w:rPr>
          <w:bCs/>
          <w:i/>
          <w:sz w:val="22"/>
          <w:szCs w:val="22"/>
          <w:lang w:val="sr-Latn-ME"/>
        </w:rPr>
        <w:t>Eastern Cooperative Oncology Group</w:t>
      </w:r>
      <w:r w:rsidRPr="000D7979">
        <w:rPr>
          <w:bCs/>
          <w:sz w:val="22"/>
          <w:szCs w:val="22"/>
          <w:lang w:val="sr-Latn-ME"/>
        </w:rPr>
        <w:t>) statusa (status 0: 54% u odnosu na 54%; status 1. 38% u odnosu na 39%; status 2:8% u odnosu na 7%), TNM stadijuma (stadijum I: &lt; 1% u odnosu na &lt; 1%; stadijum II: 10,4% u odnosu na 8,3%; stadijum III: 37,8% u odnosu na 43,6%; stadijum IV: 50,8% u odnosu na 46,9%), i BCLC stadijuma (stadijum B: 18,1% u odnosu na 16,8%; stadijum C: 81,6% u odnosu na 83,2%; stadijum D: &lt; 1% u odnosu na 0%).</w:t>
      </w:r>
    </w:p>
    <w:p w:rsidR="0094591E" w:rsidRPr="000D7979" w:rsidRDefault="0094591E">
      <w:pPr>
        <w:tabs>
          <w:tab w:val="left" w:pos="540"/>
          <w:tab w:val="left" w:pos="569"/>
        </w:tabs>
        <w:jc w:val="both"/>
        <w:rPr>
          <w:bCs/>
          <w:sz w:val="22"/>
          <w:szCs w:val="22"/>
          <w:lang w:val="sr-Latn-ME"/>
        </w:rPr>
      </w:pPr>
    </w:p>
    <w:p w:rsidR="00210D71" w:rsidRPr="000D7979" w:rsidRDefault="00210D71">
      <w:pPr>
        <w:tabs>
          <w:tab w:val="left" w:pos="540"/>
          <w:tab w:val="left" w:pos="569"/>
        </w:tabs>
        <w:jc w:val="both"/>
        <w:rPr>
          <w:bCs/>
          <w:sz w:val="22"/>
          <w:szCs w:val="22"/>
          <w:lang w:val="sr-Latn-ME"/>
        </w:rPr>
      </w:pPr>
      <w:r w:rsidRPr="000D7979">
        <w:rPr>
          <w:bCs/>
          <w:sz w:val="22"/>
          <w:szCs w:val="22"/>
          <w:lang w:val="sr-Latn-ME"/>
        </w:rPr>
        <w:t xml:space="preserve">Ova studija je prekinuta nakon što je planirana privremena analiza ukupnog preživljavanja - OS (engl. </w:t>
      </w:r>
      <w:r w:rsidRPr="000D7979">
        <w:rPr>
          <w:bCs/>
          <w:i/>
          <w:sz w:val="22"/>
          <w:szCs w:val="22"/>
          <w:lang w:val="sr-Latn-ME"/>
        </w:rPr>
        <w:t>overall survival</w:t>
      </w:r>
      <w:r w:rsidRPr="000D7979">
        <w:rPr>
          <w:bCs/>
          <w:sz w:val="22"/>
          <w:szCs w:val="22"/>
          <w:lang w:val="sr-Latn-ME"/>
        </w:rPr>
        <w:t>) prešla prethodno određene granice efikasnosti. Ova OS analiza je pokazala statistički značajnu prednost sorafeniba u odnosu na placebo za OS (HR: 0,69, p = 0,00058, vidjeti Tabelu 2).</w:t>
      </w:r>
    </w:p>
    <w:p w:rsidR="00210D71" w:rsidRPr="000D7979" w:rsidRDefault="00210D71">
      <w:pPr>
        <w:tabs>
          <w:tab w:val="left" w:pos="540"/>
          <w:tab w:val="left" w:pos="569"/>
        </w:tabs>
        <w:jc w:val="both"/>
        <w:rPr>
          <w:bCs/>
          <w:sz w:val="22"/>
          <w:szCs w:val="22"/>
          <w:lang w:val="sr-Latn-ME"/>
        </w:rPr>
      </w:pPr>
    </w:p>
    <w:p w:rsidR="00210D71" w:rsidRPr="000D7979" w:rsidRDefault="00210D71">
      <w:pPr>
        <w:tabs>
          <w:tab w:val="left" w:pos="540"/>
          <w:tab w:val="left" w:pos="569"/>
        </w:tabs>
        <w:jc w:val="both"/>
        <w:rPr>
          <w:bCs/>
          <w:sz w:val="22"/>
          <w:szCs w:val="22"/>
          <w:lang w:val="sr-Latn-ME"/>
        </w:rPr>
      </w:pPr>
      <w:r w:rsidRPr="000D7979">
        <w:rPr>
          <w:bCs/>
          <w:sz w:val="22"/>
          <w:szCs w:val="22"/>
          <w:lang w:val="sr-Latn-ME"/>
        </w:rPr>
        <w:t xml:space="preserve">Ova studija daje ograničene podatke kod pacijenata sa oštećenjem jetre </w:t>
      </w:r>
      <w:r w:rsidRPr="000D7979">
        <w:rPr>
          <w:bCs/>
          <w:i/>
          <w:sz w:val="22"/>
          <w:szCs w:val="22"/>
          <w:lang w:val="sr-Latn-ME"/>
        </w:rPr>
        <w:t>Child-Pugh</w:t>
      </w:r>
      <w:r w:rsidRPr="000D7979">
        <w:rPr>
          <w:bCs/>
          <w:sz w:val="22"/>
          <w:szCs w:val="22"/>
          <w:lang w:val="sr-Latn-ME"/>
        </w:rPr>
        <w:t xml:space="preserve"> stadijuma B, a samo jedan pacijent sa </w:t>
      </w:r>
      <w:r w:rsidRPr="000D7979">
        <w:rPr>
          <w:bCs/>
          <w:i/>
          <w:sz w:val="22"/>
          <w:szCs w:val="22"/>
          <w:lang w:val="sr-Latn-ME"/>
        </w:rPr>
        <w:t>Child-Pugh</w:t>
      </w:r>
      <w:r w:rsidRPr="000D7979">
        <w:rPr>
          <w:bCs/>
          <w:sz w:val="22"/>
          <w:szCs w:val="22"/>
          <w:lang w:val="sr-Latn-ME"/>
        </w:rPr>
        <w:t xml:space="preserve"> stadijumom C bio je uključen u studiju.</w:t>
      </w:r>
    </w:p>
    <w:p w:rsidR="0094591E" w:rsidRPr="000D7979" w:rsidRDefault="0094591E" w:rsidP="00C45106">
      <w:pPr>
        <w:tabs>
          <w:tab w:val="left" w:pos="540"/>
          <w:tab w:val="left" w:pos="569"/>
        </w:tabs>
        <w:jc w:val="both"/>
        <w:rPr>
          <w:bCs/>
          <w:sz w:val="22"/>
          <w:szCs w:val="22"/>
          <w:lang w:val="sr-Latn-ME"/>
        </w:rPr>
      </w:pPr>
    </w:p>
    <w:p w:rsidR="00621CF9" w:rsidRPr="000D7979" w:rsidRDefault="00621CF9" w:rsidP="00C45106">
      <w:pPr>
        <w:tabs>
          <w:tab w:val="left" w:pos="540"/>
          <w:tab w:val="left" w:pos="569"/>
        </w:tabs>
        <w:jc w:val="both"/>
        <w:rPr>
          <w:bCs/>
          <w:sz w:val="22"/>
          <w:szCs w:val="22"/>
          <w:lang w:val="sr-Latn-ME"/>
        </w:rPr>
      </w:pPr>
    </w:p>
    <w:p w:rsidR="00621CF9" w:rsidRPr="000D7979" w:rsidRDefault="00621CF9" w:rsidP="00C45106">
      <w:pPr>
        <w:tabs>
          <w:tab w:val="left" w:pos="540"/>
          <w:tab w:val="left" w:pos="569"/>
        </w:tabs>
        <w:jc w:val="both"/>
        <w:rPr>
          <w:bCs/>
          <w:sz w:val="22"/>
          <w:szCs w:val="22"/>
          <w:lang w:val="sr-Latn-ME"/>
        </w:rPr>
      </w:pPr>
    </w:p>
    <w:p w:rsidR="00621CF9" w:rsidRPr="000D7979" w:rsidRDefault="00621CF9" w:rsidP="00C45106">
      <w:pPr>
        <w:tabs>
          <w:tab w:val="left" w:pos="540"/>
          <w:tab w:val="left" w:pos="569"/>
        </w:tabs>
        <w:jc w:val="both"/>
        <w:rPr>
          <w:bCs/>
          <w:sz w:val="22"/>
          <w:szCs w:val="22"/>
          <w:lang w:val="sr-Latn-ME"/>
        </w:rPr>
      </w:pPr>
    </w:p>
    <w:p w:rsidR="00210D71" w:rsidRPr="000D7979" w:rsidRDefault="00210D71" w:rsidP="00C00A05">
      <w:pPr>
        <w:tabs>
          <w:tab w:val="left" w:pos="540"/>
          <w:tab w:val="left" w:pos="569"/>
        </w:tabs>
        <w:jc w:val="both"/>
        <w:rPr>
          <w:b/>
          <w:bCs/>
          <w:sz w:val="22"/>
          <w:szCs w:val="22"/>
          <w:lang w:val="sr-Latn-ME"/>
        </w:rPr>
      </w:pPr>
      <w:r w:rsidRPr="000D7979">
        <w:rPr>
          <w:b/>
          <w:bCs/>
          <w:sz w:val="22"/>
          <w:szCs w:val="22"/>
          <w:lang w:val="sr-Latn-ME"/>
        </w:rPr>
        <w:lastRenderedPageBreak/>
        <w:t xml:space="preserve">Tabela2: Rezultati efikasnosti iz studije 3 (studija 100554) kod hepatocelularnog </w:t>
      </w:r>
      <w:r w:rsidR="00621CF9" w:rsidRPr="000D7979">
        <w:rPr>
          <w:b/>
          <w:bCs/>
          <w:sz w:val="22"/>
          <w:szCs w:val="22"/>
          <w:lang w:val="sr-Latn-ME"/>
        </w:rPr>
        <w:t>carcinoma</w:t>
      </w:r>
    </w:p>
    <w:p w:rsidR="00621CF9" w:rsidRPr="000D7979" w:rsidRDefault="00621CF9" w:rsidP="00C00A05">
      <w:pPr>
        <w:tabs>
          <w:tab w:val="left" w:pos="540"/>
          <w:tab w:val="left" w:pos="569"/>
        </w:tabs>
        <w:jc w:val="both"/>
        <w:rPr>
          <w:b/>
          <w:bCs/>
          <w:sz w:val="22"/>
          <w:szCs w:val="22"/>
          <w:lang w:val="sr-Latn-M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1843"/>
        <w:gridCol w:w="1843"/>
        <w:gridCol w:w="1699"/>
        <w:gridCol w:w="1448"/>
      </w:tblGrid>
      <w:tr w:rsidR="00210D71" w:rsidRPr="000D7979" w:rsidTr="00210D71">
        <w:trPr>
          <w:trHeight w:val="522"/>
          <w:jc w:val="center"/>
        </w:trPr>
        <w:tc>
          <w:tcPr>
            <w:tcW w:w="2234" w:type="dxa"/>
          </w:tcPr>
          <w:p w:rsidR="00210D71" w:rsidRPr="000D7979" w:rsidRDefault="00210D71" w:rsidP="00C45106">
            <w:pPr>
              <w:widowControl w:val="0"/>
              <w:autoSpaceDE w:val="0"/>
              <w:autoSpaceDN w:val="0"/>
              <w:spacing w:line="244" w:lineRule="exact"/>
              <w:ind w:left="4"/>
              <w:jc w:val="both"/>
              <w:rPr>
                <w:sz w:val="22"/>
                <w:szCs w:val="22"/>
                <w:lang w:val="sr-Latn-ME"/>
              </w:rPr>
            </w:pPr>
            <w:r w:rsidRPr="000D7979">
              <w:rPr>
                <w:sz w:val="22"/>
                <w:szCs w:val="22"/>
                <w:lang w:val="sr-Latn-ME"/>
              </w:rPr>
              <w:t>Parametar efikasnosti</w:t>
            </w:r>
          </w:p>
        </w:tc>
        <w:tc>
          <w:tcPr>
            <w:tcW w:w="1843" w:type="dxa"/>
          </w:tcPr>
          <w:p w:rsidR="00210D71" w:rsidRPr="000D7979" w:rsidRDefault="00210D71" w:rsidP="00C45106">
            <w:pPr>
              <w:widowControl w:val="0"/>
              <w:autoSpaceDE w:val="0"/>
              <w:autoSpaceDN w:val="0"/>
              <w:spacing w:line="242" w:lineRule="auto"/>
              <w:ind w:left="9"/>
              <w:jc w:val="both"/>
              <w:rPr>
                <w:sz w:val="22"/>
                <w:szCs w:val="22"/>
                <w:lang w:val="sr-Latn-ME"/>
              </w:rPr>
            </w:pPr>
            <w:r w:rsidRPr="000D7979">
              <w:rPr>
                <w:sz w:val="22"/>
                <w:szCs w:val="22"/>
                <w:lang w:val="sr-Latn-ME"/>
              </w:rPr>
              <w:t>Sorafenib (N = 299)</w:t>
            </w:r>
          </w:p>
        </w:tc>
        <w:tc>
          <w:tcPr>
            <w:tcW w:w="1843" w:type="dxa"/>
          </w:tcPr>
          <w:p w:rsidR="00210D71" w:rsidRPr="000D7979" w:rsidRDefault="00210D71" w:rsidP="00C45106">
            <w:pPr>
              <w:widowControl w:val="0"/>
              <w:autoSpaceDE w:val="0"/>
              <w:autoSpaceDN w:val="0"/>
              <w:spacing w:line="242" w:lineRule="auto"/>
              <w:ind w:left="9" w:right="-31"/>
              <w:jc w:val="both"/>
              <w:rPr>
                <w:sz w:val="22"/>
                <w:szCs w:val="22"/>
                <w:lang w:val="sr-Latn-ME"/>
              </w:rPr>
            </w:pPr>
            <w:r w:rsidRPr="000D7979">
              <w:rPr>
                <w:sz w:val="22"/>
                <w:szCs w:val="22"/>
                <w:lang w:val="sr-Latn-ME"/>
              </w:rPr>
              <w:t>Placebo (N = 303)</w:t>
            </w:r>
          </w:p>
        </w:tc>
        <w:tc>
          <w:tcPr>
            <w:tcW w:w="1699" w:type="dxa"/>
          </w:tcPr>
          <w:p w:rsidR="00210D71" w:rsidRPr="000D7979" w:rsidRDefault="00210D71" w:rsidP="00C45106">
            <w:pPr>
              <w:widowControl w:val="0"/>
              <w:autoSpaceDE w:val="0"/>
              <w:autoSpaceDN w:val="0"/>
              <w:spacing w:line="244" w:lineRule="exact"/>
              <w:ind w:left="9"/>
              <w:jc w:val="both"/>
              <w:rPr>
                <w:sz w:val="22"/>
                <w:szCs w:val="22"/>
                <w:lang w:val="sr-Latn-ME"/>
              </w:rPr>
            </w:pPr>
            <w:r w:rsidRPr="000D7979">
              <w:rPr>
                <w:sz w:val="22"/>
                <w:szCs w:val="22"/>
                <w:lang w:val="sr-Latn-ME"/>
              </w:rPr>
              <w:t>P-vrijednost</w:t>
            </w:r>
          </w:p>
        </w:tc>
        <w:tc>
          <w:tcPr>
            <w:tcW w:w="1448" w:type="dxa"/>
          </w:tcPr>
          <w:p w:rsidR="00210D71" w:rsidRPr="000D7979" w:rsidRDefault="00210D71" w:rsidP="00C45106">
            <w:pPr>
              <w:widowControl w:val="0"/>
              <w:autoSpaceDE w:val="0"/>
              <w:autoSpaceDN w:val="0"/>
              <w:spacing w:line="244" w:lineRule="exact"/>
              <w:ind w:left="10"/>
              <w:jc w:val="both"/>
              <w:rPr>
                <w:sz w:val="22"/>
                <w:szCs w:val="22"/>
                <w:lang w:val="sr-Latn-ME"/>
              </w:rPr>
            </w:pPr>
            <w:r w:rsidRPr="000D7979">
              <w:rPr>
                <w:sz w:val="22"/>
                <w:szCs w:val="22"/>
                <w:lang w:val="sr-Latn-ME"/>
              </w:rPr>
              <w:t>HR (95% CI)</w:t>
            </w:r>
          </w:p>
        </w:tc>
      </w:tr>
      <w:tr w:rsidR="00210D71" w:rsidRPr="000D7979" w:rsidTr="00210D71">
        <w:trPr>
          <w:trHeight w:val="249"/>
          <w:jc w:val="center"/>
        </w:trPr>
        <w:tc>
          <w:tcPr>
            <w:tcW w:w="2234" w:type="dxa"/>
            <w:tcBorders>
              <w:bottom w:val="nil"/>
            </w:tcBorders>
          </w:tcPr>
          <w:p w:rsidR="00210D71" w:rsidRPr="000D7979" w:rsidRDefault="00210D71" w:rsidP="00C45106">
            <w:pPr>
              <w:widowControl w:val="0"/>
              <w:autoSpaceDE w:val="0"/>
              <w:autoSpaceDN w:val="0"/>
              <w:spacing w:line="229" w:lineRule="exact"/>
              <w:ind w:left="4"/>
              <w:jc w:val="both"/>
              <w:rPr>
                <w:sz w:val="22"/>
                <w:szCs w:val="22"/>
                <w:lang w:val="sr-Latn-ME"/>
              </w:rPr>
            </w:pPr>
            <w:r w:rsidRPr="000D7979">
              <w:rPr>
                <w:sz w:val="22"/>
                <w:szCs w:val="22"/>
                <w:lang w:val="sr-Latn-ME"/>
              </w:rPr>
              <w:t>Ukupno preživljavanje,</w:t>
            </w:r>
          </w:p>
        </w:tc>
        <w:tc>
          <w:tcPr>
            <w:tcW w:w="1843" w:type="dxa"/>
            <w:tcBorders>
              <w:bottom w:val="nil"/>
            </w:tcBorders>
          </w:tcPr>
          <w:p w:rsidR="00210D71" w:rsidRPr="000D7979" w:rsidRDefault="00210D71" w:rsidP="00C45106">
            <w:pPr>
              <w:widowControl w:val="0"/>
              <w:autoSpaceDE w:val="0"/>
              <w:autoSpaceDN w:val="0"/>
              <w:spacing w:line="229" w:lineRule="exact"/>
              <w:ind w:left="9"/>
              <w:jc w:val="both"/>
              <w:rPr>
                <w:sz w:val="22"/>
                <w:szCs w:val="22"/>
                <w:lang w:val="sr-Latn-ME"/>
              </w:rPr>
            </w:pPr>
            <w:r w:rsidRPr="000D7979">
              <w:rPr>
                <w:sz w:val="22"/>
                <w:szCs w:val="22"/>
                <w:lang w:val="sr-Latn-ME"/>
              </w:rPr>
              <w:t>46,3</w:t>
            </w:r>
          </w:p>
        </w:tc>
        <w:tc>
          <w:tcPr>
            <w:tcW w:w="1843" w:type="dxa"/>
            <w:tcBorders>
              <w:bottom w:val="nil"/>
            </w:tcBorders>
          </w:tcPr>
          <w:p w:rsidR="00210D71" w:rsidRPr="000D7979" w:rsidRDefault="00210D71" w:rsidP="00C45106">
            <w:pPr>
              <w:widowControl w:val="0"/>
              <w:autoSpaceDE w:val="0"/>
              <w:autoSpaceDN w:val="0"/>
              <w:spacing w:line="229" w:lineRule="exact"/>
              <w:ind w:left="9"/>
              <w:jc w:val="both"/>
              <w:rPr>
                <w:sz w:val="22"/>
                <w:szCs w:val="22"/>
                <w:lang w:val="sr-Latn-ME"/>
              </w:rPr>
            </w:pPr>
            <w:r w:rsidRPr="000D7979">
              <w:rPr>
                <w:sz w:val="22"/>
                <w:szCs w:val="22"/>
                <w:lang w:val="sr-Latn-ME"/>
              </w:rPr>
              <w:t>34,4</w:t>
            </w:r>
          </w:p>
        </w:tc>
        <w:tc>
          <w:tcPr>
            <w:tcW w:w="1699" w:type="dxa"/>
            <w:tcBorders>
              <w:bottom w:val="nil"/>
            </w:tcBorders>
          </w:tcPr>
          <w:p w:rsidR="00210D71" w:rsidRPr="000D7979" w:rsidRDefault="00210D71" w:rsidP="00C45106">
            <w:pPr>
              <w:widowControl w:val="0"/>
              <w:autoSpaceDE w:val="0"/>
              <w:autoSpaceDN w:val="0"/>
              <w:spacing w:line="229" w:lineRule="exact"/>
              <w:ind w:left="9"/>
              <w:jc w:val="both"/>
              <w:rPr>
                <w:sz w:val="22"/>
                <w:szCs w:val="22"/>
                <w:lang w:val="sr-Latn-ME"/>
              </w:rPr>
            </w:pPr>
            <w:r w:rsidRPr="000D7979">
              <w:rPr>
                <w:sz w:val="22"/>
                <w:szCs w:val="22"/>
                <w:lang w:val="sr-Latn-ME"/>
              </w:rPr>
              <w:t>0,00058*</w:t>
            </w:r>
          </w:p>
        </w:tc>
        <w:tc>
          <w:tcPr>
            <w:tcW w:w="1448" w:type="dxa"/>
            <w:tcBorders>
              <w:bottom w:val="nil"/>
            </w:tcBorders>
          </w:tcPr>
          <w:p w:rsidR="00210D71" w:rsidRPr="000D7979" w:rsidRDefault="00210D71" w:rsidP="00C45106">
            <w:pPr>
              <w:widowControl w:val="0"/>
              <w:autoSpaceDE w:val="0"/>
              <w:autoSpaceDN w:val="0"/>
              <w:spacing w:line="229" w:lineRule="exact"/>
              <w:ind w:left="10"/>
              <w:jc w:val="both"/>
              <w:rPr>
                <w:sz w:val="22"/>
                <w:szCs w:val="22"/>
                <w:lang w:val="sr-Latn-ME"/>
              </w:rPr>
            </w:pPr>
            <w:r w:rsidRPr="000D7979">
              <w:rPr>
                <w:sz w:val="22"/>
                <w:szCs w:val="22"/>
                <w:lang w:val="sr-Latn-ME"/>
              </w:rPr>
              <w:t>0,69</w:t>
            </w:r>
          </w:p>
        </w:tc>
      </w:tr>
      <w:tr w:rsidR="00210D71" w:rsidRPr="000D7979" w:rsidTr="00210D71">
        <w:trPr>
          <w:trHeight w:val="254"/>
          <w:jc w:val="center"/>
        </w:trPr>
        <w:tc>
          <w:tcPr>
            <w:tcW w:w="2234" w:type="dxa"/>
            <w:tcBorders>
              <w:top w:val="nil"/>
              <w:bottom w:val="nil"/>
            </w:tcBorders>
          </w:tcPr>
          <w:p w:rsidR="00210D71" w:rsidRPr="000D7979" w:rsidRDefault="00210D71" w:rsidP="00C45106">
            <w:pPr>
              <w:widowControl w:val="0"/>
              <w:autoSpaceDE w:val="0"/>
              <w:autoSpaceDN w:val="0"/>
              <w:spacing w:line="234" w:lineRule="exact"/>
              <w:ind w:left="4"/>
              <w:jc w:val="both"/>
              <w:rPr>
                <w:sz w:val="22"/>
                <w:szCs w:val="22"/>
                <w:lang w:val="sr-Latn-ME"/>
              </w:rPr>
            </w:pPr>
            <w:r w:rsidRPr="000D7979">
              <w:rPr>
                <w:sz w:val="22"/>
                <w:szCs w:val="22"/>
                <w:lang w:val="sr-Latn-ME"/>
              </w:rPr>
              <w:t>[medijana, nedjelje</w:t>
            </w:r>
          </w:p>
        </w:tc>
        <w:tc>
          <w:tcPr>
            <w:tcW w:w="1843" w:type="dxa"/>
            <w:tcBorders>
              <w:top w:val="nil"/>
              <w:bottom w:val="nil"/>
            </w:tcBorders>
          </w:tcPr>
          <w:p w:rsidR="00210D71" w:rsidRPr="000D7979" w:rsidRDefault="00210D71" w:rsidP="00C45106">
            <w:pPr>
              <w:widowControl w:val="0"/>
              <w:autoSpaceDE w:val="0"/>
              <w:autoSpaceDN w:val="0"/>
              <w:spacing w:line="234" w:lineRule="exact"/>
              <w:ind w:left="9"/>
              <w:jc w:val="both"/>
              <w:rPr>
                <w:sz w:val="22"/>
                <w:szCs w:val="22"/>
                <w:lang w:val="sr-Latn-ME"/>
              </w:rPr>
            </w:pPr>
            <w:r w:rsidRPr="000D7979">
              <w:rPr>
                <w:sz w:val="22"/>
                <w:szCs w:val="22"/>
                <w:lang w:val="sr-Latn-ME"/>
              </w:rPr>
              <w:t>(40,9; 57,9)</w:t>
            </w:r>
          </w:p>
        </w:tc>
        <w:tc>
          <w:tcPr>
            <w:tcW w:w="1843" w:type="dxa"/>
            <w:tcBorders>
              <w:top w:val="nil"/>
              <w:bottom w:val="nil"/>
            </w:tcBorders>
          </w:tcPr>
          <w:p w:rsidR="00210D71" w:rsidRPr="000D7979" w:rsidRDefault="00210D71" w:rsidP="00C45106">
            <w:pPr>
              <w:widowControl w:val="0"/>
              <w:autoSpaceDE w:val="0"/>
              <w:autoSpaceDN w:val="0"/>
              <w:spacing w:line="234" w:lineRule="exact"/>
              <w:ind w:left="9"/>
              <w:jc w:val="both"/>
              <w:rPr>
                <w:sz w:val="22"/>
                <w:szCs w:val="22"/>
                <w:lang w:val="sr-Latn-ME"/>
              </w:rPr>
            </w:pPr>
            <w:r w:rsidRPr="000D7979">
              <w:rPr>
                <w:sz w:val="22"/>
                <w:szCs w:val="22"/>
                <w:lang w:val="sr-Latn-ME"/>
              </w:rPr>
              <w:t>(29,4; 39,4)</w:t>
            </w:r>
          </w:p>
        </w:tc>
        <w:tc>
          <w:tcPr>
            <w:tcW w:w="1699" w:type="dxa"/>
            <w:tcBorders>
              <w:top w:val="nil"/>
              <w:bottom w:val="nil"/>
            </w:tcBorders>
          </w:tcPr>
          <w:p w:rsidR="00210D71" w:rsidRPr="000D7979" w:rsidRDefault="00210D71" w:rsidP="00C45106">
            <w:pPr>
              <w:widowControl w:val="0"/>
              <w:autoSpaceDE w:val="0"/>
              <w:autoSpaceDN w:val="0"/>
              <w:jc w:val="both"/>
              <w:rPr>
                <w:sz w:val="18"/>
                <w:szCs w:val="22"/>
                <w:lang w:val="sr-Latn-ME"/>
              </w:rPr>
            </w:pPr>
          </w:p>
        </w:tc>
        <w:tc>
          <w:tcPr>
            <w:tcW w:w="1448" w:type="dxa"/>
            <w:tcBorders>
              <w:top w:val="nil"/>
              <w:bottom w:val="nil"/>
            </w:tcBorders>
          </w:tcPr>
          <w:p w:rsidR="00210D71" w:rsidRPr="000D7979" w:rsidRDefault="00210D71" w:rsidP="00C45106">
            <w:pPr>
              <w:widowControl w:val="0"/>
              <w:autoSpaceDE w:val="0"/>
              <w:autoSpaceDN w:val="0"/>
              <w:spacing w:line="234" w:lineRule="exact"/>
              <w:ind w:left="10"/>
              <w:jc w:val="both"/>
              <w:rPr>
                <w:sz w:val="22"/>
                <w:szCs w:val="22"/>
                <w:lang w:val="sr-Latn-ME"/>
              </w:rPr>
            </w:pPr>
            <w:r w:rsidRPr="000D7979">
              <w:rPr>
                <w:sz w:val="22"/>
                <w:szCs w:val="22"/>
                <w:lang w:val="sr-Latn-ME"/>
              </w:rPr>
              <w:t>(0,55; 0,87)</w:t>
            </w:r>
          </w:p>
        </w:tc>
      </w:tr>
      <w:tr w:rsidR="00210D71" w:rsidRPr="000D7979" w:rsidTr="00210D71">
        <w:trPr>
          <w:trHeight w:val="316"/>
          <w:jc w:val="center"/>
        </w:trPr>
        <w:tc>
          <w:tcPr>
            <w:tcW w:w="2234" w:type="dxa"/>
            <w:tcBorders>
              <w:top w:val="nil"/>
            </w:tcBorders>
          </w:tcPr>
          <w:p w:rsidR="00210D71" w:rsidRPr="000D7979" w:rsidRDefault="00210D71" w:rsidP="00C45106">
            <w:pPr>
              <w:widowControl w:val="0"/>
              <w:autoSpaceDE w:val="0"/>
              <w:autoSpaceDN w:val="0"/>
              <w:spacing w:line="249" w:lineRule="exact"/>
              <w:ind w:left="4"/>
              <w:jc w:val="both"/>
              <w:rPr>
                <w:sz w:val="22"/>
                <w:szCs w:val="22"/>
                <w:lang w:val="sr-Latn-ME"/>
              </w:rPr>
            </w:pPr>
            <w:r w:rsidRPr="000D7979">
              <w:rPr>
                <w:sz w:val="22"/>
                <w:szCs w:val="22"/>
                <w:lang w:val="sr-Latn-ME"/>
              </w:rPr>
              <w:t>(95% CI)]</w:t>
            </w:r>
          </w:p>
        </w:tc>
        <w:tc>
          <w:tcPr>
            <w:tcW w:w="1843"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843"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699"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448" w:type="dxa"/>
            <w:tcBorders>
              <w:top w:val="nil"/>
            </w:tcBorders>
          </w:tcPr>
          <w:p w:rsidR="00210D71" w:rsidRPr="000D7979" w:rsidRDefault="00210D71" w:rsidP="00C45106">
            <w:pPr>
              <w:widowControl w:val="0"/>
              <w:autoSpaceDE w:val="0"/>
              <w:autoSpaceDN w:val="0"/>
              <w:jc w:val="both"/>
              <w:rPr>
                <w:sz w:val="20"/>
                <w:szCs w:val="22"/>
                <w:lang w:val="sr-Latn-ME"/>
              </w:rPr>
            </w:pPr>
          </w:p>
        </w:tc>
      </w:tr>
      <w:tr w:rsidR="00210D71" w:rsidRPr="000D7979" w:rsidTr="00210D71">
        <w:trPr>
          <w:trHeight w:val="251"/>
          <w:jc w:val="center"/>
        </w:trPr>
        <w:tc>
          <w:tcPr>
            <w:tcW w:w="2234" w:type="dxa"/>
            <w:tcBorders>
              <w:bottom w:val="nil"/>
            </w:tcBorders>
          </w:tcPr>
          <w:p w:rsidR="00210D71" w:rsidRPr="000D7979" w:rsidRDefault="00210D71" w:rsidP="00C45106">
            <w:pPr>
              <w:widowControl w:val="0"/>
              <w:autoSpaceDE w:val="0"/>
              <w:autoSpaceDN w:val="0"/>
              <w:spacing w:line="232" w:lineRule="exact"/>
              <w:ind w:left="4"/>
              <w:jc w:val="both"/>
              <w:rPr>
                <w:sz w:val="22"/>
                <w:szCs w:val="22"/>
                <w:lang w:val="sr-Latn-ME"/>
              </w:rPr>
            </w:pPr>
            <w:r w:rsidRPr="000D7979">
              <w:rPr>
                <w:sz w:val="22"/>
                <w:szCs w:val="22"/>
                <w:lang w:val="sr-Latn-ME"/>
              </w:rPr>
              <w:t>Vrijeme do progresije</w:t>
            </w:r>
          </w:p>
        </w:tc>
        <w:tc>
          <w:tcPr>
            <w:tcW w:w="1843" w:type="dxa"/>
            <w:tcBorders>
              <w:bottom w:val="nil"/>
            </w:tcBorders>
          </w:tcPr>
          <w:p w:rsidR="00210D71" w:rsidRPr="000D7979" w:rsidRDefault="00210D71" w:rsidP="00C45106">
            <w:pPr>
              <w:widowControl w:val="0"/>
              <w:autoSpaceDE w:val="0"/>
              <w:autoSpaceDN w:val="0"/>
              <w:spacing w:line="232" w:lineRule="exact"/>
              <w:ind w:left="9"/>
              <w:jc w:val="both"/>
              <w:rPr>
                <w:sz w:val="22"/>
                <w:szCs w:val="22"/>
                <w:lang w:val="sr-Latn-ME"/>
              </w:rPr>
            </w:pPr>
            <w:r w:rsidRPr="000D7979">
              <w:rPr>
                <w:sz w:val="22"/>
                <w:szCs w:val="22"/>
                <w:lang w:val="sr-Latn-ME"/>
              </w:rPr>
              <w:t>24,0</w:t>
            </w:r>
          </w:p>
        </w:tc>
        <w:tc>
          <w:tcPr>
            <w:tcW w:w="1843" w:type="dxa"/>
            <w:tcBorders>
              <w:bottom w:val="nil"/>
            </w:tcBorders>
          </w:tcPr>
          <w:p w:rsidR="00210D71" w:rsidRPr="000D7979" w:rsidRDefault="00210D71" w:rsidP="00C45106">
            <w:pPr>
              <w:widowControl w:val="0"/>
              <w:autoSpaceDE w:val="0"/>
              <w:autoSpaceDN w:val="0"/>
              <w:spacing w:line="232" w:lineRule="exact"/>
              <w:ind w:left="9"/>
              <w:jc w:val="both"/>
              <w:rPr>
                <w:sz w:val="22"/>
                <w:szCs w:val="22"/>
                <w:lang w:val="sr-Latn-ME"/>
              </w:rPr>
            </w:pPr>
            <w:r w:rsidRPr="000D7979">
              <w:rPr>
                <w:sz w:val="22"/>
                <w:szCs w:val="22"/>
                <w:lang w:val="sr-Latn-ME"/>
              </w:rPr>
              <w:t>12,3</w:t>
            </w:r>
          </w:p>
        </w:tc>
        <w:tc>
          <w:tcPr>
            <w:tcW w:w="1699" w:type="dxa"/>
            <w:tcBorders>
              <w:bottom w:val="nil"/>
            </w:tcBorders>
          </w:tcPr>
          <w:p w:rsidR="00210D71" w:rsidRPr="000D7979" w:rsidRDefault="00210D71" w:rsidP="00C45106">
            <w:pPr>
              <w:widowControl w:val="0"/>
              <w:autoSpaceDE w:val="0"/>
              <w:autoSpaceDN w:val="0"/>
              <w:spacing w:line="232" w:lineRule="exact"/>
              <w:ind w:left="9"/>
              <w:jc w:val="both"/>
              <w:rPr>
                <w:sz w:val="22"/>
                <w:szCs w:val="22"/>
                <w:lang w:val="sr-Latn-ME"/>
              </w:rPr>
            </w:pPr>
            <w:r w:rsidRPr="000D7979">
              <w:rPr>
                <w:sz w:val="22"/>
                <w:szCs w:val="22"/>
                <w:lang w:val="sr-Latn-ME"/>
              </w:rPr>
              <w:t>0,000007</w:t>
            </w:r>
          </w:p>
        </w:tc>
        <w:tc>
          <w:tcPr>
            <w:tcW w:w="1448" w:type="dxa"/>
            <w:tcBorders>
              <w:bottom w:val="nil"/>
            </w:tcBorders>
          </w:tcPr>
          <w:p w:rsidR="00210D71" w:rsidRPr="000D7979" w:rsidRDefault="00210D71" w:rsidP="00C45106">
            <w:pPr>
              <w:widowControl w:val="0"/>
              <w:autoSpaceDE w:val="0"/>
              <w:autoSpaceDN w:val="0"/>
              <w:spacing w:line="232" w:lineRule="exact"/>
              <w:ind w:left="10"/>
              <w:jc w:val="both"/>
              <w:rPr>
                <w:sz w:val="22"/>
                <w:szCs w:val="22"/>
                <w:lang w:val="sr-Latn-ME"/>
              </w:rPr>
            </w:pPr>
            <w:r w:rsidRPr="000D7979">
              <w:rPr>
                <w:sz w:val="22"/>
                <w:szCs w:val="22"/>
                <w:lang w:val="sr-Latn-ME"/>
              </w:rPr>
              <w:t>0,58</w:t>
            </w:r>
          </w:p>
        </w:tc>
      </w:tr>
      <w:tr w:rsidR="00210D71" w:rsidRPr="000D7979" w:rsidTr="00210D71">
        <w:trPr>
          <w:trHeight w:val="251"/>
          <w:jc w:val="center"/>
        </w:trPr>
        <w:tc>
          <w:tcPr>
            <w:tcW w:w="2234" w:type="dxa"/>
            <w:tcBorders>
              <w:top w:val="nil"/>
              <w:bottom w:val="nil"/>
            </w:tcBorders>
          </w:tcPr>
          <w:p w:rsidR="00210D71" w:rsidRPr="000D7979" w:rsidRDefault="00210D71" w:rsidP="00C45106">
            <w:pPr>
              <w:widowControl w:val="0"/>
              <w:autoSpaceDE w:val="0"/>
              <w:autoSpaceDN w:val="0"/>
              <w:spacing w:line="232" w:lineRule="exact"/>
              <w:ind w:left="4"/>
              <w:jc w:val="both"/>
              <w:rPr>
                <w:sz w:val="22"/>
                <w:szCs w:val="22"/>
                <w:lang w:val="sr-Latn-ME"/>
              </w:rPr>
            </w:pPr>
            <w:r w:rsidRPr="000D7979">
              <w:rPr>
                <w:sz w:val="22"/>
                <w:szCs w:val="22"/>
                <w:lang w:val="sr-Latn-ME"/>
              </w:rPr>
              <w:t>[medijana, nedjelje</w:t>
            </w:r>
          </w:p>
        </w:tc>
        <w:tc>
          <w:tcPr>
            <w:tcW w:w="1843" w:type="dxa"/>
            <w:tcBorders>
              <w:top w:val="nil"/>
              <w:bottom w:val="nil"/>
            </w:tcBorders>
          </w:tcPr>
          <w:p w:rsidR="00210D71" w:rsidRPr="000D7979" w:rsidRDefault="00210D71" w:rsidP="00C45106">
            <w:pPr>
              <w:widowControl w:val="0"/>
              <w:autoSpaceDE w:val="0"/>
              <w:autoSpaceDN w:val="0"/>
              <w:spacing w:line="232" w:lineRule="exact"/>
              <w:ind w:left="9"/>
              <w:jc w:val="both"/>
              <w:rPr>
                <w:sz w:val="22"/>
                <w:szCs w:val="22"/>
                <w:lang w:val="sr-Latn-ME"/>
              </w:rPr>
            </w:pPr>
            <w:r w:rsidRPr="000D7979">
              <w:rPr>
                <w:sz w:val="22"/>
                <w:szCs w:val="22"/>
                <w:lang w:val="sr-Latn-ME"/>
              </w:rPr>
              <w:t>(18,0; 30,0)</w:t>
            </w:r>
          </w:p>
        </w:tc>
        <w:tc>
          <w:tcPr>
            <w:tcW w:w="1843" w:type="dxa"/>
            <w:tcBorders>
              <w:top w:val="nil"/>
              <w:bottom w:val="nil"/>
            </w:tcBorders>
          </w:tcPr>
          <w:p w:rsidR="00210D71" w:rsidRPr="000D7979" w:rsidRDefault="00210D71" w:rsidP="00C45106">
            <w:pPr>
              <w:widowControl w:val="0"/>
              <w:autoSpaceDE w:val="0"/>
              <w:autoSpaceDN w:val="0"/>
              <w:spacing w:line="232" w:lineRule="exact"/>
              <w:ind w:left="9"/>
              <w:jc w:val="both"/>
              <w:rPr>
                <w:sz w:val="22"/>
                <w:szCs w:val="22"/>
                <w:lang w:val="sr-Latn-ME"/>
              </w:rPr>
            </w:pPr>
            <w:r w:rsidRPr="000D7979">
              <w:rPr>
                <w:sz w:val="22"/>
                <w:szCs w:val="22"/>
                <w:lang w:val="sr-Latn-ME"/>
              </w:rPr>
              <w:t>(11,7; 17,1)</w:t>
            </w:r>
          </w:p>
        </w:tc>
        <w:tc>
          <w:tcPr>
            <w:tcW w:w="1699" w:type="dxa"/>
            <w:tcBorders>
              <w:top w:val="nil"/>
              <w:bottom w:val="nil"/>
            </w:tcBorders>
          </w:tcPr>
          <w:p w:rsidR="00210D71" w:rsidRPr="000D7979" w:rsidRDefault="00210D71" w:rsidP="00C45106">
            <w:pPr>
              <w:widowControl w:val="0"/>
              <w:autoSpaceDE w:val="0"/>
              <w:autoSpaceDN w:val="0"/>
              <w:jc w:val="both"/>
              <w:rPr>
                <w:sz w:val="18"/>
                <w:szCs w:val="22"/>
                <w:lang w:val="sr-Latn-ME"/>
              </w:rPr>
            </w:pPr>
          </w:p>
        </w:tc>
        <w:tc>
          <w:tcPr>
            <w:tcW w:w="1448" w:type="dxa"/>
            <w:tcBorders>
              <w:top w:val="nil"/>
              <w:bottom w:val="nil"/>
            </w:tcBorders>
          </w:tcPr>
          <w:p w:rsidR="00210D71" w:rsidRPr="000D7979" w:rsidRDefault="00210D71" w:rsidP="00C45106">
            <w:pPr>
              <w:widowControl w:val="0"/>
              <w:autoSpaceDE w:val="0"/>
              <w:autoSpaceDN w:val="0"/>
              <w:spacing w:line="232" w:lineRule="exact"/>
              <w:ind w:left="10"/>
              <w:jc w:val="both"/>
              <w:rPr>
                <w:sz w:val="22"/>
                <w:szCs w:val="22"/>
                <w:lang w:val="sr-Latn-ME"/>
              </w:rPr>
            </w:pPr>
            <w:r w:rsidRPr="000D7979">
              <w:rPr>
                <w:sz w:val="22"/>
                <w:szCs w:val="22"/>
                <w:lang w:val="sr-Latn-ME"/>
              </w:rPr>
              <w:t>(0,45; 0,74)</w:t>
            </w:r>
          </w:p>
        </w:tc>
      </w:tr>
      <w:tr w:rsidR="00210D71" w:rsidRPr="000D7979" w:rsidTr="00210D71">
        <w:trPr>
          <w:trHeight w:val="393"/>
          <w:jc w:val="center"/>
        </w:trPr>
        <w:tc>
          <w:tcPr>
            <w:tcW w:w="2234" w:type="dxa"/>
            <w:tcBorders>
              <w:top w:val="nil"/>
            </w:tcBorders>
          </w:tcPr>
          <w:p w:rsidR="00210D71" w:rsidRPr="000D7979" w:rsidRDefault="00210D71" w:rsidP="00C45106">
            <w:pPr>
              <w:widowControl w:val="0"/>
              <w:autoSpaceDE w:val="0"/>
              <w:autoSpaceDN w:val="0"/>
              <w:spacing w:line="249" w:lineRule="exact"/>
              <w:ind w:left="4"/>
              <w:jc w:val="both"/>
              <w:rPr>
                <w:sz w:val="22"/>
                <w:szCs w:val="22"/>
                <w:lang w:val="sr-Latn-ME"/>
              </w:rPr>
            </w:pPr>
            <w:r w:rsidRPr="000D7979">
              <w:rPr>
                <w:sz w:val="22"/>
                <w:szCs w:val="22"/>
                <w:lang w:val="sr-Latn-ME"/>
              </w:rPr>
              <w:t>(95% CI)]**</w:t>
            </w:r>
          </w:p>
        </w:tc>
        <w:tc>
          <w:tcPr>
            <w:tcW w:w="1843"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843"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699" w:type="dxa"/>
            <w:tcBorders>
              <w:top w:val="nil"/>
            </w:tcBorders>
          </w:tcPr>
          <w:p w:rsidR="00210D71" w:rsidRPr="000D7979" w:rsidRDefault="00210D71" w:rsidP="00C45106">
            <w:pPr>
              <w:widowControl w:val="0"/>
              <w:autoSpaceDE w:val="0"/>
              <w:autoSpaceDN w:val="0"/>
              <w:jc w:val="both"/>
              <w:rPr>
                <w:sz w:val="20"/>
                <w:szCs w:val="22"/>
                <w:lang w:val="sr-Latn-ME"/>
              </w:rPr>
            </w:pPr>
          </w:p>
        </w:tc>
        <w:tc>
          <w:tcPr>
            <w:tcW w:w="1448" w:type="dxa"/>
            <w:tcBorders>
              <w:top w:val="nil"/>
            </w:tcBorders>
          </w:tcPr>
          <w:p w:rsidR="00210D71" w:rsidRPr="000D7979" w:rsidRDefault="00210D71" w:rsidP="00C45106">
            <w:pPr>
              <w:widowControl w:val="0"/>
              <w:autoSpaceDE w:val="0"/>
              <w:autoSpaceDN w:val="0"/>
              <w:jc w:val="both"/>
              <w:rPr>
                <w:sz w:val="20"/>
                <w:szCs w:val="22"/>
                <w:lang w:val="sr-Latn-ME"/>
              </w:rPr>
            </w:pPr>
          </w:p>
        </w:tc>
      </w:tr>
    </w:tbl>
    <w:p w:rsidR="00210D71" w:rsidRPr="000D7979" w:rsidRDefault="00210D71" w:rsidP="00C00A05">
      <w:pPr>
        <w:tabs>
          <w:tab w:val="left" w:pos="540"/>
          <w:tab w:val="left" w:pos="569"/>
        </w:tabs>
        <w:jc w:val="both"/>
        <w:rPr>
          <w:bCs/>
          <w:sz w:val="20"/>
          <w:szCs w:val="22"/>
          <w:lang w:val="sr-Latn-ME"/>
        </w:rPr>
      </w:pPr>
      <w:r w:rsidRPr="000D7979">
        <w:rPr>
          <w:bCs/>
          <w:sz w:val="20"/>
          <w:szCs w:val="22"/>
          <w:lang w:val="sr-Latn-ME"/>
        </w:rPr>
        <w:t xml:space="preserve">CI = Interval pouzdanosti (engl. </w:t>
      </w:r>
      <w:r w:rsidRPr="000D7979">
        <w:rPr>
          <w:bCs/>
          <w:i/>
          <w:sz w:val="20"/>
          <w:szCs w:val="22"/>
          <w:lang w:val="sr-Latn-ME"/>
        </w:rPr>
        <w:t>Confidence Interval</w:t>
      </w:r>
      <w:r w:rsidRPr="000D7979">
        <w:rPr>
          <w:bCs/>
          <w:sz w:val="20"/>
          <w:szCs w:val="22"/>
          <w:lang w:val="sr-Latn-ME"/>
        </w:rPr>
        <w:t xml:space="preserve">), HR (engl. </w:t>
      </w:r>
      <w:r w:rsidRPr="000D7979">
        <w:rPr>
          <w:bCs/>
          <w:i/>
          <w:sz w:val="20"/>
          <w:szCs w:val="22"/>
          <w:lang w:val="sr-Latn-ME"/>
        </w:rPr>
        <w:t xml:space="preserve">Hazard Ratio) </w:t>
      </w:r>
      <w:r w:rsidRPr="000D7979">
        <w:rPr>
          <w:bCs/>
          <w:sz w:val="20"/>
          <w:szCs w:val="22"/>
          <w:lang w:val="sr-Latn-ME"/>
        </w:rPr>
        <w:t>(sorafenib u odnosu na placebo)</w:t>
      </w:r>
    </w:p>
    <w:p w:rsidR="00210D71" w:rsidRPr="000D7979" w:rsidRDefault="00210D71" w:rsidP="00A13D0A">
      <w:pPr>
        <w:tabs>
          <w:tab w:val="left" w:pos="540"/>
          <w:tab w:val="left" w:pos="569"/>
        </w:tabs>
        <w:jc w:val="both"/>
        <w:rPr>
          <w:bCs/>
          <w:sz w:val="20"/>
          <w:szCs w:val="22"/>
          <w:lang w:val="sr-Latn-ME"/>
        </w:rPr>
      </w:pPr>
      <w:r w:rsidRPr="000D7979">
        <w:rPr>
          <w:bCs/>
          <w:sz w:val="20"/>
          <w:szCs w:val="22"/>
          <w:lang w:val="sr-Latn-ME"/>
        </w:rPr>
        <w:t xml:space="preserve">*statistički značajno jer je p-vrijednost ispod prethodno određene </w:t>
      </w:r>
      <w:r w:rsidRPr="000D7979">
        <w:rPr>
          <w:bCs/>
          <w:i/>
          <w:sz w:val="20"/>
          <w:szCs w:val="22"/>
          <w:lang w:val="sr-Latn-ME"/>
        </w:rPr>
        <w:t xml:space="preserve">O'Brien Flemingove </w:t>
      </w:r>
      <w:r w:rsidRPr="000D7979">
        <w:rPr>
          <w:bCs/>
          <w:sz w:val="20"/>
          <w:szCs w:val="22"/>
          <w:lang w:val="sr-Latn-ME"/>
        </w:rPr>
        <w:t>granice prekida od 0,0077</w:t>
      </w:r>
    </w:p>
    <w:p w:rsidR="00210D71" w:rsidRPr="000D7979" w:rsidRDefault="00210D71">
      <w:pPr>
        <w:tabs>
          <w:tab w:val="left" w:pos="540"/>
          <w:tab w:val="left" w:pos="569"/>
        </w:tabs>
        <w:jc w:val="both"/>
        <w:rPr>
          <w:bCs/>
          <w:sz w:val="20"/>
          <w:szCs w:val="22"/>
          <w:lang w:val="sr-Latn-ME"/>
        </w:rPr>
      </w:pPr>
      <w:r w:rsidRPr="000D7979">
        <w:rPr>
          <w:bCs/>
          <w:sz w:val="20"/>
          <w:szCs w:val="22"/>
          <w:lang w:val="sr-Latn-ME"/>
        </w:rPr>
        <w:t>** nezavisni radiološki izvještaj</w:t>
      </w:r>
    </w:p>
    <w:p w:rsidR="00210D71" w:rsidRPr="000D7979" w:rsidRDefault="00210D71">
      <w:pPr>
        <w:tabs>
          <w:tab w:val="left" w:pos="540"/>
          <w:tab w:val="left" w:pos="569"/>
        </w:tabs>
        <w:jc w:val="both"/>
        <w:rPr>
          <w:bCs/>
          <w:sz w:val="22"/>
          <w:szCs w:val="22"/>
          <w:lang w:val="sr-Latn-ME"/>
        </w:rPr>
      </w:pPr>
    </w:p>
    <w:p w:rsidR="002A7385" w:rsidRPr="000D7979" w:rsidRDefault="002A7385">
      <w:pPr>
        <w:tabs>
          <w:tab w:val="left" w:pos="540"/>
          <w:tab w:val="left" w:pos="569"/>
        </w:tabs>
        <w:jc w:val="both"/>
        <w:rPr>
          <w:bCs/>
          <w:sz w:val="22"/>
          <w:szCs w:val="22"/>
          <w:lang w:val="sr-Latn-ME"/>
        </w:rPr>
      </w:pPr>
      <w:r w:rsidRPr="000D7979">
        <w:rPr>
          <w:bCs/>
          <w:sz w:val="22"/>
          <w:szCs w:val="22"/>
          <w:lang w:val="sr-Latn-ME"/>
        </w:rPr>
        <w:t>U drugoj internacionalnoj, multicentričnoj, randomizovanoj, dvostruko slijepoj, placebom kontrolisanoj studiji III faze (studija 4, 11849) proc</w:t>
      </w:r>
      <w:r w:rsidR="00621CF9" w:rsidRPr="000D7979">
        <w:rPr>
          <w:bCs/>
          <w:sz w:val="22"/>
          <w:szCs w:val="22"/>
          <w:lang w:val="sr-Latn-ME"/>
        </w:rPr>
        <w:t>i</w:t>
      </w:r>
      <w:r w:rsidRPr="000D7979">
        <w:rPr>
          <w:bCs/>
          <w:sz w:val="22"/>
          <w:szCs w:val="22"/>
          <w:lang w:val="sr-Latn-ME"/>
        </w:rPr>
        <w:t>jenjivana je klinička korist sorafeniba kod 226 pacijenata sa uznapredovalim hepatocelularnim karcinomom. Ova studija koja je sprovedena u Kini, Tajvanu i Koreji potvrdila je nalaze studije 3 vezane za povoljni profil koristi-rizika sorafeniba (HR (OS): 0,68; p = 0,01414).</w:t>
      </w:r>
    </w:p>
    <w:p w:rsidR="002A7385" w:rsidRPr="000D7979" w:rsidRDefault="002A7385">
      <w:pPr>
        <w:tabs>
          <w:tab w:val="left" w:pos="540"/>
          <w:tab w:val="left" w:pos="569"/>
        </w:tabs>
        <w:jc w:val="both"/>
        <w:rPr>
          <w:bCs/>
          <w:sz w:val="22"/>
          <w:szCs w:val="22"/>
          <w:lang w:val="sr-Latn-ME"/>
        </w:rPr>
      </w:pPr>
    </w:p>
    <w:p w:rsidR="002A7385" w:rsidRPr="000D7979" w:rsidRDefault="002A7385">
      <w:pPr>
        <w:tabs>
          <w:tab w:val="left" w:pos="540"/>
          <w:tab w:val="left" w:pos="569"/>
        </w:tabs>
        <w:jc w:val="both"/>
        <w:rPr>
          <w:b/>
          <w:bCs/>
          <w:sz w:val="22"/>
          <w:szCs w:val="22"/>
          <w:lang w:val="sr-Latn-ME"/>
        </w:rPr>
      </w:pPr>
      <w:r w:rsidRPr="000D7979">
        <w:rPr>
          <w:bCs/>
          <w:sz w:val="22"/>
          <w:szCs w:val="22"/>
          <w:lang w:val="sr-Latn-ME"/>
        </w:rPr>
        <w:t>Prema prethodno određenim faktorima stratifikacije (ECOG status, prisutnost ili odsutnost makroskopske vaskularne invazije i/ili širenje tumora izvan jetre) u obije studije, 3 i 4, odnos HR konzistentno je bio povoljniji za sorafenib u odnosu na placebo. Analiza ispitivane podgrupe ukazuje na to da je uticaj terapije kod pacijenta sa udaljenim metastazama na početku liječenja</w:t>
      </w:r>
      <w:r w:rsidRPr="000D7979">
        <w:rPr>
          <w:b/>
          <w:bCs/>
          <w:sz w:val="22"/>
          <w:szCs w:val="22"/>
          <w:lang w:val="sr-Latn-ME"/>
        </w:rPr>
        <w:t xml:space="preserve"> </w:t>
      </w:r>
      <w:r w:rsidRPr="000D7979">
        <w:rPr>
          <w:bCs/>
          <w:sz w:val="22"/>
          <w:szCs w:val="22"/>
          <w:lang w:val="sr-Latn-ME"/>
        </w:rPr>
        <w:t>manje izražen.</w:t>
      </w:r>
    </w:p>
    <w:p w:rsidR="002A7385" w:rsidRPr="000D7979" w:rsidRDefault="002A7385">
      <w:pPr>
        <w:tabs>
          <w:tab w:val="left" w:pos="540"/>
          <w:tab w:val="left" w:pos="569"/>
        </w:tabs>
        <w:jc w:val="both"/>
        <w:rPr>
          <w:b/>
          <w:bCs/>
          <w:sz w:val="22"/>
          <w:szCs w:val="22"/>
          <w:lang w:val="sr-Latn-ME"/>
        </w:rPr>
      </w:pPr>
    </w:p>
    <w:p w:rsidR="002A7385" w:rsidRPr="000D7979" w:rsidRDefault="002A7385">
      <w:pPr>
        <w:tabs>
          <w:tab w:val="left" w:pos="540"/>
          <w:tab w:val="left" w:pos="569"/>
        </w:tabs>
        <w:jc w:val="both"/>
        <w:rPr>
          <w:bCs/>
          <w:sz w:val="22"/>
          <w:szCs w:val="22"/>
          <w:u w:val="single"/>
          <w:lang w:val="sr-Latn-ME"/>
        </w:rPr>
      </w:pPr>
      <w:r w:rsidRPr="000D7979">
        <w:rPr>
          <w:bCs/>
          <w:sz w:val="22"/>
          <w:szCs w:val="22"/>
          <w:u w:val="single"/>
          <w:lang w:val="sr-Latn-ME"/>
        </w:rPr>
        <w:t>Karcinom bubrežnih ćelija</w:t>
      </w:r>
    </w:p>
    <w:p w:rsidR="00621CF9" w:rsidRPr="000D7979" w:rsidRDefault="00621CF9">
      <w:pPr>
        <w:tabs>
          <w:tab w:val="left" w:pos="540"/>
          <w:tab w:val="left" w:pos="569"/>
        </w:tabs>
        <w:jc w:val="both"/>
        <w:rPr>
          <w:bCs/>
          <w:sz w:val="22"/>
          <w:szCs w:val="22"/>
          <w:lang w:val="sr-Latn-ME"/>
        </w:rPr>
      </w:pPr>
    </w:p>
    <w:p w:rsidR="002A7385" w:rsidRPr="000D7979" w:rsidRDefault="002A7385">
      <w:pPr>
        <w:tabs>
          <w:tab w:val="left" w:pos="540"/>
          <w:tab w:val="left" w:pos="569"/>
        </w:tabs>
        <w:jc w:val="both"/>
        <w:rPr>
          <w:bCs/>
          <w:sz w:val="22"/>
          <w:szCs w:val="22"/>
          <w:lang w:val="sr-Latn-ME"/>
        </w:rPr>
      </w:pPr>
      <w:r w:rsidRPr="000D7979">
        <w:rPr>
          <w:bCs/>
          <w:sz w:val="22"/>
          <w:szCs w:val="22"/>
          <w:lang w:val="sr-Latn-ME"/>
        </w:rPr>
        <w:t xml:space="preserve">Bezbjednost i efikasnost sorafeniba u liječenju uznapredovalog karcinoma bubrežnih ćelija (RCC; engl. </w:t>
      </w:r>
      <w:r w:rsidRPr="000D7979">
        <w:rPr>
          <w:bCs/>
          <w:i/>
          <w:sz w:val="22"/>
          <w:szCs w:val="22"/>
          <w:lang w:val="sr-Latn-ME"/>
        </w:rPr>
        <w:t xml:space="preserve">renal cell carcinoma), </w:t>
      </w:r>
      <w:r w:rsidRPr="000D7979">
        <w:rPr>
          <w:bCs/>
          <w:sz w:val="22"/>
          <w:szCs w:val="22"/>
          <w:lang w:val="sr-Latn-ME"/>
        </w:rPr>
        <w:t>proučavane su kroz dvije kliničke studije:</w:t>
      </w:r>
    </w:p>
    <w:p w:rsidR="002A7385" w:rsidRPr="000D7979" w:rsidRDefault="002A7385">
      <w:pPr>
        <w:tabs>
          <w:tab w:val="left" w:pos="540"/>
          <w:tab w:val="left" w:pos="569"/>
        </w:tabs>
        <w:jc w:val="both"/>
        <w:rPr>
          <w:bCs/>
          <w:sz w:val="22"/>
          <w:szCs w:val="22"/>
          <w:lang w:val="sr-Latn-ME"/>
        </w:rPr>
      </w:pPr>
    </w:p>
    <w:p w:rsidR="002A7385" w:rsidRPr="000D7979" w:rsidRDefault="002A7385">
      <w:pPr>
        <w:tabs>
          <w:tab w:val="left" w:pos="540"/>
          <w:tab w:val="left" w:pos="569"/>
        </w:tabs>
        <w:jc w:val="both"/>
        <w:rPr>
          <w:bCs/>
          <w:i/>
          <w:sz w:val="22"/>
          <w:szCs w:val="22"/>
          <w:lang w:val="sr-Latn-ME"/>
        </w:rPr>
      </w:pPr>
      <w:r w:rsidRPr="000D7979">
        <w:rPr>
          <w:bCs/>
          <w:sz w:val="22"/>
          <w:szCs w:val="22"/>
          <w:lang w:val="sr-Latn-ME"/>
        </w:rPr>
        <w:t>Studija 1 (studija 11213) bila je multicentrična, randomizovana, dvostruko slijepa, placebom kontrolisana studija III faze, sprovedena na 903 pacijenta. U nju su bili uključeni isključivo pacijenti sa karcinomom bubrežnih ćelija, podtipom karcinom svijetlih ćelija, koji su prema kriterijumima MSKCC-a (</w:t>
      </w:r>
      <w:r w:rsidRPr="000D7979">
        <w:rPr>
          <w:bCs/>
          <w:i/>
          <w:sz w:val="22"/>
          <w:szCs w:val="22"/>
          <w:lang w:val="sr-Latn-ME"/>
        </w:rPr>
        <w:t>Memorial Sloan Kettering Cancer Center</w:t>
      </w:r>
      <w:r w:rsidRPr="000D7979">
        <w:rPr>
          <w:bCs/>
          <w:sz w:val="22"/>
          <w:szCs w:val="22"/>
          <w:lang w:val="sr-Latn-ME"/>
        </w:rPr>
        <w:t xml:space="preserve">) označeni kao nisko rizični ili umjereno rizični. Primarni parametri praćenja bili su ukupno preživljavanje i preživljavanje tokom koga nije došlo do progresije osnovne bolesti (PFS; engl. </w:t>
      </w:r>
      <w:r w:rsidRPr="000D7979">
        <w:rPr>
          <w:bCs/>
          <w:i/>
          <w:sz w:val="22"/>
          <w:szCs w:val="22"/>
          <w:lang w:val="sr-Latn-ME"/>
        </w:rPr>
        <w:t>progression-free survival).</w:t>
      </w:r>
    </w:p>
    <w:p w:rsidR="002A7385" w:rsidRPr="000D7979" w:rsidRDefault="002A7385">
      <w:pPr>
        <w:tabs>
          <w:tab w:val="left" w:pos="540"/>
          <w:tab w:val="left" w:pos="569"/>
        </w:tabs>
        <w:jc w:val="both"/>
        <w:rPr>
          <w:bCs/>
          <w:sz w:val="22"/>
          <w:szCs w:val="22"/>
          <w:lang w:val="sr-Latn-ME"/>
        </w:rPr>
      </w:pPr>
      <w:r w:rsidRPr="000D7979">
        <w:rPr>
          <w:bCs/>
          <w:sz w:val="22"/>
          <w:szCs w:val="22"/>
          <w:lang w:val="sr-Latn-ME"/>
        </w:rPr>
        <w:t>Prema skali ECOG približno polovina pacijenata je imala performans status 0, dok je, prema MKSCC- kriterijumima, druga polovina spadala u prognostičku grupu niskog rizika.</w:t>
      </w:r>
    </w:p>
    <w:p w:rsidR="002A7385" w:rsidRPr="000D7979" w:rsidRDefault="002A7385">
      <w:pPr>
        <w:tabs>
          <w:tab w:val="left" w:pos="540"/>
          <w:tab w:val="left" w:pos="569"/>
        </w:tabs>
        <w:jc w:val="both"/>
        <w:rPr>
          <w:bCs/>
          <w:sz w:val="22"/>
          <w:szCs w:val="22"/>
          <w:lang w:val="sr-Latn-ME"/>
        </w:rPr>
      </w:pPr>
      <w:r w:rsidRPr="000D7979">
        <w:rPr>
          <w:bCs/>
          <w:sz w:val="22"/>
          <w:szCs w:val="22"/>
          <w:lang w:val="sr-Latn-ME"/>
        </w:rPr>
        <w:t>PFS je utvrđen "slijepim" nezavisnim radiološkim pregledom i vr</w:t>
      </w:r>
      <w:r w:rsidR="00700F72" w:rsidRPr="000D7979">
        <w:rPr>
          <w:bCs/>
          <w:sz w:val="22"/>
          <w:szCs w:val="22"/>
          <w:lang w:val="sr-Latn-ME"/>
        </w:rPr>
        <w:t>ij</w:t>
      </w:r>
      <w:r w:rsidRPr="000D7979">
        <w:rPr>
          <w:bCs/>
          <w:sz w:val="22"/>
          <w:szCs w:val="22"/>
          <w:lang w:val="sr-Latn-ME"/>
        </w:rPr>
        <w:t xml:space="preserve">ednovan u skladu sa kriterijumima RECIST (engl. </w:t>
      </w:r>
      <w:r w:rsidRPr="000D7979">
        <w:rPr>
          <w:bCs/>
          <w:i/>
          <w:sz w:val="22"/>
          <w:szCs w:val="22"/>
          <w:lang w:val="sr-Latn-ME"/>
        </w:rPr>
        <w:t>Response Evaluation Criteria in Solid Tumors</w:t>
      </w:r>
      <w:r w:rsidRPr="000D7979">
        <w:rPr>
          <w:bCs/>
          <w:sz w:val="22"/>
          <w:szCs w:val="22"/>
          <w:lang w:val="sr-Latn-ME"/>
        </w:rPr>
        <w:t>). Analiza PFS obuhvatila je 342 događaja kod 769 pacijenata. Kod pacijenata randomizovanih u grupu koja se liječila sorafenibom, medijana PFS iznosila je 167 dana, a kod onih randomizovanih u grup</w:t>
      </w:r>
      <w:r w:rsidR="00700F72" w:rsidRPr="000D7979">
        <w:rPr>
          <w:bCs/>
          <w:sz w:val="22"/>
          <w:szCs w:val="22"/>
          <w:lang w:val="sr-Latn-ME"/>
        </w:rPr>
        <w:t>i</w:t>
      </w:r>
      <w:r w:rsidRPr="000D7979">
        <w:rPr>
          <w:bCs/>
          <w:sz w:val="22"/>
          <w:szCs w:val="22"/>
          <w:lang w:val="sr-Latn-ME"/>
        </w:rPr>
        <w:t xml:space="preserve"> koja je primala placebo 84 dana (HR = 0,44; 95%-ni CI: 0,35- 0,55; p&lt; 0,000001). Starost, prognostička grupa prema MSKCC, PS (engl. </w:t>
      </w:r>
      <w:r w:rsidRPr="000D7979">
        <w:rPr>
          <w:bCs/>
          <w:i/>
          <w:sz w:val="22"/>
          <w:szCs w:val="22"/>
          <w:lang w:val="sr-Latn-ME"/>
        </w:rPr>
        <w:t xml:space="preserve">performance status) </w:t>
      </w:r>
      <w:r w:rsidRPr="000D7979">
        <w:rPr>
          <w:bCs/>
          <w:sz w:val="22"/>
          <w:szCs w:val="22"/>
          <w:lang w:val="sr-Latn-ME"/>
        </w:rPr>
        <w:t>po ECOG kriterijumima i ranije sprovedena terapija, ni</w:t>
      </w:r>
      <w:r w:rsidR="00700F72" w:rsidRPr="000D7979">
        <w:rPr>
          <w:bCs/>
          <w:sz w:val="22"/>
          <w:szCs w:val="22"/>
          <w:lang w:val="sr-Latn-ME"/>
        </w:rPr>
        <w:t>je</w:t>
      </w:r>
      <w:r w:rsidRPr="000D7979">
        <w:rPr>
          <w:bCs/>
          <w:sz w:val="22"/>
          <w:szCs w:val="22"/>
          <w:lang w:val="sr-Latn-ME"/>
        </w:rPr>
        <w:t>su imali uticaja na postignuti terapijski efekat.</w:t>
      </w:r>
    </w:p>
    <w:p w:rsidR="002A7385" w:rsidRPr="000D7979" w:rsidRDefault="002A7385">
      <w:pPr>
        <w:tabs>
          <w:tab w:val="left" w:pos="540"/>
          <w:tab w:val="left" w:pos="569"/>
        </w:tabs>
        <w:jc w:val="both"/>
        <w:rPr>
          <w:bCs/>
          <w:sz w:val="22"/>
          <w:szCs w:val="22"/>
          <w:lang w:val="sr-Latn-ME"/>
        </w:rPr>
      </w:pPr>
    </w:p>
    <w:p w:rsidR="002A7385" w:rsidRPr="000D7979" w:rsidRDefault="002A7385">
      <w:pPr>
        <w:tabs>
          <w:tab w:val="left" w:pos="540"/>
          <w:tab w:val="left" w:pos="569"/>
        </w:tabs>
        <w:jc w:val="both"/>
        <w:rPr>
          <w:bCs/>
          <w:sz w:val="22"/>
          <w:szCs w:val="22"/>
          <w:lang w:val="sr-Latn-ME"/>
        </w:rPr>
      </w:pPr>
      <w:r w:rsidRPr="000D7979">
        <w:rPr>
          <w:bCs/>
          <w:sz w:val="22"/>
          <w:szCs w:val="22"/>
          <w:lang w:val="sr-Latn-ME"/>
        </w:rPr>
        <w:t>Privremena analiza ukupnog preživljavanja, (druga periodična analiza), sprovedena je kod 367 smrtnih slučajeva od 903 pacijenta. Nominalna alfa-vrijednost za ovu analizu iznosila je 0,0094. Kod pacijenata randomizovanih u grup</w:t>
      </w:r>
      <w:r w:rsidR="00700F72" w:rsidRPr="000D7979">
        <w:rPr>
          <w:bCs/>
          <w:sz w:val="22"/>
          <w:szCs w:val="22"/>
          <w:lang w:val="sr-Latn-ME"/>
        </w:rPr>
        <w:t>i</w:t>
      </w:r>
      <w:r w:rsidRPr="000D7979">
        <w:rPr>
          <w:bCs/>
          <w:sz w:val="22"/>
          <w:szCs w:val="22"/>
          <w:lang w:val="sr-Latn-ME"/>
        </w:rPr>
        <w:t xml:space="preserve"> koja je primala sorafenib, medijana preživljavanja iznosila je 19,3 mjeseca, a kod pacijenata randomizovanih u grupu koja je primala placebo 15,9 mjeseci (HR = 0,77; 95%-ni CI: 0,63-0,95; p= 0,015). U vrijeme sprovođenja analize, oko 200 pacijenata koji su liječeni placebom prebačeno je na sorafenib.</w:t>
      </w:r>
    </w:p>
    <w:p w:rsidR="002A7385" w:rsidRPr="000D7979" w:rsidRDefault="002A7385">
      <w:pPr>
        <w:tabs>
          <w:tab w:val="left" w:pos="540"/>
          <w:tab w:val="left" w:pos="569"/>
        </w:tabs>
        <w:jc w:val="both"/>
        <w:rPr>
          <w:bCs/>
          <w:sz w:val="22"/>
          <w:szCs w:val="22"/>
          <w:lang w:val="sr-Latn-ME"/>
        </w:rPr>
      </w:pPr>
    </w:p>
    <w:p w:rsidR="002A7385" w:rsidRPr="000D7979" w:rsidRDefault="002A7385">
      <w:pPr>
        <w:tabs>
          <w:tab w:val="left" w:pos="540"/>
          <w:tab w:val="left" w:pos="569"/>
        </w:tabs>
        <w:jc w:val="both"/>
        <w:rPr>
          <w:bCs/>
          <w:sz w:val="22"/>
          <w:szCs w:val="22"/>
          <w:lang w:val="sr-Latn-ME"/>
        </w:rPr>
      </w:pPr>
      <w:r w:rsidRPr="000D7979">
        <w:rPr>
          <w:bCs/>
          <w:sz w:val="22"/>
          <w:szCs w:val="22"/>
          <w:lang w:val="sr-Latn-ME"/>
        </w:rPr>
        <w:lastRenderedPageBreak/>
        <w:t xml:space="preserve">Studija 2 bila je studija II faze, a ispitivane su posljedice prekida liječenja sorafenibom kod oboljelih od metastatskih malignih </w:t>
      </w:r>
      <w:r w:rsidR="00700F72" w:rsidRPr="000D7979">
        <w:rPr>
          <w:bCs/>
          <w:sz w:val="22"/>
          <w:szCs w:val="22"/>
          <w:lang w:val="sr-Latn-ME"/>
        </w:rPr>
        <w:t>oboljenja</w:t>
      </w:r>
      <w:r w:rsidRPr="000D7979">
        <w:rPr>
          <w:bCs/>
          <w:sz w:val="22"/>
          <w:szCs w:val="22"/>
          <w:lang w:val="sr-Latn-ME"/>
        </w:rPr>
        <w:t>, uključujući i RCC. Pacijenti liječeni sorafenibom, čija je osnovna bolest bila klinički stabilna, randomizovani su u placebo grup</w:t>
      </w:r>
      <w:r w:rsidR="00700F72" w:rsidRPr="000D7979">
        <w:rPr>
          <w:bCs/>
          <w:sz w:val="22"/>
          <w:szCs w:val="22"/>
          <w:lang w:val="sr-Latn-ME"/>
        </w:rPr>
        <w:t>i</w:t>
      </w:r>
      <w:r w:rsidRPr="000D7979">
        <w:rPr>
          <w:bCs/>
          <w:sz w:val="22"/>
          <w:szCs w:val="22"/>
          <w:lang w:val="sr-Latn-ME"/>
        </w:rPr>
        <w:t xml:space="preserve"> ili u on</w:t>
      </w:r>
      <w:r w:rsidR="00700F72" w:rsidRPr="000D7979">
        <w:rPr>
          <w:bCs/>
          <w:sz w:val="22"/>
          <w:szCs w:val="22"/>
          <w:lang w:val="sr-Latn-ME"/>
        </w:rPr>
        <w:t>oj</w:t>
      </w:r>
      <w:r w:rsidRPr="000D7979">
        <w:rPr>
          <w:bCs/>
          <w:sz w:val="22"/>
          <w:szCs w:val="22"/>
          <w:lang w:val="sr-Latn-ME"/>
        </w:rPr>
        <w:t xml:space="preserve"> koja nastavlja terapiju sorafenibom. Kod oboljelih od RCC liječenih sorafenibom, preživljavanje tokom koga osnovna bolest nije napredovala je bilo značajno duže (163 dana), nego u grupi liječenoj placebom (41 dan) (p = 0,0001, HR = 0,29).</w:t>
      </w:r>
    </w:p>
    <w:p w:rsidR="00F33CB5" w:rsidRPr="000D7979" w:rsidRDefault="00F33CB5">
      <w:pPr>
        <w:tabs>
          <w:tab w:val="left" w:pos="540"/>
          <w:tab w:val="left" w:pos="569"/>
        </w:tabs>
        <w:jc w:val="both"/>
        <w:rPr>
          <w:bCs/>
          <w:sz w:val="22"/>
          <w:szCs w:val="22"/>
          <w:lang w:val="sr-Latn-ME"/>
        </w:rPr>
      </w:pPr>
    </w:p>
    <w:p w:rsidR="00F33CB5" w:rsidRPr="000D7979" w:rsidRDefault="00F33CB5">
      <w:pPr>
        <w:tabs>
          <w:tab w:val="left" w:pos="540"/>
          <w:tab w:val="left" w:pos="569"/>
        </w:tabs>
        <w:jc w:val="both"/>
        <w:rPr>
          <w:bCs/>
          <w:sz w:val="22"/>
          <w:szCs w:val="22"/>
          <w:lang w:val="sr-Latn-ME"/>
        </w:rPr>
      </w:pPr>
      <w:r w:rsidRPr="000D7979">
        <w:rPr>
          <w:bCs/>
          <w:sz w:val="22"/>
          <w:szCs w:val="22"/>
          <w:u w:val="single"/>
          <w:lang w:val="sr-Latn-ME"/>
        </w:rPr>
        <w:t>Produženje QT intervala</w:t>
      </w:r>
    </w:p>
    <w:p w:rsidR="00F33CB5" w:rsidRPr="000D7979" w:rsidRDefault="00F33CB5">
      <w:pPr>
        <w:tabs>
          <w:tab w:val="left" w:pos="540"/>
          <w:tab w:val="left" w:pos="569"/>
        </w:tabs>
        <w:jc w:val="both"/>
        <w:rPr>
          <w:bCs/>
          <w:sz w:val="22"/>
          <w:szCs w:val="22"/>
          <w:lang w:val="sr-Latn-ME"/>
        </w:rPr>
      </w:pPr>
    </w:p>
    <w:p w:rsidR="00F33CB5" w:rsidRPr="000D7979" w:rsidRDefault="00F33CB5">
      <w:pPr>
        <w:tabs>
          <w:tab w:val="left" w:pos="540"/>
          <w:tab w:val="left" w:pos="569"/>
        </w:tabs>
        <w:jc w:val="both"/>
        <w:rPr>
          <w:bCs/>
          <w:sz w:val="22"/>
          <w:szCs w:val="22"/>
          <w:lang w:val="sr-Latn-ME"/>
        </w:rPr>
      </w:pPr>
      <w:r w:rsidRPr="000D7979">
        <w:rPr>
          <w:bCs/>
          <w:sz w:val="22"/>
          <w:szCs w:val="22"/>
          <w:lang w:val="sr-Latn-ME"/>
        </w:rPr>
        <w:t xml:space="preserve">U kliničkoj farmakološkoj studiji, zabilježene su vrijednosti QT/QTc intervala kod 31 pacijenta prije početka uzimanja lijeka i nakon terapije. Nakon jednog terapijskog ciklusa od 28 dana, u vrijeme maksimalne koncentracije sorafeniba, QTcB je produžen na 4 ± 19 ms i QTcF za 9 ± 18 ms u poređenju sa placebo tretmanom na početku. Nijedan ispitanik nije pokazao QTcB ili QTcF &gt; 500 ms tokom EKG praćenja nakon terapije (vidjeti </w:t>
      </w:r>
      <w:r w:rsidR="00700F72" w:rsidRPr="000D7979">
        <w:rPr>
          <w:bCs/>
          <w:sz w:val="22"/>
          <w:szCs w:val="22"/>
          <w:lang w:val="sr-Latn-ME"/>
        </w:rPr>
        <w:t xml:space="preserve">dio </w:t>
      </w:r>
      <w:r w:rsidRPr="000D7979">
        <w:rPr>
          <w:bCs/>
          <w:sz w:val="22"/>
          <w:szCs w:val="22"/>
          <w:lang w:val="sr-Latn-ME"/>
        </w:rPr>
        <w:t>4.4).</w:t>
      </w:r>
    </w:p>
    <w:p w:rsidR="00F33CB5" w:rsidRPr="000D7979" w:rsidRDefault="00F33CB5">
      <w:pPr>
        <w:tabs>
          <w:tab w:val="left" w:pos="540"/>
          <w:tab w:val="left" w:pos="569"/>
        </w:tabs>
        <w:jc w:val="both"/>
        <w:rPr>
          <w:bCs/>
          <w:sz w:val="22"/>
          <w:szCs w:val="22"/>
          <w:lang w:val="sr-Latn-ME"/>
        </w:rPr>
      </w:pPr>
    </w:p>
    <w:p w:rsidR="00F33CB5" w:rsidRPr="000D7979" w:rsidRDefault="00F33CB5">
      <w:pPr>
        <w:tabs>
          <w:tab w:val="left" w:pos="540"/>
          <w:tab w:val="left" w:pos="569"/>
        </w:tabs>
        <w:jc w:val="both"/>
        <w:rPr>
          <w:bCs/>
          <w:sz w:val="22"/>
          <w:szCs w:val="22"/>
          <w:u w:val="single"/>
          <w:lang w:val="sr-Latn-ME"/>
        </w:rPr>
      </w:pPr>
      <w:r w:rsidRPr="000D7979">
        <w:rPr>
          <w:bCs/>
          <w:sz w:val="22"/>
          <w:szCs w:val="22"/>
          <w:u w:val="single"/>
          <w:lang w:val="sr-Latn-ME"/>
        </w:rPr>
        <w:t>Pedijatrijska populacija</w:t>
      </w:r>
    </w:p>
    <w:p w:rsidR="00700F72" w:rsidRPr="000D7979" w:rsidRDefault="00700F72">
      <w:pPr>
        <w:tabs>
          <w:tab w:val="left" w:pos="540"/>
          <w:tab w:val="left" w:pos="569"/>
        </w:tabs>
        <w:jc w:val="both"/>
        <w:rPr>
          <w:bCs/>
          <w:sz w:val="22"/>
          <w:szCs w:val="22"/>
          <w:lang w:val="sr-Latn-ME"/>
        </w:rPr>
      </w:pPr>
    </w:p>
    <w:p w:rsidR="002A7385" w:rsidRPr="000D7979" w:rsidRDefault="00F33CB5">
      <w:pPr>
        <w:tabs>
          <w:tab w:val="left" w:pos="540"/>
          <w:tab w:val="left" w:pos="569"/>
        </w:tabs>
        <w:jc w:val="both"/>
        <w:rPr>
          <w:bCs/>
          <w:sz w:val="22"/>
          <w:szCs w:val="22"/>
          <w:lang w:val="sr-Latn-ME"/>
        </w:rPr>
      </w:pPr>
      <w:r w:rsidRPr="000D7979">
        <w:rPr>
          <w:bCs/>
          <w:sz w:val="22"/>
          <w:szCs w:val="22"/>
          <w:lang w:val="sr-Latn-ME"/>
        </w:rPr>
        <w:t>Evropska agencija za ljekove je izuzela obavezu podnošenja rezultata studija lijeka za sve podgrupe pedijatrijske populacije, za karcinom bubrega i bubrežne karlice (isključujući nefroblastom, nefroblastomatoze, sarkom jasnih ćelija, mezoblastični nefrom, renalni medularni karcinom i rabdoidni tumor bubrega) i karcinom jetre i intrahepatičnih bilijarnih puteva (isključujući hepatoblastom) i diferencirani karcinom štitaste žl</w:t>
      </w:r>
      <w:r w:rsidR="00385BF1" w:rsidRPr="000D7979">
        <w:rPr>
          <w:bCs/>
          <w:sz w:val="22"/>
          <w:szCs w:val="22"/>
          <w:lang w:val="sr-Latn-ME"/>
        </w:rPr>
        <w:t>ij</w:t>
      </w:r>
      <w:r w:rsidRPr="000D7979">
        <w:rPr>
          <w:bCs/>
          <w:sz w:val="22"/>
          <w:szCs w:val="22"/>
          <w:lang w:val="sr-Latn-ME"/>
        </w:rPr>
        <w:t xml:space="preserve">ezde (vidjeti </w:t>
      </w:r>
      <w:r w:rsidR="00385BF1" w:rsidRPr="000D7979">
        <w:rPr>
          <w:bCs/>
          <w:sz w:val="22"/>
          <w:szCs w:val="22"/>
          <w:lang w:val="sr-Latn-ME"/>
        </w:rPr>
        <w:t xml:space="preserve">dio </w:t>
      </w:r>
      <w:r w:rsidRPr="000D7979">
        <w:rPr>
          <w:bCs/>
          <w:sz w:val="22"/>
          <w:szCs w:val="22"/>
          <w:lang w:val="sr-Latn-ME"/>
        </w:rPr>
        <w:t>4.2 za informacije o pedijatrijskoj primjeni).</w:t>
      </w:r>
    </w:p>
    <w:p w:rsidR="002E37A5" w:rsidRPr="000D7979" w:rsidRDefault="002E37A5"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5.2. </w:t>
      </w:r>
      <w:r w:rsidR="00480FB1" w:rsidRPr="000D7979">
        <w:rPr>
          <w:b/>
          <w:bCs/>
          <w:sz w:val="22"/>
          <w:szCs w:val="22"/>
          <w:lang w:val="sr-Latn-ME"/>
        </w:rPr>
        <w:tab/>
      </w:r>
      <w:r w:rsidRPr="000D7979">
        <w:rPr>
          <w:b/>
          <w:bCs/>
          <w:sz w:val="22"/>
          <w:szCs w:val="22"/>
          <w:lang w:val="sr-Latn-ME"/>
        </w:rPr>
        <w:t>Farmakokinetički podaci</w:t>
      </w:r>
      <w:r w:rsidR="003A7059" w:rsidRPr="000D7979">
        <w:rPr>
          <w:b/>
          <w:bCs/>
          <w:sz w:val="22"/>
          <w:szCs w:val="22"/>
          <w:lang w:val="sr-Latn-ME"/>
        </w:rPr>
        <w:t xml:space="preserve"> </w:t>
      </w:r>
    </w:p>
    <w:p w:rsidR="008F3512" w:rsidRPr="000D7979" w:rsidRDefault="008F3512" w:rsidP="00C45106">
      <w:pPr>
        <w:tabs>
          <w:tab w:val="left" w:pos="540"/>
          <w:tab w:val="left" w:pos="569"/>
        </w:tabs>
        <w:jc w:val="both"/>
        <w:rPr>
          <w:b/>
          <w:bCs/>
          <w:sz w:val="22"/>
          <w:szCs w:val="22"/>
          <w:lang w:val="sr-Latn-ME"/>
        </w:rPr>
      </w:pPr>
    </w:p>
    <w:p w:rsidR="008F3512" w:rsidRPr="000D7979" w:rsidRDefault="008F3512" w:rsidP="00C00A05">
      <w:pPr>
        <w:tabs>
          <w:tab w:val="left" w:pos="540"/>
          <w:tab w:val="left" w:pos="569"/>
        </w:tabs>
        <w:jc w:val="both"/>
        <w:rPr>
          <w:bCs/>
          <w:sz w:val="22"/>
          <w:szCs w:val="22"/>
          <w:lang w:val="sr-Latn-ME"/>
        </w:rPr>
      </w:pPr>
      <w:r w:rsidRPr="000D7979">
        <w:rPr>
          <w:bCs/>
          <w:sz w:val="22"/>
          <w:szCs w:val="22"/>
          <w:u w:val="single"/>
          <w:lang w:val="sr-Latn-ME"/>
        </w:rPr>
        <w:t>Resorpcija i distribucija</w:t>
      </w:r>
    </w:p>
    <w:p w:rsidR="008F3512" w:rsidRPr="000D7979" w:rsidRDefault="008F3512" w:rsidP="00A13D0A">
      <w:pPr>
        <w:tabs>
          <w:tab w:val="left" w:pos="540"/>
          <w:tab w:val="left" w:pos="569"/>
        </w:tabs>
        <w:jc w:val="both"/>
        <w:rPr>
          <w:bCs/>
          <w:sz w:val="22"/>
          <w:szCs w:val="22"/>
          <w:lang w:val="sr-Latn-ME"/>
        </w:rPr>
      </w:pPr>
    </w:p>
    <w:p w:rsidR="008F3512" w:rsidRPr="000D7979" w:rsidRDefault="008F3512">
      <w:pPr>
        <w:tabs>
          <w:tab w:val="left" w:pos="540"/>
          <w:tab w:val="left" w:pos="569"/>
        </w:tabs>
        <w:jc w:val="both"/>
        <w:rPr>
          <w:bCs/>
          <w:sz w:val="22"/>
          <w:szCs w:val="22"/>
          <w:lang w:val="sr-Latn-ME"/>
        </w:rPr>
      </w:pPr>
      <w:r w:rsidRPr="000D7979">
        <w:rPr>
          <w:bCs/>
          <w:sz w:val="22"/>
          <w:szCs w:val="22"/>
          <w:lang w:val="sr-Latn-ME"/>
        </w:rPr>
        <w:t>Nakon primjene sorafenib tableta prosječna relativna bioraspoloživost iznosi 38%-49% u poređenju sa primjenom oralnog rastvora. Apsolutna bioraspoloživost nije poznata. Nakon oralne primjene, maksimalna koncentracija sorafeniba u plazmi se dostiže za približno 3 sata. Kada se lijek daje sa obrokom sa visokim sadržajem masti, resorpcija sorafeniba se smanjuje za 30% u odnosu na primjenu natašte.</w:t>
      </w:r>
    </w:p>
    <w:p w:rsidR="008F3512" w:rsidRPr="000D7979" w:rsidRDefault="008F3512">
      <w:pPr>
        <w:tabs>
          <w:tab w:val="left" w:pos="540"/>
          <w:tab w:val="left" w:pos="569"/>
        </w:tabs>
        <w:jc w:val="both"/>
        <w:rPr>
          <w:bCs/>
          <w:sz w:val="22"/>
          <w:szCs w:val="22"/>
          <w:lang w:val="sr-Latn-ME"/>
        </w:rPr>
      </w:pPr>
      <w:r w:rsidRPr="000D7979">
        <w:rPr>
          <w:bCs/>
          <w:sz w:val="22"/>
          <w:szCs w:val="22"/>
          <w:lang w:val="sr-Latn-ME"/>
        </w:rPr>
        <w:t>Povećanje prosječnog C</w:t>
      </w:r>
      <w:r w:rsidRPr="000D7979">
        <w:rPr>
          <w:bCs/>
          <w:sz w:val="22"/>
          <w:szCs w:val="22"/>
          <w:vertAlign w:val="subscript"/>
          <w:lang w:val="sr-Latn-ME"/>
        </w:rPr>
        <w:t>max</w:t>
      </w:r>
      <w:r w:rsidRPr="000D7979">
        <w:rPr>
          <w:bCs/>
          <w:sz w:val="22"/>
          <w:szCs w:val="22"/>
          <w:lang w:val="sr-Latn-ME"/>
        </w:rPr>
        <w:t xml:space="preserve"> i PIK je manje od proporcionalnog nakon primjene doza većih od 400 mg primijenjenih dva puta dnevno. U </w:t>
      </w:r>
      <w:r w:rsidRPr="000D7979">
        <w:rPr>
          <w:bCs/>
          <w:i/>
          <w:sz w:val="22"/>
          <w:szCs w:val="22"/>
          <w:lang w:val="sr-Latn-ME"/>
        </w:rPr>
        <w:t xml:space="preserve">in vitro </w:t>
      </w:r>
      <w:r w:rsidRPr="000D7979">
        <w:rPr>
          <w:bCs/>
          <w:sz w:val="22"/>
          <w:szCs w:val="22"/>
          <w:lang w:val="sr-Latn-ME"/>
        </w:rPr>
        <w:t>uslovima, vezivanje sorafeniba za humane proteine plazme iznosi 99,5%.</w:t>
      </w:r>
    </w:p>
    <w:p w:rsidR="008F3512" w:rsidRPr="000D7979" w:rsidRDefault="008F3512">
      <w:pPr>
        <w:tabs>
          <w:tab w:val="left" w:pos="540"/>
          <w:tab w:val="left" w:pos="569"/>
        </w:tabs>
        <w:jc w:val="both"/>
        <w:rPr>
          <w:bCs/>
          <w:sz w:val="22"/>
          <w:szCs w:val="22"/>
          <w:lang w:val="sr-Latn-ME"/>
        </w:rPr>
      </w:pPr>
      <w:r w:rsidRPr="000D7979">
        <w:rPr>
          <w:bCs/>
          <w:sz w:val="22"/>
          <w:szCs w:val="22"/>
          <w:lang w:val="sr-Latn-ME"/>
        </w:rPr>
        <w:t>Primjena višekratnih doza sorafeniba tokom 7 dana dovela je do akumulacije koja je bila 2,5 do 7 puta veća u poređenju sa onom nakon jednokratne primjene. Stanje ravnoteže koncentracija sorafeniba u plazmi postiže se u roku od 7 dana, pri čemu je odnos najviših i najnižih srednjih koncentracija manji od 2.</w:t>
      </w:r>
    </w:p>
    <w:p w:rsidR="008F3512" w:rsidRPr="000D7979" w:rsidRDefault="008F3512">
      <w:pPr>
        <w:tabs>
          <w:tab w:val="left" w:pos="540"/>
          <w:tab w:val="left" w:pos="569"/>
        </w:tabs>
        <w:jc w:val="both"/>
        <w:rPr>
          <w:bCs/>
          <w:sz w:val="22"/>
          <w:szCs w:val="22"/>
          <w:lang w:val="sr-Latn-ME"/>
        </w:rPr>
      </w:pPr>
    </w:p>
    <w:p w:rsidR="008F3512" w:rsidRPr="000D7979" w:rsidRDefault="008F3512">
      <w:pPr>
        <w:tabs>
          <w:tab w:val="left" w:pos="540"/>
          <w:tab w:val="left" w:pos="569"/>
        </w:tabs>
        <w:jc w:val="both"/>
        <w:rPr>
          <w:bCs/>
          <w:sz w:val="22"/>
          <w:szCs w:val="22"/>
          <w:lang w:val="sr-Latn-ME"/>
        </w:rPr>
      </w:pPr>
      <w:r w:rsidRPr="000D7979">
        <w:rPr>
          <w:bCs/>
          <w:sz w:val="22"/>
          <w:szCs w:val="22"/>
          <w:lang w:val="sr-Latn-ME"/>
        </w:rPr>
        <w:t>Koncentracije sorafeniba u stanju ravnoteže primjenjivanog u dozi od 400 mg dva puta na dan bile su procijenjene kod pacijenata sa diferenciranim karcinomom štitaste žlijezde, karcinomom bubrežnih ćelija i hepatocelularnim karcinomom. Najveća srednja vrijednost koncentracije zabilježena je kod pacijenata sa diferenciranim karcinomom štitaste žlijezde (približno dva puta veća od one zabilježene kod pacijenata sa karcinomom bubrežnih ćelija i hepatocelularnim karcinomom), iako je varijabilnost bila velika kod svih  vrsta tumora. Razlog te povećane koncentracije kod pacijenata sa diferenciranim karcinomom štitaste žlijezde nije poznat.</w:t>
      </w:r>
    </w:p>
    <w:p w:rsidR="008F3512" w:rsidRPr="000D7979" w:rsidRDefault="008F3512">
      <w:pPr>
        <w:tabs>
          <w:tab w:val="left" w:pos="540"/>
          <w:tab w:val="left" w:pos="569"/>
        </w:tabs>
        <w:jc w:val="both"/>
        <w:rPr>
          <w:bCs/>
          <w:sz w:val="22"/>
          <w:szCs w:val="22"/>
          <w:lang w:val="sr-Latn-ME"/>
        </w:rPr>
      </w:pPr>
    </w:p>
    <w:p w:rsidR="008F3512" w:rsidRPr="000D7979" w:rsidRDefault="008F3512">
      <w:pPr>
        <w:tabs>
          <w:tab w:val="left" w:pos="540"/>
          <w:tab w:val="left" w:pos="569"/>
        </w:tabs>
        <w:jc w:val="both"/>
        <w:rPr>
          <w:bCs/>
          <w:sz w:val="22"/>
          <w:szCs w:val="22"/>
          <w:lang w:val="sr-Latn-ME"/>
        </w:rPr>
      </w:pPr>
      <w:r w:rsidRPr="000D7979">
        <w:rPr>
          <w:bCs/>
          <w:sz w:val="22"/>
          <w:szCs w:val="22"/>
          <w:u w:val="single"/>
          <w:lang w:val="sr-Latn-ME"/>
        </w:rPr>
        <w:t>Biotransformacija i eliminacija</w:t>
      </w:r>
    </w:p>
    <w:p w:rsidR="008F3512" w:rsidRPr="000D7979" w:rsidRDefault="008F3512">
      <w:pPr>
        <w:tabs>
          <w:tab w:val="left" w:pos="540"/>
          <w:tab w:val="left" w:pos="569"/>
        </w:tabs>
        <w:jc w:val="both"/>
        <w:rPr>
          <w:bCs/>
          <w:sz w:val="22"/>
          <w:szCs w:val="22"/>
          <w:lang w:val="sr-Latn-ME"/>
        </w:rPr>
      </w:pPr>
    </w:p>
    <w:p w:rsidR="008F3512" w:rsidRPr="000D7979" w:rsidRDefault="008F3512">
      <w:pPr>
        <w:tabs>
          <w:tab w:val="left" w:pos="540"/>
          <w:tab w:val="left" w:pos="569"/>
        </w:tabs>
        <w:jc w:val="both"/>
        <w:rPr>
          <w:bCs/>
          <w:sz w:val="22"/>
          <w:szCs w:val="22"/>
          <w:lang w:val="sr-Latn-ME"/>
        </w:rPr>
      </w:pPr>
      <w:r w:rsidRPr="000D7979">
        <w:rPr>
          <w:bCs/>
          <w:sz w:val="22"/>
          <w:szCs w:val="22"/>
          <w:lang w:val="sr-Latn-ME"/>
        </w:rPr>
        <w:t xml:space="preserve">Poluvrijeme eliminacije sorafeniba iz organizma iznosi otprilike 25-48 sati. Sorafenib se primarno metaboliše u jetri i podliježe oksidativnom metabolizmu posredovanom sa CYP 3A4 i glukuronidaciji posredovanoj sa UGT1A9. Konjugati sorafeniba se mogu cijepati u gastrointestinalnom traktu djelovanjem bakterijske glukuronidaze, čime se omogućava reapsorpcija nekonjugovane aktivne </w:t>
      </w:r>
      <w:r w:rsidRPr="000D7979">
        <w:rPr>
          <w:bCs/>
          <w:sz w:val="22"/>
          <w:szCs w:val="22"/>
          <w:lang w:val="sr-Latn-ME"/>
        </w:rPr>
        <w:lastRenderedPageBreak/>
        <w:t>supstance. Pokazalo se da istovremena primjena neomicina utiče na ovaj proces i smanjuje srednju bioraspoloživost sorafeniba za 54%.</w:t>
      </w:r>
    </w:p>
    <w:p w:rsidR="0072020E" w:rsidRPr="000D7979" w:rsidRDefault="0072020E" w:rsidP="00C45106">
      <w:pPr>
        <w:tabs>
          <w:tab w:val="left" w:pos="540"/>
          <w:tab w:val="left" w:pos="569"/>
        </w:tabs>
        <w:jc w:val="both"/>
        <w:rPr>
          <w:bCs/>
          <w:sz w:val="22"/>
          <w:szCs w:val="22"/>
          <w:lang w:val="sr-Latn-ME"/>
        </w:rPr>
      </w:pPr>
    </w:p>
    <w:p w:rsidR="008F3512" w:rsidRPr="000D7979" w:rsidRDefault="008F3512" w:rsidP="00C00A05">
      <w:pPr>
        <w:tabs>
          <w:tab w:val="left" w:pos="540"/>
          <w:tab w:val="left" w:pos="569"/>
        </w:tabs>
        <w:jc w:val="both"/>
        <w:rPr>
          <w:bCs/>
          <w:sz w:val="22"/>
          <w:szCs w:val="22"/>
          <w:lang w:val="sr-Latn-ME"/>
        </w:rPr>
      </w:pPr>
      <w:r w:rsidRPr="000D7979">
        <w:rPr>
          <w:bCs/>
          <w:sz w:val="22"/>
          <w:szCs w:val="22"/>
          <w:lang w:val="sr-Latn-ME"/>
        </w:rPr>
        <w:t xml:space="preserve">U stanju dinamičke ravnoteže, na sorafenib otpada otprilike 70-85% cirkulišućih analita u plazmi. Identifikovano je osam metabolita sorafeniba, od kojih pet u plazmi. Glavni cirkulišući metabolit sorafeniba u plazmi je piridin N-oksid, koji u </w:t>
      </w:r>
      <w:r w:rsidRPr="000D7979">
        <w:rPr>
          <w:bCs/>
          <w:i/>
          <w:sz w:val="22"/>
          <w:szCs w:val="22"/>
          <w:lang w:val="sr-Latn-ME"/>
        </w:rPr>
        <w:t xml:space="preserve">in vitro </w:t>
      </w:r>
      <w:r w:rsidRPr="000D7979">
        <w:rPr>
          <w:bCs/>
          <w:sz w:val="22"/>
          <w:szCs w:val="22"/>
          <w:lang w:val="sr-Latn-ME"/>
        </w:rPr>
        <w:t>uslovima pokazuje potentnost sličnu onoj koju ima sorafenib. U stanju ravnoteže, ovaj metabolit čini otprilike 9-16% cirkulišućih analita.</w:t>
      </w:r>
    </w:p>
    <w:p w:rsidR="008F3512" w:rsidRPr="000D7979" w:rsidRDefault="008F3512" w:rsidP="00A13D0A">
      <w:pPr>
        <w:tabs>
          <w:tab w:val="left" w:pos="540"/>
          <w:tab w:val="left" w:pos="569"/>
        </w:tabs>
        <w:jc w:val="both"/>
        <w:rPr>
          <w:bCs/>
          <w:sz w:val="22"/>
          <w:szCs w:val="22"/>
          <w:lang w:val="sr-Latn-ME"/>
        </w:rPr>
      </w:pPr>
    </w:p>
    <w:p w:rsidR="008F3512" w:rsidRPr="000D7979" w:rsidRDefault="008F3512">
      <w:pPr>
        <w:tabs>
          <w:tab w:val="left" w:pos="540"/>
          <w:tab w:val="left" w:pos="569"/>
        </w:tabs>
        <w:jc w:val="both"/>
        <w:rPr>
          <w:bCs/>
          <w:sz w:val="22"/>
          <w:szCs w:val="22"/>
          <w:lang w:val="sr-Latn-ME"/>
        </w:rPr>
      </w:pPr>
      <w:r w:rsidRPr="000D7979">
        <w:rPr>
          <w:bCs/>
          <w:sz w:val="22"/>
          <w:szCs w:val="22"/>
          <w:lang w:val="sr-Latn-ME"/>
        </w:rPr>
        <w:t>Nakon oralne primjene sorafeniba u dozi od 100 mg, formulisane u obliku rastvora, 96% doze se eliminiše tokom 14 dana, pri čemu je 77% nađeno u fecesu</w:t>
      </w:r>
      <w:r w:rsidR="0086519B" w:rsidRPr="000D7979">
        <w:rPr>
          <w:bCs/>
          <w:sz w:val="22"/>
          <w:szCs w:val="22"/>
          <w:lang w:val="sr-Latn-ME"/>
        </w:rPr>
        <w:t>,</w:t>
      </w:r>
      <w:r w:rsidRPr="000D7979">
        <w:rPr>
          <w:bCs/>
          <w:sz w:val="22"/>
          <w:szCs w:val="22"/>
          <w:lang w:val="sr-Latn-ME"/>
        </w:rPr>
        <w:t xml:space="preserve"> a 19% u urinu, u vidu glukuronizovanih metabolita. Nepromijenjeni sorafenib, koji čini 51% doze, nađen je u fecesu, ali ne i u urinu, što ukazuje na mogućnost da bilijarna ekskrecija nepromijenjene aktivne supstance doprinosi eliminaciji sorafeniba iz organizma.</w:t>
      </w:r>
    </w:p>
    <w:p w:rsidR="0086519B" w:rsidRPr="000D7979" w:rsidRDefault="0086519B">
      <w:pPr>
        <w:tabs>
          <w:tab w:val="left" w:pos="540"/>
          <w:tab w:val="left" w:pos="569"/>
        </w:tabs>
        <w:jc w:val="both"/>
        <w:rPr>
          <w:bCs/>
          <w:sz w:val="22"/>
          <w:szCs w:val="22"/>
          <w:lang w:val="sr-Latn-ME"/>
        </w:rPr>
      </w:pPr>
    </w:p>
    <w:p w:rsidR="0086519B" w:rsidRPr="00C45106" w:rsidRDefault="0086519B">
      <w:pPr>
        <w:tabs>
          <w:tab w:val="left" w:pos="540"/>
          <w:tab w:val="left" w:pos="569"/>
        </w:tabs>
        <w:jc w:val="both"/>
        <w:rPr>
          <w:bCs/>
          <w:sz w:val="22"/>
          <w:szCs w:val="22"/>
          <w:u w:val="single"/>
          <w:lang w:val="sr-Latn-ME"/>
        </w:rPr>
      </w:pPr>
      <w:r w:rsidRPr="00C45106">
        <w:rPr>
          <w:bCs/>
          <w:sz w:val="22"/>
          <w:szCs w:val="22"/>
          <w:u w:val="single"/>
          <w:lang w:val="sr-Latn-ME"/>
        </w:rPr>
        <w:t xml:space="preserve">Farmakokinetika </w:t>
      </w:r>
      <w:r w:rsidR="00E42C77" w:rsidRPr="00C45106">
        <w:rPr>
          <w:bCs/>
          <w:sz w:val="22"/>
          <w:szCs w:val="22"/>
          <w:u w:val="single"/>
          <w:lang w:val="sr-Latn-ME"/>
        </w:rPr>
        <w:t>u posebnim populacijama</w:t>
      </w:r>
    </w:p>
    <w:p w:rsidR="008F3512" w:rsidRPr="000D7979" w:rsidRDefault="008F3512" w:rsidP="00C45106">
      <w:pPr>
        <w:tabs>
          <w:tab w:val="left" w:pos="540"/>
          <w:tab w:val="left" w:pos="569"/>
        </w:tabs>
        <w:jc w:val="both"/>
        <w:rPr>
          <w:bCs/>
          <w:sz w:val="22"/>
          <w:szCs w:val="22"/>
          <w:lang w:val="sr-Latn-ME"/>
        </w:rPr>
      </w:pPr>
    </w:p>
    <w:p w:rsidR="00E42C77" w:rsidRPr="000D7979" w:rsidRDefault="00E42C77" w:rsidP="00C45106">
      <w:pPr>
        <w:tabs>
          <w:tab w:val="left" w:pos="540"/>
          <w:tab w:val="left" w:pos="569"/>
        </w:tabs>
        <w:jc w:val="both"/>
        <w:rPr>
          <w:bCs/>
          <w:sz w:val="22"/>
          <w:szCs w:val="22"/>
          <w:lang w:val="sr-Latn-ME"/>
        </w:rPr>
      </w:pPr>
      <w:r w:rsidRPr="000D7979">
        <w:rPr>
          <w:bCs/>
          <w:sz w:val="22"/>
          <w:szCs w:val="22"/>
          <w:lang w:val="sr-Latn-ME"/>
        </w:rPr>
        <w:t>Analiza demografskih podataka ukazuje na to da farmakokinetika sorafeniba ne zavisi od starosti (do 65 godina), pola ili tjelesne težine.</w:t>
      </w:r>
    </w:p>
    <w:p w:rsidR="00E42C77" w:rsidRPr="000D7979" w:rsidRDefault="00E42C77" w:rsidP="00C45106">
      <w:pPr>
        <w:tabs>
          <w:tab w:val="left" w:pos="540"/>
          <w:tab w:val="left" w:pos="569"/>
        </w:tabs>
        <w:jc w:val="both"/>
        <w:rPr>
          <w:bCs/>
          <w:sz w:val="22"/>
          <w:szCs w:val="22"/>
          <w:lang w:val="sr-Latn-ME"/>
        </w:rPr>
      </w:pPr>
    </w:p>
    <w:p w:rsidR="00E42C77" w:rsidRPr="000D7979" w:rsidRDefault="00E42C77" w:rsidP="00C45106">
      <w:pPr>
        <w:tabs>
          <w:tab w:val="left" w:pos="540"/>
          <w:tab w:val="left" w:pos="569"/>
        </w:tabs>
        <w:jc w:val="both"/>
        <w:rPr>
          <w:bCs/>
          <w:i/>
          <w:sz w:val="22"/>
          <w:szCs w:val="22"/>
          <w:lang w:val="sr-Latn-ME"/>
        </w:rPr>
      </w:pPr>
      <w:r w:rsidRPr="00C45106">
        <w:rPr>
          <w:bCs/>
          <w:i/>
          <w:sz w:val="22"/>
          <w:szCs w:val="22"/>
          <w:lang w:val="sr-Latn-ME"/>
        </w:rPr>
        <w:t>Pedijatrijska populacija</w:t>
      </w:r>
    </w:p>
    <w:p w:rsidR="00E42C77" w:rsidRPr="000D7979" w:rsidRDefault="00E42C77" w:rsidP="00C45106">
      <w:pPr>
        <w:tabs>
          <w:tab w:val="left" w:pos="540"/>
          <w:tab w:val="left" w:pos="569"/>
        </w:tabs>
        <w:jc w:val="both"/>
        <w:rPr>
          <w:bCs/>
          <w:i/>
          <w:sz w:val="22"/>
          <w:szCs w:val="22"/>
          <w:lang w:val="sr-Latn-ME"/>
        </w:rPr>
      </w:pPr>
    </w:p>
    <w:p w:rsidR="00E42C77" w:rsidRPr="000D7979" w:rsidRDefault="00E42C77" w:rsidP="00C45106">
      <w:pPr>
        <w:tabs>
          <w:tab w:val="left" w:pos="540"/>
          <w:tab w:val="left" w:pos="569"/>
        </w:tabs>
        <w:jc w:val="both"/>
        <w:rPr>
          <w:bCs/>
          <w:sz w:val="22"/>
          <w:szCs w:val="22"/>
          <w:lang w:val="sr-Latn-ME"/>
        </w:rPr>
      </w:pPr>
      <w:r w:rsidRPr="00C45106">
        <w:rPr>
          <w:bCs/>
          <w:sz w:val="22"/>
          <w:szCs w:val="22"/>
          <w:lang w:val="sr-Latn-ME"/>
        </w:rPr>
        <w:t>Nijesu sprovedena ispitivanja kojima bi se opisala farmakokinetika sorafeniba u pedijatrijskoj populaciji.</w:t>
      </w:r>
    </w:p>
    <w:p w:rsidR="00E42C77" w:rsidRPr="000D7979" w:rsidRDefault="00E42C77" w:rsidP="00C45106">
      <w:pPr>
        <w:tabs>
          <w:tab w:val="left" w:pos="540"/>
          <w:tab w:val="left" w:pos="569"/>
        </w:tabs>
        <w:jc w:val="both"/>
        <w:rPr>
          <w:bCs/>
          <w:sz w:val="22"/>
          <w:szCs w:val="22"/>
          <w:lang w:val="sr-Latn-ME"/>
        </w:rPr>
      </w:pPr>
    </w:p>
    <w:p w:rsidR="00E42C77" w:rsidRPr="00C45106" w:rsidRDefault="00E42C77" w:rsidP="00C45106">
      <w:pPr>
        <w:tabs>
          <w:tab w:val="left" w:pos="540"/>
          <w:tab w:val="left" w:pos="569"/>
        </w:tabs>
        <w:jc w:val="both"/>
        <w:rPr>
          <w:bCs/>
          <w:i/>
          <w:sz w:val="22"/>
          <w:szCs w:val="22"/>
          <w:lang w:val="sr-Latn-ME"/>
        </w:rPr>
      </w:pPr>
      <w:r w:rsidRPr="00C45106">
        <w:rPr>
          <w:bCs/>
          <w:i/>
          <w:sz w:val="22"/>
          <w:szCs w:val="22"/>
          <w:lang w:val="sr-Latn-ME"/>
        </w:rPr>
        <w:t xml:space="preserve">Rasa </w:t>
      </w:r>
    </w:p>
    <w:p w:rsidR="00E42C77" w:rsidRPr="000D7979" w:rsidRDefault="00E42C77" w:rsidP="00C45106">
      <w:pPr>
        <w:tabs>
          <w:tab w:val="left" w:pos="540"/>
          <w:tab w:val="left" w:pos="569"/>
        </w:tabs>
        <w:jc w:val="both"/>
        <w:rPr>
          <w:bCs/>
          <w:sz w:val="22"/>
          <w:szCs w:val="22"/>
          <w:lang w:val="sr-Latn-ME"/>
        </w:rPr>
      </w:pPr>
    </w:p>
    <w:p w:rsidR="00E42C77" w:rsidRPr="000D7979" w:rsidRDefault="00E42C77" w:rsidP="00C45106">
      <w:pPr>
        <w:tabs>
          <w:tab w:val="left" w:pos="540"/>
          <w:tab w:val="left" w:pos="569"/>
        </w:tabs>
        <w:jc w:val="both"/>
        <w:rPr>
          <w:bCs/>
          <w:sz w:val="22"/>
          <w:szCs w:val="22"/>
          <w:lang w:val="sr-Latn-ME"/>
        </w:rPr>
      </w:pPr>
      <w:r w:rsidRPr="000D7979">
        <w:rPr>
          <w:bCs/>
          <w:sz w:val="22"/>
          <w:szCs w:val="22"/>
          <w:lang w:val="sr-Latn-ME"/>
        </w:rPr>
        <w:t xml:space="preserve">Nema klinički značajnih razlika u farmakokinetici između bijelaca I azijata. </w:t>
      </w:r>
    </w:p>
    <w:p w:rsidR="00E42C77" w:rsidRPr="000D7979" w:rsidRDefault="00E42C77" w:rsidP="00C45106">
      <w:pPr>
        <w:tabs>
          <w:tab w:val="left" w:pos="540"/>
          <w:tab w:val="left" w:pos="569"/>
        </w:tabs>
        <w:jc w:val="both"/>
        <w:rPr>
          <w:bCs/>
          <w:sz w:val="22"/>
          <w:szCs w:val="22"/>
          <w:lang w:val="sr-Latn-ME"/>
        </w:rPr>
      </w:pPr>
    </w:p>
    <w:p w:rsidR="00E42C77" w:rsidRPr="00C45106" w:rsidRDefault="00E42C77" w:rsidP="00C45106">
      <w:pPr>
        <w:tabs>
          <w:tab w:val="left" w:pos="540"/>
          <w:tab w:val="left" w:pos="569"/>
        </w:tabs>
        <w:jc w:val="both"/>
        <w:rPr>
          <w:bCs/>
          <w:i/>
          <w:sz w:val="22"/>
          <w:szCs w:val="22"/>
          <w:lang w:val="sr-Latn-ME"/>
        </w:rPr>
      </w:pPr>
      <w:r w:rsidRPr="00C45106">
        <w:rPr>
          <w:bCs/>
          <w:i/>
          <w:sz w:val="22"/>
          <w:szCs w:val="22"/>
          <w:lang w:val="sr-Latn-ME"/>
        </w:rPr>
        <w:t>Oštećenje bubrežne funkcije</w:t>
      </w:r>
    </w:p>
    <w:p w:rsidR="00E42C77" w:rsidRPr="000D7979" w:rsidRDefault="00E42C77" w:rsidP="00C45106">
      <w:pPr>
        <w:tabs>
          <w:tab w:val="left" w:pos="540"/>
          <w:tab w:val="left" w:pos="569"/>
        </w:tabs>
        <w:jc w:val="both"/>
        <w:rPr>
          <w:bCs/>
          <w:sz w:val="22"/>
          <w:szCs w:val="22"/>
          <w:lang w:val="sr-Latn-ME"/>
        </w:rPr>
      </w:pPr>
    </w:p>
    <w:p w:rsidR="00E42C77" w:rsidRPr="000D7979" w:rsidRDefault="00E42C77" w:rsidP="00C45106">
      <w:pPr>
        <w:tabs>
          <w:tab w:val="left" w:pos="540"/>
          <w:tab w:val="left" w:pos="569"/>
        </w:tabs>
        <w:jc w:val="both"/>
        <w:rPr>
          <w:bCs/>
          <w:sz w:val="22"/>
          <w:szCs w:val="22"/>
          <w:lang w:val="sr-Latn-ME"/>
        </w:rPr>
      </w:pPr>
      <w:r w:rsidRPr="000D7979">
        <w:rPr>
          <w:bCs/>
          <w:sz w:val="22"/>
          <w:szCs w:val="22"/>
          <w:lang w:val="sr-Latn-ME"/>
        </w:rPr>
        <w:t xml:space="preserve">U okviru četiri ispitivanja I faze, </w:t>
      </w:r>
      <w:r w:rsidR="005D650B" w:rsidRPr="000D7979">
        <w:rPr>
          <w:bCs/>
          <w:sz w:val="22"/>
          <w:szCs w:val="22"/>
          <w:lang w:val="sr-Latn-ME"/>
        </w:rPr>
        <w:t>izloženost sorafenibu u stanju dinamičke ravnoteže, kod pacijenata čija je bubrežna funkcija blago do umjereno poremećena, bila je jedaka izloženosti kod pacijenata sa normalnom bubrežnom funkcijom. U kliničkom farmakološkom ispitivanju (jedna doza od 400 mg sorafeniba), nije primijećena povezanost između izloženosti sorafenibu I bubrežne funkcije kod pacijenata sa normalnom bubrežnom funkcijom, blagim, umjerenim ili teškim oštećenjem bubrega. Nijesu dostupni podaci za pacijente na dijalizi.</w:t>
      </w:r>
    </w:p>
    <w:p w:rsidR="005D650B" w:rsidRPr="000D7979" w:rsidRDefault="005D650B" w:rsidP="00C45106">
      <w:pPr>
        <w:tabs>
          <w:tab w:val="left" w:pos="540"/>
          <w:tab w:val="left" w:pos="569"/>
        </w:tabs>
        <w:jc w:val="both"/>
        <w:rPr>
          <w:bCs/>
          <w:sz w:val="22"/>
          <w:szCs w:val="22"/>
          <w:lang w:val="sr-Latn-ME"/>
        </w:rPr>
      </w:pPr>
    </w:p>
    <w:p w:rsidR="005D650B" w:rsidRPr="00C45106" w:rsidRDefault="005D650B" w:rsidP="00C45106">
      <w:pPr>
        <w:tabs>
          <w:tab w:val="left" w:pos="540"/>
          <w:tab w:val="left" w:pos="569"/>
        </w:tabs>
        <w:jc w:val="both"/>
        <w:rPr>
          <w:bCs/>
          <w:i/>
          <w:sz w:val="22"/>
          <w:szCs w:val="22"/>
          <w:lang w:val="sr-Latn-ME"/>
        </w:rPr>
      </w:pPr>
      <w:r w:rsidRPr="00C45106">
        <w:rPr>
          <w:bCs/>
          <w:i/>
          <w:sz w:val="22"/>
          <w:szCs w:val="22"/>
          <w:lang w:val="sr-Latn-ME"/>
        </w:rPr>
        <w:t>Oštećenje funkcije jetre</w:t>
      </w:r>
    </w:p>
    <w:p w:rsidR="005D650B" w:rsidRPr="000D7979" w:rsidRDefault="005D650B" w:rsidP="00C45106">
      <w:pPr>
        <w:tabs>
          <w:tab w:val="left" w:pos="540"/>
          <w:tab w:val="left" w:pos="569"/>
        </w:tabs>
        <w:jc w:val="both"/>
        <w:rPr>
          <w:bCs/>
          <w:sz w:val="22"/>
          <w:szCs w:val="22"/>
          <w:lang w:val="sr-Latn-ME"/>
        </w:rPr>
      </w:pPr>
    </w:p>
    <w:p w:rsidR="005D650B" w:rsidRPr="000D7979" w:rsidRDefault="005D650B" w:rsidP="00C45106">
      <w:pPr>
        <w:tabs>
          <w:tab w:val="left" w:pos="540"/>
          <w:tab w:val="left" w:pos="569"/>
        </w:tabs>
        <w:jc w:val="both"/>
        <w:rPr>
          <w:bCs/>
          <w:sz w:val="22"/>
          <w:szCs w:val="22"/>
          <w:lang w:val="sr-Latn-ME"/>
        </w:rPr>
      </w:pPr>
      <w:r w:rsidRPr="000D7979">
        <w:rPr>
          <w:bCs/>
          <w:sz w:val="22"/>
          <w:szCs w:val="22"/>
          <w:lang w:val="sr-Latn-ME"/>
        </w:rPr>
        <w:t xml:space="preserve">Kod oboljelih od hepatocelularnog </w:t>
      </w:r>
      <w:r w:rsidR="00C10107" w:rsidRPr="000D7979">
        <w:rPr>
          <w:bCs/>
          <w:sz w:val="22"/>
          <w:szCs w:val="22"/>
          <w:lang w:val="sr-Latn-ME"/>
        </w:rPr>
        <w:t>k</w:t>
      </w:r>
      <w:r w:rsidRPr="000D7979">
        <w:rPr>
          <w:bCs/>
          <w:sz w:val="22"/>
          <w:szCs w:val="22"/>
          <w:lang w:val="sr-Latn-ME"/>
        </w:rPr>
        <w:t xml:space="preserve">arcinoma sa oštećenjem funkcije jetre </w:t>
      </w:r>
      <w:r w:rsidR="00C10107" w:rsidRPr="000D7979">
        <w:rPr>
          <w:bCs/>
          <w:sz w:val="22"/>
          <w:szCs w:val="22"/>
          <w:lang w:val="sr-Latn-ME"/>
        </w:rPr>
        <w:t xml:space="preserve">Child-Pugh stadijuma A ili B (blago do umjereno), izloženost lijeku nakon terapijske primjene je bila uporediva I kretala se u istom opsegu kao I kod pacijenata sa normalnom funkcijom jetre. Farmakokinetika sorafeniba kod pacijenata bez hepatocelularnog karcinoma sa oštećenjem jetrene funkcije </w:t>
      </w:r>
      <w:r w:rsidR="00C10107" w:rsidRPr="000D7979">
        <w:rPr>
          <w:sz w:val="22"/>
          <w:szCs w:val="22"/>
          <w:lang w:val="sr-Latn-ME"/>
        </w:rPr>
        <w:t xml:space="preserve">Child-Pugh stadijuma A ili B, bila je slična farmakokinetici kod zdravih dobrovoljaca. Nema dostupnih podataka za pacijente sa oštećenjem funkcije jetre Child-Pugh stadijuma C (teško). Sorafenib se prvenstveno izlučuje putem jetre, te izloženost lijeku u ovoj populaciji može biti povećana.  </w:t>
      </w:r>
    </w:p>
    <w:p w:rsidR="005D650B" w:rsidRPr="000D7979" w:rsidRDefault="005D650B"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5.3. </w:t>
      </w:r>
      <w:r w:rsidR="00480FB1" w:rsidRPr="000D7979">
        <w:rPr>
          <w:b/>
          <w:bCs/>
          <w:sz w:val="22"/>
          <w:szCs w:val="22"/>
          <w:lang w:val="sr-Latn-ME"/>
        </w:rPr>
        <w:tab/>
      </w:r>
      <w:r w:rsidRPr="000D7979">
        <w:rPr>
          <w:b/>
          <w:bCs/>
          <w:sz w:val="22"/>
          <w:szCs w:val="22"/>
          <w:lang w:val="sr-Latn-ME"/>
        </w:rPr>
        <w:t xml:space="preserve">Pretklinički podaci o bezbjednosti </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00A05">
      <w:pPr>
        <w:tabs>
          <w:tab w:val="left" w:pos="540"/>
          <w:tab w:val="left" w:pos="569"/>
        </w:tabs>
        <w:jc w:val="both"/>
        <w:rPr>
          <w:bCs/>
          <w:sz w:val="22"/>
          <w:szCs w:val="22"/>
          <w:lang w:val="sr-Latn-ME"/>
        </w:rPr>
      </w:pPr>
      <w:r w:rsidRPr="000D7979">
        <w:rPr>
          <w:bCs/>
          <w:sz w:val="22"/>
          <w:szCs w:val="22"/>
          <w:lang w:val="sr-Latn-ME"/>
        </w:rPr>
        <w:t>U pretkliničkim studijama, bezbjednost primjene lijeka je proc</w:t>
      </w:r>
      <w:r w:rsidR="00C10107" w:rsidRPr="000D7979">
        <w:rPr>
          <w:bCs/>
          <w:sz w:val="22"/>
          <w:szCs w:val="22"/>
          <w:lang w:val="sr-Latn-ME"/>
        </w:rPr>
        <w:t>i</w:t>
      </w:r>
      <w:r w:rsidRPr="000D7979">
        <w:rPr>
          <w:bCs/>
          <w:sz w:val="22"/>
          <w:szCs w:val="22"/>
          <w:lang w:val="sr-Latn-ME"/>
        </w:rPr>
        <w:t>jenjivana kod miševa, pacova, pasa i kunića. Studije toksičnosti ponovljenih doza otkrile su promjene (degeneracija i regeneracija) u različitim organima pri izloženostima nižim od predviđenih za kliničku primjenu (na osnovu poređenja PIK).</w:t>
      </w:r>
    </w:p>
    <w:p w:rsidR="00E73804" w:rsidRPr="000D7979" w:rsidRDefault="00E73804" w:rsidP="00A13D0A">
      <w:pPr>
        <w:tabs>
          <w:tab w:val="left" w:pos="540"/>
          <w:tab w:val="left" w:pos="569"/>
        </w:tabs>
        <w:jc w:val="both"/>
        <w:rPr>
          <w:bCs/>
          <w:sz w:val="22"/>
          <w:szCs w:val="22"/>
          <w:lang w:val="sr-Latn-ME"/>
        </w:rPr>
      </w:pPr>
      <w:r w:rsidRPr="000D7979">
        <w:rPr>
          <w:bCs/>
          <w:sz w:val="22"/>
          <w:szCs w:val="22"/>
          <w:lang w:val="sr-Latn-ME"/>
        </w:rPr>
        <w:lastRenderedPageBreak/>
        <w:t>Nakon ponovljenih doza kod mladunaca i pasa u fazi rasta, uočeno je da sorafenib djeluje na kosti i zube pri izloženosti nižoj od predviđene za kliničku upotrebu. Te promjene su se sastojale od nepravilnog zadebljanja femoralne zone rasta, smanjene celularnosti koštane srži u području uz zonu rasta i promjena u sastavu dentina. Kod odraslih pasa slična dejstva ni</w:t>
      </w:r>
      <w:r w:rsidR="002A2F3A" w:rsidRPr="000D7979">
        <w:rPr>
          <w:bCs/>
          <w:sz w:val="22"/>
          <w:szCs w:val="22"/>
          <w:lang w:val="sr-Latn-ME"/>
        </w:rPr>
        <w:t>je</w:t>
      </w:r>
      <w:r w:rsidRPr="000D7979">
        <w:rPr>
          <w:bCs/>
          <w:sz w:val="22"/>
          <w:szCs w:val="22"/>
          <w:lang w:val="sr-Latn-ME"/>
        </w:rPr>
        <w:t>su izazvana.</w:t>
      </w:r>
    </w:p>
    <w:p w:rsidR="00E73804" w:rsidRPr="000D7979" w:rsidRDefault="00E73804">
      <w:pPr>
        <w:tabs>
          <w:tab w:val="left" w:pos="540"/>
          <w:tab w:val="left" w:pos="569"/>
        </w:tabs>
        <w:jc w:val="both"/>
        <w:rPr>
          <w:bCs/>
          <w:sz w:val="22"/>
          <w:szCs w:val="22"/>
          <w:lang w:val="sr-Latn-ME"/>
        </w:rPr>
      </w:pPr>
    </w:p>
    <w:p w:rsidR="00E73804" w:rsidRPr="000D7979" w:rsidRDefault="00E73804">
      <w:pPr>
        <w:tabs>
          <w:tab w:val="left" w:pos="540"/>
          <w:tab w:val="left" w:pos="569"/>
        </w:tabs>
        <w:jc w:val="both"/>
        <w:rPr>
          <w:bCs/>
          <w:sz w:val="22"/>
          <w:szCs w:val="22"/>
          <w:lang w:val="sr-Latn-ME"/>
        </w:rPr>
      </w:pPr>
      <w:r w:rsidRPr="000D7979">
        <w:rPr>
          <w:bCs/>
          <w:sz w:val="22"/>
          <w:szCs w:val="22"/>
          <w:lang w:val="sr-Latn-ME"/>
        </w:rPr>
        <w:t xml:space="preserve">Sproveden je i standardni program studija genotoksičnosti, a pozitivni rezultati su dobijeni u vidu povećanja učestalosti strukturnih aberacija hromozoma detektovanih u genomu ćelija sisara (ovarijumu kineskog hrčka) </w:t>
      </w:r>
      <w:r w:rsidRPr="000D7979">
        <w:rPr>
          <w:bCs/>
          <w:i/>
          <w:sz w:val="22"/>
          <w:szCs w:val="22"/>
          <w:lang w:val="sr-Latn-ME"/>
        </w:rPr>
        <w:t xml:space="preserve">in vitro </w:t>
      </w:r>
      <w:r w:rsidRPr="000D7979">
        <w:rPr>
          <w:bCs/>
          <w:sz w:val="22"/>
          <w:szCs w:val="22"/>
          <w:lang w:val="sr-Latn-ME"/>
        </w:rPr>
        <w:t xml:space="preserve">testiranjem klastogenosti u uslovima metaboličke aktivacije. Sorafenib se nije pokazao genotoksičnim prema rezultatima Amesovog testa ili u </w:t>
      </w:r>
      <w:r w:rsidRPr="000D7979">
        <w:rPr>
          <w:bCs/>
          <w:i/>
          <w:sz w:val="22"/>
          <w:szCs w:val="22"/>
          <w:lang w:val="sr-Latn-ME"/>
        </w:rPr>
        <w:t xml:space="preserve">in vivo </w:t>
      </w:r>
      <w:r w:rsidRPr="000D7979">
        <w:rPr>
          <w:bCs/>
          <w:sz w:val="22"/>
          <w:szCs w:val="22"/>
          <w:lang w:val="sr-Latn-ME"/>
        </w:rPr>
        <w:t>mišjem mikronukleus testu</w:t>
      </w:r>
      <w:r w:rsidRPr="000D7979">
        <w:rPr>
          <w:bCs/>
          <w:i/>
          <w:sz w:val="22"/>
          <w:szCs w:val="22"/>
          <w:lang w:val="sr-Latn-ME"/>
        </w:rPr>
        <w:t xml:space="preserve">. </w:t>
      </w:r>
      <w:r w:rsidRPr="000D7979">
        <w:rPr>
          <w:bCs/>
          <w:sz w:val="22"/>
          <w:szCs w:val="22"/>
          <w:lang w:val="sr-Latn-ME"/>
        </w:rPr>
        <w:t>Jedan</w:t>
      </w:r>
      <w:r w:rsidRPr="000D7979">
        <w:rPr>
          <w:sz w:val="22"/>
          <w:szCs w:val="22"/>
          <w:lang w:val="sr-Latn-ME"/>
        </w:rPr>
        <w:t xml:space="preserve"> </w:t>
      </w:r>
      <w:r w:rsidRPr="000D7979">
        <w:rPr>
          <w:bCs/>
          <w:sz w:val="22"/>
          <w:szCs w:val="22"/>
          <w:lang w:val="sr-Latn-ME"/>
        </w:rPr>
        <w:t xml:space="preserve">međuproizvod koji nastaje tokom proizvodnog procesa, koji je prisutan i u finalnoj aktivnoj supstanci (&lt; 0,15%), bio je mutagen prema </w:t>
      </w:r>
      <w:r w:rsidRPr="000D7979">
        <w:rPr>
          <w:bCs/>
          <w:i/>
          <w:sz w:val="22"/>
          <w:szCs w:val="22"/>
          <w:lang w:val="sr-Latn-ME"/>
        </w:rPr>
        <w:t xml:space="preserve">in vitro </w:t>
      </w:r>
      <w:r w:rsidRPr="000D7979">
        <w:rPr>
          <w:bCs/>
          <w:sz w:val="22"/>
          <w:szCs w:val="22"/>
          <w:lang w:val="sr-Latn-ME"/>
        </w:rPr>
        <w:t>testu na bakterijskim ćelijama (Amesov test). Takođe, proizvodna serija sorafeniba, podvrgnuta standardnoj bateriji testova genotoksičnosti, sadržala je 0,34% PAPE.</w:t>
      </w:r>
    </w:p>
    <w:p w:rsidR="00E73804" w:rsidRPr="000D7979" w:rsidRDefault="00E73804">
      <w:pPr>
        <w:tabs>
          <w:tab w:val="left" w:pos="540"/>
          <w:tab w:val="left" w:pos="569"/>
        </w:tabs>
        <w:jc w:val="both"/>
        <w:rPr>
          <w:bCs/>
          <w:sz w:val="22"/>
          <w:szCs w:val="22"/>
          <w:lang w:val="sr-Latn-ME"/>
        </w:rPr>
      </w:pPr>
      <w:r w:rsidRPr="000D7979">
        <w:rPr>
          <w:bCs/>
          <w:sz w:val="22"/>
          <w:szCs w:val="22"/>
          <w:lang w:val="sr-Latn-ME"/>
        </w:rPr>
        <w:t>Studije kancerogenosti sorafeniba ni</w:t>
      </w:r>
      <w:r w:rsidR="002A2F3A" w:rsidRPr="000D7979">
        <w:rPr>
          <w:bCs/>
          <w:sz w:val="22"/>
          <w:szCs w:val="22"/>
          <w:lang w:val="sr-Latn-ME"/>
        </w:rPr>
        <w:t>je</w:t>
      </w:r>
      <w:r w:rsidRPr="000D7979">
        <w:rPr>
          <w:bCs/>
          <w:sz w:val="22"/>
          <w:szCs w:val="22"/>
          <w:lang w:val="sr-Latn-ME"/>
        </w:rPr>
        <w:t>su sprovedene.</w:t>
      </w:r>
    </w:p>
    <w:p w:rsidR="00836B35" w:rsidRPr="000D7979" w:rsidRDefault="00836B35">
      <w:pPr>
        <w:tabs>
          <w:tab w:val="left" w:pos="540"/>
          <w:tab w:val="left" w:pos="569"/>
        </w:tabs>
        <w:jc w:val="both"/>
        <w:rPr>
          <w:bCs/>
          <w:sz w:val="22"/>
          <w:szCs w:val="22"/>
          <w:lang w:val="sr-Latn-ME"/>
        </w:rPr>
      </w:pPr>
    </w:p>
    <w:p w:rsidR="00E73804" w:rsidRPr="000D7979" w:rsidRDefault="00E73804">
      <w:pPr>
        <w:tabs>
          <w:tab w:val="left" w:pos="540"/>
          <w:tab w:val="left" w:pos="569"/>
        </w:tabs>
        <w:jc w:val="both"/>
        <w:rPr>
          <w:bCs/>
          <w:sz w:val="22"/>
          <w:szCs w:val="22"/>
          <w:lang w:val="sr-Latn-ME"/>
        </w:rPr>
      </w:pPr>
      <w:r w:rsidRPr="000D7979">
        <w:rPr>
          <w:bCs/>
          <w:sz w:val="22"/>
          <w:szCs w:val="22"/>
          <w:lang w:val="sr-Latn-ME"/>
        </w:rPr>
        <w:t>Ni</w:t>
      </w:r>
      <w:r w:rsidR="002A2F3A" w:rsidRPr="000D7979">
        <w:rPr>
          <w:bCs/>
          <w:sz w:val="22"/>
          <w:szCs w:val="22"/>
          <w:lang w:val="sr-Latn-ME"/>
        </w:rPr>
        <w:t>je</w:t>
      </w:r>
      <w:r w:rsidRPr="000D7979">
        <w:rPr>
          <w:bCs/>
          <w:sz w:val="22"/>
          <w:szCs w:val="22"/>
          <w:lang w:val="sr-Latn-ME"/>
        </w:rPr>
        <w:t>su sprovedene specifične studije sorafeniba na životinjama kako bi se procijenio uticaj sorafeniba na plodnost. Može se očekivati neželjeno dejstvo na mušku i žensku plodnost, budući da su studije ponovljenih doza na životinjama pokazale promjene na reproduktivnim organima mužjaka i ženki pri izloženosti nižoj od predviđene za kliničku primjenu (na osnovu PIK). U tipične promjene su spadali znaci degeneracije i zastoja u rastu testisa, epididimisa, prostate i sjemenih kesica kod pacova. Kod ženki pacova došlo je do centralne nekroze žutog tijela i zastoja u razvoju folikula u ovarijumima. Kod pasa je došlo do tubularne degeneracije testisa i oligospermije.</w:t>
      </w:r>
    </w:p>
    <w:p w:rsidR="00E73804" w:rsidRPr="000D7979" w:rsidRDefault="00E73804">
      <w:pPr>
        <w:tabs>
          <w:tab w:val="left" w:pos="540"/>
          <w:tab w:val="left" w:pos="569"/>
        </w:tabs>
        <w:jc w:val="both"/>
        <w:rPr>
          <w:bCs/>
          <w:sz w:val="22"/>
          <w:szCs w:val="22"/>
          <w:lang w:val="sr-Latn-ME"/>
        </w:rPr>
      </w:pPr>
    </w:p>
    <w:p w:rsidR="00E73804" w:rsidRPr="000D7979" w:rsidRDefault="00E73804">
      <w:pPr>
        <w:tabs>
          <w:tab w:val="left" w:pos="540"/>
          <w:tab w:val="left" w:pos="569"/>
        </w:tabs>
        <w:jc w:val="both"/>
        <w:rPr>
          <w:bCs/>
          <w:sz w:val="22"/>
          <w:szCs w:val="22"/>
          <w:lang w:val="sr-Latn-ME"/>
        </w:rPr>
      </w:pPr>
      <w:r w:rsidRPr="000D7979">
        <w:rPr>
          <w:bCs/>
          <w:sz w:val="22"/>
          <w:szCs w:val="22"/>
          <w:lang w:val="sr-Latn-ME"/>
        </w:rPr>
        <w:t>Sorafenib se pokazao embriotoksičnim i teratogenim kod pacova i kunića pri izloženostima nižim od onih koje se koriste u kliničkoj praksi. Uočena dejstva uključivala su gubitak tjelesne mase majke i ploda, povećan broj fetalnih resorpcija i povećan broj spoljašnjih i visceralnih malformacija.</w:t>
      </w:r>
    </w:p>
    <w:p w:rsidR="00E73804" w:rsidRPr="000D7979" w:rsidRDefault="00E73804">
      <w:pPr>
        <w:tabs>
          <w:tab w:val="left" w:pos="540"/>
          <w:tab w:val="left" w:pos="569"/>
        </w:tabs>
        <w:jc w:val="both"/>
        <w:rPr>
          <w:bCs/>
          <w:sz w:val="22"/>
          <w:szCs w:val="22"/>
          <w:lang w:val="sr-Latn-ME"/>
        </w:rPr>
      </w:pPr>
    </w:p>
    <w:p w:rsidR="00E73804" w:rsidRPr="000D7979" w:rsidRDefault="00E73804">
      <w:pPr>
        <w:tabs>
          <w:tab w:val="left" w:pos="540"/>
          <w:tab w:val="left" w:pos="569"/>
        </w:tabs>
        <w:jc w:val="both"/>
        <w:rPr>
          <w:bCs/>
          <w:sz w:val="22"/>
          <w:szCs w:val="22"/>
          <w:lang w:val="sr-Latn-ME"/>
        </w:rPr>
      </w:pPr>
      <w:r w:rsidRPr="000D7979">
        <w:rPr>
          <w:bCs/>
          <w:sz w:val="22"/>
          <w:szCs w:val="22"/>
          <w:lang w:val="sr-Latn-ME"/>
        </w:rPr>
        <w:t xml:space="preserve">Studije procjene rizika </w:t>
      </w:r>
      <w:r w:rsidR="002A2F3A" w:rsidRPr="000D7979">
        <w:rPr>
          <w:bCs/>
          <w:sz w:val="22"/>
          <w:szCs w:val="22"/>
          <w:lang w:val="sr-Latn-ME"/>
        </w:rPr>
        <w:t>na</w:t>
      </w:r>
      <w:r w:rsidRPr="000D7979">
        <w:rPr>
          <w:bCs/>
          <w:sz w:val="22"/>
          <w:szCs w:val="22"/>
          <w:lang w:val="sr-Latn-ME"/>
        </w:rPr>
        <w:t xml:space="preserve"> životnu sredinu pokazale su da sorafenib tosilat ima potencijal perzistencije, bioakumulacije i toksičnosti za životnu sredinu. Informacije o procjeni rizika za životnu sredinu dostupne su u Evropskom javnom izvještaju o procjeni ovog lijeka (EPAR) (vidjeti </w:t>
      </w:r>
      <w:r w:rsidR="002A2F3A" w:rsidRPr="000D7979">
        <w:rPr>
          <w:bCs/>
          <w:sz w:val="22"/>
          <w:szCs w:val="22"/>
          <w:lang w:val="sr-Latn-ME"/>
        </w:rPr>
        <w:t xml:space="preserve">dio </w:t>
      </w:r>
      <w:r w:rsidRPr="000D7979">
        <w:rPr>
          <w:bCs/>
          <w:sz w:val="22"/>
          <w:szCs w:val="22"/>
          <w:lang w:val="sr-Latn-ME"/>
        </w:rPr>
        <w:t>6.6).</w:t>
      </w:r>
    </w:p>
    <w:p w:rsidR="00396DFD" w:rsidRPr="000D7979" w:rsidRDefault="00396DFD" w:rsidP="00C45106">
      <w:pPr>
        <w:tabs>
          <w:tab w:val="left" w:pos="540"/>
          <w:tab w:val="left" w:pos="569"/>
        </w:tabs>
        <w:jc w:val="both"/>
        <w:rPr>
          <w:b/>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 </w:t>
      </w:r>
      <w:r w:rsidR="00480FB1" w:rsidRPr="000D7979">
        <w:rPr>
          <w:b/>
          <w:bCs/>
          <w:sz w:val="22"/>
          <w:szCs w:val="22"/>
          <w:lang w:val="sr-Latn-ME"/>
        </w:rPr>
        <w:tab/>
      </w:r>
      <w:r w:rsidRPr="000D7979">
        <w:rPr>
          <w:b/>
          <w:bCs/>
          <w:sz w:val="22"/>
          <w:szCs w:val="22"/>
          <w:lang w:val="sr-Latn-ME"/>
        </w:rPr>
        <w:t>FARMACEUTSKI PODACI</w:t>
      </w:r>
    </w:p>
    <w:p w:rsidR="00836B35" w:rsidRPr="000D7979" w:rsidRDefault="00836B35"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6.1. </w:t>
      </w:r>
      <w:r w:rsidR="00480FB1" w:rsidRPr="000D7979">
        <w:rPr>
          <w:b/>
          <w:bCs/>
          <w:sz w:val="22"/>
          <w:szCs w:val="22"/>
          <w:lang w:val="sr-Latn-ME"/>
        </w:rPr>
        <w:tab/>
      </w:r>
      <w:r w:rsidRPr="000D7979">
        <w:rPr>
          <w:b/>
          <w:bCs/>
          <w:sz w:val="22"/>
          <w:szCs w:val="22"/>
          <w:lang w:val="sr-Latn-ME"/>
        </w:rPr>
        <w:t>Lista pomoćnih supstanci</w:t>
      </w:r>
      <w:r w:rsidR="002E0135" w:rsidRPr="000D7979">
        <w:rPr>
          <w:b/>
          <w:bCs/>
          <w:sz w:val="22"/>
          <w:szCs w:val="22"/>
          <w:lang w:val="sr-Latn-ME"/>
        </w:rPr>
        <w:t xml:space="preserve"> (ekscipijenasa)</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u w:val="single"/>
          <w:lang w:val="sr-Latn-ME"/>
        </w:rPr>
        <w:t>Jezgro tablete:</w:t>
      </w:r>
    </w:p>
    <w:p w:rsidR="00976ED2"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Celuloza, mikrokristalna </w:t>
      </w:r>
    </w:p>
    <w:p w:rsidR="00976ED2"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Natrijum laurilsulfat </w:t>
      </w:r>
    </w:p>
    <w:p w:rsidR="00976ED2"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Kroskarmeloza natrijum </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Hipromeloza </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Magnezijum stearat</w:t>
      </w:r>
    </w:p>
    <w:p w:rsidR="00E73804" w:rsidRPr="000D7979" w:rsidRDefault="00E73804" w:rsidP="00C45106">
      <w:pPr>
        <w:tabs>
          <w:tab w:val="left" w:pos="540"/>
          <w:tab w:val="left" w:pos="569"/>
        </w:tabs>
        <w:jc w:val="both"/>
        <w:rPr>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u w:val="single"/>
          <w:lang w:val="sr-Latn-ME"/>
        </w:rPr>
        <w:t>Omotač tablete:</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Hipromeloza </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 xml:space="preserve">Makrogol </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Titan dioksid (E 171)</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Gvožđe (III) oksid, crveni (E 172)</w:t>
      </w:r>
    </w:p>
    <w:p w:rsidR="0072020E" w:rsidRPr="000D7979" w:rsidRDefault="0072020E"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6.2. </w:t>
      </w:r>
      <w:r w:rsidR="00480FB1" w:rsidRPr="000D7979">
        <w:rPr>
          <w:b/>
          <w:bCs/>
          <w:sz w:val="22"/>
          <w:szCs w:val="22"/>
          <w:lang w:val="sr-Latn-ME"/>
        </w:rPr>
        <w:tab/>
      </w:r>
      <w:r w:rsidRPr="000D7979">
        <w:rPr>
          <w:b/>
          <w:bCs/>
          <w:sz w:val="22"/>
          <w:szCs w:val="22"/>
          <w:lang w:val="sr-Latn-ME"/>
        </w:rPr>
        <w:t>Inkompatibilnost</w:t>
      </w:r>
      <w:r w:rsidR="002846DB" w:rsidRPr="000D7979">
        <w:rPr>
          <w:b/>
          <w:bCs/>
          <w:sz w:val="22"/>
          <w:szCs w:val="22"/>
          <w:lang w:val="sr-Latn-ME"/>
        </w:rPr>
        <w:t>i</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Nije primjenjivo.</w:t>
      </w:r>
    </w:p>
    <w:p w:rsidR="0072020E" w:rsidRPr="000D7979" w:rsidRDefault="0072020E"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6.3.</w:t>
      </w:r>
      <w:r w:rsidR="00C05DF8" w:rsidRPr="000D7979">
        <w:rPr>
          <w:b/>
          <w:bCs/>
          <w:sz w:val="22"/>
          <w:szCs w:val="22"/>
          <w:lang w:val="sr-Latn-ME"/>
        </w:rPr>
        <w:t xml:space="preserve"> </w:t>
      </w:r>
      <w:r w:rsidR="00480FB1" w:rsidRPr="000D7979">
        <w:rPr>
          <w:b/>
          <w:bCs/>
          <w:sz w:val="22"/>
          <w:szCs w:val="22"/>
          <w:lang w:val="sr-Latn-ME"/>
        </w:rPr>
        <w:tab/>
      </w:r>
      <w:r w:rsidRPr="000D7979">
        <w:rPr>
          <w:b/>
          <w:bCs/>
          <w:sz w:val="22"/>
          <w:szCs w:val="22"/>
          <w:lang w:val="sr-Latn-ME"/>
        </w:rPr>
        <w:t>Rok upotrebe</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lastRenderedPageBreak/>
        <w:t>3 godine</w:t>
      </w:r>
    </w:p>
    <w:p w:rsidR="0072020E" w:rsidRPr="000D7979" w:rsidRDefault="0072020E"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6.4. </w:t>
      </w:r>
      <w:r w:rsidR="00480FB1" w:rsidRPr="000D7979">
        <w:rPr>
          <w:b/>
          <w:bCs/>
          <w:sz w:val="22"/>
          <w:szCs w:val="22"/>
          <w:lang w:val="sr-Latn-ME"/>
        </w:rPr>
        <w:tab/>
      </w:r>
      <w:r w:rsidRPr="000D7979">
        <w:rPr>
          <w:b/>
          <w:bCs/>
          <w:sz w:val="22"/>
          <w:szCs w:val="22"/>
          <w:lang w:val="sr-Latn-ME"/>
        </w:rPr>
        <w:t>Posebne mjere upozorenja pri čuvanju</w:t>
      </w:r>
      <w:r w:rsidR="00F8570A" w:rsidRPr="000D7979">
        <w:rPr>
          <w:b/>
          <w:bCs/>
          <w:sz w:val="22"/>
          <w:szCs w:val="22"/>
          <w:lang w:val="sr-Latn-ME"/>
        </w:rPr>
        <w:t xml:space="preserve"> lijeka</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00A05">
      <w:pPr>
        <w:tabs>
          <w:tab w:val="left" w:pos="540"/>
          <w:tab w:val="left" w:pos="569"/>
        </w:tabs>
        <w:jc w:val="both"/>
        <w:rPr>
          <w:bCs/>
          <w:sz w:val="22"/>
          <w:szCs w:val="22"/>
          <w:lang w:val="sr-Latn-ME"/>
        </w:rPr>
      </w:pPr>
      <w:r w:rsidRPr="000D7979">
        <w:rPr>
          <w:bCs/>
          <w:sz w:val="22"/>
          <w:szCs w:val="22"/>
          <w:lang w:val="sr-Latn-ME"/>
        </w:rPr>
        <w:t>Ovaj lijek ne zahtijeva čuvanje na određenoj temperaturi. Čuvati u originalnom pakovanju u cilju zaštite od vlage.</w:t>
      </w:r>
    </w:p>
    <w:p w:rsidR="00EC2532" w:rsidRPr="000D7979" w:rsidRDefault="00EC2532" w:rsidP="00C45106">
      <w:pPr>
        <w:tabs>
          <w:tab w:val="left" w:pos="540"/>
          <w:tab w:val="left" w:pos="569"/>
        </w:tabs>
        <w:jc w:val="both"/>
        <w:rPr>
          <w:bCs/>
          <w:sz w:val="22"/>
          <w:szCs w:val="22"/>
          <w:lang w:val="sr-Latn-ME"/>
        </w:rPr>
      </w:pPr>
    </w:p>
    <w:p w:rsidR="0072020E"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6.5. </w:t>
      </w:r>
      <w:r w:rsidR="00480FB1" w:rsidRPr="000D7979">
        <w:rPr>
          <w:b/>
          <w:bCs/>
          <w:sz w:val="22"/>
          <w:szCs w:val="22"/>
          <w:lang w:val="sr-Latn-ME"/>
        </w:rPr>
        <w:tab/>
      </w:r>
      <w:r w:rsidR="002846DB" w:rsidRPr="000D7979">
        <w:rPr>
          <w:b/>
          <w:bCs/>
          <w:sz w:val="22"/>
          <w:szCs w:val="22"/>
          <w:lang w:val="sr-Latn-ME"/>
        </w:rPr>
        <w:t xml:space="preserve">Vrsta i sadržaj </w:t>
      </w:r>
      <w:r w:rsidR="00F8570A" w:rsidRPr="000D7979">
        <w:rPr>
          <w:b/>
          <w:bCs/>
          <w:sz w:val="22"/>
          <w:szCs w:val="22"/>
          <w:lang w:val="sr-Latn-ME"/>
        </w:rPr>
        <w:t>pakovanja</w:t>
      </w:r>
      <w:r w:rsidR="00C06864" w:rsidRPr="000D7979">
        <w:rPr>
          <w:b/>
          <w:bCs/>
          <w:sz w:val="22"/>
          <w:szCs w:val="22"/>
          <w:lang w:val="sr-Latn-ME"/>
        </w:rPr>
        <w:t xml:space="preserve"> </w:t>
      </w:r>
    </w:p>
    <w:p w:rsidR="00E73804" w:rsidRPr="000D7979" w:rsidRDefault="00E73804" w:rsidP="00C45106">
      <w:pPr>
        <w:tabs>
          <w:tab w:val="left" w:pos="540"/>
          <w:tab w:val="left" w:pos="569"/>
        </w:tabs>
        <w:jc w:val="both"/>
        <w:rPr>
          <w:b/>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PVC/Aclar/PVC-Al ili OPA/Al/PVC-Al blisteri.</w:t>
      </w:r>
    </w:p>
    <w:p w:rsidR="00E73804" w:rsidRPr="000D7979" w:rsidRDefault="00E73804" w:rsidP="00C45106">
      <w:pPr>
        <w:tabs>
          <w:tab w:val="left" w:pos="540"/>
          <w:tab w:val="left" w:pos="569"/>
        </w:tabs>
        <w:jc w:val="both"/>
        <w:rPr>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Sorafenib Teva 200 mg film tablete dostupne su u pakovanju od 112 film tableta u blisterima. Spoljašnje pakovanje sadrži 8 blistera sa po 14 film tableta.</w:t>
      </w:r>
    </w:p>
    <w:p w:rsidR="0072020E" w:rsidRPr="000D7979" w:rsidRDefault="0072020E" w:rsidP="00C45106">
      <w:pPr>
        <w:tabs>
          <w:tab w:val="left" w:pos="540"/>
          <w:tab w:val="left" w:pos="569"/>
        </w:tabs>
        <w:jc w:val="both"/>
        <w:rPr>
          <w:bCs/>
          <w:sz w:val="22"/>
          <w:szCs w:val="22"/>
          <w:lang w:val="sr-Latn-ME"/>
        </w:rPr>
      </w:pPr>
    </w:p>
    <w:p w:rsidR="002846DB"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6.6. </w:t>
      </w:r>
      <w:r w:rsidR="00480FB1" w:rsidRPr="000D7979">
        <w:rPr>
          <w:b/>
          <w:bCs/>
          <w:sz w:val="22"/>
          <w:szCs w:val="22"/>
          <w:lang w:val="sr-Latn-ME"/>
        </w:rPr>
        <w:tab/>
      </w:r>
      <w:r w:rsidRPr="000D7979">
        <w:rPr>
          <w:b/>
          <w:bCs/>
          <w:color w:val="000000"/>
          <w:sz w:val="22"/>
          <w:szCs w:val="22"/>
          <w:lang w:val="sr-Latn-ME"/>
        </w:rPr>
        <w:t>Posebne mjere opreza pri odlaganju materijala koji treba odbaciti nakon primjene lijeka</w:t>
      </w:r>
      <w:r w:rsidRPr="000D7979">
        <w:rPr>
          <w:b/>
          <w:bCs/>
          <w:sz w:val="22"/>
          <w:szCs w:val="22"/>
          <w:lang w:val="sr-Latn-ME"/>
        </w:rPr>
        <w:t xml:space="preserve"> </w:t>
      </w:r>
      <w:r w:rsidR="00310F03" w:rsidRPr="000D7979">
        <w:rPr>
          <w:b/>
          <w:bCs/>
          <w:sz w:val="22"/>
          <w:szCs w:val="22"/>
          <w:lang w:val="sr-Latn-ME"/>
        </w:rPr>
        <w:t>(i druga uputs</w:t>
      </w:r>
      <w:r w:rsidR="004109FA" w:rsidRPr="000D7979">
        <w:rPr>
          <w:b/>
          <w:bCs/>
          <w:sz w:val="22"/>
          <w:szCs w:val="22"/>
          <w:lang w:val="sr-Latn-ME"/>
        </w:rPr>
        <w:t>t</w:t>
      </w:r>
      <w:r w:rsidR="00310F03" w:rsidRPr="000D7979">
        <w:rPr>
          <w:b/>
          <w:bCs/>
          <w:sz w:val="22"/>
          <w:szCs w:val="22"/>
          <w:lang w:val="sr-Latn-ME"/>
        </w:rPr>
        <w:t xml:space="preserve">va za rukovanje lijekom) </w:t>
      </w:r>
    </w:p>
    <w:p w:rsidR="00E73804" w:rsidRPr="000D7979" w:rsidRDefault="00E73804" w:rsidP="00C45106">
      <w:pPr>
        <w:tabs>
          <w:tab w:val="left" w:pos="540"/>
          <w:tab w:val="left" w:pos="569"/>
        </w:tabs>
        <w:jc w:val="both"/>
        <w:rPr>
          <w:b/>
          <w:bCs/>
          <w:sz w:val="22"/>
          <w:szCs w:val="22"/>
          <w:lang w:val="sr-Latn-ME"/>
        </w:rPr>
      </w:pPr>
    </w:p>
    <w:p w:rsidR="00B66A70" w:rsidRPr="000D7979" w:rsidRDefault="00E73804" w:rsidP="00C00A05">
      <w:pPr>
        <w:tabs>
          <w:tab w:val="left" w:pos="540"/>
          <w:tab w:val="left" w:pos="569"/>
        </w:tabs>
        <w:jc w:val="both"/>
        <w:rPr>
          <w:bCs/>
          <w:sz w:val="22"/>
          <w:szCs w:val="22"/>
          <w:lang w:val="sr-Latn-ME"/>
        </w:rPr>
      </w:pPr>
      <w:r w:rsidRPr="000D7979">
        <w:rPr>
          <w:bCs/>
          <w:sz w:val="22"/>
          <w:szCs w:val="22"/>
          <w:lang w:val="sr-Latn-ME"/>
        </w:rPr>
        <w:t>Ovaj lijek može predstavljati rizik po okolinu. Svu neiskorišćenu količinu lijeka ili otpadnog materijala nakon njegove upotrebe treba ukloniti, u skladu sa važećim propisima.</w:t>
      </w:r>
    </w:p>
    <w:p w:rsidR="0072020E" w:rsidRPr="000D7979" w:rsidRDefault="0072020E" w:rsidP="00C45106">
      <w:pPr>
        <w:tabs>
          <w:tab w:val="left" w:pos="540"/>
          <w:tab w:val="left" w:pos="569"/>
        </w:tabs>
        <w:jc w:val="both"/>
        <w:rPr>
          <w:bCs/>
          <w:sz w:val="22"/>
          <w:szCs w:val="22"/>
          <w:lang w:val="sr-Latn-ME"/>
        </w:rPr>
      </w:pPr>
    </w:p>
    <w:p w:rsidR="00F8570A" w:rsidRPr="000D7979" w:rsidRDefault="0072020E" w:rsidP="00C45106">
      <w:pPr>
        <w:tabs>
          <w:tab w:val="left" w:pos="540"/>
          <w:tab w:val="left" w:pos="569"/>
        </w:tabs>
        <w:jc w:val="both"/>
        <w:rPr>
          <w:b/>
          <w:bCs/>
          <w:sz w:val="22"/>
          <w:szCs w:val="22"/>
          <w:lang w:val="sr-Latn-ME"/>
        </w:rPr>
      </w:pPr>
      <w:r w:rsidRPr="000D7979">
        <w:rPr>
          <w:b/>
          <w:bCs/>
          <w:sz w:val="22"/>
          <w:szCs w:val="22"/>
          <w:lang w:val="sr-Latn-ME"/>
        </w:rPr>
        <w:t xml:space="preserve">7. </w:t>
      </w:r>
      <w:r w:rsidR="00480FB1" w:rsidRPr="000D7979">
        <w:rPr>
          <w:b/>
          <w:bCs/>
          <w:sz w:val="22"/>
          <w:szCs w:val="22"/>
          <w:lang w:val="sr-Latn-ME"/>
        </w:rPr>
        <w:tab/>
      </w:r>
      <w:r w:rsidRPr="000D7979">
        <w:rPr>
          <w:b/>
          <w:bCs/>
          <w:sz w:val="22"/>
          <w:szCs w:val="22"/>
          <w:lang w:val="sr-Latn-ME"/>
        </w:rPr>
        <w:t>NOSILAC DOZVOLE</w:t>
      </w:r>
      <w:r w:rsidR="00483928" w:rsidRPr="000D7979">
        <w:rPr>
          <w:b/>
          <w:bCs/>
          <w:sz w:val="22"/>
          <w:szCs w:val="22"/>
          <w:lang w:val="sr-Latn-ME"/>
        </w:rPr>
        <w:t xml:space="preserve"> </w:t>
      </w:r>
    </w:p>
    <w:p w:rsidR="00C61BE0" w:rsidRPr="000D7979" w:rsidRDefault="00C61BE0" w:rsidP="00C45106">
      <w:pPr>
        <w:tabs>
          <w:tab w:val="left" w:pos="540"/>
          <w:tab w:val="left" w:pos="569"/>
        </w:tabs>
        <w:jc w:val="both"/>
        <w:rPr>
          <w:bCs/>
          <w:sz w:val="22"/>
          <w:szCs w:val="22"/>
          <w:lang w:val="sr-Latn-ME"/>
        </w:rPr>
      </w:pP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Evropa Lek Pharma d.o.o.</w:t>
      </w:r>
      <w:r w:rsidR="000D7979">
        <w:rPr>
          <w:bCs/>
          <w:sz w:val="22"/>
          <w:szCs w:val="22"/>
          <w:lang w:val="sr-Latn-ME"/>
        </w:rPr>
        <w:t xml:space="preserve"> Podgorica</w:t>
      </w:r>
    </w:p>
    <w:p w:rsidR="00E73804" w:rsidRPr="000D7979" w:rsidRDefault="00E73804" w:rsidP="00C45106">
      <w:pPr>
        <w:tabs>
          <w:tab w:val="left" w:pos="540"/>
          <w:tab w:val="left" w:pos="569"/>
        </w:tabs>
        <w:jc w:val="both"/>
        <w:rPr>
          <w:bCs/>
          <w:sz w:val="22"/>
          <w:szCs w:val="22"/>
          <w:lang w:val="sr-Latn-ME"/>
        </w:rPr>
      </w:pPr>
      <w:r w:rsidRPr="000D7979">
        <w:rPr>
          <w:bCs/>
          <w:sz w:val="22"/>
          <w:szCs w:val="22"/>
          <w:lang w:val="sr-Latn-ME"/>
        </w:rPr>
        <w:t>Kritskog odreda 4/1, Podgorica, Crna Gora</w:t>
      </w:r>
    </w:p>
    <w:p w:rsidR="00C37FD7" w:rsidRPr="000D7979" w:rsidRDefault="00C37FD7" w:rsidP="00C45106">
      <w:pPr>
        <w:tabs>
          <w:tab w:val="left" w:pos="540"/>
          <w:tab w:val="left" w:pos="569"/>
        </w:tabs>
        <w:jc w:val="both"/>
        <w:rPr>
          <w:bCs/>
          <w:sz w:val="22"/>
          <w:szCs w:val="22"/>
          <w:lang w:val="sr-Latn-ME"/>
        </w:rPr>
      </w:pPr>
    </w:p>
    <w:p w:rsidR="0072020E" w:rsidRPr="007C0A93" w:rsidRDefault="0072020E" w:rsidP="00C45106">
      <w:pPr>
        <w:tabs>
          <w:tab w:val="left" w:pos="540"/>
          <w:tab w:val="left" w:pos="569"/>
        </w:tabs>
        <w:jc w:val="both"/>
        <w:rPr>
          <w:b/>
          <w:bCs/>
          <w:sz w:val="22"/>
          <w:szCs w:val="22"/>
          <w:lang w:val="sr-Latn-ME"/>
        </w:rPr>
      </w:pPr>
      <w:r w:rsidRPr="007C0A93">
        <w:rPr>
          <w:b/>
          <w:bCs/>
          <w:sz w:val="22"/>
          <w:szCs w:val="22"/>
          <w:lang w:val="sr-Latn-ME"/>
        </w:rPr>
        <w:t xml:space="preserve">8. </w:t>
      </w:r>
      <w:r w:rsidR="00480FB1" w:rsidRPr="007C0A93">
        <w:rPr>
          <w:b/>
          <w:bCs/>
          <w:sz w:val="22"/>
          <w:szCs w:val="22"/>
          <w:lang w:val="sr-Latn-ME"/>
        </w:rPr>
        <w:tab/>
      </w:r>
      <w:r w:rsidRPr="007C0A93">
        <w:rPr>
          <w:b/>
          <w:bCs/>
          <w:sz w:val="22"/>
          <w:szCs w:val="22"/>
          <w:lang w:val="sr-Latn-ME"/>
        </w:rPr>
        <w:t>BROJ DOZVOLE</w:t>
      </w:r>
      <w:r w:rsidR="008A6D43" w:rsidRPr="007C0A93">
        <w:rPr>
          <w:b/>
          <w:bCs/>
          <w:sz w:val="22"/>
          <w:szCs w:val="22"/>
          <w:lang w:val="sr-Latn-ME"/>
        </w:rPr>
        <w:t xml:space="preserve"> ZA STAVLJANJE LIJEKA U PROMET</w:t>
      </w:r>
    </w:p>
    <w:p w:rsidR="0072020E" w:rsidRPr="007C0A93" w:rsidRDefault="0072020E" w:rsidP="00C45106">
      <w:pPr>
        <w:tabs>
          <w:tab w:val="left" w:pos="540"/>
          <w:tab w:val="left" w:pos="569"/>
        </w:tabs>
        <w:jc w:val="both"/>
        <w:rPr>
          <w:bCs/>
          <w:sz w:val="22"/>
          <w:szCs w:val="22"/>
          <w:lang w:val="sr-Latn-ME"/>
        </w:rPr>
      </w:pPr>
    </w:p>
    <w:p w:rsidR="007C0A93" w:rsidRPr="00B924CD" w:rsidRDefault="007C0A93" w:rsidP="00C45106">
      <w:pPr>
        <w:tabs>
          <w:tab w:val="left" w:pos="540"/>
          <w:tab w:val="left" w:pos="569"/>
        </w:tabs>
        <w:jc w:val="both"/>
        <w:rPr>
          <w:bCs/>
          <w:sz w:val="22"/>
          <w:szCs w:val="22"/>
          <w:lang w:val="sr-Latn-ME"/>
        </w:rPr>
      </w:pPr>
      <w:r w:rsidRPr="00B924CD">
        <w:rPr>
          <w:sz w:val="22"/>
          <w:szCs w:val="22"/>
          <w:lang w:val="sr-Latn-ME" w:eastAsia="sr-Latn-ME"/>
        </w:rPr>
        <w:t>2030/22/2969 - 469</w:t>
      </w:r>
    </w:p>
    <w:p w:rsidR="00F45F77" w:rsidRPr="00B924CD" w:rsidRDefault="00F45F77" w:rsidP="00C45106">
      <w:pPr>
        <w:tabs>
          <w:tab w:val="left" w:pos="540"/>
          <w:tab w:val="left" w:pos="569"/>
        </w:tabs>
        <w:jc w:val="both"/>
        <w:rPr>
          <w:bCs/>
          <w:sz w:val="22"/>
          <w:szCs w:val="22"/>
          <w:lang w:val="sr-Latn-ME"/>
        </w:rPr>
      </w:pPr>
    </w:p>
    <w:p w:rsidR="0072020E" w:rsidRPr="00B924CD" w:rsidRDefault="0072020E" w:rsidP="00C45106">
      <w:pPr>
        <w:tabs>
          <w:tab w:val="left" w:pos="540"/>
          <w:tab w:val="left" w:pos="569"/>
        </w:tabs>
        <w:jc w:val="both"/>
        <w:rPr>
          <w:b/>
          <w:bCs/>
          <w:sz w:val="22"/>
          <w:szCs w:val="22"/>
          <w:lang w:val="sr-Latn-ME"/>
        </w:rPr>
      </w:pPr>
      <w:r w:rsidRPr="00B924CD">
        <w:rPr>
          <w:b/>
          <w:bCs/>
          <w:sz w:val="22"/>
          <w:szCs w:val="22"/>
          <w:lang w:val="sr-Latn-ME"/>
        </w:rPr>
        <w:t xml:space="preserve">9. </w:t>
      </w:r>
      <w:r w:rsidR="00480FB1" w:rsidRPr="00B924CD">
        <w:rPr>
          <w:b/>
          <w:bCs/>
          <w:sz w:val="22"/>
          <w:szCs w:val="22"/>
          <w:lang w:val="sr-Latn-ME"/>
        </w:rPr>
        <w:tab/>
      </w:r>
      <w:r w:rsidRPr="00B924CD">
        <w:rPr>
          <w:b/>
          <w:bCs/>
          <w:sz w:val="22"/>
          <w:szCs w:val="22"/>
          <w:lang w:val="sr-Latn-ME"/>
        </w:rPr>
        <w:t xml:space="preserve">DATUM </w:t>
      </w:r>
      <w:r w:rsidR="00C05DF8" w:rsidRPr="00B924CD">
        <w:rPr>
          <w:b/>
          <w:bCs/>
          <w:sz w:val="22"/>
          <w:szCs w:val="22"/>
          <w:lang w:val="sr-Latn-ME"/>
        </w:rPr>
        <w:t xml:space="preserve">PRVE </w:t>
      </w:r>
      <w:r w:rsidR="008A6D43" w:rsidRPr="00B924CD">
        <w:rPr>
          <w:b/>
          <w:bCs/>
          <w:sz w:val="22"/>
          <w:szCs w:val="22"/>
          <w:lang w:val="sr-Latn-ME"/>
        </w:rPr>
        <w:t>DOZVOLE</w:t>
      </w:r>
      <w:r w:rsidR="00C05DF8" w:rsidRPr="00B924CD">
        <w:rPr>
          <w:b/>
          <w:bCs/>
          <w:sz w:val="22"/>
          <w:szCs w:val="22"/>
          <w:lang w:val="sr-Latn-ME"/>
        </w:rPr>
        <w:t>/OBNOVE DOZVOLE</w:t>
      </w:r>
      <w:r w:rsidR="008A6D43" w:rsidRPr="00B924CD">
        <w:rPr>
          <w:b/>
          <w:bCs/>
          <w:sz w:val="22"/>
          <w:szCs w:val="22"/>
          <w:lang w:val="sr-Latn-ME"/>
        </w:rPr>
        <w:t xml:space="preserve"> ZA STAVLJANJE LIJEKA U PROMET</w:t>
      </w:r>
    </w:p>
    <w:p w:rsidR="0072020E" w:rsidRPr="00B924CD" w:rsidRDefault="0072020E" w:rsidP="00C45106">
      <w:pPr>
        <w:tabs>
          <w:tab w:val="left" w:pos="540"/>
          <w:tab w:val="left" w:pos="569"/>
        </w:tabs>
        <w:jc w:val="both"/>
        <w:rPr>
          <w:bCs/>
          <w:sz w:val="22"/>
          <w:szCs w:val="22"/>
          <w:lang w:val="sr-Latn-ME"/>
        </w:rPr>
      </w:pPr>
    </w:p>
    <w:p w:rsidR="00836B35" w:rsidRPr="00B924CD" w:rsidRDefault="007C0A93" w:rsidP="00C45106">
      <w:pPr>
        <w:tabs>
          <w:tab w:val="left" w:pos="540"/>
          <w:tab w:val="left" w:pos="569"/>
        </w:tabs>
        <w:jc w:val="both"/>
        <w:rPr>
          <w:sz w:val="22"/>
          <w:szCs w:val="22"/>
          <w:lang w:val="sr-Latn-ME" w:eastAsia="sr-Latn-ME"/>
        </w:rPr>
      </w:pPr>
      <w:r w:rsidRPr="00B924CD">
        <w:rPr>
          <w:sz w:val="22"/>
          <w:szCs w:val="22"/>
          <w:lang w:val="sr-Latn-ME" w:eastAsia="sr-Latn-ME"/>
        </w:rPr>
        <w:t>08.11.2022. godine</w:t>
      </w:r>
    </w:p>
    <w:p w:rsidR="007C0A93" w:rsidRPr="007C0A93" w:rsidRDefault="007C0A93" w:rsidP="00C45106">
      <w:pPr>
        <w:tabs>
          <w:tab w:val="left" w:pos="540"/>
          <w:tab w:val="left" w:pos="569"/>
        </w:tabs>
        <w:jc w:val="both"/>
        <w:rPr>
          <w:bCs/>
          <w:sz w:val="22"/>
          <w:szCs w:val="22"/>
          <w:lang w:val="sr-Latn-ME"/>
        </w:rPr>
      </w:pPr>
    </w:p>
    <w:p w:rsidR="003F6A59" w:rsidRPr="007C0A93" w:rsidRDefault="0072020E" w:rsidP="00C45106">
      <w:pPr>
        <w:tabs>
          <w:tab w:val="left" w:pos="540"/>
          <w:tab w:val="left" w:pos="569"/>
        </w:tabs>
        <w:ind w:left="540" w:hanging="540"/>
        <w:jc w:val="both"/>
        <w:rPr>
          <w:bCs/>
          <w:sz w:val="22"/>
          <w:szCs w:val="22"/>
          <w:lang w:val="sr-Latn-ME"/>
        </w:rPr>
      </w:pPr>
      <w:r w:rsidRPr="007C0A93">
        <w:rPr>
          <w:b/>
          <w:bCs/>
          <w:sz w:val="22"/>
          <w:szCs w:val="22"/>
          <w:lang w:val="sr-Latn-ME"/>
        </w:rPr>
        <w:t xml:space="preserve">10. </w:t>
      </w:r>
      <w:r w:rsidR="00480FB1" w:rsidRPr="007C0A93">
        <w:rPr>
          <w:b/>
          <w:bCs/>
          <w:sz w:val="22"/>
          <w:szCs w:val="22"/>
          <w:lang w:val="sr-Latn-ME"/>
        </w:rPr>
        <w:tab/>
      </w:r>
      <w:r w:rsidR="002846DB" w:rsidRPr="007C0A93">
        <w:rPr>
          <w:b/>
          <w:bCs/>
          <w:sz w:val="22"/>
          <w:szCs w:val="22"/>
          <w:lang w:val="sr-Latn-ME"/>
        </w:rPr>
        <w:t>D</w:t>
      </w:r>
      <w:r w:rsidR="00EC2532" w:rsidRPr="007C0A93">
        <w:rPr>
          <w:b/>
          <w:bCs/>
          <w:sz w:val="22"/>
          <w:szCs w:val="22"/>
          <w:lang w:val="sr-Latn-ME"/>
        </w:rPr>
        <w:t xml:space="preserve">ATUM REVIZIJE TEKSTA </w:t>
      </w:r>
    </w:p>
    <w:p w:rsidR="003F6A59" w:rsidRPr="007C0A93" w:rsidRDefault="003F6A59" w:rsidP="00C45106">
      <w:pPr>
        <w:tabs>
          <w:tab w:val="left" w:pos="540"/>
          <w:tab w:val="left" w:pos="569"/>
        </w:tabs>
        <w:jc w:val="both"/>
        <w:rPr>
          <w:bCs/>
          <w:sz w:val="22"/>
          <w:szCs w:val="22"/>
          <w:lang w:val="sr-Latn-ME"/>
        </w:rPr>
      </w:pPr>
    </w:p>
    <w:p w:rsidR="008A6D43" w:rsidRPr="007C0A93" w:rsidRDefault="007C0A93" w:rsidP="00C45106">
      <w:pPr>
        <w:tabs>
          <w:tab w:val="left" w:pos="540"/>
          <w:tab w:val="left" w:pos="569"/>
        </w:tabs>
        <w:jc w:val="both"/>
        <w:rPr>
          <w:bCs/>
          <w:sz w:val="22"/>
          <w:szCs w:val="22"/>
          <w:lang w:val="sr-Latn-ME"/>
        </w:rPr>
      </w:pPr>
      <w:r w:rsidRPr="007C0A93">
        <w:rPr>
          <w:bCs/>
          <w:sz w:val="22"/>
          <w:szCs w:val="22"/>
          <w:lang w:val="sr-Latn-ME"/>
        </w:rPr>
        <w:t>Novembar, 2022. godine</w:t>
      </w:r>
    </w:p>
    <w:p w:rsidR="003F6A59" w:rsidRPr="000D7979" w:rsidRDefault="003F6A59" w:rsidP="00C45106">
      <w:pPr>
        <w:jc w:val="both"/>
        <w:rPr>
          <w:sz w:val="22"/>
          <w:szCs w:val="22"/>
          <w:lang w:val="sr-Latn-ME"/>
        </w:rPr>
      </w:pPr>
      <w:bookmarkStart w:id="0" w:name="_GoBack"/>
      <w:bookmarkEnd w:id="0"/>
    </w:p>
    <w:sectPr w:rsidR="003F6A59" w:rsidRPr="000D7979"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A0" w:rsidRDefault="002C7EA0">
      <w:r>
        <w:separator/>
      </w:r>
    </w:p>
  </w:endnote>
  <w:endnote w:type="continuationSeparator" w:id="0">
    <w:p w:rsidR="002C7EA0" w:rsidRDefault="002C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62C" w:rsidRPr="00B23F69" w:rsidRDefault="0091162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924CD">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924CD">
      <w:rPr>
        <w:noProof/>
        <w:sz w:val="22"/>
        <w:szCs w:val="22"/>
      </w:rPr>
      <w:t>17</w:t>
    </w:r>
    <w:r w:rsidRPr="00B23F69">
      <w:rPr>
        <w:sz w:val="22"/>
        <w:szCs w:val="22"/>
      </w:rPr>
      <w:fldChar w:fldCharType="end"/>
    </w:r>
  </w:p>
  <w:p w:rsidR="0091162C" w:rsidRDefault="0091162C"/>
  <w:p w:rsidR="0091162C" w:rsidRDefault="0091162C"/>
  <w:p w:rsidR="0091162C" w:rsidRDefault="009116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A0" w:rsidRDefault="002C7EA0">
      <w:r>
        <w:separator/>
      </w:r>
    </w:p>
  </w:footnote>
  <w:footnote w:type="continuationSeparator" w:id="0">
    <w:p w:rsidR="002C7EA0" w:rsidRDefault="002C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367E2F"/>
    <w:multiLevelType w:val="hybridMultilevel"/>
    <w:tmpl w:val="6F1AC462"/>
    <w:lvl w:ilvl="0" w:tplc="61B6DE3A">
      <w:numFmt w:val="bullet"/>
      <w:lvlText w:val=""/>
      <w:lvlJc w:val="left"/>
      <w:pPr>
        <w:ind w:left="832" w:hanging="360"/>
      </w:pPr>
      <w:rPr>
        <w:rFonts w:ascii="Symbol" w:eastAsia="Symbol" w:hAnsi="Symbol" w:cs="Symbol" w:hint="default"/>
        <w:w w:val="100"/>
        <w:sz w:val="22"/>
        <w:szCs w:val="22"/>
      </w:rPr>
    </w:lvl>
    <w:lvl w:ilvl="1" w:tplc="D2B4006C">
      <w:numFmt w:val="bullet"/>
      <w:lvlText w:val="•"/>
      <w:lvlJc w:val="left"/>
      <w:pPr>
        <w:ind w:left="1742" w:hanging="360"/>
      </w:pPr>
      <w:rPr>
        <w:rFonts w:hint="default"/>
      </w:rPr>
    </w:lvl>
    <w:lvl w:ilvl="2" w:tplc="92EABE3A">
      <w:numFmt w:val="bullet"/>
      <w:lvlText w:val="•"/>
      <w:lvlJc w:val="left"/>
      <w:pPr>
        <w:ind w:left="2645" w:hanging="360"/>
      </w:pPr>
      <w:rPr>
        <w:rFonts w:hint="default"/>
      </w:rPr>
    </w:lvl>
    <w:lvl w:ilvl="3" w:tplc="2C948774">
      <w:numFmt w:val="bullet"/>
      <w:lvlText w:val="•"/>
      <w:lvlJc w:val="left"/>
      <w:pPr>
        <w:ind w:left="3547" w:hanging="360"/>
      </w:pPr>
      <w:rPr>
        <w:rFonts w:hint="default"/>
      </w:rPr>
    </w:lvl>
    <w:lvl w:ilvl="4" w:tplc="1020FB8C">
      <w:numFmt w:val="bullet"/>
      <w:lvlText w:val="•"/>
      <w:lvlJc w:val="left"/>
      <w:pPr>
        <w:ind w:left="4450" w:hanging="360"/>
      </w:pPr>
      <w:rPr>
        <w:rFonts w:hint="default"/>
      </w:rPr>
    </w:lvl>
    <w:lvl w:ilvl="5" w:tplc="B45E0D2A">
      <w:numFmt w:val="bullet"/>
      <w:lvlText w:val="•"/>
      <w:lvlJc w:val="left"/>
      <w:pPr>
        <w:ind w:left="5352" w:hanging="360"/>
      </w:pPr>
      <w:rPr>
        <w:rFonts w:hint="default"/>
      </w:rPr>
    </w:lvl>
    <w:lvl w:ilvl="6" w:tplc="4D1A3574">
      <w:numFmt w:val="bullet"/>
      <w:lvlText w:val="•"/>
      <w:lvlJc w:val="left"/>
      <w:pPr>
        <w:ind w:left="6255" w:hanging="360"/>
      </w:pPr>
      <w:rPr>
        <w:rFonts w:hint="default"/>
      </w:rPr>
    </w:lvl>
    <w:lvl w:ilvl="7" w:tplc="F2ECE8AE">
      <w:numFmt w:val="bullet"/>
      <w:lvlText w:val="•"/>
      <w:lvlJc w:val="left"/>
      <w:pPr>
        <w:ind w:left="7157" w:hanging="360"/>
      </w:pPr>
      <w:rPr>
        <w:rFonts w:hint="default"/>
      </w:rPr>
    </w:lvl>
    <w:lvl w:ilvl="8" w:tplc="169E26BA">
      <w:numFmt w:val="bullet"/>
      <w:lvlText w:val="•"/>
      <w:lvlJc w:val="left"/>
      <w:pPr>
        <w:ind w:left="8060" w:hanging="360"/>
      </w:pPr>
      <w:rPr>
        <w:rFont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75D9"/>
    <w:rsid w:val="00057E35"/>
    <w:rsid w:val="00061320"/>
    <w:rsid w:val="00076726"/>
    <w:rsid w:val="00080303"/>
    <w:rsid w:val="000A3F58"/>
    <w:rsid w:val="000D2343"/>
    <w:rsid w:val="000D3449"/>
    <w:rsid w:val="000D425A"/>
    <w:rsid w:val="000D60CC"/>
    <w:rsid w:val="000D7979"/>
    <w:rsid w:val="000D7E58"/>
    <w:rsid w:val="000E2084"/>
    <w:rsid w:val="000E6F55"/>
    <w:rsid w:val="000F77FA"/>
    <w:rsid w:val="00107BF7"/>
    <w:rsid w:val="00126F53"/>
    <w:rsid w:val="0014766D"/>
    <w:rsid w:val="001536CC"/>
    <w:rsid w:val="001A3FBA"/>
    <w:rsid w:val="001A5518"/>
    <w:rsid w:val="001B1C6A"/>
    <w:rsid w:val="001B3268"/>
    <w:rsid w:val="001C1263"/>
    <w:rsid w:val="001C1417"/>
    <w:rsid w:val="001C4BE2"/>
    <w:rsid w:val="001E390B"/>
    <w:rsid w:val="001F42FB"/>
    <w:rsid w:val="001F719A"/>
    <w:rsid w:val="002031B3"/>
    <w:rsid w:val="00210D71"/>
    <w:rsid w:val="00215931"/>
    <w:rsid w:val="00224C91"/>
    <w:rsid w:val="00227BDB"/>
    <w:rsid w:val="00234CB1"/>
    <w:rsid w:val="002352F8"/>
    <w:rsid w:val="002510A5"/>
    <w:rsid w:val="002522CA"/>
    <w:rsid w:val="00254A0A"/>
    <w:rsid w:val="00266046"/>
    <w:rsid w:val="002846DB"/>
    <w:rsid w:val="00284CCD"/>
    <w:rsid w:val="002A2F3A"/>
    <w:rsid w:val="002A7385"/>
    <w:rsid w:val="002C6637"/>
    <w:rsid w:val="002C7EA0"/>
    <w:rsid w:val="002E0135"/>
    <w:rsid w:val="002E37A5"/>
    <w:rsid w:val="002F745E"/>
    <w:rsid w:val="00310F03"/>
    <w:rsid w:val="00316400"/>
    <w:rsid w:val="003247D2"/>
    <w:rsid w:val="003445C1"/>
    <w:rsid w:val="00355B61"/>
    <w:rsid w:val="00362686"/>
    <w:rsid w:val="00371510"/>
    <w:rsid w:val="00385BF1"/>
    <w:rsid w:val="00393EE6"/>
    <w:rsid w:val="00396DFD"/>
    <w:rsid w:val="003A7059"/>
    <w:rsid w:val="003B7A36"/>
    <w:rsid w:val="003C17AB"/>
    <w:rsid w:val="003C37AE"/>
    <w:rsid w:val="003C7823"/>
    <w:rsid w:val="003E1DCC"/>
    <w:rsid w:val="003F11A1"/>
    <w:rsid w:val="003F6A59"/>
    <w:rsid w:val="004065C8"/>
    <w:rsid w:val="004109FA"/>
    <w:rsid w:val="00411B4B"/>
    <w:rsid w:val="00415BEE"/>
    <w:rsid w:val="00421FDB"/>
    <w:rsid w:val="00427F85"/>
    <w:rsid w:val="00436F42"/>
    <w:rsid w:val="004378B4"/>
    <w:rsid w:val="00451314"/>
    <w:rsid w:val="00452E9D"/>
    <w:rsid w:val="004534C7"/>
    <w:rsid w:val="00457B8C"/>
    <w:rsid w:val="004671AA"/>
    <w:rsid w:val="00480FB1"/>
    <w:rsid w:val="00483928"/>
    <w:rsid w:val="00491561"/>
    <w:rsid w:val="004C331F"/>
    <w:rsid w:val="004D6103"/>
    <w:rsid w:val="004E3BCE"/>
    <w:rsid w:val="004E70AD"/>
    <w:rsid w:val="004F0E97"/>
    <w:rsid w:val="00501DD1"/>
    <w:rsid w:val="00515C21"/>
    <w:rsid w:val="00530BD7"/>
    <w:rsid w:val="00545CD2"/>
    <w:rsid w:val="005476F3"/>
    <w:rsid w:val="00571A18"/>
    <w:rsid w:val="00572527"/>
    <w:rsid w:val="00573E40"/>
    <w:rsid w:val="00576348"/>
    <w:rsid w:val="005A0B2E"/>
    <w:rsid w:val="005A23D2"/>
    <w:rsid w:val="005A36CB"/>
    <w:rsid w:val="005B49B8"/>
    <w:rsid w:val="005C0741"/>
    <w:rsid w:val="005C5EF4"/>
    <w:rsid w:val="005D650B"/>
    <w:rsid w:val="005E138D"/>
    <w:rsid w:val="005E2BA5"/>
    <w:rsid w:val="005E2E0B"/>
    <w:rsid w:val="005E7A7D"/>
    <w:rsid w:val="00602457"/>
    <w:rsid w:val="00621CF9"/>
    <w:rsid w:val="00644FC3"/>
    <w:rsid w:val="00646BD1"/>
    <w:rsid w:val="006561C2"/>
    <w:rsid w:val="00671CB3"/>
    <w:rsid w:val="00674BAF"/>
    <w:rsid w:val="00682200"/>
    <w:rsid w:val="00692BF6"/>
    <w:rsid w:val="006A1497"/>
    <w:rsid w:val="006A1F4E"/>
    <w:rsid w:val="006B0BD1"/>
    <w:rsid w:val="006B5404"/>
    <w:rsid w:val="006D20A5"/>
    <w:rsid w:val="006D37BF"/>
    <w:rsid w:val="00700F72"/>
    <w:rsid w:val="00702E22"/>
    <w:rsid w:val="0072020E"/>
    <w:rsid w:val="00786071"/>
    <w:rsid w:val="007948F8"/>
    <w:rsid w:val="007A3ECB"/>
    <w:rsid w:val="007B6502"/>
    <w:rsid w:val="007C0A93"/>
    <w:rsid w:val="007D7BB3"/>
    <w:rsid w:val="008133CF"/>
    <w:rsid w:val="00824AB9"/>
    <w:rsid w:val="00836B35"/>
    <w:rsid w:val="00843BDE"/>
    <w:rsid w:val="0086519B"/>
    <w:rsid w:val="0087588C"/>
    <w:rsid w:val="0089705C"/>
    <w:rsid w:val="008A6D43"/>
    <w:rsid w:val="008B491E"/>
    <w:rsid w:val="008C1841"/>
    <w:rsid w:val="008C1A28"/>
    <w:rsid w:val="008C2E98"/>
    <w:rsid w:val="008E49BD"/>
    <w:rsid w:val="008E53E9"/>
    <w:rsid w:val="008E5771"/>
    <w:rsid w:val="008F3512"/>
    <w:rsid w:val="008F4ACF"/>
    <w:rsid w:val="0091162C"/>
    <w:rsid w:val="00924166"/>
    <w:rsid w:val="00940B9B"/>
    <w:rsid w:val="0094591E"/>
    <w:rsid w:val="0095676E"/>
    <w:rsid w:val="00956983"/>
    <w:rsid w:val="00963CF0"/>
    <w:rsid w:val="00964BB1"/>
    <w:rsid w:val="00976ED2"/>
    <w:rsid w:val="009775D9"/>
    <w:rsid w:val="009804DA"/>
    <w:rsid w:val="00997175"/>
    <w:rsid w:val="009A1847"/>
    <w:rsid w:val="009B062A"/>
    <w:rsid w:val="009E7C6F"/>
    <w:rsid w:val="009F1793"/>
    <w:rsid w:val="009F2D23"/>
    <w:rsid w:val="009F5D6A"/>
    <w:rsid w:val="00A012BE"/>
    <w:rsid w:val="00A01D69"/>
    <w:rsid w:val="00A02335"/>
    <w:rsid w:val="00A13D0A"/>
    <w:rsid w:val="00A33EAC"/>
    <w:rsid w:val="00A430DE"/>
    <w:rsid w:val="00A46C9A"/>
    <w:rsid w:val="00A619F3"/>
    <w:rsid w:val="00A62A73"/>
    <w:rsid w:val="00A75381"/>
    <w:rsid w:val="00A87FF6"/>
    <w:rsid w:val="00AA0A3B"/>
    <w:rsid w:val="00AA1F46"/>
    <w:rsid w:val="00AA2763"/>
    <w:rsid w:val="00AA33B6"/>
    <w:rsid w:val="00AB50CA"/>
    <w:rsid w:val="00AB6D64"/>
    <w:rsid w:val="00AB7102"/>
    <w:rsid w:val="00AC53CE"/>
    <w:rsid w:val="00AD2193"/>
    <w:rsid w:val="00AF2AC7"/>
    <w:rsid w:val="00AF74CE"/>
    <w:rsid w:val="00B068FB"/>
    <w:rsid w:val="00B208DB"/>
    <w:rsid w:val="00B23F69"/>
    <w:rsid w:val="00B25925"/>
    <w:rsid w:val="00B60619"/>
    <w:rsid w:val="00B60A3E"/>
    <w:rsid w:val="00B66A70"/>
    <w:rsid w:val="00B67366"/>
    <w:rsid w:val="00B777F8"/>
    <w:rsid w:val="00B80EE1"/>
    <w:rsid w:val="00B81F3C"/>
    <w:rsid w:val="00B84135"/>
    <w:rsid w:val="00B924CD"/>
    <w:rsid w:val="00BA0C47"/>
    <w:rsid w:val="00BC6109"/>
    <w:rsid w:val="00C00A05"/>
    <w:rsid w:val="00C04D34"/>
    <w:rsid w:val="00C05DF8"/>
    <w:rsid w:val="00C06864"/>
    <w:rsid w:val="00C10107"/>
    <w:rsid w:val="00C10F54"/>
    <w:rsid w:val="00C23D8D"/>
    <w:rsid w:val="00C37AA3"/>
    <w:rsid w:val="00C37FD7"/>
    <w:rsid w:val="00C43419"/>
    <w:rsid w:val="00C44CF3"/>
    <w:rsid w:val="00C45106"/>
    <w:rsid w:val="00C61BE0"/>
    <w:rsid w:val="00C6707E"/>
    <w:rsid w:val="00C70B0E"/>
    <w:rsid w:val="00C773CA"/>
    <w:rsid w:val="00C83785"/>
    <w:rsid w:val="00C94C0D"/>
    <w:rsid w:val="00C97706"/>
    <w:rsid w:val="00CA1FEB"/>
    <w:rsid w:val="00CD4F85"/>
    <w:rsid w:val="00CD6F02"/>
    <w:rsid w:val="00CE246D"/>
    <w:rsid w:val="00CF07A0"/>
    <w:rsid w:val="00CF3E03"/>
    <w:rsid w:val="00D0082A"/>
    <w:rsid w:val="00D21455"/>
    <w:rsid w:val="00D47634"/>
    <w:rsid w:val="00D61D59"/>
    <w:rsid w:val="00D709B3"/>
    <w:rsid w:val="00D745C4"/>
    <w:rsid w:val="00D81D70"/>
    <w:rsid w:val="00D8257D"/>
    <w:rsid w:val="00DA2ED6"/>
    <w:rsid w:val="00DB76B8"/>
    <w:rsid w:val="00DC2EA1"/>
    <w:rsid w:val="00DD6AAF"/>
    <w:rsid w:val="00DE3F5C"/>
    <w:rsid w:val="00DF1D20"/>
    <w:rsid w:val="00DF707E"/>
    <w:rsid w:val="00E21324"/>
    <w:rsid w:val="00E246B9"/>
    <w:rsid w:val="00E31FEA"/>
    <w:rsid w:val="00E400C0"/>
    <w:rsid w:val="00E42C77"/>
    <w:rsid w:val="00E45169"/>
    <w:rsid w:val="00E47787"/>
    <w:rsid w:val="00E51C30"/>
    <w:rsid w:val="00E64180"/>
    <w:rsid w:val="00E73804"/>
    <w:rsid w:val="00E74AEE"/>
    <w:rsid w:val="00E868E5"/>
    <w:rsid w:val="00E9237A"/>
    <w:rsid w:val="00E939FA"/>
    <w:rsid w:val="00EA5765"/>
    <w:rsid w:val="00EC2532"/>
    <w:rsid w:val="00ED7812"/>
    <w:rsid w:val="00EF3B86"/>
    <w:rsid w:val="00F317E9"/>
    <w:rsid w:val="00F33CB5"/>
    <w:rsid w:val="00F34554"/>
    <w:rsid w:val="00F45F77"/>
    <w:rsid w:val="00F5167F"/>
    <w:rsid w:val="00F52258"/>
    <w:rsid w:val="00F8570A"/>
    <w:rsid w:val="00F91C7B"/>
    <w:rsid w:val="00FE236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825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9804DA"/>
    <w:pPr>
      <w:spacing w:after="120"/>
    </w:pPr>
  </w:style>
  <w:style w:type="character" w:customStyle="1" w:styleId="BodyTextChar">
    <w:name w:val="Body Text Char"/>
    <w:basedOn w:val="DefaultParagraphFont"/>
    <w:link w:val="BodyText"/>
    <w:rsid w:val="009804DA"/>
    <w:rPr>
      <w:sz w:val="24"/>
      <w:szCs w:val="24"/>
      <w:lang w:val="en-US" w:eastAsia="en-US"/>
    </w:rPr>
  </w:style>
  <w:style w:type="character" w:customStyle="1" w:styleId="Heading1Char">
    <w:name w:val="Heading 1 Char"/>
    <w:basedOn w:val="DefaultParagraphFont"/>
    <w:link w:val="Heading1"/>
    <w:rsid w:val="00D8257D"/>
    <w:rPr>
      <w:rFonts w:asciiTheme="majorHAnsi" w:eastAsiaTheme="majorEastAsia" w:hAnsiTheme="majorHAnsi" w:cstheme="majorBidi"/>
      <w:color w:val="2E74B5" w:themeColor="accent1" w:themeShade="BF"/>
      <w:sz w:val="32"/>
      <w:szCs w:val="32"/>
      <w:lang w:val="en-US" w:eastAsia="en-US"/>
    </w:rPr>
  </w:style>
  <w:style w:type="table" w:styleId="TableGrid">
    <w:name w:val="Table Grid"/>
    <w:basedOn w:val="TableNormal"/>
    <w:rsid w:val="00D82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257D"/>
    <w:pPr>
      <w:widowControl w:val="0"/>
      <w:autoSpaceDE w:val="0"/>
      <w:autoSpaceDN w:val="0"/>
      <w:ind w:left="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8C83-059C-4DA8-AB45-C8AD1087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6678</Words>
  <Characters>38069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44658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5</cp:revision>
  <dcterms:created xsi:type="dcterms:W3CDTF">2022-11-07T12:09:00Z</dcterms:created>
  <dcterms:modified xsi:type="dcterms:W3CDTF">2022-11-08T08:48:00Z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