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C77A1A" w:rsidRDefault="001A5518" w:rsidP="001A5518">
      <w:pPr>
        <w:rPr>
          <w:b/>
          <w:bCs/>
          <w:i/>
          <w:iCs/>
          <w:u w:val="single"/>
        </w:rPr>
      </w:pPr>
    </w:p>
    <w:p w:rsidR="00F91C7B" w:rsidRPr="00C77A1A" w:rsidRDefault="00F91C7B" w:rsidP="001A5518">
      <w:pPr>
        <w:rPr>
          <w:b/>
          <w:bCs/>
          <w:i/>
          <w:iCs/>
          <w:u w:val="single"/>
        </w:rPr>
      </w:pPr>
    </w:p>
    <w:p w:rsidR="00687D00" w:rsidRPr="0021232C" w:rsidRDefault="00687D00" w:rsidP="00687D00">
      <w:pPr>
        <w:jc w:val="center"/>
        <w:rPr>
          <w:b/>
          <w:bCs/>
          <w:iCs/>
          <w:u w:val="single"/>
          <w:lang w:val="nb-NO"/>
        </w:rPr>
      </w:pPr>
      <w:r w:rsidRPr="0021232C">
        <w:rPr>
          <w:b/>
          <w:bCs/>
          <w:iCs/>
          <w:u w:val="single"/>
          <w:lang w:val="nb-NO"/>
        </w:rPr>
        <w:t>SAŽETAK KARAKTERISTIKA LIJEKA</w:t>
      </w:r>
    </w:p>
    <w:p w:rsidR="00687D00" w:rsidRPr="0021232C" w:rsidRDefault="00687D00" w:rsidP="00687D00">
      <w:pPr>
        <w:rPr>
          <w:b/>
          <w:bCs/>
          <w:i/>
          <w:iCs/>
          <w:u w:val="single"/>
          <w:lang w:val="nb-NO"/>
        </w:rPr>
      </w:pPr>
    </w:p>
    <w:p w:rsidR="00687D00" w:rsidRPr="00261E6C" w:rsidRDefault="00687D00" w:rsidP="00687D00">
      <w:pPr>
        <w:rPr>
          <w:sz w:val="22"/>
          <w:szCs w:val="22"/>
          <w:lang w:val="sr-Latn-CS"/>
        </w:rPr>
      </w:pPr>
    </w:p>
    <w:p w:rsidR="00687D00" w:rsidRPr="00261E6C" w:rsidRDefault="00687D00" w:rsidP="00E4155A">
      <w:pPr>
        <w:tabs>
          <w:tab w:val="left" w:pos="540"/>
          <w:tab w:val="left" w:pos="569"/>
        </w:tabs>
        <w:jc w:val="both"/>
        <w:rPr>
          <w:bCs/>
          <w:i/>
          <w:sz w:val="22"/>
          <w:szCs w:val="22"/>
          <w:lang w:val="hr-HR"/>
        </w:rPr>
      </w:pPr>
      <w:r w:rsidRPr="00261E6C">
        <w:rPr>
          <w:noProof/>
          <w:sz w:val="22"/>
          <w:szCs w:val="22"/>
        </w:rPr>
        <w:drawing>
          <wp:inline distT="0" distB="0" distL="0" distR="0" wp14:anchorId="5CC674BF" wp14:editId="4479A1CC">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Pr="00261E6C">
        <w:rPr>
          <w:noProof/>
          <w:sz w:val="22"/>
          <w:szCs w:val="22"/>
          <w:lang w:val="hr-HR"/>
        </w:rPr>
        <w:t xml:space="preserve"> Ovaj lijek je pod dodatnim praćenjem.</w:t>
      </w:r>
      <w:r w:rsidRPr="00261E6C">
        <w:rPr>
          <w:sz w:val="22"/>
          <w:szCs w:val="22"/>
          <w:lang w:val="hr-HR"/>
        </w:rPr>
        <w:t xml:space="preserve"> </w:t>
      </w:r>
      <w:r w:rsidRPr="00261E6C">
        <w:rPr>
          <w:noProof/>
          <w:sz w:val="22"/>
          <w:szCs w:val="22"/>
          <w:lang w:val="hr-HR"/>
        </w:rPr>
        <w:t>Time se omogućava brzo otkrivanje novih bezbjednosnih informacija. Zdravstveni radnici treba da prijave svaku sumnju na neželjeno dejstvo ovog lijeka.</w:t>
      </w:r>
      <w:r w:rsidRPr="00261E6C">
        <w:rPr>
          <w:sz w:val="22"/>
          <w:szCs w:val="22"/>
          <w:lang w:val="hr-HR"/>
        </w:rPr>
        <w:t xml:space="preserve"> Za način prijavljivanja neželjenih dejstava vidjeti dio 4.8</w:t>
      </w:r>
      <w:r w:rsidRPr="00261E6C">
        <w:rPr>
          <w:noProof/>
          <w:sz w:val="22"/>
          <w:szCs w:val="22"/>
          <w:lang w:val="hr-HR"/>
        </w:rPr>
        <w:t xml:space="preserve">. </w:t>
      </w:r>
    </w:p>
    <w:p w:rsidR="00687D00" w:rsidRPr="00261E6C" w:rsidRDefault="00687D00" w:rsidP="00E4155A">
      <w:pPr>
        <w:tabs>
          <w:tab w:val="left" w:pos="540"/>
          <w:tab w:val="left" w:pos="569"/>
        </w:tabs>
        <w:jc w:val="both"/>
        <w:rPr>
          <w:noProof/>
          <w:sz w:val="22"/>
          <w:szCs w:val="22"/>
          <w:lang w:val="hr-HR"/>
        </w:rPr>
      </w:pPr>
    </w:p>
    <w:p w:rsidR="00687D00" w:rsidRPr="00261E6C" w:rsidRDefault="00687D00" w:rsidP="00E4155A">
      <w:pPr>
        <w:tabs>
          <w:tab w:val="left" w:pos="540"/>
          <w:tab w:val="left" w:pos="569"/>
        </w:tabs>
        <w:jc w:val="both"/>
        <w:rPr>
          <w:bCs/>
          <w:sz w:val="22"/>
          <w:szCs w:val="22"/>
          <w:lang w:val="hr-HR"/>
        </w:rPr>
      </w:pPr>
    </w:p>
    <w:p w:rsidR="00687D00" w:rsidRPr="00261E6C" w:rsidRDefault="00687D00" w:rsidP="00433FEA">
      <w:pPr>
        <w:tabs>
          <w:tab w:val="left" w:pos="540"/>
          <w:tab w:val="left" w:pos="569"/>
        </w:tabs>
        <w:jc w:val="both"/>
        <w:rPr>
          <w:b/>
          <w:bCs/>
          <w:sz w:val="22"/>
          <w:szCs w:val="22"/>
          <w:lang w:val="hr-HR"/>
        </w:rPr>
      </w:pPr>
      <w:r w:rsidRPr="00261E6C">
        <w:rPr>
          <w:b/>
          <w:bCs/>
          <w:sz w:val="22"/>
          <w:szCs w:val="22"/>
          <w:lang w:val="hr-HR"/>
        </w:rPr>
        <w:t>1.</w:t>
      </w:r>
      <w:r w:rsidRPr="00261E6C">
        <w:rPr>
          <w:b/>
          <w:bCs/>
          <w:sz w:val="22"/>
          <w:szCs w:val="22"/>
          <w:lang w:val="hr-HR"/>
        </w:rPr>
        <w:tab/>
        <w:t>NAZIV LIJEKA</w:t>
      </w:r>
    </w:p>
    <w:p w:rsidR="00687D00" w:rsidRPr="00261E6C" w:rsidRDefault="00687D00" w:rsidP="0015550A">
      <w:pPr>
        <w:jc w:val="both"/>
        <w:rPr>
          <w:sz w:val="22"/>
          <w:szCs w:val="22"/>
          <w:lang w:val="pl-PL"/>
        </w:rPr>
      </w:pPr>
    </w:p>
    <w:p w:rsidR="00687D00" w:rsidRPr="00261E6C" w:rsidRDefault="00687D00">
      <w:pPr>
        <w:jc w:val="both"/>
        <w:rPr>
          <w:sz w:val="22"/>
          <w:szCs w:val="22"/>
          <w:lang w:val="sr-Latn-RS"/>
        </w:rPr>
      </w:pPr>
      <w:r w:rsidRPr="00261E6C">
        <w:rPr>
          <w:sz w:val="22"/>
          <w:szCs w:val="22"/>
          <w:lang w:val="sr-Latn-RS"/>
        </w:rPr>
        <w:t>Polivy, 30 mg, prašak za koncentrat za rastvor za infuziju</w:t>
      </w:r>
    </w:p>
    <w:p w:rsidR="00687D00" w:rsidRPr="00261E6C" w:rsidRDefault="00687D00">
      <w:pPr>
        <w:jc w:val="both"/>
        <w:rPr>
          <w:sz w:val="22"/>
          <w:szCs w:val="22"/>
          <w:lang w:val="sv-SE"/>
        </w:rPr>
      </w:pPr>
      <w:r w:rsidRPr="00261E6C">
        <w:rPr>
          <w:sz w:val="22"/>
          <w:szCs w:val="22"/>
          <w:lang w:val="sv-SE"/>
        </w:rPr>
        <w:t>INN: polatuzumab vedotin</w:t>
      </w:r>
    </w:p>
    <w:p w:rsidR="00687D00" w:rsidRPr="00261E6C" w:rsidRDefault="00687D00">
      <w:pPr>
        <w:jc w:val="both"/>
        <w:rPr>
          <w:sz w:val="22"/>
          <w:szCs w:val="22"/>
          <w:lang w:val="sv-SE"/>
        </w:rPr>
      </w:pPr>
    </w:p>
    <w:p w:rsidR="00687D00" w:rsidRPr="00261E6C" w:rsidRDefault="00687D00">
      <w:pPr>
        <w:jc w:val="both"/>
        <w:rPr>
          <w:sz w:val="22"/>
          <w:szCs w:val="22"/>
          <w:lang w:val="sr-Latn-RS"/>
        </w:rPr>
      </w:pPr>
      <w:r w:rsidRPr="00261E6C">
        <w:rPr>
          <w:sz w:val="22"/>
          <w:szCs w:val="22"/>
          <w:lang w:val="sr-Latn-RS"/>
        </w:rPr>
        <w:t>Polivy, 140 mg, prašak za koncentrat za rastvor za infuziju</w:t>
      </w:r>
    </w:p>
    <w:p w:rsidR="00687D00" w:rsidRPr="00261E6C" w:rsidRDefault="00687D00">
      <w:pPr>
        <w:jc w:val="both"/>
        <w:rPr>
          <w:sz w:val="22"/>
          <w:szCs w:val="22"/>
          <w:lang w:val="sr-Latn-CS"/>
        </w:rPr>
      </w:pPr>
      <w:r w:rsidRPr="00261E6C">
        <w:rPr>
          <w:sz w:val="22"/>
          <w:szCs w:val="22"/>
          <w:lang w:val="sv-SE"/>
        </w:rPr>
        <w:t>INN: polatuzumab vedotin</w:t>
      </w:r>
    </w:p>
    <w:p w:rsidR="00687D00" w:rsidRPr="00261E6C" w:rsidRDefault="00687D00">
      <w:pPr>
        <w:jc w:val="both"/>
        <w:rPr>
          <w:sz w:val="22"/>
          <w:szCs w:val="22"/>
          <w:lang w:val="sr-Latn-CS"/>
        </w:rPr>
      </w:pPr>
    </w:p>
    <w:p w:rsidR="00687D00" w:rsidRPr="00261E6C" w:rsidRDefault="00687D00">
      <w:pPr>
        <w:jc w:val="both"/>
        <w:rPr>
          <w:bCs/>
          <w:sz w:val="22"/>
          <w:szCs w:val="22"/>
          <w:lang w:val="sv-SE"/>
        </w:rPr>
      </w:pPr>
    </w:p>
    <w:p w:rsidR="00687D00" w:rsidRPr="00261E6C" w:rsidRDefault="00687D00">
      <w:pPr>
        <w:tabs>
          <w:tab w:val="left" w:pos="540"/>
          <w:tab w:val="left" w:pos="569"/>
        </w:tabs>
        <w:jc w:val="both"/>
        <w:rPr>
          <w:b/>
          <w:bCs/>
          <w:sz w:val="22"/>
          <w:szCs w:val="22"/>
          <w:lang w:val="sv-SE"/>
        </w:rPr>
      </w:pPr>
      <w:r w:rsidRPr="00261E6C">
        <w:rPr>
          <w:b/>
          <w:bCs/>
          <w:sz w:val="22"/>
          <w:szCs w:val="22"/>
          <w:lang w:val="sv-SE"/>
        </w:rPr>
        <w:t xml:space="preserve">2. </w:t>
      </w:r>
      <w:r w:rsidRPr="00261E6C">
        <w:rPr>
          <w:b/>
          <w:bCs/>
          <w:sz w:val="22"/>
          <w:szCs w:val="22"/>
          <w:lang w:val="sv-SE"/>
        </w:rPr>
        <w:tab/>
        <w:t>KVALITATIVNI I KVANTITATIVNI SASTAV</w:t>
      </w:r>
    </w:p>
    <w:p w:rsidR="00687D00" w:rsidRPr="00261E6C" w:rsidRDefault="00687D00">
      <w:pPr>
        <w:tabs>
          <w:tab w:val="left" w:pos="540"/>
          <w:tab w:val="left" w:pos="569"/>
        </w:tabs>
        <w:jc w:val="both"/>
        <w:rPr>
          <w:b/>
          <w:bCs/>
          <w:sz w:val="22"/>
          <w:szCs w:val="22"/>
          <w:lang w:val="sv-SE"/>
        </w:rPr>
      </w:pPr>
    </w:p>
    <w:p w:rsidR="00687D00" w:rsidRPr="00261E6C" w:rsidRDefault="00687D00">
      <w:pPr>
        <w:jc w:val="both"/>
        <w:rPr>
          <w:sz w:val="22"/>
          <w:szCs w:val="22"/>
          <w:lang w:val="sr-Latn-RS"/>
        </w:rPr>
      </w:pPr>
      <w:r w:rsidRPr="00261E6C">
        <w:rPr>
          <w:sz w:val="22"/>
          <w:szCs w:val="22"/>
          <w:lang w:val="sr-Latn-RS"/>
        </w:rPr>
        <w:t>Polivy, 30mg, prašak za koncentrat za rastvor za infuziju:</w:t>
      </w:r>
    </w:p>
    <w:p w:rsidR="00687D00" w:rsidRPr="00261E6C" w:rsidRDefault="00687D00">
      <w:pPr>
        <w:jc w:val="both"/>
        <w:rPr>
          <w:sz w:val="22"/>
          <w:szCs w:val="22"/>
          <w:lang w:val="sr-Latn-RS"/>
        </w:rPr>
      </w:pPr>
      <w:r w:rsidRPr="00261E6C">
        <w:rPr>
          <w:sz w:val="22"/>
          <w:szCs w:val="22"/>
          <w:lang w:val="sr-Latn-RS"/>
        </w:rPr>
        <w:t>Svaka bočica praška za koncentrat za rastvor za infuziju sadrži 30 mg polatuzumab vedotina. Nakon rekonstitucije, svaki ml rastvora sadrži 20 mg polatuzumab vedotina.</w:t>
      </w:r>
    </w:p>
    <w:p w:rsidR="00687D00" w:rsidRPr="00261E6C" w:rsidRDefault="00687D00">
      <w:pPr>
        <w:jc w:val="both"/>
        <w:rPr>
          <w:sz w:val="22"/>
          <w:szCs w:val="22"/>
          <w:lang w:val="sr-Latn-RS"/>
        </w:rPr>
      </w:pPr>
    </w:p>
    <w:p w:rsidR="00687D00" w:rsidRPr="00261E6C" w:rsidRDefault="00687D00">
      <w:pPr>
        <w:jc w:val="both"/>
        <w:rPr>
          <w:sz w:val="22"/>
          <w:szCs w:val="22"/>
          <w:lang w:val="sr-Latn-RS"/>
        </w:rPr>
      </w:pPr>
      <w:r w:rsidRPr="00261E6C">
        <w:rPr>
          <w:sz w:val="22"/>
          <w:szCs w:val="22"/>
          <w:lang w:val="sr-Latn-RS"/>
        </w:rPr>
        <w:t>Polivy, 140mg, prašak za koncentrat za rastvor za infuziju:</w:t>
      </w:r>
    </w:p>
    <w:p w:rsidR="00687D00" w:rsidRPr="00261E6C" w:rsidRDefault="00687D00">
      <w:pPr>
        <w:jc w:val="both"/>
        <w:rPr>
          <w:sz w:val="22"/>
          <w:szCs w:val="22"/>
          <w:lang w:val="sr-Latn-RS"/>
        </w:rPr>
      </w:pPr>
      <w:r w:rsidRPr="00261E6C">
        <w:rPr>
          <w:sz w:val="22"/>
          <w:szCs w:val="22"/>
          <w:lang w:val="sr-Latn-RS"/>
        </w:rPr>
        <w:t>Svaka bočica praška za koncentrat za rastvor za infuziju sadrži 140 mg polatuzumab vedotina. Nakon rekonstitucije, svaki ml rastvora sadrži 20 mg polatuzumab vedotina.</w:t>
      </w:r>
    </w:p>
    <w:p w:rsidR="00687D00" w:rsidRPr="00261E6C" w:rsidRDefault="00687D00">
      <w:pPr>
        <w:jc w:val="both"/>
        <w:rPr>
          <w:sz w:val="22"/>
          <w:szCs w:val="22"/>
          <w:lang w:val="sr-Latn-RS"/>
        </w:rPr>
      </w:pPr>
    </w:p>
    <w:p w:rsidR="00687D00" w:rsidRPr="00261E6C" w:rsidRDefault="00687D00">
      <w:pPr>
        <w:jc w:val="both"/>
        <w:rPr>
          <w:sz w:val="22"/>
          <w:szCs w:val="22"/>
          <w:lang w:val="sr-Latn-RS"/>
        </w:rPr>
      </w:pPr>
      <w:r w:rsidRPr="00261E6C">
        <w:rPr>
          <w:sz w:val="22"/>
          <w:szCs w:val="22"/>
          <w:lang w:val="sr-Latn-RS"/>
        </w:rPr>
        <w:t>Polatuzumab vedotin je antitijelo-lijek konjugat koji se sastoji od antimitotičkog agensa monometil auristatina E (MMAE) kovalentnom vezom konjugovanog sa monoklonskim antitijelom koje ciljano djeluje na CD79b (rekombinantni humanizovani imunoglobulin G1 [IgG1], proizveden u ćelijama jajnika kineskog hrčka pomoću rekombinantne DNK tehnologije).</w:t>
      </w:r>
    </w:p>
    <w:p w:rsidR="00687D00" w:rsidRPr="00261E6C" w:rsidRDefault="00687D00">
      <w:pPr>
        <w:jc w:val="both"/>
        <w:rPr>
          <w:sz w:val="22"/>
          <w:szCs w:val="22"/>
          <w:lang w:val="sr-Latn-CS"/>
        </w:rPr>
      </w:pPr>
    </w:p>
    <w:p w:rsidR="00687D00" w:rsidRPr="00261E6C" w:rsidRDefault="00687D00">
      <w:pPr>
        <w:jc w:val="both"/>
        <w:rPr>
          <w:sz w:val="22"/>
          <w:szCs w:val="22"/>
          <w:lang w:val="sr-Latn-CS"/>
        </w:rPr>
      </w:pPr>
      <w:r w:rsidRPr="00261E6C">
        <w:rPr>
          <w:sz w:val="22"/>
          <w:szCs w:val="22"/>
          <w:lang w:val="sr-Latn-CS"/>
        </w:rPr>
        <w:t>Za spisak svih ekscipijenasa, pogledati dio 6.1.</w:t>
      </w:r>
    </w:p>
    <w:p w:rsidR="00687D00" w:rsidRPr="00261E6C" w:rsidRDefault="00687D00">
      <w:pPr>
        <w:jc w:val="both"/>
        <w:rPr>
          <w:sz w:val="22"/>
          <w:szCs w:val="22"/>
          <w:lang w:val="sr-Latn-CS"/>
        </w:rPr>
      </w:pPr>
    </w:p>
    <w:p w:rsidR="00687D00" w:rsidRPr="00261E6C" w:rsidRDefault="00687D00">
      <w:pPr>
        <w:tabs>
          <w:tab w:val="left" w:pos="540"/>
          <w:tab w:val="left" w:pos="569"/>
        </w:tabs>
        <w:jc w:val="both"/>
        <w:rPr>
          <w:b/>
          <w:bCs/>
          <w:sz w:val="22"/>
          <w:szCs w:val="22"/>
          <w:lang w:val="sr-Latn-CS"/>
        </w:rPr>
      </w:pPr>
      <w:r w:rsidRPr="00261E6C">
        <w:rPr>
          <w:b/>
          <w:bCs/>
          <w:sz w:val="22"/>
          <w:szCs w:val="22"/>
          <w:lang w:val="sr-Latn-CS"/>
        </w:rPr>
        <w:t xml:space="preserve">3. </w:t>
      </w:r>
      <w:r w:rsidRPr="00261E6C">
        <w:rPr>
          <w:b/>
          <w:bCs/>
          <w:sz w:val="22"/>
          <w:szCs w:val="22"/>
          <w:lang w:val="sr-Latn-CS"/>
        </w:rPr>
        <w:tab/>
      </w:r>
      <w:r w:rsidRPr="00261E6C">
        <w:rPr>
          <w:b/>
          <w:bCs/>
          <w:sz w:val="22"/>
          <w:szCs w:val="22"/>
        </w:rPr>
        <w:t>FARMACEUTSKI</w:t>
      </w:r>
      <w:r w:rsidRPr="00261E6C">
        <w:rPr>
          <w:b/>
          <w:bCs/>
          <w:sz w:val="22"/>
          <w:szCs w:val="22"/>
          <w:lang w:val="sr-Latn-CS"/>
        </w:rPr>
        <w:t xml:space="preserve"> </w:t>
      </w:r>
      <w:r w:rsidRPr="00261E6C">
        <w:rPr>
          <w:b/>
          <w:bCs/>
          <w:sz w:val="22"/>
          <w:szCs w:val="22"/>
        </w:rPr>
        <w:t>OBLIK</w:t>
      </w:r>
      <w:r w:rsidRPr="00261E6C">
        <w:rPr>
          <w:b/>
          <w:bCs/>
          <w:sz w:val="22"/>
          <w:szCs w:val="22"/>
          <w:lang w:val="sr-Latn-CS"/>
        </w:rPr>
        <w:t xml:space="preserve"> </w:t>
      </w:r>
    </w:p>
    <w:p w:rsidR="00687D00" w:rsidRPr="00261E6C" w:rsidRDefault="00687D00">
      <w:pPr>
        <w:tabs>
          <w:tab w:val="left" w:pos="540"/>
          <w:tab w:val="left" w:pos="569"/>
        </w:tabs>
        <w:jc w:val="both"/>
        <w:rPr>
          <w:b/>
          <w:bCs/>
          <w:sz w:val="22"/>
          <w:szCs w:val="22"/>
          <w:lang w:val="sr-Latn-CS"/>
        </w:rPr>
      </w:pPr>
    </w:p>
    <w:p w:rsidR="00687D00" w:rsidRPr="00261E6C" w:rsidRDefault="00687D00">
      <w:pPr>
        <w:jc w:val="both"/>
        <w:rPr>
          <w:sz w:val="22"/>
          <w:szCs w:val="22"/>
          <w:lang w:val="sr-Latn-RS"/>
        </w:rPr>
      </w:pPr>
      <w:r w:rsidRPr="00261E6C">
        <w:rPr>
          <w:sz w:val="22"/>
          <w:szCs w:val="22"/>
          <w:lang w:val="sr-Latn-RS"/>
        </w:rPr>
        <w:t>Prašak za koncentrat za rastvor za infuziju (prašak za koncentrat). Bijele do sivkastobijele liofilizovane grudvice.</w:t>
      </w:r>
    </w:p>
    <w:p w:rsidR="00687D00" w:rsidRPr="00261E6C" w:rsidRDefault="00687D00">
      <w:pPr>
        <w:jc w:val="both"/>
        <w:rPr>
          <w:bCs/>
          <w:sz w:val="22"/>
          <w:szCs w:val="22"/>
          <w:lang w:val="sr-Latn-CS"/>
        </w:rPr>
      </w:pPr>
    </w:p>
    <w:p w:rsidR="00687D00" w:rsidRPr="00261E6C" w:rsidRDefault="00687D00">
      <w:pPr>
        <w:tabs>
          <w:tab w:val="left" w:pos="540"/>
          <w:tab w:val="left" w:pos="569"/>
        </w:tabs>
        <w:jc w:val="both"/>
        <w:rPr>
          <w:b/>
          <w:bCs/>
          <w:sz w:val="22"/>
          <w:szCs w:val="22"/>
          <w:lang w:val="sr-Latn-CS"/>
        </w:rPr>
      </w:pPr>
      <w:r w:rsidRPr="00261E6C">
        <w:rPr>
          <w:b/>
          <w:bCs/>
          <w:sz w:val="22"/>
          <w:szCs w:val="22"/>
          <w:lang w:val="sr-Latn-CS"/>
        </w:rPr>
        <w:t xml:space="preserve">4. </w:t>
      </w:r>
      <w:r w:rsidRPr="00261E6C">
        <w:rPr>
          <w:b/>
          <w:bCs/>
          <w:sz w:val="22"/>
          <w:szCs w:val="22"/>
          <w:lang w:val="sr-Latn-CS"/>
        </w:rPr>
        <w:tab/>
      </w:r>
      <w:r w:rsidRPr="00261E6C">
        <w:rPr>
          <w:b/>
          <w:bCs/>
          <w:sz w:val="22"/>
          <w:szCs w:val="22"/>
          <w:lang w:val="sr-Latn-RS"/>
        </w:rPr>
        <w:t>KLINI</w:t>
      </w:r>
      <w:r w:rsidRPr="00261E6C">
        <w:rPr>
          <w:b/>
          <w:bCs/>
          <w:sz w:val="22"/>
          <w:szCs w:val="22"/>
          <w:lang w:val="sr-Latn-CS"/>
        </w:rPr>
        <w:t>Č</w:t>
      </w:r>
      <w:r w:rsidRPr="00261E6C">
        <w:rPr>
          <w:b/>
          <w:bCs/>
          <w:sz w:val="22"/>
          <w:szCs w:val="22"/>
          <w:lang w:val="sr-Latn-RS"/>
        </w:rPr>
        <w:t>KI</w:t>
      </w:r>
      <w:r w:rsidRPr="00261E6C">
        <w:rPr>
          <w:b/>
          <w:bCs/>
          <w:sz w:val="22"/>
          <w:szCs w:val="22"/>
          <w:lang w:val="sr-Latn-CS"/>
        </w:rPr>
        <w:t xml:space="preserve"> </w:t>
      </w:r>
      <w:r w:rsidRPr="00261E6C">
        <w:rPr>
          <w:b/>
          <w:bCs/>
          <w:sz w:val="22"/>
          <w:szCs w:val="22"/>
          <w:lang w:val="sr-Latn-RS"/>
        </w:rPr>
        <w:t>PODACI</w:t>
      </w:r>
    </w:p>
    <w:p w:rsidR="00687D00" w:rsidRPr="00261E6C" w:rsidRDefault="00687D00">
      <w:pPr>
        <w:tabs>
          <w:tab w:val="left" w:pos="540"/>
          <w:tab w:val="left" w:pos="569"/>
        </w:tabs>
        <w:jc w:val="both"/>
        <w:rPr>
          <w:bCs/>
          <w:sz w:val="22"/>
          <w:szCs w:val="22"/>
          <w:lang w:val="sr-Latn-CS"/>
        </w:rPr>
      </w:pPr>
    </w:p>
    <w:p w:rsidR="00687D00" w:rsidRPr="00261E6C" w:rsidRDefault="00687D00">
      <w:pPr>
        <w:tabs>
          <w:tab w:val="left" w:pos="540"/>
          <w:tab w:val="left" w:pos="569"/>
        </w:tabs>
        <w:jc w:val="both"/>
        <w:rPr>
          <w:b/>
          <w:bCs/>
          <w:sz w:val="22"/>
          <w:szCs w:val="22"/>
          <w:lang w:val="sr-Latn-CS"/>
        </w:rPr>
      </w:pPr>
      <w:r w:rsidRPr="00261E6C">
        <w:rPr>
          <w:b/>
          <w:bCs/>
          <w:sz w:val="22"/>
          <w:szCs w:val="22"/>
          <w:lang w:val="sr-Latn-CS"/>
        </w:rPr>
        <w:t xml:space="preserve">4.1. </w:t>
      </w:r>
      <w:r w:rsidRPr="00261E6C">
        <w:rPr>
          <w:b/>
          <w:bCs/>
          <w:sz w:val="22"/>
          <w:szCs w:val="22"/>
          <w:lang w:val="sr-Latn-CS"/>
        </w:rPr>
        <w:tab/>
      </w:r>
      <w:r w:rsidRPr="00261E6C">
        <w:rPr>
          <w:b/>
          <w:bCs/>
          <w:sz w:val="22"/>
          <w:szCs w:val="22"/>
          <w:lang w:val="sr-Latn-RS"/>
        </w:rPr>
        <w:t>Terapijske</w:t>
      </w:r>
      <w:r w:rsidRPr="00261E6C">
        <w:rPr>
          <w:b/>
          <w:bCs/>
          <w:sz w:val="22"/>
          <w:szCs w:val="22"/>
          <w:lang w:val="sr-Latn-CS"/>
        </w:rPr>
        <w:t xml:space="preserve"> </w:t>
      </w:r>
      <w:r w:rsidRPr="00261E6C">
        <w:rPr>
          <w:b/>
          <w:bCs/>
          <w:sz w:val="22"/>
          <w:szCs w:val="22"/>
          <w:lang w:val="sr-Latn-RS"/>
        </w:rPr>
        <w:t>indikacije</w:t>
      </w:r>
    </w:p>
    <w:p w:rsidR="00724B76" w:rsidRPr="00261E6C" w:rsidRDefault="00724B76">
      <w:pPr>
        <w:tabs>
          <w:tab w:val="left" w:pos="540"/>
          <w:tab w:val="left" w:pos="569"/>
        </w:tabs>
        <w:jc w:val="both"/>
        <w:rPr>
          <w:b/>
          <w:bCs/>
          <w:sz w:val="22"/>
          <w:szCs w:val="22"/>
          <w:lang w:val="sr-Latn-RS"/>
        </w:rPr>
      </w:pPr>
    </w:p>
    <w:p w:rsidR="00724B76" w:rsidRPr="00261E6C" w:rsidRDefault="00724B76" w:rsidP="00261E6C">
      <w:pPr>
        <w:keepLines/>
        <w:widowControl w:val="0"/>
        <w:jc w:val="both"/>
        <w:rPr>
          <w:b/>
          <w:bCs/>
          <w:sz w:val="22"/>
          <w:szCs w:val="22"/>
          <w:lang w:val="sr-Latn-RS"/>
        </w:rPr>
      </w:pPr>
      <w:r w:rsidRPr="00261E6C">
        <w:rPr>
          <w:sz w:val="22"/>
          <w:szCs w:val="22"/>
          <w:lang w:val="hr-HR"/>
        </w:rPr>
        <w:t>Lijek Polivy je u kombinaciji sa rituksimabom, ciklofosfamidom, doksorubicinom i prednizonom (R</w:t>
      </w:r>
      <w:r w:rsidRPr="00261E6C">
        <w:rPr>
          <w:sz w:val="22"/>
          <w:szCs w:val="22"/>
          <w:lang w:val="hr-HR"/>
        </w:rPr>
        <w:noBreakHyphen/>
        <w:t xml:space="preserve">CHP) indikovan za liječenje odraslih pacijenata sa prethodno </w:t>
      </w:r>
      <w:r w:rsidR="00E26464" w:rsidRPr="00261E6C">
        <w:rPr>
          <w:sz w:val="22"/>
          <w:szCs w:val="22"/>
          <w:lang w:val="hr-HR"/>
        </w:rPr>
        <w:t>neliječen</w:t>
      </w:r>
      <w:r w:rsidRPr="00261E6C">
        <w:rPr>
          <w:sz w:val="22"/>
          <w:szCs w:val="22"/>
          <w:lang w:val="hr-HR"/>
        </w:rPr>
        <w:t>im difuznim B</w:t>
      </w:r>
      <w:r w:rsidRPr="00261E6C">
        <w:rPr>
          <w:sz w:val="22"/>
          <w:szCs w:val="22"/>
          <w:lang w:val="hr-HR"/>
        </w:rPr>
        <w:noBreakHyphen/>
        <w:t>krupnoćelijskim limfomom (DBKL)</w:t>
      </w:r>
      <w:r w:rsidR="00433FEA" w:rsidRPr="00C2143B">
        <w:rPr>
          <w:sz w:val="22"/>
          <w:szCs w:val="22"/>
          <w:lang w:val="hr-HR"/>
        </w:rPr>
        <w:t>.</w:t>
      </w:r>
    </w:p>
    <w:p w:rsidR="00411B4B" w:rsidRPr="00261E6C" w:rsidRDefault="00411B4B" w:rsidP="00433FEA">
      <w:pPr>
        <w:tabs>
          <w:tab w:val="left" w:pos="540"/>
          <w:tab w:val="left" w:pos="569"/>
        </w:tabs>
        <w:jc w:val="both"/>
        <w:rPr>
          <w:bCs/>
          <w:sz w:val="22"/>
          <w:szCs w:val="22"/>
          <w:lang w:val="sr-Latn-CS"/>
        </w:rPr>
      </w:pPr>
    </w:p>
    <w:p w:rsidR="00687D00" w:rsidRPr="00261E6C" w:rsidRDefault="00687D00" w:rsidP="0015550A">
      <w:pPr>
        <w:jc w:val="both"/>
        <w:rPr>
          <w:sz w:val="22"/>
          <w:szCs w:val="22"/>
          <w:lang w:val="sr-Latn-RS"/>
        </w:rPr>
      </w:pPr>
      <w:r w:rsidRPr="00261E6C">
        <w:rPr>
          <w:sz w:val="22"/>
          <w:szCs w:val="22"/>
          <w:lang w:val="sr-Latn-RS"/>
        </w:rPr>
        <w:t>Lijek Polivy u kombinaciji sa bendamustinom i rituksimabom indikovan je za terapiju odraslih pacijenata sa relapsnim/refraktornim difuznim B-krupnoćelijskim limfomom (DBKL), koji nijesu kandidati za transplantaciju hematopoetskih matičnih ćelija.</w:t>
      </w:r>
    </w:p>
    <w:p w:rsidR="005612C5" w:rsidRPr="00261E6C" w:rsidRDefault="005612C5">
      <w:pPr>
        <w:tabs>
          <w:tab w:val="left" w:pos="540"/>
          <w:tab w:val="left" w:pos="569"/>
        </w:tabs>
        <w:jc w:val="both"/>
        <w:rPr>
          <w:bCs/>
          <w:sz w:val="22"/>
          <w:szCs w:val="22"/>
          <w:lang w:val="sr-Latn-RS"/>
        </w:rPr>
      </w:pPr>
    </w:p>
    <w:p w:rsidR="00687D00" w:rsidRPr="00261E6C" w:rsidRDefault="00687D00">
      <w:pPr>
        <w:tabs>
          <w:tab w:val="left" w:pos="540"/>
          <w:tab w:val="left" w:pos="569"/>
        </w:tabs>
        <w:jc w:val="both"/>
        <w:rPr>
          <w:b/>
          <w:bCs/>
          <w:sz w:val="22"/>
          <w:szCs w:val="22"/>
          <w:lang w:val="sr-Latn-CS"/>
        </w:rPr>
      </w:pPr>
      <w:r w:rsidRPr="00261E6C">
        <w:rPr>
          <w:b/>
          <w:bCs/>
          <w:sz w:val="22"/>
          <w:szCs w:val="22"/>
          <w:lang w:val="sr-Latn-CS"/>
        </w:rPr>
        <w:t xml:space="preserve">4.2. </w:t>
      </w:r>
      <w:r w:rsidRPr="00261E6C">
        <w:rPr>
          <w:b/>
          <w:bCs/>
          <w:sz w:val="22"/>
          <w:szCs w:val="22"/>
          <w:lang w:val="sr-Latn-CS"/>
        </w:rPr>
        <w:tab/>
      </w:r>
      <w:r w:rsidRPr="00261E6C">
        <w:rPr>
          <w:b/>
          <w:bCs/>
          <w:sz w:val="22"/>
          <w:szCs w:val="22"/>
          <w:lang w:val="sr-Latn-RS"/>
        </w:rPr>
        <w:t>Doziranje</w:t>
      </w:r>
      <w:r w:rsidRPr="00261E6C">
        <w:rPr>
          <w:b/>
          <w:bCs/>
          <w:sz w:val="22"/>
          <w:szCs w:val="22"/>
          <w:lang w:val="sr-Latn-CS"/>
        </w:rPr>
        <w:t xml:space="preserve"> </w:t>
      </w:r>
      <w:r w:rsidRPr="00261E6C">
        <w:rPr>
          <w:b/>
          <w:bCs/>
          <w:sz w:val="22"/>
          <w:szCs w:val="22"/>
          <w:lang w:val="sr-Latn-RS"/>
        </w:rPr>
        <w:t>i</w:t>
      </w:r>
      <w:r w:rsidRPr="00261E6C">
        <w:rPr>
          <w:b/>
          <w:bCs/>
          <w:sz w:val="22"/>
          <w:szCs w:val="22"/>
          <w:lang w:val="sr-Latn-CS"/>
        </w:rPr>
        <w:t xml:space="preserve"> </w:t>
      </w:r>
      <w:r w:rsidRPr="00261E6C">
        <w:rPr>
          <w:b/>
          <w:bCs/>
          <w:sz w:val="22"/>
          <w:szCs w:val="22"/>
          <w:lang w:val="sr-Latn-RS"/>
        </w:rPr>
        <w:t>na</w:t>
      </w:r>
      <w:r w:rsidRPr="00261E6C">
        <w:rPr>
          <w:b/>
          <w:bCs/>
          <w:sz w:val="22"/>
          <w:szCs w:val="22"/>
          <w:lang w:val="sr-Latn-CS"/>
        </w:rPr>
        <w:t>č</w:t>
      </w:r>
      <w:r w:rsidRPr="00261E6C">
        <w:rPr>
          <w:b/>
          <w:bCs/>
          <w:sz w:val="22"/>
          <w:szCs w:val="22"/>
          <w:lang w:val="sr-Latn-RS"/>
        </w:rPr>
        <w:t>in</w:t>
      </w:r>
      <w:r w:rsidRPr="00261E6C">
        <w:rPr>
          <w:b/>
          <w:bCs/>
          <w:sz w:val="22"/>
          <w:szCs w:val="22"/>
          <w:lang w:val="sr-Latn-CS"/>
        </w:rPr>
        <w:t xml:space="preserve"> </w:t>
      </w:r>
      <w:r w:rsidRPr="00261E6C">
        <w:rPr>
          <w:b/>
          <w:bCs/>
          <w:sz w:val="22"/>
          <w:szCs w:val="22"/>
          <w:lang w:val="sr-Latn-RS"/>
        </w:rPr>
        <w:t>primjene</w:t>
      </w:r>
    </w:p>
    <w:p w:rsidR="00687D00" w:rsidRPr="00261E6C" w:rsidRDefault="00687D00">
      <w:pPr>
        <w:tabs>
          <w:tab w:val="left" w:pos="540"/>
          <w:tab w:val="left" w:pos="569"/>
        </w:tabs>
        <w:jc w:val="both"/>
        <w:rPr>
          <w:bCs/>
          <w:sz w:val="22"/>
          <w:szCs w:val="22"/>
          <w:lang w:val="sr-Latn-CS"/>
        </w:rPr>
      </w:pPr>
    </w:p>
    <w:p w:rsidR="00687D00" w:rsidRPr="00261E6C" w:rsidRDefault="00687D00">
      <w:pPr>
        <w:jc w:val="both"/>
        <w:rPr>
          <w:sz w:val="22"/>
          <w:szCs w:val="22"/>
          <w:lang w:val="sr-Latn-RS"/>
        </w:rPr>
      </w:pPr>
      <w:r w:rsidRPr="00261E6C">
        <w:rPr>
          <w:sz w:val="22"/>
          <w:szCs w:val="22"/>
          <w:lang w:val="sr-Latn-RS"/>
        </w:rPr>
        <w:t xml:space="preserve">Lijek Polivy se mora primjenjivati pod nadzorom zdravstvenog radnika </w:t>
      </w:r>
      <w:r w:rsidR="00660B36" w:rsidRPr="00C2143B">
        <w:rPr>
          <w:sz w:val="22"/>
          <w:szCs w:val="22"/>
          <w:lang w:val="sr-Latn-RS"/>
        </w:rPr>
        <w:t>sa</w:t>
      </w:r>
      <w:r w:rsidRPr="00261E6C">
        <w:rPr>
          <w:sz w:val="22"/>
          <w:szCs w:val="22"/>
          <w:lang w:val="sr-Latn-RS"/>
        </w:rPr>
        <w:t xml:space="preserve"> iskustvo</w:t>
      </w:r>
      <w:r w:rsidR="00660B36" w:rsidRPr="00C2143B">
        <w:rPr>
          <w:sz w:val="22"/>
          <w:szCs w:val="22"/>
          <w:lang w:val="sr-Latn-RS"/>
        </w:rPr>
        <w:t>m</w:t>
      </w:r>
      <w:r w:rsidRPr="00261E6C">
        <w:rPr>
          <w:sz w:val="22"/>
          <w:szCs w:val="22"/>
          <w:lang w:val="sr-Latn-RS"/>
        </w:rPr>
        <w:t xml:space="preserve"> u dijagn</w:t>
      </w:r>
      <w:r w:rsidR="00660B36" w:rsidRPr="00C2143B">
        <w:rPr>
          <w:sz w:val="22"/>
          <w:szCs w:val="22"/>
          <w:lang w:val="sr-Latn-RS"/>
        </w:rPr>
        <w:t>ostici</w:t>
      </w:r>
      <w:r w:rsidRPr="00261E6C">
        <w:rPr>
          <w:sz w:val="22"/>
          <w:szCs w:val="22"/>
          <w:lang w:val="sr-Latn-RS"/>
        </w:rPr>
        <w:t xml:space="preserve"> i </w:t>
      </w:r>
      <w:r w:rsidR="00660B36" w:rsidRPr="00C2143B">
        <w:rPr>
          <w:sz w:val="22"/>
          <w:szCs w:val="22"/>
          <w:lang w:val="sr-Latn-RS"/>
        </w:rPr>
        <w:t>liječenju</w:t>
      </w:r>
      <w:r w:rsidRPr="00261E6C">
        <w:rPr>
          <w:sz w:val="22"/>
          <w:szCs w:val="22"/>
          <w:lang w:val="sr-Latn-RS"/>
        </w:rPr>
        <w:t xml:space="preserve"> pacijenata sa karcinomom.</w:t>
      </w:r>
    </w:p>
    <w:p w:rsidR="005612C5" w:rsidRPr="00C2143B" w:rsidRDefault="005612C5">
      <w:pPr>
        <w:tabs>
          <w:tab w:val="left" w:pos="540"/>
          <w:tab w:val="left" w:pos="569"/>
        </w:tabs>
        <w:jc w:val="both"/>
        <w:rPr>
          <w:bCs/>
          <w:sz w:val="22"/>
          <w:szCs w:val="22"/>
          <w:lang w:val="sr-Latn-RS"/>
        </w:rPr>
      </w:pPr>
    </w:p>
    <w:p w:rsidR="00E4155A" w:rsidRPr="00261E6C" w:rsidRDefault="00E4155A">
      <w:pPr>
        <w:tabs>
          <w:tab w:val="left" w:pos="540"/>
          <w:tab w:val="left" w:pos="569"/>
        </w:tabs>
        <w:jc w:val="both"/>
        <w:rPr>
          <w:bCs/>
          <w:sz w:val="22"/>
          <w:szCs w:val="22"/>
          <w:lang w:val="sr-Latn-RS"/>
        </w:rPr>
      </w:pPr>
    </w:p>
    <w:p w:rsidR="00452E9D" w:rsidRPr="00261E6C" w:rsidRDefault="00452E9D">
      <w:pPr>
        <w:tabs>
          <w:tab w:val="left" w:pos="540"/>
          <w:tab w:val="left" w:pos="569"/>
        </w:tabs>
        <w:jc w:val="both"/>
        <w:rPr>
          <w:bCs/>
          <w:sz w:val="22"/>
          <w:szCs w:val="22"/>
          <w:u w:val="single"/>
          <w:lang w:val="sr-Latn-RS"/>
        </w:rPr>
      </w:pPr>
      <w:r w:rsidRPr="00261E6C">
        <w:rPr>
          <w:bCs/>
          <w:sz w:val="22"/>
          <w:szCs w:val="22"/>
          <w:u w:val="single"/>
          <w:lang w:val="sr-Latn-RS"/>
        </w:rPr>
        <w:lastRenderedPageBreak/>
        <w:t>Doziranje</w:t>
      </w:r>
    </w:p>
    <w:p w:rsidR="00724B76" w:rsidRPr="00261E6C" w:rsidRDefault="00724B76">
      <w:pPr>
        <w:tabs>
          <w:tab w:val="left" w:pos="540"/>
          <w:tab w:val="left" w:pos="569"/>
        </w:tabs>
        <w:jc w:val="both"/>
        <w:rPr>
          <w:bCs/>
          <w:sz w:val="22"/>
          <w:szCs w:val="22"/>
          <w:u w:val="single"/>
          <w:lang w:val="sr-Latn-RS"/>
        </w:rPr>
      </w:pPr>
    </w:p>
    <w:p w:rsidR="00724B76" w:rsidRPr="00261E6C" w:rsidRDefault="00724B76" w:rsidP="00261E6C">
      <w:pPr>
        <w:keepNext/>
        <w:jc w:val="both"/>
        <w:rPr>
          <w:b/>
          <w:bCs/>
          <w:sz w:val="22"/>
          <w:szCs w:val="22"/>
          <w:lang w:val="hr-HR"/>
        </w:rPr>
      </w:pPr>
      <w:r w:rsidRPr="00261E6C">
        <w:rPr>
          <w:b/>
          <w:bCs/>
          <w:sz w:val="22"/>
          <w:szCs w:val="22"/>
          <w:lang w:val="hr-HR"/>
        </w:rPr>
        <w:t>Difuzni B-krupnoćelijski  limfom</w:t>
      </w:r>
    </w:p>
    <w:p w:rsidR="00724B76" w:rsidRPr="00261E6C" w:rsidRDefault="00724B76" w:rsidP="00261E6C">
      <w:pPr>
        <w:keepNext/>
        <w:jc w:val="both"/>
        <w:rPr>
          <w:sz w:val="22"/>
          <w:szCs w:val="22"/>
          <w:lang w:val="hr-HR"/>
        </w:rPr>
      </w:pPr>
    </w:p>
    <w:p w:rsidR="00724B76" w:rsidRPr="00261E6C" w:rsidRDefault="00724B76" w:rsidP="00261E6C">
      <w:pPr>
        <w:keepNext/>
        <w:jc w:val="both"/>
        <w:rPr>
          <w:i/>
          <w:iCs/>
          <w:sz w:val="22"/>
          <w:szCs w:val="22"/>
          <w:lang w:val="hr-HR"/>
        </w:rPr>
      </w:pPr>
      <w:r w:rsidRPr="00261E6C">
        <w:rPr>
          <w:i/>
          <w:iCs/>
          <w:sz w:val="22"/>
          <w:szCs w:val="22"/>
          <w:lang w:val="hr-HR"/>
        </w:rPr>
        <w:t xml:space="preserve">Prethodno </w:t>
      </w:r>
      <w:r w:rsidR="00E26464" w:rsidRPr="00261E6C">
        <w:rPr>
          <w:i/>
          <w:iCs/>
          <w:sz w:val="22"/>
          <w:szCs w:val="22"/>
          <w:lang w:val="hr-HR"/>
        </w:rPr>
        <w:t>neliječen</w:t>
      </w:r>
      <w:r w:rsidRPr="00261E6C">
        <w:rPr>
          <w:i/>
          <w:iCs/>
          <w:sz w:val="22"/>
          <w:szCs w:val="22"/>
          <w:lang w:val="hr-HR"/>
        </w:rPr>
        <w:t xml:space="preserve">i pacijenti  </w:t>
      </w:r>
    </w:p>
    <w:p w:rsidR="00724B76" w:rsidRPr="00261E6C" w:rsidRDefault="00724B76" w:rsidP="00261E6C">
      <w:pPr>
        <w:keepNext/>
        <w:jc w:val="both"/>
        <w:rPr>
          <w:i/>
          <w:iCs/>
          <w:sz w:val="22"/>
          <w:szCs w:val="22"/>
          <w:lang w:val="hr-HR"/>
        </w:rPr>
      </w:pPr>
    </w:p>
    <w:p w:rsidR="00724B76" w:rsidRPr="00261E6C" w:rsidRDefault="00724B76" w:rsidP="00261E6C">
      <w:pPr>
        <w:jc w:val="both"/>
        <w:rPr>
          <w:sz w:val="22"/>
          <w:szCs w:val="22"/>
          <w:lang w:val="hr-HR"/>
        </w:rPr>
      </w:pPr>
      <w:r w:rsidRPr="00261E6C">
        <w:rPr>
          <w:sz w:val="22"/>
          <w:szCs w:val="22"/>
          <w:lang w:val="hr-HR"/>
        </w:rPr>
        <w:t>Preporučena doza lijeka Polivy je 1,8 mg/kg, a primjenjuje se intravenskom infuzijom na 21 dan u kombinaciji sa rituksimabom, ciklofosfamidom, doksorubicinom i prednizonom (R</w:t>
      </w:r>
      <w:r w:rsidRPr="00261E6C">
        <w:rPr>
          <w:sz w:val="22"/>
          <w:szCs w:val="22"/>
          <w:lang w:val="hr-HR"/>
        </w:rPr>
        <w:noBreakHyphen/>
        <w:t>CHP) tokom 6 ciklusa. Lijek Polivy, rituksimab, ciklofosfamid i doksorubicin mogu se primjenjivati bilo kojim redosl</w:t>
      </w:r>
      <w:r w:rsidR="009C1C38" w:rsidRPr="00261E6C">
        <w:rPr>
          <w:sz w:val="22"/>
          <w:szCs w:val="22"/>
          <w:lang w:val="hr-HR"/>
        </w:rPr>
        <w:t>ij</w:t>
      </w:r>
      <w:r w:rsidRPr="00261E6C">
        <w:rPr>
          <w:sz w:val="22"/>
          <w:szCs w:val="22"/>
          <w:lang w:val="hr-HR"/>
        </w:rPr>
        <w:t xml:space="preserve">edom 1. dana, ali nakon </w:t>
      </w:r>
      <w:r w:rsidR="00E343D0" w:rsidRPr="00261E6C">
        <w:rPr>
          <w:sz w:val="22"/>
          <w:szCs w:val="22"/>
          <w:lang w:val="hr-HR"/>
        </w:rPr>
        <w:t>primjene</w:t>
      </w:r>
      <w:r w:rsidRPr="00261E6C">
        <w:rPr>
          <w:sz w:val="22"/>
          <w:szCs w:val="22"/>
          <w:lang w:val="hr-HR"/>
        </w:rPr>
        <w:t xml:space="preserve"> prednizona. Prednizon se primjenjuje od 1. do 5. dana svakog ciklusa. U 7. i 8. ciklusu primjenjuje se rituksimab u monoterapiji.</w:t>
      </w:r>
    </w:p>
    <w:p w:rsidR="00724B76" w:rsidRPr="00261E6C" w:rsidRDefault="00724B76" w:rsidP="00261E6C">
      <w:pPr>
        <w:jc w:val="both"/>
        <w:rPr>
          <w:sz w:val="22"/>
          <w:szCs w:val="22"/>
          <w:lang w:val="hr-HR"/>
        </w:rPr>
      </w:pPr>
    </w:p>
    <w:p w:rsidR="00724B76" w:rsidRPr="00261E6C" w:rsidRDefault="00724B76" w:rsidP="00261E6C">
      <w:pPr>
        <w:jc w:val="both"/>
        <w:rPr>
          <w:sz w:val="22"/>
          <w:szCs w:val="22"/>
          <w:lang w:val="hr-HR"/>
        </w:rPr>
      </w:pPr>
      <w:r w:rsidRPr="00261E6C">
        <w:rPr>
          <w:sz w:val="22"/>
          <w:szCs w:val="22"/>
          <w:lang w:val="hr-HR"/>
        </w:rPr>
        <w:t xml:space="preserve">Vidjeti Sažetak karakteristika lijeka (SmPC) za hemioterapijske ljekove koji se daju u kombinaciji sa lijekom Polivy kod pacijenata sa prethodno </w:t>
      </w:r>
      <w:r w:rsidR="00E26464" w:rsidRPr="00261E6C">
        <w:rPr>
          <w:sz w:val="22"/>
          <w:szCs w:val="22"/>
          <w:lang w:val="hr-HR"/>
        </w:rPr>
        <w:t>neliječen</w:t>
      </w:r>
      <w:r w:rsidRPr="00261E6C">
        <w:rPr>
          <w:sz w:val="22"/>
          <w:szCs w:val="22"/>
          <w:lang w:val="hr-HR"/>
        </w:rPr>
        <w:t>im DBKL</w:t>
      </w:r>
      <w:r w:rsidRPr="00261E6C">
        <w:rPr>
          <w:sz w:val="22"/>
          <w:szCs w:val="22"/>
          <w:lang w:val="hr-HR"/>
        </w:rPr>
        <w:noBreakHyphen/>
        <w:t>om.</w:t>
      </w:r>
    </w:p>
    <w:p w:rsidR="00724B76" w:rsidRPr="00261E6C" w:rsidRDefault="00724B76" w:rsidP="00261E6C">
      <w:pPr>
        <w:jc w:val="both"/>
        <w:rPr>
          <w:sz w:val="22"/>
          <w:szCs w:val="22"/>
          <w:lang w:val="hr-HR"/>
        </w:rPr>
      </w:pPr>
    </w:p>
    <w:p w:rsidR="00724B76" w:rsidRPr="00261E6C" w:rsidRDefault="00724B76" w:rsidP="00261E6C">
      <w:pPr>
        <w:keepNext/>
        <w:keepLines/>
        <w:jc w:val="both"/>
        <w:rPr>
          <w:i/>
          <w:iCs/>
          <w:sz w:val="22"/>
          <w:szCs w:val="22"/>
          <w:lang w:val="hr-HR"/>
        </w:rPr>
      </w:pPr>
      <w:r w:rsidRPr="00261E6C">
        <w:rPr>
          <w:i/>
          <w:iCs/>
          <w:sz w:val="22"/>
          <w:szCs w:val="22"/>
          <w:lang w:val="hr-HR"/>
        </w:rPr>
        <w:t>Pacijenti sa relapsnom ili refraktornom bolešću</w:t>
      </w:r>
    </w:p>
    <w:p w:rsidR="00724B76" w:rsidRPr="00261E6C" w:rsidRDefault="00724B76" w:rsidP="00E4155A">
      <w:pPr>
        <w:tabs>
          <w:tab w:val="left" w:pos="540"/>
          <w:tab w:val="left" w:pos="569"/>
        </w:tabs>
        <w:jc w:val="both"/>
        <w:rPr>
          <w:bCs/>
          <w:sz w:val="22"/>
          <w:szCs w:val="22"/>
          <w:u w:val="single"/>
          <w:lang w:val="hr-HR"/>
        </w:rPr>
      </w:pPr>
    </w:p>
    <w:p w:rsidR="00687D00" w:rsidRPr="00261E6C" w:rsidRDefault="00687D00" w:rsidP="00E4155A">
      <w:pPr>
        <w:jc w:val="both"/>
        <w:rPr>
          <w:sz w:val="22"/>
          <w:szCs w:val="22"/>
          <w:lang w:val="sr-Latn-RS"/>
        </w:rPr>
      </w:pPr>
      <w:r w:rsidRPr="00261E6C">
        <w:rPr>
          <w:sz w:val="22"/>
          <w:szCs w:val="22"/>
          <w:lang w:val="sr-Latn-RS"/>
        </w:rPr>
        <w:t xml:space="preserve">Preporučena doza lijeka Polivy je 1,8 mg/kg, koja se daje kao intravenska infuzija na 21 dan u kombinaciji sa bendamustinom i rituksimabom u 6 ciklusa. </w:t>
      </w:r>
      <w:r w:rsidR="009D32D3" w:rsidRPr="00C2143B">
        <w:rPr>
          <w:sz w:val="22"/>
          <w:szCs w:val="22"/>
          <w:lang w:val="sr-Latn-RS"/>
        </w:rPr>
        <w:t xml:space="preserve">Lijek </w:t>
      </w:r>
      <w:r w:rsidRPr="00261E6C">
        <w:rPr>
          <w:sz w:val="22"/>
          <w:szCs w:val="22"/>
          <w:lang w:val="sr-Latn-RS"/>
        </w:rPr>
        <w:t>Polivy, bendamustin i rituksimab mogu se primjenjivati bilo kojim redosl</w:t>
      </w:r>
      <w:r w:rsidR="00BE7122" w:rsidRPr="00C2143B">
        <w:rPr>
          <w:sz w:val="22"/>
          <w:szCs w:val="22"/>
          <w:lang w:val="sr-Latn-RS"/>
        </w:rPr>
        <w:t>i</w:t>
      </w:r>
      <w:r w:rsidRPr="00261E6C">
        <w:rPr>
          <w:sz w:val="22"/>
          <w:szCs w:val="22"/>
          <w:lang w:val="sr-Latn-RS"/>
        </w:rPr>
        <w:t>jedom 1. dana svakog ciklusa. Kada se primjenjuje uz lijek Polivy, preporučena doza bendamustina je 90 mg/m</w:t>
      </w:r>
      <w:r w:rsidRPr="00261E6C">
        <w:rPr>
          <w:sz w:val="22"/>
          <w:szCs w:val="22"/>
          <w:vertAlign w:val="superscript"/>
          <w:lang w:val="sr-Latn-RS"/>
        </w:rPr>
        <w:t>2</w:t>
      </w:r>
      <w:r w:rsidRPr="00261E6C">
        <w:rPr>
          <w:sz w:val="22"/>
          <w:szCs w:val="22"/>
          <w:lang w:val="sr-Latn-RS"/>
        </w:rPr>
        <w:t>/dan 1. i 2. dana svakog ciklusa, a preporučena doza rituksimaba je 375 mg/m</w:t>
      </w:r>
      <w:r w:rsidRPr="00261E6C">
        <w:rPr>
          <w:sz w:val="22"/>
          <w:szCs w:val="22"/>
          <w:vertAlign w:val="superscript"/>
          <w:lang w:val="sr-Latn-RS"/>
        </w:rPr>
        <w:t>2</w:t>
      </w:r>
      <w:r w:rsidRPr="00261E6C">
        <w:rPr>
          <w:sz w:val="22"/>
          <w:szCs w:val="22"/>
          <w:lang w:val="sr-Latn-RS"/>
        </w:rPr>
        <w:t xml:space="preserve"> 1. dana svakog ciklusa. Zbog ograničenog kliničkog iskustva kod pacijenata liječenih lijekom Polivy u dozi od 1,8 mg/kg koji su primili ukupnu dozu &gt; 240 mg, preporučuje se da se ne prekorači doza od 240 mg po ciklusu.</w:t>
      </w:r>
    </w:p>
    <w:p w:rsidR="00724B76" w:rsidRPr="00261E6C" w:rsidRDefault="00724B76" w:rsidP="00E4155A">
      <w:pPr>
        <w:jc w:val="both"/>
        <w:rPr>
          <w:sz w:val="22"/>
          <w:szCs w:val="22"/>
          <w:lang w:val="sr-Latn-RS"/>
        </w:rPr>
      </w:pPr>
    </w:p>
    <w:p w:rsidR="00724B76" w:rsidRPr="00261E6C" w:rsidRDefault="00724B76" w:rsidP="00433FEA">
      <w:pPr>
        <w:keepLines/>
        <w:widowControl w:val="0"/>
        <w:jc w:val="both"/>
        <w:rPr>
          <w:i/>
          <w:sz w:val="22"/>
          <w:szCs w:val="22"/>
          <w:lang w:val="hr-HR"/>
        </w:rPr>
      </w:pPr>
      <w:r w:rsidRPr="00261E6C">
        <w:rPr>
          <w:i/>
          <w:sz w:val="22"/>
          <w:szCs w:val="22"/>
          <w:lang w:val="hr-HR"/>
        </w:rPr>
        <w:t xml:space="preserve">Prethodno </w:t>
      </w:r>
      <w:r w:rsidR="00E26464" w:rsidRPr="00261E6C">
        <w:rPr>
          <w:i/>
          <w:sz w:val="22"/>
          <w:szCs w:val="22"/>
          <w:lang w:val="hr-HR"/>
        </w:rPr>
        <w:t>neliječen</w:t>
      </w:r>
      <w:r w:rsidRPr="00261E6C">
        <w:rPr>
          <w:i/>
          <w:sz w:val="22"/>
          <w:szCs w:val="22"/>
          <w:lang w:val="hr-HR"/>
        </w:rPr>
        <w:t>i pacijenti i pacijenti sa relapsnom ili refraktornom bolešću</w:t>
      </w:r>
    </w:p>
    <w:p w:rsidR="005612C5" w:rsidRPr="00261E6C" w:rsidRDefault="005612C5">
      <w:pPr>
        <w:jc w:val="both"/>
        <w:rPr>
          <w:sz w:val="22"/>
          <w:szCs w:val="22"/>
          <w:lang w:val="sr-Latn-RS"/>
        </w:rPr>
      </w:pPr>
    </w:p>
    <w:p w:rsidR="00687D00" w:rsidRPr="00261E6C" w:rsidRDefault="00687D00">
      <w:pPr>
        <w:jc w:val="both"/>
        <w:rPr>
          <w:sz w:val="22"/>
          <w:szCs w:val="22"/>
          <w:lang w:val="sr-Latn-RS"/>
        </w:rPr>
      </w:pPr>
      <w:r w:rsidRPr="00261E6C">
        <w:rPr>
          <w:sz w:val="22"/>
          <w:szCs w:val="22"/>
          <w:lang w:val="sr-Latn-RS"/>
        </w:rPr>
        <w:t>Ukoliko već nije primjenjena, prije primjene lijeka Polivy pacijentima treba dati premedikaciju antihistaminikom i antipiretikom.</w:t>
      </w:r>
    </w:p>
    <w:p w:rsidR="005612C5" w:rsidRPr="00261E6C" w:rsidRDefault="005612C5">
      <w:pPr>
        <w:jc w:val="both"/>
        <w:rPr>
          <w:sz w:val="22"/>
          <w:szCs w:val="22"/>
          <w:lang w:val="sr-Latn-RS"/>
        </w:rPr>
      </w:pPr>
    </w:p>
    <w:p w:rsidR="00687D00" w:rsidRPr="00261E6C" w:rsidRDefault="00687D00">
      <w:pPr>
        <w:widowControl w:val="0"/>
        <w:autoSpaceDE w:val="0"/>
        <w:autoSpaceDN w:val="0"/>
        <w:spacing w:before="71"/>
        <w:jc w:val="both"/>
        <w:rPr>
          <w:i/>
          <w:iCs/>
          <w:sz w:val="22"/>
          <w:szCs w:val="22"/>
          <w:lang w:val="sr-Latn-RS" w:bidi="en-US"/>
        </w:rPr>
      </w:pPr>
      <w:r w:rsidRPr="00261E6C">
        <w:rPr>
          <w:i/>
          <w:iCs/>
          <w:sz w:val="22"/>
          <w:szCs w:val="22"/>
          <w:lang w:val="sr-Latn-RS" w:bidi="en-US"/>
        </w:rPr>
        <w:t>Odložene ili propuštene doze</w:t>
      </w:r>
    </w:p>
    <w:p w:rsidR="00687D00" w:rsidRPr="00261E6C" w:rsidRDefault="00687D00">
      <w:pPr>
        <w:widowControl w:val="0"/>
        <w:autoSpaceDE w:val="0"/>
        <w:autoSpaceDN w:val="0"/>
        <w:spacing w:before="71"/>
        <w:jc w:val="both"/>
        <w:rPr>
          <w:i/>
          <w:sz w:val="22"/>
          <w:szCs w:val="22"/>
          <w:lang w:val="sr-Latn-RS" w:bidi="en-US"/>
        </w:rPr>
      </w:pPr>
    </w:p>
    <w:p w:rsidR="00687D00" w:rsidRPr="00261E6C" w:rsidRDefault="00687D00">
      <w:pPr>
        <w:widowControl w:val="0"/>
        <w:autoSpaceDE w:val="0"/>
        <w:autoSpaceDN w:val="0"/>
        <w:jc w:val="both"/>
        <w:rPr>
          <w:sz w:val="22"/>
          <w:szCs w:val="22"/>
          <w:lang w:val="sr-Latn-RS" w:bidi="en-US"/>
        </w:rPr>
      </w:pPr>
      <w:r w:rsidRPr="00261E6C">
        <w:rPr>
          <w:sz w:val="22"/>
          <w:szCs w:val="22"/>
          <w:lang w:val="sr-Latn-RS" w:bidi="en-US"/>
        </w:rPr>
        <w:t>Ukoliko se propusti planirana doza lijeka Polivy, treba je primjeniti što je prije moguće, a raspored primjene treba prilagoditi tako da se održava 21-dnevni interval između doza.</w:t>
      </w:r>
    </w:p>
    <w:p w:rsidR="00687D00" w:rsidRPr="00261E6C" w:rsidRDefault="00687D00">
      <w:pPr>
        <w:widowControl w:val="0"/>
        <w:autoSpaceDE w:val="0"/>
        <w:autoSpaceDN w:val="0"/>
        <w:jc w:val="both"/>
        <w:rPr>
          <w:sz w:val="22"/>
          <w:szCs w:val="22"/>
          <w:lang w:val="sr-Latn-RS" w:bidi="en-US"/>
        </w:rPr>
      </w:pPr>
    </w:p>
    <w:p w:rsidR="00687D00" w:rsidRPr="00261E6C" w:rsidRDefault="00687D00">
      <w:pPr>
        <w:widowControl w:val="0"/>
        <w:autoSpaceDE w:val="0"/>
        <w:autoSpaceDN w:val="0"/>
        <w:jc w:val="both"/>
        <w:rPr>
          <w:i/>
          <w:iCs/>
          <w:sz w:val="22"/>
          <w:szCs w:val="22"/>
          <w:lang w:val="sr-Latn-RS" w:bidi="en-US"/>
        </w:rPr>
      </w:pPr>
      <w:r w:rsidRPr="00261E6C">
        <w:rPr>
          <w:i/>
          <w:iCs/>
          <w:sz w:val="22"/>
          <w:szCs w:val="22"/>
          <w:lang w:val="sr-Latn-RS" w:bidi="en-US"/>
        </w:rPr>
        <w:t>Prilagođavanje doze</w:t>
      </w:r>
    </w:p>
    <w:p w:rsidR="00687D00" w:rsidRPr="00261E6C" w:rsidRDefault="00687D00">
      <w:pPr>
        <w:widowControl w:val="0"/>
        <w:autoSpaceDE w:val="0"/>
        <w:autoSpaceDN w:val="0"/>
        <w:jc w:val="both"/>
        <w:rPr>
          <w:i/>
          <w:sz w:val="22"/>
          <w:szCs w:val="22"/>
          <w:lang w:val="sr-Latn-RS" w:bidi="en-US"/>
        </w:rPr>
      </w:pPr>
    </w:p>
    <w:p w:rsidR="00687D00" w:rsidRPr="00261E6C" w:rsidRDefault="00687D00">
      <w:pPr>
        <w:widowControl w:val="0"/>
        <w:autoSpaceDE w:val="0"/>
        <w:autoSpaceDN w:val="0"/>
        <w:jc w:val="both"/>
        <w:rPr>
          <w:sz w:val="22"/>
          <w:szCs w:val="22"/>
          <w:lang w:val="sr-Latn-RS" w:bidi="en-US"/>
        </w:rPr>
      </w:pPr>
      <w:r w:rsidRPr="00261E6C">
        <w:rPr>
          <w:sz w:val="22"/>
          <w:szCs w:val="22"/>
          <w:lang w:val="sr-Latn-RS" w:bidi="en-US"/>
        </w:rPr>
        <w:t>Ukoliko se kod pacijenta javi reakcija povezana sa infuzijom, treba smanjiti brzinu infuzije lijeka Polivy ili privremeno obustaviti terapiju. Primjenu lijeka Polivy treba odmah i trajno prekinuti ukoliko se kod pacijenta javi reakcija koja je opasna po život.</w:t>
      </w:r>
    </w:p>
    <w:p w:rsidR="00724B76" w:rsidRPr="00261E6C" w:rsidRDefault="00724B76">
      <w:pPr>
        <w:widowControl w:val="0"/>
        <w:autoSpaceDE w:val="0"/>
        <w:autoSpaceDN w:val="0"/>
        <w:jc w:val="both"/>
        <w:rPr>
          <w:sz w:val="22"/>
          <w:szCs w:val="22"/>
          <w:lang w:val="sr-Latn-RS" w:bidi="en-US"/>
        </w:rPr>
      </w:pPr>
    </w:p>
    <w:p w:rsidR="00724B76" w:rsidRPr="00261E6C" w:rsidRDefault="00724B76">
      <w:pPr>
        <w:keepLines/>
        <w:widowControl w:val="0"/>
        <w:autoSpaceDE w:val="0"/>
        <w:autoSpaceDN w:val="0"/>
        <w:jc w:val="both"/>
        <w:rPr>
          <w:sz w:val="22"/>
          <w:szCs w:val="22"/>
          <w:lang w:val="hr-HR" w:bidi="en-US"/>
        </w:rPr>
      </w:pPr>
      <w:r w:rsidRPr="00261E6C">
        <w:rPr>
          <w:sz w:val="22"/>
          <w:szCs w:val="22"/>
          <w:lang w:val="hr-HR" w:bidi="en-US"/>
        </w:rPr>
        <w:t xml:space="preserve">Prilagođavanje doze može biti različito kod pacijenata sa prethodno </w:t>
      </w:r>
      <w:r w:rsidR="00E26464" w:rsidRPr="00261E6C">
        <w:rPr>
          <w:sz w:val="22"/>
          <w:szCs w:val="22"/>
          <w:lang w:val="hr-HR" w:bidi="en-US"/>
        </w:rPr>
        <w:t>neliječen</w:t>
      </w:r>
      <w:r w:rsidRPr="00261E6C">
        <w:rPr>
          <w:sz w:val="22"/>
          <w:szCs w:val="22"/>
          <w:lang w:val="hr-HR" w:bidi="en-US"/>
        </w:rPr>
        <w:t>im DBKL-om i kod pacijenata sa relapsnom ili refraktornom bolešću.</w:t>
      </w:r>
    </w:p>
    <w:p w:rsidR="00724B76" w:rsidRPr="00261E6C" w:rsidRDefault="00724B76">
      <w:pPr>
        <w:widowControl w:val="0"/>
        <w:autoSpaceDE w:val="0"/>
        <w:autoSpaceDN w:val="0"/>
        <w:jc w:val="both"/>
        <w:rPr>
          <w:sz w:val="22"/>
          <w:szCs w:val="22"/>
          <w:lang w:val="hr-HR" w:bidi="en-US"/>
        </w:rPr>
      </w:pPr>
    </w:p>
    <w:p w:rsidR="005612C5" w:rsidRPr="00261E6C" w:rsidRDefault="005612C5">
      <w:pPr>
        <w:widowControl w:val="0"/>
        <w:autoSpaceDE w:val="0"/>
        <w:autoSpaceDN w:val="0"/>
        <w:jc w:val="both"/>
        <w:rPr>
          <w:sz w:val="22"/>
          <w:szCs w:val="22"/>
          <w:lang w:val="sr-Latn-RS" w:bidi="en-US"/>
        </w:rPr>
      </w:pPr>
      <w:r w:rsidRPr="00261E6C">
        <w:rPr>
          <w:sz w:val="22"/>
          <w:szCs w:val="22"/>
          <w:lang w:val="sr-Latn-RS" w:bidi="en-US"/>
        </w:rPr>
        <w:t xml:space="preserve">Za </w:t>
      </w:r>
      <w:r w:rsidR="002B3C62" w:rsidRPr="00C2143B">
        <w:rPr>
          <w:sz w:val="22"/>
          <w:szCs w:val="22"/>
          <w:lang w:val="sr-Latn-RS" w:bidi="en-US"/>
        </w:rPr>
        <w:t>prilagođavanje</w:t>
      </w:r>
      <w:r w:rsidR="002B3C62" w:rsidRPr="00261E6C">
        <w:rPr>
          <w:sz w:val="22"/>
          <w:szCs w:val="22"/>
          <w:lang w:val="sr-Latn-RS" w:bidi="en-US"/>
        </w:rPr>
        <w:t xml:space="preserve"> </w:t>
      </w:r>
      <w:r w:rsidRPr="00261E6C">
        <w:rPr>
          <w:sz w:val="22"/>
          <w:szCs w:val="22"/>
          <w:lang w:val="sr-Latn-RS" w:bidi="en-US"/>
        </w:rPr>
        <w:t xml:space="preserve">doze </w:t>
      </w:r>
      <w:r w:rsidR="00724B76" w:rsidRPr="00261E6C">
        <w:rPr>
          <w:sz w:val="22"/>
          <w:szCs w:val="22"/>
          <w:lang w:val="sr-Latn-RS" w:bidi="en-US"/>
        </w:rPr>
        <w:t xml:space="preserve">radi zbrinjavanja </w:t>
      </w:r>
      <w:r w:rsidRPr="00261E6C">
        <w:rPr>
          <w:sz w:val="22"/>
          <w:szCs w:val="22"/>
          <w:lang w:val="sr-Latn-RS" w:bidi="en-US"/>
        </w:rPr>
        <w:t>periferne neuropatije (</w:t>
      </w:r>
      <w:r w:rsidR="00C77A1A" w:rsidRPr="00261E6C">
        <w:rPr>
          <w:sz w:val="22"/>
          <w:szCs w:val="22"/>
          <w:lang w:val="sr-Latn-RS" w:bidi="en-US"/>
        </w:rPr>
        <w:t>dio</w:t>
      </w:r>
      <w:r w:rsidRPr="00261E6C">
        <w:rPr>
          <w:sz w:val="22"/>
          <w:szCs w:val="22"/>
          <w:lang w:val="sr-Latn-RS" w:bidi="en-US"/>
        </w:rPr>
        <w:t xml:space="preserve"> 4.4), </w:t>
      </w:r>
      <w:r w:rsidR="000910FF" w:rsidRPr="00261E6C">
        <w:rPr>
          <w:sz w:val="22"/>
          <w:szCs w:val="22"/>
          <w:lang w:val="sr-Latn-RS" w:bidi="en-US"/>
        </w:rPr>
        <w:t>vidjeti</w:t>
      </w:r>
      <w:r w:rsidRPr="00261E6C">
        <w:rPr>
          <w:sz w:val="22"/>
          <w:szCs w:val="22"/>
          <w:lang w:val="sr-Latn-RS" w:bidi="en-US"/>
        </w:rPr>
        <w:t xml:space="preserve"> </w:t>
      </w:r>
      <w:r w:rsidR="002B3C62" w:rsidRPr="00C2143B">
        <w:rPr>
          <w:sz w:val="22"/>
          <w:szCs w:val="22"/>
          <w:lang w:val="sr-Latn-RS" w:bidi="en-US"/>
        </w:rPr>
        <w:t>T</w:t>
      </w:r>
      <w:r w:rsidRPr="00261E6C">
        <w:rPr>
          <w:sz w:val="22"/>
          <w:szCs w:val="22"/>
          <w:lang w:val="sr-Latn-RS" w:bidi="en-US"/>
        </w:rPr>
        <w:t>abelu 1 u nastavku.</w:t>
      </w:r>
    </w:p>
    <w:p w:rsidR="00BE7122" w:rsidRPr="00C2143B" w:rsidRDefault="00BE7122">
      <w:pPr>
        <w:widowControl w:val="0"/>
        <w:autoSpaceDE w:val="0"/>
        <w:autoSpaceDN w:val="0"/>
        <w:spacing w:before="3"/>
        <w:jc w:val="both"/>
        <w:rPr>
          <w:b/>
          <w:bCs/>
          <w:sz w:val="22"/>
          <w:szCs w:val="22"/>
          <w:lang w:val="sr-Latn-RS" w:bidi="en-US"/>
        </w:rPr>
      </w:pPr>
    </w:p>
    <w:p w:rsidR="00BE7122" w:rsidRPr="00C2143B" w:rsidRDefault="00BE7122">
      <w:pPr>
        <w:widowControl w:val="0"/>
        <w:autoSpaceDE w:val="0"/>
        <w:autoSpaceDN w:val="0"/>
        <w:spacing w:before="3"/>
        <w:jc w:val="both"/>
        <w:rPr>
          <w:b/>
          <w:bCs/>
          <w:sz w:val="22"/>
          <w:szCs w:val="22"/>
          <w:lang w:val="sr-Latn-RS" w:bidi="en-US"/>
        </w:rPr>
      </w:pPr>
    </w:p>
    <w:p w:rsidR="00BE7122" w:rsidRPr="00C2143B" w:rsidRDefault="00BE7122">
      <w:pPr>
        <w:widowControl w:val="0"/>
        <w:autoSpaceDE w:val="0"/>
        <w:autoSpaceDN w:val="0"/>
        <w:spacing w:before="3"/>
        <w:jc w:val="both"/>
        <w:rPr>
          <w:b/>
          <w:bCs/>
          <w:sz w:val="22"/>
          <w:szCs w:val="22"/>
          <w:lang w:val="sr-Latn-RS" w:bidi="en-US"/>
        </w:rPr>
      </w:pPr>
    </w:p>
    <w:p w:rsidR="00BE7122" w:rsidRPr="00C2143B" w:rsidRDefault="00BE7122">
      <w:pPr>
        <w:widowControl w:val="0"/>
        <w:autoSpaceDE w:val="0"/>
        <w:autoSpaceDN w:val="0"/>
        <w:spacing w:before="3"/>
        <w:jc w:val="both"/>
        <w:rPr>
          <w:b/>
          <w:bCs/>
          <w:sz w:val="22"/>
          <w:szCs w:val="22"/>
          <w:lang w:val="sr-Latn-RS" w:bidi="en-US"/>
        </w:rPr>
      </w:pPr>
    </w:p>
    <w:p w:rsidR="00BE7122" w:rsidRPr="00C2143B" w:rsidRDefault="00BE7122">
      <w:pPr>
        <w:widowControl w:val="0"/>
        <w:autoSpaceDE w:val="0"/>
        <w:autoSpaceDN w:val="0"/>
        <w:spacing w:before="3"/>
        <w:jc w:val="both"/>
        <w:rPr>
          <w:b/>
          <w:bCs/>
          <w:sz w:val="22"/>
          <w:szCs w:val="22"/>
          <w:lang w:val="sr-Latn-RS" w:bidi="en-US"/>
        </w:rPr>
      </w:pPr>
    </w:p>
    <w:p w:rsidR="00BE7122" w:rsidRPr="00C2143B" w:rsidRDefault="00BE7122">
      <w:pPr>
        <w:widowControl w:val="0"/>
        <w:autoSpaceDE w:val="0"/>
        <w:autoSpaceDN w:val="0"/>
        <w:spacing w:before="3"/>
        <w:jc w:val="both"/>
        <w:rPr>
          <w:b/>
          <w:bCs/>
          <w:sz w:val="22"/>
          <w:szCs w:val="22"/>
          <w:lang w:val="sr-Latn-RS" w:bidi="en-US"/>
        </w:rPr>
      </w:pPr>
    </w:p>
    <w:p w:rsidR="00BE7122" w:rsidRPr="00C2143B" w:rsidRDefault="00BE7122">
      <w:pPr>
        <w:widowControl w:val="0"/>
        <w:autoSpaceDE w:val="0"/>
        <w:autoSpaceDN w:val="0"/>
        <w:spacing w:before="3"/>
        <w:jc w:val="both"/>
        <w:rPr>
          <w:b/>
          <w:bCs/>
          <w:sz w:val="22"/>
          <w:szCs w:val="22"/>
          <w:lang w:val="sr-Latn-RS" w:bidi="en-US"/>
        </w:rPr>
      </w:pPr>
    </w:p>
    <w:p w:rsidR="00BE7122" w:rsidRPr="00C2143B" w:rsidRDefault="00BE7122">
      <w:pPr>
        <w:widowControl w:val="0"/>
        <w:autoSpaceDE w:val="0"/>
        <w:autoSpaceDN w:val="0"/>
        <w:spacing w:before="3"/>
        <w:jc w:val="both"/>
        <w:rPr>
          <w:b/>
          <w:bCs/>
          <w:sz w:val="22"/>
          <w:szCs w:val="22"/>
          <w:lang w:val="sr-Latn-RS" w:bidi="en-US"/>
        </w:rPr>
      </w:pPr>
    </w:p>
    <w:p w:rsidR="00BE7122" w:rsidRPr="00C2143B" w:rsidRDefault="00BE7122">
      <w:pPr>
        <w:widowControl w:val="0"/>
        <w:autoSpaceDE w:val="0"/>
        <w:autoSpaceDN w:val="0"/>
        <w:spacing w:before="3"/>
        <w:jc w:val="both"/>
        <w:rPr>
          <w:b/>
          <w:bCs/>
          <w:sz w:val="22"/>
          <w:szCs w:val="22"/>
          <w:lang w:val="sr-Latn-RS" w:bidi="en-US"/>
        </w:rPr>
      </w:pPr>
    </w:p>
    <w:p w:rsidR="00BE7122" w:rsidRPr="00C2143B" w:rsidRDefault="00BE7122">
      <w:pPr>
        <w:widowControl w:val="0"/>
        <w:autoSpaceDE w:val="0"/>
        <w:autoSpaceDN w:val="0"/>
        <w:spacing w:before="3"/>
        <w:jc w:val="both"/>
        <w:rPr>
          <w:b/>
          <w:bCs/>
          <w:sz w:val="22"/>
          <w:szCs w:val="22"/>
          <w:lang w:val="sr-Latn-RS" w:bidi="en-US"/>
        </w:rPr>
      </w:pPr>
    </w:p>
    <w:p w:rsidR="00BE7122" w:rsidRPr="00C2143B" w:rsidRDefault="00BE7122">
      <w:pPr>
        <w:widowControl w:val="0"/>
        <w:autoSpaceDE w:val="0"/>
        <w:autoSpaceDN w:val="0"/>
        <w:spacing w:before="3"/>
        <w:jc w:val="both"/>
        <w:rPr>
          <w:b/>
          <w:bCs/>
          <w:sz w:val="22"/>
          <w:szCs w:val="22"/>
          <w:lang w:val="sr-Latn-RS" w:bidi="en-US"/>
        </w:rPr>
      </w:pPr>
    </w:p>
    <w:p w:rsidR="00BE7122" w:rsidRPr="00261E6C" w:rsidRDefault="00BE7122">
      <w:pPr>
        <w:widowControl w:val="0"/>
        <w:autoSpaceDE w:val="0"/>
        <w:autoSpaceDN w:val="0"/>
        <w:spacing w:before="3"/>
        <w:jc w:val="both"/>
        <w:rPr>
          <w:sz w:val="22"/>
          <w:szCs w:val="22"/>
          <w:lang w:val="sr-Latn-RS" w:bidi="en-US"/>
        </w:rPr>
      </w:pPr>
    </w:p>
    <w:p w:rsidR="00C26FED" w:rsidRPr="00261E6C" w:rsidRDefault="00C26FED">
      <w:pPr>
        <w:widowControl w:val="0"/>
        <w:autoSpaceDE w:val="0"/>
        <w:autoSpaceDN w:val="0"/>
        <w:jc w:val="both"/>
        <w:outlineLvl w:val="0"/>
        <w:rPr>
          <w:b/>
          <w:bCs/>
          <w:sz w:val="22"/>
          <w:szCs w:val="22"/>
          <w:lang w:val="sr-Latn-RS" w:bidi="en-US"/>
        </w:rPr>
      </w:pPr>
    </w:p>
    <w:p w:rsidR="00724B76" w:rsidRPr="00261E6C" w:rsidRDefault="00724B76">
      <w:pPr>
        <w:widowControl w:val="0"/>
        <w:autoSpaceDE w:val="0"/>
        <w:autoSpaceDN w:val="0"/>
        <w:jc w:val="both"/>
        <w:outlineLvl w:val="0"/>
        <w:rPr>
          <w:b/>
          <w:bCs/>
          <w:sz w:val="22"/>
          <w:szCs w:val="22"/>
          <w:lang w:val="sr-Latn-RS" w:bidi="en-US"/>
        </w:rPr>
      </w:pPr>
    </w:p>
    <w:p w:rsidR="005612C5" w:rsidRPr="00261E6C" w:rsidRDefault="005612C5">
      <w:pPr>
        <w:widowControl w:val="0"/>
        <w:autoSpaceDE w:val="0"/>
        <w:autoSpaceDN w:val="0"/>
        <w:jc w:val="both"/>
        <w:outlineLvl w:val="0"/>
        <w:rPr>
          <w:b/>
          <w:bCs/>
          <w:sz w:val="22"/>
          <w:szCs w:val="22"/>
          <w:lang w:val="sr-Latn-RS" w:bidi="en-US"/>
        </w:rPr>
      </w:pPr>
      <w:r w:rsidRPr="00261E6C">
        <w:rPr>
          <w:b/>
          <w:bCs/>
          <w:sz w:val="22"/>
          <w:szCs w:val="22"/>
          <w:lang w:val="sr-Latn-RS" w:bidi="en-US"/>
        </w:rPr>
        <w:lastRenderedPageBreak/>
        <w:t>Tabela 1: Prilagođavanje doze l</w:t>
      </w:r>
      <w:r w:rsidR="00956FD7" w:rsidRPr="00261E6C">
        <w:rPr>
          <w:b/>
          <w:bCs/>
          <w:sz w:val="22"/>
          <w:szCs w:val="22"/>
          <w:lang w:val="sr-Latn-RS" w:bidi="en-US"/>
        </w:rPr>
        <w:t>ij</w:t>
      </w:r>
      <w:r w:rsidRPr="00261E6C">
        <w:rPr>
          <w:b/>
          <w:bCs/>
          <w:sz w:val="22"/>
          <w:szCs w:val="22"/>
          <w:lang w:val="sr-Latn-RS" w:bidi="en-US"/>
        </w:rPr>
        <w:t xml:space="preserve">eka Polivy kod periferne neuropatije </w:t>
      </w:r>
    </w:p>
    <w:p w:rsidR="00724B76" w:rsidRPr="00261E6C" w:rsidRDefault="00724B76">
      <w:pPr>
        <w:widowControl w:val="0"/>
        <w:autoSpaceDE w:val="0"/>
        <w:autoSpaceDN w:val="0"/>
        <w:jc w:val="both"/>
        <w:outlineLvl w:val="0"/>
        <w:rPr>
          <w:b/>
          <w:bCs/>
          <w:sz w:val="22"/>
          <w:szCs w:val="22"/>
          <w:lang w:val="sr-Latn-RS" w:bidi="en-US"/>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2005"/>
        <w:gridCol w:w="5783"/>
      </w:tblGrid>
      <w:tr w:rsidR="00724B76" w:rsidRPr="00C2143B" w:rsidTr="00724B76">
        <w:trPr>
          <w:cantSplit/>
          <w:tblHeader/>
        </w:trPr>
        <w:tc>
          <w:tcPr>
            <w:tcW w:w="1304" w:type="dxa"/>
          </w:tcPr>
          <w:p w:rsidR="00724B76" w:rsidRPr="00261E6C" w:rsidRDefault="00724B76" w:rsidP="00261E6C">
            <w:pPr>
              <w:keepNext/>
              <w:jc w:val="both"/>
              <w:rPr>
                <w:b/>
                <w:sz w:val="22"/>
                <w:szCs w:val="22"/>
                <w:lang w:val="hr-HR"/>
              </w:rPr>
            </w:pPr>
            <w:r w:rsidRPr="00261E6C">
              <w:rPr>
                <w:b/>
                <w:sz w:val="22"/>
                <w:szCs w:val="22"/>
                <w:lang w:val="hr-HR"/>
              </w:rPr>
              <w:t>Indikacija</w:t>
            </w:r>
          </w:p>
        </w:tc>
        <w:tc>
          <w:tcPr>
            <w:tcW w:w="2005" w:type="dxa"/>
            <w:shd w:val="clear" w:color="auto" w:fill="auto"/>
          </w:tcPr>
          <w:p w:rsidR="00724B76" w:rsidRPr="00261E6C" w:rsidRDefault="00F55D0F" w:rsidP="00261E6C">
            <w:pPr>
              <w:keepNext/>
              <w:jc w:val="both"/>
              <w:rPr>
                <w:b/>
                <w:sz w:val="22"/>
                <w:szCs w:val="22"/>
                <w:lang w:val="hr-HR"/>
              </w:rPr>
            </w:pPr>
            <w:r w:rsidRPr="00261E6C">
              <w:rPr>
                <w:b/>
                <w:bCs/>
                <w:sz w:val="22"/>
                <w:szCs w:val="22"/>
                <w:lang w:val="sr-Latn-RS" w:bidi="en-US"/>
              </w:rPr>
              <w:t>Gradus</w:t>
            </w:r>
            <w:r w:rsidR="00724B76" w:rsidRPr="00261E6C">
              <w:rPr>
                <w:b/>
                <w:bCs/>
                <w:sz w:val="22"/>
                <w:szCs w:val="22"/>
                <w:lang w:val="sr-Latn-RS" w:bidi="en-US"/>
              </w:rPr>
              <w:t xml:space="preserve"> težine periferne neuropatije 1. dana bilo kog ciklusa</w:t>
            </w:r>
          </w:p>
        </w:tc>
        <w:tc>
          <w:tcPr>
            <w:tcW w:w="5783" w:type="dxa"/>
            <w:shd w:val="clear" w:color="auto" w:fill="auto"/>
          </w:tcPr>
          <w:p w:rsidR="00724B76" w:rsidRPr="00261E6C" w:rsidRDefault="00724B76" w:rsidP="00261E6C">
            <w:pPr>
              <w:keepNext/>
              <w:jc w:val="both"/>
              <w:rPr>
                <w:b/>
                <w:sz w:val="22"/>
                <w:szCs w:val="22"/>
                <w:lang w:val="hr-HR"/>
              </w:rPr>
            </w:pPr>
            <w:r w:rsidRPr="00261E6C">
              <w:rPr>
                <w:b/>
                <w:sz w:val="22"/>
                <w:szCs w:val="22"/>
                <w:lang w:val="hr-HR"/>
              </w:rPr>
              <w:t>Prilagođavanje doze</w:t>
            </w:r>
          </w:p>
        </w:tc>
      </w:tr>
      <w:tr w:rsidR="00724B76" w:rsidRPr="00261E6C" w:rsidTr="00724B76">
        <w:trPr>
          <w:cantSplit/>
        </w:trPr>
        <w:tc>
          <w:tcPr>
            <w:tcW w:w="1304" w:type="dxa"/>
            <w:vMerge w:val="restart"/>
          </w:tcPr>
          <w:p w:rsidR="00724B76" w:rsidRPr="00261E6C" w:rsidRDefault="00724B76" w:rsidP="00261E6C">
            <w:pPr>
              <w:jc w:val="both"/>
              <w:rPr>
                <w:sz w:val="22"/>
                <w:szCs w:val="22"/>
                <w:lang w:val="hr-HR"/>
              </w:rPr>
            </w:pPr>
            <w:r w:rsidRPr="00261E6C">
              <w:rPr>
                <w:sz w:val="22"/>
                <w:szCs w:val="22"/>
                <w:lang w:val="hr-HR"/>
              </w:rPr>
              <w:t xml:space="preserve">Prethodno </w:t>
            </w:r>
            <w:r w:rsidR="00E26464" w:rsidRPr="00261E6C">
              <w:rPr>
                <w:sz w:val="22"/>
                <w:szCs w:val="22"/>
                <w:lang w:val="hr-HR"/>
              </w:rPr>
              <w:t>neliječen</w:t>
            </w:r>
            <w:r w:rsidRPr="00261E6C">
              <w:rPr>
                <w:sz w:val="22"/>
                <w:szCs w:val="22"/>
                <w:lang w:val="hr-HR"/>
              </w:rPr>
              <w:t xml:space="preserve"> DBKL </w:t>
            </w:r>
          </w:p>
        </w:tc>
        <w:tc>
          <w:tcPr>
            <w:tcW w:w="2005" w:type="dxa"/>
            <w:shd w:val="clear" w:color="auto" w:fill="auto"/>
          </w:tcPr>
          <w:p w:rsidR="00724B76" w:rsidRPr="00261E6C" w:rsidRDefault="00E26464" w:rsidP="00261E6C">
            <w:pPr>
              <w:jc w:val="both"/>
              <w:rPr>
                <w:sz w:val="22"/>
                <w:szCs w:val="22"/>
                <w:lang w:val="hr-HR"/>
              </w:rPr>
            </w:pPr>
            <w:r w:rsidRPr="00261E6C">
              <w:rPr>
                <w:sz w:val="22"/>
                <w:szCs w:val="22"/>
                <w:lang w:val="hr-HR"/>
              </w:rPr>
              <w:t>Gradus 2</w:t>
            </w:r>
            <w:r w:rsidR="00724B76" w:rsidRPr="00261E6C">
              <w:rPr>
                <w:sz w:val="22"/>
                <w:szCs w:val="22"/>
                <w:vertAlign w:val="superscript"/>
                <w:lang w:val="hr-HR"/>
              </w:rPr>
              <w:t>a</w:t>
            </w:r>
            <w:r w:rsidR="00724B76" w:rsidRPr="00261E6C">
              <w:rPr>
                <w:sz w:val="22"/>
                <w:szCs w:val="22"/>
                <w:lang w:val="hr-HR"/>
              </w:rPr>
              <w:t xml:space="preserve"> </w:t>
            </w:r>
          </w:p>
        </w:tc>
        <w:tc>
          <w:tcPr>
            <w:tcW w:w="5783" w:type="dxa"/>
            <w:shd w:val="clear" w:color="auto" w:fill="auto"/>
          </w:tcPr>
          <w:p w:rsidR="00724B76" w:rsidRPr="00261E6C" w:rsidRDefault="00724B76" w:rsidP="00261E6C">
            <w:pPr>
              <w:jc w:val="both"/>
              <w:rPr>
                <w:sz w:val="22"/>
                <w:szCs w:val="22"/>
                <w:lang w:val="hr-HR"/>
              </w:rPr>
            </w:pPr>
            <w:r w:rsidRPr="00261E6C">
              <w:rPr>
                <w:sz w:val="22"/>
                <w:szCs w:val="22"/>
                <w:lang w:val="hr-HR"/>
              </w:rPr>
              <w:t>Senzorna neuropatija:</w:t>
            </w:r>
          </w:p>
          <w:p w:rsidR="00724B76" w:rsidRPr="00C2143B" w:rsidRDefault="00724B76" w:rsidP="00E4155A">
            <w:pPr>
              <w:pStyle w:val="ListParagraph"/>
              <w:ind w:left="714" w:hanging="357"/>
              <w:rPr>
                <w:rFonts w:eastAsia="SimSun"/>
                <w:szCs w:val="22"/>
                <w:lang w:val="hr-HR"/>
              </w:rPr>
            </w:pPr>
            <w:r w:rsidRPr="00C2143B">
              <w:rPr>
                <w:szCs w:val="22"/>
                <w:lang w:val="hr-HR"/>
              </w:rPr>
              <w:sym w:font="Symbol" w:char="F0B7"/>
            </w:r>
            <w:r w:rsidRPr="00C2143B">
              <w:rPr>
                <w:szCs w:val="22"/>
                <w:lang w:val="hr-HR"/>
              </w:rPr>
              <w:tab/>
              <w:t xml:space="preserve">Smanjiti dozu </w:t>
            </w:r>
            <w:r w:rsidR="00E26464" w:rsidRPr="00C2143B">
              <w:rPr>
                <w:szCs w:val="22"/>
                <w:lang w:val="hr-HR"/>
              </w:rPr>
              <w:t xml:space="preserve">lijeka </w:t>
            </w:r>
            <w:r w:rsidRPr="00C2143B">
              <w:rPr>
                <w:szCs w:val="22"/>
                <w:lang w:val="hr-HR"/>
              </w:rPr>
              <w:t>Polivy na 1,4 mg/kg.</w:t>
            </w:r>
          </w:p>
          <w:p w:rsidR="00724B76" w:rsidRPr="00C2143B" w:rsidRDefault="00724B76" w:rsidP="00E4155A">
            <w:pPr>
              <w:pStyle w:val="ListParagraph"/>
              <w:ind w:left="714" w:hanging="357"/>
              <w:rPr>
                <w:rFonts w:eastAsia="SimSun"/>
                <w:szCs w:val="22"/>
                <w:lang w:val="hr-HR"/>
              </w:rPr>
            </w:pPr>
            <w:r w:rsidRPr="00C2143B">
              <w:rPr>
                <w:szCs w:val="22"/>
                <w:lang w:val="hr-HR"/>
              </w:rPr>
              <w:sym w:font="Symbol" w:char="F0B7"/>
            </w:r>
            <w:r w:rsidRPr="00C2143B">
              <w:rPr>
                <w:szCs w:val="22"/>
                <w:lang w:val="hr-HR"/>
              </w:rPr>
              <w:tab/>
              <w:t xml:space="preserve">Ako je neželjeni događaj </w:t>
            </w:r>
            <w:r w:rsidR="00E26464" w:rsidRPr="00C2143B">
              <w:rPr>
                <w:szCs w:val="22"/>
                <w:lang w:val="hr-HR"/>
              </w:rPr>
              <w:t>gradusa 2</w:t>
            </w:r>
            <w:r w:rsidR="009C1C38" w:rsidRPr="00C2143B">
              <w:rPr>
                <w:szCs w:val="22"/>
                <w:lang w:val="hr-HR"/>
              </w:rPr>
              <w:t xml:space="preserve"> perzistentan ili se ponov</w:t>
            </w:r>
            <w:r w:rsidRPr="00C2143B">
              <w:rPr>
                <w:szCs w:val="22"/>
                <w:lang w:val="hr-HR"/>
              </w:rPr>
              <w:t>o javi 1. dana nekog od sl</w:t>
            </w:r>
            <w:r w:rsidR="00E26464" w:rsidRPr="00C2143B">
              <w:rPr>
                <w:szCs w:val="22"/>
                <w:lang w:val="hr-HR"/>
              </w:rPr>
              <w:t>j</w:t>
            </w:r>
            <w:r w:rsidRPr="00C2143B">
              <w:rPr>
                <w:szCs w:val="22"/>
                <w:lang w:val="hr-HR"/>
              </w:rPr>
              <w:t xml:space="preserve">edećih ciklusa, dozu </w:t>
            </w:r>
            <w:r w:rsidR="00E26464" w:rsidRPr="00C2143B">
              <w:rPr>
                <w:szCs w:val="22"/>
                <w:lang w:val="hr-HR"/>
              </w:rPr>
              <w:t xml:space="preserve">lijeka </w:t>
            </w:r>
            <w:r w:rsidRPr="00C2143B">
              <w:rPr>
                <w:szCs w:val="22"/>
                <w:lang w:val="hr-HR"/>
              </w:rPr>
              <w:t>Polivy treba smanjiti na 1,0 mg/kg.</w:t>
            </w:r>
          </w:p>
          <w:p w:rsidR="00724B76" w:rsidRPr="00C2143B" w:rsidRDefault="00724B76" w:rsidP="00E4155A">
            <w:pPr>
              <w:pStyle w:val="ListParagraph"/>
              <w:ind w:left="714" w:hanging="357"/>
              <w:rPr>
                <w:rFonts w:eastAsia="SimSun"/>
                <w:szCs w:val="22"/>
                <w:lang w:val="hr-HR"/>
              </w:rPr>
            </w:pPr>
            <w:r w:rsidRPr="00C2143B">
              <w:rPr>
                <w:szCs w:val="22"/>
                <w:lang w:val="hr-HR"/>
              </w:rPr>
              <w:sym w:font="Symbol" w:char="F0B7"/>
            </w:r>
            <w:r w:rsidRPr="00C2143B">
              <w:rPr>
                <w:szCs w:val="22"/>
                <w:lang w:val="hr-HR"/>
              </w:rPr>
              <w:tab/>
              <w:t xml:space="preserve">Ako doza već iznosi 1,0 mg/kg, a 1. dana nekog od </w:t>
            </w:r>
            <w:r w:rsidR="009C1C38" w:rsidRPr="00C2143B">
              <w:rPr>
                <w:szCs w:val="22"/>
                <w:lang w:val="hr-HR"/>
              </w:rPr>
              <w:t>sljedećih</w:t>
            </w:r>
            <w:r w:rsidRPr="00C2143B">
              <w:rPr>
                <w:szCs w:val="22"/>
                <w:lang w:val="hr-HR"/>
              </w:rPr>
              <w:t xml:space="preserve"> ciklusa se javi neželjeni događaj </w:t>
            </w:r>
            <w:r w:rsidR="00E26464" w:rsidRPr="00C2143B">
              <w:rPr>
                <w:szCs w:val="22"/>
                <w:lang w:val="hr-HR"/>
              </w:rPr>
              <w:t>gradusa 2</w:t>
            </w:r>
            <w:r w:rsidRPr="00C2143B">
              <w:rPr>
                <w:szCs w:val="22"/>
                <w:lang w:val="hr-HR"/>
              </w:rPr>
              <w:t xml:space="preserve">, </w:t>
            </w:r>
            <w:r w:rsidR="00E26464" w:rsidRPr="00C2143B">
              <w:rPr>
                <w:szCs w:val="22"/>
                <w:lang w:val="hr-HR"/>
              </w:rPr>
              <w:t>liječenje</w:t>
            </w:r>
            <w:r w:rsidRPr="00C2143B">
              <w:rPr>
                <w:szCs w:val="22"/>
                <w:lang w:val="hr-HR"/>
              </w:rPr>
              <w:t xml:space="preserve"> </w:t>
            </w:r>
            <w:r w:rsidR="00E26464" w:rsidRPr="00C2143B">
              <w:rPr>
                <w:szCs w:val="22"/>
                <w:lang w:val="hr-HR"/>
              </w:rPr>
              <w:t>lijekom</w:t>
            </w:r>
            <w:r w:rsidRPr="00C2143B">
              <w:rPr>
                <w:szCs w:val="22"/>
                <w:lang w:val="hr-HR"/>
              </w:rPr>
              <w:t xml:space="preserve"> Polivy treba obustaviti.</w:t>
            </w:r>
          </w:p>
          <w:p w:rsidR="00724B76" w:rsidRPr="00261E6C" w:rsidRDefault="00724B76" w:rsidP="00261E6C">
            <w:pPr>
              <w:jc w:val="both"/>
              <w:rPr>
                <w:rFonts w:eastAsia="SimSun"/>
                <w:sz w:val="22"/>
                <w:szCs w:val="22"/>
                <w:lang w:val="hr-HR"/>
              </w:rPr>
            </w:pPr>
          </w:p>
          <w:p w:rsidR="00724B76" w:rsidRPr="00261E6C" w:rsidRDefault="00724B76" w:rsidP="00261E6C">
            <w:pPr>
              <w:jc w:val="both"/>
              <w:rPr>
                <w:sz w:val="22"/>
                <w:szCs w:val="22"/>
                <w:lang w:val="hr-HR"/>
              </w:rPr>
            </w:pPr>
            <w:r w:rsidRPr="00261E6C">
              <w:rPr>
                <w:sz w:val="22"/>
                <w:szCs w:val="22"/>
                <w:lang w:val="hr-HR"/>
              </w:rPr>
              <w:t>Motorna neuropatija:</w:t>
            </w:r>
          </w:p>
          <w:p w:rsidR="00724B76" w:rsidRPr="00C2143B" w:rsidRDefault="00724B76" w:rsidP="00E4155A">
            <w:pPr>
              <w:pStyle w:val="ListParagraph"/>
              <w:ind w:left="714" w:hanging="357"/>
              <w:rPr>
                <w:szCs w:val="22"/>
                <w:lang w:val="hr-HR"/>
              </w:rPr>
            </w:pPr>
            <w:r w:rsidRPr="00C2143B">
              <w:rPr>
                <w:szCs w:val="22"/>
                <w:lang w:val="hr-HR"/>
              </w:rPr>
              <w:sym w:font="Symbol" w:char="F0B7"/>
            </w:r>
            <w:r w:rsidRPr="00C2143B">
              <w:rPr>
                <w:szCs w:val="22"/>
                <w:lang w:val="hr-HR"/>
              </w:rPr>
              <w:tab/>
              <w:t xml:space="preserve">Odložiti </w:t>
            </w:r>
            <w:r w:rsidR="00E26464" w:rsidRPr="00C2143B">
              <w:rPr>
                <w:szCs w:val="22"/>
                <w:lang w:val="hr-HR"/>
              </w:rPr>
              <w:t>primjenu</w:t>
            </w:r>
            <w:r w:rsidRPr="00C2143B">
              <w:rPr>
                <w:szCs w:val="22"/>
                <w:lang w:val="hr-HR"/>
              </w:rPr>
              <w:t xml:space="preserve"> </w:t>
            </w:r>
            <w:r w:rsidR="00E26464" w:rsidRPr="00C2143B">
              <w:rPr>
                <w:szCs w:val="22"/>
                <w:lang w:val="hr-HR"/>
              </w:rPr>
              <w:t xml:space="preserve">lijeka </w:t>
            </w:r>
            <w:r w:rsidRPr="00C2143B">
              <w:rPr>
                <w:szCs w:val="22"/>
                <w:lang w:val="hr-HR"/>
              </w:rPr>
              <w:t>Polivy dok se neželjeni događaj ne ublaži do ≤ </w:t>
            </w:r>
            <w:r w:rsidR="00E26464" w:rsidRPr="00C2143B">
              <w:rPr>
                <w:szCs w:val="22"/>
                <w:lang w:val="hr-HR"/>
              </w:rPr>
              <w:t>gradusa 1</w:t>
            </w:r>
            <w:r w:rsidRPr="00C2143B">
              <w:rPr>
                <w:szCs w:val="22"/>
                <w:lang w:val="hr-HR"/>
              </w:rPr>
              <w:t>.</w:t>
            </w:r>
          </w:p>
          <w:p w:rsidR="00724B76" w:rsidRPr="00C2143B" w:rsidRDefault="00724B76" w:rsidP="00E4155A">
            <w:pPr>
              <w:pStyle w:val="ListParagraph"/>
              <w:ind w:left="714" w:hanging="357"/>
              <w:rPr>
                <w:szCs w:val="22"/>
                <w:lang w:val="hr-HR"/>
              </w:rPr>
            </w:pPr>
            <w:r w:rsidRPr="00C2143B">
              <w:rPr>
                <w:szCs w:val="22"/>
                <w:lang w:val="hr-HR"/>
              </w:rPr>
              <w:sym w:font="Symbol" w:char="F0B7"/>
            </w:r>
            <w:r w:rsidRPr="00C2143B">
              <w:rPr>
                <w:szCs w:val="22"/>
                <w:lang w:val="hr-HR"/>
              </w:rPr>
              <w:tab/>
              <w:t>U sl</w:t>
            </w:r>
            <w:r w:rsidR="00E26464" w:rsidRPr="00C2143B">
              <w:rPr>
                <w:szCs w:val="22"/>
                <w:lang w:val="hr-HR"/>
              </w:rPr>
              <w:t>ij</w:t>
            </w:r>
            <w:r w:rsidRPr="00C2143B">
              <w:rPr>
                <w:szCs w:val="22"/>
                <w:lang w:val="hr-HR"/>
              </w:rPr>
              <w:t xml:space="preserve">edećem ciklusu ponovno uvesti </w:t>
            </w:r>
            <w:r w:rsidR="00861E1D" w:rsidRPr="00C2143B">
              <w:rPr>
                <w:szCs w:val="22"/>
                <w:lang w:val="sr-Latn-ME"/>
              </w:rPr>
              <w:t xml:space="preserve">lijek </w:t>
            </w:r>
            <w:r w:rsidRPr="00C2143B">
              <w:rPr>
                <w:szCs w:val="22"/>
                <w:lang w:val="hr-HR"/>
              </w:rPr>
              <w:t xml:space="preserve">Polivy u dozi od 1,4 mg/kg. </w:t>
            </w:r>
          </w:p>
          <w:p w:rsidR="00724B76" w:rsidRPr="00C2143B" w:rsidRDefault="00724B76" w:rsidP="00E4155A">
            <w:pPr>
              <w:pStyle w:val="ListParagraph"/>
              <w:ind w:left="714" w:hanging="357"/>
              <w:rPr>
                <w:szCs w:val="22"/>
                <w:lang w:val="hr-HR"/>
              </w:rPr>
            </w:pPr>
            <w:r w:rsidRPr="00C2143B">
              <w:rPr>
                <w:szCs w:val="22"/>
                <w:lang w:val="hr-HR"/>
              </w:rPr>
              <w:sym w:font="Symbol" w:char="F0B7"/>
            </w:r>
            <w:r w:rsidRPr="00C2143B">
              <w:rPr>
                <w:szCs w:val="22"/>
                <w:lang w:val="hr-HR"/>
              </w:rPr>
              <w:tab/>
              <w:t xml:space="preserve">Ako doza već iznosi 1,4 mg/kg, a 1. dana nekog od </w:t>
            </w:r>
            <w:r w:rsidR="009C1C38" w:rsidRPr="00C2143B">
              <w:rPr>
                <w:szCs w:val="22"/>
                <w:lang w:val="hr-HR"/>
              </w:rPr>
              <w:t xml:space="preserve">sljedećih </w:t>
            </w:r>
            <w:r w:rsidRPr="00C2143B">
              <w:rPr>
                <w:szCs w:val="22"/>
                <w:lang w:val="hr-HR"/>
              </w:rPr>
              <w:t xml:space="preserve">ciklusa se javi neželjeni događaj </w:t>
            </w:r>
            <w:r w:rsidR="00E26464" w:rsidRPr="00C2143B">
              <w:rPr>
                <w:szCs w:val="22"/>
                <w:lang w:val="hr-HR"/>
              </w:rPr>
              <w:t>gradusa 2</w:t>
            </w:r>
            <w:r w:rsidRPr="00C2143B">
              <w:rPr>
                <w:szCs w:val="22"/>
                <w:lang w:val="hr-HR"/>
              </w:rPr>
              <w:t xml:space="preserve">, </w:t>
            </w:r>
            <w:r w:rsidR="00E26464" w:rsidRPr="00C2143B">
              <w:rPr>
                <w:szCs w:val="22"/>
                <w:lang w:val="hr-HR"/>
              </w:rPr>
              <w:t>liječenje</w:t>
            </w:r>
            <w:r w:rsidRPr="00C2143B">
              <w:rPr>
                <w:szCs w:val="22"/>
                <w:lang w:val="hr-HR"/>
              </w:rPr>
              <w:t xml:space="preserve"> </w:t>
            </w:r>
            <w:r w:rsidR="00E26464" w:rsidRPr="00C2143B">
              <w:rPr>
                <w:szCs w:val="22"/>
                <w:lang w:val="hr-HR"/>
              </w:rPr>
              <w:t>lijekom</w:t>
            </w:r>
            <w:r w:rsidRPr="00C2143B">
              <w:rPr>
                <w:szCs w:val="22"/>
                <w:lang w:val="hr-HR"/>
              </w:rPr>
              <w:t xml:space="preserve"> Polivy treba odložiti dok se neželjeni događaj ne ublaži do ≤ </w:t>
            </w:r>
            <w:r w:rsidR="00E26464" w:rsidRPr="00C2143B">
              <w:rPr>
                <w:szCs w:val="22"/>
                <w:lang w:val="hr-HR"/>
              </w:rPr>
              <w:t>gradusa 1</w:t>
            </w:r>
            <w:r w:rsidRPr="00C2143B">
              <w:rPr>
                <w:szCs w:val="22"/>
                <w:lang w:val="hr-HR"/>
              </w:rPr>
              <w:t>. Zatim treba ponovno uvesti l</w:t>
            </w:r>
            <w:r w:rsidR="00E26464" w:rsidRPr="00C2143B">
              <w:rPr>
                <w:szCs w:val="22"/>
                <w:lang w:val="hr-HR"/>
              </w:rPr>
              <w:t>ij</w:t>
            </w:r>
            <w:r w:rsidRPr="00C2143B">
              <w:rPr>
                <w:szCs w:val="22"/>
                <w:lang w:val="hr-HR"/>
              </w:rPr>
              <w:t>ek Polivy u dozi od 1,0 mg/kg.</w:t>
            </w:r>
          </w:p>
          <w:p w:rsidR="00724B76" w:rsidRPr="00C2143B" w:rsidRDefault="00724B76" w:rsidP="00E4155A">
            <w:pPr>
              <w:pStyle w:val="ListParagraph"/>
              <w:ind w:left="714" w:hanging="357"/>
              <w:rPr>
                <w:rFonts w:eastAsia="SimSun"/>
                <w:szCs w:val="22"/>
                <w:lang w:val="hr-HR"/>
              </w:rPr>
            </w:pPr>
            <w:r w:rsidRPr="00C2143B">
              <w:rPr>
                <w:szCs w:val="22"/>
                <w:lang w:val="hr-HR"/>
              </w:rPr>
              <w:sym w:font="Symbol" w:char="F0B7"/>
            </w:r>
            <w:r w:rsidRPr="00C2143B">
              <w:rPr>
                <w:szCs w:val="22"/>
                <w:lang w:val="hr-HR"/>
              </w:rPr>
              <w:tab/>
              <w:t xml:space="preserve">Ako doza već iznosi 1,0 mg/kg, a 1. dana nekog od </w:t>
            </w:r>
            <w:r w:rsidR="009C1C38" w:rsidRPr="00C2143B">
              <w:rPr>
                <w:szCs w:val="22"/>
                <w:lang w:val="hr-HR"/>
              </w:rPr>
              <w:t>sljedećih</w:t>
            </w:r>
            <w:r w:rsidRPr="00C2143B">
              <w:rPr>
                <w:szCs w:val="22"/>
                <w:lang w:val="hr-HR"/>
              </w:rPr>
              <w:t xml:space="preserve"> ciklusa se javi neželjeni događaj </w:t>
            </w:r>
            <w:r w:rsidR="00E26464" w:rsidRPr="00C2143B">
              <w:rPr>
                <w:szCs w:val="22"/>
                <w:lang w:val="hr-HR"/>
              </w:rPr>
              <w:t>gradusa 2</w:t>
            </w:r>
            <w:r w:rsidRPr="00C2143B">
              <w:rPr>
                <w:szCs w:val="22"/>
                <w:lang w:val="hr-HR"/>
              </w:rPr>
              <w:t xml:space="preserve">, </w:t>
            </w:r>
            <w:r w:rsidR="00E26464" w:rsidRPr="00C2143B">
              <w:rPr>
                <w:szCs w:val="22"/>
                <w:lang w:val="hr-HR"/>
              </w:rPr>
              <w:t>liječenje</w:t>
            </w:r>
            <w:r w:rsidRPr="00C2143B">
              <w:rPr>
                <w:szCs w:val="22"/>
                <w:lang w:val="hr-HR"/>
              </w:rPr>
              <w:t xml:space="preserve"> </w:t>
            </w:r>
            <w:r w:rsidR="00E26464" w:rsidRPr="00C2143B">
              <w:rPr>
                <w:szCs w:val="22"/>
                <w:lang w:val="hr-HR"/>
              </w:rPr>
              <w:t>lijekom</w:t>
            </w:r>
            <w:r w:rsidRPr="00C2143B">
              <w:rPr>
                <w:szCs w:val="22"/>
                <w:lang w:val="hr-HR"/>
              </w:rPr>
              <w:t xml:space="preserve"> Polivy treba obustaviti.</w:t>
            </w:r>
          </w:p>
          <w:p w:rsidR="00724B76" w:rsidRPr="00261E6C" w:rsidRDefault="00724B76" w:rsidP="00261E6C">
            <w:pPr>
              <w:jc w:val="both"/>
              <w:rPr>
                <w:rFonts w:eastAsia="SimSun"/>
                <w:sz w:val="22"/>
                <w:szCs w:val="22"/>
                <w:lang w:val="hr-HR"/>
              </w:rPr>
            </w:pPr>
          </w:p>
          <w:p w:rsidR="00724B76" w:rsidRPr="00261E6C" w:rsidRDefault="00724B76" w:rsidP="00261E6C">
            <w:pPr>
              <w:jc w:val="both"/>
              <w:rPr>
                <w:rFonts w:eastAsia="SimSun"/>
                <w:sz w:val="22"/>
                <w:szCs w:val="22"/>
                <w:lang w:val="hr-HR"/>
              </w:rPr>
            </w:pPr>
            <w:r w:rsidRPr="00261E6C">
              <w:rPr>
                <w:sz w:val="22"/>
                <w:szCs w:val="22"/>
                <w:lang w:val="hr-HR"/>
              </w:rPr>
              <w:t>U slučaju isto</w:t>
            </w:r>
            <w:r w:rsidR="00B748CC" w:rsidRPr="00261E6C">
              <w:rPr>
                <w:sz w:val="22"/>
                <w:szCs w:val="22"/>
                <w:lang w:val="hr-HR"/>
              </w:rPr>
              <w:t>vreme</w:t>
            </w:r>
            <w:r w:rsidRPr="00261E6C">
              <w:rPr>
                <w:sz w:val="22"/>
                <w:szCs w:val="22"/>
                <w:lang w:val="hr-HR"/>
              </w:rPr>
              <w:t>ne pojave senzorne i motorne neuropatije</w:t>
            </w:r>
            <w:r w:rsidR="005926C1" w:rsidRPr="00C2143B">
              <w:rPr>
                <w:sz w:val="22"/>
                <w:szCs w:val="22"/>
                <w:lang w:val="hr-HR"/>
              </w:rPr>
              <w:t>,</w:t>
            </w:r>
            <w:r w:rsidRPr="00261E6C">
              <w:rPr>
                <w:sz w:val="22"/>
                <w:szCs w:val="22"/>
                <w:lang w:val="hr-HR"/>
              </w:rPr>
              <w:t xml:space="preserve"> treba sl</w:t>
            </w:r>
            <w:r w:rsidR="00E26464" w:rsidRPr="00261E6C">
              <w:rPr>
                <w:sz w:val="22"/>
                <w:szCs w:val="22"/>
                <w:lang w:val="hr-HR"/>
              </w:rPr>
              <w:t>ij</w:t>
            </w:r>
            <w:r w:rsidRPr="00261E6C">
              <w:rPr>
                <w:sz w:val="22"/>
                <w:szCs w:val="22"/>
                <w:lang w:val="hr-HR"/>
              </w:rPr>
              <w:t>editi najstrož</w:t>
            </w:r>
            <w:r w:rsidR="00861E1D" w:rsidRPr="00C2143B">
              <w:rPr>
                <w:sz w:val="22"/>
                <w:szCs w:val="22"/>
                <w:lang w:val="hr-HR"/>
              </w:rPr>
              <w:t>ij</w:t>
            </w:r>
            <w:r w:rsidRPr="00261E6C">
              <w:rPr>
                <w:sz w:val="22"/>
                <w:szCs w:val="22"/>
                <w:lang w:val="hr-HR"/>
              </w:rPr>
              <w:t>u iznad navedenu preporuku.</w:t>
            </w:r>
          </w:p>
        </w:tc>
      </w:tr>
      <w:tr w:rsidR="00724B76" w:rsidRPr="00261E6C" w:rsidTr="00724B76">
        <w:trPr>
          <w:cantSplit/>
        </w:trPr>
        <w:tc>
          <w:tcPr>
            <w:tcW w:w="1304" w:type="dxa"/>
            <w:vMerge/>
          </w:tcPr>
          <w:p w:rsidR="00724B76" w:rsidRPr="00261E6C" w:rsidRDefault="00724B76" w:rsidP="00261E6C">
            <w:pPr>
              <w:jc w:val="both"/>
              <w:rPr>
                <w:sz w:val="22"/>
                <w:szCs w:val="22"/>
                <w:lang w:val="hr-HR"/>
              </w:rPr>
            </w:pPr>
          </w:p>
        </w:tc>
        <w:tc>
          <w:tcPr>
            <w:tcW w:w="2005" w:type="dxa"/>
            <w:shd w:val="clear" w:color="auto" w:fill="auto"/>
          </w:tcPr>
          <w:p w:rsidR="00724B76" w:rsidRPr="00261E6C" w:rsidRDefault="00724B76" w:rsidP="00261E6C">
            <w:pPr>
              <w:jc w:val="both"/>
              <w:rPr>
                <w:sz w:val="22"/>
                <w:szCs w:val="22"/>
                <w:vertAlign w:val="superscript"/>
                <w:lang w:val="hr-HR"/>
              </w:rPr>
            </w:pPr>
            <w:r w:rsidRPr="00261E6C">
              <w:rPr>
                <w:sz w:val="22"/>
                <w:szCs w:val="22"/>
                <w:lang w:val="hr-HR"/>
              </w:rPr>
              <w:t>Gradus 3</w:t>
            </w:r>
            <w:r w:rsidRPr="00261E6C">
              <w:rPr>
                <w:sz w:val="22"/>
                <w:szCs w:val="22"/>
                <w:vertAlign w:val="superscript"/>
                <w:lang w:val="hr-HR"/>
              </w:rPr>
              <w:t>a</w:t>
            </w:r>
          </w:p>
        </w:tc>
        <w:tc>
          <w:tcPr>
            <w:tcW w:w="5783" w:type="dxa"/>
            <w:shd w:val="clear" w:color="auto" w:fill="auto"/>
          </w:tcPr>
          <w:p w:rsidR="00724B76" w:rsidRPr="00261E6C" w:rsidRDefault="00724B76" w:rsidP="00261E6C">
            <w:pPr>
              <w:jc w:val="both"/>
              <w:rPr>
                <w:sz w:val="22"/>
                <w:szCs w:val="22"/>
                <w:lang w:val="hr-HR"/>
              </w:rPr>
            </w:pPr>
            <w:r w:rsidRPr="00261E6C">
              <w:rPr>
                <w:sz w:val="22"/>
                <w:szCs w:val="22"/>
                <w:lang w:val="hr-HR"/>
              </w:rPr>
              <w:t>Senzorna neuropatija:</w:t>
            </w:r>
          </w:p>
          <w:p w:rsidR="00724B76" w:rsidRPr="00C2143B" w:rsidRDefault="00724B76" w:rsidP="00E4155A">
            <w:pPr>
              <w:pStyle w:val="ListParagraph"/>
              <w:ind w:left="714" w:hanging="357"/>
              <w:rPr>
                <w:rFonts w:eastAsia="SimSun"/>
                <w:szCs w:val="22"/>
                <w:lang w:val="hr-HR"/>
              </w:rPr>
            </w:pPr>
            <w:r w:rsidRPr="00C2143B">
              <w:rPr>
                <w:szCs w:val="22"/>
                <w:lang w:val="hr-HR"/>
              </w:rPr>
              <w:sym w:font="Symbol" w:char="F0B7"/>
            </w:r>
            <w:r w:rsidRPr="00C2143B">
              <w:rPr>
                <w:szCs w:val="22"/>
                <w:lang w:val="hr-HR"/>
              </w:rPr>
              <w:tab/>
              <w:t xml:space="preserve">Odložiti </w:t>
            </w:r>
            <w:r w:rsidR="00E26464" w:rsidRPr="00C2143B">
              <w:rPr>
                <w:szCs w:val="22"/>
                <w:lang w:val="hr-HR"/>
              </w:rPr>
              <w:t>primjenu</w:t>
            </w:r>
            <w:r w:rsidRPr="00C2143B">
              <w:rPr>
                <w:szCs w:val="22"/>
                <w:lang w:val="hr-HR"/>
              </w:rPr>
              <w:t xml:space="preserve"> </w:t>
            </w:r>
            <w:r w:rsidR="00E26464" w:rsidRPr="00C2143B">
              <w:rPr>
                <w:szCs w:val="22"/>
                <w:lang w:val="hr-HR"/>
              </w:rPr>
              <w:t xml:space="preserve">lijeka </w:t>
            </w:r>
            <w:r w:rsidRPr="00C2143B">
              <w:rPr>
                <w:szCs w:val="22"/>
                <w:lang w:val="hr-HR"/>
              </w:rPr>
              <w:t>Polivy dok se neželjeni događaj ne ublaži do ≤ </w:t>
            </w:r>
            <w:r w:rsidR="00E26464" w:rsidRPr="00C2143B">
              <w:rPr>
                <w:szCs w:val="22"/>
                <w:lang w:val="hr-HR"/>
              </w:rPr>
              <w:t>gradusa 2</w:t>
            </w:r>
            <w:r w:rsidRPr="00C2143B">
              <w:rPr>
                <w:szCs w:val="22"/>
                <w:lang w:val="hr-HR"/>
              </w:rPr>
              <w:t>.</w:t>
            </w:r>
          </w:p>
          <w:p w:rsidR="00724B76" w:rsidRPr="00C2143B" w:rsidRDefault="00724B76" w:rsidP="00E4155A">
            <w:pPr>
              <w:pStyle w:val="ListParagraph"/>
              <w:ind w:left="714" w:hanging="357"/>
              <w:rPr>
                <w:rFonts w:eastAsia="SimSun"/>
                <w:szCs w:val="22"/>
                <w:lang w:val="hr-HR"/>
              </w:rPr>
            </w:pPr>
            <w:r w:rsidRPr="00C2143B">
              <w:rPr>
                <w:szCs w:val="22"/>
                <w:lang w:val="hr-HR"/>
              </w:rPr>
              <w:sym w:font="Symbol" w:char="F0B7"/>
            </w:r>
            <w:r w:rsidRPr="00C2143B">
              <w:rPr>
                <w:szCs w:val="22"/>
                <w:lang w:val="hr-HR"/>
              </w:rPr>
              <w:tab/>
              <w:t xml:space="preserve">Smanjiti dozu </w:t>
            </w:r>
            <w:r w:rsidR="00E26464" w:rsidRPr="00C2143B">
              <w:rPr>
                <w:szCs w:val="22"/>
                <w:lang w:val="hr-HR"/>
              </w:rPr>
              <w:t xml:space="preserve">lijeka </w:t>
            </w:r>
            <w:r w:rsidRPr="00C2143B">
              <w:rPr>
                <w:szCs w:val="22"/>
                <w:lang w:val="hr-HR"/>
              </w:rPr>
              <w:t>Polivy na 1,4 mg/kg.</w:t>
            </w:r>
          </w:p>
          <w:p w:rsidR="00724B76" w:rsidRPr="00C2143B" w:rsidRDefault="00724B76" w:rsidP="00E4155A">
            <w:pPr>
              <w:pStyle w:val="ListParagraph"/>
              <w:ind w:left="714" w:hanging="357"/>
              <w:rPr>
                <w:rFonts w:eastAsia="SimSun"/>
                <w:szCs w:val="22"/>
                <w:lang w:val="hr-HR"/>
              </w:rPr>
            </w:pPr>
            <w:r w:rsidRPr="00C2143B">
              <w:rPr>
                <w:szCs w:val="22"/>
                <w:lang w:val="hr-HR"/>
              </w:rPr>
              <w:sym w:font="Symbol" w:char="F0B7"/>
            </w:r>
            <w:r w:rsidRPr="00C2143B">
              <w:rPr>
                <w:szCs w:val="22"/>
                <w:lang w:val="hr-HR"/>
              </w:rPr>
              <w:tab/>
              <w:t xml:space="preserve">Ako doza već iznosi 1,4 mg/kg, dozu </w:t>
            </w:r>
            <w:r w:rsidR="00E26464" w:rsidRPr="00C2143B">
              <w:rPr>
                <w:szCs w:val="22"/>
                <w:lang w:val="hr-HR"/>
              </w:rPr>
              <w:t xml:space="preserve">lijeka </w:t>
            </w:r>
            <w:r w:rsidRPr="00C2143B">
              <w:rPr>
                <w:szCs w:val="22"/>
                <w:lang w:val="hr-HR"/>
              </w:rPr>
              <w:t xml:space="preserve">Polivy treba smanjiti na 1,0 mg/kg. Ako doza već iznosi 1,0 mg/kg, </w:t>
            </w:r>
            <w:r w:rsidR="00E26464" w:rsidRPr="00C2143B">
              <w:rPr>
                <w:szCs w:val="22"/>
                <w:lang w:val="hr-HR"/>
              </w:rPr>
              <w:t>liječenje</w:t>
            </w:r>
            <w:r w:rsidRPr="00C2143B">
              <w:rPr>
                <w:szCs w:val="22"/>
                <w:lang w:val="hr-HR"/>
              </w:rPr>
              <w:t xml:space="preserve"> </w:t>
            </w:r>
            <w:r w:rsidR="00E26464" w:rsidRPr="00C2143B">
              <w:rPr>
                <w:szCs w:val="22"/>
                <w:lang w:val="hr-HR"/>
              </w:rPr>
              <w:t>lijekom</w:t>
            </w:r>
            <w:r w:rsidRPr="00C2143B">
              <w:rPr>
                <w:szCs w:val="22"/>
                <w:lang w:val="hr-HR"/>
              </w:rPr>
              <w:t xml:space="preserve"> Polivy treba obustaviti.</w:t>
            </w:r>
          </w:p>
          <w:p w:rsidR="00724B76" w:rsidRPr="00261E6C" w:rsidRDefault="00724B76" w:rsidP="00261E6C">
            <w:pPr>
              <w:jc w:val="both"/>
              <w:rPr>
                <w:rFonts w:eastAsia="SimSun"/>
                <w:sz w:val="22"/>
                <w:szCs w:val="22"/>
                <w:lang w:val="hr-HR"/>
              </w:rPr>
            </w:pPr>
          </w:p>
          <w:p w:rsidR="00724B76" w:rsidRPr="00261E6C" w:rsidRDefault="00724B76" w:rsidP="00261E6C">
            <w:pPr>
              <w:jc w:val="both"/>
              <w:rPr>
                <w:sz w:val="22"/>
                <w:szCs w:val="22"/>
                <w:lang w:val="hr-HR"/>
              </w:rPr>
            </w:pPr>
            <w:r w:rsidRPr="00261E6C">
              <w:rPr>
                <w:sz w:val="22"/>
                <w:szCs w:val="22"/>
                <w:lang w:val="hr-HR"/>
              </w:rPr>
              <w:t>Motorna neuropatija:</w:t>
            </w:r>
          </w:p>
          <w:p w:rsidR="00724B76" w:rsidRPr="00C2143B" w:rsidRDefault="00724B76" w:rsidP="00E4155A">
            <w:pPr>
              <w:pStyle w:val="ListParagraph"/>
              <w:ind w:left="714" w:hanging="357"/>
              <w:rPr>
                <w:szCs w:val="22"/>
                <w:lang w:val="hr-HR"/>
              </w:rPr>
            </w:pPr>
            <w:r w:rsidRPr="00C2143B">
              <w:rPr>
                <w:szCs w:val="22"/>
                <w:lang w:val="hr-HR"/>
              </w:rPr>
              <w:sym w:font="Symbol" w:char="F0B7"/>
            </w:r>
            <w:r w:rsidRPr="00C2143B">
              <w:rPr>
                <w:szCs w:val="22"/>
                <w:lang w:val="hr-HR"/>
              </w:rPr>
              <w:tab/>
              <w:t xml:space="preserve">Odložiti </w:t>
            </w:r>
            <w:r w:rsidR="00E26464" w:rsidRPr="00C2143B">
              <w:rPr>
                <w:szCs w:val="22"/>
                <w:lang w:val="hr-HR"/>
              </w:rPr>
              <w:t>primjenu</w:t>
            </w:r>
            <w:r w:rsidRPr="00C2143B">
              <w:rPr>
                <w:szCs w:val="22"/>
                <w:lang w:val="hr-HR"/>
              </w:rPr>
              <w:t xml:space="preserve"> </w:t>
            </w:r>
            <w:r w:rsidR="00E26464" w:rsidRPr="00C2143B">
              <w:rPr>
                <w:szCs w:val="22"/>
                <w:lang w:val="hr-HR"/>
              </w:rPr>
              <w:t xml:space="preserve">lijeka </w:t>
            </w:r>
            <w:r w:rsidRPr="00C2143B">
              <w:rPr>
                <w:szCs w:val="22"/>
                <w:lang w:val="hr-HR"/>
              </w:rPr>
              <w:t>Polivy dok se neželjeni događaj ne ublaži do ≤ </w:t>
            </w:r>
            <w:r w:rsidR="00E26464" w:rsidRPr="00C2143B">
              <w:rPr>
                <w:szCs w:val="22"/>
                <w:lang w:val="hr-HR"/>
              </w:rPr>
              <w:t>gradusa 1</w:t>
            </w:r>
            <w:r w:rsidRPr="00C2143B">
              <w:rPr>
                <w:szCs w:val="22"/>
                <w:lang w:val="hr-HR"/>
              </w:rPr>
              <w:t>.</w:t>
            </w:r>
          </w:p>
          <w:p w:rsidR="00724B76" w:rsidRPr="00C2143B" w:rsidRDefault="00724B76" w:rsidP="00E4155A">
            <w:pPr>
              <w:pStyle w:val="ListParagraph"/>
              <w:ind w:left="714" w:hanging="357"/>
              <w:rPr>
                <w:szCs w:val="22"/>
                <w:lang w:val="hr-HR"/>
              </w:rPr>
            </w:pPr>
            <w:r w:rsidRPr="00C2143B">
              <w:rPr>
                <w:szCs w:val="22"/>
                <w:lang w:val="hr-HR"/>
              </w:rPr>
              <w:sym w:font="Symbol" w:char="F0B7"/>
            </w:r>
            <w:r w:rsidRPr="00C2143B">
              <w:rPr>
                <w:szCs w:val="22"/>
                <w:lang w:val="hr-HR"/>
              </w:rPr>
              <w:tab/>
              <w:t>U sl</w:t>
            </w:r>
            <w:r w:rsidR="00E26464" w:rsidRPr="00C2143B">
              <w:rPr>
                <w:szCs w:val="22"/>
                <w:lang w:val="hr-HR"/>
              </w:rPr>
              <w:t>j</w:t>
            </w:r>
            <w:r w:rsidRPr="00C2143B">
              <w:rPr>
                <w:szCs w:val="22"/>
                <w:lang w:val="hr-HR"/>
              </w:rPr>
              <w:t xml:space="preserve">edećem ciklusu ponovno uvesti </w:t>
            </w:r>
            <w:r w:rsidR="003C1B7B" w:rsidRPr="00C2143B">
              <w:rPr>
                <w:szCs w:val="22"/>
                <w:lang w:val="hr-HR"/>
              </w:rPr>
              <w:t>lijek</w:t>
            </w:r>
            <w:r w:rsidRPr="00C2143B">
              <w:rPr>
                <w:szCs w:val="22"/>
                <w:lang w:val="hr-HR"/>
              </w:rPr>
              <w:t xml:space="preserve"> Polivy u dozi od 1,4 mg/kg. </w:t>
            </w:r>
          </w:p>
          <w:p w:rsidR="00724B76" w:rsidRPr="00C2143B" w:rsidRDefault="00724B76" w:rsidP="00E4155A">
            <w:pPr>
              <w:pStyle w:val="ListParagraph"/>
              <w:ind w:left="714" w:hanging="357"/>
              <w:rPr>
                <w:rFonts w:eastAsia="SimSun"/>
                <w:szCs w:val="22"/>
                <w:lang w:val="hr-HR"/>
              </w:rPr>
            </w:pPr>
            <w:r w:rsidRPr="00C2143B">
              <w:rPr>
                <w:szCs w:val="22"/>
                <w:lang w:val="hr-HR"/>
              </w:rPr>
              <w:sym w:font="Symbol" w:char="F0B7"/>
            </w:r>
            <w:r w:rsidRPr="00C2143B">
              <w:rPr>
                <w:szCs w:val="22"/>
                <w:lang w:val="hr-HR"/>
              </w:rPr>
              <w:tab/>
              <w:t>Ako doza već iznosi 1,4 mg/kg, a javi se neželjeni događaj 2. </w:t>
            </w:r>
            <w:r w:rsidRPr="00C2143B">
              <w:rPr>
                <w:szCs w:val="22"/>
                <w:lang w:val="hr-HR"/>
              </w:rPr>
              <w:noBreakHyphen/>
              <w:t> 3. </w:t>
            </w:r>
            <w:r w:rsidR="00F55D0F" w:rsidRPr="00C2143B">
              <w:rPr>
                <w:szCs w:val="22"/>
                <w:lang w:val="hr-HR"/>
              </w:rPr>
              <w:t>gradus</w:t>
            </w:r>
            <w:r w:rsidRPr="00C2143B">
              <w:rPr>
                <w:szCs w:val="22"/>
                <w:lang w:val="hr-HR"/>
              </w:rPr>
              <w:t xml:space="preserve">a, </w:t>
            </w:r>
            <w:r w:rsidR="00E26464" w:rsidRPr="00C2143B">
              <w:rPr>
                <w:szCs w:val="22"/>
                <w:lang w:val="hr-HR"/>
              </w:rPr>
              <w:t>liječenje</w:t>
            </w:r>
            <w:r w:rsidRPr="00C2143B">
              <w:rPr>
                <w:szCs w:val="22"/>
                <w:lang w:val="hr-HR"/>
              </w:rPr>
              <w:t xml:space="preserve"> </w:t>
            </w:r>
            <w:r w:rsidR="00E26464" w:rsidRPr="00C2143B">
              <w:rPr>
                <w:szCs w:val="22"/>
                <w:lang w:val="hr-HR"/>
              </w:rPr>
              <w:t>lijekom</w:t>
            </w:r>
            <w:r w:rsidRPr="00C2143B">
              <w:rPr>
                <w:szCs w:val="22"/>
                <w:lang w:val="hr-HR"/>
              </w:rPr>
              <w:t xml:space="preserve"> Polivy treba odložiti dok se neželjeni događaj ne ublaži do ≤ </w:t>
            </w:r>
            <w:r w:rsidR="00E26464" w:rsidRPr="00C2143B">
              <w:rPr>
                <w:szCs w:val="22"/>
                <w:lang w:val="hr-HR"/>
              </w:rPr>
              <w:t>gradusa 1</w:t>
            </w:r>
            <w:r w:rsidRPr="00C2143B">
              <w:rPr>
                <w:szCs w:val="22"/>
                <w:lang w:val="hr-HR"/>
              </w:rPr>
              <w:t xml:space="preserve">. Zatim treba ponovno uvesti </w:t>
            </w:r>
            <w:r w:rsidR="00861E1D" w:rsidRPr="00C2143B">
              <w:rPr>
                <w:szCs w:val="22"/>
                <w:lang w:val="hr-HR"/>
              </w:rPr>
              <w:t xml:space="preserve">lijek </w:t>
            </w:r>
            <w:r w:rsidRPr="00C2143B">
              <w:rPr>
                <w:szCs w:val="22"/>
                <w:lang w:val="hr-HR"/>
              </w:rPr>
              <w:t>Polivy u dozi od 1,0 mg/kg.</w:t>
            </w:r>
          </w:p>
          <w:p w:rsidR="00724B76" w:rsidRPr="00C2143B" w:rsidRDefault="00724B76" w:rsidP="00E4155A">
            <w:pPr>
              <w:pStyle w:val="ListParagraph"/>
              <w:ind w:left="714" w:hanging="357"/>
              <w:rPr>
                <w:rFonts w:eastAsia="SimSun"/>
                <w:szCs w:val="22"/>
                <w:lang w:val="hr-HR"/>
              </w:rPr>
            </w:pPr>
            <w:r w:rsidRPr="00C2143B">
              <w:rPr>
                <w:szCs w:val="22"/>
                <w:lang w:val="hr-HR"/>
              </w:rPr>
              <w:sym w:font="Symbol" w:char="F0B7"/>
            </w:r>
            <w:r w:rsidRPr="00C2143B">
              <w:rPr>
                <w:szCs w:val="22"/>
                <w:lang w:val="hr-HR"/>
              </w:rPr>
              <w:tab/>
              <w:t xml:space="preserve">Ako doza već iznosi 1,0 mg/kg, a javi se neželjeni događaj </w:t>
            </w:r>
            <w:r w:rsidR="00E26464" w:rsidRPr="00C2143B">
              <w:rPr>
                <w:szCs w:val="22"/>
                <w:lang w:val="hr-HR"/>
              </w:rPr>
              <w:t>gradusa 2-3</w:t>
            </w:r>
            <w:r w:rsidRPr="00C2143B">
              <w:rPr>
                <w:szCs w:val="22"/>
                <w:lang w:val="hr-HR"/>
              </w:rPr>
              <w:t xml:space="preserve">, </w:t>
            </w:r>
            <w:r w:rsidR="00E26464" w:rsidRPr="00C2143B">
              <w:rPr>
                <w:szCs w:val="22"/>
                <w:lang w:val="hr-HR"/>
              </w:rPr>
              <w:t>liječenje</w:t>
            </w:r>
            <w:r w:rsidRPr="00C2143B">
              <w:rPr>
                <w:szCs w:val="22"/>
                <w:lang w:val="hr-HR"/>
              </w:rPr>
              <w:t xml:space="preserve"> </w:t>
            </w:r>
            <w:r w:rsidR="00E26464" w:rsidRPr="00C2143B">
              <w:rPr>
                <w:szCs w:val="22"/>
                <w:lang w:val="hr-HR"/>
              </w:rPr>
              <w:t>lijekom</w:t>
            </w:r>
            <w:r w:rsidRPr="00C2143B">
              <w:rPr>
                <w:szCs w:val="22"/>
                <w:lang w:val="hr-HR"/>
              </w:rPr>
              <w:t xml:space="preserve"> Polivy treba obustaviti.</w:t>
            </w:r>
          </w:p>
          <w:p w:rsidR="00724B76" w:rsidRPr="00261E6C" w:rsidRDefault="00724B76" w:rsidP="00261E6C">
            <w:pPr>
              <w:jc w:val="both"/>
              <w:rPr>
                <w:rFonts w:eastAsia="SimSun"/>
                <w:sz w:val="22"/>
                <w:szCs w:val="22"/>
                <w:lang w:val="hr-HR"/>
              </w:rPr>
            </w:pPr>
          </w:p>
          <w:p w:rsidR="00724B76" w:rsidRPr="00261E6C" w:rsidRDefault="00724B76" w:rsidP="00261E6C">
            <w:pPr>
              <w:jc w:val="both"/>
              <w:rPr>
                <w:sz w:val="22"/>
                <w:szCs w:val="22"/>
                <w:lang w:val="hr-HR"/>
              </w:rPr>
            </w:pPr>
            <w:r w:rsidRPr="00261E6C">
              <w:rPr>
                <w:sz w:val="22"/>
                <w:szCs w:val="22"/>
                <w:lang w:val="hr-HR"/>
              </w:rPr>
              <w:t>U slučaju istovremene pojave senzorne i motorne neuropatije</w:t>
            </w:r>
            <w:r w:rsidR="00145B87" w:rsidRPr="00C2143B">
              <w:rPr>
                <w:sz w:val="22"/>
                <w:szCs w:val="22"/>
                <w:lang w:val="hr-HR"/>
              </w:rPr>
              <w:t>,</w:t>
            </w:r>
            <w:r w:rsidRPr="00261E6C">
              <w:rPr>
                <w:sz w:val="22"/>
                <w:szCs w:val="22"/>
                <w:lang w:val="hr-HR"/>
              </w:rPr>
              <w:t xml:space="preserve"> treba sl</w:t>
            </w:r>
            <w:r w:rsidR="00E26464" w:rsidRPr="00261E6C">
              <w:rPr>
                <w:sz w:val="22"/>
                <w:szCs w:val="22"/>
                <w:lang w:val="hr-HR"/>
              </w:rPr>
              <w:t>ij</w:t>
            </w:r>
            <w:r w:rsidRPr="00261E6C">
              <w:rPr>
                <w:sz w:val="22"/>
                <w:szCs w:val="22"/>
                <w:lang w:val="hr-HR"/>
              </w:rPr>
              <w:t>editi najstrož</w:t>
            </w:r>
            <w:r w:rsidR="00861E1D" w:rsidRPr="00C2143B">
              <w:rPr>
                <w:sz w:val="22"/>
                <w:szCs w:val="22"/>
                <w:lang w:val="hr-HR"/>
              </w:rPr>
              <w:t>ij</w:t>
            </w:r>
            <w:r w:rsidRPr="00261E6C">
              <w:rPr>
                <w:sz w:val="22"/>
                <w:szCs w:val="22"/>
                <w:lang w:val="hr-HR"/>
              </w:rPr>
              <w:t>u iznad navedenu preporuku.</w:t>
            </w:r>
          </w:p>
        </w:tc>
      </w:tr>
      <w:tr w:rsidR="00724B76" w:rsidRPr="00C2143B" w:rsidTr="00724B76">
        <w:trPr>
          <w:cantSplit/>
        </w:trPr>
        <w:tc>
          <w:tcPr>
            <w:tcW w:w="1304" w:type="dxa"/>
            <w:vMerge/>
          </w:tcPr>
          <w:p w:rsidR="00724B76" w:rsidRPr="00261E6C" w:rsidRDefault="00724B76" w:rsidP="00261E6C">
            <w:pPr>
              <w:jc w:val="both"/>
              <w:rPr>
                <w:sz w:val="22"/>
                <w:szCs w:val="22"/>
                <w:lang w:val="hr-HR"/>
              </w:rPr>
            </w:pPr>
          </w:p>
        </w:tc>
        <w:tc>
          <w:tcPr>
            <w:tcW w:w="2005" w:type="dxa"/>
            <w:shd w:val="clear" w:color="auto" w:fill="auto"/>
          </w:tcPr>
          <w:p w:rsidR="00724B76" w:rsidRPr="00261E6C" w:rsidRDefault="00724B76" w:rsidP="00261E6C">
            <w:pPr>
              <w:jc w:val="both"/>
              <w:rPr>
                <w:sz w:val="22"/>
                <w:szCs w:val="22"/>
                <w:lang w:val="hr-HR"/>
              </w:rPr>
            </w:pPr>
            <w:r w:rsidRPr="00261E6C">
              <w:rPr>
                <w:sz w:val="22"/>
                <w:szCs w:val="22"/>
                <w:lang w:val="hr-HR"/>
              </w:rPr>
              <w:t>Gradus 4</w:t>
            </w:r>
          </w:p>
        </w:tc>
        <w:tc>
          <w:tcPr>
            <w:tcW w:w="5783" w:type="dxa"/>
            <w:shd w:val="clear" w:color="auto" w:fill="auto"/>
          </w:tcPr>
          <w:p w:rsidR="00724B76" w:rsidRPr="00261E6C" w:rsidRDefault="00724B76" w:rsidP="00261E6C">
            <w:pPr>
              <w:jc w:val="both"/>
              <w:rPr>
                <w:sz w:val="22"/>
                <w:szCs w:val="22"/>
                <w:lang w:val="hr-HR"/>
              </w:rPr>
            </w:pPr>
            <w:r w:rsidRPr="00261E6C">
              <w:rPr>
                <w:sz w:val="22"/>
                <w:szCs w:val="22"/>
                <w:lang w:val="hr-HR"/>
              </w:rPr>
              <w:t xml:space="preserve">Obustaviti </w:t>
            </w:r>
            <w:r w:rsidR="00E26464" w:rsidRPr="00261E6C">
              <w:rPr>
                <w:sz w:val="22"/>
                <w:szCs w:val="22"/>
                <w:lang w:val="hr-HR"/>
              </w:rPr>
              <w:t>liječenje</w:t>
            </w:r>
            <w:r w:rsidRPr="00261E6C">
              <w:rPr>
                <w:sz w:val="22"/>
                <w:szCs w:val="22"/>
                <w:lang w:val="hr-HR"/>
              </w:rPr>
              <w:t xml:space="preserve"> </w:t>
            </w:r>
            <w:r w:rsidR="00E26464" w:rsidRPr="00261E6C">
              <w:rPr>
                <w:sz w:val="22"/>
                <w:szCs w:val="22"/>
                <w:lang w:val="hr-HR"/>
              </w:rPr>
              <w:t>lijekom</w:t>
            </w:r>
            <w:r w:rsidRPr="00261E6C">
              <w:rPr>
                <w:sz w:val="22"/>
                <w:szCs w:val="22"/>
                <w:lang w:val="hr-HR"/>
              </w:rPr>
              <w:t xml:space="preserve"> Polivy.</w:t>
            </w:r>
          </w:p>
        </w:tc>
      </w:tr>
      <w:tr w:rsidR="00724B76" w:rsidRPr="00261E6C" w:rsidTr="00724B76">
        <w:trPr>
          <w:cantSplit/>
        </w:trPr>
        <w:tc>
          <w:tcPr>
            <w:tcW w:w="1304" w:type="dxa"/>
            <w:vMerge w:val="restart"/>
          </w:tcPr>
          <w:p w:rsidR="00724B76" w:rsidRPr="00261E6C" w:rsidRDefault="00724B76" w:rsidP="00261E6C">
            <w:pPr>
              <w:jc w:val="both"/>
              <w:rPr>
                <w:sz w:val="22"/>
                <w:szCs w:val="22"/>
                <w:lang w:val="hr-HR"/>
              </w:rPr>
            </w:pPr>
            <w:r w:rsidRPr="00261E6C">
              <w:rPr>
                <w:sz w:val="22"/>
                <w:szCs w:val="22"/>
                <w:lang w:val="hr-HR"/>
              </w:rPr>
              <w:lastRenderedPageBreak/>
              <w:t xml:space="preserve">Relapsni/ refraktorni DBKL </w:t>
            </w:r>
          </w:p>
        </w:tc>
        <w:tc>
          <w:tcPr>
            <w:tcW w:w="2005" w:type="dxa"/>
            <w:shd w:val="clear" w:color="auto" w:fill="auto"/>
          </w:tcPr>
          <w:p w:rsidR="00724B76" w:rsidRPr="00261E6C" w:rsidRDefault="00724B76" w:rsidP="00261E6C">
            <w:pPr>
              <w:jc w:val="both"/>
              <w:rPr>
                <w:sz w:val="22"/>
                <w:szCs w:val="22"/>
                <w:lang w:val="hr-HR"/>
              </w:rPr>
            </w:pPr>
            <w:r w:rsidRPr="00261E6C">
              <w:rPr>
                <w:sz w:val="22"/>
                <w:szCs w:val="22"/>
                <w:lang w:val="hr-HR"/>
              </w:rPr>
              <w:t xml:space="preserve">Gradus 2-3 </w:t>
            </w:r>
          </w:p>
        </w:tc>
        <w:tc>
          <w:tcPr>
            <w:tcW w:w="5783" w:type="dxa"/>
            <w:shd w:val="clear" w:color="auto" w:fill="auto"/>
          </w:tcPr>
          <w:p w:rsidR="00724B76" w:rsidRPr="00261E6C" w:rsidRDefault="00724B76" w:rsidP="00261E6C">
            <w:pPr>
              <w:jc w:val="both"/>
              <w:rPr>
                <w:rFonts w:eastAsia="SimSun"/>
                <w:sz w:val="22"/>
                <w:szCs w:val="22"/>
                <w:lang w:val="hr-HR"/>
              </w:rPr>
            </w:pPr>
            <w:r w:rsidRPr="00261E6C">
              <w:rPr>
                <w:sz w:val="22"/>
                <w:szCs w:val="22"/>
                <w:lang w:val="hr-HR"/>
              </w:rPr>
              <w:t xml:space="preserve">Odložiti </w:t>
            </w:r>
            <w:r w:rsidR="00E26464" w:rsidRPr="00261E6C">
              <w:rPr>
                <w:sz w:val="22"/>
                <w:szCs w:val="22"/>
                <w:lang w:val="hr-HR"/>
              </w:rPr>
              <w:t>primjenu</w:t>
            </w:r>
            <w:r w:rsidRPr="00261E6C">
              <w:rPr>
                <w:sz w:val="22"/>
                <w:szCs w:val="22"/>
                <w:lang w:val="hr-HR"/>
              </w:rPr>
              <w:t xml:space="preserve"> </w:t>
            </w:r>
            <w:r w:rsidR="00E26464" w:rsidRPr="00261E6C">
              <w:rPr>
                <w:sz w:val="22"/>
                <w:szCs w:val="22"/>
                <w:lang w:val="hr-HR"/>
              </w:rPr>
              <w:t xml:space="preserve">lijeka </w:t>
            </w:r>
            <w:r w:rsidRPr="00261E6C">
              <w:rPr>
                <w:sz w:val="22"/>
                <w:szCs w:val="22"/>
                <w:lang w:val="hr-HR"/>
              </w:rPr>
              <w:t>Polivy dok se neželjeni događaj ne ublaži do ≤ </w:t>
            </w:r>
            <w:r w:rsidR="00E26464" w:rsidRPr="00261E6C">
              <w:rPr>
                <w:sz w:val="22"/>
                <w:szCs w:val="22"/>
                <w:lang w:val="hr-HR"/>
              </w:rPr>
              <w:t>gradusa 1</w:t>
            </w:r>
            <w:r w:rsidRPr="00261E6C">
              <w:rPr>
                <w:sz w:val="22"/>
                <w:szCs w:val="22"/>
                <w:lang w:val="hr-HR"/>
              </w:rPr>
              <w:t xml:space="preserve">. </w:t>
            </w:r>
          </w:p>
          <w:p w:rsidR="00724B76" w:rsidRPr="00261E6C" w:rsidRDefault="00724B76" w:rsidP="00261E6C">
            <w:pPr>
              <w:jc w:val="both"/>
              <w:rPr>
                <w:rFonts w:eastAsia="SimSun"/>
                <w:sz w:val="22"/>
                <w:szCs w:val="22"/>
                <w:lang w:val="hr-HR"/>
              </w:rPr>
            </w:pPr>
            <w:r w:rsidRPr="00261E6C">
              <w:rPr>
                <w:sz w:val="22"/>
                <w:szCs w:val="22"/>
                <w:lang w:val="hr-HR"/>
              </w:rPr>
              <w:t>Ako se neželjeni događaj ublaži do ≤ </w:t>
            </w:r>
            <w:r w:rsidR="00E26464" w:rsidRPr="00261E6C">
              <w:rPr>
                <w:sz w:val="22"/>
                <w:szCs w:val="22"/>
                <w:lang w:val="hr-HR"/>
              </w:rPr>
              <w:t>gradusa 1</w:t>
            </w:r>
            <w:r w:rsidRPr="00261E6C">
              <w:rPr>
                <w:sz w:val="22"/>
                <w:szCs w:val="22"/>
                <w:lang w:val="hr-HR"/>
              </w:rPr>
              <w:t xml:space="preserve"> unutar 14 dana, l</w:t>
            </w:r>
            <w:r w:rsidR="00E26464" w:rsidRPr="00261E6C">
              <w:rPr>
                <w:sz w:val="22"/>
                <w:szCs w:val="22"/>
                <w:lang w:val="hr-HR"/>
              </w:rPr>
              <w:t>ij</w:t>
            </w:r>
            <w:r w:rsidRPr="00261E6C">
              <w:rPr>
                <w:sz w:val="22"/>
                <w:szCs w:val="22"/>
                <w:lang w:val="hr-HR"/>
              </w:rPr>
              <w:t xml:space="preserve">ek Polivy treba ponovno uvesti u trajno smanjenoj dozi od 1,4 mg/kg. </w:t>
            </w:r>
          </w:p>
          <w:p w:rsidR="00724B76" w:rsidRPr="00261E6C" w:rsidRDefault="00724B76" w:rsidP="00261E6C">
            <w:pPr>
              <w:jc w:val="both"/>
              <w:rPr>
                <w:rFonts w:eastAsia="SimSun"/>
                <w:sz w:val="22"/>
                <w:szCs w:val="22"/>
                <w:lang w:val="hr-HR"/>
              </w:rPr>
            </w:pPr>
            <w:r w:rsidRPr="00261E6C">
              <w:rPr>
                <w:sz w:val="22"/>
                <w:szCs w:val="22"/>
                <w:lang w:val="hr-HR"/>
              </w:rPr>
              <w:t xml:space="preserve">Ako je doza prethodno već smanjena na 1,4 mg/kg, </w:t>
            </w:r>
            <w:r w:rsidR="00E26464" w:rsidRPr="00261E6C">
              <w:rPr>
                <w:sz w:val="22"/>
                <w:szCs w:val="22"/>
                <w:lang w:val="hr-HR"/>
              </w:rPr>
              <w:t>liječenje</w:t>
            </w:r>
            <w:r w:rsidRPr="00261E6C">
              <w:rPr>
                <w:sz w:val="22"/>
                <w:szCs w:val="22"/>
                <w:lang w:val="hr-HR"/>
              </w:rPr>
              <w:t xml:space="preserve">  </w:t>
            </w:r>
            <w:r w:rsidR="00E26464" w:rsidRPr="00261E6C">
              <w:rPr>
                <w:sz w:val="22"/>
                <w:szCs w:val="22"/>
                <w:lang w:val="hr-HR"/>
              </w:rPr>
              <w:t>lijekom</w:t>
            </w:r>
            <w:r w:rsidRPr="00261E6C">
              <w:rPr>
                <w:sz w:val="22"/>
                <w:szCs w:val="22"/>
                <w:lang w:val="hr-HR"/>
              </w:rPr>
              <w:t xml:space="preserve"> Polivy treba obustaviti.</w:t>
            </w:r>
          </w:p>
          <w:p w:rsidR="00724B76" w:rsidRPr="00261E6C" w:rsidRDefault="00724B76" w:rsidP="00261E6C">
            <w:pPr>
              <w:jc w:val="both"/>
              <w:rPr>
                <w:sz w:val="22"/>
                <w:szCs w:val="22"/>
                <w:lang w:val="hr-HR"/>
              </w:rPr>
            </w:pPr>
            <w:r w:rsidRPr="00261E6C">
              <w:rPr>
                <w:sz w:val="22"/>
                <w:szCs w:val="22"/>
                <w:lang w:val="hr-HR"/>
              </w:rPr>
              <w:t>Ako se neželjeni događaj ne ublaži do ≤ 1. </w:t>
            </w:r>
            <w:r w:rsidR="00F55D0F" w:rsidRPr="00261E6C">
              <w:rPr>
                <w:sz w:val="22"/>
                <w:szCs w:val="22"/>
                <w:lang w:val="hr-HR"/>
              </w:rPr>
              <w:t>gradus</w:t>
            </w:r>
            <w:r w:rsidRPr="00261E6C">
              <w:rPr>
                <w:sz w:val="22"/>
                <w:szCs w:val="22"/>
                <w:lang w:val="hr-HR"/>
              </w:rPr>
              <w:t xml:space="preserve">a unutar 14 dana, </w:t>
            </w:r>
            <w:r w:rsidR="00E26464" w:rsidRPr="00261E6C">
              <w:rPr>
                <w:sz w:val="22"/>
                <w:szCs w:val="22"/>
                <w:lang w:val="hr-HR"/>
              </w:rPr>
              <w:t>liječenje</w:t>
            </w:r>
            <w:r w:rsidRPr="00261E6C">
              <w:rPr>
                <w:sz w:val="22"/>
                <w:szCs w:val="22"/>
                <w:lang w:val="hr-HR"/>
              </w:rPr>
              <w:t xml:space="preserve"> </w:t>
            </w:r>
            <w:r w:rsidR="00E26464" w:rsidRPr="00261E6C">
              <w:rPr>
                <w:sz w:val="22"/>
                <w:szCs w:val="22"/>
                <w:lang w:val="hr-HR"/>
              </w:rPr>
              <w:t>lijekom</w:t>
            </w:r>
            <w:r w:rsidRPr="00261E6C">
              <w:rPr>
                <w:sz w:val="22"/>
                <w:szCs w:val="22"/>
                <w:lang w:val="hr-HR"/>
              </w:rPr>
              <w:t xml:space="preserve"> Polivy treba obustaviti.</w:t>
            </w:r>
          </w:p>
        </w:tc>
      </w:tr>
      <w:tr w:rsidR="00724B76" w:rsidRPr="00C2143B" w:rsidTr="00724B76">
        <w:trPr>
          <w:cantSplit/>
        </w:trPr>
        <w:tc>
          <w:tcPr>
            <w:tcW w:w="1304" w:type="dxa"/>
            <w:vMerge/>
          </w:tcPr>
          <w:p w:rsidR="00724B76" w:rsidRPr="00261E6C" w:rsidRDefault="00724B76" w:rsidP="00261E6C">
            <w:pPr>
              <w:jc w:val="both"/>
              <w:rPr>
                <w:sz w:val="22"/>
                <w:szCs w:val="22"/>
                <w:lang w:val="hr-HR"/>
              </w:rPr>
            </w:pPr>
          </w:p>
        </w:tc>
        <w:tc>
          <w:tcPr>
            <w:tcW w:w="2005" w:type="dxa"/>
            <w:shd w:val="clear" w:color="auto" w:fill="auto"/>
          </w:tcPr>
          <w:p w:rsidR="00724B76" w:rsidRPr="00261E6C" w:rsidRDefault="00724B76" w:rsidP="00261E6C">
            <w:pPr>
              <w:jc w:val="both"/>
              <w:rPr>
                <w:sz w:val="22"/>
                <w:szCs w:val="22"/>
                <w:lang w:val="hr-HR"/>
              </w:rPr>
            </w:pPr>
            <w:r w:rsidRPr="00261E6C">
              <w:rPr>
                <w:sz w:val="22"/>
                <w:szCs w:val="22"/>
                <w:lang w:val="hr-HR"/>
              </w:rPr>
              <w:t>Gradus 4</w:t>
            </w:r>
          </w:p>
        </w:tc>
        <w:tc>
          <w:tcPr>
            <w:tcW w:w="5783" w:type="dxa"/>
            <w:shd w:val="clear" w:color="auto" w:fill="auto"/>
          </w:tcPr>
          <w:p w:rsidR="00724B76" w:rsidRPr="00261E6C" w:rsidRDefault="00724B76" w:rsidP="00261E6C">
            <w:pPr>
              <w:jc w:val="both"/>
              <w:rPr>
                <w:sz w:val="22"/>
                <w:szCs w:val="22"/>
                <w:lang w:val="hr-HR"/>
              </w:rPr>
            </w:pPr>
            <w:r w:rsidRPr="00261E6C">
              <w:rPr>
                <w:sz w:val="22"/>
                <w:szCs w:val="22"/>
                <w:lang w:val="hr-HR"/>
              </w:rPr>
              <w:t xml:space="preserve">Obustaviti </w:t>
            </w:r>
            <w:r w:rsidR="00E26464" w:rsidRPr="00261E6C">
              <w:rPr>
                <w:sz w:val="22"/>
                <w:szCs w:val="22"/>
                <w:lang w:val="hr-HR"/>
              </w:rPr>
              <w:t>liječenje</w:t>
            </w:r>
            <w:r w:rsidRPr="00261E6C">
              <w:rPr>
                <w:sz w:val="22"/>
                <w:szCs w:val="22"/>
                <w:lang w:val="hr-HR"/>
              </w:rPr>
              <w:t xml:space="preserve"> </w:t>
            </w:r>
            <w:r w:rsidR="00E26464" w:rsidRPr="00261E6C">
              <w:rPr>
                <w:sz w:val="22"/>
                <w:szCs w:val="22"/>
                <w:lang w:val="hr-HR"/>
              </w:rPr>
              <w:t>lijekom</w:t>
            </w:r>
            <w:r w:rsidRPr="00261E6C">
              <w:rPr>
                <w:sz w:val="22"/>
                <w:szCs w:val="22"/>
                <w:lang w:val="hr-HR"/>
              </w:rPr>
              <w:t xml:space="preserve"> Polivy.</w:t>
            </w:r>
          </w:p>
        </w:tc>
      </w:tr>
    </w:tbl>
    <w:p w:rsidR="00724B76" w:rsidRPr="00C2143B" w:rsidRDefault="00724B76" w:rsidP="00E4155A">
      <w:pPr>
        <w:widowControl w:val="0"/>
        <w:autoSpaceDE w:val="0"/>
        <w:autoSpaceDN w:val="0"/>
        <w:jc w:val="both"/>
        <w:outlineLvl w:val="0"/>
        <w:rPr>
          <w:b/>
          <w:bCs/>
          <w:sz w:val="22"/>
          <w:szCs w:val="22"/>
          <w:lang w:val="sr-Latn-RS" w:bidi="en-US"/>
        </w:rPr>
      </w:pPr>
    </w:p>
    <w:p w:rsidR="00861E1D" w:rsidRPr="00261E6C" w:rsidRDefault="00861E1D" w:rsidP="00E4155A">
      <w:pPr>
        <w:widowControl w:val="0"/>
        <w:autoSpaceDE w:val="0"/>
        <w:autoSpaceDN w:val="0"/>
        <w:jc w:val="both"/>
        <w:outlineLvl w:val="0"/>
        <w:rPr>
          <w:b/>
          <w:bCs/>
          <w:sz w:val="22"/>
          <w:szCs w:val="22"/>
          <w:vertAlign w:val="superscript"/>
          <w:lang w:val="sr-Latn-RS" w:bidi="en-US"/>
        </w:rPr>
      </w:pPr>
      <w:r w:rsidRPr="00261E6C">
        <w:rPr>
          <w:bCs/>
          <w:sz w:val="22"/>
          <w:szCs w:val="22"/>
          <w:vertAlign w:val="superscript"/>
          <w:lang w:val="sr-Latn-RS" w:bidi="en-US"/>
        </w:rPr>
        <w:t xml:space="preserve">a  </w:t>
      </w:r>
      <w:r w:rsidRPr="00261E6C">
        <w:rPr>
          <w:bCs/>
          <w:sz w:val="22"/>
          <w:szCs w:val="22"/>
          <w:lang w:val="sr-Latn-RS" w:bidi="en-US"/>
        </w:rPr>
        <w:t>Može se nastaviti sa primjenom R-CHP</w:t>
      </w:r>
    </w:p>
    <w:p w:rsidR="005612C5" w:rsidRPr="00261E6C" w:rsidRDefault="005612C5" w:rsidP="00E4155A">
      <w:pPr>
        <w:widowControl w:val="0"/>
        <w:autoSpaceDE w:val="0"/>
        <w:autoSpaceDN w:val="0"/>
        <w:spacing w:before="4"/>
        <w:jc w:val="both"/>
        <w:rPr>
          <w:b/>
          <w:sz w:val="22"/>
          <w:szCs w:val="22"/>
          <w:lang w:val="sr-Latn-RS" w:bidi="en-US"/>
        </w:rPr>
      </w:pPr>
    </w:p>
    <w:p w:rsidR="005612C5" w:rsidRPr="00261E6C" w:rsidRDefault="005612C5" w:rsidP="00E4155A">
      <w:pPr>
        <w:widowControl w:val="0"/>
        <w:autoSpaceDE w:val="0"/>
        <w:autoSpaceDN w:val="0"/>
        <w:jc w:val="both"/>
        <w:rPr>
          <w:sz w:val="22"/>
          <w:szCs w:val="22"/>
          <w:lang w:val="sr-Latn-RS" w:bidi="en-US"/>
        </w:rPr>
      </w:pPr>
      <w:r w:rsidRPr="00261E6C">
        <w:rPr>
          <w:sz w:val="22"/>
          <w:szCs w:val="22"/>
          <w:lang w:val="sr-Latn-RS" w:bidi="en-US"/>
        </w:rPr>
        <w:t xml:space="preserve">Za prilagođavanje doze </w:t>
      </w:r>
      <w:r w:rsidR="00724B76" w:rsidRPr="00261E6C">
        <w:rPr>
          <w:sz w:val="22"/>
          <w:szCs w:val="22"/>
          <w:lang w:val="sr-Latn-RS" w:bidi="en-US"/>
        </w:rPr>
        <w:t xml:space="preserve">radi zbrinjavanja </w:t>
      </w:r>
      <w:r w:rsidRPr="00261E6C">
        <w:rPr>
          <w:sz w:val="22"/>
          <w:szCs w:val="22"/>
          <w:lang w:val="sr-Latn-RS" w:bidi="en-US"/>
        </w:rPr>
        <w:t>mijelosupresije</w:t>
      </w:r>
      <w:r w:rsidR="00724B76" w:rsidRPr="00261E6C">
        <w:rPr>
          <w:sz w:val="22"/>
          <w:szCs w:val="22"/>
          <w:lang w:val="sr-Latn-RS" w:bidi="en-US"/>
        </w:rPr>
        <w:t xml:space="preserve"> (dio 4.4)</w:t>
      </w:r>
      <w:r w:rsidRPr="00261E6C">
        <w:rPr>
          <w:sz w:val="22"/>
          <w:szCs w:val="22"/>
          <w:lang w:val="sr-Latn-RS" w:bidi="en-US"/>
        </w:rPr>
        <w:t xml:space="preserve"> </w:t>
      </w:r>
      <w:r w:rsidR="000910FF" w:rsidRPr="00261E6C">
        <w:rPr>
          <w:sz w:val="22"/>
          <w:szCs w:val="22"/>
          <w:lang w:val="sr-Latn-RS" w:bidi="en-US"/>
        </w:rPr>
        <w:t>vidjeti</w:t>
      </w:r>
      <w:r w:rsidRPr="00261E6C">
        <w:rPr>
          <w:sz w:val="22"/>
          <w:szCs w:val="22"/>
          <w:lang w:val="sr-Latn-RS" w:bidi="en-US"/>
        </w:rPr>
        <w:t xml:space="preserve"> </w:t>
      </w:r>
      <w:r w:rsidR="00145B87" w:rsidRPr="00C2143B">
        <w:rPr>
          <w:sz w:val="22"/>
          <w:szCs w:val="22"/>
          <w:lang w:val="sr-Latn-RS" w:bidi="en-US"/>
        </w:rPr>
        <w:t>T</w:t>
      </w:r>
      <w:r w:rsidRPr="00261E6C">
        <w:rPr>
          <w:sz w:val="22"/>
          <w:szCs w:val="22"/>
          <w:lang w:val="sr-Latn-RS" w:bidi="en-US"/>
        </w:rPr>
        <w:t>abelu 2.</w:t>
      </w:r>
      <w:r w:rsidR="00724B76" w:rsidRPr="00261E6C">
        <w:rPr>
          <w:sz w:val="22"/>
          <w:szCs w:val="22"/>
          <w:lang w:val="sr-Latn-RS" w:bidi="en-US"/>
        </w:rPr>
        <w:t xml:space="preserve"> u nastavku</w:t>
      </w:r>
      <w:r w:rsidR="00145B87" w:rsidRPr="00C2143B">
        <w:rPr>
          <w:sz w:val="22"/>
          <w:szCs w:val="22"/>
          <w:lang w:val="sr-Latn-RS" w:bidi="en-US"/>
        </w:rPr>
        <w:t>.</w:t>
      </w:r>
    </w:p>
    <w:p w:rsidR="005612C5" w:rsidRPr="00261E6C" w:rsidRDefault="005612C5" w:rsidP="00433FEA">
      <w:pPr>
        <w:widowControl w:val="0"/>
        <w:autoSpaceDE w:val="0"/>
        <w:autoSpaceDN w:val="0"/>
        <w:spacing w:before="7"/>
        <w:jc w:val="both"/>
        <w:rPr>
          <w:sz w:val="22"/>
          <w:szCs w:val="22"/>
          <w:lang w:val="sr-Latn-RS" w:bidi="en-US"/>
        </w:rPr>
      </w:pPr>
    </w:p>
    <w:p w:rsidR="005612C5" w:rsidRPr="00261E6C" w:rsidRDefault="005612C5" w:rsidP="0015550A">
      <w:pPr>
        <w:widowControl w:val="0"/>
        <w:autoSpaceDE w:val="0"/>
        <w:autoSpaceDN w:val="0"/>
        <w:spacing w:before="1"/>
        <w:jc w:val="both"/>
        <w:outlineLvl w:val="0"/>
        <w:rPr>
          <w:b/>
          <w:bCs/>
          <w:sz w:val="22"/>
          <w:szCs w:val="22"/>
          <w:lang w:val="sr-Latn-RS" w:bidi="en-US"/>
        </w:rPr>
      </w:pPr>
      <w:r w:rsidRPr="00261E6C">
        <w:rPr>
          <w:b/>
          <w:bCs/>
          <w:sz w:val="22"/>
          <w:szCs w:val="22"/>
          <w:lang w:val="sr-Latn-RS" w:bidi="en-US"/>
        </w:rPr>
        <w:t>Tabela 2: Prilagođavanje doze l</w:t>
      </w:r>
      <w:r w:rsidR="00956FD7" w:rsidRPr="00261E6C">
        <w:rPr>
          <w:b/>
          <w:bCs/>
          <w:sz w:val="22"/>
          <w:szCs w:val="22"/>
          <w:lang w:val="sr-Latn-RS" w:bidi="en-US"/>
        </w:rPr>
        <w:t>ij</w:t>
      </w:r>
      <w:r w:rsidRPr="00261E6C">
        <w:rPr>
          <w:b/>
          <w:bCs/>
          <w:sz w:val="22"/>
          <w:szCs w:val="22"/>
          <w:lang w:val="sr-Latn-RS" w:bidi="en-US"/>
        </w:rPr>
        <w:t xml:space="preserve">eka Polivy, </w:t>
      </w:r>
      <w:r w:rsidR="003F5E5E" w:rsidRPr="00261E6C">
        <w:rPr>
          <w:b/>
          <w:bCs/>
          <w:sz w:val="22"/>
          <w:szCs w:val="22"/>
          <w:lang w:val="sr-Latn-RS" w:bidi="en-US"/>
        </w:rPr>
        <w:t xml:space="preserve">hemioterapije </w:t>
      </w:r>
      <w:r w:rsidRPr="00261E6C">
        <w:rPr>
          <w:b/>
          <w:bCs/>
          <w:sz w:val="22"/>
          <w:szCs w:val="22"/>
          <w:lang w:val="sr-Latn-RS" w:bidi="en-US"/>
        </w:rPr>
        <w:t>i rituksimaba kod mijelosupresije</w:t>
      </w:r>
    </w:p>
    <w:p w:rsidR="00724B76" w:rsidRPr="00261E6C" w:rsidRDefault="00724B76">
      <w:pPr>
        <w:widowControl w:val="0"/>
        <w:autoSpaceDE w:val="0"/>
        <w:autoSpaceDN w:val="0"/>
        <w:spacing w:before="1"/>
        <w:jc w:val="both"/>
        <w:outlineLvl w:val="0"/>
        <w:rPr>
          <w:b/>
          <w:bCs/>
          <w:sz w:val="22"/>
          <w:szCs w:val="22"/>
          <w:lang w:val="sr-Latn-RS" w:bidi="en-US"/>
        </w:rPr>
      </w:pPr>
    </w:p>
    <w:p w:rsidR="00724B76" w:rsidRPr="00261E6C" w:rsidRDefault="00724B76">
      <w:pPr>
        <w:widowControl w:val="0"/>
        <w:autoSpaceDE w:val="0"/>
        <w:autoSpaceDN w:val="0"/>
        <w:spacing w:before="1"/>
        <w:jc w:val="both"/>
        <w:outlineLvl w:val="0"/>
        <w:rPr>
          <w:b/>
          <w:bCs/>
          <w:sz w:val="22"/>
          <w:szCs w:val="22"/>
          <w:lang w:val="sr-Latn-RS" w:bidi="en-US"/>
        </w:rPr>
      </w:pPr>
    </w:p>
    <w:tbl>
      <w:tblPr>
        <w:tblW w:w="104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0"/>
        <w:gridCol w:w="2250"/>
        <w:gridCol w:w="6570"/>
      </w:tblGrid>
      <w:tr w:rsidR="00724B76" w:rsidRPr="00C2143B" w:rsidTr="00480E5E">
        <w:trPr>
          <w:trHeight w:val="757"/>
        </w:trPr>
        <w:tc>
          <w:tcPr>
            <w:tcW w:w="1610" w:type="dxa"/>
            <w:tcBorders>
              <w:top w:val="single" w:sz="4" w:space="0" w:color="000000"/>
              <w:left w:val="single" w:sz="4" w:space="0" w:color="000000"/>
              <w:bottom w:val="single" w:sz="4" w:space="0" w:color="000000"/>
              <w:right w:val="single" w:sz="4" w:space="0" w:color="000000"/>
            </w:tcBorders>
          </w:tcPr>
          <w:p w:rsidR="00724B76" w:rsidRPr="00261E6C" w:rsidRDefault="00724B76" w:rsidP="00261E6C">
            <w:pPr>
              <w:widowControl w:val="0"/>
              <w:autoSpaceDE w:val="0"/>
              <w:autoSpaceDN w:val="0"/>
              <w:spacing w:before="1"/>
              <w:ind w:left="144" w:right="144"/>
              <w:jc w:val="both"/>
              <w:rPr>
                <w:b/>
                <w:bCs/>
                <w:sz w:val="22"/>
                <w:szCs w:val="22"/>
                <w:lang w:val="sr-Latn-RS" w:bidi="en-US"/>
              </w:rPr>
            </w:pPr>
            <w:r w:rsidRPr="00261E6C">
              <w:rPr>
                <w:b/>
                <w:sz w:val="22"/>
                <w:szCs w:val="22"/>
                <w:lang w:val="hr-HR"/>
              </w:rPr>
              <w:t>Indikacija</w:t>
            </w:r>
          </w:p>
        </w:tc>
        <w:tc>
          <w:tcPr>
            <w:tcW w:w="2250" w:type="dxa"/>
            <w:tcBorders>
              <w:top w:val="single" w:sz="4" w:space="0" w:color="000000"/>
              <w:left w:val="single" w:sz="4" w:space="0" w:color="000000"/>
              <w:bottom w:val="single" w:sz="4" w:space="0" w:color="000000"/>
              <w:right w:val="single" w:sz="4" w:space="0" w:color="000000"/>
            </w:tcBorders>
            <w:hideMark/>
          </w:tcPr>
          <w:p w:rsidR="00724B76" w:rsidRPr="00261E6C" w:rsidRDefault="00F55D0F" w:rsidP="00261E6C">
            <w:pPr>
              <w:widowControl w:val="0"/>
              <w:autoSpaceDE w:val="0"/>
              <w:autoSpaceDN w:val="0"/>
              <w:spacing w:before="1"/>
              <w:ind w:left="144" w:right="144"/>
              <w:jc w:val="both"/>
              <w:rPr>
                <w:b/>
                <w:sz w:val="22"/>
                <w:szCs w:val="22"/>
                <w:lang w:val="sr-Latn-RS" w:bidi="en-US"/>
              </w:rPr>
            </w:pPr>
            <w:r w:rsidRPr="00261E6C">
              <w:rPr>
                <w:b/>
                <w:bCs/>
                <w:sz w:val="22"/>
                <w:szCs w:val="22"/>
                <w:lang w:val="sr-Latn-RS" w:bidi="en-US"/>
              </w:rPr>
              <w:t>Gradus</w:t>
            </w:r>
            <w:r w:rsidR="00724B76" w:rsidRPr="00261E6C">
              <w:rPr>
                <w:b/>
                <w:bCs/>
                <w:sz w:val="22"/>
                <w:szCs w:val="22"/>
                <w:lang w:val="sr-Latn-RS" w:bidi="en-US"/>
              </w:rPr>
              <w:t xml:space="preserve"> težine</w:t>
            </w:r>
          </w:p>
          <w:p w:rsidR="00724B76" w:rsidRPr="00261E6C" w:rsidRDefault="00724B76" w:rsidP="00261E6C">
            <w:pPr>
              <w:widowControl w:val="0"/>
              <w:autoSpaceDE w:val="0"/>
              <w:autoSpaceDN w:val="0"/>
              <w:spacing w:before="6"/>
              <w:ind w:left="144" w:right="144"/>
              <w:jc w:val="both"/>
              <w:rPr>
                <w:b/>
                <w:sz w:val="22"/>
                <w:szCs w:val="22"/>
                <w:lang w:val="sr-Latn-RS" w:bidi="en-US"/>
              </w:rPr>
            </w:pPr>
            <w:r w:rsidRPr="00261E6C">
              <w:rPr>
                <w:b/>
                <w:bCs/>
                <w:sz w:val="22"/>
                <w:szCs w:val="22"/>
                <w:lang w:val="sr-Latn-RS" w:bidi="en-US"/>
              </w:rPr>
              <w:t>mijelosupresije 1. dana bilo kog ciklusa</w:t>
            </w:r>
          </w:p>
        </w:tc>
        <w:tc>
          <w:tcPr>
            <w:tcW w:w="6570" w:type="dxa"/>
            <w:tcBorders>
              <w:top w:val="single" w:sz="4" w:space="0" w:color="000000"/>
              <w:left w:val="single" w:sz="4" w:space="0" w:color="000000"/>
              <w:bottom w:val="single" w:sz="4" w:space="0" w:color="000000"/>
              <w:right w:val="single" w:sz="4" w:space="0" w:color="000000"/>
            </w:tcBorders>
            <w:hideMark/>
          </w:tcPr>
          <w:p w:rsidR="00724B76" w:rsidRPr="00261E6C" w:rsidRDefault="00724B76" w:rsidP="00E4155A">
            <w:pPr>
              <w:widowControl w:val="0"/>
              <w:autoSpaceDE w:val="0"/>
              <w:autoSpaceDN w:val="0"/>
              <w:spacing w:before="240"/>
              <w:ind w:left="144"/>
              <w:jc w:val="both"/>
              <w:rPr>
                <w:b/>
                <w:sz w:val="22"/>
                <w:szCs w:val="22"/>
                <w:lang w:val="sr-Latn-RS" w:bidi="en-US"/>
              </w:rPr>
            </w:pPr>
            <w:r w:rsidRPr="00261E6C">
              <w:rPr>
                <w:b/>
                <w:bCs/>
                <w:sz w:val="22"/>
                <w:szCs w:val="22"/>
                <w:lang w:val="sr-Latn-RS" w:bidi="en-US"/>
              </w:rPr>
              <w:t>Prilagođavanje doze</w:t>
            </w:r>
            <w:r w:rsidRPr="00261E6C">
              <w:rPr>
                <w:b/>
                <w:bCs/>
                <w:sz w:val="22"/>
                <w:szCs w:val="22"/>
                <w:vertAlign w:val="superscript"/>
                <w:lang w:val="sr-Latn-RS" w:bidi="en-US"/>
              </w:rPr>
              <w:t>1</w:t>
            </w:r>
          </w:p>
        </w:tc>
      </w:tr>
      <w:tr w:rsidR="00861E1D" w:rsidRPr="00261E6C" w:rsidTr="00861E1D">
        <w:trPr>
          <w:trHeight w:val="2186"/>
        </w:trPr>
        <w:tc>
          <w:tcPr>
            <w:tcW w:w="1610" w:type="dxa"/>
            <w:vMerge w:val="restart"/>
            <w:tcBorders>
              <w:top w:val="single" w:sz="4" w:space="0" w:color="000000"/>
              <w:left w:val="single" w:sz="4" w:space="0" w:color="000000"/>
              <w:right w:val="single" w:sz="4" w:space="0" w:color="000000"/>
            </w:tcBorders>
          </w:tcPr>
          <w:p w:rsidR="00861E1D" w:rsidRPr="00261E6C" w:rsidRDefault="00861E1D" w:rsidP="00261E6C">
            <w:pPr>
              <w:widowControl w:val="0"/>
              <w:autoSpaceDE w:val="0"/>
              <w:autoSpaceDN w:val="0"/>
              <w:spacing w:before="960"/>
              <w:ind w:left="144" w:right="144"/>
              <w:jc w:val="both"/>
              <w:rPr>
                <w:sz w:val="22"/>
                <w:szCs w:val="22"/>
                <w:lang w:val="sr-Latn-RS" w:bidi="en-US"/>
              </w:rPr>
            </w:pPr>
            <w:r w:rsidRPr="00261E6C">
              <w:rPr>
                <w:sz w:val="22"/>
                <w:szCs w:val="22"/>
                <w:lang w:val="hr-HR"/>
              </w:rPr>
              <w:t xml:space="preserve">Prethodno neliječen DBKL </w:t>
            </w:r>
          </w:p>
        </w:tc>
        <w:tc>
          <w:tcPr>
            <w:tcW w:w="2250" w:type="dxa"/>
            <w:tcBorders>
              <w:top w:val="single" w:sz="4" w:space="0" w:color="000000"/>
              <w:left w:val="single" w:sz="4" w:space="0" w:color="000000"/>
              <w:bottom w:val="single" w:sz="4" w:space="0" w:color="000000"/>
              <w:right w:val="single" w:sz="4" w:space="0" w:color="000000"/>
            </w:tcBorders>
            <w:hideMark/>
          </w:tcPr>
          <w:p w:rsidR="00861E1D" w:rsidRPr="00261E6C" w:rsidRDefault="00861E1D" w:rsidP="00261E6C">
            <w:pPr>
              <w:widowControl w:val="0"/>
              <w:autoSpaceDE w:val="0"/>
              <w:autoSpaceDN w:val="0"/>
              <w:spacing w:before="960"/>
              <w:ind w:left="144" w:right="144"/>
              <w:jc w:val="both"/>
              <w:rPr>
                <w:sz w:val="22"/>
                <w:szCs w:val="22"/>
                <w:lang w:val="sr-Latn-RS" w:bidi="en-US"/>
              </w:rPr>
            </w:pPr>
            <w:r w:rsidRPr="00261E6C">
              <w:rPr>
                <w:sz w:val="22"/>
                <w:szCs w:val="22"/>
                <w:lang w:val="sr-Latn-RS" w:bidi="en-US"/>
              </w:rPr>
              <w:t>Neutropenija gradusa 3 - 4</w:t>
            </w:r>
          </w:p>
        </w:tc>
        <w:tc>
          <w:tcPr>
            <w:tcW w:w="6570" w:type="dxa"/>
            <w:tcBorders>
              <w:top w:val="single" w:sz="4" w:space="0" w:color="000000"/>
              <w:left w:val="single" w:sz="4" w:space="0" w:color="000000"/>
              <w:bottom w:val="single" w:sz="4" w:space="0" w:color="000000"/>
              <w:right w:val="single" w:sz="4" w:space="0" w:color="000000"/>
            </w:tcBorders>
            <w:hideMark/>
          </w:tcPr>
          <w:p w:rsidR="00861E1D" w:rsidRPr="00261E6C" w:rsidRDefault="00861E1D" w:rsidP="00261E6C">
            <w:pPr>
              <w:ind w:left="99" w:hanging="99"/>
              <w:jc w:val="both"/>
              <w:rPr>
                <w:sz w:val="22"/>
                <w:szCs w:val="22"/>
                <w:lang w:val="hr-HR"/>
              </w:rPr>
            </w:pPr>
            <w:r w:rsidRPr="00C2143B">
              <w:rPr>
                <w:sz w:val="22"/>
                <w:szCs w:val="22"/>
                <w:lang w:val="hr-HR"/>
              </w:rPr>
              <w:t xml:space="preserve"> </w:t>
            </w:r>
            <w:r w:rsidRPr="00261E6C">
              <w:rPr>
                <w:sz w:val="22"/>
                <w:szCs w:val="22"/>
                <w:lang w:val="hr-HR"/>
              </w:rPr>
              <w:t xml:space="preserve">Privremeno prekinuti primjenu svih ljekova </w:t>
            </w:r>
            <w:r w:rsidRPr="00261E6C">
              <w:rPr>
                <w:sz w:val="22"/>
                <w:szCs w:val="22"/>
                <w:lang w:val="sr-Latn-RS" w:bidi="en-US"/>
              </w:rPr>
              <w:t xml:space="preserve">dok ABN* ne poraste na &gt; </w:t>
            </w:r>
            <w:r w:rsidRPr="00C2143B">
              <w:rPr>
                <w:sz w:val="22"/>
                <w:szCs w:val="22"/>
                <w:lang w:val="sr-Latn-RS" w:bidi="en-US"/>
              </w:rPr>
              <w:t xml:space="preserve">    </w:t>
            </w:r>
            <w:r w:rsidRPr="00261E6C">
              <w:rPr>
                <w:sz w:val="22"/>
                <w:szCs w:val="22"/>
                <w:lang w:val="sr-Latn-RS" w:bidi="en-US"/>
              </w:rPr>
              <w:t>1000/</w:t>
            </w:r>
            <w:r w:rsidRPr="00261E6C">
              <w:rPr>
                <w:sz w:val="22"/>
                <w:szCs w:val="22"/>
                <w:lang w:val="hr-HR"/>
              </w:rPr>
              <w:t>µ</w:t>
            </w:r>
            <w:r w:rsidRPr="00C2143B">
              <w:rPr>
                <w:sz w:val="22"/>
                <w:szCs w:val="22"/>
                <w:lang w:val="hr-HR"/>
              </w:rPr>
              <w:t>l</w:t>
            </w:r>
            <w:r w:rsidRPr="00261E6C">
              <w:rPr>
                <w:sz w:val="22"/>
                <w:szCs w:val="22"/>
                <w:lang w:val="hr-HR"/>
              </w:rPr>
              <w:t>.</w:t>
            </w:r>
          </w:p>
          <w:p w:rsidR="00861E1D" w:rsidRPr="00261E6C" w:rsidRDefault="00861E1D" w:rsidP="00261E6C">
            <w:pPr>
              <w:ind w:left="99" w:hanging="99"/>
              <w:jc w:val="both"/>
              <w:rPr>
                <w:sz w:val="22"/>
                <w:szCs w:val="22"/>
                <w:lang w:val="hr-HR"/>
              </w:rPr>
            </w:pPr>
          </w:p>
          <w:p w:rsidR="00861E1D" w:rsidRPr="00261E6C" w:rsidRDefault="00861E1D" w:rsidP="00261E6C">
            <w:pPr>
              <w:keepLines/>
              <w:widowControl w:val="0"/>
              <w:autoSpaceDE w:val="0"/>
              <w:autoSpaceDN w:val="0"/>
              <w:ind w:left="99" w:right="144" w:hanging="99"/>
              <w:jc w:val="both"/>
              <w:rPr>
                <w:sz w:val="22"/>
                <w:szCs w:val="22"/>
                <w:lang w:val="sr-Latn-RS" w:bidi="en-US"/>
              </w:rPr>
            </w:pPr>
            <w:r w:rsidRPr="00C2143B">
              <w:rPr>
                <w:sz w:val="22"/>
                <w:szCs w:val="22"/>
                <w:lang w:val="sr-Latn-RS" w:bidi="en-US"/>
              </w:rPr>
              <w:t xml:space="preserve"> </w:t>
            </w:r>
            <w:r w:rsidRPr="00261E6C">
              <w:rPr>
                <w:sz w:val="22"/>
                <w:szCs w:val="22"/>
                <w:lang w:val="sr-Latn-RS" w:bidi="en-US"/>
              </w:rPr>
              <w:t>Ukoliko ABN poraste na &gt; 1000/</w:t>
            </w:r>
            <w:r w:rsidRPr="00261E6C">
              <w:rPr>
                <w:sz w:val="22"/>
                <w:szCs w:val="22"/>
                <w:lang w:val="hr-HR"/>
              </w:rPr>
              <w:t>µl</w:t>
            </w:r>
            <w:r w:rsidRPr="00261E6C">
              <w:rPr>
                <w:sz w:val="22"/>
                <w:szCs w:val="22"/>
                <w:lang w:val="sr-Latn-RS" w:bidi="en-US"/>
              </w:rPr>
              <w:t xml:space="preserve"> unutar 7. dana</w:t>
            </w:r>
            <w:r w:rsidRPr="00261E6C">
              <w:rPr>
                <w:sz w:val="22"/>
                <w:szCs w:val="22"/>
                <w:lang w:val="hr-HR"/>
              </w:rPr>
              <w:t xml:space="preserve">, </w:t>
            </w:r>
            <w:r w:rsidRPr="00261E6C">
              <w:rPr>
                <w:sz w:val="22"/>
                <w:szCs w:val="22"/>
                <w:lang w:val="sr-Latn-RS" w:bidi="en-US"/>
              </w:rPr>
              <w:t xml:space="preserve">treba nastaviti </w:t>
            </w:r>
            <w:r w:rsidRPr="00C2143B">
              <w:rPr>
                <w:sz w:val="22"/>
                <w:szCs w:val="22"/>
                <w:lang w:val="sr-Latn-RS" w:bidi="en-US"/>
              </w:rPr>
              <w:t xml:space="preserve">  </w:t>
            </w:r>
            <w:r w:rsidRPr="00261E6C">
              <w:rPr>
                <w:sz w:val="22"/>
                <w:szCs w:val="22"/>
                <w:lang w:val="sr-Latn-RS" w:bidi="en-US"/>
              </w:rPr>
              <w:t>kompletnu terapiju bez dodatnih smanjenja doze.</w:t>
            </w:r>
          </w:p>
          <w:p w:rsidR="00861E1D" w:rsidRPr="00261E6C" w:rsidRDefault="00861E1D" w:rsidP="00261E6C">
            <w:pPr>
              <w:ind w:left="99" w:hanging="99"/>
              <w:jc w:val="both"/>
              <w:rPr>
                <w:sz w:val="22"/>
                <w:szCs w:val="22"/>
                <w:lang w:val="hr-HR"/>
              </w:rPr>
            </w:pPr>
            <w:r w:rsidRPr="00C2143B">
              <w:rPr>
                <w:sz w:val="22"/>
                <w:szCs w:val="22"/>
                <w:lang w:val="sr-Latn-RS" w:bidi="en-US"/>
              </w:rPr>
              <w:t xml:space="preserve"> </w:t>
            </w:r>
            <w:r w:rsidRPr="00261E6C">
              <w:rPr>
                <w:sz w:val="22"/>
                <w:szCs w:val="22"/>
                <w:lang w:val="sr-Latn-RS" w:bidi="en-US"/>
              </w:rPr>
              <w:t>Ukoliko ABN</w:t>
            </w:r>
            <w:r w:rsidRPr="00261E6C">
              <w:rPr>
                <w:sz w:val="22"/>
                <w:szCs w:val="22"/>
                <w:lang w:val="hr-HR"/>
              </w:rPr>
              <w:t xml:space="preserve"> poraste na &gt; 1000/µl nakon 7. dana:</w:t>
            </w:r>
          </w:p>
          <w:p w:rsidR="00861E1D" w:rsidRPr="00C2143B" w:rsidRDefault="00861E1D" w:rsidP="00822662">
            <w:pPr>
              <w:pStyle w:val="ListParagraph"/>
              <w:ind w:left="525" w:hanging="357"/>
              <w:rPr>
                <w:szCs w:val="22"/>
                <w:lang w:val="hr-HR"/>
              </w:rPr>
            </w:pPr>
            <w:r w:rsidRPr="00C2143B">
              <w:rPr>
                <w:szCs w:val="22"/>
                <w:lang w:val="hr-HR"/>
              </w:rPr>
              <w:sym w:font="Symbol" w:char="F0B7"/>
            </w:r>
            <w:r w:rsidRPr="00C2143B">
              <w:rPr>
                <w:szCs w:val="22"/>
                <w:lang w:val="hr-HR"/>
              </w:rPr>
              <w:tab/>
              <w:t xml:space="preserve">    treba nastaviti kompletnu terapiju; treba razmotriti smanjenje doze ciklofosfamida i/ili doksorubicina za 25 </w:t>
            </w:r>
            <w:r w:rsidRPr="00C2143B">
              <w:rPr>
                <w:szCs w:val="22"/>
                <w:lang w:val="hr-HR"/>
              </w:rPr>
              <w:noBreakHyphen/>
              <w:t> 50%</w:t>
            </w:r>
          </w:p>
          <w:p w:rsidR="00861E1D" w:rsidRPr="00C2143B" w:rsidRDefault="00861E1D" w:rsidP="00822662">
            <w:pPr>
              <w:pStyle w:val="ListParagraph"/>
              <w:ind w:left="525" w:hanging="332"/>
              <w:rPr>
                <w:szCs w:val="22"/>
                <w:lang w:val="hr-HR"/>
              </w:rPr>
            </w:pPr>
            <w:r w:rsidRPr="00C2143B">
              <w:rPr>
                <w:szCs w:val="22"/>
                <w:lang w:val="hr-HR"/>
              </w:rPr>
              <w:sym w:font="Symbol" w:char="F0B7"/>
            </w:r>
            <w:r w:rsidRPr="00C2143B">
              <w:rPr>
                <w:szCs w:val="22"/>
                <w:lang w:val="hr-HR"/>
              </w:rPr>
              <w:t xml:space="preserve">     ako je doza ciklofosfamida i/ili doksorubicina već smanjena za 25%, treba razmotriti smanjenje doze jednog ili oba lijeka za 50%.</w:t>
            </w:r>
          </w:p>
          <w:p w:rsidR="00861E1D" w:rsidRPr="00261E6C" w:rsidRDefault="00861E1D" w:rsidP="00E4155A">
            <w:pPr>
              <w:pStyle w:val="ListParagraph"/>
              <w:widowControl w:val="0"/>
              <w:tabs>
                <w:tab w:val="clear" w:pos="284"/>
                <w:tab w:val="left" w:pos="826"/>
              </w:tabs>
              <w:autoSpaceDE w:val="0"/>
              <w:autoSpaceDN w:val="0"/>
              <w:spacing w:before="1"/>
              <w:ind w:left="503" w:right="144"/>
              <w:rPr>
                <w:szCs w:val="22"/>
                <w:lang w:val="sr-Latn-RS" w:bidi="en-US"/>
              </w:rPr>
            </w:pPr>
          </w:p>
        </w:tc>
      </w:tr>
      <w:tr w:rsidR="00861E1D" w:rsidRPr="00261E6C" w:rsidTr="00861E1D">
        <w:trPr>
          <w:trHeight w:val="345"/>
        </w:trPr>
        <w:tc>
          <w:tcPr>
            <w:tcW w:w="1610" w:type="dxa"/>
            <w:vMerge/>
            <w:tcBorders>
              <w:left w:val="single" w:sz="4" w:space="0" w:color="000000"/>
              <w:bottom w:val="single" w:sz="4" w:space="0" w:color="000000"/>
              <w:right w:val="single" w:sz="4" w:space="0" w:color="000000"/>
            </w:tcBorders>
          </w:tcPr>
          <w:p w:rsidR="00861E1D" w:rsidRPr="00261E6C" w:rsidRDefault="00861E1D" w:rsidP="00261E6C">
            <w:pPr>
              <w:widowControl w:val="0"/>
              <w:autoSpaceDE w:val="0"/>
              <w:autoSpaceDN w:val="0"/>
              <w:spacing w:before="960"/>
              <w:ind w:left="144" w:right="144"/>
              <w:jc w:val="both"/>
              <w:rPr>
                <w:sz w:val="22"/>
                <w:szCs w:val="22"/>
                <w:lang w:val="sr-Latn-RS" w:bidi="en-US"/>
              </w:rPr>
            </w:pPr>
          </w:p>
        </w:tc>
        <w:tc>
          <w:tcPr>
            <w:tcW w:w="2250" w:type="dxa"/>
            <w:tcBorders>
              <w:top w:val="single" w:sz="4" w:space="0" w:color="000000"/>
              <w:left w:val="single" w:sz="4" w:space="0" w:color="000000"/>
              <w:bottom w:val="single" w:sz="4" w:space="0" w:color="000000"/>
              <w:right w:val="single" w:sz="4" w:space="0" w:color="000000"/>
            </w:tcBorders>
            <w:hideMark/>
          </w:tcPr>
          <w:p w:rsidR="00861E1D" w:rsidRPr="00261E6C" w:rsidRDefault="00861E1D" w:rsidP="00261E6C">
            <w:pPr>
              <w:widowControl w:val="0"/>
              <w:autoSpaceDE w:val="0"/>
              <w:autoSpaceDN w:val="0"/>
              <w:spacing w:before="960"/>
              <w:ind w:left="144" w:right="144"/>
              <w:jc w:val="both"/>
              <w:rPr>
                <w:sz w:val="22"/>
                <w:szCs w:val="22"/>
                <w:lang w:val="sr-Latn-RS" w:bidi="en-US"/>
              </w:rPr>
            </w:pPr>
            <w:r w:rsidRPr="00261E6C">
              <w:rPr>
                <w:sz w:val="22"/>
                <w:szCs w:val="22"/>
                <w:lang w:val="sr-Latn-RS" w:bidi="en-US"/>
              </w:rPr>
              <w:t>Trombocitopenija gradusa 3 - 4</w:t>
            </w:r>
          </w:p>
        </w:tc>
        <w:tc>
          <w:tcPr>
            <w:tcW w:w="6570" w:type="dxa"/>
            <w:tcBorders>
              <w:top w:val="single" w:sz="4" w:space="0" w:color="000000"/>
              <w:left w:val="single" w:sz="4" w:space="0" w:color="000000"/>
              <w:bottom w:val="single" w:sz="4" w:space="0" w:color="000000"/>
              <w:right w:val="single" w:sz="4" w:space="0" w:color="000000"/>
            </w:tcBorders>
            <w:hideMark/>
          </w:tcPr>
          <w:p w:rsidR="00861E1D" w:rsidRPr="00261E6C" w:rsidRDefault="00861E1D" w:rsidP="00261E6C">
            <w:pPr>
              <w:keepLines/>
              <w:widowControl w:val="0"/>
              <w:autoSpaceDE w:val="0"/>
              <w:autoSpaceDN w:val="0"/>
              <w:spacing w:line="249" w:lineRule="exact"/>
              <w:ind w:left="99" w:right="144"/>
              <w:jc w:val="both"/>
              <w:rPr>
                <w:sz w:val="22"/>
                <w:szCs w:val="22"/>
                <w:lang w:val="sr-Latn-RS" w:bidi="en-US"/>
              </w:rPr>
            </w:pPr>
            <w:r w:rsidRPr="00261E6C">
              <w:rPr>
                <w:sz w:val="22"/>
                <w:szCs w:val="22"/>
                <w:lang w:val="sr-Latn-RS" w:bidi="en-US"/>
              </w:rPr>
              <w:t>Privremeno prekinuti</w:t>
            </w:r>
            <w:r w:rsidRPr="00261E6C">
              <w:rPr>
                <w:sz w:val="22"/>
                <w:szCs w:val="22"/>
                <w:lang w:val="hr-HR"/>
              </w:rPr>
              <w:t xml:space="preserve"> primjenu svih ljekova </w:t>
            </w:r>
            <w:r w:rsidRPr="00261E6C">
              <w:rPr>
                <w:sz w:val="22"/>
                <w:szCs w:val="22"/>
                <w:lang w:val="sr-Latn-RS" w:bidi="en-US"/>
              </w:rPr>
              <w:t xml:space="preserve">dok broj trombocita ne </w:t>
            </w:r>
            <w:r w:rsidRPr="00C2143B">
              <w:rPr>
                <w:sz w:val="22"/>
                <w:szCs w:val="22"/>
                <w:lang w:val="sr-Latn-RS" w:bidi="en-US"/>
              </w:rPr>
              <w:t xml:space="preserve">  </w:t>
            </w:r>
            <w:r w:rsidRPr="00261E6C">
              <w:rPr>
                <w:sz w:val="22"/>
                <w:szCs w:val="22"/>
                <w:lang w:val="sr-Latn-RS" w:bidi="en-US"/>
              </w:rPr>
              <w:t>poraste na &gt; 75.000/µl.</w:t>
            </w:r>
          </w:p>
          <w:p w:rsidR="00861E1D" w:rsidRPr="00261E6C" w:rsidRDefault="00861E1D" w:rsidP="00AF3E2C">
            <w:pPr>
              <w:keepLines/>
              <w:widowControl w:val="0"/>
              <w:autoSpaceDE w:val="0"/>
              <w:autoSpaceDN w:val="0"/>
              <w:spacing w:line="249" w:lineRule="exact"/>
              <w:ind w:left="99" w:right="144"/>
              <w:jc w:val="both"/>
              <w:rPr>
                <w:sz w:val="22"/>
                <w:szCs w:val="22"/>
                <w:lang w:val="sr-Latn-RS" w:bidi="en-US"/>
              </w:rPr>
            </w:pPr>
          </w:p>
          <w:p w:rsidR="00861E1D" w:rsidRPr="00261E6C" w:rsidRDefault="00861E1D" w:rsidP="00261E6C">
            <w:pPr>
              <w:keepLines/>
              <w:widowControl w:val="0"/>
              <w:autoSpaceDE w:val="0"/>
              <w:autoSpaceDN w:val="0"/>
              <w:ind w:left="99" w:right="144"/>
              <w:jc w:val="both"/>
              <w:rPr>
                <w:sz w:val="22"/>
                <w:szCs w:val="22"/>
                <w:lang w:val="hr-HR"/>
              </w:rPr>
            </w:pPr>
            <w:r w:rsidRPr="00261E6C">
              <w:rPr>
                <w:sz w:val="22"/>
                <w:szCs w:val="22"/>
                <w:lang w:val="hr-HR"/>
              </w:rPr>
              <w:t>Ukoliko broj trombocita poraste na  &gt;75.000/µl 7. dana ili pr</w:t>
            </w:r>
            <w:r w:rsidRPr="00C2143B">
              <w:rPr>
                <w:sz w:val="22"/>
                <w:szCs w:val="22"/>
                <w:lang w:val="hr-HR"/>
              </w:rPr>
              <w:t>ij</w:t>
            </w:r>
            <w:r w:rsidRPr="00261E6C">
              <w:rPr>
                <w:sz w:val="22"/>
                <w:szCs w:val="22"/>
                <w:lang w:val="hr-HR"/>
              </w:rPr>
              <w:t xml:space="preserve">e toga, </w:t>
            </w:r>
            <w:r w:rsidRPr="00261E6C">
              <w:rPr>
                <w:sz w:val="22"/>
                <w:szCs w:val="22"/>
                <w:lang w:val="sr-Latn-RS" w:bidi="en-US"/>
              </w:rPr>
              <w:t>treba nastaviti kompletnu terapiju bez dodatnih smanjenja doze</w:t>
            </w:r>
            <w:r w:rsidRPr="00261E6C">
              <w:rPr>
                <w:sz w:val="22"/>
                <w:szCs w:val="22"/>
                <w:lang w:val="hr-HR"/>
              </w:rPr>
              <w:t>.</w:t>
            </w:r>
          </w:p>
          <w:p w:rsidR="00861E1D" w:rsidRPr="00261E6C" w:rsidRDefault="00861E1D" w:rsidP="00AF3E2C">
            <w:pPr>
              <w:keepLines/>
              <w:widowControl w:val="0"/>
              <w:autoSpaceDE w:val="0"/>
              <w:autoSpaceDN w:val="0"/>
              <w:ind w:left="99" w:right="144"/>
              <w:jc w:val="both"/>
              <w:rPr>
                <w:sz w:val="22"/>
                <w:szCs w:val="22"/>
                <w:lang w:val="sr-Latn-RS" w:bidi="en-US"/>
              </w:rPr>
            </w:pPr>
          </w:p>
          <w:p w:rsidR="00861E1D" w:rsidRPr="00261E6C" w:rsidRDefault="00861E1D" w:rsidP="00261E6C">
            <w:pPr>
              <w:ind w:left="99"/>
              <w:jc w:val="both"/>
              <w:rPr>
                <w:sz w:val="22"/>
                <w:szCs w:val="22"/>
                <w:lang w:val="hr-HR"/>
              </w:rPr>
            </w:pPr>
            <w:r w:rsidRPr="00C2143B">
              <w:rPr>
                <w:sz w:val="22"/>
                <w:szCs w:val="22"/>
                <w:lang w:val="hr-HR"/>
              </w:rPr>
              <w:t xml:space="preserve"> </w:t>
            </w:r>
            <w:r w:rsidRPr="00261E6C">
              <w:rPr>
                <w:sz w:val="22"/>
                <w:szCs w:val="22"/>
                <w:lang w:val="hr-HR"/>
              </w:rPr>
              <w:t>Ako broj trombocita poraste na &gt; </w:t>
            </w:r>
            <w:r w:rsidRPr="00261E6C">
              <w:rPr>
                <w:sz w:val="22"/>
                <w:szCs w:val="22"/>
                <w:lang w:val="sr-Latn-RS"/>
              </w:rPr>
              <w:t>75 000/µl</w:t>
            </w:r>
            <w:r w:rsidRPr="00261E6C" w:rsidDel="000848D8">
              <w:rPr>
                <w:sz w:val="22"/>
                <w:szCs w:val="22"/>
                <w:lang w:val="hr-HR"/>
              </w:rPr>
              <w:t xml:space="preserve"> </w:t>
            </w:r>
            <w:r w:rsidRPr="00261E6C">
              <w:rPr>
                <w:sz w:val="22"/>
                <w:szCs w:val="22"/>
                <w:lang w:val="hr-HR"/>
              </w:rPr>
              <w:t>nakon 7. dana:</w:t>
            </w:r>
          </w:p>
          <w:p w:rsidR="00861E1D" w:rsidRPr="00C2143B" w:rsidRDefault="00861E1D" w:rsidP="00822662">
            <w:pPr>
              <w:pStyle w:val="ListParagraph"/>
              <w:ind w:left="525" w:hanging="357"/>
              <w:rPr>
                <w:szCs w:val="22"/>
                <w:lang w:val="hr-HR"/>
              </w:rPr>
            </w:pPr>
            <w:r w:rsidRPr="00C2143B">
              <w:rPr>
                <w:szCs w:val="22"/>
                <w:lang w:val="hr-HR"/>
              </w:rPr>
              <w:sym w:font="Symbol" w:char="F0B7"/>
            </w:r>
            <w:r w:rsidRPr="00C2143B">
              <w:rPr>
                <w:szCs w:val="22"/>
                <w:lang w:val="hr-HR"/>
              </w:rPr>
              <w:tab/>
              <w:t xml:space="preserve">    treba nastaviti primjenu svih ljekova; treba razmotriti smanjenje doze ciklofosfamida i/ili doksorubicina za 25 </w:t>
            </w:r>
            <w:r w:rsidRPr="00C2143B">
              <w:rPr>
                <w:szCs w:val="22"/>
                <w:lang w:val="hr-HR"/>
              </w:rPr>
              <w:noBreakHyphen/>
              <w:t> 50%</w:t>
            </w:r>
          </w:p>
          <w:p w:rsidR="00861E1D" w:rsidRPr="00C2143B" w:rsidRDefault="00861E1D" w:rsidP="00822662">
            <w:pPr>
              <w:pStyle w:val="ListParagraph"/>
              <w:tabs>
                <w:tab w:val="clear" w:pos="284"/>
                <w:tab w:val="left" w:pos="241"/>
              </w:tabs>
              <w:ind w:left="525" w:hanging="309"/>
              <w:rPr>
                <w:szCs w:val="22"/>
                <w:lang w:val="hr-HR"/>
              </w:rPr>
            </w:pPr>
            <w:r w:rsidRPr="00C2143B">
              <w:rPr>
                <w:szCs w:val="22"/>
                <w:lang w:val="hr-HR"/>
              </w:rPr>
              <w:sym w:font="Symbol" w:char="F0B7"/>
            </w:r>
            <w:r w:rsidRPr="00C2143B">
              <w:rPr>
                <w:szCs w:val="22"/>
                <w:lang w:val="hr-HR"/>
              </w:rPr>
              <w:tab/>
              <w:t>ako je doza ciklofosfamida i/ili doksorubicina već smanjena za 25%, treba razmotriti smanjenje doze jednog ili oba lijeka za 50%.</w:t>
            </w:r>
          </w:p>
          <w:p w:rsidR="00861E1D" w:rsidRPr="00C2143B" w:rsidRDefault="00861E1D" w:rsidP="00E4155A">
            <w:pPr>
              <w:pStyle w:val="ListParagraph"/>
              <w:ind w:left="714" w:hanging="357"/>
              <w:rPr>
                <w:szCs w:val="22"/>
                <w:lang w:val="hr-HR"/>
              </w:rPr>
            </w:pPr>
          </w:p>
          <w:p w:rsidR="00861E1D" w:rsidRPr="00261E6C" w:rsidRDefault="00861E1D" w:rsidP="00E4155A">
            <w:pPr>
              <w:widowControl w:val="0"/>
              <w:numPr>
                <w:ilvl w:val="0"/>
                <w:numId w:val="12"/>
              </w:numPr>
              <w:tabs>
                <w:tab w:val="left" w:pos="826"/>
              </w:tabs>
              <w:autoSpaceDE w:val="0"/>
              <w:autoSpaceDN w:val="0"/>
              <w:spacing w:before="1"/>
              <w:ind w:left="144" w:right="144"/>
              <w:jc w:val="both"/>
              <w:rPr>
                <w:sz w:val="22"/>
                <w:szCs w:val="22"/>
                <w:lang w:val="sr-Latn-RS" w:bidi="en-US"/>
              </w:rPr>
            </w:pPr>
          </w:p>
        </w:tc>
      </w:tr>
      <w:tr w:rsidR="00724B76" w:rsidRPr="00261E6C" w:rsidTr="00480E5E">
        <w:trPr>
          <w:trHeight w:val="345"/>
        </w:trPr>
        <w:tc>
          <w:tcPr>
            <w:tcW w:w="1610" w:type="dxa"/>
            <w:vMerge w:val="restart"/>
            <w:tcBorders>
              <w:top w:val="single" w:sz="4" w:space="0" w:color="000000"/>
              <w:left w:val="single" w:sz="4" w:space="0" w:color="000000"/>
              <w:right w:val="single" w:sz="4" w:space="0" w:color="000000"/>
            </w:tcBorders>
          </w:tcPr>
          <w:p w:rsidR="00724B76" w:rsidRPr="00261E6C" w:rsidRDefault="00724B76" w:rsidP="00261E6C">
            <w:pPr>
              <w:widowControl w:val="0"/>
              <w:autoSpaceDE w:val="0"/>
              <w:autoSpaceDN w:val="0"/>
              <w:spacing w:before="960"/>
              <w:ind w:left="144" w:right="144"/>
              <w:jc w:val="both"/>
              <w:rPr>
                <w:sz w:val="22"/>
                <w:szCs w:val="22"/>
                <w:lang w:val="sr-Latn-RS" w:bidi="en-US"/>
              </w:rPr>
            </w:pPr>
            <w:r w:rsidRPr="00261E6C">
              <w:rPr>
                <w:sz w:val="22"/>
                <w:szCs w:val="22"/>
                <w:lang w:val="hr-HR"/>
              </w:rPr>
              <w:t>Relapsni/ refraktorni DBKL</w:t>
            </w:r>
          </w:p>
        </w:tc>
        <w:tc>
          <w:tcPr>
            <w:tcW w:w="2250" w:type="dxa"/>
            <w:tcBorders>
              <w:top w:val="single" w:sz="4" w:space="0" w:color="000000"/>
              <w:left w:val="single" w:sz="4" w:space="0" w:color="000000"/>
              <w:bottom w:val="single" w:sz="4" w:space="0" w:color="000000"/>
              <w:right w:val="single" w:sz="4" w:space="0" w:color="000000"/>
            </w:tcBorders>
          </w:tcPr>
          <w:p w:rsidR="00724B76" w:rsidRPr="00261E6C" w:rsidRDefault="00724B76" w:rsidP="00261E6C">
            <w:pPr>
              <w:widowControl w:val="0"/>
              <w:autoSpaceDE w:val="0"/>
              <w:autoSpaceDN w:val="0"/>
              <w:spacing w:before="960"/>
              <w:ind w:left="144" w:right="144"/>
              <w:jc w:val="both"/>
              <w:rPr>
                <w:sz w:val="22"/>
                <w:szCs w:val="22"/>
                <w:lang w:val="sr-Latn-RS" w:bidi="en-US"/>
              </w:rPr>
            </w:pPr>
            <w:r w:rsidRPr="00261E6C">
              <w:rPr>
                <w:sz w:val="22"/>
                <w:szCs w:val="22"/>
                <w:lang w:val="sr-Latn-RS" w:bidi="en-US"/>
              </w:rPr>
              <w:t>Neutropenija</w:t>
            </w:r>
            <w:r w:rsidR="003F5E5E" w:rsidRPr="00261E6C">
              <w:rPr>
                <w:sz w:val="22"/>
                <w:szCs w:val="22"/>
                <w:vertAlign w:val="superscript"/>
                <w:lang w:val="en-GB"/>
              </w:rPr>
              <w:t>1</w:t>
            </w:r>
            <w:r w:rsidRPr="00261E6C">
              <w:rPr>
                <w:sz w:val="22"/>
                <w:szCs w:val="22"/>
                <w:lang w:val="sr-Latn-RS" w:bidi="en-US"/>
              </w:rPr>
              <w:t xml:space="preserve"> gradusa 3 - 4</w:t>
            </w:r>
          </w:p>
        </w:tc>
        <w:tc>
          <w:tcPr>
            <w:tcW w:w="6570" w:type="dxa"/>
            <w:tcBorders>
              <w:top w:val="single" w:sz="4" w:space="0" w:color="000000"/>
              <w:left w:val="single" w:sz="4" w:space="0" w:color="000000"/>
              <w:bottom w:val="single" w:sz="4" w:space="0" w:color="000000"/>
              <w:right w:val="single" w:sz="4" w:space="0" w:color="000000"/>
            </w:tcBorders>
          </w:tcPr>
          <w:p w:rsidR="00687D00" w:rsidRPr="00261E6C" w:rsidRDefault="00687D00" w:rsidP="00E4155A">
            <w:pPr>
              <w:widowControl w:val="0"/>
              <w:autoSpaceDE w:val="0"/>
              <w:autoSpaceDN w:val="0"/>
              <w:ind w:left="144" w:right="144"/>
              <w:jc w:val="both"/>
              <w:rPr>
                <w:sz w:val="22"/>
                <w:szCs w:val="22"/>
                <w:lang w:val="sr-Latn-RS" w:bidi="en-US"/>
              </w:rPr>
            </w:pPr>
            <w:r w:rsidRPr="00261E6C">
              <w:rPr>
                <w:sz w:val="22"/>
                <w:szCs w:val="22"/>
                <w:lang w:val="sr-Latn-RS" w:bidi="en-US"/>
              </w:rPr>
              <w:t>Privremeno prekinuti primjenu svih ljekova dok ABN ne poraste na &gt; 1000/µl.</w:t>
            </w:r>
          </w:p>
          <w:p w:rsidR="00687D00" w:rsidRPr="00261E6C" w:rsidRDefault="00687D00" w:rsidP="00E4155A">
            <w:pPr>
              <w:widowControl w:val="0"/>
              <w:autoSpaceDE w:val="0"/>
              <w:autoSpaceDN w:val="0"/>
              <w:spacing w:before="1"/>
              <w:ind w:left="144" w:right="144"/>
              <w:jc w:val="both"/>
              <w:rPr>
                <w:sz w:val="22"/>
                <w:szCs w:val="22"/>
                <w:lang w:val="sr-Latn-RS" w:bidi="en-US"/>
              </w:rPr>
            </w:pPr>
            <w:r w:rsidRPr="00261E6C">
              <w:rPr>
                <w:sz w:val="22"/>
                <w:szCs w:val="22"/>
                <w:lang w:val="sr-Latn-RS" w:bidi="en-US"/>
              </w:rPr>
              <w:t>Ukoliko ABN poraste na &gt; 1000/µl tokom 7 dana ili prije toga, treba nastaviti kompletnu terapiju bez dodatnih smanjenja doze.</w:t>
            </w:r>
          </w:p>
          <w:p w:rsidR="00687D00" w:rsidRPr="00261E6C" w:rsidRDefault="00687D00" w:rsidP="00E4155A">
            <w:pPr>
              <w:widowControl w:val="0"/>
              <w:autoSpaceDE w:val="0"/>
              <w:autoSpaceDN w:val="0"/>
              <w:ind w:left="144" w:right="144"/>
              <w:jc w:val="both"/>
              <w:rPr>
                <w:sz w:val="22"/>
                <w:szCs w:val="22"/>
                <w:lang w:val="sr-Latn-RS" w:bidi="en-US"/>
              </w:rPr>
            </w:pPr>
            <w:r w:rsidRPr="00261E6C">
              <w:rPr>
                <w:sz w:val="22"/>
                <w:szCs w:val="22"/>
                <w:lang w:val="sr-Latn-RS" w:bidi="en-US"/>
              </w:rPr>
              <w:t>Ukoliko ABN poraste na &gt; 1000/µl nakon 7. dana:</w:t>
            </w:r>
          </w:p>
          <w:p w:rsidR="00687D00" w:rsidRPr="00261E6C" w:rsidRDefault="00687D00" w:rsidP="00433FEA">
            <w:pPr>
              <w:pStyle w:val="ListParagraph"/>
              <w:widowControl w:val="0"/>
              <w:numPr>
                <w:ilvl w:val="0"/>
                <w:numId w:val="13"/>
              </w:numPr>
              <w:tabs>
                <w:tab w:val="clear" w:pos="284"/>
                <w:tab w:val="left" w:pos="826"/>
              </w:tabs>
              <w:autoSpaceDE w:val="0"/>
              <w:autoSpaceDN w:val="0"/>
              <w:ind w:right="144"/>
              <w:rPr>
                <w:szCs w:val="22"/>
                <w:lang w:val="sr-Latn-RS" w:bidi="en-US"/>
              </w:rPr>
            </w:pPr>
            <w:r w:rsidRPr="00261E6C">
              <w:rPr>
                <w:szCs w:val="22"/>
                <w:lang w:val="sr-Latn-RS" w:bidi="en-US"/>
              </w:rPr>
              <w:t>ponovo uvesti kompletnu terapiju uz smanjenje doze bendamustina sa 90 mg/m</w:t>
            </w:r>
            <w:r w:rsidRPr="00261E6C">
              <w:rPr>
                <w:szCs w:val="22"/>
                <w:vertAlign w:val="superscript"/>
                <w:lang w:val="sr-Latn-RS" w:bidi="en-US"/>
              </w:rPr>
              <w:t>2</w:t>
            </w:r>
            <w:r w:rsidRPr="00261E6C">
              <w:rPr>
                <w:szCs w:val="22"/>
                <w:lang w:val="sr-Latn-RS" w:bidi="en-US"/>
              </w:rPr>
              <w:t xml:space="preserve"> na 70 mg/m</w:t>
            </w:r>
            <w:r w:rsidRPr="00261E6C">
              <w:rPr>
                <w:szCs w:val="22"/>
                <w:vertAlign w:val="superscript"/>
                <w:lang w:val="sr-Latn-RS" w:bidi="en-US"/>
              </w:rPr>
              <w:t>2</w:t>
            </w:r>
            <w:r w:rsidRPr="00261E6C">
              <w:rPr>
                <w:szCs w:val="22"/>
                <w:lang w:val="sr-Latn-RS" w:bidi="en-US"/>
              </w:rPr>
              <w:t xml:space="preserve"> ili sa 70 mg/m</w:t>
            </w:r>
            <w:r w:rsidRPr="00261E6C">
              <w:rPr>
                <w:szCs w:val="22"/>
                <w:vertAlign w:val="superscript"/>
                <w:lang w:val="sr-Latn-RS" w:bidi="en-US"/>
              </w:rPr>
              <w:t>2</w:t>
            </w:r>
            <w:r w:rsidRPr="00261E6C">
              <w:rPr>
                <w:szCs w:val="22"/>
                <w:lang w:val="sr-Latn-RS" w:bidi="en-US"/>
              </w:rPr>
              <w:t xml:space="preserve"> na 50 mg/m</w:t>
            </w:r>
            <w:r w:rsidRPr="00261E6C">
              <w:rPr>
                <w:szCs w:val="22"/>
                <w:vertAlign w:val="superscript"/>
                <w:lang w:val="sr-Latn-RS" w:bidi="en-US"/>
              </w:rPr>
              <w:t>2</w:t>
            </w:r>
            <w:r w:rsidRPr="00261E6C">
              <w:rPr>
                <w:szCs w:val="22"/>
                <w:lang w:val="sr-Latn-RS" w:bidi="en-US"/>
              </w:rPr>
              <w:t>;</w:t>
            </w:r>
          </w:p>
          <w:p w:rsidR="00724B76" w:rsidRPr="00261E6C" w:rsidRDefault="00687D00" w:rsidP="0015550A">
            <w:pPr>
              <w:pStyle w:val="ListParagraph"/>
              <w:widowControl w:val="0"/>
              <w:numPr>
                <w:ilvl w:val="0"/>
                <w:numId w:val="13"/>
              </w:numPr>
              <w:tabs>
                <w:tab w:val="clear" w:pos="284"/>
                <w:tab w:val="left" w:pos="826"/>
              </w:tabs>
              <w:autoSpaceDE w:val="0"/>
              <w:autoSpaceDN w:val="0"/>
              <w:spacing w:before="1"/>
              <w:ind w:right="144"/>
              <w:rPr>
                <w:szCs w:val="22"/>
                <w:lang w:val="sr-Latn-RS" w:bidi="en-US"/>
              </w:rPr>
            </w:pPr>
            <w:r w:rsidRPr="00261E6C">
              <w:rPr>
                <w:szCs w:val="22"/>
                <w:lang w:val="sr-Latn-RS" w:bidi="en-US"/>
              </w:rPr>
              <w:t>ukoliko je već došlo do smanjenja doze bendamustina na 50 mg/m</w:t>
            </w:r>
            <w:r w:rsidRPr="00261E6C">
              <w:rPr>
                <w:szCs w:val="22"/>
                <w:vertAlign w:val="superscript"/>
                <w:lang w:val="sr-Latn-RS" w:bidi="en-US"/>
              </w:rPr>
              <w:t>2</w:t>
            </w:r>
            <w:r w:rsidRPr="00261E6C">
              <w:rPr>
                <w:szCs w:val="22"/>
                <w:lang w:val="sr-Latn-RS" w:bidi="en-US"/>
              </w:rPr>
              <w:t xml:space="preserve">, </w:t>
            </w:r>
            <w:r w:rsidRPr="00261E6C">
              <w:rPr>
                <w:szCs w:val="22"/>
                <w:lang w:val="sr-Latn-RS" w:bidi="en-US"/>
              </w:rPr>
              <w:lastRenderedPageBreak/>
              <w:t>treba obustaviti primjenu svih ljekova.</w:t>
            </w:r>
          </w:p>
        </w:tc>
      </w:tr>
      <w:tr w:rsidR="00724B76" w:rsidRPr="00261E6C" w:rsidTr="00480E5E">
        <w:trPr>
          <w:trHeight w:val="345"/>
        </w:trPr>
        <w:tc>
          <w:tcPr>
            <w:tcW w:w="1610" w:type="dxa"/>
            <w:vMerge/>
            <w:tcBorders>
              <w:left w:val="single" w:sz="4" w:space="0" w:color="000000"/>
              <w:bottom w:val="single" w:sz="4" w:space="0" w:color="000000"/>
              <w:right w:val="single" w:sz="4" w:space="0" w:color="000000"/>
            </w:tcBorders>
          </w:tcPr>
          <w:p w:rsidR="00724B76" w:rsidRPr="00261E6C" w:rsidRDefault="00724B76" w:rsidP="00261E6C">
            <w:pPr>
              <w:widowControl w:val="0"/>
              <w:autoSpaceDE w:val="0"/>
              <w:autoSpaceDN w:val="0"/>
              <w:spacing w:before="960"/>
              <w:ind w:left="144" w:right="144"/>
              <w:jc w:val="both"/>
              <w:rPr>
                <w:sz w:val="22"/>
                <w:szCs w:val="22"/>
                <w:lang w:val="hr-HR"/>
              </w:rPr>
            </w:pPr>
          </w:p>
        </w:tc>
        <w:tc>
          <w:tcPr>
            <w:tcW w:w="2250" w:type="dxa"/>
            <w:tcBorders>
              <w:top w:val="single" w:sz="4" w:space="0" w:color="000000"/>
              <w:left w:val="single" w:sz="4" w:space="0" w:color="000000"/>
              <w:bottom w:val="single" w:sz="4" w:space="0" w:color="000000"/>
              <w:right w:val="single" w:sz="4" w:space="0" w:color="000000"/>
            </w:tcBorders>
          </w:tcPr>
          <w:p w:rsidR="00724B76" w:rsidRPr="00261E6C" w:rsidRDefault="00724B76" w:rsidP="00261E6C">
            <w:pPr>
              <w:widowControl w:val="0"/>
              <w:autoSpaceDE w:val="0"/>
              <w:autoSpaceDN w:val="0"/>
              <w:spacing w:before="960"/>
              <w:ind w:left="144" w:right="144"/>
              <w:jc w:val="both"/>
              <w:rPr>
                <w:sz w:val="22"/>
                <w:szCs w:val="22"/>
                <w:lang w:val="sr-Latn-RS" w:bidi="en-US"/>
              </w:rPr>
            </w:pPr>
            <w:r w:rsidRPr="00261E6C">
              <w:rPr>
                <w:sz w:val="22"/>
                <w:szCs w:val="22"/>
                <w:lang w:val="sr-Latn-RS" w:bidi="en-US"/>
              </w:rPr>
              <w:t>Trombocitopenija</w:t>
            </w:r>
            <w:r w:rsidR="003F5E5E" w:rsidRPr="00261E6C">
              <w:rPr>
                <w:sz w:val="22"/>
                <w:szCs w:val="22"/>
                <w:vertAlign w:val="superscript"/>
                <w:lang w:val="en-GB"/>
              </w:rPr>
              <w:t>1</w:t>
            </w:r>
            <w:r w:rsidRPr="00261E6C">
              <w:rPr>
                <w:sz w:val="22"/>
                <w:szCs w:val="22"/>
                <w:lang w:val="sr-Latn-RS" w:bidi="en-US"/>
              </w:rPr>
              <w:t xml:space="preserve"> gradusa 3 - 4</w:t>
            </w:r>
          </w:p>
        </w:tc>
        <w:tc>
          <w:tcPr>
            <w:tcW w:w="6570" w:type="dxa"/>
            <w:tcBorders>
              <w:top w:val="single" w:sz="4" w:space="0" w:color="000000"/>
              <w:left w:val="single" w:sz="4" w:space="0" w:color="000000"/>
              <w:bottom w:val="single" w:sz="4" w:space="0" w:color="000000"/>
              <w:right w:val="single" w:sz="4" w:space="0" w:color="000000"/>
            </w:tcBorders>
          </w:tcPr>
          <w:p w:rsidR="00687D00" w:rsidRPr="00261E6C" w:rsidRDefault="00687D00" w:rsidP="00E4155A">
            <w:pPr>
              <w:widowControl w:val="0"/>
              <w:autoSpaceDE w:val="0"/>
              <w:autoSpaceDN w:val="0"/>
              <w:ind w:left="144" w:right="144"/>
              <w:jc w:val="both"/>
              <w:rPr>
                <w:sz w:val="22"/>
                <w:szCs w:val="22"/>
                <w:lang w:val="sr-Latn-RS" w:bidi="en-US"/>
              </w:rPr>
            </w:pPr>
            <w:r w:rsidRPr="00261E6C">
              <w:rPr>
                <w:sz w:val="22"/>
                <w:szCs w:val="22"/>
                <w:lang w:val="sr-Latn-RS" w:bidi="en-US"/>
              </w:rPr>
              <w:t>Privremeno prekinuti primjenu svih ljekova dok broj trombocita ne poraste na &gt; 75000/µl.</w:t>
            </w:r>
          </w:p>
          <w:p w:rsidR="00687D00" w:rsidRPr="00261E6C" w:rsidRDefault="00687D00" w:rsidP="00E4155A">
            <w:pPr>
              <w:widowControl w:val="0"/>
              <w:autoSpaceDE w:val="0"/>
              <w:autoSpaceDN w:val="0"/>
              <w:spacing w:before="4"/>
              <w:ind w:left="144" w:right="144"/>
              <w:jc w:val="both"/>
              <w:rPr>
                <w:sz w:val="22"/>
                <w:szCs w:val="22"/>
                <w:lang w:val="sr-Latn-RS" w:bidi="en-US"/>
              </w:rPr>
            </w:pPr>
            <w:r w:rsidRPr="00261E6C">
              <w:rPr>
                <w:sz w:val="22"/>
                <w:szCs w:val="22"/>
                <w:lang w:val="sr-Latn-RS" w:bidi="en-US"/>
              </w:rPr>
              <w:t>Ukoliko broj trombocita poraste na &gt; 75000/µl 7. dana ili prije toga, treba nastaviti kompletnu terapiju bez bilo kakvih smanjenja doze.</w:t>
            </w:r>
          </w:p>
          <w:p w:rsidR="00822662" w:rsidRPr="00261E6C" w:rsidRDefault="00687D00" w:rsidP="0015550A">
            <w:pPr>
              <w:widowControl w:val="0"/>
              <w:autoSpaceDE w:val="0"/>
              <w:autoSpaceDN w:val="0"/>
              <w:spacing w:before="1"/>
              <w:ind w:left="144" w:right="144"/>
              <w:jc w:val="both"/>
              <w:rPr>
                <w:sz w:val="22"/>
                <w:szCs w:val="22"/>
                <w:lang w:val="sr-Latn-RS" w:bidi="en-US"/>
              </w:rPr>
            </w:pPr>
            <w:r w:rsidRPr="00261E6C">
              <w:rPr>
                <w:sz w:val="22"/>
                <w:szCs w:val="22"/>
                <w:lang w:val="sr-Latn-RS" w:bidi="en-US"/>
              </w:rPr>
              <w:t>Ukoliko broj trombocita poraste na &gt; 75000/µl nakon 7. dana:</w:t>
            </w:r>
          </w:p>
          <w:p w:rsidR="00687D00" w:rsidRPr="00C2143B" w:rsidRDefault="00687D00" w:rsidP="00261E6C">
            <w:pPr>
              <w:pStyle w:val="ListParagraph"/>
              <w:widowControl w:val="0"/>
              <w:numPr>
                <w:ilvl w:val="0"/>
                <w:numId w:val="18"/>
              </w:numPr>
              <w:tabs>
                <w:tab w:val="left" w:pos="525"/>
              </w:tabs>
              <w:autoSpaceDE w:val="0"/>
              <w:autoSpaceDN w:val="0"/>
              <w:ind w:left="525" w:right="144" w:hanging="284"/>
              <w:rPr>
                <w:szCs w:val="22"/>
                <w:lang w:val="sr-Latn-RS" w:bidi="en-US"/>
              </w:rPr>
            </w:pPr>
            <w:r w:rsidRPr="00C2143B">
              <w:rPr>
                <w:szCs w:val="22"/>
                <w:lang w:val="sr-Latn-RS" w:bidi="en-US"/>
              </w:rPr>
              <w:t>ponovo uvesti kompletnu terapiju uz smanjenje doze bendamustina sa 90 mg/m</w:t>
            </w:r>
            <w:r w:rsidRPr="00C2143B">
              <w:rPr>
                <w:szCs w:val="22"/>
                <w:vertAlign w:val="superscript"/>
                <w:lang w:val="sr-Latn-RS" w:bidi="en-US"/>
              </w:rPr>
              <w:t>2</w:t>
            </w:r>
            <w:r w:rsidRPr="00C2143B">
              <w:rPr>
                <w:szCs w:val="22"/>
                <w:lang w:val="sr-Latn-RS" w:bidi="en-US"/>
              </w:rPr>
              <w:t xml:space="preserve"> na 70 mg/m</w:t>
            </w:r>
            <w:r w:rsidRPr="00C2143B">
              <w:rPr>
                <w:szCs w:val="22"/>
                <w:vertAlign w:val="superscript"/>
                <w:lang w:val="sr-Latn-RS" w:bidi="en-US"/>
              </w:rPr>
              <w:t>2</w:t>
            </w:r>
            <w:r w:rsidRPr="00C2143B">
              <w:rPr>
                <w:szCs w:val="22"/>
                <w:lang w:val="sr-Latn-RS" w:bidi="en-US"/>
              </w:rPr>
              <w:t xml:space="preserve"> ili sa 70 mg/m</w:t>
            </w:r>
            <w:r w:rsidRPr="00C2143B">
              <w:rPr>
                <w:szCs w:val="22"/>
                <w:vertAlign w:val="superscript"/>
                <w:lang w:val="sr-Latn-RS" w:bidi="en-US"/>
              </w:rPr>
              <w:t>2</w:t>
            </w:r>
            <w:r w:rsidRPr="00C2143B">
              <w:rPr>
                <w:szCs w:val="22"/>
                <w:lang w:val="sr-Latn-RS" w:bidi="en-US"/>
              </w:rPr>
              <w:t xml:space="preserve"> na 50 mg/m</w:t>
            </w:r>
            <w:r w:rsidRPr="00C2143B">
              <w:rPr>
                <w:szCs w:val="22"/>
                <w:vertAlign w:val="superscript"/>
                <w:lang w:val="sr-Latn-RS" w:bidi="en-US"/>
              </w:rPr>
              <w:t>2</w:t>
            </w:r>
            <w:r w:rsidRPr="00C2143B">
              <w:rPr>
                <w:szCs w:val="22"/>
                <w:lang w:val="sr-Latn-RS" w:bidi="en-US"/>
              </w:rPr>
              <w:t>.</w:t>
            </w:r>
          </w:p>
          <w:p w:rsidR="00724B76" w:rsidRPr="00261E6C" w:rsidRDefault="00822662" w:rsidP="00261E6C">
            <w:pPr>
              <w:pStyle w:val="ListParagraph"/>
              <w:widowControl w:val="0"/>
              <w:numPr>
                <w:ilvl w:val="0"/>
                <w:numId w:val="18"/>
              </w:numPr>
              <w:tabs>
                <w:tab w:val="left" w:pos="950"/>
              </w:tabs>
              <w:autoSpaceDE w:val="0"/>
              <w:autoSpaceDN w:val="0"/>
              <w:spacing w:before="1"/>
              <w:ind w:left="525" w:right="144" w:hanging="284"/>
              <w:rPr>
                <w:szCs w:val="22"/>
                <w:lang w:val="sr-Latn-RS" w:bidi="en-US"/>
              </w:rPr>
            </w:pPr>
            <w:r w:rsidRPr="006C087A">
              <w:rPr>
                <w:szCs w:val="22"/>
                <w:lang w:val="sr-Latn-RS" w:bidi="en-US"/>
              </w:rPr>
              <w:t>u</w:t>
            </w:r>
            <w:r w:rsidR="00687D00" w:rsidRPr="006C087A">
              <w:rPr>
                <w:szCs w:val="22"/>
                <w:lang w:val="sr-Latn-RS" w:bidi="en-US"/>
              </w:rPr>
              <w:t>koliko je već došlo do smanjenja doze bendamustina na 50 mg/m</w:t>
            </w:r>
            <w:r w:rsidR="00687D00" w:rsidRPr="009D3A43">
              <w:rPr>
                <w:szCs w:val="22"/>
                <w:vertAlign w:val="superscript"/>
                <w:lang w:val="sr-Latn-RS" w:bidi="en-US"/>
              </w:rPr>
              <w:t>2</w:t>
            </w:r>
            <w:r w:rsidR="00687D00" w:rsidRPr="009D3A43">
              <w:rPr>
                <w:szCs w:val="22"/>
                <w:lang w:val="sr-Latn-RS" w:bidi="en-US"/>
              </w:rPr>
              <w:t>, treba prekinuti primjenu svih ljekova</w:t>
            </w:r>
            <w:r w:rsidR="009A313C" w:rsidRPr="00261E6C">
              <w:rPr>
                <w:szCs w:val="22"/>
                <w:lang w:val="sr-Latn-RS" w:bidi="en-US"/>
              </w:rPr>
              <w:t>.</w:t>
            </w:r>
          </w:p>
        </w:tc>
      </w:tr>
    </w:tbl>
    <w:p w:rsidR="005612C5" w:rsidRPr="00261E6C" w:rsidRDefault="005612C5" w:rsidP="00E4155A">
      <w:pPr>
        <w:widowControl w:val="0"/>
        <w:autoSpaceDE w:val="0"/>
        <w:autoSpaceDN w:val="0"/>
        <w:jc w:val="both"/>
        <w:rPr>
          <w:sz w:val="22"/>
          <w:szCs w:val="22"/>
          <w:lang w:val="sr-Latn-RS" w:bidi="en-US"/>
        </w:rPr>
      </w:pPr>
      <w:r w:rsidRPr="00261E6C">
        <w:rPr>
          <w:sz w:val="22"/>
          <w:szCs w:val="22"/>
          <w:vertAlign w:val="superscript"/>
          <w:lang w:val="sr-Latn-RS" w:bidi="en-US"/>
        </w:rPr>
        <w:t>1</w:t>
      </w:r>
      <w:r w:rsidRPr="00261E6C">
        <w:rPr>
          <w:sz w:val="22"/>
          <w:szCs w:val="22"/>
          <w:lang w:val="sr-Latn-RS" w:bidi="en-US"/>
        </w:rPr>
        <w:t>Ukoliko je primarni uzrok limfom, možda neće biti potrebno smanjiti dozu bendamustina.</w:t>
      </w:r>
    </w:p>
    <w:p w:rsidR="003F5E5E" w:rsidRPr="00261E6C" w:rsidRDefault="003F5E5E" w:rsidP="00261E6C">
      <w:pPr>
        <w:jc w:val="both"/>
        <w:rPr>
          <w:sz w:val="22"/>
          <w:szCs w:val="22"/>
          <w:lang w:val="sr-Latn-RS"/>
        </w:rPr>
      </w:pPr>
      <w:r w:rsidRPr="00261E6C">
        <w:rPr>
          <w:sz w:val="22"/>
          <w:szCs w:val="22"/>
          <w:vertAlign w:val="superscript"/>
          <w:lang w:val="sr-Latn-RS"/>
        </w:rPr>
        <w:t>*</w:t>
      </w:r>
      <w:r w:rsidRPr="00261E6C">
        <w:rPr>
          <w:sz w:val="22"/>
          <w:szCs w:val="22"/>
          <w:lang w:val="sr-Latn-RS"/>
        </w:rPr>
        <w:t>ABN: apsolutni broj neutrofila</w:t>
      </w:r>
    </w:p>
    <w:p w:rsidR="005612C5" w:rsidRPr="00261E6C" w:rsidRDefault="005612C5" w:rsidP="00E4155A">
      <w:pPr>
        <w:widowControl w:val="0"/>
        <w:autoSpaceDE w:val="0"/>
        <w:autoSpaceDN w:val="0"/>
        <w:spacing w:before="9"/>
        <w:jc w:val="both"/>
        <w:rPr>
          <w:sz w:val="22"/>
          <w:szCs w:val="22"/>
          <w:lang w:val="sr-Latn-RS" w:bidi="en-US"/>
        </w:rPr>
      </w:pPr>
    </w:p>
    <w:p w:rsidR="005612C5" w:rsidRPr="00C2143B" w:rsidRDefault="005612C5" w:rsidP="00E4155A">
      <w:pPr>
        <w:widowControl w:val="0"/>
        <w:autoSpaceDE w:val="0"/>
        <w:autoSpaceDN w:val="0"/>
        <w:jc w:val="both"/>
        <w:rPr>
          <w:sz w:val="22"/>
          <w:szCs w:val="22"/>
          <w:lang w:val="sr-Latn-RS" w:bidi="en-US"/>
        </w:rPr>
      </w:pPr>
      <w:r w:rsidRPr="00261E6C">
        <w:rPr>
          <w:sz w:val="22"/>
          <w:szCs w:val="22"/>
          <w:lang w:val="sr-Latn-RS" w:bidi="en-US"/>
        </w:rPr>
        <w:t>Za prilagođavanje doz</w:t>
      </w:r>
      <w:r w:rsidR="009A313C" w:rsidRPr="00C2143B">
        <w:rPr>
          <w:sz w:val="22"/>
          <w:szCs w:val="22"/>
          <w:lang w:val="sr-Latn-RS" w:bidi="en-US"/>
        </w:rPr>
        <w:t>e</w:t>
      </w:r>
      <w:r w:rsidRPr="00261E6C">
        <w:rPr>
          <w:sz w:val="22"/>
          <w:szCs w:val="22"/>
          <w:lang w:val="sr-Latn-RS" w:bidi="en-US"/>
        </w:rPr>
        <w:t xml:space="preserve"> </w:t>
      </w:r>
      <w:r w:rsidR="003F5E5E" w:rsidRPr="00261E6C">
        <w:rPr>
          <w:sz w:val="22"/>
          <w:szCs w:val="22"/>
          <w:lang w:val="sr-Latn-RS" w:bidi="en-US"/>
        </w:rPr>
        <w:t xml:space="preserve">radi zbrinjavanja </w:t>
      </w:r>
      <w:r w:rsidRPr="00261E6C">
        <w:rPr>
          <w:sz w:val="22"/>
          <w:szCs w:val="22"/>
          <w:lang w:val="sr-Latn-RS" w:bidi="en-US"/>
        </w:rPr>
        <w:t>reakcija povezanih sa infuzijom</w:t>
      </w:r>
      <w:r w:rsidR="003F5E5E" w:rsidRPr="00261E6C">
        <w:rPr>
          <w:sz w:val="22"/>
          <w:szCs w:val="22"/>
          <w:lang w:val="sr-Latn-RS" w:bidi="en-US"/>
        </w:rPr>
        <w:t xml:space="preserve"> (dio 4.4)</w:t>
      </w:r>
      <w:r w:rsidRPr="00261E6C">
        <w:rPr>
          <w:sz w:val="22"/>
          <w:szCs w:val="22"/>
          <w:lang w:val="sr-Latn-RS" w:bidi="en-US"/>
        </w:rPr>
        <w:t xml:space="preserve"> </w:t>
      </w:r>
      <w:r w:rsidR="000910FF" w:rsidRPr="00261E6C">
        <w:rPr>
          <w:sz w:val="22"/>
          <w:szCs w:val="22"/>
          <w:lang w:val="sr-Latn-RS" w:bidi="en-US"/>
        </w:rPr>
        <w:t>vidjeti</w:t>
      </w:r>
      <w:r w:rsidRPr="00261E6C">
        <w:rPr>
          <w:sz w:val="22"/>
          <w:szCs w:val="22"/>
          <w:lang w:val="sr-Latn-RS" w:bidi="en-US"/>
        </w:rPr>
        <w:t xml:space="preserve"> </w:t>
      </w:r>
      <w:r w:rsidR="009A313C" w:rsidRPr="00C2143B">
        <w:rPr>
          <w:sz w:val="22"/>
          <w:szCs w:val="22"/>
          <w:lang w:val="sr-Latn-RS" w:bidi="en-US"/>
        </w:rPr>
        <w:t>T</w:t>
      </w:r>
      <w:r w:rsidRPr="00261E6C">
        <w:rPr>
          <w:sz w:val="22"/>
          <w:szCs w:val="22"/>
          <w:lang w:val="sr-Latn-RS" w:bidi="en-US"/>
        </w:rPr>
        <w:t>abelu 3.</w:t>
      </w:r>
      <w:r w:rsidR="003F5E5E" w:rsidRPr="00261E6C">
        <w:rPr>
          <w:sz w:val="22"/>
          <w:szCs w:val="22"/>
          <w:lang w:val="sr-Latn-RS" w:bidi="en-US"/>
        </w:rPr>
        <w:t>u nastavku</w:t>
      </w:r>
      <w:r w:rsidR="009A313C" w:rsidRPr="00C2143B">
        <w:rPr>
          <w:sz w:val="22"/>
          <w:szCs w:val="22"/>
          <w:lang w:val="sr-Latn-RS" w:bidi="en-US"/>
        </w:rPr>
        <w:t>.</w:t>
      </w:r>
    </w:p>
    <w:p w:rsidR="009A313C" w:rsidRPr="00C2143B" w:rsidRDefault="009A313C" w:rsidP="00E4155A">
      <w:pPr>
        <w:widowControl w:val="0"/>
        <w:autoSpaceDE w:val="0"/>
        <w:autoSpaceDN w:val="0"/>
        <w:jc w:val="both"/>
        <w:rPr>
          <w:sz w:val="22"/>
          <w:szCs w:val="22"/>
          <w:lang w:val="sr-Latn-RS" w:bidi="en-US"/>
        </w:rPr>
      </w:pPr>
    </w:p>
    <w:p w:rsidR="009A313C" w:rsidRPr="00261E6C" w:rsidRDefault="009A313C" w:rsidP="00E4155A">
      <w:pPr>
        <w:widowControl w:val="0"/>
        <w:autoSpaceDE w:val="0"/>
        <w:autoSpaceDN w:val="0"/>
        <w:jc w:val="both"/>
        <w:rPr>
          <w:sz w:val="22"/>
          <w:szCs w:val="22"/>
          <w:lang w:val="sr-Latn-RS" w:bidi="en-US"/>
        </w:rPr>
        <w:sectPr w:rsidR="009A313C" w:rsidRPr="00261E6C" w:rsidSect="004723AA">
          <w:footerReference w:type="default" r:id="rId9"/>
          <w:type w:val="continuous"/>
          <w:pgSz w:w="11910" w:h="16840"/>
          <w:pgMar w:top="1040" w:right="820" w:bottom="900" w:left="1200" w:header="0" w:footer="0" w:gutter="0"/>
          <w:cols w:space="720"/>
        </w:sectPr>
      </w:pPr>
    </w:p>
    <w:p w:rsidR="005612C5" w:rsidRPr="00261E6C" w:rsidRDefault="005612C5" w:rsidP="00433FEA">
      <w:pPr>
        <w:widowControl w:val="0"/>
        <w:autoSpaceDE w:val="0"/>
        <w:autoSpaceDN w:val="0"/>
        <w:spacing w:before="76"/>
        <w:jc w:val="both"/>
        <w:outlineLvl w:val="0"/>
        <w:rPr>
          <w:b/>
          <w:bCs/>
          <w:sz w:val="22"/>
          <w:szCs w:val="22"/>
          <w:lang w:val="sr-Latn-RS" w:bidi="en-US"/>
        </w:rPr>
      </w:pPr>
      <w:r w:rsidRPr="00261E6C">
        <w:rPr>
          <w:b/>
          <w:bCs/>
          <w:sz w:val="22"/>
          <w:szCs w:val="22"/>
          <w:lang w:val="sr-Latn-RS" w:bidi="en-US"/>
        </w:rPr>
        <w:lastRenderedPageBreak/>
        <w:t>Tabela 3</w:t>
      </w:r>
      <w:r w:rsidR="0027082E" w:rsidRPr="00C2143B">
        <w:rPr>
          <w:b/>
          <w:bCs/>
          <w:sz w:val="22"/>
          <w:szCs w:val="22"/>
          <w:lang w:val="sr-Latn-RS" w:bidi="en-US"/>
        </w:rPr>
        <w:t>:</w:t>
      </w:r>
      <w:r w:rsidR="00E26464" w:rsidRPr="00261E6C">
        <w:rPr>
          <w:b/>
          <w:bCs/>
          <w:sz w:val="22"/>
          <w:szCs w:val="22"/>
          <w:lang w:val="sr-Latn-RS" w:bidi="en-US"/>
        </w:rPr>
        <w:t xml:space="preserve"> </w:t>
      </w:r>
      <w:r w:rsidRPr="00261E6C">
        <w:rPr>
          <w:b/>
          <w:bCs/>
          <w:sz w:val="22"/>
          <w:szCs w:val="22"/>
          <w:lang w:val="sr-Latn-RS" w:bidi="en-US"/>
        </w:rPr>
        <w:t xml:space="preserve"> Prilagođavanje doz</w:t>
      </w:r>
      <w:r w:rsidR="009A313C" w:rsidRPr="00C2143B">
        <w:rPr>
          <w:b/>
          <w:bCs/>
          <w:sz w:val="22"/>
          <w:szCs w:val="22"/>
          <w:lang w:val="sr-Latn-RS" w:bidi="en-US"/>
        </w:rPr>
        <w:t>e</w:t>
      </w:r>
      <w:r w:rsidRPr="00261E6C">
        <w:rPr>
          <w:b/>
          <w:bCs/>
          <w:sz w:val="22"/>
          <w:szCs w:val="22"/>
          <w:lang w:val="sr-Latn-RS" w:bidi="en-US"/>
        </w:rPr>
        <w:t xml:space="preserve"> </w:t>
      </w:r>
      <w:r w:rsidR="000910FF" w:rsidRPr="00261E6C">
        <w:rPr>
          <w:b/>
          <w:bCs/>
          <w:sz w:val="22"/>
          <w:szCs w:val="22"/>
          <w:lang w:val="sr-Latn-RS" w:bidi="en-US"/>
        </w:rPr>
        <w:t>lijek</w:t>
      </w:r>
      <w:r w:rsidRPr="00261E6C">
        <w:rPr>
          <w:b/>
          <w:bCs/>
          <w:sz w:val="22"/>
          <w:szCs w:val="22"/>
          <w:lang w:val="sr-Latn-RS" w:bidi="en-US"/>
        </w:rPr>
        <w:t xml:space="preserve">a Polivy </w:t>
      </w:r>
      <w:r w:rsidR="00E26464" w:rsidRPr="00261E6C">
        <w:rPr>
          <w:b/>
          <w:bCs/>
          <w:sz w:val="22"/>
          <w:szCs w:val="22"/>
          <w:lang w:val="sr-Latn-RS" w:bidi="en-US"/>
        </w:rPr>
        <w:t xml:space="preserve">radi zbrinjavanja </w:t>
      </w:r>
      <w:r w:rsidRPr="00261E6C">
        <w:rPr>
          <w:b/>
          <w:bCs/>
          <w:sz w:val="22"/>
          <w:szCs w:val="22"/>
          <w:lang w:val="sr-Latn-RS" w:bidi="en-US"/>
        </w:rPr>
        <w:t>reakcija povezanih sa infuzijom (IRR)</w:t>
      </w:r>
    </w:p>
    <w:tbl>
      <w:tblPr>
        <w:tblW w:w="105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5"/>
        <w:gridCol w:w="1183"/>
        <w:gridCol w:w="8171"/>
      </w:tblGrid>
      <w:tr w:rsidR="00724B76" w:rsidRPr="00C2143B" w:rsidTr="00480E5E">
        <w:trPr>
          <w:trHeight w:val="590"/>
        </w:trPr>
        <w:tc>
          <w:tcPr>
            <w:tcW w:w="1175" w:type="dxa"/>
            <w:tcBorders>
              <w:top w:val="single" w:sz="4" w:space="0" w:color="000000"/>
              <w:left w:val="single" w:sz="4" w:space="0" w:color="000000"/>
              <w:bottom w:val="single" w:sz="4" w:space="0" w:color="000000"/>
              <w:right w:val="single" w:sz="4" w:space="0" w:color="000000"/>
            </w:tcBorders>
          </w:tcPr>
          <w:p w:rsidR="00724B76" w:rsidRPr="00261E6C" w:rsidRDefault="00724B76" w:rsidP="00261E6C">
            <w:pPr>
              <w:widowControl w:val="0"/>
              <w:autoSpaceDE w:val="0"/>
              <w:autoSpaceDN w:val="0"/>
              <w:spacing w:before="3"/>
              <w:jc w:val="both"/>
              <w:rPr>
                <w:b/>
                <w:bCs/>
                <w:sz w:val="22"/>
                <w:szCs w:val="22"/>
                <w:lang w:val="sr-Latn-RS" w:bidi="en-US"/>
              </w:rPr>
            </w:pPr>
            <w:r w:rsidRPr="00261E6C">
              <w:rPr>
                <w:b/>
                <w:bCs/>
                <w:sz w:val="22"/>
                <w:szCs w:val="22"/>
                <w:lang w:val="sr-Latn-RS" w:bidi="en-US"/>
              </w:rPr>
              <w:t>Indikacija</w:t>
            </w:r>
          </w:p>
        </w:tc>
        <w:tc>
          <w:tcPr>
            <w:tcW w:w="1183" w:type="dxa"/>
            <w:tcBorders>
              <w:top w:val="single" w:sz="4" w:space="0" w:color="000000"/>
              <w:left w:val="single" w:sz="4" w:space="0" w:color="000000"/>
              <w:bottom w:val="single" w:sz="4" w:space="0" w:color="000000"/>
              <w:right w:val="single" w:sz="4" w:space="0" w:color="000000"/>
            </w:tcBorders>
            <w:hideMark/>
          </w:tcPr>
          <w:p w:rsidR="00724B76" w:rsidRPr="00261E6C" w:rsidRDefault="00687D00" w:rsidP="00261E6C">
            <w:pPr>
              <w:widowControl w:val="0"/>
              <w:autoSpaceDE w:val="0"/>
              <w:autoSpaceDN w:val="0"/>
              <w:spacing w:before="3"/>
              <w:jc w:val="both"/>
              <w:rPr>
                <w:b/>
                <w:sz w:val="22"/>
                <w:szCs w:val="22"/>
                <w:lang w:val="sr-Latn-RS" w:bidi="en-US"/>
              </w:rPr>
            </w:pPr>
            <w:r w:rsidRPr="00261E6C">
              <w:rPr>
                <w:b/>
                <w:bCs/>
                <w:sz w:val="22"/>
                <w:szCs w:val="22"/>
                <w:lang w:val="sr-Latn-RS" w:bidi="en-US"/>
              </w:rPr>
              <w:t>Stepen</w:t>
            </w:r>
            <w:r w:rsidR="00724B76" w:rsidRPr="00261E6C">
              <w:rPr>
                <w:b/>
                <w:bCs/>
                <w:sz w:val="22"/>
                <w:szCs w:val="22"/>
                <w:lang w:val="sr-Latn-RS" w:bidi="en-US"/>
              </w:rPr>
              <w:t xml:space="preserve"> težine IRR 1. dana bilo kog ciklusa</w:t>
            </w:r>
          </w:p>
        </w:tc>
        <w:tc>
          <w:tcPr>
            <w:tcW w:w="8171" w:type="dxa"/>
            <w:tcBorders>
              <w:top w:val="single" w:sz="4" w:space="0" w:color="000000"/>
              <w:left w:val="single" w:sz="4" w:space="0" w:color="000000"/>
              <w:bottom w:val="single" w:sz="4" w:space="0" w:color="000000"/>
              <w:right w:val="single" w:sz="4" w:space="0" w:color="000000"/>
            </w:tcBorders>
            <w:hideMark/>
          </w:tcPr>
          <w:p w:rsidR="00724B76" w:rsidRPr="00261E6C" w:rsidRDefault="00724B76" w:rsidP="00E4155A">
            <w:pPr>
              <w:widowControl w:val="0"/>
              <w:autoSpaceDE w:val="0"/>
              <w:autoSpaceDN w:val="0"/>
              <w:spacing w:before="1"/>
              <w:jc w:val="both"/>
              <w:rPr>
                <w:b/>
                <w:sz w:val="22"/>
                <w:szCs w:val="22"/>
                <w:lang w:val="sr-Latn-RS" w:bidi="en-US"/>
              </w:rPr>
            </w:pPr>
            <w:r w:rsidRPr="00261E6C">
              <w:rPr>
                <w:b/>
                <w:bCs/>
                <w:sz w:val="22"/>
                <w:szCs w:val="22"/>
                <w:lang w:val="sr-Latn-RS" w:bidi="en-US"/>
              </w:rPr>
              <w:t>Prilagođavanje doze</w:t>
            </w:r>
          </w:p>
        </w:tc>
      </w:tr>
      <w:tr w:rsidR="00757756" w:rsidRPr="00C2143B" w:rsidTr="00FD4187">
        <w:trPr>
          <w:trHeight w:val="4082"/>
        </w:trPr>
        <w:tc>
          <w:tcPr>
            <w:tcW w:w="1175" w:type="dxa"/>
            <w:vMerge w:val="restart"/>
            <w:tcBorders>
              <w:top w:val="single" w:sz="4" w:space="0" w:color="000000"/>
              <w:left w:val="single" w:sz="4" w:space="0" w:color="000000"/>
              <w:right w:val="single" w:sz="4" w:space="0" w:color="000000"/>
            </w:tcBorders>
          </w:tcPr>
          <w:p w:rsidR="00757756" w:rsidRPr="00261E6C" w:rsidRDefault="00757756" w:rsidP="00261E6C">
            <w:pPr>
              <w:widowControl w:val="0"/>
              <w:autoSpaceDE w:val="0"/>
              <w:autoSpaceDN w:val="0"/>
              <w:jc w:val="both"/>
              <w:rPr>
                <w:sz w:val="22"/>
                <w:szCs w:val="22"/>
                <w:lang w:val="sr-Latn-RS" w:bidi="en-US"/>
              </w:rPr>
            </w:pPr>
            <w:r w:rsidRPr="00261E6C">
              <w:rPr>
                <w:sz w:val="22"/>
                <w:szCs w:val="22"/>
                <w:lang w:val="hr-HR"/>
              </w:rPr>
              <w:t>Prethodno neliječen i relapsni/ refraktorni DBKL</w:t>
            </w:r>
          </w:p>
        </w:tc>
        <w:tc>
          <w:tcPr>
            <w:tcW w:w="1183" w:type="dxa"/>
            <w:tcBorders>
              <w:top w:val="single" w:sz="4" w:space="0" w:color="000000"/>
              <w:left w:val="single" w:sz="4" w:space="0" w:color="000000"/>
              <w:bottom w:val="single" w:sz="4" w:space="0" w:color="000000"/>
              <w:right w:val="single" w:sz="4" w:space="0" w:color="000000"/>
            </w:tcBorders>
            <w:hideMark/>
          </w:tcPr>
          <w:p w:rsidR="00757756" w:rsidRPr="00261E6C" w:rsidRDefault="00757756" w:rsidP="00261E6C">
            <w:pPr>
              <w:widowControl w:val="0"/>
              <w:autoSpaceDE w:val="0"/>
              <w:autoSpaceDN w:val="0"/>
              <w:jc w:val="both"/>
              <w:rPr>
                <w:sz w:val="22"/>
                <w:szCs w:val="22"/>
                <w:lang w:val="sr-Latn-RS" w:bidi="en-US"/>
              </w:rPr>
            </w:pPr>
            <w:r w:rsidRPr="00261E6C">
              <w:rPr>
                <w:sz w:val="22"/>
                <w:szCs w:val="22"/>
                <w:lang w:val="sr-Latn-RS" w:bidi="en-US"/>
              </w:rPr>
              <w:t>IRR gradusa 1–3</w:t>
            </w:r>
          </w:p>
        </w:tc>
        <w:tc>
          <w:tcPr>
            <w:tcW w:w="8171" w:type="dxa"/>
            <w:tcBorders>
              <w:top w:val="single" w:sz="4" w:space="0" w:color="000000"/>
              <w:left w:val="single" w:sz="4" w:space="0" w:color="000000"/>
              <w:bottom w:val="single" w:sz="4" w:space="0" w:color="000000"/>
              <w:right w:val="single" w:sz="4" w:space="0" w:color="000000"/>
            </w:tcBorders>
            <w:hideMark/>
          </w:tcPr>
          <w:p w:rsidR="00757756" w:rsidRPr="00261E6C" w:rsidRDefault="00757756" w:rsidP="00E4155A">
            <w:pPr>
              <w:widowControl w:val="0"/>
              <w:autoSpaceDE w:val="0"/>
              <w:autoSpaceDN w:val="0"/>
              <w:jc w:val="both"/>
              <w:rPr>
                <w:sz w:val="22"/>
                <w:szCs w:val="22"/>
                <w:lang w:val="sr-Latn-RS" w:bidi="en-US"/>
              </w:rPr>
            </w:pPr>
            <w:r w:rsidRPr="00261E6C">
              <w:rPr>
                <w:sz w:val="22"/>
                <w:szCs w:val="22"/>
                <w:lang w:val="sr-Latn-RS" w:bidi="en-US"/>
              </w:rPr>
              <w:t>Privremeno prekinuti infuziju lijeka Polivy i dati suportivnu terapiju.</w:t>
            </w:r>
          </w:p>
          <w:p w:rsidR="00757756" w:rsidRPr="00261E6C" w:rsidRDefault="00757756" w:rsidP="00E4155A">
            <w:pPr>
              <w:widowControl w:val="0"/>
              <w:autoSpaceDE w:val="0"/>
              <w:autoSpaceDN w:val="0"/>
              <w:spacing w:before="117"/>
              <w:jc w:val="both"/>
              <w:rPr>
                <w:sz w:val="22"/>
                <w:szCs w:val="22"/>
                <w:lang w:val="sr-Latn-RS" w:bidi="en-US"/>
              </w:rPr>
            </w:pPr>
            <w:r w:rsidRPr="00C2143B">
              <w:rPr>
                <w:sz w:val="22"/>
                <w:szCs w:val="22"/>
                <w:lang w:val="sr-Latn-RS" w:bidi="en-US"/>
              </w:rPr>
              <w:t>Pri</w:t>
            </w:r>
            <w:r w:rsidRPr="00261E6C">
              <w:rPr>
                <w:sz w:val="22"/>
                <w:szCs w:val="22"/>
                <w:lang w:val="sr-Latn-RS" w:bidi="en-US"/>
              </w:rPr>
              <w:t xml:space="preserve"> prv</w:t>
            </w:r>
            <w:r w:rsidRPr="00C2143B">
              <w:rPr>
                <w:sz w:val="22"/>
                <w:szCs w:val="22"/>
                <w:lang w:val="sr-Latn-RS" w:bidi="en-US"/>
              </w:rPr>
              <w:t>oj</w:t>
            </w:r>
            <w:r w:rsidRPr="00261E6C">
              <w:rPr>
                <w:sz w:val="22"/>
                <w:szCs w:val="22"/>
                <w:lang w:val="sr-Latn-RS" w:bidi="en-US"/>
              </w:rPr>
              <w:t xml:space="preserve"> pojav</w:t>
            </w:r>
            <w:r w:rsidRPr="00C2143B">
              <w:rPr>
                <w:sz w:val="22"/>
                <w:szCs w:val="22"/>
                <w:lang w:val="sr-Latn-RS" w:bidi="en-US"/>
              </w:rPr>
              <w:t>i</w:t>
            </w:r>
            <w:r w:rsidRPr="00261E6C">
              <w:rPr>
                <w:sz w:val="22"/>
                <w:szCs w:val="22"/>
                <w:lang w:val="sr-Latn-RS" w:bidi="en-US"/>
              </w:rPr>
              <w:t xml:space="preserve"> vizinga, bronhospazma ili generalizovane urtikarije gradusa 3 treba trajno prekinuti primjenu lijeka Polivy.</w:t>
            </w:r>
          </w:p>
          <w:p w:rsidR="00757756" w:rsidRPr="00261E6C" w:rsidRDefault="00757756" w:rsidP="00E4155A">
            <w:pPr>
              <w:widowControl w:val="0"/>
              <w:autoSpaceDE w:val="0"/>
              <w:autoSpaceDN w:val="0"/>
              <w:spacing w:before="123"/>
              <w:jc w:val="both"/>
              <w:rPr>
                <w:sz w:val="22"/>
                <w:szCs w:val="22"/>
                <w:lang w:val="sr-Latn-RS" w:bidi="en-US"/>
              </w:rPr>
            </w:pPr>
            <w:r w:rsidRPr="00261E6C">
              <w:rPr>
                <w:sz w:val="22"/>
                <w:szCs w:val="22"/>
                <w:lang w:val="sr-Latn-RS" w:bidi="en-US"/>
              </w:rPr>
              <w:t>U slučaju rekurentnog vizinga ili urtikarije gradusa 2 ili u slučaju recidiva bilo kojih simptoma gradusa 3, treba trajno prekinuti primjenu lijeka Polivy.</w:t>
            </w:r>
          </w:p>
          <w:p w:rsidR="00757756" w:rsidRPr="00261E6C" w:rsidRDefault="00757756" w:rsidP="00433FEA">
            <w:pPr>
              <w:widowControl w:val="0"/>
              <w:autoSpaceDE w:val="0"/>
              <w:autoSpaceDN w:val="0"/>
              <w:spacing w:before="118"/>
              <w:jc w:val="both"/>
              <w:rPr>
                <w:sz w:val="22"/>
                <w:szCs w:val="22"/>
                <w:lang w:val="sr-Latn-RS" w:bidi="en-US"/>
              </w:rPr>
            </w:pPr>
            <w:r w:rsidRPr="00261E6C">
              <w:rPr>
                <w:sz w:val="22"/>
                <w:szCs w:val="22"/>
                <w:lang w:val="sr-Latn-RS" w:bidi="en-US"/>
              </w:rPr>
              <w:t>Ako to nije slučaj, onda se nakon kompletnog povlačenja simptoma infuzija može nastaviti brzinom 50% manjom od brzine postignute prije prekida. U odsustvu simptoma povezanih sa infuzijom, brzina infuzije može se povećavati za po 50 mg na sat svakih 30 minuta.</w:t>
            </w:r>
          </w:p>
          <w:p w:rsidR="00757756" w:rsidRPr="00261E6C" w:rsidRDefault="00757756" w:rsidP="0015550A">
            <w:pPr>
              <w:widowControl w:val="0"/>
              <w:autoSpaceDE w:val="0"/>
              <w:autoSpaceDN w:val="0"/>
              <w:spacing w:before="121"/>
              <w:jc w:val="both"/>
              <w:rPr>
                <w:sz w:val="22"/>
                <w:szCs w:val="22"/>
                <w:lang w:val="sr-Latn-RS" w:bidi="en-US"/>
              </w:rPr>
            </w:pPr>
            <w:r w:rsidRPr="00261E6C">
              <w:rPr>
                <w:sz w:val="22"/>
                <w:szCs w:val="22"/>
                <w:lang w:val="sr-Latn-RS" w:bidi="en-US"/>
              </w:rPr>
              <w:t>U sljedećem ciklusu treba dati infuziju lijeka Polivy u periodu od 90 minuta. Ukoliko se ne javi reakcija povezana sa infuzijom, sve naknadne infuzije mogu se davati u trajanju od 30 minuta. Za sve cikluse treba dati premedikaciju.</w:t>
            </w:r>
          </w:p>
        </w:tc>
      </w:tr>
      <w:tr w:rsidR="00757756" w:rsidRPr="00261E6C" w:rsidTr="00FD4187">
        <w:trPr>
          <w:trHeight w:val="694"/>
        </w:trPr>
        <w:tc>
          <w:tcPr>
            <w:tcW w:w="1175" w:type="dxa"/>
            <w:vMerge/>
            <w:tcBorders>
              <w:left w:val="single" w:sz="4" w:space="0" w:color="000000"/>
              <w:bottom w:val="single" w:sz="4" w:space="0" w:color="000000"/>
              <w:right w:val="single" w:sz="4" w:space="0" w:color="000000"/>
            </w:tcBorders>
          </w:tcPr>
          <w:p w:rsidR="00757756" w:rsidRPr="00261E6C" w:rsidRDefault="00757756" w:rsidP="00261E6C">
            <w:pPr>
              <w:widowControl w:val="0"/>
              <w:autoSpaceDE w:val="0"/>
              <w:autoSpaceDN w:val="0"/>
              <w:jc w:val="both"/>
              <w:rPr>
                <w:sz w:val="22"/>
                <w:szCs w:val="22"/>
                <w:lang w:val="sr-Latn-RS" w:bidi="en-US"/>
              </w:rPr>
            </w:pPr>
          </w:p>
        </w:tc>
        <w:tc>
          <w:tcPr>
            <w:tcW w:w="1183" w:type="dxa"/>
            <w:tcBorders>
              <w:top w:val="single" w:sz="4" w:space="0" w:color="000000"/>
              <w:left w:val="single" w:sz="4" w:space="0" w:color="000000"/>
              <w:bottom w:val="single" w:sz="4" w:space="0" w:color="000000"/>
              <w:right w:val="single" w:sz="4" w:space="0" w:color="000000"/>
            </w:tcBorders>
            <w:hideMark/>
          </w:tcPr>
          <w:p w:rsidR="00757756" w:rsidRPr="00261E6C" w:rsidRDefault="00757756" w:rsidP="00261E6C">
            <w:pPr>
              <w:widowControl w:val="0"/>
              <w:autoSpaceDE w:val="0"/>
              <w:autoSpaceDN w:val="0"/>
              <w:jc w:val="both"/>
              <w:rPr>
                <w:sz w:val="22"/>
                <w:szCs w:val="22"/>
                <w:lang w:val="sr-Latn-RS" w:bidi="en-US"/>
              </w:rPr>
            </w:pPr>
            <w:r w:rsidRPr="00261E6C">
              <w:rPr>
                <w:sz w:val="22"/>
                <w:szCs w:val="22"/>
                <w:lang w:val="sr-Latn-RS" w:bidi="en-US"/>
              </w:rPr>
              <w:t>IRR gradusa 4</w:t>
            </w:r>
          </w:p>
        </w:tc>
        <w:tc>
          <w:tcPr>
            <w:tcW w:w="8171" w:type="dxa"/>
            <w:tcBorders>
              <w:top w:val="single" w:sz="4" w:space="0" w:color="000000"/>
              <w:left w:val="single" w:sz="4" w:space="0" w:color="000000"/>
              <w:bottom w:val="single" w:sz="4" w:space="0" w:color="000000"/>
              <w:right w:val="single" w:sz="4" w:space="0" w:color="000000"/>
            </w:tcBorders>
            <w:hideMark/>
          </w:tcPr>
          <w:p w:rsidR="00757756" w:rsidRPr="00261E6C" w:rsidRDefault="00757756" w:rsidP="00E4155A">
            <w:pPr>
              <w:widowControl w:val="0"/>
              <w:autoSpaceDE w:val="0"/>
              <w:autoSpaceDN w:val="0"/>
              <w:jc w:val="both"/>
              <w:rPr>
                <w:sz w:val="22"/>
                <w:szCs w:val="22"/>
                <w:lang w:val="sr-Latn-RS" w:bidi="en-US"/>
              </w:rPr>
            </w:pPr>
            <w:r w:rsidRPr="00261E6C">
              <w:rPr>
                <w:sz w:val="22"/>
                <w:szCs w:val="22"/>
                <w:lang w:val="sr-Latn-RS" w:bidi="en-US"/>
              </w:rPr>
              <w:t>Odmah prekinuti infuziju lijeka Polivy. Dati suportivnu terapiju.</w:t>
            </w:r>
          </w:p>
          <w:p w:rsidR="00757756" w:rsidRPr="00261E6C" w:rsidRDefault="00757756" w:rsidP="00E4155A">
            <w:pPr>
              <w:widowControl w:val="0"/>
              <w:autoSpaceDE w:val="0"/>
              <w:autoSpaceDN w:val="0"/>
              <w:jc w:val="both"/>
              <w:rPr>
                <w:sz w:val="22"/>
                <w:szCs w:val="22"/>
                <w:lang w:val="sr-Latn-RS" w:bidi="en-US"/>
              </w:rPr>
            </w:pPr>
            <w:r w:rsidRPr="00261E6C">
              <w:rPr>
                <w:sz w:val="22"/>
                <w:szCs w:val="22"/>
                <w:lang w:val="sr-Latn-RS" w:bidi="en-US"/>
              </w:rPr>
              <w:t>Trajno prekinuti primjenu lijeka Polivy.</w:t>
            </w:r>
          </w:p>
        </w:tc>
      </w:tr>
    </w:tbl>
    <w:p w:rsidR="005612C5" w:rsidRPr="00261E6C" w:rsidRDefault="005612C5" w:rsidP="00E4155A">
      <w:pPr>
        <w:widowControl w:val="0"/>
        <w:autoSpaceDE w:val="0"/>
        <w:autoSpaceDN w:val="0"/>
        <w:spacing w:before="4"/>
        <w:jc w:val="both"/>
        <w:rPr>
          <w:b/>
          <w:sz w:val="22"/>
          <w:szCs w:val="22"/>
          <w:lang w:val="sr-Latn-RS" w:bidi="en-US"/>
        </w:rPr>
      </w:pPr>
    </w:p>
    <w:p w:rsidR="00687D00" w:rsidRPr="00261E6C" w:rsidRDefault="00687D00" w:rsidP="00E4155A">
      <w:pPr>
        <w:widowControl w:val="0"/>
        <w:autoSpaceDE w:val="0"/>
        <w:autoSpaceDN w:val="0"/>
        <w:jc w:val="both"/>
        <w:rPr>
          <w:sz w:val="22"/>
          <w:szCs w:val="22"/>
          <w:lang w:val="sr-Latn-RS" w:bidi="en-US"/>
        </w:rPr>
      </w:pPr>
      <w:r w:rsidRPr="00261E6C">
        <w:rPr>
          <w:sz w:val="22"/>
          <w:szCs w:val="22"/>
          <w:u w:val="single"/>
          <w:lang w:val="sr-Latn-RS" w:bidi="en-US"/>
        </w:rPr>
        <w:t>Posebne populacije</w:t>
      </w:r>
    </w:p>
    <w:p w:rsidR="00687D00" w:rsidRPr="00261E6C" w:rsidRDefault="00687D00" w:rsidP="00E4155A">
      <w:pPr>
        <w:widowControl w:val="0"/>
        <w:autoSpaceDE w:val="0"/>
        <w:autoSpaceDN w:val="0"/>
        <w:spacing w:before="10"/>
        <w:jc w:val="both"/>
        <w:rPr>
          <w:sz w:val="22"/>
          <w:szCs w:val="22"/>
          <w:lang w:val="sr-Latn-RS" w:bidi="en-US"/>
        </w:rPr>
      </w:pPr>
    </w:p>
    <w:p w:rsidR="00687D00" w:rsidRPr="00261E6C" w:rsidRDefault="00687D00" w:rsidP="00433FEA">
      <w:pPr>
        <w:widowControl w:val="0"/>
        <w:autoSpaceDE w:val="0"/>
        <w:autoSpaceDN w:val="0"/>
        <w:spacing w:before="92"/>
        <w:jc w:val="both"/>
        <w:rPr>
          <w:i/>
          <w:sz w:val="22"/>
          <w:szCs w:val="22"/>
          <w:lang w:val="sr-Latn-RS" w:bidi="en-US"/>
        </w:rPr>
      </w:pPr>
      <w:r w:rsidRPr="00261E6C">
        <w:rPr>
          <w:i/>
          <w:iCs/>
          <w:sz w:val="22"/>
          <w:szCs w:val="22"/>
          <w:lang w:val="sr-Latn-RS" w:bidi="en-US"/>
        </w:rPr>
        <w:t>Starije osobe</w:t>
      </w:r>
    </w:p>
    <w:p w:rsidR="00687D00" w:rsidRPr="00261E6C" w:rsidRDefault="00687D00" w:rsidP="0015550A">
      <w:pPr>
        <w:widowControl w:val="0"/>
        <w:autoSpaceDE w:val="0"/>
        <w:autoSpaceDN w:val="0"/>
        <w:spacing w:before="1"/>
        <w:jc w:val="both"/>
        <w:rPr>
          <w:sz w:val="22"/>
          <w:szCs w:val="22"/>
          <w:lang w:val="sr-Latn-RS" w:bidi="en-US"/>
        </w:rPr>
      </w:pPr>
      <w:r w:rsidRPr="00261E6C">
        <w:rPr>
          <w:sz w:val="22"/>
          <w:szCs w:val="22"/>
          <w:lang w:val="sr-Latn-RS" w:bidi="en-US"/>
        </w:rPr>
        <w:t>Nije potrebno prilagođavanje doze lijeka Polivy za pacijente starosti ≥ 65 godina (pogledajte dio 5.2).</w:t>
      </w:r>
    </w:p>
    <w:p w:rsidR="00687D00" w:rsidRPr="00261E6C" w:rsidRDefault="00687D00">
      <w:pPr>
        <w:widowControl w:val="0"/>
        <w:autoSpaceDE w:val="0"/>
        <w:autoSpaceDN w:val="0"/>
        <w:spacing w:before="3"/>
        <w:jc w:val="both"/>
        <w:rPr>
          <w:sz w:val="22"/>
          <w:szCs w:val="22"/>
          <w:lang w:val="sr-Latn-RS" w:bidi="en-US"/>
        </w:rPr>
      </w:pPr>
    </w:p>
    <w:p w:rsidR="00687D00" w:rsidRPr="00261E6C" w:rsidRDefault="00687D00">
      <w:pPr>
        <w:widowControl w:val="0"/>
        <w:autoSpaceDE w:val="0"/>
        <w:autoSpaceDN w:val="0"/>
        <w:jc w:val="both"/>
        <w:rPr>
          <w:i/>
          <w:sz w:val="22"/>
          <w:szCs w:val="22"/>
          <w:lang w:val="sr-Latn-RS" w:bidi="en-US"/>
        </w:rPr>
      </w:pPr>
      <w:r w:rsidRPr="00261E6C">
        <w:rPr>
          <w:i/>
          <w:iCs/>
          <w:sz w:val="22"/>
          <w:szCs w:val="22"/>
          <w:lang w:val="sr-Latn-RS" w:bidi="en-US"/>
        </w:rPr>
        <w:t>Oštećenje funkcije bubrega</w:t>
      </w:r>
    </w:p>
    <w:p w:rsidR="00687D00" w:rsidRPr="00261E6C" w:rsidRDefault="00687D00">
      <w:pPr>
        <w:widowControl w:val="0"/>
        <w:autoSpaceDE w:val="0"/>
        <w:autoSpaceDN w:val="0"/>
        <w:jc w:val="both"/>
        <w:rPr>
          <w:sz w:val="22"/>
          <w:szCs w:val="22"/>
          <w:lang w:val="sr-Latn-RS" w:bidi="en-US"/>
        </w:rPr>
      </w:pPr>
      <w:r w:rsidRPr="00261E6C">
        <w:rPr>
          <w:sz w:val="22"/>
          <w:szCs w:val="22"/>
          <w:lang w:val="sr-Latn-RS" w:bidi="en-US"/>
        </w:rPr>
        <w:t>Za pacijente sa klirensom kreatinina (CrCL) ≥ 30 ml/min nije potrebno prilagođavanje doze. Za pacijente sa CrCL &lt; 30 ml/min nije definisana preporučena doza zbog ograničenih podataka.</w:t>
      </w:r>
    </w:p>
    <w:p w:rsidR="00687D00" w:rsidRPr="00261E6C" w:rsidRDefault="00687D00">
      <w:pPr>
        <w:widowControl w:val="0"/>
        <w:autoSpaceDE w:val="0"/>
        <w:autoSpaceDN w:val="0"/>
        <w:spacing w:before="9"/>
        <w:jc w:val="both"/>
        <w:rPr>
          <w:sz w:val="22"/>
          <w:szCs w:val="22"/>
          <w:lang w:val="sr-Latn-RS" w:bidi="en-US"/>
        </w:rPr>
      </w:pPr>
    </w:p>
    <w:p w:rsidR="00687D00" w:rsidRPr="00261E6C" w:rsidRDefault="00687D00">
      <w:pPr>
        <w:widowControl w:val="0"/>
        <w:autoSpaceDE w:val="0"/>
        <w:autoSpaceDN w:val="0"/>
        <w:spacing w:before="1"/>
        <w:jc w:val="both"/>
        <w:rPr>
          <w:i/>
          <w:sz w:val="22"/>
          <w:szCs w:val="22"/>
          <w:lang w:val="sr-Latn-RS" w:bidi="en-US"/>
        </w:rPr>
      </w:pPr>
      <w:r w:rsidRPr="00261E6C">
        <w:rPr>
          <w:i/>
          <w:iCs/>
          <w:sz w:val="22"/>
          <w:szCs w:val="22"/>
          <w:lang w:val="sr-Latn-RS" w:bidi="en-US"/>
        </w:rPr>
        <w:t>Oštećenje funkcije jetre</w:t>
      </w:r>
    </w:p>
    <w:p w:rsidR="00687D00" w:rsidRPr="00261E6C" w:rsidRDefault="00687D00">
      <w:pPr>
        <w:widowControl w:val="0"/>
        <w:autoSpaceDE w:val="0"/>
        <w:autoSpaceDN w:val="0"/>
        <w:spacing w:before="1"/>
        <w:jc w:val="both"/>
        <w:rPr>
          <w:sz w:val="22"/>
          <w:szCs w:val="22"/>
          <w:lang w:val="sr-Latn-RS" w:bidi="en-US"/>
        </w:rPr>
      </w:pPr>
      <w:r w:rsidRPr="00261E6C">
        <w:rPr>
          <w:sz w:val="22"/>
          <w:szCs w:val="22"/>
          <w:lang w:val="sr-Latn-RS" w:bidi="en-US"/>
        </w:rPr>
        <w:t>Treba izbjegavati primjenu lijeka Polivy kod pacijenata sa umjerenim ili teškim oštećenjem funkcije jetre (bilirubin viši od 1,5 × gornja granica normale [GGN]).</w:t>
      </w:r>
    </w:p>
    <w:p w:rsidR="00687D00" w:rsidRPr="00261E6C" w:rsidRDefault="00687D00">
      <w:pPr>
        <w:widowControl w:val="0"/>
        <w:autoSpaceDE w:val="0"/>
        <w:autoSpaceDN w:val="0"/>
        <w:jc w:val="both"/>
        <w:rPr>
          <w:sz w:val="22"/>
          <w:szCs w:val="22"/>
          <w:lang w:val="sr-Latn-RS" w:bidi="en-US"/>
        </w:rPr>
      </w:pPr>
    </w:p>
    <w:p w:rsidR="00687D00" w:rsidRPr="00261E6C" w:rsidRDefault="00687D00">
      <w:pPr>
        <w:widowControl w:val="0"/>
        <w:autoSpaceDE w:val="0"/>
        <w:autoSpaceDN w:val="0"/>
        <w:jc w:val="both"/>
        <w:rPr>
          <w:sz w:val="22"/>
          <w:szCs w:val="22"/>
          <w:lang w:val="sr-Latn-RS" w:bidi="en-US"/>
        </w:rPr>
      </w:pPr>
      <w:r w:rsidRPr="00261E6C">
        <w:rPr>
          <w:sz w:val="22"/>
          <w:szCs w:val="22"/>
          <w:lang w:val="sr-Latn-RS" w:bidi="en-US"/>
        </w:rPr>
        <w:t>Nije potrebno podešavanje početne doze kada se lijek Polivy daje pacijentima sa blagim oštećenjem funkcije jetre (bilirubin viši od GGN do manji ili jednak 1,5 × GGN ili aspartat transaminaza [AST] viša od GGN).</w:t>
      </w:r>
    </w:p>
    <w:p w:rsidR="005612C5" w:rsidRPr="00261E6C" w:rsidRDefault="005612C5">
      <w:pPr>
        <w:widowControl w:val="0"/>
        <w:autoSpaceDE w:val="0"/>
        <w:autoSpaceDN w:val="0"/>
        <w:jc w:val="both"/>
        <w:rPr>
          <w:sz w:val="22"/>
          <w:szCs w:val="22"/>
          <w:lang w:val="sr-Latn-RS" w:bidi="en-US"/>
        </w:rPr>
      </w:pPr>
    </w:p>
    <w:p w:rsidR="005612C5" w:rsidRPr="00261E6C" w:rsidRDefault="005612C5">
      <w:pPr>
        <w:widowControl w:val="0"/>
        <w:autoSpaceDE w:val="0"/>
        <w:autoSpaceDN w:val="0"/>
        <w:spacing w:before="1"/>
        <w:jc w:val="both"/>
        <w:rPr>
          <w:sz w:val="22"/>
          <w:szCs w:val="22"/>
          <w:lang w:val="sr-Latn-RS" w:bidi="en-US"/>
        </w:rPr>
      </w:pPr>
      <w:r w:rsidRPr="00261E6C">
        <w:rPr>
          <w:sz w:val="22"/>
          <w:szCs w:val="22"/>
          <w:lang w:val="sr-Latn-RS" w:bidi="en-US"/>
        </w:rPr>
        <w:t>U proučavanoj populaciji, kod blagog oštećenja funkcije jetre (</w:t>
      </w:r>
      <w:r w:rsidR="00687D00" w:rsidRPr="00261E6C">
        <w:rPr>
          <w:sz w:val="22"/>
          <w:szCs w:val="22"/>
          <w:lang w:val="sr-Latn-RS" w:bidi="en-US"/>
        </w:rPr>
        <w:t xml:space="preserve">definiše se kao AST ili ALT &gt;1,0 do 2,5 </w:t>
      </w:r>
      <w:r w:rsidRPr="00261E6C">
        <w:rPr>
          <w:sz w:val="22"/>
          <w:szCs w:val="22"/>
          <w:lang w:val="sr-Latn-RS" w:bidi="en-US"/>
        </w:rPr>
        <w:t xml:space="preserve">× GGN </w:t>
      </w:r>
      <w:r w:rsidRPr="00261E6C">
        <w:rPr>
          <w:sz w:val="22"/>
          <w:szCs w:val="22"/>
          <w:lang w:val="sr-Latn-RS" w:bidi="en-US"/>
        </w:rPr>
        <w:lastRenderedPageBreak/>
        <w:t>ili ukupni bilirubin &gt;1,0 do 1,5 × GGN), zab</w:t>
      </w:r>
      <w:r w:rsidR="00973B86" w:rsidRPr="00261E6C">
        <w:rPr>
          <w:sz w:val="22"/>
          <w:szCs w:val="22"/>
          <w:lang w:val="sr-Latn-RS" w:bidi="en-US"/>
        </w:rPr>
        <w:t>ilj</w:t>
      </w:r>
      <w:r w:rsidRPr="00261E6C">
        <w:rPr>
          <w:sz w:val="22"/>
          <w:szCs w:val="22"/>
          <w:lang w:val="sr-Latn-RS" w:bidi="en-US"/>
        </w:rPr>
        <w:t xml:space="preserve">eženo je povećanje izloženosti nekonjugovanom MMAE-u za </w:t>
      </w:r>
      <w:r w:rsidR="00724B76" w:rsidRPr="00261E6C">
        <w:rPr>
          <w:sz w:val="22"/>
          <w:szCs w:val="22"/>
          <w:lang w:val="sr-Latn-RS" w:bidi="en-US"/>
        </w:rPr>
        <w:t xml:space="preserve">najviše </w:t>
      </w:r>
      <w:r w:rsidRPr="00261E6C">
        <w:rPr>
          <w:sz w:val="22"/>
          <w:szCs w:val="22"/>
          <w:lang w:val="sr-Latn-RS" w:bidi="en-US"/>
        </w:rPr>
        <w:t>40%, koje se nije smatralo klinički značajnim.</w:t>
      </w:r>
    </w:p>
    <w:p w:rsidR="005612C5" w:rsidRPr="00261E6C" w:rsidRDefault="005612C5">
      <w:pPr>
        <w:widowControl w:val="0"/>
        <w:autoSpaceDE w:val="0"/>
        <w:autoSpaceDN w:val="0"/>
        <w:spacing w:before="1"/>
        <w:jc w:val="both"/>
        <w:rPr>
          <w:sz w:val="22"/>
          <w:szCs w:val="22"/>
          <w:lang w:val="sr-Latn-RS" w:bidi="en-US"/>
        </w:rPr>
      </w:pPr>
    </w:p>
    <w:p w:rsidR="00687D00" w:rsidRPr="00261E6C" w:rsidRDefault="00687D00">
      <w:pPr>
        <w:widowControl w:val="0"/>
        <w:autoSpaceDE w:val="0"/>
        <w:autoSpaceDN w:val="0"/>
        <w:jc w:val="both"/>
        <w:rPr>
          <w:i/>
          <w:sz w:val="22"/>
          <w:szCs w:val="22"/>
          <w:lang w:val="sr-Latn-RS" w:bidi="en-US"/>
        </w:rPr>
      </w:pPr>
      <w:r w:rsidRPr="00261E6C">
        <w:rPr>
          <w:i/>
          <w:iCs/>
          <w:sz w:val="22"/>
          <w:szCs w:val="22"/>
          <w:lang w:val="sr-Latn-RS" w:bidi="en-US"/>
        </w:rPr>
        <w:t>Pedijatrijska populacija</w:t>
      </w:r>
    </w:p>
    <w:p w:rsidR="00687D00" w:rsidRPr="00261E6C" w:rsidRDefault="00687D00">
      <w:pPr>
        <w:widowControl w:val="0"/>
        <w:autoSpaceDE w:val="0"/>
        <w:autoSpaceDN w:val="0"/>
        <w:spacing w:before="4"/>
        <w:jc w:val="both"/>
        <w:rPr>
          <w:sz w:val="22"/>
          <w:szCs w:val="22"/>
          <w:lang w:val="sr-Latn-RS" w:bidi="en-US"/>
        </w:rPr>
      </w:pPr>
      <w:r w:rsidRPr="00261E6C">
        <w:rPr>
          <w:sz w:val="22"/>
          <w:szCs w:val="22"/>
          <w:lang w:val="sr-Latn-RS" w:bidi="en-US"/>
        </w:rPr>
        <w:t>Bezbjednost i efikasnost kod djece i adolescenata mlađih od 18 godina nijesu još ustanovljene. Nema dostupnih podataka.</w:t>
      </w:r>
    </w:p>
    <w:p w:rsidR="00687D00" w:rsidRPr="00261E6C" w:rsidRDefault="00687D00">
      <w:pPr>
        <w:tabs>
          <w:tab w:val="left" w:pos="540"/>
          <w:tab w:val="left" w:pos="569"/>
        </w:tabs>
        <w:jc w:val="both"/>
        <w:rPr>
          <w:bCs/>
          <w:sz w:val="22"/>
          <w:szCs w:val="22"/>
          <w:u w:val="single"/>
          <w:lang w:val="sr-Latn-CS"/>
        </w:rPr>
      </w:pPr>
    </w:p>
    <w:p w:rsidR="00687D00" w:rsidRPr="00261E6C" w:rsidRDefault="00687D00">
      <w:pPr>
        <w:tabs>
          <w:tab w:val="left" w:pos="540"/>
          <w:tab w:val="left" w:pos="569"/>
        </w:tabs>
        <w:jc w:val="both"/>
        <w:rPr>
          <w:bCs/>
          <w:sz w:val="22"/>
          <w:szCs w:val="22"/>
          <w:u w:val="single"/>
          <w:lang w:val="sr-Latn-CS"/>
        </w:rPr>
      </w:pPr>
      <w:r w:rsidRPr="00261E6C">
        <w:rPr>
          <w:bCs/>
          <w:sz w:val="22"/>
          <w:szCs w:val="22"/>
          <w:u w:val="single"/>
          <w:lang w:val="sr-Latn-RS"/>
        </w:rPr>
        <w:t>Na</w:t>
      </w:r>
      <w:r w:rsidRPr="00261E6C">
        <w:rPr>
          <w:bCs/>
          <w:sz w:val="22"/>
          <w:szCs w:val="22"/>
          <w:u w:val="single"/>
          <w:lang w:val="sr-Latn-CS"/>
        </w:rPr>
        <w:t>č</w:t>
      </w:r>
      <w:r w:rsidRPr="00261E6C">
        <w:rPr>
          <w:bCs/>
          <w:sz w:val="22"/>
          <w:szCs w:val="22"/>
          <w:u w:val="single"/>
          <w:lang w:val="sr-Latn-RS"/>
        </w:rPr>
        <w:t>in</w:t>
      </w:r>
      <w:r w:rsidRPr="00261E6C">
        <w:rPr>
          <w:bCs/>
          <w:sz w:val="22"/>
          <w:szCs w:val="22"/>
          <w:u w:val="single"/>
          <w:lang w:val="sr-Latn-CS"/>
        </w:rPr>
        <w:t xml:space="preserve"> </w:t>
      </w:r>
      <w:r w:rsidRPr="00261E6C">
        <w:rPr>
          <w:bCs/>
          <w:sz w:val="22"/>
          <w:szCs w:val="22"/>
          <w:u w:val="single"/>
          <w:lang w:val="sr-Latn-RS"/>
        </w:rPr>
        <w:t>primjene</w:t>
      </w:r>
    </w:p>
    <w:p w:rsidR="00687D00" w:rsidRPr="00261E6C" w:rsidRDefault="00687D00">
      <w:pPr>
        <w:widowControl w:val="0"/>
        <w:autoSpaceDE w:val="0"/>
        <w:autoSpaceDN w:val="0"/>
        <w:spacing w:before="92"/>
        <w:jc w:val="both"/>
        <w:rPr>
          <w:sz w:val="22"/>
          <w:szCs w:val="22"/>
          <w:lang w:val="sr-Latn-RS" w:bidi="en-US"/>
        </w:rPr>
      </w:pPr>
      <w:r w:rsidRPr="00261E6C">
        <w:rPr>
          <w:sz w:val="22"/>
          <w:szCs w:val="22"/>
          <w:lang w:val="sr-Latn-RS" w:bidi="en-US"/>
        </w:rPr>
        <w:t>Lijek Polivy je namijenjen za intravensku primjenu.</w:t>
      </w:r>
    </w:p>
    <w:p w:rsidR="00687D00" w:rsidRPr="00261E6C" w:rsidRDefault="00687D00">
      <w:pPr>
        <w:widowControl w:val="0"/>
        <w:autoSpaceDE w:val="0"/>
        <w:autoSpaceDN w:val="0"/>
        <w:spacing w:before="9"/>
        <w:jc w:val="both"/>
        <w:rPr>
          <w:sz w:val="22"/>
          <w:szCs w:val="22"/>
          <w:lang w:val="sr-Latn-RS" w:bidi="en-US"/>
        </w:rPr>
      </w:pPr>
    </w:p>
    <w:p w:rsidR="00687D00" w:rsidRPr="00261E6C" w:rsidRDefault="00687D00">
      <w:pPr>
        <w:widowControl w:val="0"/>
        <w:autoSpaceDE w:val="0"/>
        <w:autoSpaceDN w:val="0"/>
        <w:spacing w:before="1"/>
        <w:jc w:val="both"/>
        <w:rPr>
          <w:sz w:val="22"/>
          <w:szCs w:val="22"/>
          <w:lang w:val="sr-Latn-RS" w:bidi="en-US"/>
        </w:rPr>
      </w:pPr>
      <w:r w:rsidRPr="00261E6C">
        <w:rPr>
          <w:sz w:val="22"/>
          <w:szCs w:val="22"/>
          <w:lang w:val="sr-Latn-RS" w:bidi="en-US"/>
        </w:rPr>
        <w:t>Početnu dozu lijeka Polivy treba davati u obliku intravenske infuzije u trajanju od 90 minuta. Pacijente treba posmatrati tokom infuzije i najmanje 90 minuta nakon završetka početne doze, zbog moguće pojave reakcija povezanih sa infuzijom/reakcija preosjetljivosti.</w:t>
      </w:r>
    </w:p>
    <w:p w:rsidR="00337A2B" w:rsidRPr="00261E6C" w:rsidRDefault="00337A2B">
      <w:pPr>
        <w:jc w:val="both"/>
        <w:rPr>
          <w:sz w:val="22"/>
          <w:szCs w:val="22"/>
          <w:lang w:val="sr-Latn-RS" w:bidi="en-US"/>
        </w:rPr>
        <w:sectPr w:rsidR="00337A2B" w:rsidRPr="00261E6C" w:rsidSect="004723AA">
          <w:type w:val="continuous"/>
          <w:pgSz w:w="11910" w:h="16840"/>
          <w:pgMar w:top="1040" w:right="820" w:bottom="900" w:left="1200" w:header="0" w:footer="0" w:gutter="0"/>
          <w:cols w:space="720"/>
        </w:sectPr>
      </w:pPr>
    </w:p>
    <w:p w:rsidR="00687D00" w:rsidRPr="00261E6C" w:rsidRDefault="00687D00">
      <w:pPr>
        <w:widowControl w:val="0"/>
        <w:autoSpaceDE w:val="0"/>
        <w:autoSpaceDN w:val="0"/>
        <w:spacing w:before="71"/>
        <w:jc w:val="both"/>
        <w:rPr>
          <w:sz w:val="22"/>
          <w:szCs w:val="22"/>
          <w:lang w:val="sr-Latn-RS" w:bidi="en-US"/>
        </w:rPr>
      </w:pPr>
      <w:r w:rsidRPr="00261E6C">
        <w:rPr>
          <w:sz w:val="22"/>
          <w:szCs w:val="22"/>
          <w:lang w:val="sr-Latn-RS" w:bidi="en-US"/>
        </w:rPr>
        <w:lastRenderedPageBreak/>
        <w:t>Ukoliko je pacijent dobro podnio prethodnu infuziju, sljedeća doza lijeka Polivy može se dati kao infuzija u trajanju od 30 minuta, a pacijente treba posmatrati tokom infuzije i najmanje 30 minuta nakon završetka infuzije.</w:t>
      </w:r>
    </w:p>
    <w:p w:rsidR="00687D00" w:rsidRPr="00261E6C" w:rsidRDefault="00687D00">
      <w:pPr>
        <w:widowControl w:val="0"/>
        <w:autoSpaceDE w:val="0"/>
        <w:autoSpaceDN w:val="0"/>
        <w:spacing w:before="2"/>
        <w:jc w:val="both"/>
        <w:rPr>
          <w:sz w:val="22"/>
          <w:szCs w:val="22"/>
          <w:lang w:val="sr-Latn-RS" w:bidi="en-US"/>
        </w:rPr>
      </w:pPr>
    </w:p>
    <w:p w:rsidR="00687D00" w:rsidRPr="00261E6C" w:rsidRDefault="00687D00">
      <w:pPr>
        <w:widowControl w:val="0"/>
        <w:autoSpaceDE w:val="0"/>
        <w:autoSpaceDN w:val="0"/>
        <w:spacing w:before="1"/>
        <w:jc w:val="both"/>
        <w:rPr>
          <w:sz w:val="22"/>
          <w:szCs w:val="22"/>
          <w:lang w:val="sr-Latn-RS" w:bidi="en-US"/>
        </w:rPr>
      </w:pPr>
      <w:r w:rsidRPr="00261E6C">
        <w:rPr>
          <w:sz w:val="22"/>
          <w:szCs w:val="22"/>
          <w:lang w:val="sr-Latn-RS" w:bidi="en-US"/>
        </w:rPr>
        <w:t xml:space="preserve">Lijek Polivy se mora rekonstituisati i razblažiti primjenom aseptične tehnike, pod nadzorom zdravstvenog radnika. Treba ga davati kao intravensku infuziju kroz posebnu infuzionu liniju opremljenu sterilnim, apirogenim, ugrađenim ili pričvšćenim filterom </w:t>
      </w:r>
      <w:r w:rsidR="002362EF" w:rsidRPr="00C2143B">
        <w:rPr>
          <w:sz w:val="22"/>
          <w:szCs w:val="22"/>
          <w:lang w:val="sr-Latn-RS" w:bidi="en-US"/>
        </w:rPr>
        <w:t xml:space="preserve">koji ima </w:t>
      </w:r>
      <w:r w:rsidRPr="00261E6C">
        <w:rPr>
          <w:sz w:val="22"/>
          <w:szCs w:val="22"/>
          <w:lang w:val="sr-Latn-RS" w:bidi="en-US"/>
        </w:rPr>
        <w:t>mal</w:t>
      </w:r>
      <w:r w:rsidR="002362EF" w:rsidRPr="00C2143B">
        <w:rPr>
          <w:sz w:val="22"/>
          <w:szCs w:val="22"/>
          <w:lang w:val="sr-Latn-RS" w:bidi="en-US"/>
        </w:rPr>
        <w:t>u</w:t>
      </w:r>
      <w:r w:rsidRPr="00261E6C">
        <w:rPr>
          <w:sz w:val="22"/>
          <w:szCs w:val="22"/>
          <w:lang w:val="sr-Latn-RS" w:bidi="en-US"/>
        </w:rPr>
        <w:t xml:space="preserve"> sposobnost vezivanja proteina (veličina pora od 0,2 ili 0,22 mikrometra) i kateterom. Lijek Polivy se ne smije primjenjivati kao brza ili bolus intravenska injekcija.</w:t>
      </w:r>
    </w:p>
    <w:p w:rsidR="00687D00" w:rsidRPr="00261E6C" w:rsidRDefault="00687D00">
      <w:pPr>
        <w:widowControl w:val="0"/>
        <w:autoSpaceDE w:val="0"/>
        <w:autoSpaceDN w:val="0"/>
        <w:spacing w:before="9"/>
        <w:jc w:val="both"/>
        <w:rPr>
          <w:sz w:val="22"/>
          <w:szCs w:val="22"/>
          <w:lang w:val="sr-Latn-RS" w:bidi="en-US"/>
        </w:rPr>
      </w:pPr>
    </w:p>
    <w:p w:rsidR="00687D00" w:rsidRPr="00261E6C" w:rsidRDefault="00687D00">
      <w:pPr>
        <w:widowControl w:val="0"/>
        <w:autoSpaceDE w:val="0"/>
        <w:autoSpaceDN w:val="0"/>
        <w:jc w:val="both"/>
        <w:rPr>
          <w:sz w:val="22"/>
          <w:szCs w:val="22"/>
          <w:lang w:val="sr-Latn-RS" w:bidi="en-US"/>
        </w:rPr>
      </w:pPr>
      <w:r w:rsidRPr="00261E6C">
        <w:rPr>
          <w:sz w:val="22"/>
          <w:szCs w:val="22"/>
          <w:lang w:val="sr-Latn-RS" w:bidi="en-US"/>
        </w:rPr>
        <w:t>Za uputstva o rekonstituisanju i razblaživanju lijeka prije primjene vidjeti dio 6.6.</w:t>
      </w:r>
    </w:p>
    <w:p w:rsidR="005612C5" w:rsidRPr="00261E6C" w:rsidRDefault="005612C5">
      <w:pPr>
        <w:widowControl w:val="0"/>
        <w:autoSpaceDE w:val="0"/>
        <w:autoSpaceDN w:val="0"/>
        <w:jc w:val="both"/>
        <w:rPr>
          <w:sz w:val="22"/>
          <w:szCs w:val="22"/>
          <w:lang w:val="sr-Latn-RS" w:bidi="en-US"/>
        </w:rPr>
      </w:pPr>
    </w:p>
    <w:p w:rsidR="00687D00" w:rsidRPr="00261E6C" w:rsidRDefault="00687D00">
      <w:pPr>
        <w:widowControl w:val="0"/>
        <w:autoSpaceDE w:val="0"/>
        <w:autoSpaceDN w:val="0"/>
        <w:jc w:val="both"/>
        <w:rPr>
          <w:i/>
          <w:sz w:val="22"/>
          <w:szCs w:val="22"/>
          <w:lang w:val="sr-Latn-RS" w:bidi="en-US"/>
        </w:rPr>
      </w:pPr>
      <w:r w:rsidRPr="00261E6C">
        <w:rPr>
          <w:i/>
          <w:iCs/>
          <w:sz w:val="22"/>
          <w:szCs w:val="22"/>
          <w:lang w:val="sr-Latn-RS" w:bidi="en-US"/>
        </w:rPr>
        <w:t>Mjere opreza koje treba preduzeti prije rukovanja ili primjene lijeka</w:t>
      </w:r>
    </w:p>
    <w:p w:rsidR="00687D00" w:rsidRPr="00261E6C" w:rsidRDefault="00687D00">
      <w:pPr>
        <w:widowControl w:val="0"/>
        <w:autoSpaceDE w:val="0"/>
        <w:autoSpaceDN w:val="0"/>
        <w:jc w:val="both"/>
        <w:rPr>
          <w:sz w:val="22"/>
          <w:szCs w:val="22"/>
          <w:lang w:val="sr-Latn-RS" w:bidi="en-US"/>
        </w:rPr>
      </w:pPr>
      <w:r w:rsidRPr="00261E6C">
        <w:rPr>
          <w:sz w:val="22"/>
          <w:szCs w:val="22"/>
          <w:lang w:val="sr-Latn-RS" w:bidi="en-US"/>
        </w:rPr>
        <w:t>Lijek Polivy sadrži citotoksičnu komponentu koja je kovalentno vezana za monoklonsko antitijelo. Treba se pridržavati pravilnog postupka pri rukovanju i odlaganju (vidjeti dio 6.6).</w:t>
      </w:r>
    </w:p>
    <w:p w:rsidR="00687D00" w:rsidRPr="00261E6C" w:rsidRDefault="00687D00">
      <w:pPr>
        <w:tabs>
          <w:tab w:val="left" w:pos="540"/>
          <w:tab w:val="left" w:pos="569"/>
        </w:tabs>
        <w:jc w:val="both"/>
        <w:rPr>
          <w:bCs/>
          <w:sz w:val="22"/>
          <w:szCs w:val="22"/>
          <w:lang w:val="sr-Latn-RS"/>
        </w:rPr>
      </w:pPr>
    </w:p>
    <w:p w:rsidR="00687D00" w:rsidRPr="00261E6C" w:rsidRDefault="00687D00">
      <w:pPr>
        <w:tabs>
          <w:tab w:val="left" w:pos="540"/>
          <w:tab w:val="left" w:pos="569"/>
        </w:tabs>
        <w:jc w:val="both"/>
        <w:rPr>
          <w:b/>
          <w:bCs/>
          <w:sz w:val="22"/>
          <w:szCs w:val="22"/>
          <w:lang w:val="sr-Latn-CS"/>
        </w:rPr>
      </w:pPr>
      <w:r w:rsidRPr="00261E6C">
        <w:rPr>
          <w:b/>
          <w:bCs/>
          <w:sz w:val="22"/>
          <w:szCs w:val="22"/>
          <w:lang w:val="sr-Latn-CS"/>
        </w:rPr>
        <w:t xml:space="preserve">4.3. </w:t>
      </w:r>
      <w:r w:rsidRPr="00261E6C">
        <w:rPr>
          <w:b/>
          <w:bCs/>
          <w:sz w:val="22"/>
          <w:szCs w:val="22"/>
          <w:lang w:val="sr-Latn-CS"/>
        </w:rPr>
        <w:tab/>
      </w:r>
      <w:r w:rsidRPr="00261E6C">
        <w:rPr>
          <w:b/>
          <w:bCs/>
          <w:sz w:val="22"/>
          <w:szCs w:val="22"/>
          <w:lang w:val="sr-Latn-RS"/>
        </w:rPr>
        <w:t>Kontraindikacije</w:t>
      </w:r>
    </w:p>
    <w:p w:rsidR="00687D00" w:rsidRPr="00261E6C" w:rsidRDefault="00687D00">
      <w:pPr>
        <w:tabs>
          <w:tab w:val="left" w:pos="540"/>
          <w:tab w:val="left" w:pos="569"/>
        </w:tabs>
        <w:jc w:val="both"/>
        <w:rPr>
          <w:bCs/>
          <w:sz w:val="22"/>
          <w:szCs w:val="22"/>
          <w:lang w:val="sr-Latn-CS"/>
        </w:rPr>
      </w:pPr>
    </w:p>
    <w:p w:rsidR="00687D00" w:rsidRPr="00261E6C" w:rsidRDefault="00687D00">
      <w:pPr>
        <w:pStyle w:val="BodyText"/>
        <w:jc w:val="both"/>
        <w:rPr>
          <w:lang w:val="sr-Latn-RS"/>
        </w:rPr>
      </w:pPr>
      <w:r w:rsidRPr="00261E6C">
        <w:rPr>
          <w:lang w:val="sr-Latn-RS"/>
        </w:rPr>
        <w:t>Preosjetljivost na aktivnu supstancu ili na neku od pomoćnih supstanci navedenih u dijelu 6.1.</w:t>
      </w:r>
    </w:p>
    <w:p w:rsidR="00687D00" w:rsidRPr="00261E6C" w:rsidRDefault="00687D00">
      <w:pPr>
        <w:pStyle w:val="BodyText"/>
        <w:jc w:val="both"/>
        <w:rPr>
          <w:lang w:val="sr-Latn-RS"/>
        </w:rPr>
      </w:pPr>
      <w:r w:rsidRPr="00261E6C">
        <w:rPr>
          <w:lang w:val="sr-Latn-RS"/>
        </w:rPr>
        <w:t>Aktivne teške infekcije (vidjeti dio 4.4).</w:t>
      </w:r>
    </w:p>
    <w:p w:rsidR="00687D00" w:rsidRPr="00261E6C" w:rsidRDefault="00687D00">
      <w:pPr>
        <w:tabs>
          <w:tab w:val="left" w:pos="540"/>
          <w:tab w:val="left" w:pos="569"/>
        </w:tabs>
        <w:jc w:val="both"/>
        <w:rPr>
          <w:bCs/>
          <w:sz w:val="22"/>
          <w:szCs w:val="22"/>
          <w:lang w:val="sr-Latn-RS"/>
        </w:rPr>
      </w:pPr>
    </w:p>
    <w:p w:rsidR="00687D00" w:rsidRPr="00261E6C" w:rsidRDefault="00687D00">
      <w:pPr>
        <w:tabs>
          <w:tab w:val="left" w:pos="540"/>
          <w:tab w:val="left" w:pos="569"/>
        </w:tabs>
        <w:jc w:val="both"/>
        <w:rPr>
          <w:b/>
          <w:bCs/>
          <w:sz w:val="22"/>
          <w:szCs w:val="22"/>
          <w:lang w:val="sr-Latn-CS"/>
        </w:rPr>
      </w:pPr>
      <w:r w:rsidRPr="00261E6C">
        <w:rPr>
          <w:b/>
          <w:bCs/>
          <w:sz w:val="22"/>
          <w:szCs w:val="22"/>
          <w:lang w:val="sr-Latn-CS"/>
        </w:rPr>
        <w:t xml:space="preserve">4.4. </w:t>
      </w:r>
      <w:r w:rsidRPr="00261E6C">
        <w:rPr>
          <w:b/>
          <w:bCs/>
          <w:sz w:val="22"/>
          <w:szCs w:val="22"/>
          <w:lang w:val="sr-Latn-CS"/>
        </w:rPr>
        <w:tab/>
      </w:r>
      <w:r w:rsidRPr="00261E6C">
        <w:rPr>
          <w:b/>
          <w:bCs/>
          <w:sz w:val="22"/>
          <w:szCs w:val="22"/>
          <w:lang w:val="sr-Latn-RS"/>
        </w:rPr>
        <w:t>Posebna</w:t>
      </w:r>
      <w:r w:rsidRPr="00261E6C">
        <w:rPr>
          <w:b/>
          <w:bCs/>
          <w:sz w:val="22"/>
          <w:szCs w:val="22"/>
          <w:lang w:val="sr-Latn-CS"/>
        </w:rPr>
        <w:t xml:space="preserve"> </w:t>
      </w:r>
      <w:r w:rsidRPr="00261E6C">
        <w:rPr>
          <w:b/>
          <w:bCs/>
          <w:sz w:val="22"/>
          <w:szCs w:val="22"/>
          <w:lang w:val="sr-Latn-RS"/>
        </w:rPr>
        <w:t>upozorenja</w:t>
      </w:r>
      <w:r w:rsidRPr="00261E6C">
        <w:rPr>
          <w:b/>
          <w:bCs/>
          <w:sz w:val="22"/>
          <w:szCs w:val="22"/>
          <w:lang w:val="sr-Latn-CS"/>
        </w:rPr>
        <w:t xml:space="preserve"> </w:t>
      </w:r>
      <w:r w:rsidRPr="00261E6C">
        <w:rPr>
          <w:b/>
          <w:bCs/>
          <w:sz w:val="22"/>
          <w:szCs w:val="22"/>
          <w:lang w:val="sr-Latn-RS"/>
        </w:rPr>
        <w:t>i</w:t>
      </w:r>
      <w:r w:rsidRPr="00261E6C">
        <w:rPr>
          <w:b/>
          <w:bCs/>
          <w:sz w:val="22"/>
          <w:szCs w:val="22"/>
          <w:lang w:val="sr-Latn-CS"/>
        </w:rPr>
        <w:t xml:space="preserve"> </w:t>
      </w:r>
      <w:r w:rsidRPr="00261E6C">
        <w:rPr>
          <w:b/>
          <w:bCs/>
          <w:sz w:val="22"/>
          <w:szCs w:val="22"/>
          <w:lang w:val="sr-Latn-RS"/>
        </w:rPr>
        <w:t>mjere</w:t>
      </w:r>
      <w:r w:rsidRPr="00261E6C">
        <w:rPr>
          <w:b/>
          <w:bCs/>
          <w:sz w:val="22"/>
          <w:szCs w:val="22"/>
          <w:lang w:val="sr-Latn-CS"/>
        </w:rPr>
        <w:t xml:space="preserve"> </w:t>
      </w:r>
      <w:r w:rsidRPr="00261E6C">
        <w:rPr>
          <w:b/>
          <w:bCs/>
          <w:sz w:val="22"/>
          <w:szCs w:val="22"/>
          <w:lang w:val="sr-Latn-RS"/>
        </w:rPr>
        <w:t>opreza</w:t>
      </w:r>
      <w:r w:rsidRPr="00261E6C">
        <w:rPr>
          <w:b/>
          <w:bCs/>
          <w:sz w:val="22"/>
          <w:szCs w:val="22"/>
          <w:lang w:val="sr-Latn-CS"/>
        </w:rPr>
        <w:t xml:space="preserve"> </w:t>
      </w:r>
      <w:r w:rsidRPr="00261E6C">
        <w:rPr>
          <w:b/>
          <w:bCs/>
          <w:sz w:val="22"/>
          <w:szCs w:val="22"/>
          <w:lang w:val="sr-Latn-RS"/>
        </w:rPr>
        <w:t>pri</w:t>
      </w:r>
      <w:r w:rsidRPr="00261E6C">
        <w:rPr>
          <w:b/>
          <w:bCs/>
          <w:sz w:val="22"/>
          <w:szCs w:val="22"/>
          <w:lang w:val="sr-Latn-CS"/>
        </w:rPr>
        <w:t xml:space="preserve"> </w:t>
      </w:r>
      <w:r w:rsidRPr="00261E6C">
        <w:rPr>
          <w:b/>
          <w:bCs/>
          <w:sz w:val="22"/>
          <w:szCs w:val="22"/>
          <w:lang w:val="sr-Latn-RS"/>
        </w:rPr>
        <w:t>upotrebi</w:t>
      </w:r>
      <w:r w:rsidRPr="00261E6C">
        <w:rPr>
          <w:b/>
          <w:bCs/>
          <w:sz w:val="22"/>
          <w:szCs w:val="22"/>
          <w:lang w:val="sr-Latn-CS"/>
        </w:rPr>
        <w:t xml:space="preserve"> </w:t>
      </w:r>
      <w:r w:rsidRPr="00261E6C">
        <w:rPr>
          <w:b/>
          <w:bCs/>
          <w:sz w:val="22"/>
          <w:szCs w:val="22"/>
          <w:lang w:val="sr-Latn-RS"/>
        </w:rPr>
        <w:t>lijeka</w:t>
      </w:r>
    </w:p>
    <w:p w:rsidR="00687D00" w:rsidRPr="00261E6C" w:rsidRDefault="00687D00">
      <w:pPr>
        <w:tabs>
          <w:tab w:val="left" w:pos="540"/>
          <w:tab w:val="left" w:pos="569"/>
        </w:tabs>
        <w:jc w:val="both"/>
        <w:rPr>
          <w:bCs/>
          <w:sz w:val="22"/>
          <w:szCs w:val="22"/>
          <w:lang w:val="sr-Latn-CS"/>
        </w:rPr>
      </w:pPr>
    </w:p>
    <w:p w:rsidR="00687D00" w:rsidRPr="00261E6C" w:rsidRDefault="00687D00">
      <w:pPr>
        <w:widowControl w:val="0"/>
        <w:autoSpaceDE w:val="0"/>
        <w:autoSpaceDN w:val="0"/>
        <w:jc w:val="both"/>
        <w:rPr>
          <w:sz w:val="22"/>
          <w:szCs w:val="22"/>
          <w:lang w:val="sr-Latn-RS" w:bidi="en-US"/>
        </w:rPr>
      </w:pPr>
      <w:r w:rsidRPr="00261E6C">
        <w:rPr>
          <w:sz w:val="22"/>
          <w:szCs w:val="22"/>
          <w:u w:val="single"/>
          <w:lang w:val="sr-Latn-RS" w:bidi="en-US"/>
        </w:rPr>
        <w:t>Sljedljivost</w:t>
      </w:r>
    </w:p>
    <w:p w:rsidR="00687D00" w:rsidRPr="00261E6C" w:rsidRDefault="00687D00">
      <w:pPr>
        <w:widowControl w:val="0"/>
        <w:autoSpaceDE w:val="0"/>
        <w:autoSpaceDN w:val="0"/>
        <w:spacing w:before="92"/>
        <w:jc w:val="both"/>
        <w:rPr>
          <w:sz w:val="22"/>
          <w:szCs w:val="22"/>
          <w:lang w:val="sr-Latn-RS" w:bidi="en-US"/>
        </w:rPr>
      </w:pPr>
      <w:r w:rsidRPr="00261E6C">
        <w:rPr>
          <w:sz w:val="22"/>
          <w:szCs w:val="22"/>
          <w:lang w:val="sr-Latn-RS" w:bidi="en-US"/>
        </w:rPr>
        <w:t>Kako bi se poboljšala sljedljivost biološkog lijeka, potrebno je jasno zabilježiti zaštićeni naziv i broj serije primijenjenog lijeka.</w:t>
      </w:r>
    </w:p>
    <w:p w:rsidR="00687D00" w:rsidRPr="00261E6C" w:rsidRDefault="00687D00">
      <w:pPr>
        <w:widowControl w:val="0"/>
        <w:autoSpaceDE w:val="0"/>
        <w:autoSpaceDN w:val="0"/>
        <w:jc w:val="both"/>
        <w:rPr>
          <w:sz w:val="22"/>
          <w:szCs w:val="22"/>
          <w:lang w:val="sr-Latn-RS" w:bidi="en-US"/>
        </w:rPr>
      </w:pPr>
    </w:p>
    <w:p w:rsidR="00687D00" w:rsidRPr="00261E6C" w:rsidRDefault="00687D00">
      <w:pPr>
        <w:widowControl w:val="0"/>
        <w:autoSpaceDE w:val="0"/>
        <w:autoSpaceDN w:val="0"/>
        <w:jc w:val="both"/>
        <w:rPr>
          <w:sz w:val="22"/>
          <w:szCs w:val="22"/>
          <w:lang w:val="sr-Latn-RS" w:bidi="en-US"/>
        </w:rPr>
      </w:pPr>
      <w:r w:rsidRPr="00261E6C">
        <w:rPr>
          <w:sz w:val="22"/>
          <w:szCs w:val="22"/>
          <w:u w:val="single"/>
          <w:lang w:val="sr-Latn-RS" w:bidi="en-US"/>
        </w:rPr>
        <w:t>Mijelosupresija</w:t>
      </w:r>
    </w:p>
    <w:p w:rsidR="00687D00" w:rsidRPr="00261E6C" w:rsidRDefault="00687D00">
      <w:pPr>
        <w:widowControl w:val="0"/>
        <w:autoSpaceDE w:val="0"/>
        <w:autoSpaceDN w:val="0"/>
        <w:spacing w:before="94"/>
        <w:jc w:val="both"/>
        <w:rPr>
          <w:sz w:val="22"/>
          <w:szCs w:val="22"/>
          <w:lang w:val="sr-Latn-RS" w:bidi="en-US"/>
        </w:rPr>
      </w:pPr>
      <w:r w:rsidRPr="00261E6C">
        <w:rPr>
          <w:sz w:val="22"/>
          <w:szCs w:val="22"/>
          <w:lang w:val="sr-Latn-RS" w:bidi="en-US"/>
        </w:rPr>
        <w:t>Ozbiljna i teška neutropenija i febrilna neutropenija zabilježene su kod pacijenata liječenih lijekom Polivy već u prvom ciklusu terapije. Profilaktička primjena faktora stimulacije granulocitne kolonije (G-CFS) bila je neophodna prilikom kliničkog razvoja i treba je uzeti u obzir. Prilikom primjene lijeka Polivy takođe se mogu javiti trombocitopenija ili anemija gradusa 3 ili 4. Prije svake doze lijeka Polivy treba uraditi kompletnu krvnu sliku. Češće laboratorijske provjere i/ili odlaganje odnosno trajni prekid primjene lijeka Polivy treba razmotriti kod pacijenta sa neutropenijom i/ili trombocitopenijom gradusa 3 ili gradusa 4 (vidjeti dio 4.2).</w:t>
      </w:r>
    </w:p>
    <w:p w:rsidR="00687D00" w:rsidRPr="00261E6C" w:rsidRDefault="00687D00">
      <w:pPr>
        <w:widowControl w:val="0"/>
        <w:autoSpaceDE w:val="0"/>
        <w:autoSpaceDN w:val="0"/>
        <w:spacing w:before="10"/>
        <w:jc w:val="both"/>
        <w:rPr>
          <w:sz w:val="22"/>
          <w:szCs w:val="22"/>
          <w:lang w:val="sr-Latn-RS" w:bidi="en-US"/>
        </w:rPr>
      </w:pPr>
    </w:p>
    <w:p w:rsidR="00687D00" w:rsidRPr="00261E6C" w:rsidRDefault="00687D00">
      <w:pPr>
        <w:widowControl w:val="0"/>
        <w:autoSpaceDE w:val="0"/>
        <w:autoSpaceDN w:val="0"/>
        <w:jc w:val="both"/>
        <w:rPr>
          <w:sz w:val="22"/>
          <w:szCs w:val="22"/>
          <w:lang w:val="sr-Latn-RS" w:bidi="en-US"/>
        </w:rPr>
      </w:pPr>
      <w:r w:rsidRPr="00261E6C">
        <w:rPr>
          <w:sz w:val="22"/>
          <w:szCs w:val="22"/>
          <w:u w:val="single"/>
          <w:lang w:val="sr-Latn-RS" w:bidi="en-US"/>
        </w:rPr>
        <w:t>Periferna neuropatija</w:t>
      </w:r>
    </w:p>
    <w:p w:rsidR="00687D00" w:rsidRPr="00261E6C" w:rsidRDefault="00687D00">
      <w:pPr>
        <w:widowControl w:val="0"/>
        <w:autoSpaceDE w:val="0"/>
        <w:autoSpaceDN w:val="0"/>
        <w:spacing w:before="92"/>
        <w:jc w:val="both"/>
        <w:rPr>
          <w:sz w:val="22"/>
          <w:szCs w:val="22"/>
          <w:lang w:val="sr-Latn-RS" w:bidi="en-US"/>
        </w:rPr>
      </w:pPr>
      <w:r w:rsidRPr="00261E6C">
        <w:rPr>
          <w:sz w:val="22"/>
          <w:szCs w:val="22"/>
          <w:lang w:val="sr-Latn-RS" w:bidi="en-US"/>
        </w:rPr>
        <w:t>Periferna neuropatija zabilježena je kod pacijenata liječenih lijekom Polivy već u prvom ciklusu terapije, a rizik se povećava sa svakom sljedećom dozom. Kod pacijenata sa već postojećom perifernom neuropatijom može doći do pogoršanja tog stanja. Kod liječenja lijekom Polivy prvenstveno se prijavljuje senzorna periferna neuropatija. Međutim, takođe su zabilježene i motorna i senzomotorna periferna neuropatija. Pacijente treba pratiti zbog moguće pojave simptoma periferne neuropatije, kao što su hipoestezija, hiperestezija, parestezija, dizestezija, neuropatski bol, osjećaj žarenja, mišićna slabost ili poremećaj hoda. Kod pacijenata kod kojih se razvije ili pogorša postojeća periferna neuropatija može biti potrebno razmotriti odlaganje primjene, smanjenje doze ili trajni prekid primjene lijeka Polivy (vidjeti dio 4.2).</w:t>
      </w:r>
    </w:p>
    <w:p w:rsidR="00687D00" w:rsidRPr="00C2143B" w:rsidRDefault="00687D00">
      <w:pPr>
        <w:widowControl w:val="0"/>
        <w:autoSpaceDE w:val="0"/>
        <w:autoSpaceDN w:val="0"/>
        <w:spacing w:before="9"/>
        <w:jc w:val="both"/>
        <w:rPr>
          <w:sz w:val="22"/>
          <w:szCs w:val="22"/>
          <w:lang w:val="sr-Latn-RS" w:bidi="en-US"/>
        </w:rPr>
      </w:pPr>
    </w:p>
    <w:p w:rsidR="002362EF" w:rsidRPr="00261E6C" w:rsidRDefault="002362EF">
      <w:pPr>
        <w:widowControl w:val="0"/>
        <w:autoSpaceDE w:val="0"/>
        <w:autoSpaceDN w:val="0"/>
        <w:spacing w:before="9"/>
        <w:jc w:val="both"/>
        <w:rPr>
          <w:sz w:val="22"/>
          <w:szCs w:val="22"/>
          <w:lang w:val="sr-Latn-RS" w:bidi="en-US"/>
        </w:rPr>
      </w:pPr>
    </w:p>
    <w:p w:rsidR="00687D00" w:rsidRPr="00261E6C" w:rsidRDefault="00687D00">
      <w:pPr>
        <w:widowControl w:val="0"/>
        <w:autoSpaceDE w:val="0"/>
        <w:autoSpaceDN w:val="0"/>
        <w:jc w:val="both"/>
        <w:rPr>
          <w:sz w:val="22"/>
          <w:szCs w:val="22"/>
          <w:lang w:val="sr-Latn-RS" w:bidi="en-US"/>
        </w:rPr>
      </w:pPr>
      <w:r w:rsidRPr="00261E6C">
        <w:rPr>
          <w:sz w:val="22"/>
          <w:szCs w:val="22"/>
          <w:u w:val="single"/>
          <w:lang w:val="sr-Latn-RS" w:bidi="en-US"/>
        </w:rPr>
        <w:t>Infekcije</w:t>
      </w:r>
    </w:p>
    <w:p w:rsidR="00687D00" w:rsidRPr="00261E6C" w:rsidRDefault="00687D00">
      <w:pPr>
        <w:widowControl w:val="0"/>
        <w:autoSpaceDE w:val="0"/>
        <w:autoSpaceDN w:val="0"/>
        <w:spacing w:before="92"/>
        <w:jc w:val="both"/>
        <w:rPr>
          <w:sz w:val="22"/>
          <w:szCs w:val="22"/>
          <w:lang w:val="sr-Latn-RS" w:bidi="en-US"/>
        </w:rPr>
      </w:pPr>
      <w:r w:rsidRPr="00261E6C">
        <w:rPr>
          <w:sz w:val="22"/>
          <w:szCs w:val="22"/>
          <w:lang w:val="sr-Latn-RS" w:bidi="en-US"/>
        </w:rPr>
        <w:t xml:space="preserve">Kod pacijenata liječenih lijekom Polivy zabilježene su ozbiljne, po život opasne ili smrtonosne infekcije, uključujući oportunističke infekcije kao što su pneumonija (uključujući pneumoniju uzrokovanu gljivicom </w:t>
      </w:r>
      <w:r w:rsidRPr="00261E6C">
        <w:rPr>
          <w:i/>
          <w:iCs/>
          <w:sz w:val="22"/>
          <w:szCs w:val="22"/>
          <w:lang w:val="sr-Latn-RS" w:bidi="en-US"/>
        </w:rPr>
        <w:t xml:space="preserve">Pneumocystis jirovecii </w:t>
      </w:r>
      <w:r w:rsidRPr="00261E6C">
        <w:rPr>
          <w:sz w:val="22"/>
          <w:szCs w:val="22"/>
          <w:lang w:val="sr-Latn-RS" w:bidi="en-US"/>
        </w:rPr>
        <w:t>i druge gljivične pneumonije), bakter</w:t>
      </w:r>
      <w:r w:rsidR="00F863AB" w:rsidRPr="00C2143B">
        <w:rPr>
          <w:sz w:val="22"/>
          <w:szCs w:val="22"/>
          <w:lang w:val="sr-Latn-RS" w:bidi="en-US"/>
        </w:rPr>
        <w:t>ij</w:t>
      </w:r>
      <w:r w:rsidRPr="00261E6C">
        <w:rPr>
          <w:sz w:val="22"/>
          <w:szCs w:val="22"/>
          <w:lang w:val="sr-Latn-RS" w:bidi="en-US"/>
        </w:rPr>
        <w:t>emija, sepsa, infekcija herpesom i infekcija citomegalovirusom.</w:t>
      </w:r>
    </w:p>
    <w:p w:rsidR="00337A2B" w:rsidRPr="00261E6C" w:rsidRDefault="00687D00">
      <w:pPr>
        <w:widowControl w:val="0"/>
        <w:autoSpaceDE w:val="0"/>
        <w:autoSpaceDN w:val="0"/>
        <w:jc w:val="both"/>
        <w:rPr>
          <w:sz w:val="22"/>
          <w:szCs w:val="22"/>
          <w:lang w:val="sr-Latn-RS" w:bidi="en-US"/>
        </w:rPr>
        <w:sectPr w:rsidR="00337A2B" w:rsidRPr="00261E6C" w:rsidSect="004723AA">
          <w:type w:val="continuous"/>
          <w:pgSz w:w="11910" w:h="16840"/>
          <w:pgMar w:top="1040" w:right="820" w:bottom="900" w:left="1200" w:header="0" w:footer="0" w:gutter="0"/>
          <w:cols w:space="720"/>
        </w:sectPr>
      </w:pPr>
      <w:r w:rsidRPr="00261E6C">
        <w:rPr>
          <w:sz w:val="22"/>
          <w:szCs w:val="22"/>
          <w:lang w:val="sr-Latn-RS" w:bidi="en-US"/>
        </w:rPr>
        <w:t>Zabilježena je reaktivacija latentnih infekcija. Pacijente treba pažljivo pratiti tokom terapije zbog pojave znaka bakterijskih, gljivičnih ili virusnih infekcija, uputiti ih da potraže medicinski savjet ukoliko se jave takvi znakovi i simptomi. Treba razmotriti antimikrobnu profilaksu tokom liječenja lijekom Polivy.</w:t>
      </w:r>
    </w:p>
    <w:p w:rsidR="00687D00" w:rsidRPr="00261E6C" w:rsidRDefault="00687D00">
      <w:pPr>
        <w:widowControl w:val="0"/>
        <w:autoSpaceDE w:val="0"/>
        <w:autoSpaceDN w:val="0"/>
        <w:spacing w:before="71"/>
        <w:jc w:val="both"/>
        <w:rPr>
          <w:sz w:val="22"/>
          <w:szCs w:val="22"/>
          <w:lang w:val="sr-Latn-RS" w:bidi="en-US"/>
        </w:rPr>
      </w:pPr>
      <w:r w:rsidRPr="00261E6C">
        <w:rPr>
          <w:sz w:val="22"/>
          <w:szCs w:val="22"/>
          <w:lang w:val="sr-Latn-RS" w:bidi="en-US"/>
        </w:rPr>
        <w:lastRenderedPageBreak/>
        <w:t>Lijek Polivy ne treba primjenjivati ukoliko postoji aktivna teška infekcija. Primjenu lijeka Polivy i svu hemioterapiju koja se istovremeno primjenjuje treba trajno prekinuti kod pacijenata kod kojih se jave teške infekcije.</w:t>
      </w:r>
    </w:p>
    <w:p w:rsidR="00687D00" w:rsidRPr="00261E6C" w:rsidRDefault="00687D00">
      <w:pPr>
        <w:widowControl w:val="0"/>
        <w:autoSpaceDE w:val="0"/>
        <w:autoSpaceDN w:val="0"/>
        <w:spacing w:before="10"/>
        <w:jc w:val="both"/>
        <w:rPr>
          <w:sz w:val="22"/>
          <w:szCs w:val="22"/>
          <w:lang w:val="sr-Latn-RS" w:bidi="en-US"/>
        </w:rPr>
      </w:pPr>
    </w:p>
    <w:p w:rsidR="00687D00" w:rsidRPr="00261E6C" w:rsidRDefault="00687D00">
      <w:pPr>
        <w:widowControl w:val="0"/>
        <w:autoSpaceDE w:val="0"/>
        <w:autoSpaceDN w:val="0"/>
        <w:spacing w:before="1"/>
        <w:jc w:val="both"/>
        <w:rPr>
          <w:sz w:val="22"/>
          <w:szCs w:val="22"/>
          <w:lang w:val="sr-Latn-RS" w:bidi="en-US"/>
        </w:rPr>
      </w:pPr>
      <w:r w:rsidRPr="00261E6C">
        <w:rPr>
          <w:sz w:val="22"/>
          <w:szCs w:val="22"/>
          <w:u w:val="single"/>
          <w:lang w:val="sr-Latn-RS" w:bidi="en-US"/>
        </w:rPr>
        <w:t>Virus humane imunodeficijencije (HIV)</w:t>
      </w:r>
    </w:p>
    <w:p w:rsidR="00687D00" w:rsidRPr="00261E6C" w:rsidRDefault="00687D00">
      <w:pPr>
        <w:widowControl w:val="0"/>
        <w:autoSpaceDE w:val="0"/>
        <w:autoSpaceDN w:val="0"/>
        <w:spacing w:before="10"/>
        <w:jc w:val="both"/>
        <w:rPr>
          <w:sz w:val="22"/>
          <w:szCs w:val="22"/>
          <w:lang w:val="sr-Latn-RS" w:bidi="en-US"/>
        </w:rPr>
      </w:pPr>
    </w:p>
    <w:p w:rsidR="00687D00" w:rsidRPr="00261E6C" w:rsidRDefault="00687D00">
      <w:pPr>
        <w:widowControl w:val="0"/>
        <w:autoSpaceDE w:val="0"/>
        <w:autoSpaceDN w:val="0"/>
        <w:spacing w:before="91"/>
        <w:jc w:val="both"/>
        <w:rPr>
          <w:sz w:val="22"/>
          <w:szCs w:val="22"/>
          <w:lang w:val="sr-Latn-RS" w:bidi="en-US"/>
        </w:rPr>
      </w:pPr>
      <w:r w:rsidRPr="00261E6C">
        <w:rPr>
          <w:sz w:val="22"/>
          <w:szCs w:val="22"/>
          <w:lang w:val="sr-Latn-RS" w:bidi="en-US"/>
        </w:rPr>
        <w:t>Primjena lijeka Polivy nije procjenjivana kod pacijenata sa HIV-om. Za istovremenu primjenu sa inhibitorima CYP3A, vidjeti dio 4.5.</w:t>
      </w:r>
    </w:p>
    <w:p w:rsidR="00687D00" w:rsidRPr="00261E6C" w:rsidRDefault="00687D00">
      <w:pPr>
        <w:widowControl w:val="0"/>
        <w:autoSpaceDE w:val="0"/>
        <w:autoSpaceDN w:val="0"/>
        <w:jc w:val="both"/>
        <w:rPr>
          <w:sz w:val="22"/>
          <w:szCs w:val="22"/>
          <w:lang w:val="sr-Latn-RS" w:bidi="en-US"/>
        </w:rPr>
      </w:pPr>
    </w:p>
    <w:p w:rsidR="00687D00" w:rsidRPr="00261E6C" w:rsidRDefault="00687D00">
      <w:pPr>
        <w:widowControl w:val="0"/>
        <w:autoSpaceDE w:val="0"/>
        <w:autoSpaceDN w:val="0"/>
        <w:jc w:val="both"/>
        <w:rPr>
          <w:sz w:val="22"/>
          <w:szCs w:val="22"/>
          <w:lang w:val="sr-Latn-RS" w:bidi="en-US"/>
        </w:rPr>
      </w:pPr>
      <w:r w:rsidRPr="00261E6C">
        <w:rPr>
          <w:sz w:val="22"/>
          <w:szCs w:val="22"/>
          <w:u w:val="single"/>
          <w:lang w:val="sr-Latn-RS" w:bidi="en-US"/>
        </w:rPr>
        <w:t>Imunizacija</w:t>
      </w:r>
    </w:p>
    <w:p w:rsidR="00687D00" w:rsidRPr="00261E6C" w:rsidRDefault="00687D00">
      <w:pPr>
        <w:widowControl w:val="0"/>
        <w:autoSpaceDE w:val="0"/>
        <w:autoSpaceDN w:val="0"/>
        <w:spacing w:before="10"/>
        <w:jc w:val="both"/>
        <w:rPr>
          <w:sz w:val="22"/>
          <w:szCs w:val="22"/>
          <w:lang w:val="sr-Latn-RS" w:bidi="en-US"/>
        </w:rPr>
      </w:pPr>
    </w:p>
    <w:p w:rsidR="00687D00" w:rsidRPr="00261E6C" w:rsidRDefault="00687D00">
      <w:pPr>
        <w:widowControl w:val="0"/>
        <w:autoSpaceDE w:val="0"/>
        <w:autoSpaceDN w:val="0"/>
        <w:spacing w:before="92"/>
        <w:jc w:val="both"/>
        <w:rPr>
          <w:sz w:val="22"/>
          <w:szCs w:val="22"/>
          <w:lang w:val="sr-Latn-RS" w:bidi="en-US"/>
        </w:rPr>
      </w:pPr>
      <w:r w:rsidRPr="00261E6C">
        <w:rPr>
          <w:sz w:val="22"/>
          <w:szCs w:val="22"/>
          <w:lang w:val="sr-Latn-RS" w:bidi="en-US"/>
        </w:rPr>
        <w:t>Žive ili žive atenuisane vakcine ne treba davati istovremeno sa terapijom. Nijesu sprovedena ispitivanja sa pacijentima koji su nedavno primili žive vakcine.</w:t>
      </w:r>
    </w:p>
    <w:p w:rsidR="00687D00" w:rsidRPr="00261E6C" w:rsidRDefault="00687D00">
      <w:pPr>
        <w:widowControl w:val="0"/>
        <w:autoSpaceDE w:val="0"/>
        <w:autoSpaceDN w:val="0"/>
        <w:spacing w:before="11"/>
        <w:jc w:val="both"/>
        <w:rPr>
          <w:sz w:val="22"/>
          <w:szCs w:val="22"/>
          <w:lang w:val="sr-Latn-RS" w:bidi="en-US"/>
        </w:rPr>
      </w:pPr>
    </w:p>
    <w:p w:rsidR="00687D00" w:rsidRPr="00261E6C" w:rsidRDefault="00687D00">
      <w:pPr>
        <w:widowControl w:val="0"/>
        <w:autoSpaceDE w:val="0"/>
        <w:autoSpaceDN w:val="0"/>
        <w:jc w:val="both"/>
        <w:rPr>
          <w:sz w:val="22"/>
          <w:szCs w:val="22"/>
          <w:lang w:val="sr-Latn-RS" w:bidi="en-US"/>
        </w:rPr>
      </w:pPr>
      <w:r w:rsidRPr="00261E6C">
        <w:rPr>
          <w:sz w:val="22"/>
          <w:szCs w:val="22"/>
          <w:u w:val="single"/>
          <w:lang w:val="sr-Latn-RS" w:bidi="en-US"/>
        </w:rPr>
        <w:t>Progresivna multifokalna leukoencefalopatija (PML)</w:t>
      </w:r>
    </w:p>
    <w:p w:rsidR="00687D00" w:rsidRPr="00261E6C" w:rsidRDefault="00687D00">
      <w:pPr>
        <w:widowControl w:val="0"/>
        <w:autoSpaceDE w:val="0"/>
        <w:autoSpaceDN w:val="0"/>
        <w:spacing w:before="3"/>
        <w:jc w:val="both"/>
        <w:rPr>
          <w:sz w:val="22"/>
          <w:szCs w:val="22"/>
          <w:lang w:val="sr-Latn-RS" w:bidi="en-US"/>
        </w:rPr>
      </w:pPr>
    </w:p>
    <w:p w:rsidR="00687D00" w:rsidRPr="00261E6C" w:rsidRDefault="00687D00">
      <w:pPr>
        <w:widowControl w:val="0"/>
        <w:autoSpaceDE w:val="0"/>
        <w:autoSpaceDN w:val="0"/>
        <w:spacing w:before="92"/>
        <w:jc w:val="both"/>
        <w:rPr>
          <w:sz w:val="22"/>
          <w:szCs w:val="22"/>
          <w:lang w:val="sr-Latn-RS" w:bidi="en-US"/>
        </w:rPr>
      </w:pPr>
      <w:r w:rsidRPr="00261E6C">
        <w:rPr>
          <w:sz w:val="22"/>
          <w:szCs w:val="22"/>
          <w:lang w:val="sr-Latn-RS" w:bidi="en-US"/>
        </w:rPr>
        <w:t>Kod pacijenata koji su uzimali lijek Polivy prijavljena je PML (vidjeti dio 4.8). Pacijente treba pažljivo pratiti zbog pojave novih ili pogoršanja neuroloških, kognitivnih ili bihevioralnih promjena koje mogu ukazivati na PML. Lijek Polivy kao i  istovremenu primjenu  hemioterapije treba privremeno obustaviti ukoliko se javi sumnja na PML, kao i trajno prekinuti ukoliko se potvrdi dijagnoza.</w:t>
      </w:r>
    </w:p>
    <w:p w:rsidR="00687D00" w:rsidRPr="00261E6C" w:rsidRDefault="00687D00">
      <w:pPr>
        <w:widowControl w:val="0"/>
        <w:autoSpaceDE w:val="0"/>
        <w:autoSpaceDN w:val="0"/>
        <w:spacing w:before="9"/>
        <w:jc w:val="both"/>
        <w:rPr>
          <w:sz w:val="22"/>
          <w:szCs w:val="22"/>
          <w:lang w:val="sr-Latn-RS" w:bidi="en-US"/>
        </w:rPr>
      </w:pPr>
    </w:p>
    <w:p w:rsidR="00687D00" w:rsidRPr="00261E6C" w:rsidRDefault="00687D00">
      <w:pPr>
        <w:widowControl w:val="0"/>
        <w:autoSpaceDE w:val="0"/>
        <w:autoSpaceDN w:val="0"/>
        <w:jc w:val="both"/>
        <w:rPr>
          <w:sz w:val="22"/>
          <w:szCs w:val="22"/>
          <w:lang w:val="sr-Latn-RS" w:bidi="en-US"/>
        </w:rPr>
      </w:pPr>
      <w:r w:rsidRPr="00261E6C">
        <w:rPr>
          <w:sz w:val="22"/>
          <w:szCs w:val="22"/>
          <w:u w:val="single"/>
          <w:lang w:val="sr-Latn-RS" w:bidi="en-US"/>
        </w:rPr>
        <w:t>Sindrom lize tumora (TLS)</w:t>
      </w:r>
    </w:p>
    <w:p w:rsidR="00687D00" w:rsidRPr="00261E6C" w:rsidRDefault="00687D00">
      <w:pPr>
        <w:widowControl w:val="0"/>
        <w:autoSpaceDE w:val="0"/>
        <w:autoSpaceDN w:val="0"/>
        <w:spacing w:before="10"/>
        <w:jc w:val="both"/>
        <w:rPr>
          <w:sz w:val="22"/>
          <w:szCs w:val="22"/>
          <w:lang w:val="sr-Latn-RS" w:bidi="en-US"/>
        </w:rPr>
      </w:pPr>
    </w:p>
    <w:p w:rsidR="00687D00" w:rsidRPr="00261E6C" w:rsidRDefault="00687D00">
      <w:pPr>
        <w:widowControl w:val="0"/>
        <w:autoSpaceDE w:val="0"/>
        <w:autoSpaceDN w:val="0"/>
        <w:spacing w:before="92"/>
        <w:jc w:val="both"/>
        <w:rPr>
          <w:sz w:val="22"/>
          <w:szCs w:val="22"/>
          <w:lang w:val="sr-Latn-RS" w:bidi="en-US"/>
        </w:rPr>
      </w:pPr>
      <w:r w:rsidRPr="00261E6C">
        <w:rPr>
          <w:sz w:val="22"/>
          <w:szCs w:val="22"/>
          <w:lang w:val="sr-Latn-RS" w:bidi="en-US"/>
        </w:rPr>
        <w:t xml:space="preserve">Kod pacijenata sa velikim tumorskim opterećenjem i brzo proliferativnim tumorom može postojati povećani rizik od pojave TLS. Prije terapije lijekom Polivy treba preduzeti odgovarajuće mjere/profilaksu u skladu sa lokalnim smjernicama. Pacijente treba pažljivo </w:t>
      </w:r>
      <w:r w:rsidR="0015550A" w:rsidRPr="00C2143B">
        <w:rPr>
          <w:sz w:val="22"/>
          <w:szCs w:val="22"/>
          <w:lang w:val="sr-Latn-RS" w:bidi="en-US"/>
        </w:rPr>
        <w:t>pratiti</w:t>
      </w:r>
      <w:r w:rsidR="0015550A" w:rsidRPr="00261E6C">
        <w:rPr>
          <w:sz w:val="22"/>
          <w:szCs w:val="22"/>
          <w:lang w:val="sr-Latn-RS" w:bidi="en-US"/>
        </w:rPr>
        <w:t xml:space="preserve"> </w:t>
      </w:r>
      <w:r w:rsidRPr="00261E6C">
        <w:rPr>
          <w:sz w:val="22"/>
          <w:szCs w:val="22"/>
          <w:lang w:val="sr-Latn-RS" w:bidi="en-US"/>
        </w:rPr>
        <w:t>zbog moguće pojave TLS tokom terapije lijekom Polivy.</w:t>
      </w:r>
    </w:p>
    <w:p w:rsidR="00687D00" w:rsidRPr="00261E6C" w:rsidRDefault="00687D00">
      <w:pPr>
        <w:widowControl w:val="0"/>
        <w:autoSpaceDE w:val="0"/>
        <w:autoSpaceDN w:val="0"/>
        <w:spacing w:before="1"/>
        <w:jc w:val="both"/>
        <w:rPr>
          <w:sz w:val="22"/>
          <w:szCs w:val="22"/>
          <w:lang w:val="sr-Latn-RS" w:bidi="en-US"/>
        </w:rPr>
      </w:pPr>
    </w:p>
    <w:p w:rsidR="00687D00" w:rsidRPr="00261E6C" w:rsidRDefault="00687D00">
      <w:pPr>
        <w:widowControl w:val="0"/>
        <w:autoSpaceDE w:val="0"/>
        <w:autoSpaceDN w:val="0"/>
        <w:jc w:val="both"/>
        <w:rPr>
          <w:sz w:val="22"/>
          <w:szCs w:val="22"/>
          <w:lang w:val="sr-Latn-RS" w:bidi="en-US"/>
        </w:rPr>
      </w:pPr>
      <w:r w:rsidRPr="00261E6C">
        <w:rPr>
          <w:sz w:val="22"/>
          <w:szCs w:val="22"/>
          <w:u w:val="single"/>
          <w:lang w:val="sr-Latn-RS" w:bidi="en-US"/>
        </w:rPr>
        <w:t>Reakcije povezane sa infuzijom</w:t>
      </w:r>
    </w:p>
    <w:p w:rsidR="00687D00" w:rsidRPr="00261E6C" w:rsidRDefault="00687D00">
      <w:pPr>
        <w:widowControl w:val="0"/>
        <w:autoSpaceDE w:val="0"/>
        <w:autoSpaceDN w:val="0"/>
        <w:spacing w:before="3"/>
        <w:jc w:val="both"/>
        <w:rPr>
          <w:sz w:val="22"/>
          <w:szCs w:val="22"/>
          <w:lang w:val="sr-Latn-RS" w:bidi="en-US"/>
        </w:rPr>
      </w:pPr>
    </w:p>
    <w:p w:rsidR="00687D00" w:rsidRPr="00261E6C" w:rsidRDefault="00687D00">
      <w:pPr>
        <w:widowControl w:val="0"/>
        <w:autoSpaceDE w:val="0"/>
        <w:autoSpaceDN w:val="0"/>
        <w:spacing w:before="92"/>
        <w:jc w:val="both"/>
        <w:rPr>
          <w:sz w:val="22"/>
          <w:szCs w:val="22"/>
          <w:lang w:val="sr-Latn-RS" w:bidi="en-US"/>
        </w:rPr>
      </w:pPr>
      <w:r w:rsidRPr="00261E6C">
        <w:rPr>
          <w:sz w:val="22"/>
          <w:szCs w:val="22"/>
          <w:lang w:val="sr-Latn-RS" w:bidi="en-US"/>
        </w:rPr>
        <w:t>Lijek Polivy može da izazove reakcije povezane sa infuzijom (IRR), uključujući i teške slučajeve. Javile su se odložene reakcije povezane sa infuzijom i do 24 sata nakon primjene lijeka Polivy. Prije primjene lijeka Polivy treba dati antihistaminik ili antipiretik, a pacijente treba pažljivo pratiti tokom cijele infuzije. Ukoliko se javi reakcija povezana sa infuzijom, infuziju treba prekinuti i započeti odgovarajuće liječenje (vidjeti dio 4.2).</w:t>
      </w:r>
    </w:p>
    <w:p w:rsidR="00687D00" w:rsidRPr="00261E6C" w:rsidRDefault="00687D00">
      <w:pPr>
        <w:widowControl w:val="0"/>
        <w:autoSpaceDE w:val="0"/>
        <w:autoSpaceDN w:val="0"/>
        <w:spacing w:before="11"/>
        <w:jc w:val="both"/>
        <w:rPr>
          <w:sz w:val="22"/>
          <w:szCs w:val="22"/>
          <w:lang w:val="sr-Latn-RS" w:bidi="en-US"/>
        </w:rPr>
      </w:pPr>
    </w:p>
    <w:p w:rsidR="00687D00" w:rsidRPr="00261E6C" w:rsidRDefault="00687D00">
      <w:pPr>
        <w:widowControl w:val="0"/>
        <w:autoSpaceDE w:val="0"/>
        <w:autoSpaceDN w:val="0"/>
        <w:jc w:val="both"/>
        <w:rPr>
          <w:sz w:val="22"/>
          <w:szCs w:val="22"/>
          <w:lang w:val="sr-Latn-RS" w:bidi="en-US"/>
        </w:rPr>
      </w:pPr>
      <w:r w:rsidRPr="00261E6C">
        <w:rPr>
          <w:sz w:val="22"/>
          <w:szCs w:val="22"/>
          <w:u w:val="single"/>
          <w:lang w:val="sr-Latn-RS" w:bidi="en-US"/>
        </w:rPr>
        <w:t>Embrio-fetalna toksičnost</w:t>
      </w:r>
    </w:p>
    <w:p w:rsidR="00687D00" w:rsidRPr="00261E6C" w:rsidRDefault="00687D00">
      <w:pPr>
        <w:widowControl w:val="0"/>
        <w:autoSpaceDE w:val="0"/>
        <w:autoSpaceDN w:val="0"/>
        <w:spacing w:before="10"/>
        <w:jc w:val="both"/>
        <w:rPr>
          <w:sz w:val="22"/>
          <w:szCs w:val="22"/>
          <w:lang w:val="sr-Latn-RS" w:bidi="en-US"/>
        </w:rPr>
      </w:pPr>
    </w:p>
    <w:p w:rsidR="00687D00" w:rsidRPr="00261E6C" w:rsidRDefault="00687D00">
      <w:pPr>
        <w:widowControl w:val="0"/>
        <w:autoSpaceDE w:val="0"/>
        <w:autoSpaceDN w:val="0"/>
        <w:spacing w:before="91"/>
        <w:jc w:val="both"/>
        <w:rPr>
          <w:sz w:val="22"/>
          <w:szCs w:val="22"/>
          <w:lang w:val="sr-Latn-RS" w:bidi="en-US"/>
        </w:rPr>
      </w:pPr>
      <w:r w:rsidRPr="00261E6C">
        <w:rPr>
          <w:sz w:val="22"/>
          <w:szCs w:val="22"/>
          <w:lang w:val="sr-Latn-RS" w:bidi="en-US"/>
        </w:rPr>
        <w:t>Na osnovu mehanizma dejstva i pretkliničkih studija, lijek Polivy može biti štetan za fetus kada se primjenjuje kod trudnica (vidjeti dio 5.3). Trudnice treba upozoriti na rizik po fetus.</w:t>
      </w:r>
    </w:p>
    <w:p w:rsidR="00687D00" w:rsidRPr="00261E6C" w:rsidRDefault="00687D00">
      <w:pPr>
        <w:widowControl w:val="0"/>
        <w:autoSpaceDE w:val="0"/>
        <w:autoSpaceDN w:val="0"/>
        <w:spacing w:before="1"/>
        <w:jc w:val="both"/>
        <w:rPr>
          <w:sz w:val="22"/>
          <w:szCs w:val="22"/>
          <w:lang w:val="sr-Latn-RS" w:bidi="en-US"/>
        </w:rPr>
      </w:pPr>
    </w:p>
    <w:p w:rsidR="00687D00" w:rsidRPr="00C2143B" w:rsidRDefault="00687D00">
      <w:pPr>
        <w:widowControl w:val="0"/>
        <w:autoSpaceDE w:val="0"/>
        <w:autoSpaceDN w:val="0"/>
        <w:jc w:val="both"/>
        <w:rPr>
          <w:sz w:val="22"/>
          <w:szCs w:val="22"/>
          <w:lang w:val="sr-Latn-RS" w:bidi="en-US"/>
        </w:rPr>
      </w:pPr>
      <w:r w:rsidRPr="00261E6C">
        <w:rPr>
          <w:sz w:val="22"/>
          <w:szCs w:val="22"/>
          <w:lang w:val="sr-Latn-RS" w:bidi="en-US"/>
        </w:rPr>
        <w:t>Ženama u reproduktivnom periodu treba preporučiti da koriste efikasnu kontracepciju tokom terapije lijekom Polivy i najmanje 9 mjeseci nakon posljednje doze (vidjeti dio 4.6). Pacijentima čije partnerke su u reproduktivnom periodu treba preporučiti da koriste efikasnu kontracepciju tokom terapije lijekom Polivy i najmanje 6 mjeseci nakon posljednje doze (vidjeti dio 4.6).</w:t>
      </w:r>
    </w:p>
    <w:p w:rsidR="00641968" w:rsidRPr="00C2143B" w:rsidRDefault="00641968">
      <w:pPr>
        <w:widowControl w:val="0"/>
        <w:autoSpaceDE w:val="0"/>
        <w:autoSpaceDN w:val="0"/>
        <w:jc w:val="both"/>
        <w:rPr>
          <w:sz w:val="22"/>
          <w:szCs w:val="22"/>
          <w:lang w:val="sr-Latn-RS" w:bidi="en-US"/>
        </w:rPr>
      </w:pPr>
    </w:p>
    <w:p w:rsidR="00641968" w:rsidRPr="00C2143B" w:rsidRDefault="00641968">
      <w:pPr>
        <w:widowControl w:val="0"/>
        <w:autoSpaceDE w:val="0"/>
        <w:autoSpaceDN w:val="0"/>
        <w:jc w:val="both"/>
        <w:rPr>
          <w:sz w:val="22"/>
          <w:szCs w:val="22"/>
          <w:lang w:val="sr-Latn-RS" w:bidi="en-US"/>
        </w:rPr>
      </w:pPr>
    </w:p>
    <w:p w:rsidR="00641968" w:rsidRPr="00261E6C" w:rsidRDefault="00641968">
      <w:pPr>
        <w:widowControl w:val="0"/>
        <w:autoSpaceDE w:val="0"/>
        <w:autoSpaceDN w:val="0"/>
        <w:jc w:val="both"/>
        <w:rPr>
          <w:sz w:val="22"/>
          <w:szCs w:val="22"/>
          <w:lang w:val="sr-Latn-RS" w:bidi="en-US"/>
        </w:rPr>
      </w:pPr>
    </w:p>
    <w:p w:rsidR="00337A2B" w:rsidRPr="00261E6C" w:rsidRDefault="00337A2B">
      <w:pPr>
        <w:jc w:val="both"/>
        <w:rPr>
          <w:sz w:val="22"/>
          <w:szCs w:val="22"/>
          <w:lang w:val="sr-Latn-RS" w:bidi="en-US"/>
        </w:rPr>
        <w:sectPr w:rsidR="00337A2B" w:rsidRPr="00261E6C" w:rsidSect="004723AA">
          <w:type w:val="continuous"/>
          <w:pgSz w:w="11910" w:h="16840"/>
          <w:pgMar w:top="1040" w:right="820" w:bottom="900" w:left="1200" w:header="0" w:footer="0" w:gutter="0"/>
          <w:cols w:space="720"/>
        </w:sectPr>
      </w:pPr>
    </w:p>
    <w:p w:rsidR="00687D00" w:rsidRPr="00261E6C" w:rsidRDefault="00687D00">
      <w:pPr>
        <w:widowControl w:val="0"/>
        <w:autoSpaceDE w:val="0"/>
        <w:autoSpaceDN w:val="0"/>
        <w:spacing w:before="71"/>
        <w:jc w:val="both"/>
        <w:rPr>
          <w:sz w:val="22"/>
          <w:szCs w:val="22"/>
          <w:lang w:val="sr-Latn-RS" w:bidi="en-US"/>
        </w:rPr>
      </w:pPr>
      <w:r w:rsidRPr="00261E6C">
        <w:rPr>
          <w:sz w:val="22"/>
          <w:szCs w:val="22"/>
          <w:u w:val="single"/>
          <w:lang w:val="sr-Latn-RS" w:bidi="en-US"/>
        </w:rPr>
        <w:lastRenderedPageBreak/>
        <w:t>Plodnost</w:t>
      </w:r>
    </w:p>
    <w:p w:rsidR="00687D00" w:rsidRPr="00261E6C" w:rsidRDefault="00687D00">
      <w:pPr>
        <w:widowControl w:val="0"/>
        <w:autoSpaceDE w:val="0"/>
        <w:autoSpaceDN w:val="0"/>
        <w:spacing w:before="10"/>
        <w:jc w:val="both"/>
        <w:rPr>
          <w:sz w:val="22"/>
          <w:szCs w:val="22"/>
          <w:lang w:val="sr-Latn-RS" w:bidi="en-US"/>
        </w:rPr>
      </w:pPr>
    </w:p>
    <w:p w:rsidR="00687D00" w:rsidRPr="00261E6C" w:rsidRDefault="00687D00">
      <w:pPr>
        <w:widowControl w:val="0"/>
        <w:autoSpaceDE w:val="0"/>
        <w:autoSpaceDN w:val="0"/>
        <w:spacing w:before="91"/>
        <w:jc w:val="both"/>
        <w:rPr>
          <w:sz w:val="22"/>
          <w:szCs w:val="22"/>
          <w:lang w:val="sr-Latn-RS" w:bidi="en-US"/>
        </w:rPr>
      </w:pPr>
      <w:r w:rsidRPr="00261E6C">
        <w:rPr>
          <w:sz w:val="22"/>
          <w:szCs w:val="22"/>
          <w:lang w:val="sr-Latn-RS" w:bidi="en-US"/>
        </w:rPr>
        <w:t>U pretkliničkim ispitivanjima, polatuzumab vedotin je ispoljio toksičnost na testisima i može da ošteti reproduktivnu funkciju i plodnost muškaraca (vidjeti dio 5.3). Stoga se muškarcima koji se liječe lijekom Polivy savjetuje da sačuvaju uzorke svoje sperme prije terapije (vidjeti dio 4.6).</w:t>
      </w:r>
    </w:p>
    <w:p w:rsidR="005612C5" w:rsidRPr="00261E6C" w:rsidRDefault="005612C5">
      <w:pPr>
        <w:widowControl w:val="0"/>
        <w:autoSpaceDE w:val="0"/>
        <w:autoSpaceDN w:val="0"/>
        <w:spacing w:before="2"/>
        <w:jc w:val="both"/>
        <w:rPr>
          <w:sz w:val="22"/>
          <w:szCs w:val="22"/>
          <w:lang w:val="sr-Latn-RS" w:bidi="en-US"/>
        </w:rPr>
      </w:pPr>
    </w:p>
    <w:p w:rsidR="005612C5" w:rsidRPr="00261E6C" w:rsidRDefault="005612C5">
      <w:pPr>
        <w:widowControl w:val="0"/>
        <w:autoSpaceDE w:val="0"/>
        <w:autoSpaceDN w:val="0"/>
        <w:jc w:val="both"/>
        <w:rPr>
          <w:sz w:val="22"/>
          <w:szCs w:val="22"/>
          <w:u w:val="single"/>
          <w:lang w:val="sr-Latn-RS" w:bidi="en-US"/>
        </w:rPr>
      </w:pPr>
      <w:r w:rsidRPr="00261E6C">
        <w:rPr>
          <w:sz w:val="22"/>
          <w:szCs w:val="22"/>
          <w:u w:val="single"/>
          <w:lang w:val="sr-Latn-RS" w:bidi="en-US"/>
        </w:rPr>
        <w:t>Starije osobe</w:t>
      </w:r>
    </w:p>
    <w:p w:rsidR="00E26464" w:rsidRPr="00261E6C" w:rsidRDefault="00E26464">
      <w:pPr>
        <w:widowControl w:val="0"/>
        <w:autoSpaceDE w:val="0"/>
        <w:autoSpaceDN w:val="0"/>
        <w:jc w:val="both"/>
        <w:rPr>
          <w:sz w:val="22"/>
          <w:szCs w:val="22"/>
          <w:u w:val="single"/>
          <w:lang w:val="sr-Latn-RS" w:bidi="en-US"/>
        </w:rPr>
      </w:pPr>
    </w:p>
    <w:p w:rsidR="00E26464" w:rsidRPr="00261E6C" w:rsidRDefault="00E26464">
      <w:pPr>
        <w:jc w:val="both"/>
        <w:rPr>
          <w:sz w:val="22"/>
          <w:szCs w:val="22"/>
          <w:lang w:val="hr-HR"/>
        </w:rPr>
      </w:pPr>
      <w:r w:rsidRPr="00261E6C">
        <w:rPr>
          <w:sz w:val="22"/>
          <w:szCs w:val="22"/>
          <w:lang w:val="hr-HR"/>
        </w:rPr>
        <w:t>Od 435 prethodno neliječenih pacijenata sa DBKL</w:t>
      </w:r>
      <w:r w:rsidRPr="00261E6C">
        <w:rPr>
          <w:sz w:val="22"/>
          <w:szCs w:val="22"/>
          <w:lang w:val="hr-HR"/>
        </w:rPr>
        <w:noBreakHyphen/>
        <w:t>om koji su primali lijek Polivy u kombinaciji sa R</w:t>
      </w:r>
      <w:r w:rsidRPr="00261E6C">
        <w:rPr>
          <w:sz w:val="22"/>
          <w:szCs w:val="22"/>
          <w:lang w:val="hr-HR"/>
        </w:rPr>
        <w:noBreakHyphen/>
        <w:t>CHP protokolom u studiji GO39942, 227 (52,2%) je bilo ≥ 65 godina. Incidenca ozbiljnih neželjenih reakcija kod pacijenata ≥ 65 godina iznosila je 39,2%, a kod pacijenata mlađih od 65 godina 28,4%. Slična incidenca ozbiljnih neželjenih reakcija prim</w:t>
      </w:r>
      <w:r w:rsidR="00641968" w:rsidRPr="00C2143B">
        <w:rPr>
          <w:sz w:val="22"/>
          <w:szCs w:val="22"/>
          <w:lang w:val="hr-HR"/>
        </w:rPr>
        <w:t>ij</w:t>
      </w:r>
      <w:r w:rsidRPr="00261E6C">
        <w:rPr>
          <w:sz w:val="22"/>
          <w:szCs w:val="22"/>
          <w:lang w:val="hr-HR"/>
        </w:rPr>
        <w:t>ećena je i kod starijih pacijenata u grupi koja je primala R</w:t>
      </w:r>
      <w:r w:rsidRPr="00261E6C">
        <w:rPr>
          <w:sz w:val="22"/>
          <w:szCs w:val="22"/>
          <w:lang w:val="hr-HR"/>
        </w:rPr>
        <w:noBreakHyphen/>
        <w:t>CHOP.</w:t>
      </w:r>
    </w:p>
    <w:p w:rsidR="005612C5" w:rsidRPr="00261E6C" w:rsidRDefault="005612C5">
      <w:pPr>
        <w:widowControl w:val="0"/>
        <w:autoSpaceDE w:val="0"/>
        <w:autoSpaceDN w:val="0"/>
        <w:spacing w:before="3"/>
        <w:jc w:val="both"/>
        <w:rPr>
          <w:sz w:val="22"/>
          <w:szCs w:val="22"/>
          <w:lang w:val="sr-Latn-RS" w:bidi="en-US"/>
        </w:rPr>
      </w:pPr>
    </w:p>
    <w:p w:rsidR="00687D00" w:rsidRPr="00261E6C" w:rsidRDefault="00687D00">
      <w:pPr>
        <w:widowControl w:val="0"/>
        <w:autoSpaceDE w:val="0"/>
        <w:autoSpaceDN w:val="0"/>
        <w:spacing w:before="94"/>
        <w:jc w:val="both"/>
        <w:rPr>
          <w:sz w:val="22"/>
          <w:szCs w:val="22"/>
          <w:lang w:val="sr-Latn-RS" w:bidi="en-US"/>
        </w:rPr>
      </w:pPr>
      <w:r w:rsidRPr="00261E6C">
        <w:rPr>
          <w:sz w:val="22"/>
          <w:szCs w:val="22"/>
          <w:lang w:val="sr-Latn-RS" w:bidi="en-US"/>
        </w:rPr>
        <w:t>Od 151 pacijenta sa DBKL</w:t>
      </w:r>
      <w:r w:rsidR="00641968" w:rsidRPr="00C2143B">
        <w:rPr>
          <w:sz w:val="22"/>
          <w:szCs w:val="22"/>
          <w:lang w:val="sr-Latn-RS" w:bidi="en-US"/>
        </w:rPr>
        <w:t>-om</w:t>
      </w:r>
      <w:r w:rsidRPr="00261E6C">
        <w:rPr>
          <w:sz w:val="22"/>
          <w:szCs w:val="22"/>
          <w:lang w:val="sr-Latn-RS" w:bidi="en-US"/>
        </w:rPr>
        <w:t xml:space="preserve"> liječenih lijekom Polivy u kombinaciji sa bendamustinom i rituksimabom (BR) u studiji GO29365, 103 (68%) je bilo starosti ≥</w:t>
      </w:r>
      <w:r w:rsidR="00641968" w:rsidRPr="00C2143B">
        <w:rPr>
          <w:sz w:val="22"/>
          <w:szCs w:val="22"/>
          <w:lang w:val="sr-Latn-RS" w:bidi="en-US"/>
        </w:rPr>
        <w:t xml:space="preserve"> </w:t>
      </w:r>
      <w:r w:rsidRPr="00261E6C">
        <w:rPr>
          <w:sz w:val="22"/>
          <w:szCs w:val="22"/>
          <w:lang w:val="sr-Latn-RS" w:bidi="en-US"/>
        </w:rPr>
        <w:t>65 godina. Pacijenti starosti ≥</w:t>
      </w:r>
      <w:r w:rsidR="00641968" w:rsidRPr="00C2143B">
        <w:rPr>
          <w:sz w:val="22"/>
          <w:szCs w:val="22"/>
          <w:lang w:val="sr-Latn-RS" w:bidi="en-US"/>
        </w:rPr>
        <w:t xml:space="preserve"> </w:t>
      </w:r>
      <w:r w:rsidRPr="00261E6C">
        <w:rPr>
          <w:sz w:val="22"/>
          <w:szCs w:val="22"/>
          <w:lang w:val="sr-Latn-RS" w:bidi="en-US"/>
        </w:rPr>
        <w:t xml:space="preserve">65 imali su sličnu incidencu ozbiljnih neželjenih reakcija (55%) </w:t>
      </w:r>
      <w:r w:rsidR="00641968" w:rsidRPr="00C2143B">
        <w:rPr>
          <w:sz w:val="22"/>
          <w:szCs w:val="22"/>
          <w:lang w:val="sr-Latn-RS" w:bidi="en-US"/>
        </w:rPr>
        <w:t>kao</w:t>
      </w:r>
      <w:r w:rsidRPr="00261E6C">
        <w:rPr>
          <w:sz w:val="22"/>
          <w:szCs w:val="22"/>
          <w:lang w:val="sr-Latn-RS" w:bidi="en-US"/>
        </w:rPr>
        <w:t xml:space="preserve"> pacijen</w:t>
      </w:r>
      <w:r w:rsidR="00641968" w:rsidRPr="00C2143B">
        <w:rPr>
          <w:sz w:val="22"/>
          <w:szCs w:val="22"/>
          <w:lang w:val="sr-Latn-RS" w:bidi="en-US"/>
        </w:rPr>
        <w:t>ti</w:t>
      </w:r>
      <w:r w:rsidRPr="00261E6C">
        <w:rPr>
          <w:sz w:val="22"/>
          <w:szCs w:val="22"/>
          <w:lang w:val="sr-Latn-RS" w:bidi="en-US"/>
        </w:rPr>
        <w:t xml:space="preserve"> mlađi od 65 godina (56%). Kliničke studije lijeka Polivy nijesu obuhvatile dovoljan broj pacijenata starosti  ≥</w:t>
      </w:r>
      <w:r w:rsidR="00E02F36" w:rsidRPr="00C2143B">
        <w:rPr>
          <w:sz w:val="22"/>
          <w:szCs w:val="22"/>
          <w:lang w:val="sr-Latn-RS" w:bidi="en-US"/>
        </w:rPr>
        <w:t xml:space="preserve"> </w:t>
      </w:r>
      <w:r w:rsidRPr="00261E6C">
        <w:rPr>
          <w:sz w:val="22"/>
          <w:szCs w:val="22"/>
          <w:lang w:val="sr-Latn-RS" w:bidi="en-US"/>
        </w:rPr>
        <w:t>65 kako bi se odredilo da li drugačije reaguju od mlađih pacijenata.</w:t>
      </w:r>
    </w:p>
    <w:p w:rsidR="00641968" w:rsidRPr="00261E6C" w:rsidRDefault="00641968">
      <w:pPr>
        <w:widowControl w:val="0"/>
        <w:autoSpaceDE w:val="0"/>
        <w:autoSpaceDN w:val="0"/>
        <w:spacing w:before="11"/>
        <w:jc w:val="both"/>
        <w:rPr>
          <w:sz w:val="22"/>
          <w:szCs w:val="22"/>
          <w:lang w:val="sr-Latn-RS" w:bidi="en-US"/>
        </w:rPr>
      </w:pPr>
    </w:p>
    <w:p w:rsidR="00687D00" w:rsidRPr="00261E6C" w:rsidRDefault="00687D00">
      <w:pPr>
        <w:widowControl w:val="0"/>
        <w:autoSpaceDE w:val="0"/>
        <w:autoSpaceDN w:val="0"/>
        <w:jc w:val="both"/>
        <w:rPr>
          <w:sz w:val="22"/>
          <w:szCs w:val="22"/>
          <w:lang w:val="sr-Latn-RS" w:bidi="en-US"/>
        </w:rPr>
      </w:pPr>
      <w:r w:rsidRPr="00261E6C">
        <w:rPr>
          <w:sz w:val="22"/>
          <w:szCs w:val="22"/>
          <w:u w:val="single"/>
          <w:lang w:val="sr-Latn-RS" w:bidi="en-US"/>
        </w:rPr>
        <w:t>Hepatotoksičnost</w:t>
      </w:r>
    </w:p>
    <w:p w:rsidR="00687D00" w:rsidRPr="00261E6C" w:rsidRDefault="00687D00">
      <w:pPr>
        <w:widowControl w:val="0"/>
        <w:autoSpaceDE w:val="0"/>
        <w:autoSpaceDN w:val="0"/>
        <w:spacing w:before="3"/>
        <w:jc w:val="both"/>
        <w:rPr>
          <w:sz w:val="22"/>
          <w:szCs w:val="22"/>
          <w:lang w:val="sr-Latn-RS" w:bidi="en-US"/>
        </w:rPr>
      </w:pPr>
    </w:p>
    <w:p w:rsidR="00687D00" w:rsidRPr="00261E6C" w:rsidRDefault="00687D00">
      <w:pPr>
        <w:widowControl w:val="0"/>
        <w:autoSpaceDE w:val="0"/>
        <w:autoSpaceDN w:val="0"/>
        <w:spacing w:before="94"/>
        <w:jc w:val="both"/>
        <w:rPr>
          <w:sz w:val="22"/>
          <w:szCs w:val="22"/>
          <w:lang w:val="sr-Latn-RS" w:bidi="en-US"/>
        </w:rPr>
      </w:pPr>
      <w:r w:rsidRPr="00261E6C">
        <w:rPr>
          <w:sz w:val="22"/>
          <w:szCs w:val="22"/>
          <w:lang w:val="sr-Latn-RS" w:bidi="en-US"/>
        </w:rPr>
        <w:t xml:space="preserve">Ozbiljni slučajevi hepatotoksičnosti koji su bili povezani sa hepatocelularnim oštećenjem, uključujući povišene nivoe transaminaza </w:t>
      </w:r>
      <w:r w:rsidR="00E02F36" w:rsidRPr="00C2143B">
        <w:rPr>
          <w:sz w:val="22"/>
          <w:szCs w:val="22"/>
          <w:lang w:val="sr-Latn-RS" w:bidi="en-US"/>
        </w:rPr>
        <w:t>i/ili</w:t>
      </w:r>
      <w:r w:rsidRPr="00261E6C">
        <w:rPr>
          <w:sz w:val="22"/>
          <w:szCs w:val="22"/>
          <w:lang w:val="sr-Latn-RS" w:bidi="en-US"/>
        </w:rPr>
        <w:t xml:space="preserve"> bilirubina, javili su se kod pacijenata liječenih lijekom Polivy (vidjeti dio 4.8).</w:t>
      </w:r>
    </w:p>
    <w:p w:rsidR="00687D00" w:rsidRPr="00261E6C" w:rsidRDefault="00687D00">
      <w:pPr>
        <w:widowControl w:val="0"/>
        <w:autoSpaceDE w:val="0"/>
        <w:autoSpaceDN w:val="0"/>
        <w:spacing w:before="1"/>
        <w:jc w:val="both"/>
        <w:rPr>
          <w:sz w:val="22"/>
          <w:szCs w:val="22"/>
          <w:lang w:val="sr-Latn-RS" w:bidi="en-US"/>
        </w:rPr>
      </w:pPr>
      <w:r w:rsidRPr="00261E6C">
        <w:rPr>
          <w:sz w:val="22"/>
          <w:szCs w:val="22"/>
          <w:lang w:val="sr-Latn-RS" w:bidi="en-US"/>
        </w:rPr>
        <w:t>Već postojeće oboljenje jetre, povišene vrijednosti enzima jetre i ljekovi koji se istovremeno primjenjuju mogu da povećaju rizik. Potrebno je pratiti vrijednosti enzima jetre i bilirubina (vidjeti dio 4.2).</w:t>
      </w:r>
    </w:p>
    <w:p w:rsidR="00687D00" w:rsidRPr="00261E6C" w:rsidRDefault="00687D00">
      <w:pPr>
        <w:widowControl w:val="0"/>
        <w:autoSpaceDE w:val="0"/>
        <w:autoSpaceDN w:val="0"/>
        <w:jc w:val="both"/>
        <w:rPr>
          <w:sz w:val="22"/>
          <w:szCs w:val="22"/>
          <w:lang w:val="sr-Latn-RS" w:bidi="en-US"/>
        </w:rPr>
      </w:pPr>
    </w:p>
    <w:p w:rsidR="00687D00" w:rsidRPr="00261E6C" w:rsidRDefault="00687D00">
      <w:pPr>
        <w:widowControl w:val="0"/>
        <w:autoSpaceDE w:val="0"/>
        <w:autoSpaceDN w:val="0"/>
        <w:jc w:val="both"/>
        <w:rPr>
          <w:sz w:val="22"/>
          <w:szCs w:val="22"/>
          <w:lang w:val="sr-Latn-RS" w:bidi="en-US"/>
        </w:rPr>
      </w:pPr>
      <w:r w:rsidRPr="00261E6C">
        <w:rPr>
          <w:sz w:val="22"/>
          <w:szCs w:val="22"/>
          <w:u w:val="single"/>
          <w:lang w:val="sr-Latn-RS" w:bidi="en-US"/>
        </w:rPr>
        <w:t>Pomoćne supstance</w:t>
      </w:r>
    </w:p>
    <w:p w:rsidR="00687D00" w:rsidRPr="00261E6C" w:rsidRDefault="00687D00">
      <w:pPr>
        <w:widowControl w:val="0"/>
        <w:autoSpaceDE w:val="0"/>
        <w:autoSpaceDN w:val="0"/>
        <w:spacing w:before="10"/>
        <w:jc w:val="both"/>
        <w:rPr>
          <w:sz w:val="22"/>
          <w:szCs w:val="22"/>
          <w:lang w:val="sr-Latn-RS" w:bidi="en-US"/>
        </w:rPr>
      </w:pPr>
    </w:p>
    <w:p w:rsidR="00687D00" w:rsidRPr="00261E6C" w:rsidRDefault="00687D00">
      <w:pPr>
        <w:widowControl w:val="0"/>
        <w:autoSpaceDE w:val="0"/>
        <w:autoSpaceDN w:val="0"/>
        <w:spacing w:before="92"/>
        <w:jc w:val="both"/>
        <w:rPr>
          <w:sz w:val="22"/>
          <w:szCs w:val="22"/>
          <w:lang w:val="sr-Latn-RS" w:bidi="en-US"/>
        </w:rPr>
      </w:pPr>
      <w:r w:rsidRPr="00261E6C">
        <w:rPr>
          <w:sz w:val="22"/>
          <w:szCs w:val="22"/>
          <w:lang w:val="sr-Latn-RS" w:bidi="en-US"/>
        </w:rPr>
        <w:t>Ovaj lijek sadrži manje od 1 mmol natrijuma (23 mg) po dozi, tj. zanemarljive količine natrijuma.</w:t>
      </w:r>
    </w:p>
    <w:p w:rsidR="00687D00" w:rsidRPr="00261E6C" w:rsidRDefault="00687D00">
      <w:pPr>
        <w:tabs>
          <w:tab w:val="left" w:pos="540"/>
          <w:tab w:val="left" w:pos="569"/>
        </w:tabs>
        <w:jc w:val="both"/>
        <w:rPr>
          <w:bCs/>
          <w:sz w:val="22"/>
          <w:szCs w:val="22"/>
          <w:lang w:val="sr-Latn-RS"/>
        </w:rPr>
      </w:pPr>
    </w:p>
    <w:p w:rsidR="00687D00" w:rsidRPr="00261E6C" w:rsidRDefault="00687D00">
      <w:pPr>
        <w:tabs>
          <w:tab w:val="left" w:pos="540"/>
          <w:tab w:val="left" w:pos="569"/>
        </w:tabs>
        <w:jc w:val="both"/>
        <w:rPr>
          <w:b/>
          <w:bCs/>
          <w:sz w:val="22"/>
          <w:szCs w:val="22"/>
          <w:lang w:val="sr-Latn-RS"/>
        </w:rPr>
      </w:pPr>
      <w:r w:rsidRPr="00261E6C">
        <w:rPr>
          <w:b/>
          <w:bCs/>
          <w:sz w:val="22"/>
          <w:szCs w:val="22"/>
          <w:lang w:val="sr-Latn-RS"/>
        </w:rPr>
        <w:t>4.5.</w:t>
      </w:r>
      <w:r w:rsidRPr="00261E6C">
        <w:rPr>
          <w:b/>
          <w:bCs/>
          <w:sz w:val="22"/>
          <w:szCs w:val="22"/>
          <w:lang w:val="sr-Latn-RS"/>
        </w:rPr>
        <w:tab/>
        <w:t>Interakcije sa drugim ljekovima i druge vrste interakcija</w:t>
      </w:r>
    </w:p>
    <w:p w:rsidR="00687D00" w:rsidRPr="00261E6C" w:rsidRDefault="00687D00">
      <w:pPr>
        <w:tabs>
          <w:tab w:val="left" w:pos="540"/>
          <w:tab w:val="left" w:pos="569"/>
        </w:tabs>
        <w:jc w:val="both"/>
        <w:rPr>
          <w:b/>
          <w:bCs/>
          <w:sz w:val="22"/>
          <w:szCs w:val="22"/>
          <w:lang w:val="sr-Latn-RS"/>
        </w:rPr>
      </w:pPr>
    </w:p>
    <w:p w:rsidR="00687D00" w:rsidRPr="00261E6C" w:rsidRDefault="00687D00">
      <w:pPr>
        <w:pStyle w:val="BodyText"/>
        <w:jc w:val="both"/>
        <w:rPr>
          <w:lang w:val="sr-Latn-RS"/>
        </w:rPr>
      </w:pPr>
      <w:r w:rsidRPr="00261E6C">
        <w:rPr>
          <w:lang w:val="sr-Latn-RS"/>
        </w:rPr>
        <w:t>Nijesu sprovedena posebna klinička ispitivanja interakcija polatuzumab vedotina i drugih ljekova u ljudskom organizmu.</w:t>
      </w:r>
    </w:p>
    <w:p w:rsidR="00687D00" w:rsidRPr="00261E6C" w:rsidRDefault="00687D00">
      <w:pPr>
        <w:pStyle w:val="BodyText"/>
        <w:spacing w:before="11"/>
        <w:jc w:val="both"/>
        <w:rPr>
          <w:lang w:val="sr-Latn-RS"/>
        </w:rPr>
      </w:pPr>
    </w:p>
    <w:p w:rsidR="00687D00" w:rsidRPr="00261E6C" w:rsidRDefault="00687D00">
      <w:pPr>
        <w:pStyle w:val="BodyText"/>
        <w:jc w:val="both"/>
        <w:rPr>
          <w:lang w:val="sr-Latn-RS"/>
        </w:rPr>
      </w:pPr>
      <w:r w:rsidRPr="00261E6C">
        <w:rPr>
          <w:u w:val="single"/>
          <w:lang w:val="sr-Latn-RS"/>
        </w:rPr>
        <w:t>Interakcije lijeka sa istovremenom primjenom ljekova koji su inhibitori, supstrati ili induktori CYP3A4 i ljekovima koji su inhibitori P-gp</w:t>
      </w:r>
    </w:p>
    <w:p w:rsidR="00687D00" w:rsidRPr="00261E6C" w:rsidRDefault="00687D00">
      <w:pPr>
        <w:pStyle w:val="BodyText"/>
        <w:jc w:val="both"/>
        <w:rPr>
          <w:lang w:val="sr-Latn-RS"/>
        </w:rPr>
      </w:pPr>
    </w:p>
    <w:p w:rsidR="00687D00" w:rsidRPr="00261E6C" w:rsidRDefault="00687D00">
      <w:pPr>
        <w:pStyle w:val="BodyText"/>
        <w:spacing w:before="91"/>
        <w:jc w:val="both"/>
        <w:rPr>
          <w:lang w:val="sr-Latn-RS"/>
        </w:rPr>
      </w:pPr>
      <w:r w:rsidRPr="00261E6C">
        <w:rPr>
          <w:lang w:val="sr-Latn-RS"/>
        </w:rPr>
        <w:t>Na osnovu simulacija fiziološki zasnovanog farmakokinetičkog modela (PBPK) oslobađanja MMAE iz polatuzumab vedotina, snažni inhibitori CYP3A4 i P-gp (npr. ketokonazol) mogu da povećaju vrijednost površine ispod krive koncentracije nekonjugovanog MMAE-a kroz vrijeme (AUC) za 48%. Preporučuje se oprez u slučaju istovremene primjene inhibitora CYP3A4. Pacijente koji istovremeno primaju jake inhibitore CYP3A4 (npr. boceprevir, klaritromicin, kobicistat, indinavir, itrakonazol, nefazodon, nelfinavir, posakonazol, ritonavir, sakvinavir, telaprevir, telitromicin, vorikonazol) treba pažljivije pratiti zbog moguće pojave znak</w:t>
      </w:r>
      <w:r w:rsidR="00CF4340" w:rsidRPr="00C2143B">
        <w:rPr>
          <w:lang w:val="sr-Latn-RS"/>
        </w:rPr>
        <w:t>ova</w:t>
      </w:r>
      <w:r w:rsidRPr="00261E6C">
        <w:rPr>
          <w:lang w:val="sr-Latn-RS"/>
        </w:rPr>
        <w:t xml:space="preserve"> toksičnosti.</w:t>
      </w:r>
    </w:p>
    <w:p w:rsidR="00687D00" w:rsidRPr="00261E6C" w:rsidRDefault="00687D00">
      <w:pPr>
        <w:pStyle w:val="BodyText"/>
        <w:spacing w:before="3"/>
        <w:jc w:val="both"/>
        <w:rPr>
          <w:lang w:val="sr-Latn-RS"/>
        </w:rPr>
      </w:pPr>
    </w:p>
    <w:p w:rsidR="00687D00" w:rsidRPr="00261E6C" w:rsidRDefault="00687D00">
      <w:pPr>
        <w:pStyle w:val="BodyText"/>
        <w:jc w:val="both"/>
        <w:rPr>
          <w:lang w:val="sr-Latn-RS"/>
        </w:rPr>
      </w:pPr>
      <w:r w:rsidRPr="00261E6C">
        <w:rPr>
          <w:lang w:val="sr-Latn-RS"/>
        </w:rPr>
        <w:t>Nije predviđeno da nekonjugovani MMAE utiče na AUC istovremeno primijenjenih ljekova koji su supstrati CYP3A4 (npr. midazolam).</w:t>
      </w:r>
    </w:p>
    <w:p w:rsidR="00687D00" w:rsidRPr="00261E6C" w:rsidRDefault="00687D00">
      <w:pPr>
        <w:pStyle w:val="BodyText"/>
        <w:spacing w:before="11"/>
        <w:jc w:val="both"/>
        <w:rPr>
          <w:lang w:val="sr-Latn-RS"/>
        </w:rPr>
      </w:pPr>
    </w:p>
    <w:p w:rsidR="00687D00" w:rsidRPr="00261E6C" w:rsidRDefault="00687D00">
      <w:pPr>
        <w:pStyle w:val="BodyText"/>
        <w:jc w:val="both"/>
        <w:rPr>
          <w:lang w:val="sr-Latn-RS"/>
        </w:rPr>
      </w:pPr>
      <w:r w:rsidRPr="00261E6C">
        <w:rPr>
          <w:lang w:val="sr-Latn-RS"/>
        </w:rPr>
        <w:t>Snažni induktori CYP3A4 (npr. rifampicin, karbamazepin, fenobarbital, fenitoin, kantarion [</w:t>
      </w:r>
      <w:r w:rsidRPr="00261E6C">
        <w:rPr>
          <w:i/>
          <w:iCs/>
          <w:lang w:val="sr-Latn-RS"/>
        </w:rPr>
        <w:t>Hypericum perforatum</w:t>
      </w:r>
      <w:r w:rsidRPr="00261E6C">
        <w:rPr>
          <w:lang w:val="sr-Latn-RS"/>
        </w:rPr>
        <w:t>]) mogu da smanje izloženost nekonjugovanom MMAE.</w:t>
      </w:r>
    </w:p>
    <w:p w:rsidR="00551072" w:rsidRPr="00261E6C" w:rsidRDefault="00551072">
      <w:pPr>
        <w:pStyle w:val="BodyText"/>
        <w:jc w:val="both"/>
        <w:rPr>
          <w:u w:val="single"/>
          <w:lang w:val="sr-Latn-RS"/>
        </w:rPr>
      </w:pPr>
    </w:p>
    <w:p w:rsidR="005612C5" w:rsidRPr="00261E6C" w:rsidRDefault="005612C5">
      <w:pPr>
        <w:pStyle w:val="BodyText"/>
        <w:jc w:val="both"/>
        <w:rPr>
          <w:lang w:val="sr-Latn-RS"/>
        </w:rPr>
      </w:pPr>
      <w:r w:rsidRPr="00261E6C">
        <w:rPr>
          <w:u w:val="single"/>
          <w:lang w:val="sr-Latn-RS"/>
        </w:rPr>
        <w:t>Interakcije l</w:t>
      </w:r>
      <w:r w:rsidR="005E4627" w:rsidRPr="00261E6C">
        <w:rPr>
          <w:u w:val="single"/>
          <w:lang w:val="sr-Latn-RS"/>
        </w:rPr>
        <w:t>j</w:t>
      </w:r>
      <w:r w:rsidRPr="00261E6C">
        <w:rPr>
          <w:u w:val="single"/>
          <w:lang w:val="sr-Latn-RS"/>
        </w:rPr>
        <w:t>ekova rituksimaba</w:t>
      </w:r>
      <w:r w:rsidR="00A85FC5" w:rsidRPr="00261E6C">
        <w:rPr>
          <w:u w:val="single"/>
          <w:lang w:val="sr-Latn-RS"/>
        </w:rPr>
        <w:t>,</w:t>
      </w:r>
      <w:r w:rsidR="00C67690" w:rsidRPr="00C2143B">
        <w:rPr>
          <w:u w:val="single"/>
          <w:lang w:val="sr-Latn-RS"/>
        </w:rPr>
        <w:t xml:space="preserve"> </w:t>
      </w:r>
      <w:r w:rsidRPr="00261E6C">
        <w:rPr>
          <w:u w:val="single"/>
          <w:lang w:val="sr-Latn-RS"/>
        </w:rPr>
        <w:t>bendamustina</w:t>
      </w:r>
      <w:r w:rsidR="00A85FC5" w:rsidRPr="00C2143B">
        <w:rPr>
          <w:u w:val="single"/>
          <w:lang w:val="sr-Latn-RS"/>
        </w:rPr>
        <w:t xml:space="preserve">, </w:t>
      </w:r>
      <w:r w:rsidR="00A85FC5" w:rsidRPr="00C2143B">
        <w:rPr>
          <w:u w:val="single"/>
          <w:lang w:val="hr-HR"/>
        </w:rPr>
        <w:t>ciklofosfamida i doksorubicina</w:t>
      </w:r>
      <w:r w:rsidRPr="00261E6C">
        <w:rPr>
          <w:u w:val="single"/>
          <w:lang w:val="sr-Latn-RS"/>
        </w:rPr>
        <w:t xml:space="preserve"> u kombinaciji sa polatuzumab vedotinom</w:t>
      </w:r>
    </w:p>
    <w:p w:rsidR="005612C5" w:rsidRPr="00261E6C" w:rsidRDefault="005612C5">
      <w:pPr>
        <w:pStyle w:val="BodyText"/>
        <w:spacing w:before="10"/>
        <w:jc w:val="both"/>
        <w:rPr>
          <w:lang w:val="sr-Latn-RS"/>
        </w:rPr>
      </w:pPr>
    </w:p>
    <w:p w:rsidR="00F66D98" w:rsidRPr="00261E6C" w:rsidRDefault="00687D00">
      <w:pPr>
        <w:pStyle w:val="BodyText"/>
        <w:spacing w:before="92"/>
        <w:jc w:val="both"/>
        <w:rPr>
          <w:lang w:val="sr-Latn-RS"/>
        </w:rPr>
      </w:pPr>
      <w:r w:rsidRPr="00C2143B">
        <w:rPr>
          <w:lang w:val="sr-Latn-RS"/>
        </w:rPr>
        <w:t>Istovremena</w:t>
      </w:r>
      <w:r w:rsidR="005612C5" w:rsidRPr="00C2143B">
        <w:rPr>
          <w:lang w:val="sr-Latn-RS"/>
        </w:rPr>
        <w:t xml:space="preserve"> prim</w:t>
      </w:r>
      <w:r w:rsidR="005E4627" w:rsidRPr="00C2143B">
        <w:rPr>
          <w:lang w:val="sr-Latn-RS"/>
        </w:rPr>
        <w:t>j</w:t>
      </w:r>
      <w:r w:rsidR="005612C5" w:rsidRPr="00C2143B">
        <w:rPr>
          <w:lang w:val="sr-Latn-RS"/>
        </w:rPr>
        <w:t>ena polatuzumab vedotina ne utiče na farmakokinetiku rituksimaba</w:t>
      </w:r>
      <w:r w:rsidR="00A85FC5" w:rsidRPr="00C2143B">
        <w:rPr>
          <w:lang w:val="sr-Latn-RS"/>
        </w:rPr>
        <w:t>,</w:t>
      </w:r>
      <w:r w:rsidR="005612C5" w:rsidRPr="00C2143B">
        <w:rPr>
          <w:lang w:val="sr-Latn-RS"/>
        </w:rPr>
        <w:t xml:space="preserve"> bendamustina</w:t>
      </w:r>
      <w:r w:rsidR="00A85FC5" w:rsidRPr="00C2143B">
        <w:rPr>
          <w:lang w:val="sr-Latn-RS"/>
        </w:rPr>
        <w:t xml:space="preserve">, </w:t>
      </w:r>
      <w:r w:rsidR="00A85FC5" w:rsidRPr="00261E6C">
        <w:rPr>
          <w:lang w:val="hr-HR"/>
        </w:rPr>
        <w:t>ciklofosfamida i doksorubicina</w:t>
      </w:r>
      <w:r w:rsidR="005612C5" w:rsidRPr="00C2143B">
        <w:rPr>
          <w:lang w:val="sr-Latn-RS"/>
        </w:rPr>
        <w:t xml:space="preserve">. </w:t>
      </w:r>
      <w:r w:rsidRPr="00C2143B">
        <w:rPr>
          <w:lang w:val="sr-Latn-RS"/>
        </w:rPr>
        <w:t>Istovremena</w:t>
      </w:r>
      <w:r w:rsidR="005612C5" w:rsidRPr="00C2143B">
        <w:rPr>
          <w:lang w:val="sr-Latn-RS"/>
        </w:rPr>
        <w:t xml:space="preserve"> prim</w:t>
      </w:r>
      <w:r w:rsidR="005E4627" w:rsidRPr="00C2143B">
        <w:rPr>
          <w:lang w:val="sr-Latn-RS"/>
        </w:rPr>
        <w:t>j</w:t>
      </w:r>
      <w:r w:rsidR="005612C5" w:rsidRPr="00C2143B">
        <w:rPr>
          <w:lang w:val="sr-Latn-RS"/>
        </w:rPr>
        <w:t>ena rituksimaba povezana je sa povećanjem plazmatskog AUC-a MMAE-e konjugovanog sa antit</w:t>
      </w:r>
      <w:r w:rsidR="005E4627" w:rsidRPr="00C2143B">
        <w:rPr>
          <w:lang w:val="sr-Latn-RS"/>
        </w:rPr>
        <w:t>ij</w:t>
      </w:r>
      <w:r w:rsidR="005612C5" w:rsidRPr="00C2143B">
        <w:rPr>
          <w:lang w:val="sr-Latn-RS"/>
        </w:rPr>
        <w:t xml:space="preserve">elom za 24% i smanjenjem plazmatskog AUC-a nekonjugovanog </w:t>
      </w:r>
      <w:r w:rsidR="005612C5" w:rsidRPr="00C2143B">
        <w:rPr>
          <w:lang w:val="sr-Latn-RS"/>
        </w:rPr>
        <w:lastRenderedPageBreak/>
        <w:t>MMAE-a za 37%</w:t>
      </w:r>
      <w:r w:rsidR="00C67690" w:rsidRPr="00C2143B">
        <w:rPr>
          <w:lang w:val="sr-Latn-RS"/>
        </w:rPr>
        <w:t>, zasnovano na farmakokinetičkoj analizi ispitivane populacije</w:t>
      </w:r>
      <w:r w:rsidR="005612C5" w:rsidRPr="00C2143B">
        <w:rPr>
          <w:lang w:val="sr-Latn-RS"/>
        </w:rPr>
        <w:t xml:space="preserve">. </w:t>
      </w:r>
      <w:r w:rsidR="00A85FC5" w:rsidRPr="007F7FA9">
        <w:rPr>
          <w:shd w:val="clear" w:color="auto" w:fill="FFFFFF"/>
          <w:lang w:val="hr-HR"/>
        </w:rPr>
        <w:t>Plazmatska PIK acMMAE</w:t>
      </w:r>
      <w:r w:rsidR="00E343D0" w:rsidRPr="007F7FA9">
        <w:rPr>
          <w:shd w:val="clear" w:color="auto" w:fill="FFFFFF"/>
          <w:lang w:val="hr-HR"/>
        </w:rPr>
        <w:noBreakHyphen/>
        <w:t>a i nekonjugovanog</w:t>
      </w:r>
      <w:r w:rsidR="00A85FC5" w:rsidRPr="007F7FA9">
        <w:rPr>
          <w:shd w:val="clear" w:color="auto" w:fill="FFFFFF"/>
          <w:lang w:val="hr-HR"/>
        </w:rPr>
        <w:t xml:space="preserve"> MMAE</w:t>
      </w:r>
      <w:r w:rsidR="00A85FC5" w:rsidRPr="007F7FA9">
        <w:rPr>
          <w:shd w:val="clear" w:color="auto" w:fill="FFFFFF"/>
          <w:lang w:val="hr-HR"/>
        </w:rPr>
        <w:noBreakHyphen/>
        <w:t xml:space="preserve">a kod </w:t>
      </w:r>
      <w:r w:rsidR="00E343D0" w:rsidRPr="007F7FA9">
        <w:rPr>
          <w:shd w:val="clear" w:color="auto" w:fill="FFFFFF"/>
          <w:lang w:val="hr-HR"/>
        </w:rPr>
        <w:t>primjene</w:t>
      </w:r>
      <w:r w:rsidR="00A85FC5" w:rsidRPr="00C2143B">
        <w:rPr>
          <w:shd w:val="clear" w:color="auto" w:fill="FFFFFF"/>
          <w:lang w:val="hr-HR"/>
        </w:rPr>
        <w:t xml:space="preserve"> </w:t>
      </w:r>
      <w:r w:rsidR="00E343D0" w:rsidRPr="00C2143B">
        <w:rPr>
          <w:shd w:val="clear" w:color="auto" w:fill="FFFFFF"/>
          <w:lang w:val="hr-HR"/>
        </w:rPr>
        <w:t>lijeka</w:t>
      </w:r>
      <w:r w:rsidR="00A85FC5" w:rsidRPr="00C2143B">
        <w:rPr>
          <w:shd w:val="clear" w:color="auto" w:fill="FFFFFF"/>
          <w:lang w:val="hr-HR"/>
        </w:rPr>
        <w:t xml:space="preserve"> Polivy u kombinaciji sa R</w:t>
      </w:r>
      <w:r w:rsidR="00A85FC5" w:rsidRPr="00C2143B">
        <w:rPr>
          <w:shd w:val="clear" w:color="auto" w:fill="FFFFFF"/>
          <w:lang w:val="hr-HR"/>
        </w:rPr>
        <w:noBreakHyphen/>
        <w:t xml:space="preserve">CHP protokolom u skladu je sa </w:t>
      </w:r>
      <w:r w:rsidR="00E343D0" w:rsidRPr="00C2143B">
        <w:rPr>
          <w:shd w:val="clear" w:color="auto" w:fill="FFFFFF"/>
          <w:lang w:val="hr-HR"/>
        </w:rPr>
        <w:t>vrijednostima</w:t>
      </w:r>
      <w:r w:rsidR="00A85FC5" w:rsidRPr="00C2143B">
        <w:rPr>
          <w:shd w:val="clear" w:color="auto" w:fill="FFFFFF"/>
          <w:lang w:val="hr-HR"/>
        </w:rPr>
        <w:t xml:space="preserve"> zapaženim u drugim ispitivanjima </w:t>
      </w:r>
      <w:r w:rsidR="00E343D0" w:rsidRPr="00C2143B">
        <w:rPr>
          <w:shd w:val="clear" w:color="auto" w:fill="FFFFFF"/>
          <w:lang w:val="hr-HR"/>
        </w:rPr>
        <w:t>lijeka</w:t>
      </w:r>
      <w:r w:rsidR="00A85FC5" w:rsidRPr="00C2143B">
        <w:rPr>
          <w:shd w:val="clear" w:color="auto" w:fill="FFFFFF"/>
          <w:lang w:val="hr-HR"/>
        </w:rPr>
        <w:t xml:space="preserve"> Polivy. </w:t>
      </w:r>
      <w:r w:rsidR="005612C5" w:rsidRPr="00C2143B">
        <w:rPr>
          <w:lang w:val="sr-Latn-RS"/>
        </w:rPr>
        <w:t>Nije potrebno prilagođavati dozu.</w:t>
      </w:r>
    </w:p>
    <w:p w:rsidR="00E343D0" w:rsidRPr="00261E6C" w:rsidRDefault="00E343D0">
      <w:pPr>
        <w:pStyle w:val="BodyText"/>
        <w:spacing w:before="92"/>
        <w:jc w:val="both"/>
        <w:rPr>
          <w:lang w:val="sr-Latn-RS"/>
        </w:rPr>
      </w:pPr>
    </w:p>
    <w:p w:rsidR="005612C5" w:rsidRPr="00261E6C" w:rsidRDefault="005612C5">
      <w:pPr>
        <w:pStyle w:val="BodyText"/>
        <w:spacing w:before="1"/>
        <w:jc w:val="both"/>
        <w:rPr>
          <w:lang w:val="sr-Latn-RS"/>
        </w:rPr>
      </w:pPr>
      <w:r w:rsidRPr="00261E6C">
        <w:rPr>
          <w:lang w:val="sr-Latn-RS"/>
        </w:rPr>
        <w:t>Bendamustin ne utiče na plazmatski AUC MMAE konjugovanog sa antit</w:t>
      </w:r>
      <w:r w:rsidR="005E4627" w:rsidRPr="00261E6C">
        <w:rPr>
          <w:lang w:val="sr-Latn-RS"/>
        </w:rPr>
        <w:t>ij</w:t>
      </w:r>
      <w:r w:rsidRPr="00261E6C">
        <w:rPr>
          <w:lang w:val="sr-Latn-RS"/>
        </w:rPr>
        <w:t xml:space="preserve">elom kao ni nekonjugovanog. </w:t>
      </w:r>
    </w:p>
    <w:p w:rsidR="005612C5" w:rsidRPr="00261E6C" w:rsidRDefault="005612C5">
      <w:pPr>
        <w:tabs>
          <w:tab w:val="left" w:pos="540"/>
          <w:tab w:val="left" w:pos="569"/>
        </w:tabs>
        <w:jc w:val="both"/>
        <w:rPr>
          <w:bCs/>
          <w:sz w:val="22"/>
          <w:szCs w:val="22"/>
          <w:lang w:val="sr-Latn-RS"/>
        </w:rPr>
      </w:pPr>
    </w:p>
    <w:p w:rsidR="00687D00" w:rsidRPr="00261E6C" w:rsidRDefault="00687D00">
      <w:pPr>
        <w:tabs>
          <w:tab w:val="left" w:pos="540"/>
          <w:tab w:val="left" w:pos="569"/>
        </w:tabs>
        <w:jc w:val="both"/>
        <w:rPr>
          <w:b/>
          <w:sz w:val="22"/>
          <w:szCs w:val="22"/>
          <w:lang w:val="sr-Latn-CS"/>
        </w:rPr>
      </w:pPr>
      <w:r w:rsidRPr="00261E6C">
        <w:rPr>
          <w:b/>
          <w:bCs/>
          <w:sz w:val="22"/>
          <w:szCs w:val="22"/>
          <w:lang w:val="sr-Latn-RS"/>
        </w:rPr>
        <w:t xml:space="preserve">4.6. </w:t>
      </w:r>
      <w:r w:rsidRPr="00261E6C">
        <w:rPr>
          <w:b/>
          <w:bCs/>
          <w:sz w:val="22"/>
          <w:szCs w:val="22"/>
          <w:lang w:val="sr-Latn-RS"/>
        </w:rPr>
        <w:tab/>
      </w:r>
      <w:r w:rsidRPr="00261E6C">
        <w:rPr>
          <w:b/>
          <w:sz w:val="22"/>
          <w:szCs w:val="22"/>
          <w:lang w:val="sr-Latn-CS"/>
        </w:rPr>
        <w:t>Plodnost, trudnoća i dojenje</w:t>
      </w:r>
    </w:p>
    <w:p w:rsidR="00687D00" w:rsidRPr="00261E6C" w:rsidRDefault="00687D00">
      <w:pPr>
        <w:tabs>
          <w:tab w:val="left" w:pos="540"/>
          <w:tab w:val="left" w:pos="569"/>
        </w:tabs>
        <w:jc w:val="both"/>
        <w:rPr>
          <w:sz w:val="22"/>
          <w:szCs w:val="22"/>
          <w:u w:val="single"/>
          <w:lang w:val="sr-Latn-RS"/>
        </w:rPr>
      </w:pPr>
    </w:p>
    <w:p w:rsidR="00687D00" w:rsidRPr="00261E6C" w:rsidRDefault="00687D00">
      <w:pPr>
        <w:widowControl w:val="0"/>
        <w:autoSpaceDE w:val="0"/>
        <w:autoSpaceDN w:val="0"/>
        <w:jc w:val="both"/>
        <w:rPr>
          <w:sz w:val="22"/>
          <w:szCs w:val="22"/>
          <w:lang w:val="sr-Latn-RS" w:bidi="en-US"/>
        </w:rPr>
      </w:pPr>
      <w:r w:rsidRPr="00261E6C">
        <w:rPr>
          <w:sz w:val="22"/>
          <w:szCs w:val="22"/>
          <w:u w:val="single"/>
          <w:lang w:val="sr-Latn-RS" w:bidi="en-US"/>
        </w:rPr>
        <w:t>Žene u reproduktivnom periodu/kontracepcija kod muškaraca i žena</w:t>
      </w:r>
    </w:p>
    <w:p w:rsidR="00687D00" w:rsidRPr="00261E6C" w:rsidRDefault="00687D00">
      <w:pPr>
        <w:widowControl w:val="0"/>
        <w:autoSpaceDE w:val="0"/>
        <w:autoSpaceDN w:val="0"/>
        <w:spacing w:before="4"/>
        <w:jc w:val="both"/>
        <w:rPr>
          <w:sz w:val="22"/>
          <w:szCs w:val="22"/>
          <w:lang w:val="sr-Latn-RS" w:bidi="en-US"/>
        </w:rPr>
      </w:pPr>
    </w:p>
    <w:p w:rsidR="00687D00" w:rsidRPr="00261E6C" w:rsidRDefault="00687D00">
      <w:pPr>
        <w:widowControl w:val="0"/>
        <w:autoSpaceDE w:val="0"/>
        <w:autoSpaceDN w:val="0"/>
        <w:spacing w:before="91"/>
        <w:jc w:val="both"/>
        <w:rPr>
          <w:i/>
          <w:sz w:val="22"/>
          <w:szCs w:val="22"/>
          <w:lang w:val="sr-Latn-RS" w:bidi="en-US"/>
        </w:rPr>
      </w:pPr>
      <w:r w:rsidRPr="00261E6C">
        <w:rPr>
          <w:i/>
          <w:iCs/>
          <w:sz w:val="22"/>
          <w:szCs w:val="22"/>
          <w:lang w:val="sr-Latn-RS" w:bidi="en-US"/>
        </w:rPr>
        <w:t>Žene</w:t>
      </w:r>
    </w:p>
    <w:p w:rsidR="00687D00" w:rsidRPr="00261E6C" w:rsidRDefault="00687D00">
      <w:pPr>
        <w:widowControl w:val="0"/>
        <w:autoSpaceDE w:val="0"/>
        <w:autoSpaceDN w:val="0"/>
        <w:jc w:val="both"/>
        <w:rPr>
          <w:sz w:val="22"/>
          <w:szCs w:val="22"/>
          <w:lang w:val="sr-Latn-RS" w:bidi="en-US"/>
        </w:rPr>
      </w:pPr>
      <w:r w:rsidRPr="00261E6C">
        <w:rPr>
          <w:sz w:val="22"/>
          <w:szCs w:val="22"/>
          <w:lang w:val="sr-Latn-RS" w:bidi="en-US"/>
        </w:rPr>
        <w:t>Ženama u reproduktivnom periodu treba preporučiti da koriste efikasnu kontracepciju tokom terapije polatuzumab vedotinom i najmanje 9 mjeseci nakon posljednje doze.</w:t>
      </w:r>
    </w:p>
    <w:p w:rsidR="00687D00" w:rsidRPr="00261E6C" w:rsidRDefault="00687D00">
      <w:pPr>
        <w:widowControl w:val="0"/>
        <w:autoSpaceDE w:val="0"/>
        <w:autoSpaceDN w:val="0"/>
        <w:spacing w:before="10"/>
        <w:jc w:val="both"/>
        <w:rPr>
          <w:sz w:val="22"/>
          <w:szCs w:val="22"/>
          <w:lang w:val="sr-Latn-RS" w:bidi="en-US"/>
        </w:rPr>
      </w:pPr>
    </w:p>
    <w:p w:rsidR="00687D00" w:rsidRPr="00261E6C" w:rsidRDefault="00687D00">
      <w:pPr>
        <w:widowControl w:val="0"/>
        <w:autoSpaceDE w:val="0"/>
        <w:autoSpaceDN w:val="0"/>
        <w:jc w:val="both"/>
        <w:rPr>
          <w:i/>
          <w:sz w:val="22"/>
          <w:szCs w:val="22"/>
          <w:lang w:val="sr-Latn-RS" w:bidi="en-US"/>
        </w:rPr>
      </w:pPr>
      <w:r w:rsidRPr="00261E6C">
        <w:rPr>
          <w:i/>
          <w:iCs/>
          <w:sz w:val="22"/>
          <w:szCs w:val="22"/>
          <w:lang w:val="sr-Latn-RS" w:bidi="en-US"/>
        </w:rPr>
        <w:t>Muškarci</w:t>
      </w:r>
    </w:p>
    <w:p w:rsidR="00687D00" w:rsidRPr="00261E6C" w:rsidRDefault="00687D00">
      <w:pPr>
        <w:widowControl w:val="0"/>
        <w:autoSpaceDE w:val="0"/>
        <w:autoSpaceDN w:val="0"/>
        <w:jc w:val="both"/>
        <w:rPr>
          <w:sz w:val="22"/>
          <w:szCs w:val="22"/>
          <w:lang w:val="sr-Latn-RS" w:bidi="en-US"/>
        </w:rPr>
      </w:pPr>
      <w:r w:rsidRPr="00261E6C">
        <w:rPr>
          <w:sz w:val="22"/>
          <w:szCs w:val="22"/>
          <w:lang w:val="sr-Latn-RS" w:bidi="en-US"/>
        </w:rPr>
        <w:t>Pacijentima čije su partnerke u reproduktivnom periodu treba preporučiti da koriste efikasnu kontracepciju tokom terapije polatuzumab vedotinom i najmanje 6 mjeseci nakon posljednje doze.</w:t>
      </w:r>
    </w:p>
    <w:p w:rsidR="00687D00" w:rsidRPr="00261E6C" w:rsidRDefault="00687D00">
      <w:pPr>
        <w:tabs>
          <w:tab w:val="left" w:pos="540"/>
          <w:tab w:val="left" w:pos="569"/>
        </w:tabs>
        <w:jc w:val="both"/>
        <w:rPr>
          <w:sz w:val="22"/>
          <w:szCs w:val="22"/>
          <w:u w:val="single"/>
          <w:lang w:val="sr-Latn-RS"/>
        </w:rPr>
      </w:pPr>
    </w:p>
    <w:p w:rsidR="00687D00" w:rsidRPr="00261E6C" w:rsidRDefault="00687D00">
      <w:pPr>
        <w:tabs>
          <w:tab w:val="left" w:pos="540"/>
          <w:tab w:val="left" w:pos="569"/>
        </w:tabs>
        <w:jc w:val="both"/>
        <w:rPr>
          <w:sz w:val="22"/>
          <w:szCs w:val="22"/>
          <w:u w:val="single"/>
          <w:lang w:val="sr-Latn-RS"/>
        </w:rPr>
      </w:pPr>
      <w:r w:rsidRPr="00261E6C">
        <w:rPr>
          <w:sz w:val="22"/>
          <w:szCs w:val="22"/>
          <w:u w:val="single"/>
          <w:lang w:val="sr-Latn-RS"/>
        </w:rPr>
        <w:t>Plodnost</w:t>
      </w:r>
    </w:p>
    <w:p w:rsidR="00687D00" w:rsidRPr="00261E6C" w:rsidRDefault="00687D00">
      <w:pPr>
        <w:widowControl w:val="0"/>
        <w:autoSpaceDE w:val="0"/>
        <w:autoSpaceDN w:val="0"/>
        <w:spacing w:before="92"/>
        <w:jc w:val="both"/>
        <w:rPr>
          <w:sz w:val="22"/>
          <w:szCs w:val="22"/>
          <w:lang w:val="sr-Latn-RS" w:bidi="en-US"/>
        </w:rPr>
      </w:pPr>
      <w:r w:rsidRPr="00261E6C">
        <w:rPr>
          <w:sz w:val="22"/>
          <w:szCs w:val="22"/>
          <w:lang w:val="sr-Latn-RS" w:bidi="en-US"/>
        </w:rPr>
        <w:t>U pretkliničkim ispitivanjima, polatuzumab vedotin je pokazao toksičnosti za testise i može da ošteti reproduktivnu funkciju i plodnost muškaraca (vidjeti dio 5.3).</w:t>
      </w:r>
    </w:p>
    <w:p w:rsidR="00687D00" w:rsidRPr="00261E6C" w:rsidRDefault="00687D00">
      <w:pPr>
        <w:widowControl w:val="0"/>
        <w:autoSpaceDE w:val="0"/>
        <w:autoSpaceDN w:val="0"/>
        <w:spacing w:before="2"/>
        <w:jc w:val="both"/>
        <w:rPr>
          <w:sz w:val="22"/>
          <w:szCs w:val="22"/>
          <w:lang w:val="sr-Latn-RS" w:bidi="en-US"/>
        </w:rPr>
      </w:pPr>
      <w:r w:rsidRPr="00261E6C">
        <w:rPr>
          <w:sz w:val="22"/>
          <w:szCs w:val="22"/>
          <w:lang w:val="sr-Latn-RS" w:bidi="en-US"/>
        </w:rPr>
        <w:t>Stoga se muškarcima koji se liječe lijekom Polivy savjetuje da sačuvaju uzorke svoje sperme prije terapije. Muškarcima liječenim lijekom Polivy savjetuje se da ne pokušavaju začeće tokom terapije i do 6 mjeseci nakon posljednje doze.</w:t>
      </w:r>
    </w:p>
    <w:p w:rsidR="00687D00" w:rsidRPr="00261E6C" w:rsidRDefault="00687D00">
      <w:pPr>
        <w:tabs>
          <w:tab w:val="left" w:pos="540"/>
          <w:tab w:val="left" w:pos="569"/>
        </w:tabs>
        <w:jc w:val="both"/>
        <w:rPr>
          <w:sz w:val="22"/>
          <w:szCs w:val="22"/>
          <w:u w:val="single"/>
          <w:lang w:val="sr-Latn-RS"/>
        </w:rPr>
      </w:pPr>
    </w:p>
    <w:p w:rsidR="00687D00" w:rsidRPr="00261E6C" w:rsidRDefault="00687D00">
      <w:pPr>
        <w:tabs>
          <w:tab w:val="left" w:pos="540"/>
          <w:tab w:val="left" w:pos="569"/>
        </w:tabs>
        <w:jc w:val="both"/>
        <w:rPr>
          <w:sz w:val="22"/>
          <w:szCs w:val="22"/>
          <w:u w:val="single"/>
          <w:lang w:val="sr-Latn-RS"/>
        </w:rPr>
      </w:pPr>
      <w:r w:rsidRPr="00261E6C">
        <w:rPr>
          <w:sz w:val="22"/>
          <w:szCs w:val="22"/>
          <w:u w:val="single"/>
          <w:lang w:val="sr-Latn-RS"/>
        </w:rPr>
        <w:t>Trudnoća</w:t>
      </w:r>
    </w:p>
    <w:p w:rsidR="00687D00" w:rsidRPr="00261E6C" w:rsidRDefault="00687D00">
      <w:pPr>
        <w:widowControl w:val="0"/>
        <w:autoSpaceDE w:val="0"/>
        <w:autoSpaceDN w:val="0"/>
        <w:spacing w:before="91"/>
        <w:jc w:val="both"/>
        <w:rPr>
          <w:sz w:val="22"/>
          <w:szCs w:val="22"/>
          <w:lang w:val="sr-Latn-RS" w:bidi="en-US"/>
        </w:rPr>
      </w:pPr>
      <w:r w:rsidRPr="00261E6C">
        <w:rPr>
          <w:sz w:val="22"/>
          <w:szCs w:val="22"/>
          <w:lang w:val="sr-Latn-RS" w:bidi="en-US"/>
        </w:rPr>
        <w:t>Nema podataka o primjeni lijeka Polivy kod trudnica. Ispitivanja na životinjama su pokazala reproduktivnu toksičnost (vidjeti dio 5.3). Na osnovu mehanizma dejstva i pretkliničkih ispitivanja, polatuzumab vedotin može biti štetan za fetus kada se primjenjuje kod trudnica. Kod žena u reproduktivnom periodu prije započinjanja liječenja provjeriti da li su trudne. Lijek Polivy se ne preporučuje tokom trudnoće i kod žena u reproduktivnom periodu, a koje ne koriste kontracepciju, osim ukoliko potencijalna korist za majku prevazilazi potencijalni rizik za fetus.</w:t>
      </w:r>
    </w:p>
    <w:p w:rsidR="00687D00" w:rsidRPr="00261E6C" w:rsidRDefault="00687D00">
      <w:pPr>
        <w:tabs>
          <w:tab w:val="left" w:pos="540"/>
          <w:tab w:val="left" w:pos="569"/>
        </w:tabs>
        <w:jc w:val="both"/>
        <w:rPr>
          <w:sz w:val="22"/>
          <w:szCs w:val="22"/>
          <w:u w:val="single"/>
          <w:lang w:val="sr-Latn-RS"/>
        </w:rPr>
      </w:pPr>
    </w:p>
    <w:p w:rsidR="00687D00" w:rsidRPr="00261E6C" w:rsidRDefault="00687D00">
      <w:pPr>
        <w:tabs>
          <w:tab w:val="left" w:pos="540"/>
          <w:tab w:val="left" w:pos="569"/>
        </w:tabs>
        <w:jc w:val="both"/>
        <w:rPr>
          <w:b/>
          <w:bCs/>
          <w:sz w:val="22"/>
          <w:szCs w:val="22"/>
          <w:lang w:val="sr-Latn-RS"/>
        </w:rPr>
      </w:pPr>
      <w:r w:rsidRPr="00261E6C">
        <w:rPr>
          <w:sz w:val="22"/>
          <w:szCs w:val="22"/>
          <w:u w:val="single"/>
          <w:lang w:val="sr-Latn-RS"/>
        </w:rPr>
        <w:t xml:space="preserve">Dojenje </w:t>
      </w:r>
    </w:p>
    <w:p w:rsidR="00687D00" w:rsidRPr="00261E6C" w:rsidRDefault="00687D00">
      <w:pPr>
        <w:widowControl w:val="0"/>
        <w:autoSpaceDE w:val="0"/>
        <w:autoSpaceDN w:val="0"/>
        <w:spacing w:before="92"/>
        <w:jc w:val="both"/>
        <w:rPr>
          <w:sz w:val="22"/>
          <w:szCs w:val="22"/>
          <w:lang w:val="sr-Latn-RS" w:bidi="en-US"/>
        </w:rPr>
      </w:pPr>
      <w:r w:rsidRPr="00261E6C">
        <w:rPr>
          <w:sz w:val="22"/>
          <w:szCs w:val="22"/>
          <w:lang w:val="sr-Latn-RS" w:bidi="en-US"/>
        </w:rPr>
        <w:t>Nije poznato da li se polatuzumab vedotin ili njegovi metaboliti izlučuju u majčino mlijeko kod ljudi. Ne može se isključiti rizik za djecu koje majke doje. Žene treba da prestanu sa dojenjem tokom terapije lijekom Polivy i najmanje 3 mjeseca nakon posljednje primljene doze.</w:t>
      </w:r>
    </w:p>
    <w:p w:rsidR="00687D00" w:rsidRPr="00261E6C" w:rsidRDefault="00687D00">
      <w:pPr>
        <w:tabs>
          <w:tab w:val="left" w:pos="540"/>
          <w:tab w:val="left" w:pos="569"/>
        </w:tabs>
        <w:ind w:left="540" w:hanging="540"/>
        <w:jc w:val="both"/>
        <w:rPr>
          <w:b/>
          <w:bCs/>
          <w:sz w:val="22"/>
          <w:szCs w:val="22"/>
          <w:lang w:val="sr-Latn-RS"/>
        </w:rPr>
      </w:pPr>
    </w:p>
    <w:p w:rsidR="00687D00" w:rsidRPr="00261E6C" w:rsidRDefault="00687D00">
      <w:pPr>
        <w:tabs>
          <w:tab w:val="left" w:pos="540"/>
          <w:tab w:val="left" w:pos="569"/>
        </w:tabs>
        <w:ind w:left="540" w:hanging="540"/>
        <w:jc w:val="both"/>
        <w:rPr>
          <w:b/>
          <w:bCs/>
          <w:sz w:val="22"/>
          <w:szCs w:val="22"/>
          <w:lang w:val="sr-Latn-RS"/>
        </w:rPr>
      </w:pPr>
      <w:r w:rsidRPr="00261E6C">
        <w:rPr>
          <w:b/>
          <w:bCs/>
          <w:sz w:val="22"/>
          <w:szCs w:val="22"/>
          <w:lang w:val="sr-Latn-RS"/>
        </w:rPr>
        <w:t xml:space="preserve">4.7. </w:t>
      </w:r>
      <w:r w:rsidRPr="00261E6C">
        <w:rPr>
          <w:b/>
          <w:bCs/>
          <w:sz w:val="22"/>
          <w:szCs w:val="22"/>
          <w:lang w:val="sr-Latn-RS"/>
        </w:rPr>
        <w:tab/>
        <w:t>Uticaj na sposobnost upravljanja vozilima i rukovanje mašinama</w:t>
      </w:r>
    </w:p>
    <w:p w:rsidR="00687D00" w:rsidRPr="00261E6C" w:rsidRDefault="00687D00">
      <w:pPr>
        <w:tabs>
          <w:tab w:val="left" w:pos="540"/>
          <w:tab w:val="left" w:pos="569"/>
        </w:tabs>
        <w:ind w:left="540" w:hanging="540"/>
        <w:jc w:val="both"/>
        <w:rPr>
          <w:b/>
          <w:bCs/>
          <w:sz w:val="22"/>
          <w:szCs w:val="22"/>
          <w:lang w:val="sr-Latn-RS"/>
        </w:rPr>
      </w:pPr>
    </w:p>
    <w:p w:rsidR="00687D00" w:rsidRPr="00261E6C" w:rsidRDefault="00687D00">
      <w:pPr>
        <w:pStyle w:val="BodyText"/>
        <w:jc w:val="both"/>
        <w:rPr>
          <w:lang w:val="sr-Latn-RS"/>
        </w:rPr>
      </w:pPr>
      <w:r w:rsidRPr="00261E6C">
        <w:rPr>
          <w:lang w:val="sr-Latn-RS"/>
        </w:rPr>
        <w:t>Lijek Polivy može malo uticati na sposobnost upravljanja motornim vozilima i rukovanj</w:t>
      </w:r>
      <w:r w:rsidR="001B1FC4" w:rsidRPr="00C2143B">
        <w:rPr>
          <w:lang w:val="sr-Latn-RS"/>
        </w:rPr>
        <w:t>e</w:t>
      </w:r>
      <w:r w:rsidRPr="00261E6C">
        <w:rPr>
          <w:lang w:val="sr-Latn-RS"/>
        </w:rPr>
        <w:t xml:space="preserve"> mašinama. Tokom terapije lijekom Polivy mogu se javiti reakcije povezane sa infuzijom, periferna neuropatija, umor i vrtoglavica (vidjeti djelove 4.4 i 4.8).</w:t>
      </w:r>
    </w:p>
    <w:p w:rsidR="00687D00" w:rsidRPr="00261E6C" w:rsidRDefault="00687D00">
      <w:pPr>
        <w:tabs>
          <w:tab w:val="left" w:pos="540"/>
          <w:tab w:val="left" w:pos="569"/>
        </w:tabs>
        <w:jc w:val="both"/>
        <w:rPr>
          <w:b/>
          <w:bCs/>
          <w:sz w:val="22"/>
          <w:szCs w:val="22"/>
          <w:lang w:val="sr-Latn-RS"/>
        </w:rPr>
      </w:pPr>
    </w:p>
    <w:p w:rsidR="00687D00" w:rsidRPr="00261E6C" w:rsidRDefault="00687D00">
      <w:pPr>
        <w:tabs>
          <w:tab w:val="left" w:pos="540"/>
          <w:tab w:val="left" w:pos="569"/>
        </w:tabs>
        <w:jc w:val="both"/>
        <w:rPr>
          <w:b/>
          <w:bCs/>
          <w:sz w:val="22"/>
          <w:szCs w:val="22"/>
          <w:lang w:val="sr-Latn-RS"/>
        </w:rPr>
      </w:pPr>
      <w:r w:rsidRPr="00261E6C">
        <w:rPr>
          <w:b/>
          <w:bCs/>
          <w:sz w:val="22"/>
          <w:szCs w:val="22"/>
          <w:lang w:val="sr-Latn-RS"/>
        </w:rPr>
        <w:t xml:space="preserve">4.8. </w:t>
      </w:r>
      <w:r w:rsidRPr="00261E6C">
        <w:rPr>
          <w:b/>
          <w:bCs/>
          <w:sz w:val="22"/>
          <w:szCs w:val="22"/>
          <w:lang w:val="sr-Latn-RS"/>
        </w:rPr>
        <w:tab/>
        <w:t>Neželjena dejstva</w:t>
      </w:r>
    </w:p>
    <w:p w:rsidR="00687D00" w:rsidRPr="00261E6C" w:rsidRDefault="00687D00">
      <w:pPr>
        <w:tabs>
          <w:tab w:val="left" w:pos="540"/>
          <w:tab w:val="left" w:pos="569"/>
        </w:tabs>
        <w:jc w:val="both"/>
        <w:rPr>
          <w:b/>
          <w:bCs/>
          <w:sz w:val="22"/>
          <w:szCs w:val="22"/>
          <w:lang w:val="sr-Latn-RS"/>
        </w:rPr>
      </w:pPr>
    </w:p>
    <w:p w:rsidR="00687D00" w:rsidRPr="00261E6C" w:rsidRDefault="00687D00">
      <w:pPr>
        <w:widowControl w:val="0"/>
        <w:autoSpaceDE w:val="0"/>
        <w:autoSpaceDN w:val="0"/>
        <w:spacing w:before="1"/>
        <w:jc w:val="both"/>
        <w:rPr>
          <w:sz w:val="22"/>
          <w:szCs w:val="22"/>
          <w:lang w:val="sr-Latn-RS" w:bidi="en-US"/>
        </w:rPr>
      </w:pPr>
      <w:r w:rsidRPr="00261E6C">
        <w:rPr>
          <w:sz w:val="22"/>
          <w:szCs w:val="22"/>
          <w:u w:val="single"/>
          <w:lang w:val="sr-Latn-RS" w:bidi="en-US"/>
        </w:rPr>
        <w:t>Sažetak bezbjednosnog profila</w:t>
      </w:r>
    </w:p>
    <w:p w:rsidR="00A85FC5" w:rsidRPr="00261E6C" w:rsidRDefault="00A85FC5">
      <w:pPr>
        <w:widowControl w:val="0"/>
        <w:autoSpaceDE w:val="0"/>
        <w:autoSpaceDN w:val="0"/>
        <w:spacing w:before="1"/>
        <w:jc w:val="both"/>
        <w:rPr>
          <w:sz w:val="22"/>
          <w:szCs w:val="22"/>
          <w:u w:val="single"/>
          <w:lang w:val="sr-Latn-RS" w:bidi="en-US"/>
        </w:rPr>
      </w:pPr>
    </w:p>
    <w:p w:rsidR="00A85FC5" w:rsidRPr="00261E6C" w:rsidRDefault="00E343D0">
      <w:pPr>
        <w:widowControl w:val="0"/>
        <w:jc w:val="both"/>
        <w:rPr>
          <w:sz w:val="22"/>
          <w:szCs w:val="22"/>
          <w:lang w:val="hr-HR"/>
        </w:rPr>
      </w:pPr>
      <w:r w:rsidRPr="00261E6C">
        <w:rPr>
          <w:sz w:val="22"/>
          <w:szCs w:val="22"/>
          <w:lang w:val="hr-HR"/>
        </w:rPr>
        <w:t>Bezbjednost</w:t>
      </w:r>
      <w:r w:rsidR="00A85FC5" w:rsidRPr="00261E6C">
        <w:rPr>
          <w:sz w:val="22"/>
          <w:szCs w:val="22"/>
          <w:lang w:val="hr-HR"/>
        </w:rPr>
        <w:t xml:space="preserve"> </w:t>
      </w:r>
      <w:r w:rsidRPr="00261E6C">
        <w:rPr>
          <w:sz w:val="22"/>
          <w:szCs w:val="22"/>
          <w:lang w:val="hr-HR"/>
        </w:rPr>
        <w:t>lijeka</w:t>
      </w:r>
      <w:r w:rsidR="00A85FC5" w:rsidRPr="00261E6C">
        <w:rPr>
          <w:sz w:val="22"/>
          <w:szCs w:val="22"/>
          <w:lang w:val="hr-HR"/>
        </w:rPr>
        <w:t xml:space="preserve"> Polivy </w:t>
      </w:r>
      <w:r w:rsidRPr="00261E6C">
        <w:rPr>
          <w:sz w:val="22"/>
          <w:szCs w:val="22"/>
          <w:lang w:val="hr-HR"/>
        </w:rPr>
        <w:t>proc</w:t>
      </w:r>
      <w:r w:rsidR="00B634C0" w:rsidRPr="00C2143B">
        <w:rPr>
          <w:sz w:val="22"/>
          <w:szCs w:val="22"/>
          <w:lang w:val="hr-HR"/>
        </w:rPr>
        <w:t>i</w:t>
      </w:r>
      <w:r w:rsidRPr="00261E6C">
        <w:rPr>
          <w:sz w:val="22"/>
          <w:szCs w:val="22"/>
          <w:lang w:val="hr-HR"/>
        </w:rPr>
        <w:t>jenjena</w:t>
      </w:r>
      <w:r w:rsidR="00A85FC5" w:rsidRPr="00261E6C">
        <w:rPr>
          <w:sz w:val="22"/>
          <w:szCs w:val="22"/>
          <w:lang w:val="hr-HR"/>
        </w:rPr>
        <w:t xml:space="preserve"> je kod 435 pacijenata uključenih u klini</w:t>
      </w:r>
      <w:r w:rsidR="00A85FC5" w:rsidRPr="00261E6C">
        <w:rPr>
          <w:sz w:val="22"/>
          <w:szCs w:val="22"/>
          <w:lang w:val="sr-Latn-RS"/>
        </w:rPr>
        <w:t>čko</w:t>
      </w:r>
      <w:r w:rsidR="00A85FC5" w:rsidRPr="00261E6C">
        <w:rPr>
          <w:sz w:val="22"/>
          <w:szCs w:val="22"/>
          <w:lang w:val="hr-HR"/>
        </w:rPr>
        <w:t xml:space="preserve"> ispitivanje GO39942 (POLARIX). Neželjene reakcije koje su opisane u </w:t>
      </w:r>
      <w:r w:rsidRPr="00261E6C">
        <w:rPr>
          <w:sz w:val="22"/>
          <w:szCs w:val="22"/>
          <w:lang w:val="hr-HR"/>
        </w:rPr>
        <w:t>dijelu</w:t>
      </w:r>
      <w:r w:rsidR="00A85FC5" w:rsidRPr="00261E6C">
        <w:rPr>
          <w:sz w:val="22"/>
          <w:szCs w:val="22"/>
          <w:lang w:val="hr-HR"/>
        </w:rPr>
        <w:t> 4.8 otkrivene su:</w:t>
      </w:r>
    </w:p>
    <w:p w:rsidR="00A85FC5" w:rsidRPr="00C2143B" w:rsidRDefault="00A85FC5" w:rsidP="00B634C0">
      <w:pPr>
        <w:pStyle w:val="ListParagraph"/>
        <w:ind w:left="284" w:hanging="284"/>
        <w:rPr>
          <w:szCs w:val="22"/>
          <w:lang w:val="hr-HR"/>
        </w:rPr>
      </w:pPr>
      <w:r w:rsidRPr="00C2143B">
        <w:rPr>
          <w:szCs w:val="22"/>
          <w:lang w:val="hr-HR"/>
        </w:rPr>
        <w:sym w:font="Symbol" w:char="F0B7"/>
      </w:r>
      <w:r w:rsidRPr="00C2143B">
        <w:rPr>
          <w:szCs w:val="22"/>
          <w:lang w:val="hr-HR"/>
        </w:rPr>
        <w:tab/>
        <w:t xml:space="preserve">tokom </w:t>
      </w:r>
      <w:r w:rsidR="00E343D0" w:rsidRPr="00C2143B">
        <w:rPr>
          <w:szCs w:val="22"/>
          <w:lang w:val="hr-HR"/>
        </w:rPr>
        <w:t>liječenja</w:t>
      </w:r>
      <w:r w:rsidRPr="00C2143B">
        <w:rPr>
          <w:szCs w:val="22"/>
          <w:lang w:val="hr-HR"/>
        </w:rPr>
        <w:t xml:space="preserve"> i praćenja prethodno </w:t>
      </w:r>
      <w:r w:rsidR="00E343D0" w:rsidRPr="00C2143B">
        <w:rPr>
          <w:szCs w:val="22"/>
          <w:lang w:val="hr-HR"/>
        </w:rPr>
        <w:t>neliječenih</w:t>
      </w:r>
      <w:r w:rsidRPr="00C2143B">
        <w:rPr>
          <w:szCs w:val="22"/>
          <w:lang w:val="hr-HR"/>
        </w:rPr>
        <w:t xml:space="preserve"> pacijenata sa DBKL</w:t>
      </w:r>
      <w:r w:rsidRPr="00C2143B">
        <w:rPr>
          <w:szCs w:val="22"/>
          <w:lang w:val="hr-HR"/>
        </w:rPr>
        <w:noBreakHyphen/>
        <w:t xml:space="preserve">om iz pivotalnog kliničkog ispitivanja GO39942 (POLARIX) koji su primali </w:t>
      </w:r>
      <w:r w:rsidR="00C2143B">
        <w:rPr>
          <w:szCs w:val="22"/>
          <w:lang w:val="hr-HR"/>
        </w:rPr>
        <w:t xml:space="preserve">lijek </w:t>
      </w:r>
      <w:r w:rsidRPr="00C2143B">
        <w:rPr>
          <w:szCs w:val="22"/>
          <w:lang w:val="hr-HR"/>
        </w:rPr>
        <w:t>Polivy plus R</w:t>
      </w:r>
      <w:r w:rsidRPr="00C2143B">
        <w:rPr>
          <w:szCs w:val="22"/>
          <w:lang w:val="hr-HR"/>
        </w:rPr>
        <w:noBreakHyphen/>
        <w:t>CHP (n=435) ili R</w:t>
      </w:r>
      <w:r w:rsidRPr="00C2143B">
        <w:rPr>
          <w:szCs w:val="22"/>
          <w:lang w:val="hr-HR"/>
        </w:rPr>
        <w:noBreakHyphen/>
        <w:t xml:space="preserve">CHOP (n=438). U grupi koja je primala </w:t>
      </w:r>
      <w:r w:rsidR="00C2143B">
        <w:rPr>
          <w:szCs w:val="22"/>
          <w:lang w:val="hr-HR"/>
        </w:rPr>
        <w:t xml:space="preserve">lijek </w:t>
      </w:r>
      <w:r w:rsidRPr="00C2143B">
        <w:rPr>
          <w:szCs w:val="22"/>
          <w:lang w:val="hr-HR"/>
        </w:rPr>
        <w:t>Polivy plus R</w:t>
      </w:r>
      <w:r w:rsidRPr="00C2143B">
        <w:rPr>
          <w:szCs w:val="22"/>
          <w:lang w:val="hr-HR"/>
        </w:rPr>
        <w:noBreakHyphen/>
        <w:t xml:space="preserve">CHP 91,7% pacijenata primilo je 6 ciklusa </w:t>
      </w:r>
      <w:r w:rsidR="00E343D0" w:rsidRPr="00C2143B">
        <w:rPr>
          <w:szCs w:val="22"/>
          <w:lang w:val="hr-HR"/>
        </w:rPr>
        <w:t>lijeka</w:t>
      </w:r>
      <w:r w:rsidRPr="00C2143B">
        <w:rPr>
          <w:szCs w:val="22"/>
          <w:lang w:val="hr-HR"/>
        </w:rPr>
        <w:t xml:space="preserve"> Polivy, dok je u grupi </w:t>
      </w:r>
      <w:r w:rsidR="00E343D0" w:rsidRPr="00C2143B">
        <w:rPr>
          <w:szCs w:val="22"/>
          <w:lang w:val="hr-HR"/>
        </w:rPr>
        <w:t>liječenoj</w:t>
      </w:r>
      <w:r w:rsidRPr="00C2143B">
        <w:rPr>
          <w:szCs w:val="22"/>
          <w:lang w:val="hr-HR"/>
        </w:rPr>
        <w:t xml:space="preserve"> R</w:t>
      </w:r>
      <w:r w:rsidRPr="00C2143B">
        <w:rPr>
          <w:szCs w:val="22"/>
          <w:lang w:val="hr-HR"/>
        </w:rPr>
        <w:noBreakHyphen/>
        <w:t>CHOP protokolom 88,5% pacijenata primilo 6 ciklusa vinkristina.</w:t>
      </w:r>
    </w:p>
    <w:p w:rsidR="00A85FC5" w:rsidRPr="00C2143B" w:rsidRDefault="00A85FC5" w:rsidP="00B634C0">
      <w:pPr>
        <w:widowControl w:val="0"/>
        <w:ind w:left="284" w:hanging="284"/>
        <w:jc w:val="both"/>
        <w:rPr>
          <w:sz w:val="22"/>
          <w:szCs w:val="22"/>
          <w:lang w:val="hr-HR"/>
        </w:rPr>
      </w:pPr>
    </w:p>
    <w:p w:rsidR="00B634C0" w:rsidRPr="00261E6C" w:rsidRDefault="00B634C0" w:rsidP="00B634C0">
      <w:pPr>
        <w:widowControl w:val="0"/>
        <w:ind w:left="284" w:hanging="284"/>
        <w:jc w:val="both"/>
        <w:rPr>
          <w:sz w:val="22"/>
          <w:szCs w:val="22"/>
          <w:lang w:val="hr-HR"/>
        </w:rPr>
      </w:pPr>
    </w:p>
    <w:p w:rsidR="00A85FC5" w:rsidRPr="00261E6C" w:rsidRDefault="00A85FC5">
      <w:pPr>
        <w:widowControl w:val="0"/>
        <w:jc w:val="both"/>
        <w:rPr>
          <w:sz w:val="22"/>
          <w:szCs w:val="22"/>
          <w:lang w:val="hr-HR"/>
        </w:rPr>
      </w:pPr>
      <w:r w:rsidRPr="00261E6C">
        <w:rPr>
          <w:sz w:val="22"/>
          <w:szCs w:val="22"/>
          <w:lang w:val="hr-HR"/>
        </w:rPr>
        <w:lastRenderedPageBreak/>
        <w:t xml:space="preserve">Kod prethodno </w:t>
      </w:r>
      <w:r w:rsidR="00E343D0" w:rsidRPr="00261E6C">
        <w:rPr>
          <w:sz w:val="22"/>
          <w:szCs w:val="22"/>
          <w:lang w:val="hr-HR"/>
        </w:rPr>
        <w:t>neliječenih</w:t>
      </w:r>
      <w:r w:rsidRPr="00261E6C">
        <w:rPr>
          <w:sz w:val="22"/>
          <w:szCs w:val="22"/>
          <w:lang w:val="hr-HR"/>
        </w:rPr>
        <w:t xml:space="preserve"> pacijenata sa DBKL</w:t>
      </w:r>
      <w:r w:rsidRPr="00261E6C">
        <w:rPr>
          <w:sz w:val="22"/>
          <w:szCs w:val="22"/>
          <w:lang w:val="hr-HR"/>
        </w:rPr>
        <w:noBreakHyphen/>
        <w:t xml:space="preserve">om koji su primali </w:t>
      </w:r>
      <w:r w:rsidR="00C2143B">
        <w:rPr>
          <w:sz w:val="22"/>
          <w:szCs w:val="22"/>
          <w:lang w:val="hr-HR"/>
        </w:rPr>
        <w:t xml:space="preserve">lijek </w:t>
      </w:r>
      <w:r w:rsidRPr="00261E6C">
        <w:rPr>
          <w:sz w:val="22"/>
          <w:szCs w:val="22"/>
          <w:lang w:val="hr-HR"/>
        </w:rPr>
        <w:t>Polivy plus R</w:t>
      </w:r>
      <w:r w:rsidRPr="00261E6C">
        <w:rPr>
          <w:sz w:val="22"/>
          <w:szCs w:val="22"/>
          <w:lang w:val="hr-HR"/>
        </w:rPr>
        <w:noBreakHyphen/>
        <w:t>CHP:</w:t>
      </w:r>
    </w:p>
    <w:p w:rsidR="00A85FC5" w:rsidRPr="00C2143B" w:rsidRDefault="00A85FC5" w:rsidP="00B634C0">
      <w:pPr>
        <w:pStyle w:val="ListParagraph"/>
        <w:ind w:left="284" w:hanging="284"/>
        <w:rPr>
          <w:szCs w:val="22"/>
          <w:lang w:val="hr-HR"/>
        </w:rPr>
      </w:pPr>
      <w:r w:rsidRPr="00C2143B">
        <w:rPr>
          <w:szCs w:val="22"/>
          <w:lang w:val="hr-HR"/>
        </w:rPr>
        <w:sym w:font="Symbol" w:char="F0B7"/>
      </w:r>
      <w:r w:rsidRPr="00C2143B">
        <w:rPr>
          <w:szCs w:val="22"/>
          <w:lang w:val="hr-HR"/>
        </w:rPr>
        <w:tab/>
        <w:t xml:space="preserve">najčešće neželjene reakcije (≥ 30%) prijavljene kod pacijenata koji su primali </w:t>
      </w:r>
      <w:r w:rsidR="00C2143B">
        <w:rPr>
          <w:szCs w:val="22"/>
          <w:lang w:val="hr-HR"/>
        </w:rPr>
        <w:t xml:space="preserve">lijek </w:t>
      </w:r>
      <w:r w:rsidRPr="00C2143B">
        <w:rPr>
          <w:szCs w:val="22"/>
          <w:lang w:val="hr-HR"/>
        </w:rPr>
        <w:t>Polivy plus R</w:t>
      </w:r>
      <w:r w:rsidRPr="00C2143B">
        <w:rPr>
          <w:szCs w:val="22"/>
          <w:lang w:val="hr-HR"/>
        </w:rPr>
        <w:noBreakHyphen/>
        <w:t xml:space="preserve">CHP za prethodno </w:t>
      </w:r>
      <w:r w:rsidR="00F17ABA" w:rsidRPr="00C2143B">
        <w:rPr>
          <w:szCs w:val="22"/>
          <w:lang w:val="hr-HR"/>
        </w:rPr>
        <w:t>neliječen</w:t>
      </w:r>
      <w:r w:rsidR="00DE394E" w:rsidRPr="00C2143B">
        <w:rPr>
          <w:szCs w:val="22"/>
          <w:lang w:val="hr-HR"/>
        </w:rPr>
        <w:t>i</w:t>
      </w:r>
      <w:r w:rsidRPr="00C2143B">
        <w:rPr>
          <w:szCs w:val="22"/>
          <w:lang w:val="hr-HR"/>
        </w:rPr>
        <w:t xml:space="preserve"> DBKL bile su periferna neuropatija (52,9%), mučnina (41,6%), neutropenija (38,4%) i dijareja (30,8%)</w:t>
      </w:r>
      <w:r w:rsidR="00DE394E" w:rsidRPr="00C2143B">
        <w:rPr>
          <w:szCs w:val="22"/>
          <w:lang w:val="hr-HR"/>
        </w:rPr>
        <w:t>.</w:t>
      </w:r>
    </w:p>
    <w:p w:rsidR="00A85FC5" w:rsidRPr="00C2143B" w:rsidRDefault="00A85FC5">
      <w:pPr>
        <w:pStyle w:val="ListParagraph"/>
        <w:ind w:left="567" w:hanging="567"/>
        <w:rPr>
          <w:szCs w:val="22"/>
          <w:lang w:val="hr-HR"/>
        </w:rPr>
      </w:pPr>
      <w:r w:rsidRPr="00C2143B">
        <w:rPr>
          <w:szCs w:val="22"/>
          <w:lang w:val="hr-HR"/>
        </w:rPr>
        <w:sym w:font="Symbol" w:char="F0B7"/>
      </w:r>
      <w:r w:rsidRPr="00C2143B">
        <w:rPr>
          <w:szCs w:val="22"/>
          <w:lang w:val="hr-HR"/>
        </w:rPr>
        <w:tab/>
        <w:t xml:space="preserve">ozbiljne neželjene reakcije prijavljene su kod 24,1% pacijenata koji su primali </w:t>
      </w:r>
      <w:r w:rsidR="00C2143B">
        <w:rPr>
          <w:szCs w:val="22"/>
          <w:lang w:val="hr-HR"/>
        </w:rPr>
        <w:t xml:space="preserve">lijek </w:t>
      </w:r>
      <w:r w:rsidRPr="00C2143B">
        <w:rPr>
          <w:szCs w:val="22"/>
          <w:lang w:val="hr-HR"/>
        </w:rPr>
        <w:t>Polivy plus R</w:t>
      </w:r>
      <w:r w:rsidRPr="00C2143B">
        <w:rPr>
          <w:szCs w:val="22"/>
          <w:lang w:val="hr-HR"/>
        </w:rPr>
        <w:noBreakHyphen/>
        <w:t>CHP</w:t>
      </w:r>
      <w:r w:rsidR="00DE394E" w:rsidRPr="00C2143B">
        <w:rPr>
          <w:szCs w:val="22"/>
          <w:lang w:val="hr-HR"/>
        </w:rPr>
        <w:t>.</w:t>
      </w:r>
    </w:p>
    <w:p w:rsidR="00A85FC5" w:rsidRPr="00C2143B" w:rsidRDefault="00A85FC5" w:rsidP="00B634C0">
      <w:pPr>
        <w:pStyle w:val="ListParagraph"/>
        <w:ind w:left="284" w:hanging="284"/>
        <w:rPr>
          <w:szCs w:val="22"/>
          <w:lang w:val="hr-HR"/>
        </w:rPr>
      </w:pPr>
      <w:r w:rsidRPr="00C2143B">
        <w:rPr>
          <w:szCs w:val="22"/>
          <w:lang w:val="hr-HR"/>
        </w:rPr>
        <w:sym w:font="Symbol" w:char="F0B7"/>
      </w:r>
      <w:r w:rsidRPr="00C2143B">
        <w:rPr>
          <w:szCs w:val="22"/>
          <w:lang w:val="hr-HR"/>
        </w:rPr>
        <w:tab/>
        <w:t>najčešće ozbiljne neželjene reakcije prijavljene kod ≥ 5% pacijenata bile su febrilna neutropenija (10,6%) i pneumonija (5,3%)</w:t>
      </w:r>
      <w:r w:rsidR="00DE394E" w:rsidRPr="00C2143B">
        <w:rPr>
          <w:szCs w:val="22"/>
          <w:lang w:val="hr-HR"/>
        </w:rPr>
        <w:t>.</w:t>
      </w:r>
    </w:p>
    <w:p w:rsidR="00A85FC5" w:rsidRPr="00C2143B" w:rsidRDefault="00A85FC5" w:rsidP="00B634C0">
      <w:pPr>
        <w:pStyle w:val="ListParagraph"/>
        <w:ind w:left="284" w:hanging="284"/>
        <w:rPr>
          <w:szCs w:val="22"/>
          <w:lang w:val="hr-HR"/>
        </w:rPr>
      </w:pPr>
      <w:r w:rsidRPr="00C2143B">
        <w:rPr>
          <w:szCs w:val="22"/>
          <w:lang w:val="hr-HR"/>
        </w:rPr>
        <w:sym w:font="Symbol" w:char="F0B7"/>
      </w:r>
      <w:r w:rsidRPr="00C2143B">
        <w:rPr>
          <w:szCs w:val="22"/>
          <w:lang w:val="hr-HR"/>
        </w:rPr>
        <w:tab/>
        <w:t xml:space="preserve">neželjena reakcija koja je dovela do prekida </w:t>
      </w:r>
      <w:r w:rsidR="00E343D0" w:rsidRPr="00C2143B">
        <w:rPr>
          <w:szCs w:val="22"/>
          <w:lang w:val="hr-HR"/>
        </w:rPr>
        <w:t>primjene terapijskog režima kod</w:t>
      </w:r>
      <w:r w:rsidRPr="00C2143B">
        <w:rPr>
          <w:szCs w:val="22"/>
          <w:lang w:val="hr-HR"/>
        </w:rPr>
        <w:t xml:space="preserve"> &gt; 1% pacijenata koji su primali </w:t>
      </w:r>
      <w:r w:rsidR="00C2143B">
        <w:rPr>
          <w:szCs w:val="22"/>
          <w:lang w:val="hr-HR"/>
        </w:rPr>
        <w:t xml:space="preserve">lijek </w:t>
      </w:r>
      <w:r w:rsidRPr="00C2143B">
        <w:rPr>
          <w:szCs w:val="22"/>
          <w:lang w:val="hr-HR"/>
        </w:rPr>
        <w:t>Polivy plus R</w:t>
      </w:r>
      <w:r w:rsidRPr="00C2143B">
        <w:rPr>
          <w:szCs w:val="22"/>
          <w:lang w:val="hr-HR"/>
        </w:rPr>
        <w:noBreakHyphen/>
        <w:t>CHP bila je pneumonija (1,1%)</w:t>
      </w:r>
      <w:r w:rsidR="00DE394E" w:rsidRPr="00C2143B">
        <w:rPr>
          <w:szCs w:val="22"/>
          <w:lang w:val="hr-HR"/>
        </w:rPr>
        <w:t>.</w:t>
      </w:r>
    </w:p>
    <w:p w:rsidR="00A85FC5" w:rsidRPr="00261E6C" w:rsidRDefault="00A85FC5">
      <w:pPr>
        <w:widowControl w:val="0"/>
        <w:jc w:val="both"/>
        <w:rPr>
          <w:sz w:val="22"/>
          <w:szCs w:val="22"/>
          <w:lang w:val="hr-HR"/>
        </w:rPr>
      </w:pPr>
    </w:p>
    <w:p w:rsidR="00DE394E" w:rsidRPr="00261E6C" w:rsidRDefault="00E343D0">
      <w:pPr>
        <w:widowControl w:val="0"/>
        <w:jc w:val="both"/>
        <w:rPr>
          <w:sz w:val="22"/>
          <w:szCs w:val="22"/>
          <w:lang w:val="hr-HR"/>
        </w:rPr>
      </w:pPr>
      <w:r w:rsidRPr="00261E6C">
        <w:rPr>
          <w:sz w:val="22"/>
          <w:szCs w:val="22"/>
          <w:lang w:val="hr-HR"/>
        </w:rPr>
        <w:t>Bezbjednost</w:t>
      </w:r>
      <w:r w:rsidR="00A85FC5" w:rsidRPr="00261E6C">
        <w:rPr>
          <w:sz w:val="22"/>
          <w:szCs w:val="22"/>
          <w:lang w:val="hr-HR"/>
        </w:rPr>
        <w:t xml:space="preserve"> </w:t>
      </w:r>
      <w:r w:rsidRPr="00261E6C">
        <w:rPr>
          <w:sz w:val="22"/>
          <w:szCs w:val="22"/>
          <w:lang w:val="hr-HR"/>
        </w:rPr>
        <w:t>lijeka</w:t>
      </w:r>
      <w:r w:rsidR="00A85FC5" w:rsidRPr="00261E6C">
        <w:rPr>
          <w:sz w:val="22"/>
          <w:szCs w:val="22"/>
          <w:lang w:val="hr-HR"/>
        </w:rPr>
        <w:t xml:space="preserve"> Polivy </w:t>
      </w:r>
      <w:r w:rsidRPr="00261E6C">
        <w:rPr>
          <w:sz w:val="22"/>
          <w:szCs w:val="22"/>
          <w:lang w:val="hr-HR"/>
        </w:rPr>
        <w:t>proc</w:t>
      </w:r>
      <w:r w:rsidR="00DE394E" w:rsidRPr="00C2143B">
        <w:rPr>
          <w:sz w:val="22"/>
          <w:szCs w:val="22"/>
          <w:lang w:val="hr-HR"/>
        </w:rPr>
        <w:t>i</w:t>
      </w:r>
      <w:r w:rsidRPr="00261E6C">
        <w:rPr>
          <w:sz w:val="22"/>
          <w:szCs w:val="22"/>
          <w:lang w:val="hr-HR"/>
        </w:rPr>
        <w:t>jenjena</w:t>
      </w:r>
      <w:r w:rsidR="00A85FC5" w:rsidRPr="00261E6C">
        <w:rPr>
          <w:sz w:val="22"/>
          <w:szCs w:val="22"/>
          <w:lang w:val="hr-HR"/>
        </w:rPr>
        <w:t xml:space="preserve"> je kod 151 pacijenta uključenog u ispitivanje GO29365. Neželjene reakcije koje su opisane u </w:t>
      </w:r>
      <w:r w:rsidRPr="00261E6C">
        <w:rPr>
          <w:sz w:val="22"/>
          <w:szCs w:val="22"/>
          <w:lang w:val="hr-HR"/>
        </w:rPr>
        <w:t>dijelu</w:t>
      </w:r>
      <w:r w:rsidR="00A85FC5" w:rsidRPr="00261E6C">
        <w:rPr>
          <w:sz w:val="22"/>
          <w:szCs w:val="22"/>
          <w:lang w:val="hr-HR"/>
        </w:rPr>
        <w:t> 4.8 otkrivene su:</w:t>
      </w:r>
    </w:p>
    <w:p w:rsidR="00687D00" w:rsidRPr="00261E6C" w:rsidRDefault="00687D00" w:rsidP="00261E6C">
      <w:pPr>
        <w:widowControl w:val="0"/>
        <w:numPr>
          <w:ilvl w:val="0"/>
          <w:numId w:val="19"/>
        </w:numPr>
        <w:autoSpaceDE w:val="0"/>
        <w:autoSpaceDN w:val="0"/>
        <w:spacing w:before="1"/>
        <w:ind w:left="284" w:hanging="284"/>
        <w:jc w:val="both"/>
        <w:rPr>
          <w:sz w:val="22"/>
          <w:szCs w:val="22"/>
          <w:lang w:val="hr-HR" w:bidi="en-US"/>
        </w:rPr>
      </w:pPr>
      <w:r w:rsidRPr="00261E6C">
        <w:rPr>
          <w:sz w:val="22"/>
          <w:szCs w:val="22"/>
          <w:lang w:val="sr-Latn-RS" w:bidi="en-US"/>
        </w:rPr>
        <w:t>tokom terapije i praćenja prethodno liječenih pacijenata sa DBKL-om (n=151) iz pivotalnog</w:t>
      </w:r>
      <w:r w:rsidR="00BD2F24" w:rsidRPr="00261E6C">
        <w:rPr>
          <w:sz w:val="22"/>
          <w:szCs w:val="22"/>
          <w:lang w:val="sr-Latn-RS" w:bidi="en-US"/>
        </w:rPr>
        <w:t xml:space="preserve"> </w:t>
      </w:r>
      <w:r w:rsidRPr="00261E6C">
        <w:rPr>
          <w:sz w:val="22"/>
          <w:szCs w:val="22"/>
          <w:lang w:val="sr-Latn-RS" w:bidi="en-US"/>
        </w:rPr>
        <w:t>kliničkog ispitivanja GO29365. To obuhvata pacijente iz uvodne faze (n=6) i randomizovane pacijente (n=39) i kohortu pacijenata iz produženog ispitivanja (n=106) koji su primali lijek Polivy u kombinaciji sa bendamustinom i rituksimabom (BR) u poređenju sa randomizovanim pacijentima (n=39) koji su primali samo BR. Pacijenti u terapijskim grupama primali su u prosjeku 5 ciklusa terapije, dok su randomizovani pacijenti u kontrolnoj grupi primali u prosjeku 3 ciklusa terapije.</w:t>
      </w:r>
    </w:p>
    <w:p w:rsidR="003C1B7B" w:rsidRPr="00261E6C" w:rsidRDefault="003C1B7B" w:rsidP="00261E6C">
      <w:pPr>
        <w:widowControl w:val="0"/>
        <w:autoSpaceDE w:val="0"/>
        <w:autoSpaceDN w:val="0"/>
        <w:spacing w:before="91"/>
        <w:jc w:val="both"/>
        <w:rPr>
          <w:sz w:val="22"/>
          <w:szCs w:val="22"/>
          <w:lang w:val="hr-HR" w:bidi="en-US"/>
        </w:rPr>
      </w:pPr>
    </w:p>
    <w:p w:rsidR="005612C5" w:rsidRPr="00261E6C" w:rsidRDefault="00A85FC5" w:rsidP="00261E6C">
      <w:pPr>
        <w:jc w:val="both"/>
        <w:rPr>
          <w:sz w:val="22"/>
          <w:szCs w:val="22"/>
          <w:lang w:val="sr-Latn-RS" w:bidi="en-US"/>
        </w:rPr>
      </w:pPr>
      <w:r w:rsidRPr="00261E6C">
        <w:rPr>
          <w:sz w:val="22"/>
          <w:szCs w:val="22"/>
          <w:lang w:val="sr-Latn-RS"/>
        </w:rPr>
        <w:t>Kod</w:t>
      </w:r>
      <w:r w:rsidRPr="00261E6C">
        <w:rPr>
          <w:sz w:val="22"/>
          <w:szCs w:val="22"/>
          <w:lang w:val="hr-HR"/>
        </w:rPr>
        <w:t xml:space="preserve"> prethodno </w:t>
      </w:r>
      <w:r w:rsidR="003C1B7B" w:rsidRPr="00261E6C">
        <w:rPr>
          <w:sz w:val="22"/>
          <w:szCs w:val="22"/>
          <w:lang w:val="hr-HR"/>
        </w:rPr>
        <w:t>liječenih</w:t>
      </w:r>
      <w:r w:rsidRPr="00261E6C">
        <w:rPr>
          <w:sz w:val="22"/>
          <w:szCs w:val="22"/>
          <w:lang w:val="hr-HR"/>
        </w:rPr>
        <w:t xml:space="preserve"> pacijenata sa DBKL</w:t>
      </w:r>
      <w:r w:rsidRPr="00261E6C">
        <w:rPr>
          <w:sz w:val="22"/>
          <w:szCs w:val="22"/>
          <w:lang w:val="hr-HR"/>
        </w:rPr>
        <w:noBreakHyphen/>
        <w:t xml:space="preserve">om koji su primali </w:t>
      </w:r>
      <w:r w:rsidR="003C1B7B" w:rsidRPr="00261E6C">
        <w:rPr>
          <w:sz w:val="22"/>
          <w:szCs w:val="22"/>
          <w:lang w:val="hr-HR"/>
        </w:rPr>
        <w:t>lijek</w:t>
      </w:r>
      <w:r w:rsidRPr="00261E6C">
        <w:rPr>
          <w:sz w:val="22"/>
          <w:szCs w:val="22"/>
          <w:lang w:val="hr-HR"/>
        </w:rPr>
        <w:t xml:space="preserve"> Polivy plus BR:</w:t>
      </w:r>
    </w:p>
    <w:p w:rsidR="00A85FC5" w:rsidRPr="00C2143B" w:rsidRDefault="00A85FC5" w:rsidP="00DE394E">
      <w:pPr>
        <w:pStyle w:val="ListParagraph"/>
        <w:keepLines/>
        <w:widowControl w:val="0"/>
        <w:numPr>
          <w:ilvl w:val="0"/>
          <w:numId w:val="16"/>
        </w:numPr>
        <w:autoSpaceDE w:val="0"/>
        <w:autoSpaceDN w:val="0"/>
        <w:ind w:left="284" w:hanging="284"/>
        <w:rPr>
          <w:szCs w:val="22"/>
          <w:lang w:val="sr-Latn-RS" w:bidi="en-US"/>
        </w:rPr>
      </w:pPr>
      <w:r w:rsidRPr="00C2143B">
        <w:rPr>
          <w:szCs w:val="22"/>
          <w:lang w:val="sr-Latn-RS" w:bidi="en-US"/>
        </w:rPr>
        <w:t>n</w:t>
      </w:r>
      <w:r w:rsidR="00456BD1" w:rsidRPr="00C2143B">
        <w:rPr>
          <w:szCs w:val="22"/>
          <w:lang w:val="sr-Latn-RS" w:bidi="en-US"/>
        </w:rPr>
        <w:t>ajčešće zabilježene neželjene reakcije</w:t>
      </w:r>
      <w:r w:rsidR="00C50C3B" w:rsidRPr="00C2143B">
        <w:rPr>
          <w:szCs w:val="22"/>
          <w:lang w:val="sr-Latn-RS" w:bidi="en-US"/>
        </w:rPr>
        <w:t xml:space="preserve"> </w:t>
      </w:r>
      <w:r w:rsidRPr="00C2143B">
        <w:rPr>
          <w:szCs w:val="22"/>
          <w:lang w:val="sr-Latn-RS" w:bidi="en-US"/>
        </w:rPr>
        <w:t xml:space="preserve">(svih </w:t>
      </w:r>
      <w:r w:rsidR="00F55D0F" w:rsidRPr="00C2143B">
        <w:rPr>
          <w:szCs w:val="22"/>
          <w:lang w:val="sr-Latn-RS" w:bidi="en-US"/>
        </w:rPr>
        <w:t>gradus</w:t>
      </w:r>
      <w:r w:rsidRPr="00C2143B">
        <w:rPr>
          <w:szCs w:val="22"/>
          <w:lang w:val="sr-Latn-RS" w:bidi="en-US"/>
        </w:rPr>
        <w:t>a)</w:t>
      </w:r>
      <w:r w:rsidR="00456BD1" w:rsidRPr="00C2143B">
        <w:rPr>
          <w:szCs w:val="22"/>
          <w:lang w:val="sr-Latn-RS" w:bidi="en-US"/>
        </w:rPr>
        <w:t xml:space="preserve"> (≥ 30%) kod pacijenata</w:t>
      </w:r>
      <w:r w:rsidRPr="00C2143B">
        <w:rPr>
          <w:szCs w:val="22"/>
          <w:lang w:val="sr-Latn-RS" w:bidi="en-US"/>
        </w:rPr>
        <w:t xml:space="preserve"> sa pre</w:t>
      </w:r>
      <w:r w:rsidR="00C50C3B" w:rsidRPr="00C2143B">
        <w:rPr>
          <w:szCs w:val="22"/>
          <w:lang w:val="sr-Latn-RS" w:bidi="en-US"/>
        </w:rPr>
        <w:t>t</w:t>
      </w:r>
      <w:r w:rsidRPr="00C2143B">
        <w:rPr>
          <w:szCs w:val="22"/>
          <w:lang w:val="sr-Latn-RS" w:bidi="en-US"/>
        </w:rPr>
        <w:t xml:space="preserve">hodno </w:t>
      </w:r>
      <w:r w:rsidR="003C1B7B" w:rsidRPr="00C2143B">
        <w:rPr>
          <w:szCs w:val="22"/>
          <w:lang w:val="sr-Latn-RS" w:bidi="en-US"/>
        </w:rPr>
        <w:t>liječenim</w:t>
      </w:r>
      <w:r w:rsidRPr="00C2143B">
        <w:rPr>
          <w:szCs w:val="22"/>
          <w:lang w:val="sr-Latn-RS" w:bidi="en-US"/>
        </w:rPr>
        <w:t xml:space="preserve"> DBKL koji su primili </w:t>
      </w:r>
      <w:r w:rsidR="003C1B7B" w:rsidRPr="00C2143B">
        <w:rPr>
          <w:szCs w:val="22"/>
          <w:lang w:val="sr-Latn-RS" w:bidi="en-US"/>
        </w:rPr>
        <w:t>lijek</w:t>
      </w:r>
      <w:r w:rsidR="00456BD1" w:rsidRPr="00C2143B">
        <w:rPr>
          <w:szCs w:val="22"/>
          <w:lang w:val="sr-Latn-RS" w:bidi="en-US"/>
        </w:rPr>
        <w:t xml:space="preserve"> Polivy u kombinaciji sa BR bile su neutropenija (45,7%), dijareja (35,8%), mučnina (33,1%)</w:t>
      </w:r>
      <w:r w:rsidRPr="00C2143B">
        <w:rPr>
          <w:szCs w:val="22"/>
          <w:lang w:val="sr-Latn-RS" w:bidi="en-US"/>
        </w:rPr>
        <w:t xml:space="preserve">, </w:t>
      </w:r>
      <w:r w:rsidR="003C1B7B" w:rsidRPr="007F7FA9">
        <w:rPr>
          <w:szCs w:val="22"/>
          <w:lang w:val="sr-Latn-RS" w:bidi="en-US"/>
        </w:rPr>
        <w:t xml:space="preserve">trombocitopenija (32,5%), </w:t>
      </w:r>
      <w:r w:rsidRPr="007F7FA9">
        <w:rPr>
          <w:szCs w:val="22"/>
          <w:lang w:val="sr-Latn-RS" w:bidi="en-US"/>
        </w:rPr>
        <w:t>anemija (31,8%) i</w:t>
      </w:r>
      <w:r w:rsidR="00456BD1" w:rsidRPr="00C2143B">
        <w:rPr>
          <w:szCs w:val="22"/>
          <w:lang w:val="sr-Latn-RS" w:bidi="en-US"/>
        </w:rPr>
        <w:t xml:space="preserve"> periferna neuropatija (30,5%). </w:t>
      </w:r>
    </w:p>
    <w:p w:rsidR="00A85FC5" w:rsidRPr="00C2143B" w:rsidRDefault="00A85FC5" w:rsidP="00DE394E">
      <w:pPr>
        <w:pStyle w:val="ListParagraph"/>
        <w:keepLines/>
        <w:widowControl w:val="0"/>
        <w:numPr>
          <w:ilvl w:val="0"/>
          <w:numId w:val="16"/>
        </w:numPr>
        <w:autoSpaceDE w:val="0"/>
        <w:autoSpaceDN w:val="0"/>
        <w:ind w:hanging="720"/>
        <w:rPr>
          <w:szCs w:val="22"/>
          <w:lang w:val="sr-Latn-RS" w:bidi="en-US"/>
        </w:rPr>
      </w:pPr>
      <w:r w:rsidRPr="00C2143B">
        <w:rPr>
          <w:szCs w:val="22"/>
          <w:lang w:val="sr-Latn-RS" w:bidi="en-US"/>
        </w:rPr>
        <w:t>o</w:t>
      </w:r>
      <w:r w:rsidR="00456BD1" w:rsidRPr="00C2143B">
        <w:rPr>
          <w:szCs w:val="22"/>
          <w:lang w:val="sr-Latn-RS" w:bidi="en-US"/>
        </w:rPr>
        <w:t xml:space="preserve">zbiljne neželjene reakcije zabilježene su kod </w:t>
      </w:r>
      <w:r w:rsidRPr="00C2143B">
        <w:rPr>
          <w:szCs w:val="22"/>
          <w:lang w:val="sr-Latn-RS" w:bidi="en-US"/>
        </w:rPr>
        <w:t>41,7</w:t>
      </w:r>
      <w:r w:rsidR="00C50C3B" w:rsidRPr="00C2143B">
        <w:rPr>
          <w:szCs w:val="22"/>
          <w:lang w:val="sr-Latn-RS" w:bidi="en-US"/>
        </w:rPr>
        <w:t xml:space="preserve">% </w:t>
      </w:r>
      <w:r w:rsidR="00456BD1" w:rsidRPr="00C2143B">
        <w:rPr>
          <w:szCs w:val="22"/>
          <w:lang w:val="sr-Latn-RS" w:bidi="en-US"/>
        </w:rPr>
        <w:t xml:space="preserve">pacijenata </w:t>
      </w:r>
      <w:r w:rsidR="00866F01" w:rsidRPr="00C2143B">
        <w:rPr>
          <w:szCs w:val="22"/>
          <w:lang w:val="sr-Latn-RS" w:bidi="en-US"/>
        </w:rPr>
        <w:t>liječ</w:t>
      </w:r>
      <w:r w:rsidR="00456BD1" w:rsidRPr="00C2143B">
        <w:rPr>
          <w:szCs w:val="22"/>
          <w:lang w:val="sr-Latn-RS" w:bidi="en-US"/>
        </w:rPr>
        <w:t>enih lijekom Polivy u kombinaciji sa BR</w:t>
      </w:r>
      <w:r w:rsidR="00C50C3B" w:rsidRPr="00C2143B">
        <w:rPr>
          <w:szCs w:val="22"/>
          <w:lang w:val="sr-Latn-RS" w:bidi="en-US"/>
        </w:rPr>
        <w:t>.</w:t>
      </w:r>
      <w:r w:rsidR="00456BD1" w:rsidRPr="00C2143B">
        <w:rPr>
          <w:szCs w:val="22"/>
          <w:lang w:val="sr-Latn-RS" w:bidi="en-US"/>
        </w:rPr>
        <w:t xml:space="preserve"> </w:t>
      </w:r>
    </w:p>
    <w:p w:rsidR="002B3225" w:rsidRPr="00C2143B" w:rsidRDefault="00A85FC5" w:rsidP="00DE394E">
      <w:pPr>
        <w:pStyle w:val="ListParagraph"/>
        <w:keepLines/>
        <w:widowControl w:val="0"/>
        <w:numPr>
          <w:ilvl w:val="0"/>
          <w:numId w:val="17"/>
        </w:numPr>
        <w:autoSpaceDE w:val="0"/>
        <w:autoSpaceDN w:val="0"/>
        <w:ind w:left="284" w:hanging="284"/>
        <w:rPr>
          <w:szCs w:val="22"/>
          <w:lang w:val="sr-Latn-RS" w:bidi="en-US"/>
        </w:rPr>
      </w:pPr>
      <w:r w:rsidRPr="00C2143B">
        <w:rPr>
          <w:szCs w:val="22"/>
          <w:lang w:val="sr-Latn-RS" w:bidi="en-US"/>
        </w:rPr>
        <w:t>n</w:t>
      </w:r>
      <w:r w:rsidR="00456BD1" w:rsidRPr="00C2143B">
        <w:rPr>
          <w:szCs w:val="22"/>
          <w:lang w:val="sr-Latn-RS" w:bidi="en-US"/>
        </w:rPr>
        <w:t xml:space="preserve">ajčešće ozbiljne neželjene reakcije prijavljene kod </w:t>
      </w:r>
      <w:r w:rsidRPr="00C2143B">
        <w:rPr>
          <w:szCs w:val="22"/>
          <w:lang w:val="sr-Latn-RS"/>
        </w:rPr>
        <w:t>≥</w:t>
      </w:r>
      <w:r w:rsidR="002B3225" w:rsidRPr="00C2143B">
        <w:rPr>
          <w:szCs w:val="22"/>
          <w:lang w:val="sr-Latn-RS"/>
        </w:rPr>
        <w:t xml:space="preserve"> </w:t>
      </w:r>
      <w:r w:rsidR="00456BD1" w:rsidRPr="00C2143B">
        <w:rPr>
          <w:szCs w:val="22"/>
          <w:lang w:val="sr-Latn-RS" w:bidi="en-US"/>
        </w:rPr>
        <w:t>5% pacijenata obuhvataju: febrilnu neutropeniju (10,6%), sepsu (9,9%), pneumoniju (8,6%) i pireksiju (7,9%).</w:t>
      </w:r>
    </w:p>
    <w:p w:rsidR="005612C5" w:rsidRPr="00261E6C" w:rsidRDefault="00A85FC5" w:rsidP="00DE394E">
      <w:pPr>
        <w:pStyle w:val="ListParagraph"/>
        <w:keepLines/>
        <w:widowControl w:val="0"/>
        <w:numPr>
          <w:ilvl w:val="0"/>
          <w:numId w:val="17"/>
        </w:numPr>
        <w:autoSpaceDE w:val="0"/>
        <w:autoSpaceDN w:val="0"/>
        <w:ind w:left="284" w:hanging="284"/>
        <w:rPr>
          <w:szCs w:val="22"/>
          <w:lang w:val="sr-Latn-RS" w:bidi="en-US"/>
        </w:rPr>
        <w:sectPr w:rsidR="005612C5" w:rsidRPr="00261E6C" w:rsidSect="004723AA">
          <w:type w:val="continuous"/>
          <w:pgSz w:w="11910" w:h="16840"/>
          <w:pgMar w:top="1040" w:right="820" w:bottom="900" w:left="1200" w:header="0" w:footer="0" w:gutter="0"/>
          <w:cols w:space="720"/>
        </w:sectPr>
      </w:pPr>
      <w:r w:rsidRPr="00C2143B">
        <w:rPr>
          <w:szCs w:val="22"/>
          <w:lang w:val="sr-Latn-RS"/>
        </w:rPr>
        <w:t>n</w:t>
      </w:r>
      <w:r w:rsidR="00456BD1" w:rsidRPr="00C2143B">
        <w:rPr>
          <w:szCs w:val="22"/>
          <w:lang w:val="sr-Latn-RS"/>
        </w:rPr>
        <w:t xml:space="preserve">eželjena reakcija koja je dovela do prekida primjene terapijskog režima kod &gt; 5% pacijenata </w:t>
      </w:r>
      <w:r w:rsidRPr="00C2143B">
        <w:rPr>
          <w:szCs w:val="22"/>
          <w:lang w:val="sr-Latn-RS"/>
        </w:rPr>
        <w:t>koji su p</w:t>
      </w:r>
      <w:r w:rsidR="002B3225" w:rsidRPr="00C2143B">
        <w:rPr>
          <w:szCs w:val="22"/>
          <w:lang w:val="sr-Latn-RS"/>
        </w:rPr>
        <w:t>r</w:t>
      </w:r>
      <w:r w:rsidRPr="00C2143B">
        <w:rPr>
          <w:szCs w:val="22"/>
          <w:lang w:val="sr-Latn-RS"/>
        </w:rPr>
        <w:t xml:space="preserve">imali </w:t>
      </w:r>
      <w:r w:rsidR="00C2143B">
        <w:rPr>
          <w:szCs w:val="22"/>
          <w:lang w:val="sr-Latn-RS"/>
        </w:rPr>
        <w:t xml:space="preserve">lijek </w:t>
      </w:r>
      <w:r w:rsidRPr="00C2143B">
        <w:rPr>
          <w:szCs w:val="22"/>
          <w:lang w:val="sr-Latn-RS"/>
        </w:rPr>
        <w:t xml:space="preserve">Polivy plus BR </w:t>
      </w:r>
      <w:r w:rsidR="00456BD1" w:rsidRPr="00C2143B">
        <w:rPr>
          <w:szCs w:val="22"/>
          <w:lang w:val="sr-Latn-RS"/>
        </w:rPr>
        <w:t>bila je trombocitopenija (</w:t>
      </w:r>
      <w:r w:rsidRPr="00C2143B">
        <w:rPr>
          <w:szCs w:val="22"/>
          <w:lang w:val="sr-Latn-RS"/>
        </w:rPr>
        <w:t>7,9</w:t>
      </w:r>
      <w:r w:rsidR="00456BD1" w:rsidRPr="00C2143B">
        <w:rPr>
          <w:szCs w:val="22"/>
          <w:lang w:val="sr-Latn-RS"/>
        </w:rPr>
        <w:t>%).</w:t>
      </w:r>
    </w:p>
    <w:p w:rsidR="005612C5" w:rsidRPr="00261E6C" w:rsidRDefault="005612C5" w:rsidP="0015550A">
      <w:pPr>
        <w:widowControl w:val="0"/>
        <w:autoSpaceDE w:val="0"/>
        <w:autoSpaceDN w:val="0"/>
        <w:spacing w:before="2"/>
        <w:jc w:val="both"/>
        <w:rPr>
          <w:sz w:val="22"/>
          <w:szCs w:val="22"/>
          <w:lang w:val="sr-Latn-RS" w:bidi="en-US"/>
        </w:rPr>
      </w:pPr>
    </w:p>
    <w:p w:rsidR="005612C5" w:rsidRPr="00261E6C" w:rsidRDefault="005612C5">
      <w:pPr>
        <w:widowControl w:val="0"/>
        <w:autoSpaceDE w:val="0"/>
        <w:autoSpaceDN w:val="0"/>
        <w:spacing w:before="1"/>
        <w:jc w:val="both"/>
        <w:rPr>
          <w:sz w:val="22"/>
          <w:szCs w:val="22"/>
          <w:lang w:val="sr-Latn-RS" w:bidi="en-US"/>
        </w:rPr>
      </w:pPr>
      <w:r w:rsidRPr="00261E6C">
        <w:rPr>
          <w:sz w:val="22"/>
          <w:szCs w:val="22"/>
          <w:u w:val="single"/>
          <w:lang w:val="sr-Latn-RS" w:bidi="en-US"/>
        </w:rPr>
        <w:t>Tabelarni prikaz neželjenih reakcija na l</w:t>
      </w:r>
      <w:r w:rsidR="00020AEB" w:rsidRPr="00261E6C">
        <w:rPr>
          <w:sz w:val="22"/>
          <w:szCs w:val="22"/>
          <w:u w:val="single"/>
          <w:lang w:val="sr-Latn-RS" w:bidi="en-US"/>
        </w:rPr>
        <w:t>ij</w:t>
      </w:r>
      <w:r w:rsidRPr="00261E6C">
        <w:rPr>
          <w:sz w:val="22"/>
          <w:szCs w:val="22"/>
          <w:u w:val="single"/>
          <w:lang w:val="sr-Latn-RS" w:bidi="en-US"/>
        </w:rPr>
        <w:t>ek iz kliničkih ispitivanja</w:t>
      </w:r>
    </w:p>
    <w:p w:rsidR="00687D00" w:rsidRPr="00261E6C" w:rsidRDefault="00A85FC5">
      <w:pPr>
        <w:widowControl w:val="0"/>
        <w:autoSpaceDE w:val="0"/>
        <w:autoSpaceDN w:val="0"/>
        <w:spacing w:before="92"/>
        <w:jc w:val="both"/>
        <w:rPr>
          <w:sz w:val="22"/>
          <w:szCs w:val="22"/>
          <w:lang w:val="sr-Latn-RS" w:bidi="en-US"/>
        </w:rPr>
      </w:pPr>
      <w:r w:rsidRPr="00261E6C">
        <w:rPr>
          <w:sz w:val="22"/>
          <w:szCs w:val="22"/>
          <w:lang w:val="hr-HR"/>
        </w:rPr>
        <w:t>U Tabeli 4 prik</w:t>
      </w:r>
      <w:r w:rsidR="009C1C38" w:rsidRPr="00261E6C">
        <w:rPr>
          <w:sz w:val="22"/>
          <w:szCs w:val="22"/>
          <w:lang w:val="hr-HR"/>
        </w:rPr>
        <w:t>azane su neželjene reakcije zabi</w:t>
      </w:r>
      <w:r w:rsidRPr="00261E6C">
        <w:rPr>
          <w:sz w:val="22"/>
          <w:szCs w:val="22"/>
          <w:lang w:val="hr-HR"/>
        </w:rPr>
        <w:t>l</w:t>
      </w:r>
      <w:r w:rsidR="003C1B7B" w:rsidRPr="00261E6C">
        <w:rPr>
          <w:sz w:val="22"/>
          <w:szCs w:val="22"/>
          <w:lang w:val="hr-HR"/>
        </w:rPr>
        <w:t>j</w:t>
      </w:r>
      <w:r w:rsidRPr="00261E6C">
        <w:rPr>
          <w:sz w:val="22"/>
          <w:szCs w:val="22"/>
          <w:lang w:val="hr-HR"/>
        </w:rPr>
        <w:t xml:space="preserve">ežene kod 586 pacijenata </w:t>
      </w:r>
      <w:r w:rsidR="003C1B7B" w:rsidRPr="00261E6C">
        <w:rPr>
          <w:sz w:val="22"/>
          <w:szCs w:val="22"/>
          <w:lang w:val="hr-HR"/>
        </w:rPr>
        <w:t>liječenih</w:t>
      </w:r>
      <w:r w:rsidRPr="00261E6C">
        <w:rPr>
          <w:sz w:val="22"/>
          <w:szCs w:val="22"/>
          <w:lang w:val="hr-HR"/>
        </w:rPr>
        <w:t xml:space="preserve"> </w:t>
      </w:r>
      <w:r w:rsidR="003C1B7B" w:rsidRPr="00261E6C">
        <w:rPr>
          <w:sz w:val="22"/>
          <w:szCs w:val="22"/>
          <w:lang w:val="hr-HR"/>
        </w:rPr>
        <w:t>lijek</w:t>
      </w:r>
      <w:r w:rsidRPr="00261E6C">
        <w:rPr>
          <w:sz w:val="22"/>
          <w:szCs w:val="22"/>
          <w:lang w:val="hr-HR"/>
        </w:rPr>
        <w:t xml:space="preserve">om Polivy. </w:t>
      </w:r>
      <w:r w:rsidR="00687D00" w:rsidRPr="00261E6C">
        <w:rPr>
          <w:sz w:val="22"/>
          <w:szCs w:val="22"/>
          <w:lang w:val="sr-Latn-RS" w:bidi="en-US"/>
        </w:rPr>
        <w:t>Neželjene reakcije na lijek navedene su u nastavku prema MedDRA klasifikaciji sistema organa i kategorijama učestalosti. Odgovarajuće kategorije učestalosti za svaku neželjenu reakciju na lijek definisane su na sljedeći način: veoma često (≥ 1/10), često (≥ 1/100 do &lt; 1/10), povremeno (≥ 1/1000 do &lt; 1/100), rijetko ( </w:t>
      </w:r>
      <w:r w:rsidR="00BD2F24" w:rsidRPr="00C2143B">
        <w:rPr>
          <w:sz w:val="22"/>
          <w:szCs w:val="22"/>
          <w:lang w:val="sr-Latn-RS" w:bidi="en-US"/>
        </w:rPr>
        <w:t xml:space="preserve">≥ </w:t>
      </w:r>
      <w:r w:rsidR="00687D00" w:rsidRPr="00261E6C">
        <w:rPr>
          <w:sz w:val="22"/>
          <w:szCs w:val="22"/>
          <w:lang w:val="sr-Latn-RS" w:bidi="en-US"/>
        </w:rPr>
        <w:t>1/10000 do &lt; 1/1000), veoma rijetko (&lt; 1/10000). U svakoj grupi učestalosti, neželjene reakcije navedene su u opadajućem nizu prema ozbiljnosti.</w:t>
      </w:r>
    </w:p>
    <w:p w:rsidR="005612C5" w:rsidRPr="00261E6C" w:rsidRDefault="005612C5">
      <w:pPr>
        <w:widowControl w:val="0"/>
        <w:autoSpaceDE w:val="0"/>
        <w:autoSpaceDN w:val="0"/>
        <w:spacing w:before="92"/>
        <w:jc w:val="both"/>
        <w:rPr>
          <w:sz w:val="22"/>
          <w:szCs w:val="22"/>
          <w:lang w:val="sr-Latn-RS" w:bidi="en-US"/>
        </w:rPr>
      </w:pPr>
    </w:p>
    <w:p w:rsidR="00A85FC5" w:rsidRPr="00261E6C" w:rsidRDefault="005612C5">
      <w:pPr>
        <w:keepLines/>
        <w:widowControl w:val="0"/>
        <w:autoSpaceDE w:val="0"/>
        <w:autoSpaceDN w:val="0"/>
        <w:jc w:val="both"/>
        <w:outlineLvl w:val="0"/>
        <w:rPr>
          <w:b/>
          <w:bCs/>
          <w:sz w:val="22"/>
          <w:szCs w:val="22"/>
          <w:lang w:val="sr-Latn-RS" w:bidi="en-US"/>
        </w:rPr>
      </w:pPr>
      <w:r w:rsidRPr="00261E6C">
        <w:rPr>
          <w:b/>
          <w:bCs/>
          <w:sz w:val="22"/>
          <w:szCs w:val="22"/>
          <w:lang w:val="sr-Latn-RS" w:bidi="en-US"/>
        </w:rPr>
        <w:t>Tabela 4</w:t>
      </w:r>
      <w:r w:rsidR="0027082E" w:rsidRPr="00C2143B">
        <w:rPr>
          <w:b/>
          <w:bCs/>
          <w:sz w:val="22"/>
          <w:szCs w:val="22"/>
          <w:lang w:val="sr-Latn-RS" w:bidi="en-US"/>
        </w:rPr>
        <w:t>:</w:t>
      </w:r>
      <w:r w:rsidRPr="00261E6C">
        <w:rPr>
          <w:b/>
          <w:bCs/>
          <w:sz w:val="22"/>
          <w:szCs w:val="22"/>
          <w:lang w:val="sr-Latn-RS" w:bidi="en-US"/>
        </w:rPr>
        <w:t xml:space="preserve"> </w:t>
      </w:r>
      <w:r w:rsidR="00A85FC5" w:rsidRPr="00261E6C">
        <w:rPr>
          <w:b/>
          <w:bCs/>
          <w:sz w:val="22"/>
          <w:szCs w:val="22"/>
          <w:lang w:val="sr-Latn-RS" w:bidi="en-US"/>
        </w:rPr>
        <w:t xml:space="preserve">Tabelarni prikaz </w:t>
      </w:r>
      <w:r w:rsidRPr="00261E6C">
        <w:rPr>
          <w:b/>
          <w:bCs/>
          <w:sz w:val="22"/>
          <w:szCs w:val="22"/>
          <w:lang w:val="sr-Latn-RS" w:bidi="en-US"/>
        </w:rPr>
        <w:t>neželjenih reakcija na l</w:t>
      </w:r>
      <w:r w:rsidR="00020AEB" w:rsidRPr="00261E6C">
        <w:rPr>
          <w:b/>
          <w:bCs/>
          <w:sz w:val="22"/>
          <w:szCs w:val="22"/>
          <w:lang w:val="sr-Latn-RS" w:bidi="en-US"/>
        </w:rPr>
        <w:t>ij</w:t>
      </w:r>
      <w:r w:rsidRPr="00261E6C">
        <w:rPr>
          <w:b/>
          <w:bCs/>
          <w:sz w:val="22"/>
          <w:szCs w:val="22"/>
          <w:lang w:val="sr-Latn-RS" w:bidi="en-US"/>
        </w:rPr>
        <w:t>ek kod pacijenata l</w:t>
      </w:r>
      <w:r w:rsidR="00020AEB" w:rsidRPr="00261E6C">
        <w:rPr>
          <w:b/>
          <w:bCs/>
          <w:sz w:val="22"/>
          <w:szCs w:val="22"/>
          <w:lang w:val="sr-Latn-RS" w:bidi="en-US"/>
        </w:rPr>
        <w:t>ij</w:t>
      </w:r>
      <w:r w:rsidRPr="00261E6C">
        <w:rPr>
          <w:b/>
          <w:bCs/>
          <w:sz w:val="22"/>
          <w:szCs w:val="22"/>
          <w:lang w:val="sr-Latn-RS" w:bidi="en-US"/>
        </w:rPr>
        <w:t>ečenih l</w:t>
      </w:r>
      <w:r w:rsidR="00020AEB" w:rsidRPr="00261E6C">
        <w:rPr>
          <w:b/>
          <w:bCs/>
          <w:sz w:val="22"/>
          <w:szCs w:val="22"/>
          <w:lang w:val="sr-Latn-RS" w:bidi="en-US"/>
        </w:rPr>
        <w:t>ij</w:t>
      </w:r>
      <w:r w:rsidRPr="00261E6C">
        <w:rPr>
          <w:b/>
          <w:bCs/>
          <w:sz w:val="22"/>
          <w:szCs w:val="22"/>
          <w:lang w:val="sr-Latn-RS" w:bidi="en-US"/>
        </w:rPr>
        <w:t>ekom Polivy</w:t>
      </w:r>
      <w:r w:rsidR="00A85FC5" w:rsidRPr="00261E6C">
        <w:rPr>
          <w:b/>
          <w:bCs/>
          <w:sz w:val="22"/>
          <w:szCs w:val="22"/>
          <w:lang w:val="sr-Latn-RS" w:bidi="en-US"/>
        </w:rPr>
        <w:t xml:space="preserve"> u kliničkim ispitivanjima</w:t>
      </w:r>
    </w:p>
    <w:p w:rsidR="005612C5" w:rsidRPr="00261E6C" w:rsidRDefault="005612C5">
      <w:pPr>
        <w:widowControl w:val="0"/>
        <w:autoSpaceDE w:val="0"/>
        <w:autoSpaceDN w:val="0"/>
        <w:jc w:val="both"/>
        <w:outlineLvl w:val="0"/>
        <w:rPr>
          <w:b/>
          <w:bCs/>
          <w:sz w:val="22"/>
          <w:szCs w:val="22"/>
          <w:lang w:val="sr-Latn-RS" w:bidi="en-US"/>
        </w:rPr>
      </w:pP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5"/>
        <w:gridCol w:w="7715"/>
      </w:tblGrid>
      <w:tr w:rsidR="005612C5" w:rsidRPr="00C2143B" w:rsidTr="00956FD7">
        <w:trPr>
          <w:trHeight w:val="397"/>
        </w:trPr>
        <w:tc>
          <w:tcPr>
            <w:tcW w:w="9900" w:type="dxa"/>
            <w:gridSpan w:val="2"/>
            <w:tcBorders>
              <w:top w:val="single" w:sz="4" w:space="0" w:color="000000"/>
              <w:left w:val="single" w:sz="4" w:space="0" w:color="000000"/>
              <w:bottom w:val="single" w:sz="4" w:space="0" w:color="000000"/>
              <w:right w:val="single" w:sz="4" w:space="0" w:color="000000"/>
            </w:tcBorders>
            <w:hideMark/>
          </w:tcPr>
          <w:p w:rsidR="005612C5" w:rsidRPr="00261E6C" w:rsidRDefault="005612C5">
            <w:pPr>
              <w:widowControl w:val="0"/>
              <w:autoSpaceDE w:val="0"/>
              <w:autoSpaceDN w:val="0"/>
              <w:spacing w:before="1"/>
              <w:jc w:val="both"/>
              <w:rPr>
                <w:b/>
                <w:sz w:val="22"/>
                <w:szCs w:val="22"/>
                <w:lang w:val="sr-Latn-RS" w:bidi="en-US"/>
              </w:rPr>
            </w:pPr>
            <w:r w:rsidRPr="00261E6C">
              <w:rPr>
                <w:b/>
                <w:bCs/>
                <w:sz w:val="22"/>
                <w:szCs w:val="22"/>
                <w:lang w:val="sr-Latn-RS" w:bidi="en-US"/>
              </w:rPr>
              <w:t>Infekcije i infestacije</w:t>
            </w:r>
          </w:p>
        </w:tc>
      </w:tr>
      <w:tr w:rsidR="005612C5" w:rsidRPr="00261E6C" w:rsidTr="00956FD7">
        <w:trPr>
          <w:trHeight w:val="393"/>
        </w:trPr>
        <w:tc>
          <w:tcPr>
            <w:tcW w:w="2185" w:type="dxa"/>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jc w:val="both"/>
              <w:rPr>
                <w:sz w:val="22"/>
                <w:szCs w:val="22"/>
                <w:lang w:val="sr-Latn-RS" w:bidi="en-US"/>
              </w:rPr>
            </w:pPr>
            <w:r w:rsidRPr="00261E6C">
              <w:rPr>
                <w:sz w:val="22"/>
                <w:szCs w:val="22"/>
                <w:lang w:val="sr-Latn-RS" w:bidi="en-US"/>
              </w:rPr>
              <w:t xml:space="preserve">Veoma </w:t>
            </w:r>
            <w:r w:rsidR="00687D00" w:rsidRPr="00261E6C">
              <w:rPr>
                <w:sz w:val="22"/>
                <w:szCs w:val="22"/>
                <w:lang w:val="sr-Latn-RS" w:bidi="en-US"/>
              </w:rPr>
              <w:t>često</w:t>
            </w:r>
          </w:p>
        </w:tc>
        <w:tc>
          <w:tcPr>
            <w:tcW w:w="7715" w:type="dxa"/>
            <w:tcBorders>
              <w:top w:val="single" w:sz="4" w:space="0" w:color="000000"/>
              <w:left w:val="single" w:sz="4" w:space="0" w:color="000000"/>
              <w:bottom w:val="single" w:sz="4" w:space="0" w:color="000000"/>
              <w:right w:val="single" w:sz="4" w:space="0" w:color="000000"/>
            </w:tcBorders>
            <w:hideMark/>
          </w:tcPr>
          <w:p w:rsidR="005612C5" w:rsidRPr="00261E6C" w:rsidRDefault="00456BD1" w:rsidP="00E4155A">
            <w:pPr>
              <w:widowControl w:val="0"/>
              <w:autoSpaceDE w:val="0"/>
              <w:autoSpaceDN w:val="0"/>
              <w:jc w:val="both"/>
              <w:rPr>
                <w:sz w:val="22"/>
                <w:szCs w:val="22"/>
                <w:lang w:val="sr-Latn-RS" w:bidi="en-US"/>
              </w:rPr>
            </w:pPr>
            <w:r w:rsidRPr="00261E6C">
              <w:rPr>
                <w:sz w:val="22"/>
                <w:szCs w:val="22"/>
                <w:lang w:val="sr-Latn-RS" w:bidi="en-US"/>
              </w:rPr>
              <w:t xml:space="preserve"> </w:t>
            </w:r>
            <w:r w:rsidR="005612C5" w:rsidRPr="00261E6C">
              <w:rPr>
                <w:sz w:val="22"/>
                <w:szCs w:val="22"/>
                <w:lang w:val="sr-Latn-RS" w:bidi="en-US"/>
              </w:rPr>
              <w:t>pneumonija</w:t>
            </w:r>
            <w:r w:rsidR="005612C5" w:rsidRPr="00261E6C">
              <w:rPr>
                <w:sz w:val="22"/>
                <w:szCs w:val="22"/>
                <w:vertAlign w:val="superscript"/>
                <w:lang w:val="sr-Latn-RS" w:bidi="en-US"/>
              </w:rPr>
              <w:t>a</w:t>
            </w:r>
            <w:r w:rsidR="005612C5" w:rsidRPr="00261E6C">
              <w:rPr>
                <w:sz w:val="22"/>
                <w:szCs w:val="22"/>
                <w:lang w:val="sr-Latn-RS" w:bidi="en-US"/>
              </w:rPr>
              <w:t>, infekcija gornjeg respiratornog trakta</w:t>
            </w:r>
          </w:p>
        </w:tc>
      </w:tr>
      <w:tr w:rsidR="005612C5" w:rsidRPr="00261E6C" w:rsidTr="00956FD7">
        <w:trPr>
          <w:trHeight w:val="398"/>
        </w:trPr>
        <w:tc>
          <w:tcPr>
            <w:tcW w:w="2185" w:type="dxa"/>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jc w:val="both"/>
              <w:rPr>
                <w:sz w:val="22"/>
                <w:szCs w:val="22"/>
                <w:lang w:val="sr-Latn-RS" w:bidi="en-US"/>
              </w:rPr>
            </w:pPr>
            <w:r w:rsidRPr="00261E6C">
              <w:rPr>
                <w:sz w:val="22"/>
                <w:szCs w:val="22"/>
                <w:lang w:val="sr-Latn-RS" w:bidi="en-US"/>
              </w:rPr>
              <w:t>Čest</w:t>
            </w:r>
            <w:r w:rsidR="00687D00" w:rsidRPr="00261E6C">
              <w:rPr>
                <w:sz w:val="22"/>
                <w:szCs w:val="22"/>
                <w:lang w:val="sr-Latn-RS" w:bidi="en-US"/>
              </w:rPr>
              <w:t>o</w:t>
            </w:r>
          </w:p>
        </w:tc>
        <w:tc>
          <w:tcPr>
            <w:tcW w:w="7715" w:type="dxa"/>
            <w:tcBorders>
              <w:top w:val="single" w:sz="4" w:space="0" w:color="000000"/>
              <w:left w:val="single" w:sz="4" w:space="0" w:color="000000"/>
              <w:bottom w:val="single" w:sz="4" w:space="0" w:color="000000"/>
              <w:right w:val="single" w:sz="4" w:space="0" w:color="000000"/>
            </w:tcBorders>
            <w:hideMark/>
          </w:tcPr>
          <w:p w:rsidR="005612C5" w:rsidRPr="00261E6C" w:rsidRDefault="00A85FC5" w:rsidP="00E4155A">
            <w:pPr>
              <w:widowControl w:val="0"/>
              <w:autoSpaceDE w:val="0"/>
              <w:autoSpaceDN w:val="0"/>
              <w:jc w:val="both"/>
              <w:rPr>
                <w:sz w:val="22"/>
                <w:szCs w:val="22"/>
                <w:lang w:val="sr-Latn-RS"/>
              </w:rPr>
            </w:pPr>
            <w:r w:rsidRPr="00261E6C">
              <w:rPr>
                <w:sz w:val="22"/>
                <w:szCs w:val="22"/>
                <w:lang w:val="sr-Latn-RS" w:bidi="en-US"/>
              </w:rPr>
              <w:t>sepsa</w:t>
            </w:r>
            <w:r w:rsidRPr="00261E6C">
              <w:rPr>
                <w:sz w:val="22"/>
                <w:szCs w:val="22"/>
                <w:vertAlign w:val="superscript"/>
                <w:lang w:val="sr-Latn-RS" w:bidi="en-US"/>
              </w:rPr>
              <w:t>a</w:t>
            </w:r>
            <w:r w:rsidRPr="00261E6C">
              <w:rPr>
                <w:sz w:val="22"/>
                <w:szCs w:val="22"/>
                <w:lang w:val="sr-Latn-RS" w:bidi="en-US"/>
              </w:rPr>
              <w:t xml:space="preserve">, </w:t>
            </w:r>
            <w:r w:rsidR="00456BD1" w:rsidRPr="00261E6C">
              <w:rPr>
                <w:sz w:val="22"/>
                <w:szCs w:val="22"/>
                <w:lang w:val="sr-Latn-RS" w:bidi="en-US"/>
              </w:rPr>
              <w:t>infekcija herpes virusom</w:t>
            </w:r>
            <w:r w:rsidR="00456BD1" w:rsidRPr="00261E6C">
              <w:rPr>
                <w:sz w:val="22"/>
                <w:szCs w:val="22"/>
                <w:vertAlign w:val="superscript"/>
                <w:lang w:val="sr-Latn-RS" w:bidi="en-US"/>
              </w:rPr>
              <w:t>a</w:t>
            </w:r>
            <w:r w:rsidR="00456BD1" w:rsidRPr="00261E6C">
              <w:rPr>
                <w:sz w:val="22"/>
                <w:szCs w:val="22"/>
                <w:lang w:val="sr-Latn-RS" w:bidi="en-US"/>
              </w:rPr>
              <w:t xml:space="preserve">, </w:t>
            </w:r>
            <w:r w:rsidR="005612C5" w:rsidRPr="00261E6C">
              <w:rPr>
                <w:sz w:val="22"/>
                <w:szCs w:val="22"/>
                <w:lang w:val="sr-Latn-RS" w:bidi="en-US"/>
              </w:rPr>
              <w:t xml:space="preserve">infekcija </w:t>
            </w:r>
            <w:r w:rsidR="005612C5" w:rsidRPr="00261E6C">
              <w:rPr>
                <w:i/>
                <w:sz w:val="22"/>
                <w:szCs w:val="22"/>
                <w:lang w:val="sr-Latn-RS" w:bidi="en-US"/>
              </w:rPr>
              <w:t>Citomegalovirus</w:t>
            </w:r>
            <w:r w:rsidR="005612C5" w:rsidRPr="00261E6C">
              <w:rPr>
                <w:sz w:val="22"/>
                <w:szCs w:val="22"/>
                <w:lang w:val="sr-Latn-RS" w:bidi="en-US"/>
              </w:rPr>
              <w:t>-om</w:t>
            </w:r>
            <w:r w:rsidRPr="00261E6C">
              <w:rPr>
                <w:sz w:val="22"/>
                <w:szCs w:val="22"/>
                <w:lang w:val="sr-Latn-RS" w:bidi="en-US"/>
              </w:rPr>
              <w:t>, infekcija mokraćnih puteva</w:t>
            </w:r>
            <w:r w:rsidRPr="00261E6C">
              <w:rPr>
                <w:sz w:val="22"/>
                <w:szCs w:val="22"/>
                <w:vertAlign w:val="superscript"/>
                <w:lang w:val="hr-HR"/>
              </w:rPr>
              <w:t>c</w:t>
            </w:r>
          </w:p>
        </w:tc>
      </w:tr>
      <w:tr w:rsidR="005612C5" w:rsidRPr="00261E6C" w:rsidTr="00956FD7">
        <w:trPr>
          <w:trHeight w:val="398"/>
        </w:trPr>
        <w:tc>
          <w:tcPr>
            <w:tcW w:w="9900" w:type="dxa"/>
            <w:gridSpan w:val="2"/>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spacing w:before="1"/>
              <w:jc w:val="both"/>
              <w:rPr>
                <w:b/>
                <w:sz w:val="22"/>
                <w:szCs w:val="22"/>
                <w:lang w:val="sr-Latn-RS" w:bidi="en-US"/>
              </w:rPr>
            </w:pPr>
            <w:r w:rsidRPr="00261E6C">
              <w:rPr>
                <w:b/>
                <w:bCs/>
                <w:sz w:val="22"/>
                <w:szCs w:val="22"/>
                <w:lang w:val="sr-Latn-RS" w:bidi="en-US"/>
              </w:rPr>
              <w:t>Poremećaji krvi i limfnog sistema</w:t>
            </w:r>
          </w:p>
        </w:tc>
      </w:tr>
      <w:tr w:rsidR="005612C5" w:rsidRPr="00261E6C" w:rsidTr="00956FD7">
        <w:trPr>
          <w:trHeight w:val="503"/>
        </w:trPr>
        <w:tc>
          <w:tcPr>
            <w:tcW w:w="2185" w:type="dxa"/>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jc w:val="both"/>
              <w:rPr>
                <w:sz w:val="22"/>
                <w:szCs w:val="22"/>
                <w:lang w:val="sr-Latn-RS" w:bidi="en-US"/>
              </w:rPr>
            </w:pPr>
            <w:r w:rsidRPr="00261E6C">
              <w:rPr>
                <w:sz w:val="22"/>
                <w:szCs w:val="22"/>
                <w:lang w:val="sr-Latn-RS" w:bidi="en-US"/>
              </w:rPr>
              <w:t>Veoma čest</w:t>
            </w:r>
            <w:r w:rsidR="00687D00" w:rsidRPr="00261E6C">
              <w:rPr>
                <w:sz w:val="22"/>
                <w:szCs w:val="22"/>
                <w:lang w:val="sr-Latn-RS" w:bidi="en-US"/>
              </w:rPr>
              <w:t>o</w:t>
            </w:r>
          </w:p>
        </w:tc>
        <w:tc>
          <w:tcPr>
            <w:tcW w:w="7715" w:type="dxa"/>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spacing w:before="1"/>
              <w:jc w:val="both"/>
              <w:rPr>
                <w:sz w:val="22"/>
                <w:szCs w:val="22"/>
                <w:lang w:val="sr-Latn-RS" w:bidi="en-US"/>
              </w:rPr>
            </w:pPr>
            <w:r w:rsidRPr="00261E6C">
              <w:rPr>
                <w:sz w:val="22"/>
                <w:szCs w:val="22"/>
                <w:lang w:val="sr-Latn-RS" w:bidi="en-US"/>
              </w:rPr>
              <w:t>febrilna neutropenija, neutropenija, trombocitopenija, anemija, leukopenija</w:t>
            </w:r>
          </w:p>
        </w:tc>
      </w:tr>
      <w:tr w:rsidR="005612C5" w:rsidRPr="00C2143B" w:rsidTr="00956FD7">
        <w:trPr>
          <w:trHeight w:val="397"/>
        </w:trPr>
        <w:tc>
          <w:tcPr>
            <w:tcW w:w="2185" w:type="dxa"/>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jc w:val="both"/>
              <w:rPr>
                <w:sz w:val="22"/>
                <w:szCs w:val="22"/>
                <w:lang w:val="sr-Latn-RS" w:bidi="en-US"/>
              </w:rPr>
            </w:pPr>
            <w:r w:rsidRPr="00261E6C">
              <w:rPr>
                <w:sz w:val="22"/>
                <w:szCs w:val="22"/>
                <w:lang w:val="sr-Latn-RS" w:bidi="en-US"/>
              </w:rPr>
              <w:t>Čest</w:t>
            </w:r>
            <w:r w:rsidR="00687D00" w:rsidRPr="00261E6C">
              <w:rPr>
                <w:sz w:val="22"/>
                <w:szCs w:val="22"/>
                <w:lang w:val="sr-Latn-RS" w:bidi="en-US"/>
              </w:rPr>
              <w:t>o</w:t>
            </w:r>
          </w:p>
        </w:tc>
        <w:tc>
          <w:tcPr>
            <w:tcW w:w="7715" w:type="dxa"/>
            <w:tcBorders>
              <w:top w:val="single" w:sz="4" w:space="0" w:color="000000"/>
              <w:left w:val="single" w:sz="4" w:space="0" w:color="000000"/>
              <w:bottom w:val="single" w:sz="4" w:space="0" w:color="000000"/>
              <w:right w:val="single" w:sz="4" w:space="0" w:color="000000"/>
            </w:tcBorders>
            <w:hideMark/>
          </w:tcPr>
          <w:p w:rsidR="005612C5" w:rsidRPr="00261E6C" w:rsidRDefault="00A85FC5" w:rsidP="00E4155A">
            <w:pPr>
              <w:widowControl w:val="0"/>
              <w:autoSpaceDE w:val="0"/>
              <w:autoSpaceDN w:val="0"/>
              <w:jc w:val="both"/>
              <w:rPr>
                <w:sz w:val="22"/>
                <w:szCs w:val="22"/>
                <w:lang w:val="sr-Latn-RS" w:bidi="en-US"/>
              </w:rPr>
            </w:pPr>
            <w:r w:rsidRPr="00261E6C">
              <w:rPr>
                <w:sz w:val="22"/>
                <w:szCs w:val="22"/>
                <w:lang w:val="sr-Latn-RS" w:bidi="en-US"/>
              </w:rPr>
              <w:t>limfopenija, p</w:t>
            </w:r>
            <w:r w:rsidR="005612C5" w:rsidRPr="00261E6C">
              <w:rPr>
                <w:sz w:val="22"/>
                <w:szCs w:val="22"/>
                <w:lang w:val="sr-Latn-RS" w:bidi="en-US"/>
              </w:rPr>
              <w:t>ancitopenija</w:t>
            </w:r>
          </w:p>
        </w:tc>
      </w:tr>
      <w:tr w:rsidR="005612C5" w:rsidRPr="00C2143B" w:rsidTr="00956FD7">
        <w:trPr>
          <w:trHeight w:val="398"/>
        </w:trPr>
        <w:tc>
          <w:tcPr>
            <w:tcW w:w="9900" w:type="dxa"/>
            <w:gridSpan w:val="2"/>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spacing w:before="1"/>
              <w:jc w:val="both"/>
              <w:rPr>
                <w:b/>
                <w:sz w:val="22"/>
                <w:szCs w:val="22"/>
                <w:lang w:val="sr-Latn-RS" w:bidi="en-US"/>
              </w:rPr>
            </w:pPr>
            <w:r w:rsidRPr="00261E6C">
              <w:rPr>
                <w:b/>
                <w:bCs/>
                <w:sz w:val="22"/>
                <w:szCs w:val="22"/>
                <w:lang w:val="sr-Latn-RS" w:bidi="en-US"/>
              </w:rPr>
              <w:t>Poremećaji metabolizma i ishrane</w:t>
            </w:r>
          </w:p>
        </w:tc>
      </w:tr>
      <w:tr w:rsidR="005612C5" w:rsidRPr="00C2143B" w:rsidTr="00956FD7">
        <w:trPr>
          <w:trHeight w:val="398"/>
        </w:trPr>
        <w:tc>
          <w:tcPr>
            <w:tcW w:w="2185" w:type="dxa"/>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jc w:val="both"/>
              <w:rPr>
                <w:sz w:val="22"/>
                <w:szCs w:val="22"/>
                <w:lang w:val="sr-Latn-RS" w:bidi="en-US"/>
              </w:rPr>
            </w:pPr>
            <w:r w:rsidRPr="00261E6C">
              <w:rPr>
                <w:sz w:val="22"/>
                <w:szCs w:val="22"/>
                <w:lang w:val="sr-Latn-RS" w:bidi="en-US"/>
              </w:rPr>
              <w:t>Veoma čest</w:t>
            </w:r>
            <w:r w:rsidR="00687D00" w:rsidRPr="00261E6C">
              <w:rPr>
                <w:sz w:val="22"/>
                <w:szCs w:val="22"/>
                <w:lang w:val="sr-Latn-RS" w:bidi="en-US"/>
              </w:rPr>
              <w:t>o</w:t>
            </w:r>
          </w:p>
        </w:tc>
        <w:tc>
          <w:tcPr>
            <w:tcW w:w="7715" w:type="dxa"/>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jc w:val="both"/>
              <w:rPr>
                <w:sz w:val="22"/>
                <w:szCs w:val="22"/>
                <w:lang w:val="sr-Latn-RS" w:bidi="en-US"/>
              </w:rPr>
            </w:pPr>
            <w:r w:rsidRPr="00261E6C">
              <w:rPr>
                <w:sz w:val="22"/>
                <w:szCs w:val="22"/>
                <w:lang w:val="sr-Latn-RS" w:bidi="en-US"/>
              </w:rPr>
              <w:t>hipokalijemija, smanjen apetit</w:t>
            </w:r>
          </w:p>
        </w:tc>
      </w:tr>
      <w:tr w:rsidR="00456BD1" w:rsidRPr="00C2143B" w:rsidTr="00956FD7">
        <w:trPr>
          <w:trHeight w:val="398"/>
        </w:trPr>
        <w:tc>
          <w:tcPr>
            <w:tcW w:w="2185" w:type="dxa"/>
            <w:tcBorders>
              <w:top w:val="single" w:sz="4" w:space="0" w:color="000000"/>
              <w:left w:val="single" w:sz="4" w:space="0" w:color="000000"/>
              <w:bottom w:val="single" w:sz="4" w:space="0" w:color="000000"/>
              <w:right w:val="single" w:sz="4" w:space="0" w:color="000000"/>
            </w:tcBorders>
          </w:tcPr>
          <w:p w:rsidR="00456BD1" w:rsidRPr="00261E6C" w:rsidRDefault="00456BD1" w:rsidP="00E4155A">
            <w:pPr>
              <w:widowControl w:val="0"/>
              <w:autoSpaceDE w:val="0"/>
              <w:autoSpaceDN w:val="0"/>
              <w:jc w:val="both"/>
              <w:rPr>
                <w:sz w:val="22"/>
                <w:szCs w:val="22"/>
                <w:lang w:val="sr-Latn-RS" w:bidi="en-US"/>
              </w:rPr>
            </w:pPr>
            <w:r w:rsidRPr="00261E6C">
              <w:rPr>
                <w:sz w:val="22"/>
                <w:szCs w:val="22"/>
                <w:lang w:val="sr-Latn-RS" w:bidi="en-US"/>
              </w:rPr>
              <w:t>Čest</w:t>
            </w:r>
            <w:r w:rsidR="00687D00" w:rsidRPr="00261E6C">
              <w:rPr>
                <w:sz w:val="22"/>
                <w:szCs w:val="22"/>
                <w:lang w:val="sr-Latn-RS" w:bidi="en-US"/>
              </w:rPr>
              <w:t>o</w:t>
            </w:r>
          </w:p>
        </w:tc>
        <w:tc>
          <w:tcPr>
            <w:tcW w:w="7715" w:type="dxa"/>
            <w:tcBorders>
              <w:top w:val="single" w:sz="4" w:space="0" w:color="000000"/>
              <w:left w:val="single" w:sz="4" w:space="0" w:color="000000"/>
              <w:bottom w:val="single" w:sz="4" w:space="0" w:color="000000"/>
              <w:right w:val="single" w:sz="4" w:space="0" w:color="000000"/>
            </w:tcBorders>
          </w:tcPr>
          <w:p w:rsidR="00456BD1" w:rsidRPr="00261E6C" w:rsidRDefault="00456BD1" w:rsidP="00E4155A">
            <w:pPr>
              <w:widowControl w:val="0"/>
              <w:autoSpaceDE w:val="0"/>
              <w:autoSpaceDN w:val="0"/>
              <w:jc w:val="both"/>
              <w:rPr>
                <w:sz w:val="22"/>
                <w:szCs w:val="22"/>
                <w:lang w:val="sr-Latn-RS" w:bidi="en-US"/>
              </w:rPr>
            </w:pPr>
            <w:r w:rsidRPr="00261E6C">
              <w:rPr>
                <w:sz w:val="22"/>
                <w:szCs w:val="22"/>
                <w:lang w:val="sr-Latn-RS" w:bidi="en-US"/>
              </w:rPr>
              <w:t>hipokalcijemija, hipoalbuminemija</w:t>
            </w:r>
          </w:p>
        </w:tc>
      </w:tr>
      <w:tr w:rsidR="005612C5" w:rsidRPr="00C2143B" w:rsidTr="00956FD7">
        <w:trPr>
          <w:trHeight w:val="398"/>
        </w:trPr>
        <w:tc>
          <w:tcPr>
            <w:tcW w:w="9900" w:type="dxa"/>
            <w:gridSpan w:val="2"/>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spacing w:before="1"/>
              <w:jc w:val="both"/>
              <w:rPr>
                <w:b/>
                <w:sz w:val="22"/>
                <w:szCs w:val="22"/>
                <w:lang w:val="sr-Latn-RS" w:bidi="en-US"/>
              </w:rPr>
            </w:pPr>
            <w:r w:rsidRPr="00261E6C">
              <w:rPr>
                <w:b/>
                <w:bCs/>
                <w:sz w:val="22"/>
                <w:szCs w:val="22"/>
                <w:lang w:val="sr-Latn-RS" w:bidi="en-US"/>
              </w:rPr>
              <w:t>Poremećaji nervnog sistema</w:t>
            </w:r>
          </w:p>
        </w:tc>
      </w:tr>
      <w:tr w:rsidR="005612C5" w:rsidRPr="00C2143B" w:rsidTr="00956FD7">
        <w:trPr>
          <w:trHeight w:val="393"/>
        </w:trPr>
        <w:tc>
          <w:tcPr>
            <w:tcW w:w="2185" w:type="dxa"/>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jc w:val="both"/>
              <w:rPr>
                <w:sz w:val="22"/>
                <w:szCs w:val="22"/>
                <w:lang w:val="sr-Latn-RS" w:bidi="en-US"/>
              </w:rPr>
            </w:pPr>
            <w:r w:rsidRPr="00261E6C">
              <w:rPr>
                <w:sz w:val="22"/>
                <w:szCs w:val="22"/>
                <w:lang w:val="sr-Latn-RS" w:bidi="en-US"/>
              </w:rPr>
              <w:lastRenderedPageBreak/>
              <w:t>Veoma čest</w:t>
            </w:r>
            <w:r w:rsidR="00687D00" w:rsidRPr="00261E6C">
              <w:rPr>
                <w:sz w:val="22"/>
                <w:szCs w:val="22"/>
                <w:lang w:val="sr-Latn-RS" w:bidi="en-US"/>
              </w:rPr>
              <w:t>o</w:t>
            </w:r>
          </w:p>
        </w:tc>
        <w:tc>
          <w:tcPr>
            <w:tcW w:w="7715" w:type="dxa"/>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jc w:val="both"/>
              <w:rPr>
                <w:sz w:val="22"/>
                <w:szCs w:val="22"/>
                <w:lang w:val="sr-Latn-RS" w:bidi="en-US"/>
              </w:rPr>
            </w:pPr>
            <w:r w:rsidRPr="00261E6C">
              <w:rPr>
                <w:sz w:val="22"/>
                <w:szCs w:val="22"/>
                <w:lang w:val="sr-Latn-RS" w:bidi="en-US"/>
              </w:rPr>
              <w:t>periferna neuropatija,</w:t>
            </w:r>
          </w:p>
        </w:tc>
      </w:tr>
      <w:tr w:rsidR="005612C5" w:rsidRPr="00C2143B" w:rsidTr="00956FD7">
        <w:trPr>
          <w:trHeight w:val="398"/>
        </w:trPr>
        <w:tc>
          <w:tcPr>
            <w:tcW w:w="2185" w:type="dxa"/>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jc w:val="both"/>
              <w:rPr>
                <w:sz w:val="22"/>
                <w:szCs w:val="22"/>
                <w:lang w:val="sr-Latn-RS" w:bidi="en-US"/>
              </w:rPr>
            </w:pPr>
            <w:r w:rsidRPr="00261E6C">
              <w:rPr>
                <w:sz w:val="22"/>
                <w:szCs w:val="22"/>
                <w:lang w:val="sr-Latn-RS" w:bidi="en-US"/>
              </w:rPr>
              <w:t>Čest</w:t>
            </w:r>
            <w:r w:rsidR="00687D00" w:rsidRPr="00261E6C">
              <w:rPr>
                <w:sz w:val="22"/>
                <w:szCs w:val="22"/>
                <w:lang w:val="sr-Latn-RS" w:bidi="en-US"/>
              </w:rPr>
              <w:t>o</w:t>
            </w:r>
          </w:p>
        </w:tc>
        <w:tc>
          <w:tcPr>
            <w:tcW w:w="7715" w:type="dxa"/>
            <w:tcBorders>
              <w:top w:val="single" w:sz="4" w:space="0" w:color="000000"/>
              <w:left w:val="single" w:sz="4" w:space="0" w:color="000000"/>
              <w:bottom w:val="single" w:sz="4" w:space="0" w:color="000000"/>
              <w:right w:val="single" w:sz="4" w:space="0" w:color="000000"/>
            </w:tcBorders>
            <w:hideMark/>
          </w:tcPr>
          <w:p w:rsidR="005612C5" w:rsidRPr="00261E6C" w:rsidRDefault="00A85FC5" w:rsidP="00E4155A">
            <w:pPr>
              <w:widowControl w:val="0"/>
              <w:autoSpaceDE w:val="0"/>
              <w:autoSpaceDN w:val="0"/>
              <w:jc w:val="both"/>
              <w:rPr>
                <w:sz w:val="22"/>
                <w:szCs w:val="22"/>
                <w:lang w:val="sr-Latn-RS" w:bidi="en-US"/>
              </w:rPr>
            </w:pPr>
            <w:r w:rsidRPr="00261E6C">
              <w:rPr>
                <w:sz w:val="22"/>
                <w:szCs w:val="22"/>
                <w:lang w:val="sr-Latn-RS" w:bidi="en-US"/>
              </w:rPr>
              <w:t xml:space="preserve">vrtoglavica </w:t>
            </w:r>
          </w:p>
        </w:tc>
      </w:tr>
      <w:tr w:rsidR="005612C5" w:rsidRPr="00C2143B" w:rsidTr="00956FD7">
        <w:trPr>
          <w:trHeight w:val="398"/>
        </w:trPr>
        <w:tc>
          <w:tcPr>
            <w:tcW w:w="9900" w:type="dxa"/>
            <w:gridSpan w:val="2"/>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spacing w:before="1"/>
              <w:jc w:val="both"/>
              <w:rPr>
                <w:b/>
                <w:sz w:val="22"/>
                <w:szCs w:val="22"/>
                <w:lang w:val="sr-Latn-RS" w:bidi="en-US"/>
              </w:rPr>
            </w:pPr>
            <w:r w:rsidRPr="00261E6C">
              <w:rPr>
                <w:b/>
                <w:bCs/>
                <w:sz w:val="22"/>
                <w:szCs w:val="22"/>
                <w:lang w:val="sr-Latn-RS" w:bidi="en-US"/>
              </w:rPr>
              <w:t>Poremećaji vida</w:t>
            </w:r>
          </w:p>
        </w:tc>
      </w:tr>
      <w:tr w:rsidR="005612C5" w:rsidRPr="00C2143B" w:rsidTr="00956FD7">
        <w:trPr>
          <w:trHeight w:val="398"/>
        </w:trPr>
        <w:tc>
          <w:tcPr>
            <w:tcW w:w="2185" w:type="dxa"/>
            <w:tcBorders>
              <w:top w:val="single" w:sz="4" w:space="0" w:color="000000"/>
              <w:left w:val="single" w:sz="4" w:space="0" w:color="000000"/>
              <w:bottom w:val="single" w:sz="4" w:space="0" w:color="000000"/>
              <w:right w:val="single" w:sz="4" w:space="0" w:color="000000"/>
            </w:tcBorders>
            <w:hideMark/>
          </w:tcPr>
          <w:p w:rsidR="005612C5" w:rsidRPr="00261E6C" w:rsidRDefault="00A85FC5" w:rsidP="00E4155A">
            <w:pPr>
              <w:widowControl w:val="0"/>
              <w:autoSpaceDE w:val="0"/>
              <w:autoSpaceDN w:val="0"/>
              <w:jc w:val="both"/>
              <w:rPr>
                <w:sz w:val="22"/>
                <w:szCs w:val="22"/>
                <w:lang w:val="sr-Latn-RS" w:bidi="en-US"/>
              </w:rPr>
            </w:pPr>
            <w:r w:rsidRPr="00261E6C">
              <w:rPr>
                <w:sz w:val="22"/>
                <w:szCs w:val="22"/>
                <w:lang w:val="sr-Latn-RS" w:bidi="en-US"/>
              </w:rPr>
              <w:t>Po</w:t>
            </w:r>
            <w:r w:rsidR="009C1C38" w:rsidRPr="00261E6C">
              <w:rPr>
                <w:sz w:val="22"/>
                <w:szCs w:val="22"/>
                <w:lang w:val="sr-Latn-RS" w:bidi="en-US"/>
              </w:rPr>
              <w:t>vr</w:t>
            </w:r>
            <w:r w:rsidR="00B748CC" w:rsidRPr="00261E6C">
              <w:rPr>
                <w:sz w:val="22"/>
                <w:szCs w:val="22"/>
                <w:lang w:val="sr-Latn-RS" w:bidi="en-US"/>
              </w:rPr>
              <w:t>eme</w:t>
            </w:r>
            <w:r w:rsidRPr="00261E6C">
              <w:rPr>
                <w:sz w:val="22"/>
                <w:szCs w:val="22"/>
                <w:lang w:val="sr-Latn-RS" w:bidi="en-US"/>
              </w:rPr>
              <w:t>no</w:t>
            </w:r>
          </w:p>
        </w:tc>
        <w:tc>
          <w:tcPr>
            <w:tcW w:w="7715" w:type="dxa"/>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jc w:val="both"/>
              <w:rPr>
                <w:sz w:val="22"/>
                <w:szCs w:val="22"/>
                <w:lang w:val="sr-Latn-RS" w:bidi="en-US"/>
              </w:rPr>
            </w:pPr>
            <w:r w:rsidRPr="00261E6C">
              <w:rPr>
                <w:sz w:val="22"/>
                <w:szCs w:val="22"/>
                <w:lang w:val="sr-Latn-RS" w:bidi="en-US"/>
              </w:rPr>
              <w:t>zamagljen vid</w:t>
            </w:r>
            <w:r w:rsidR="00A85FC5" w:rsidRPr="00261E6C">
              <w:rPr>
                <w:sz w:val="22"/>
                <w:szCs w:val="22"/>
                <w:vertAlign w:val="superscript"/>
                <w:lang w:val="hr-HR"/>
              </w:rPr>
              <w:t xml:space="preserve"> b</w:t>
            </w:r>
          </w:p>
        </w:tc>
      </w:tr>
      <w:tr w:rsidR="005612C5" w:rsidRPr="00261E6C" w:rsidTr="00956FD7">
        <w:trPr>
          <w:trHeight w:val="397"/>
        </w:trPr>
        <w:tc>
          <w:tcPr>
            <w:tcW w:w="9900" w:type="dxa"/>
            <w:gridSpan w:val="2"/>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spacing w:before="1"/>
              <w:jc w:val="both"/>
              <w:rPr>
                <w:b/>
                <w:sz w:val="22"/>
                <w:szCs w:val="22"/>
                <w:lang w:val="sr-Latn-RS" w:bidi="en-US"/>
              </w:rPr>
            </w:pPr>
            <w:r w:rsidRPr="00261E6C">
              <w:rPr>
                <w:b/>
                <w:bCs/>
                <w:sz w:val="22"/>
                <w:szCs w:val="22"/>
                <w:lang w:val="sr-Latn-RS" w:bidi="en-US"/>
              </w:rPr>
              <w:t>Respiratorni, torakalni i medijastinalni poremećaji</w:t>
            </w:r>
          </w:p>
        </w:tc>
      </w:tr>
      <w:tr w:rsidR="005612C5" w:rsidRPr="00C2143B" w:rsidTr="00956FD7">
        <w:trPr>
          <w:trHeight w:val="393"/>
        </w:trPr>
        <w:tc>
          <w:tcPr>
            <w:tcW w:w="2185" w:type="dxa"/>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jc w:val="both"/>
              <w:rPr>
                <w:sz w:val="22"/>
                <w:szCs w:val="22"/>
                <w:lang w:val="sr-Latn-RS" w:bidi="en-US"/>
              </w:rPr>
            </w:pPr>
            <w:r w:rsidRPr="00261E6C">
              <w:rPr>
                <w:sz w:val="22"/>
                <w:szCs w:val="22"/>
                <w:lang w:val="sr-Latn-RS" w:bidi="en-US"/>
              </w:rPr>
              <w:t>Veoma čest</w:t>
            </w:r>
            <w:r w:rsidR="00687D00" w:rsidRPr="00261E6C">
              <w:rPr>
                <w:sz w:val="22"/>
                <w:szCs w:val="22"/>
                <w:lang w:val="sr-Latn-RS" w:bidi="en-US"/>
              </w:rPr>
              <w:t>o</w:t>
            </w:r>
          </w:p>
        </w:tc>
        <w:tc>
          <w:tcPr>
            <w:tcW w:w="7715" w:type="dxa"/>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jc w:val="both"/>
              <w:rPr>
                <w:sz w:val="22"/>
                <w:szCs w:val="22"/>
                <w:lang w:val="sr-Latn-RS" w:bidi="en-US"/>
              </w:rPr>
            </w:pPr>
            <w:r w:rsidRPr="00261E6C">
              <w:rPr>
                <w:sz w:val="22"/>
                <w:szCs w:val="22"/>
                <w:lang w:val="sr-Latn-RS" w:bidi="en-US"/>
              </w:rPr>
              <w:t>kašalj</w:t>
            </w:r>
          </w:p>
        </w:tc>
      </w:tr>
      <w:tr w:rsidR="005612C5" w:rsidRPr="00C2143B" w:rsidTr="00956FD7">
        <w:trPr>
          <w:trHeight w:val="397"/>
        </w:trPr>
        <w:tc>
          <w:tcPr>
            <w:tcW w:w="2185" w:type="dxa"/>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jc w:val="both"/>
              <w:rPr>
                <w:sz w:val="22"/>
                <w:szCs w:val="22"/>
                <w:lang w:val="sr-Latn-RS" w:bidi="en-US"/>
              </w:rPr>
            </w:pPr>
            <w:r w:rsidRPr="00261E6C">
              <w:rPr>
                <w:sz w:val="22"/>
                <w:szCs w:val="22"/>
                <w:lang w:val="sr-Latn-RS" w:bidi="en-US"/>
              </w:rPr>
              <w:t>Čest</w:t>
            </w:r>
            <w:r w:rsidR="00687D00" w:rsidRPr="00261E6C">
              <w:rPr>
                <w:sz w:val="22"/>
                <w:szCs w:val="22"/>
                <w:lang w:val="sr-Latn-RS" w:bidi="en-US"/>
              </w:rPr>
              <w:t>o</w:t>
            </w:r>
          </w:p>
        </w:tc>
        <w:tc>
          <w:tcPr>
            <w:tcW w:w="7715" w:type="dxa"/>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jc w:val="both"/>
              <w:rPr>
                <w:sz w:val="22"/>
                <w:szCs w:val="22"/>
                <w:lang w:val="sr-Latn-RS" w:bidi="en-US"/>
              </w:rPr>
            </w:pPr>
            <w:r w:rsidRPr="00261E6C">
              <w:rPr>
                <w:sz w:val="22"/>
                <w:szCs w:val="22"/>
                <w:lang w:val="sr-Latn-RS" w:bidi="en-US"/>
              </w:rPr>
              <w:t>pneumonitis</w:t>
            </w:r>
            <w:r w:rsidR="00A85FC5" w:rsidRPr="00261E6C">
              <w:rPr>
                <w:sz w:val="22"/>
                <w:szCs w:val="22"/>
                <w:lang w:val="sr-Latn-RS" w:bidi="en-US"/>
              </w:rPr>
              <w:t xml:space="preserve">, </w:t>
            </w:r>
            <w:r w:rsidR="00A85FC5" w:rsidRPr="00261E6C">
              <w:rPr>
                <w:sz w:val="22"/>
                <w:szCs w:val="22"/>
                <w:lang w:val="hr-HR"/>
              </w:rPr>
              <w:t>dispneja</w:t>
            </w:r>
            <w:r w:rsidR="00A85FC5" w:rsidRPr="00261E6C">
              <w:rPr>
                <w:sz w:val="22"/>
                <w:szCs w:val="22"/>
                <w:vertAlign w:val="superscript"/>
                <w:lang w:val="hr-HR"/>
              </w:rPr>
              <w:t>c</w:t>
            </w:r>
          </w:p>
        </w:tc>
      </w:tr>
      <w:tr w:rsidR="005612C5" w:rsidRPr="00C2143B" w:rsidTr="00956FD7">
        <w:trPr>
          <w:trHeight w:val="398"/>
        </w:trPr>
        <w:tc>
          <w:tcPr>
            <w:tcW w:w="9900" w:type="dxa"/>
            <w:gridSpan w:val="2"/>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spacing w:before="1"/>
              <w:jc w:val="both"/>
              <w:rPr>
                <w:b/>
                <w:sz w:val="22"/>
                <w:szCs w:val="22"/>
                <w:lang w:val="sr-Latn-RS" w:bidi="en-US"/>
              </w:rPr>
            </w:pPr>
            <w:r w:rsidRPr="00261E6C">
              <w:rPr>
                <w:b/>
                <w:bCs/>
                <w:sz w:val="22"/>
                <w:szCs w:val="22"/>
                <w:lang w:val="sr-Latn-RS" w:bidi="en-US"/>
              </w:rPr>
              <w:t>Gastrointestinalni poremećaji</w:t>
            </w:r>
          </w:p>
        </w:tc>
      </w:tr>
      <w:tr w:rsidR="005612C5" w:rsidRPr="00261E6C" w:rsidTr="00956FD7">
        <w:trPr>
          <w:trHeight w:val="503"/>
        </w:trPr>
        <w:tc>
          <w:tcPr>
            <w:tcW w:w="2185" w:type="dxa"/>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jc w:val="both"/>
              <w:rPr>
                <w:sz w:val="22"/>
                <w:szCs w:val="22"/>
                <w:lang w:val="sr-Latn-RS" w:bidi="en-US"/>
              </w:rPr>
            </w:pPr>
            <w:r w:rsidRPr="00261E6C">
              <w:rPr>
                <w:sz w:val="22"/>
                <w:szCs w:val="22"/>
                <w:lang w:val="sr-Latn-RS" w:bidi="en-US"/>
              </w:rPr>
              <w:t>Veoma čest</w:t>
            </w:r>
            <w:r w:rsidR="00687D00" w:rsidRPr="00261E6C">
              <w:rPr>
                <w:sz w:val="22"/>
                <w:szCs w:val="22"/>
                <w:lang w:val="sr-Latn-RS" w:bidi="en-US"/>
              </w:rPr>
              <w:t>o</w:t>
            </w:r>
          </w:p>
        </w:tc>
        <w:tc>
          <w:tcPr>
            <w:tcW w:w="7715" w:type="dxa"/>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spacing w:before="1"/>
              <w:jc w:val="both"/>
              <w:rPr>
                <w:sz w:val="22"/>
                <w:szCs w:val="22"/>
                <w:lang w:val="sr-Latn-RS" w:bidi="en-US"/>
              </w:rPr>
            </w:pPr>
            <w:r w:rsidRPr="00261E6C">
              <w:rPr>
                <w:sz w:val="22"/>
                <w:szCs w:val="22"/>
                <w:lang w:val="sr-Latn-RS" w:bidi="en-US"/>
              </w:rPr>
              <w:t>dijareja, mučnina, konstip</w:t>
            </w:r>
            <w:r w:rsidR="00456BD1" w:rsidRPr="00261E6C">
              <w:rPr>
                <w:sz w:val="22"/>
                <w:szCs w:val="22"/>
                <w:lang w:val="sr-Latn-RS" w:bidi="en-US"/>
              </w:rPr>
              <w:t>acija, povraćanje,</w:t>
            </w:r>
            <w:r w:rsidR="002836B4" w:rsidRPr="00261E6C">
              <w:rPr>
                <w:sz w:val="22"/>
                <w:szCs w:val="22"/>
                <w:lang w:val="sr-Latn-RS" w:bidi="en-US"/>
              </w:rPr>
              <w:t xml:space="preserve"> </w:t>
            </w:r>
            <w:r w:rsidR="002836B4" w:rsidRPr="00261E6C">
              <w:rPr>
                <w:sz w:val="22"/>
                <w:szCs w:val="22"/>
                <w:lang w:val="hr-HR"/>
              </w:rPr>
              <w:t>mukozitis</w:t>
            </w:r>
            <w:r w:rsidR="002836B4" w:rsidRPr="00261E6C">
              <w:rPr>
                <w:sz w:val="22"/>
                <w:szCs w:val="22"/>
                <w:vertAlign w:val="superscript"/>
                <w:lang w:val="hr-HR"/>
              </w:rPr>
              <w:t>c</w:t>
            </w:r>
            <w:r w:rsidR="002836B4" w:rsidRPr="00261E6C">
              <w:rPr>
                <w:sz w:val="22"/>
                <w:szCs w:val="22"/>
                <w:lang w:val="sr-Latn-RS" w:bidi="en-US"/>
              </w:rPr>
              <w:t>,</w:t>
            </w:r>
            <w:r w:rsidR="00456BD1" w:rsidRPr="00261E6C">
              <w:rPr>
                <w:sz w:val="22"/>
                <w:szCs w:val="22"/>
                <w:lang w:val="sr-Latn-RS" w:bidi="en-US"/>
              </w:rPr>
              <w:t xml:space="preserve"> bol u </w:t>
            </w:r>
            <w:r w:rsidR="00687D00" w:rsidRPr="00261E6C">
              <w:rPr>
                <w:sz w:val="22"/>
                <w:szCs w:val="22"/>
                <w:lang w:val="sr-Latn-RS" w:bidi="en-US"/>
              </w:rPr>
              <w:t>abdomenu</w:t>
            </w:r>
          </w:p>
        </w:tc>
      </w:tr>
      <w:tr w:rsidR="005612C5" w:rsidRPr="00261E6C" w:rsidTr="00956FD7">
        <w:trPr>
          <w:trHeight w:val="398"/>
        </w:trPr>
        <w:tc>
          <w:tcPr>
            <w:tcW w:w="9900" w:type="dxa"/>
            <w:gridSpan w:val="2"/>
            <w:tcBorders>
              <w:top w:val="single" w:sz="4" w:space="0" w:color="000000"/>
              <w:left w:val="single" w:sz="4" w:space="0" w:color="000000"/>
              <w:bottom w:val="single" w:sz="4" w:space="0" w:color="000000"/>
              <w:right w:val="single" w:sz="4" w:space="0" w:color="000000"/>
            </w:tcBorders>
            <w:hideMark/>
          </w:tcPr>
          <w:p w:rsidR="005612C5" w:rsidRPr="00261E6C" w:rsidRDefault="005612C5" w:rsidP="00E4155A">
            <w:pPr>
              <w:widowControl w:val="0"/>
              <w:autoSpaceDE w:val="0"/>
              <w:autoSpaceDN w:val="0"/>
              <w:spacing w:before="1"/>
              <w:jc w:val="both"/>
              <w:rPr>
                <w:b/>
                <w:sz w:val="22"/>
                <w:szCs w:val="22"/>
                <w:lang w:val="sr-Latn-RS" w:bidi="en-US"/>
              </w:rPr>
            </w:pPr>
            <w:r w:rsidRPr="00261E6C">
              <w:rPr>
                <w:b/>
                <w:bCs/>
                <w:sz w:val="22"/>
                <w:szCs w:val="22"/>
                <w:lang w:val="sr-Latn-RS" w:bidi="en-US"/>
              </w:rPr>
              <w:t>Poremećaji kože i potkožnog tkiva</w:t>
            </w:r>
          </w:p>
        </w:tc>
      </w:tr>
      <w:tr w:rsidR="002836B4" w:rsidRPr="00C2143B" w:rsidTr="00956FD7">
        <w:trPr>
          <w:trHeight w:val="397"/>
        </w:trPr>
        <w:tc>
          <w:tcPr>
            <w:tcW w:w="2185" w:type="dxa"/>
            <w:tcBorders>
              <w:top w:val="single" w:sz="4" w:space="0" w:color="000000"/>
              <w:left w:val="single" w:sz="4" w:space="0" w:color="000000"/>
              <w:bottom w:val="single" w:sz="4" w:space="0" w:color="000000"/>
              <w:right w:val="single" w:sz="4" w:space="0" w:color="000000"/>
            </w:tcBorders>
          </w:tcPr>
          <w:p w:rsidR="002836B4" w:rsidRPr="00261E6C" w:rsidRDefault="002836B4" w:rsidP="00E4155A">
            <w:pPr>
              <w:widowControl w:val="0"/>
              <w:autoSpaceDE w:val="0"/>
              <w:autoSpaceDN w:val="0"/>
              <w:jc w:val="both"/>
              <w:rPr>
                <w:sz w:val="22"/>
                <w:szCs w:val="22"/>
                <w:lang w:val="sr-Latn-RS" w:bidi="en-US"/>
              </w:rPr>
            </w:pPr>
            <w:r w:rsidRPr="00261E6C">
              <w:rPr>
                <w:sz w:val="22"/>
                <w:szCs w:val="22"/>
                <w:lang w:val="sr-Latn-RS" w:bidi="en-US"/>
              </w:rPr>
              <w:t>Veoma čest</w:t>
            </w:r>
            <w:r w:rsidR="00687D00" w:rsidRPr="00261E6C">
              <w:rPr>
                <w:sz w:val="22"/>
                <w:szCs w:val="22"/>
                <w:lang w:val="sr-Latn-RS" w:bidi="en-US"/>
              </w:rPr>
              <w:t>o</w:t>
            </w:r>
          </w:p>
        </w:tc>
        <w:tc>
          <w:tcPr>
            <w:tcW w:w="7715" w:type="dxa"/>
            <w:tcBorders>
              <w:top w:val="single" w:sz="4" w:space="0" w:color="000000"/>
              <w:left w:val="single" w:sz="4" w:space="0" w:color="000000"/>
              <w:bottom w:val="single" w:sz="4" w:space="0" w:color="000000"/>
              <w:right w:val="single" w:sz="4" w:space="0" w:color="000000"/>
            </w:tcBorders>
          </w:tcPr>
          <w:p w:rsidR="002836B4" w:rsidRPr="00261E6C" w:rsidRDefault="002836B4" w:rsidP="00E4155A">
            <w:pPr>
              <w:widowControl w:val="0"/>
              <w:autoSpaceDE w:val="0"/>
              <w:autoSpaceDN w:val="0"/>
              <w:jc w:val="both"/>
              <w:rPr>
                <w:sz w:val="22"/>
                <w:szCs w:val="22"/>
                <w:lang w:val="sr-Latn-RS" w:bidi="en-US"/>
              </w:rPr>
            </w:pPr>
            <w:r w:rsidRPr="00261E6C">
              <w:rPr>
                <w:sz w:val="22"/>
                <w:szCs w:val="22"/>
                <w:lang w:val="hr-HR"/>
              </w:rPr>
              <w:t>alopecija</w:t>
            </w:r>
            <w:r w:rsidRPr="00261E6C">
              <w:rPr>
                <w:sz w:val="22"/>
                <w:szCs w:val="22"/>
                <w:vertAlign w:val="superscript"/>
                <w:lang w:val="hr-HR"/>
              </w:rPr>
              <w:t>c</w:t>
            </w:r>
          </w:p>
        </w:tc>
      </w:tr>
      <w:tr w:rsidR="002836B4" w:rsidRPr="00261E6C" w:rsidTr="00956FD7">
        <w:trPr>
          <w:trHeight w:val="397"/>
        </w:trPr>
        <w:tc>
          <w:tcPr>
            <w:tcW w:w="2185" w:type="dxa"/>
            <w:tcBorders>
              <w:top w:val="single" w:sz="4" w:space="0" w:color="000000"/>
              <w:left w:val="single" w:sz="4" w:space="0" w:color="000000"/>
              <w:bottom w:val="single" w:sz="4" w:space="0" w:color="000000"/>
              <w:right w:val="single" w:sz="4" w:space="0" w:color="000000"/>
            </w:tcBorders>
          </w:tcPr>
          <w:p w:rsidR="002836B4" w:rsidRPr="00261E6C" w:rsidRDefault="002836B4" w:rsidP="00E4155A">
            <w:pPr>
              <w:widowControl w:val="0"/>
              <w:autoSpaceDE w:val="0"/>
              <w:autoSpaceDN w:val="0"/>
              <w:jc w:val="both"/>
              <w:rPr>
                <w:sz w:val="22"/>
                <w:szCs w:val="22"/>
                <w:lang w:val="sr-Latn-RS" w:bidi="en-US"/>
              </w:rPr>
            </w:pPr>
            <w:r w:rsidRPr="00261E6C">
              <w:rPr>
                <w:sz w:val="22"/>
                <w:szCs w:val="22"/>
                <w:lang w:val="sr-Latn-RS" w:bidi="en-US"/>
              </w:rPr>
              <w:t>Često</w:t>
            </w:r>
          </w:p>
        </w:tc>
        <w:tc>
          <w:tcPr>
            <w:tcW w:w="7715" w:type="dxa"/>
            <w:tcBorders>
              <w:top w:val="single" w:sz="4" w:space="0" w:color="000000"/>
              <w:left w:val="single" w:sz="4" w:space="0" w:color="000000"/>
              <w:bottom w:val="single" w:sz="4" w:space="0" w:color="000000"/>
              <w:right w:val="single" w:sz="4" w:space="0" w:color="000000"/>
            </w:tcBorders>
          </w:tcPr>
          <w:p w:rsidR="002836B4" w:rsidRPr="00261E6C" w:rsidRDefault="002836B4" w:rsidP="00E4155A">
            <w:pPr>
              <w:widowControl w:val="0"/>
              <w:autoSpaceDE w:val="0"/>
              <w:autoSpaceDN w:val="0"/>
              <w:jc w:val="both"/>
              <w:rPr>
                <w:sz w:val="22"/>
                <w:szCs w:val="22"/>
                <w:lang w:val="hr-HR"/>
              </w:rPr>
            </w:pPr>
            <w:r w:rsidRPr="00261E6C">
              <w:rPr>
                <w:sz w:val="22"/>
                <w:szCs w:val="22"/>
                <w:lang w:val="sr-Latn-RS" w:bidi="en-US"/>
              </w:rPr>
              <w:t xml:space="preserve">pruritus, </w:t>
            </w:r>
            <w:r w:rsidRPr="00261E6C">
              <w:rPr>
                <w:sz w:val="22"/>
                <w:szCs w:val="22"/>
                <w:lang w:val="hr-HR"/>
              </w:rPr>
              <w:t>kožne infekcije</w:t>
            </w:r>
            <w:r w:rsidRPr="00261E6C">
              <w:rPr>
                <w:sz w:val="22"/>
                <w:szCs w:val="22"/>
                <w:vertAlign w:val="superscript"/>
                <w:lang w:val="hr-HR"/>
              </w:rPr>
              <w:t>c</w:t>
            </w:r>
            <w:r w:rsidRPr="00261E6C">
              <w:rPr>
                <w:sz w:val="22"/>
                <w:szCs w:val="22"/>
                <w:lang w:val="hr-HR"/>
              </w:rPr>
              <w:t>, osip</w:t>
            </w:r>
            <w:r w:rsidRPr="00261E6C">
              <w:rPr>
                <w:sz w:val="22"/>
                <w:szCs w:val="22"/>
                <w:vertAlign w:val="superscript"/>
                <w:lang w:val="hr-HR"/>
              </w:rPr>
              <w:t>c</w:t>
            </w:r>
            <w:r w:rsidRPr="00261E6C">
              <w:rPr>
                <w:sz w:val="22"/>
                <w:szCs w:val="22"/>
                <w:lang w:val="hr-HR"/>
              </w:rPr>
              <w:t>, suva koža</w:t>
            </w:r>
            <w:r w:rsidRPr="00261E6C">
              <w:rPr>
                <w:sz w:val="22"/>
                <w:szCs w:val="22"/>
                <w:vertAlign w:val="superscript"/>
                <w:lang w:val="hr-HR"/>
              </w:rPr>
              <w:t>c</w:t>
            </w:r>
          </w:p>
        </w:tc>
      </w:tr>
      <w:tr w:rsidR="002836B4" w:rsidRPr="00C2143B" w:rsidTr="00956FD7">
        <w:trPr>
          <w:trHeight w:val="398"/>
        </w:trPr>
        <w:tc>
          <w:tcPr>
            <w:tcW w:w="9900" w:type="dxa"/>
            <w:gridSpan w:val="2"/>
            <w:tcBorders>
              <w:top w:val="single" w:sz="4" w:space="0" w:color="000000"/>
              <w:left w:val="single" w:sz="4" w:space="0" w:color="000000"/>
              <w:bottom w:val="single" w:sz="4" w:space="0" w:color="000000"/>
              <w:right w:val="single" w:sz="4" w:space="0" w:color="000000"/>
            </w:tcBorders>
            <w:hideMark/>
          </w:tcPr>
          <w:p w:rsidR="002836B4" w:rsidRPr="00261E6C" w:rsidRDefault="002836B4" w:rsidP="00E4155A">
            <w:pPr>
              <w:widowControl w:val="0"/>
              <w:autoSpaceDE w:val="0"/>
              <w:autoSpaceDN w:val="0"/>
              <w:spacing w:before="1"/>
              <w:jc w:val="both"/>
              <w:rPr>
                <w:b/>
                <w:sz w:val="22"/>
                <w:szCs w:val="22"/>
                <w:lang w:val="sr-Latn-RS" w:bidi="en-US"/>
              </w:rPr>
            </w:pPr>
            <w:r w:rsidRPr="00261E6C">
              <w:rPr>
                <w:b/>
                <w:bCs/>
                <w:sz w:val="22"/>
                <w:szCs w:val="22"/>
                <w:lang w:val="sr-Latn-RS" w:bidi="en-US"/>
              </w:rPr>
              <w:t>Mišićno-koštani poremećaji</w:t>
            </w:r>
          </w:p>
        </w:tc>
      </w:tr>
      <w:tr w:rsidR="002836B4" w:rsidRPr="00C2143B" w:rsidTr="00956FD7">
        <w:trPr>
          <w:trHeight w:val="398"/>
        </w:trPr>
        <w:tc>
          <w:tcPr>
            <w:tcW w:w="2185" w:type="dxa"/>
            <w:tcBorders>
              <w:top w:val="single" w:sz="4" w:space="0" w:color="000000"/>
              <w:left w:val="single" w:sz="4" w:space="0" w:color="000000"/>
              <w:bottom w:val="single" w:sz="4" w:space="0" w:color="000000"/>
              <w:right w:val="single" w:sz="4" w:space="0" w:color="000000"/>
            </w:tcBorders>
            <w:hideMark/>
          </w:tcPr>
          <w:p w:rsidR="002836B4" w:rsidRPr="00261E6C" w:rsidRDefault="002836B4" w:rsidP="00E4155A">
            <w:pPr>
              <w:widowControl w:val="0"/>
              <w:autoSpaceDE w:val="0"/>
              <w:autoSpaceDN w:val="0"/>
              <w:jc w:val="both"/>
              <w:rPr>
                <w:sz w:val="22"/>
                <w:szCs w:val="22"/>
                <w:lang w:val="sr-Latn-RS" w:bidi="en-US"/>
              </w:rPr>
            </w:pPr>
            <w:r w:rsidRPr="00261E6C">
              <w:rPr>
                <w:sz w:val="22"/>
                <w:szCs w:val="22"/>
                <w:lang w:val="sr-Latn-RS" w:bidi="en-US"/>
              </w:rPr>
              <w:t>Čest</w:t>
            </w:r>
            <w:r w:rsidR="00687D00" w:rsidRPr="00261E6C">
              <w:rPr>
                <w:sz w:val="22"/>
                <w:szCs w:val="22"/>
                <w:lang w:val="sr-Latn-RS" w:bidi="en-US"/>
              </w:rPr>
              <w:t>o</w:t>
            </w:r>
          </w:p>
        </w:tc>
        <w:tc>
          <w:tcPr>
            <w:tcW w:w="7715" w:type="dxa"/>
            <w:tcBorders>
              <w:top w:val="single" w:sz="4" w:space="0" w:color="000000"/>
              <w:left w:val="single" w:sz="4" w:space="0" w:color="000000"/>
              <w:bottom w:val="single" w:sz="4" w:space="0" w:color="000000"/>
              <w:right w:val="single" w:sz="4" w:space="0" w:color="000000"/>
            </w:tcBorders>
            <w:hideMark/>
          </w:tcPr>
          <w:p w:rsidR="002836B4" w:rsidRPr="00261E6C" w:rsidRDefault="002836B4" w:rsidP="00E4155A">
            <w:pPr>
              <w:widowControl w:val="0"/>
              <w:autoSpaceDE w:val="0"/>
              <w:autoSpaceDN w:val="0"/>
              <w:jc w:val="both"/>
              <w:rPr>
                <w:sz w:val="22"/>
                <w:szCs w:val="22"/>
                <w:lang w:val="sr-Latn-RS" w:bidi="en-US"/>
              </w:rPr>
            </w:pPr>
            <w:r w:rsidRPr="00261E6C">
              <w:rPr>
                <w:sz w:val="22"/>
                <w:szCs w:val="22"/>
                <w:lang w:val="sr-Latn-RS" w:bidi="en-US"/>
              </w:rPr>
              <w:t>artralgija</w:t>
            </w:r>
            <w:r w:rsidRPr="00261E6C">
              <w:rPr>
                <w:sz w:val="22"/>
                <w:szCs w:val="22"/>
                <w:lang w:val="hr-HR"/>
              </w:rPr>
              <w:t>, mialgija</w:t>
            </w:r>
            <w:r w:rsidRPr="00261E6C">
              <w:rPr>
                <w:sz w:val="22"/>
                <w:szCs w:val="22"/>
                <w:vertAlign w:val="superscript"/>
                <w:lang w:val="hr-HR"/>
              </w:rPr>
              <w:t>c</w:t>
            </w:r>
          </w:p>
        </w:tc>
      </w:tr>
      <w:tr w:rsidR="002836B4" w:rsidRPr="00261E6C" w:rsidTr="00956FD7">
        <w:trPr>
          <w:trHeight w:val="393"/>
        </w:trPr>
        <w:tc>
          <w:tcPr>
            <w:tcW w:w="9900" w:type="dxa"/>
            <w:gridSpan w:val="2"/>
            <w:tcBorders>
              <w:top w:val="single" w:sz="4" w:space="0" w:color="000000"/>
              <w:left w:val="single" w:sz="4" w:space="0" w:color="000000"/>
              <w:bottom w:val="single" w:sz="4" w:space="0" w:color="000000"/>
              <w:right w:val="single" w:sz="4" w:space="0" w:color="000000"/>
            </w:tcBorders>
            <w:hideMark/>
          </w:tcPr>
          <w:p w:rsidR="002836B4" w:rsidRPr="00261E6C" w:rsidRDefault="002836B4" w:rsidP="00E4155A">
            <w:pPr>
              <w:widowControl w:val="0"/>
              <w:autoSpaceDE w:val="0"/>
              <w:autoSpaceDN w:val="0"/>
              <w:jc w:val="both"/>
              <w:rPr>
                <w:b/>
                <w:sz w:val="22"/>
                <w:szCs w:val="22"/>
                <w:lang w:val="sr-Latn-RS" w:bidi="en-US"/>
              </w:rPr>
            </w:pPr>
            <w:r w:rsidRPr="00261E6C">
              <w:rPr>
                <w:b/>
                <w:bCs/>
                <w:sz w:val="22"/>
                <w:szCs w:val="22"/>
                <w:lang w:val="sr-Latn-RS" w:bidi="en-US"/>
              </w:rPr>
              <w:t>Opšti poremećaji i reakcije na m</w:t>
            </w:r>
            <w:r w:rsidR="009410E9" w:rsidRPr="00C2143B">
              <w:rPr>
                <w:b/>
                <w:bCs/>
                <w:sz w:val="22"/>
                <w:szCs w:val="22"/>
                <w:lang w:val="sr-Latn-RS" w:bidi="en-US"/>
              </w:rPr>
              <w:t>j</w:t>
            </w:r>
            <w:r w:rsidRPr="00261E6C">
              <w:rPr>
                <w:b/>
                <w:bCs/>
                <w:sz w:val="22"/>
                <w:szCs w:val="22"/>
                <w:lang w:val="sr-Latn-RS" w:bidi="en-US"/>
              </w:rPr>
              <w:t>estu primjene</w:t>
            </w:r>
          </w:p>
        </w:tc>
      </w:tr>
      <w:tr w:rsidR="002836B4" w:rsidRPr="00C2143B" w:rsidTr="00956FD7">
        <w:trPr>
          <w:trHeight w:val="398"/>
        </w:trPr>
        <w:tc>
          <w:tcPr>
            <w:tcW w:w="2185" w:type="dxa"/>
            <w:tcBorders>
              <w:top w:val="single" w:sz="4" w:space="0" w:color="000000"/>
              <w:left w:val="single" w:sz="4" w:space="0" w:color="000000"/>
              <w:bottom w:val="single" w:sz="4" w:space="0" w:color="000000"/>
              <w:right w:val="single" w:sz="4" w:space="0" w:color="000000"/>
            </w:tcBorders>
            <w:hideMark/>
          </w:tcPr>
          <w:p w:rsidR="002836B4" w:rsidRPr="00261E6C" w:rsidRDefault="002836B4" w:rsidP="00E4155A">
            <w:pPr>
              <w:widowControl w:val="0"/>
              <w:autoSpaceDE w:val="0"/>
              <w:autoSpaceDN w:val="0"/>
              <w:jc w:val="both"/>
              <w:rPr>
                <w:sz w:val="22"/>
                <w:szCs w:val="22"/>
                <w:lang w:val="sr-Latn-RS" w:bidi="en-US"/>
              </w:rPr>
            </w:pPr>
            <w:r w:rsidRPr="00261E6C">
              <w:rPr>
                <w:sz w:val="22"/>
                <w:szCs w:val="22"/>
                <w:lang w:val="sr-Latn-RS" w:bidi="en-US"/>
              </w:rPr>
              <w:t>Veoma čest</w:t>
            </w:r>
            <w:r w:rsidR="00687D00" w:rsidRPr="00261E6C">
              <w:rPr>
                <w:sz w:val="22"/>
                <w:szCs w:val="22"/>
                <w:lang w:val="sr-Latn-RS" w:bidi="en-US"/>
              </w:rPr>
              <w:t>o</w:t>
            </w:r>
          </w:p>
        </w:tc>
        <w:tc>
          <w:tcPr>
            <w:tcW w:w="7715" w:type="dxa"/>
            <w:tcBorders>
              <w:top w:val="single" w:sz="4" w:space="0" w:color="000000"/>
              <w:left w:val="single" w:sz="4" w:space="0" w:color="000000"/>
              <w:bottom w:val="single" w:sz="4" w:space="0" w:color="000000"/>
              <w:right w:val="single" w:sz="4" w:space="0" w:color="000000"/>
            </w:tcBorders>
            <w:hideMark/>
          </w:tcPr>
          <w:p w:rsidR="002836B4" w:rsidRPr="00261E6C" w:rsidRDefault="002836B4" w:rsidP="00E4155A">
            <w:pPr>
              <w:widowControl w:val="0"/>
              <w:autoSpaceDE w:val="0"/>
              <w:autoSpaceDN w:val="0"/>
              <w:jc w:val="both"/>
              <w:rPr>
                <w:sz w:val="22"/>
                <w:szCs w:val="22"/>
                <w:lang w:val="sr-Latn-RS" w:bidi="en-US"/>
              </w:rPr>
            </w:pPr>
            <w:r w:rsidRPr="00261E6C">
              <w:rPr>
                <w:sz w:val="22"/>
                <w:szCs w:val="22"/>
                <w:lang w:val="sr-Latn-RS" w:bidi="en-US"/>
              </w:rPr>
              <w:t>pireksija , umor, astenija</w:t>
            </w:r>
          </w:p>
        </w:tc>
      </w:tr>
      <w:tr w:rsidR="002836B4" w:rsidRPr="00C2143B" w:rsidTr="00956FD7">
        <w:trPr>
          <w:trHeight w:val="398"/>
        </w:trPr>
        <w:tc>
          <w:tcPr>
            <w:tcW w:w="2185" w:type="dxa"/>
            <w:tcBorders>
              <w:top w:val="single" w:sz="4" w:space="0" w:color="000000"/>
              <w:left w:val="single" w:sz="4" w:space="0" w:color="000000"/>
              <w:bottom w:val="single" w:sz="4" w:space="0" w:color="000000"/>
              <w:right w:val="single" w:sz="4" w:space="0" w:color="000000"/>
            </w:tcBorders>
          </w:tcPr>
          <w:p w:rsidR="002836B4" w:rsidRPr="00261E6C" w:rsidRDefault="002836B4" w:rsidP="00E4155A">
            <w:pPr>
              <w:widowControl w:val="0"/>
              <w:autoSpaceDE w:val="0"/>
              <w:autoSpaceDN w:val="0"/>
              <w:jc w:val="both"/>
              <w:rPr>
                <w:sz w:val="22"/>
                <w:szCs w:val="22"/>
                <w:lang w:val="sr-Latn-RS" w:bidi="en-US"/>
              </w:rPr>
            </w:pPr>
            <w:r w:rsidRPr="00261E6C">
              <w:rPr>
                <w:sz w:val="22"/>
                <w:szCs w:val="22"/>
                <w:lang w:val="sr-Latn-RS" w:bidi="en-US"/>
              </w:rPr>
              <w:t>Čest</w:t>
            </w:r>
            <w:r w:rsidR="00687D00" w:rsidRPr="00261E6C">
              <w:rPr>
                <w:sz w:val="22"/>
                <w:szCs w:val="22"/>
                <w:lang w:val="sr-Latn-RS" w:bidi="en-US"/>
              </w:rPr>
              <w:t>o</w:t>
            </w:r>
          </w:p>
        </w:tc>
        <w:tc>
          <w:tcPr>
            <w:tcW w:w="7715" w:type="dxa"/>
            <w:tcBorders>
              <w:top w:val="single" w:sz="4" w:space="0" w:color="000000"/>
              <w:left w:val="single" w:sz="4" w:space="0" w:color="000000"/>
              <w:bottom w:val="single" w:sz="4" w:space="0" w:color="000000"/>
              <w:right w:val="single" w:sz="4" w:space="0" w:color="000000"/>
            </w:tcBorders>
          </w:tcPr>
          <w:p w:rsidR="002836B4" w:rsidRPr="00261E6C" w:rsidRDefault="002836B4" w:rsidP="00E4155A">
            <w:pPr>
              <w:widowControl w:val="0"/>
              <w:autoSpaceDE w:val="0"/>
              <w:autoSpaceDN w:val="0"/>
              <w:jc w:val="both"/>
              <w:rPr>
                <w:sz w:val="22"/>
                <w:szCs w:val="22"/>
                <w:lang w:val="sr-Latn-RS" w:bidi="en-US"/>
              </w:rPr>
            </w:pPr>
            <w:r w:rsidRPr="00261E6C">
              <w:rPr>
                <w:sz w:val="22"/>
                <w:szCs w:val="22"/>
                <w:lang w:val="hr-HR"/>
              </w:rPr>
              <w:t>periferni edem</w:t>
            </w:r>
            <w:r w:rsidRPr="00261E6C">
              <w:rPr>
                <w:sz w:val="22"/>
                <w:szCs w:val="22"/>
                <w:vertAlign w:val="superscript"/>
                <w:lang w:val="hr-HR"/>
              </w:rPr>
              <w:t>c</w:t>
            </w:r>
            <w:r w:rsidRPr="00261E6C">
              <w:rPr>
                <w:sz w:val="22"/>
                <w:szCs w:val="22"/>
                <w:lang w:val="sr-Latn-RS" w:bidi="en-US"/>
              </w:rPr>
              <w:t xml:space="preserve"> , drhtavica</w:t>
            </w:r>
          </w:p>
        </w:tc>
      </w:tr>
      <w:tr w:rsidR="002836B4" w:rsidRPr="00C2143B" w:rsidTr="00956FD7">
        <w:trPr>
          <w:trHeight w:val="398"/>
        </w:trPr>
        <w:tc>
          <w:tcPr>
            <w:tcW w:w="9900" w:type="dxa"/>
            <w:gridSpan w:val="2"/>
            <w:tcBorders>
              <w:top w:val="single" w:sz="4" w:space="0" w:color="000000"/>
              <w:left w:val="single" w:sz="4" w:space="0" w:color="000000"/>
              <w:bottom w:val="single" w:sz="4" w:space="0" w:color="000000"/>
              <w:right w:val="single" w:sz="4" w:space="0" w:color="000000"/>
            </w:tcBorders>
            <w:hideMark/>
          </w:tcPr>
          <w:p w:rsidR="002836B4" w:rsidRPr="00261E6C" w:rsidRDefault="002836B4" w:rsidP="00E4155A">
            <w:pPr>
              <w:widowControl w:val="0"/>
              <w:autoSpaceDE w:val="0"/>
              <w:autoSpaceDN w:val="0"/>
              <w:spacing w:before="1"/>
              <w:jc w:val="both"/>
              <w:rPr>
                <w:b/>
                <w:sz w:val="22"/>
                <w:szCs w:val="22"/>
                <w:lang w:val="sr-Latn-RS" w:bidi="en-US"/>
              </w:rPr>
            </w:pPr>
            <w:r w:rsidRPr="00261E6C">
              <w:rPr>
                <w:b/>
                <w:bCs/>
                <w:sz w:val="22"/>
                <w:szCs w:val="22"/>
                <w:lang w:val="sr-Latn-RS" w:bidi="en-US"/>
              </w:rPr>
              <w:t>Laboratorijska ispitivanja</w:t>
            </w:r>
          </w:p>
        </w:tc>
      </w:tr>
      <w:tr w:rsidR="002836B4" w:rsidRPr="00C2143B" w:rsidTr="00D153CE">
        <w:trPr>
          <w:trHeight w:val="397"/>
        </w:trPr>
        <w:tc>
          <w:tcPr>
            <w:tcW w:w="2185" w:type="dxa"/>
            <w:tcBorders>
              <w:top w:val="single" w:sz="4" w:space="0" w:color="000000"/>
              <w:left w:val="single" w:sz="4" w:space="0" w:color="000000"/>
              <w:bottom w:val="single" w:sz="4" w:space="0" w:color="000000"/>
              <w:right w:val="single" w:sz="4" w:space="0" w:color="000000"/>
            </w:tcBorders>
            <w:hideMark/>
          </w:tcPr>
          <w:p w:rsidR="002836B4" w:rsidRPr="00261E6C" w:rsidRDefault="002836B4" w:rsidP="00E4155A">
            <w:pPr>
              <w:widowControl w:val="0"/>
              <w:autoSpaceDE w:val="0"/>
              <w:autoSpaceDN w:val="0"/>
              <w:jc w:val="both"/>
              <w:rPr>
                <w:sz w:val="22"/>
                <w:szCs w:val="22"/>
                <w:lang w:val="sr-Latn-RS" w:bidi="en-US"/>
              </w:rPr>
            </w:pPr>
            <w:r w:rsidRPr="00261E6C">
              <w:rPr>
                <w:sz w:val="22"/>
                <w:szCs w:val="22"/>
                <w:lang w:val="sr-Latn-RS" w:bidi="en-US"/>
              </w:rPr>
              <w:t>Veoma čest</w:t>
            </w:r>
            <w:r w:rsidR="00687D00" w:rsidRPr="00261E6C">
              <w:rPr>
                <w:sz w:val="22"/>
                <w:szCs w:val="22"/>
                <w:lang w:val="sr-Latn-RS" w:bidi="en-US"/>
              </w:rPr>
              <w:t>o</w:t>
            </w:r>
          </w:p>
        </w:tc>
        <w:tc>
          <w:tcPr>
            <w:tcW w:w="7715" w:type="dxa"/>
            <w:tcBorders>
              <w:top w:val="single" w:sz="4" w:space="0" w:color="000000"/>
              <w:left w:val="single" w:sz="4" w:space="0" w:color="000000"/>
              <w:bottom w:val="single" w:sz="4" w:space="0" w:color="000000"/>
              <w:right w:val="single" w:sz="4" w:space="0" w:color="000000"/>
            </w:tcBorders>
            <w:hideMark/>
          </w:tcPr>
          <w:p w:rsidR="002836B4" w:rsidRPr="00261E6C" w:rsidRDefault="002836B4" w:rsidP="00E4155A">
            <w:pPr>
              <w:widowControl w:val="0"/>
              <w:autoSpaceDE w:val="0"/>
              <w:autoSpaceDN w:val="0"/>
              <w:jc w:val="both"/>
              <w:rPr>
                <w:sz w:val="22"/>
                <w:szCs w:val="22"/>
                <w:lang w:val="sr-Latn-RS" w:bidi="en-US"/>
              </w:rPr>
            </w:pPr>
            <w:r w:rsidRPr="00261E6C">
              <w:rPr>
                <w:sz w:val="22"/>
                <w:szCs w:val="22"/>
                <w:lang w:val="sr-Latn-RS" w:bidi="en-US"/>
              </w:rPr>
              <w:t xml:space="preserve">smanjena </w:t>
            </w:r>
            <w:r w:rsidR="00687D00" w:rsidRPr="00261E6C">
              <w:rPr>
                <w:sz w:val="22"/>
                <w:szCs w:val="22"/>
                <w:lang w:val="sr-Latn-RS" w:bidi="en-US"/>
              </w:rPr>
              <w:t>tjelesna masa</w:t>
            </w:r>
          </w:p>
        </w:tc>
      </w:tr>
      <w:tr w:rsidR="002836B4" w:rsidRPr="00C2143B" w:rsidTr="00D153CE">
        <w:trPr>
          <w:trHeight w:val="397"/>
        </w:trPr>
        <w:tc>
          <w:tcPr>
            <w:tcW w:w="2185" w:type="dxa"/>
            <w:tcBorders>
              <w:top w:val="single" w:sz="4" w:space="0" w:color="000000"/>
              <w:left w:val="single" w:sz="4" w:space="0" w:color="000000"/>
              <w:bottom w:val="single" w:sz="4" w:space="0" w:color="000000"/>
              <w:right w:val="single" w:sz="4" w:space="0" w:color="000000"/>
            </w:tcBorders>
            <w:hideMark/>
          </w:tcPr>
          <w:p w:rsidR="002836B4" w:rsidRPr="00261E6C" w:rsidRDefault="002836B4" w:rsidP="00E4155A">
            <w:pPr>
              <w:widowControl w:val="0"/>
              <w:autoSpaceDE w:val="0"/>
              <w:autoSpaceDN w:val="0"/>
              <w:jc w:val="both"/>
              <w:rPr>
                <w:sz w:val="22"/>
                <w:szCs w:val="22"/>
                <w:lang w:val="sr-Latn-RS" w:bidi="en-US"/>
              </w:rPr>
            </w:pPr>
            <w:r w:rsidRPr="00261E6C">
              <w:rPr>
                <w:sz w:val="22"/>
                <w:szCs w:val="22"/>
                <w:lang w:val="sr-Latn-RS" w:bidi="en-US"/>
              </w:rPr>
              <w:t>Čest</w:t>
            </w:r>
            <w:r w:rsidR="00687D00" w:rsidRPr="00261E6C">
              <w:rPr>
                <w:sz w:val="22"/>
                <w:szCs w:val="22"/>
                <w:lang w:val="sr-Latn-RS" w:bidi="en-US"/>
              </w:rPr>
              <w:t>o</w:t>
            </w:r>
          </w:p>
        </w:tc>
        <w:tc>
          <w:tcPr>
            <w:tcW w:w="7715" w:type="dxa"/>
            <w:tcBorders>
              <w:top w:val="single" w:sz="4" w:space="0" w:color="000000"/>
              <w:left w:val="single" w:sz="4" w:space="0" w:color="000000"/>
              <w:bottom w:val="single" w:sz="4" w:space="0" w:color="000000"/>
              <w:right w:val="single" w:sz="4" w:space="0" w:color="000000"/>
            </w:tcBorders>
            <w:hideMark/>
          </w:tcPr>
          <w:p w:rsidR="002836B4" w:rsidRPr="00261E6C" w:rsidRDefault="002836B4" w:rsidP="00E4155A">
            <w:pPr>
              <w:widowControl w:val="0"/>
              <w:autoSpaceDE w:val="0"/>
              <w:autoSpaceDN w:val="0"/>
              <w:jc w:val="both"/>
              <w:rPr>
                <w:sz w:val="22"/>
                <w:szCs w:val="22"/>
                <w:lang w:val="sr-Latn-RS" w:bidi="en-US"/>
              </w:rPr>
            </w:pPr>
            <w:r w:rsidRPr="00261E6C">
              <w:rPr>
                <w:sz w:val="22"/>
                <w:szCs w:val="22"/>
                <w:lang w:val="sr-Latn-RS" w:bidi="en-US"/>
              </w:rPr>
              <w:t>porast transaminaza, povišen nivo lipaza, hipofosfatemija</w:t>
            </w:r>
          </w:p>
        </w:tc>
      </w:tr>
      <w:tr w:rsidR="002836B4" w:rsidRPr="00261E6C" w:rsidTr="00D153CE">
        <w:trPr>
          <w:trHeight w:val="397"/>
        </w:trPr>
        <w:tc>
          <w:tcPr>
            <w:tcW w:w="9900" w:type="dxa"/>
            <w:gridSpan w:val="2"/>
            <w:tcBorders>
              <w:top w:val="single" w:sz="4" w:space="0" w:color="000000"/>
              <w:left w:val="single" w:sz="4" w:space="0" w:color="000000"/>
              <w:bottom w:val="single" w:sz="4" w:space="0" w:color="000000"/>
              <w:right w:val="single" w:sz="4" w:space="0" w:color="000000"/>
            </w:tcBorders>
            <w:hideMark/>
          </w:tcPr>
          <w:p w:rsidR="002836B4" w:rsidRPr="00261E6C" w:rsidRDefault="002836B4" w:rsidP="00E4155A">
            <w:pPr>
              <w:widowControl w:val="0"/>
              <w:autoSpaceDE w:val="0"/>
              <w:autoSpaceDN w:val="0"/>
              <w:jc w:val="both"/>
              <w:rPr>
                <w:b/>
                <w:sz w:val="22"/>
                <w:szCs w:val="22"/>
                <w:lang w:val="sr-Latn-RS" w:bidi="en-US"/>
              </w:rPr>
            </w:pPr>
            <w:r w:rsidRPr="00261E6C">
              <w:rPr>
                <w:b/>
                <w:bCs/>
                <w:sz w:val="22"/>
                <w:szCs w:val="22"/>
                <w:lang w:val="sr-Latn-RS" w:bidi="en-US"/>
              </w:rPr>
              <w:t>Povrede, trovanja i proceduralne komplikacije</w:t>
            </w:r>
          </w:p>
        </w:tc>
      </w:tr>
      <w:tr w:rsidR="002836B4" w:rsidRPr="00C2143B" w:rsidTr="00D153CE">
        <w:trPr>
          <w:trHeight w:val="398"/>
        </w:trPr>
        <w:tc>
          <w:tcPr>
            <w:tcW w:w="2185" w:type="dxa"/>
            <w:tcBorders>
              <w:top w:val="single" w:sz="4" w:space="0" w:color="000000"/>
              <w:left w:val="single" w:sz="4" w:space="0" w:color="000000"/>
              <w:bottom w:val="single" w:sz="4" w:space="0" w:color="000000"/>
              <w:right w:val="single" w:sz="4" w:space="0" w:color="000000"/>
            </w:tcBorders>
            <w:hideMark/>
          </w:tcPr>
          <w:p w:rsidR="002836B4" w:rsidRPr="00261E6C" w:rsidRDefault="002836B4" w:rsidP="00E4155A">
            <w:pPr>
              <w:widowControl w:val="0"/>
              <w:autoSpaceDE w:val="0"/>
              <w:autoSpaceDN w:val="0"/>
              <w:jc w:val="both"/>
              <w:rPr>
                <w:sz w:val="22"/>
                <w:szCs w:val="22"/>
                <w:lang w:val="sr-Latn-RS" w:bidi="en-US"/>
              </w:rPr>
            </w:pPr>
            <w:r w:rsidRPr="00261E6C">
              <w:rPr>
                <w:sz w:val="22"/>
                <w:szCs w:val="22"/>
                <w:lang w:val="sr-Latn-RS" w:bidi="en-US"/>
              </w:rPr>
              <w:t>Veoma čest</w:t>
            </w:r>
            <w:r w:rsidR="00687D00" w:rsidRPr="00261E6C">
              <w:rPr>
                <w:sz w:val="22"/>
                <w:szCs w:val="22"/>
                <w:lang w:val="sr-Latn-RS" w:bidi="en-US"/>
              </w:rPr>
              <w:t>o</w:t>
            </w:r>
          </w:p>
        </w:tc>
        <w:tc>
          <w:tcPr>
            <w:tcW w:w="7715" w:type="dxa"/>
            <w:tcBorders>
              <w:top w:val="single" w:sz="4" w:space="0" w:color="000000"/>
              <w:left w:val="single" w:sz="4" w:space="0" w:color="000000"/>
              <w:bottom w:val="single" w:sz="4" w:space="0" w:color="000000"/>
              <w:right w:val="single" w:sz="4" w:space="0" w:color="000000"/>
            </w:tcBorders>
            <w:hideMark/>
          </w:tcPr>
          <w:p w:rsidR="002836B4" w:rsidRPr="00261E6C" w:rsidRDefault="002836B4" w:rsidP="00E4155A">
            <w:pPr>
              <w:widowControl w:val="0"/>
              <w:autoSpaceDE w:val="0"/>
              <w:autoSpaceDN w:val="0"/>
              <w:jc w:val="both"/>
              <w:rPr>
                <w:sz w:val="22"/>
                <w:szCs w:val="22"/>
                <w:lang w:val="sr-Latn-RS" w:bidi="en-US"/>
              </w:rPr>
            </w:pPr>
            <w:r w:rsidRPr="00261E6C">
              <w:rPr>
                <w:sz w:val="22"/>
                <w:szCs w:val="22"/>
                <w:lang w:val="sr-Latn-RS" w:bidi="en-US"/>
              </w:rPr>
              <w:t>Reakcija povezana sa infuzijom</w:t>
            </w:r>
          </w:p>
        </w:tc>
      </w:tr>
    </w:tbl>
    <w:p w:rsidR="000D64DF" w:rsidRPr="00261E6C" w:rsidRDefault="000D64DF" w:rsidP="00E4155A">
      <w:pPr>
        <w:widowControl w:val="0"/>
        <w:autoSpaceDE w:val="0"/>
        <w:autoSpaceDN w:val="0"/>
        <w:jc w:val="both"/>
        <w:rPr>
          <w:sz w:val="22"/>
          <w:szCs w:val="22"/>
          <w:lang w:val="sr-Latn-RS" w:bidi="en-US"/>
        </w:rPr>
      </w:pPr>
      <w:r w:rsidRPr="00261E6C">
        <w:rPr>
          <w:sz w:val="22"/>
          <w:szCs w:val="22"/>
          <w:vertAlign w:val="superscript"/>
          <w:lang w:val="sr-Latn-RS" w:bidi="en-US"/>
        </w:rPr>
        <w:t xml:space="preserve">a </w:t>
      </w:r>
      <w:r w:rsidRPr="00261E6C">
        <w:rPr>
          <w:sz w:val="22"/>
          <w:szCs w:val="22"/>
          <w:lang w:val="sr-Latn-RS" w:bidi="en-US"/>
        </w:rPr>
        <w:t>neželjena reakcija na lijek povezana sa smrtnim ishodom</w:t>
      </w:r>
    </w:p>
    <w:p w:rsidR="002836B4" w:rsidRPr="00261E6C" w:rsidRDefault="002836B4" w:rsidP="00261E6C">
      <w:pPr>
        <w:keepNext/>
        <w:autoSpaceDE w:val="0"/>
        <w:autoSpaceDN w:val="0"/>
        <w:adjustRightInd w:val="0"/>
        <w:jc w:val="both"/>
        <w:rPr>
          <w:sz w:val="22"/>
          <w:szCs w:val="22"/>
          <w:lang w:val="hr-HR"/>
        </w:rPr>
      </w:pPr>
      <w:r w:rsidRPr="00261E6C">
        <w:rPr>
          <w:sz w:val="22"/>
          <w:szCs w:val="22"/>
          <w:vertAlign w:val="superscript"/>
          <w:lang w:val="hr-HR"/>
        </w:rPr>
        <w:t>b</w:t>
      </w:r>
      <w:r w:rsidRPr="00261E6C">
        <w:rPr>
          <w:sz w:val="22"/>
          <w:szCs w:val="22"/>
          <w:lang w:val="hr-HR"/>
        </w:rPr>
        <w:t xml:space="preserve"> neželjene reakcije zapažene samo kod pacijenata sa relapsnim ili refraktornim DBKL</w:t>
      </w:r>
      <w:r w:rsidRPr="00261E6C">
        <w:rPr>
          <w:sz w:val="22"/>
          <w:szCs w:val="22"/>
          <w:lang w:val="hr-HR"/>
        </w:rPr>
        <w:noBreakHyphen/>
        <w:t>om.</w:t>
      </w:r>
    </w:p>
    <w:p w:rsidR="002836B4" w:rsidRPr="00261E6C" w:rsidRDefault="002836B4" w:rsidP="00261E6C">
      <w:pPr>
        <w:keepNext/>
        <w:autoSpaceDE w:val="0"/>
        <w:autoSpaceDN w:val="0"/>
        <w:adjustRightInd w:val="0"/>
        <w:jc w:val="both"/>
        <w:rPr>
          <w:sz w:val="22"/>
          <w:szCs w:val="22"/>
          <w:lang w:val="hr-HR"/>
        </w:rPr>
      </w:pPr>
      <w:r w:rsidRPr="00261E6C">
        <w:rPr>
          <w:sz w:val="22"/>
          <w:szCs w:val="22"/>
          <w:vertAlign w:val="superscript"/>
          <w:lang w:val="hr-HR"/>
        </w:rPr>
        <w:t>c</w:t>
      </w:r>
      <w:r w:rsidRPr="00261E6C">
        <w:rPr>
          <w:sz w:val="22"/>
          <w:szCs w:val="22"/>
          <w:lang w:val="hr-HR"/>
        </w:rPr>
        <w:t xml:space="preserve"> neželjene reakcije zapažene samo kod pacijenata sa prethodno ne</w:t>
      </w:r>
      <w:r w:rsidR="003C1B7B" w:rsidRPr="00261E6C">
        <w:rPr>
          <w:sz w:val="22"/>
          <w:szCs w:val="22"/>
          <w:lang w:val="hr-HR"/>
        </w:rPr>
        <w:t>liječenim</w:t>
      </w:r>
      <w:r w:rsidRPr="00261E6C">
        <w:rPr>
          <w:sz w:val="22"/>
          <w:szCs w:val="22"/>
          <w:lang w:val="hr-HR"/>
        </w:rPr>
        <w:t xml:space="preserve"> DBKL</w:t>
      </w:r>
      <w:r w:rsidRPr="00261E6C">
        <w:rPr>
          <w:sz w:val="22"/>
          <w:szCs w:val="22"/>
          <w:lang w:val="hr-HR"/>
        </w:rPr>
        <w:noBreakHyphen/>
        <w:t>om.</w:t>
      </w:r>
    </w:p>
    <w:p w:rsidR="002836B4" w:rsidRPr="00261E6C" w:rsidRDefault="002836B4" w:rsidP="00261E6C">
      <w:pPr>
        <w:keepNext/>
        <w:autoSpaceDE w:val="0"/>
        <w:autoSpaceDN w:val="0"/>
        <w:adjustRightInd w:val="0"/>
        <w:jc w:val="both"/>
        <w:rPr>
          <w:noProof/>
          <w:sz w:val="22"/>
          <w:szCs w:val="22"/>
          <w:lang w:val="hr-HR"/>
        </w:rPr>
      </w:pPr>
      <w:r w:rsidRPr="00261E6C">
        <w:rPr>
          <w:sz w:val="22"/>
          <w:szCs w:val="22"/>
          <w:lang w:val="hr-HR"/>
        </w:rPr>
        <w:t>Navedene neželjene reakcije zapažene su i kod pacijenata sa prethodno ne</w:t>
      </w:r>
      <w:r w:rsidR="003C1B7B" w:rsidRPr="00261E6C">
        <w:rPr>
          <w:sz w:val="22"/>
          <w:szCs w:val="22"/>
          <w:lang w:val="hr-HR"/>
        </w:rPr>
        <w:t>liječenim</w:t>
      </w:r>
      <w:r w:rsidRPr="00261E6C">
        <w:rPr>
          <w:sz w:val="22"/>
          <w:szCs w:val="22"/>
          <w:lang w:val="hr-HR"/>
        </w:rPr>
        <w:t xml:space="preserve"> DBKL</w:t>
      </w:r>
      <w:r w:rsidRPr="00261E6C">
        <w:rPr>
          <w:sz w:val="22"/>
          <w:szCs w:val="22"/>
          <w:lang w:val="hr-HR"/>
        </w:rPr>
        <w:noBreakHyphen/>
        <w:t>om i kod onih sa relapsnim ili refraktornim DBKL</w:t>
      </w:r>
      <w:r w:rsidRPr="00261E6C">
        <w:rPr>
          <w:sz w:val="22"/>
          <w:szCs w:val="22"/>
          <w:lang w:val="hr-HR"/>
        </w:rPr>
        <w:noBreakHyphen/>
        <w:t xml:space="preserve">om, osim na </w:t>
      </w:r>
      <w:r w:rsidR="003C1B7B" w:rsidRPr="00261E6C">
        <w:rPr>
          <w:sz w:val="22"/>
          <w:szCs w:val="22"/>
          <w:lang w:val="hr-HR"/>
        </w:rPr>
        <w:t>mjestima</w:t>
      </w:r>
      <w:r w:rsidRPr="00261E6C">
        <w:rPr>
          <w:sz w:val="22"/>
          <w:szCs w:val="22"/>
          <w:lang w:val="hr-HR"/>
        </w:rPr>
        <w:t xml:space="preserve"> </w:t>
      </w:r>
      <w:r w:rsidR="003C1B7B" w:rsidRPr="00261E6C">
        <w:rPr>
          <w:sz w:val="22"/>
          <w:szCs w:val="22"/>
          <w:lang w:val="hr-HR"/>
        </w:rPr>
        <w:t>gdje</w:t>
      </w:r>
      <w:r w:rsidRPr="00261E6C">
        <w:rPr>
          <w:sz w:val="22"/>
          <w:szCs w:val="22"/>
          <w:lang w:val="hr-HR"/>
        </w:rPr>
        <w:t xml:space="preserve"> je to naznačeno fusnotama.</w:t>
      </w:r>
    </w:p>
    <w:p w:rsidR="000D64DF" w:rsidRPr="00261E6C" w:rsidRDefault="002836B4" w:rsidP="00E4155A">
      <w:pPr>
        <w:widowControl w:val="0"/>
        <w:autoSpaceDE w:val="0"/>
        <w:autoSpaceDN w:val="0"/>
        <w:jc w:val="both"/>
        <w:rPr>
          <w:sz w:val="22"/>
          <w:szCs w:val="22"/>
          <w:lang w:val="sr-Latn-RS" w:bidi="en-US"/>
        </w:rPr>
      </w:pPr>
      <w:r w:rsidRPr="00261E6C">
        <w:rPr>
          <w:sz w:val="22"/>
          <w:szCs w:val="22"/>
          <w:lang w:val="sr-Latn-RS" w:bidi="en-US"/>
        </w:rPr>
        <w:t>R</w:t>
      </w:r>
      <w:r w:rsidR="00562DBA" w:rsidRPr="00261E6C">
        <w:rPr>
          <w:sz w:val="22"/>
          <w:szCs w:val="22"/>
          <w:lang w:val="sr-Latn-RS" w:bidi="en-US"/>
        </w:rPr>
        <w:t>ijetk</w:t>
      </w:r>
      <w:r w:rsidR="000D64DF" w:rsidRPr="00261E6C">
        <w:rPr>
          <w:sz w:val="22"/>
          <w:szCs w:val="22"/>
          <w:lang w:val="sr-Latn-RS" w:bidi="en-US"/>
        </w:rPr>
        <w:t xml:space="preserve">e i veoma </w:t>
      </w:r>
      <w:r w:rsidR="00562DBA" w:rsidRPr="00261E6C">
        <w:rPr>
          <w:sz w:val="22"/>
          <w:szCs w:val="22"/>
          <w:lang w:val="sr-Latn-RS" w:bidi="en-US"/>
        </w:rPr>
        <w:t>rijetk</w:t>
      </w:r>
      <w:r w:rsidR="000D64DF" w:rsidRPr="00261E6C">
        <w:rPr>
          <w:sz w:val="22"/>
          <w:szCs w:val="22"/>
          <w:lang w:val="sr-Latn-RS" w:bidi="en-US"/>
        </w:rPr>
        <w:t xml:space="preserve">e neželjene reakcije na </w:t>
      </w:r>
      <w:r w:rsidR="000910FF" w:rsidRPr="00261E6C">
        <w:rPr>
          <w:sz w:val="22"/>
          <w:szCs w:val="22"/>
          <w:lang w:val="sr-Latn-RS" w:bidi="en-US"/>
        </w:rPr>
        <w:t>lijek</w:t>
      </w:r>
      <w:r w:rsidR="000D64DF" w:rsidRPr="00261E6C">
        <w:rPr>
          <w:sz w:val="22"/>
          <w:szCs w:val="22"/>
          <w:lang w:val="sr-Latn-RS" w:bidi="en-US"/>
        </w:rPr>
        <w:t>: nema</w:t>
      </w:r>
    </w:p>
    <w:p w:rsidR="00337A2B" w:rsidRPr="00261E6C" w:rsidRDefault="00337A2B">
      <w:pPr>
        <w:jc w:val="both"/>
        <w:rPr>
          <w:sz w:val="22"/>
          <w:szCs w:val="22"/>
          <w:lang w:val="sr-Latn-RS" w:bidi="en-US"/>
        </w:rPr>
        <w:sectPr w:rsidR="00337A2B" w:rsidRPr="00261E6C" w:rsidSect="004723AA">
          <w:type w:val="continuous"/>
          <w:pgSz w:w="11910" w:h="16840"/>
          <w:pgMar w:top="1300" w:right="820" w:bottom="900" w:left="1200" w:header="0" w:footer="0" w:gutter="0"/>
          <w:cols w:space="720"/>
        </w:sectPr>
      </w:pPr>
    </w:p>
    <w:p w:rsidR="005612C5" w:rsidRPr="00261E6C" w:rsidRDefault="005612C5">
      <w:pPr>
        <w:widowControl w:val="0"/>
        <w:autoSpaceDE w:val="0"/>
        <w:autoSpaceDN w:val="0"/>
        <w:jc w:val="both"/>
        <w:rPr>
          <w:sz w:val="22"/>
          <w:szCs w:val="22"/>
          <w:lang w:val="sr-Latn-RS" w:bidi="en-US"/>
        </w:rPr>
      </w:pPr>
    </w:p>
    <w:p w:rsidR="005612C5" w:rsidRPr="00261E6C" w:rsidRDefault="005612C5">
      <w:pPr>
        <w:widowControl w:val="0"/>
        <w:autoSpaceDE w:val="0"/>
        <w:autoSpaceDN w:val="0"/>
        <w:jc w:val="both"/>
        <w:rPr>
          <w:sz w:val="22"/>
          <w:szCs w:val="22"/>
          <w:lang w:val="sr-Latn-RS" w:bidi="en-US"/>
        </w:rPr>
      </w:pPr>
      <w:r w:rsidRPr="00261E6C">
        <w:rPr>
          <w:sz w:val="22"/>
          <w:szCs w:val="22"/>
          <w:u w:val="single"/>
          <w:lang w:val="sr-Latn-RS" w:bidi="en-US"/>
        </w:rPr>
        <w:t>Opis odabranih neželjenih reakcija na l</w:t>
      </w:r>
      <w:r w:rsidR="00020AEB" w:rsidRPr="00261E6C">
        <w:rPr>
          <w:sz w:val="22"/>
          <w:szCs w:val="22"/>
          <w:u w:val="single"/>
          <w:lang w:val="sr-Latn-RS" w:bidi="en-US"/>
        </w:rPr>
        <w:t>ij</w:t>
      </w:r>
      <w:r w:rsidRPr="00261E6C">
        <w:rPr>
          <w:sz w:val="22"/>
          <w:szCs w:val="22"/>
          <w:u w:val="single"/>
          <w:lang w:val="sr-Latn-RS" w:bidi="en-US"/>
        </w:rPr>
        <w:t>ek</w:t>
      </w:r>
    </w:p>
    <w:p w:rsidR="005612C5" w:rsidRPr="00261E6C" w:rsidRDefault="005612C5">
      <w:pPr>
        <w:widowControl w:val="0"/>
        <w:autoSpaceDE w:val="0"/>
        <w:autoSpaceDN w:val="0"/>
        <w:jc w:val="both"/>
        <w:rPr>
          <w:sz w:val="22"/>
          <w:szCs w:val="22"/>
          <w:lang w:val="sr-Latn-RS" w:bidi="en-US"/>
        </w:rPr>
      </w:pPr>
    </w:p>
    <w:p w:rsidR="002836B4" w:rsidRPr="00261E6C" w:rsidRDefault="005612C5">
      <w:pPr>
        <w:widowControl w:val="0"/>
        <w:autoSpaceDE w:val="0"/>
        <w:autoSpaceDN w:val="0"/>
        <w:jc w:val="both"/>
        <w:rPr>
          <w:i/>
          <w:iCs/>
          <w:sz w:val="22"/>
          <w:szCs w:val="22"/>
          <w:lang w:val="sr-Latn-RS" w:bidi="en-US"/>
        </w:rPr>
      </w:pPr>
      <w:r w:rsidRPr="00261E6C">
        <w:rPr>
          <w:i/>
          <w:iCs/>
          <w:sz w:val="22"/>
          <w:szCs w:val="22"/>
          <w:lang w:val="sr-Latn-RS" w:bidi="en-US"/>
        </w:rPr>
        <w:t>Mijelosupresija</w:t>
      </w:r>
    </w:p>
    <w:p w:rsidR="002836B4" w:rsidRPr="00261E6C" w:rsidRDefault="002836B4">
      <w:pPr>
        <w:jc w:val="both"/>
        <w:rPr>
          <w:sz w:val="22"/>
          <w:szCs w:val="22"/>
          <w:lang w:val="hr-HR"/>
        </w:rPr>
      </w:pPr>
      <w:r w:rsidRPr="00261E6C">
        <w:rPr>
          <w:sz w:val="22"/>
          <w:szCs w:val="22"/>
          <w:lang w:val="hr-HR"/>
        </w:rPr>
        <w:t xml:space="preserve">U placebo kontrolisanom ispitivanju GO39942 (POLARIX) zbog neutropenije je </w:t>
      </w:r>
      <w:r w:rsidR="003C1B7B" w:rsidRPr="00261E6C">
        <w:rPr>
          <w:sz w:val="22"/>
          <w:szCs w:val="22"/>
          <w:lang w:val="hr-HR"/>
        </w:rPr>
        <w:t>liječenje</w:t>
      </w:r>
      <w:r w:rsidRPr="00261E6C">
        <w:rPr>
          <w:sz w:val="22"/>
          <w:szCs w:val="22"/>
          <w:lang w:val="hr-HR"/>
        </w:rPr>
        <w:t xml:space="preserve"> ispitivanom terapijom prekinulo 0,5% pacijenata koji su primali </w:t>
      </w:r>
      <w:r w:rsidR="003C1B7B" w:rsidRPr="00261E6C">
        <w:rPr>
          <w:sz w:val="22"/>
          <w:szCs w:val="22"/>
          <w:lang w:val="hr-HR"/>
        </w:rPr>
        <w:t>lijek</w:t>
      </w:r>
      <w:r w:rsidRPr="00261E6C">
        <w:rPr>
          <w:sz w:val="22"/>
          <w:szCs w:val="22"/>
          <w:lang w:val="hr-HR"/>
        </w:rPr>
        <w:t xml:space="preserve"> Polivy plus R</w:t>
      </w:r>
      <w:r w:rsidRPr="00261E6C">
        <w:rPr>
          <w:sz w:val="22"/>
          <w:szCs w:val="22"/>
          <w:lang w:val="hr-HR"/>
        </w:rPr>
        <w:noBreakHyphen/>
        <w:t>CHP. U grupi koja je primala R</w:t>
      </w:r>
      <w:r w:rsidRPr="00261E6C">
        <w:rPr>
          <w:sz w:val="22"/>
          <w:szCs w:val="22"/>
          <w:lang w:val="hr-HR"/>
        </w:rPr>
        <w:noBreakHyphen/>
        <w:t xml:space="preserve">CHOP nijedan pacijent nije prekinuo </w:t>
      </w:r>
      <w:r w:rsidR="003C1B7B" w:rsidRPr="00261E6C">
        <w:rPr>
          <w:sz w:val="22"/>
          <w:szCs w:val="22"/>
          <w:lang w:val="hr-HR"/>
        </w:rPr>
        <w:t>liječenje</w:t>
      </w:r>
      <w:r w:rsidRPr="00261E6C">
        <w:rPr>
          <w:sz w:val="22"/>
          <w:szCs w:val="22"/>
          <w:lang w:val="hr-HR"/>
        </w:rPr>
        <w:t xml:space="preserve"> ispitivanom terapijom zbog neutropenije. Slučajevi trombocitopenije doveli su do prekida </w:t>
      </w:r>
      <w:r w:rsidR="00E343D0" w:rsidRPr="00261E6C">
        <w:rPr>
          <w:sz w:val="22"/>
          <w:szCs w:val="22"/>
          <w:lang w:val="hr-HR"/>
        </w:rPr>
        <w:t>liječenja</w:t>
      </w:r>
      <w:r w:rsidRPr="00261E6C">
        <w:rPr>
          <w:sz w:val="22"/>
          <w:szCs w:val="22"/>
          <w:lang w:val="hr-HR"/>
        </w:rPr>
        <w:t xml:space="preserve"> ispitivanom terapijom kod 0,2% pacijenata koji su primali </w:t>
      </w:r>
      <w:r w:rsidR="00727A69" w:rsidRPr="00C2143B">
        <w:rPr>
          <w:sz w:val="22"/>
          <w:szCs w:val="22"/>
          <w:lang w:val="hr-HR"/>
        </w:rPr>
        <w:t xml:space="preserve">lijek </w:t>
      </w:r>
      <w:r w:rsidRPr="00261E6C">
        <w:rPr>
          <w:sz w:val="22"/>
          <w:szCs w:val="22"/>
          <w:lang w:val="hr-HR"/>
        </w:rPr>
        <w:t>Polivy plus R</w:t>
      </w:r>
      <w:r w:rsidRPr="00261E6C">
        <w:rPr>
          <w:sz w:val="22"/>
          <w:szCs w:val="22"/>
          <w:lang w:val="hr-HR"/>
        </w:rPr>
        <w:noBreakHyphen/>
        <w:t>CHP, dok u grupi koja je primala R</w:t>
      </w:r>
      <w:r w:rsidRPr="00261E6C">
        <w:rPr>
          <w:sz w:val="22"/>
          <w:szCs w:val="22"/>
          <w:lang w:val="hr-HR"/>
        </w:rPr>
        <w:noBreakHyphen/>
        <w:t>CHOP nije zab</w:t>
      </w:r>
      <w:r w:rsidR="003C1B7B" w:rsidRPr="00261E6C">
        <w:rPr>
          <w:sz w:val="22"/>
          <w:szCs w:val="22"/>
          <w:lang w:val="hr-HR"/>
        </w:rPr>
        <w:t>ilj</w:t>
      </w:r>
      <w:r w:rsidRPr="00261E6C">
        <w:rPr>
          <w:sz w:val="22"/>
          <w:szCs w:val="22"/>
          <w:lang w:val="hr-HR"/>
        </w:rPr>
        <w:t xml:space="preserve">ežen nijedan takav slučaj. Ni u grupi koja je primala </w:t>
      </w:r>
      <w:r w:rsidR="00727A69" w:rsidRPr="00C2143B">
        <w:rPr>
          <w:sz w:val="22"/>
          <w:szCs w:val="22"/>
          <w:lang w:val="hr-HR"/>
        </w:rPr>
        <w:t xml:space="preserve">lijek </w:t>
      </w:r>
      <w:r w:rsidRPr="00261E6C">
        <w:rPr>
          <w:sz w:val="22"/>
          <w:szCs w:val="22"/>
          <w:lang w:val="hr-HR"/>
        </w:rPr>
        <w:t>Polivy plus R</w:t>
      </w:r>
      <w:r w:rsidRPr="00261E6C">
        <w:rPr>
          <w:sz w:val="22"/>
          <w:szCs w:val="22"/>
          <w:lang w:val="hr-HR"/>
        </w:rPr>
        <w:noBreakHyphen/>
        <w:t>CHP ni u onoj koja je primala R</w:t>
      </w:r>
      <w:r w:rsidRPr="00261E6C">
        <w:rPr>
          <w:sz w:val="22"/>
          <w:szCs w:val="22"/>
          <w:lang w:val="hr-HR"/>
        </w:rPr>
        <w:noBreakHyphen/>
        <w:t xml:space="preserve">CHOP nijedan pacijent nije prekinuo </w:t>
      </w:r>
      <w:r w:rsidR="003C1B7B" w:rsidRPr="00261E6C">
        <w:rPr>
          <w:sz w:val="22"/>
          <w:szCs w:val="22"/>
          <w:lang w:val="hr-HR"/>
        </w:rPr>
        <w:t>liječenje</w:t>
      </w:r>
      <w:r w:rsidRPr="00261E6C">
        <w:rPr>
          <w:sz w:val="22"/>
          <w:szCs w:val="22"/>
          <w:lang w:val="hr-HR"/>
        </w:rPr>
        <w:t xml:space="preserve"> zbog anemije.</w:t>
      </w:r>
    </w:p>
    <w:p w:rsidR="002836B4" w:rsidRPr="00261E6C" w:rsidRDefault="002836B4">
      <w:pPr>
        <w:widowControl w:val="0"/>
        <w:autoSpaceDE w:val="0"/>
        <w:autoSpaceDN w:val="0"/>
        <w:jc w:val="both"/>
        <w:rPr>
          <w:i/>
          <w:sz w:val="22"/>
          <w:szCs w:val="22"/>
          <w:lang w:val="hr-HR" w:bidi="en-US"/>
        </w:rPr>
      </w:pPr>
    </w:p>
    <w:p w:rsidR="00687D00" w:rsidRPr="00261E6C" w:rsidRDefault="002836B4">
      <w:pPr>
        <w:widowControl w:val="0"/>
        <w:autoSpaceDE w:val="0"/>
        <w:autoSpaceDN w:val="0"/>
        <w:spacing w:before="1"/>
        <w:jc w:val="both"/>
        <w:rPr>
          <w:sz w:val="22"/>
          <w:szCs w:val="22"/>
          <w:lang w:val="sr-Latn-RS" w:bidi="en-US"/>
        </w:rPr>
      </w:pPr>
      <w:r w:rsidRPr="00261E6C">
        <w:rPr>
          <w:sz w:val="22"/>
          <w:szCs w:val="22"/>
          <w:lang w:val="hr-HR"/>
        </w:rPr>
        <w:t xml:space="preserve">U otvorenom ispitivanju GO29365, </w:t>
      </w:r>
      <w:r w:rsidRPr="00261E6C">
        <w:rPr>
          <w:sz w:val="22"/>
          <w:szCs w:val="22"/>
          <w:lang w:val="sr-Latn-RS" w:bidi="en-US"/>
        </w:rPr>
        <w:t xml:space="preserve">usljed </w:t>
      </w:r>
      <w:r w:rsidR="00687D00" w:rsidRPr="00261E6C">
        <w:rPr>
          <w:sz w:val="22"/>
          <w:szCs w:val="22"/>
          <w:lang w:val="sr-Latn-RS" w:bidi="en-US"/>
        </w:rPr>
        <w:t xml:space="preserve">neutropenije liječenje lijekom Polivy prekinulo je 4% pacijenata u grupi koja je primala lijek Polivy u kombinaciji sa BR u poređenju sa 2,6% pacijenata koji su prekinuli terapiju usljed neutropenije u grupi koja je primala BR. Pojava trombocitopenije dovela je do prekida terapije kod 7,9% pacijenata u grupi koja je primala lijek Polivy u kombinaciji sa BR i 5,1% pacijenata u grupi koja je primala BR. Ni u grupama koje su primale lijek Polivy u kombinaciji sa BR ni u grupi koja je primala BR nije bilo pacijenata </w:t>
      </w:r>
      <w:r w:rsidR="00687D00" w:rsidRPr="00261E6C">
        <w:rPr>
          <w:sz w:val="22"/>
          <w:szCs w:val="22"/>
          <w:lang w:val="sr-Latn-RS" w:bidi="en-US"/>
        </w:rPr>
        <w:lastRenderedPageBreak/>
        <w:t>koji su prestali da primaju terapiju zbog anemije.</w:t>
      </w:r>
    </w:p>
    <w:p w:rsidR="002836B4" w:rsidRPr="00261E6C" w:rsidRDefault="002836B4">
      <w:pPr>
        <w:jc w:val="both"/>
        <w:rPr>
          <w:rFonts w:eastAsia="SimSun"/>
          <w:sz w:val="22"/>
          <w:szCs w:val="22"/>
          <w:lang w:val="hr-HR"/>
        </w:rPr>
      </w:pPr>
      <w:r w:rsidRPr="00261E6C">
        <w:rPr>
          <w:sz w:val="22"/>
          <w:szCs w:val="22"/>
          <w:lang w:val="hr-HR"/>
        </w:rPr>
        <w:t>U grupama koje su primale</w:t>
      </w:r>
      <w:r w:rsidR="00C2143B">
        <w:rPr>
          <w:sz w:val="22"/>
          <w:szCs w:val="22"/>
          <w:lang w:val="hr-HR"/>
        </w:rPr>
        <w:t xml:space="preserve"> lijek</w:t>
      </w:r>
      <w:r w:rsidRPr="00261E6C">
        <w:rPr>
          <w:sz w:val="22"/>
          <w:szCs w:val="22"/>
          <w:lang w:val="hr-HR"/>
        </w:rPr>
        <w:t xml:space="preserve"> Polivy plus BR prijavljen je 3. ili viši </w:t>
      </w:r>
      <w:r w:rsidR="003C1B7B" w:rsidRPr="00261E6C">
        <w:rPr>
          <w:sz w:val="22"/>
          <w:szCs w:val="22"/>
          <w:lang w:val="hr-HR"/>
        </w:rPr>
        <w:t>gradus</w:t>
      </w:r>
      <w:r w:rsidRPr="00261E6C">
        <w:rPr>
          <w:sz w:val="22"/>
          <w:szCs w:val="22"/>
          <w:lang w:val="hr-HR"/>
        </w:rPr>
        <w:t xml:space="preserve"> neutropenije, trombocitopenije i anemije kod 40,4%, 25,8% odnosno 12,6% pacijenata. </w:t>
      </w:r>
    </w:p>
    <w:p w:rsidR="005612C5" w:rsidRPr="00261E6C" w:rsidRDefault="005612C5">
      <w:pPr>
        <w:widowControl w:val="0"/>
        <w:autoSpaceDE w:val="0"/>
        <w:autoSpaceDN w:val="0"/>
        <w:jc w:val="both"/>
        <w:rPr>
          <w:sz w:val="22"/>
          <w:szCs w:val="22"/>
          <w:lang w:val="sr-Latn-RS" w:bidi="en-US"/>
        </w:rPr>
      </w:pPr>
    </w:p>
    <w:p w:rsidR="002836B4" w:rsidRPr="00261E6C" w:rsidRDefault="005612C5">
      <w:pPr>
        <w:widowControl w:val="0"/>
        <w:autoSpaceDE w:val="0"/>
        <w:autoSpaceDN w:val="0"/>
        <w:jc w:val="both"/>
        <w:rPr>
          <w:i/>
          <w:iCs/>
          <w:sz w:val="22"/>
          <w:szCs w:val="22"/>
          <w:lang w:val="sr-Latn-RS" w:bidi="en-US"/>
        </w:rPr>
      </w:pPr>
      <w:r w:rsidRPr="00261E6C">
        <w:rPr>
          <w:i/>
          <w:iCs/>
          <w:sz w:val="22"/>
          <w:szCs w:val="22"/>
          <w:lang w:val="sr-Latn-RS" w:bidi="en-US"/>
        </w:rPr>
        <w:t>Periferna neuropatija</w:t>
      </w:r>
    </w:p>
    <w:p w:rsidR="002836B4" w:rsidRPr="00261E6C" w:rsidRDefault="002836B4">
      <w:pPr>
        <w:keepLines/>
        <w:widowControl w:val="0"/>
        <w:autoSpaceDE w:val="0"/>
        <w:autoSpaceDN w:val="0"/>
        <w:jc w:val="both"/>
        <w:rPr>
          <w:sz w:val="22"/>
          <w:szCs w:val="22"/>
          <w:lang w:val="sr-Latn-RS" w:bidi="en-US"/>
        </w:rPr>
      </w:pPr>
      <w:r w:rsidRPr="00261E6C">
        <w:rPr>
          <w:sz w:val="22"/>
          <w:szCs w:val="22"/>
          <w:lang w:val="hr-HR"/>
        </w:rPr>
        <w:t>U placebo kontrolisanom ispitivanju GO39942 (POLARIX)</w:t>
      </w:r>
      <w:r w:rsidRPr="00261E6C">
        <w:rPr>
          <w:sz w:val="22"/>
          <w:szCs w:val="22"/>
          <w:lang w:val="hr-HR" w:bidi="en-US"/>
        </w:rPr>
        <w:t>, u</w:t>
      </w:r>
      <w:r w:rsidRPr="00261E6C">
        <w:rPr>
          <w:sz w:val="22"/>
          <w:szCs w:val="22"/>
          <w:lang w:val="sr-Latn-RS" w:bidi="en-US"/>
        </w:rPr>
        <w:t xml:space="preserve"> grupama koje su primale </w:t>
      </w:r>
      <w:r w:rsidR="003C1B7B" w:rsidRPr="00261E6C">
        <w:rPr>
          <w:sz w:val="22"/>
          <w:szCs w:val="22"/>
          <w:lang w:val="sr-Latn-RS" w:bidi="en-US"/>
        </w:rPr>
        <w:t>lijek</w:t>
      </w:r>
      <w:r w:rsidRPr="00261E6C">
        <w:rPr>
          <w:sz w:val="22"/>
          <w:szCs w:val="22"/>
          <w:lang w:val="sr-Latn-RS" w:bidi="en-US"/>
        </w:rPr>
        <w:t xml:space="preserve"> Polivy plus R-CHP, </w:t>
      </w:r>
      <w:r w:rsidR="00F55D0F" w:rsidRPr="00261E6C">
        <w:rPr>
          <w:sz w:val="22"/>
          <w:szCs w:val="22"/>
          <w:lang w:val="sr-Latn-RS" w:bidi="en-US"/>
        </w:rPr>
        <w:t>zab</w:t>
      </w:r>
      <w:r w:rsidR="007451DE" w:rsidRPr="00C2143B">
        <w:rPr>
          <w:sz w:val="22"/>
          <w:szCs w:val="22"/>
          <w:lang w:val="sr-Latn-RS" w:bidi="en-US"/>
        </w:rPr>
        <w:t>i</w:t>
      </w:r>
      <w:r w:rsidR="00F55D0F" w:rsidRPr="00261E6C">
        <w:rPr>
          <w:sz w:val="22"/>
          <w:szCs w:val="22"/>
          <w:lang w:val="sr-Latn-RS" w:bidi="en-US"/>
        </w:rPr>
        <w:t>lježena</w:t>
      </w:r>
      <w:r w:rsidRPr="00261E6C">
        <w:rPr>
          <w:sz w:val="22"/>
          <w:szCs w:val="22"/>
          <w:lang w:val="sr-Latn-RS" w:bidi="en-US"/>
        </w:rPr>
        <w:t xml:space="preserve"> je periferna neuropatija </w:t>
      </w:r>
      <w:r w:rsidR="00F55D0F" w:rsidRPr="00261E6C">
        <w:rPr>
          <w:sz w:val="22"/>
          <w:szCs w:val="22"/>
          <w:lang w:val="sr-Latn-RS" w:bidi="en-US"/>
        </w:rPr>
        <w:t>gradus</w:t>
      </w:r>
      <w:r w:rsidRPr="00261E6C">
        <w:rPr>
          <w:sz w:val="22"/>
          <w:szCs w:val="22"/>
          <w:lang w:val="sr-Latn-RS" w:bidi="en-US"/>
        </w:rPr>
        <w:t xml:space="preserve">a 1 kod 39,1%, </w:t>
      </w:r>
      <w:r w:rsidR="00F55D0F" w:rsidRPr="00261E6C">
        <w:rPr>
          <w:sz w:val="22"/>
          <w:szCs w:val="22"/>
          <w:lang w:val="sr-Latn-RS" w:bidi="en-US"/>
        </w:rPr>
        <w:t>gradus</w:t>
      </w:r>
      <w:r w:rsidRPr="00261E6C">
        <w:rPr>
          <w:sz w:val="22"/>
          <w:szCs w:val="22"/>
          <w:lang w:val="sr-Latn-RS" w:bidi="en-US"/>
        </w:rPr>
        <w:t xml:space="preserve">a 2 kod 12,2% i </w:t>
      </w:r>
      <w:r w:rsidR="00F55D0F" w:rsidRPr="00261E6C">
        <w:rPr>
          <w:sz w:val="22"/>
          <w:szCs w:val="22"/>
          <w:lang w:val="sr-Latn-RS" w:bidi="en-US"/>
        </w:rPr>
        <w:t>gradus</w:t>
      </w:r>
      <w:r w:rsidRPr="00261E6C">
        <w:rPr>
          <w:sz w:val="22"/>
          <w:szCs w:val="22"/>
          <w:lang w:val="sr-Latn-RS" w:bidi="en-US"/>
        </w:rPr>
        <w:t xml:space="preserve">a 3 kod 1,6% pacijenata. U grupi koja je primala samo R-CHOP, slučajevi periferne neuropatije </w:t>
      </w:r>
      <w:r w:rsidR="00F55D0F" w:rsidRPr="00261E6C">
        <w:rPr>
          <w:sz w:val="22"/>
          <w:szCs w:val="22"/>
          <w:lang w:val="sr-Latn-RS" w:bidi="en-US"/>
        </w:rPr>
        <w:t>gradusa 1, 2 i 3</w:t>
      </w:r>
      <w:r w:rsidRPr="00261E6C">
        <w:rPr>
          <w:sz w:val="22"/>
          <w:szCs w:val="22"/>
          <w:lang w:val="sr-Latn-RS" w:bidi="en-US"/>
        </w:rPr>
        <w:t xml:space="preserve"> prijavljeni su kod </w:t>
      </w:r>
      <w:r w:rsidR="007451DE" w:rsidRPr="00C2143B">
        <w:rPr>
          <w:sz w:val="22"/>
          <w:szCs w:val="22"/>
          <w:lang w:val="sr-Latn-RS" w:bidi="en-US"/>
        </w:rPr>
        <w:t>3</w:t>
      </w:r>
      <w:r w:rsidRPr="00261E6C">
        <w:rPr>
          <w:sz w:val="22"/>
          <w:szCs w:val="22"/>
          <w:lang w:val="sr-Latn-RS" w:bidi="en-US"/>
        </w:rPr>
        <w:t>7,2%, 15,5% odnosno 1,1% pacijenata.</w:t>
      </w:r>
      <w:r w:rsidRPr="00261E6C">
        <w:rPr>
          <w:sz w:val="22"/>
          <w:szCs w:val="22"/>
          <w:lang w:val="hr-HR"/>
        </w:rPr>
        <w:t xml:space="preserve"> Ni u grupi koja je primala </w:t>
      </w:r>
      <w:r w:rsidR="00C2143B">
        <w:rPr>
          <w:sz w:val="22"/>
          <w:szCs w:val="22"/>
          <w:lang w:val="hr-HR"/>
        </w:rPr>
        <w:t xml:space="preserve">lijek </w:t>
      </w:r>
      <w:r w:rsidRPr="00261E6C">
        <w:rPr>
          <w:sz w:val="22"/>
          <w:szCs w:val="22"/>
          <w:lang w:val="hr-HR"/>
        </w:rPr>
        <w:t>Polivy plus R</w:t>
      </w:r>
      <w:r w:rsidRPr="00261E6C">
        <w:rPr>
          <w:sz w:val="22"/>
          <w:szCs w:val="22"/>
          <w:lang w:val="hr-HR"/>
        </w:rPr>
        <w:noBreakHyphen/>
        <w:t>CHP ni u onoj koja je primala R</w:t>
      </w:r>
      <w:r w:rsidRPr="00261E6C">
        <w:rPr>
          <w:sz w:val="22"/>
          <w:szCs w:val="22"/>
          <w:lang w:val="hr-HR"/>
        </w:rPr>
        <w:noBreakHyphen/>
        <w:t xml:space="preserve">CHOP nije prijavljen nijedan slučaj periferne neuropatije </w:t>
      </w:r>
      <w:r w:rsidR="00F55D0F" w:rsidRPr="00261E6C">
        <w:rPr>
          <w:sz w:val="22"/>
          <w:szCs w:val="22"/>
          <w:lang w:val="hr-HR"/>
        </w:rPr>
        <w:t>gradus</w:t>
      </w:r>
      <w:r w:rsidRPr="00261E6C">
        <w:rPr>
          <w:sz w:val="22"/>
          <w:szCs w:val="22"/>
          <w:lang w:val="hr-HR"/>
        </w:rPr>
        <w:t xml:space="preserve">a 4-5. Zbog periferne neuropatije </w:t>
      </w:r>
      <w:r w:rsidR="003C1B7B" w:rsidRPr="00261E6C">
        <w:rPr>
          <w:sz w:val="22"/>
          <w:szCs w:val="22"/>
          <w:lang w:val="hr-HR"/>
        </w:rPr>
        <w:t>liječenje</w:t>
      </w:r>
      <w:r w:rsidRPr="00261E6C">
        <w:rPr>
          <w:sz w:val="22"/>
          <w:szCs w:val="22"/>
          <w:lang w:val="hr-HR"/>
        </w:rPr>
        <w:t xml:space="preserve"> ispitivanom terapijom je prekinulo 0,7% pacijenata u grupi koja je primala </w:t>
      </w:r>
      <w:r w:rsidR="00C2143B">
        <w:rPr>
          <w:sz w:val="22"/>
          <w:szCs w:val="22"/>
          <w:lang w:val="hr-HR"/>
        </w:rPr>
        <w:t xml:space="preserve">lijek </w:t>
      </w:r>
      <w:r w:rsidRPr="00261E6C">
        <w:rPr>
          <w:sz w:val="22"/>
          <w:szCs w:val="22"/>
          <w:lang w:val="hr-HR"/>
        </w:rPr>
        <w:t>Polivy plus R</w:t>
      </w:r>
      <w:r w:rsidRPr="00261E6C">
        <w:rPr>
          <w:sz w:val="22"/>
          <w:szCs w:val="22"/>
          <w:lang w:val="hr-HR"/>
        </w:rPr>
        <w:noBreakHyphen/>
        <w:t>CHP u odnosu na 2,3% pacijenata u grupi  koji su primali R</w:t>
      </w:r>
      <w:r w:rsidRPr="00261E6C">
        <w:rPr>
          <w:sz w:val="22"/>
          <w:szCs w:val="22"/>
          <w:lang w:val="hr-HR"/>
        </w:rPr>
        <w:noBreakHyphen/>
        <w:t>CHOP.</w:t>
      </w:r>
    </w:p>
    <w:p w:rsidR="002836B4" w:rsidRPr="00261E6C" w:rsidRDefault="002836B4">
      <w:pPr>
        <w:keepLines/>
        <w:widowControl w:val="0"/>
        <w:autoSpaceDE w:val="0"/>
        <w:autoSpaceDN w:val="0"/>
        <w:jc w:val="both"/>
        <w:rPr>
          <w:sz w:val="22"/>
          <w:szCs w:val="22"/>
          <w:lang w:val="hr-HR" w:bidi="en-US"/>
        </w:rPr>
      </w:pPr>
      <w:r w:rsidRPr="00261E6C">
        <w:rPr>
          <w:sz w:val="22"/>
          <w:szCs w:val="22"/>
          <w:lang w:val="hr-HR"/>
        </w:rPr>
        <w:t xml:space="preserve">Zbog periferne neuropatije, doza ispitivane terapije smanjena je kod 4,6% pacijenata u grupi koja je primala </w:t>
      </w:r>
      <w:r w:rsidR="00C2143B">
        <w:rPr>
          <w:sz w:val="22"/>
          <w:szCs w:val="22"/>
          <w:lang w:val="hr-HR"/>
        </w:rPr>
        <w:t xml:space="preserve">lijek </w:t>
      </w:r>
      <w:r w:rsidRPr="00261E6C">
        <w:rPr>
          <w:sz w:val="22"/>
          <w:szCs w:val="22"/>
          <w:lang w:val="hr-HR"/>
        </w:rPr>
        <w:t>Polivy plus R</w:t>
      </w:r>
      <w:r w:rsidRPr="00261E6C">
        <w:rPr>
          <w:sz w:val="22"/>
          <w:szCs w:val="22"/>
          <w:lang w:val="hr-HR"/>
        </w:rPr>
        <w:noBreakHyphen/>
        <w:t>CHP u odnosu na 8,2% onih koji su primali R</w:t>
      </w:r>
      <w:r w:rsidRPr="00261E6C">
        <w:rPr>
          <w:sz w:val="22"/>
          <w:szCs w:val="22"/>
          <w:lang w:val="hr-HR"/>
        </w:rPr>
        <w:noBreakHyphen/>
        <w:t xml:space="preserve">CHOP. Medijana </w:t>
      </w:r>
      <w:r w:rsidR="00B748CC" w:rsidRPr="00261E6C">
        <w:rPr>
          <w:sz w:val="22"/>
          <w:szCs w:val="22"/>
          <w:lang w:val="hr-HR"/>
        </w:rPr>
        <w:t>vreme</w:t>
      </w:r>
      <w:r w:rsidRPr="00261E6C">
        <w:rPr>
          <w:sz w:val="22"/>
          <w:szCs w:val="22"/>
          <w:lang w:val="hr-HR"/>
        </w:rPr>
        <w:t xml:space="preserve">na do prve pojave periferne neuropatije u grupi koja je primala </w:t>
      </w:r>
      <w:r w:rsidR="00C2143B">
        <w:rPr>
          <w:sz w:val="22"/>
          <w:szCs w:val="22"/>
          <w:lang w:val="hr-HR"/>
        </w:rPr>
        <w:t xml:space="preserve">lijek </w:t>
      </w:r>
      <w:r w:rsidRPr="00261E6C">
        <w:rPr>
          <w:sz w:val="22"/>
          <w:szCs w:val="22"/>
          <w:lang w:val="hr-HR"/>
        </w:rPr>
        <w:t>Polivy plus R</w:t>
      </w:r>
      <w:r w:rsidRPr="00261E6C">
        <w:rPr>
          <w:sz w:val="22"/>
          <w:szCs w:val="22"/>
          <w:lang w:val="hr-HR"/>
        </w:rPr>
        <w:noBreakHyphen/>
        <w:t>CHP iznosila je 2,27 </w:t>
      </w:r>
      <w:r w:rsidR="00F55D0F" w:rsidRPr="00261E6C">
        <w:rPr>
          <w:sz w:val="22"/>
          <w:szCs w:val="22"/>
          <w:lang w:val="hr-HR"/>
        </w:rPr>
        <w:t>mjeseci</w:t>
      </w:r>
      <w:r w:rsidRPr="00261E6C">
        <w:rPr>
          <w:sz w:val="22"/>
          <w:szCs w:val="22"/>
          <w:lang w:val="hr-HR"/>
        </w:rPr>
        <w:t xml:space="preserve"> u odnosu na 1,87 </w:t>
      </w:r>
      <w:r w:rsidR="00F55D0F" w:rsidRPr="00261E6C">
        <w:rPr>
          <w:sz w:val="22"/>
          <w:szCs w:val="22"/>
          <w:lang w:val="hr-HR"/>
        </w:rPr>
        <w:t>mjeseci</w:t>
      </w:r>
      <w:r w:rsidRPr="00261E6C">
        <w:rPr>
          <w:sz w:val="22"/>
          <w:szCs w:val="22"/>
          <w:lang w:val="hr-HR"/>
        </w:rPr>
        <w:t xml:space="preserve"> u grupi koja je primala R</w:t>
      </w:r>
      <w:r w:rsidRPr="00261E6C">
        <w:rPr>
          <w:sz w:val="22"/>
          <w:szCs w:val="22"/>
          <w:lang w:val="hr-HR"/>
        </w:rPr>
        <w:noBreakHyphen/>
        <w:t>CHOP. Do krajnjeg datuma prikupljanja kliničkih podataka, periferna neuropatija se povukla kod 57,8% pacijenata u grupi koja je primala</w:t>
      </w:r>
      <w:r w:rsidRPr="00261E6C" w:rsidDel="00582A81">
        <w:rPr>
          <w:sz w:val="22"/>
          <w:szCs w:val="22"/>
          <w:lang w:val="hr-HR"/>
        </w:rPr>
        <w:t xml:space="preserve"> </w:t>
      </w:r>
      <w:r w:rsidR="00C2143B">
        <w:rPr>
          <w:sz w:val="22"/>
          <w:szCs w:val="22"/>
          <w:lang w:val="hr-HR"/>
        </w:rPr>
        <w:t xml:space="preserve">lijek </w:t>
      </w:r>
      <w:r w:rsidRPr="00261E6C">
        <w:rPr>
          <w:sz w:val="22"/>
          <w:szCs w:val="22"/>
          <w:lang w:val="hr-HR"/>
        </w:rPr>
        <w:t>Polivy plus R</w:t>
      </w:r>
      <w:r w:rsidRPr="00261E6C">
        <w:rPr>
          <w:sz w:val="22"/>
          <w:szCs w:val="22"/>
          <w:lang w:val="hr-HR"/>
        </w:rPr>
        <w:noBreakHyphen/>
        <w:t>CHP u odnosu na 66,9% onih koji su primali R</w:t>
      </w:r>
      <w:r w:rsidRPr="00261E6C">
        <w:rPr>
          <w:sz w:val="22"/>
          <w:szCs w:val="22"/>
          <w:lang w:val="hr-HR"/>
        </w:rPr>
        <w:noBreakHyphen/>
        <w:t xml:space="preserve">CHOP. Medijana </w:t>
      </w:r>
      <w:r w:rsidR="00B748CC" w:rsidRPr="00261E6C">
        <w:rPr>
          <w:sz w:val="22"/>
          <w:szCs w:val="22"/>
          <w:lang w:val="hr-HR"/>
        </w:rPr>
        <w:t>vreme</w:t>
      </w:r>
      <w:r w:rsidRPr="00261E6C">
        <w:rPr>
          <w:sz w:val="22"/>
          <w:szCs w:val="22"/>
          <w:lang w:val="hr-HR"/>
        </w:rPr>
        <w:t>na do povlačenja periferne neuropatije iznosila je 4,04 </w:t>
      </w:r>
      <w:r w:rsidR="00F55D0F" w:rsidRPr="00261E6C">
        <w:rPr>
          <w:sz w:val="22"/>
          <w:szCs w:val="22"/>
          <w:lang w:val="hr-HR"/>
        </w:rPr>
        <w:t>mjeseci</w:t>
      </w:r>
      <w:r w:rsidRPr="00261E6C">
        <w:rPr>
          <w:sz w:val="22"/>
          <w:szCs w:val="22"/>
          <w:lang w:val="hr-HR"/>
        </w:rPr>
        <w:t xml:space="preserve"> u grupi koja je primala </w:t>
      </w:r>
      <w:r w:rsidR="00C2143B">
        <w:rPr>
          <w:sz w:val="22"/>
          <w:szCs w:val="22"/>
          <w:lang w:val="hr-HR"/>
        </w:rPr>
        <w:t xml:space="preserve">lijek </w:t>
      </w:r>
      <w:r w:rsidRPr="00261E6C">
        <w:rPr>
          <w:sz w:val="22"/>
          <w:szCs w:val="22"/>
          <w:lang w:val="hr-HR"/>
        </w:rPr>
        <w:t>Polivy plus R</w:t>
      </w:r>
      <w:r w:rsidRPr="00261E6C">
        <w:rPr>
          <w:sz w:val="22"/>
          <w:szCs w:val="22"/>
          <w:lang w:val="hr-HR"/>
        </w:rPr>
        <w:noBreakHyphen/>
        <w:t>CHP, u odnosu na 4,6 </w:t>
      </w:r>
      <w:r w:rsidR="00F55D0F" w:rsidRPr="00261E6C">
        <w:rPr>
          <w:sz w:val="22"/>
          <w:szCs w:val="22"/>
          <w:lang w:val="hr-HR"/>
        </w:rPr>
        <w:t>mjeseci</w:t>
      </w:r>
      <w:r w:rsidRPr="00261E6C">
        <w:rPr>
          <w:sz w:val="22"/>
          <w:szCs w:val="22"/>
          <w:lang w:val="hr-HR"/>
        </w:rPr>
        <w:t xml:space="preserve"> u onoj koja je primala R</w:t>
      </w:r>
      <w:r w:rsidRPr="00261E6C">
        <w:rPr>
          <w:sz w:val="22"/>
          <w:szCs w:val="22"/>
          <w:lang w:val="hr-HR"/>
        </w:rPr>
        <w:noBreakHyphen/>
        <w:t>CHOP.</w:t>
      </w:r>
    </w:p>
    <w:p w:rsidR="002836B4" w:rsidRPr="00261E6C" w:rsidRDefault="002836B4">
      <w:pPr>
        <w:keepLines/>
        <w:widowControl w:val="0"/>
        <w:autoSpaceDE w:val="0"/>
        <w:autoSpaceDN w:val="0"/>
        <w:jc w:val="both"/>
        <w:rPr>
          <w:i/>
          <w:iCs/>
          <w:sz w:val="22"/>
          <w:szCs w:val="22"/>
          <w:lang w:val="sr-Latn-RS" w:bidi="en-US"/>
        </w:rPr>
      </w:pPr>
    </w:p>
    <w:p w:rsidR="005612C5" w:rsidRPr="00261E6C" w:rsidRDefault="002836B4" w:rsidP="00261E6C">
      <w:pPr>
        <w:keepLines/>
        <w:widowControl w:val="0"/>
        <w:autoSpaceDE w:val="0"/>
        <w:autoSpaceDN w:val="0"/>
        <w:jc w:val="both"/>
        <w:rPr>
          <w:sz w:val="22"/>
          <w:szCs w:val="22"/>
          <w:lang w:val="sr-Latn-RS" w:bidi="en-US"/>
        </w:rPr>
      </w:pPr>
      <w:r w:rsidRPr="00261E6C">
        <w:rPr>
          <w:sz w:val="22"/>
          <w:szCs w:val="22"/>
          <w:lang w:val="hr-HR"/>
        </w:rPr>
        <w:t>U otvorenom ispitivanju GO29365, slučajevi periferne neuropatije </w:t>
      </w:r>
      <w:r w:rsidR="00F55D0F" w:rsidRPr="00261E6C">
        <w:rPr>
          <w:sz w:val="22"/>
          <w:szCs w:val="22"/>
          <w:lang w:val="hr-HR"/>
        </w:rPr>
        <w:t>gradus</w:t>
      </w:r>
      <w:r w:rsidRPr="00261E6C">
        <w:rPr>
          <w:sz w:val="22"/>
          <w:szCs w:val="22"/>
          <w:lang w:val="hr-HR"/>
        </w:rPr>
        <w:t xml:space="preserve">a 1 prijavljeni su kod 15,9%, a slučajevi </w:t>
      </w:r>
      <w:r w:rsidR="00F55D0F" w:rsidRPr="00261E6C">
        <w:rPr>
          <w:sz w:val="22"/>
          <w:szCs w:val="22"/>
          <w:lang w:val="hr-HR"/>
        </w:rPr>
        <w:t>gradus</w:t>
      </w:r>
      <w:r w:rsidRPr="00261E6C">
        <w:rPr>
          <w:sz w:val="22"/>
          <w:szCs w:val="22"/>
          <w:lang w:val="hr-HR"/>
        </w:rPr>
        <w:t xml:space="preserve">a 2 kod 12,6% pacijenata u grupi koja je primala </w:t>
      </w:r>
      <w:r w:rsidR="00C2143B">
        <w:rPr>
          <w:sz w:val="22"/>
          <w:szCs w:val="22"/>
          <w:lang w:val="hr-HR"/>
        </w:rPr>
        <w:t xml:space="preserve">lijek </w:t>
      </w:r>
      <w:r w:rsidRPr="00261E6C">
        <w:rPr>
          <w:sz w:val="22"/>
          <w:szCs w:val="22"/>
          <w:lang w:val="hr-HR"/>
        </w:rPr>
        <w:t>Polivy plus BR. U grupi koja je primala samo BR, slučajevi periferne neuropatije </w:t>
      </w:r>
      <w:r w:rsidR="00F55D0F" w:rsidRPr="00261E6C">
        <w:rPr>
          <w:sz w:val="22"/>
          <w:szCs w:val="22"/>
          <w:lang w:val="hr-HR"/>
        </w:rPr>
        <w:t>gradus</w:t>
      </w:r>
      <w:r w:rsidRPr="00261E6C">
        <w:rPr>
          <w:sz w:val="22"/>
          <w:szCs w:val="22"/>
          <w:lang w:val="hr-HR"/>
        </w:rPr>
        <w:t xml:space="preserve">a 1 prijavljeni su kod 2,6%, a slučajevi </w:t>
      </w:r>
      <w:r w:rsidR="00F55D0F" w:rsidRPr="00261E6C">
        <w:rPr>
          <w:sz w:val="22"/>
          <w:szCs w:val="22"/>
          <w:lang w:val="hr-HR"/>
        </w:rPr>
        <w:t>gradus</w:t>
      </w:r>
      <w:r w:rsidRPr="00261E6C">
        <w:rPr>
          <w:sz w:val="22"/>
          <w:szCs w:val="22"/>
          <w:lang w:val="hr-HR"/>
        </w:rPr>
        <w:t>a 2 kod 5,1% pacijenata.</w:t>
      </w:r>
    </w:p>
    <w:p w:rsidR="00696B26" w:rsidRPr="00261E6C" w:rsidRDefault="00696B26">
      <w:pPr>
        <w:keepLines/>
        <w:widowControl w:val="0"/>
        <w:autoSpaceDE w:val="0"/>
        <w:autoSpaceDN w:val="0"/>
        <w:jc w:val="both"/>
        <w:rPr>
          <w:sz w:val="22"/>
          <w:szCs w:val="22"/>
          <w:lang w:val="sr-Latn-RS" w:bidi="en-US"/>
        </w:rPr>
      </w:pPr>
      <w:r w:rsidRPr="00261E6C">
        <w:rPr>
          <w:sz w:val="22"/>
          <w:szCs w:val="22"/>
          <w:lang w:val="sr-Latn-RS" w:bidi="en-US"/>
        </w:rPr>
        <w:t xml:space="preserve">Jedan slučaj periferne neuropatije gradusa 3 zabilježen je u grupama koje su primale lijek Polivy plus BR, dok nijedan takav događaj nije zabilježen u grupi koja je primala samo BR. Ni u grupama koje su primale lijek Polivy u kombinaciji sa BR ni u grupi koja je primala BR </w:t>
      </w:r>
      <w:r w:rsidR="00F17ABA" w:rsidRPr="00261E6C">
        <w:rPr>
          <w:sz w:val="22"/>
          <w:szCs w:val="22"/>
          <w:lang w:val="sr-Latn-RS" w:bidi="en-US"/>
        </w:rPr>
        <w:t>nijesu</w:t>
      </w:r>
      <w:r w:rsidRPr="00261E6C">
        <w:rPr>
          <w:sz w:val="22"/>
          <w:szCs w:val="22"/>
          <w:lang w:val="sr-Latn-RS" w:bidi="en-US"/>
        </w:rPr>
        <w:t xml:space="preserve"> zabilježeni događaji </w:t>
      </w:r>
      <w:r w:rsidR="00F55D0F" w:rsidRPr="00261E6C">
        <w:rPr>
          <w:sz w:val="22"/>
          <w:szCs w:val="22"/>
          <w:lang w:val="sr-Latn-RS" w:bidi="en-US"/>
        </w:rPr>
        <w:t>gradus</w:t>
      </w:r>
      <w:r w:rsidRPr="00261E6C">
        <w:rPr>
          <w:sz w:val="22"/>
          <w:szCs w:val="22"/>
          <w:lang w:val="sr-Latn-RS" w:bidi="en-US"/>
        </w:rPr>
        <w:t>a 4-5.</w:t>
      </w:r>
    </w:p>
    <w:p w:rsidR="00687D00" w:rsidRPr="00261E6C" w:rsidRDefault="00687D00">
      <w:pPr>
        <w:keepLines/>
        <w:widowControl w:val="0"/>
        <w:autoSpaceDE w:val="0"/>
        <w:autoSpaceDN w:val="0"/>
        <w:jc w:val="both"/>
        <w:rPr>
          <w:sz w:val="22"/>
          <w:szCs w:val="22"/>
          <w:lang w:val="sr-Latn-RS" w:bidi="en-US"/>
        </w:rPr>
      </w:pPr>
      <w:r w:rsidRPr="00261E6C">
        <w:rPr>
          <w:sz w:val="22"/>
          <w:szCs w:val="22"/>
          <w:lang w:val="sr-Latn-RS" w:bidi="en-US"/>
        </w:rPr>
        <w:t>Zbog periferne neuropatije terapiju lijekom Polivy trajno je prekinulo 2,6% pacijenata, a kod 2,0% pacijenata zbog periferne neuropatije došlo je do smanjenja doze lijeka Polivy. Ni kod jednog pacijenta iz grupe koja je primala samo BR nije prekinuto liječenje niti je smanjena doza zbog periferne neuropatije. U grupi koja je primala lijek Polivy u kombinaciji sa BR, medijana vremena do prve pojave periferne neuropatije bila je 1,6 mjeseci, a kod 39,1% pacijenata kod kojih se javila periferna neuropatija prijavljeno je povlačenje simptoma</w:t>
      </w:r>
      <w:r w:rsidR="004C7AD6" w:rsidRPr="00C2143B">
        <w:rPr>
          <w:sz w:val="22"/>
          <w:szCs w:val="22"/>
          <w:lang w:val="sr-Latn-RS" w:bidi="en-US"/>
        </w:rPr>
        <w:t>.</w:t>
      </w:r>
    </w:p>
    <w:p w:rsidR="00696B26" w:rsidRPr="00261E6C" w:rsidRDefault="00696B26">
      <w:pPr>
        <w:keepLines/>
        <w:widowControl w:val="0"/>
        <w:autoSpaceDE w:val="0"/>
        <w:autoSpaceDN w:val="0"/>
        <w:jc w:val="both"/>
        <w:rPr>
          <w:sz w:val="22"/>
          <w:szCs w:val="22"/>
          <w:lang w:val="sr-Latn-RS" w:bidi="en-US"/>
        </w:rPr>
      </w:pPr>
    </w:p>
    <w:p w:rsidR="002836B4" w:rsidRPr="00261E6C" w:rsidRDefault="00696B26">
      <w:pPr>
        <w:keepLines/>
        <w:widowControl w:val="0"/>
        <w:autoSpaceDE w:val="0"/>
        <w:autoSpaceDN w:val="0"/>
        <w:jc w:val="both"/>
        <w:rPr>
          <w:i/>
          <w:iCs/>
          <w:sz w:val="22"/>
          <w:szCs w:val="22"/>
          <w:lang w:val="sr-Latn-RS" w:bidi="en-US"/>
        </w:rPr>
      </w:pPr>
      <w:r w:rsidRPr="00261E6C">
        <w:rPr>
          <w:i/>
          <w:iCs/>
          <w:sz w:val="22"/>
          <w:szCs w:val="22"/>
          <w:lang w:val="sr-Latn-RS" w:bidi="en-US"/>
        </w:rPr>
        <w:t>Infekcije</w:t>
      </w:r>
    </w:p>
    <w:p w:rsidR="002836B4" w:rsidRPr="00261E6C" w:rsidRDefault="002836B4">
      <w:pPr>
        <w:jc w:val="both"/>
        <w:rPr>
          <w:color w:val="000000"/>
          <w:sz w:val="22"/>
          <w:szCs w:val="22"/>
          <w:lang w:val="hr-HR"/>
        </w:rPr>
      </w:pPr>
      <w:r w:rsidRPr="00261E6C">
        <w:rPr>
          <w:color w:val="000000"/>
          <w:sz w:val="22"/>
          <w:szCs w:val="22"/>
          <w:lang w:val="hr-HR"/>
        </w:rPr>
        <w:t xml:space="preserve">U placebo kontrolisanom ispitivanju GO39942 (POLARIX) infekcije, uključujući pneumoniju i druge vrste infekcija, prijavljene su kod 49,7% pacijenata koji su primali </w:t>
      </w:r>
      <w:r w:rsidR="00C2143B">
        <w:rPr>
          <w:color w:val="000000"/>
          <w:sz w:val="22"/>
          <w:szCs w:val="22"/>
          <w:lang w:val="hr-HR"/>
        </w:rPr>
        <w:t xml:space="preserve">lijek </w:t>
      </w:r>
      <w:r w:rsidRPr="00261E6C">
        <w:rPr>
          <w:color w:val="000000"/>
          <w:sz w:val="22"/>
          <w:szCs w:val="22"/>
          <w:lang w:val="hr-HR"/>
        </w:rPr>
        <w:t>Polivy plus R</w:t>
      </w:r>
      <w:r w:rsidRPr="00261E6C">
        <w:rPr>
          <w:color w:val="000000"/>
          <w:sz w:val="22"/>
          <w:szCs w:val="22"/>
          <w:lang w:val="hr-HR"/>
        </w:rPr>
        <w:noBreakHyphen/>
        <w:t>CHP i 42,7% onih koji su primali R</w:t>
      </w:r>
      <w:r w:rsidRPr="00261E6C">
        <w:rPr>
          <w:color w:val="000000"/>
          <w:sz w:val="22"/>
          <w:szCs w:val="22"/>
          <w:lang w:val="hr-HR"/>
        </w:rPr>
        <w:noBreakHyphen/>
        <w:t xml:space="preserve">CHOP. Infekcije </w:t>
      </w:r>
      <w:r w:rsidR="00F55D0F" w:rsidRPr="00261E6C">
        <w:rPr>
          <w:color w:val="000000"/>
          <w:sz w:val="22"/>
          <w:szCs w:val="22"/>
          <w:lang w:val="hr-HR"/>
        </w:rPr>
        <w:t>gradus</w:t>
      </w:r>
      <w:r w:rsidRPr="00261E6C">
        <w:rPr>
          <w:color w:val="000000"/>
          <w:sz w:val="22"/>
          <w:szCs w:val="22"/>
          <w:lang w:val="hr-HR"/>
        </w:rPr>
        <w:t xml:space="preserve">a 3-4 javile su se kod 14,0% pacijenata koji su primali </w:t>
      </w:r>
      <w:r w:rsidR="00C2143B">
        <w:rPr>
          <w:color w:val="000000"/>
          <w:sz w:val="22"/>
          <w:szCs w:val="22"/>
          <w:lang w:val="hr-HR"/>
        </w:rPr>
        <w:t xml:space="preserve">lijek </w:t>
      </w:r>
      <w:r w:rsidRPr="00261E6C">
        <w:rPr>
          <w:color w:val="000000"/>
          <w:sz w:val="22"/>
          <w:szCs w:val="22"/>
          <w:lang w:val="hr-HR"/>
        </w:rPr>
        <w:t>Polivy plus R</w:t>
      </w:r>
      <w:r w:rsidRPr="00261E6C">
        <w:rPr>
          <w:color w:val="000000"/>
          <w:sz w:val="22"/>
          <w:szCs w:val="22"/>
          <w:lang w:val="hr-HR"/>
        </w:rPr>
        <w:noBreakHyphen/>
        <w:t>CHP i 11,2% onih koji su primali R</w:t>
      </w:r>
      <w:r w:rsidRPr="00261E6C">
        <w:rPr>
          <w:color w:val="000000"/>
          <w:sz w:val="22"/>
          <w:szCs w:val="22"/>
          <w:lang w:val="hr-HR"/>
        </w:rPr>
        <w:noBreakHyphen/>
        <w:t>CHOP.</w:t>
      </w:r>
      <w:r w:rsidRPr="00261E6C">
        <w:rPr>
          <w:sz w:val="22"/>
          <w:szCs w:val="22"/>
          <w:lang w:val="hr-HR"/>
        </w:rPr>
        <w:t xml:space="preserve"> U grupi koja je primala </w:t>
      </w:r>
      <w:r w:rsidR="00C2143B">
        <w:rPr>
          <w:sz w:val="22"/>
          <w:szCs w:val="22"/>
          <w:lang w:val="hr-HR"/>
        </w:rPr>
        <w:t xml:space="preserve">lijek </w:t>
      </w:r>
      <w:r w:rsidRPr="00261E6C">
        <w:rPr>
          <w:sz w:val="22"/>
          <w:szCs w:val="22"/>
          <w:lang w:val="hr-HR"/>
        </w:rPr>
        <w:t>Polivy plus R</w:t>
      </w:r>
      <w:r w:rsidRPr="00261E6C">
        <w:rPr>
          <w:sz w:val="22"/>
          <w:szCs w:val="22"/>
          <w:lang w:val="hr-HR"/>
        </w:rPr>
        <w:noBreakHyphen/>
        <w:t>CHP ozbiljne infekcije su prijavljene kod 14,0% pacijenata, a infekcije sa smrtnim ishodom kod 1,1% pacijenata. U grupi koja je primala R</w:t>
      </w:r>
      <w:r w:rsidRPr="00261E6C">
        <w:rPr>
          <w:sz w:val="22"/>
          <w:szCs w:val="22"/>
          <w:lang w:val="hr-HR"/>
        </w:rPr>
        <w:noBreakHyphen/>
        <w:t xml:space="preserve">CHOP ozbiljne infekcije su prijavljene kod 10,3% pacijenata, a infekcije sa smrtnim ishodom kod 1,4% pacijenata. </w:t>
      </w:r>
      <w:r w:rsidR="003C1B7B" w:rsidRPr="00261E6C">
        <w:rPr>
          <w:sz w:val="22"/>
          <w:szCs w:val="22"/>
          <w:lang w:val="hr-HR"/>
        </w:rPr>
        <w:t>Liječenje</w:t>
      </w:r>
      <w:r w:rsidRPr="00261E6C">
        <w:rPr>
          <w:sz w:val="22"/>
          <w:szCs w:val="22"/>
          <w:lang w:val="hr-HR"/>
        </w:rPr>
        <w:t xml:space="preserve"> je zbog infekcije prekinulo 7 pacijenata (1,6%) u grupi koja je primala</w:t>
      </w:r>
      <w:r w:rsidR="00C2143B">
        <w:rPr>
          <w:sz w:val="22"/>
          <w:szCs w:val="22"/>
          <w:lang w:val="hr-HR"/>
        </w:rPr>
        <w:t xml:space="preserve"> lijek</w:t>
      </w:r>
      <w:r w:rsidRPr="00261E6C">
        <w:rPr>
          <w:sz w:val="22"/>
          <w:szCs w:val="22"/>
          <w:lang w:val="hr-HR"/>
        </w:rPr>
        <w:t xml:space="preserve"> Polivy plus R</w:t>
      </w:r>
      <w:r w:rsidRPr="00261E6C">
        <w:rPr>
          <w:sz w:val="22"/>
          <w:szCs w:val="22"/>
          <w:lang w:val="hr-HR"/>
        </w:rPr>
        <w:noBreakHyphen/>
        <w:t>CHP, u poređenju sa 10 pacijenata (2,3%) u grupi koja je primala R</w:t>
      </w:r>
      <w:r w:rsidRPr="00261E6C">
        <w:rPr>
          <w:sz w:val="22"/>
          <w:szCs w:val="22"/>
          <w:lang w:val="hr-HR"/>
        </w:rPr>
        <w:noBreakHyphen/>
        <w:t>CHOP.</w:t>
      </w:r>
    </w:p>
    <w:p w:rsidR="002836B4" w:rsidRPr="00261E6C" w:rsidRDefault="002836B4">
      <w:pPr>
        <w:keepLines/>
        <w:widowControl w:val="0"/>
        <w:autoSpaceDE w:val="0"/>
        <w:autoSpaceDN w:val="0"/>
        <w:jc w:val="both"/>
        <w:rPr>
          <w:i/>
          <w:sz w:val="22"/>
          <w:szCs w:val="22"/>
          <w:lang w:val="hr-HR" w:bidi="en-US"/>
        </w:rPr>
      </w:pPr>
    </w:p>
    <w:p w:rsidR="00687D00" w:rsidRPr="00261E6C" w:rsidRDefault="002836B4">
      <w:pPr>
        <w:keepLines/>
        <w:widowControl w:val="0"/>
        <w:autoSpaceDE w:val="0"/>
        <w:autoSpaceDN w:val="0"/>
        <w:jc w:val="both"/>
        <w:rPr>
          <w:i/>
          <w:sz w:val="22"/>
          <w:szCs w:val="22"/>
          <w:lang w:val="sr-Latn-RS" w:bidi="en-US"/>
        </w:rPr>
      </w:pPr>
      <w:r w:rsidRPr="00261E6C">
        <w:rPr>
          <w:color w:val="000000"/>
          <w:sz w:val="22"/>
          <w:szCs w:val="22"/>
          <w:lang w:val="hr-HR"/>
        </w:rPr>
        <w:t>U otvorenom ispitivanju GO29365, i</w:t>
      </w:r>
      <w:r w:rsidR="00696B26" w:rsidRPr="00261E6C">
        <w:rPr>
          <w:sz w:val="22"/>
          <w:szCs w:val="22"/>
          <w:lang w:val="sr-Latn-RS" w:bidi="en-US"/>
        </w:rPr>
        <w:t xml:space="preserve">nfekcije, </w:t>
      </w:r>
      <w:r w:rsidR="00687D00" w:rsidRPr="00261E6C">
        <w:rPr>
          <w:sz w:val="22"/>
          <w:szCs w:val="22"/>
          <w:lang w:val="sr-Latn-RS" w:bidi="en-US"/>
        </w:rPr>
        <w:t>uključujući pneumoniju i druge vrste infekcija zabilježene su kod 48,3% pacijenata u grupama koje su primale lijek Polivy u kombinaciji sa BR i 51,3% pacijenata u grupi koja je primala BR. U grupama koje su primale lijek Polivy u kombinaciji sa BR ozbiljne infekcije su zabilježene kod 27,2% pacijenata, a infekcije sa smrtnim ishodom prijavljene su kod 6,6% pacijenata. U grupi koja je primala BR ozbiljne infekcije su zabilježene kod 30,8% pacijenata, a infekcije sa smrtnim ishodom prijavljene su kod 10,3% pacijenata. Liječenje je zbog infekcije prekinuto kod četiri pacijenta (2,6%) u grupama koje su primale lijek Polivy u kombinaciji sa BR u poređenju sa 2 pacijenta (5,1%) u grupi koja je primala BR.</w:t>
      </w:r>
    </w:p>
    <w:p w:rsidR="005612C5" w:rsidRPr="00261E6C" w:rsidRDefault="005612C5">
      <w:pPr>
        <w:keepLines/>
        <w:widowControl w:val="0"/>
        <w:autoSpaceDE w:val="0"/>
        <w:autoSpaceDN w:val="0"/>
        <w:jc w:val="both"/>
        <w:rPr>
          <w:sz w:val="22"/>
          <w:szCs w:val="22"/>
          <w:lang w:val="sr-Latn-RS" w:bidi="en-US"/>
        </w:rPr>
      </w:pPr>
    </w:p>
    <w:p w:rsidR="002836B4" w:rsidRPr="00261E6C" w:rsidRDefault="005612C5">
      <w:pPr>
        <w:widowControl w:val="0"/>
        <w:autoSpaceDE w:val="0"/>
        <w:autoSpaceDN w:val="0"/>
        <w:jc w:val="both"/>
        <w:rPr>
          <w:i/>
          <w:iCs/>
          <w:sz w:val="22"/>
          <w:szCs w:val="22"/>
          <w:lang w:val="sr-Latn-RS" w:bidi="en-US"/>
        </w:rPr>
      </w:pPr>
      <w:r w:rsidRPr="00261E6C">
        <w:rPr>
          <w:i/>
          <w:iCs/>
          <w:sz w:val="22"/>
          <w:szCs w:val="22"/>
          <w:lang w:val="sr-Latn-RS" w:bidi="en-US"/>
        </w:rPr>
        <w:t>Progresivna multifokalna leukoencefalopatija (PML)</w:t>
      </w:r>
    </w:p>
    <w:p w:rsidR="002836B4" w:rsidRPr="00261E6C" w:rsidRDefault="002836B4" w:rsidP="00261E6C">
      <w:pPr>
        <w:jc w:val="both"/>
        <w:rPr>
          <w:sz w:val="22"/>
          <w:szCs w:val="22"/>
          <w:lang w:val="hr-HR"/>
        </w:rPr>
      </w:pPr>
      <w:r w:rsidRPr="00261E6C">
        <w:rPr>
          <w:sz w:val="22"/>
          <w:szCs w:val="22"/>
          <w:lang w:val="hr-HR"/>
        </w:rPr>
        <w:t>U placebo kontrolisanom ispitivanju GO39942 (POLARIX) nije prijavljen nijedan slučaj PML</w:t>
      </w:r>
      <w:r w:rsidRPr="00261E6C">
        <w:rPr>
          <w:sz w:val="22"/>
          <w:szCs w:val="22"/>
          <w:lang w:val="hr-HR"/>
        </w:rPr>
        <w:noBreakHyphen/>
        <w:t>a.</w:t>
      </w:r>
    </w:p>
    <w:p w:rsidR="002836B4" w:rsidRPr="00261E6C" w:rsidRDefault="002836B4" w:rsidP="00E4155A">
      <w:pPr>
        <w:widowControl w:val="0"/>
        <w:autoSpaceDE w:val="0"/>
        <w:autoSpaceDN w:val="0"/>
        <w:jc w:val="both"/>
        <w:rPr>
          <w:i/>
          <w:sz w:val="22"/>
          <w:szCs w:val="22"/>
          <w:lang w:val="hr-HR" w:bidi="en-US"/>
        </w:rPr>
      </w:pPr>
    </w:p>
    <w:p w:rsidR="00687D00" w:rsidRPr="00261E6C" w:rsidRDefault="002836B4" w:rsidP="00E4155A">
      <w:pPr>
        <w:widowControl w:val="0"/>
        <w:autoSpaceDE w:val="0"/>
        <w:autoSpaceDN w:val="0"/>
        <w:spacing w:before="4"/>
        <w:jc w:val="both"/>
        <w:rPr>
          <w:sz w:val="22"/>
          <w:szCs w:val="22"/>
          <w:lang w:val="sr-Latn-RS" w:bidi="en-US"/>
        </w:rPr>
      </w:pPr>
      <w:r w:rsidRPr="00261E6C">
        <w:rPr>
          <w:sz w:val="22"/>
          <w:szCs w:val="22"/>
          <w:lang w:val="hr-HR"/>
        </w:rPr>
        <w:t xml:space="preserve">U otvorenom ispitivanju GO29365, </w:t>
      </w:r>
      <w:r w:rsidRPr="00261E6C">
        <w:rPr>
          <w:sz w:val="22"/>
          <w:szCs w:val="22"/>
          <w:lang w:val="sr-Latn-RS" w:bidi="en-US"/>
        </w:rPr>
        <w:t>p</w:t>
      </w:r>
      <w:r w:rsidR="005612C5" w:rsidRPr="00261E6C">
        <w:rPr>
          <w:sz w:val="22"/>
          <w:szCs w:val="22"/>
          <w:lang w:val="sr-Latn-RS" w:bidi="en-US"/>
        </w:rPr>
        <w:t xml:space="preserve">rijavljen </w:t>
      </w:r>
      <w:r w:rsidR="00687D00" w:rsidRPr="00261E6C">
        <w:rPr>
          <w:sz w:val="22"/>
          <w:szCs w:val="22"/>
          <w:lang w:val="sr-Latn-RS" w:bidi="en-US"/>
        </w:rPr>
        <w:t xml:space="preserve">je jedan slučaj PML-a sa smrtnim ishodom kod </w:t>
      </w:r>
      <w:r w:rsidR="00A37948" w:rsidRPr="00C2143B">
        <w:rPr>
          <w:sz w:val="22"/>
          <w:szCs w:val="22"/>
          <w:lang w:val="sr-Latn-RS" w:bidi="en-US"/>
        </w:rPr>
        <w:t>pacijenta</w:t>
      </w:r>
      <w:r w:rsidR="00A37948" w:rsidRPr="00261E6C">
        <w:rPr>
          <w:sz w:val="22"/>
          <w:szCs w:val="22"/>
          <w:lang w:val="sr-Latn-RS" w:bidi="en-US"/>
        </w:rPr>
        <w:t xml:space="preserve"> </w:t>
      </w:r>
      <w:r w:rsidR="00687D00" w:rsidRPr="00261E6C">
        <w:rPr>
          <w:sz w:val="22"/>
          <w:szCs w:val="22"/>
          <w:lang w:val="sr-Latn-RS" w:bidi="en-US"/>
        </w:rPr>
        <w:t>liječenog lijekom Polivy u kombinaciji sa bendamustinom i obinutuzumabom. Taj pacijent je prethodno primio tri linije terapije koje su obuhvatale anti-CD20 antitijela.</w:t>
      </w:r>
    </w:p>
    <w:p w:rsidR="005612C5" w:rsidRPr="00261E6C" w:rsidRDefault="005612C5" w:rsidP="00E4155A">
      <w:pPr>
        <w:widowControl w:val="0"/>
        <w:autoSpaceDE w:val="0"/>
        <w:autoSpaceDN w:val="0"/>
        <w:spacing w:before="3"/>
        <w:jc w:val="both"/>
        <w:rPr>
          <w:sz w:val="22"/>
          <w:szCs w:val="22"/>
          <w:lang w:val="sr-Latn-RS" w:bidi="en-US"/>
        </w:rPr>
      </w:pPr>
    </w:p>
    <w:p w:rsidR="005612C5" w:rsidRPr="00261E6C" w:rsidRDefault="005612C5" w:rsidP="00433FEA">
      <w:pPr>
        <w:widowControl w:val="0"/>
        <w:autoSpaceDE w:val="0"/>
        <w:autoSpaceDN w:val="0"/>
        <w:jc w:val="both"/>
        <w:rPr>
          <w:i/>
          <w:iCs/>
          <w:sz w:val="22"/>
          <w:szCs w:val="22"/>
          <w:lang w:val="sr-Latn-RS" w:bidi="en-US"/>
        </w:rPr>
      </w:pPr>
      <w:r w:rsidRPr="00261E6C">
        <w:rPr>
          <w:i/>
          <w:iCs/>
          <w:sz w:val="22"/>
          <w:szCs w:val="22"/>
          <w:lang w:val="sr-Latn-RS" w:bidi="en-US"/>
        </w:rPr>
        <w:lastRenderedPageBreak/>
        <w:t>Hepatotoksičnost</w:t>
      </w:r>
    </w:p>
    <w:p w:rsidR="002836B4" w:rsidRPr="00261E6C" w:rsidRDefault="002836B4" w:rsidP="0015550A">
      <w:pPr>
        <w:jc w:val="both"/>
        <w:rPr>
          <w:sz w:val="22"/>
          <w:szCs w:val="22"/>
          <w:lang w:val="hr-HR"/>
        </w:rPr>
      </w:pPr>
      <w:r w:rsidRPr="00261E6C">
        <w:rPr>
          <w:sz w:val="22"/>
          <w:szCs w:val="22"/>
          <w:lang w:val="hr-HR"/>
        </w:rPr>
        <w:t xml:space="preserve">U placebo kontrolisanom ispitivanju GO39942 (POLARIX), hepatotoksičnost je prijavljena kod 10,6% pacijenata koji su primali </w:t>
      </w:r>
      <w:r w:rsidR="00C2143B">
        <w:rPr>
          <w:sz w:val="22"/>
          <w:szCs w:val="22"/>
          <w:lang w:val="hr-HR"/>
        </w:rPr>
        <w:t xml:space="preserve">lijek </w:t>
      </w:r>
      <w:r w:rsidRPr="00261E6C">
        <w:rPr>
          <w:sz w:val="22"/>
          <w:szCs w:val="22"/>
          <w:lang w:val="hr-HR"/>
        </w:rPr>
        <w:t>Polivy plus R</w:t>
      </w:r>
      <w:r w:rsidRPr="00261E6C">
        <w:rPr>
          <w:sz w:val="22"/>
          <w:szCs w:val="22"/>
          <w:lang w:val="hr-HR"/>
        </w:rPr>
        <w:noBreakHyphen/>
        <w:t>CHP i 7,3% onih koji su primali R</w:t>
      </w:r>
      <w:r w:rsidRPr="00261E6C">
        <w:rPr>
          <w:sz w:val="22"/>
          <w:szCs w:val="22"/>
          <w:lang w:val="hr-HR"/>
        </w:rPr>
        <w:noBreakHyphen/>
        <w:t xml:space="preserve">CHOP. Većina događaja u grupi koja je primala </w:t>
      </w:r>
      <w:r w:rsidR="00C2143B">
        <w:rPr>
          <w:sz w:val="22"/>
          <w:szCs w:val="22"/>
          <w:lang w:val="hr-HR"/>
        </w:rPr>
        <w:t xml:space="preserve">lijek </w:t>
      </w:r>
      <w:r w:rsidRPr="00261E6C">
        <w:rPr>
          <w:sz w:val="22"/>
          <w:szCs w:val="22"/>
          <w:lang w:val="hr-HR"/>
        </w:rPr>
        <w:t>Polivy plus R</w:t>
      </w:r>
      <w:r w:rsidRPr="00261E6C">
        <w:rPr>
          <w:sz w:val="22"/>
          <w:szCs w:val="22"/>
          <w:lang w:val="hr-HR"/>
        </w:rPr>
        <w:noBreakHyphen/>
        <w:t xml:space="preserve">CHP bila je </w:t>
      </w:r>
      <w:r w:rsidR="00F55D0F" w:rsidRPr="00261E6C">
        <w:rPr>
          <w:sz w:val="22"/>
          <w:szCs w:val="22"/>
          <w:lang w:val="hr-HR"/>
        </w:rPr>
        <w:t>gradus</w:t>
      </w:r>
      <w:r w:rsidRPr="00261E6C">
        <w:rPr>
          <w:sz w:val="22"/>
          <w:szCs w:val="22"/>
          <w:lang w:val="hr-HR"/>
        </w:rPr>
        <w:t xml:space="preserve">a 1 ili 2 (8,7%); događaji </w:t>
      </w:r>
      <w:r w:rsidR="00F55D0F" w:rsidRPr="00261E6C">
        <w:rPr>
          <w:sz w:val="22"/>
          <w:szCs w:val="22"/>
          <w:lang w:val="hr-HR"/>
        </w:rPr>
        <w:t>gradus</w:t>
      </w:r>
      <w:r w:rsidRPr="00261E6C">
        <w:rPr>
          <w:sz w:val="22"/>
          <w:szCs w:val="22"/>
          <w:lang w:val="hr-HR"/>
        </w:rPr>
        <w:t>a 3 prijavljeni su kod 1,8% pacijenata. Nije zab</w:t>
      </w:r>
      <w:r w:rsidR="00DE486F" w:rsidRPr="00C2143B">
        <w:rPr>
          <w:sz w:val="22"/>
          <w:szCs w:val="22"/>
          <w:lang w:val="hr-HR"/>
        </w:rPr>
        <w:t>i</w:t>
      </w:r>
      <w:r w:rsidRPr="00261E6C">
        <w:rPr>
          <w:sz w:val="22"/>
          <w:szCs w:val="22"/>
          <w:lang w:val="hr-HR"/>
        </w:rPr>
        <w:t>l</w:t>
      </w:r>
      <w:r w:rsidR="00DE486F" w:rsidRPr="00C2143B">
        <w:rPr>
          <w:sz w:val="22"/>
          <w:szCs w:val="22"/>
          <w:lang w:val="hr-HR"/>
        </w:rPr>
        <w:t>j</w:t>
      </w:r>
      <w:r w:rsidRPr="00261E6C">
        <w:rPr>
          <w:sz w:val="22"/>
          <w:szCs w:val="22"/>
          <w:lang w:val="hr-HR"/>
        </w:rPr>
        <w:t xml:space="preserve">ežen nijedan događaj </w:t>
      </w:r>
      <w:r w:rsidR="00F55D0F" w:rsidRPr="00261E6C">
        <w:rPr>
          <w:sz w:val="22"/>
          <w:szCs w:val="22"/>
          <w:lang w:val="hr-HR"/>
        </w:rPr>
        <w:t>gradus</w:t>
      </w:r>
      <w:r w:rsidRPr="00261E6C">
        <w:rPr>
          <w:sz w:val="22"/>
          <w:szCs w:val="22"/>
          <w:lang w:val="hr-HR"/>
        </w:rPr>
        <w:t>a 4 ili 5. Kod jednog  pacijenta (0,2%) prijavljeni su događaji ozbiljne hepatotoksičnosti, koji su bili reverzibilni.</w:t>
      </w:r>
    </w:p>
    <w:p w:rsidR="002836B4" w:rsidRPr="00261E6C" w:rsidRDefault="002836B4">
      <w:pPr>
        <w:widowControl w:val="0"/>
        <w:autoSpaceDE w:val="0"/>
        <w:autoSpaceDN w:val="0"/>
        <w:jc w:val="both"/>
        <w:rPr>
          <w:i/>
          <w:sz w:val="22"/>
          <w:szCs w:val="22"/>
          <w:lang w:val="hr-HR" w:bidi="en-US"/>
        </w:rPr>
      </w:pPr>
    </w:p>
    <w:p w:rsidR="00687D00" w:rsidRPr="00261E6C" w:rsidRDefault="00687D00">
      <w:pPr>
        <w:widowControl w:val="0"/>
        <w:autoSpaceDE w:val="0"/>
        <w:autoSpaceDN w:val="0"/>
        <w:spacing w:before="3"/>
        <w:jc w:val="both"/>
        <w:rPr>
          <w:sz w:val="22"/>
          <w:szCs w:val="22"/>
          <w:lang w:val="sr-Latn-RS" w:bidi="en-US"/>
        </w:rPr>
      </w:pPr>
      <w:r w:rsidRPr="00261E6C">
        <w:rPr>
          <w:sz w:val="22"/>
          <w:szCs w:val="22"/>
          <w:lang w:val="sr-Latn-RS" w:bidi="en-US"/>
        </w:rPr>
        <w:t>U drugom ispitivanju su zabilježena dva slučaja ozbiljne hepatotoksičnosti (hepatocelularno oštećenje i hepatična steatoza) i oba su bila reverzibilna.</w:t>
      </w:r>
    </w:p>
    <w:p w:rsidR="005612C5" w:rsidRPr="00261E6C" w:rsidRDefault="005612C5">
      <w:pPr>
        <w:widowControl w:val="0"/>
        <w:autoSpaceDE w:val="0"/>
        <w:autoSpaceDN w:val="0"/>
        <w:spacing w:before="10"/>
        <w:jc w:val="both"/>
        <w:rPr>
          <w:sz w:val="22"/>
          <w:szCs w:val="22"/>
          <w:lang w:val="sr-Latn-RS" w:bidi="en-US"/>
        </w:rPr>
      </w:pPr>
    </w:p>
    <w:p w:rsidR="002836B4" w:rsidRPr="00261E6C" w:rsidRDefault="005612C5">
      <w:pPr>
        <w:widowControl w:val="0"/>
        <w:autoSpaceDE w:val="0"/>
        <w:autoSpaceDN w:val="0"/>
        <w:jc w:val="both"/>
        <w:rPr>
          <w:i/>
          <w:iCs/>
          <w:sz w:val="22"/>
          <w:szCs w:val="22"/>
          <w:lang w:val="sr-Latn-RS" w:bidi="en-US"/>
        </w:rPr>
      </w:pPr>
      <w:r w:rsidRPr="00261E6C">
        <w:rPr>
          <w:i/>
          <w:iCs/>
          <w:sz w:val="22"/>
          <w:szCs w:val="22"/>
          <w:lang w:val="sr-Latn-RS" w:bidi="en-US"/>
        </w:rPr>
        <w:t>Gastrointestinalna toksičnost</w:t>
      </w:r>
    </w:p>
    <w:p w:rsidR="002836B4" w:rsidRPr="00261E6C" w:rsidRDefault="002836B4">
      <w:pPr>
        <w:jc w:val="both"/>
        <w:rPr>
          <w:sz w:val="22"/>
          <w:szCs w:val="22"/>
          <w:lang w:val="hr-HR"/>
        </w:rPr>
      </w:pPr>
      <w:r w:rsidRPr="00261E6C">
        <w:rPr>
          <w:sz w:val="22"/>
          <w:szCs w:val="22"/>
          <w:lang w:val="hr-HR"/>
        </w:rPr>
        <w:t xml:space="preserve">U placebo kontrolisanom ispitivanju GO39942 (POLARIX), slučajevi gastrointestinalne toksičnosti prijavljeni su kod 76,1% pacijenata koji su primali </w:t>
      </w:r>
      <w:r w:rsidR="00C2143B">
        <w:rPr>
          <w:sz w:val="22"/>
          <w:szCs w:val="22"/>
          <w:lang w:val="hr-HR"/>
        </w:rPr>
        <w:t xml:space="preserve">lijek </w:t>
      </w:r>
      <w:r w:rsidRPr="00261E6C">
        <w:rPr>
          <w:sz w:val="22"/>
          <w:szCs w:val="22"/>
          <w:lang w:val="hr-HR"/>
        </w:rPr>
        <w:t>Polivy plus R</w:t>
      </w:r>
      <w:r w:rsidRPr="00261E6C">
        <w:rPr>
          <w:sz w:val="22"/>
          <w:szCs w:val="22"/>
          <w:lang w:val="hr-HR"/>
        </w:rPr>
        <w:noBreakHyphen/>
        <w:t>CHP, u poređenju  sa 71,9% onih koji su primali R</w:t>
      </w:r>
      <w:r w:rsidRPr="00261E6C">
        <w:rPr>
          <w:sz w:val="22"/>
          <w:szCs w:val="22"/>
          <w:lang w:val="hr-HR"/>
        </w:rPr>
        <w:noBreakHyphen/>
        <w:t xml:space="preserve">CHOP. Većina događaja bila je </w:t>
      </w:r>
      <w:r w:rsidR="00F55D0F" w:rsidRPr="00261E6C">
        <w:rPr>
          <w:sz w:val="22"/>
          <w:szCs w:val="22"/>
          <w:lang w:val="hr-HR"/>
        </w:rPr>
        <w:t>gradus</w:t>
      </w:r>
      <w:r w:rsidRPr="00261E6C">
        <w:rPr>
          <w:sz w:val="22"/>
          <w:szCs w:val="22"/>
          <w:lang w:val="hr-HR"/>
        </w:rPr>
        <w:t>a 1-2, a događaji ≥ </w:t>
      </w:r>
      <w:r w:rsidR="00F55D0F" w:rsidRPr="00261E6C">
        <w:rPr>
          <w:sz w:val="22"/>
          <w:szCs w:val="22"/>
          <w:lang w:val="hr-HR"/>
        </w:rPr>
        <w:t>gradus</w:t>
      </w:r>
      <w:r w:rsidRPr="00261E6C">
        <w:rPr>
          <w:sz w:val="22"/>
          <w:szCs w:val="22"/>
          <w:lang w:val="hr-HR"/>
        </w:rPr>
        <w:t xml:space="preserve">a 3 prijavljeni su kod 9,7% pacijenata koji su primali </w:t>
      </w:r>
      <w:r w:rsidR="00C2143B">
        <w:rPr>
          <w:sz w:val="22"/>
          <w:szCs w:val="22"/>
          <w:lang w:val="hr-HR"/>
        </w:rPr>
        <w:t xml:space="preserve">lijek </w:t>
      </w:r>
      <w:r w:rsidRPr="00261E6C">
        <w:rPr>
          <w:sz w:val="22"/>
          <w:szCs w:val="22"/>
          <w:lang w:val="hr-HR"/>
        </w:rPr>
        <w:t>Polivy plus R</w:t>
      </w:r>
      <w:r w:rsidRPr="00261E6C">
        <w:rPr>
          <w:sz w:val="22"/>
          <w:szCs w:val="22"/>
          <w:lang w:val="hr-HR"/>
        </w:rPr>
        <w:noBreakHyphen/>
        <w:t>CHP u poređenju sa 8,2% onih koji su primali R</w:t>
      </w:r>
      <w:r w:rsidRPr="00261E6C">
        <w:rPr>
          <w:sz w:val="22"/>
          <w:szCs w:val="22"/>
          <w:lang w:val="hr-HR"/>
        </w:rPr>
        <w:noBreakHyphen/>
        <w:t>CHOP. Najčešći događaji gastrointestinalne toksičnosti bili su mučnina i dijareja.</w:t>
      </w:r>
    </w:p>
    <w:p w:rsidR="002836B4" w:rsidRPr="00261E6C" w:rsidRDefault="002836B4">
      <w:pPr>
        <w:widowControl w:val="0"/>
        <w:autoSpaceDE w:val="0"/>
        <w:autoSpaceDN w:val="0"/>
        <w:jc w:val="both"/>
        <w:rPr>
          <w:i/>
          <w:sz w:val="22"/>
          <w:szCs w:val="22"/>
          <w:lang w:val="hr-HR" w:bidi="en-US"/>
        </w:rPr>
      </w:pPr>
    </w:p>
    <w:p w:rsidR="005612C5" w:rsidRPr="00261E6C" w:rsidRDefault="002836B4">
      <w:pPr>
        <w:keepLines/>
        <w:widowControl w:val="0"/>
        <w:autoSpaceDE w:val="0"/>
        <w:autoSpaceDN w:val="0"/>
        <w:jc w:val="both"/>
        <w:rPr>
          <w:sz w:val="22"/>
          <w:szCs w:val="22"/>
          <w:lang w:val="sr-Latn-RS" w:bidi="en-US"/>
        </w:rPr>
      </w:pPr>
      <w:r w:rsidRPr="00261E6C">
        <w:rPr>
          <w:sz w:val="22"/>
          <w:szCs w:val="22"/>
          <w:lang w:val="hr-HR"/>
        </w:rPr>
        <w:t xml:space="preserve">U otvorenom ispitivanju GO29365 </w:t>
      </w:r>
      <w:r w:rsidRPr="00261E6C">
        <w:rPr>
          <w:sz w:val="22"/>
          <w:szCs w:val="22"/>
          <w:lang w:val="sr-Latn-RS" w:bidi="en-US"/>
        </w:rPr>
        <w:t>d</w:t>
      </w:r>
      <w:r w:rsidR="00696B26" w:rsidRPr="00261E6C">
        <w:rPr>
          <w:sz w:val="22"/>
          <w:szCs w:val="22"/>
          <w:lang w:val="sr-Latn-RS" w:bidi="en-US"/>
        </w:rPr>
        <w:t xml:space="preserve">ogađaji </w:t>
      </w:r>
      <w:r w:rsidR="00687D00" w:rsidRPr="00261E6C">
        <w:rPr>
          <w:sz w:val="22"/>
          <w:szCs w:val="22"/>
          <w:lang w:val="sr-Latn-RS" w:bidi="en-US"/>
        </w:rPr>
        <w:t>gastrointestinalne toksičnosti zabilježeni su kod 72,8% pacijenata u grupama koje su primale lijek Polivy u kombinaciji sa BR</w:t>
      </w:r>
      <w:r w:rsidR="00535DAE" w:rsidRPr="00C2143B">
        <w:rPr>
          <w:sz w:val="22"/>
          <w:szCs w:val="22"/>
          <w:lang w:val="sr-Latn-RS" w:bidi="en-US"/>
        </w:rPr>
        <w:t xml:space="preserve">, u poređenju sa </w:t>
      </w:r>
      <w:r w:rsidR="00687D00" w:rsidRPr="00261E6C">
        <w:rPr>
          <w:sz w:val="22"/>
          <w:szCs w:val="22"/>
          <w:lang w:val="sr-Latn-RS" w:bidi="en-US"/>
        </w:rPr>
        <w:t>66,7% pacijenata u grupi koja je primala BR. Događaji su većinom bili gradusa 1-2, a događaji gradusa 3-4 bili su zabilježeni kod 16,5% pacijenata koji su primali lijek Polivy u kombinaciji sa BR</w:t>
      </w:r>
      <w:r w:rsidR="00535DAE" w:rsidRPr="00C2143B">
        <w:rPr>
          <w:sz w:val="22"/>
          <w:szCs w:val="22"/>
          <w:lang w:val="sr-Latn-RS" w:bidi="en-US"/>
        </w:rPr>
        <w:t>,</w:t>
      </w:r>
      <w:r w:rsidR="00687D00" w:rsidRPr="00261E6C">
        <w:rPr>
          <w:sz w:val="22"/>
          <w:szCs w:val="22"/>
          <w:lang w:val="sr-Latn-RS" w:bidi="en-US"/>
        </w:rPr>
        <w:t xml:space="preserve"> u poređenju sa 12,9% pacijenata u grupi koja je primala BR. Najčešći događaji gastrointestinalne toksičnosti bili su dijareja i mučnina.</w:t>
      </w:r>
    </w:p>
    <w:p w:rsidR="00687D00" w:rsidRPr="00261E6C" w:rsidRDefault="00687D00">
      <w:pPr>
        <w:keepLines/>
        <w:widowControl w:val="0"/>
        <w:autoSpaceDE w:val="0"/>
        <w:autoSpaceDN w:val="0"/>
        <w:jc w:val="both"/>
        <w:rPr>
          <w:b/>
          <w:bCs/>
          <w:sz w:val="22"/>
          <w:szCs w:val="22"/>
          <w:lang w:val="sr-Latn-RS"/>
        </w:rPr>
      </w:pPr>
    </w:p>
    <w:p w:rsidR="00D65F0A" w:rsidRPr="00C2143B" w:rsidRDefault="00D65F0A" w:rsidP="00261E6C">
      <w:pPr>
        <w:spacing w:after="200" w:line="276" w:lineRule="auto"/>
        <w:jc w:val="both"/>
        <w:rPr>
          <w:rFonts w:eastAsia="Calibri"/>
          <w:sz w:val="22"/>
          <w:szCs w:val="22"/>
          <w:u w:val="single"/>
          <w:lang w:val="sr-Latn-RS"/>
        </w:rPr>
      </w:pPr>
      <w:r w:rsidRPr="00C2143B">
        <w:rPr>
          <w:rFonts w:eastAsia="Calibri"/>
          <w:sz w:val="22"/>
          <w:szCs w:val="22"/>
          <w:u w:val="single"/>
          <w:lang w:val="sr-Latn-RS"/>
        </w:rPr>
        <w:t>Prijavljivanje sumnji na neželjena dejstva</w:t>
      </w:r>
    </w:p>
    <w:p w:rsidR="00D65F0A" w:rsidRPr="00C2143B" w:rsidRDefault="00D65F0A" w:rsidP="00E4155A">
      <w:pPr>
        <w:spacing w:after="200"/>
        <w:jc w:val="both"/>
        <w:rPr>
          <w:rFonts w:eastAsia="Calibri"/>
          <w:sz w:val="22"/>
          <w:szCs w:val="22"/>
          <w:lang w:val="sr-Latn-RS"/>
        </w:rPr>
      </w:pPr>
      <w:r w:rsidRPr="00C2143B">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D65F0A" w:rsidRPr="00C2143B" w:rsidRDefault="00D65F0A" w:rsidP="00E4155A">
      <w:pPr>
        <w:pStyle w:val="NoSpacing"/>
        <w:jc w:val="both"/>
        <w:rPr>
          <w:rFonts w:eastAsia="Calibri"/>
          <w:sz w:val="22"/>
          <w:szCs w:val="22"/>
          <w:lang w:val="sr-Latn-RS"/>
        </w:rPr>
      </w:pPr>
      <w:r w:rsidRPr="00C2143B">
        <w:rPr>
          <w:rFonts w:eastAsia="Calibri"/>
          <w:sz w:val="22"/>
          <w:szCs w:val="22"/>
          <w:lang w:val="sr-Latn-RS"/>
        </w:rPr>
        <w:t xml:space="preserve">Institut za ljekove i medicinska sredstva </w:t>
      </w:r>
    </w:p>
    <w:p w:rsidR="00D65F0A" w:rsidRPr="00C2143B" w:rsidRDefault="00D65F0A" w:rsidP="00E4155A">
      <w:pPr>
        <w:pStyle w:val="NoSpacing"/>
        <w:jc w:val="both"/>
        <w:rPr>
          <w:rFonts w:eastAsia="Calibri"/>
          <w:sz w:val="22"/>
          <w:szCs w:val="22"/>
          <w:lang w:val="sr-Latn-RS"/>
        </w:rPr>
      </w:pPr>
      <w:r w:rsidRPr="00C2143B">
        <w:rPr>
          <w:rFonts w:eastAsia="Calibri"/>
          <w:sz w:val="22"/>
          <w:szCs w:val="22"/>
          <w:lang w:val="sr-Latn-RS"/>
        </w:rPr>
        <w:t>Odjeljenje za farmakovigilancu</w:t>
      </w:r>
    </w:p>
    <w:p w:rsidR="00D65F0A" w:rsidRPr="00C2143B" w:rsidRDefault="00D65F0A" w:rsidP="00433FEA">
      <w:pPr>
        <w:pStyle w:val="NoSpacing"/>
        <w:jc w:val="both"/>
        <w:rPr>
          <w:rFonts w:eastAsia="Calibri"/>
          <w:sz w:val="22"/>
          <w:szCs w:val="22"/>
          <w:lang w:val="sr-Latn-RS"/>
        </w:rPr>
      </w:pPr>
      <w:r w:rsidRPr="00C2143B">
        <w:rPr>
          <w:rFonts w:eastAsia="Calibri"/>
          <w:sz w:val="22"/>
          <w:szCs w:val="22"/>
          <w:lang w:val="sr-Latn-RS"/>
        </w:rPr>
        <w:t>Bulevar Ivana Crnojevića 64a, 81000 Podgorica</w:t>
      </w:r>
    </w:p>
    <w:p w:rsidR="00D65F0A" w:rsidRPr="00C2143B" w:rsidRDefault="00D65F0A" w:rsidP="00261E6C">
      <w:pPr>
        <w:pStyle w:val="NoSpacing"/>
        <w:jc w:val="both"/>
        <w:rPr>
          <w:rFonts w:eastAsia="Calibri"/>
          <w:sz w:val="22"/>
          <w:szCs w:val="22"/>
          <w:lang w:val="sr-Latn-RS"/>
        </w:rPr>
      </w:pPr>
    </w:p>
    <w:p w:rsidR="00D65F0A" w:rsidRPr="00C2143B" w:rsidRDefault="00D65F0A" w:rsidP="00E4155A">
      <w:pPr>
        <w:pStyle w:val="NoSpacing"/>
        <w:jc w:val="both"/>
        <w:rPr>
          <w:rFonts w:eastAsia="Calibri"/>
          <w:sz w:val="22"/>
          <w:szCs w:val="22"/>
          <w:lang w:val="sr-Latn-RS"/>
        </w:rPr>
      </w:pPr>
      <w:r w:rsidRPr="00C2143B">
        <w:rPr>
          <w:rFonts w:eastAsia="Calibri"/>
          <w:sz w:val="22"/>
          <w:szCs w:val="22"/>
          <w:lang w:val="sr-Latn-RS"/>
        </w:rPr>
        <w:t>tel: +382 (0) 20 310 280</w:t>
      </w:r>
    </w:p>
    <w:p w:rsidR="00D65F0A" w:rsidRPr="00C2143B" w:rsidRDefault="00D65F0A" w:rsidP="00E4155A">
      <w:pPr>
        <w:pStyle w:val="NoSpacing"/>
        <w:jc w:val="both"/>
        <w:rPr>
          <w:rFonts w:eastAsia="Calibri"/>
          <w:sz w:val="22"/>
          <w:szCs w:val="22"/>
          <w:lang w:val="sr-Latn-RS"/>
        </w:rPr>
      </w:pPr>
      <w:r w:rsidRPr="00C2143B">
        <w:rPr>
          <w:rFonts w:eastAsia="Calibri"/>
          <w:sz w:val="22"/>
          <w:szCs w:val="22"/>
          <w:lang w:val="sr-Latn-RS"/>
        </w:rPr>
        <w:t>fax: +382 (0) 20 310 581</w:t>
      </w:r>
    </w:p>
    <w:p w:rsidR="00D65F0A" w:rsidRPr="00C2143B" w:rsidRDefault="00215804" w:rsidP="00E4155A">
      <w:pPr>
        <w:pStyle w:val="NoSpacing"/>
        <w:jc w:val="both"/>
        <w:rPr>
          <w:rFonts w:eastAsia="Calibri"/>
          <w:sz w:val="22"/>
          <w:szCs w:val="22"/>
          <w:lang w:val="sr-Latn-RS"/>
        </w:rPr>
      </w:pPr>
      <w:hyperlink r:id="rId10" w:history="1">
        <w:r w:rsidR="00D65F0A" w:rsidRPr="00C2143B">
          <w:rPr>
            <w:rStyle w:val="Hyperlink"/>
            <w:rFonts w:eastAsia="Calibri"/>
            <w:sz w:val="22"/>
            <w:szCs w:val="22"/>
            <w:lang w:val="sr-Latn-RS"/>
          </w:rPr>
          <w:t>www.cinmed.me</w:t>
        </w:r>
      </w:hyperlink>
    </w:p>
    <w:p w:rsidR="00D65F0A" w:rsidRPr="00C2143B" w:rsidRDefault="00215804" w:rsidP="00E4155A">
      <w:pPr>
        <w:pStyle w:val="NoSpacing"/>
        <w:jc w:val="both"/>
        <w:rPr>
          <w:rFonts w:eastAsia="Calibri"/>
          <w:color w:val="0000FF"/>
          <w:sz w:val="22"/>
          <w:szCs w:val="22"/>
          <w:u w:val="single"/>
          <w:lang w:val="sr-Latn-RS"/>
        </w:rPr>
      </w:pPr>
      <w:hyperlink r:id="rId11" w:history="1">
        <w:r w:rsidR="00D65F0A" w:rsidRPr="00C2143B">
          <w:rPr>
            <w:rStyle w:val="Hyperlink"/>
            <w:rFonts w:eastAsia="Calibri"/>
            <w:sz w:val="22"/>
            <w:szCs w:val="22"/>
            <w:lang w:val="sr-Latn-RS"/>
          </w:rPr>
          <w:t>nezeljenadejstva@cinmed.me</w:t>
        </w:r>
      </w:hyperlink>
    </w:p>
    <w:p w:rsidR="00D65F0A" w:rsidRPr="00C2143B" w:rsidRDefault="00D65F0A" w:rsidP="00433FEA">
      <w:pPr>
        <w:pStyle w:val="NoSpacing"/>
        <w:jc w:val="both"/>
        <w:rPr>
          <w:rFonts w:eastAsia="Calibri"/>
          <w:sz w:val="22"/>
          <w:szCs w:val="22"/>
          <w:lang w:val="sr-Latn-RS"/>
        </w:rPr>
      </w:pPr>
      <w:r w:rsidRPr="00C2143B">
        <w:rPr>
          <w:rFonts w:eastAsia="Calibri"/>
          <w:sz w:val="22"/>
          <w:szCs w:val="22"/>
          <w:lang w:val="sr-Latn-RS"/>
        </w:rPr>
        <w:t>putem IS zdravstvene zaštite</w:t>
      </w:r>
    </w:p>
    <w:p w:rsidR="00836B35" w:rsidRPr="00261E6C" w:rsidRDefault="00836B35" w:rsidP="0015550A">
      <w:pPr>
        <w:tabs>
          <w:tab w:val="left" w:pos="540"/>
          <w:tab w:val="left" w:pos="569"/>
        </w:tabs>
        <w:jc w:val="both"/>
        <w:rPr>
          <w:b/>
          <w:bCs/>
          <w:sz w:val="22"/>
          <w:szCs w:val="22"/>
          <w:lang w:val="sr-Latn-RS"/>
        </w:rPr>
      </w:pPr>
    </w:p>
    <w:p w:rsidR="00CD6F02" w:rsidRPr="00261E6C" w:rsidRDefault="0072020E">
      <w:pPr>
        <w:tabs>
          <w:tab w:val="left" w:pos="540"/>
          <w:tab w:val="left" w:pos="569"/>
        </w:tabs>
        <w:jc w:val="both"/>
        <w:rPr>
          <w:b/>
          <w:bCs/>
          <w:sz w:val="22"/>
          <w:szCs w:val="22"/>
          <w:lang w:val="sr-Latn-RS"/>
        </w:rPr>
      </w:pPr>
      <w:r w:rsidRPr="00261E6C">
        <w:rPr>
          <w:b/>
          <w:bCs/>
          <w:sz w:val="22"/>
          <w:szCs w:val="22"/>
          <w:lang w:val="sr-Latn-RS"/>
        </w:rPr>
        <w:t xml:space="preserve">4.9. </w:t>
      </w:r>
      <w:r w:rsidR="00480FB1" w:rsidRPr="00261E6C">
        <w:rPr>
          <w:b/>
          <w:bCs/>
          <w:sz w:val="22"/>
          <w:szCs w:val="22"/>
          <w:lang w:val="sr-Latn-RS"/>
        </w:rPr>
        <w:tab/>
      </w:r>
      <w:r w:rsidRPr="00261E6C">
        <w:rPr>
          <w:b/>
          <w:bCs/>
          <w:sz w:val="22"/>
          <w:szCs w:val="22"/>
          <w:lang w:val="sr-Latn-RS"/>
        </w:rPr>
        <w:t>Predoziranje</w:t>
      </w:r>
      <w:r w:rsidR="002846DB" w:rsidRPr="00261E6C">
        <w:rPr>
          <w:b/>
          <w:bCs/>
          <w:sz w:val="22"/>
          <w:szCs w:val="22"/>
          <w:lang w:val="sr-Latn-RS"/>
        </w:rPr>
        <w:t xml:space="preserve"> </w:t>
      </w:r>
    </w:p>
    <w:p w:rsidR="00CD6F02" w:rsidRPr="00261E6C" w:rsidRDefault="00CD6F02">
      <w:pPr>
        <w:tabs>
          <w:tab w:val="left" w:pos="540"/>
          <w:tab w:val="left" w:pos="569"/>
        </w:tabs>
        <w:jc w:val="both"/>
        <w:rPr>
          <w:b/>
          <w:bCs/>
          <w:sz w:val="22"/>
          <w:szCs w:val="22"/>
          <w:lang w:val="sr-Latn-RS"/>
        </w:rPr>
      </w:pPr>
    </w:p>
    <w:p w:rsidR="00687D00" w:rsidRPr="00261E6C" w:rsidRDefault="00687D00">
      <w:pPr>
        <w:pStyle w:val="BodyText"/>
        <w:jc w:val="both"/>
        <w:rPr>
          <w:lang w:val="sr-Latn-RS"/>
        </w:rPr>
      </w:pPr>
      <w:r w:rsidRPr="00261E6C">
        <w:rPr>
          <w:lang w:val="sr-Latn-RS"/>
        </w:rPr>
        <w:t>N</w:t>
      </w:r>
      <w:r w:rsidR="0068393E" w:rsidRPr="00C2143B">
        <w:rPr>
          <w:lang w:val="sr-Latn-RS"/>
        </w:rPr>
        <w:t>ijesu zabilježeni slučajevi</w:t>
      </w:r>
      <w:r w:rsidRPr="00261E6C">
        <w:rPr>
          <w:lang w:val="sr-Latn-RS"/>
        </w:rPr>
        <w:t xml:space="preserve"> predozira</w:t>
      </w:r>
      <w:r w:rsidR="0068393E" w:rsidRPr="00C2143B">
        <w:rPr>
          <w:lang w:val="sr-Latn-RS"/>
        </w:rPr>
        <w:t>nja</w:t>
      </w:r>
      <w:r w:rsidRPr="00261E6C">
        <w:rPr>
          <w:lang w:val="sr-Latn-RS"/>
        </w:rPr>
        <w:t xml:space="preserve"> u kliničkim ispitivanjima kod ljudi. Najveća doza do sada je 2,4 mg/kg koja je data kao intravenska infuzija; bila je povezana sa većom učestalošću i težinom događaja periferne neuropatije. Pacijentima kod kojih se javi predoziranje treba odmah prekinuti infuziju i treba ih pažljivo pratiti.</w:t>
      </w:r>
    </w:p>
    <w:p w:rsidR="00687D00" w:rsidRPr="00261E6C" w:rsidRDefault="00687D00">
      <w:pPr>
        <w:tabs>
          <w:tab w:val="left" w:pos="540"/>
          <w:tab w:val="left" w:pos="569"/>
        </w:tabs>
        <w:jc w:val="both"/>
        <w:rPr>
          <w:b/>
          <w:bCs/>
          <w:sz w:val="22"/>
          <w:szCs w:val="22"/>
          <w:lang w:val="sr-Latn-RS"/>
        </w:rPr>
      </w:pPr>
    </w:p>
    <w:p w:rsidR="00687D00" w:rsidRPr="00261E6C" w:rsidRDefault="00687D00">
      <w:pPr>
        <w:tabs>
          <w:tab w:val="left" w:pos="540"/>
          <w:tab w:val="left" w:pos="569"/>
        </w:tabs>
        <w:jc w:val="both"/>
        <w:rPr>
          <w:b/>
          <w:bCs/>
          <w:sz w:val="22"/>
          <w:szCs w:val="22"/>
          <w:lang w:val="sr-Latn-RS"/>
        </w:rPr>
      </w:pPr>
      <w:r w:rsidRPr="00261E6C">
        <w:rPr>
          <w:b/>
          <w:bCs/>
          <w:sz w:val="22"/>
          <w:szCs w:val="22"/>
          <w:lang w:val="sr-Latn-RS"/>
        </w:rPr>
        <w:t xml:space="preserve">5. </w:t>
      </w:r>
      <w:r w:rsidRPr="00261E6C">
        <w:rPr>
          <w:b/>
          <w:bCs/>
          <w:sz w:val="22"/>
          <w:szCs w:val="22"/>
          <w:lang w:val="sr-Latn-RS"/>
        </w:rPr>
        <w:tab/>
        <w:t>FARMAKOLOŠKI PODACI</w:t>
      </w:r>
    </w:p>
    <w:p w:rsidR="00687D00" w:rsidRPr="00261E6C" w:rsidRDefault="00687D00">
      <w:pPr>
        <w:tabs>
          <w:tab w:val="left" w:pos="540"/>
          <w:tab w:val="left" w:pos="569"/>
        </w:tabs>
        <w:jc w:val="both"/>
        <w:rPr>
          <w:b/>
          <w:bCs/>
          <w:sz w:val="22"/>
          <w:szCs w:val="22"/>
          <w:lang w:val="sr-Latn-RS"/>
        </w:rPr>
      </w:pPr>
    </w:p>
    <w:p w:rsidR="00687D00" w:rsidRPr="00261E6C" w:rsidRDefault="00687D00">
      <w:pPr>
        <w:tabs>
          <w:tab w:val="left" w:pos="540"/>
          <w:tab w:val="left" w:pos="569"/>
        </w:tabs>
        <w:jc w:val="both"/>
        <w:rPr>
          <w:b/>
          <w:bCs/>
          <w:sz w:val="22"/>
          <w:szCs w:val="22"/>
          <w:lang w:val="sr-Latn-RS"/>
        </w:rPr>
      </w:pPr>
      <w:r w:rsidRPr="00261E6C">
        <w:rPr>
          <w:b/>
          <w:bCs/>
          <w:sz w:val="22"/>
          <w:szCs w:val="22"/>
          <w:lang w:val="sr-Latn-RS"/>
        </w:rPr>
        <w:t xml:space="preserve">5.1. </w:t>
      </w:r>
      <w:r w:rsidRPr="00261E6C">
        <w:rPr>
          <w:b/>
          <w:bCs/>
          <w:sz w:val="22"/>
          <w:szCs w:val="22"/>
          <w:lang w:val="sr-Latn-RS"/>
        </w:rPr>
        <w:tab/>
        <w:t xml:space="preserve">Farmakodinamski podaci </w:t>
      </w:r>
    </w:p>
    <w:p w:rsidR="00687D00" w:rsidRPr="00261E6C" w:rsidRDefault="00687D00">
      <w:pPr>
        <w:tabs>
          <w:tab w:val="left" w:pos="540"/>
          <w:tab w:val="left" w:pos="569"/>
        </w:tabs>
        <w:jc w:val="both"/>
        <w:rPr>
          <w:b/>
          <w:bCs/>
          <w:sz w:val="22"/>
          <w:szCs w:val="22"/>
          <w:lang w:val="sr-Latn-RS"/>
        </w:rPr>
      </w:pPr>
    </w:p>
    <w:p w:rsidR="00687D00" w:rsidRPr="00261E6C" w:rsidRDefault="00687D00">
      <w:pPr>
        <w:pStyle w:val="BodyText"/>
        <w:jc w:val="both"/>
        <w:rPr>
          <w:lang w:val="sr-Latn-RS"/>
        </w:rPr>
      </w:pPr>
      <w:r w:rsidRPr="00261E6C">
        <w:rPr>
          <w:bCs/>
          <w:lang w:val="sr-Latn-RS"/>
        </w:rPr>
        <w:t xml:space="preserve">Farmakoterapijska grupa: </w:t>
      </w:r>
      <w:r w:rsidRPr="00261E6C">
        <w:rPr>
          <w:lang w:val="sr-Latn-RS"/>
        </w:rPr>
        <w:t xml:space="preserve">antineoplastici; ostali antineoplastici; monoklonska antitijela </w:t>
      </w:r>
    </w:p>
    <w:p w:rsidR="0072020E" w:rsidRPr="00261E6C" w:rsidRDefault="0072020E">
      <w:pPr>
        <w:tabs>
          <w:tab w:val="left" w:pos="540"/>
          <w:tab w:val="left" w:pos="569"/>
        </w:tabs>
        <w:jc w:val="both"/>
        <w:rPr>
          <w:bCs/>
          <w:sz w:val="22"/>
          <w:szCs w:val="22"/>
          <w:lang w:val="sr-Latn-RS"/>
        </w:rPr>
      </w:pPr>
    </w:p>
    <w:p w:rsidR="005612C5" w:rsidRPr="00C2143B" w:rsidRDefault="0072020E">
      <w:pPr>
        <w:jc w:val="both"/>
        <w:rPr>
          <w:sz w:val="22"/>
          <w:szCs w:val="22"/>
          <w:lang w:val="sr-Latn-RS"/>
        </w:rPr>
      </w:pPr>
      <w:r w:rsidRPr="00261E6C">
        <w:rPr>
          <w:bCs/>
          <w:sz w:val="22"/>
          <w:szCs w:val="22"/>
          <w:lang w:val="sr-Latn-RS"/>
        </w:rPr>
        <w:t>ATC kod:</w:t>
      </w:r>
      <w:r w:rsidR="005612C5" w:rsidRPr="00261E6C">
        <w:rPr>
          <w:bCs/>
          <w:sz w:val="22"/>
          <w:szCs w:val="22"/>
          <w:lang w:val="sr-Latn-RS"/>
        </w:rPr>
        <w:t xml:space="preserve"> </w:t>
      </w:r>
      <w:r w:rsidR="002836B4" w:rsidRPr="00261E6C">
        <w:rPr>
          <w:sz w:val="22"/>
          <w:szCs w:val="22"/>
          <w:lang w:val="sr-Latn-RS"/>
        </w:rPr>
        <w:t>L01FX14</w:t>
      </w:r>
    </w:p>
    <w:p w:rsidR="00704762" w:rsidRPr="00261E6C" w:rsidRDefault="00704762">
      <w:pPr>
        <w:jc w:val="both"/>
        <w:rPr>
          <w:sz w:val="22"/>
          <w:szCs w:val="22"/>
          <w:lang w:val="sr-Latn-RS"/>
        </w:rPr>
      </w:pPr>
    </w:p>
    <w:p w:rsidR="005612C5" w:rsidRPr="00261E6C" w:rsidRDefault="005612C5">
      <w:pPr>
        <w:widowControl w:val="0"/>
        <w:autoSpaceDE w:val="0"/>
        <w:autoSpaceDN w:val="0"/>
        <w:jc w:val="both"/>
        <w:rPr>
          <w:sz w:val="22"/>
          <w:szCs w:val="22"/>
          <w:lang w:val="sr-Latn-RS" w:bidi="en-US"/>
        </w:rPr>
      </w:pPr>
      <w:r w:rsidRPr="00261E6C">
        <w:rPr>
          <w:sz w:val="22"/>
          <w:szCs w:val="22"/>
          <w:u w:val="single"/>
          <w:lang w:val="sr-Latn-RS" w:bidi="en-US"/>
        </w:rPr>
        <w:t>Mehanizam dejstva</w:t>
      </w:r>
    </w:p>
    <w:p w:rsidR="00687D00" w:rsidRPr="00261E6C" w:rsidRDefault="00687D00">
      <w:pPr>
        <w:widowControl w:val="0"/>
        <w:autoSpaceDE w:val="0"/>
        <w:autoSpaceDN w:val="0"/>
        <w:spacing w:before="91"/>
        <w:jc w:val="both"/>
        <w:rPr>
          <w:sz w:val="22"/>
          <w:szCs w:val="22"/>
          <w:lang w:val="sr-Latn-RS" w:bidi="en-US"/>
        </w:rPr>
      </w:pPr>
      <w:r w:rsidRPr="00261E6C">
        <w:rPr>
          <w:sz w:val="22"/>
          <w:szCs w:val="22"/>
          <w:lang w:val="sr-Latn-RS" w:bidi="en-US"/>
        </w:rPr>
        <w:t xml:space="preserve">Polatuzumab vedotin je CD79b-ciljani antitijelo-lijek konjugat koji preferencijalno isporučuje snažan antimitotički agens (monometil auristatin E ili MMAE) B-ćelijama, što dovodi do ubijanja malignih B-ćelija. Molekul polatuzumab vedotina sastoji se od MMAE kovalentno vezanog za humanizovano monoklonsko </w:t>
      </w:r>
      <w:r w:rsidRPr="00261E6C">
        <w:rPr>
          <w:sz w:val="22"/>
          <w:szCs w:val="22"/>
          <w:lang w:val="sr-Latn-RS" w:bidi="en-US"/>
        </w:rPr>
        <w:lastRenderedPageBreak/>
        <w:t>antitijelo imunoglobulin G1 raskidivom vezom. Monoklonsko antitijelo vezuje se sa visokim afinitetom i selektivnošću za CD79b, ćelijsku površinsku komponentu receptora B-ćelije.</w:t>
      </w:r>
    </w:p>
    <w:p w:rsidR="005612C5" w:rsidRPr="00261E6C" w:rsidRDefault="005612C5">
      <w:pPr>
        <w:widowControl w:val="0"/>
        <w:autoSpaceDE w:val="0"/>
        <w:autoSpaceDN w:val="0"/>
        <w:spacing w:before="91"/>
        <w:jc w:val="both"/>
        <w:rPr>
          <w:sz w:val="22"/>
          <w:szCs w:val="22"/>
          <w:lang w:val="sr-Latn-RS" w:bidi="en-US"/>
        </w:rPr>
      </w:pPr>
    </w:p>
    <w:p w:rsidR="00687D00" w:rsidRPr="00261E6C" w:rsidRDefault="00687D00">
      <w:pPr>
        <w:widowControl w:val="0"/>
        <w:autoSpaceDE w:val="0"/>
        <w:autoSpaceDN w:val="0"/>
        <w:spacing w:before="3"/>
        <w:jc w:val="both"/>
        <w:rPr>
          <w:sz w:val="22"/>
          <w:szCs w:val="22"/>
          <w:lang w:val="sr-Latn-RS" w:bidi="en-US"/>
        </w:rPr>
      </w:pPr>
      <w:r w:rsidRPr="00261E6C">
        <w:rPr>
          <w:sz w:val="22"/>
          <w:szCs w:val="22"/>
          <w:lang w:val="sr-Latn-RS" w:bidi="en-US"/>
        </w:rPr>
        <w:t xml:space="preserve">Ekspresija CD79b ograničena je na normalne ćelije u lozi B-ćelija (uz izuzetak plazma ćelija) i maligne B-ćelije; eksprimira se kod </w:t>
      </w:r>
      <w:r w:rsidR="0037474F" w:rsidRPr="00C2143B">
        <w:rPr>
          <w:sz w:val="22"/>
          <w:szCs w:val="22"/>
          <w:lang w:val="sr-Latn-RS" w:bidi="en-US"/>
        </w:rPr>
        <w:t>&gt;</w:t>
      </w:r>
      <w:r w:rsidRPr="00261E6C">
        <w:rPr>
          <w:sz w:val="22"/>
          <w:szCs w:val="22"/>
          <w:lang w:val="sr-Latn-RS" w:bidi="en-US"/>
        </w:rPr>
        <w:t xml:space="preserve"> 95% difuznih B-krupnoćelijskih limfoma. Nakon vezivanja za CD79b, polatuzumab vedotin se brzo internalizuje, a veza se raskida lizozomskim proteazama kako bi se omogućila intraćelijska isporuka MMAE. MMAE se vezuje za mikrotubule i ubija ćelije koje se dijele tako što inhibira ćelijsku diobu i indukuje apoptozu.</w:t>
      </w:r>
    </w:p>
    <w:p w:rsidR="00687D00" w:rsidRPr="00261E6C" w:rsidRDefault="00687D00">
      <w:pPr>
        <w:widowControl w:val="0"/>
        <w:autoSpaceDE w:val="0"/>
        <w:autoSpaceDN w:val="0"/>
        <w:spacing w:before="8"/>
        <w:jc w:val="both"/>
        <w:rPr>
          <w:sz w:val="22"/>
          <w:szCs w:val="22"/>
          <w:lang w:val="sr-Latn-RS" w:bidi="en-US"/>
        </w:rPr>
      </w:pPr>
    </w:p>
    <w:p w:rsidR="00687D00" w:rsidRPr="00261E6C" w:rsidRDefault="00687D00">
      <w:pPr>
        <w:widowControl w:val="0"/>
        <w:autoSpaceDE w:val="0"/>
        <w:autoSpaceDN w:val="0"/>
        <w:jc w:val="both"/>
        <w:rPr>
          <w:sz w:val="22"/>
          <w:szCs w:val="22"/>
          <w:lang w:val="sr-Latn-RS" w:bidi="en-US"/>
        </w:rPr>
      </w:pPr>
      <w:r w:rsidRPr="00261E6C">
        <w:rPr>
          <w:sz w:val="22"/>
          <w:szCs w:val="22"/>
          <w:u w:val="single"/>
          <w:lang w:val="sr-Latn-RS" w:bidi="en-US"/>
        </w:rPr>
        <w:t>Farmakodinamska dejstva</w:t>
      </w:r>
    </w:p>
    <w:p w:rsidR="00687D00" w:rsidRPr="00261E6C" w:rsidRDefault="00687D00">
      <w:pPr>
        <w:widowControl w:val="0"/>
        <w:autoSpaceDE w:val="0"/>
        <w:autoSpaceDN w:val="0"/>
        <w:spacing w:before="4"/>
        <w:jc w:val="both"/>
        <w:rPr>
          <w:sz w:val="22"/>
          <w:szCs w:val="22"/>
          <w:lang w:val="sr-Latn-RS" w:bidi="en-US"/>
        </w:rPr>
      </w:pPr>
    </w:p>
    <w:p w:rsidR="00687D00" w:rsidRPr="00261E6C" w:rsidRDefault="00687D00" w:rsidP="00261E6C">
      <w:pPr>
        <w:widowControl w:val="0"/>
        <w:autoSpaceDE w:val="0"/>
        <w:autoSpaceDN w:val="0"/>
        <w:spacing w:before="91"/>
        <w:jc w:val="both"/>
        <w:rPr>
          <w:i/>
          <w:sz w:val="22"/>
          <w:szCs w:val="22"/>
          <w:lang w:val="sr-Latn-RS" w:bidi="en-US"/>
        </w:rPr>
      </w:pPr>
      <w:r w:rsidRPr="00261E6C">
        <w:rPr>
          <w:i/>
          <w:iCs/>
          <w:sz w:val="22"/>
          <w:szCs w:val="22"/>
          <w:lang w:val="sr-Latn-RS" w:bidi="en-US"/>
        </w:rPr>
        <w:t>Elektrofiziologija srca</w:t>
      </w:r>
    </w:p>
    <w:p w:rsidR="00687D00" w:rsidRPr="00261E6C" w:rsidRDefault="00687D00">
      <w:pPr>
        <w:widowControl w:val="0"/>
        <w:autoSpaceDE w:val="0"/>
        <w:autoSpaceDN w:val="0"/>
        <w:jc w:val="both"/>
        <w:rPr>
          <w:sz w:val="22"/>
          <w:szCs w:val="22"/>
          <w:lang w:val="sr-Latn-RS" w:bidi="en-US"/>
        </w:rPr>
      </w:pPr>
      <w:r w:rsidRPr="00261E6C">
        <w:rPr>
          <w:sz w:val="22"/>
          <w:szCs w:val="22"/>
          <w:lang w:val="sr-Latn-RS" w:bidi="en-US"/>
        </w:rPr>
        <w:t>Polatuzumab vedotin nije produžio srednji QTc interval u bilo kojoj klinički relevantnoj mjeri na osnovu EKG podataka iz dvije otvorene studije sa pacijentima sa prethodno liječenim malignitetima B-ćelija u preporučenoj dozi.</w:t>
      </w:r>
    </w:p>
    <w:p w:rsidR="00687D00" w:rsidRPr="00261E6C" w:rsidRDefault="00687D00">
      <w:pPr>
        <w:widowControl w:val="0"/>
        <w:autoSpaceDE w:val="0"/>
        <w:autoSpaceDN w:val="0"/>
        <w:spacing w:before="1"/>
        <w:jc w:val="both"/>
        <w:rPr>
          <w:sz w:val="22"/>
          <w:szCs w:val="22"/>
          <w:lang w:val="sr-Latn-RS" w:bidi="en-US"/>
        </w:rPr>
      </w:pPr>
    </w:p>
    <w:p w:rsidR="00687D00" w:rsidRPr="00261E6C" w:rsidRDefault="00687D00">
      <w:pPr>
        <w:widowControl w:val="0"/>
        <w:autoSpaceDE w:val="0"/>
        <w:autoSpaceDN w:val="0"/>
        <w:jc w:val="both"/>
        <w:rPr>
          <w:sz w:val="22"/>
          <w:szCs w:val="22"/>
          <w:lang w:val="sr-Latn-RS" w:bidi="en-US"/>
        </w:rPr>
      </w:pPr>
      <w:r w:rsidRPr="00261E6C">
        <w:rPr>
          <w:sz w:val="22"/>
          <w:szCs w:val="22"/>
          <w:u w:val="single"/>
          <w:lang w:val="sr-Latn-RS" w:bidi="en-US"/>
        </w:rPr>
        <w:t>Klinička efikasnost i bezbjednost</w:t>
      </w:r>
    </w:p>
    <w:p w:rsidR="002836B4" w:rsidRPr="00261E6C" w:rsidRDefault="002836B4">
      <w:pPr>
        <w:widowControl w:val="0"/>
        <w:autoSpaceDE w:val="0"/>
        <w:autoSpaceDN w:val="0"/>
        <w:jc w:val="both"/>
        <w:rPr>
          <w:sz w:val="22"/>
          <w:szCs w:val="22"/>
          <w:u w:val="single"/>
          <w:lang w:val="sr-Latn-RS" w:bidi="en-US"/>
        </w:rPr>
      </w:pPr>
    </w:p>
    <w:p w:rsidR="002836B4" w:rsidRPr="00261E6C" w:rsidRDefault="002836B4" w:rsidP="00261E6C">
      <w:pPr>
        <w:keepNext/>
        <w:autoSpaceDE w:val="0"/>
        <w:autoSpaceDN w:val="0"/>
        <w:adjustRightInd w:val="0"/>
        <w:jc w:val="both"/>
        <w:rPr>
          <w:i/>
          <w:iCs/>
          <w:sz w:val="22"/>
          <w:szCs w:val="22"/>
          <w:lang w:val="hr-HR"/>
        </w:rPr>
      </w:pPr>
      <w:r w:rsidRPr="00261E6C">
        <w:rPr>
          <w:i/>
          <w:iCs/>
          <w:sz w:val="22"/>
          <w:szCs w:val="22"/>
          <w:lang w:val="hr-HR"/>
        </w:rPr>
        <w:t xml:space="preserve">Prethodno </w:t>
      </w:r>
      <w:r w:rsidR="00F17ABA" w:rsidRPr="00261E6C">
        <w:rPr>
          <w:i/>
          <w:iCs/>
          <w:sz w:val="22"/>
          <w:szCs w:val="22"/>
          <w:lang w:val="hr-HR"/>
        </w:rPr>
        <w:t>neliječen</w:t>
      </w:r>
      <w:r w:rsidR="00285A3A" w:rsidRPr="00C2143B">
        <w:rPr>
          <w:i/>
          <w:iCs/>
          <w:sz w:val="22"/>
          <w:szCs w:val="22"/>
          <w:lang w:val="hr-HR"/>
        </w:rPr>
        <w:t>i</w:t>
      </w:r>
      <w:r w:rsidR="00F17ABA" w:rsidRPr="00261E6C">
        <w:rPr>
          <w:i/>
          <w:iCs/>
          <w:sz w:val="22"/>
          <w:szCs w:val="22"/>
          <w:lang w:val="hr-HR"/>
        </w:rPr>
        <w:t xml:space="preserve"> </w:t>
      </w:r>
      <w:r w:rsidRPr="00261E6C">
        <w:rPr>
          <w:i/>
          <w:iCs/>
          <w:sz w:val="22"/>
          <w:szCs w:val="22"/>
          <w:lang w:val="hr-HR"/>
        </w:rPr>
        <w:t xml:space="preserve"> DBKL </w:t>
      </w:r>
    </w:p>
    <w:p w:rsidR="002836B4" w:rsidRPr="00261E6C" w:rsidRDefault="002836B4" w:rsidP="00E4155A">
      <w:pPr>
        <w:autoSpaceDE w:val="0"/>
        <w:autoSpaceDN w:val="0"/>
        <w:adjustRightInd w:val="0"/>
        <w:jc w:val="both"/>
        <w:rPr>
          <w:sz w:val="22"/>
          <w:szCs w:val="22"/>
          <w:lang w:val="hr-HR"/>
        </w:rPr>
      </w:pPr>
      <w:r w:rsidRPr="00261E6C">
        <w:rPr>
          <w:sz w:val="22"/>
          <w:szCs w:val="22"/>
          <w:lang w:val="hr-HR"/>
        </w:rPr>
        <w:t xml:space="preserve">Efikasnost </w:t>
      </w:r>
      <w:r w:rsidR="00E343D0" w:rsidRPr="00261E6C">
        <w:rPr>
          <w:sz w:val="22"/>
          <w:szCs w:val="22"/>
          <w:lang w:val="hr-HR"/>
        </w:rPr>
        <w:t>lijeka</w:t>
      </w:r>
      <w:r w:rsidRPr="00261E6C">
        <w:rPr>
          <w:sz w:val="22"/>
          <w:szCs w:val="22"/>
          <w:lang w:val="hr-HR"/>
        </w:rPr>
        <w:t xml:space="preserve"> Polivy </w:t>
      </w:r>
      <w:r w:rsidR="00E343D0" w:rsidRPr="00261E6C">
        <w:rPr>
          <w:sz w:val="22"/>
          <w:szCs w:val="22"/>
          <w:lang w:val="hr-HR"/>
        </w:rPr>
        <w:t>proc</w:t>
      </w:r>
      <w:r w:rsidR="00285A3A" w:rsidRPr="00C2143B">
        <w:rPr>
          <w:sz w:val="22"/>
          <w:szCs w:val="22"/>
          <w:lang w:val="hr-HR"/>
        </w:rPr>
        <w:t>i</w:t>
      </w:r>
      <w:r w:rsidR="00E343D0" w:rsidRPr="00261E6C">
        <w:rPr>
          <w:sz w:val="22"/>
          <w:szCs w:val="22"/>
          <w:lang w:val="hr-HR"/>
        </w:rPr>
        <w:t>jenjena</w:t>
      </w:r>
      <w:r w:rsidRPr="00261E6C">
        <w:rPr>
          <w:sz w:val="22"/>
          <w:szCs w:val="22"/>
          <w:lang w:val="hr-HR"/>
        </w:rPr>
        <w:t xml:space="preserve"> je u međunarodnom, multicentričnom, randomiz</w:t>
      </w:r>
      <w:r w:rsidR="00285A3A" w:rsidRPr="00C2143B">
        <w:rPr>
          <w:sz w:val="22"/>
          <w:szCs w:val="22"/>
          <w:lang w:val="hr-HR"/>
        </w:rPr>
        <w:t>ov</w:t>
      </w:r>
      <w:r w:rsidRPr="00261E6C">
        <w:rPr>
          <w:sz w:val="22"/>
          <w:szCs w:val="22"/>
          <w:lang w:val="hr-HR"/>
        </w:rPr>
        <w:t>an</w:t>
      </w:r>
      <w:r w:rsidR="00F17ABA" w:rsidRPr="00261E6C">
        <w:rPr>
          <w:sz w:val="22"/>
          <w:szCs w:val="22"/>
          <w:lang w:val="hr-HR"/>
        </w:rPr>
        <w:t>om, dvostruko-</w:t>
      </w:r>
      <w:r w:rsidRPr="00261E6C">
        <w:rPr>
          <w:sz w:val="22"/>
          <w:szCs w:val="22"/>
          <w:lang w:val="hr-HR"/>
        </w:rPr>
        <w:t>sl</w:t>
      </w:r>
      <w:r w:rsidR="00F17ABA" w:rsidRPr="00261E6C">
        <w:rPr>
          <w:sz w:val="22"/>
          <w:szCs w:val="22"/>
          <w:lang w:val="hr-HR"/>
        </w:rPr>
        <w:t>ij</w:t>
      </w:r>
      <w:r w:rsidRPr="00261E6C">
        <w:rPr>
          <w:sz w:val="22"/>
          <w:szCs w:val="22"/>
          <w:lang w:val="hr-HR"/>
        </w:rPr>
        <w:t>epom, placebom</w:t>
      </w:r>
      <w:r w:rsidR="00F17ABA" w:rsidRPr="00261E6C">
        <w:rPr>
          <w:sz w:val="22"/>
          <w:szCs w:val="22"/>
          <w:lang w:val="hr-HR"/>
        </w:rPr>
        <w:t xml:space="preserve"> </w:t>
      </w:r>
      <w:r w:rsidRPr="00261E6C">
        <w:rPr>
          <w:sz w:val="22"/>
          <w:szCs w:val="22"/>
          <w:lang w:val="hr-HR"/>
        </w:rPr>
        <w:t>kontrolisanom ispitivanju (POLARIX, GO39942) sprovedenom na 879 pacijenata sa prethodno ne</w:t>
      </w:r>
      <w:r w:rsidR="003C1B7B" w:rsidRPr="00261E6C">
        <w:rPr>
          <w:sz w:val="22"/>
          <w:szCs w:val="22"/>
          <w:lang w:val="hr-HR"/>
        </w:rPr>
        <w:t>liječenim</w:t>
      </w:r>
      <w:r w:rsidRPr="00261E6C">
        <w:rPr>
          <w:sz w:val="22"/>
          <w:szCs w:val="22"/>
          <w:lang w:val="hr-HR"/>
        </w:rPr>
        <w:t xml:space="preserve"> DBKL</w:t>
      </w:r>
      <w:r w:rsidRPr="00261E6C">
        <w:rPr>
          <w:sz w:val="22"/>
          <w:szCs w:val="22"/>
          <w:lang w:val="hr-HR"/>
        </w:rPr>
        <w:noBreakHyphen/>
        <w:t>om.</w:t>
      </w:r>
    </w:p>
    <w:p w:rsidR="002836B4" w:rsidRPr="00261E6C" w:rsidRDefault="002836B4" w:rsidP="00E4155A">
      <w:pPr>
        <w:autoSpaceDE w:val="0"/>
        <w:autoSpaceDN w:val="0"/>
        <w:adjustRightInd w:val="0"/>
        <w:jc w:val="both"/>
        <w:rPr>
          <w:sz w:val="22"/>
          <w:szCs w:val="22"/>
          <w:lang w:val="hr-HR"/>
        </w:rPr>
      </w:pPr>
    </w:p>
    <w:p w:rsidR="002836B4" w:rsidRPr="00261E6C" w:rsidRDefault="002836B4" w:rsidP="00E4155A">
      <w:pPr>
        <w:autoSpaceDE w:val="0"/>
        <w:autoSpaceDN w:val="0"/>
        <w:adjustRightInd w:val="0"/>
        <w:jc w:val="both"/>
        <w:rPr>
          <w:sz w:val="22"/>
          <w:szCs w:val="22"/>
          <w:lang w:val="hr-HR"/>
        </w:rPr>
      </w:pPr>
      <w:r w:rsidRPr="00261E6C">
        <w:rPr>
          <w:sz w:val="22"/>
          <w:szCs w:val="22"/>
          <w:lang w:val="hr-HR"/>
        </w:rPr>
        <w:t>U ispitivanju su mogli da učestvuju pacijenti starosne dobi od 18 do 80 godina koji su imali IPI skor između 2 </w:t>
      </w:r>
      <w:r w:rsidRPr="00261E6C">
        <w:rPr>
          <w:sz w:val="22"/>
          <w:szCs w:val="22"/>
          <w:lang w:val="hr-HR"/>
        </w:rPr>
        <w:noBreakHyphen/>
        <w:t xml:space="preserve"> 5 (engl. </w:t>
      </w:r>
      <w:r w:rsidRPr="00261E6C">
        <w:rPr>
          <w:i/>
          <w:iCs/>
          <w:sz w:val="22"/>
          <w:szCs w:val="22"/>
          <w:lang w:val="hr-HR"/>
        </w:rPr>
        <w:t>International Prognostic Index</w:t>
      </w:r>
      <w:r w:rsidRPr="00261E6C">
        <w:rPr>
          <w:sz w:val="22"/>
          <w:szCs w:val="22"/>
          <w:lang w:val="hr-HR"/>
        </w:rPr>
        <w:t>, IPI) i funkcionalni ECOG status 0 </w:t>
      </w:r>
      <w:r w:rsidRPr="00261E6C">
        <w:rPr>
          <w:sz w:val="22"/>
          <w:szCs w:val="22"/>
          <w:lang w:val="hr-HR"/>
        </w:rPr>
        <w:noBreakHyphen/>
        <w:t> 2. Histološki podtipovi uključivali su DBKL (nespecifični DBKL, DBKL</w:t>
      </w:r>
      <w:r w:rsidR="00285A3A" w:rsidRPr="00C2143B">
        <w:rPr>
          <w:sz w:val="22"/>
          <w:szCs w:val="22"/>
          <w:lang w:val="hr-HR"/>
        </w:rPr>
        <w:t xml:space="preserve"> </w:t>
      </w:r>
      <w:r w:rsidRPr="00261E6C">
        <w:rPr>
          <w:sz w:val="22"/>
          <w:szCs w:val="22"/>
          <w:lang w:val="hr-HR"/>
        </w:rPr>
        <w:t>aktiviranih B</w:t>
      </w:r>
      <w:r w:rsidRPr="00261E6C">
        <w:rPr>
          <w:sz w:val="22"/>
          <w:szCs w:val="22"/>
          <w:lang w:val="hr-HR"/>
        </w:rPr>
        <w:noBreakHyphen/>
        <w:t xml:space="preserve">ćelija [engl. </w:t>
      </w:r>
      <w:r w:rsidRPr="00261E6C">
        <w:rPr>
          <w:i/>
          <w:iCs/>
          <w:sz w:val="22"/>
          <w:szCs w:val="22"/>
          <w:lang w:val="hr-HR"/>
        </w:rPr>
        <w:t>activated B</w:t>
      </w:r>
      <w:r w:rsidRPr="00261E6C">
        <w:rPr>
          <w:i/>
          <w:iCs/>
          <w:sz w:val="22"/>
          <w:szCs w:val="22"/>
          <w:lang w:val="hr-HR"/>
        </w:rPr>
        <w:noBreakHyphen/>
        <w:t>cell</w:t>
      </w:r>
      <w:r w:rsidRPr="00261E6C">
        <w:rPr>
          <w:sz w:val="22"/>
          <w:szCs w:val="22"/>
          <w:lang w:val="hr-HR"/>
        </w:rPr>
        <w:t>, ABC], DBKL  B</w:t>
      </w:r>
      <w:r w:rsidRPr="00261E6C">
        <w:rPr>
          <w:sz w:val="22"/>
          <w:szCs w:val="22"/>
          <w:lang w:val="hr-HR"/>
        </w:rPr>
        <w:noBreakHyphen/>
        <w:t xml:space="preserve">ćelija germinalnog centra [engl. </w:t>
      </w:r>
      <w:r w:rsidRPr="00261E6C">
        <w:rPr>
          <w:i/>
          <w:iCs/>
          <w:sz w:val="22"/>
          <w:szCs w:val="22"/>
          <w:lang w:val="hr-HR"/>
        </w:rPr>
        <w:t>germinal center B</w:t>
      </w:r>
      <w:r w:rsidRPr="00261E6C">
        <w:rPr>
          <w:i/>
          <w:iCs/>
          <w:sz w:val="22"/>
          <w:szCs w:val="22"/>
          <w:lang w:val="hr-HR"/>
        </w:rPr>
        <w:noBreakHyphen/>
        <w:t>cell</w:t>
      </w:r>
      <w:r w:rsidRPr="00261E6C">
        <w:rPr>
          <w:sz w:val="22"/>
          <w:szCs w:val="22"/>
          <w:lang w:val="hr-HR"/>
        </w:rPr>
        <w:t xml:space="preserve">, GCB]), HGBL (nespecifični HGBL, HGBL sa dvostrukom translokacijom [engl. </w:t>
      </w:r>
      <w:r w:rsidRPr="00261E6C">
        <w:rPr>
          <w:i/>
          <w:iCs/>
          <w:sz w:val="22"/>
          <w:szCs w:val="22"/>
          <w:lang w:val="hr-HR"/>
        </w:rPr>
        <w:t>double</w:t>
      </w:r>
      <w:r w:rsidRPr="00261E6C">
        <w:rPr>
          <w:i/>
          <w:iCs/>
          <w:sz w:val="22"/>
          <w:szCs w:val="22"/>
          <w:lang w:val="hr-HR"/>
        </w:rPr>
        <w:noBreakHyphen/>
        <w:t>hit</w:t>
      </w:r>
      <w:r w:rsidRPr="00261E6C">
        <w:rPr>
          <w:sz w:val="22"/>
          <w:szCs w:val="22"/>
          <w:lang w:val="hr-HR"/>
        </w:rPr>
        <w:t xml:space="preserve">], HGBL sa trostrukom translokacijom [engl. </w:t>
      </w:r>
      <w:r w:rsidRPr="00261E6C">
        <w:rPr>
          <w:i/>
          <w:iCs/>
          <w:sz w:val="22"/>
          <w:szCs w:val="22"/>
          <w:lang w:val="hr-HR"/>
        </w:rPr>
        <w:t>triple</w:t>
      </w:r>
      <w:r w:rsidRPr="00261E6C">
        <w:rPr>
          <w:i/>
          <w:iCs/>
          <w:sz w:val="22"/>
          <w:szCs w:val="22"/>
          <w:lang w:val="hr-HR"/>
        </w:rPr>
        <w:noBreakHyphen/>
        <w:t>hit</w:t>
      </w:r>
      <w:r w:rsidRPr="00261E6C">
        <w:rPr>
          <w:sz w:val="22"/>
          <w:szCs w:val="22"/>
          <w:lang w:val="hr-HR"/>
        </w:rPr>
        <w:t>]) i druge podtipove B-krupnoćelijiskog limfoma (pozitivan na EBV, bogat T</w:t>
      </w:r>
      <w:r w:rsidRPr="00261E6C">
        <w:rPr>
          <w:sz w:val="22"/>
          <w:szCs w:val="22"/>
          <w:lang w:val="hr-HR"/>
        </w:rPr>
        <w:noBreakHyphen/>
        <w:t xml:space="preserve">ćelijama/bogat histiocitima). Pacijenti </w:t>
      </w:r>
      <w:r w:rsidR="00F17ABA" w:rsidRPr="00261E6C">
        <w:rPr>
          <w:sz w:val="22"/>
          <w:szCs w:val="22"/>
          <w:lang w:val="hr-HR"/>
        </w:rPr>
        <w:t>nijesu</w:t>
      </w:r>
      <w:r w:rsidRPr="00261E6C">
        <w:rPr>
          <w:sz w:val="22"/>
          <w:szCs w:val="22"/>
          <w:lang w:val="hr-HR"/>
        </w:rPr>
        <w:t xml:space="preserve"> imali potvrđen limfom u CNS</w:t>
      </w:r>
      <w:r w:rsidRPr="00261E6C">
        <w:rPr>
          <w:sz w:val="22"/>
          <w:szCs w:val="22"/>
          <w:lang w:val="hr-HR"/>
        </w:rPr>
        <w:noBreakHyphen/>
        <w:t xml:space="preserve">u ni perifernu neuropatiju veću od </w:t>
      </w:r>
      <w:r w:rsidR="00F55D0F" w:rsidRPr="00261E6C">
        <w:rPr>
          <w:sz w:val="22"/>
          <w:szCs w:val="22"/>
          <w:lang w:val="hr-HR"/>
        </w:rPr>
        <w:t>gradus</w:t>
      </w:r>
      <w:r w:rsidRPr="00261E6C">
        <w:rPr>
          <w:sz w:val="22"/>
          <w:szCs w:val="22"/>
          <w:lang w:val="hr-HR"/>
        </w:rPr>
        <w:t>a 1.</w:t>
      </w:r>
    </w:p>
    <w:p w:rsidR="002836B4" w:rsidRPr="00261E6C" w:rsidRDefault="002836B4" w:rsidP="00261E6C">
      <w:pPr>
        <w:autoSpaceDE w:val="0"/>
        <w:autoSpaceDN w:val="0"/>
        <w:adjustRightInd w:val="0"/>
        <w:jc w:val="both"/>
        <w:rPr>
          <w:sz w:val="22"/>
          <w:szCs w:val="22"/>
          <w:lang w:val="hr-HR"/>
        </w:rPr>
      </w:pPr>
    </w:p>
    <w:p w:rsidR="002836B4" w:rsidRPr="00261E6C" w:rsidRDefault="002836B4" w:rsidP="00E4155A">
      <w:pPr>
        <w:autoSpaceDE w:val="0"/>
        <w:autoSpaceDN w:val="0"/>
        <w:adjustRightInd w:val="0"/>
        <w:jc w:val="both"/>
        <w:rPr>
          <w:sz w:val="22"/>
          <w:szCs w:val="22"/>
          <w:lang w:val="hr-HR"/>
        </w:rPr>
      </w:pPr>
      <w:r w:rsidRPr="00261E6C">
        <w:rPr>
          <w:sz w:val="22"/>
          <w:szCs w:val="22"/>
          <w:lang w:val="hr-HR"/>
        </w:rPr>
        <w:t xml:space="preserve">Pacijenti su bili randomizovani u odnosu 1:1 za primanje </w:t>
      </w:r>
      <w:r w:rsidR="00E343D0" w:rsidRPr="00261E6C">
        <w:rPr>
          <w:sz w:val="22"/>
          <w:szCs w:val="22"/>
          <w:lang w:val="hr-HR"/>
        </w:rPr>
        <w:t>lijeka</w:t>
      </w:r>
      <w:r w:rsidRPr="00261E6C">
        <w:rPr>
          <w:sz w:val="22"/>
          <w:szCs w:val="22"/>
          <w:lang w:val="hr-HR"/>
        </w:rPr>
        <w:t xml:space="preserve"> Polivy u kombinaciji sa R</w:t>
      </w:r>
      <w:r w:rsidRPr="00261E6C">
        <w:rPr>
          <w:sz w:val="22"/>
          <w:szCs w:val="22"/>
          <w:lang w:val="hr-HR"/>
        </w:rPr>
        <w:noBreakHyphen/>
        <w:t>CHP protokolom ili R</w:t>
      </w:r>
      <w:r w:rsidRPr="00261E6C">
        <w:rPr>
          <w:sz w:val="22"/>
          <w:szCs w:val="22"/>
          <w:lang w:val="hr-HR"/>
        </w:rPr>
        <w:noBreakHyphen/>
        <w:t>CHOP protokolom tokom šest 21</w:t>
      </w:r>
      <w:r w:rsidRPr="00261E6C">
        <w:rPr>
          <w:sz w:val="22"/>
          <w:szCs w:val="22"/>
          <w:lang w:val="hr-HR"/>
        </w:rPr>
        <w:noBreakHyphen/>
        <w:t>dnevnih ciklusa, nakon kojih su se u</w:t>
      </w:r>
      <w:r w:rsidR="0036192C" w:rsidRPr="00C2143B">
        <w:rPr>
          <w:sz w:val="22"/>
          <w:szCs w:val="22"/>
          <w:lang w:val="hr-HR"/>
        </w:rPr>
        <w:t xml:space="preserve"> </w:t>
      </w:r>
      <w:r w:rsidR="00F17ABA" w:rsidRPr="00261E6C">
        <w:rPr>
          <w:sz w:val="22"/>
          <w:szCs w:val="22"/>
          <w:lang w:val="hr-HR"/>
        </w:rPr>
        <w:t>ob</w:t>
      </w:r>
      <w:r w:rsidR="0036192C" w:rsidRPr="00C2143B">
        <w:rPr>
          <w:sz w:val="22"/>
          <w:szCs w:val="22"/>
          <w:lang w:val="hr-HR"/>
        </w:rPr>
        <w:t>i</w:t>
      </w:r>
      <w:r w:rsidR="00F17ABA" w:rsidRPr="00261E6C">
        <w:rPr>
          <w:sz w:val="22"/>
          <w:szCs w:val="22"/>
          <w:lang w:val="hr-HR"/>
        </w:rPr>
        <w:t>je</w:t>
      </w:r>
      <w:r w:rsidR="0036192C" w:rsidRPr="00C2143B">
        <w:rPr>
          <w:sz w:val="22"/>
          <w:szCs w:val="22"/>
          <w:lang w:val="hr-HR"/>
        </w:rPr>
        <w:t xml:space="preserve"> </w:t>
      </w:r>
      <w:r w:rsidRPr="00261E6C">
        <w:rPr>
          <w:sz w:val="22"/>
          <w:szCs w:val="22"/>
          <w:lang w:val="hr-HR"/>
        </w:rPr>
        <w:t>grupe prim</w:t>
      </w:r>
      <w:r w:rsidR="00F17ABA" w:rsidRPr="00261E6C">
        <w:rPr>
          <w:sz w:val="22"/>
          <w:szCs w:val="22"/>
          <w:lang w:val="hr-HR"/>
        </w:rPr>
        <w:t>j</w:t>
      </w:r>
      <w:r w:rsidRPr="00261E6C">
        <w:rPr>
          <w:sz w:val="22"/>
          <w:szCs w:val="22"/>
          <w:lang w:val="hr-HR"/>
        </w:rPr>
        <w:t xml:space="preserve">enjivala dva dodatna ciklusa samo rituksimaba. Pacijenti su bili </w:t>
      </w:r>
      <w:r w:rsidR="00175EF1" w:rsidRPr="00C2143B">
        <w:rPr>
          <w:sz w:val="22"/>
          <w:szCs w:val="22"/>
          <w:lang w:val="hr-HR"/>
        </w:rPr>
        <w:t>stratifikovani</w:t>
      </w:r>
      <w:r w:rsidRPr="00261E6C">
        <w:rPr>
          <w:sz w:val="22"/>
          <w:szCs w:val="22"/>
          <w:lang w:val="hr-HR"/>
        </w:rPr>
        <w:t xml:space="preserve"> prema IPI skoru (2 naspram 3 </w:t>
      </w:r>
      <w:r w:rsidRPr="00261E6C">
        <w:rPr>
          <w:sz w:val="22"/>
          <w:szCs w:val="22"/>
          <w:lang w:val="hr-HR"/>
        </w:rPr>
        <w:noBreakHyphen/>
        <w:t> 5), prisustv</w:t>
      </w:r>
      <w:r w:rsidR="00124AB0" w:rsidRPr="00C2143B">
        <w:rPr>
          <w:sz w:val="22"/>
          <w:szCs w:val="22"/>
          <w:lang w:val="hr-HR"/>
        </w:rPr>
        <w:t>om</w:t>
      </w:r>
      <w:r w:rsidRPr="00261E6C">
        <w:rPr>
          <w:sz w:val="22"/>
          <w:szCs w:val="22"/>
          <w:lang w:val="hr-HR"/>
        </w:rPr>
        <w:t xml:space="preserve"> ili odsustv</w:t>
      </w:r>
      <w:r w:rsidR="00124AB0" w:rsidRPr="00C2143B">
        <w:rPr>
          <w:sz w:val="22"/>
          <w:szCs w:val="22"/>
          <w:lang w:val="hr-HR"/>
        </w:rPr>
        <w:t>om</w:t>
      </w:r>
      <w:r w:rsidRPr="00261E6C">
        <w:rPr>
          <w:sz w:val="22"/>
          <w:szCs w:val="22"/>
          <w:lang w:val="hr-HR"/>
        </w:rPr>
        <w:t xml:space="preserve"> velikog opterećenja tumorskom masom (lezija veličine ≥ 7,5 cm) i geografskoj regiji.</w:t>
      </w:r>
    </w:p>
    <w:p w:rsidR="002836B4" w:rsidRPr="00261E6C" w:rsidRDefault="002836B4" w:rsidP="00E4155A">
      <w:pPr>
        <w:autoSpaceDE w:val="0"/>
        <w:autoSpaceDN w:val="0"/>
        <w:adjustRightInd w:val="0"/>
        <w:jc w:val="both"/>
        <w:rPr>
          <w:sz w:val="22"/>
          <w:szCs w:val="22"/>
          <w:lang w:val="hr-HR"/>
        </w:rPr>
      </w:pPr>
    </w:p>
    <w:p w:rsidR="002836B4" w:rsidRPr="00261E6C" w:rsidRDefault="007F7FA9" w:rsidP="00E4155A">
      <w:pPr>
        <w:autoSpaceDE w:val="0"/>
        <w:autoSpaceDN w:val="0"/>
        <w:adjustRightInd w:val="0"/>
        <w:jc w:val="both"/>
        <w:rPr>
          <w:sz w:val="22"/>
          <w:szCs w:val="22"/>
          <w:lang w:val="hr-HR"/>
        </w:rPr>
      </w:pPr>
      <w:r>
        <w:rPr>
          <w:sz w:val="22"/>
          <w:szCs w:val="22"/>
          <w:lang w:val="hr-HR"/>
        </w:rPr>
        <w:t xml:space="preserve">Lijek </w:t>
      </w:r>
      <w:r w:rsidR="002836B4" w:rsidRPr="00261E6C">
        <w:rPr>
          <w:sz w:val="22"/>
          <w:szCs w:val="22"/>
          <w:lang w:val="hr-HR"/>
        </w:rPr>
        <w:t>Polivy se prim</w:t>
      </w:r>
      <w:r w:rsidR="00F17ABA" w:rsidRPr="00261E6C">
        <w:rPr>
          <w:sz w:val="22"/>
          <w:szCs w:val="22"/>
          <w:lang w:val="hr-HR"/>
        </w:rPr>
        <w:t>j</w:t>
      </w:r>
      <w:r w:rsidR="002836B4" w:rsidRPr="00261E6C">
        <w:rPr>
          <w:sz w:val="22"/>
          <w:szCs w:val="22"/>
          <w:lang w:val="hr-HR"/>
        </w:rPr>
        <w:t>enjivao intravenski u dozi od 1,8 mg/kg 1. dana 1. </w:t>
      </w:r>
      <w:r w:rsidR="002836B4" w:rsidRPr="00261E6C">
        <w:rPr>
          <w:sz w:val="22"/>
          <w:szCs w:val="22"/>
          <w:lang w:val="hr-HR"/>
        </w:rPr>
        <w:noBreakHyphen/>
        <w:t> 6. ciklusa. R</w:t>
      </w:r>
      <w:r w:rsidR="002836B4" w:rsidRPr="00261E6C">
        <w:rPr>
          <w:sz w:val="22"/>
          <w:szCs w:val="22"/>
          <w:lang w:val="hr-HR"/>
        </w:rPr>
        <w:noBreakHyphen/>
        <w:t>CHP ili R</w:t>
      </w:r>
      <w:r w:rsidR="002836B4" w:rsidRPr="00261E6C">
        <w:rPr>
          <w:sz w:val="22"/>
          <w:szCs w:val="22"/>
          <w:lang w:val="hr-HR"/>
        </w:rPr>
        <w:noBreakHyphen/>
        <w:t>CHOP prim</w:t>
      </w:r>
      <w:r w:rsidR="00F17ABA" w:rsidRPr="00261E6C">
        <w:rPr>
          <w:sz w:val="22"/>
          <w:szCs w:val="22"/>
          <w:lang w:val="hr-HR"/>
        </w:rPr>
        <w:t>j</w:t>
      </w:r>
      <w:r w:rsidR="002836B4" w:rsidRPr="00261E6C">
        <w:rPr>
          <w:sz w:val="22"/>
          <w:szCs w:val="22"/>
          <w:lang w:val="hr-HR"/>
        </w:rPr>
        <w:t>enjivali su se 1. dana 1. </w:t>
      </w:r>
      <w:r w:rsidR="002836B4" w:rsidRPr="00261E6C">
        <w:rPr>
          <w:sz w:val="22"/>
          <w:szCs w:val="22"/>
          <w:lang w:val="hr-HR"/>
        </w:rPr>
        <w:noBreakHyphen/>
        <w:t> 6. ciklusa, nakon čega se prim</w:t>
      </w:r>
      <w:r w:rsidR="00F17ABA" w:rsidRPr="00261E6C">
        <w:rPr>
          <w:sz w:val="22"/>
          <w:szCs w:val="22"/>
          <w:lang w:val="hr-HR"/>
        </w:rPr>
        <w:t>j</w:t>
      </w:r>
      <w:r w:rsidR="002836B4" w:rsidRPr="00261E6C">
        <w:rPr>
          <w:sz w:val="22"/>
          <w:szCs w:val="22"/>
          <w:lang w:val="hr-HR"/>
        </w:rPr>
        <w:t>enjivao samo rituksimab 1. dana 7. </w:t>
      </w:r>
      <w:r w:rsidR="002836B4" w:rsidRPr="00261E6C">
        <w:rPr>
          <w:sz w:val="22"/>
          <w:szCs w:val="22"/>
          <w:lang w:val="hr-HR"/>
        </w:rPr>
        <w:noBreakHyphen/>
        <w:t xml:space="preserve"> 8. ciklusa. Doze su se u svakoj </w:t>
      </w:r>
      <w:r w:rsidR="00E343D0" w:rsidRPr="00261E6C">
        <w:rPr>
          <w:sz w:val="22"/>
          <w:szCs w:val="22"/>
          <w:lang w:val="hr-HR"/>
        </w:rPr>
        <w:t>liječenoj</w:t>
      </w:r>
      <w:r w:rsidR="002836B4" w:rsidRPr="00261E6C">
        <w:rPr>
          <w:sz w:val="22"/>
          <w:szCs w:val="22"/>
          <w:lang w:val="hr-HR"/>
        </w:rPr>
        <w:t xml:space="preserve"> grupi prim</w:t>
      </w:r>
      <w:r w:rsidR="00F17ABA" w:rsidRPr="00261E6C">
        <w:rPr>
          <w:sz w:val="22"/>
          <w:szCs w:val="22"/>
          <w:lang w:val="hr-HR"/>
        </w:rPr>
        <w:t>j</w:t>
      </w:r>
      <w:r w:rsidR="002836B4" w:rsidRPr="00261E6C">
        <w:rPr>
          <w:sz w:val="22"/>
          <w:szCs w:val="22"/>
          <w:lang w:val="hr-HR"/>
        </w:rPr>
        <w:t>enjivale prema sl</w:t>
      </w:r>
      <w:r w:rsidR="00F17ABA" w:rsidRPr="00261E6C">
        <w:rPr>
          <w:sz w:val="22"/>
          <w:szCs w:val="22"/>
          <w:lang w:val="hr-HR"/>
        </w:rPr>
        <w:t>j</w:t>
      </w:r>
      <w:r w:rsidR="002836B4" w:rsidRPr="00261E6C">
        <w:rPr>
          <w:sz w:val="22"/>
          <w:szCs w:val="22"/>
          <w:lang w:val="hr-HR"/>
        </w:rPr>
        <w:t>edećem rasporedu:</w:t>
      </w:r>
    </w:p>
    <w:p w:rsidR="002836B4" w:rsidRPr="00C2143B" w:rsidRDefault="002836B4" w:rsidP="00124AB0">
      <w:pPr>
        <w:pStyle w:val="ListParagraph"/>
        <w:adjustRightInd w:val="0"/>
        <w:ind w:left="284" w:hanging="284"/>
        <w:rPr>
          <w:szCs w:val="22"/>
          <w:lang w:val="hr-HR"/>
        </w:rPr>
      </w:pPr>
      <w:r w:rsidRPr="00C2143B">
        <w:rPr>
          <w:szCs w:val="22"/>
          <w:lang w:val="hr-HR"/>
        </w:rPr>
        <w:sym w:font="Symbol" w:char="F0B7"/>
      </w:r>
      <w:r w:rsidRPr="00C2143B">
        <w:rPr>
          <w:szCs w:val="22"/>
          <w:lang w:val="hr-HR"/>
        </w:rPr>
        <w:tab/>
        <w:t xml:space="preserve">Grupa koja je primala </w:t>
      </w:r>
      <w:r w:rsidR="007F7FA9">
        <w:rPr>
          <w:szCs w:val="22"/>
          <w:lang w:val="hr-HR"/>
        </w:rPr>
        <w:t xml:space="preserve">lijek </w:t>
      </w:r>
      <w:r w:rsidRPr="00C2143B">
        <w:rPr>
          <w:szCs w:val="22"/>
          <w:lang w:val="hr-HR"/>
        </w:rPr>
        <w:t>Polivy + R</w:t>
      </w:r>
      <w:r w:rsidRPr="00C2143B">
        <w:rPr>
          <w:szCs w:val="22"/>
          <w:lang w:val="hr-HR"/>
        </w:rPr>
        <w:noBreakHyphen/>
        <w:t xml:space="preserve">CHP: </w:t>
      </w:r>
      <w:r w:rsidR="007F7FA9">
        <w:rPr>
          <w:szCs w:val="22"/>
          <w:lang w:val="hr-HR"/>
        </w:rPr>
        <w:t xml:space="preserve">lijek </w:t>
      </w:r>
      <w:r w:rsidRPr="00C2143B">
        <w:rPr>
          <w:szCs w:val="22"/>
          <w:lang w:val="hr-HR"/>
        </w:rPr>
        <w:t>Polivy 1,8 mg/kg, rituksimab 375 mg/m², ciklofosfamid 750 mg/m², doksorubicin 50 mg/m² i prednizon 100 mg/dan 1. </w:t>
      </w:r>
      <w:r w:rsidRPr="00C2143B">
        <w:rPr>
          <w:szCs w:val="22"/>
          <w:lang w:val="hr-HR"/>
        </w:rPr>
        <w:noBreakHyphen/>
        <w:t> 5. dana svakog ciklusa, peroralno.</w:t>
      </w:r>
    </w:p>
    <w:p w:rsidR="002836B4" w:rsidRPr="00C2143B" w:rsidRDefault="002836B4" w:rsidP="00124AB0">
      <w:pPr>
        <w:pStyle w:val="ListParagraph"/>
        <w:adjustRightInd w:val="0"/>
        <w:ind w:left="284" w:hanging="284"/>
        <w:rPr>
          <w:szCs w:val="22"/>
          <w:lang w:val="hr-HR"/>
        </w:rPr>
      </w:pPr>
      <w:r w:rsidRPr="00C2143B">
        <w:rPr>
          <w:szCs w:val="22"/>
          <w:lang w:val="hr-HR"/>
        </w:rPr>
        <w:sym w:font="Symbol" w:char="F0B7"/>
      </w:r>
      <w:r w:rsidRPr="00C2143B">
        <w:rPr>
          <w:szCs w:val="22"/>
          <w:lang w:val="hr-HR"/>
        </w:rPr>
        <w:tab/>
        <w:t>Grupa koja je primala R</w:t>
      </w:r>
      <w:r w:rsidRPr="00C2143B">
        <w:rPr>
          <w:szCs w:val="22"/>
          <w:lang w:val="hr-HR"/>
        </w:rPr>
        <w:noBreakHyphen/>
        <w:t>CHOP: rituksimab 375 mg/m², ciklofosfamid 750 mg/m², doksorubicin 50 mg/m², vinkristin 1,4 mg/m² i prednizon 100 mg/dan 1. </w:t>
      </w:r>
      <w:r w:rsidRPr="00C2143B">
        <w:rPr>
          <w:szCs w:val="22"/>
          <w:lang w:val="hr-HR"/>
        </w:rPr>
        <w:noBreakHyphen/>
        <w:t> 5. dana svakog ciklusa, peroralno.</w:t>
      </w:r>
    </w:p>
    <w:p w:rsidR="002836B4" w:rsidRPr="00261E6C" w:rsidRDefault="002836B4" w:rsidP="00E4155A">
      <w:pPr>
        <w:autoSpaceDE w:val="0"/>
        <w:autoSpaceDN w:val="0"/>
        <w:adjustRightInd w:val="0"/>
        <w:jc w:val="both"/>
        <w:rPr>
          <w:sz w:val="22"/>
          <w:szCs w:val="22"/>
          <w:lang w:val="hr-HR"/>
        </w:rPr>
      </w:pPr>
      <w:r w:rsidRPr="00261E6C">
        <w:rPr>
          <w:sz w:val="22"/>
          <w:szCs w:val="22"/>
          <w:lang w:val="hr-HR"/>
        </w:rPr>
        <w:t xml:space="preserve"> </w:t>
      </w:r>
    </w:p>
    <w:p w:rsidR="002836B4" w:rsidRPr="00261E6C" w:rsidRDefault="00F17ABA" w:rsidP="00433FEA">
      <w:pPr>
        <w:autoSpaceDE w:val="0"/>
        <w:autoSpaceDN w:val="0"/>
        <w:adjustRightInd w:val="0"/>
        <w:jc w:val="both"/>
        <w:rPr>
          <w:sz w:val="22"/>
          <w:szCs w:val="22"/>
          <w:lang w:val="hr-HR"/>
        </w:rPr>
      </w:pPr>
      <w:r w:rsidRPr="00261E6C">
        <w:rPr>
          <w:sz w:val="22"/>
          <w:szCs w:val="22"/>
          <w:lang w:val="hr-HR"/>
        </w:rPr>
        <w:t>Ob</w:t>
      </w:r>
      <w:r w:rsidR="00124AB0" w:rsidRPr="00C2143B">
        <w:rPr>
          <w:sz w:val="22"/>
          <w:szCs w:val="22"/>
          <w:lang w:val="hr-HR"/>
        </w:rPr>
        <w:t>i</w:t>
      </w:r>
      <w:r w:rsidRPr="00261E6C">
        <w:rPr>
          <w:sz w:val="22"/>
          <w:szCs w:val="22"/>
          <w:lang w:val="hr-HR"/>
        </w:rPr>
        <w:t xml:space="preserve">je </w:t>
      </w:r>
      <w:r w:rsidR="002836B4" w:rsidRPr="00261E6C">
        <w:rPr>
          <w:sz w:val="22"/>
          <w:szCs w:val="22"/>
          <w:lang w:val="hr-HR"/>
        </w:rPr>
        <w:t>grupe su generalno bile ujednačene s obzirom na početne demografske osobine i osobine bolesti. Medijana starosti iznosila je 65 godina (raspon: 19 </w:t>
      </w:r>
      <w:r w:rsidR="002836B4" w:rsidRPr="00261E6C">
        <w:rPr>
          <w:sz w:val="22"/>
          <w:szCs w:val="22"/>
          <w:lang w:val="hr-HR"/>
        </w:rPr>
        <w:noBreakHyphen/>
        <w:t> 80 godina), 53,6% pacijenata su bili b</w:t>
      </w:r>
      <w:r w:rsidRPr="00261E6C">
        <w:rPr>
          <w:sz w:val="22"/>
          <w:szCs w:val="22"/>
          <w:lang w:val="hr-HR"/>
        </w:rPr>
        <w:t>j</w:t>
      </w:r>
      <w:r w:rsidR="002836B4" w:rsidRPr="00261E6C">
        <w:rPr>
          <w:sz w:val="22"/>
          <w:szCs w:val="22"/>
          <w:lang w:val="hr-HR"/>
        </w:rPr>
        <w:t>elci</w:t>
      </w:r>
      <w:r w:rsidR="006B2015" w:rsidRPr="00C2143B">
        <w:rPr>
          <w:sz w:val="22"/>
          <w:szCs w:val="22"/>
          <w:lang w:val="hr-HR"/>
        </w:rPr>
        <w:t xml:space="preserve"> i</w:t>
      </w:r>
      <w:r w:rsidR="002836B4" w:rsidRPr="00261E6C">
        <w:rPr>
          <w:sz w:val="22"/>
          <w:szCs w:val="22"/>
          <w:lang w:val="hr-HR"/>
        </w:rPr>
        <w:t xml:space="preserve"> 53,8% muškarci, njih 43,8% imalo je veliko opterećenje tumorskom masom, 38,0% pacijenata imalo je IPI skor 2, njih 62,0% imalo je IPI skor 3 </w:t>
      </w:r>
      <w:r w:rsidR="002836B4" w:rsidRPr="00261E6C">
        <w:rPr>
          <w:sz w:val="22"/>
          <w:szCs w:val="22"/>
          <w:lang w:val="hr-HR"/>
        </w:rPr>
        <w:noBreakHyphen/>
        <w:t> 5, a 88,7% pacijenata imalo je bolest stadijuma 3 ili 4.</w:t>
      </w:r>
      <w:r w:rsidR="006B2015" w:rsidRPr="00C2143B">
        <w:rPr>
          <w:sz w:val="22"/>
          <w:szCs w:val="22"/>
          <w:lang w:val="hr-HR"/>
        </w:rPr>
        <w:t xml:space="preserve"> Većina pacijenata (84,2%) je imala DBKL (uključujući nespecifični DBKL, DBKL aktiviranih B-ćelija i DBKL B-ćelija germinalnog centra).</w:t>
      </w:r>
      <w:r w:rsidR="002836B4" w:rsidRPr="00261E6C">
        <w:rPr>
          <w:sz w:val="22"/>
          <w:szCs w:val="22"/>
          <w:lang w:val="hr-HR"/>
        </w:rPr>
        <w:t xml:space="preserve"> Za 211 pacijenata nije prijavljeno ćelijsko por</w:t>
      </w:r>
      <w:r w:rsidR="006B2015" w:rsidRPr="00C2143B">
        <w:rPr>
          <w:sz w:val="22"/>
          <w:szCs w:val="22"/>
          <w:lang w:val="hr-HR"/>
        </w:rPr>
        <w:t>ij</w:t>
      </w:r>
      <w:r w:rsidR="002836B4" w:rsidRPr="00261E6C">
        <w:rPr>
          <w:sz w:val="22"/>
          <w:szCs w:val="22"/>
          <w:lang w:val="hr-HR"/>
        </w:rPr>
        <w:t>eklo tumora. Među pacijentima pogodnim za proc</w:t>
      </w:r>
      <w:r w:rsidRPr="00261E6C">
        <w:rPr>
          <w:sz w:val="22"/>
          <w:szCs w:val="22"/>
          <w:lang w:val="hr-HR"/>
        </w:rPr>
        <w:t>j</w:t>
      </w:r>
      <w:r w:rsidR="002836B4" w:rsidRPr="00261E6C">
        <w:rPr>
          <w:sz w:val="22"/>
          <w:szCs w:val="22"/>
          <w:lang w:val="hr-HR"/>
        </w:rPr>
        <w:t>enu ćelijskog por</w:t>
      </w:r>
      <w:r w:rsidR="006B2015" w:rsidRPr="00C2143B">
        <w:rPr>
          <w:sz w:val="22"/>
          <w:szCs w:val="22"/>
          <w:lang w:val="hr-HR"/>
        </w:rPr>
        <w:t>ij</w:t>
      </w:r>
      <w:r w:rsidR="002836B4" w:rsidRPr="00261E6C">
        <w:rPr>
          <w:sz w:val="22"/>
          <w:szCs w:val="22"/>
          <w:lang w:val="hr-HR"/>
        </w:rPr>
        <w:t>ekla tumora (n=668), njih 33,1% imalo je DBKL podtipa ABC, a 52,7% pacijenata imalo je DBKL podtipa GCB utvrđen na osnovu profilisanja genske ekspresije.</w:t>
      </w:r>
    </w:p>
    <w:p w:rsidR="002836B4" w:rsidRPr="00261E6C" w:rsidRDefault="002836B4" w:rsidP="00261E6C">
      <w:pPr>
        <w:autoSpaceDE w:val="0"/>
        <w:autoSpaceDN w:val="0"/>
        <w:adjustRightInd w:val="0"/>
        <w:jc w:val="both"/>
        <w:rPr>
          <w:sz w:val="22"/>
          <w:szCs w:val="22"/>
          <w:lang w:val="hr-HR"/>
        </w:rPr>
      </w:pPr>
    </w:p>
    <w:p w:rsidR="002836B4" w:rsidRPr="00261E6C" w:rsidRDefault="002836B4" w:rsidP="00E4155A">
      <w:pPr>
        <w:autoSpaceDE w:val="0"/>
        <w:autoSpaceDN w:val="0"/>
        <w:adjustRightInd w:val="0"/>
        <w:jc w:val="both"/>
        <w:rPr>
          <w:sz w:val="22"/>
          <w:szCs w:val="22"/>
          <w:lang w:val="hr-HR"/>
        </w:rPr>
      </w:pPr>
      <w:r w:rsidRPr="00261E6C">
        <w:rPr>
          <w:sz w:val="22"/>
          <w:szCs w:val="22"/>
          <w:lang w:val="hr-HR"/>
        </w:rPr>
        <w:t xml:space="preserve">Primarni </w:t>
      </w:r>
      <w:r w:rsidR="00776322" w:rsidRPr="00C2143B">
        <w:rPr>
          <w:sz w:val="22"/>
          <w:szCs w:val="22"/>
          <w:lang w:val="hr-HR"/>
        </w:rPr>
        <w:t>parametar praćenja</w:t>
      </w:r>
      <w:r w:rsidRPr="00261E6C">
        <w:rPr>
          <w:sz w:val="22"/>
          <w:szCs w:val="22"/>
          <w:lang w:val="hr-HR"/>
        </w:rPr>
        <w:t xml:space="preserve"> u ovom ispitivanju bilo je preživljavanje bez progresije bolesti (engl. </w:t>
      </w:r>
      <w:r w:rsidRPr="00261E6C">
        <w:rPr>
          <w:i/>
          <w:sz w:val="22"/>
          <w:szCs w:val="22"/>
          <w:lang w:val="hr-HR"/>
        </w:rPr>
        <w:t>progression</w:t>
      </w:r>
      <w:r w:rsidRPr="00261E6C">
        <w:rPr>
          <w:i/>
          <w:sz w:val="22"/>
          <w:szCs w:val="22"/>
          <w:lang w:val="hr-HR"/>
        </w:rPr>
        <w:noBreakHyphen/>
        <w:t>free surival</w:t>
      </w:r>
      <w:r w:rsidRPr="00261E6C">
        <w:rPr>
          <w:sz w:val="22"/>
          <w:szCs w:val="22"/>
          <w:lang w:val="hr-HR"/>
        </w:rPr>
        <w:t>, PFS) prema proc</w:t>
      </w:r>
      <w:r w:rsidR="00F17ABA" w:rsidRPr="00261E6C">
        <w:rPr>
          <w:sz w:val="22"/>
          <w:szCs w:val="22"/>
          <w:lang w:val="hr-HR"/>
        </w:rPr>
        <w:t>j</w:t>
      </w:r>
      <w:r w:rsidRPr="00261E6C">
        <w:rPr>
          <w:sz w:val="22"/>
          <w:szCs w:val="22"/>
          <w:lang w:val="hr-HR"/>
        </w:rPr>
        <w:t>eni istraživača. Medijana trajanja praćenja iznosila je 28,2 </w:t>
      </w:r>
      <w:r w:rsidR="00F55D0F" w:rsidRPr="00261E6C">
        <w:rPr>
          <w:sz w:val="22"/>
          <w:szCs w:val="22"/>
          <w:lang w:val="hr-HR"/>
        </w:rPr>
        <w:t>mjeseci</w:t>
      </w:r>
      <w:r w:rsidRPr="00261E6C">
        <w:rPr>
          <w:sz w:val="22"/>
          <w:szCs w:val="22"/>
          <w:lang w:val="hr-HR"/>
        </w:rPr>
        <w:t>. Rezultati efikasnosti sažeto su prikazani u Tabeli 5 i na Slici 1.</w:t>
      </w:r>
    </w:p>
    <w:p w:rsidR="00687D00" w:rsidRPr="00261E6C" w:rsidRDefault="00687D00" w:rsidP="00261E6C">
      <w:pPr>
        <w:keepNext/>
        <w:autoSpaceDE w:val="0"/>
        <w:autoSpaceDN w:val="0"/>
        <w:adjustRightInd w:val="0"/>
        <w:jc w:val="both"/>
        <w:rPr>
          <w:b/>
          <w:sz w:val="22"/>
          <w:szCs w:val="22"/>
          <w:lang w:val="hr-HR"/>
        </w:rPr>
      </w:pPr>
    </w:p>
    <w:p w:rsidR="002836B4" w:rsidRPr="00261E6C" w:rsidRDefault="002836B4" w:rsidP="00261E6C">
      <w:pPr>
        <w:keepNext/>
        <w:autoSpaceDE w:val="0"/>
        <w:autoSpaceDN w:val="0"/>
        <w:adjustRightInd w:val="0"/>
        <w:ind w:left="851" w:hanging="851"/>
        <w:jc w:val="both"/>
        <w:rPr>
          <w:b/>
          <w:sz w:val="22"/>
          <w:szCs w:val="22"/>
          <w:lang w:val="hr-HR"/>
        </w:rPr>
      </w:pPr>
      <w:r w:rsidRPr="00261E6C">
        <w:rPr>
          <w:b/>
          <w:sz w:val="22"/>
          <w:szCs w:val="22"/>
          <w:lang w:val="hr-HR"/>
        </w:rPr>
        <w:t>Tabela 5</w:t>
      </w:r>
      <w:r w:rsidR="00647B40" w:rsidRPr="00C2143B">
        <w:rPr>
          <w:b/>
          <w:sz w:val="22"/>
          <w:szCs w:val="22"/>
          <w:lang w:val="hr-HR"/>
        </w:rPr>
        <w:t xml:space="preserve">: </w:t>
      </w:r>
      <w:r w:rsidRPr="00261E6C">
        <w:rPr>
          <w:b/>
          <w:sz w:val="22"/>
          <w:szCs w:val="22"/>
          <w:lang w:val="hr-HR"/>
        </w:rPr>
        <w:t>Sažetak podataka o efikasnosti kod pacijenata sa prethodno ne</w:t>
      </w:r>
      <w:r w:rsidR="003C1B7B" w:rsidRPr="00261E6C">
        <w:rPr>
          <w:b/>
          <w:sz w:val="22"/>
          <w:szCs w:val="22"/>
          <w:lang w:val="hr-HR"/>
        </w:rPr>
        <w:t>liječenim</w:t>
      </w:r>
      <w:r w:rsidRPr="00261E6C">
        <w:rPr>
          <w:b/>
          <w:sz w:val="22"/>
          <w:szCs w:val="22"/>
          <w:lang w:val="hr-HR"/>
        </w:rPr>
        <w:t xml:space="preserve"> DBKL</w:t>
      </w:r>
      <w:r w:rsidRPr="00261E6C">
        <w:rPr>
          <w:b/>
          <w:sz w:val="22"/>
          <w:szCs w:val="22"/>
          <w:lang w:val="hr-HR"/>
        </w:rPr>
        <w:noBreakHyphen/>
        <w:t>om iz ispitivanja GO39942 (POLARIX)</w:t>
      </w:r>
    </w:p>
    <w:p w:rsidR="002836B4" w:rsidRPr="00261E6C" w:rsidRDefault="002836B4" w:rsidP="00E4155A">
      <w:pPr>
        <w:keepLines/>
        <w:widowControl w:val="0"/>
        <w:autoSpaceDE w:val="0"/>
        <w:autoSpaceDN w:val="0"/>
        <w:jc w:val="both"/>
        <w:rPr>
          <w:sz w:val="22"/>
          <w:szCs w:val="22"/>
          <w:u w:val="single"/>
          <w:lang w:val="sr-Latn-RS" w:bidi="en-US"/>
        </w:rPr>
      </w:pPr>
    </w:p>
    <w:tbl>
      <w:tblPr>
        <w:tblW w:w="5000" w:type="pct"/>
        <w:tblLayout w:type="fixed"/>
        <w:tblCellMar>
          <w:left w:w="57" w:type="dxa"/>
          <w:right w:w="57" w:type="dxa"/>
        </w:tblCellMar>
        <w:tblLook w:val="00A0" w:firstRow="1" w:lastRow="0" w:firstColumn="1" w:lastColumn="0" w:noHBand="0" w:noVBand="0"/>
      </w:tblPr>
      <w:tblGrid>
        <w:gridCol w:w="5481"/>
        <w:gridCol w:w="2346"/>
        <w:gridCol w:w="2053"/>
      </w:tblGrid>
      <w:tr w:rsidR="002836B4" w:rsidRPr="00C2143B" w:rsidTr="003F5E5E">
        <w:trPr>
          <w:cantSplit/>
        </w:trPr>
        <w:tc>
          <w:tcPr>
            <w:tcW w:w="2774" w:type="pct"/>
            <w:tcBorders>
              <w:top w:val="single" w:sz="4" w:space="0" w:color="auto"/>
              <w:left w:val="single" w:sz="4" w:space="0" w:color="auto"/>
              <w:bottom w:val="single" w:sz="4" w:space="0" w:color="auto"/>
              <w:right w:val="single" w:sz="4" w:space="0" w:color="auto"/>
            </w:tcBorders>
            <w:shd w:val="clear" w:color="auto" w:fill="auto"/>
          </w:tcPr>
          <w:p w:rsidR="002836B4" w:rsidRPr="00261E6C" w:rsidRDefault="002836B4" w:rsidP="00261E6C">
            <w:pPr>
              <w:spacing w:before="50" w:after="50" w:line="240" w:lineRule="exact"/>
              <w:jc w:val="both"/>
              <w:rPr>
                <w:color w:val="000000" w:themeColor="text1"/>
                <w:sz w:val="22"/>
                <w:szCs w:val="22"/>
                <w:lang w:val="hr-HR"/>
              </w:rPr>
            </w:pPr>
          </w:p>
        </w:tc>
        <w:tc>
          <w:tcPr>
            <w:tcW w:w="1187" w:type="pct"/>
            <w:tcBorders>
              <w:top w:val="single" w:sz="4" w:space="0" w:color="auto"/>
              <w:left w:val="single" w:sz="4" w:space="0" w:color="auto"/>
              <w:bottom w:val="single" w:sz="4" w:space="0" w:color="auto"/>
              <w:right w:val="dashSmallGap" w:sz="4" w:space="0" w:color="auto"/>
            </w:tcBorders>
            <w:shd w:val="clear" w:color="auto" w:fill="auto"/>
          </w:tcPr>
          <w:p w:rsidR="002836B4" w:rsidRPr="00261E6C" w:rsidRDefault="007F7FA9" w:rsidP="00261E6C">
            <w:pPr>
              <w:spacing w:before="50" w:after="50" w:line="240" w:lineRule="exact"/>
              <w:jc w:val="both"/>
              <w:rPr>
                <w:b/>
                <w:color w:val="000000" w:themeColor="text1"/>
                <w:sz w:val="22"/>
                <w:szCs w:val="22"/>
                <w:lang w:val="hr-HR"/>
              </w:rPr>
            </w:pPr>
            <w:r>
              <w:rPr>
                <w:b/>
                <w:color w:val="000000" w:themeColor="text1"/>
                <w:sz w:val="22"/>
                <w:szCs w:val="22"/>
                <w:lang w:val="hr-HR"/>
              </w:rPr>
              <w:t xml:space="preserve">Lijek </w:t>
            </w:r>
            <w:r w:rsidR="002836B4" w:rsidRPr="00261E6C">
              <w:rPr>
                <w:b/>
                <w:color w:val="000000" w:themeColor="text1"/>
                <w:sz w:val="22"/>
                <w:szCs w:val="22"/>
                <w:lang w:val="hr-HR"/>
              </w:rPr>
              <w:t>Polivy + R-CHP</w:t>
            </w:r>
          </w:p>
          <w:p w:rsidR="002836B4" w:rsidRPr="00261E6C" w:rsidRDefault="002836B4" w:rsidP="00261E6C">
            <w:pPr>
              <w:spacing w:before="50" w:after="50" w:line="240" w:lineRule="exact"/>
              <w:jc w:val="both"/>
              <w:rPr>
                <w:b/>
                <w:color w:val="000000" w:themeColor="text1"/>
                <w:sz w:val="22"/>
                <w:szCs w:val="22"/>
                <w:lang w:val="hr-HR"/>
              </w:rPr>
            </w:pPr>
            <w:r w:rsidRPr="00261E6C">
              <w:rPr>
                <w:b/>
                <w:color w:val="000000" w:themeColor="text1"/>
                <w:sz w:val="22"/>
                <w:szCs w:val="22"/>
                <w:lang w:val="hr-HR"/>
              </w:rPr>
              <w:t>N=440</w:t>
            </w:r>
          </w:p>
        </w:tc>
        <w:tc>
          <w:tcPr>
            <w:tcW w:w="1039" w:type="pct"/>
            <w:tcBorders>
              <w:top w:val="single" w:sz="4" w:space="0" w:color="auto"/>
              <w:left w:val="dashSmallGap" w:sz="4" w:space="0" w:color="auto"/>
              <w:bottom w:val="single" w:sz="4" w:space="0" w:color="auto"/>
              <w:right w:val="single" w:sz="4" w:space="0" w:color="auto"/>
            </w:tcBorders>
            <w:shd w:val="clear" w:color="auto" w:fill="auto"/>
          </w:tcPr>
          <w:p w:rsidR="002836B4" w:rsidRPr="00261E6C" w:rsidRDefault="002836B4" w:rsidP="00261E6C">
            <w:pPr>
              <w:spacing w:before="50" w:after="50" w:line="240" w:lineRule="exact"/>
              <w:jc w:val="both"/>
              <w:rPr>
                <w:b/>
                <w:color w:val="000000" w:themeColor="text1"/>
                <w:sz w:val="22"/>
                <w:szCs w:val="22"/>
                <w:lang w:val="hr-HR"/>
              </w:rPr>
            </w:pPr>
            <w:r w:rsidRPr="00261E6C">
              <w:rPr>
                <w:b/>
                <w:color w:val="000000" w:themeColor="text1"/>
                <w:sz w:val="22"/>
                <w:szCs w:val="22"/>
                <w:lang w:val="hr-HR"/>
              </w:rPr>
              <w:t>R-CHOP</w:t>
            </w:r>
          </w:p>
          <w:p w:rsidR="002836B4" w:rsidRPr="00261E6C" w:rsidRDefault="002836B4" w:rsidP="00261E6C">
            <w:pPr>
              <w:spacing w:before="50" w:after="50" w:line="240" w:lineRule="exact"/>
              <w:jc w:val="both"/>
              <w:rPr>
                <w:b/>
                <w:color w:val="000000" w:themeColor="text1"/>
                <w:sz w:val="22"/>
                <w:szCs w:val="22"/>
                <w:lang w:val="hr-HR"/>
              </w:rPr>
            </w:pPr>
            <w:r w:rsidRPr="00261E6C">
              <w:rPr>
                <w:b/>
                <w:color w:val="000000" w:themeColor="text1"/>
                <w:sz w:val="22"/>
                <w:szCs w:val="22"/>
                <w:lang w:val="hr-HR"/>
              </w:rPr>
              <w:t>N=439</w:t>
            </w:r>
          </w:p>
        </w:tc>
      </w:tr>
      <w:tr w:rsidR="002836B4" w:rsidRPr="00C2143B" w:rsidTr="003F5E5E">
        <w:trPr>
          <w:cantSplit/>
        </w:trPr>
        <w:tc>
          <w:tcPr>
            <w:tcW w:w="2774" w:type="pct"/>
            <w:tcBorders>
              <w:top w:val="single" w:sz="4" w:space="0" w:color="auto"/>
              <w:left w:val="single" w:sz="4" w:space="0" w:color="auto"/>
              <w:bottom w:val="single" w:sz="4" w:space="0" w:color="auto"/>
              <w:right w:val="single" w:sz="4" w:space="0" w:color="auto"/>
            </w:tcBorders>
            <w:shd w:val="clear" w:color="auto" w:fill="auto"/>
          </w:tcPr>
          <w:p w:rsidR="002836B4" w:rsidRPr="00261E6C" w:rsidRDefault="002836B4" w:rsidP="00261E6C">
            <w:pPr>
              <w:spacing w:before="50" w:after="50" w:line="240" w:lineRule="exact"/>
              <w:jc w:val="both"/>
              <w:rPr>
                <w:b/>
                <w:i/>
                <w:color w:val="000000" w:themeColor="text1"/>
                <w:sz w:val="22"/>
                <w:szCs w:val="22"/>
                <w:lang w:val="hr-HR"/>
              </w:rPr>
            </w:pPr>
            <w:r w:rsidRPr="00261E6C">
              <w:rPr>
                <w:b/>
                <w:i/>
                <w:color w:val="000000" w:themeColor="text1"/>
                <w:sz w:val="22"/>
                <w:szCs w:val="22"/>
                <w:lang w:val="hr-HR"/>
              </w:rPr>
              <w:t xml:space="preserve">Primarni </w:t>
            </w:r>
            <w:r w:rsidR="00B509D6" w:rsidRPr="00C2143B">
              <w:rPr>
                <w:b/>
                <w:i/>
                <w:color w:val="000000" w:themeColor="text1"/>
                <w:sz w:val="22"/>
                <w:szCs w:val="22"/>
                <w:lang w:val="hr-HR"/>
              </w:rPr>
              <w:t>parametar praćenja</w:t>
            </w:r>
          </w:p>
        </w:tc>
        <w:tc>
          <w:tcPr>
            <w:tcW w:w="2226" w:type="pct"/>
            <w:gridSpan w:val="2"/>
            <w:tcBorders>
              <w:top w:val="single" w:sz="4" w:space="0" w:color="auto"/>
              <w:left w:val="single" w:sz="4" w:space="0" w:color="auto"/>
              <w:bottom w:val="single" w:sz="4" w:space="0" w:color="auto"/>
              <w:right w:val="single" w:sz="4" w:space="0" w:color="auto"/>
            </w:tcBorders>
            <w:shd w:val="clear" w:color="auto" w:fill="auto"/>
          </w:tcPr>
          <w:p w:rsidR="002836B4" w:rsidRPr="00261E6C" w:rsidRDefault="002836B4" w:rsidP="00261E6C">
            <w:pPr>
              <w:spacing w:before="50" w:after="50" w:line="240" w:lineRule="exact"/>
              <w:jc w:val="both"/>
              <w:rPr>
                <w:rFonts w:eastAsia="MS Mincho"/>
                <w:color w:val="000000" w:themeColor="text1"/>
                <w:sz w:val="22"/>
                <w:szCs w:val="22"/>
                <w:lang w:val="hr-HR"/>
              </w:rPr>
            </w:pPr>
          </w:p>
        </w:tc>
      </w:tr>
      <w:tr w:rsidR="002836B4" w:rsidRPr="00C2143B" w:rsidTr="003F5E5E">
        <w:trPr>
          <w:cantSplit/>
          <w:trHeight w:val="194"/>
        </w:trPr>
        <w:tc>
          <w:tcPr>
            <w:tcW w:w="2774" w:type="pct"/>
            <w:tcBorders>
              <w:top w:val="single" w:sz="4" w:space="0" w:color="auto"/>
              <w:left w:val="single" w:sz="4" w:space="0" w:color="auto"/>
              <w:right w:val="single" w:sz="4" w:space="0" w:color="auto"/>
            </w:tcBorders>
            <w:shd w:val="clear" w:color="auto" w:fill="auto"/>
          </w:tcPr>
          <w:p w:rsidR="002836B4" w:rsidRPr="00261E6C" w:rsidRDefault="002836B4" w:rsidP="00261E6C">
            <w:pPr>
              <w:spacing w:before="50" w:after="50" w:line="240" w:lineRule="exact"/>
              <w:jc w:val="both"/>
              <w:rPr>
                <w:color w:val="000000" w:themeColor="text1"/>
                <w:sz w:val="22"/>
                <w:szCs w:val="22"/>
                <w:lang w:val="hr-HR"/>
              </w:rPr>
            </w:pPr>
            <w:r w:rsidRPr="00261E6C">
              <w:rPr>
                <w:color w:val="000000" w:themeColor="text1"/>
                <w:sz w:val="22"/>
                <w:szCs w:val="22"/>
                <w:lang w:val="hr-HR"/>
              </w:rPr>
              <w:t>Preživljavanje bez progresije bolesti</w:t>
            </w:r>
            <w:r w:rsidRPr="00261E6C">
              <w:rPr>
                <w:color w:val="000000" w:themeColor="text1"/>
                <w:sz w:val="22"/>
                <w:szCs w:val="22"/>
                <w:vertAlign w:val="superscript"/>
                <w:lang w:val="hr-HR"/>
              </w:rPr>
              <w:t>1,</w:t>
            </w:r>
            <w:r w:rsidRPr="00261E6C">
              <w:rPr>
                <w:color w:val="000000" w:themeColor="text1"/>
                <w:sz w:val="22"/>
                <w:szCs w:val="22"/>
                <w:lang w:val="hr-HR"/>
              </w:rPr>
              <w:t xml:space="preserve">* </w:t>
            </w:r>
          </w:p>
        </w:tc>
        <w:tc>
          <w:tcPr>
            <w:tcW w:w="1187" w:type="pct"/>
            <w:tcBorders>
              <w:top w:val="single" w:sz="4" w:space="0" w:color="auto"/>
              <w:left w:val="single" w:sz="4" w:space="0" w:color="auto"/>
            </w:tcBorders>
            <w:shd w:val="clear" w:color="auto" w:fill="auto"/>
          </w:tcPr>
          <w:p w:rsidR="002836B4" w:rsidRPr="00261E6C" w:rsidRDefault="002836B4" w:rsidP="00261E6C">
            <w:pPr>
              <w:spacing w:before="50" w:after="50" w:line="240" w:lineRule="exact"/>
              <w:jc w:val="both"/>
              <w:rPr>
                <w:rFonts w:eastAsia="MS Mincho"/>
                <w:color w:val="000000" w:themeColor="text1"/>
                <w:sz w:val="22"/>
                <w:szCs w:val="22"/>
                <w:lang w:val="hr-HR"/>
              </w:rPr>
            </w:pPr>
          </w:p>
        </w:tc>
        <w:tc>
          <w:tcPr>
            <w:tcW w:w="1039" w:type="pct"/>
            <w:tcBorders>
              <w:top w:val="single" w:sz="4" w:space="0" w:color="auto"/>
              <w:right w:val="single" w:sz="4" w:space="0" w:color="auto"/>
            </w:tcBorders>
            <w:shd w:val="clear" w:color="auto" w:fill="auto"/>
          </w:tcPr>
          <w:p w:rsidR="002836B4" w:rsidRPr="00261E6C" w:rsidRDefault="002836B4" w:rsidP="00261E6C">
            <w:pPr>
              <w:spacing w:before="50" w:after="50" w:line="240" w:lineRule="exact"/>
              <w:jc w:val="both"/>
              <w:rPr>
                <w:rFonts w:eastAsia="MS Mincho"/>
                <w:color w:val="000000" w:themeColor="text1"/>
                <w:sz w:val="22"/>
                <w:szCs w:val="22"/>
                <w:lang w:val="hr-HR"/>
              </w:rPr>
            </w:pPr>
          </w:p>
        </w:tc>
      </w:tr>
      <w:tr w:rsidR="002836B4" w:rsidRPr="00C2143B" w:rsidTr="003F5E5E">
        <w:trPr>
          <w:cantSplit/>
          <w:trHeight w:val="194"/>
        </w:trPr>
        <w:tc>
          <w:tcPr>
            <w:tcW w:w="2774" w:type="pct"/>
            <w:tcBorders>
              <w:left w:val="single" w:sz="4" w:space="0" w:color="auto"/>
              <w:right w:val="single" w:sz="4" w:space="0" w:color="auto"/>
            </w:tcBorders>
            <w:shd w:val="clear" w:color="auto" w:fill="auto"/>
          </w:tcPr>
          <w:p w:rsidR="002836B4" w:rsidRPr="00261E6C" w:rsidRDefault="002836B4" w:rsidP="00261E6C">
            <w:pPr>
              <w:spacing w:before="50" w:after="50" w:line="240" w:lineRule="exact"/>
              <w:ind w:left="432"/>
              <w:jc w:val="both"/>
              <w:rPr>
                <w:color w:val="000000" w:themeColor="text1"/>
                <w:sz w:val="22"/>
                <w:szCs w:val="22"/>
                <w:lang w:val="hr-HR"/>
              </w:rPr>
            </w:pPr>
            <w:r w:rsidRPr="00261E6C">
              <w:rPr>
                <w:color w:val="000000" w:themeColor="text1"/>
                <w:sz w:val="22"/>
                <w:szCs w:val="22"/>
                <w:lang w:val="hr-HR"/>
              </w:rPr>
              <w:t>Broj (%) pacijenata sa događajem</w:t>
            </w:r>
          </w:p>
        </w:tc>
        <w:tc>
          <w:tcPr>
            <w:tcW w:w="1187" w:type="pct"/>
            <w:tcBorders>
              <w:left w:val="single" w:sz="4" w:space="0" w:color="auto"/>
            </w:tcBorders>
            <w:shd w:val="clear" w:color="auto" w:fill="auto"/>
          </w:tcPr>
          <w:p w:rsidR="002836B4" w:rsidRPr="00261E6C" w:rsidRDefault="002836B4" w:rsidP="00497757">
            <w:pPr>
              <w:spacing w:before="50" w:after="50" w:line="240" w:lineRule="exact"/>
              <w:jc w:val="center"/>
              <w:rPr>
                <w:rFonts w:eastAsia="MS Mincho"/>
                <w:color w:val="000000" w:themeColor="text1"/>
                <w:sz w:val="22"/>
                <w:szCs w:val="22"/>
                <w:lang w:val="hr-HR"/>
              </w:rPr>
            </w:pPr>
            <w:r w:rsidRPr="00261E6C">
              <w:rPr>
                <w:color w:val="000000" w:themeColor="text1"/>
                <w:sz w:val="22"/>
                <w:szCs w:val="22"/>
                <w:shd w:val="clear" w:color="auto" w:fill="FFFFFF"/>
                <w:lang w:val="hr-HR"/>
              </w:rPr>
              <w:t>107 (24,3%)</w:t>
            </w:r>
          </w:p>
        </w:tc>
        <w:tc>
          <w:tcPr>
            <w:tcW w:w="1039" w:type="pct"/>
            <w:tcBorders>
              <w:right w:val="single" w:sz="4" w:space="0" w:color="auto"/>
            </w:tcBorders>
            <w:shd w:val="clear" w:color="auto" w:fill="auto"/>
          </w:tcPr>
          <w:p w:rsidR="002836B4" w:rsidRPr="00261E6C" w:rsidRDefault="002836B4">
            <w:pPr>
              <w:spacing w:before="50" w:after="50" w:line="240" w:lineRule="exact"/>
              <w:jc w:val="center"/>
              <w:rPr>
                <w:rFonts w:eastAsia="MS Mincho"/>
                <w:color w:val="000000" w:themeColor="text1"/>
                <w:sz w:val="22"/>
                <w:szCs w:val="22"/>
                <w:lang w:val="hr-HR"/>
              </w:rPr>
            </w:pPr>
            <w:r w:rsidRPr="00261E6C">
              <w:rPr>
                <w:color w:val="000000" w:themeColor="text1"/>
                <w:sz w:val="22"/>
                <w:szCs w:val="22"/>
                <w:shd w:val="clear" w:color="auto" w:fill="FFFFFF"/>
                <w:lang w:val="hr-HR"/>
              </w:rPr>
              <w:t>134 (30,5%)</w:t>
            </w:r>
          </w:p>
        </w:tc>
      </w:tr>
      <w:tr w:rsidR="002836B4" w:rsidRPr="00C2143B" w:rsidTr="003F5E5E">
        <w:trPr>
          <w:cantSplit/>
        </w:trPr>
        <w:tc>
          <w:tcPr>
            <w:tcW w:w="2774" w:type="pct"/>
            <w:tcBorders>
              <w:left w:val="single" w:sz="4" w:space="0" w:color="auto"/>
              <w:bottom w:val="nil"/>
              <w:right w:val="single" w:sz="4" w:space="0" w:color="auto"/>
            </w:tcBorders>
            <w:shd w:val="clear" w:color="auto" w:fill="auto"/>
          </w:tcPr>
          <w:p w:rsidR="002836B4" w:rsidRPr="00261E6C" w:rsidRDefault="002836B4" w:rsidP="00261E6C">
            <w:pPr>
              <w:spacing w:before="50" w:after="50" w:line="240" w:lineRule="exact"/>
              <w:ind w:left="432"/>
              <w:jc w:val="both"/>
              <w:rPr>
                <w:color w:val="000000" w:themeColor="text1"/>
                <w:sz w:val="22"/>
                <w:szCs w:val="22"/>
                <w:lang w:val="hr-HR"/>
              </w:rPr>
            </w:pPr>
            <w:r w:rsidRPr="00261E6C">
              <w:rPr>
                <w:color w:val="000000" w:themeColor="text1"/>
                <w:sz w:val="22"/>
                <w:szCs w:val="22"/>
                <w:lang w:val="hr-HR"/>
              </w:rPr>
              <w:t>HR (95% CI)</w:t>
            </w:r>
          </w:p>
        </w:tc>
        <w:tc>
          <w:tcPr>
            <w:tcW w:w="2226" w:type="pct"/>
            <w:gridSpan w:val="2"/>
            <w:tcBorders>
              <w:left w:val="single" w:sz="4" w:space="0" w:color="auto"/>
              <w:bottom w:val="nil"/>
              <w:right w:val="single" w:sz="4" w:space="0" w:color="auto"/>
            </w:tcBorders>
            <w:shd w:val="clear" w:color="auto" w:fill="auto"/>
          </w:tcPr>
          <w:p w:rsidR="002836B4" w:rsidRPr="00261E6C" w:rsidRDefault="002836B4" w:rsidP="00497757">
            <w:pPr>
              <w:spacing w:before="50" w:after="50" w:line="240" w:lineRule="exact"/>
              <w:jc w:val="center"/>
              <w:rPr>
                <w:color w:val="000000" w:themeColor="text1"/>
                <w:sz w:val="22"/>
                <w:szCs w:val="22"/>
                <w:shd w:val="clear" w:color="auto" w:fill="FFFFFF"/>
                <w:lang w:val="hr-HR"/>
              </w:rPr>
            </w:pPr>
            <w:r w:rsidRPr="00261E6C">
              <w:rPr>
                <w:color w:val="000000" w:themeColor="text1"/>
                <w:sz w:val="22"/>
                <w:szCs w:val="22"/>
                <w:shd w:val="clear" w:color="auto" w:fill="FFFFFF"/>
                <w:lang w:val="hr-HR"/>
              </w:rPr>
              <w:t>0,73 [0,57; 0,95]</w:t>
            </w:r>
          </w:p>
        </w:tc>
      </w:tr>
      <w:tr w:rsidR="002836B4" w:rsidRPr="00C2143B" w:rsidTr="003F5E5E">
        <w:trPr>
          <w:cantSplit/>
        </w:trPr>
        <w:tc>
          <w:tcPr>
            <w:tcW w:w="2774" w:type="pct"/>
            <w:tcBorders>
              <w:left w:val="single" w:sz="4" w:space="0" w:color="auto"/>
              <w:bottom w:val="nil"/>
              <w:right w:val="single" w:sz="4" w:space="0" w:color="auto"/>
            </w:tcBorders>
            <w:shd w:val="clear" w:color="auto" w:fill="auto"/>
          </w:tcPr>
          <w:p w:rsidR="002836B4" w:rsidRPr="00261E6C" w:rsidRDefault="002836B4" w:rsidP="00261E6C">
            <w:pPr>
              <w:spacing w:before="50" w:after="50" w:line="240" w:lineRule="exact"/>
              <w:ind w:left="432"/>
              <w:jc w:val="both"/>
              <w:rPr>
                <w:color w:val="000000" w:themeColor="text1"/>
                <w:sz w:val="22"/>
                <w:szCs w:val="22"/>
                <w:lang w:val="hr-HR"/>
              </w:rPr>
            </w:pPr>
            <w:r w:rsidRPr="00261E6C">
              <w:rPr>
                <w:color w:val="000000" w:themeColor="text1"/>
                <w:sz w:val="22"/>
                <w:szCs w:val="22"/>
                <w:lang w:val="hr-HR"/>
              </w:rPr>
              <w:t>p</w:t>
            </w:r>
            <w:r w:rsidR="009C1C38" w:rsidRPr="00261E6C">
              <w:rPr>
                <w:color w:val="000000" w:themeColor="text1"/>
                <w:sz w:val="22"/>
                <w:szCs w:val="22"/>
                <w:lang w:val="hr-HR"/>
              </w:rPr>
              <w:noBreakHyphen/>
              <w:t>vrije</w:t>
            </w:r>
            <w:r w:rsidRPr="00261E6C">
              <w:rPr>
                <w:color w:val="000000" w:themeColor="text1"/>
                <w:sz w:val="22"/>
                <w:szCs w:val="22"/>
                <w:lang w:val="hr-HR"/>
              </w:rPr>
              <w:t>dnost</w:t>
            </w:r>
            <w:r w:rsidRPr="00261E6C">
              <w:rPr>
                <w:color w:val="000000" w:themeColor="text1"/>
                <w:sz w:val="22"/>
                <w:szCs w:val="22"/>
                <w:vertAlign w:val="superscript"/>
                <w:lang w:val="hr-HR"/>
              </w:rPr>
              <w:t>3,</w:t>
            </w:r>
            <w:r w:rsidRPr="00261E6C">
              <w:rPr>
                <w:color w:val="000000" w:themeColor="text1"/>
                <w:sz w:val="22"/>
                <w:szCs w:val="22"/>
                <w:lang w:val="hr-HR"/>
              </w:rPr>
              <w:t>**</w:t>
            </w:r>
          </w:p>
        </w:tc>
        <w:tc>
          <w:tcPr>
            <w:tcW w:w="2226" w:type="pct"/>
            <w:gridSpan w:val="2"/>
            <w:tcBorders>
              <w:left w:val="single" w:sz="4" w:space="0" w:color="auto"/>
              <w:bottom w:val="nil"/>
              <w:right w:val="single" w:sz="4" w:space="0" w:color="auto"/>
            </w:tcBorders>
            <w:shd w:val="clear" w:color="auto" w:fill="auto"/>
          </w:tcPr>
          <w:p w:rsidR="002836B4" w:rsidRPr="00261E6C" w:rsidRDefault="002836B4" w:rsidP="00497757">
            <w:pPr>
              <w:spacing w:before="50" w:after="50" w:line="240" w:lineRule="exact"/>
              <w:jc w:val="center"/>
              <w:rPr>
                <w:color w:val="000000" w:themeColor="text1"/>
                <w:sz w:val="22"/>
                <w:szCs w:val="22"/>
                <w:shd w:val="clear" w:color="auto" w:fill="FFFFFF"/>
                <w:lang w:val="hr-HR"/>
              </w:rPr>
            </w:pPr>
            <w:r w:rsidRPr="00261E6C">
              <w:rPr>
                <w:color w:val="000000" w:themeColor="text1"/>
                <w:sz w:val="22"/>
                <w:szCs w:val="22"/>
                <w:shd w:val="clear" w:color="auto" w:fill="FFFFFF"/>
                <w:lang w:val="hr-HR"/>
              </w:rPr>
              <w:t>0,0177</w:t>
            </w:r>
          </w:p>
        </w:tc>
      </w:tr>
      <w:tr w:rsidR="002836B4" w:rsidRPr="00C2143B" w:rsidTr="003F5E5E">
        <w:trPr>
          <w:cantSplit/>
        </w:trPr>
        <w:tc>
          <w:tcPr>
            <w:tcW w:w="2774" w:type="pct"/>
            <w:tcBorders>
              <w:left w:val="single" w:sz="4" w:space="0" w:color="auto"/>
              <w:bottom w:val="nil"/>
              <w:right w:val="single" w:sz="4" w:space="0" w:color="auto"/>
            </w:tcBorders>
            <w:shd w:val="clear" w:color="auto" w:fill="auto"/>
          </w:tcPr>
          <w:p w:rsidR="002836B4" w:rsidRPr="00261E6C" w:rsidRDefault="002836B4" w:rsidP="00261E6C">
            <w:pPr>
              <w:spacing w:before="50" w:after="50" w:line="240" w:lineRule="exact"/>
              <w:ind w:left="432"/>
              <w:jc w:val="both"/>
              <w:rPr>
                <w:color w:val="000000" w:themeColor="text1"/>
                <w:sz w:val="22"/>
                <w:szCs w:val="22"/>
                <w:lang w:val="hr-HR"/>
              </w:rPr>
            </w:pPr>
            <w:r w:rsidRPr="00261E6C">
              <w:rPr>
                <w:color w:val="000000" w:themeColor="text1"/>
                <w:sz w:val="22"/>
                <w:szCs w:val="22"/>
                <w:lang w:val="hr-HR"/>
              </w:rPr>
              <w:t>Proc</w:t>
            </w:r>
            <w:r w:rsidR="00575F50" w:rsidRPr="00C2143B">
              <w:rPr>
                <w:color w:val="000000" w:themeColor="text1"/>
                <w:sz w:val="22"/>
                <w:szCs w:val="22"/>
                <w:lang w:val="hr-HR"/>
              </w:rPr>
              <w:t>ij</w:t>
            </w:r>
            <w:r w:rsidRPr="00261E6C">
              <w:rPr>
                <w:color w:val="000000" w:themeColor="text1"/>
                <w:sz w:val="22"/>
                <w:szCs w:val="22"/>
                <w:lang w:val="hr-HR"/>
              </w:rPr>
              <w:t>enjeni dvogodišnji PFS (%)</w:t>
            </w:r>
          </w:p>
        </w:tc>
        <w:tc>
          <w:tcPr>
            <w:tcW w:w="1187" w:type="pct"/>
            <w:tcBorders>
              <w:left w:val="single" w:sz="4" w:space="0" w:color="auto"/>
              <w:bottom w:val="nil"/>
              <w:right w:val="single" w:sz="4" w:space="0" w:color="auto"/>
            </w:tcBorders>
            <w:shd w:val="clear" w:color="auto" w:fill="auto"/>
          </w:tcPr>
          <w:p w:rsidR="002836B4" w:rsidRPr="00261E6C" w:rsidRDefault="002836B4" w:rsidP="00497757">
            <w:pPr>
              <w:spacing w:before="50" w:after="50" w:line="240" w:lineRule="exact"/>
              <w:jc w:val="center"/>
              <w:rPr>
                <w:color w:val="000000" w:themeColor="text1"/>
                <w:sz w:val="22"/>
                <w:szCs w:val="22"/>
                <w:shd w:val="clear" w:color="auto" w:fill="FFFFFF"/>
                <w:lang w:val="hr-HR"/>
              </w:rPr>
            </w:pPr>
            <w:r w:rsidRPr="00261E6C">
              <w:rPr>
                <w:color w:val="000000" w:themeColor="text1"/>
                <w:sz w:val="22"/>
                <w:szCs w:val="22"/>
                <w:shd w:val="clear" w:color="auto" w:fill="FFFFFF"/>
                <w:lang w:val="hr-HR"/>
              </w:rPr>
              <w:t>76,7</w:t>
            </w:r>
          </w:p>
        </w:tc>
        <w:tc>
          <w:tcPr>
            <w:tcW w:w="1039" w:type="pct"/>
            <w:tcBorders>
              <w:left w:val="single" w:sz="4" w:space="0" w:color="auto"/>
              <w:bottom w:val="nil"/>
              <w:right w:val="single" w:sz="4" w:space="0" w:color="auto"/>
            </w:tcBorders>
            <w:shd w:val="clear" w:color="auto" w:fill="auto"/>
          </w:tcPr>
          <w:p w:rsidR="002836B4" w:rsidRPr="00261E6C" w:rsidRDefault="002836B4">
            <w:pPr>
              <w:spacing w:before="50" w:after="50" w:line="240" w:lineRule="exact"/>
              <w:jc w:val="center"/>
              <w:rPr>
                <w:color w:val="000000" w:themeColor="text1"/>
                <w:sz w:val="22"/>
                <w:szCs w:val="22"/>
                <w:shd w:val="clear" w:color="auto" w:fill="FFFFFF"/>
                <w:lang w:val="hr-HR"/>
              </w:rPr>
            </w:pPr>
            <w:r w:rsidRPr="00261E6C">
              <w:rPr>
                <w:color w:val="000000" w:themeColor="text1"/>
                <w:sz w:val="22"/>
                <w:szCs w:val="22"/>
                <w:shd w:val="clear" w:color="auto" w:fill="FFFFFF"/>
                <w:lang w:val="hr-HR"/>
              </w:rPr>
              <w:t>70,2</w:t>
            </w:r>
          </w:p>
        </w:tc>
      </w:tr>
      <w:tr w:rsidR="002836B4" w:rsidRPr="00C2143B" w:rsidTr="003F5E5E">
        <w:trPr>
          <w:cantSplit/>
        </w:trPr>
        <w:tc>
          <w:tcPr>
            <w:tcW w:w="2774" w:type="pct"/>
            <w:tcBorders>
              <w:left w:val="single" w:sz="4" w:space="0" w:color="auto"/>
              <w:bottom w:val="nil"/>
              <w:right w:val="single" w:sz="4" w:space="0" w:color="auto"/>
            </w:tcBorders>
            <w:shd w:val="clear" w:color="auto" w:fill="auto"/>
          </w:tcPr>
          <w:p w:rsidR="002836B4" w:rsidRPr="00261E6C" w:rsidRDefault="002836B4" w:rsidP="00261E6C">
            <w:pPr>
              <w:spacing w:before="50" w:after="50" w:line="240" w:lineRule="exact"/>
              <w:ind w:left="432"/>
              <w:jc w:val="both"/>
              <w:rPr>
                <w:color w:val="000000" w:themeColor="text1"/>
                <w:sz w:val="22"/>
                <w:szCs w:val="22"/>
                <w:lang w:val="hr-HR"/>
              </w:rPr>
            </w:pPr>
            <w:r w:rsidRPr="00261E6C">
              <w:rPr>
                <w:color w:val="000000" w:themeColor="text1"/>
                <w:sz w:val="22"/>
                <w:szCs w:val="22"/>
                <w:lang w:val="hr-HR"/>
              </w:rPr>
              <w:t>[95% CI]</w:t>
            </w:r>
          </w:p>
        </w:tc>
        <w:tc>
          <w:tcPr>
            <w:tcW w:w="1187" w:type="pct"/>
            <w:tcBorders>
              <w:left w:val="single" w:sz="4" w:space="0" w:color="auto"/>
              <w:bottom w:val="nil"/>
              <w:right w:val="single" w:sz="4" w:space="0" w:color="auto"/>
            </w:tcBorders>
            <w:shd w:val="clear" w:color="auto" w:fill="auto"/>
          </w:tcPr>
          <w:p w:rsidR="002836B4" w:rsidRPr="00261E6C" w:rsidRDefault="002836B4" w:rsidP="00497757">
            <w:pPr>
              <w:spacing w:before="50" w:after="50" w:line="240" w:lineRule="exact"/>
              <w:jc w:val="center"/>
              <w:rPr>
                <w:color w:val="000000" w:themeColor="text1"/>
                <w:sz w:val="22"/>
                <w:szCs w:val="22"/>
                <w:shd w:val="clear" w:color="auto" w:fill="FFFFFF"/>
                <w:lang w:val="hr-HR"/>
              </w:rPr>
            </w:pPr>
            <w:r w:rsidRPr="00261E6C">
              <w:rPr>
                <w:color w:val="000000" w:themeColor="text1"/>
                <w:sz w:val="22"/>
                <w:szCs w:val="22"/>
                <w:shd w:val="clear" w:color="auto" w:fill="FFFFFF"/>
                <w:lang w:val="hr-HR"/>
              </w:rPr>
              <w:t>[72,65; 80,76]</w:t>
            </w:r>
          </w:p>
        </w:tc>
        <w:tc>
          <w:tcPr>
            <w:tcW w:w="1039" w:type="pct"/>
            <w:tcBorders>
              <w:left w:val="single" w:sz="4" w:space="0" w:color="auto"/>
              <w:bottom w:val="nil"/>
              <w:right w:val="single" w:sz="4" w:space="0" w:color="auto"/>
            </w:tcBorders>
            <w:shd w:val="clear" w:color="auto" w:fill="auto"/>
          </w:tcPr>
          <w:p w:rsidR="002836B4" w:rsidRPr="00261E6C" w:rsidRDefault="002836B4">
            <w:pPr>
              <w:spacing w:before="50" w:after="50" w:line="240" w:lineRule="exact"/>
              <w:jc w:val="center"/>
              <w:rPr>
                <w:color w:val="000000" w:themeColor="text1"/>
                <w:sz w:val="22"/>
                <w:szCs w:val="22"/>
                <w:shd w:val="clear" w:color="auto" w:fill="FFFFFF"/>
                <w:lang w:val="hr-HR"/>
              </w:rPr>
            </w:pPr>
            <w:r w:rsidRPr="00261E6C">
              <w:rPr>
                <w:color w:val="000000" w:themeColor="text1"/>
                <w:sz w:val="22"/>
                <w:szCs w:val="22"/>
                <w:shd w:val="clear" w:color="auto" w:fill="FFFFFF"/>
                <w:lang w:val="hr-HR"/>
              </w:rPr>
              <w:t>[65,80; 74,61]</w:t>
            </w:r>
          </w:p>
        </w:tc>
      </w:tr>
      <w:tr w:rsidR="002836B4" w:rsidRPr="00C2143B" w:rsidTr="003F5E5E">
        <w:trPr>
          <w:cantSplit/>
        </w:trPr>
        <w:tc>
          <w:tcPr>
            <w:tcW w:w="2774" w:type="pct"/>
            <w:tcBorders>
              <w:top w:val="single" w:sz="4" w:space="0" w:color="auto"/>
              <w:left w:val="single" w:sz="4" w:space="0" w:color="auto"/>
              <w:bottom w:val="nil"/>
              <w:right w:val="single" w:sz="4" w:space="0" w:color="auto"/>
            </w:tcBorders>
            <w:shd w:val="clear" w:color="auto" w:fill="auto"/>
          </w:tcPr>
          <w:p w:rsidR="002836B4" w:rsidRPr="00261E6C" w:rsidRDefault="002836B4" w:rsidP="00261E6C">
            <w:pPr>
              <w:spacing w:before="50" w:after="50" w:line="240" w:lineRule="exact"/>
              <w:jc w:val="both"/>
              <w:rPr>
                <w:b/>
                <w:i/>
                <w:color w:val="000000" w:themeColor="text1"/>
                <w:sz w:val="22"/>
                <w:szCs w:val="22"/>
                <w:lang w:val="hr-HR"/>
              </w:rPr>
            </w:pPr>
            <w:r w:rsidRPr="00261E6C">
              <w:rPr>
                <w:b/>
                <w:i/>
                <w:color w:val="000000" w:themeColor="text1"/>
                <w:sz w:val="22"/>
                <w:szCs w:val="22"/>
                <w:lang w:val="hr-HR"/>
              </w:rPr>
              <w:t xml:space="preserve">Ključni sekundarni </w:t>
            </w:r>
            <w:r w:rsidR="005544DC" w:rsidRPr="00C2143B">
              <w:rPr>
                <w:b/>
                <w:i/>
                <w:color w:val="000000" w:themeColor="text1"/>
                <w:sz w:val="22"/>
                <w:szCs w:val="22"/>
                <w:lang w:val="hr-HR"/>
              </w:rPr>
              <w:t>parametri praćenja</w:t>
            </w:r>
          </w:p>
        </w:tc>
        <w:tc>
          <w:tcPr>
            <w:tcW w:w="2226" w:type="pct"/>
            <w:gridSpan w:val="2"/>
            <w:tcBorders>
              <w:top w:val="single" w:sz="4" w:space="0" w:color="auto"/>
              <w:left w:val="single" w:sz="4" w:space="0" w:color="auto"/>
              <w:bottom w:val="nil"/>
              <w:right w:val="single" w:sz="4" w:space="0" w:color="auto"/>
            </w:tcBorders>
            <w:shd w:val="clear" w:color="auto" w:fill="auto"/>
          </w:tcPr>
          <w:p w:rsidR="002836B4" w:rsidRPr="00261E6C" w:rsidRDefault="002836B4" w:rsidP="00261E6C">
            <w:pPr>
              <w:spacing w:before="50" w:after="50" w:line="240" w:lineRule="exact"/>
              <w:jc w:val="both"/>
              <w:rPr>
                <w:rFonts w:eastAsia="MS Mincho"/>
                <w:color w:val="000000" w:themeColor="text1"/>
                <w:sz w:val="22"/>
                <w:szCs w:val="22"/>
                <w:lang w:val="hr-HR"/>
              </w:rPr>
            </w:pPr>
          </w:p>
        </w:tc>
      </w:tr>
      <w:tr w:rsidR="002836B4" w:rsidRPr="00C2143B" w:rsidTr="003F5E5E">
        <w:trPr>
          <w:cantSplit/>
        </w:trPr>
        <w:tc>
          <w:tcPr>
            <w:tcW w:w="2774" w:type="pct"/>
            <w:tcBorders>
              <w:top w:val="single" w:sz="4" w:space="0" w:color="auto"/>
              <w:left w:val="single" w:sz="4" w:space="0" w:color="auto"/>
              <w:bottom w:val="nil"/>
              <w:right w:val="single" w:sz="4" w:space="0" w:color="auto"/>
            </w:tcBorders>
            <w:shd w:val="clear" w:color="auto" w:fill="auto"/>
          </w:tcPr>
          <w:p w:rsidR="002836B4" w:rsidRPr="00261E6C" w:rsidRDefault="002836B4" w:rsidP="00261E6C">
            <w:pPr>
              <w:spacing w:before="50" w:after="50" w:line="240" w:lineRule="exact"/>
              <w:jc w:val="both"/>
              <w:rPr>
                <w:color w:val="000000" w:themeColor="text1"/>
                <w:sz w:val="22"/>
                <w:szCs w:val="22"/>
                <w:lang w:val="hr-HR"/>
              </w:rPr>
            </w:pPr>
            <w:r w:rsidRPr="00261E6C">
              <w:rPr>
                <w:color w:val="000000" w:themeColor="text1"/>
                <w:sz w:val="22"/>
                <w:szCs w:val="22"/>
                <w:lang w:val="hr-HR"/>
              </w:rPr>
              <w:t>Preživljavanje bez događaja (EFS</w:t>
            </w:r>
            <w:r w:rsidRPr="00261E6C">
              <w:rPr>
                <w:color w:val="000000" w:themeColor="text1"/>
                <w:sz w:val="22"/>
                <w:szCs w:val="22"/>
                <w:vertAlign w:val="subscript"/>
                <w:lang w:val="hr-HR"/>
              </w:rPr>
              <w:t>eff</w:t>
            </w:r>
            <w:r w:rsidRPr="00261E6C">
              <w:rPr>
                <w:color w:val="000000" w:themeColor="text1"/>
                <w:sz w:val="22"/>
                <w:szCs w:val="22"/>
                <w:lang w:val="hr-HR"/>
              </w:rPr>
              <w:t>)</w:t>
            </w:r>
            <w:r w:rsidRPr="00261E6C">
              <w:rPr>
                <w:color w:val="000000" w:themeColor="text1"/>
                <w:sz w:val="22"/>
                <w:szCs w:val="22"/>
                <w:vertAlign w:val="superscript"/>
                <w:lang w:val="hr-HR"/>
              </w:rPr>
              <w:t>1</w:t>
            </w:r>
          </w:p>
        </w:tc>
        <w:tc>
          <w:tcPr>
            <w:tcW w:w="2226" w:type="pct"/>
            <w:gridSpan w:val="2"/>
            <w:tcBorders>
              <w:top w:val="single" w:sz="4" w:space="0" w:color="auto"/>
              <w:left w:val="single" w:sz="4" w:space="0" w:color="auto"/>
              <w:bottom w:val="nil"/>
              <w:right w:val="single" w:sz="4" w:space="0" w:color="auto"/>
            </w:tcBorders>
            <w:shd w:val="clear" w:color="auto" w:fill="auto"/>
          </w:tcPr>
          <w:p w:rsidR="002836B4" w:rsidRPr="00261E6C" w:rsidRDefault="002836B4" w:rsidP="00261E6C">
            <w:pPr>
              <w:spacing w:before="50" w:after="50" w:line="240" w:lineRule="exact"/>
              <w:jc w:val="both"/>
              <w:rPr>
                <w:rFonts w:eastAsia="MS Mincho"/>
                <w:color w:val="000000" w:themeColor="text1"/>
                <w:sz w:val="22"/>
                <w:szCs w:val="22"/>
                <w:lang w:val="hr-HR"/>
              </w:rPr>
            </w:pPr>
          </w:p>
        </w:tc>
      </w:tr>
      <w:tr w:rsidR="002836B4" w:rsidRPr="00C2143B" w:rsidTr="003F5E5E">
        <w:trPr>
          <w:cantSplit/>
        </w:trPr>
        <w:tc>
          <w:tcPr>
            <w:tcW w:w="2774" w:type="pct"/>
            <w:tcBorders>
              <w:top w:val="nil"/>
              <w:left w:val="single" w:sz="4" w:space="0" w:color="auto"/>
              <w:bottom w:val="nil"/>
              <w:right w:val="single" w:sz="4" w:space="0" w:color="auto"/>
            </w:tcBorders>
            <w:shd w:val="clear" w:color="auto" w:fill="auto"/>
          </w:tcPr>
          <w:p w:rsidR="002836B4" w:rsidRPr="00261E6C" w:rsidRDefault="002836B4" w:rsidP="00261E6C">
            <w:pPr>
              <w:spacing w:before="50" w:after="50" w:line="240" w:lineRule="exact"/>
              <w:ind w:left="432"/>
              <w:jc w:val="both"/>
              <w:rPr>
                <w:color w:val="000000" w:themeColor="text1"/>
                <w:sz w:val="22"/>
                <w:szCs w:val="22"/>
                <w:lang w:val="hr-HR"/>
              </w:rPr>
            </w:pPr>
            <w:r w:rsidRPr="00261E6C">
              <w:rPr>
                <w:color w:val="000000" w:themeColor="text1"/>
                <w:sz w:val="22"/>
                <w:szCs w:val="22"/>
                <w:lang w:val="hr-HR"/>
              </w:rPr>
              <w:t>Broj (%) pacijenata sa događajem</w:t>
            </w:r>
          </w:p>
        </w:tc>
        <w:tc>
          <w:tcPr>
            <w:tcW w:w="1187" w:type="pct"/>
            <w:tcBorders>
              <w:top w:val="nil"/>
              <w:left w:val="single" w:sz="4" w:space="0" w:color="auto"/>
              <w:right w:val="nil"/>
            </w:tcBorders>
            <w:shd w:val="clear" w:color="auto" w:fill="auto"/>
          </w:tcPr>
          <w:p w:rsidR="002836B4" w:rsidRPr="00261E6C" w:rsidRDefault="002836B4" w:rsidP="00497757">
            <w:pPr>
              <w:spacing w:before="50" w:after="50" w:line="240" w:lineRule="exact"/>
              <w:jc w:val="center"/>
              <w:rPr>
                <w:color w:val="000000" w:themeColor="text1"/>
                <w:sz w:val="22"/>
                <w:szCs w:val="22"/>
                <w:lang w:val="hr-HR"/>
              </w:rPr>
            </w:pPr>
            <w:r w:rsidRPr="00261E6C">
              <w:rPr>
                <w:color w:val="000000" w:themeColor="text1"/>
                <w:sz w:val="22"/>
                <w:szCs w:val="22"/>
                <w:shd w:val="clear" w:color="auto" w:fill="FFFFFF"/>
                <w:lang w:val="hr-HR"/>
              </w:rPr>
              <w:t>112 (25,5%)</w:t>
            </w:r>
          </w:p>
        </w:tc>
        <w:tc>
          <w:tcPr>
            <w:tcW w:w="1039" w:type="pct"/>
            <w:tcBorders>
              <w:top w:val="nil"/>
              <w:left w:val="nil"/>
              <w:right w:val="single" w:sz="4" w:space="0" w:color="auto"/>
            </w:tcBorders>
            <w:shd w:val="clear" w:color="auto" w:fill="auto"/>
          </w:tcPr>
          <w:p w:rsidR="002836B4" w:rsidRPr="00261E6C" w:rsidRDefault="002836B4">
            <w:pPr>
              <w:spacing w:before="50" w:after="50" w:line="240" w:lineRule="exact"/>
              <w:jc w:val="center"/>
              <w:rPr>
                <w:color w:val="000000" w:themeColor="text1"/>
                <w:sz w:val="22"/>
                <w:szCs w:val="22"/>
                <w:lang w:val="hr-HR"/>
              </w:rPr>
            </w:pPr>
            <w:r w:rsidRPr="00261E6C">
              <w:rPr>
                <w:color w:val="000000" w:themeColor="text1"/>
                <w:sz w:val="22"/>
                <w:szCs w:val="22"/>
                <w:shd w:val="clear" w:color="auto" w:fill="FFFFFF"/>
                <w:lang w:val="hr-HR"/>
              </w:rPr>
              <w:t>138 (31,4%)</w:t>
            </w:r>
          </w:p>
        </w:tc>
      </w:tr>
      <w:tr w:rsidR="002836B4" w:rsidRPr="00C2143B" w:rsidTr="003F5E5E">
        <w:trPr>
          <w:cantSplit/>
        </w:trPr>
        <w:tc>
          <w:tcPr>
            <w:tcW w:w="2774" w:type="pct"/>
            <w:tcBorders>
              <w:top w:val="nil"/>
              <w:left w:val="single" w:sz="4" w:space="0" w:color="auto"/>
              <w:bottom w:val="nil"/>
              <w:right w:val="single" w:sz="4" w:space="0" w:color="auto"/>
            </w:tcBorders>
            <w:shd w:val="clear" w:color="auto" w:fill="auto"/>
          </w:tcPr>
          <w:p w:rsidR="002836B4" w:rsidRPr="00261E6C" w:rsidRDefault="002836B4" w:rsidP="00261E6C">
            <w:pPr>
              <w:spacing w:before="50" w:after="50" w:line="240" w:lineRule="exact"/>
              <w:ind w:left="432"/>
              <w:jc w:val="both"/>
              <w:rPr>
                <w:color w:val="000000" w:themeColor="text1"/>
                <w:sz w:val="22"/>
                <w:szCs w:val="22"/>
                <w:lang w:val="hr-HR"/>
              </w:rPr>
            </w:pPr>
            <w:r w:rsidRPr="00261E6C">
              <w:rPr>
                <w:color w:val="000000" w:themeColor="text1"/>
                <w:sz w:val="22"/>
                <w:szCs w:val="22"/>
                <w:lang w:val="hr-HR"/>
              </w:rPr>
              <w:t>HR [95% CI]</w:t>
            </w:r>
          </w:p>
        </w:tc>
        <w:tc>
          <w:tcPr>
            <w:tcW w:w="2226" w:type="pct"/>
            <w:gridSpan w:val="2"/>
            <w:tcBorders>
              <w:top w:val="nil"/>
              <w:left w:val="single" w:sz="4" w:space="0" w:color="auto"/>
              <w:right w:val="single" w:sz="4" w:space="0" w:color="auto"/>
            </w:tcBorders>
            <w:shd w:val="clear" w:color="auto" w:fill="auto"/>
          </w:tcPr>
          <w:p w:rsidR="002836B4" w:rsidRPr="00261E6C" w:rsidRDefault="002836B4" w:rsidP="00497757">
            <w:pPr>
              <w:spacing w:before="50" w:after="50" w:line="240" w:lineRule="exact"/>
              <w:jc w:val="center"/>
              <w:rPr>
                <w:color w:val="000000" w:themeColor="text1"/>
                <w:sz w:val="22"/>
                <w:szCs w:val="22"/>
                <w:lang w:val="hr-HR"/>
              </w:rPr>
            </w:pPr>
            <w:r w:rsidRPr="00261E6C">
              <w:rPr>
                <w:color w:val="000000" w:themeColor="text1"/>
                <w:sz w:val="22"/>
                <w:szCs w:val="22"/>
                <w:shd w:val="clear" w:color="auto" w:fill="FFFFFF"/>
                <w:lang w:val="hr-HR"/>
              </w:rPr>
              <w:t>0,75 [0,58; 0,96]</w:t>
            </w:r>
          </w:p>
        </w:tc>
      </w:tr>
      <w:tr w:rsidR="002836B4" w:rsidRPr="00C2143B" w:rsidTr="003F5E5E">
        <w:trPr>
          <w:cantSplit/>
        </w:trPr>
        <w:tc>
          <w:tcPr>
            <w:tcW w:w="2774" w:type="pct"/>
            <w:tcBorders>
              <w:top w:val="nil"/>
              <w:left w:val="single" w:sz="4" w:space="0" w:color="auto"/>
              <w:bottom w:val="single" w:sz="4" w:space="0" w:color="auto"/>
              <w:right w:val="single" w:sz="4" w:space="0" w:color="auto"/>
            </w:tcBorders>
            <w:shd w:val="clear" w:color="auto" w:fill="auto"/>
          </w:tcPr>
          <w:p w:rsidR="002836B4" w:rsidRPr="00261E6C" w:rsidRDefault="002836B4" w:rsidP="00261E6C">
            <w:pPr>
              <w:spacing w:before="50" w:after="50" w:line="240" w:lineRule="exact"/>
              <w:ind w:left="432"/>
              <w:jc w:val="both"/>
              <w:rPr>
                <w:color w:val="000000" w:themeColor="text1"/>
                <w:sz w:val="22"/>
                <w:szCs w:val="22"/>
                <w:lang w:val="hr-HR"/>
              </w:rPr>
            </w:pPr>
            <w:r w:rsidRPr="00261E6C">
              <w:rPr>
                <w:color w:val="000000" w:themeColor="text1"/>
                <w:sz w:val="22"/>
                <w:szCs w:val="22"/>
                <w:lang w:val="hr-HR"/>
              </w:rPr>
              <w:t>p</w:t>
            </w:r>
            <w:r w:rsidRPr="00261E6C">
              <w:rPr>
                <w:color w:val="000000" w:themeColor="text1"/>
                <w:sz w:val="22"/>
                <w:szCs w:val="22"/>
                <w:lang w:val="hr-HR"/>
              </w:rPr>
              <w:noBreakHyphen/>
              <w:t>vr</w:t>
            </w:r>
            <w:r w:rsidR="009C1C38" w:rsidRPr="00261E6C">
              <w:rPr>
                <w:color w:val="000000" w:themeColor="text1"/>
                <w:sz w:val="22"/>
                <w:szCs w:val="22"/>
                <w:lang w:val="hr-HR"/>
              </w:rPr>
              <w:t>ij</w:t>
            </w:r>
            <w:r w:rsidRPr="00261E6C">
              <w:rPr>
                <w:color w:val="000000" w:themeColor="text1"/>
                <w:sz w:val="22"/>
                <w:szCs w:val="22"/>
                <w:lang w:val="hr-HR"/>
              </w:rPr>
              <w:t>ednost</w:t>
            </w:r>
            <w:r w:rsidRPr="00261E6C">
              <w:rPr>
                <w:color w:val="000000" w:themeColor="text1"/>
                <w:sz w:val="22"/>
                <w:szCs w:val="22"/>
                <w:vertAlign w:val="superscript"/>
                <w:lang w:val="hr-HR"/>
              </w:rPr>
              <w:t>3,</w:t>
            </w:r>
            <w:r w:rsidRPr="00261E6C">
              <w:rPr>
                <w:color w:val="000000" w:themeColor="text1"/>
                <w:sz w:val="22"/>
                <w:szCs w:val="22"/>
                <w:lang w:val="hr-HR"/>
              </w:rPr>
              <w:t>**</w:t>
            </w:r>
          </w:p>
        </w:tc>
        <w:tc>
          <w:tcPr>
            <w:tcW w:w="2226" w:type="pct"/>
            <w:gridSpan w:val="2"/>
            <w:tcBorders>
              <w:top w:val="nil"/>
              <w:left w:val="single" w:sz="4" w:space="0" w:color="auto"/>
              <w:bottom w:val="single" w:sz="4" w:space="0" w:color="auto"/>
              <w:right w:val="single" w:sz="4" w:space="0" w:color="auto"/>
            </w:tcBorders>
            <w:shd w:val="clear" w:color="auto" w:fill="auto"/>
          </w:tcPr>
          <w:p w:rsidR="002836B4" w:rsidRPr="00261E6C" w:rsidRDefault="002836B4" w:rsidP="00497757">
            <w:pPr>
              <w:spacing w:before="50" w:after="50" w:line="240" w:lineRule="exact"/>
              <w:jc w:val="center"/>
              <w:rPr>
                <w:color w:val="000000" w:themeColor="text1"/>
                <w:sz w:val="22"/>
                <w:szCs w:val="22"/>
                <w:lang w:val="hr-HR"/>
              </w:rPr>
            </w:pPr>
            <w:r w:rsidRPr="00261E6C">
              <w:rPr>
                <w:color w:val="000000" w:themeColor="text1"/>
                <w:sz w:val="22"/>
                <w:szCs w:val="22"/>
                <w:shd w:val="clear" w:color="auto" w:fill="FFFFFF"/>
                <w:lang w:val="hr-HR"/>
              </w:rPr>
              <w:t>0,0244</w:t>
            </w:r>
          </w:p>
        </w:tc>
      </w:tr>
      <w:tr w:rsidR="002836B4" w:rsidRPr="00C2143B" w:rsidTr="003F5E5E">
        <w:trPr>
          <w:cantSplit/>
        </w:trPr>
        <w:tc>
          <w:tcPr>
            <w:tcW w:w="2774" w:type="pct"/>
            <w:tcBorders>
              <w:top w:val="single" w:sz="4" w:space="0" w:color="auto"/>
              <w:left w:val="single" w:sz="4" w:space="0" w:color="auto"/>
              <w:bottom w:val="nil"/>
              <w:right w:val="single" w:sz="4" w:space="0" w:color="auto"/>
            </w:tcBorders>
            <w:shd w:val="clear" w:color="auto" w:fill="auto"/>
          </w:tcPr>
          <w:p w:rsidR="002836B4" w:rsidRPr="00261E6C" w:rsidRDefault="002836B4" w:rsidP="00261E6C">
            <w:pPr>
              <w:keepNext/>
              <w:spacing w:before="50" w:after="50" w:line="240" w:lineRule="exact"/>
              <w:jc w:val="both"/>
              <w:rPr>
                <w:color w:val="000000" w:themeColor="text1"/>
                <w:sz w:val="22"/>
                <w:szCs w:val="22"/>
                <w:vertAlign w:val="superscript"/>
                <w:lang w:val="hr-HR"/>
              </w:rPr>
            </w:pPr>
            <w:r w:rsidRPr="00261E6C">
              <w:rPr>
                <w:color w:val="000000" w:themeColor="text1"/>
                <w:sz w:val="22"/>
                <w:szCs w:val="22"/>
                <w:lang w:val="hr-HR"/>
              </w:rPr>
              <w:t xml:space="preserve">Stopa objektivnog odgovora (ORR) na kraju </w:t>
            </w:r>
            <w:r w:rsidR="00E343D0" w:rsidRPr="00261E6C">
              <w:rPr>
                <w:color w:val="000000" w:themeColor="text1"/>
                <w:sz w:val="22"/>
                <w:szCs w:val="22"/>
                <w:lang w:val="hr-HR"/>
              </w:rPr>
              <w:t>liječenja</w:t>
            </w:r>
            <w:r w:rsidRPr="00261E6C">
              <w:rPr>
                <w:color w:val="000000" w:themeColor="text1"/>
                <w:sz w:val="22"/>
                <w:szCs w:val="22"/>
                <w:vertAlign w:val="superscript"/>
                <w:lang w:val="hr-HR"/>
              </w:rPr>
              <w:t>2</w:t>
            </w:r>
          </w:p>
        </w:tc>
        <w:tc>
          <w:tcPr>
            <w:tcW w:w="2226" w:type="pct"/>
            <w:gridSpan w:val="2"/>
            <w:tcBorders>
              <w:top w:val="single" w:sz="4" w:space="0" w:color="auto"/>
              <w:left w:val="single" w:sz="4" w:space="0" w:color="auto"/>
              <w:right w:val="single" w:sz="4" w:space="0" w:color="auto"/>
            </w:tcBorders>
            <w:shd w:val="clear" w:color="auto" w:fill="auto"/>
          </w:tcPr>
          <w:p w:rsidR="002836B4" w:rsidRPr="00261E6C" w:rsidRDefault="002836B4" w:rsidP="00497757">
            <w:pPr>
              <w:keepNext/>
              <w:spacing w:before="50" w:after="50" w:line="240" w:lineRule="exact"/>
              <w:jc w:val="center"/>
              <w:rPr>
                <w:rFonts w:eastAsia="MS Mincho"/>
                <w:color w:val="000000" w:themeColor="text1"/>
                <w:sz w:val="22"/>
                <w:szCs w:val="22"/>
                <w:lang w:val="hr-HR"/>
              </w:rPr>
            </w:pPr>
          </w:p>
        </w:tc>
      </w:tr>
      <w:tr w:rsidR="002836B4" w:rsidRPr="00C2143B" w:rsidTr="003F5E5E">
        <w:trPr>
          <w:cantSplit/>
        </w:trPr>
        <w:tc>
          <w:tcPr>
            <w:tcW w:w="2774" w:type="pct"/>
            <w:tcBorders>
              <w:top w:val="nil"/>
              <w:left w:val="single" w:sz="4" w:space="0" w:color="auto"/>
              <w:bottom w:val="nil"/>
              <w:right w:val="single" w:sz="4" w:space="0" w:color="auto"/>
            </w:tcBorders>
            <w:shd w:val="clear" w:color="auto" w:fill="auto"/>
          </w:tcPr>
          <w:p w:rsidR="002836B4" w:rsidRPr="00261E6C" w:rsidRDefault="002836B4" w:rsidP="00261E6C">
            <w:pPr>
              <w:keepNext/>
              <w:spacing w:before="50" w:after="50" w:line="240" w:lineRule="exact"/>
              <w:ind w:left="432"/>
              <w:jc w:val="both"/>
              <w:rPr>
                <w:color w:val="000000" w:themeColor="text1"/>
                <w:sz w:val="22"/>
                <w:szCs w:val="22"/>
                <w:lang w:val="hr-HR"/>
              </w:rPr>
            </w:pPr>
            <w:r w:rsidRPr="00261E6C">
              <w:rPr>
                <w:color w:val="000000" w:themeColor="text1"/>
                <w:sz w:val="22"/>
                <w:szCs w:val="22"/>
                <w:lang w:val="hr-HR"/>
              </w:rPr>
              <w:t>Ispitanici sa odgovorom (%) (CR, PR)</w:t>
            </w:r>
          </w:p>
        </w:tc>
        <w:tc>
          <w:tcPr>
            <w:tcW w:w="1187" w:type="pct"/>
            <w:tcBorders>
              <w:left w:val="single" w:sz="4" w:space="0" w:color="auto"/>
            </w:tcBorders>
            <w:shd w:val="clear" w:color="auto" w:fill="auto"/>
          </w:tcPr>
          <w:p w:rsidR="002836B4" w:rsidRPr="00261E6C" w:rsidRDefault="002836B4" w:rsidP="00497757">
            <w:pPr>
              <w:keepNext/>
              <w:tabs>
                <w:tab w:val="left" w:pos="1840"/>
              </w:tabs>
              <w:spacing w:before="50" w:after="50" w:line="240" w:lineRule="exact"/>
              <w:jc w:val="center"/>
              <w:rPr>
                <w:color w:val="000000" w:themeColor="text1"/>
                <w:sz w:val="22"/>
                <w:szCs w:val="22"/>
                <w:lang w:val="hr-HR"/>
              </w:rPr>
            </w:pPr>
            <w:r w:rsidRPr="00261E6C">
              <w:rPr>
                <w:color w:val="000000" w:themeColor="text1"/>
                <w:sz w:val="22"/>
                <w:szCs w:val="22"/>
                <w:shd w:val="clear" w:color="auto" w:fill="FFFFFF"/>
                <w:lang w:val="hr-HR"/>
              </w:rPr>
              <w:t>376 (85,5%)</w:t>
            </w:r>
          </w:p>
        </w:tc>
        <w:tc>
          <w:tcPr>
            <w:tcW w:w="1039" w:type="pct"/>
            <w:tcBorders>
              <w:left w:val="nil"/>
              <w:right w:val="single" w:sz="4" w:space="0" w:color="auto"/>
            </w:tcBorders>
            <w:shd w:val="clear" w:color="auto" w:fill="auto"/>
          </w:tcPr>
          <w:p w:rsidR="002836B4" w:rsidRPr="00261E6C" w:rsidRDefault="002836B4">
            <w:pPr>
              <w:keepNext/>
              <w:spacing w:before="50" w:after="50" w:line="240" w:lineRule="exact"/>
              <w:jc w:val="center"/>
              <w:rPr>
                <w:color w:val="000000" w:themeColor="text1"/>
                <w:sz w:val="22"/>
                <w:szCs w:val="22"/>
                <w:lang w:val="hr-HR"/>
              </w:rPr>
            </w:pPr>
            <w:r w:rsidRPr="00261E6C">
              <w:rPr>
                <w:color w:val="000000" w:themeColor="text1"/>
                <w:sz w:val="22"/>
                <w:szCs w:val="22"/>
                <w:shd w:val="clear" w:color="auto" w:fill="FFFFFF"/>
                <w:lang w:val="hr-HR"/>
              </w:rPr>
              <w:t>368 (83,8%)</w:t>
            </w:r>
          </w:p>
        </w:tc>
      </w:tr>
      <w:tr w:rsidR="002836B4" w:rsidRPr="00C2143B" w:rsidTr="003F5E5E">
        <w:trPr>
          <w:cantSplit/>
        </w:trPr>
        <w:tc>
          <w:tcPr>
            <w:tcW w:w="2774" w:type="pct"/>
            <w:tcBorders>
              <w:top w:val="nil"/>
              <w:left w:val="single" w:sz="4" w:space="0" w:color="auto"/>
              <w:bottom w:val="nil"/>
              <w:right w:val="single" w:sz="4" w:space="0" w:color="auto"/>
            </w:tcBorders>
            <w:shd w:val="clear" w:color="auto" w:fill="auto"/>
          </w:tcPr>
          <w:p w:rsidR="002836B4" w:rsidRPr="00261E6C" w:rsidRDefault="002836B4" w:rsidP="00261E6C">
            <w:pPr>
              <w:keepNext/>
              <w:ind w:left="862"/>
              <w:jc w:val="both"/>
              <w:rPr>
                <w:color w:val="000000" w:themeColor="text1"/>
                <w:sz w:val="22"/>
                <w:szCs w:val="22"/>
                <w:lang w:val="hr-HR"/>
              </w:rPr>
            </w:pPr>
            <w:r w:rsidRPr="00261E6C">
              <w:rPr>
                <w:color w:val="000000" w:themeColor="text1"/>
                <w:sz w:val="22"/>
                <w:szCs w:val="22"/>
                <w:lang w:val="hr-HR"/>
              </w:rPr>
              <w:t>Razlika u stopi odgovora (%) [95% CI]</w:t>
            </w:r>
          </w:p>
        </w:tc>
        <w:tc>
          <w:tcPr>
            <w:tcW w:w="2226" w:type="pct"/>
            <w:gridSpan w:val="2"/>
            <w:tcBorders>
              <w:left w:val="single" w:sz="4" w:space="0" w:color="auto"/>
              <w:right w:val="single" w:sz="4" w:space="0" w:color="auto"/>
            </w:tcBorders>
            <w:shd w:val="clear" w:color="auto" w:fill="auto"/>
          </w:tcPr>
          <w:p w:rsidR="002836B4" w:rsidRPr="00261E6C" w:rsidRDefault="002836B4" w:rsidP="00497757">
            <w:pPr>
              <w:keepNext/>
              <w:spacing w:before="50" w:after="50" w:line="240" w:lineRule="exact"/>
              <w:jc w:val="center"/>
              <w:rPr>
                <w:color w:val="000000" w:themeColor="text1"/>
                <w:sz w:val="22"/>
                <w:szCs w:val="22"/>
                <w:lang w:val="hr-HR"/>
              </w:rPr>
            </w:pPr>
            <w:r w:rsidRPr="00261E6C">
              <w:rPr>
                <w:color w:val="000000" w:themeColor="text1"/>
                <w:sz w:val="22"/>
                <w:szCs w:val="22"/>
                <w:shd w:val="clear" w:color="auto" w:fill="FFFFFF"/>
                <w:lang w:val="hr-HR"/>
              </w:rPr>
              <w:t>1,63 [</w:t>
            </w:r>
            <w:r w:rsidRPr="00261E6C">
              <w:rPr>
                <w:color w:val="000000" w:themeColor="text1"/>
                <w:sz w:val="22"/>
                <w:szCs w:val="22"/>
                <w:shd w:val="clear" w:color="auto" w:fill="FFFFFF"/>
                <w:lang w:val="hr-HR"/>
              </w:rPr>
              <w:noBreakHyphen/>
              <w:t>3,32; 6,57]</w:t>
            </w:r>
          </w:p>
        </w:tc>
      </w:tr>
      <w:tr w:rsidR="002836B4" w:rsidRPr="00C2143B" w:rsidTr="003F5E5E">
        <w:trPr>
          <w:cantSplit/>
        </w:trPr>
        <w:tc>
          <w:tcPr>
            <w:tcW w:w="2774" w:type="pct"/>
            <w:tcBorders>
              <w:top w:val="nil"/>
              <w:left w:val="single" w:sz="4" w:space="0" w:color="auto"/>
              <w:bottom w:val="nil"/>
              <w:right w:val="single" w:sz="4" w:space="0" w:color="auto"/>
            </w:tcBorders>
            <w:shd w:val="clear" w:color="auto" w:fill="auto"/>
          </w:tcPr>
          <w:p w:rsidR="002836B4" w:rsidRPr="00261E6C" w:rsidRDefault="002836B4" w:rsidP="00261E6C">
            <w:pPr>
              <w:keepNext/>
              <w:spacing w:before="50" w:after="50" w:line="240" w:lineRule="exact"/>
              <w:ind w:left="432"/>
              <w:jc w:val="both"/>
              <w:rPr>
                <w:color w:val="000000" w:themeColor="text1"/>
                <w:sz w:val="22"/>
                <w:szCs w:val="22"/>
                <w:lang w:val="hr-HR"/>
              </w:rPr>
            </w:pPr>
            <w:r w:rsidRPr="00261E6C">
              <w:rPr>
                <w:color w:val="000000" w:themeColor="text1"/>
                <w:sz w:val="22"/>
                <w:szCs w:val="22"/>
                <w:lang w:val="hr-HR"/>
              </w:rPr>
              <w:t>Stopa kompletnog odgovora (CR) (%)</w:t>
            </w:r>
            <w:r w:rsidRPr="00261E6C">
              <w:rPr>
                <w:color w:val="000000" w:themeColor="text1"/>
                <w:sz w:val="22"/>
                <w:szCs w:val="22"/>
                <w:vertAlign w:val="superscript"/>
                <w:lang w:val="hr-HR"/>
              </w:rPr>
              <w:t>2,</w:t>
            </w:r>
            <w:r w:rsidRPr="00261E6C">
              <w:rPr>
                <w:color w:val="000000" w:themeColor="text1"/>
                <w:sz w:val="22"/>
                <w:szCs w:val="22"/>
                <w:lang w:val="hr-HR"/>
              </w:rPr>
              <w:t>*</w:t>
            </w:r>
          </w:p>
        </w:tc>
        <w:tc>
          <w:tcPr>
            <w:tcW w:w="1187" w:type="pct"/>
            <w:tcBorders>
              <w:left w:val="single" w:sz="4" w:space="0" w:color="auto"/>
            </w:tcBorders>
            <w:shd w:val="clear" w:color="auto" w:fill="auto"/>
          </w:tcPr>
          <w:p w:rsidR="002836B4" w:rsidRPr="00261E6C" w:rsidRDefault="002836B4" w:rsidP="00497757">
            <w:pPr>
              <w:keepNext/>
              <w:spacing w:before="50" w:after="50" w:line="240" w:lineRule="exact"/>
              <w:jc w:val="center"/>
              <w:rPr>
                <w:color w:val="000000" w:themeColor="text1"/>
                <w:sz w:val="22"/>
                <w:szCs w:val="22"/>
                <w:lang w:val="hr-HR"/>
              </w:rPr>
            </w:pPr>
          </w:p>
        </w:tc>
        <w:tc>
          <w:tcPr>
            <w:tcW w:w="1039" w:type="pct"/>
            <w:tcBorders>
              <w:right w:val="single" w:sz="4" w:space="0" w:color="auto"/>
            </w:tcBorders>
            <w:shd w:val="clear" w:color="auto" w:fill="auto"/>
          </w:tcPr>
          <w:p w:rsidR="002836B4" w:rsidRPr="00261E6C" w:rsidRDefault="002836B4">
            <w:pPr>
              <w:keepNext/>
              <w:spacing w:before="50" w:after="50" w:line="240" w:lineRule="exact"/>
              <w:jc w:val="center"/>
              <w:rPr>
                <w:color w:val="000000" w:themeColor="text1"/>
                <w:sz w:val="22"/>
                <w:szCs w:val="22"/>
                <w:lang w:val="hr-HR"/>
              </w:rPr>
            </w:pPr>
          </w:p>
        </w:tc>
      </w:tr>
      <w:tr w:rsidR="002836B4" w:rsidRPr="00C2143B" w:rsidTr="003F5E5E">
        <w:trPr>
          <w:cantSplit/>
        </w:trPr>
        <w:tc>
          <w:tcPr>
            <w:tcW w:w="2774" w:type="pct"/>
            <w:tcBorders>
              <w:top w:val="nil"/>
              <w:left w:val="single" w:sz="4" w:space="0" w:color="auto"/>
              <w:bottom w:val="nil"/>
              <w:right w:val="single" w:sz="4" w:space="0" w:color="auto"/>
            </w:tcBorders>
            <w:shd w:val="clear" w:color="auto" w:fill="auto"/>
          </w:tcPr>
          <w:p w:rsidR="002836B4" w:rsidRPr="00261E6C" w:rsidRDefault="002836B4" w:rsidP="00261E6C">
            <w:pPr>
              <w:keepNext/>
              <w:ind w:left="862"/>
              <w:jc w:val="both"/>
              <w:rPr>
                <w:color w:val="000000" w:themeColor="text1"/>
                <w:sz w:val="22"/>
                <w:szCs w:val="22"/>
                <w:lang w:val="hr-HR"/>
              </w:rPr>
            </w:pPr>
            <w:r w:rsidRPr="00261E6C">
              <w:rPr>
                <w:color w:val="000000" w:themeColor="text1"/>
                <w:sz w:val="22"/>
                <w:szCs w:val="22"/>
                <w:lang w:val="hr-HR"/>
              </w:rPr>
              <w:t>Pacijenti sa odgovorom (%)</w:t>
            </w:r>
          </w:p>
        </w:tc>
        <w:tc>
          <w:tcPr>
            <w:tcW w:w="1187" w:type="pct"/>
            <w:tcBorders>
              <w:left w:val="single" w:sz="4" w:space="0" w:color="auto"/>
              <w:right w:val="single" w:sz="4" w:space="0" w:color="auto"/>
            </w:tcBorders>
            <w:shd w:val="clear" w:color="auto" w:fill="auto"/>
          </w:tcPr>
          <w:p w:rsidR="002836B4" w:rsidRPr="00261E6C" w:rsidRDefault="002836B4" w:rsidP="00497757">
            <w:pPr>
              <w:keepNext/>
              <w:spacing w:before="50" w:after="50" w:line="240" w:lineRule="exact"/>
              <w:jc w:val="center"/>
              <w:rPr>
                <w:color w:val="000000" w:themeColor="text1"/>
                <w:sz w:val="22"/>
                <w:szCs w:val="22"/>
                <w:lang w:val="hr-HR"/>
              </w:rPr>
            </w:pPr>
            <w:r w:rsidRPr="00261E6C">
              <w:rPr>
                <w:color w:val="000000" w:themeColor="text1"/>
                <w:sz w:val="22"/>
                <w:szCs w:val="22"/>
                <w:shd w:val="clear" w:color="auto" w:fill="FFFFFF"/>
                <w:lang w:val="hr-HR"/>
              </w:rPr>
              <w:t>343 (78,0%)</w:t>
            </w:r>
          </w:p>
        </w:tc>
        <w:tc>
          <w:tcPr>
            <w:tcW w:w="1039" w:type="pct"/>
            <w:tcBorders>
              <w:left w:val="single" w:sz="4" w:space="0" w:color="auto"/>
              <w:right w:val="single" w:sz="4" w:space="0" w:color="auto"/>
            </w:tcBorders>
            <w:shd w:val="clear" w:color="auto" w:fill="auto"/>
          </w:tcPr>
          <w:p w:rsidR="002836B4" w:rsidRPr="00261E6C" w:rsidRDefault="002836B4">
            <w:pPr>
              <w:keepNext/>
              <w:spacing w:before="50" w:after="50" w:line="240" w:lineRule="exact"/>
              <w:jc w:val="center"/>
              <w:rPr>
                <w:color w:val="000000" w:themeColor="text1"/>
                <w:sz w:val="22"/>
                <w:szCs w:val="22"/>
                <w:lang w:val="hr-HR"/>
              </w:rPr>
            </w:pPr>
            <w:r w:rsidRPr="00261E6C">
              <w:rPr>
                <w:color w:val="000000" w:themeColor="text1"/>
                <w:sz w:val="22"/>
                <w:szCs w:val="22"/>
                <w:shd w:val="clear" w:color="auto" w:fill="FFFFFF"/>
                <w:lang w:val="hr-HR"/>
              </w:rPr>
              <w:t>325 (74,0%)</w:t>
            </w:r>
          </w:p>
        </w:tc>
      </w:tr>
      <w:tr w:rsidR="002836B4" w:rsidRPr="00C2143B" w:rsidTr="003F5E5E">
        <w:trPr>
          <w:cantSplit/>
        </w:trPr>
        <w:tc>
          <w:tcPr>
            <w:tcW w:w="2774" w:type="pct"/>
            <w:tcBorders>
              <w:top w:val="nil"/>
              <w:left w:val="single" w:sz="4" w:space="0" w:color="auto"/>
              <w:bottom w:val="nil"/>
              <w:right w:val="single" w:sz="4" w:space="0" w:color="auto"/>
            </w:tcBorders>
            <w:shd w:val="clear" w:color="auto" w:fill="auto"/>
          </w:tcPr>
          <w:p w:rsidR="002836B4" w:rsidRPr="00261E6C" w:rsidRDefault="002836B4" w:rsidP="00261E6C">
            <w:pPr>
              <w:keepNext/>
              <w:ind w:left="862"/>
              <w:jc w:val="both"/>
              <w:rPr>
                <w:color w:val="000000" w:themeColor="text1"/>
                <w:sz w:val="22"/>
                <w:szCs w:val="22"/>
                <w:lang w:val="hr-HR"/>
              </w:rPr>
            </w:pPr>
            <w:r w:rsidRPr="00261E6C">
              <w:rPr>
                <w:color w:val="000000" w:themeColor="text1"/>
                <w:sz w:val="22"/>
                <w:szCs w:val="22"/>
                <w:lang w:val="hr-HR"/>
              </w:rPr>
              <w:t>Razlika u stopi odgovora (%) [95% CI]</w:t>
            </w:r>
          </w:p>
        </w:tc>
        <w:tc>
          <w:tcPr>
            <w:tcW w:w="2226" w:type="pct"/>
            <w:gridSpan w:val="2"/>
            <w:tcBorders>
              <w:left w:val="single" w:sz="4" w:space="0" w:color="auto"/>
              <w:right w:val="single" w:sz="4" w:space="0" w:color="auto"/>
            </w:tcBorders>
            <w:shd w:val="clear" w:color="auto" w:fill="auto"/>
          </w:tcPr>
          <w:p w:rsidR="002836B4" w:rsidRPr="00261E6C" w:rsidRDefault="002836B4" w:rsidP="00497757">
            <w:pPr>
              <w:keepNext/>
              <w:spacing w:before="50" w:after="50" w:line="240" w:lineRule="exact"/>
              <w:jc w:val="center"/>
              <w:rPr>
                <w:color w:val="000000" w:themeColor="text1"/>
                <w:sz w:val="22"/>
                <w:szCs w:val="22"/>
                <w:lang w:val="hr-HR"/>
              </w:rPr>
            </w:pPr>
            <w:r w:rsidRPr="00261E6C">
              <w:rPr>
                <w:color w:val="000000" w:themeColor="text1"/>
                <w:sz w:val="22"/>
                <w:szCs w:val="22"/>
                <w:shd w:val="clear" w:color="auto" w:fill="FFFFFF"/>
                <w:lang w:val="hr-HR"/>
              </w:rPr>
              <w:t>3,92 [</w:t>
            </w:r>
            <w:r w:rsidRPr="00261E6C">
              <w:rPr>
                <w:color w:val="000000" w:themeColor="text1"/>
                <w:sz w:val="22"/>
                <w:szCs w:val="22"/>
                <w:shd w:val="clear" w:color="auto" w:fill="FFFFFF"/>
                <w:lang w:val="hr-HR"/>
              </w:rPr>
              <w:noBreakHyphen/>
              <w:t>1,89; 9,70]</w:t>
            </w:r>
          </w:p>
        </w:tc>
      </w:tr>
      <w:tr w:rsidR="002836B4" w:rsidRPr="00C2143B" w:rsidTr="003F5E5E">
        <w:trPr>
          <w:cantSplit/>
        </w:trPr>
        <w:tc>
          <w:tcPr>
            <w:tcW w:w="2774" w:type="pct"/>
            <w:tcBorders>
              <w:top w:val="nil"/>
              <w:left w:val="single" w:sz="4" w:space="0" w:color="auto"/>
              <w:right w:val="single" w:sz="4" w:space="0" w:color="auto"/>
            </w:tcBorders>
            <w:shd w:val="clear" w:color="auto" w:fill="auto"/>
          </w:tcPr>
          <w:p w:rsidR="002836B4" w:rsidRPr="00261E6C" w:rsidRDefault="002836B4" w:rsidP="00261E6C">
            <w:pPr>
              <w:keepNext/>
              <w:spacing w:before="50" w:after="50" w:line="240" w:lineRule="exact"/>
              <w:ind w:left="432"/>
              <w:jc w:val="both"/>
              <w:rPr>
                <w:color w:val="000000" w:themeColor="text1"/>
                <w:sz w:val="22"/>
                <w:szCs w:val="22"/>
                <w:lang w:val="hr-HR"/>
              </w:rPr>
            </w:pPr>
            <w:r w:rsidRPr="00261E6C">
              <w:rPr>
                <w:color w:val="000000" w:themeColor="text1"/>
                <w:sz w:val="22"/>
                <w:szCs w:val="22"/>
                <w:lang w:val="hr-HR"/>
              </w:rPr>
              <w:t>D</w:t>
            </w:r>
            <w:r w:rsidR="009C1C38" w:rsidRPr="00261E6C">
              <w:rPr>
                <w:color w:val="000000" w:themeColor="text1"/>
                <w:sz w:val="22"/>
                <w:szCs w:val="22"/>
                <w:lang w:val="hr-HR"/>
              </w:rPr>
              <w:t>j</w:t>
            </w:r>
            <w:r w:rsidRPr="00261E6C">
              <w:rPr>
                <w:color w:val="000000" w:themeColor="text1"/>
                <w:sz w:val="22"/>
                <w:szCs w:val="22"/>
                <w:lang w:val="hr-HR"/>
              </w:rPr>
              <w:t>elimičan odgovor (PR) (%)</w:t>
            </w:r>
          </w:p>
        </w:tc>
        <w:tc>
          <w:tcPr>
            <w:tcW w:w="1187" w:type="pct"/>
            <w:tcBorders>
              <w:left w:val="single" w:sz="4" w:space="0" w:color="auto"/>
              <w:right w:val="single" w:sz="4" w:space="0" w:color="auto"/>
            </w:tcBorders>
            <w:shd w:val="clear" w:color="auto" w:fill="auto"/>
          </w:tcPr>
          <w:p w:rsidR="002836B4" w:rsidRPr="00261E6C" w:rsidRDefault="002836B4" w:rsidP="00497757">
            <w:pPr>
              <w:keepNext/>
              <w:spacing w:before="50" w:after="50" w:line="240" w:lineRule="exact"/>
              <w:jc w:val="center"/>
              <w:rPr>
                <w:color w:val="000000" w:themeColor="text1"/>
                <w:sz w:val="22"/>
                <w:szCs w:val="22"/>
                <w:lang w:val="hr-HR"/>
              </w:rPr>
            </w:pPr>
            <w:r w:rsidRPr="00261E6C">
              <w:rPr>
                <w:color w:val="000000" w:themeColor="text1"/>
                <w:sz w:val="22"/>
                <w:szCs w:val="22"/>
                <w:shd w:val="clear" w:color="auto" w:fill="FFFFFF"/>
                <w:lang w:val="hr-HR"/>
              </w:rPr>
              <w:t>33 (7,5%)</w:t>
            </w:r>
          </w:p>
        </w:tc>
        <w:tc>
          <w:tcPr>
            <w:tcW w:w="1039" w:type="pct"/>
            <w:tcBorders>
              <w:left w:val="single" w:sz="4" w:space="0" w:color="auto"/>
              <w:right w:val="single" w:sz="4" w:space="0" w:color="auto"/>
            </w:tcBorders>
            <w:shd w:val="clear" w:color="auto" w:fill="auto"/>
          </w:tcPr>
          <w:p w:rsidR="002836B4" w:rsidRPr="00261E6C" w:rsidRDefault="002836B4">
            <w:pPr>
              <w:keepNext/>
              <w:spacing w:before="50" w:after="50" w:line="240" w:lineRule="exact"/>
              <w:jc w:val="center"/>
              <w:rPr>
                <w:color w:val="000000" w:themeColor="text1"/>
                <w:sz w:val="22"/>
                <w:szCs w:val="22"/>
                <w:lang w:val="hr-HR"/>
              </w:rPr>
            </w:pPr>
            <w:r w:rsidRPr="00261E6C">
              <w:rPr>
                <w:color w:val="000000" w:themeColor="text1"/>
                <w:sz w:val="22"/>
                <w:szCs w:val="22"/>
                <w:shd w:val="clear" w:color="auto" w:fill="FFFFFF"/>
                <w:lang w:val="hr-HR"/>
              </w:rPr>
              <w:t>43 (9,8%)</w:t>
            </w:r>
          </w:p>
        </w:tc>
      </w:tr>
      <w:tr w:rsidR="002836B4" w:rsidRPr="00C2143B" w:rsidTr="003F5E5E">
        <w:trPr>
          <w:cantSplit/>
        </w:trPr>
        <w:tc>
          <w:tcPr>
            <w:tcW w:w="2774" w:type="pct"/>
            <w:tcBorders>
              <w:top w:val="nil"/>
              <w:left w:val="single" w:sz="4" w:space="0" w:color="auto"/>
              <w:bottom w:val="single" w:sz="4" w:space="0" w:color="auto"/>
              <w:right w:val="single" w:sz="4" w:space="0" w:color="auto"/>
            </w:tcBorders>
            <w:shd w:val="clear" w:color="auto" w:fill="auto"/>
          </w:tcPr>
          <w:p w:rsidR="002836B4" w:rsidRPr="00261E6C" w:rsidRDefault="002836B4" w:rsidP="00261E6C">
            <w:pPr>
              <w:ind w:left="862"/>
              <w:jc w:val="both"/>
              <w:rPr>
                <w:color w:val="000000" w:themeColor="text1"/>
                <w:sz w:val="22"/>
                <w:szCs w:val="22"/>
                <w:lang w:val="hr-HR"/>
              </w:rPr>
            </w:pPr>
            <w:r w:rsidRPr="00261E6C">
              <w:rPr>
                <w:color w:val="000000" w:themeColor="text1"/>
                <w:sz w:val="22"/>
                <w:szCs w:val="22"/>
                <w:lang w:val="hr-HR"/>
              </w:rPr>
              <w:t>95% CI prema Clopper</w:t>
            </w:r>
            <w:r w:rsidRPr="00261E6C">
              <w:rPr>
                <w:color w:val="000000" w:themeColor="text1"/>
                <w:sz w:val="22"/>
                <w:szCs w:val="22"/>
                <w:lang w:val="hr-HR"/>
              </w:rPr>
              <w:noBreakHyphen/>
              <w:t>Pearsonu</w:t>
            </w:r>
          </w:p>
        </w:tc>
        <w:tc>
          <w:tcPr>
            <w:tcW w:w="1187" w:type="pct"/>
            <w:tcBorders>
              <w:left w:val="single" w:sz="4" w:space="0" w:color="auto"/>
              <w:bottom w:val="single" w:sz="4" w:space="0" w:color="auto"/>
              <w:right w:val="single" w:sz="4" w:space="0" w:color="auto"/>
            </w:tcBorders>
            <w:shd w:val="clear" w:color="auto" w:fill="auto"/>
          </w:tcPr>
          <w:p w:rsidR="002836B4" w:rsidRPr="00261E6C" w:rsidRDefault="002836B4" w:rsidP="00497757">
            <w:pPr>
              <w:spacing w:before="50" w:after="50" w:line="240" w:lineRule="exact"/>
              <w:jc w:val="center"/>
              <w:rPr>
                <w:color w:val="000000" w:themeColor="text1"/>
                <w:sz w:val="22"/>
                <w:szCs w:val="22"/>
                <w:lang w:val="hr-HR"/>
              </w:rPr>
            </w:pPr>
            <w:r w:rsidRPr="00261E6C">
              <w:rPr>
                <w:color w:val="000000" w:themeColor="text1"/>
                <w:sz w:val="22"/>
                <w:szCs w:val="22"/>
                <w:shd w:val="clear" w:color="auto" w:fill="FFFFFF"/>
                <w:lang w:val="hr-HR"/>
              </w:rPr>
              <w:t>[5,22; 10,37]</w:t>
            </w:r>
          </w:p>
        </w:tc>
        <w:tc>
          <w:tcPr>
            <w:tcW w:w="1039" w:type="pct"/>
            <w:tcBorders>
              <w:left w:val="single" w:sz="4" w:space="0" w:color="auto"/>
              <w:bottom w:val="single" w:sz="4" w:space="0" w:color="auto"/>
              <w:right w:val="single" w:sz="4" w:space="0" w:color="auto"/>
            </w:tcBorders>
            <w:shd w:val="clear" w:color="auto" w:fill="auto"/>
          </w:tcPr>
          <w:p w:rsidR="002836B4" w:rsidRPr="00261E6C" w:rsidRDefault="002836B4">
            <w:pPr>
              <w:spacing w:before="50" w:after="50" w:line="240" w:lineRule="exact"/>
              <w:jc w:val="center"/>
              <w:rPr>
                <w:color w:val="000000" w:themeColor="text1"/>
                <w:sz w:val="22"/>
                <w:szCs w:val="22"/>
                <w:lang w:val="hr-HR"/>
              </w:rPr>
            </w:pPr>
            <w:r w:rsidRPr="00261E6C">
              <w:rPr>
                <w:color w:val="000000" w:themeColor="text1"/>
                <w:sz w:val="22"/>
                <w:szCs w:val="22"/>
                <w:shd w:val="clear" w:color="auto" w:fill="FFFFFF"/>
                <w:lang w:val="hr-HR"/>
              </w:rPr>
              <w:t>[7,18; 12,97]</w:t>
            </w:r>
          </w:p>
        </w:tc>
      </w:tr>
    </w:tbl>
    <w:p w:rsidR="002836B4" w:rsidRPr="00261E6C" w:rsidRDefault="002836B4" w:rsidP="00E4155A">
      <w:pPr>
        <w:keepLines/>
        <w:ind w:left="33"/>
        <w:jc w:val="both"/>
        <w:rPr>
          <w:sz w:val="22"/>
          <w:szCs w:val="22"/>
          <w:lang w:val="hr-HR"/>
        </w:rPr>
      </w:pPr>
      <w:r w:rsidRPr="00261E6C">
        <w:rPr>
          <w:sz w:val="22"/>
          <w:szCs w:val="22"/>
          <w:lang w:val="hr-HR"/>
        </w:rPr>
        <w:t xml:space="preserve">BICR (engl. </w:t>
      </w:r>
      <w:r w:rsidRPr="00261E6C">
        <w:rPr>
          <w:i/>
          <w:iCs/>
          <w:sz w:val="22"/>
          <w:szCs w:val="22"/>
          <w:lang w:val="hr-HR"/>
        </w:rPr>
        <w:t>blinded independent central review</w:t>
      </w:r>
      <w:r w:rsidRPr="00261E6C">
        <w:rPr>
          <w:sz w:val="22"/>
          <w:szCs w:val="22"/>
          <w:lang w:val="hr-HR"/>
        </w:rPr>
        <w:t>): nezavisni sl</w:t>
      </w:r>
      <w:r w:rsidR="00575F50" w:rsidRPr="00C2143B">
        <w:rPr>
          <w:sz w:val="22"/>
          <w:szCs w:val="22"/>
          <w:lang w:val="hr-HR"/>
        </w:rPr>
        <w:t>i</w:t>
      </w:r>
      <w:r w:rsidR="00B748CC" w:rsidRPr="00261E6C">
        <w:rPr>
          <w:sz w:val="22"/>
          <w:szCs w:val="22"/>
          <w:lang w:val="hr-HR"/>
        </w:rPr>
        <w:t>j</w:t>
      </w:r>
      <w:r w:rsidRPr="00261E6C">
        <w:rPr>
          <w:sz w:val="22"/>
          <w:szCs w:val="22"/>
          <w:lang w:val="hr-HR"/>
        </w:rPr>
        <w:t xml:space="preserve">epi centralni pregled; CI (engl. </w:t>
      </w:r>
      <w:r w:rsidRPr="00261E6C">
        <w:rPr>
          <w:i/>
          <w:iCs/>
          <w:sz w:val="22"/>
          <w:szCs w:val="22"/>
          <w:lang w:val="hr-HR"/>
        </w:rPr>
        <w:t>confidence interval</w:t>
      </w:r>
      <w:r w:rsidRPr="00261E6C">
        <w:rPr>
          <w:sz w:val="22"/>
          <w:szCs w:val="22"/>
          <w:lang w:val="hr-HR"/>
        </w:rPr>
        <w:t xml:space="preserve">): interval pouzdanosti; HR (engl. </w:t>
      </w:r>
      <w:r w:rsidRPr="00261E6C">
        <w:rPr>
          <w:i/>
          <w:iCs/>
          <w:sz w:val="22"/>
          <w:szCs w:val="22"/>
          <w:lang w:val="hr-HR"/>
        </w:rPr>
        <w:t>hazard ratio</w:t>
      </w:r>
      <w:r w:rsidRPr="00261E6C">
        <w:rPr>
          <w:sz w:val="22"/>
          <w:szCs w:val="22"/>
          <w:lang w:val="hr-HR"/>
        </w:rPr>
        <w:t xml:space="preserve">): </w:t>
      </w:r>
      <w:r w:rsidR="00575F50" w:rsidRPr="00C2143B">
        <w:rPr>
          <w:sz w:val="22"/>
          <w:szCs w:val="22"/>
          <w:lang w:val="hr-HR"/>
        </w:rPr>
        <w:t>odnos rizika</w:t>
      </w:r>
      <w:r w:rsidRPr="00261E6C">
        <w:rPr>
          <w:sz w:val="22"/>
          <w:szCs w:val="22"/>
          <w:lang w:val="hr-HR"/>
        </w:rPr>
        <w:t>; PFS: Preživljavanje bez progresije bolesti; EFS</w:t>
      </w:r>
      <w:r w:rsidRPr="00261E6C">
        <w:rPr>
          <w:sz w:val="22"/>
          <w:szCs w:val="22"/>
          <w:vertAlign w:val="subscript"/>
          <w:lang w:val="hr-HR"/>
        </w:rPr>
        <w:t>eff</w:t>
      </w:r>
      <w:r w:rsidRPr="00261E6C">
        <w:rPr>
          <w:sz w:val="22"/>
          <w:szCs w:val="22"/>
          <w:lang w:val="hr-HR"/>
        </w:rPr>
        <w:t xml:space="preserve"> (engl. </w:t>
      </w:r>
      <w:r w:rsidRPr="00261E6C">
        <w:rPr>
          <w:i/>
          <w:iCs/>
          <w:sz w:val="22"/>
          <w:szCs w:val="22"/>
          <w:lang w:val="hr-HR"/>
        </w:rPr>
        <w:t>event free survival efficacy</w:t>
      </w:r>
      <w:r w:rsidRPr="00261E6C">
        <w:rPr>
          <w:sz w:val="22"/>
          <w:szCs w:val="22"/>
          <w:lang w:val="hr-HR"/>
        </w:rPr>
        <w:t>): Preživljavanje bez događaja povezano</w:t>
      </w:r>
      <w:r w:rsidR="00575F50" w:rsidRPr="00C2143B">
        <w:rPr>
          <w:sz w:val="22"/>
          <w:szCs w:val="22"/>
          <w:lang w:val="hr-HR"/>
        </w:rPr>
        <w:t>g</w:t>
      </w:r>
      <w:r w:rsidRPr="00261E6C">
        <w:rPr>
          <w:sz w:val="22"/>
          <w:szCs w:val="22"/>
          <w:lang w:val="hr-HR"/>
        </w:rPr>
        <w:t xml:space="preserve"> sa efikasnošću: označava EFS događaje koji su odraz efikasnosti, a definiše se kao </w:t>
      </w:r>
      <w:r w:rsidR="00B748CC" w:rsidRPr="00261E6C">
        <w:rPr>
          <w:sz w:val="22"/>
          <w:szCs w:val="22"/>
          <w:lang w:val="hr-HR"/>
        </w:rPr>
        <w:t>vrijeme</w:t>
      </w:r>
      <w:r w:rsidRPr="00261E6C">
        <w:rPr>
          <w:sz w:val="22"/>
          <w:szCs w:val="22"/>
          <w:lang w:val="hr-HR"/>
        </w:rPr>
        <w:t xml:space="preserve"> od datuma randomizacije do prve pojave bilo kojeg od sl</w:t>
      </w:r>
      <w:r w:rsidR="00575F50" w:rsidRPr="00C2143B">
        <w:rPr>
          <w:sz w:val="22"/>
          <w:szCs w:val="22"/>
          <w:lang w:val="hr-HR"/>
        </w:rPr>
        <w:t>j</w:t>
      </w:r>
      <w:r w:rsidRPr="00261E6C">
        <w:rPr>
          <w:sz w:val="22"/>
          <w:szCs w:val="22"/>
          <w:lang w:val="hr-HR"/>
        </w:rPr>
        <w:t xml:space="preserve">edećih događaja: progresije/relapsa bolesti, smrti zbog bilo kojeg uzroka, nekog drugog primarnog događaja povezanog sa efikasnošću osim progresije/relapsa bolesti koji je utvrdio istraživač i koji je doveo do uvođenja bilo koje terapije za limfom koja nije bila definisana protokolom ili ako je nakon završetka </w:t>
      </w:r>
      <w:r w:rsidR="00E343D0" w:rsidRPr="00261E6C">
        <w:rPr>
          <w:sz w:val="22"/>
          <w:szCs w:val="22"/>
          <w:lang w:val="hr-HR"/>
        </w:rPr>
        <w:t>liječenja</w:t>
      </w:r>
      <w:r w:rsidRPr="00261E6C">
        <w:rPr>
          <w:sz w:val="22"/>
          <w:szCs w:val="22"/>
          <w:lang w:val="hr-HR"/>
        </w:rPr>
        <w:t xml:space="preserve"> prikupljen biopsijski uzorak koji je bio pozitivan na rezidualnu bolest nezavisno od toga da li je ili nije bila uvedena terapija za limfom</w:t>
      </w:r>
      <w:r w:rsidR="00575F50" w:rsidRPr="00C2143B">
        <w:rPr>
          <w:sz w:val="22"/>
          <w:szCs w:val="22"/>
          <w:lang w:val="hr-HR"/>
        </w:rPr>
        <w:t>,</w:t>
      </w:r>
      <w:r w:rsidRPr="00261E6C">
        <w:rPr>
          <w:sz w:val="22"/>
          <w:szCs w:val="22"/>
          <w:lang w:val="hr-HR"/>
        </w:rPr>
        <w:t xml:space="preserve"> koja nije bila definisana protokolom; CMH: Cochran-Mantel</w:t>
      </w:r>
      <w:r w:rsidRPr="00261E6C">
        <w:rPr>
          <w:sz w:val="22"/>
          <w:szCs w:val="22"/>
          <w:lang w:val="hr-HR"/>
        </w:rPr>
        <w:noBreakHyphen/>
        <w:t>Haenszelov.</w:t>
      </w:r>
    </w:p>
    <w:p w:rsidR="002836B4" w:rsidRPr="00261E6C" w:rsidRDefault="002836B4" w:rsidP="00261E6C">
      <w:pPr>
        <w:keepLines/>
        <w:ind w:left="33"/>
        <w:jc w:val="both"/>
        <w:rPr>
          <w:sz w:val="22"/>
          <w:szCs w:val="22"/>
          <w:lang w:val="hr-HR"/>
        </w:rPr>
      </w:pPr>
      <w:r w:rsidRPr="00261E6C">
        <w:rPr>
          <w:sz w:val="22"/>
          <w:szCs w:val="22"/>
          <w:lang w:val="hr-HR"/>
        </w:rPr>
        <w:t xml:space="preserve">1) Prema </w:t>
      </w:r>
      <w:r w:rsidR="00B748CC" w:rsidRPr="00261E6C">
        <w:rPr>
          <w:sz w:val="22"/>
          <w:szCs w:val="22"/>
          <w:lang w:val="hr-HR"/>
        </w:rPr>
        <w:t>procjeni</w:t>
      </w:r>
      <w:r w:rsidRPr="00261E6C">
        <w:rPr>
          <w:sz w:val="22"/>
          <w:szCs w:val="22"/>
          <w:lang w:val="hr-HR"/>
        </w:rPr>
        <w:t xml:space="preserve"> istraživača</w:t>
      </w:r>
    </w:p>
    <w:p w:rsidR="002836B4" w:rsidRPr="00261E6C" w:rsidRDefault="002836B4" w:rsidP="00261E6C">
      <w:pPr>
        <w:keepLines/>
        <w:ind w:left="33"/>
        <w:jc w:val="both"/>
        <w:rPr>
          <w:sz w:val="22"/>
          <w:szCs w:val="22"/>
          <w:lang w:val="hr-HR"/>
        </w:rPr>
      </w:pPr>
      <w:r w:rsidRPr="00261E6C">
        <w:rPr>
          <w:sz w:val="22"/>
          <w:szCs w:val="22"/>
          <w:lang w:val="hr-HR"/>
        </w:rPr>
        <w:t xml:space="preserve">2) Prema </w:t>
      </w:r>
      <w:r w:rsidR="00B748CC" w:rsidRPr="00261E6C">
        <w:rPr>
          <w:sz w:val="22"/>
          <w:szCs w:val="22"/>
          <w:lang w:val="hr-HR"/>
        </w:rPr>
        <w:t>procjeni</w:t>
      </w:r>
      <w:r w:rsidRPr="00261E6C">
        <w:rPr>
          <w:sz w:val="22"/>
          <w:szCs w:val="22"/>
          <w:lang w:val="hr-HR"/>
        </w:rPr>
        <w:t xml:space="preserve"> BICR</w:t>
      </w:r>
      <w:r w:rsidRPr="00261E6C">
        <w:rPr>
          <w:sz w:val="22"/>
          <w:szCs w:val="22"/>
          <w:lang w:val="hr-HR"/>
        </w:rPr>
        <w:noBreakHyphen/>
        <w:t>a</w:t>
      </w:r>
    </w:p>
    <w:p w:rsidR="002836B4" w:rsidRPr="00261E6C" w:rsidRDefault="002836B4" w:rsidP="00261E6C">
      <w:pPr>
        <w:keepLines/>
        <w:ind w:left="33"/>
        <w:jc w:val="both"/>
        <w:rPr>
          <w:sz w:val="22"/>
          <w:szCs w:val="22"/>
          <w:lang w:val="hr-HR"/>
        </w:rPr>
      </w:pPr>
      <w:r w:rsidRPr="00261E6C">
        <w:rPr>
          <w:sz w:val="22"/>
          <w:szCs w:val="22"/>
          <w:lang w:val="hr-HR"/>
        </w:rPr>
        <w:t>3) Log-rang test, stratifi</w:t>
      </w:r>
      <w:r w:rsidR="00575F50" w:rsidRPr="00C2143B">
        <w:rPr>
          <w:sz w:val="22"/>
          <w:szCs w:val="22"/>
          <w:lang w:val="hr-HR"/>
        </w:rPr>
        <w:t>kov</w:t>
      </w:r>
      <w:r w:rsidRPr="00261E6C">
        <w:rPr>
          <w:sz w:val="22"/>
          <w:szCs w:val="22"/>
          <w:lang w:val="hr-HR"/>
        </w:rPr>
        <w:t>an</w:t>
      </w:r>
    </w:p>
    <w:p w:rsidR="002836B4" w:rsidRPr="00261E6C" w:rsidRDefault="002836B4" w:rsidP="00261E6C">
      <w:pPr>
        <w:keepLines/>
        <w:ind w:left="33"/>
        <w:jc w:val="both"/>
        <w:rPr>
          <w:sz w:val="22"/>
          <w:szCs w:val="22"/>
          <w:lang w:val="hr-HR"/>
        </w:rPr>
      </w:pPr>
      <w:r w:rsidRPr="00261E6C">
        <w:rPr>
          <w:sz w:val="22"/>
          <w:szCs w:val="22"/>
          <w:lang w:val="hr-HR"/>
        </w:rPr>
        <w:t>*Prema Lugano kriteri</w:t>
      </w:r>
      <w:r w:rsidR="00575F50" w:rsidRPr="00C2143B">
        <w:rPr>
          <w:sz w:val="22"/>
          <w:szCs w:val="22"/>
          <w:lang w:val="hr-HR"/>
        </w:rPr>
        <w:t>jumima</w:t>
      </w:r>
      <w:r w:rsidRPr="00261E6C">
        <w:rPr>
          <w:sz w:val="22"/>
          <w:szCs w:val="22"/>
          <w:lang w:val="hr-HR"/>
        </w:rPr>
        <w:t xml:space="preserve"> za odgovore iz 2014.</w:t>
      </w:r>
    </w:p>
    <w:p w:rsidR="002836B4" w:rsidRPr="00261E6C" w:rsidRDefault="002836B4" w:rsidP="00E4155A">
      <w:pPr>
        <w:keepLines/>
        <w:ind w:left="33"/>
        <w:jc w:val="both"/>
        <w:rPr>
          <w:sz w:val="22"/>
          <w:szCs w:val="22"/>
          <w:lang w:val="hr-HR"/>
        </w:rPr>
      </w:pPr>
      <w:r w:rsidRPr="00261E6C">
        <w:rPr>
          <w:sz w:val="22"/>
          <w:szCs w:val="22"/>
          <w:lang w:val="hr-HR"/>
        </w:rPr>
        <w:t xml:space="preserve">**Stratifikacija prema IPI skoru (2 naspram 3 – 5), </w:t>
      </w:r>
      <w:bookmarkStart w:id="0" w:name="_Hlk98270640"/>
      <w:r w:rsidRPr="00261E6C">
        <w:rPr>
          <w:sz w:val="22"/>
          <w:szCs w:val="22"/>
          <w:lang w:val="hr-HR"/>
        </w:rPr>
        <w:t xml:space="preserve">prisustva ili odsustva </w:t>
      </w:r>
      <w:bookmarkEnd w:id="0"/>
      <w:r w:rsidRPr="00261E6C">
        <w:rPr>
          <w:sz w:val="22"/>
          <w:szCs w:val="22"/>
          <w:lang w:val="hr-HR"/>
        </w:rPr>
        <w:t>velikog opterećenja tumorskom masom, geografskoj regiji</w:t>
      </w:r>
    </w:p>
    <w:p w:rsidR="002836B4" w:rsidRPr="00261E6C" w:rsidRDefault="002836B4" w:rsidP="00261E6C">
      <w:pPr>
        <w:autoSpaceDE w:val="0"/>
        <w:autoSpaceDN w:val="0"/>
        <w:adjustRightInd w:val="0"/>
        <w:jc w:val="both"/>
        <w:rPr>
          <w:sz w:val="22"/>
          <w:szCs w:val="22"/>
          <w:lang w:val="hr-HR"/>
        </w:rPr>
      </w:pPr>
    </w:p>
    <w:p w:rsidR="002836B4" w:rsidRPr="00261E6C" w:rsidRDefault="002836B4" w:rsidP="00E4155A">
      <w:pPr>
        <w:autoSpaceDE w:val="0"/>
        <w:autoSpaceDN w:val="0"/>
        <w:adjustRightInd w:val="0"/>
        <w:jc w:val="both"/>
        <w:rPr>
          <w:sz w:val="22"/>
          <w:szCs w:val="22"/>
          <w:lang w:val="hr-HR"/>
        </w:rPr>
      </w:pPr>
      <w:r w:rsidRPr="00261E6C">
        <w:rPr>
          <w:sz w:val="22"/>
          <w:szCs w:val="22"/>
          <w:lang w:val="hr-HR"/>
        </w:rPr>
        <w:t>U trenutku sprovođenja interim analiz</w:t>
      </w:r>
      <w:r w:rsidR="00B748CC" w:rsidRPr="00261E6C">
        <w:rPr>
          <w:sz w:val="22"/>
          <w:szCs w:val="22"/>
          <w:lang w:val="hr-HR"/>
        </w:rPr>
        <w:t>e</w:t>
      </w:r>
      <w:r w:rsidRPr="00261E6C">
        <w:rPr>
          <w:sz w:val="22"/>
          <w:szCs w:val="22"/>
          <w:lang w:val="hr-HR"/>
        </w:rPr>
        <w:t xml:space="preserve"> podaci za OS kao ključni sekundarni cilj bili su nezreli i </w:t>
      </w:r>
      <w:r w:rsidR="00F17ABA" w:rsidRPr="00261E6C">
        <w:rPr>
          <w:sz w:val="22"/>
          <w:szCs w:val="22"/>
          <w:lang w:val="hr-HR"/>
        </w:rPr>
        <w:t>nijesu</w:t>
      </w:r>
      <w:r w:rsidRPr="00261E6C">
        <w:rPr>
          <w:sz w:val="22"/>
          <w:szCs w:val="22"/>
          <w:lang w:val="hr-HR"/>
        </w:rPr>
        <w:t xml:space="preserve"> se statistički razlikovali [stratifi</w:t>
      </w:r>
      <w:r w:rsidR="00575F50" w:rsidRPr="00C2143B">
        <w:rPr>
          <w:sz w:val="22"/>
          <w:szCs w:val="22"/>
          <w:lang w:val="hr-HR"/>
        </w:rPr>
        <w:t>kovana</w:t>
      </w:r>
      <w:r w:rsidRPr="00261E6C">
        <w:rPr>
          <w:sz w:val="22"/>
          <w:szCs w:val="22"/>
          <w:lang w:val="hr-HR"/>
        </w:rPr>
        <w:t xml:space="preserve"> m</w:t>
      </w:r>
      <w:r w:rsidR="00575F50" w:rsidRPr="00C2143B">
        <w:rPr>
          <w:sz w:val="22"/>
          <w:szCs w:val="22"/>
          <w:lang w:val="hr-HR"/>
        </w:rPr>
        <w:t>j</w:t>
      </w:r>
      <w:r w:rsidRPr="00261E6C">
        <w:rPr>
          <w:sz w:val="22"/>
          <w:szCs w:val="22"/>
          <w:lang w:val="hr-HR"/>
        </w:rPr>
        <w:t xml:space="preserve">era </w:t>
      </w:r>
      <w:r w:rsidR="00575F50" w:rsidRPr="00C2143B">
        <w:rPr>
          <w:sz w:val="22"/>
          <w:szCs w:val="22"/>
          <w:lang w:val="hr-HR"/>
        </w:rPr>
        <w:t>odnosa rizika</w:t>
      </w:r>
      <w:r w:rsidRPr="00261E6C">
        <w:rPr>
          <w:sz w:val="22"/>
          <w:szCs w:val="22"/>
          <w:lang w:val="hr-HR"/>
        </w:rPr>
        <w:t xml:space="preserve"> od 0,94 (95% CI, 0,65; 1,37); p=0,7524].</w:t>
      </w:r>
    </w:p>
    <w:p w:rsidR="002836B4" w:rsidRPr="00261E6C" w:rsidRDefault="002836B4" w:rsidP="00E4155A">
      <w:pPr>
        <w:keepLines/>
        <w:widowControl w:val="0"/>
        <w:autoSpaceDE w:val="0"/>
        <w:autoSpaceDN w:val="0"/>
        <w:jc w:val="both"/>
        <w:rPr>
          <w:sz w:val="22"/>
          <w:szCs w:val="22"/>
          <w:u w:val="single"/>
          <w:lang w:val="hr-HR" w:bidi="en-US"/>
        </w:rPr>
      </w:pPr>
    </w:p>
    <w:p w:rsidR="002836B4" w:rsidRPr="00261E6C" w:rsidRDefault="002836B4" w:rsidP="00E4155A">
      <w:pPr>
        <w:keepLines/>
        <w:widowControl w:val="0"/>
        <w:autoSpaceDE w:val="0"/>
        <w:autoSpaceDN w:val="0"/>
        <w:jc w:val="both"/>
        <w:rPr>
          <w:sz w:val="22"/>
          <w:szCs w:val="22"/>
          <w:u w:val="single"/>
          <w:lang w:val="hr-HR" w:bidi="en-US"/>
        </w:rPr>
      </w:pPr>
    </w:p>
    <w:p w:rsidR="002836B4" w:rsidRPr="00261E6C" w:rsidRDefault="002836B4" w:rsidP="00E4155A">
      <w:pPr>
        <w:keepLines/>
        <w:widowControl w:val="0"/>
        <w:autoSpaceDE w:val="0"/>
        <w:autoSpaceDN w:val="0"/>
        <w:jc w:val="both"/>
        <w:rPr>
          <w:sz w:val="22"/>
          <w:szCs w:val="22"/>
          <w:u w:val="single"/>
          <w:lang w:val="hr-HR" w:bidi="en-US"/>
        </w:rPr>
      </w:pPr>
    </w:p>
    <w:p w:rsidR="002836B4" w:rsidRPr="00261E6C" w:rsidRDefault="002836B4" w:rsidP="00261E6C">
      <w:pPr>
        <w:keepNext/>
        <w:autoSpaceDE w:val="0"/>
        <w:autoSpaceDN w:val="0"/>
        <w:adjustRightInd w:val="0"/>
        <w:jc w:val="both"/>
        <w:rPr>
          <w:b/>
          <w:sz w:val="22"/>
          <w:szCs w:val="22"/>
          <w:lang w:val="hr-HR"/>
        </w:rPr>
      </w:pPr>
      <w:r w:rsidRPr="00261E6C">
        <w:rPr>
          <w:b/>
          <w:sz w:val="22"/>
          <w:szCs w:val="22"/>
          <w:lang w:val="hr-HR"/>
        </w:rPr>
        <w:lastRenderedPageBreak/>
        <w:t>Slika 1</w:t>
      </w:r>
      <w:r w:rsidR="00175EF1" w:rsidRPr="00C2143B">
        <w:rPr>
          <w:b/>
          <w:sz w:val="22"/>
          <w:szCs w:val="22"/>
          <w:lang w:val="hr-HR"/>
        </w:rPr>
        <w:t xml:space="preserve">: </w:t>
      </w:r>
      <w:r w:rsidRPr="00261E6C">
        <w:rPr>
          <w:b/>
          <w:sz w:val="22"/>
          <w:szCs w:val="22"/>
          <w:lang w:val="hr-HR"/>
        </w:rPr>
        <w:t>Kaplan</w:t>
      </w:r>
      <w:r w:rsidRPr="00261E6C">
        <w:rPr>
          <w:b/>
          <w:sz w:val="22"/>
          <w:szCs w:val="22"/>
          <w:lang w:val="hr-HR"/>
        </w:rPr>
        <w:noBreakHyphen/>
        <w:t>Meierova kriva preživlj</w:t>
      </w:r>
      <w:r w:rsidR="002A0505" w:rsidRPr="00C2143B">
        <w:rPr>
          <w:b/>
          <w:sz w:val="22"/>
          <w:szCs w:val="22"/>
          <w:lang w:val="hr-HR"/>
        </w:rPr>
        <w:t>ava</w:t>
      </w:r>
      <w:r w:rsidRPr="00261E6C">
        <w:rPr>
          <w:b/>
          <w:sz w:val="22"/>
          <w:szCs w:val="22"/>
          <w:lang w:val="hr-HR"/>
        </w:rPr>
        <w:t xml:space="preserve">nja bez progresije bolesti (PFS) prema </w:t>
      </w:r>
      <w:r w:rsidR="00B748CC" w:rsidRPr="00261E6C">
        <w:rPr>
          <w:b/>
          <w:sz w:val="22"/>
          <w:szCs w:val="22"/>
          <w:lang w:val="hr-HR"/>
        </w:rPr>
        <w:t>procjeni</w:t>
      </w:r>
      <w:r w:rsidRPr="00261E6C">
        <w:rPr>
          <w:b/>
          <w:sz w:val="22"/>
          <w:szCs w:val="22"/>
          <w:lang w:val="hr-HR"/>
        </w:rPr>
        <w:t xml:space="preserve"> ispitivača u ispitivanju GO39942 (POLARIX)</w:t>
      </w:r>
    </w:p>
    <w:p w:rsidR="002836B4" w:rsidRPr="00261E6C" w:rsidRDefault="002836B4" w:rsidP="00261E6C">
      <w:pPr>
        <w:keepNext/>
        <w:autoSpaceDE w:val="0"/>
        <w:autoSpaceDN w:val="0"/>
        <w:adjustRightInd w:val="0"/>
        <w:jc w:val="both"/>
        <w:rPr>
          <w:b/>
          <w:sz w:val="22"/>
          <w:szCs w:val="22"/>
          <w:lang w:val="hr-HR"/>
        </w:rPr>
      </w:pPr>
    </w:p>
    <w:p w:rsidR="002836B4" w:rsidRPr="00261E6C" w:rsidRDefault="007258DC" w:rsidP="00E4155A">
      <w:pPr>
        <w:keepLines/>
        <w:widowControl w:val="0"/>
        <w:autoSpaceDE w:val="0"/>
        <w:autoSpaceDN w:val="0"/>
        <w:jc w:val="both"/>
        <w:rPr>
          <w:sz w:val="22"/>
          <w:szCs w:val="22"/>
          <w:u w:val="single"/>
          <w:lang w:val="hr-HR" w:bidi="en-US"/>
        </w:rPr>
      </w:pPr>
      <w:r>
        <w:rPr>
          <w:sz w:val="22"/>
          <w:szCs w:val="22"/>
          <w:u w:val="single"/>
          <w:lang w:val="hr-HR" w:bidi="en-US"/>
        </w:rPr>
        <w:pict>
          <v:shape id="_x0000_i1026" type="#_x0000_t75" style="width:493.5pt;height:318.5pt">
            <v:imagedata r:id="rId12" o:title="final" croptop="240f" cropbottom="1443f" cropleft="-239f" cropright="398f"/>
          </v:shape>
        </w:pict>
      </w:r>
    </w:p>
    <w:p w:rsidR="002836B4" w:rsidRPr="00261E6C" w:rsidRDefault="002836B4" w:rsidP="00E4155A">
      <w:pPr>
        <w:keepLines/>
        <w:widowControl w:val="0"/>
        <w:autoSpaceDE w:val="0"/>
        <w:autoSpaceDN w:val="0"/>
        <w:jc w:val="both"/>
        <w:rPr>
          <w:sz w:val="22"/>
          <w:szCs w:val="22"/>
          <w:u w:val="single"/>
          <w:lang w:val="sr-Latn-RS" w:bidi="en-US"/>
        </w:rPr>
      </w:pPr>
    </w:p>
    <w:p w:rsidR="002836B4" w:rsidRPr="00261E6C" w:rsidRDefault="002836B4" w:rsidP="00E4155A">
      <w:pPr>
        <w:widowControl w:val="0"/>
        <w:autoSpaceDE w:val="0"/>
        <w:autoSpaceDN w:val="0"/>
        <w:jc w:val="both"/>
        <w:rPr>
          <w:i/>
          <w:iCs/>
          <w:sz w:val="22"/>
          <w:szCs w:val="22"/>
          <w:lang w:val="hr-HR"/>
        </w:rPr>
      </w:pPr>
    </w:p>
    <w:p w:rsidR="002836B4" w:rsidRPr="00261E6C" w:rsidRDefault="002836B4" w:rsidP="00433FEA">
      <w:pPr>
        <w:widowControl w:val="0"/>
        <w:autoSpaceDE w:val="0"/>
        <w:autoSpaceDN w:val="0"/>
        <w:jc w:val="both"/>
        <w:rPr>
          <w:sz w:val="22"/>
          <w:szCs w:val="22"/>
          <w:lang w:val="sr-Latn-RS" w:bidi="en-US"/>
        </w:rPr>
      </w:pPr>
      <w:r w:rsidRPr="00261E6C">
        <w:rPr>
          <w:i/>
          <w:iCs/>
          <w:sz w:val="22"/>
          <w:szCs w:val="22"/>
          <w:lang w:val="hr-HR"/>
        </w:rPr>
        <w:t>Relapsni ili refraktorni DBKL</w:t>
      </w:r>
    </w:p>
    <w:p w:rsidR="00687D00" w:rsidRPr="00261E6C" w:rsidRDefault="00687D00" w:rsidP="0015550A">
      <w:pPr>
        <w:widowControl w:val="0"/>
        <w:autoSpaceDE w:val="0"/>
        <w:autoSpaceDN w:val="0"/>
        <w:spacing w:before="91"/>
        <w:jc w:val="both"/>
        <w:rPr>
          <w:sz w:val="22"/>
          <w:szCs w:val="22"/>
          <w:lang w:val="sr-Latn-RS" w:bidi="en-US"/>
        </w:rPr>
      </w:pPr>
      <w:r w:rsidRPr="00261E6C">
        <w:rPr>
          <w:sz w:val="22"/>
          <w:szCs w:val="22"/>
          <w:lang w:val="sr-Latn-RS" w:bidi="en-US"/>
        </w:rPr>
        <w:t>Efikasnost lijeka Polivy procijenjena je u međunarodnoj, multicentričnoj, otvorenoj studiji (GO29365) koja je obuhvatila randomizovanu kohortu od 80 pacijenata sa prethodno liječenim DBKL. Pacijenti su bili randomizovani u odnosu 1:1 da primaju lijek Polivy u kombinaciji sa BR ili samo BR u šest ciklusa koji su trajali po 21 dan. Pacijenti su stratifikovani po trajanju odgovora na posljednju prethodnu terapiju, od ≤ 12 mjeseci ili &gt; 12 mjeseci.</w:t>
      </w:r>
    </w:p>
    <w:p w:rsidR="00687D00" w:rsidRPr="00261E6C" w:rsidRDefault="00687D00" w:rsidP="0015550A">
      <w:pPr>
        <w:widowControl w:val="0"/>
        <w:autoSpaceDE w:val="0"/>
        <w:autoSpaceDN w:val="0"/>
        <w:spacing w:before="2"/>
        <w:jc w:val="both"/>
        <w:rPr>
          <w:sz w:val="22"/>
          <w:szCs w:val="22"/>
          <w:lang w:val="sr-Latn-RS" w:bidi="en-US"/>
        </w:rPr>
      </w:pPr>
    </w:p>
    <w:p w:rsidR="00687D00" w:rsidRPr="00261E6C" w:rsidRDefault="00687D00">
      <w:pPr>
        <w:widowControl w:val="0"/>
        <w:autoSpaceDE w:val="0"/>
        <w:autoSpaceDN w:val="0"/>
        <w:spacing w:before="1"/>
        <w:jc w:val="both"/>
        <w:rPr>
          <w:sz w:val="22"/>
          <w:szCs w:val="22"/>
          <w:lang w:val="sr-Latn-RS" w:bidi="en-US"/>
        </w:rPr>
      </w:pPr>
      <w:r w:rsidRPr="00261E6C">
        <w:rPr>
          <w:sz w:val="22"/>
          <w:szCs w:val="22"/>
          <w:lang w:val="sr-Latn-RS" w:bidi="en-US"/>
        </w:rPr>
        <w:t>Studija je obuhvatala pacijente koji nijesu bili kandidati za autolognu transplantaciju hematopoetskih matičnih ćelija (HSCT) i imali su relapsno ili refraktorno oboljenje nakon što su primili barem jedan prethodni režim sistemske hemioterapije. Studija je isključila pacijente sa prethodnom alogenom HSCT, limfomom centralnog nervnog sistema, transformisanim indolentnim limfomom, FL gradusa 3b, značajnim kardiovaskularnim ili plućnim oboljenjem, aktivnim infekcijama, AST ili alanin transaminazom (ALT) &gt;</w:t>
      </w:r>
      <w:r w:rsidR="008E3C64" w:rsidRPr="00C2143B">
        <w:rPr>
          <w:sz w:val="22"/>
          <w:szCs w:val="22"/>
          <w:lang w:val="sr-Latn-RS" w:bidi="en-US"/>
        </w:rPr>
        <w:t xml:space="preserve"> </w:t>
      </w:r>
      <w:r w:rsidRPr="00261E6C">
        <w:rPr>
          <w:sz w:val="22"/>
          <w:szCs w:val="22"/>
          <w:lang w:val="sr-Latn-RS" w:bidi="en-US"/>
        </w:rPr>
        <w:t>2,5</w:t>
      </w:r>
      <w:r w:rsidR="00175EF1" w:rsidRPr="00C2143B">
        <w:rPr>
          <w:sz w:val="22"/>
          <w:szCs w:val="22"/>
          <w:lang w:val="sr-Latn-RS" w:bidi="en-US"/>
        </w:rPr>
        <w:t xml:space="preserve"> x</w:t>
      </w:r>
      <w:r w:rsidRPr="00261E6C">
        <w:rPr>
          <w:sz w:val="22"/>
          <w:szCs w:val="22"/>
          <w:lang w:val="sr-Latn-RS" w:bidi="en-US"/>
        </w:rPr>
        <w:t xml:space="preserve"> GGN ili ukupnim bilirubinom ≥</w:t>
      </w:r>
      <w:r w:rsidR="00175EF1" w:rsidRPr="00C2143B">
        <w:rPr>
          <w:sz w:val="22"/>
          <w:szCs w:val="22"/>
          <w:lang w:val="sr-Latn-RS" w:bidi="en-US"/>
        </w:rPr>
        <w:t xml:space="preserve"> </w:t>
      </w:r>
      <w:r w:rsidRPr="00261E6C">
        <w:rPr>
          <w:sz w:val="22"/>
          <w:szCs w:val="22"/>
          <w:lang w:val="sr-Latn-RS" w:bidi="en-US"/>
        </w:rPr>
        <w:t>1,5 x GGN, kreatininom &gt;</w:t>
      </w:r>
      <w:r w:rsidR="00175EF1" w:rsidRPr="00C2143B">
        <w:rPr>
          <w:sz w:val="22"/>
          <w:szCs w:val="22"/>
          <w:lang w:val="sr-Latn-RS" w:bidi="en-US"/>
        </w:rPr>
        <w:t xml:space="preserve"> </w:t>
      </w:r>
      <w:r w:rsidRPr="00261E6C">
        <w:rPr>
          <w:sz w:val="22"/>
          <w:szCs w:val="22"/>
          <w:lang w:val="sr-Latn-RS" w:bidi="en-US"/>
        </w:rPr>
        <w:t>1,5 x GGN (ili CrCl &lt;</w:t>
      </w:r>
      <w:r w:rsidR="008E3C64" w:rsidRPr="00C2143B">
        <w:rPr>
          <w:sz w:val="22"/>
          <w:szCs w:val="22"/>
          <w:lang w:val="sr-Latn-RS" w:bidi="en-US"/>
        </w:rPr>
        <w:t xml:space="preserve"> </w:t>
      </w:r>
      <w:r w:rsidRPr="00261E6C">
        <w:rPr>
          <w:sz w:val="22"/>
          <w:szCs w:val="22"/>
          <w:lang w:val="sr-Latn-RS" w:bidi="en-US"/>
        </w:rPr>
        <w:t>40 ml/min) osim ako to nije zbog postojećeg limfoma.</w:t>
      </w:r>
    </w:p>
    <w:p w:rsidR="00687D00" w:rsidRPr="00261E6C" w:rsidRDefault="00687D00">
      <w:pPr>
        <w:widowControl w:val="0"/>
        <w:autoSpaceDE w:val="0"/>
        <w:autoSpaceDN w:val="0"/>
        <w:spacing w:before="9"/>
        <w:jc w:val="both"/>
        <w:rPr>
          <w:sz w:val="22"/>
          <w:szCs w:val="22"/>
          <w:lang w:val="sr-Latn-RS" w:bidi="en-US"/>
        </w:rPr>
      </w:pPr>
    </w:p>
    <w:p w:rsidR="00687D00" w:rsidRPr="00261E6C" w:rsidRDefault="00687D00">
      <w:pPr>
        <w:widowControl w:val="0"/>
        <w:autoSpaceDE w:val="0"/>
        <w:autoSpaceDN w:val="0"/>
        <w:spacing w:before="1"/>
        <w:jc w:val="both"/>
        <w:rPr>
          <w:sz w:val="22"/>
          <w:szCs w:val="22"/>
          <w:lang w:val="sr-Latn-RS" w:bidi="en-US"/>
        </w:rPr>
      </w:pPr>
      <w:r w:rsidRPr="00261E6C">
        <w:rPr>
          <w:sz w:val="22"/>
          <w:szCs w:val="22"/>
          <w:lang w:val="sr-Latn-RS" w:bidi="en-US"/>
        </w:rPr>
        <w:t xml:space="preserve">Lijek Polivy je </w:t>
      </w:r>
      <w:r w:rsidR="00175EF1" w:rsidRPr="00C2143B">
        <w:rPr>
          <w:sz w:val="22"/>
          <w:szCs w:val="22"/>
          <w:lang w:val="sr-Latn-RS" w:bidi="en-US"/>
        </w:rPr>
        <w:t>primjenjivan</w:t>
      </w:r>
      <w:r w:rsidRPr="00261E6C">
        <w:rPr>
          <w:sz w:val="22"/>
          <w:szCs w:val="22"/>
          <w:lang w:val="sr-Latn-RS" w:bidi="en-US"/>
        </w:rPr>
        <w:t xml:space="preserve"> intravenski, 1,8 mg/kg 2. dana 1. ciklusa, i 1. dana 2-6. ciklusa. Bendamustin je </w:t>
      </w:r>
      <w:r w:rsidR="00182925" w:rsidRPr="00C2143B">
        <w:rPr>
          <w:sz w:val="22"/>
          <w:szCs w:val="22"/>
          <w:lang w:val="sr-Latn-RS" w:bidi="en-US"/>
        </w:rPr>
        <w:t>primjenjivan</w:t>
      </w:r>
      <w:r w:rsidRPr="00261E6C">
        <w:rPr>
          <w:sz w:val="22"/>
          <w:szCs w:val="22"/>
          <w:lang w:val="sr-Latn-RS" w:bidi="en-US"/>
        </w:rPr>
        <w:t xml:space="preserve"> u dozi od 90 mg/m</w:t>
      </w:r>
      <w:r w:rsidRPr="00261E6C">
        <w:rPr>
          <w:sz w:val="22"/>
          <w:szCs w:val="22"/>
          <w:vertAlign w:val="superscript"/>
          <w:lang w:val="sr-Latn-RS" w:bidi="en-US"/>
        </w:rPr>
        <w:t>2</w:t>
      </w:r>
      <w:r w:rsidRPr="00261E6C">
        <w:rPr>
          <w:sz w:val="22"/>
          <w:szCs w:val="22"/>
          <w:lang w:val="sr-Latn-RS" w:bidi="en-US"/>
        </w:rPr>
        <w:t xml:space="preserve"> intravenski 2. i 3. dana 1. ciklusa i 1. i 2. dana 2-6. ciklusa. Rituksimab je </w:t>
      </w:r>
      <w:r w:rsidR="00182925" w:rsidRPr="00C2143B">
        <w:rPr>
          <w:sz w:val="22"/>
          <w:szCs w:val="22"/>
          <w:lang w:val="sr-Latn-RS" w:bidi="en-US"/>
        </w:rPr>
        <w:t>primjenjivan</w:t>
      </w:r>
      <w:r w:rsidR="00182925" w:rsidRPr="00261E6C">
        <w:rPr>
          <w:sz w:val="22"/>
          <w:szCs w:val="22"/>
          <w:lang w:val="sr-Latn-RS" w:bidi="en-US"/>
        </w:rPr>
        <w:t xml:space="preserve"> </w:t>
      </w:r>
      <w:r w:rsidRPr="00261E6C">
        <w:rPr>
          <w:sz w:val="22"/>
          <w:szCs w:val="22"/>
          <w:lang w:val="sr-Latn-RS" w:bidi="en-US"/>
        </w:rPr>
        <w:t>u dozi od 375 mg/m</w:t>
      </w:r>
      <w:r w:rsidRPr="00261E6C">
        <w:rPr>
          <w:sz w:val="22"/>
          <w:szCs w:val="22"/>
          <w:vertAlign w:val="superscript"/>
          <w:lang w:val="sr-Latn-RS" w:bidi="en-US"/>
        </w:rPr>
        <w:t>2</w:t>
      </w:r>
      <w:r w:rsidRPr="00261E6C">
        <w:rPr>
          <w:sz w:val="22"/>
          <w:szCs w:val="22"/>
          <w:lang w:val="sr-Latn-RS" w:bidi="en-US"/>
        </w:rPr>
        <w:t xml:space="preserve"> 1. dana 1-6. ciklusa.</w:t>
      </w:r>
    </w:p>
    <w:p w:rsidR="00687D00" w:rsidRPr="00261E6C" w:rsidRDefault="00687D00">
      <w:pPr>
        <w:widowControl w:val="0"/>
        <w:autoSpaceDE w:val="0"/>
        <w:autoSpaceDN w:val="0"/>
        <w:spacing w:before="1"/>
        <w:jc w:val="both"/>
        <w:rPr>
          <w:sz w:val="22"/>
          <w:szCs w:val="22"/>
          <w:lang w:val="sr-Latn-RS" w:bidi="en-US"/>
        </w:rPr>
      </w:pPr>
    </w:p>
    <w:p w:rsidR="00687D00" w:rsidRPr="00261E6C" w:rsidRDefault="00687D00">
      <w:pPr>
        <w:widowControl w:val="0"/>
        <w:autoSpaceDE w:val="0"/>
        <w:autoSpaceDN w:val="0"/>
        <w:spacing w:before="65"/>
        <w:jc w:val="both"/>
        <w:rPr>
          <w:sz w:val="22"/>
          <w:szCs w:val="22"/>
          <w:lang w:val="sr-Latn-RS" w:bidi="en-US"/>
        </w:rPr>
      </w:pPr>
      <w:r w:rsidRPr="00261E6C">
        <w:rPr>
          <w:sz w:val="22"/>
          <w:szCs w:val="22"/>
          <w:lang w:val="sr-Latn-RS" w:bidi="en-US"/>
        </w:rPr>
        <w:t>Od 80 pacijenata koji su randomizovani za primanje lijeka Polivy u kombinaciji sa  BR (n=40) ili samo BR  (n = 40), većina su bili bijele rase (71%) i muškarci (66%). Medijana starosti bila je 69 godina (u rasponu od 30 do 86). ECOG status od 0 do 1 imalo je 64 od 80 pacijenata (80%), a 14 od 80 pacijenata (18%) je imalo ECOG status 2. Većina pacijenata (98%) imala je DBKL koji nije drugačije specifi</w:t>
      </w:r>
      <w:r w:rsidR="00E933B9" w:rsidRPr="00C2143B">
        <w:rPr>
          <w:sz w:val="22"/>
          <w:szCs w:val="22"/>
          <w:lang w:val="sr-Latn-RS" w:bidi="en-US"/>
        </w:rPr>
        <w:t>ciran</w:t>
      </w:r>
      <w:r w:rsidRPr="00261E6C">
        <w:rPr>
          <w:sz w:val="22"/>
          <w:szCs w:val="22"/>
          <w:lang w:val="sr-Latn-RS" w:bidi="en-US"/>
        </w:rPr>
        <w:t xml:space="preserve"> (NOS). Sveukupno, 48% pacijenata je imalo aktivirani B-ćelijski (ABC) DBKL, a 40% je imalo DBKL nalik B-ćelijama germinalnog centra (GCB). Primarni razlozi zbog kojih pacijenti nijesu bili kandidati za HSCT bili su starost (40%), nedovoljan odgovor na terapiju spasa (engl. </w:t>
      </w:r>
      <w:r w:rsidRPr="00261E6C">
        <w:rPr>
          <w:i/>
          <w:sz w:val="22"/>
          <w:szCs w:val="22"/>
          <w:lang w:val="sr-Latn-RS" w:bidi="en-US"/>
        </w:rPr>
        <w:t>salvage therapy</w:t>
      </w:r>
      <w:r w:rsidRPr="00261E6C">
        <w:rPr>
          <w:sz w:val="22"/>
          <w:szCs w:val="22"/>
          <w:lang w:val="sr-Latn-RS" w:bidi="en-US"/>
        </w:rPr>
        <w:t xml:space="preserve">) (26%) i prethodni neuspjeh transplantacije (20%). </w:t>
      </w:r>
      <w:r w:rsidRPr="00261E6C">
        <w:rPr>
          <w:sz w:val="22"/>
          <w:szCs w:val="22"/>
          <w:lang w:val="sr-Latn-RS" w:bidi="en-US"/>
        </w:rPr>
        <w:lastRenderedPageBreak/>
        <w:t>Medijana broja prethodnih terapija bila je 2 (raspon: 1–7), sa 29% (n = 23) koji su primili jednu prethodnu terapiju, 25% (n = 20) koji su primili 2 prethodne terapije i 46% (n = 37) koji su primili 3 ili više prethodnih terapija. Samo jedan pacijent bio je prethodno liječen bendamustinom u grupi koja je primala polatuzumab vedotin u kombinaciji sa BR, randomizovane studije faze II. Refraktornu bolest imalo je 80% pacijenata. Kod pacijenata koji su primali polatuzumab vedotin u kombinaciji sa BR i kod kojih je ispitan broj CD3+ limfocita, apsolutni broj CD3+ limfocita bio je &gt;200 ćelija/µl, kod 95% analiziranih pacijenata prije početka liječenja (n=134), kod 79% analiziranih pacijenata na kraju liječenja (n=72)</w:t>
      </w:r>
      <w:r w:rsidR="005544DC" w:rsidRPr="00C2143B">
        <w:rPr>
          <w:sz w:val="22"/>
          <w:szCs w:val="22"/>
          <w:lang w:val="sr-Latn-RS" w:bidi="en-US"/>
        </w:rPr>
        <w:t>,</w:t>
      </w:r>
      <w:r w:rsidRPr="00261E6C">
        <w:rPr>
          <w:sz w:val="22"/>
          <w:szCs w:val="22"/>
          <w:lang w:val="sr-Latn-RS" w:bidi="en-US"/>
        </w:rPr>
        <w:t xml:space="preserve"> te kod 83% analiziranih pacijenata 6 mjeseci nakon završetka liječenja (n=18).</w:t>
      </w:r>
    </w:p>
    <w:p w:rsidR="00687D00" w:rsidRPr="00261E6C" w:rsidRDefault="00687D00">
      <w:pPr>
        <w:widowControl w:val="0"/>
        <w:autoSpaceDE w:val="0"/>
        <w:autoSpaceDN w:val="0"/>
        <w:spacing w:before="10"/>
        <w:jc w:val="both"/>
        <w:rPr>
          <w:sz w:val="22"/>
          <w:szCs w:val="22"/>
          <w:lang w:val="sr-Latn-RS" w:bidi="en-US"/>
        </w:rPr>
      </w:pPr>
    </w:p>
    <w:p w:rsidR="00687D00" w:rsidRPr="00261E6C" w:rsidRDefault="00687D00">
      <w:pPr>
        <w:widowControl w:val="0"/>
        <w:autoSpaceDE w:val="0"/>
        <w:autoSpaceDN w:val="0"/>
        <w:jc w:val="both"/>
        <w:rPr>
          <w:sz w:val="22"/>
          <w:szCs w:val="22"/>
          <w:lang w:val="sr-Latn-RS" w:bidi="en-US"/>
        </w:rPr>
      </w:pPr>
      <w:r w:rsidRPr="00261E6C">
        <w:rPr>
          <w:sz w:val="22"/>
          <w:szCs w:val="22"/>
          <w:lang w:val="sr-Latn-RS" w:bidi="en-US"/>
        </w:rPr>
        <w:t xml:space="preserve">Primarni </w:t>
      </w:r>
      <w:r w:rsidR="005544DC" w:rsidRPr="00C2143B">
        <w:rPr>
          <w:sz w:val="22"/>
          <w:szCs w:val="22"/>
          <w:lang w:val="sr-Latn-RS" w:bidi="en-US"/>
        </w:rPr>
        <w:t>parametar praćenja</w:t>
      </w:r>
      <w:r w:rsidRPr="00261E6C">
        <w:rPr>
          <w:sz w:val="22"/>
          <w:szCs w:val="22"/>
          <w:lang w:val="sr-Latn-RS" w:bidi="en-US"/>
        </w:rPr>
        <w:t xml:space="preserve"> studije bio je stopa kompletnog odgovora (CR) na kraju terapije (6-8 nedjelja nakon 1. dana 6. ciklusa ili posljednje studijske terapije) prema procjeni PET-CT od strane nezavisne komisije za kontrolu (IRC).</w:t>
      </w:r>
    </w:p>
    <w:p w:rsidR="00687D00" w:rsidRPr="00261E6C" w:rsidRDefault="00687D00">
      <w:pPr>
        <w:widowControl w:val="0"/>
        <w:tabs>
          <w:tab w:val="left" w:pos="1138"/>
        </w:tabs>
        <w:autoSpaceDE w:val="0"/>
        <w:autoSpaceDN w:val="0"/>
        <w:jc w:val="both"/>
        <w:outlineLvl w:val="0"/>
        <w:rPr>
          <w:b/>
          <w:bCs/>
          <w:sz w:val="22"/>
          <w:szCs w:val="22"/>
          <w:lang w:val="sr-Latn-RS" w:bidi="en-US"/>
        </w:rPr>
      </w:pPr>
    </w:p>
    <w:p w:rsidR="005612C5" w:rsidRPr="00C2143B" w:rsidRDefault="005612C5">
      <w:pPr>
        <w:widowControl w:val="0"/>
        <w:tabs>
          <w:tab w:val="left" w:pos="1138"/>
        </w:tabs>
        <w:autoSpaceDE w:val="0"/>
        <w:autoSpaceDN w:val="0"/>
        <w:jc w:val="both"/>
        <w:outlineLvl w:val="0"/>
        <w:rPr>
          <w:b/>
          <w:bCs/>
          <w:sz w:val="22"/>
          <w:szCs w:val="22"/>
          <w:lang w:val="sr-Latn-RS" w:bidi="en-US"/>
        </w:rPr>
      </w:pPr>
      <w:r w:rsidRPr="00261E6C">
        <w:rPr>
          <w:b/>
          <w:bCs/>
          <w:noProof/>
          <w:sz w:val="22"/>
          <w:szCs w:val="22"/>
        </w:rPr>
        <w:drawing>
          <wp:anchor distT="0" distB="0" distL="0" distR="0" simplePos="0" relativeHeight="251659264" behindDoc="1" locked="0" layoutInCell="1" allowOverlap="1" wp14:anchorId="3AD49DBD" wp14:editId="09B424A5">
            <wp:simplePos x="0" y="0"/>
            <wp:positionH relativeFrom="page">
              <wp:posOffset>5400040</wp:posOffset>
            </wp:positionH>
            <wp:positionV relativeFrom="paragraph">
              <wp:posOffset>376555</wp:posOffset>
            </wp:positionV>
            <wp:extent cx="6350" cy="48069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 cy="480695"/>
                    </a:xfrm>
                    <a:prstGeom prst="rect">
                      <a:avLst/>
                    </a:prstGeom>
                    <a:noFill/>
                  </pic:spPr>
                </pic:pic>
              </a:graphicData>
            </a:graphic>
            <wp14:sizeRelH relativeFrom="page">
              <wp14:pctWidth>0</wp14:pctWidth>
            </wp14:sizeRelH>
            <wp14:sizeRelV relativeFrom="page">
              <wp14:pctHeight>0</wp14:pctHeight>
            </wp14:sizeRelV>
          </wp:anchor>
        </w:drawing>
      </w:r>
      <w:r w:rsidRPr="00261E6C">
        <w:rPr>
          <w:b/>
          <w:bCs/>
          <w:sz w:val="22"/>
          <w:szCs w:val="22"/>
          <w:lang w:val="sr-Latn-RS" w:bidi="en-US"/>
        </w:rPr>
        <w:t xml:space="preserve">Tabela </w:t>
      </w:r>
      <w:r w:rsidR="002836B4" w:rsidRPr="00261E6C">
        <w:rPr>
          <w:b/>
          <w:bCs/>
          <w:sz w:val="22"/>
          <w:szCs w:val="22"/>
          <w:lang w:val="sr-Latn-RS" w:bidi="en-US"/>
        </w:rPr>
        <w:t>6</w:t>
      </w:r>
      <w:r w:rsidR="005544DC" w:rsidRPr="00C2143B">
        <w:rPr>
          <w:b/>
          <w:bCs/>
          <w:sz w:val="22"/>
          <w:szCs w:val="22"/>
          <w:lang w:val="sr-Latn-RS" w:bidi="en-US"/>
        </w:rPr>
        <w:t xml:space="preserve">: </w:t>
      </w:r>
      <w:r w:rsidRPr="00261E6C">
        <w:rPr>
          <w:b/>
          <w:bCs/>
          <w:sz w:val="22"/>
          <w:szCs w:val="22"/>
          <w:lang w:val="sr-Latn-RS" w:bidi="en-US"/>
        </w:rPr>
        <w:t>Kratak pregled efikasnosti kod pacijenata sa prethodno l</w:t>
      </w:r>
      <w:r w:rsidR="00B1133A" w:rsidRPr="00261E6C">
        <w:rPr>
          <w:b/>
          <w:bCs/>
          <w:sz w:val="22"/>
          <w:szCs w:val="22"/>
          <w:lang w:val="sr-Latn-RS" w:bidi="en-US"/>
        </w:rPr>
        <w:t>ij</w:t>
      </w:r>
      <w:r w:rsidRPr="00261E6C">
        <w:rPr>
          <w:b/>
          <w:bCs/>
          <w:sz w:val="22"/>
          <w:szCs w:val="22"/>
          <w:lang w:val="sr-Latn-RS" w:bidi="en-US"/>
        </w:rPr>
        <w:t xml:space="preserve">ečenim </w:t>
      </w:r>
      <w:r w:rsidR="00866F01" w:rsidRPr="00261E6C">
        <w:rPr>
          <w:b/>
          <w:bCs/>
          <w:sz w:val="22"/>
          <w:szCs w:val="22"/>
          <w:lang w:val="sr-Latn-RS" w:bidi="en-US"/>
        </w:rPr>
        <w:t>DBKL</w:t>
      </w:r>
      <w:r w:rsidRPr="00261E6C">
        <w:rPr>
          <w:b/>
          <w:bCs/>
          <w:sz w:val="22"/>
          <w:szCs w:val="22"/>
          <w:lang w:val="sr-Latn-RS" w:bidi="en-US"/>
        </w:rPr>
        <w:t xml:space="preserve"> iz studije GO29365</w:t>
      </w:r>
    </w:p>
    <w:p w:rsidR="005544DC" w:rsidRPr="00261E6C" w:rsidRDefault="005544DC">
      <w:pPr>
        <w:widowControl w:val="0"/>
        <w:tabs>
          <w:tab w:val="left" w:pos="1138"/>
        </w:tabs>
        <w:autoSpaceDE w:val="0"/>
        <w:autoSpaceDN w:val="0"/>
        <w:jc w:val="both"/>
        <w:outlineLvl w:val="0"/>
        <w:rPr>
          <w:b/>
          <w:bCs/>
          <w:sz w:val="22"/>
          <w:szCs w:val="22"/>
          <w:lang w:val="sr-Latn-RS" w:bidi="en-US"/>
        </w:rPr>
      </w:pPr>
    </w:p>
    <w:tbl>
      <w:tblPr>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8"/>
        <w:gridCol w:w="5002"/>
      </w:tblGrid>
      <w:tr w:rsidR="005612C5" w:rsidRPr="00C2143B" w:rsidTr="00956FD7">
        <w:trPr>
          <w:trHeight w:val="757"/>
        </w:trPr>
        <w:tc>
          <w:tcPr>
            <w:tcW w:w="4898" w:type="dxa"/>
            <w:tcBorders>
              <w:top w:val="single" w:sz="4" w:space="0" w:color="000000"/>
              <w:left w:val="single" w:sz="4" w:space="0" w:color="000000"/>
              <w:bottom w:val="single" w:sz="4" w:space="0" w:color="000000"/>
              <w:right w:val="single" w:sz="4" w:space="0" w:color="000000"/>
            </w:tcBorders>
          </w:tcPr>
          <w:p w:rsidR="005612C5" w:rsidRPr="00261E6C" w:rsidRDefault="005612C5">
            <w:pPr>
              <w:widowControl w:val="0"/>
              <w:autoSpaceDE w:val="0"/>
              <w:autoSpaceDN w:val="0"/>
              <w:jc w:val="both"/>
              <w:rPr>
                <w:sz w:val="22"/>
                <w:szCs w:val="22"/>
                <w:lang w:val="sr-Latn-RS" w:bidi="en-US"/>
              </w:rPr>
            </w:pPr>
          </w:p>
        </w:tc>
        <w:tc>
          <w:tcPr>
            <w:tcW w:w="5002" w:type="dxa"/>
            <w:tcBorders>
              <w:top w:val="single" w:sz="4" w:space="0" w:color="000000"/>
              <w:left w:val="single" w:sz="4" w:space="0" w:color="000000"/>
              <w:bottom w:val="single" w:sz="4" w:space="0" w:color="000000"/>
              <w:right w:val="single" w:sz="4" w:space="0" w:color="000000"/>
            </w:tcBorders>
            <w:hideMark/>
          </w:tcPr>
          <w:p w:rsidR="005612C5" w:rsidRPr="00261E6C" w:rsidRDefault="007F7FA9" w:rsidP="00261E6C">
            <w:pPr>
              <w:widowControl w:val="0"/>
              <w:tabs>
                <w:tab w:val="left" w:pos="2876"/>
              </w:tabs>
              <w:autoSpaceDE w:val="0"/>
              <w:autoSpaceDN w:val="0"/>
              <w:rPr>
                <w:b/>
                <w:sz w:val="22"/>
                <w:szCs w:val="22"/>
                <w:lang w:val="sr-Latn-RS" w:bidi="en-US"/>
              </w:rPr>
            </w:pPr>
            <w:r>
              <w:rPr>
                <w:b/>
                <w:bCs/>
                <w:sz w:val="22"/>
                <w:szCs w:val="22"/>
                <w:lang w:val="sr-Latn-RS" w:bidi="en-US"/>
              </w:rPr>
              <w:t xml:space="preserve">Lijek </w:t>
            </w:r>
            <w:r w:rsidR="005612C5" w:rsidRPr="00261E6C">
              <w:rPr>
                <w:b/>
                <w:bCs/>
                <w:sz w:val="22"/>
                <w:szCs w:val="22"/>
                <w:lang w:val="sr-Latn-RS" w:bidi="en-US"/>
              </w:rPr>
              <w:t>Polivy + bendamustin</w:t>
            </w:r>
            <w:r w:rsidR="005612C5" w:rsidRPr="00261E6C">
              <w:rPr>
                <w:b/>
                <w:bCs/>
                <w:sz w:val="22"/>
                <w:szCs w:val="22"/>
                <w:lang w:val="sr-Latn-RS" w:bidi="en-US"/>
              </w:rPr>
              <w:tab/>
              <w:t>Bendamustin +</w:t>
            </w:r>
          </w:p>
          <w:p w:rsidR="005612C5" w:rsidRPr="00261E6C" w:rsidRDefault="005612C5" w:rsidP="00261E6C">
            <w:pPr>
              <w:widowControl w:val="0"/>
              <w:tabs>
                <w:tab w:val="left" w:pos="3164"/>
                <w:tab w:val="left" w:pos="3327"/>
              </w:tabs>
              <w:autoSpaceDE w:val="0"/>
              <w:autoSpaceDN w:val="0"/>
              <w:spacing w:before="7"/>
              <w:jc w:val="center"/>
              <w:rPr>
                <w:b/>
                <w:bCs/>
                <w:sz w:val="22"/>
                <w:szCs w:val="22"/>
                <w:lang w:val="sr-Latn-RS" w:bidi="en-US"/>
              </w:rPr>
            </w:pPr>
            <w:r w:rsidRPr="00261E6C">
              <w:rPr>
                <w:b/>
                <w:bCs/>
                <w:sz w:val="22"/>
                <w:szCs w:val="22"/>
                <w:lang w:val="sr-Latn-RS" w:bidi="en-US"/>
              </w:rPr>
              <w:t>+ rituksimab</w:t>
            </w:r>
            <w:r w:rsidRPr="00261E6C">
              <w:rPr>
                <w:b/>
                <w:bCs/>
                <w:sz w:val="22"/>
                <w:szCs w:val="22"/>
                <w:lang w:val="sr-Latn-RS" w:bidi="en-US"/>
              </w:rPr>
              <w:tab/>
              <w:t>rituksimab N = 40</w:t>
            </w:r>
            <w:r w:rsidR="005544DC" w:rsidRPr="00C2143B">
              <w:rPr>
                <w:b/>
                <w:bCs/>
                <w:sz w:val="22"/>
                <w:szCs w:val="22"/>
                <w:lang w:val="sr-Latn-RS" w:bidi="en-US"/>
              </w:rPr>
              <w:t xml:space="preserve"> N=40</w:t>
            </w:r>
            <w:r w:rsidRPr="00261E6C">
              <w:rPr>
                <w:b/>
                <w:bCs/>
                <w:sz w:val="22"/>
                <w:szCs w:val="22"/>
                <w:lang w:val="sr-Latn-RS" w:bidi="en-US"/>
              </w:rPr>
              <w:tab/>
            </w:r>
          </w:p>
        </w:tc>
      </w:tr>
      <w:tr w:rsidR="005612C5" w:rsidRPr="00C2143B" w:rsidTr="00956FD7">
        <w:trPr>
          <w:trHeight w:val="254"/>
        </w:trPr>
        <w:tc>
          <w:tcPr>
            <w:tcW w:w="4898" w:type="dxa"/>
            <w:tcBorders>
              <w:top w:val="single" w:sz="4" w:space="0" w:color="000000"/>
              <w:left w:val="single" w:sz="4" w:space="0" w:color="000000"/>
              <w:bottom w:val="single" w:sz="4" w:space="0" w:color="000000"/>
              <w:right w:val="single" w:sz="4" w:space="0" w:color="000000"/>
            </w:tcBorders>
          </w:tcPr>
          <w:p w:rsidR="005612C5" w:rsidRPr="00261E6C" w:rsidRDefault="005612C5" w:rsidP="00E4155A">
            <w:pPr>
              <w:widowControl w:val="0"/>
              <w:autoSpaceDE w:val="0"/>
              <w:autoSpaceDN w:val="0"/>
              <w:jc w:val="both"/>
              <w:rPr>
                <w:sz w:val="22"/>
                <w:szCs w:val="22"/>
                <w:lang w:val="sr-Latn-RS" w:bidi="en-US"/>
              </w:rPr>
            </w:pPr>
          </w:p>
        </w:tc>
        <w:tc>
          <w:tcPr>
            <w:tcW w:w="5002" w:type="dxa"/>
            <w:tcBorders>
              <w:top w:val="single" w:sz="4" w:space="0" w:color="000000"/>
              <w:left w:val="single" w:sz="4" w:space="0" w:color="000000"/>
              <w:bottom w:val="single" w:sz="4" w:space="0" w:color="000000"/>
              <w:right w:val="single" w:sz="4" w:space="0" w:color="000000"/>
            </w:tcBorders>
            <w:hideMark/>
          </w:tcPr>
          <w:p w:rsidR="005612C5" w:rsidRPr="00261E6C" w:rsidRDefault="00687D00" w:rsidP="00261E6C">
            <w:pPr>
              <w:widowControl w:val="0"/>
              <w:autoSpaceDE w:val="0"/>
              <w:autoSpaceDN w:val="0"/>
              <w:spacing w:before="1"/>
              <w:jc w:val="center"/>
              <w:rPr>
                <w:b/>
                <w:sz w:val="22"/>
                <w:szCs w:val="22"/>
                <w:lang w:val="sr-Latn-RS" w:bidi="en-US"/>
              </w:rPr>
            </w:pPr>
            <w:r w:rsidRPr="00261E6C">
              <w:rPr>
                <w:b/>
                <w:bCs/>
                <w:sz w:val="22"/>
                <w:szCs w:val="22"/>
                <w:lang w:val="sr-Latn-RS" w:bidi="en-US"/>
              </w:rPr>
              <w:t>Medijana vremena opservacije</w:t>
            </w:r>
            <w:r w:rsidR="005544DC" w:rsidRPr="00C2143B">
              <w:rPr>
                <w:b/>
                <w:bCs/>
                <w:sz w:val="22"/>
                <w:szCs w:val="22"/>
                <w:lang w:val="sr-Latn-RS" w:bidi="en-US"/>
              </w:rPr>
              <w:t>:</w:t>
            </w:r>
            <w:r w:rsidRPr="00261E6C">
              <w:rPr>
                <w:b/>
                <w:bCs/>
                <w:sz w:val="22"/>
                <w:szCs w:val="22"/>
                <w:lang w:val="sr-Latn-RS" w:bidi="en-US"/>
              </w:rPr>
              <w:t xml:space="preserve"> 22 mjeseca</w:t>
            </w:r>
          </w:p>
        </w:tc>
      </w:tr>
      <w:tr w:rsidR="00687D00" w:rsidRPr="00C2143B" w:rsidTr="00956FD7">
        <w:trPr>
          <w:trHeight w:val="249"/>
        </w:trPr>
        <w:tc>
          <w:tcPr>
            <w:tcW w:w="4898" w:type="dxa"/>
            <w:tcBorders>
              <w:top w:val="single" w:sz="4" w:space="0" w:color="000000"/>
              <w:left w:val="single" w:sz="4" w:space="0" w:color="000000"/>
              <w:bottom w:val="single" w:sz="4" w:space="0" w:color="000000"/>
              <w:right w:val="single" w:sz="4" w:space="0" w:color="000000"/>
            </w:tcBorders>
            <w:hideMark/>
          </w:tcPr>
          <w:p w:rsidR="00687D00" w:rsidRPr="00261E6C" w:rsidRDefault="00687D00" w:rsidP="00E4155A">
            <w:pPr>
              <w:widowControl w:val="0"/>
              <w:autoSpaceDE w:val="0"/>
              <w:autoSpaceDN w:val="0"/>
              <w:jc w:val="both"/>
              <w:rPr>
                <w:b/>
                <w:sz w:val="22"/>
                <w:szCs w:val="22"/>
                <w:lang w:val="sr-Latn-RS" w:bidi="en-US"/>
              </w:rPr>
            </w:pPr>
            <w:r w:rsidRPr="00261E6C">
              <w:rPr>
                <w:b/>
                <w:bCs/>
                <w:sz w:val="22"/>
                <w:szCs w:val="22"/>
                <w:lang w:val="sr-Latn-RS" w:bidi="en-US"/>
              </w:rPr>
              <w:t xml:space="preserve">Primarni </w:t>
            </w:r>
            <w:r w:rsidR="005544DC" w:rsidRPr="00C2143B">
              <w:rPr>
                <w:b/>
                <w:bCs/>
                <w:sz w:val="22"/>
                <w:szCs w:val="22"/>
                <w:lang w:val="sr-Latn-RS" w:bidi="en-US"/>
              </w:rPr>
              <w:t>parametar praćenja</w:t>
            </w:r>
          </w:p>
        </w:tc>
        <w:tc>
          <w:tcPr>
            <w:tcW w:w="5002" w:type="dxa"/>
            <w:tcBorders>
              <w:top w:val="single" w:sz="4" w:space="0" w:color="000000"/>
              <w:left w:val="single" w:sz="4" w:space="0" w:color="000000"/>
              <w:bottom w:val="single" w:sz="4" w:space="0" w:color="000000"/>
              <w:right w:val="single" w:sz="4" w:space="0" w:color="000000"/>
            </w:tcBorders>
          </w:tcPr>
          <w:p w:rsidR="00687D00" w:rsidRPr="00261E6C" w:rsidRDefault="00687D00" w:rsidP="00261E6C">
            <w:pPr>
              <w:widowControl w:val="0"/>
              <w:autoSpaceDE w:val="0"/>
              <w:autoSpaceDN w:val="0"/>
              <w:jc w:val="center"/>
              <w:rPr>
                <w:sz w:val="22"/>
                <w:szCs w:val="22"/>
                <w:lang w:val="sr-Latn-RS" w:bidi="en-US"/>
              </w:rPr>
            </w:pPr>
          </w:p>
        </w:tc>
      </w:tr>
      <w:tr w:rsidR="00687D00" w:rsidRPr="00C2143B" w:rsidTr="00956FD7">
        <w:trPr>
          <w:trHeight w:val="1266"/>
        </w:trPr>
        <w:tc>
          <w:tcPr>
            <w:tcW w:w="4898" w:type="dxa"/>
            <w:tcBorders>
              <w:top w:val="single" w:sz="4" w:space="0" w:color="000000"/>
              <w:left w:val="single" w:sz="4" w:space="0" w:color="000000"/>
              <w:bottom w:val="single" w:sz="4" w:space="0" w:color="000000"/>
              <w:right w:val="single" w:sz="4" w:space="0" w:color="000000"/>
            </w:tcBorders>
            <w:hideMark/>
          </w:tcPr>
          <w:p w:rsidR="00687D00" w:rsidRPr="00261E6C" w:rsidRDefault="00687D00" w:rsidP="00E4155A">
            <w:pPr>
              <w:widowControl w:val="0"/>
              <w:autoSpaceDE w:val="0"/>
              <w:autoSpaceDN w:val="0"/>
              <w:jc w:val="both"/>
              <w:rPr>
                <w:sz w:val="22"/>
                <w:szCs w:val="22"/>
                <w:lang w:val="sr-Latn-RS" w:bidi="en-US"/>
              </w:rPr>
            </w:pPr>
            <w:r w:rsidRPr="00261E6C">
              <w:rPr>
                <w:sz w:val="22"/>
                <w:szCs w:val="22"/>
                <w:lang w:val="sr-Latn-RS" w:bidi="en-US"/>
              </w:rPr>
              <w:t>Stopa kompletnog odgovora* (na osnovu procjene IRC) na kraju terapije**</w:t>
            </w:r>
          </w:p>
          <w:p w:rsidR="00687D00" w:rsidRPr="00261E6C" w:rsidRDefault="00687D00" w:rsidP="00E4155A">
            <w:pPr>
              <w:widowControl w:val="0"/>
              <w:autoSpaceDE w:val="0"/>
              <w:autoSpaceDN w:val="0"/>
              <w:ind w:left="720"/>
              <w:jc w:val="both"/>
              <w:rPr>
                <w:sz w:val="22"/>
                <w:szCs w:val="22"/>
                <w:lang w:val="sr-Latn-RS" w:bidi="en-US"/>
              </w:rPr>
            </w:pPr>
            <w:r w:rsidRPr="00261E6C">
              <w:rPr>
                <w:sz w:val="22"/>
                <w:szCs w:val="22"/>
                <w:lang w:val="sr-Latn-RS" w:bidi="en-US"/>
              </w:rPr>
              <w:t>Ispitanici sa odgovorom (%)</w:t>
            </w:r>
          </w:p>
          <w:p w:rsidR="00687D00" w:rsidRPr="00261E6C" w:rsidRDefault="00687D00" w:rsidP="00E4155A">
            <w:pPr>
              <w:widowControl w:val="0"/>
              <w:autoSpaceDE w:val="0"/>
              <w:autoSpaceDN w:val="0"/>
              <w:ind w:left="720"/>
              <w:jc w:val="both"/>
              <w:rPr>
                <w:sz w:val="22"/>
                <w:szCs w:val="22"/>
                <w:lang w:val="sr-Latn-RS" w:bidi="en-US"/>
              </w:rPr>
            </w:pPr>
            <w:r w:rsidRPr="00261E6C">
              <w:rPr>
                <w:sz w:val="22"/>
                <w:szCs w:val="22"/>
                <w:lang w:val="sr-Latn-RS" w:bidi="en-US"/>
              </w:rPr>
              <w:t xml:space="preserve">Razlika u stopi odgovora (%) [95% CI] </w:t>
            </w:r>
          </w:p>
          <w:p w:rsidR="00687D00" w:rsidRPr="00261E6C" w:rsidRDefault="00687D00" w:rsidP="00433FEA">
            <w:pPr>
              <w:widowControl w:val="0"/>
              <w:autoSpaceDE w:val="0"/>
              <w:autoSpaceDN w:val="0"/>
              <w:ind w:left="720"/>
              <w:jc w:val="both"/>
              <w:rPr>
                <w:sz w:val="22"/>
                <w:szCs w:val="22"/>
                <w:lang w:val="sr-Latn-RS" w:bidi="en-US"/>
              </w:rPr>
            </w:pPr>
            <w:r w:rsidRPr="00261E6C">
              <w:rPr>
                <w:sz w:val="22"/>
                <w:szCs w:val="22"/>
                <w:lang w:val="sr-Latn-RS" w:bidi="en-US"/>
              </w:rPr>
              <w:t>p-vrijednost (CMH hi-kvadrat test***)</w:t>
            </w:r>
          </w:p>
        </w:tc>
        <w:tc>
          <w:tcPr>
            <w:tcW w:w="5002" w:type="dxa"/>
            <w:tcBorders>
              <w:top w:val="single" w:sz="4" w:space="0" w:color="000000"/>
              <w:left w:val="single" w:sz="4" w:space="0" w:color="000000"/>
              <w:bottom w:val="single" w:sz="4" w:space="0" w:color="000000"/>
              <w:right w:val="single" w:sz="4" w:space="0" w:color="000000"/>
            </w:tcBorders>
          </w:tcPr>
          <w:p w:rsidR="00687D00" w:rsidRPr="00261E6C" w:rsidRDefault="00687D00" w:rsidP="00497757">
            <w:pPr>
              <w:widowControl w:val="0"/>
              <w:autoSpaceDE w:val="0"/>
              <w:autoSpaceDN w:val="0"/>
              <w:jc w:val="center"/>
              <w:rPr>
                <w:b/>
                <w:sz w:val="22"/>
                <w:szCs w:val="22"/>
                <w:lang w:val="sr-Latn-RS" w:bidi="en-US"/>
              </w:rPr>
            </w:pPr>
          </w:p>
          <w:p w:rsidR="00687D00" w:rsidRPr="00261E6C" w:rsidRDefault="00687D00">
            <w:pPr>
              <w:widowControl w:val="0"/>
              <w:autoSpaceDE w:val="0"/>
              <w:autoSpaceDN w:val="0"/>
              <w:spacing w:before="10"/>
              <w:jc w:val="center"/>
              <w:rPr>
                <w:b/>
                <w:sz w:val="22"/>
                <w:szCs w:val="22"/>
                <w:lang w:val="sr-Latn-RS" w:bidi="en-US"/>
              </w:rPr>
            </w:pPr>
          </w:p>
          <w:p w:rsidR="00687D00" w:rsidRPr="00261E6C" w:rsidRDefault="00687D00">
            <w:pPr>
              <w:widowControl w:val="0"/>
              <w:tabs>
                <w:tab w:val="left" w:pos="2487"/>
              </w:tabs>
              <w:autoSpaceDE w:val="0"/>
              <w:autoSpaceDN w:val="0"/>
              <w:jc w:val="center"/>
              <w:rPr>
                <w:sz w:val="22"/>
                <w:szCs w:val="22"/>
                <w:lang w:val="sr-Latn-RS" w:bidi="en-US"/>
              </w:rPr>
            </w:pPr>
            <w:r w:rsidRPr="00261E6C">
              <w:rPr>
                <w:sz w:val="22"/>
                <w:szCs w:val="22"/>
                <w:lang w:val="sr-Latn-RS" w:bidi="en-US"/>
              </w:rPr>
              <w:t>16 (40,0)</w:t>
            </w:r>
            <w:r w:rsidRPr="00261E6C">
              <w:rPr>
                <w:sz w:val="22"/>
                <w:szCs w:val="22"/>
                <w:lang w:val="sr-Latn-RS" w:bidi="en-US"/>
              </w:rPr>
              <w:tab/>
              <w:t>7 (17,5)</w:t>
            </w:r>
          </w:p>
          <w:p w:rsidR="00687D00" w:rsidRPr="00261E6C" w:rsidRDefault="00687D00">
            <w:pPr>
              <w:widowControl w:val="0"/>
              <w:autoSpaceDE w:val="0"/>
              <w:autoSpaceDN w:val="0"/>
              <w:jc w:val="center"/>
              <w:rPr>
                <w:sz w:val="22"/>
                <w:szCs w:val="22"/>
                <w:lang w:val="sr-Latn-RS" w:bidi="en-US"/>
              </w:rPr>
            </w:pPr>
            <w:r w:rsidRPr="00261E6C">
              <w:rPr>
                <w:sz w:val="22"/>
                <w:szCs w:val="22"/>
                <w:lang w:val="sr-Latn-RS" w:bidi="en-US"/>
              </w:rPr>
              <w:t>22,5 [2,6, 40,2]</w:t>
            </w:r>
          </w:p>
          <w:p w:rsidR="00687D00" w:rsidRPr="00261E6C" w:rsidRDefault="00687D00">
            <w:pPr>
              <w:widowControl w:val="0"/>
              <w:autoSpaceDE w:val="0"/>
              <w:autoSpaceDN w:val="0"/>
              <w:spacing w:before="1"/>
              <w:jc w:val="center"/>
              <w:rPr>
                <w:sz w:val="22"/>
                <w:szCs w:val="22"/>
                <w:lang w:val="sr-Latn-RS" w:bidi="en-US"/>
              </w:rPr>
            </w:pPr>
            <w:r w:rsidRPr="00261E6C">
              <w:rPr>
                <w:sz w:val="22"/>
                <w:szCs w:val="22"/>
                <w:lang w:val="sr-Latn-RS" w:bidi="en-US"/>
              </w:rPr>
              <w:t>0,0261</w:t>
            </w:r>
          </w:p>
        </w:tc>
      </w:tr>
      <w:tr w:rsidR="00687D00" w:rsidRPr="00261E6C" w:rsidTr="00956FD7">
        <w:trPr>
          <w:trHeight w:val="253"/>
        </w:trPr>
        <w:tc>
          <w:tcPr>
            <w:tcW w:w="4898" w:type="dxa"/>
            <w:tcBorders>
              <w:top w:val="single" w:sz="4" w:space="0" w:color="000000"/>
              <w:left w:val="single" w:sz="4" w:space="0" w:color="000000"/>
              <w:bottom w:val="single" w:sz="4" w:space="0" w:color="000000"/>
              <w:right w:val="single" w:sz="4" w:space="0" w:color="000000"/>
            </w:tcBorders>
            <w:hideMark/>
          </w:tcPr>
          <w:p w:rsidR="00687D00" w:rsidRPr="00261E6C" w:rsidRDefault="00687D00" w:rsidP="00E4155A">
            <w:pPr>
              <w:widowControl w:val="0"/>
              <w:autoSpaceDE w:val="0"/>
              <w:autoSpaceDN w:val="0"/>
              <w:jc w:val="both"/>
              <w:rPr>
                <w:b/>
                <w:sz w:val="22"/>
                <w:szCs w:val="22"/>
                <w:lang w:val="sr-Latn-RS" w:bidi="en-US"/>
              </w:rPr>
            </w:pPr>
            <w:r w:rsidRPr="00261E6C">
              <w:rPr>
                <w:b/>
                <w:bCs/>
                <w:sz w:val="22"/>
                <w:szCs w:val="22"/>
                <w:lang w:val="sr-Latn-RS" w:bidi="en-US"/>
              </w:rPr>
              <w:t xml:space="preserve">Ključni sekundarni i eksploratorni </w:t>
            </w:r>
            <w:r w:rsidR="005544DC" w:rsidRPr="00C2143B">
              <w:rPr>
                <w:b/>
                <w:bCs/>
                <w:sz w:val="22"/>
                <w:szCs w:val="22"/>
                <w:lang w:val="sr-Latn-RS" w:bidi="en-US"/>
              </w:rPr>
              <w:t>parametri praćenja</w:t>
            </w:r>
          </w:p>
        </w:tc>
        <w:tc>
          <w:tcPr>
            <w:tcW w:w="5002" w:type="dxa"/>
            <w:tcBorders>
              <w:top w:val="single" w:sz="4" w:space="0" w:color="000000"/>
              <w:left w:val="single" w:sz="4" w:space="0" w:color="000000"/>
              <w:bottom w:val="single" w:sz="4" w:space="0" w:color="000000"/>
              <w:right w:val="single" w:sz="4" w:space="0" w:color="000000"/>
            </w:tcBorders>
          </w:tcPr>
          <w:p w:rsidR="00687D00" w:rsidRPr="00261E6C" w:rsidRDefault="00687D00" w:rsidP="00497757">
            <w:pPr>
              <w:widowControl w:val="0"/>
              <w:autoSpaceDE w:val="0"/>
              <w:autoSpaceDN w:val="0"/>
              <w:jc w:val="center"/>
              <w:rPr>
                <w:sz w:val="22"/>
                <w:szCs w:val="22"/>
                <w:lang w:val="sr-Latn-RS" w:bidi="en-US"/>
              </w:rPr>
            </w:pPr>
          </w:p>
        </w:tc>
      </w:tr>
      <w:tr w:rsidR="00687D00" w:rsidRPr="00C2143B" w:rsidTr="00956FD7">
        <w:trPr>
          <w:trHeight w:val="1516"/>
        </w:trPr>
        <w:tc>
          <w:tcPr>
            <w:tcW w:w="4898" w:type="dxa"/>
            <w:tcBorders>
              <w:top w:val="single" w:sz="4" w:space="0" w:color="000000"/>
              <w:left w:val="single" w:sz="4" w:space="0" w:color="000000"/>
              <w:bottom w:val="single" w:sz="4" w:space="0" w:color="000000"/>
              <w:right w:val="single" w:sz="4" w:space="0" w:color="000000"/>
            </w:tcBorders>
            <w:hideMark/>
          </w:tcPr>
          <w:p w:rsidR="00687D00" w:rsidRPr="00261E6C" w:rsidRDefault="00687D00" w:rsidP="00E4155A">
            <w:pPr>
              <w:widowControl w:val="0"/>
              <w:autoSpaceDE w:val="0"/>
              <w:autoSpaceDN w:val="0"/>
              <w:jc w:val="both"/>
              <w:rPr>
                <w:sz w:val="22"/>
                <w:szCs w:val="22"/>
                <w:lang w:val="sr-Latn-RS" w:bidi="en-US"/>
              </w:rPr>
            </w:pPr>
            <w:r w:rsidRPr="00261E6C">
              <w:rPr>
                <w:sz w:val="22"/>
                <w:szCs w:val="22"/>
                <w:lang w:val="sr-Latn-RS" w:bidi="en-US"/>
              </w:rPr>
              <w:t>Trajanje odgovora (na osnovu procjene istraživača)</w:t>
            </w:r>
          </w:p>
          <w:p w:rsidR="00687D00" w:rsidRPr="00261E6C" w:rsidRDefault="00687D00" w:rsidP="00E4155A">
            <w:pPr>
              <w:widowControl w:val="0"/>
              <w:autoSpaceDE w:val="0"/>
              <w:autoSpaceDN w:val="0"/>
              <w:ind w:left="720"/>
              <w:jc w:val="both"/>
              <w:rPr>
                <w:sz w:val="22"/>
                <w:szCs w:val="22"/>
                <w:lang w:val="sr-Latn-RS" w:bidi="en-US"/>
              </w:rPr>
            </w:pPr>
            <w:r w:rsidRPr="00261E6C">
              <w:rPr>
                <w:sz w:val="22"/>
                <w:szCs w:val="22"/>
                <w:lang w:val="sr-Latn-RS" w:bidi="en-US"/>
              </w:rPr>
              <w:t xml:space="preserve">Broj pacijenata uključenih u analizu </w:t>
            </w:r>
          </w:p>
          <w:p w:rsidR="00687D00" w:rsidRPr="00261E6C" w:rsidRDefault="00687D00" w:rsidP="00E4155A">
            <w:pPr>
              <w:widowControl w:val="0"/>
              <w:autoSpaceDE w:val="0"/>
              <w:autoSpaceDN w:val="0"/>
              <w:ind w:left="720"/>
              <w:jc w:val="both"/>
              <w:rPr>
                <w:sz w:val="22"/>
                <w:szCs w:val="22"/>
                <w:lang w:val="sr-Latn-RS" w:bidi="en-US"/>
              </w:rPr>
            </w:pPr>
            <w:r w:rsidRPr="00261E6C">
              <w:rPr>
                <w:sz w:val="22"/>
                <w:szCs w:val="22"/>
                <w:lang w:val="sr-Latn-RS" w:bidi="en-US"/>
              </w:rPr>
              <w:t xml:space="preserve">Broj (%) pacijenata sa događajem </w:t>
            </w:r>
          </w:p>
          <w:p w:rsidR="00687D00" w:rsidRPr="00261E6C" w:rsidRDefault="00687D00" w:rsidP="00433FEA">
            <w:pPr>
              <w:widowControl w:val="0"/>
              <w:autoSpaceDE w:val="0"/>
              <w:autoSpaceDN w:val="0"/>
              <w:ind w:left="720"/>
              <w:jc w:val="both"/>
              <w:rPr>
                <w:sz w:val="22"/>
                <w:szCs w:val="22"/>
                <w:lang w:val="sr-Latn-RS" w:bidi="en-US"/>
              </w:rPr>
            </w:pPr>
            <w:r w:rsidRPr="00261E6C">
              <w:rPr>
                <w:sz w:val="22"/>
                <w:szCs w:val="22"/>
                <w:lang w:val="sr-Latn-RS" w:bidi="en-US"/>
              </w:rPr>
              <w:t>Medijana DOR (95% CI), mjeseci</w:t>
            </w:r>
          </w:p>
          <w:p w:rsidR="00687D00" w:rsidRPr="00261E6C" w:rsidRDefault="00687D00" w:rsidP="0015550A">
            <w:pPr>
              <w:widowControl w:val="0"/>
              <w:autoSpaceDE w:val="0"/>
              <w:autoSpaceDN w:val="0"/>
              <w:ind w:left="720"/>
              <w:jc w:val="both"/>
              <w:rPr>
                <w:sz w:val="22"/>
                <w:szCs w:val="22"/>
                <w:lang w:val="sr-Latn-RS" w:bidi="en-US"/>
              </w:rPr>
            </w:pPr>
            <w:r w:rsidRPr="00261E6C">
              <w:rPr>
                <w:sz w:val="22"/>
                <w:szCs w:val="22"/>
                <w:lang w:val="sr-Latn-RS" w:bidi="en-US"/>
              </w:rPr>
              <w:t>HR [95% CI]</w:t>
            </w:r>
          </w:p>
          <w:p w:rsidR="00687D00" w:rsidRPr="00261E6C" w:rsidRDefault="00687D00">
            <w:pPr>
              <w:widowControl w:val="0"/>
              <w:autoSpaceDE w:val="0"/>
              <w:autoSpaceDN w:val="0"/>
              <w:ind w:left="720"/>
              <w:jc w:val="both"/>
              <w:rPr>
                <w:sz w:val="22"/>
                <w:szCs w:val="22"/>
                <w:lang w:val="sr-Latn-RS" w:bidi="en-US"/>
              </w:rPr>
            </w:pPr>
            <w:r w:rsidRPr="00261E6C">
              <w:rPr>
                <w:sz w:val="22"/>
                <w:szCs w:val="22"/>
                <w:lang w:val="sr-Latn-RS" w:bidi="en-US"/>
              </w:rPr>
              <w:t>p-vrijednost (Log-Rank test, stratifikovan***)</w:t>
            </w:r>
          </w:p>
        </w:tc>
        <w:tc>
          <w:tcPr>
            <w:tcW w:w="5002" w:type="dxa"/>
            <w:tcBorders>
              <w:top w:val="single" w:sz="4" w:space="0" w:color="000000"/>
              <w:left w:val="single" w:sz="4" w:space="0" w:color="000000"/>
              <w:bottom w:val="single" w:sz="4" w:space="0" w:color="000000"/>
              <w:right w:val="single" w:sz="4" w:space="0" w:color="000000"/>
            </w:tcBorders>
          </w:tcPr>
          <w:p w:rsidR="00687D00" w:rsidRPr="00261E6C" w:rsidRDefault="00687D00" w:rsidP="00497757">
            <w:pPr>
              <w:widowControl w:val="0"/>
              <w:autoSpaceDE w:val="0"/>
              <w:autoSpaceDN w:val="0"/>
              <w:spacing w:before="4"/>
              <w:jc w:val="center"/>
              <w:rPr>
                <w:b/>
                <w:sz w:val="22"/>
                <w:szCs w:val="22"/>
                <w:lang w:val="sr-Latn-RS" w:bidi="en-US"/>
              </w:rPr>
            </w:pPr>
          </w:p>
          <w:p w:rsidR="00687D00" w:rsidRPr="00261E6C" w:rsidRDefault="00687D00">
            <w:pPr>
              <w:widowControl w:val="0"/>
              <w:tabs>
                <w:tab w:val="left" w:pos="2429"/>
              </w:tabs>
              <w:autoSpaceDE w:val="0"/>
              <w:autoSpaceDN w:val="0"/>
              <w:jc w:val="center"/>
              <w:rPr>
                <w:sz w:val="22"/>
                <w:szCs w:val="22"/>
                <w:lang w:val="sr-Latn-RS" w:bidi="en-US"/>
              </w:rPr>
            </w:pPr>
            <w:r w:rsidRPr="00261E6C">
              <w:rPr>
                <w:sz w:val="22"/>
                <w:szCs w:val="22"/>
                <w:lang w:val="sr-Latn-RS" w:bidi="en-US"/>
              </w:rPr>
              <w:t>28</w:t>
            </w:r>
            <w:r w:rsidRPr="00261E6C">
              <w:rPr>
                <w:sz w:val="22"/>
                <w:szCs w:val="22"/>
                <w:lang w:val="sr-Latn-RS" w:bidi="en-US"/>
              </w:rPr>
              <w:tab/>
              <w:t>13</w:t>
            </w:r>
          </w:p>
          <w:p w:rsidR="00687D00" w:rsidRPr="00261E6C" w:rsidRDefault="00687D00">
            <w:pPr>
              <w:widowControl w:val="0"/>
              <w:tabs>
                <w:tab w:val="left" w:pos="2429"/>
              </w:tabs>
              <w:autoSpaceDE w:val="0"/>
              <w:autoSpaceDN w:val="0"/>
              <w:spacing w:before="1"/>
              <w:jc w:val="center"/>
              <w:rPr>
                <w:sz w:val="22"/>
                <w:szCs w:val="22"/>
                <w:lang w:val="sr-Latn-RS" w:bidi="en-US"/>
              </w:rPr>
            </w:pPr>
            <w:r w:rsidRPr="00261E6C">
              <w:rPr>
                <w:sz w:val="22"/>
                <w:szCs w:val="22"/>
                <w:lang w:val="sr-Latn-RS" w:bidi="en-US"/>
              </w:rPr>
              <w:t>17 (60,7)</w:t>
            </w:r>
            <w:r w:rsidRPr="00261E6C">
              <w:rPr>
                <w:sz w:val="22"/>
                <w:szCs w:val="22"/>
                <w:lang w:val="sr-Latn-RS" w:bidi="en-US"/>
              </w:rPr>
              <w:tab/>
              <w:t>11 (84,6)</w:t>
            </w:r>
          </w:p>
          <w:p w:rsidR="00687D00" w:rsidRPr="00261E6C" w:rsidRDefault="00687D00">
            <w:pPr>
              <w:widowControl w:val="0"/>
              <w:tabs>
                <w:tab w:val="left" w:pos="2439"/>
              </w:tabs>
              <w:autoSpaceDE w:val="0"/>
              <w:autoSpaceDN w:val="0"/>
              <w:spacing w:before="2"/>
              <w:jc w:val="center"/>
              <w:rPr>
                <w:sz w:val="22"/>
                <w:szCs w:val="22"/>
                <w:lang w:val="sr-Latn-RS" w:bidi="en-US"/>
              </w:rPr>
            </w:pPr>
            <w:r w:rsidRPr="00261E6C">
              <w:rPr>
                <w:sz w:val="22"/>
                <w:szCs w:val="22"/>
                <w:lang w:val="sr-Latn-RS" w:bidi="en-US"/>
              </w:rPr>
              <w:t>10,3 (5,6, NE)</w:t>
            </w:r>
            <w:r w:rsidRPr="00261E6C">
              <w:rPr>
                <w:sz w:val="22"/>
                <w:szCs w:val="22"/>
                <w:lang w:val="sr-Latn-RS" w:bidi="en-US"/>
              </w:rPr>
              <w:tab/>
              <w:t>4,1 (2,6, 12,7)</w:t>
            </w:r>
          </w:p>
          <w:p w:rsidR="00687D00" w:rsidRPr="00261E6C" w:rsidRDefault="00687D00">
            <w:pPr>
              <w:widowControl w:val="0"/>
              <w:autoSpaceDE w:val="0"/>
              <w:autoSpaceDN w:val="0"/>
              <w:jc w:val="center"/>
              <w:rPr>
                <w:sz w:val="22"/>
                <w:szCs w:val="22"/>
                <w:lang w:val="sr-Latn-RS" w:bidi="en-US"/>
              </w:rPr>
            </w:pPr>
            <w:r w:rsidRPr="00261E6C">
              <w:rPr>
                <w:sz w:val="22"/>
                <w:szCs w:val="22"/>
                <w:lang w:val="sr-Latn-RS" w:bidi="en-US"/>
              </w:rPr>
              <w:t>0,44 [0,20, 0,95]</w:t>
            </w:r>
          </w:p>
          <w:p w:rsidR="00687D00" w:rsidRPr="00261E6C" w:rsidRDefault="00687D00">
            <w:pPr>
              <w:widowControl w:val="0"/>
              <w:autoSpaceDE w:val="0"/>
              <w:autoSpaceDN w:val="0"/>
              <w:spacing w:before="1"/>
              <w:jc w:val="center"/>
              <w:rPr>
                <w:sz w:val="22"/>
                <w:szCs w:val="22"/>
                <w:lang w:val="sr-Latn-RS" w:bidi="en-US"/>
              </w:rPr>
            </w:pPr>
            <w:r w:rsidRPr="00261E6C">
              <w:rPr>
                <w:sz w:val="22"/>
                <w:szCs w:val="22"/>
                <w:lang w:val="sr-Latn-RS" w:bidi="en-US"/>
              </w:rPr>
              <w:t>0,0321</w:t>
            </w:r>
          </w:p>
        </w:tc>
      </w:tr>
      <w:tr w:rsidR="00687D00" w:rsidRPr="00C2143B" w:rsidTr="00956FD7">
        <w:trPr>
          <w:trHeight w:val="2530"/>
        </w:trPr>
        <w:tc>
          <w:tcPr>
            <w:tcW w:w="4898" w:type="dxa"/>
            <w:tcBorders>
              <w:top w:val="single" w:sz="4" w:space="0" w:color="000000"/>
              <w:left w:val="single" w:sz="4" w:space="0" w:color="000000"/>
              <w:bottom w:val="single" w:sz="4" w:space="0" w:color="000000"/>
              <w:right w:val="single" w:sz="4" w:space="0" w:color="000000"/>
            </w:tcBorders>
            <w:hideMark/>
          </w:tcPr>
          <w:p w:rsidR="00687D00" w:rsidRPr="00261E6C" w:rsidRDefault="00687D00" w:rsidP="00E4155A">
            <w:pPr>
              <w:widowControl w:val="0"/>
              <w:autoSpaceDE w:val="0"/>
              <w:autoSpaceDN w:val="0"/>
              <w:jc w:val="both"/>
              <w:rPr>
                <w:sz w:val="22"/>
                <w:szCs w:val="22"/>
                <w:lang w:val="sr-Latn-RS" w:bidi="en-US"/>
              </w:rPr>
            </w:pPr>
            <w:r w:rsidRPr="00261E6C">
              <w:rPr>
                <w:sz w:val="22"/>
                <w:szCs w:val="22"/>
                <w:lang w:val="sr-Latn-RS" w:bidi="en-US"/>
              </w:rPr>
              <w:t>Stopa ukupnog odgovora* (na osnovu procjene INV) na kraju terapije**</w:t>
            </w:r>
          </w:p>
          <w:p w:rsidR="00687D00" w:rsidRPr="00261E6C" w:rsidRDefault="00687D00" w:rsidP="00E4155A">
            <w:pPr>
              <w:widowControl w:val="0"/>
              <w:autoSpaceDE w:val="0"/>
              <w:autoSpaceDN w:val="0"/>
              <w:ind w:left="720"/>
              <w:jc w:val="both"/>
              <w:rPr>
                <w:sz w:val="22"/>
                <w:szCs w:val="22"/>
                <w:lang w:val="sr-Latn-RS" w:bidi="en-US"/>
              </w:rPr>
            </w:pPr>
            <w:r w:rsidRPr="00261E6C">
              <w:rPr>
                <w:sz w:val="22"/>
                <w:szCs w:val="22"/>
                <w:lang w:val="sr-Latn-RS" w:bidi="en-US"/>
              </w:rPr>
              <w:t>Ispitanici sa odgovorom (%) (CR, PR)</w:t>
            </w:r>
          </w:p>
          <w:p w:rsidR="00687D00" w:rsidRPr="00261E6C" w:rsidRDefault="00687D00" w:rsidP="00E4155A">
            <w:pPr>
              <w:widowControl w:val="0"/>
              <w:autoSpaceDE w:val="0"/>
              <w:autoSpaceDN w:val="0"/>
              <w:ind w:left="720"/>
              <w:jc w:val="both"/>
              <w:rPr>
                <w:sz w:val="22"/>
                <w:szCs w:val="22"/>
                <w:lang w:val="sr-Latn-RS" w:bidi="en-US"/>
              </w:rPr>
            </w:pPr>
            <w:r w:rsidRPr="00261E6C">
              <w:rPr>
                <w:sz w:val="22"/>
                <w:szCs w:val="22"/>
                <w:lang w:val="sr-Latn-RS" w:bidi="en-US"/>
              </w:rPr>
              <w:t xml:space="preserve">   Razlika u stopi odgovora (%) [95% CI] </w:t>
            </w:r>
          </w:p>
          <w:p w:rsidR="00687D00" w:rsidRPr="00261E6C" w:rsidRDefault="00687D00" w:rsidP="00433FEA">
            <w:pPr>
              <w:widowControl w:val="0"/>
              <w:autoSpaceDE w:val="0"/>
              <w:autoSpaceDN w:val="0"/>
              <w:ind w:left="720"/>
              <w:jc w:val="both"/>
              <w:rPr>
                <w:sz w:val="22"/>
                <w:szCs w:val="22"/>
                <w:lang w:val="sr-Latn-RS" w:bidi="en-US"/>
              </w:rPr>
            </w:pPr>
            <w:r w:rsidRPr="00261E6C">
              <w:rPr>
                <w:sz w:val="22"/>
                <w:szCs w:val="22"/>
                <w:lang w:val="sr-Latn-RS" w:bidi="en-US"/>
              </w:rPr>
              <w:t xml:space="preserve">   p-vrijednost (CMH hi-kvadrat test***)</w:t>
            </w:r>
          </w:p>
          <w:p w:rsidR="00687D00" w:rsidRPr="00261E6C" w:rsidRDefault="00687D00" w:rsidP="0015550A">
            <w:pPr>
              <w:widowControl w:val="0"/>
              <w:autoSpaceDE w:val="0"/>
              <w:autoSpaceDN w:val="0"/>
              <w:ind w:left="720"/>
              <w:jc w:val="both"/>
              <w:rPr>
                <w:sz w:val="22"/>
                <w:szCs w:val="22"/>
                <w:lang w:val="sr-Latn-RS" w:bidi="en-US"/>
              </w:rPr>
            </w:pPr>
            <w:r w:rsidRPr="00261E6C">
              <w:rPr>
                <w:sz w:val="22"/>
                <w:szCs w:val="22"/>
                <w:lang w:val="sr-Latn-RS" w:bidi="en-US"/>
              </w:rPr>
              <w:t>Kompletan odgovor (%) (CR)</w:t>
            </w:r>
          </w:p>
          <w:p w:rsidR="00687D00" w:rsidRPr="00261E6C" w:rsidRDefault="00687D00">
            <w:pPr>
              <w:widowControl w:val="0"/>
              <w:autoSpaceDE w:val="0"/>
              <w:autoSpaceDN w:val="0"/>
              <w:ind w:left="720"/>
              <w:jc w:val="both"/>
              <w:rPr>
                <w:sz w:val="22"/>
                <w:szCs w:val="22"/>
                <w:lang w:val="sr-Latn-RS" w:bidi="en-US"/>
              </w:rPr>
            </w:pPr>
            <w:r w:rsidRPr="00261E6C">
              <w:rPr>
                <w:sz w:val="22"/>
                <w:szCs w:val="22"/>
                <w:lang w:val="sr-Latn-RS" w:bidi="en-US"/>
              </w:rPr>
              <w:t xml:space="preserve">   Razlika u stopi odgovora (%) [95% CI] </w:t>
            </w:r>
          </w:p>
          <w:p w:rsidR="00687D00" w:rsidRPr="00261E6C" w:rsidRDefault="00687D00">
            <w:pPr>
              <w:widowControl w:val="0"/>
              <w:autoSpaceDE w:val="0"/>
              <w:autoSpaceDN w:val="0"/>
              <w:ind w:left="720"/>
              <w:jc w:val="both"/>
              <w:rPr>
                <w:sz w:val="22"/>
                <w:szCs w:val="22"/>
                <w:lang w:val="sr-Latn-RS" w:bidi="en-US"/>
              </w:rPr>
            </w:pPr>
            <w:r w:rsidRPr="00261E6C">
              <w:rPr>
                <w:sz w:val="22"/>
                <w:szCs w:val="22"/>
                <w:lang w:val="sr-Latn-RS" w:bidi="en-US"/>
              </w:rPr>
              <w:t xml:space="preserve">   p-vrijednost (CMH hi-kvadrat test***)</w:t>
            </w:r>
          </w:p>
          <w:p w:rsidR="00687D00" w:rsidRPr="00261E6C" w:rsidRDefault="00687D00">
            <w:pPr>
              <w:widowControl w:val="0"/>
              <w:autoSpaceDE w:val="0"/>
              <w:autoSpaceDN w:val="0"/>
              <w:spacing w:before="7"/>
              <w:ind w:left="720"/>
              <w:jc w:val="both"/>
              <w:rPr>
                <w:sz w:val="22"/>
                <w:szCs w:val="22"/>
                <w:lang w:val="sr-Latn-RS" w:bidi="en-US"/>
              </w:rPr>
            </w:pPr>
            <w:r w:rsidRPr="00261E6C">
              <w:rPr>
                <w:sz w:val="22"/>
                <w:szCs w:val="22"/>
                <w:lang w:val="sr-Latn-RS" w:bidi="en-US"/>
              </w:rPr>
              <w:t xml:space="preserve">Parcijalni odgovor (%) (PR) </w:t>
            </w:r>
          </w:p>
          <w:p w:rsidR="00687D00" w:rsidRPr="00261E6C" w:rsidRDefault="00687D00">
            <w:pPr>
              <w:widowControl w:val="0"/>
              <w:autoSpaceDE w:val="0"/>
              <w:autoSpaceDN w:val="0"/>
              <w:spacing w:before="7"/>
              <w:ind w:left="720"/>
              <w:jc w:val="both"/>
              <w:rPr>
                <w:sz w:val="22"/>
                <w:szCs w:val="22"/>
                <w:lang w:val="sr-Latn-RS" w:bidi="en-US"/>
              </w:rPr>
            </w:pPr>
            <w:r w:rsidRPr="00261E6C">
              <w:rPr>
                <w:sz w:val="22"/>
                <w:szCs w:val="22"/>
                <w:lang w:val="sr-Latn-RS" w:bidi="en-US"/>
              </w:rPr>
              <w:t xml:space="preserve">   95% CI </w:t>
            </w:r>
            <w:r w:rsidRPr="00261E6C">
              <w:rPr>
                <w:i/>
                <w:sz w:val="22"/>
                <w:szCs w:val="22"/>
                <w:lang w:val="sr-Latn-RS" w:bidi="en-US"/>
              </w:rPr>
              <w:t>Clopper-Pearson</w:t>
            </w:r>
          </w:p>
        </w:tc>
        <w:tc>
          <w:tcPr>
            <w:tcW w:w="5002" w:type="dxa"/>
            <w:tcBorders>
              <w:top w:val="single" w:sz="4" w:space="0" w:color="000000"/>
              <w:left w:val="single" w:sz="4" w:space="0" w:color="000000"/>
              <w:bottom w:val="single" w:sz="4" w:space="0" w:color="000000"/>
              <w:right w:val="single" w:sz="4" w:space="0" w:color="000000"/>
            </w:tcBorders>
          </w:tcPr>
          <w:p w:rsidR="00687D00" w:rsidRPr="00261E6C" w:rsidRDefault="00687D00" w:rsidP="00497757">
            <w:pPr>
              <w:widowControl w:val="0"/>
              <w:autoSpaceDE w:val="0"/>
              <w:autoSpaceDN w:val="0"/>
              <w:jc w:val="center"/>
              <w:rPr>
                <w:b/>
                <w:sz w:val="22"/>
                <w:szCs w:val="22"/>
                <w:lang w:val="sr-Latn-RS" w:bidi="en-US"/>
              </w:rPr>
            </w:pPr>
          </w:p>
          <w:p w:rsidR="00687D00" w:rsidRPr="00261E6C" w:rsidRDefault="00687D00">
            <w:pPr>
              <w:widowControl w:val="0"/>
              <w:autoSpaceDE w:val="0"/>
              <w:autoSpaceDN w:val="0"/>
              <w:spacing w:before="6"/>
              <w:jc w:val="center"/>
              <w:rPr>
                <w:b/>
                <w:sz w:val="22"/>
                <w:szCs w:val="22"/>
                <w:lang w:val="sr-Latn-RS" w:bidi="en-US"/>
              </w:rPr>
            </w:pPr>
          </w:p>
          <w:p w:rsidR="00687D00" w:rsidRPr="00261E6C" w:rsidRDefault="00687D00">
            <w:pPr>
              <w:widowControl w:val="0"/>
              <w:tabs>
                <w:tab w:val="left" w:pos="2487"/>
              </w:tabs>
              <w:autoSpaceDE w:val="0"/>
              <w:autoSpaceDN w:val="0"/>
              <w:jc w:val="center"/>
              <w:rPr>
                <w:sz w:val="22"/>
                <w:szCs w:val="22"/>
                <w:lang w:val="sr-Latn-RS" w:bidi="en-US"/>
              </w:rPr>
            </w:pPr>
            <w:r w:rsidRPr="00261E6C">
              <w:rPr>
                <w:sz w:val="22"/>
                <w:szCs w:val="22"/>
                <w:lang w:val="sr-Latn-RS" w:bidi="en-US"/>
              </w:rPr>
              <w:t>19 (47,5)</w:t>
            </w:r>
            <w:r w:rsidRPr="00261E6C">
              <w:rPr>
                <w:sz w:val="22"/>
                <w:szCs w:val="22"/>
                <w:lang w:val="sr-Latn-RS" w:bidi="en-US"/>
              </w:rPr>
              <w:tab/>
              <w:t>7 (17,5)</w:t>
            </w:r>
          </w:p>
          <w:p w:rsidR="00687D00" w:rsidRPr="00261E6C" w:rsidRDefault="00687D00">
            <w:pPr>
              <w:widowControl w:val="0"/>
              <w:autoSpaceDE w:val="0"/>
              <w:autoSpaceDN w:val="0"/>
              <w:spacing w:before="1"/>
              <w:jc w:val="center"/>
              <w:rPr>
                <w:sz w:val="22"/>
                <w:szCs w:val="22"/>
                <w:lang w:val="sr-Latn-RS" w:bidi="en-US"/>
              </w:rPr>
            </w:pPr>
            <w:r w:rsidRPr="00261E6C">
              <w:rPr>
                <w:sz w:val="22"/>
                <w:szCs w:val="22"/>
                <w:lang w:val="sr-Latn-RS" w:bidi="en-US"/>
              </w:rPr>
              <w:t>30,0 [9,5, 47,4]</w:t>
            </w:r>
          </w:p>
          <w:p w:rsidR="00687D00" w:rsidRPr="00261E6C" w:rsidRDefault="00687D00">
            <w:pPr>
              <w:widowControl w:val="0"/>
              <w:autoSpaceDE w:val="0"/>
              <w:autoSpaceDN w:val="0"/>
              <w:spacing w:before="2"/>
              <w:jc w:val="center"/>
              <w:rPr>
                <w:sz w:val="22"/>
                <w:szCs w:val="22"/>
                <w:lang w:val="sr-Latn-RS" w:bidi="en-US"/>
              </w:rPr>
            </w:pPr>
            <w:r w:rsidRPr="00261E6C">
              <w:rPr>
                <w:sz w:val="22"/>
                <w:szCs w:val="22"/>
                <w:lang w:val="sr-Latn-RS" w:bidi="en-US"/>
              </w:rPr>
              <w:t>0,0036</w:t>
            </w:r>
          </w:p>
          <w:p w:rsidR="00687D00" w:rsidRPr="00261E6C" w:rsidRDefault="00687D00">
            <w:pPr>
              <w:widowControl w:val="0"/>
              <w:tabs>
                <w:tab w:val="left" w:pos="2487"/>
              </w:tabs>
              <w:autoSpaceDE w:val="0"/>
              <w:autoSpaceDN w:val="0"/>
              <w:jc w:val="center"/>
              <w:rPr>
                <w:sz w:val="22"/>
                <w:szCs w:val="22"/>
                <w:lang w:val="sr-Latn-RS" w:bidi="en-US"/>
              </w:rPr>
            </w:pPr>
            <w:r w:rsidRPr="00261E6C">
              <w:rPr>
                <w:sz w:val="22"/>
                <w:szCs w:val="22"/>
                <w:lang w:val="sr-Latn-RS" w:bidi="en-US"/>
              </w:rPr>
              <w:t>17 (42,5)</w:t>
            </w:r>
            <w:r w:rsidRPr="00261E6C">
              <w:rPr>
                <w:sz w:val="22"/>
                <w:szCs w:val="22"/>
                <w:lang w:val="sr-Latn-RS" w:bidi="en-US"/>
              </w:rPr>
              <w:tab/>
              <w:t>6 (15,0)</w:t>
            </w:r>
          </w:p>
          <w:p w:rsidR="00687D00" w:rsidRPr="00261E6C" w:rsidRDefault="00687D00">
            <w:pPr>
              <w:widowControl w:val="0"/>
              <w:autoSpaceDE w:val="0"/>
              <w:autoSpaceDN w:val="0"/>
              <w:spacing w:before="1"/>
              <w:jc w:val="center"/>
              <w:rPr>
                <w:sz w:val="22"/>
                <w:szCs w:val="22"/>
                <w:lang w:val="sr-Latn-RS" w:bidi="en-US"/>
              </w:rPr>
            </w:pPr>
            <w:r w:rsidRPr="00261E6C">
              <w:rPr>
                <w:sz w:val="22"/>
                <w:szCs w:val="22"/>
                <w:lang w:val="sr-Latn-RS" w:bidi="en-US"/>
              </w:rPr>
              <w:t>27,5 [7,7, 44,7]</w:t>
            </w:r>
          </w:p>
          <w:p w:rsidR="00687D00" w:rsidRPr="00261E6C" w:rsidRDefault="00687D00">
            <w:pPr>
              <w:widowControl w:val="0"/>
              <w:autoSpaceDE w:val="0"/>
              <w:autoSpaceDN w:val="0"/>
              <w:spacing w:before="2"/>
              <w:jc w:val="center"/>
              <w:rPr>
                <w:sz w:val="22"/>
                <w:szCs w:val="22"/>
                <w:lang w:val="sr-Latn-RS" w:bidi="en-US"/>
              </w:rPr>
            </w:pPr>
            <w:r w:rsidRPr="00261E6C">
              <w:rPr>
                <w:sz w:val="22"/>
                <w:szCs w:val="22"/>
                <w:lang w:val="sr-Latn-RS" w:bidi="en-US"/>
              </w:rPr>
              <w:t>0,0061</w:t>
            </w:r>
          </w:p>
          <w:p w:rsidR="00687D00" w:rsidRPr="00261E6C" w:rsidRDefault="00687D00">
            <w:pPr>
              <w:widowControl w:val="0"/>
              <w:tabs>
                <w:tab w:val="left" w:pos="2429"/>
              </w:tabs>
              <w:autoSpaceDE w:val="0"/>
              <w:autoSpaceDN w:val="0"/>
              <w:spacing w:before="1"/>
              <w:jc w:val="center"/>
              <w:rPr>
                <w:sz w:val="22"/>
                <w:szCs w:val="22"/>
                <w:lang w:val="sr-Latn-RS" w:bidi="en-US"/>
              </w:rPr>
            </w:pPr>
            <w:r w:rsidRPr="00261E6C">
              <w:rPr>
                <w:sz w:val="22"/>
                <w:szCs w:val="22"/>
                <w:lang w:val="sr-Latn-RS" w:bidi="en-US"/>
              </w:rPr>
              <w:t>2 (5,0)</w:t>
            </w:r>
            <w:r w:rsidRPr="00261E6C">
              <w:rPr>
                <w:sz w:val="22"/>
                <w:szCs w:val="22"/>
                <w:lang w:val="sr-Latn-RS" w:bidi="en-US"/>
              </w:rPr>
              <w:tab/>
              <w:t>1 (2,5)</w:t>
            </w:r>
          </w:p>
          <w:p w:rsidR="00687D00" w:rsidRPr="00261E6C" w:rsidRDefault="00687D00">
            <w:pPr>
              <w:widowControl w:val="0"/>
              <w:tabs>
                <w:tab w:val="left" w:pos="2419"/>
              </w:tabs>
              <w:autoSpaceDE w:val="0"/>
              <w:autoSpaceDN w:val="0"/>
              <w:jc w:val="center"/>
              <w:rPr>
                <w:sz w:val="22"/>
                <w:szCs w:val="22"/>
                <w:lang w:val="sr-Latn-RS" w:bidi="en-US"/>
              </w:rPr>
            </w:pPr>
            <w:r w:rsidRPr="00261E6C">
              <w:rPr>
                <w:sz w:val="22"/>
                <w:szCs w:val="22"/>
                <w:lang w:val="sr-Latn-RS" w:bidi="en-US"/>
              </w:rPr>
              <w:t>[0,6, 16,9]</w:t>
            </w:r>
            <w:r w:rsidRPr="00261E6C">
              <w:rPr>
                <w:sz w:val="22"/>
                <w:szCs w:val="22"/>
                <w:lang w:val="sr-Latn-RS" w:bidi="en-US"/>
              </w:rPr>
              <w:tab/>
              <w:t>[0,06, 13,2]</w:t>
            </w:r>
          </w:p>
        </w:tc>
      </w:tr>
      <w:tr w:rsidR="00687D00" w:rsidRPr="00C2143B" w:rsidTr="00956FD7">
        <w:trPr>
          <w:trHeight w:val="1771"/>
        </w:trPr>
        <w:tc>
          <w:tcPr>
            <w:tcW w:w="4898" w:type="dxa"/>
            <w:tcBorders>
              <w:top w:val="single" w:sz="4" w:space="0" w:color="000000"/>
              <w:left w:val="single" w:sz="4" w:space="0" w:color="000000"/>
              <w:bottom w:val="single" w:sz="4" w:space="0" w:color="000000"/>
              <w:right w:val="single" w:sz="4" w:space="0" w:color="000000"/>
            </w:tcBorders>
            <w:hideMark/>
          </w:tcPr>
          <w:p w:rsidR="00687D00" w:rsidRPr="00261E6C" w:rsidRDefault="00687D00" w:rsidP="00E4155A">
            <w:pPr>
              <w:widowControl w:val="0"/>
              <w:autoSpaceDE w:val="0"/>
              <w:autoSpaceDN w:val="0"/>
              <w:jc w:val="both"/>
              <w:rPr>
                <w:sz w:val="22"/>
                <w:szCs w:val="22"/>
                <w:lang w:val="sr-Latn-RS" w:bidi="en-US"/>
              </w:rPr>
            </w:pPr>
            <w:r w:rsidRPr="00261E6C">
              <w:rPr>
                <w:sz w:val="22"/>
                <w:szCs w:val="22"/>
                <w:lang w:val="sr-Latn-RS" w:bidi="en-US"/>
              </w:rPr>
              <w:t>Najbolja stopa sveukupnog odgovora</w:t>
            </w:r>
            <w:r w:rsidRPr="00261E6C">
              <w:rPr>
                <w:sz w:val="22"/>
                <w:szCs w:val="22"/>
                <w:vertAlign w:val="superscript"/>
                <w:lang w:val="sr-Latn-RS" w:bidi="en-US"/>
              </w:rPr>
              <w:t>*</w:t>
            </w:r>
            <w:r w:rsidRPr="00261E6C">
              <w:rPr>
                <w:sz w:val="22"/>
                <w:szCs w:val="22"/>
                <w:lang w:val="sr-Latn-RS" w:bidi="en-US"/>
              </w:rPr>
              <w:t xml:space="preserve"> (na osnovu procjene istraživača) </w:t>
            </w:r>
          </w:p>
          <w:p w:rsidR="00687D00" w:rsidRPr="00261E6C" w:rsidRDefault="00687D00" w:rsidP="00E4155A">
            <w:pPr>
              <w:widowControl w:val="0"/>
              <w:autoSpaceDE w:val="0"/>
              <w:autoSpaceDN w:val="0"/>
              <w:jc w:val="both"/>
              <w:rPr>
                <w:sz w:val="22"/>
                <w:szCs w:val="22"/>
                <w:lang w:val="sr-Latn-RS" w:bidi="en-US"/>
              </w:rPr>
            </w:pPr>
            <w:r w:rsidRPr="00261E6C">
              <w:rPr>
                <w:sz w:val="22"/>
                <w:szCs w:val="22"/>
                <w:lang w:val="sr-Latn-RS" w:bidi="en-US"/>
              </w:rPr>
              <w:t xml:space="preserve">      Ispitanici sa odgovorom (%) (CR, PR)</w:t>
            </w:r>
          </w:p>
          <w:p w:rsidR="00687D00" w:rsidRPr="00261E6C" w:rsidRDefault="00687D00" w:rsidP="00E4155A">
            <w:pPr>
              <w:widowControl w:val="0"/>
              <w:autoSpaceDE w:val="0"/>
              <w:autoSpaceDN w:val="0"/>
              <w:jc w:val="both"/>
              <w:rPr>
                <w:sz w:val="22"/>
                <w:szCs w:val="22"/>
                <w:lang w:val="sr-Latn-RS" w:bidi="en-US"/>
              </w:rPr>
            </w:pPr>
            <w:r w:rsidRPr="00261E6C">
              <w:rPr>
                <w:sz w:val="22"/>
                <w:szCs w:val="22"/>
                <w:lang w:val="sr-Latn-RS" w:bidi="en-US"/>
              </w:rPr>
              <w:t xml:space="preserve">         Razlika u stopi odgovora (%) [95% CI] </w:t>
            </w:r>
          </w:p>
          <w:p w:rsidR="00687D00" w:rsidRPr="00261E6C" w:rsidRDefault="00687D00" w:rsidP="00433FEA">
            <w:pPr>
              <w:widowControl w:val="0"/>
              <w:autoSpaceDE w:val="0"/>
              <w:autoSpaceDN w:val="0"/>
              <w:jc w:val="both"/>
              <w:rPr>
                <w:sz w:val="22"/>
                <w:szCs w:val="22"/>
                <w:lang w:val="sr-Latn-RS" w:bidi="en-US"/>
              </w:rPr>
            </w:pPr>
            <w:r w:rsidRPr="00261E6C">
              <w:rPr>
                <w:sz w:val="22"/>
                <w:szCs w:val="22"/>
                <w:lang w:val="sr-Latn-RS" w:bidi="en-US"/>
              </w:rPr>
              <w:t xml:space="preserve">     Kompletan odgovor (%) (CR)</w:t>
            </w:r>
          </w:p>
          <w:p w:rsidR="00687D00" w:rsidRPr="00261E6C" w:rsidRDefault="00687D00" w:rsidP="0015550A">
            <w:pPr>
              <w:widowControl w:val="0"/>
              <w:autoSpaceDE w:val="0"/>
              <w:autoSpaceDN w:val="0"/>
              <w:jc w:val="both"/>
              <w:rPr>
                <w:sz w:val="22"/>
                <w:szCs w:val="22"/>
                <w:lang w:val="sr-Latn-RS" w:bidi="en-US"/>
              </w:rPr>
            </w:pPr>
            <w:r w:rsidRPr="00261E6C">
              <w:rPr>
                <w:sz w:val="22"/>
                <w:szCs w:val="22"/>
                <w:lang w:val="sr-Latn-RS" w:bidi="en-US"/>
              </w:rPr>
              <w:t xml:space="preserve">         95% CI </w:t>
            </w:r>
            <w:r w:rsidRPr="00261E6C">
              <w:rPr>
                <w:i/>
                <w:sz w:val="22"/>
                <w:szCs w:val="22"/>
                <w:lang w:val="sr-Latn-RS" w:bidi="en-US"/>
              </w:rPr>
              <w:t>Clopper-Pearson</w:t>
            </w:r>
            <w:r w:rsidRPr="00261E6C">
              <w:rPr>
                <w:sz w:val="22"/>
                <w:szCs w:val="22"/>
                <w:lang w:val="sr-Latn-RS" w:bidi="en-US"/>
              </w:rPr>
              <w:t xml:space="preserve"> </w:t>
            </w:r>
          </w:p>
          <w:p w:rsidR="00687D00" w:rsidRPr="00261E6C" w:rsidRDefault="00687D00">
            <w:pPr>
              <w:widowControl w:val="0"/>
              <w:autoSpaceDE w:val="0"/>
              <w:autoSpaceDN w:val="0"/>
              <w:jc w:val="both"/>
              <w:rPr>
                <w:sz w:val="22"/>
                <w:szCs w:val="22"/>
                <w:lang w:val="sr-Latn-RS" w:bidi="en-US"/>
              </w:rPr>
            </w:pPr>
            <w:r w:rsidRPr="00261E6C">
              <w:rPr>
                <w:sz w:val="22"/>
                <w:szCs w:val="22"/>
                <w:lang w:val="sr-Latn-RS" w:bidi="en-US"/>
              </w:rPr>
              <w:t xml:space="preserve">     Djelimičan odgovor (%) (PR)</w:t>
            </w:r>
          </w:p>
          <w:p w:rsidR="00687D00" w:rsidRPr="00261E6C" w:rsidRDefault="00687D00">
            <w:pPr>
              <w:widowControl w:val="0"/>
              <w:autoSpaceDE w:val="0"/>
              <w:autoSpaceDN w:val="0"/>
              <w:jc w:val="both"/>
              <w:rPr>
                <w:sz w:val="22"/>
                <w:szCs w:val="22"/>
                <w:lang w:val="sr-Latn-RS" w:bidi="en-US"/>
              </w:rPr>
            </w:pPr>
            <w:r w:rsidRPr="00261E6C">
              <w:rPr>
                <w:sz w:val="22"/>
                <w:szCs w:val="22"/>
                <w:lang w:val="sr-Latn-RS" w:bidi="en-US"/>
              </w:rPr>
              <w:t xml:space="preserve">         95% CI </w:t>
            </w:r>
            <w:r w:rsidRPr="00261E6C">
              <w:rPr>
                <w:i/>
                <w:sz w:val="22"/>
                <w:szCs w:val="22"/>
                <w:lang w:val="sr-Latn-RS" w:bidi="en-US"/>
              </w:rPr>
              <w:t>Clopper-Pearson</w:t>
            </w:r>
          </w:p>
        </w:tc>
        <w:tc>
          <w:tcPr>
            <w:tcW w:w="5002" w:type="dxa"/>
            <w:tcBorders>
              <w:top w:val="single" w:sz="4" w:space="0" w:color="000000"/>
              <w:left w:val="single" w:sz="4" w:space="0" w:color="000000"/>
              <w:bottom w:val="single" w:sz="4" w:space="0" w:color="000000"/>
              <w:right w:val="single" w:sz="4" w:space="0" w:color="000000"/>
            </w:tcBorders>
          </w:tcPr>
          <w:p w:rsidR="00687D00" w:rsidRPr="00261E6C" w:rsidRDefault="00687D00" w:rsidP="00497757">
            <w:pPr>
              <w:widowControl w:val="0"/>
              <w:autoSpaceDE w:val="0"/>
              <w:autoSpaceDN w:val="0"/>
              <w:spacing w:before="8"/>
              <w:jc w:val="center"/>
              <w:rPr>
                <w:b/>
                <w:sz w:val="22"/>
                <w:szCs w:val="22"/>
                <w:lang w:val="sr-Latn-RS" w:bidi="en-US"/>
              </w:rPr>
            </w:pPr>
          </w:p>
          <w:p w:rsidR="00852184" w:rsidRPr="00C2143B" w:rsidRDefault="00852184">
            <w:pPr>
              <w:widowControl w:val="0"/>
              <w:tabs>
                <w:tab w:val="left" w:pos="2429"/>
              </w:tabs>
              <w:autoSpaceDE w:val="0"/>
              <w:autoSpaceDN w:val="0"/>
              <w:spacing w:before="1"/>
              <w:jc w:val="center"/>
              <w:rPr>
                <w:sz w:val="22"/>
                <w:szCs w:val="22"/>
                <w:lang w:val="sr-Latn-RS" w:bidi="en-US"/>
              </w:rPr>
            </w:pPr>
          </w:p>
          <w:p w:rsidR="00687D00" w:rsidRPr="00261E6C" w:rsidRDefault="00687D00">
            <w:pPr>
              <w:widowControl w:val="0"/>
              <w:tabs>
                <w:tab w:val="left" w:pos="2429"/>
              </w:tabs>
              <w:autoSpaceDE w:val="0"/>
              <w:autoSpaceDN w:val="0"/>
              <w:spacing w:before="1"/>
              <w:jc w:val="center"/>
              <w:rPr>
                <w:sz w:val="22"/>
                <w:szCs w:val="22"/>
                <w:lang w:val="sr-Latn-RS" w:bidi="en-US"/>
              </w:rPr>
            </w:pPr>
            <w:r w:rsidRPr="00261E6C">
              <w:rPr>
                <w:sz w:val="22"/>
                <w:szCs w:val="22"/>
                <w:lang w:val="sr-Latn-RS" w:bidi="en-US"/>
              </w:rPr>
              <w:t>28 (70,0)</w:t>
            </w:r>
            <w:r w:rsidRPr="00261E6C">
              <w:rPr>
                <w:sz w:val="22"/>
                <w:szCs w:val="22"/>
                <w:lang w:val="sr-Latn-RS" w:bidi="en-US"/>
              </w:rPr>
              <w:tab/>
              <w:t>13 (32,5)</w:t>
            </w:r>
          </w:p>
          <w:p w:rsidR="00687D00" w:rsidRPr="00261E6C" w:rsidRDefault="00687D00">
            <w:pPr>
              <w:widowControl w:val="0"/>
              <w:autoSpaceDE w:val="0"/>
              <w:autoSpaceDN w:val="0"/>
              <w:jc w:val="center"/>
              <w:rPr>
                <w:sz w:val="22"/>
                <w:szCs w:val="22"/>
                <w:lang w:val="sr-Latn-RS" w:bidi="en-US"/>
              </w:rPr>
            </w:pPr>
            <w:r w:rsidRPr="00261E6C">
              <w:rPr>
                <w:sz w:val="22"/>
                <w:szCs w:val="22"/>
                <w:lang w:val="sr-Latn-RS" w:bidi="en-US"/>
              </w:rPr>
              <w:t>37,5 [15,6, 54,7]</w:t>
            </w:r>
          </w:p>
          <w:p w:rsidR="00687D00" w:rsidRPr="00261E6C" w:rsidRDefault="00687D00">
            <w:pPr>
              <w:widowControl w:val="0"/>
              <w:tabs>
                <w:tab w:val="left" w:pos="2487"/>
              </w:tabs>
              <w:autoSpaceDE w:val="0"/>
              <w:autoSpaceDN w:val="0"/>
              <w:spacing w:before="1"/>
              <w:jc w:val="center"/>
              <w:rPr>
                <w:sz w:val="22"/>
                <w:szCs w:val="22"/>
                <w:lang w:val="sr-Latn-RS" w:bidi="en-US"/>
              </w:rPr>
            </w:pPr>
            <w:r w:rsidRPr="00261E6C">
              <w:rPr>
                <w:sz w:val="22"/>
                <w:szCs w:val="22"/>
                <w:lang w:val="sr-Latn-RS" w:bidi="en-US"/>
              </w:rPr>
              <w:t>23 (57,5)</w:t>
            </w:r>
            <w:r w:rsidRPr="00261E6C">
              <w:rPr>
                <w:sz w:val="22"/>
                <w:szCs w:val="22"/>
                <w:lang w:val="sr-Latn-RS" w:bidi="en-US"/>
              </w:rPr>
              <w:tab/>
              <w:t>8 (20,0)</w:t>
            </w:r>
          </w:p>
          <w:p w:rsidR="00687D00" w:rsidRPr="00261E6C" w:rsidRDefault="00687D00">
            <w:pPr>
              <w:widowControl w:val="0"/>
              <w:tabs>
                <w:tab w:val="left" w:pos="2487"/>
              </w:tabs>
              <w:autoSpaceDE w:val="0"/>
              <w:autoSpaceDN w:val="0"/>
              <w:spacing w:before="1"/>
              <w:jc w:val="center"/>
              <w:rPr>
                <w:sz w:val="22"/>
                <w:szCs w:val="22"/>
                <w:lang w:val="sr-Latn-RS" w:bidi="en-US"/>
              </w:rPr>
            </w:pPr>
            <w:r w:rsidRPr="00261E6C">
              <w:rPr>
                <w:sz w:val="22"/>
                <w:szCs w:val="22"/>
                <w:lang w:val="sr-Latn-RS" w:bidi="en-US"/>
              </w:rPr>
              <w:t>[40,9, 73,0]</w:t>
            </w:r>
            <w:r w:rsidRPr="00261E6C">
              <w:rPr>
                <w:sz w:val="22"/>
                <w:szCs w:val="22"/>
                <w:lang w:val="sr-Latn-RS" w:bidi="en-US"/>
              </w:rPr>
              <w:tab/>
              <w:t>[9,1, 35,7]</w:t>
            </w:r>
          </w:p>
          <w:p w:rsidR="00687D00" w:rsidRPr="00261E6C" w:rsidRDefault="00687D00">
            <w:pPr>
              <w:widowControl w:val="0"/>
              <w:tabs>
                <w:tab w:val="left" w:pos="2434"/>
              </w:tabs>
              <w:autoSpaceDE w:val="0"/>
              <w:autoSpaceDN w:val="0"/>
              <w:spacing w:before="2"/>
              <w:jc w:val="center"/>
              <w:rPr>
                <w:sz w:val="22"/>
                <w:szCs w:val="22"/>
                <w:lang w:val="sr-Latn-RS" w:bidi="en-US"/>
              </w:rPr>
            </w:pPr>
            <w:r w:rsidRPr="00261E6C">
              <w:rPr>
                <w:sz w:val="22"/>
                <w:szCs w:val="22"/>
                <w:lang w:val="sr-Latn-RS" w:bidi="en-US"/>
              </w:rPr>
              <w:t>5 (12,5)</w:t>
            </w:r>
            <w:r w:rsidRPr="00261E6C">
              <w:rPr>
                <w:sz w:val="22"/>
                <w:szCs w:val="22"/>
                <w:lang w:val="sr-Latn-RS" w:bidi="en-US"/>
              </w:rPr>
              <w:tab/>
              <w:t>5 (12,5)</w:t>
            </w:r>
          </w:p>
          <w:p w:rsidR="00687D00" w:rsidRPr="00261E6C" w:rsidRDefault="00687D00">
            <w:pPr>
              <w:widowControl w:val="0"/>
              <w:tabs>
                <w:tab w:val="left" w:pos="2434"/>
              </w:tabs>
              <w:autoSpaceDE w:val="0"/>
              <w:autoSpaceDN w:val="0"/>
              <w:jc w:val="center"/>
              <w:rPr>
                <w:sz w:val="22"/>
                <w:szCs w:val="22"/>
                <w:lang w:val="sr-Latn-RS" w:bidi="en-US"/>
              </w:rPr>
            </w:pPr>
            <w:r w:rsidRPr="00261E6C">
              <w:rPr>
                <w:sz w:val="22"/>
                <w:szCs w:val="22"/>
                <w:lang w:val="sr-Latn-RS" w:bidi="en-US"/>
              </w:rPr>
              <w:t>[4,2, 26,8]</w:t>
            </w:r>
            <w:r w:rsidRPr="00261E6C">
              <w:rPr>
                <w:sz w:val="22"/>
                <w:szCs w:val="22"/>
                <w:lang w:val="sr-Latn-RS" w:bidi="en-US"/>
              </w:rPr>
              <w:tab/>
              <w:t>[4,2, 26,8]</w:t>
            </w:r>
          </w:p>
        </w:tc>
      </w:tr>
    </w:tbl>
    <w:p w:rsidR="00687D00" w:rsidRPr="00261E6C" w:rsidRDefault="00687D00" w:rsidP="00E4155A">
      <w:pPr>
        <w:widowControl w:val="0"/>
        <w:autoSpaceDE w:val="0"/>
        <w:autoSpaceDN w:val="0"/>
        <w:spacing w:before="3"/>
        <w:jc w:val="both"/>
        <w:rPr>
          <w:sz w:val="22"/>
          <w:szCs w:val="22"/>
          <w:lang w:val="sr-Latn-RS" w:bidi="en-US"/>
        </w:rPr>
      </w:pPr>
      <w:r w:rsidRPr="00261E6C">
        <w:rPr>
          <w:sz w:val="22"/>
          <w:szCs w:val="22"/>
          <w:lang w:val="sr-Latn-RS" w:bidi="en-US"/>
        </w:rPr>
        <w:t xml:space="preserve">CI: interval pouzdanosti, CMH: </w:t>
      </w:r>
      <w:r w:rsidRPr="00261E6C">
        <w:rPr>
          <w:i/>
          <w:sz w:val="22"/>
          <w:szCs w:val="22"/>
          <w:lang w:val="sr-Latn-RS" w:bidi="en-US"/>
        </w:rPr>
        <w:t>Cochran-Mantel-Haenszel</w:t>
      </w:r>
      <w:r w:rsidRPr="00261E6C">
        <w:rPr>
          <w:sz w:val="22"/>
          <w:szCs w:val="22"/>
          <w:lang w:val="sr-Latn-RS" w:bidi="en-US"/>
        </w:rPr>
        <w:t xml:space="preserve"> HR: odnos rizika; IRC: Nezavisna komisija za procjenu; NE: Ne može se procijeniti; </w:t>
      </w:r>
    </w:p>
    <w:p w:rsidR="00687D00" w:rsidRPr="00261E6C" w:rsidRDefault="00687D00" w:rsidP="00E4155A">
      <w:pPr>
        <w:widowControl w:val="0"/>
        <w:autoSpaceDE w:val="0"/>
        <w:autoSpaceDN w:val="0"/>
        <w:spacing w:before="3"/>
        <w:jc w:val="both"/>
        <w:rPr>
          <w:sz w:val="22"/>
          <w:szCs w:val="22"/>
          <w:lang w:val="sr-Latn-RS" w:bidi="en-US"/>
        </w:rPr>
      </w:pPr>
      <w:r w:rsidRPr="00261E6C">
        <w:rPr>
          <w:sz w:val="22"/>
          <w:szCs w:val="22"/>
          <w:lang w:val="sr-Latn-RS" w:bidi="en-US"/>
        </w:rPr>
        <w:t>*Prema modifikovanim kriterijumima iz Lugana iz 2014: Potrebna potvrda za kostnu srž putem PET-CT CR. Za PET-CT PR bilo je potrebno ispunjavanje i kriterijuma PET-CT i kriterijuma CT.</w:t>
      </w:r>
    </w:p>
    <w:p w:rsidR="00687D00" w:rsidRPr="00261E6C" w:rsidRDefault="00687D00" w:rsidP="00E4155A">
      <w:pPr>
        <w:widowControl w:val="0"/>
        <w:autoSpaceDE w:val="0"/>
        <w:autoSpaceDN w:val="0"/>
        <w:spacing w:before="38"/>
        <w:jc w:val="both"/>
        <w:rPr>
          <w:sz w:val="22"/>
          <w:szCs w:val="22"/>
          <w:lang w:val="sr-Latn-RS" w:bidi="en-US"/>
        </w:rPr>
      </w:pPr>
      <w:r w:rsidRPr="00261E6C">
        <w:rPr>
          <w:sz w:val="22"/>
          <w:szCs w:val="22"/>
          <w:lang w:val="sr-Latn-RS" w:bidi="en-US"/>
        </w:rPr>
        <w:t>**6-8 nedjelja nakon 1. dana 6. ciklusa posljednje studijske terapije</w:t>
      </w:r>
    </w:p>
    <w:p w:rsidR="00687D00" w:rsidRPr="00261E6C" w:rsidRDefault="00687D00" w:rsidP="00433FEA">
      <w:pPr>
        <w:widowControl w:val="0"/>
        <w:autoSpaceDE w:val="0"/>
        <w:autoSpaceDN w:val="0"/>
        <w:spacing w:before="43"/>
        <w:ind w:right="9"/>
        <w:jc w:val="both"/>
        <w:rPr>
          <w:sz w:val="22"/>
          <w:szCs w:val="22"/>
          <w:lang w:val="sr-Latn-RS" w:bidi="en-US"/>
        </w:rPr>
      </w:pPr>
      <w:r w:rsidRPr="00261E6C">
        <w:rPr>
          <w:sz w:val="22"/>
          <w:szCs w:val="22"/>
          <w:lang w:val="sr-Latn-RS" w:bidi="en-US"/>
        </w:rPr>
        <w:lastRenderedPageBreak/>
        <w:t>*** Stratifikacija po trajanju odgovora na prethodnu terapiju (≤ 12 mjeseci prema &gt; 12 mjeseci)</w:t>
      </w:r>
    </w:p>
    <w:p w:rsidR="005612C5" w:rsidRPr="00261E6C" w:rsidRDefault="005612C5" w:rsidP="0015550A">
      <w:pPr>
        <w:ind w:right="9"/>
        <w:jc w:val="both"/>
        <w:rPr>
          <w:sz w:val="22"/>
          <w:szCs w:val="22"/>
          <w:lang w:val="sr-Latn-RS" w:bidi="en-US"/>
        </w:rPr>
      </w:pPr>
    </w:p>
    <w:p w:rsidR="00687D00" w:rsidRPr="00261E6C" w:rsidRDefault="00687D00">
      <w:pPr>
        <w:ind w:right="9"/>
        <w:jc w:val="both"/>
        <w:rPr>
          <w:sz w:val="22"/>
          <w:szCs w:val="22"/>
          <w:lang w:val="sr-Latn-RS" w:bidi="en-US"/>
        </w:rPr>
      </w:pPr>
      <w:r w:rsidRPr="00261E6C">
        <w:rPr>
          <w:sz w:val="22"/>
          <w:szCs w:val="22"/>
          <w:lang w:val="sr-Latn-RS" w:bidi="en-US"/>
        </w:rPr>
        <w:t>Ukupno preživljavanje (OS) predstavljalo je eksploratorn</w:t>
      </w:r>
      <w:r w:rsidR="00861983" w:rsidRPr="00C2143B">
        <w:rPr>
          <w:sz w:val="22"/>
          <w:szCs w:val="22"/>
          <w:lang w:val="sr-Latn-RS" w:bidi="en-US"/>
        </w:rPr>
        <w:t>i</w:t>
      </w:r>
      <w:r w:rsidRPr="00261E6C">
        <w:rPr>
          <w:sz w:val="22"/>
          <w:szCs w:val="22"/>
          <w:lang w:val="sr-Latn-RS" w:bidi="en-US"/>
        </w:rPr>
        <w:t xml:space="preserve"> </w:t>
      </w:r>
      <w:r w:rsidR="00861983" w:rsidRPr="00C2143B">
        <w:rPr>
          <w:sz w:val="22"/>
          <w:szCs w:val="22"/>
          <w:lang w:val="sr-Latn-RS" w:bidi="en-US"/>
        </w:rPr>
        <w:t>parametar praćenja</w:t>
      </w:r>
      <w:r w:rsidRPr="00261E6C">
        <w:rPr>
          <w:sz w:val="22"/>
          <w:szCs w:val="22"/>
          <w:lang w:val="sr-Latn-RS" w:bidi="en-US"/>
        </w:rPr>
        <w:t xml:space="preserve"> koj</w:t>
      </w:r>
      <w:r w:rsidR="00861983" w:rsidRPr="00C2143B">
        <w:rPr>
          <w:sz w:val="22"/>
          <w:szCs w:val="22"/>
          <w:lang w:val="sr-Latn-RS" w:bidi="en-US"/>
        </w:rPr>
        <w:t>i</w:t>
      </w:r>
      <w:r w:rsidRPr="00261E6C">
        <w:rPr>
          <w:sz w:val="22"/>
          <w:szCs w:val="22"/>
          <w:lang w:val="sr-Latn-RS" w:bidi="en-US"/>
        </w:rPr>
        <w:t xml:space="preserve"> nije kontrolisan greškom tipa 1. Medijana OS u grupi koja je primala lijek Polivy+BR iznosila je 12,4 mjeseca (95% CI: 9,0, NE) prema 4,7 mjeseci (95% CI: 3,7, 8,3) u kontrolnoj grupi. Nekorigovana procjena za HR OS bila je 0,42. Prilikom pojašnjenja uticaja osnovnih kovarijanti, HR OS bio je korigovan na 0,59. Kovarijante su obuhvatile primarni refraktorni status, broj prethodnih linija terapije, IPI i prethodnu transplantaciju matičnih ćelija.</w:t>
      </w:r>
    </w:p>
    <w:p w:rsidR="00687D00" w:rsidRPr="00261E6C" w:rsidRDefault="00687D00">
      <w:pPr>
        <w:ind w:right="9"/>
        <w:jc w:val="both"/>
        <w:rPr>
          <w:sz w:val="22"/>
          <w:szCs w:val="22"/>
          <w:lang w:val="sr-Latn-RS" w:bidi="en-US"/>
        </w:rPr>
      </w:pPr>
    </w:p>
    <w:p w:rsidR="00337A2B" w:rsidRPr="00261E6C" w:rsidRDefault="00687D00">
      <w:pPr>
        <w:ind w:right="9"/>
        <w:jc w:val="both"/>
        <w:rPr>
          <w:sz w:val="22"/>
          <w:szCs w:val="22"/>
          <w:lang w:val="sr-Latn-RS" w:bidi="en-US"/>
        </w:rPr>
        <w:sectPr w:rsidR="00337A2B" w:rsidRPr="00261E6C" w:rsidSect="004723AA">
          <w:type w:val="continuous"/>
          <w:pgSz w:w="11910" w:h="16840"/>
          <w:pgMar w:top="1300" w:right="820" w:bottom="900" w:left="1200" w:header="0" w:footer="0" w:gutter="0"/>
          <w:cols w:space="720"/>
        </w:sectPr>
      </w:pPr>
      <w:r w:rsidRPr="00261E6C">
        <w:rPr>
          <w:sz w:val="22"/>
          <w:szCs w:val="22"/>
          <w:lang w:val="sr-Latn-RS" w:bidi="en-US"/>
        </w:rPr>
        <w:t>Preživljavanje bez progresije bolesti (PFS) na osnovu procjene istraživača predstavljalo je eksploratorn</w:t>
      </w:r>
      <w:r w:rsidR="00852184" w:rsidRPr="00C2143B">
        <w:rPr>
          <w:sz w:val="22"/>
          <w:szCs w:val="22"/>
          <w:lang w:val="sr-Latn-RS" w:bidi="en-US"/>
        </w:rPr>
        <w:t>i parametar praćenja</w:t>
      </w:r>
      <w:r w:rsidRPr="00261E6C">
        <w:rPr>
          <w:sz w:val="22"/>
          <w:szCs w:val="22"/>
          <w:lang w:val="sr-Latn-RS" w:bidi="en-US"/>
        </w:rPr>
        <w:t xml:space="preserve"> koj</w:t>
      </w:r>
      <w:r w:rsidR="00852184" w:rsidRPr="00C2143B">
        <w:rPr>
          <w:sz w:val="22"/>
          <w:szCs w:val="22"/>
          <w:lang w:val="sr-Latn-RS" w:bidi="en-US"/>
        </w:rPr>
        <w:t>i</w:t>
      </w:r>
      <w:r w:rsidRPr="00261E6C">
        <w:rPr>
          <w:sz w:val="22"/>
          <w:szCs w:val="22"/>
          <w:lang w:val="sr-Latn-RS" w:bidi="en-US"/>
        </w:rPr>
        <w:t xml:space="preserve"> nije kontrolisan greškom tipa 1. Medijana PFS u grupi koja je primala lijek Polivy u kombinaciji sa BR bila je 7,6 mjeseci (95% CI: 6,0, 17,0) prema 2,0 mjeseci (95% CI: 1,5, 3,7) u kontrolnoj grupi. Nekorigovana procjena za HR PFS bila je 0,3</w:t>
      </w:r>
      <w:r w:rsidR="00861983" w:rsidRPr="00C2143B">
        <w:rPr>
          <w:sz w:val="22"/>
          <w:szCs w:val="22"/>
          <w:lang w:val="sr-Latn-RS" w:bidi="en-US"/>
        </w:rPr>
        <w:t>4.</w:t>
      </w:r>
    </w:p>
    <w:p w:rsidR="00337A2B" w:rsidRPr="00261E6C" w:rsidRDefault="00337A2B">
      <w:pPr>
        <w:ind w:right="9"/>
        <w:jc w:val="both"/>
        <w:rPr>
          <w:sz w:val="22"/>
          <w:szCs w:val="22"/>
          <w:lang w:val="sr-Latn-RS" w:bidi="en-US"/>
        </w:rPr>
        <w:sectPr w:rsidR="00337A2B" w:rsidRPr="00261E6C" w:rsidSect="004723AA">
          <w:type w:val="continuous"/>
          <w:pgSz w:w="11910" w:h="16840"/>
          <w:pgMar w:top="1300" w:right="820" w:bottom="900" w:left="1200" w:header="0" w:footer="0" w:gutter="0"/>
          <w:cols w:space="720"/>
        </w:sectPr>
      </w:pPr>
    </w:p>
    <w:p w:rsidR="00C77A1A" w:rsidRPr="00261E6C" w:rsidRDefault="005612C5">
      <w:pPr>
        <w:widowControl w:val="0"/>
        <w:autoSpaceDE w:val="0"/>
        <w:autoSpaceDN w:val="0"/>
        <w:ind w:right="9"/>
        <w:jc w:val="both"/>
        <w:rPr>
          <w:sz w:val="22"/>
          <w:szCs w:val="22"/>
          <w:u w:val="single"/>
          <w:lang w:val="sr-Latn-RS" w:bidi="en-US"/>
        </w:rPr>
      </w:pPr>
      <w:r w:rsidRPr="00261E6C">
        <w:rPr>
          <w:sz w:val="22"/>
          <w:szCs w:val="22"/>
          <w:u w:val="single"/>
          <w:lang w:val="sr-Latn-RS" w:bidi="en-US"/>
        </w:rPr>
        <w:lastRenderedPageBreak/>
        <w:t>Imunogenost</w:t>
      </w:r>
    </w:p>
    <w:p w:rsidR="00C77A1A" w:rsidRPr="00261E6C" w:rsidRDefault="00C77A1A">
      <w:pPr>
        <w:widowControl w:val="0"/>
        <w:autoSpaceDE w:val="0"/>
        <w:autoSpaceDN w:val="0"/>
        <w:ind w:right="9"/>
        <w:jc w:val="both"/>
        <w:rPr>
          <w:sz w:val="22"/>
          <w:szCs w:val="22"/>
          <w:lang w:val="sr-Latn-RS" w:bidi="en-US"/>
        </w:rPr>
      </w:pPr>
    </w:p>
    <w:p w:rsidR="00687D00" w:rsidRPr="00261E6C" w:rsidRDefault="005612C5">
      <w:pPr>
        <w:widowControl w:val="0"/>
        <w:autoSpaceDE w:val="0"/>
        <w:autoSpaceDN w:val="0"/>
        <w:ind w:right="9"/>
        <w:jc w:val="both"/>
        <w:rPr>
          <w:sz w:val="22"/>
          <w:szCs w:val="22"/>
          <w:lang w:val="sr-Latn-RS" w:bidi="en-US"/>
        </w:rPr>
      </w:pPr>
      <w:r w:rsidRPr="00261E6C">
        <w:rPr>
          <w:sz w:val="22"/>
          <w:szCs w:val="22"/>
          <w:lang w:val="sr-Latn-RS" w:bidi="en-US"/>
        </w:rPr>
        <w:t>Kao i sa svim terapijskim proteinima, postoji mogućnost imunog odgovora kod pacijenata l</w:t>
      </w:r>
      <w:r w:rsidR="00993CFD" w:rsidRPr="00261E6C">
        <w:rPr>
          <w:sz w:val="22"/>
          <w:szCs w:val="22"/>
          <w:lang w:val="sr-Latn-RS" w:bidi="en-US"/>
        </w:rPr>
        <w:t>ij</w:t>
      </w:r>
      <w:r w:rsidRPr="00261E6C">
        <w:rPr>
          <w:sz w:val="22"/>
          <w:szCs w:val="22"/>
          <w:lang w:val="sr-Latn-RS" w:bidi="en-US"/>
        </w:rPr>
        <w:t>ečenih polatuzumab vedotinom. U svim grupama</w:t>
      </w:r>
      <w:r w:rsidR="002836B4" w:rsidRPr="00261E6C">
        <w:rPr>
          <w:sz w:val="22"/>
          <w:szCs w:val="22"/>
          <w:lang w:val="sr-Latn-RS" w:bidi="en-US"/>
        </w:rPr>
        <w:t xml:space="preserve"> </w:t>
      </w:r>
      <w:r w:rsidR="002836B4" w:rsidRPr="00261E6C">
        <w:rPr>
          <w:sz w:val="22"/>
          <w:szCs w:val="22"/>
          <w:lang w:val="sr-Latn-RS"/>
        </w:rPr>
        <w:t>u</w:t>
      </w:r>
      <w:r w:rsidR="002836B4" w:rsidRPr="00261E6C">
        <w:rPr>
          <w:sz w:val="22"/>
          <w:szCs w:val="22"/>
          <w:lang w:val="hr-HR"/>
        </w:rPr>
        <w:t xml:space="preserve"> ispitivanjima GO39442 (POLARIX) i GO29365,</w:t>
      </w:r>
      <w:r w:rsidRPr="00261E6C">
        <w:rPr>
          <w:sz w:val="22"/>
          <w:szCs w:val="22"/>
          <w:lang w:val="sr-Latn-RS" w:bidi="en-US"/>
        </w:rPr>
        <w:t xml:space="preserve"> </w:t>
      </w:r>
      <w:r w:rsidR="002836B4" w:rsidRPr="00261E6C">
        <w:rPr>
          <w:sz w:val="22"/>
          <w:szCs w:val="22"/>
          <w:lang w:val="hr-HR"/>
        </w:rPr>
        <w:t xml:space="preserve">1,4% (6/427) odnosno 5,2% (12/233)  </w:t>
      </w:r>
      <w:r w:rsidRPr="00261E6C">
        <w:rPr>
          <w:sz w:val="22"/>
          <w:szCs w:val="22"/>
          <w:lang w:val="sr-Latn-RS" w:bidi="en-US"/>
        </w:rPr>
        <w:t>pacijenata je imalo pozitivne rezultate testova na anti-polatuzumab vedotin antit</w:t>
      </w:r>
      <w:r w:rsidR="00993CFD" w:rsidRPr="00261E6C">
        <w:rPr>
          <w:sz w:val="22"/>
          <w:szCs w:val="22"/>
          <w:lang w:val="sr-Latn-RS" w:bidi="en-US"/>
        </w:rPr>
        <w:t>ij</w:t>
      </w:r>
      <w:r w:rsidRPr="00261E6C">
        <w:rPr>
          <w:sz w:val="22"/>
          <w:szCs w:val="22"/>
          <w:lang w:val="sr-Latn-RS" w:bidi="en-US"/>
        </w:rPr>
        <w:t>ela</w:t>
      </w:r>
      <w:r w:rsidR="00435ACC" w:rsidRPr="00C2143B">
        <w:rPr>
          <w:sz w:val="22"/>
          <w:szCs w:val="22"/>
          <w:lang w:val="sr-Latn-RS" w:bidi="en-US"/>
        </w:rPr>
        <w:t>,</w:t>
      </w:r>
      <w:r w:rsidRPr="00261E6C">
        <w:rPr>
          <w:sz w:val="22"/>
          <w:szCs w:val="22"/>
          <w:lang w:val="sr-Latn-RS" w:bidi="en-US"/>
        </w:rPr>
        <w:t xml:space="preserve"> </w:t>
      </w:r>
      <w:r w:rsidR="002836B4" w:rsidRPr="00261E6C">
        <w:rPr>
          <w:sz w:val="22"/>
          <w:szCs w:val="22"/>
          <w:lang w:val="hr-HR"/>
        </w:rPr>
        <w:t>ali nijedan od tih pacijenata nije bio pozitivan na neutrališuća antit</w:t>
      </w:r>
      <w:r w:rsidR="00435ACC" w:rsidRPr="00C2143B">
        <w:rPr>
          <w:sz w:val="22"/>
          <w:szCs w:val="22"/>
          <w:lang w:val="hr-HR"/>
        </w:rPr>
        <w:t>ij</w:t>
      </w:r>
      <w:r w:rsidR="002836B4" w:rsidRPr="00261E6C">
        <w:rPr>
          <w:sz w:val="22"/>
          <w:szCs w:val="22"/>
          <w:lang w:val="hr-HR"/>
        </w:rPr>
        <w:t>ela</w:t>
      </w:r>
      <w:r w:rsidR="00435ACC" w:rsidRPr="00C2143B">
        <w:rPr>
          <w:sz w:val="22"/>
          <w:szCs w:val="22"/>
          <w:lang w:val="sr-Latn-RS" w:bidi="en-US"/>
        </w:rPr>
        <w:t xml:space="preserve">. </w:t>
      </w:r>
      <w:r w:rsidR="00687D00" w:rsidRPr="00261E6C">
        <w:rPr>
          <w:sz w:val="22"/>
          <w:szCs w:val="22"/>
          <w:lang w:val="sr-Latn-RS" w:bidi="en-US"/>
        </w:rPr>
        <w:t>Zbog ograničenog broja pacijenata pozitivnih na anti-polatuzumab vedotin antitijela, nije moguće donijeti zaključke o potencijalnom dejstvu imunogenosti na efikasnost ili bezbjednost.</w:t>
      </w:r>
    </w:p>
    <w:p w:rsidR="005612C5" w:rsidRPr="00261E6C" w:rsidRDefault="005612C5">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Nekoliko faktora može značajno da utiče na rezultate testova imunogenosti, a ti faktori su osjetljivost i specifičnost testova, metodologija testiranja, rukovanje uzorcima, vrijeme prikupljanja uzoraka, ljekovi koji se istovremeno uzimaju i osnovna bolest. Stoga poređenje incidence antitijela na polatuzumab vedotin sa incidencom antitijela na druge preparate može da zavara.</w:t>
      </w:r>
    </w:p>
    <w:p w:rsidR="00551072" w:rsidRPr="00261E6C" w:rsidRDefault="00551072">
      <w:pPr>
        <w:widowControl w:val="0"/>
        <w:autoSpaceDE w:val="0"/>
        <w:autoSpaceDN w:val="0"/>
        <w:ind w:right="9"/>
        <w:jc w:val="both"/>
        <w:rPr>
          <w:sz w:val="22"/>
          <w:szCs w:val="22"/>
          <w:u w:val="single"/>
          <w:lang w:val="sr-Latn-RS" w:bidi="en-US"/>
        </w:rPr>
      </w:pPr>
    </w:p>
    <w:p w:rsidR="005612C5" w:rsidRPr="00261E6C" w:rsidRDefault="005612C5" w:rsidP="00261E6C">
      <w:pPr>
        <w:widowControl w:val="0"/>
        <w:autoSpaceDE w:val="0"/>
        <w:autoSpaceDN w:val="0"/>
        <w:spacing w:line="276" w:lineRule="auto"/>
        <w:ind w:right="9"/>
        <w:jc w:val="both"/>
        <w:rPr>
          <w:sz w:val="22"/>
          <w:szCs w:val="22"/>
          <w:lang w:val="sr-Latn-RS" w:bidi="en-US"/>
        </w:rPr>
      </w:pPr>
      <w:r w:rsidRPr="00261E6C">
        <w:rPr>
          <w:sz w:val="22"/>
          <w:szCs w:val="22"/>
          <w:u w:val="single"/>
          <w:lang w:val="sr-Latn-RS" w:bidi="en-US"/>
        </w:rPr>
        <w:t>Pedijatrijska populacija</w:t>
      </w:r>
    </w:p>
    <w:p w:rsidR="005612C5" w:rsidRPr="00261E6C" w:rsidRDefault="00687D00">
      <w:pPr>
        <w:widowControl w:val="0"/>
        <w:autoSpaceDE w:val="0"/>
        <w:autoSpaceDN w:val="0"/>
        <w:spacing w:before="92"/>
        <w:ind w:right="9"/>
        <w:jc w:val="both"/>
        <w:rPr>
          <w:sz w:val="22"/>
          <w:szCs w:val="22"/>
          <w:lang w:val="sr-Latn-RS" w:bidi="en-US"/>
        </w:rPr>
      </w:pPr>
      <w:r w:rsidRPr="00261E6C">
        <w:rPr>
          <w:sz w:val="22"/>
          <w:szCs w:val="22"/>
          <w:lang w:val="sr-Latn-RS" w:bidi="en-US"/>
        </w:rPr>
        <w:t xml:space="preserve">Evropska agencija za ljekove </w:t>
      </w:r>
      <w:r w:rsidR="004A77C1" w:rsidRPr="00C2143B">
        <w:rPr>
          <w:sz w:val="22"/>
          <w:szCs w:val="22"/>
          <w:lang w:val="sr-Latn-RS" w:bidi="en-US"/>
        </w:rPr>
        <w:t>je omogućila</w:t>
      </w:r>
      <w:r w:rsidR="00FC5D20" w:rsidRPr="00C2143B">
        <w:rPr>
          <w:sz w:val="22"/>
          <w:szCs w:val="22"/>
          <w:lang w:val="sr-Latn-RS" w:bidi="en-US"/>
        </w:rPr>
        <w:t xml:space="preserve"> odlaganje obaveznog</w:t>
      </w:r>
      <w:r w:rsidRPr="00261E6C">
        <w:rPr>
          <w:sz w:val="22"/>
          <w:szCs w:val="22"/>
          <w:lang w:val="sr-Latn-RS" w:bidi="en-US"/>
        </w:rPr>
        <w:t xml:space="preserve"> podnošenja rezultata studija sa lijekom Polivy u svim podgrupama pedijatrijske populacije za liječenje neoplazmi zrelih B-ćelija (vidjeti dio 4.2 za informacije o pedijatrijskoj primjeni). </w:t>
      </w:r>
    </w:p>
    <w:p w:rsidR="002E37A5" w:rsidRPr="00261E6C" w:rsidRDefault="002E37A5">
      <w:pPr>
        <w:tabs>
          <w:tab w:val="left" w:pos="540"/>
          <w:tab w:val="left" w:pos="569"/>
        </w:tabs>
        <w:jc w:val="both"/>
        <w:rPr>
          <w:b/>
          <w:bCs/>
          <w:sz w:val="22"/>
          <w:szCs w:val="22"/>
          <w:lang w:val="sr-Latn-RS"/>
        </w:rPr>
      </w:pPr>
    </w:p>
    <w:p w:rsidR="0072020E" w:rsidRPr="00261E6C" w:rsidRDefault="0072020E">
      <w:pPr>
        <w:tabs>
          <w:tab w:val="left" w:pos="540"/>
          <w:tab w:val="left" w:pos="569"/>
        </w:tabs>
        <w:jc w:val="both"/>
        <w:rPr>
          <w:b/>
          <w:bCs/>
          <w:sz w:val="22"/>
          <w:szCs w:val="22"/>
          <w:lang w:val="sr-Latn-RS"/>
        </w:rPr>
      </w:pPr>
      <w:r w:rsidRPr="00261E6C">
        <w:rPr>
          <w:b/>
          <w:bCs/>
          <w:sz w:val="22"/>
          <w:szCs w:val="22"/>
          <w:lang w:val="sr-Latn-RS"/>
        </w:rPr>
        <w:t xml:space="preserve">5.2. </w:t>
      </w:r>
      <w:r w:rsidR="00480FB1" w:rsidRPr="00261E6C">
        <w:rPr>
          <w:b/>
          <w:bCs/>
          <w:sz w:val="22"/>
          <w:szCs w:val="22"/>
          <w:lang w:val="sr-Latn-RS"/>
        </w:rPr>
        <w:tab/>
      </w:r>
      <w:r w:rsidRPr="00261E6C">
        <w:rPr>
          <w:b/>
          <w:bCs/>
          <w:sz w:val="22"/>
          <w:szCs w:val="22"/>
          <w:lang w:val="sr-Latn-RS"/>
        </w:rPr>
        <w:t>Farmakokinetički podaci</w:t>
      </w:r>
      <w:r w:rsidR="003A7059" w:rsidRPr="00261E6C">
        <w:rPr>
          <w:b/>
          <w:bCs/>
          <w:sz w:val="22"/>
          <w:szCs w:val="22"/>
          <w:lang w:val="sr-Latn-RS"/>
        </w:rPr>
        <w:t xml:space="preserve"> </w:t>
      </w:r>
    </w:p>
    <w:p w:rsidR="0072020E" w:rsidRPr="00261E6C" w:rsidRDefault="0072020E">
      <w:pPr>
        <w:tabs>
          <w:tab w:val="left" w:pos="540"/>
          <w:tab w:val="left" w:pos="569"/>
        </w:tabs>
        <w:jc w:val="both"/>
        <w:rPr>
          <w:bCs/>
          <w:sz w:val="22"/>
          <w:szCs w:val="22"/>
          <w:lang w:val="sr-Latn-RS"/>
        </w:rPr>
      </w:pP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Izloženost konjugatu antitijelo-MMAE (acMMAE) u plazmi povećavala se proporcionalno dozi u rasponu doza polatuzumab vedotina od 0,1 do 2,4 mg/kg. Nakon prve doze polatuzumab vedotina od 1,8 mg/kg, srednja maksimalna koncentracija acMMAE (C</w:t>
      </w:r>
      <w:r w:rsidRPr="00261E6C">
        <w:rPr>
          <w:sz w:val="22"/>
          <w:szCs w:val="22"/>
          <w:vertAlign w:val="subscript"/>
          <w:lang w:val="sr-Latn-RS" w:bidi="en-US"/>
        </w:rPr>
        <w:t>max</w:t>
      </w:r>
      <w:r w:rsidRPr="00261E6C">
        <w:rPr>
          <w:sz w:val="22"/>
          <w:szCs w:val="22"/>
          <w:lang w:val="sr-Latn-RS" w:bidi="en-US"/>
        </w:rPr>
        <w:t xml:space="preserve">) bila je 803 (± 233) ng/ml, a </w:t>
      </w:r>
      <w:r w:rsidR="00CC1770" w:rsidRPr="00C2143B">
        <w:rPr>
          <w:sz w:val="22"/>
          <w:szCs w:val="22"/>
          <w:lang w:val="sr-Latn-RS" w:bidi="en-US"/>
        </w:rPr>
        <w:t>površina</w:t>
      </w:r>
      <w:r w:rsidRPr="00261E6C">
        <w:rPr>
          <w:sz w:val="22"/>
          <w:szCs w:val="22"/>
          <w:lang w:val="sr-Latn-RS" w:bidi="en-US"/>
        </w:rPr>
        <w:t xml:space="preserve"> ispod krive koncentracije i vremena od vremena nula do beskonačnosti (AUC</w:t>
      </w:r>
      <w:r w:rsidRPr="00261E6C">
        <w:rPr>
          <w:sz w:val="22"/>
          <w:szCs w:val="22"/>
          <w:vertAlign w:val="subscript"/>
          <w:lang w:val="sr-Latn-RS" w:bidi="en-US"/>
        </w:rPr>
        <w:t>inf</w:t>
      </w:r>
      <w:r w:rsidRPr="00261E6C">
        <w:rPr>
          <w:sz w:val="22"/>
          <w:szCs w:val="22"/>
          <w:lang w:val="sr-Latn-RS" w:bidi="en-US"/>
        </w:rPr>
        <w:t>) bila je 1860 (±966) dan•ng/ml. Na osnovu populacione farmakokinetičke analize, acMMAE AUC u 3. ciklusu porasla je za prosječno 30% u odnosu na AUC iz 1. ciklusa i dostigla više od 90% AUC-a iz 6. ciklusa. Terminalno poluvrijeme eliminacije u 6. ciklusu bilo je otprilike 12 dana (95% CI od 8,1 do 19,5 dana) za acMMAE. Na osnovu populacione farmakokinetičke analize, predviđena koncentracija acMMAE na kraju 6. ciklusa je približno 80% teoretske vrijednosti u stanju</w:t>
      </w:r>
      <w:r w:rsidR="00FC5D20" w:rsidRPr="00C2143B">
        <w:rPr>
          <w:sz w:val="22"/>
          <w:szCs w:val="22"/>
          <w:lang w:val="sr-Latn-RS" w:bidi="en-US"/>
        </w:rPr>
        <w:t xml:space="preserve"> ravnoteže</w:t>
      </w:r>
      <w:r w:rsidRPr="00261E6C">
        <w:rPr>
          <w:sz w:val="22"/>
          <w:szCs w:val="22"/>
          <w:lang w:val="sr-Latn-RS" w:bidi="en-US"/>
        </w:rPr>
        <w:t>. Izloženosti nekonjugovanog MMAE, citotoksične komponente polatuzumab vendotina, rasle su proporcionalno dozi u rasponu doza polatuzumab vedotina od 0,1 do 2,4 mg/kg. Koncentracije MMAE u plazmi pratile su kinetiku ograničenu brzinom formiranja. Nakon prve doze polatuzumab vedotina od 1,8 mg/kg, C</w:t>
      </w:r>
      <w:r w:rsidRPr="00261E6C">
        <w:rPr>
          <w:sz w:val="22"/>
          <w:szCs w:val="22"/>
          <w:vertAlign w:val="subscript"/>
          <w:lang w:val="sr-Latn-RS" w:bidi="en-US"/>
        </w:rPr>
        <w:t>max</w:t>
      </w:r>
      <w:r w:rsidRPr="00261E6C">
        <w:rPr>
          <w:sz w:val="22"/>
          <w:szCs w:val="22"/>
          <w:lang w:val="sr-Latn-RS" w:bidi="en-US"/>
        </w:rPr>
        <w:t xml:space="preserve"> je iznosila  6,82 (± 4,73) ng/ml, vrijeme do maksimalne koncentracije u plazmi je približno 2,5 dana, a terminalno poluvrijeme eliminacije je bilo približno 4 dana. Izloženosti nekonjugovanog MMAE u plazmi manje su od 3% izloženosti acMMAE. Na osnovu populacione farmakokinetičke analize, postoji pad izloženosti nekonjugovanog MMAE u plazmi (AUC) nakon ponovljenog davanja doze svake tri nedjelje.</w:t>
      </w:r>
    </w:p>
    <w:p w:rsidR="005612C5" w:rsidRPr="00261E6C" w:rsidRDefault="005612C5">
      <w:pPr>
        <w:widowControl w:val="0"/>
        <w:autoSpaceDE w:val="0"/>
        <w:autoSpaceDN w:val="0"/>
        <w:spacing w:before="3"/>
        <w:ind w:right="9"/>
        <w:jc w:val="both"/>
        <w:rPr>
          <w:sz w:val="22"/>
          <w:szCs w:val="22"/>
          <w:lang w:val="sr-Latn-RS" w:bidi="en-US"/>
        </w:rPr>
      </w:pPr>
    </w:p>
    <w:p w:rsidR="005612C5" w:rsidRPr="00261E6C" w:rsidRDefault="005612C5">
      <w:pPr>
        <w:widowControl w:val="0"/>
        <w:autoSpaceDE w:val="0"/>
        <w:autoSpaceDN w:val="0"/>
        <w:ind w:right="9"/>
        <w:jc w:val="both"/>
        <w:rPr>
          <w:sz w:val="22"/>
          <w:szCs w:val="22"/>
          <w:lang w:val="sr-Latn-RS" w:bidi="en-US"/>
        </w:rPr>
      </w:pPr>
      <w:r w:rsidRPr="00261E6C">
        <w:rPr>
          <w:sz w:val="22"/>
          <w:szCs w:val="22"/>
          <w:lang w:val="sr-Latn-RS" w:bidi="en-US"/>
        </w:rPr>
        <w:t xml:space="preserve">Na osnovu populacionih farmakokinetičkih simulacija, </w:t>
      </w:r>
      <w:r w:rsidR="002836B4" w:rsidRPr="00261E6C">
        <w:rPr>
          <w:sz w:val="22"/>
          <w:szCs w:val="22"/>
          <w:lang w:val="sr-Latn-RS" w:bidi="en-US"/>
        </w:rPr>
        <w:t xml:space="preserve">post-hoc </w:t>
      </w:r>
      <w:r w:rsidRPr="00261E6C">
        <w:rPr>
          <w:sz w:val="22"/>
          <w:szCs w:val="22"/>
          <w:lang w:val="sr-Latn-RS" w:bidi="en-US"/>
        </w:rPr>
        <w:t>analizom predviđen je porast od</w:t>
      </w:r>
      <w:r w:rsidR="002836B4" w:rsidRPr="00261E6C">
        <w:rPr>
          <w:sz w:val="22"/>
          <w:szCs w:val="22"/>
          <w:lang w:val="sr-Latn-RS" w:bidi="en-US"/>
        </w:rPr>
        <w:t xml:space="preserve"> najviše 55</w:t>
      </w:r>
      <w:r w:rsidRPr="00261E6C">
        <w:rPr>
          <w:sz w:val="22"/>
          <w:szCs w:val="22"/>
          <w:lang w:val="sr-Latn-RS" w:bidi="en-US"/>
        </w:rPr>
        <w:t xml:space="preserve"> % izloženosti nekonjugovanog MMAE za pacijente sa t</w:t>
      </w:r>
      <w:r w:rsidR="00A65ADC" w:rsidRPr="00261E6C">
        <w:rPr>
          <w:sz w:val="22"/>
          <w:szCs w:val="22"/>
          <w:lang w:val="sr-Latn-RS" w:bidi="en-US"/>
        </w:rPr>
        <w:t>j</w:t>
      </w:r>
      <w:r w:rsidRPr="00261E6C">
        <w:rPr>
          <w:sz w:val="22"/>
          <w:szCs w:val="22"/>
          <w:lang w:val="sr-Latn-RS" w:bidi="en-US"/>
        </w:rPr>
        <w:t>elesnom masom preko 100 kg.</w:t>
      </w:r>
    </w:p>
    <w:p w:rsidR="005612C5" w:rsidRPr="00261E6C" w:rsidRDefault="005612C5">
      <w:pPr>
        <w:widowControl w:val="0"/>
        <w:autoSpaceDE w:val="0"/>
        <w:autoSpaceDN w:val="0"/>
        <w:spacing w:before="11"/>
        <w:ind w:right="9"/>
        <w:jc w:val="both"/>
        <w:rPr>
          <w:sz w:val="22"/>
          <w:szCs w:val="22"/>
          <w:lang w:val="sr-Latn-RS" w:bidi="en-US"/>
        </w:rPr>
      </w:pPr>
    </w:p>
    <w:p w:rsidR="005612C5" w:rsidRPr="00261E6C" w:rsidRDefault="005612C5">
      <w:pPr>
        <w:widowControl w:val="0"/>
        <w:autoSpaceDE w:val="0"/>
        <w:autoSpaceDN w:val="0"/>
        <w:ind w:right="9"/>
        <w:jc w:val="both"/>
        <w:rPr>
          <w:sz w:val="22"/>
          <w:szCs w:val="22"/>
          <w:lang w:val="sr-Latn-RS" w:bidi="en-US"/>
        </w:rPr>
      </w:pPr>
      <w:r w:rsidRPr="00261E6C">
        <w:rPr>
          <w:sz w:val="22"/>
          <w:szCs w:val="22"/>
          <w:u w:val="single"/>
          <w:lang w:val="sr-Latn-RS" w:bidi="en-US"/>
        </w:rPr>
        <w:t>Resorpcija</w:t>
      </w:r>
    </w:p>
    <w:p w:rsidR="00687D00" w:rsidRPr="00261E6C" w:rsidRDefault="00687D00">
      <w:pPr>
        <w:widowControl w:val="0"/>
        <w:autoSpaceDE w:val="0"/>
        <w:autoSpaceDN w:val="0"/>
        <w:spacing w:before="94"/>
        <w:ind w:right="9"/>
        <w:jc w:val="both"/>
        <w:rPr>
          <w:sz w:val="22"/>
          <w:szCs w:val="22"/>
          <w:lang w:val="sr-Latn-RS" w:bidi="en-US"/>
        </w:rPr>
      </w:pPr>
      <w:r w:rsidRPr="00261E6C">
        <w:rPr>
          <w:sz w:val="22"/>
          <w:szCs w:val="22"/>
          <w:lang w:val="sr-Latn-RS" w:bidi="en-US"/>
        </w:rPr>
        <w:t xml:space="preserve">Lijek Polivy se </w:t>
      </w:r>
      <w:r w:rsidR="00497757" w:rsidRPr="00C2143B">
        <w:rPr>
          <w:sz w:val="22"/>
          <w:szCs w:val="22"/>
          <w:lang w:val="sr-Latn-RS" w:bidi="en-US"/>
        </w:rPr>
        <w:t>primjenjuje</w:t>
      </w:r>
      <w:r w:rsidR="00497757" w:rsidRPr="00261E6C">
        <w:rPr>
          <w:sz w:val="22"/>
          <w:szCs w:val="22"/>
          <w:lang w:val="sr-Latn-RS" w:bidi="en-US"/>
        </w:rPr>
        <w:t xml:space="preserve"> </w:t>
      </w:r>
      <w:r w:rsidRPr="00261E6C">
        <w:rPr>
          <w:sz w:val="22"/>
          <w:szCs w:val="22"/>
          <w:lang w:val="sr-Latn-RS" w:bidi="en-US"/>
        </w:rPr>
        <w:t>kao intravenska infuzija. Nijesu vršena ispitivanja sa drugim načinima primjene.</w:t>
      </w:r>
    </w:p>
    <w:p w:rsidR="00687D00" w:rsidRPr="00261E6C" w:rsidRDefault="00687D00">
      <w:pPr>
        <w:widowControl w:val="0"/>
        <w:autoSpaceDE w:val="0"/>
        <w:autoSpaceDN w:val="0"/>
        <w:spacing w:before="2"/>
        <w:ind w:right="9"/>
        <w:jc w:val="both"/>
        <w:rPr>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sz w:val="22"/>
          <w:szCs w:val="22"/>
          <w:u w:val="single"/>
          <w:lang w:val="sr-Latn-RS" w:bidi="en-US"/>
        </w:rPr>
        <w:lastRenderedPageBreak/>
        <w:t>Distribucija</w:t>
      </w:r>
    </w:p>
    <w:p w:rsidR="00687D00" w:rsidRPr="00261E6C" w:rsidRDefault="00687D00">
      <w:pPr>
        <w:widowControl w:val="0"/>
        <w:autoSpaceDE w:val="0"/>
        <w:autoSpaceDN w:val="0"/>
        <w:spacing w:before="92"/>
        <w:ind w:right="9"/>
        <w:jc w:val="both"/>
        <w:rPr>
          <w:sz w:val="22"/>
          <w:szCs w:val="22"/>
          <w:lang w:val="sr-Latn-RS" w:bidi="en-US"/>
        </w:rPr>
      </w:pPr>
      <w:r w:rsidRPr="00261E6C">
        <w:rPr>
          <w:sz w:val="22"/>
          <w:szCs w:val="22"/>
          <w:lang w:val="sr-Latn-RS" w:bidi="en-US"/>
        </w:rPr>
        <w:t>Na osnovu populacione farmakokinetike, procjena centralnog volumena distribucije za acMMAE iznosila je 3,15 l, što je približno volumenu plazme.</w:t>
      </w:r>
      <w:r w:rsidRPr="00261E6C">
        <w:rPr>
          <w:b/>
          <w:bCs/>
          <w:sz w:val="22"/>
          <w:szCs w:val="22"/>
          <w:lang w:val="sr-Latn-RS" w:bidi="en-US"/>
        </w:rPr>
        <w:t xml:space="preserve"> </w:t>
      </w:r>
      <w:r w:rsidRPr="00261E6C">
        <w:rPr>
          <w:i/>
          <w:iCs/>
          <w:sz w:val="22"/>
          <w:szCs w:val="22"/>
          <w:lang w:val="sr-Latn-RS" w:bidi="en-US"/>
        </w:rPr>
        <w:t>In vitro</w:t>
      </w:r>
      <w:r w:rsidRPr="00261E6C">
        <w:rPr>
          <w:sz w:val="22"/>
          <w:szCs w:val="22"/>
          <w:lang w:val="sr-Latn-RS" w:bidi="en-US"/>
        </w:rPr>
        <w:t>, MMAE se umjereno vezuje (71</w:t>
      </w:r>
      <w:r w:rsidR="00CC1770" w:rsidRPr="00C2143B">
        <w:rPr>
          <w:sz w:val="22"/>
          <w:szCs w:val="22"/>
          <w:lang w:val="sr-Latn-RS" w:bidi="en-US"/>
        </w:rPr>
        <w:t xml:space="preserve">% </w:t>
      </w:r>
      <w:r w:rsidRPr="00261E6C">
        <w:rPr>
          <w:sz w:val="22"/>
          <w:szCs w:val="22"/>
          <w:lang w:val="sr-Latn-RS" w:bidi="en-US"/>
        </w:rPr>
        <w:t>-</w:t>
      </w:r>
      <w:r w:rsidR="00CC1770" w:rsidRPr="00C2143B">
        <w:rPr>
          <w:sz w:val="22"/>
          <w:szCs w:val="22"/>
          <w:lang w:val="sr-Latn-RS" w:bidi="en-US"/>
        </w:rPr>
        <w:t xml:space="preserve"> </w:t>
      </w:r>
      <w:r w:rsidRPr="00261E6C">
        <w:rPr>
          <w:sz w:val="22"/>
          <w:szCs w:val="22"/>
          <w:lang w:val="sr-Latn-RS" w:bidi="en-US"/>
        </w:rPr>
        <w:t xml:space="preserve">77%) za proteine humane plazme. MMAE se ne nakuplja u značajnoj mjeri u ljudskim eritrocitima </w:t>
      </w:r>
      <w:r w:rsidRPr="00261E6C">
        <w:rPr>
          <w:i/>
          <w:iCs/>
          <w:sz w:val="22"/>
          <w:szCs w:val="22"/>
          <w:lang w:val="sr-Latn-RS" w:bidi="en-US"/>
        </w:rPr>
        <w:t>in vitro</w:t>
      </w:r>
      <w:r w:rsidRPr="00261E6C">
        <w:rPr>
          <w:sz w:val="22"/>
          <w:szCs w:val="22"/>
          <w:lang w:val="sr-Latn-RS" w:bidi="en-US"/>
        </w:rPr>
        <w:t>; odnos količine u krvi i plazmi je 0,79 prema 0,98.</w:t>
      </w:r>
    </w:p>
    <w:p w:rsidR="00687D00" w:rsidRPr="00261E6C" w:rsidRDefault="00687D00">
      <w:pPr>
        <w:widowControl w:val="0"/>
        <w:autoSpaceDE w:val="0"/>
        <w:autoSpaceDN w:val="0"/>
        <w:spacing w:before="4"/>
        <w:ind w:right="9"/>
        <w:jc w:val="both"/>
        <w:rPr>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i/>
          <w:iCs/>
          <w:sz w:val="22"/>
          <w:szCs w:val="22"/>
          <w:lang w:val="sr-Latn-RS" w:bidi="en-US"/>
        </w:rPr>
        <w:t xml:space="preserve">In vitro </w:t>
      </w:r>
      <w:r w:rsidRPr="00261E6C">
        <w:rPr>
          <w:sz w:val="22"/>
          <w:szCs w:val="22"/>
          <w:lang w:val="sr-Latn-RS" w:bidi="en-US"/>
        </w:rPr>
        <w:t>podaci pokazuju da je MMAE supstrat P-gp, ali da ne inhibira P-gp u klinički relevantnim koncentracijama.</w:t>
      </w:r>
    </w:p>
    <w:p w:rsidR="005612C5" w:rsidRPr="00261E6C" w:rsidRDefault="005612C5">
      <w:pPr>
        <w:widowControl w:val="0"/>
        <w:autoSpaceDE w:val="0"/>
        <w:autoSpaceDN w:val="0"/>
        <w:spacing w:before="3"/>
        <w:ind w:right="9"/>
        <w:jc w:val="both"/>
        <w:rPr>
          <w:sz w:val="22"/>
          <w:szCs w:val="22"/>
          <w:lang w:val="sr-Latn-RS" w:bidi="en-US"/>
        </w:rPr>
      </w:pPr>
    </w:p>
    <w:p w:rsidR="00497757" w:rsidRPr="00261E6C" w:rsidRDefault="005612C5">
      <w:pPr>
        <w:widowControl w:val="0"/>
        <w:autoSpaceDE w:val="0"/>
        <w:autoSpaceDN w:val="0"/>
        <w:ind w:right="9"/>
        <w:jc w:val="both"/>
        <w:rPr>
          <w:sz w:val="22"/>
          <w:szCs w:val="22"/>
          <w:lang w:val="sr-Latn-RS" w:bidi="en-US"/>
        </w:rPr>
      </w:pPr>
      <w:r w:rsidRPr="00261E6C">
        <w:rPr>
          <w:sz w:val="22"/>
          <w:szCs w:val="22"/>
          <w:u w:val="single"/>
          <w:lang w:val="sr-Latn-RS" w:bidi="en-US"/>
        </w:rPr>
        <w:t>M</w:t>
      </w:r>
      <w:r w:rsidR="00551072" w:rsidRPr="00261E6C">
        <w:rPr>
          <w:sz w:val="22"/>
          <w:szCs w:val="22"/>
          <w:u w:val="single"/>
          <w:lang w:val="sr-Latn-RS" w:bidi="en-US"/>
        </w:rPr>
        <w:t>e</w:t>
      </w:r>
      <w:r w:rsidRPr="00261E6C">
        <w:rPr>
          <w:sz w:val="22"/>
          <w:szCs w:val="22"/>
          <w:u w:val="single"/>
          <w:lang w:val="sr-Latn-RS" w:bidi="en-US"/>
        </w:rPr>
        <w:t>tabolizam</w:t>
      </w:r>
      <w:r w:rsidR="00497757" w:rsidRPr="00C2143B">
        <w:rPr>
          <w:sz w:val="22"/>
          <w:szCs w:val="22"/>
          <w:u w:val="single"/>
          <w:lang w:val="sr-Latn-RS" w:bidi="en-US"/>
        </w:rPr>
        <w:t xml:space="preserve"> </w:t>
      </w:r>
    </w:p>
    <w:p w:rsidR="00497757" w:rsidRPr="00C2143B" w:rsidRDefault="00497757" w:rsidP="00497757">
      <w:pPr>
        <w:widowControl w:val="0"/>
        <w:autoSpaceDE w:val="0"/>
        <w:autoSpaceDN w:val="0"/>
        <w:spacing w:before="71"/>
        <w:ind w:right="9"/>
        <w:jc w:val="both"/>
        <w:rPr>
          <w:sz w:val="22"/>
          <w:szCs w:val="22"/>
          <w:lang w:val="sr-Latn-RS" w:bidi="en-US"/>
        </w:rPr>
      </w:pPr>
      <w:r w:rsidRPr="00C2143B">
        <w:rPr>
          <w:sz w:val="22"/>
          <w:szCs w:val="22"/>
          <w:lang w:val="sr-Latn-RS" w:bidi="en-US"/>
        </w:rPr>
        <w:t>Očekuje se da polatuzumab vedotin bude podvrgnut katabolizmu kod pacijenata, što dovodi do stvaranja malih peptida, aminokiselina, nekonjugovanog MMAE i katabolita povezanih sa nekonjugovanim MMAE. Nivoi metabolita MMAE nijesu mjereni u ljudskoj plazmi.</w:t>
      </w:r>
    </w:p>
    <w:p w:rsidR="00497757" w:rsidRPr="00C2143B" w:rsidRDefault="00497757" w:rsidP="00497757">
      <w:pPr>
        <w:widowControl w:val="0"/>
        <w:autoSpaceDE w:val="0"/>
        <w:autoSpaceDN w:val="0"/>
        <w:ind w:right="9"/>
        <w:jc w:val="both"/>
        <w:rPr>
          <w:sz w:val="22"/>
          <w:szCs w:val="22"/>
          <w:lang w:val="sr-Latn-RS" w:bidi="en-US"/>
        </w:rPr>
      </w:pPr>
    </w:p>
    <w:p w:rsidR="00497757" w:rsidRPr="00C2143B" w:rsidRDefault="00497757" w:rsidP="00497757">
      <w:pPr>
        <w:widowControl w:val="0"/>
        <w:autoSpaceDE w:val="0"/>
        <w:autoSpaceDN w:val="0"/>
        <w:spacing w:before="1"/>
        <w:ind w:right="9"/>
        <w:jc w:val="both"/>
        <w:rPr>
          <w:sz w:val="22"/>
          <w:szCs w:val="22"/>
          <w:lang w:val="sr-Latn-RS" w:bidi="en-US"/>
        </w:rPr>
      </w:pPr>
      <w:r w:rsidRPr="00C2143B">
        <w:rPr>
          <w:i/>
          <w:iCs/>
          <w:sz w:val="22"/>
          <w:szCs w:val="22"/>
          <w:lang w:val="sr-Latn-RS" w:bidi="en-US"/>
        </w:rPr>
        <w:t xml:space="preserve">In vitro </w:t>
      </w:r>
      <w:r w:rsidRPr="00C2143B">
        <w:rPr>
          <w:sz w:val="22"/>
          <w:szCs w:val="22"/>
          <w:lang w:val="sr-Latn-RS" w:bidi="en-US"/>
        </w:rPr>
        <w:t>studije pokazuju da je MMAE supstrat za CYP3A4/5, ali da ne indukuje glavne enzime CYP. MMAE predstavlja slab, vremenski zavisan inhibitor CYP3A4/5, ali ne inhibira k</w:t>
      </w:r>
      <w:r w:rsidR="00CC1770" w:rsidRPr="00C2143B">
        <w:rPr>
          <w:sz w:val="22"/>
          <w:szCs w:val="22"/>
          <w:lang w:val="sr-Latn-RS" w:bidi="en-US"/>
        </w:rPr>
        <w:t>ompetitivno</w:t>
      </w:r>
      <w:r w:rsidRPr="00C2143B">
        <w:rPr>
          <w:sz w:val="22"/>
          <w:szCs w:val="22"/>
          <w:lang w:val="sr-Latn-RS" w:bidi="en-US"/>
        </w:rPr>
        <w:t xml:space="preserve"> CYP3A4/5 u klinički relevantnim koncentracijama.</w:t>
      </w:r>
    </w:p>
    <w:p w:rsidR="00337A2B" w:rsidRPr="00C2143B" w:rsidRDefault="00337A2B" w:rsidP="00261E6C">
      <w:pPr>
        <w:widowControl w:val="0"/>
        <w:autoSpaceDE w:val="0"/>
        <w:autoSpaceDN w:val="0"/>
        <w:ind w:right="9"/>
        <w:jc w:val="both"/>
        <w:rPr>
          <w:sz w:val="22"/>
          <w:szCs w:val="22"/>
          <w:lang w:val="sr-Latn-RS" w:bidi="en-US"/>
        </w:rPr>
      </w:pPr>
    </w:p>
    <w:p w:rsidR="00497757" w:rsidRPr="00C2143B" w:rsidRDefault="00497757" w:rsidP="00497757">
      <w:pPr>
        <w:widowControl w:val="0"/>
        <w:autoSpaceDE w:val="0"/>
        <w:autoSpaceDN w:val="0"/>
        <w:ind w:right="9"/>
        <w:jc w:val="both"/>
        <w:rPr>
          <w:sz w:val="22"/>
          <w:szCs w:val="22"/>
          <w:lang w:val="sr-Latn-RS" w:bidi="en-US"/>
        </w:rPr>
      </w:pPr>
      <w:r w:rsidRPr="00C2143B">
        <w:rPr>
          <w:sz w:val="22"/>
          <w:szCs w:val="22"/>
          <w:lang w:val="sr-Latn-RS" w:bidi="en-US"/>
        </w:rPr>
        <w:t>MMAE ne inhibira CYP1A2, CYP2B6, CYP2C8, CYP2C9, CYP2C19 ili CYP2D6.</w:t>
      </w:r>
    </w:p>
    <w:p w:rsidR="00497757" w:rsidRPr="00C2143B" w:rsidRDefault="00497757" w:rsidP="00261E6C">
      <w:pPr>
        <w:widowControl w:val="0"/>
        <w:autoSpaceDE w:val="0"/>
        <w:autoSpaceDN w:val="0"/>
        <w:ind w:right="9"/>
        <w:jc w:val="both"/>
        <w:rPr>
          <w:sz w:val="22"/>
          <w:szCs w:val="22"/>
          <w:lang w:val="sr-Latn-RS" w:bidi="en-US"/>
        </w:rPr>
      </w:pPr>
    </w:p>
    <w:p w:rsidR="00B42454" w:rsidRPr="00C2143B" w:rsidRDefault="00B42454" w:rsidP="00B42454">
      <w:pPr>
        <w:widowControl w:val="0"/>
        <w:autoSpaceDE w:val="0"/>
        <w:autoSpaceDN w:val="0"/>
        <w:spacing w:before="1"/>
        <w:ind w:right="9"/>
        <w:jc w:val="both"/>
        <w:rPr>
          <w:sz w:val="22"/>
          <w:szCs w:val="22"/>
          <w:lang w:val="sr-Latn-RS" w:bidi="en-US"/>
        </w:rPr>
      </w:pPr>
      <w:r w:rsidRPr="00C2143B">
        <w:rPr>
          <w:sz w:val="22"/>
          <w:szCs w:val="22"/>
          <w:u w:val="single"/>
          <w:lang w:val="sr-Latn-RS" w:bidi="en-US"/>
        </w:rPr>
        <w:t>Eliminacija</w:t>
      </w:r>
    </w:p>
    <w:p w:rsidR="00B42454" w:rsidRPr="00C2143B" w:rsidRDefault="00B42454" w:rsidP="00B42454">
      <w:pPr>
        <w:widowControl w:val="0"/>
        <w:autoSpaceDE w:val="0"/>
        <w:autoSpaceDN w:val="0"/>
        <w:spacing w:before="91"/>
        <w:ind w:right="9"/>
        <w:jc w:val="both"/>
        <w:rPr>
          <w:sz w:val="22"/>
          <w:szCs w:val="22"/>
          <w:lang w:val="sr-Latn-RS" w:bidi="en-US"/>
        </w:rPr>
      </w:pPr>
      <w:r w:rsidRPr="00C2143B">
        <w:rPr>
          <w:sz w:val="22"/>
          <w:szCs w:val="22"/>
          <w:lang w:val="sr-Latn-RS" w:bidi="en-US"/>
        </w:rPr>
        <w:t xml:space="preserve">Na osnovu populacione farmakokinetičke analize, konjugat (acMMAE) </w:t>
      </w:r>
      <w:r w:rsidR="00CC1770" w:rsidRPr="00C2143B">
        <w:rPr>
          <w:sz w:val="22"/>
          <w:szCs w:val="22"/>
          <w:lang w:val="sr-Latn-RS" w:bidi="en-US"/>
        </w:rPr>
        <w:t xml:space="preserve">se </w:t>
      </w:r>
      <w:r w:rsidRPr="00C2143B">
        <w:rPr>
          <w:sz w:val="22"/>
          <w:szCs w:val="22"/>
          <w:lang w:val="sr-Latn-RS" w:bidi="en-US"/>
        </w:rPr>
        <w:t xml:space="preserve">pretežno eliminiše  nespecifičnim linearnim klirensom, uz vrijednost od 0,9 l dnevno. </w:t>
      </w:r>
      <w:r w:rsidRPr="00C2143B">
        <w:rPr>
          <w:i/>
          <w:iCs/>
          <w:sz w:val="22"/>
          <w:szCs w:val="22"/>
          <w:lang w:val="sr-Latn-RS" w:bidi="en-US"/>
        </w:rPr>
        <w:t xml:space="preserve">In vivo </w:t>
      </w:r>
      <w:r w:rsidRPr="00C2143B">
        <w:rPr>
          <w:sz w:val="22"/>
          <w:szCs w:val="22"/>
          <w:lang w:val="sr-Latn-RS" w:bidi="en-US"/>
        </w:rPr>
        <w:t>studije na pacovima koji su primali polatuzumab vedotin (radioobilježen na MMAE) pokazuju da se veći dio radioaktivnosti izlučuje putem fecesa, a manji dio radioaktivnosti se izlučuje putem urina.</w:t>
      </w:r>
    </w:p>
    <w:p w:rsidR="00B42454" w:rsidRPr="00C2143B" w:rsidRDefault="00B42454" w:rsidP="00B42454">
      <w:pPr>
        <w:widowControl w:val="0"/>
        <w:autoSpaceDE w:val="0"/>
        <w:autoSpaceDN w:val="0"/>
        <w:spacing w:before="3"/>
        <w:ind w:right="9"/>
        <w:jc w:val="both"/>
        <w:rPr>
          <w:sz w:val="22"/>
          <w:szCs w:val="22"/>
          <w:lang w:val="sr-Latn-RS" w:bidi="en-US"/>
        </w:rPr>
      </w:pPr>
    </w:p>
    <w:p w:rsidR="00B42454" w:rsidRPr="00C2143B" w:rsidRDefault="00B42454" w:rsidP="00B42454">
      <w:pPr>
        <w:widowControl w:val="0"/>
        <w:autoSpaceDE w:val="0"/>
        <w:autoSpaceDN w:val="0"/>
        <w:ind w:right="9"/>
        <w:jc w:val="both"/>
        <w:rPr>
          <w:sz w:val="22"/>
          <w:szCs w:val="22"/>
          <w:lang w:val="sr-Latn-RS" w:bidi="en-US"/>
        </w:rPr>
      </w:pPr>
      <w:r w:rsidRPr="00C2143B">
        <w:rPr>
          <w:sz w:val="22"/>
          <w:szCs w:val="22"/>
          <w:u w:val="single"/>
          <w:lang w:val="sr-Latn-RS" w:bidi="en-US"/>
        </w:rPr>
        <w:t>Pedijatrijska populacija</w:t>
      </w:r>
    </w:p>
    <w:p w:rsidR="00B42454" w:rsidRPr="00C2143B" w:rsidRDefault="00B42454" w:rsidP="00261E6C">
      <w:pPr>
        <w:widowControl w:val="0"/>
        <w:autoSpaceDE w:val="0"/>
        <w:autoSpaceDN w:val="0"/>
        <w:spacing w:before="91"/>
        <w:ind w:right="9"/>
        <w:jc w:val="both"/>
        <w:rPr>
          <w:sz w:val="22"/>
          <w:szCs w:val="22"/>
          <w:lang w:val="sr-Latn-RS" w:bidi="en-US"/>
        </w:rPr>
      </w:pPr>
      <w:r w:rsidRPr="00C2143B">
        <w:rPr>
          <w:sz w:val="22"/>
          <w:szCs w:val="22"/>
          <w:lang w:val="sr-Latn-RS" w:bidi="en-US"/>
        </w:rPr>
        <w:t>Nijesu izvršene studije kojima bi se ispitala farmakokinetika polatuzumab vedotina u pedijatrijskoj populaciji (mlađoj od 18 godina).</w:t>
      </w:r>
    </w:p>
    <w:p w:rsidR="00B42454" w:rsidRPr="00C2143B" w:rsidRDefault="00B42454" w:rsidP="00B42454">
      <w:pPr>
        <w:widowControl w:val="0"/>
        <w:autoSpaceDE w:val="0"/>
        <w:autoSpaceDN w:val="0"/>
        <w:spacing w:before="7"/>
        <w:ind w:right="9"/>
        <w:jc w:val="both"/>
        <w:rPr>
          <w:sz w:val="22"/>
          <w:szCs w:val="22"/>
          <w:lang w:val="sr-Latn-RS" w:bidi="en-US"/>
        </w:rPr>
      </w:pPr>
    </w:p>
    <w:p w:rsidR="00B42454" w:rsidRPr="00C2143B" w:rsidRDefault="00B42454" w:rsidP="00B42454">
      <w:pPr>
        <w:widowControl w:val="0"/>
        <w:autoSpaceDE w:val="0"/>
        <w:autoSpaceDN w:val="0"/>
        <w:ind w:right="9"/>
        <w:jc w:val="both"/>
        <w:rPr>
          <w:sz w:val="22"/>
          <w:szCs w:val="22"/>
          <w:lang w:val="sr-Latn-RS" w:bidi="en-US"/>
        </w:rPr>
      </w:pPr>
      <w:r w:rsidRPr="00C2143B">
        <w:rPr>
          <w:sz w:val="22"/>
          <w:szCs w:val="22"/>
          <w:u w:val="single"/>
          <w:lang w:val="sr-Latn-RS" w:bidi="en-US"/>
        </w:rPr>
        <w:t>Starije osobe</w:t>
      </w:r>
    </w:p>
    <w:p w:rsidR="00B42454" w:rsidRPr="00C2143B" w:rsidRDefault="00B42454" w:rsidP="00B42454">
      <w:pPr>
        <w:widowControl w:val="0"/>
        <w:autoSpaceDE w:val="0"/>
        <w:autoSpaceDN w:val="0"/>
        <w:spacing w:before="92"/>
        <w:ind w:right="9"/>
        <w:jc w:val="both"/>
        <w:rPr>
          <w:sz w:val="22"/>
          <w:szCs w:val="22"/>
          <w:lang w:val="sr-Latn-RS" w:bidi="en-US"/>
        </w:rPr>
      </w:pPr>
      <w:r w:rsidRPr="00C2143B">
        <w:rPr>
          <w:sz w:val="22"/>
          <w:szCs w:val="22"/>
          <w:lang w:val="sr-Latn-RS" w:bidi="en-US"/>
        </w:rPr>
        <w:t xml:space="preserve">Starost nije imala uticaja na farmakokinetiku acMMAE i nekonjugovanog MMAE na osnovu populacione farmakokinetičke analize sa pacijentima starim 19–89 godina. Prema populacionim farmakokinetičkim analizama, nije zabilježena nikakva značajna razlika u farmakokinetici acMMAE i nekonjugovanog MMAE među pacijentima mlađim od 65 godina (n = 394) i pacijentima </w:t>
      </w:r>
      <w:r w:rsidR="00CC1770" w:rsidRPr="00C2143B">
        <w:rPr>
          <w:sz w:val="22"/>
          <w:szCs w:val="22"/>
          <w:lang w:val="sr-Latn-RS" w:bidi="en-US"/>
        </w:rPr>
        <w:t xml:space="preserve">starosti </w:t>
      </w:r>
      <w:r w:rsidRPr="00C2143B">
        <w:rPr>
          <w:sz w:val="22"/>
          <w:szCs w:val="22"/>
          <w:lang w:val="sr-Latn-RS" w:bidi="en-US"/>
        </w:rPr>
        <w:t>≥ 65 godina (n = 495).</w:t>
      </w:r>
    </w:p>
    <w:p w:rsidR="00B42454" w:rsidRPr="00C2143B" w:rsidRDefault="00B42454" w:rsidP="00B42454">
      <w:pPr>
        <w:widowControl w:val="0"/>
        <w:autoSpaceDE w:val="0"/>
        <w:autoSpaceDN w:val="0"/>
        <w:spacing w:before="9"/>
        <w:ind w:right="9"/>
        <w:jc w:val="both"/>
        <w:rPr>
          <w:sz w:val="22"/>
          <w:szCs w:val="22"/>
          <w:lang w:val="sr-Latn-RS" w:bidi="en-US"/>
        </w:rPr>
      </w:pPr>
    </w:p>
    <w:p w:rsidR="00B42454" w:rsidRPr="00C2143B" w:rsidRDefault="00B42454" w:rsidP="00B42454">
      <w:pPr>
        <w:widowControl w:val="0"/>
        <w:autoSpaceDE w:val="0"/>
        <w:autoSpaceDN w:val="0"/>
        <w:ind w:right="9"/>
        <w:jc w:val="both"/>
        <w:rPr>
          <w:sz w:val="22"/>
          <w:szCs w:val="22"/>
          <w:lang w:val="sr-Latn-RS" w:bidi="en-US"/>
        </w:rPr>
      </w:pPr>
      <w:r w:rsidRPr="00C2143B">
        <w:rPr>
          <w:sz w:val="22"/>
          <w:szCs w:val="22"/>
          <w:u w:val="single"/>
          <w:lang w:val="sr-Latn-RS" w:bidi="en-US"/>
        </w:rPr>
        <w:t>Oštećenje funkcije bubrega</w:t>
      </w:r>
    </w:p>
    <w:p w:rsidR="00B42454" w:rsidRPr="00C2143B" w:rsidRDefault="00B42454" w:rsidP="00B42454">
      <w:pPr>
        <w:widowControl w:val="0"/>
        <w:autoSpaceDE w:val="0"/>
        <w:autoSpaceDN w:val="0"/>
        <w:spacing w:before="92"/>
        <w:ind w:right="9"/>
        <w:jc w:val="both"/>
        <w:rPr>
          <w:sz w:val="22"/>
          <w:szCs w:val="22"/>
          <w:lang w:val="sr-Latn-RS" w:bidi="en-US"/>
        </w:rPr>
      </w:pPr>
      <w:r w:rsidRPr="00C2143B">
        <w:rPr>
          <w:sz w:val="22"/>
          <w:szCs w:val="22"/>
          <w:lang w:val="sr-Latn-RS" w:bidi="en-US"/>
        </w:rPr>
        <w:t>Kod pacijenata sa blagim (CrCL 60–89 ml/min, n = 361) ili umjerenim (CrCL 30–59 ml/min, n = 163) oštećenjem funkcije bubrega, izloženosti acMMAE i nekonjugovanom MMAE slične su kao kod normalne bubrežne funkcije (CrCL ≥ 90 ml/min, n = 356), na osnovu populacione farmakokinetičke analize. Nema dovoljno podataka za procjenu uticaja teškog oštećenja funkcije bubrega (CrCL 15–29 ml/min, n = 4) na farmakokinetiku. Nema dostupnih podataka za pacijente sa bubrežnim oboljenjem u krajnjem stadijumu odnosno one koji su na dijalizi.</w:t>
      </w:r>
    </w:p>
    <w:p w:rsidR="00B42454" w:rsidRPr="00C2143B" w:rsidRDefault="00B42454" w:rsidP="00261E6C">
      <w:pPr>
        <w:widowControl w:val="0"/>
        <w:autoSpaceDE w:val="0"/>
        <w:autoSpaceDN w:val="0"/>
        <w:ind w:right="9"/>
        <w:jc w:val="both"/>
        <w:rPr>
          <w:sz w:val="22"/>
          <w:szCs w:val="22"/>
          <w:lang w:val="sr-Latn-RS" w:bidi="en-US"/>
        </w:rPr>
      </w:pPr>
    </w:p>
    <w:p w:rsidR="00B42454" w:rsidRPr="00C2143B" w:rsidRDefault="00B42454" w:rsidP="00B42454">
      <w:pPr>
        <w:widowControl w:val="0"/>
        <w:autoSpaceDE w:val="0"/>
        <w:autoSpaceDN w:val="0"/>
        <w:ind w:right="9"/>
        <w:jc w:val="both"/>
        <w:rPr>
          <w:sz w:val="22"/>
          <w:szCs w:val="22"/>
          <w:lang w:val="sr-Latn-RS" w:bidi="en-US"/>
        </w:rPr>
      </w:pPr>
      <w:r w:rsidRPr="00C2143B">
        <w:rPr>
          <w:sz w:val="22"/>
          <w:szCs w:val="22"/>
          <w:u w:val="single"/>
          <w:lang w:val="sr-Latn-RS" w:bidi="en-US"/>
        </w:rPr>
        <w:t>Oštećenje funkcije jetre</w:t>
      </w:r>
    </w:p>
    <w:p w:rsidR="00B42454" w:rsidRPr="00C2143B" w:rsidRDefault="00B42454" w:rsidP="00261E6C">
      <w:pPr>
        <w:widowControl w:val="0"/>
        <w:autoSpaceDE w:val="0"/>
        <w:autoSpaceDN w:val="0"/>
        <w:spacing w:before="91"/>
        <w:ind w:right="9"/>
        <w:jc w:val="both"/>
        <w:rPr>
          <w:sz w:val="22"/>
          <w:szCs w:val="22"/>
          <w:lang w:val="sr-Latn-RS" w:bidi="en-US"/>
        </w:rPr>
      </w:pPr>
      <w:r w:rsidRPr="00C2143B">
        <w:rPr>
          <w:sz w:val="22"/>
          <w:szCs w:val="22"/>
          <w:lang w:val="sr-Latn-RS" w:bidi="en-US"/>
        </w:rPr>
        <w:t>Prema populacionoj farmakokinetičkoj analizi, izloženost acMMAE-u kod pacijenata sa blagim oštećenje</w:t>
      </w:r>
      <w:r w:rsidR="00CC1770" w:rsidRPr="00C2143B">
        <w:rPr>
          <w:sz w:val="22"/>
          <w:szCs w:val="22"/>
          <w:lang w:val="sr-Latn-RS" w:bidi="en-US"/>
        </w:rPr>
        <w:t>m</w:t>
      </w:r>
      <w:r w:rsidRPr="00C2143B">
        <w:rPr>
          <w:sz w:val="22"/>
          <w:szCs w:val="22"/>
          <w:lang w:val="sr-Latn-RS" w:bidi="en-US"/>
        </w:rPr>
        <w:t xml:space="preserve"> funkcije jetre [AST ili ALT &gt;</w:t>
      </w:r>
      <w:r w:rsidR="00CC1770" w:rsidRPr="00C2143B">
        <w:rPr>
          <w:sz w:val="22"/>
          <w:szCs w:val="22"/>
          <w:lang w:val="sr-Latn-RS" w:bidi="en-US"/>
        </w:rPr>
        <w:t xml:space="preserve"> </w:t>
      </w:r>
      <w:r w:rsidRPr="00C2143B">
        <w:rPr>
          <w:sz w:val="22"/>
          <w:szCs w:val="22"/>
          <w:lang w:val="sr-Latn-RS" w:bidi="en-US"/>
        </w:rPr>
        <w:t>1,0 do 2,5 × GGN ili ukupni bilirubin &gt;</w:t>
      </w:r>
      <w:r w:rsidR="00CC1770" w:rsidRPr="00C2143B">
        <w:rPr>
          <w:sz w:val="22"/>
          <w:szCs w:val="22"/>
          <w:lang w:val="sr-Latn-RS" w:bidi="en-US"/>
        </w:rPr>
        <w:t xml:space="preserve"> </w:t>
      </w:r>
      <w:r w:rsidRPr="00C2143B">
        <w:rPr>
          <w:sz w:val="22"/>
          <w:szCs w:val="22"/>
          <w:lang w:val="sr-Latn-RS" w:bidi="en-US"/>
        </w:rPr>
        <w:t>1,0 do 1,5 × GGN]. n = 133], slična je kao i kod pacijenata sa normalnom funkcijom jetre (n= 737), dok je AUC nekonjugovanog MMAE-a najviše 40% veći.</w:t>
      </w:r>
    </w:p>
    <w:p w:rsidR="00B42454" w:rsidRPr="00C2143B" w:rsidRDefault="00B42454" w:rsidP="00B42454">
      <w:pPr>
        <w:widowControl w:val="0"/>
        <w:autoSpaceDE w:val="0"/>
        <w:autoSpaceDN w:val="0"/>
        <w:spacing w:before="6"/>
        <w:ind w:right="9"/>
        <w:jc w:val="both"/>
        <w:rPr>
          <w:sz w:val="22"/>
          <w:szCs w:val="22"/>
          <w:lang w:val="sr-Latn-RS" w:bidi="en-US"/>
        </w:rPr>
      </w:pPr>
    </w:p>
    <w:p w:rsidR="00A7060E" w:rsidRPr="00261E6C" w:rsidRDefault="00B42454" w:rsidP="00261E6C">
      <w:pPr>
        <w:widowControl w:val="0"/>
        <w:autoSpaceDE w:val="0"/>
        <w:autoSpaceDN w:val="0"/>
        <w:ind w:right="9"/>
        <w:jc w:val="both"/>
        <w:rPr>
          <w:sz w:val="22"/>
          <w:szCs w:val="22"/>
          <w:lang w:val="sr-Latn-RS" w:bidi="en-US"/>
        </w:rPr>
        <w:sectPr w:rsidR="00A7060E" w:rsidRPr="00261E6C" w:rsidSect="004723AA">
          <w:type w:val="continuous"/>
          <w:pgSz w:w="11910" w:h="16840"/>
          <w:pgMar w:top="1040" w:right="820" w:bottom="900" w:left="1200" w:header="0" w:footer="0" w:gutter="0"/>
          <w:cols w:space="720"/>
        </w:sectPr>
      </w:pPr>
      <w:r w:rsidRPr="00C2143B">
        <w:rPr>
          <w:sz w:val="22"/>
          <w:szCs w:val="22"/>
          <w:lang w:val="sr-Latn-RS" w:bidi="en-US"/>
        </w:rPr>
        <w:t>Nema dovoljno podataka za procjenu uticaja umjerenog oštećenja funkcije jetre (ukupni bilirubin veći od 1,5-3×GGN, n = 11) na farmakokinetiku. Dostupni su ograničeni podaci za pacijente sa teškim oštećenjem funkcije jetre ili transplantacijom jetre.</w:t>
      </w:r>
    </w:p>
    <w:p w:rsidR="00687D00" w:rsidRPr="00261E6C" w:rsidRDefault="00687D00">
      <w:pPr>
        <w:tabs>
          <w:tab w:val="left" w:pos="540"/>
          <w:tab w:val="left" w:pos="569"/>
        </w:tabs>
        <w:jc w:val="both"/>
        <w:rPr>
          <w:b/>
          <w:bCs/>
          <w:sz w:val="22"/>
          <w:szCs w:val="22"/>
          <w:lang w:val="sr-Latn-RS"/>
        </w:rPr>
      </w:pPr>
      <w:r w:rsidRPr="00261E6C">
        <w:rPr>
          <w:b/>
          <w:bCs/>
          <w:sz w:val="22"/>
          <w:szCs w:val="22"/>
          <w:lang w:val="sr-Latn-RS"/>
        </w:rPr>
        <w:lastRenderedPageBreak/>
        <w:t xml:space="preserve">5.3. </w:t>
      </w:r>
      <w:r w:rsidRPr="00261E6C">
        <w:rPr>
          <w:b/>
          <w:bCs/>
          <w:sz w:val="22"/>
          <w:szCs w:val="22"/>
          <w:lang w:val="sr-Latn-RS"/>
        </w:rPr>
        <w:tab/>
        <w:t xml:space="preserve">Pretklinički podaci o bezbjednosti </w:t>
      </w:r>
    </w:p>
    <w:p w:rsidR="00687D00" w:rsidRPr="00261E6C" w:rsidRDefault="00687D00">
      <w:pPr>
        <w:tabs>
          <w:tab w:val="left" w:pos="540"/>
          <w:tab w:val="left" w:pos="569"/>
        </w:tabs>
        <w:jc w:val="both"/>
        <w:rPr>
          <w:bCs/>
          <w:sz w:val="22"/>
          <w:szCs w:val="22"/>
          <w:lang w:val="sr-Latn-RS"/>
        </w:rPr>
      </w:pPr>
    </w:p>
    <w:p w:rsidR="00687D00" w:rsidRPr="00261E6C" w:rsidRDefault="00687D00">
      <w:pPr>
        <w:widowControl w:val="0"/>
        <w:autoSpaceDE w:val="0"/>
        <w:autoSpaceDN w:val="0"/>
        <w:ind w:right="9"/>
        <w:jc w:val="both"/>
        <w:rPr>
          <w:i/>
          <w:sz w:val="22"/>
          <w:szCs w:val="22"/>
          <w:lang w:val="sr-Latn-RS" w:bidi="en-US"/>
        </w:rPr>
      </w:pPr>
      <w:r w:rsidRPr="00261E6C">
        <w:rPr>
          <w:i/>
          <w:sz w:val="22"/>
          <w:szCs w:val="22"/>
          <w:lang w:val="sr-Latn-RS" w:bidi="en-US"/>
        </w:rPr>
        <w:t>Sistemska toksičnost</w:t>
      </w: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I kod pacova i kod makaki majmuna, predominantne sistemske toksičnosti povezane sa primjenom MMAE i polatuzumab vendotina obuhvatile su reverzibilnu toksičnost za kostnu srž i prateća dejstva na ćelije periferne krvi.</w:t>
      </w:r>
    </w:p>
    <w:p w:rsidR="00687D00" w:rsidRPr="00261E6C" w:rsidRDefault="00687D00">
      <w:pPr>
        <w:widowControl w:val="0"/>
        <w:autoSpaceDE w:val="0"/>
        <w:autoSpaceDN w:val="0"/>
        <w:spacing w:before="1"/>
        <w:ind w:right="9"/>
        <w:jc w:val="both"/>
        <w:rPr>
          <w:sz w:val="22"/>
          <w:szCs w:val="22"/>
          <w:lang w:val="sr-Latn-RS" w:bidi="en-US"/>
        </w:rPr>
      </w:pPr>
    </w:p>
    <w:p w:rsidR="005F0CE5" w:rsidRPr="00261E6C" w:rsidRDefault="00687D00">
      <w:pPr>
        <w:widowControl w:val="0"/>
        <w:autoSpaceDE w:val="0"/>
        <w:autoSpaceDN w:val="0"/>
        <w:ind w:right="9"/>
        <w:jc w:val="both"/>
        <w:rPr>
          <w:i/>
          <w:sz w:val="22"/>
          <w:szCs w:val="22"/>
          <w:lang w:val="sr-Latn-RS" w:bidi="en-US"/>
        </w:rPr>
      </w:pPr>
      <w:r w:rsidRPr="00261E6C">
        <w:rPr>
          <w:i/>
          <w:sz w:val="22"/>
          <w:szCs w:val="22"/>
          <w:lang w:val="sr-Latn-RS" w:bidi="en-US"/>
        </w:rPr>
        <w:t>Genotoksično</w:t>
      </w:r>
      <w:r w:rsidR="005F0CE5" w:rsidRPr="00C2143B">
        <w:rPr>
          <w:i/>
          <w:sz w:val="22"/>
          <w:szCs w:val="22"/>
          <w:lang w:val="sr-Latn-RS" w:bidi="en-US"/>
        </w:rPr>
        <w:t>s</w:t>
      </w:r>
      <w:r w:rsidRPr="00261E6C">
        <w:rPr>
          <w:i/>
          <w:sz w:val="22"/>
          <w:szCs w:val="22"/>
          <w:lang w:val="sr-Latn-RS" w:bidi="en-US"/>
        </w:rPr>
        <w:t>t</w:t>
      </w:r>
    </w:p>
    <w:p w:rsidR="00687D00" w:rsidRPr="00261E6C" w:rsidRDefault="00687D00" w:rsidP="00261E6C">
      <w:pPr>
        <w:widowControl w:val="0"/>
        <w:autoSpaceDE w:val="0"/>
        <w:autoSpaceDN w:val="0"/>
        <w:ind w:right="9"/>
        <w:jc w:val="both"/>
        <w:rPr>
          <w:sz w:val="22"/>
          <w:szCs w:val="22"/>
          <w:lang w:val="sr-Latn-RS" w:bidi="en-US"/>
        </w:rPr>
      </w:pPr>
      <w:r w:rsidRPr="00261E6C">
        <w:rPr>
          <w:sz w:val="22"/>
          <w:szCs w:val="22"/>
          <w:lang w:val="sr-Latn-RS" w:bidi="en-US"/>
        </w:rPr>
        <w:t>Sa polatuzumab vedotinom nijesu sprovedena posebna ispitivanja mutagenosti. MMAE nije bio mutagen na testu bakterijskih povratnih mutacija (Ames testu) niti na testu napredne mutacije mišjeg limfoma L5178Y.</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spacing w:before="1"/>
        <w:ind w:right="9"/>
        <w:jc w:val="both"/>
        <w:rPr>
          <w:sz w:val="22"/>
          <w:szCs w:val="22"/>
          <w:lang w:val="sr-Latn-RS" w:bidi="en-US"/>
        </w:rPr>
      </w:pPr>
      <w:r w:rsidRPr="00261E6C">
        <w:rPr>
          <w:sz w:val="22"/>
          <w:szCs w:val="22"/>
          <w:lang w:val="sr-Latn-RS" w:bidi="en-US"/>
        </w:rPr>
        <w:t>MMAE je bio genotoksičan u studiji mikronukleusa kostne srži pacova, vjerovatno putem aneugenog mehanizma. Taj mehanizam je u skladu sa farmakološkim dejstvom MMAE kao agensa koji oštećuje mikrotubule.</w:t>
      </w:r>
    </w:p>
    <w:p w:rsidR="00687D00" w:rsidRPr="00261E6C" w:rsidRDefault="00687D00">
      <w:pPr>
        <w:widowControl w:val="0"/>
        <w:autoSpaceDE w:val="0"/>
        <w:autoSpaceDN w:val="0"/>
        <w:spacing w:before="1"/>
        <w:ind w:right="9"/>
        <w:jc w:val="both"/>
        <w:rPr>
          <w:sz w:val="22"/>
          <w:szCs w:val="22"/>
          <w:lang w:val="sr-Latn-RS" w:bidi="en-US"/>
        </w:rPr>
      </w:pPr>
    </w:p>
    <w:p w:rsidR="00687D00" w:rsidRPr="00261E6C" w:rsidRDefault="00687D00">
      <w:pPr>
        <w:widowControl w:val="0"/>
        <w:autoSpaceDE w:val="0"/>
        <w:autoSpaceDN w:val="0"/>
        <w:ind w:right="9"/>
        <w:jc w:val="both"/>
        <w:rPr>
          <w:i/>
          <w:sz w:val="22"/>
          <w:szCs w:val="22"/>
          <w:lang w:val="sr-Latn-RS" w:bidi="en-US"/>
        </w:rPr>
      </w:pPr>
      <w:r w:rsidRPr="00261E6C">
        <w:rPr>
          <w:i/>
          <w:sz w:val="22"/>
          <w:szCs w:val="22"/>
          <w:lang w:val="sr-Latn-RS" w:bidi="en-US"/>
        </w:rPr>
        <w:t>Karcinogenost</w:t>
      </w:r>
    </w:p>
    <w:p w:rsidR="00687D00" w:rsidRPr="00261E6C" w:rsidRDefault="00687D00">
      <w:pPr>
        <w:widowControl w:val="0"/>
        <w:autoSpaceDE w:val="0"/>
        <w:autoSpaceDN w:val="0"/>
        <w:spacing w:before="1"/>
        <w:ind w:right="9"/>
        <w:jc w:val="both"/>
        <w:rPr>
          <w:sz w:val="22"/>
          <w:szCs w:val="22"/>
          <w:lang w:val="sr-Latn-RS" w:bidi="en-US"/>
        </w:rPr>
      </w:pPr>
      <w:r w:rsidRPr="00261E6C">
        <w:rPr>
          <w:sz w:val="22"/>
          <w:szCs w:val="22"/>
          <w:lang w:val="sr-Latn-RS" w:bidi="en-US"/>
        </w:rPr>
        <w:t xml:space="preserve">Sa polatuzumab vedotinom odnosno MMAE nijesu sprovedena posebna ispitivanja karcinogenosti. </w:t>
      </w:r>
    </w:p>
    <w:p w:rsidR="00687D00" w:rsidRPr="00261E6C" w:rsidRDefault="00687D00">
      <w:pPr>
        <w:widowControl w:val="0"/>
        <w:autoSpaceDE w:val="0"/>
        <w:autoSpaceDN w:val="0"/>
        <w:spacing w:before="1"/>
        <w:ind w:right="9"/>
        <w:jc w:val="both"/>
        <w:rPr>
          <w:i/>
          <w:sz w:val="22"/>
          <w:szCs w:val="22"/>
          <w:lang w:val="sr-Latn-RS" w:bidi="en-US"/>
        </w:rPr>
      </w:pPr>
    </w:p>
    <w:p w:rsidR="00687D00" w:rsidRPr="00261E6C" w:rsidRDefault="00687D00">
      <w:pPr>
        <w:widowControl w:val="0"/>
        <w:autoSpaceDE w:val="0"/>
        <w:autoSpaceDN w:val="0"/>
        <w:spacing w:before="1"/>
        <w:ind w:right="9"/>
        <w:jc w:val="both"/>
        <w:rPr>
          <w:i/>
          <w:sz w:val="22"/>
          <w:szCs w:val="22"/>
          <w:lang w:val="sr-Latn-RS" w:bidi="en-US"/>
        </w:rPr>
      </w:pPr>
      <w:r w:rsidRPr="00261E6C">
        <w:rPr>
          <w:i/>
          <w:sz w:val="22"/>
          <w:szCs w:val="22"/>
          <w:lang w:val="sr-Latn-RS" w:bidi="en-US"/>
        </w:rPr>
        <w:t>Poremećaj fertiliteta</w:t>
      </w:r>
    </w:p>
    <w:p w:rsidR="00687D00" w:rsidRPr="00261E6C" w:rsidRDefault="00687D00">
      <w:pPr>
        <w:widowControl w:val="0"/>
        <w:autoSpaceDE w:val="0"/>
        <w:autoSpaceDN w:val="0"/>
        <w:spacing w:before="1"/>
        <w:ind w:right="9"/>
        <w:jc w:val="both"/>
        <w:rPr>
          <w:i/>
          <w:sz w:val="22"/>
          <w:szCs w:val="22"/>
          <w:lang w:val="sr-Latn-RS" w:bidi="en-US"/>
        </w:rPr>
      </w:pPr>
      <w:r w:rsidRPr="00261E6C">
        <w:rPr>
          <w:sz w:val="22"/>
          <w:szCs w:val="22"/>
          <w:lang w:val="sr-Latn-RS" w:bidi="en-US"/>
        </w:rPr>
        <w:t xml:space="preserve">Sa polatuzumab vedotinom nijesu sprovedena posebna ispitivanja fertiliteta kod životinja. Ipak, rezultati 4-nedjeljne studije toksičnosti sa pacovima ukazuju na potencijal polatuzumab vendotina da ošteti reproduktivnu funkciju i fertilitet muškaraca. Degeneracija sjemenih kanalića u testisima nije se povukla nakon perioda od 6 nedjelja bez terapije i bila je u korelaciji sa smanjenom težinom testisa i ukupnim nalazima nekropsije malih i/ili mekih testisa mužjaka kojima je lijek primjenjivan u dozi </w:t>
      </w:r>
      <w:r w:rsidR="009D54D3" w:rsidRPr="00C2143B">
        <w:rPr>
          <w:sz w:val="22"/>
          <w:szCs w:val="22"/>
          <w:lang w:val="sr-Latn-RS" w:bidi="en-US"/>
        </w:rPr>
        <w:t>≥</w:t>
      </w:r>
      <w:r w:rsidRPr="00261E6C">
        <w:rPr>
          <w:sz w:val="22"/>
          <w:szCs w:val="22"/>
          <w:lang w:val="sr-Latn-RS" w:bidi="en-US"/>
        </w:rPr>
        <w:t xml:space="preserve"> 2 mg/kg.</w:t>
      </w:r>
    </w:p>
    <w:p w:rsidR="00687D00" w:rsidRPr="00261E6C" w:rsidRDefault="00687D00">
      <w:pPr>
        <w:widowControl w:val="0"/>
        <w:autoSpaceDE w:val="0"/>
        <w:autoSpaceDN w:val="0"/>
        <w:spacing w:before="9"/>
        <w:ind w:right="9"/>
        <w:jc w:val="both"/>
        <w:rPr>
          <w:i/>
          <w:sz w:val="22"/>
          <w:szCs w:val="22"/>
          <w:lang w:val="sr-Latn-RS" w:bidi="en-US"/>
        </w:rPr>
      </w:pPr>
    </w:p>
    <w:p w:rsidR="00687D00" w:rsidRPr="00261E6C" w:rsidRDefault="00687D00">
      <w:pPr>
        <w:widowControl w:val="0"/>
        <w:autoSpaceDE w:val="0"/>
        <w:autoSpaceDN w:val="0"/>
        <w:ind w:right="9"/>
        <w:jc w:val="both"/>
        <w:rPr>
          <w:i/>
          <w:sz w:val="22"/>
          <w:szCs w:val="22"/>
          <w:lang w:val="sr-Latn-RS" w:bidi="en-US"/>
        </w:rPr>
      </w:pPr>
      <w:r w:rsidRPr="00261E6C">
        <w:rPr>
          <w:i/>
          <w:sz w:val="22"/>
          <w:szCs w:val="22"/>
          <w:lang w:val="sr-Latn-RS" w:bidi="en-US"/>
        </w:rPr>
        <w:t>Reproduktivna toksičnost</w:t>
      </w: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Sa polatuzumab vedotinom nijesu sprovedena posebna ispitivanja teratogenosti kod životinja. Ipak, terapija skotnih ženki pacova sa MMAE u dozi od 0,2 mg/kg izazvala je smrt embriona i malformacije fetusa (uključujući protruziju jezika, loše rotirane udove, gastrošizu i agnatiju). Sistemska izloženost MMAE-u (AUC) kod pacova u dozi od 0,2 mg/kg iznosila je približno 50% AUC-a  kod pacijenata koji su primali preporučenu dozu od 1,8 mg/kg lijeka Polivy svakih 21 dan.</w:t>
      </w:r>
    </w:p>
    <w:p w:rsidR="004723AA" w:rsidRPr="00261E6C" w:rsidRDefault="004723AA">
      <w:pPr>
        <w:tabs>
          <w:tab w:val="left" w:pos="540"/>
          <w:tab w:val="left" w:pos="569"/>
        </w:tabs>
        <w:jc w:val="both"/>
        <w:rPr>
          <w:b/>
          <w:bCs/>
          <w:sz w:val="22"/>
          <w:szCs w:val="22"/>
          <w:lang w:val="sr-Latn-RS"/>
        </w:rPr>
      </w:pPr>
    </w:p>
    <w:p w:rsidR="00687D00" w:rsidRPr="00261E6C" w:rsidRDefault="00687D00">
      <w:pPr>
        <w:tabs>
          <w:tab w:val="left" w:pos="540"/>
          <w:tab w:val="left" w:pos="569"/>
        </w:tabs>
        <w:jc w:val="both"/>
        <w:rPr>
          <w:b/>
          <w:bCs/>
          <w:sz w:val="22"/>
          <w:szCs w:val="22"/>
          <w:lang w:val="sr-Latn-RS"/>
        </w:rPr>
      </w:pPr>
      <w:r w:rsidRPr="00261E6C">
        <w:rPr>
          <w:b/>
          <w:bCs/>
          <w:sz w:val="22"/>
          <w:szCs w:val="22"/>
          <w:lang w:val="sr-Latn-RS"/>
        </w:rPr>
        <w:t xml:space="preserve">6. </w:t>
      </w:r>
      <w:r w:rsidRPr="00261E6C">
        <w:rPr>
          <w:b/>
          <w:bCs/>
          <w:sz w:val="22"/>
          <w:szCs w:val="22"/>
          <w:lang w:val="sr-Latn-RS"/>
        </w:rPr>
        <w:tab/>
        <w:t>FARMACEUTSKI PODACI</w:t>
      </w:r>
    </w:p>
    <w:p w:rsidR="00687D00" w:rsidRPr="00261E6C" w:rsidRDefault="00687D00">
      <w:pPr>
        <w:tabs>
          <w:tab w:val="left" w:pos="540"/>
          <w:tab w:val="left" w:pos="569"/>
        </w:tabs>
        <w:jc w:val="both"/>
        <w:rPr>
          <w:bCs/>
          <w:sz w:val="22"/>
          <w:szCs w:val="22"/>
          <w:lang w:val="sr-Latn-RS"/>
        </w:rPr>
      </w:pPr>
    </w:p>
    <w:p w:rsidR="00687D00" w:rsidRPr="00261E6C" w:rsidRDefault="00687D00">
      <w:pPr>
        <w:tabs>
          <w:tab w:val="left" w:pos="540"/>
          <w:tab w:val="left" w:pos="569"/>
        </w:tabs>
        <w:jc w:val="both"/>
        <w:rPr>
          <w:b/>
          <w:bCs/>
          <w:sz w:val="22"/>
          <w:szCs w:val="22"/>
          <w:lang w:val="sr-Latn-RS"/>
        </w:rPr>
      </w:pPr>
      <w:r w:rsidRPr="00261E6C">
        <w:rPr>
          <w:b/>
          <w:bCs/>
          <w:sz w:val="22"/>
          <w:szCs w:val="22"/>
          <w:lang w:val="sr-Latn-RS"/>
        </w:rPr>
        <w:t xml:space="preserve">6.1. </w:t>
      </w:r>
      <w:r w:rsidRPr="00261E6C">
        <w:rPr>
          <w:b/>
          <w:bCs/>
          <w:sz w:val="22"/>
          <w:szCs w:val="22"/>
          <w:lang w:val="sr-Latn-RS"/>
        </w:rPr>
        <w:tab/>
        <w:t>Lista pomoćnih supstanci (ekscipijenasa)</w:t>
      </w:r>
    </w:p>
    <w:p w:rsidR="00687D00" w:rsidRPr="00261E6C" w:rsidRDefault="00687D00">
      <w:pPr>
        <w:tabs>
          <w:tab w:val="left" w:pos="540"/>
          <w:tab w:val="left" w:pos="569"/>
        </w:tabs>
        <w:jc w:val="both"/>
        <w:rPr>
          <w:bCs/>
          <w:sz w:val="22"/>
          <w:szCs w:val="22"/>
          <w:lang w:val="sr-Latn-RS"/>
        </w:rPr>
      </w:pPr>
    </w:p>
    <w:p w:rsidR="00687D00" w:rsidRPr="00261E6C" w:rsidRDefault="00687D00">
      <w:pPr>
        <w:pStyle w:val="BodyText"/>
        <w:ind w:right="9"/>
        <w:jc w:val="both"/>
        <w:rPr>
          <w:lang w:val="sr-Latn-RS"/>
        </w:rPr>
      </w:pPr>
      <w:r w:rsidRPr="00261E6C">
        <w:rPr>
          <w:lang w:val="sr-Latn-RS"/>
        </w:rPr>
        <w:t>Sukcinska kiselina</w:t>
      </w:r>
    </w:p>
    <w:p w:rsidR="00687D00" w:rsidRPr="00261E6C" w:rsidRDefault="00687D00">
      <w:pPr>
        <w:pStyle w:val="BodyText"/>
        <w:ind w:right="9"/>
        <w:jc w:val="both"/>
        <w:rPr>
          <w:lang w:val="sr-Latn-RS"/>
        </w:rPr>
      </w:pPr>
      <w:r w:rsidRPr="00261E6C">
        <w:rPr>
          <w:lang w:val="sr-Latn-RS"/>
        </w:rPr>
        <w:t xml:space="preserve">Natrijum hidroksid (za podešavanje pH) </w:t>
      </w:r>
    </w:p>
    <w:p w:rsidR="00687D00" w:rsidRPr="00261E6C" w:rsidRDefault="00687D00">
      <w:pPr>
        <w:pStyle w:val="BodyText"/>
        <w:ind w:right="9"/>
        <w:jc w:val="both"/>
        <w:rPr>
          <w:lang w:val="sr-Latn-RS"/>
        </w:rPr>
      </w:pPr>
      <w:r w:rsidRPr="00261E6C">
        <w:rPr>
          <w:lang w:val="sr-Latn-RS"/>
        </w:rPr>
        <w:t>Saharoza</w:t>
      </w:r>
    </w:p>
    <w:p w:rsidR="00687D00" w:rsidRPr="00261E6C" w:rsidRDefault="00687D00">
      <w:pPr>
        <w:pStyle w:val="BodyText"/>
        <w:spacing w:before="2"/>
        <w:ind w:right="9"/>
        <w:jc w:val="both"/>
        <w:rPr>
          <w:lang w:val="sr-Latn-RS"/>
        </w:rPr>
      </w:pPr>
      <w:r w:rsidRPr="00261E6C">
        <w:rPr>
          <w:lang w:val="sr-Latn-RS"/>
        </w:rPr>
        <w:t>Polisorbat 20 (E 432)</w:t>
      </w:r>
    </w:p>
    <w:p w:rsidR="00687D00" w:rsidRPr="00261E6C" w:rsidRDefault="00687D00">
      <w:pPr>
        <w:tabs>
          <w:tab w:val="left" w:pos="540"/>
          <w:tab w:val="left" w:pos="569"/>
        </w:tabs>
        <w:jc w:val="both"/>
        <w:rPr>
          <w:bCs/>
          <w:sz w:val="22"/>
          <w:szCs w:val="22"/>
          <w:lang w:val="sr-Latn-RS"/>
        </w:rPr>
      </w:pPr>
    </w:p>
    <w:p w:rsidR="00687D00" w:rsidRPr="00261E6C" w:rsidRDefault="00687D00">
      <w:pPr>
        <w:tabs>
          <w:tab w:val="left" w:pos="540"/>
          <w:tab w:val="left" w:pos="569"/>
        </w:tabs>
        <w:jc w:val="both"/>
        <w:rPr>
          <w:b/>
          <w:bCs/>
          <w:sz w:val="22"/>
          <w:szCs w:val="22"/>
          <w:lang w:val="sr-Latn-RS"/>
        </w:rPr>
      </w:pPr>
      <w:r w:rsidRPr="00261E6C">
        <w:rPr>
          <w:b/>
          <w:bCs/>
          <w:sz w:val="22"/>
          <w:szCs w:val="22"/>
          <w:lang w:val="sr-Latn-RS"/>
        </w:rPr>
        <w:t xml:space="preserve">6.2. </w:t>
      </w:r>
      <w:r w:rsidRPr="00261E6C">
        <w:rPr>
          <w:b/>
          <w:bCs/>
          <w:sz w:val="22"/>
          <w:szCs w:val="22"/>
          <w:lang w:val="sr-Latn-RS"/>
        </w:rPr>
        <w:tab/>
        <w:t>Inkompatibilnosti</w:t>
      </w:r>
    </w:p>
    <w:p w:rsidR="00687D00" w:rsidRPr="00261E6C" w:rsidRDefault="00687D00">
      <w:pPr>
        <w:tabs>
          <w:tab w:val="left" w:pos="540"/>
          <w:tab w:val="left" w:pos="569"/>
        </w:tabs>
        <w:jc w:val="both"/>
        <w:rPr>
          <w:bCs/>
          <w:sz w:val="22"/>
          <w:szCs w:val="22"/>
          <w:lang w:val="sr-Latn-RS"/>
        </w:rPr>
      </w:pPr>
    </w:p>
    <w:p w:rsidR="00687D00" w:rsidRPr="00261E6C" w:rsidRDefault="00687D00">
      <w:pPr>
        <w:pStyle w:val="BodyText"/>
        <w:ind w:right="9"/>
        <w:jc w:val="both"/>
        <w:rPr>
          <w:lang w:val="sr-Latn-RS"/>
        </w:rPr>
      </w:pPr>
      <w:r w:rsidRPr="00261E6C">
        <w:rPr>
          <w:lang w:val="sr-Latn-RS"/>
        </w:rPr>
        <w:t>Ovaj lijek ne smije se mješati sa drugim ljekovima niti razblaživati drugim ljekovima osim onih koji su navedeni u odjeljku 6.6.</w:t>
      </w:r>
    </w:p>
    <w:p w:rsidR="00687D00" w:rsidRPr="00261E6C" w:rsidRDefault="00687D00">
      <w:pPr>
        <w:tabs>
          <w:tab w:val="left" w:pos="540"/>
          <w:tab w:val="left" w:pos="569"/>
        </w:tabs>
        <w:jc w:val="both"/>
        <w:rPr>
          <w:bCs/>
          <w:sz w:val="22"/>
          <w:szCs w:val="22"/>
          <w:lang w:val="sr-Latn-RS"/>
        </w:rPr>
      </w:pPr>
    </w:p>
    <w:p w:rsidR="00687D00" w:rsidRPr="00261E6C" w:rsidRDefault="00687D00">
      <w:pPr>
        <w:tabs>
          <w:tab w:val="left" w:pos="540"/>
          <w:tab w:val="left" w:pos="569"/>
        </w:tabs>
        <w:jc w:val="both"/>
        <w:rPr>
          <w:b/>
          <w:bCs/>
          <w:sz w:val="22"/>
          <w:szCs w:val="22"/>
          <w:lang w:val="sr-Latn-RS"/>
        </w:rPr>
      </w:pPr>
      <w:r w:rsidRPr="00261E6C">
        <w:rPr>
          <w:b/>
          <w:bCs/>
          <w:sz w:val="22"/>
          <w:szCs w:val="22"/>
          <w:lang w:val="sr-Latn-RS"/>
        </w:rPr>
        <w:t xml:space="preserve">6.3. </w:t>
      </w:r>
      <w:r w:rsidRPr="00261E6C">
        <w:rPr>
          <w:b/>
          <w:bCs/>
          <w:sz w:val="22"/>
          <w:szCs w:val="22"/>
          <w:lang w:val="sr-Latn-RS"/>
        </w:rPr>
        <w:tab/>
        <w:t>Rok upotrebe</w:t>
      </w:r>
    </w:p>
    <w:p w:rsidR="00687D00" w:rsidRPr="00261E6C" w:rsidRDefault="00687D00">
      <w:pPr>
        <w:tabs>
          <w:tab w:val="left" w:pos="540"/>
          <w:tab w:val="left" w:pos="569"/>
        </w:tabs>
        <w:jc w:val="both"/>
        <w:rPr>
          <w:bCs/>
          <w:sz w:val="22"/>
          <w:szCs w:val="22"/>
          <w:lang w:val="sr-Latn-RS"/>
        </w:rPr>
      </w:pPr>
    </w:p>
    <w:p w:rsidR="00687D00" w:rsidRPr="00261E6C" w:rsidRDefault="00687D00">
      <w:pPr>
        <w:widowControl w:val="0"/>
        <w:autoSpaceDE w:val="0"/>
        <w:autoSpaceDN w:val="0"/>
        <w:ind w:right="9"/>
        <w:jc w:val="both"/>
        <w:rPr>
          <w:sz w:val="22"/>
          <w:szCs w:val="22"/>
          <w:lang w:val="sr-Latn-RS" w:bidi="en-US"/>
        </w:rPr>
      </w:pPr>
      <w:r w:rsidRPr="00261E6C">
        <w:rPr>
          <w:sz w:val="22"/>
          <w:szCs w:val="22"/>
          <w:u w:val="single"/>
          <w:lang w:val="sr-Latn-RS" w:bidi="en-US"/>
        </w:rPr>
        <w:t>Neotvorena bočica</w:t>
      </w:r>
    </w:p>
    <w:p w:rsidR="00687D00" w:rsidRPr="00261E6C" w:rsidRDefault="00687D00">
      <w:pPr>
        <w:widowControl w:val="0"/>
        <w:autoSpaceDE w:val="0"/>
        <w:autoSpaceDN w:val="0"/>
        <w:spacing w:before="10"/>
        <w:ind w:right="9"/>
        <w:jc w:val="both"/>
        <w:rPr>
          <w:sz w:val="22"/>
          <w:szCs w:val="22"/>
          <w:lang w:val="sr-Latn-RS" w:bidi="en-US"/>
        </w:rPr>
      </w:pPr>
    </w:p>
    <w:p w:rsidR="00687D00" w:rsidRPr="00C2143B" w:rsidRDefault="00687D00">
      <w:pPr>
        <w:widowControl w:val="0"/>
        <w:autoSpaceDE w:val="0"/>
        <w:autoSpaceDN w:val="0"/>
        <w:spacing w:before="91"/>
        <w:ind w:right="9"/>
        <w:jc w:val="both"/>
        <w:rPr>
          <w:sz w:val="22"/>
          <w:szCs w:val="22"/>
          <w:lang w:val="sr-Latn-RS" w:bidi="en-US"/>
        </w:rPr>
      </w:pPr>
      <w:r w:rsidRPr="00C2143B">
        <w:rPr>
          <w:sz w:val="22"/>
          <w:szCs w:val="22"/>
          <w:lang w:val="sr-Latn-RS" w:bidi="en-US"/>
        </w:rPr>
        <w:t>30 mjeseci</w:t>
      </w:r>
    </w:p>
    <w:p w:rsidR="00687D00" w:rsidRPr="00261E6C" w:rsidRDefault="00687D00">
      <w:pPr>
        <w:widowControl w:val="0"/>
        <w:autoSpaceDE w:val="0"/>
        <w:autoSpaceDN w:val="0"/>
        <w:spacing w:before="3"/>
        <w:ind w:right="9"/>
        <w:jc w:val="both"/>
        <w:rPr>
          <w:sz w:val="22"/>
          <w:szCs w:val="22"/>
          <w:lang w:val="sr-Latn-RS" w:bidi="en-US"/>
        </w:rPr>
      </w:pPr>
    </w:p>
    <w:p w:rsidR="00687D00" w:rsidRPr="00261E6C" w:rsidRDefault="00687D00">
      <w:pPr>
        <w:widowControl w:val="0"/>
        <w:autoSpaceDE w:val="0"/>
        <w:autoSpaceDN w:val="0"/>
        <w:spacing w:before="1"/>
        <w:ind w:right="9"/>
        <w:jc w:val="both"/>
        <w:rPr>
          <w:sz w:val="22"/>
          <w:szCs w:val="22"/>
          <w:lang w:val="sr-Latn-RS" w:bidi="en-US"/>
        </w:rPr>
      </w:pPr>
      <w:r w:rsidRPr="00261E6C">
        <w:rPr>
          <w:sz w:val="22"/>
          <w:szCs w:val="22"/>
          <w:u w:val="single"/>
          <w:lang w:val="sr-Latn-RS" w:bidi="en-US"/>
        </w:rPr>
        <w:lastRenderedPageBreak/>
        <w:t>Rekonstituisani rastvor</w:t>
      </w:r>
    </w:p>
    <w:p w:rsidR="00687D00" w:rsidRPr="00261E6C" w:rsidRDefault="00687D00">
      <w:pPr>
        <w:widowControl w:val="0"/>
        <w:autoSpaceDE w:val="0"/>
        <w:autoSpaceDN w:val="0"/>
        <w:spacing w:before="9"/>
        <w:ind w:right="9"/>
        <w:jc w:val="both"/>
        <w:rPr>
          <w:sz w:val="22"/>
          <w:szCs w:val="22"/>
          <w:lang w:val="sr-Latn-RS" w:bidi="en-US"/>
        </w:rPr>
      </w:pPr>
    </w:p>
    <w:p w:rsidR="00687D00" w:rsidRDefault="007258DC">
      <w:pPr>
        <w:widowControl w:val="0"/>
        <w:autoSpaceDE w:val="0"/>
        <w:autoSpaceDN w:val="0"/>
        <w:ind w:right="9"/>
        <w:jc w:val="both"/>
        <w:rPr>
          <w:sz w:val="22"/>
          <w:szCs w:val="22"/>
          <w:lang w:val="sr-Latn-RS" w:bidi="en-US"/>
        </w:rPr>
      </w:pPr>
      <w:r w:rsidRPr="007258DC">
        <w:rPr>
          <w:sz w:val="22"/>
          <w:szCs w:val="22"/>
          <w:lang w:val="sr-Latn-RS" w:bidi="en-US"/>
        </w:rPr>
        <w:t>Sa mikrobiološke tačke gledišta, rekonstituisani rastvor treba odmah upotrijebiti. Ukoliko se lijek ne upotrijebi odmah, vrijeme čuvanja  i uslovi prije upotrebe su odgovornost korisnika i ne bi se smio čuvati duže od 24 sata u frižideru (2°C - 8°C), osim ukoliko je do rekonstituisanja došlo u kontrolisanim i potvrđenim aseptičnim uslovima. Dokazana je hemijska i fizička stabilnost rekonstituisanog rastvora  tokom najviše 72 sata u frižideru (2°C - 8°C) i najduže 24 sata na sobnoj temperaturi (9°C - 25°C).</w:t>
      </w:r>
    </w:p>
    <w:p w:rsidR="007258DC" w:rsidRPr="00261E6C" w:rsidRDefault="007258DC">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sz w:val="22"/>
          <w:szCs w:val="22"/>
          <w:u w:val="single"/>
          <w:lang w:val="sr-Latn-RS" w:bidi="en-US"/>
        </w:rPr>
        <w:t>Razblaženi rastvor</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Sa mikrobiološke tačke gledišta, pripremljeni rastvor za infuziju treba odmah upotrijebiti. Ukoliko se lijek ne upotrijebi odmah, vrijeme čuvanja  i uslovi prije upotrebe su odgovornost korisnika i ne bi se smio čuvati duže od 24 sata u frižideru (2°C - 8°C), osim ukoliko je do razblaživanja došlo u kontrolisanim i potvrđenim aseptičnim uslovima. Hemijska i fizička stabilnost pripremljenog rastvora za infuziju pokazana je za vremenske periode navedene u tabeli 6. Razblaženi rastvor mora se baciti ukoliko vrijeme čuvanja premašuje granice navedene u tabeli 6.</w:t>
      </w:r>
    </w:p>
    <w:p w:rsidR="004723AA" w:rsidRPr="00261E6C" w:rsidRDefault="004723AA">
      <w:pPr>
        <w:widowControl w:val="0"/>
        <w:autoSpaceDE w:val="0"/>
        <w:autoSpaceDN w:val="0"/>
        <w:ind w:right="9"/>
        <w:jc w:val="both"/>
        <w:rPr>
          <w:sz w:val="22"/>
          <w:szCs w:val="22"/>
          <w:lang w:val="sr-Latn-RS" w:bidi="en-US"/>
        </w:rPr>
      </w:pPr>
    </w:p>
    <w:p w:rsidR="004723AA" w:rsidRPr="00261E6C" w:rsidRDefault="004723AA">
      <w:pPr>
        <w:widowControl w:val="0"/>
        <w:autoSpaceDE w:val="0"/>
        <w:autoSpaceDN w:val="0"/>
        <w:ind w:right="9"/>
        <w:jc w:val="both"/>
        <w:rPr>
          <w:b/>
          <w:bCs/>
          <w:sz w:val="22"/>
          <w:szCs w:val="22"/>
          <w:lang w:val="sr-Latn-RS" w:bidi="en-US"/>
        </w:rPr>
      </w:pPr>
      <w:r w:rsidRPr="00261E6C">
        <w:rPr>
          <w:b/>
          <w:bCs/>
          <w:sz w:val="22"/>
          <w:szCs w:val="22"/>
          <w:lang w:val="sr-Latn-RS" w:bidi="en-US"/>
        </w:rPr>
        <w:t xml:space="preserve">Tabela </w:t>
      </w:r>
      <w:r w:rsidR="002836B4" w:rsidRPr="00261E6C">
        <w:rPr>
          <w:b/>
          <w:bCs/>
          <w:sz w:val="22"/>
          <w:szCs w:val="22"/>
          <w:lang w:val="sr-Latn-RS" w:bidi="en-US"/>
        </w:rPr>
        <w:t xml:space="preserve">7 </w:t>
      </w:r>
      <w:r w:rsidR="00687D00" w:rsidRPr="00261E6C">
        <w:rPr>
          <w:b/>
          <w:bCs/>
          <w:sz w:val="22"/>
          <w:szCs w:val="22"/>
          <w:lang w:val="sr-Latn-RS" w:bidi="en-US"/>
        </w:rPr>
        <w:t>Vremenski periodi u kome su pokazane hemijska i fizička stabilnost pripremljenog rastvora za infuziju</w:t>
      </w:r>
    </w:p>
    <w:tbl>
      <w:tblPr>
        <w:tblW w:w="9037"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9"/>
        <w:gridCol w:w="5498"/>
      </w:tblGrid>
      <w:tr w:rsidR="00687D00" w:rsidRPr="00261E6C" w:rsidTr="00687D00">
        <w:trPr>
          <w:trHeight w:val="503"/>
        </w:trPr>
        <w:tc>
          <w:tcPr>
            <w:tcW w:w="3539" w:type="dxa"/>
            <w:tcBorders>
              <w:top w:val="single" w:sz="4" w:space="0" w:color="000000"/>
              <w:left w:val="single" w:sz="4" w:space="0" w:color="000000"/>
              <w:bottom w:val="single" w:sz="4" w:space="0" w:color="000000"/>
              <w:right w:val="single" w:sz="4" w:space="0" w:color="000000"/>
            </w:tcBorders>
            <w:hideMark/>
          </w:tcPr>
          <w:p w:rsidR="00687D00" w:rsidRPr="00261E6C" w:rsidRDefault="00687D00">
            <w:pPr>
              <w:widowControl w:val="0"/>
              <w:autoSpaceDE w:val="0"/>
              <w:autoSpaceDN w:val="0"/>
              <w:ind w:right="9"/>
              <w:jc w:val="both"/>
              <w:rPr>
                <w:b/>
                <w:sz w:val="22"/>
                <w:szCs w:val="22"/>
                <w:lang w:val="sr-Latn-RS" w:bidi="en-US"/>
              </w:rPr>
            </w:pPr>
            <w:r w:rsidRPr="00261E6C">
              <w:rPr>
                <w:b/>
                <w:bCs/>
                <w:sz w:val="22"/>
                <w:szCs w:val="22"/>
                <w:lang w:val="sr-Latn-RS" w:bidi="en-US"/>
              </w:rPr>
              <w:t>Diluent upotrijebljen za pripremu rastvora za infuziju</w:t>
            </w:r>
          </w:p>
        </w:tc>
        <w:tc>
          <w:tcPr>
            <w:tcW w:w="5498" w:type="dxa"/>
            <w:tcBorders>
              <w:top w:val="single" w:sz="4" w:space="0" w:color="000000"/>
              <w:left w:val="single" w:sz="4" w:space="0" w:color="000000"/>
              <w:bottom w:val="single" w:sz="4" w:space="0" w:color="000000"/>
              <w:right w:val="single" w:sz="4" w:space="0" w:color="000000"/>
            </w:tcBorders>
            <w:hideMark/>
          </w:tcPr>
          <w:p w:rsidR="00687D00" w:rsidRPr="00261E6C" w:rsidRDefault="00687D00">
            <w:pPr>
              <w:widowControl w:val="0"/>
              <w:autoSpaceDE w:val="0"/>
              <w:autoSpaceDN w:val="0"/>
              <w:ind w:right="9"/>
              <w:jc w:val="both"/>
              <w:rPr>
                <w:b/>
                <w:sz w:val="22"/>
                <w:szCs w:val="22"/>
                <w:lang w:val="sr-Latn-RS" w:bidi="en-US"/>
              </w:rPr>
            </w:pPr>
            <w:r w:rsidRPr="00261E6C">
              <w:rPr>
                <w:b/>
                <w:bCs/>
                <w:sz w:val="22"/>
                <w:szCs w:val="22"/>
                <w:lang w:val="sr-Latn-RS" w:bidi="en-US"/>
              </w:rPr>
              <w:t>Uslovi čuvanja rastvora za infuziju</w:t>
            </w:r>
            <w:r w:rsidRPr="00261E6C">
              <w:rPr>
                <w:b/>
                <w:bCs/>
                <w:sz w:val="22"/>
                <w:szCs w:val="22"/>
                <w:vertAlign w:val="superscript"/>
                <w:lang w:val="sr-Latn-RS" w:bidi="en-US"/>
              </w:rPr>
              <w:t>1</w:t>
            </w:r>
          </w:p>
        </w:tc>
      </w:tr>
      <w:tr w:rsidR="00687D00" w:rsidRPr="00C2143B" w:rsidTr="00687D00">
        <w:trPr>
          <w:trHeight w:val="539"/>
        </w:trPr>
        <w:tc>
          <w:tcPr>
            <w:tcW w:w="3539" w:type="dxa"/>
            <w:tcBorders>
              <w:top w:val="single" w:sz="4" w:space="0" w:color="000000"/>
              <w:left w:val="single" w:sz="4" w:space="0" w:color="000000"/>
              <w:bottom w:val="single" w:sz="4" w:space="0" w:color="000000"/>
              <w:right w:val="single" w:sz="4" w:space="0" w:color="000000"/>
            </w:tcBorders>
            <w:hideMark/>
          </w:tcPr>
          <w:p w:rsidR="00687D00" w:rsidRPr="00261E6C" w:rsidRDefault="00687D00" w:rsidP="00E4155A">
            <w:pPr>
              <w:widowControl w:val="0"/>
              <w:autoSpaceDE w:val="0"/>
              <w:autoSpaceDN w:val="0"/>
              <w:ind w:right="9"/>
              <w:jc w:val="both"/>
              <w:rPr>
                <w:sz w:val="22"/>
                <w:szCs w:val="22"/>
                <w:lang w:val="sr-Latn-RS" w:bidi="en-US"/>
              </w:rPr>
            </w:pPr>
            <w:r w:rsidRPr="00261E6C">
              <w:rPr>
                <w:sz w:val="22"/>
                <w:szCs w:val="22"/>
                <w:lang w:val="sr-Latn-RS" w:bidi="en-US"/>
              </w:rPr>
              <w:t>Natrijum-hlorid 9 mg/ml (0,9%)</w:t>
            </w:r>
          </w:p>
        </w:tc>
        <w:tc>
          <w:tcPr>
            <w:tcW w:w="5498" w:type="dxa"/>
            <w:tcBorders>
              <w:top w:val="single" w:sz="4" w:space="0" w:color="000000"/>
              <w:left w:val="single" w:sz="4" w:space="0" w:color="000000"/>
              <w:bottom w:val="single" w:sz="4" w:space="0" w:color="000000"/>
              <w:right w:val="single" w:sz="4" w:space="0" w:color="000000"/>
            </w:tcBorders>
            <w:hideMark/>
          </w:tcPr>
          <w:p w:rsidR="00687D00" w:rsidRPr="00261E6C" w:rsidRDefault="00687D00" w:rsidP="00E4155A">
            <w:pPr>
              <w:widowControl w:val="0"/>
              <w:autoSpaceDE w:val="0"/>
              <w:autoSpaceDN w:val="0"/>
              <w:ind w:right="9"/>
              <w:jc w:val="both"/>
              <w:rPr>
                <w:sz w:val="22"/>
                <w:szCs w:val="22"/>
                <w:lang w:val="sr-Latn-RS" w:bidi="en-US"/>
              </w:rPr>
            </w:pPr>
            <w:r w:rsidRPr="00261E6C">
              <w:rPr>
                <w:sz w:val="22"/>
                <w:szCs w:val="22"/>
                <w:lang w:val="sr-Latn-RS" w:bidi="en-US"/>
              </w:rPr>
              <w:t>Do 72 sata u frižideru (2°C - 8°C) ili</w:t>
            </w:r>
          </w:p>
          <w:p w:rsidR="00687D00" w:rsidRPr="00261E6C" w:rsidRDefault="00687D00" w:rsidP="00E4155A">
            <w:pPr>
              <w:widowControl w:val="0"/>
              <w:autoSpaceDE w:val="0"/>
              <w:autoSpaceDN w:val="0"/>
              <w:ind w:right="9"/>
              <w:jc w:val="both"/>
              <w:rPr>
                <w:sz w:val="22"/>
                <w:szCs w:val="22"/>
                <w:lang w:val="sr-Latn-RS" w:bidi="en-US"/>
              </w:rPr>
            </w:pPr>
            <w:r w:rsidRPr="00261E6C">
              <w:rPr>
                <w:sz w:val="22"/>
                <w:szCs w:val="22"/>
                <w:lang w:val="sr-Latn-RS" w:bidi="en-US"/>
              </w:rPr>
              <w:t>do 4 sata na sobnoj temperaturi (9°C - 25°C)</w:t>
            </w:r>
          </w:p>
        </w:tc>
      </w:tr>
      <w:tr w:rsidR="00687D00" w:rsidRPr="00C2143B" w:rsidTr="00687D00">
        <w:trPr>
          <w:trHeight w:val="537"/>
        </w:trPr>
        <w:tc>
          <w:tcPr>
            <w:tcW w:w="3539" w:type="dxa"/>
            <w:tcBorders>
              <w:top w:val="single" w:sz="4" w:space="0" w:color="000000"/>
              <w:left w:val="single" w:sz="4" w:space="0" w:color="000000"/>
              <w:bottom w:val="single" w:sz="4" w:space="0" w:color="000000"/>
              <w:right w:val="single" w:sz="4" w:space="0" w:color="000000"/>
            </w:tcBorders>
            <w:hideMark/>
          </w:tcPr>
          <w:p w:rsidR="00687D00" w:rsidRPr="00261E6C" w:rsidRDefault="00687D00" w:rsidP="00E4155A">
            <w:pPr>
              <w:widowControl w:val="0"/>
              <w:autoSpaceDE w:val="0"/>
              <w:autoSpaceDN w:val="0"/>
              <w:ind w:right="9"/>
              <w:jc w:val="both"/>
              <w:rPr>
                <w:sz w:val="22"/>
                <w:szCs w:val="22"/>
                <w:lang w:val="sr-Latn-RS" w:bidi="en-US"/>
              </w:rPr>
            </w:pPr>
            <w:r w:rsidRPr="00261E6C">
              <w:rPr>
                <w:sz w:val="22"/>
                <w:szCs w:val="22"/>
                <w:lang w:val="sr-Latn-RS" w:bidi="en-US"/>
              </w:rPr>
              <w:t>Natrijum-hlorid 4,5 mg/ml (0,45%)</w:t>
            </w:r>
          </w:p>
        </w:tc>
        <w:tc>
          <w:tcPr>
            <w:tcW w:w="5498" w:type="dxa"/>
            <w:tcBorders>
              <w:top w:val="single" w:sz="4" w:space="0" w:color="000000"/>
              <w:left w:val="single" w:sz="4" w:space="0" w:color="000000"/>
              <w:bottom w:val="single" w:sz="4" w:space="0" w:color="000000"/>
              <w:right w:val="single" w:sz="4" w:space="0" w:color="000000"/>
            </w:tcBorders>
            <w:hideMark/>
          </w:tcPr>
          <w:p w:rsidR="00687D00" w:rsidRPr="00261E6C" w:rsidRDefault="00687D00" w:rsidP="00E4155A">
            <w:pPr>
              <w:widowControl w:val="0"/>
              <w:autoSpaceDE w:val="0"/>
              <w:autoSpaceDN w:val="0"/>
              <w:ind w:right="9"/>
              <w:jc w:val="both"/>
              <w:rPr>
                <w:sz w:val="22"/>
                <w:szCs w:val="22"/>
                <w:lang w:val="sr-Latn-RS" w:bidi="en-US"/>
              </w:rPr>
            </w:pPr>
            <w:r w:rsidRPr="00261E6C">
              <w:rPr>
                <w:sz w:val="22"/>
                <w:szCs w:val="22"/>
                <w:lang w:val="sr-Latn-RS" w:bidi="en-US"/>
              </w:rPr>
              <w:t>Do 72 sata u frižideru (2°C - 8°C) ili</w:t>
            </w:r>
          </w:p>
          <w:p w:rsidR="00687D00" w:rsidRPr="00261E6C" w:rsidRDefault="00687D00" w:rsidP="00E4155A">
            <w:pPr>
              <w:widowControl w:val="0"/>
              <w:autoSpaceDE w:val="0"/>
              <w:autoSpaceDN w:val="0"/>
              <w:ind w:right="9"/>
              <w:jc w:val="both"/>
              <w:rPr>
                <w:sz w:val="22"/>
                <w:szCs w:val="22"/>
                <w:lang w:val="sr-Latn-RS" w:bidi="en-US"/>
              </w:rPr>
            </w:pPr>
            <w:r w:rsidRPr="00261E6C">
              <w:rPr>
                <w:sz w:val="22"/>
                <w:szCs w:val="22"/>
                <w:lang w:val="sr-Latn-RS" w:bidi="en-US"/>
              </w:rPr>
              <w:t>do 8 sati na sobnoj temperaturi (9°C - 25°C)</w:t>
            </w:r>
          </w:p>
        </w:tc>
      </w:tr>
      <w:tr w:rsidR="00687D00" w:rsidRPr="00C2143B" w:rsidTr="00687D00">
        <w:trPr>
          <w:trHeight w:val="537"/>
        </w:trPr>
        <w:tc>
          <w:tcPr>
            <w:tcW w:w="3539" w:type="dxa"/>
            <w:tcBorders>
              <w:top w:val="single" w:sz="4" w:space="0" w:color="000000"/>
              <w:left w:val="single" w:sz="4" w:space="0" w:color="000000"/>
              <w:bottom w:val="single" w:sz="4" w:space="0" w:color="000000"/>
              <w:right w:val="single" w:sz="4" w:space="0" w:color="000000"/>
            </w:tcBorders>
            <w:hideMark/>
          </w:tcPr>
          <w:p w:rsidR="00687D00" w:rsidRPr="00261E6C" w:rsidRDefault="00687D00" w:rsidP="00E4155A">
            <w:pPr>
              <w:widowControl w:val="0"/>
              <w:autoSpaceDE w:val="0"/>
              <w:autoSpaceDN w:val="0"/>
              <w:ind w:right="9"/>
              <w:jc w:val="both"/>
              <w:rPr>
                <w:sz w:val="22"/>
                <w:szCs w:val="22"/>
                <w:lang w:val="sr-Latn-RS" w:bidi="en-US"/>
              </w:rPr>
            </w:pPr>
            <w:r w:rsidRPr="00261E6C">
              <w:rPr>
                <w:sz w:val="22"/>
                <w:szCs w:val="22"/>
                <w:lang w:val="sr-Latn-RS" w:bidi="en-US"/>
              </w:rPr>
              <w:t>5% Glukoza</w:t>
            </w:r>
          </w:p>
        </w:tc>
        <w:tc>
          <w:tcPr>
            <w:tcW w:w="5498" w:type="dxa"/>
            <w:tcBorders>
              <w:top w:val="single" w:sz="4" w:space="0" w:color="000000"/>
              <w:left w:val="single" w:sz="4" w:space="0" w:color="000000"/>
              <w:bottom w:val="single" w:sz="4" w:space="0" w:color="000000"/>
              <w:right w:val="single" w:sz="4" w:space="0" w:color="000000"/>
            </w:tcBorders>
            <w:hideMark/>
          </w:tcPr>
          <w:p w:rsidR="00687D00" w:rsidRPr="00261E6C" w:rsidRDefault="00687D00" w:rsidP="00E4155A">
            <w:pPr>
              <w:widowControl w:val="0"/>
              <w:autoSpaceDE w:val="0"/>
              <w:autoSpaceDN w:val="0"/>
              <w:ind w:right="9"/>
              <w:jc w:val="both"/>
              <w:rPr>
                <w:sz w:val="22"/>
                <w:szCs w:val="22"/>
                <w:lang w:val="sr-Latn-RS" w:bidi="en-US"/>
              </w:rPr>
            </w:pPr>
            <w:r w:rsidRPr="00261E6C">
              <w:rPr>
                <w:sz w:val="22"/>
                <w:szCs w:val="22"/>
                <w:lang w:val="sr-Latn-RS" w:bidi="en-US"/>
              </w:rPr>
              <w:t>Do 72 sata u frižideru (2°C - 8°C) ili</w:t>
            </w:r>
          </w:p>
          <w:p w:rsidR="00687D00" w:rsidRPr="00261E6C" w:rsidRDefault="00687D00" w:rsidP="00E4155A">
            <w:pPr>
              <w:widowControl w:val="0"/>
              <w:autoSpaceDE w:val="0"/>
              <w:autoSpaceDN w:val="0"/>
              <w:ind w:right="9"/>
              <w:jc w:val="both"/>
              <w:rPr>
                <w:sz w:val="22"/>
                <w:szCs w:val="22"/>
                <w:lang w:val="sr-Latn-RS" w:bidi="en-US"/>
              </w:rPr>
            </w:pPr>
            <w:r w:rsidRPr="00261E6C">
              <w:rPr>
                <w:sz w:val="22"/>
                <w:szCs w:val="22"/>
                <w:lang w:val="sr-Latn-RS" w:bidi="en-US"/>
              </w:rPr>
              <w:t>do 8 sati na sobnoj temperaturi (9°C - 25°C)</w:t>
            </w:r>
          </w:p>
        </w:tc>
      </w:tr>
    </w:tbl>
    <w:p w:rsidR="00687D00" w:rsidRPr="00261E6C" w:rsidRDefault="00687D00" w:rsidP="00E4155A">
      <w:pPr>
        <w:widowControl w:val="0"/>
        <w:autoSpaceDE w:val="0"/>
        <w:autoSpaceDN w:val="0"/>
        <w:ind w:right="9"/>
        <w:jc w:val="both"/>
        <w:rPr>
          <w:bCs/>
          <w:sz w:val="22"/>
          <w:szCs w:val="22"/>
          <w:lang w:val="sr-Latn-RS" w:bidi="en-US"/>
        </w:rPr>
      </w:pPr>
      <w:r w:rsidRPr="00261E6C">
        <w:rPr>
          <w:sz w:val="22"/>
          <w:szCs w:val="22"/>
          <w:vertAlign w:val="superscript"/>
          <w:lang w:val="sr-Latn-RS" w:bidi="en-US"/>
        </w:rPr>
        <w:t xml:space="preserve">1 </w:t>
      </w:r>
      <w:r w:rsidRPr="00261E6C">
        <w:rPr>
          <w:sz w:val="22"/>
          <w:szCs w:val="22"/>
          <w:lang w:val="sr-Latn-RS" w:bidi="en-US"/>
        </w:rPr>
        <w:t>Kako bi se osigurala stabilnost proizvoda, ne treba premašivati navedena vremena čuvanja.</w:t>
      </w:r>
    </w:p>
    <w:p w:rsidR="004723AA" w:rsidRPr="00261E6C" w:rsidRDefault="004723AA" w:rsidP="00E4155A">
      <w:pPr>
        <w:widowControl w:val="0"/>
        <w:autoSpaceDE w:val="0"/>
        <w:autoSpaceDN w:val="0"/>
        <w:ind w:right="9"/>
        <w:jc w:val="both"/>
        <w:rPr>
          <w:b/>
          <w:bCs/>
          <w:sz w:val="22"/>
          <w:szCs w:val="22"/>
          <w:lang w:val="sr-Latn-RS" w:bidi="en-US"/>
        </w:rPr>
      </w:pPr>
    </w:p>
    <w:p w:rsidR="00687D00" w:rsidRPr="00261E6C" w:rsidRDefault="00687D00" w:rsidP="00E4155A">
      <w:pPr>
        <w:widowControl w:val="0"/>
        <w:autoSpaceDE w:val="0"/>
        <w:autoSpaceDN w:val="0"/>
        <w:ind w:right="9"/>
        <w:jc w:val="both"/>
        <w:rPr>
          <w:b/>
          <w:bCs/>
          <w:sz w:val="22"/>
          <w:szCs w:val="22"/>
          <w:lang w:val="sr-Latn-RS" w:bidi="en-US"/>
        </w:rPr>
      </w:pPr>
      <w:r w:rsidRPr="00261E6C">
        <w:rPr>
          <w:b/>
          <w:bCs/>
          <w:sz w:val="22"/>
          <w:szCs w:val="22"/>
          <w:lang w:val="sr-Latn-RS" w:bidi="en-US"/>
        </w:rPr>
        <w:t xml:space="preserve">6.4. </w:t>
      </w:r>
      <w:r w:rsidRPr="00261E6C">
        <w:rPr>
          <w:b/>
          <w:bCs/>
          <w:sz w:val="22"/>
          <w:szCs w:val="22"/>
          <w:lang w:val="sr-Latn-RS" w:bidi="en-US"/>
        </w:rPr>
        <w:tab/>
        <w:t>Posebne mjere upozorenja pri čuvanju lijeka</w:t>
      </w:r>
    </w:p>
    <w:p w:rsidR="00687D00" w:rsidRPr="00261E6C" w:rsidRDefault="00687D00" w:rsidP="00433FEA">
      <w:pPr>
        <w:widowControl w:val="0"/>
        <w:autoSpaceDE w:val="0"/>
        <w:autoSpaceDN w:val="0"/>
        <w:ind w:right="9"/>
        <w:jc w:val="both"/>
        <w:rPr>
          <w:bCs/>
          <w:sz w:val="22"/>
          <w:szCs w:val="22"/>
          <w:lang w:val="sr-Latn-RS" w:bidi="en-US"/>
        </w:rPr>
      </w:pPr>
    </w:p>
    <w:p w:rsidR="00687D00" w:rsidRPr="00261E6C" w:rsidRDefault="00687D00" w:rsidP="0015550A">
      <w:pPr>
        <w:widowControl w:val="0"/>
        <w:autoSpaceDE w:val="0"/>
        <w:autoSpaceDN w:val="0"/>
        <w:ind w:right="9"/>
        <w:jc w:val="both"/>
        <w:rPr>
          <w:sz w:val="22"/>
          <w:szCs w:val="22"/>
          <w:lang w:val="sr-Latn-RS" w:bidi="en-US"/>
        </w:rPr>
      </w:pPr>
      <w:r w:rsidRPr="00261E6C">
        <w:rPr>
          <w:sz w:val="22"/>
          <w:szCs w:val="22"/>
          <w:lang w:val="sr-Latn-RS" w:bidi="en-US"/>
        </w:rPr>
        <w:t>Čuvati u frižideru (2°C do 8°C). Ne zamrzavati.</w:t>
      </w: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Bočicu čuvati u spoljašnjem kartonskom pakovanju radi zaštite od svjetlosti.</w:t>
      </w: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Za uslove čuvanja nakon rekonstituisanja i razblaživanja lijeka pogledajte dio 6.3.</w:t>
      </w:r>
    </w:p>
    <w:p w:rsidR="00687D00" w:rsidRPr="00261E6C" w:rsidRDefault="00687D00">
      <w:pPr>
        <w:widowControl w:val="0"/>
        <w:autoSpaceDE w:val="0"/>
        <w:autoSpaceDN w:val="0"/>
        <w:ind w:right="9"/>
        <w:jc w:val="both"/>
        <w:rPr>
          <w:bCs/>
          <w:sz w:val="22"/>
          <w:szCs w:val="22"/>
          <w:lang w:val="sr-Latn-RS" w:bidi="en-US"/>
        </w:rPr>
      </w:pPr>
    </w:p>
    <w:p w:rsidR="00687D00" w:rsidRPr="00261E6C" w:rsidRDefault="00687D00">
      <w:pPr>
        <w:widowControl w:val="0"/>
        <w:autoSpaceDE w:val="0"/>
        <w:autoSpaceDN w:val="0"/>
        <w:ind w:right="9"/>
        <w:jc w:val="both"/>
        <w:rPr>
          <w:b/>
          <w:bCs/>
          <w:sz w:val="22"/>
          <w:szCs w:val="22"/>
          <w:lang w:val="sr-Latn-RS" w:bidi="en-US"/>
        </w:rPr>
      </w:pPr>
      <w:r w:rsidRPr="00261E6C">
        <w:rPr>
          <w:b/>
          <w:bCs/>
          <w:sz w:val="22"/>
          <w:szCs w:val="22"/>
          <w:lang w:val="sr-Latn-RS" w:bidi="en-US"/>
        </w:rPr>
        <w:t xml:space="preserve">6.5. </w:t>
      </w:r>
      <w:r w:rsidRPr="00261E6C">
        <w:rPr>
          <w:b/>
          <w:bCs/>
          <w:sz w:val="22"/>
          <w:szCs w:val="22"/>
          <w:lang w:val="sr-Latn-RS" w:bidi="en-US"/>
        </w:rPr>
        <w:tab/>
        <w:t xml:space="preserve">Vrsta i sadržaj pakovanja </w:t>
      </w:r>
    </w:p>
    <w:p w:rsidR="00687D00" w:rsidRPr="00261E6C" w:rsidRDefault="00687D00">
      <w:pPr>
        <w:widowControl w:val="0"/>
        <w:autoSpaceDE w:val="0"/>
        <w:autoSpaceDN w:val="0"/>
        <w:ind w:right="9"/>
        <w:jc w:val="both"/>
        <w:rPr>
          <w:bCs/>
          <w:sz w:val="22"/>
          <w:szCs w:val="22"/>
          <w:lang w:val="sr-Latn-RS" w:bidi="en-US"/>
        </w:rPr>
      </w:pPr>
    </w:p>
    <w:p w:rsidR="00687D00" w:rsidRPr="00261E6C" w:rsidRDefault="00687D00">
      <w:pPr>
        <w:jc w:val="both"/>
        <w:rPr>
          <w:sz w:val="22"/>
          <w:szCs w:val="22"/>
          <w:lang w:val="sr-Latn-RS"/>
        </w:rPr>
      </w:pPr>
      <w:r w:rsidRPr="00261E6C">
        <w:rPr>
          <w:sz w:val="22"/>
          <w:szCs w:val="22"/>
          <w:lang w:val="sr-Latn-RS"/>
        </w:rPr>
        <w:t>Polivy, 30 mg, prašak za koncentrat za rastvor za infuziju:</w:t>
      </w: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Bočica od 6 ml (bezbojno staklo tipa 1) zatvorena zapušačem (fluororezin laminat), sa aluminijumskim zatvaračem sa plastičnim poklopcem koji se skida, a koja sadrži 30 mg polatuzumab vedotina. Pakovanje sadrži jednu bočicu.</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jc w:val="both"/>
        <w:rPr>
          <w:sz w:val="22"/>
          <w:szCs w:val="22"/>
          <w:lang w:val="sr-Latn-RS"/>
        </w:rPr>
      </w:pPr>
      <w:r w:rsidRPr="00261E6C">
        <w:rPr>
          <w:sz w:val="22"/>
          <w:szCs w:val="22"/>
          <w:lang w:val="sr-Latn-RS"/>
        </w:rPr>
        <w:t>Polivy, 140 mg, prašak za koncentrat za rastvor za infuziju:</w:t>
      </w:r>
    </w:p>
    <w:p w:rsidR="00687D00" w:rsidRPr="00261E6C" w:rsidRDefault="00687D00">
      <w:pPr>
        <w:jc w:val="both"/>
        <w:rPr>
          <w:sz w:val="22"/>
          <w:szCs w:val="22"/>
          <w:lang w:val="sr-Latn-RS"/>
        </w:rPr>
      </w:pPr>
      <w:r w:rsidRPr="00261E6C">
        <w:rPr>
          <w:sz w:val="22"/>
          <w:szCs w:val="22"/>
          <w:lang w:val="sr-Latn-RS"/>
        </w:rPr>
        <w:t>Bočica od 20 ml (bezbojno staklo tipa 1) zatvorena zapušačem (fluororezin laminat), sa aluminijumskim zatvaračem sa plastičnim poklopcem koji se skida, a koja sadrži 140 mg polatuzumab vedotina. Pakovanje sadrži jednu bočicu.</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ind w:right="9"/>
        <w:jc w:val="both"/>
        <w:rPr>
          <w:bCs/>
          <w:sz w:val="22"/>
          <w:szCs w:val="22"/>
          <w:lang w:val="sr-Latn-RS" w:bidi="en-US"/>
        </w:rPr>
      </w:pPr>
    </w:p>
    <w:p w:rsidR="00687D00" w:rsidRPr="00261E6C" w:rsidRDefault="00687D00">
      <w:pPr>
        <w:widowControl w:val="0"/>
        <w:autoSpaceDE w:val="0"/>
        <w:autoSpaceDN w:val="0"/>
        <w:ind w:right="9"/>
        <w:jc w:val="both"/>
        <w:rPr>
          <w:b/>
          <w:bCs/>
          <w:sz w:val="22"/>
          <w:szCs w:val="22"/>
          <w:lang w:val="sr-Latn-RS" w:bidi="en-US"/>
        </w:rPr>
      </w:pPr>
      <w:r w:rsidRPr="00261E6C">
        <w:rPr>
          <w:b/>
          <w:bCs/>
          <w:sz w:val="22"/>
          <w:szCs w:val="22"/>
          <w:lang w:val="sr-Latn-RS" w:bidi="en-US"/>
        </w:rPr>
        <w:t xml:space="preserve">6.6. </w:t>
      </w:r>
      <w:r w:rsidRPr="00261E6C">
        <w:rPr>
          <w:b/>
          <w:bCs/>
          <w:sz w:val="22"/>
          <w:szCs w:val="22"/>
          <w:lang w:val="sr-Latn-RS" w:bidi="en-US"/>
        </w:rPr>
        <w:tab/>
        <w:t xml:space="preserve">Posebne mjere opreza pri odlaganju materijala koji treba odbaciti nakon primjene lijeka (i druga uputstva za rukovanje lijekom) </w:t>
      </w:r>
    </w:p>
    <w:p w:rsidR="00687D00" w:rsidRPr="00261E6C" w:rsidRDefault="00687D00">
      <w:pPr>
        <w:widowControl w:val="0"/>
        <w:autoSpaceDE w:val="0"/>
        <w:autoSpaceDN w:val="0"/>
        <w:ind w:right="9"/>
        <w:jc w:val="both"/>
        <w:rPr>
          <w:b/>
          <w:bCs/>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sz w:val="22"/>
          <w:szCs w:val="22"/>
          <w:u w:val="single"/>
          <w:lang w:val="sr-Latn-RS" w:bidi="en-US"/>
        </w:rPr>
        <w:t>Opšte mjere opreza</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 xml:space="preserve">Lijek Polivy sadrži citotoksičnu komponentu. Mora se primjenjivati pod nadzorom ljekara sa iskustvom </w:t>
      </w:r>
      <w:r w:rsidRPr="00261E6C">
        <w:rPr>
          <w:sz w:val="22"/>
          <w:szCs w:val="22"/>
          <w:lang w:val="sr-Latn-RS" w:bidi="en-US"/>
        </w:rPr>
        <w:lastRenderedPageBreak/>
        <w:t>u primjeni citotoksičnih agenasa. Potrebno je pridržavati se postupaka za pravilno rukovanje i odlaganje antineoplastičnih i citotoksičnih ljekova.</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Rekonstituisani lijek ne sadrži konzervanse i namijenjen je samo za jednu dozu. Potrebno je pridržavati se pravilne aseptične tehnike prilikom rukovanja ovim lijekom.</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Lijek Polivy mora se rekonstituisati primjenom sterilne vode za injekciju i razblažiti u kesi za intravensku infuziju koja sadrži rastvor natrijum hlorida 9 mg/ml (0,9%) za injekciju ili rastvor natrijum hlorida 4,5 mg/ml (0,45%) za injekciju</w:t>
      </w:r>
      <w:r w:rsidR="0083301E" w:rsidRPr="00C2143B">
        <w:rPr>
          <w:sz w:val="22"/>
          <w:szCs w:val="22"/>
          <w:lang w:val="sr-Latn-RS" w:bidi="en-US"/>
        </w:rPr>
        <w:t xml:space="preserve"> </w:t>
      </w:r>
      <w:r w:rsidRPr="00261E6C">
        <w:rPr>
          <w:sz w:val="22"/>
          <w:szCs w:val="22"/>
          <w:lang w:val="sr-Latn-RS" w:bidi="en-US"/>
        </w:rPr>
        <w:t>ili 5% glukoze prije primjene.</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 xml:space="preserve">Rekonstituisani rastvor i rastvor za infuziju ne treba zamrzavati ili izlagati direktnoj sunčevoj svjetlosti. </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ind w:right="9"/>
        <w:jc w:val="both"/>
        <w:rPr>
          <w:sz w:val="22"/>
          <w:szCs w:val="22"/>
          <w:u w:val="single"/>
          <w:lang w:val="sr-Latn-RS" w:bidi="en-US"/>
        </w:rPr>
      </w:pPr>
      <w:r w:rsidRPr="00261E6C">
        <w:rPr>
          <w:sz w:val="22"/>
          <w:szCs w:val="22"/>
          <w:u w:val="single"/>
          <w:lang w:val="sr-Latn-RS" w:bidi="en-US"/>
        </w:rPr>
        <w:t>Uputstva za rekonstituisanje</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jc w:val="both"/>
        <w:rPr>
          <w:sz w:val="22"/>
          <w:szCs w:val="22"/>
          <w:lang w:val="sr-Latn-RS"/>
        </w:rPr>
      </w:pPr>
      <w:r w:rsidRPr="00261E6C">
        <w:rPr>
          <w:sz w:val="22"/>
          <w:szCs w:val="22"/>
          <w:lang w:val="sr-Latn-RS"/>
        </w:rPr>
        <w:t>Lijek Polivy, 30 mg, prašak za koncentrat za rastvor za infuziju:</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1.</w:t>
      </w:r>
      <w:r w:rsidRPr="00261E6C">
        <w:rPr>
          <w:sz w:val="22"/>
          <w:szCs w:val="22"/>
          <w:lang w:val="sr-Latn-RS" w:bidi="en-US"/>
        </w:rPr>
        <w:tab/>
        <w:t>Sterilnim špricem polako ubrizgajte 1,8 ml sterilne vode za injekciju u bočicu sa 30 mg lijeka Polivy kako biste dobili rastvor za jednu dozu koji sadrži 20 mg/ml polatuzumab vedotina. Usmjerite tok ka zidu bočice, a ne direktno u liofilizovane grudvice.</w:t>
      </w: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2.</w:t>
      </w:r>
      <w:r w:rsidRPr="00261E6C">
        <w:rPr>
          <w:sz w:val="22"/>
          <w:szCs w:val="22"/>
          <w:lang w:val="sr-Latn-RS" w:bidi="en-US"/>
        </w:rPr>
        <w:tab/>
        <w:t>Vrtite polako bočicu dok se grudvice kompletno ne rastvore. Ne mućkajte.</w:t>
      </w: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3.</w:t>
      </w:r>
      <w:r w:rsidRPr="00261E6C">
        <w:rPr>
          <w:sz w:val="22"/>
          <w:szCs w:val="22"/>
          <w:lang w:val="sr-Latn-RS" w:bidi="en-US"/>
        </w:rPr>
        <w:tab/>
        <w:t>Pregledajte da li u rekonstituisanom rastvoru postoji promjena boje i prisustvo čestica. Rekonstituisani rastvor treba da bude bezbojan do svijetlosmeđ, bistar do blago opalescentan i da u njemu ne bude vidljivih čestica. Nemojte koristiti ukoliko je rekonstituisani rastvor promijenio boju, zamućen je ili sadrži vidljive čestice.</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jc w:val="both"/>
        <w:rPr>
          <w:sz w:val="22"/>
          <w:szCs w:val="22"/>
          <w:lang w:val="sr-Latn-RS"/>
        </w:rPr>
      </w:pPr>
      <w:r w:rsidRPr="00261E6C">
        <w:rPr>
          <w:sz w:val="22"/>
          <w:szCs w:val="22"/>
          <w:lang w:val="sr-Latn-RS"/>
        </w:rPr>
        <w:t>Lijek Polivy, 140 mg, prašak za koncentrat za rastvor za infuziju:</w:t>
      </w:r>
    </w:p>
    <w:p w:rsidR="00687D00" w:rsidRPr="00261E6C" w:rsidRDefault="00687D00">
      <w:pPr>
        <w:jc w:val="both"/>
        <w:rPr>
          <w:sz w:val="22"/>
          <w:szCs w:val="22"/>
          <w:lang w:val="sr-Latn-RS"/>
        </w:rPr>
      </w:pPr>
    </w:p>
    <w:p w:rsidR="00687D00" w:rsidRPr="00261E6C" w:rsidRDefault="00687D00">
      <w:pPr>
        <w:jc w:val="both"/>
        <w:rPr>
          <w:sz w:val="22"/>
          <w:szCs w:val="22"/>
          <w:lang w:val="sr-Latn-RS"/>
        </w:rPr>
      </w:pPr>
      <w:r w:rsidRPr="00261E6C">
        <w:rPr>
          <w:sz w:val="22"/>
          <w:szCs w:val="22"/>
          <w:lang w:val="sr-Latn-RS"/>
        </w:rPr>
        <w:t>1.</w:t>
      </w:r>
      <w:r w:rsidRPr="00261E6C">
        <w:rPr>
          <w:sz w:val="22"/>
          <w:szCs w:val="22"/>
          <w:lang w:val="sr-Latn-RS"/>
        </w:rPr>
        <w:tab/>
        <w:t>Sterilnim špricem polako ubrizgajte 7,2 ml sterilne vode za injekciju u bočicu sa 140 mg lijeka Polivy kako biste dobili rastvor za jednu dozu koji sadrži 20 mg/ml polatuzumab vedotina. Usmjerite tok ka zidu bočice, a ne direktno u liofilizovane grudvice.</w:t>
      </w:r>
    </w:p>
    <w:p w:rsidR="00687D00" w:rsidRPr="00261E6C" w:rsidRDefault="00687D00">
      <w:pPr>
        <w:jc w:val="both"/>
        <w:rPr>
          <w:sz w:val="22"/>
          <w:szCs w:val="22"/>
          <w:lang w:val="sr-Latn-RS"/>
        </w:rPr>
      </w:pPr>
      <w:r w:rsidRPr="00261E6C">
        <w:rPr>
          <w:sz w:val="22"/>
          <w:szCs w:val="22"/>
          <w:lang w:val="sr-Latn-RS"/>
        </w:rPr>
        <w:t>2.</w:t>
      </w:r>
      <w:r w:rsidRPr="00261E6C">
        <w:rPr>
          <w:sz w:val="22"/>
          <w:szCs w:val="22"/>
          <w:lang w:val="sr-Latn-RS"/>
        </w:rPr>
        <w:tab/>
        <w:t>Vrtite polako bočicu dok se grudvice kompletno ne rastvore. Ne mućkajte.</w:t>
      </w:r>
    </w:p>
    <w:p w:rsidR="00687D00" w:rsidRPr="00261E6C" w:rsidRDefault="00687D00">
      <w:pPr>
        <w:jc w:val="both"/>
        <w:rPr>
          <w:sz w:val="22"/>
          <w:szCs w:val="22"/>
          <w:lang w:val="sr-Latn-RS"/>
        </w:rPr>
      </w:pPr>
      <w:r w:rsidRPr="00261E6C">
        <w:rPr>
          <w:sz w:val="22"/>
          <w:szCs w:val="22"/>
          <w:lang w:val="sr-Latn-RS"/>
        </w:rPr>
        <w:t>3.</w:t>
      </w:r>
      <w:r w:rsidRPr="00261E6C">
        <w:rPr>
          <w:sz w:val="22"/>
          <w:szCs w:val="22"/>
          <w:lang w:val="sr-Latn-RS"/>
        </w:rPr>
        <w:tab/>
        <w:t>Pregledajte da li u rekonstituisanom rastvoru postoji promjena boje i prisustvo čestica. Rekonstituisani rastvor treba da bude bezbojan do svijetlosmeđ, bistar do blago opalescentan i da u njemu ne bude vidljivih čestica. Nemojte koristiti ukoliko je rekonstituisani rastvor promijenio boju, zamućen je ili sadrži vidljive čestice.</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sz w:val="22"/>
          <w:szCs w:val="22"/>
          <w:u w:val="single"/>
          <w:lang w:val="sr-Latn-RS" w:bidi="en-US"/>
        </w:rPr>
        <w:t>Uputstva za razblaživanje</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widowControl w:val="0"/>
        <w:numPr>
          <w:ilvl w:val="0"/>
          <w:numId w:val="15"/>
        </w:numPr>
        <w:autoSpaceDE w:val="0"/>
        <w:autoSpaceDN w:val="0"/>
        <w:ind w:right="9"/>
        <w:jc w:val="both"/>
        <w:rPr>
          <w:sz w:val="22"/>
          <w:szCs w:val="22"/>
          <w:lang w:val="sr-Latn-RS" w:bidi="en-US"/>
        </w:rPr>
      </w:pPr>
      <w:r w:rsidRPr="00261E6C">
        <w:rPr>
          <w:sz w:val="22"/>
          <w:szCs w:val="22"/>
          <w:lang w:val="sr-Latn-RS" w:bidi="en-US"/>
        </w:rPr>
        <w:t>Lijek Polivy mora se rekonstituisati do konačne koncentracije od 0,72 do 2,7 mg/ml u kesi za intravensku infuziju minimalne zapremine 50 ml koja sadrži rastvor natrijum hlorida 9 mg/ml za injekciju, ili rastvor natrijum hlorida 4,5 mg/ml za injekciju ili 5% glukoze.</w:t>
      </w:r>
    </w:p>
    <w:p w:rsidR="00687D00" w:rsidRPr="00261E6C" w:rsidRDefault="00687D00">
      <w:pPr>
        <w:widowControl w:val="0"/>
        <w:numPr>
          <w:ilvl w:val="0"/>
          <w:numId w:val="15"/>
        </w:numPr>
        <w:autoSpaceDE w:val="0"/>
        <w:autoSpaceDN w:val="0"/>
        <w:ind w:right="9"/>
        <w:jc w:val="both"/>
        <w:rPr>
          <w:sz w:val="22"/>
          <w:szCs w:val="22"/>
          <w:lang w:val="sr-Latn-RS" w:bidi="en-US"/>
        </w:rPr>
      </w:pPr>
      <w:r w:rsidRPr="00261E6C">
        <w:rPr>
          <w:sz w:val="22"/>
          <w:szCs w:val="22"/>
          <w:lang w:val="sr-Latn-RS" w:bidi="en-US"/>
        </w:rPr>
        <w:t>Odrediti potrebnu zapreminu rekonstituisanog rastvora 20 mg/ml na osnovu potrebne doze (pogledajte u nastavku):</w:t>
      </w:r>
    </w:p>
    <w:p w:rsidR="00687D00" w:rsidRPr="00261E6C" w:rsidRDefault="00687D00">
      <w:pPr>
        <w:widowControl w:val="0"/>
        <w:autoSpaceDE w:val="0"/>
        <w:autoSpaceDN w:val="0"/>
        <w:ind w:left="783" w:right="9"/>
        <w:jc w:val="both"/>
        <w:rPr>
          <w:sz w:val="22"/>
          <w:szCs w:val="22"/>
          <w:lang w:val="sr-Latn-RS" w:bidi="en-US"/>
        </w:rPr>
      </w:pPr>
    </w:p>
    <w:tbl>
      <w:tblPr>
        <w:tblW w:w="9450" w:type="dxa"/>
        <w:tblLook w:val="04A0" w:firstRow="1" w:lastRow="0" w:firstColumn="1" w:lastColumn="0" w:noHBand="0" w:noVBand="1"/>
      </w:tblPr>
      <w:tblGrid>
        <w:gridCol w:w="4395"/>
        <w:gridCol w:w="4695"/>
        <w:gridCol w:w="360"/>
      </w:tblGrid>
      <w:tr w:rsidR="00687D00" w:rsidRPr="00261E6C" w:rsidTr="00261E6C">
        <w:trPr>
          <w:gridAfter w:val="1"/>
          <w:wAfter w:w="360" w:type="dxa"/>
          <w:trHeight w:val="58"/>
        </w:trPr>
        <w:tc>
          <w:tcPr>
            <w:tcW w:w="4395" w:type="dxa"/>
            <w:vMerge w:val="restart"/>
            <w:shd w:val="clear" w:color="auto" w:fill="auto"/>
            <w:vAlign w:val="center"/>
            <w:hideMark/>
          </w:tcPr>
          <w:p w:rsidR="00687D00" w:rsidRPr="00261E6C" w:rsidRDefault="00687D00">
            <w:pPr>
              <w:jc w:val="both"/>
              <w:rPr>
                <w:sz w:val="22"/>
                <w:szCs w:val="22"/>
                <w:lang w:val="sr-Latn-RS" w:eastAsia="ja-JP"/>
              </w:rPr>
            </w:pPr>
            <w:r w:rsidRPr="00261E6C">
              <w:rPr>
                <w:sz w:val="22"/>
                <w:szCs w:val="22"/>
                <w:lang w:val="sr-Latn-RS" w:eastAsia="ja-JP"/>
              </w:rPr>
              <w:t xml:space="preserve">Ukupna doza lijeka Polivy (ml) koja se dalje </w:t>
            </w:r>
            <w:r w:rsidR="00883F9B" w:rsidRPr="00C2143B">
              <w:rPr>
                <w:sz w:val="22"/>
                <w:szCs w:val="22"/>
                <w:lang w:val="sr-Latn-RS" w:eastAsia="ja-JP"/>
              </w:rPr>
              <w:t xml:space="preserve"> </w:t>
            </w:r>
            <w:r w:rsidRPr="00261E6C">
              <w:rPr>
                <w:sz w:val="22"/>
                <w:szCs w:val="22"/>
                <w:lang w:val="sr-Latn-RS" w:eastAsia="ja-JP"/>
              </w:rPr>
              <w:t>razblažuje =</w:t>
            </w:r>
          </w:p>
        </w:tc>
        <w:tc>
          <w:tcPr>
            <w:tcW w:w="4695" w:type="dxa"/>
            <w:shd w:val="clear" w:color="auto" w:fill="auto"/>
            <w:hideMark/>
          </w:tcPr>
          <w:p w:rsidR="00687D00" w:rsidRPr="00261E6C" w:rsidRDefault="00687D00">
            <w:pPr>
              <w:jc w:val="both"/>
              <w:rPr>
                <w:sz w:val="22"/>
                <w:szCs w:val="22"/>
                <w:u w:val="single"/>
                <w:lang w:val="sr-Latn-RS" w:eastAsia="ja-JP"/>
              </w:rPr>
            </w:pPr>
            <w:r w:rsidRPr="00261E6C">
              <w:rPr>
                <w:sz w:val="22"/>
                <w:szCs w:val="22"/>
                <w:u w:val="single"/>
                <w:lang w:val="sr-Latn-RS" w:eastAsia="ja-JP"/>
              </w:rPr>
              <w:t>Doza lijeka Polivy (mg/kg) X tjelesna masa pacijenta (kg)</w:t>
            </w:r>
          </w:p>
        </w:tc>
      </w:tr>
      <w:tr w:rsidR="00687D00" w:rsidRPr="00261E6C" w:rsidTr="00261E6C">
        <w:tc>
          <w:tcPr>
            <w:tcW w:w="4395" w:type="dxa"/>
            <w:vMerge/>
            <w:shd w:val="clear" w:color="auto" w:fill="auto"/>
            <w:vAlign w:val="center"/>
            <w:hideMark/>
          </w:tcPr>
          <w:p w:rsidR="00687D00" w:rsidRPr="00261E6C" w:rsidRDefault="00687D00">
            <w:pPr>
              <w:jc w:val="both"/>
              <w:rPr>
                <w:sz w:val="22"/>
                <w:szCs w:val="22"/>
                <w:lang w:val="sr-Latn-RS" w:eastAsia="ja-JP"/>
              </w:rPr>
            </w:pPr>
          </w:p>
        </w:tc>
        <w:tc>
          <w:tcPr>
            <w:tcW w:w="5055" w:type="dxa"/>
            <w:gridSpan w:val="2"/>
            <w:shd w:val="clear" w:color="auto" w:fill="auto"/>
            <w:hideMark/>
          </w:tcPr>
          <w:p w:rsidR="00687D00" w:rsidRPr="00261E6C" w:rsidRDefault="00687D00">
            <w:pPr>
              <w:jc w:val="both"/>
              <w:rPr>
                <w:sz w:val="22"/>
                <w:szCs w:val="22"/>
                <w:lang w:val="sr-Latn-RS" w:eastAsia="ja-JP"/>
              </w:rPr>
            </w:pPr>
            <w:r w:rsidRPr="00261E6C">
              <w:rPr>
                <w:sz w:val="22"/>
                <w:szCs w:val="22"/>
                <w:lang w:val="sr-Latn-RS" w:eastAsia="ja-JP"/>
              </w:rPr>
              <w:t>Rekonstituisana zapremina u bočici (20 mg/ml)</w:t>
            </w:r>
          </w:p>
        </w:tc>
      </w:tr>
    </w:tbl>
    <w:p w:rsidR="00687D00" w:rsidRPr="00261E6C" w:rsidRDefault="00687D00" w:rsidP="00E4155A">
      <w:pPr>
        <w:widowControl w:val="0"/>
        <w:autoSpaceDE w:val="0"/>
        <w:autoSpaceDN w:val="0"/>
        <w:ind w:right="9"/>
        <w:jc w:val="both"/>
        <w:rPr>
          <w:sz w:val="22"/>
          <w:szCs w:val="22"/>
          <w:lang w:val="sr-Latn-RS" w:bidi="en-US"/>
        </w:rPr>
      </w:pPr>
    </w:p>
    <w:p w:rsidR="00687D00" w:rsidRPr="00261E6C" w:rsidRDefault="00687D00" w:rsidP="00E4155A">
      <w:pPr>
        <w:widowControl w:val="0"/>
        <w:numPr>
          <w:ilvl w:val="0"/>
          <w:numId w:val="15"/>
        </w:numPr>
        <w:autoSpaceDE w:val="0"/>
        <w:autoSpaceDN w:val="0"/>
        <w:ind w:right="9"/>
        <w:jc w:val="both"/>
        <w:rPr>
          <w:sz w:val="22"/>
          <w:szCs w:val="22"/>
          <w:lang w:val="sr-Latn-RS" w:bidi="en-US"/>
        </w:rPr>
      </w:pPr>
      <w:r w:rsidRPr="00261E6C">
        <w:rPr>
          <w:sz w:val="22"/>
          <w:szCs w:val="22"/>
          <w:lang w:val="sr-Latn-RS" w:bidi="en-US"/>
        </w:rPr>
        <w:t>Izvucite potrebnu zapreminu rekonstituisanog rastvora iz bočice lijeka Polivy sterilnim špricem i razblažite u kesi za intravensku infuziju. Bacite sve što je ostalo u bočici.</w:t>
      </w:r>
    </w:p>
    <w:p w:rsidR="00687D00" w:rsidRPr="00261E6C" w:rsidRDefault="00687D00" w:rsidP="00E4155A">
      <w:pPr>
        <w:widowControl w:val="0"/>
        <w:numPr>
          <w:ilvl w:val="0"/>
          <w:numId w:val="15"/>
        </w:numPr>
        <w:autoSpaceDE w:val="0"/>
        <w:autoSpaceDN w:val="0"/>
        <w:ind w:right="9"/>
        <w:jc w:val="both"/>
        <w:rPr>
          <w:sz w:val="22"/>
          <w:szCs w:val="22"/>
          <w:lang w:val="sr-Latn-RS" w:bidi="en-US"/>
        </w:rPr>
      </w:pPr>
      <w:r w:rsidRPr="00261E6C">
        <w:rPr>
          <w:sz w:val="22"/>
          <w:szCs w:val="22"/>
          <w:lang w:val="sr-Latn-RS" w:bidi="en-US"/>
        </w:rPr>
        <w:t>Lagano promiješajte sadržaj kese za intravensku infuziju polako okrećući kesu. Ne mućkajte.</w:t>
      </w:r>
    </w:p>
    <w:p w:rsidR="00687D00" w:rsidRPr="00261E6C" w:rsidRDefault="00687D00" w:rsidP="00433FEA">
      <w:pPr>
        <w:widowControl w:val="0"/>
        <w:numPr>
          <w:ilvl w:val="0"/>
          <w:numId w:val="15"/>
        </w:numPr>
        <w:autoSpaceDE w:val="0"/>
        <w:autoSpaceDN w:val="0"/>
        <w:ind w:right="9"/>
        <w:jc w:val="both"/>
        <w:rPr>
          <w:sz w:val="22"/>
          <w:szCs w:val="22"/>
          <w:lang w:val="sr-Latn-RS" w:bidi="en-US"/>
        </w:rPr>
      </w:pPr>
      <w:r w:rsidRPr="00261E6C">
        <w:rPr>
          <w:sz w:val="22"/>
          <w:szCs w:val="22"/>
          <w:lang w:val="sr-Latn-RS" w:bidi="en-US"/>
        </w:rPr>
        <w:t>Provjerite da li u kesi za intravensku infuziju postoje čestice i bacite je ako postoje.</w:t>
      </w:r>
    </w:p>
    <w:p w:rsidR="00687D00" w:rsidRPr="00261E6C" w:rsidRDefault="00687D00" w:rsidP="0015550A">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 xml:space="preserve">Izbjegavajte transport pripremljenog rastvora za infuziju jer prekomjerno pomjeranje može da dovede do agregacije. Ukoliko će pripremljeni rastvor da se transportuje, izbacite vazduh iz kese za infuziju i </w:t>
      </w:r>
      <w:r w:rsidRPr="00261E6C">
        <w:rPr>
          <w:sz w:val="22"/>
          <w:szCs w:val="22"/>
          <w:lang w:val="sr-Latn-RS" w:bidi="en-US"/>
        </w:rPr>
        <w:lastRenderedPageBreak/>
        <w:t>ograničite transport na 30 minuta na sobnoj temperaturi (9°C - 25°C) ili 24 sata u frižideru (2°C - 8°C). Ukoliko je vazduh uklonjen, potreban je set za infuziju sa regulatorom oticanja rastvora kako bi se obezbijedilo precizno doziranje tokom infuzije. Ukupna vremena skladištenja i transporta razblaženog lijeka ne treba da budu duž</w:t>
      </w:r>
      <w:r w:rsidR="00883F9B" w:rsidRPr="00C2143B">
        <w:rPr>
          <w:sz w:val="22"/>
          <w:szCs w:val="22"/>
          <w:lang w:val="sr-Latn-RS" w:bidi="en-US"/>
        </w:rPr>
        <w:t>i</w:t>
      </w:r>
      <w:r w:rsidRPr="00261E6C">
        <w:rPr>
          <w:sz w:val="22"/>
          <w:szCs w:val="22"/>
          <w:lang w:val="sr-Latn-RS" w:bidi="en-US"/>
        </w:rPr>
        <w:t xml:space="preserve"> od vremenskog perioda čuvanja navedenog u Tabeli 6 (vidjeti dio 6.3).</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Lijek Polivy se mora primjeniti kroz posebnu infuzionu liniju opremljenu sterilnim, apirogenim, ugrađenim ili pričvr</w:t>
      </w:r>
      <w:r w:rsidR="00883F9B" w:rsidRPr="00C2143B">
        <w:rPr>
          <w:sz w:val="22"/>
          <w:szCs w:val="22"/>
          <w:lang w:val="sr-Latn-RS" w:bidi="en-US"/>
        </w:rPr>
        <w:t>šće</w:t>
      </w:r>
      <w:r w:rsidRPr="00261E6C">
        <w:rPr>
          <w:sz w:val="22"/>
          <w:szCs w:val="22"/>
          <w:lang w:val="sr-Latn-RS" w:bidi="en-US"/>
        </w:rPr>
        <w:t>nim filterom male sposobnosti vezivanja proteina (veličina pora od 0,2 ili 0,22 µm) i kateterom.</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Lijek Polivy je kompatibilan sa kesama za intravensku infuziju sa proizvodima koji sadrže materijale polivinil hlorid (PVC) ili poliolefine, kao što su polietilen (PE) i polipropilen. Pored toga, ni</w:t>
      </w:r>
      <w:r w:rsidR="00883F9B" w:rsidRPr="00C2143B">
        <w:rPr>
          <w:sz w:val="22"/>
          <w:szCs w:val="22"/>
          <w:lang w:val="sr-Latn-RS" w:bidi="en-US"/>
        </w:rPr>
        <w:t>je</w:t>
      </w:r>
      <w:r w:rsidRPr="00261E6C">
        <w:rPr>
          <w:sz w:val="22"/>
          <w:szCs w:val="22"/>
          <w:lang w:val="sr-Latn-RS" w:bidi="en-US"/>
        </w:rPr>
        <w:t>su zabilježene inkompatibilnosti sa setovima za infuziju i drugim pomoćnim sredstvima za infuziju sa proizvodima koj</w:t>
      </w:r>
      <w:r w:rsidR="00883F9B" w:rsidRPr="00C2143B">
        <w:rPr>
          <w:sz w:val="22"/>
          <w:szCs w:val="22"/>
          <w:lang w:val="sr-Latn-RS" w:bidi="en-US"/>
        </w:rPr>
        <w:t>i</w:t>
      </w:r>
      <w:r w:rsidRPr="00261E6C">
        <w:rPr>
          <w:sz w:val="22"/>
          <w:szCs w:val="22"/>
          <w:lang w:val="sr-Latn-RS" w:bidi="en-US"/>
        </w:rPr>
        <w:t xml:space="preserve"> sadrže materijale od PVC, PE, polibutadiena, polieteruretana, akrilonitril butadien stirena, polikarbonata, polieteruretana, fluorovanog etilen propilena ili politetrafluoretilena i sa filterskim membranama od polietersulfona ili polisulfona.</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sz w:val="22"/>
          <w:szCs w:val="22"/>
          <w:u w:val="single"/>
          <w:lang w:val="sr-Latn-RS" w:bidi="en-US"/>
        </w:rPr>
        <w:t>Odlaganje</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Lijek Polivy je namijenjen samo za jednokratnu upotrebu.</w:t>
      </w:r>
    </w:p>
    <w:p w:rsidR="00687D00" w:rsidRPr="00261E6C" w:rsidRDefault="00687D00">
      <w:pPr>
        <w:widowControl w:val="0"/>
        <w:autoSpaceDE w:val="0"/>
        <w:autoSpaceDN w:val="0"/>
        <w:ind w:right="9"/>
        <w:jc w:val="both"/>
        <w:rPr>
          <w:sz w:val="22"/>
          <w:szCs w:val="22"/>
          <w:lang w:val="sr-Latn-RS" w:bidi="en-US"/>
        </w:rPr>
      </w:pPr>
    </w:p>
    <w:p w:rsidR="00687D00" w:rsidRPr="00261E6C" w:rsidRDefault="00687D00">
      <w:pPr>
        <w:widowControl w:val="0"/>
        <w:autoSpaceDE w:val="0"/>
        <w:autoSpaceDN w:val="0"/>
        <w:ind w:right="9"/>
        <w:jc w:val="both"/>
        <w:rPr>
          <w:sz w:val="22"/>
          <w:szCs w:val="22"/>
          <w:lang w:val="sr-Latn-RS" w:bidi="en-US"/>
        </w:rPr>
      </w:pPr>
      <w:r w:rsidRPr="00261E6C">
        <w:rPr>
          <w:sz w:val="22"/>
          <w:szCs w:val="22"/>
          <w:lang w:val="sr-Latn-RS" w:bidi="en-US"/>
        </w:rPr>
        <w:t>Svu neiskorišćenu količinu lijeka ili otpadnog materijala treba ukloniti, u skladu sa važećim propisima.</w:t>
      </w:r>
    </w:p>
    <w:p w:rsidR="004723AA" w:rsidRPr="00261E6C" w:rsidRDefault="004723AA">
      <w:pPr>
        <w:widowControl w:val="0"/>
        <w:autoSpaceDE w:val="0"/>
        <w:autoSpaceDN w:val="0"/>
        <w:ind w:right="9"/>
        <w:jc w:val="both"/>
        <w:rPr>
          <w:bCs/>
          <w:sz w:val="22"/>
          <w:szCs w:val="22"/>
          <w:lang w:val="sr-Latn-RS" w:bidi="en-US"/>
        </w:rPr>
      </w:pPr>
    </w:p>
    <w:p w:rsidR="004723AA" w:rsidRPr="00261E6C" w:rsidRDefault="004723AA">
      <w:pPr>
        <w:widowControl w:val="0"/>
        <w:autoSpaceDE w:val="0"/>
        <w:autoSpaceDN w:val="0"/>
        <w:ind w:right="9"/>
        <w:jc w:val="both"/>
        <w:rPr>
          <w:b/>
          <w:bCs/>
          <w:sz w:val="22"/>
          <w:szCs w:val="22"/>
          <w:lang w:val="sr-Latn-RS" w:bidi="en-US"/>
        </w:rPr>
      </w:pPr>
      <w:r w:rsidRPr="00261E6C">
        <w:rPr>
          <w:b/>
          <w:bCs/>
          <w:sz w:val="22"/>
          <w:szCs w:val="22"/>
          <w:lang w:val="sr-Latn-RS" w:bidi="en-US"/>
        </w:rPr>
        <w:t xml:space="preserve">7. </w:t>
      </w:r>
      <w:r w:rsidRPr="00261E6C">
        <w:rPr>
          <w:b/>
          <w:bCs/>
          <w:sz w:val="22"/>
          <w:szCs w:val="22"/>
          <w:lang w:val="sr-Latn-RS" w:bidi="en-US"/>
        </w:rPr>
        <w:tab/>
        <w:t xml:space="preserve">NOSILAC DOZVOLE </w:t>
      </w:r>
    </w:p>
    <w:p w:rsidR="004723AA" w:rsidRPr="00261E6C" w:rsidRDefault="004723AA">
      <w:pPr>
        <w:widowControl w:val="0"/>
        <w:autoSpaceDE w:val="0"/>
        <w:autoSpaceDN w:val="0"/>
        <w:ind w:right="9"/>
        <w:jc w:val="both"/>
        <w:rPr>
          <w:bCs/>
          <w:sz w:val="22"/>
          <w:szCs w:val="22"/>
          <w:lang w:val="sr-Latn-RS" w:bidi="en-US"/>
        </w:rPr>
      </w:pPr>
    </w:p>
    <w:p w:rsidR="00687D00" w:rsidRPr="00261E6C" w:rsidRDefault="00687D00">
      <w:pPr>
        <w:widowControl w:val="0"/>
        <w:autoSpaceDE w:val="0"/>
        <w:autoSpaceDN w:val="0"/>
        <w:ind w:right="9"/>
        <w:jc w:val="both"/>
        <w:rPr>
          <w:bCs/>
          <w:sz w:val="22"/>
          <w:szCs w:val="22"/>
          <w:lang w:val="sr-Latn-RS" w:bidi="en-US"/>
        </w:rPr>
      </w:pPr>
      <w:r w:rsidRPr="00261E6C">
        <w:rPr>
          <w:bCs/>
          <w:sz w:val="22"/>
          <w:szCs w:val="22"/>
          <w:lang w:val="sr-Latn-RS" w:bidi="en-US"/>
        </w:rPr>
        <w:t>''Hoffmann - La Roche LTD'' dio stranog društva Podgorica</w:t>
      </w:r>
    </w:p>
    <w:p w:rsidR="00687D00" w:rsidRPr="00261E6C" w:rsidRDefault="00687D00">
      <w:pPr>
        <w:widowControl w:val="0"/>
        <w:autoSpaceDE w:val="0"/>
        <w:autoSpaceDN w:val="0"/>
        <w:ind w:right="9"/>
        <w:jc w:val="both"/>
        <w:rPr>
          <w:bCs/>
          <w:sz w:val="22"/>
          <w:szCs w:val="22"/>
          <w:lang w:val="pt-BR" w:bidi="en-US"/>
        </w:rPr>
      </w:pPr>
      <w:r w:rsidRPr="00261E6C">
        <w:rPr>
          <w:bCs/>
          <w:sz w:val="22"/>
          <w:szCs w:val="22"/>
          <w:lang w:val="pt-BR" w:bidi="en-US"/>
        </w:rPr>
        <w:t>ul. Cetinjska 11, 81000 Podgorica, Crna Gora</w:t>
      </w:r>
    </w:p>
    <w:p w:rsidR="004723AA" w:rsidRPr="00261E6C" w:rsidRDefault="004723AA">
      <w:pPr>
        <w:widowControl w:val="0"/>
        <w:autoSpaceDE w:val="0"/>
        <w:autoSpaceDN w:val="0"/>
        <w:ind w:right="9"/>
        <w:jc w:val="both"/>
        <w:rPr>
          <w:bCs/>
          <w:sz w:val="22"/>
          <w:szCs w:val="22"/>
          <w:lang w:val="sr-Latn-RS" w:bidi="en-US"/>
        </w:rPr>
      </w:pPr>
    </w:p>
    <w:p w:rsidR="00A80A7F" w:rsidRPr="00261E6C" w:rsidRDefault="00A80A7F">
      <w:pPr>
        <w:widowControl w:val="0"/>
        <w:autoSpaceDE w:val="0"/>
        <w:autoSpaceDN w:val="0"/>
        <w:ind w:right="9"/>
        <w:jc w:val="both"/>
        <w:rPr>
          <w:b/>
          <w:bCs/>
          <w:sz w:val="22"/>
          <w:szCs w:val="22"/>
          <w:lang w:val="sr-Latn-RS" w:bidi="en-US"/>
        </w:rPr>
      </w:pPr>
    </w:p>
    <w:p w:rsidR="004723AA" w:rsidRPr="00261E6C" w:rsidRDefault="004723AA">
      <w:pPr>
        <w:widowControl w:val="0"/>
        <w:autoSpaceDE w:val="0"/>
        <w:autoSpaceDN w:val="0"/>
        <w:ind w:right="9"/>
        <w:jc w:val="both"/>
        <w:rPr>
          <w:b/>
          <w:bCs/>
          <w:sz w:val="22"/>
          <w:szCs w:val="22"/>
          <w:lang w:val="sr-Latn-RS" w:bidi="en-US"/>
        </w:rPr>
      </w:pPr>
      <w:r w:rsidRPr="00261E6C">
        <w:rPr>
          <w:b/>
          <w:bCs/>
          <w:sz w:val="22"/>
          <w:szCs w:val="22"/>
          <w:lang w:val="sr-Latn-RS" w:bidi="en-US"/>
        </w:rPr>
        <w:t xml:space="preserve">8. </w:t>
      </w:r>
      <w:r w:rsidRPr="00261E6C">
        <w:rPr>
          <w:b/>
          <w:bCs/>
          <w:sz w:val="22"/>
          <w:szCs w:val="22"/>
          <w:lang w:val="sr-Latn-RS" w:bidi="en-US"/>
        </w:rPr>
        <w:tab/>
        <w:t>BROJ DOZVOLE ZA STAVLJANJE LIJEKA U PROMET</w:t>
      </w:r>
    </w:p>
    <w:p w:rsidR="00A80A7F" w:rsidRPr="00261E6C" w:rsidRDefault="00A80A7F">
      <w:pPr>
        <w:widowControl w:val="0"/>
        <w:autoSpaceDE w:val="0"/>
        <w:autoSpaceDN w:val="0"/>
        <w:ind w:right="9"/>
        <w:jc w:val="both"/>
        <w:rPr>
          <w:bCs/>
          <w:sz w:val="22"/>
          <w:szCs w:val="22"/>
          <w:lang w:val="sr-Latn-RS" w:bidi="en-US"/>
        </w:rPr>
      </w:pPr>
    </w:p>
    <w:p w:rsidR="00A80A7F" w:rsidRPr="00261E6C" w:rsidRDefault="00A80A7F">
      <w:pPr>
        <w:widowControl w:val="0"/>
        <w:autoSpaceDE w:val="0"/>
        <w:autoSpaceDN w:val="0"/>
        <w:ind w:right="9"/>
        <w:jc w:val="both"/>
        <w:rPr>
          <w:bCs/>
          <w:sz w:val="22"/>
          <w:szCs w:val="22"/>
          <w:lang w:val="sr-Latn-RS" w:bidi="en-US"/>
        </w:rPr>
      </w:pPr>
      <w:r w:rsidRPr="00261E6C">
        <w:rPr>
          <w:bCs/>
          <w:sz w:val="22"/>
          <w:szCs w:val="22"/>
          <w:lang w:val="sr-Latn-RS" w:bidi="en-US"/>
        </w:rPr>
        <w:t>Polivy, 30mg, prašak za koncentrat za rastvor za infuziju: 2030/22/1888</w:t>
      </w:r>
      <w:r w:rsidR="006F29DB">
        <w:rPr>
          <w:bCs/>
          <w:sz w:val="22"/>
          <w:szCs w:val="22"/>
          <w:lang w:val="sr-Latn-RS" w:bidi="en-US"/>
        </w:rPr>
        <w:t xml:space="preserve"> </w:t>
      </w:r>
      <w:r w:rsidRPr="00261E6C">
        <w:rPr>
          <w:bCs/>
          <w:sz w:val="22"/>
          <w:szCs w:val="22"/>
          <w:lang w:val="sr-Latn-RS" w:bidi="en-US"/>
        </w:rPr>
        <w:t>-</w:t>
      </w:r>
      <w:r w:rsidR="006F29DB">
        <w:rPr>
          <w:bCs/>
          <w:sz w:val="22"/>
          <w:szCs w:val="22"/>
          <w:lang w:val="sr-Latn-RS" w:bidi="en-US"/>
        </w:rPr>
        <w:t xml:space="preserve"> </w:t>
      </w:r>
      <w:r w:rsidRPr="00261E6C">
        <w:rPr>
          <w:bCs/>
          <w:sz w:val="22"/>
          <w:szCs w:val="22"/>
          <w:lang w:val="sr-Latn-RS" w:bidi="en-US"/>
        </w:rPr>
        <w:t>2827</w:t>
      </w:r>
    </w:p>
    <w:p w:rsidR="004723AA" w:rsidRPr="00261E6C" w:rsidRDefault="00A80A7F">
      <w:pPr>
        <w:widowControl w:val="0"/>
        <w:autoSpaceDE w:val="0"/>
        <w:autoSpaceDN w:val="0"/>
        <w:ind w:right="9"/>
        <w:jc w:val="both"/>
        <w:rPr>
          <w:bCs/>
          <w:sz w:val="22"/>
          <w:szCs w:val="22"/>
          <w:lang w:val="sr-Latn-RS" w:bidi="en-US"/>
        </w:rPr>
      </w:pPr>
      <w:r w:rsidRPr="00261E6C">
        <w:rPr>
          <w:bCs/>
          <w:sz w:val="22"/>
          <w:szCs w:val="22"/>
          <w:lang w:val="sr-Latn-RS" w:bidi="en-US"/>
        </w:rPr>
        <w:t>Polivy, 140mg, prašak za koncentrat za rastvor za infuziju: 2030/22/1885</w:t>
      </w:r>
      <w:r w:rsidR="006F29DB">
        <w:rPr>
          <w:bCs/>
          <w:sz w:val="22"/>
          <w:szCs w:val="22"/>
          <w:lang w:val="sr-Latn-RS" w:bidi="en-US"/>
        </w:rPr>
        <w:t xml:space="preserve"> </w:t>
      </w:r>
      <w:r w:rsidRPr="00261E6C">
        <w:rPr>
          <w:bCs/>
          <w:sz w:val="22"/>
          <w:szCs w:val="22"/>
          <w:lang w:val="sr-Latn-RS" w:bidi="en-US"/>
        </w:rPr>
        <w:t>-</w:t>
      </w:r>
      <w:r w:rsidR="006F29DB">
        <w:rPr>
          <w:bCs/>
          <w:sz w:val="22"/>
          <w:szCs w:val="22"/>
          <w:lang w:val="sr-Latn-RS" w:bidi="en-US"/>
        </w:rPr>
        <w:t xml:space="preserve"> </w:t>
      </w:r>
      <w:r w:rsidRPr="00261E6C">
        <w:rPr>
          <w:bCs/>
          <w:sz w:val="22"/>
          <w:szCs w:val="22"/>
          <w:lang w:val="sr-Latn-RS" w:bidi="en-US"/>
        </w:rPr>
        <w:t>2867</w:t>
      </w:r>
    </w:p>
    <w:p w:rsidR="004723AA" w:rsidRDefault="004723AA">
      <w:pPr>
        <w:widowControl w:val="0"/>
        <w:autoSpaceDE w:val="0"/>
        <w:autoSpaceDN w:val="0"/>
        <w:ind w:right="9"/>
        <w:jc w:val="both"/>
        <w:rPr>
          <w:bCs/>
          <w:sz w:val="22"/>
          <w:szCs w:val="22"/>
          <w:lang w:val="sr-Latn-RS" w:bidi="en-US"/>
        </w:rPr>
      </w:pPr>
    </w:p>
    <w:p w:rsidR="006F29DB" w:rsidRPr="00261E6C" w:rsidRDefault="006F29DB">
      <w:pPr>
        <w:widowControl w:val="0"/>
        <w:autoSpaceDE w:val="0"/>
        <w:autoSpaceDN w:val="0"/>
        <w:ind w:right="9"/>
        <w:jc w:val="both"/>
        <w:rPr>
          <w:bCs/>
          <w:sz w:val="22"/>
          <w:szCs w:val="22"/>
          <w:lang w:val="sr-Latn-RS" w:bidi="en-US"/>
        </w:rPr>
      </w:pPr>
    </w:p>
    <w:p w:rsidR="004723AA" w:rsidRPr="00261E6C" w:rsidRDefault="004723AA">
      <w:pPr>
        <w:widowControl w:val="0"/>
        <w:autoSpaceDE w:val="0"/>
        <w:autoSpaceDN w:val="0"/>
        <w:ind w:right="9"/>
        <w:jc w:val="both"/>
        <w:rPr>
          <w:b/>
          <w:bCs/>
          <w:sz w:val="22"/>
          <w:szCs w:val="22"/>
          <w:lang w:val="sr-Latn-RS" w:bidi="en-US"/>
        </w:rPr>
      </w:pPr>
      <w:r w:rsidRPr="00261E6C">
        <w:rPr>
          <w:b/>
          <w:bCs/>
          <w:sz w:val="22"/>
          <w:szCs w:val="22"/>
          <w:lang w:val="sr-Latn-RS" w:bidi="en-US"/>
        </w:rPr>
        <w:t xml:space="preserve">9. </w:t>
      </w:r>
      <w:r w:rsidRPr="00261E6C">
        <w:rPr>
          <w:b/>
          <w:bCs/>
          <w:sz w:val="22"/>
          <w:szCs w:val="22"/>
          <w:lang w:val="sr-Latn-RS" w:bidi="en-US"/>
        </w:rPr>
        <w:tab/>
        <w:t>DATUM PRVE DOZVOLE/OBNOVE DOZVOLE ZA STAVLJANJE LIJEKA U PROMET</w:t>
      </w:r>
    </w:p>
    <w:p w:rsidR="00A80A7F" w:rsidRPr="00261E6C" w:rsidRDefault="00A80A7F">
      <w:pPr>
        <w:widowControl w:val="0"/>
        <w:autoSpaceDE w:val="0"/>
        <w:autoSpaceDN w:val="0"/>
        <w:ind w:right="9"/>
        <w:jc w:val="both"/>
        <w:rPr>
          <w:b/>
          <w:bCs/>
          <w:sz w:val="22"/>
          <w:szCs w:val="22"/>
          <w:lang w:val="sr-Latn-RS" w:bidi="en-US"/>
        </w:rPr>
      </w:pPr>
    </w:p>
    <w:p w:rsidR="00A80A7F" w:rsidRPr="00261E6C" w:rsidRDefault="00A80A7F">
      <w:pPr>
        <w:widowControl w:val="0"/>
        <w:autoSpaceDE w:val="0"/>
        <w:autoSpaceDN w:val="0"/>
        <w:ind w:right="9"/>
        <w:jc w:val="both"/>
        <w:rPr>
          <w:bCs/>
          <w:sz w:val="22"/>
          <w:szCs w:val="22"/>
          <w:lang w:val="sr-Latn-RS" w:bidi="en-US"/>
        </w:rPr>
      </w:pPr>
      <w:r w:rsidRPr="00261E6C">
        <w:rPr>
          <w:bCs/>
          <w:sz w:val="22"/>
          <w:szCs w:val="22"/>
          <w:lang w:val="sr-Latn-RS" w:bidi="en-US"/>
        </w:rPr>
        <w:t>23.08.2022.godine</w:t>
      </w:r>
    </w:p>
    <w:p w:rsidR="004723AA" w:rsidRPr="00261E6C" w:rsidRDefault="004723AA">
      <w:pPr>
        <w:widowControl w:val="0"/>
        <w:autoSpaceDE w:val="0"/>
        <w:autoSpaceDN w:val="0"/>
        <w:ind w:right="9"/>
        <w:jc w:val="both"/>
        <w:rPr>
          <w:bCs/>
          <w:sz w:val="22"/>
          <w:szCs w:val="22"/>
          <w:lang w:val="sr-Latn-RS" w:bidi="en-US"/>
        </w:rPr>
      </w:pPr>
    </w:p>
    <w:p w:rsidR="004723AA" w:rsidRPr="00261E6C" w:rsidRDefault="004723AA">
      <w:pPr>
        <w:widowControl w:val="0"/>
        <w:autoSpaceDE w:val="0"/>
        <w:autoSpaceDN w:val="0"/>
        <w:ind w:right="9"/>
        <w:jc w:val="both"/>
        <w:rPr>
          <w:bCs/>
          <w:sz w:val="22"/>
          <w:szCs w:val="22"/>
          <w:lang w:val="sr-Latn-RS" w:bidi="en-US"/>
        </w:rPr>
      </w:pPr>
      <w:bookmarkStart w:id="1" w:name="_GoBack"/>
      <w:bookmarkEnd w:id="1"/>
    </w:p>
    <w:p w:rsidR="004723AA" w:rsidRPr="00261E6C" w:rsidRDefault="004723AA">
      <w:pPr>
        <w:widowControl w:val="0"/>
        <w:autoSpaceDE w:val="0"/>
        <w:autoSpaceDN w:val="0"/>
        <w:ind w:right="9"/>
        <w:jc w:val="both"/>
        <w:rPr>
          <w:bCs/>
          <w:sz w:val="22"/>
          <w:szCs w:val="22"/>
          <w:lang w:val="sr-Latn-RS" w:bidi="en-US"/>
        </w:rPr>
      </w:pPr>
      <w:r w:rsidRPr="00261E6C">
        <w:rPr>
          <w:b/>
          <w:bCs/>
          <w:sz w:val="22"/>
          <w:szCs w:val="22"/>
          <w:lang w:val="sr-Latn-RS" w:bidi="en-US"/>
        </w:rPr>
        <w:t xml:space="preserve">10. </w:t>
      </w:r>
      <w:r w:rsidRPr="00261E6C">
        <w:rPr>
          <w:b/>
          <w:bCs/>
          <w:sz w:val="22"/>
          <w:szCs w:val="22"/>
          <w:lang w:val="sr-Latn-RS" w:bidi="en-US"/>
        </w:rPr>
        <w:tab/>
        <w:t xml:space="preserve">DATUM REVIZIJE TEKSTA </w:t>
      </w:r>
    </w:p>
    <w:p w:rsidR="004723AA" w:rsidRPr="00261E6C" w:rsidRDefault="004723AA">
      <w:pPr>
        <w:widowControl w:val="0"/>
        <w:autoSpaceDE w:val="0"/>
        <w:autoSpaceDN w:val="0"/>
        <w:ind w:right="9"/>
        <w:jc w:val="both"/>
        <w:rPr>
          <w:bCs/>
          <w:sz w:val="22"/>
          <w:szCs w:val="22"/>
          <w:lang w:val="sr-Latn-RS" w:bidi="en-US"/>
        </w:rPr>
      </w:pPr>
    </w:p>
    <w:p w:rsidR="003F6A59" w:rsidRPr="00261E6C" w:rsidRDefault="009D3A43">
      <w:pPr>
        <w:widowControl w:val="0"/>
        <w:autoSpaceDE w:val="0"/>
        <w:autoSpaceDN w:val="0"/>
        <w:ind w:right="9"/>
        <w:jc w:val="both"/>
        <w:rPr>
          <w:sz w:val="22"/>
          <w:szCs w:val="22"/>
          <w:lang w:val="pl-PL" w:bidi="en-US"/>
        </w:rPr>
      </w:pPr>
      <w:r>
        <w:rPr>
          <w:sz w:val="22"/>
          <w:szCs w:val="22"/>
          <w:lang w:val="pl-PL" w:bidi="en-US"/>
        </w:rPr>
        <w:t>Novembar</w:t>
      </w:r>
      <w:r w:rsidR="004723AA" w:rsidRPr="00261E6C">
        <w:rPr>
          <w:sz w:val="22"/>
          <w:szCs w:val="22"/>
          <w:lang w:val="pl-PL" w:bidi="en-US"/>
        </w:rPr>
        <w:t>, 202</w:t>
      </w:r>
      <w:r w:rsidR="00831FF8" w:rsidRPr="00261E6C">
        <w:rPr>
          <w:sz w:val="22"/>
          <w:szCs w:val="22"/>
          <w:lang w:val="pl-PL" w:bidi="en-US"/>
        </w:rPr>
        <w:t>2</w:t>
      </w:r>
      <w:r w:rsidR="004723AA" w:rsidRPr="00261E6C">
        <w:rPr>
          <w:sz w:val="22"/>
          <w:szCs w:val="22"/>
          <w:lang w:val="pl-PL" w:bidi="en-US"/>
        </w:rPr>
        <w:t>. godine</w:t>
      </w:r>
    </w:p>
    <w:sectPr w:rsidR="003F6A59" w:rsidRPr="00261E6C" w:rsidSect="004723AA">
      <w:headerReference w:type="default" r:id="rId14"/>
      <w:footerReference w:type="default" r:id="rId15"/>
      <w:type w:val="continuous"/>
      <w:pgSz w:w="11909" w:h="16834" w:code="9"/>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804" w:rsidRDefault="00215804">
      <w:r>
        <w:separator/>
      </w:r>
    </w:p>
  </w:endnote>
  <w:endnote w:type="continuationSeparator" w:id="0">
    <w:p w:rsidR="00215804" w:rsidRDefault="00215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324780"/>
      <w:docPartObj>
        <w:docPartGallery w:val="Page Numbers (Bottom of Page)"/>
        <w:docPartUnique/>
      </w:docPartObj>
    </w:sdtPr>
    <w:sdtEndPr>
      <w:rPr>
        <w:noProof/>
      </w:rPr>
    </w:sdtEndPr>
    <w:sdtContent>
      <w:p w:rsidR="00FD4187" w:rsidRDefault="00FD4187">
        <w:pPr>
          <w:pStyle w:val="Footer"/>
          <w:jc w:val="center"/>
        </w:pPr>
        <w:r>
          <w:fldChar w:fldCharType="begin"/>
        </w:r>
        <w:r>
          <w:instrText xml:space="preserve"> PAGE   \* MERGEFORMAT </w:instrText>
        </w:r>
        <w:r>
          <w:fldChar w:fldCharType="separate"/>
        </w:r>
        <w:r w:rsidR="006F29DB">
          <w:rPr>
            <w:noProof/>
          </w:rPr>
          <w:t>19</w:t>
        </w:r>
        <w:r>
          <w:rPr>
            <w:noProof/>
          </w:rPr>
          <w:fldChar w:fldCharType="end"/>
        </w:r>
      </w:p>
    </w:sdtContent>
  </w:sdt>
  <w:p w:rsidR="00FD4187" w:rsidRDefault="00FD41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187" w:rsidRPr="00B23F69" w:rsidRDefault="00FD4187"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F29DB">
      <w:rPr>
        <w:noProof/>
        <w:sz w:val="22"/>
        <w:szCs w:val="22"/>
      </w:rPr>
      <w:t>23</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F29DB">
      <w:rPr>
        <w:noProof/>
        <w:sz w:val="22"/>
        <w:szCs w:val="22"/>
      </w:rPr>
      <w:t>23</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804" w:rsidRDefault="00215804">
      <w:r>
        <w:separator/>
      </w:r>
    </w:p>
  </w:footnote>
  <w:footnote w:type="continuationSeparator" w:id="0">
    <w:p w:rsidR="00215804" w:rsidRDefault="002158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187" w:rsidRPr="00FD4723" w:rsidRDefault="00FD4187" w:rsidP="00E74A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5.5pt;height:13.5pt;visibility:visible" o:bullet="t">
        <v:imagedata r:id="rId1" o:title="BT_1000x858px"/>
      </v:shape>
    </w:pict>
  </w:numPicBullet>
  <w:abstractNum w:abstractNumId="0" w15:restartNumberingAfterBreak="0">
    <w:nsid w:val="06D552C0"/>
    <w:multiLevelType w:val="hybridMultilevel"/>
    <w:tmpl w:val="BC98C59E"/>
    <w:lvl w:ilvl="0" w:tplc="04090001">
      <w:start w:val="1"/>
      <w:numFmt w:val="bullet"/>
      <w:lvlText w:val=""/>
      <w:lvlJc w:val="left"/>
      <w:pPr>
        <w:ind w:left="503" w:hanging="360"/>
      </w:pPr>
      <w:rPr>
        <w:rFonts w:ascii="Symbol" w:hAnsi="Symbol" w:hint="default"/>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38E7C05"/>
    <w:multiLevelType w:val="hybridMultilevel"/>
    <w:tmpl w:val="3B1A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D712A"/>
    <w:multiLevelType w:val="hybridMultilevel"/>
    <w:tmpl w:val="A54E43B8"/>
    <w:lvl w:ilvl="0" w:tplc="04090001">
      <w:start w:val="1"/>
      <w:numFmt w:val="bullet"/>
      <w:lvlText w:val=""/>
      <w:lvlJc w:val="left"/>
      <w:pPr>
        <w:ind w:left="825" w:hanging="361"/>
      </w:pPr>
      <w:rPr>
        <w:rFonts w:ascii="Symbol" w:hAnsi="Symbol" w:hint="default"/>
        <w:w w:val="100"/>
        <w:sz w:val="22"/>
        <w:szCs w:val="22"/>
        <w:lang w:val="en-US" w:eastAsia="en-US" w:bidi="en-US"/>
      </w:rPr>
    </w:lvl>
    <w:lvl w:ilvl="1" w:tplc="66C89200">
      <w:numFmt w:val="bullet"/>
      <w:lvlText w:val="•"/>
      <w:lvlJc w:val="left"/>
      <w:pPr>
        <w:ind w:left="1418" w:hanging="361"/>
      </w:pPr>
      <w:rPr>
        <w:lang w:val="en-US" w:eastAsia="en-US" w:bidi="en-US"/>
      </w:rPr>
    </w:lvl>
    <w:lvl w:ilvl="2" w:tplc="8288FA6E">
      <w:numFmt w:val="bullet"/>
      <w:lvlText w:val="•"/>
      <w:lvlJc w:val="left"/>
      <w:pPr>
        <w:ind w:left="2016" w:hanging="361"/>
      </w:pPr>
      <w:rPr>
        <w:lang w:val="en-US" w:eastAsia="en-US" w:bidi="en-US"/>
      </w:rPr>
    </w:lvl>
    <w:lvl w:ilvl="3" w:tplc="180C08BE">
      <w:numFmt w:val="bullet"/>
      <w:lvlText w:val="•"/>
      <w:lvlJc w:val="left"/>
      <w:pPr>
        <w:ind w:left="2614" w:hanging="361"/>
      </w:pPr>
      <w:rPr>
        <w:lang w:val="en-US" w:eastAsia="en-US" w:bidi="en-US"/>
      </w:rPr>
    </w:lvl>
    <w:lvl w:ilvl="4" w:tplc="A47C9F86">
      <w:numFmt w:val="bullet"/>
      <w:lvlText w:val="•"/>
      <w:lvlJc w:val="left"/>
      <w:pPr>
        <w:ind w:left="3212" w:hanging="361"/>
      </w:pPr>
      <w:rPr>
        <w:lang w:val="en-US" w:eastAsia="en-US" w:bidi="en-US"/>
      </w:rPr>
    </w:lvl>
    <w:lvl w:ilvl="5" w:tplc="7466E496">
      <w:numFmt w:val="bullet"/>
      <w:lvlText w:val="•"/>
      <w:lvlJc w:val="left"/>
      <w:pPr>
        <w:ind w:left="3810" w:hanging="361"/>
      </w:pPr>
      <w:rPr>
        <w:lang w:val="en-US" w:eastAsia="en-US" w:bidi="en-US"/>
      </w:rPr>
    </w:lvl>
    <w:lvl w:ilvl="6" w:tplc="FCD62FAE">
      <w:numFmt w:val="bullet"/>
      <w:lvlText w:val="•"/>
      <w:lvlJc w:val="left"/>
      <w:pPr>
        <w:ind w:left="4408" w:hanging="361"/>
      </w:pPr>
      <w:rPr>
        <w:lang w:val="en-US" w:eastAsia="en-US" w:bidi="en-US"/>
      </w:rPr>
    </w:lvl>
    <w:lvl w:ilvl="7" w:tplc="9FB68D9E">
      <w:numFmt w:val="bullet"/>
      <w:lvlText w:val="•"/>
      <w:lvlJc w:val="left"/>
      <w:pPr>
        <w:ind w:left="5006" w:hanging="361"/>
      </w:pPr>
      <w:rPr>
        <w:lang w:val="en-US" w:eastAsia="en-US" w:bidi="en-US"/>
      </w:rPr>
    </w:lvl>
    <w:lvl w:ilvl="8" w:tplc="779AEAB8">
      <w:numFmt w:val="bullet"/>
      <w:lvlText w:val="•"/>
      <w:lvlJc w:val="left"/>
      <w:pPr>
        <w:ind w:left="5604" w:hanging="361"/>
      </w:pPr>
      <w:rPr>
        <w:lang w:val="en-US" w:eastAsia="en-US" w:bidi="en-US"/>
      </w:rPr>
    </w:lvl>
  </w:abstractNum>
  <w:abstractNum w:abstractNumId="10" w15:restartNumberingAfterBreak="0">
    <w:nsid w:val="4101008B"/>
    <w:multiLevelType w:val="hybridMultilevel"/>
    <w:tmpl w:val="20D4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8812C7"/>
    <w:multiLevelType w:val="hybridMultilevel"/>
    <w:tmpl w:val="FA7E53D6"/>
    <w:lvl w:ilvl="0" w:tplc="8BA02574">
      <w:start w:val="1"/>
      <w:numFmt w:val="decimal"/>
      <w:lvlText w:val="%1."/>
      <w:lvlJc w:val="left"/>
      <w:pPr>
        <w:ind w:left="783" w:hanging="567"/>
      </w:pPr>
      <w:rPr>
        <w:rFonts w:ascii="Times New Roman" w:eastAsia="Times New Roman" w:hAnsi="Times New Roman" w:cs="Times New Roman" w:hint="default"/>
        <w:w w:val="100"/>
        <w:sz w:val="22"/>
        <w:szCs w:val="22"/>
        <w:lang w:val="en-US" w:eastAsia="en-US" w:bidi="en-US"/>
      </w:rPr>
    </w:lvl>
    <w:lvl w:ilvl="1" w:tplc="606EBB70">
      <w:numFmt w:val="bullet"/>
      <w:lvlText w:val="•"/>
      <w:lvlJc w:val="left"/>
      <w:pPr>
        <w:ind w:left="1690" w:hanging="567"/>
      </w:pPr>
      <w:rPr>
        <w:lang w:val="en-US" w:eastAsia="en-US" w:bidi="en-US"/>
      </w:rPr>
    </w:lvl>
    <w:lvl w:ilvl="2" w:tplc="40348EAE">
      <w:numFmt w:val="bullet"/>
      <w:lvlText w:val="•"/>
      <w:lvlJc w:val="left"/>
      <w:pPr>
        <w:ind w:left="2601" w:hanging="567"/>
      </w:pPr>
      <w:rPr>
        <w:lang w:val="en-US" w:eastAsia="en-US" w:bidi="en-US"/>
      </w:rPr>
    </w:lvl>
    <w:lvl w:ilvl="3" w:tplc="0CA09958">
      <w:numFmt w:val="bullet"/>
      <w:lvlText w:val="•"/>
      <w:lvlJc w:val="left"/>
      <w:pPr>
        <w:ind w:left="3512" w:hanging="567"/>
      </w:pPr>
      <w:rPr>
        <w:lang w:val="en-US" w:eastAsia="en-US" w:bidi="en-US"/>
      </w:rPr>
    </w:lvl>
    <w:lvl w:ilvl="4" w:tplc="7196ED96">
      <w:numFmt w:val="bullet"/>
      <w:lvlText w:val="•"/>
      <w:lvlJc w:val="left"/>
      <w:pPr>
        <w:ind w:left="4423" w:hanging="567"/>
      </w:pPr>
      <w:rPr>
        <w:lang w:val="en-US" w:eastAsia="en-US" w:bidi="en-US"/>
      </w:rPr>
    </w:lvl>
    <w:lvl w:ilvl="5" w:tplc="1144C0C8">
      <w:numFmt w:val="bullet"/>
      <w:lvlText w:val="•"/>
      <w:lvlJc w:val="left"/>
      <w:pPr>
        <w:ind w:left="5334" w:hanging="567"/>
      </w:pPr>
      <w:rPr>
        <w:lang w:val="en-US" w:eastAsia="en-US" w:bidi="en-US"/>
      </w:rPr>
    </w:lvl>
    <w:lvl w:ilvl="6" w:tplc="2DB0204E">
      <w:numFmt w:val="bullet"/>
      <w:lvlText w:val="•"/>
      <w:lvlJc w:val="left"/>
      <w:pPr>
        <w:ind w:left="6245" w:hanging="567"/>
      </w:pPr>
      <w:rPr>
        <w:lang w:val="en-US" w:eastAsia="en-US" w:bidi="en-US"/>
      </w:rPr>
    </w:lvl>
    <w:lvl w:ilvl="7" w:tplc="98A4411C">
      <w:numFmt w:val="bullet"/>
      <w:lvlText w:val="•"/>
      <w:lvlJc w:val="left"/>
      <w:pPr>
        <w:ind w:left="7156" w:hanging="567"/>
      </w:pPr>
      <w:rPr>
        <w:lang w:val="en-US" w:eastAsia="en-US" w:bidi="en-US"/>
      </w:rPr>
    </w:lvl>
    <w:lvl w:ilvl="8" w:tplc="515CBCB4">
      <w:numFmt w:val="bullet"/>
      <w:lvlText w:val="•"/>
      <w:lvlJc w:val="left"/>
      <w:pPr>
        <w:ind w:left="8067" w:hanging="567"/>
      </w:pPr>
      <w:rPr>
        <w:lang w:val="en-US" w:eastAsia="en-US" w:bidi="en-US"/>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49840DE8"/>
    <w:multiLevelType w:val="hybridMultilevel"/>
    <w:tmpl w:val="AD2AA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FB0922"/>
    <w:multiLevelType w:val="hybridMultilevel"/>
    <w:tmpl w:val="3446CE2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5"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F75726"/>
    <w:multiLevelType w:val="hybridMultilevel"/>
    <w:tmpl w:val="40A694EC"/>
    <w:lvl w:ilvl="0" w:tplc="8EEEC9B6">
      <w:start w:val="1"/>
      <w:numFmt w:val="decimal"/>
      <w:lvlText w:val="%1."/>
      <w:lvlJc w:val="left"/>
      <w:pPr>
        <w:ind w:left="783" w:hanging="567"/>
      </w:pPr>
      <w:rPr>
        <w:rFonts w:ascii="Times New Roman" w:eastAsia="Times New Roman" w:hAnsi="Times New Roman" w:cs="Times New Roman" w:hint="default"/>
        <w:w w:val="100"/>
        <w:sz w:val="22"/>
        <w:szCs w:val="22"/>
        <w:lang w:val="en-US" w:eastAsia="en-US" w:bidi="en-US"/>
      </w:rPr>
    </w:lvl>
    <w:lvl w:ilvl="1" w:tplc="E2E63C70">
      <w:numFmt w:val="bullet"/>
      <w:lvlText w:val="•"/>
      <w:lvlJc w:val="left"/>
      <w:pPr>
        <w:ind w:left="1690" w:hanging="567"/>
      </w:pPr>
      <w:rPr>
        <w:lang w:val="en-US" w:eastAsia="en-US" w:bidi="en-US"/>
      </w:rPr>
    </w:lvl>
    <w:lvl w:ilvl="2" w:tplc="0D40B1B8">
      <w:numFmt w:val="bullet"/>
      <w:lvlText w:val="•"/>
      <w:lvlJc w:val="left"/>
      <w:pPr>
        <w:ind w:left="2601" w:hanging="567"/>
      </w:pPr>
      <w:rPr>
        <w:lang w:val="en-US" w:eastAsia="en-US" w:bidi="en-US"/>
      </w:rPr>
    </w:lvl>
    <w:lvl w:ilvl="3" w:tplc="69F42CCC">
      <w:numFmt w:val="bullet"/>
      <w:lvlText w:val="•"/>
      <w:lvlJc w:val="left"/>
      <w:pPr>
        <w:ind w:left="3512" w:hanging="567"/>
      </w:pPr>
      <w:rPr>
        <w:lang w:val="en-US" w:eastAsia="en-US" w:bidi="en-US"/>
      </w:rPr>
    </w:lvl>
    <w:lvl w:ilvl="4" w:tplc="FF68F870">
      <w:numFmt w:val="bullet"/>
      <w:lvlText w:val="•"/>
      <w:lvlJc w:val="left"/>
      <w:pPr>
        <w:ind w:left="4423" w:hanging="567"/>
      </w:pPr>
      <w:rPr>
        <w:lang w:val="en-US" w:eastAsia="en-US" w:bidi="en-US"/>
      </w:rPr>
    </w:lvl>
    <w:lvl w:ilvl="5" w:tplc="95845B84">
      <w:numFmt w:val="bullet"/>
      <w:lvlText w:val="•"/>
      <w:lvlJc w:val="left"/>
      <w:pPr>
        <w:ind w:left="5334" w:hanging="567"/>
      </w:pPr>
      <w:rPr>
        <w:lang w:val="en-US" w:eastAsia="en-US" w:bidi="en-US"/>
      </w:rPr>
    </w:lvl>
    <w:lvl w:ilvl="6" w:tplc="2A706528">
      <w:numFmt w:val="bullet"/>
      <w:lvlText w:val="•"/>
      <w:lvlJc w:val="left"/>
      <w:pPr>
        <w:ind w:left="6245" w:hanging="567"/>
      </w:pPr>
      <w:rPr>
        <w:lang w:val="en-US" w:eastAsia="en-US" w:bidi="en-US"/>
      </w:rPr>
    </w:lvl>
    <w:lvl w:ilvl="7" w:tplc="2E9EA9D2">
      <w:numFmt w:val="bullet"/>
      <w:lvlText w:val="•"/>
      <w:lvlJc w:val="left"/>
      <w:pPr>
        <w:ind w:left="7156" w:hanging="567"/>
      </w:pPr>
      <w:rPr>
        <w:lang w:val="en-US" w:eastAsia="en-US" w:bidi="en-US"/>
      </w:rPr>
    </w:lvl>
    <w:lvl w:ilvl="8" w:tplc="7CAC600E">
      <w:numFmt w:val="bullet"/>
      <w:lvlText w:val="•"/>
      <w:lvlJc w:val="left"/>
      <w:pPr>
        <w:ind w:left="8067" w:hanging="567"/>
      </w:pPr>
      <w:rPr>
        <w:lang w:val="en-US" w:eastAsia="en-US" w:bidi="en-US"/>
      </w:rPr>
    </w:lvl>
  </w:abstractNum>
  <w:num w:numId="1">
    <w:abstractNumId w:val="3"/>
  </w:num>
  <w:num w:numId="2">
    <w:abstractNumId w:val="16"/>
  </w:num>
  <w:num w:numId="3">
    <w:abstractNumId w:val="1"/>
  </w:num>
  <w:num w:numId="4">
    <w:abstractNumId w:val="15"/>
  </w:num>
  <w:num w:numId="5">
    <w:abstractNumId w:val="5"/>
  </w:num>
  <w:num w:numId="6">
    <w:abstractNumId w:val="2"/>
  </w:num>
  <w:num w:numId="7">
    <w:abstractNumId w:val="12"/>
  </w:num>
  <w:num w:numId="8">
    <w:abstractNumId w:val="4"/>
  </w:num>
  <w:num w:numId="9">
    <w:abstractNumId w:val="7"/>
  </w:num>
  <w:num w:numId="10">
    <w:abstractNumId w:val="17"/>
  </w:num>
  <w:num w:numId="11">
    <w:abstractNumId w:val="6"/>
  </w:num>
  <w:num w:numId="12">
    <w:abstractNumId w:val="9"/>
  </w:num>
  <w:num w:numId="13">
    <w:abstractNumId w:val="0"/>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13"/>
  </w:num>
  <w:num w:numId="17">
    <w:abstractNumId w:val="10"/>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6963"/>
    <w:rsid w:val="000176CA"/>
    <w:rsid w:val="00020AEB"/>
    <w:rsid w:val="0002134F"/>
    <w:rsid w:val="00036FA0"/>
    <w:rsid w:val="0003793F"/>
    <w:rsid w:val="00057E35"/>
    <w:rsid w:val="0007062C"/>
    <w:rsid w:val="00076726"/>
    <w:rsid w:val="00076DBA"/>
    <w:rsid w:val="00080303"/>
    <w:rsid w:val="000910FF"/>
    <w:rsid w:val="000A3F58"/>
    <w:rsid w:val="000D2343"/>
    <w:rsid w:val="000D3449"/>
    <w:rsid w:val="000D425A"/>
    <w:rsid w:val="000D60CC"/>
    <w:rsid w:val="000D64DF"/>
    <w:rsid w:val="000E2084"/>
    <w:rsid w:val="000E6F55"/>
    <w:rsid w:val="000F77FA"/>
    <w:rsid w:val="00107BF7"/>
    <w:rsid w:val="00124AB0"/>
    <w:rsid w:val="00126F53"/>
    <w:rsid w:val="001369AF"/>
    <w:rsid w:val="00145B87"/>
    <w:rsid w:val="001462B5"/>
    <w:rsid w:val="0014766D"/>
    <w:rsid w:val="001536CC"/>
    <w:rsid w:val="0015550A"/>
    <w:rsid w:val="00175EF1"/>
    <w:rsid w:val="00182925"/>
    <w:rsid w:val="001A3FBA"/>
    <w:rsid w:val="001A4363"/>
    <w:rsid w:val="001A5518"/>
    <w:rsid w:val="001B1C6A"/>
    <w:rsid w:val="001B1FC4"/>
    <w:rsid w:val="001C1263"/>
    <w:rsid w:val="001C1417"/>
    <w:rsid w:val="001C73D0"/>
    <w:rsid w:val="001D107B"/>
    <w:rsid w:val="001E2417"/>
    <w:rsid w:val="001E390B"/>
    <w:rsid w:val="001E4602"/>
    <w:rsid w:val="001F42FB"/>
    <w:rsid w:val="001F719A"/>
    <w:rsid w:val="002031B3"/>
    <w:rsid w:val="0021232C"/>
    <w:rsid w:val="00215804"/>
    <w:rsid w:val="00215931"/>
    <w:rsid w:val="002272AA"/>
    <w:rsid w:val="00227BDB"/>
    <w:rsid w:val="002340A1"/>
    <w:rsid w:val="00234CB1"/>
    <w:rsid w:val="002352F8"/>
    <w:rsid w:val="002362EF"/>
    <w:rsid w:val="002510A5"/>
    <w:rsid w:val="00254A0A"/>
    <w:rsid w:val="00261E6C"/>
    <w:rsid w:val="00265C03"/>
    <w:rsid w:val="00266046"/>
    <w:rsid w:val="0027082E"/>
    <w:rsid w:val="002836B4"/>
    <w:rsid w:val="002846DB"/>
    <w:rsid w:val="00284CCD"/>
    <w:rsid w:val="00285A3A"/>
    <w:rsid w:val="002A0505"/>
    <w:rsid w:val="002A5A1D"/>
    <w:rsid w:val="002B10EA"/>
    <w:rsid w:val="002B3225"/>
    <w:rsid w:val="002B3C62"/>
    <w:rsid w:val="002C6637"/>
    <w:rsid w:val="002D399C"/>
    <w:rsid w:val="002D77A0"/>
    <w:rsid w:val="002E0135"/>
    <w:rsid w:val="002E37A5"/>
    <w:rsid w:val="0030310A"/>
    <w:rsid w:val="00310F03"/>
    <w:rsid w:val="003247D2"/>
    <w:rsid w:val="00337A2B"/>
    <w:rsid w:val="003445C1"/>
    <w:rsid w:val="00355B61"/>
    <w:rsid w:val="0036192C"/>
    <w:rsid w:val="00362686"/>
    <w:rsid w:val="00371510"/>
    <w:rsid w:val="0037474F"/>
    <w:rsid w:val="00381CF6"/>
    <w:rsid w:val="00396DFD"/>
    <w:rsid w:val="003A7059"/>
    <w:rsid w:val="003B0BE2"/>
    <w:rsid w:val="003B74EF"/>
    <w:rsid w:val="003B7A36"/>
    <w:rsid w:val="003C17AB"/>
    <w:rsid w:val="003C1B7B"/>
    <w:rsid w:val="003C273D"/>
    <w:rsid w:val="003C7823"/>
    <w:rsid w:val="003D6460"/>
    <w:rsid w:val="003E1DCC"/>
    <w:rsid w:val="003F34D4"/>
    <w:rsid w:val="003F4911"/>
    <w:rsid w:val="003F5E5E"/>
    <w:rsid w:val="003F6A59"/>
    <w:rsid w:val="004065C8"/>
    <w:rsid w:val="00411B4B"/>
    <w:rsid w:val="00415BEE"/>
    <w:rsid w:val="00420F74"/>
    <w:rsid w:val="00427F85"/>
    <w:rsid w:val="00433FEA"/>
    <w:rsid w:val="00435ACC"/>
    <w:rsid w:val="00436F42"/>
    <w:rsid w:val="004378B4"/>
    <w:rsid w:val="00451314"/>
    <w:rsid w:val="00452E9D"/>
    <w:rsid w:val="004534C7"/>
    <w:rsid w:val="00455511"/>
    <w:rsid w:val="00456BD1"/>
    <w:rsid w:val="004671AA"/>
    <w:rsid w:val="004723AA"/>
    <w:rsid w:val="00480E5E"/>
    <w:rsid w:val="00480FB1"/>
    <w:rsid w:val="00483928"/>
    <w:rsid w:val="00497757"/>
    <w:rsid w:val="004A77C1"/>
    <w:rsid w:val="004C7AD6"/>
    <w:rsid w:val="004D6103"/>
    <w:rsid w:val="004E2B0F"/>
    <w:rsid w:val="004E3BCE"/>
    <w:rsid w:val="004F0E97"/>
    <w:rsid w:val="00515C21"/>
    <w:rsid w:val="00530BD7"/>
    <w:rsid w:val="00535DAE"/>
    <w:rsid w:val="00541617"/>
    <w:rsid w:val="00545CD2"/>
    <w:rsid w:val="005476F3"/>
    <w:rsid w:val="00551072"/>
    <w:rsid w:val="005544DC"/>
    <w:rsid w:val="005612C5"/>
    <w:rsid w:val="00562DBA"/>
    <w:rsid w:val="00565065"/>
    <w:rsid w:val="00572527"/>
    <w:rsid w:val="00573E40"/>
    <w:rsid w:val="00575F50"/>
    <w:rsid w:val="00576348"/>
    <w:rsid w:val="005926C1"/>
    <w:rsid w:val="005A0B2E"/>
    <w:rsid w:val="005A23D2"/>
    <w:rsid w:val="005A2A00"/>
    <w:rsid w:val="005A36CB"/>
    <w:rsid w:val="005A4380"/>
    <w:rsid w:val="005A7823"/>
    <w:rsid w:val="005B49B8"/>
    <w:rsid w:val="005C01EF"/>
    <w:rsid w:val="005C0741"/>
    <w:rsid w:val="005C5EF4"/>
    <w:rsid w:val="005E2189"/>
    <w:rsid w:val="005E2E0B"/>
    <w:rsid w:val="005E4627"/>
    <w:rsid w:val="005E50D1"/>
    <w:rsid w:val="005E7A7D"/>
    <w:rsid w:val="005E7DA1"/>
    <w:rsid w:val="005F0CE5"/>
    <w:rsid w:val="00600098"/>
    <w:rsid w:val="00641968"/>
    <w:rsid w:val="00646BD1"/>
    <w:rsid w:val="00647B40"/>
    <w:rsid w:val="006560EC"/>
    <w:rsid w:val="006561C2"/>
    <w:rsid w:val="00660B36"/>
    <w:rsid w:val="00661672"/>
    <w:rsid w:val="00662DDA"/>
    <w:rsid w:val="00671CB3"/>
    <w:rsid w:val="00674BAF"/>
    <w:rsid w:val="00681292"/>
    <w:rsid w:val="00682200"/>
    <w:rsid w:val="0068393E"/>
    <w:rsid w:val="00687D00"/>
    <w:rsid w:val="00696B26"/>
    <w:rsid w:val="006A1497"/>
    <w:rsid w:val="006B0BD1"/>
    <w:rsid w:val="006B2015"/>
    <w:rsid w:val="006C087A"/>
    <w:rsid w:val="006C24A3"/>
    <w:rsid w:val="006C2795"/>
    <w:rsid w:val="006C61AC"/>
    <w:rsid w:val="006D20A5"/>
    <w:rsid w:val="006D37BF"/>
    <w:rsid w:val="006F29DB"/>
    <w:rsid w:val="00702E22"/>
    <w:rsid w:val="00704762"/>
    <w:rsid w:val="0072020E"/>
    <w:rsid w:val="00723E4E"/>
    <w:rsid w:val="00724B76"/>
    <w:rsid w:val="007258DC"/>
    <w:rsid w:val="00727A69"/>
    <w:rsid w:val="0074114A"/>
    <w:rsid w:val="007451DE"/>
    <w:rsid w:val="00757756"/>
    <w:rsid w:val="00776322"/>
    <w:rsid w:val="00786071"/>
    <w:rsid w:val="007A3ECB"/>
    <w:rsid w:val="007B4635"/>
    <w:rsid w:val="007D313A"/>
    <w:rsid w:val="007F7FA9"/>
    <w:rsid w:val="00822662"/>
    <w:rsid w:val="008246E1"/>
    <w:rsid w:val="00824AB9"/>
    <w:rsid w:val="00831FF8"/>
    <w:rsid w:val="0083301E"/>
    <w:rsid w:val="00836B35"/>
    <w:rsid w:val="00843BDE"/>
    <w:rsid w:val="00852184"/>
    <w:rsid w:val="00860329"/>
    <w:rsid w:val="00861983"/>
    <w:rsid w:val="00861E1D"/>
    <w:rsid w:val="00866F01"/>
    <w:rsid w:val="00883F9B"/>
    <w:rsid w:val="0089705C"/>
    <w:rsid w:val="008A6D43"/>
    <w:rsid w:val="008B491E"/>
    <w:rsid w:val="008C1A28"/>
    <w:rsid w:val="008C2CCA"/>
    <w:rsid w:val="008C2E98"/>
    <w:rsid w:val="008E3C64"/>
    <w:rsid w:val="008E49BD"/>
    <w:rsid w:val="008E53E9"/>
    <w:rsid w:val="008E5771"/>
    <w:rsid w:val="00940B9B"/>
    <w:rsid w:val="009410E9"/>
    <w:rsid w:val="0095676E"/>
    <w:rsid w:val="00956983"/>
    <w:rsid w:val="00956FD7"/>
    <w:rsid w:val="00963CF0"/>
    <w:rsid w:val="00964BB1"/>
    <w:rsid w:val="00971F53"/>
    <w:rsid w:val="00973B86"/>
    <w:rsid w:val="009775D9"/>
    <w:rsid w:val="00993CFD"/>
    <w:rsid w:val="009963C0"/>
    <w:rsid w:val="00997175"/>
    <w:rsid w:val="009A1847"/>
    <w:rsid w:val="009A313C"/>
    <w:rsid w:val="009B062A"/>
    <w:rsid w:val="009C1C38"/>
    <w:rsid w:val="009D32D3"/>
    <w:rsid w:val="009D3A43"/>
    <w:rsid w:val="009D54D3"/>
    <w:rsid w:val="009E7C6F"/>
    <w:rsid w:val="009F05C0"/>
    <w:rsid w:val="009F1793"/>
    <w:rsid w:val="009F2D23"/>
    <w:rsid w:val="00A01D69"/>
    <w:rsid w:val="00A02335"/>
    <w:rsid w:val="00A37948"/>
    <w:rsid w:val="00A46C9A"/>
    <w:rsid w:val="00A619F3"/>
    <w:rsid w:val="00A62A73"/>
    <w:rsid w:val="00A65ADC"/>
    <w:rsid w:val="00A7060E"/>
    <w:rsid w:val="00A80A7F"/>
    <w:rsid w:val="00A85FC5"/>
    <w:rsid w:val="00A87FF6"/>
    <w:rsid w:val="00AA0A3B"/>
    <w:rsid w:val="00AB50CA"/>
    <w:rsid w:val="00AC53CE"/>
    <w:rsid w:val="00AD2193"/>
    <w:rsid w:val="00AF2AC7"/>
    <w:rsid w:val="00AF3E2C"/>
    <w:rsid w:val="00AF74CE"/>
    <w:rsid w:val="00B1133A"/>
    <w:rsid w:val="00B208DB"/>
    <w:rsid w:val="00B23F69"/>
    <w:rsid w:val="00B42454"/>
    <w:rsid w:val="00B447FD"/>
    <w:rsid w:val="00B509D6"/>
    <w:rsid w:val="00B50C9C"/>
    <w:rsid w:val="00B51100"/>
    <w:rsid w:val="00B57253"/>
    <w:rsid w:val="00B60619"/>
    <w:rsid w:val="00B634C0"/>
    <w:rsid w:val="00B65E73"/>
    <w:rsid w:val="00B66A70"/>
    <w:rsid w:val="00B67366"/>
    <w:rsid w:val="00B748CC"/>
    <w:rsid w:val="00B80EE1"/>
    <w:rsid w:val="00B84135"/>
    <w:rsid w:val="00BB3FE0"/>
    <w:rsid w:val="00BC4D11"/>
    <w:rsid w:val="00BC5847"/>
    <w:rsid w:val="00BD2F24"/>
    <w:rsid w:val="00BE7122"/>
    <w:rsid w:val="00BF312A"/>
    <w:rsid w:val="00BF3473"/>
    <w:rsid w:val="00BF6B8C"/>
    <w:rsid w:val="00C04D34"/>
    <w:rsid w:val="00C05DF8"/>
    <w:rsid w:val="00C06864"/>
    <w:rsid w:val="00C10F54"/>
    <w:rsid w:val="00C13AAB"/>
    <w:rsid w:val="00C147F8"/>
    <w:rsid w:val="00C2143B"/>
    <w:rsid w:val="00C23D8D"/>
    <w:rsid w:val="00C26FED"/>
    <w:rsid w:val="00C37A3E"/>
    <w:rsid w:val="00C37AA3"/>
    <w:rsid w:val="00C37FD7"/>
    <w:rsid w:val="00C416F4"/>
    <w:rsid w:val="00C43419"/>
    <w:rsid w:val="00C44CF3"/>
    <w:rsid w:val="00C50C3B"/>
    <w:rsid w:val="00C61BE0"/>
    <w:rsid w:val="00C67690"/>
    <w:rsid w:val="00C70B0E"/>
    <w:rsid w:val="00C773CA"/>
    <w:rsid w:val="00C77A1A"/>
    <w:rsid w:val="00C80949"/>
    <w:rsid w:val="00C83785"/>
    <w:rsid w:val="00C94C0D"/>
    <w:rsid w:val="00C95E3E"/>
    <w:rsid w:val="00C96310"/>
    <w:rsid w:val="00CA1FEB"/>
    <w:rsid w:val="00CA719B"/>
    <w:rsid w:val="00CC1770"/>
    <w:rsid w:val="00CD4F85"/>
    <w:rsid w:val="00CD6F02"/>
    <w:rsid w:val="00CE246D"/>
    <w:rsid w:val="00CF07A0"/>
    <w:rsid w:val="00CF2B14"/>
    <w:rsid w:val="00CF3E03"/>
    <w:rsid w:val="00CF4340"/>
    <w:rsid w:val="00D0082A"/>
    <w:rsid w:val="00D153CE"/>
    <w:rsid w:val="00D21455"/>
    <w:rsid w:val="00D41BBB"/>
    <w:rsid w:val="00D47634"/>
    <w:rsid w:val="00D5437D"/>
    <w:rsid w:val="00D65F0A"/>
    <w:rsid w:val="00D709B3"/>
    <w:rsid w:val="00DA2ED6"/>
    <w:rsid w:val="00DB76B8"/>
    <w:rsid w:val="00DC2EA1"/>
    <w:rsid w:val="00DD6AAF"/>
    <w:rsid w:val="00DE394E"/>
    <w:rsid w:val="00DE3F5C"/>
    <w:rsid w:val="00DE486F"/>
    <w:rsid w:val="00DF1D20"/>
    <w:rsid w:val="00E02F36"/>
    <w:rsid w:val="00E21324"/>
    <w:rsid w:val="00E23446"/>
    <w:rsid w:val="00E246B9"/>
    <w:rsid w:val="00E26464"/>
    <w:rsid w:val="00E31FEA"/>
    <w:rsid w:val="00E343D0"/>
    <w:rsid w:val="00E4155A"/>
    <w:rsid w:val="00E45169"/>
    <w:rsid w:val="00E47787"/>
    <w:rsid w:val="00E51C30"/>
    <w:rsid w:val="00E61C88"/>
    <w:rsid w:val="00E64180"/>
    <w:rsid w:val="00E74AEE"/>
    <w:rsid w:val="00E77856"/>
    <w:rsid w:val="00E85AA4"/>
    <w:rsid w:val="00E868E5"/>
    <w:rsid w:val="00E90A7C"/>
    <w:rsid w:val="00E9237A"/>
    <w:rsid w:val="00E933B9"/>
    <w:rsid w:val="00E939FA"/>
    <w:rsid w:val="00EA5765"/>
    <w:rsid w:val="00EC2532"/>
    <w:rsid w:val="00ED7812"/>
    <w:rsid w:val="00EF3B86"/>
    <w:rsid w:val="00F17ABA"/>
    <w:rsid w:val="00F317E9"/>
    <w:rsid w:val="00F34554"/>
    <w:rsid w:val="00F45F77"/>
    <w:rsid w:val="00F5167F"/>
    <w:rsid w:val="00F52258"/>
    <w:rsid w:val="00F55D0F"/>
    <w:rsid w:val="00F64389"/>
    <w:rsid w:val="00F66D98"/>
    <w:rsid w:val="00F72CD6"/>
    <w:rsid w:val="00F8570A"/>
    <w:rsid w:val="00F863AB"/>
    <w:rsid w:val="00F91C7B"/>
    <w:rsid w:val="00FC5D20"/>
    <w:rsid w:val="00FD4187"/>
    <w:rsid w:val="00FF1C24"/>
    <w:rsid w:val="00FF40BB"/>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BC12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FooterChar">
    <w:name w:val="Footer Char"/>
    <w:basedOn w:val="DefaultParagraphFont"/>
    <w:link w:val="Footer"/>
    <w:uiPriority w:val="99"/>
    <w:rsid w:val="005612C5"/>
    <w:rPr>
      <w:sz w:val="24"/>
      <w:szCs w:val="24"/>
      <w:lang w:val="en-US" w:eastAsia="en-US"/>
    </w:rPr>
  </w:style>
  <w:style w:type="paragraph" w:styleId="ListParagraph">
    <w:name w:val="List Paragraph"/>
    <w:basedOn w:val="Normal"/>
    <w:uiPriority w:val="34"/>
    <w:qFormat/>
    <w:rsid w:val="005612C5"/>
    <w:pPr>
      <w:tabs>
        <w:tab w:val="left" w:pos="284"/>
      </w:tabs>
      <w:ind w:left="720"/>
      <w:contextualSpacing/>
      <w:jc w:val="both"/>
    </w:pPr>
    <w:rPr>
      <w:sz w:val="22"/>
    </w:rPr>
  </w:style>
  <w:style w:type="paragraph" w:styleId="BodyText">
    <w:name w:val="Body Text"/>
    <w:basedOn w:val="Normal"/>
    <w:link w:val="BodyTextChar"/>
    <w:uiPriority w:val="1"/>
    <w:unhideWhenUsed/>
    <w:qFormat/>
    <w:rsid w:val="005612C5"/>
    <w:pPr>
      <w:widowControl w:val="0"/>
      <w:autoSpaceDE w:val="0"/>
      <w:autoSpaceDN w:val="0"/>
    </w:pPr>
    <w:rPr>
      <w:sz w:val="22"/>
      <w:szCs w:val="22"/>
      <w:lang w:bidi="en-US"/>
    </w:rPr>
  </w:style>
  <w:style w:type="character" w:customStyle="1" w:styleId="BodyTextChar">
    <w:name w:val="Body Text Char"/>
    <w:basedOn w:val="DefaultParagraphFont"/>
    <w:link w:val="BodyText"/>
    <w:uiPriority w:val="1"/>
    <w:rsid w:val="005612C5"/>
    <w:rPr>
      <w:sz w:val="22"/>
      <w:szCs w:val="22"/>
      <w:lang w:val="en-US" w:eastAsia="en-US" w:bidi="en-US"/>
    </w:rPr>
  </w:style>
  <w:style w:type="character" w:styleId="Hyperlink">
    <w:name w:val="Hyperlink"/>
    <w:basedOn w:val="DefaultParagraphFont"/>
    <w:rsid w:val="00D65F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96653">
      <w:bodyDiv w:val="1"/>
      <w:marLeft w:val="0"/>
      <w:marRight w:val="0"/>
      <w:marTop w:val="0"/>
      <w:marBottom w:val="0"/>
      <w:divBdr>
        <w:top w:val="none" w:sz="0" w:space="0" w:color="auto"/>
        <w:left w:val="none" w:sz="0" w:space="0" w:color="auto"/>
        <w:bottom w:val="none" w:sz="0" w:space="0" w:color="auto"/>
        <w:right w:val="none" w:sz="0" w:space="0" w:color="auto"/>
      </w:divBdr>
      <w:divsChild>
        <w:div w:id="2143500664">
          <w:marLeft w:val="0"/>
          <w:marRight w:val="0"/>
          <w:marTop w:val="0"/>
          <w:marBottom w:val="0"/>
          <w:divBdr>
            <w:top w:val="none" w:sz="0" w:space="0" w:color="auto"/>
            <w:left w:val="none" w:sz="0" w:space="0" w:color="auto"/>
            <w:bottom w:val="none" w:sz="0" w:space="0" w:color="auto"/>
            <w:right w:val="none" w:sz="0" w:space="0" w:color="auto"/>
          </w:divBdr>
          <w:divsChild>
            <w:div w:id="956374745">
              <w:marLeft w:val="0"/>
              <w:marRight w:val="0"/>
              <w:marTop w:val="0"/>
              <w:marBottom w:val="0"/>
              <w:divBdr>
                <w:top w:val="none" w:sz="0" w:space="0" w:color="auto"/>
                <w:left w:val="none" w:sz="0" w:space="0" w:color="auto"/>
                <w:bottom w:val="none" w:sz="0" w:space="0" w:color="auto"/>
                <w:right w:val="none" w:sz="0" w:space="0" w:color="auto"/>
              </w:divBdr>
            </w:div>
          </w:divsChild>
        </w:div>
        <w:div w:id="1158769928">
          <w:marLeft w:val="0"/>
          <w:marRight w:val="0"/>
          <w:marTop w:val="0"/>
          <w:marBottom w:val="0"/>
          <w:divBdr>
            <w:top w:val="none" w:sz="0" w:space="0" w:color="auto"/>
            <w:left w:val="none" w:sz="0" w:space="0" w:color="auto"/>
            <w:bottom w:val="none" w:sz="0" w:space="0" w:color="auto"/>
            <w:right w:val="none" w:sz="0" w:space="0" w:color="auto"/>
          </w:divBdr>
          <w:divsChild>
            <w:div w:id="12704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5630">
      <w:bodyDiv w:val="1"/>
      <w:marLeft w:val="0"/>
      <w:marRight w:val="0"/>
      <w:marTop w:val="0"/>
      <w:marBottom w:val="0"/>
      <w:divBdr>
        <w:top w:val="none" w:sz="0" w:space="0" w:color="auto"/>
        <w:left w:val="none" w:sz="0" w:space="0" w:color="auto"/>
        <w:bottom w:val="none" w:sz="0" w:space="0" w:color="auto"/>
        <w:right w:val="none" w:sz="0" w:space="0" w:color="auto"/>
      </w:divBdr>
    </w:div>
    <w:div w:id="1592811747">
      <w:bodyDiv w:val="1"/>
      <w:marLeft w:val="0"/>
      <w:marRight w:val="0"/>
      <w:marTop w:val="0"/>
      <w:marBottom w:val="0"/>
      <w:divBdr>
        <w:top w:val="none" w:sz="0" w:space="0" w:color="auto"/>
        <w:left w:val="none" w:sz="0" w:space="0" w:color="auto"/>
        <w:bottom w:val="none" w:sz="0" w:space="0" w:color="auto"/>
        <w:right w:val="none" w:sz="0" w:space="0" w:color="auto"/>
      </w:divBdr>
    </w:div>
    <w:div w:id="1604458753">
      <w:bodyDiv w:val="1"/>
      <w:marLeft w:val="0"/>
      <w:marRight w:val="0"/>
      <w:marTop w:val="0"/>
      <w:marBottom w:val="0"/>
      <w:divBdr>
        <w:top w:val="none" w:sz="0" w:space="0" w:color="auto"/>
        <w:left w:val="none" w:sz="0" w:space="0" w:color="auto"/>
        <w:bottom w:val="none" w:sz="0" w:space="0" w:color="auto"/>
        <w:right w:val="none" w:sz="0" w:space="0" w:color="auto"/>
      </w:divBdr>
    </w:div>
    <w:div w:id="20183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zeljenadejstva@cinmed.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nmed.m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3E799-F9D5-4F9E-983D-228FB0EC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10320</Words>
  <Characters>58829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69011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Ljumović</cp:lastModifiedBy>
  <cp:revision>4</cp:revision>
  <dcterms:created xsi:type="dcterms:W3CDTF">2022-11-10T08:50:00Z</dcterms:created>
  <dcterms:modified xsi:type="dcterms:W3CDTF">2022-11-10T09:52:00Z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