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26197" w14:textId="77777777" w:rsidR="002510A5" w:rsidRPr="00FB6F73" w:rsidRDefault="002510A5" w:rsidP="002510A5">
      <w:pPr>
        <w:jc w:val="center"/>
        <w:rPr>
          <w:b/>
          <w:bCs/>
          <w:iCs/>
          <w:sz w:val="22"/>
          <w:szCs w:val="22"/>
          <w:u w:val="single"/>
          <w:lang w:val="sr-Latn-ME"/>
        </w:rPr>
      </w:pPr>
      <w:r w:rsidRPr="00FB6F73">
        <w:rPr>
          <w:b/>
          <w:bCs/>
          <w:iCs/>
          <w:sz w:val="22"/>
          <w:szCs w:val="22"/>
          <w:u w:val="single"/>
          <w:lang w:val="sr-Latn-ME"/>
        </w:rPr>
        <w:t>SAŽETAK KARAKTERISTIKA LIJEKA</w:t>
      </w:r>
    </w:p>
    <w:p w14:paraId="565AAD4D" w14:textId="6AD06840" w:rsidR="00C37FD7" w:rsidRPr="00FB6F73" w:rsidRDefault="00C37FD7" w:rsidP="00C05DF8">
      <w:pPr>
        <w:tabs>
          <w:tab w:val="left" w:pos="540"/>
          <w:tab w:val="left" w:pos="569"/>
        </w:tabs>
        <w:jc w:val="both"/>
        <w:rPr>
          <w:bCs/>
          <w:i/>
          <w:sz w:val="22"/>
          <w:szCs w:val="22"/>
          <w:lang w:val="sr-Latn-ME"/>
        </w:rPr>
      </w:pPr>
    </w:p>
    <w:p w14:paraId="6FB75430" w14:textId="77777777" w:rsidR="003C17AB" w:rsidRPr="00FB6F73" w:rsidRDefault="003C17AB" w:rsidP="00F5167F">
      <w:pPr>
        <w:tabs>
          <w:tab w:val="left" w:pos="540"/>
          <w:tab w:val="left" w:pos="569"/>
        </w:tabs>
        <w:rPr>
          <w:noProof/>
          <w:sz w:val="22"/>
          <w:szCs w:val="22"/>
          <w:lang w:val="sr-Latn-ME"/>
        </w:rPr>
      </w:pPr>
    </w:p>
    <w:p w14:paraId="2999EA3A" w14:textId="368CA9AF" w:rsidR="00411B4B" w:rsidRPr="00FB6F73" w:rsidRDefault="00D55694" w:rsidP="00981FFD">
      <w:pPr>
        <w:tabs>
          <w:tab w:val="left" w:pos="540"/>
          <w:tab w:val="left" w:pos="569"/>
        </w:tabs>
        <w:rPr>
          <w:b/>
          <w:bCs/>
          <w:sz w:val="22"/>
          <w:szCs w:val="22"/>
          <w:lang w:val="sr-Latn-ME"/>
        </w:rPr>
      </w:pPr>
      <w:r w:rsidRPr="00FB6F73">
        <w:rPr>
          <w:b/>
          <w:bCs/>
          <w:sz w:val="22"/>
          <w:szCs w:val="22"/>
          <w:lang w:val="sr-Latn-ME"/>
        </w:rPr>
        <w:t xml:space="preserve">1.       </w:t>
      </w:r>
      <w:r w:rsidR="002846DB" w:rsidRPr="00FB6F73">
        <w:rPr>
          <w:b/>
          <w:bCs/>
          <w:sz w:val="22"/>
          <w:szCs w:val="22"/>
          <w:lang w:val="sr-Latn-ME"/>
        </w:rPr>
        <w:t xml:space="preserve">NAZIV </w:t>
      </w:r>
      <w:r w:rsidR="00411B4B" w:rsidRPr="00FB6F73">
        <w:rPr>
          <w:b/>
          <w:bCs/>
          <w:sz w:val="22"/>
          <w:szCs w:val="22"/>
          <w:lang w:val="sr-Latn-ME"/>
        </w:rPr>
        <w:t>LIJEKA</w:t>
      </w:r>
    </w:p>
    <w:p w14:paraId="36AB10C9" w14:textId="77777777" w:rsidR="005505B4" w:rsidRPr="00FB6F73" w:rsidRDefault="005505B4" w:rsidP="005505B4">
      <w:pPr>
        <w:pStyle w:val="ListParagraph"/>
        <w:tabs>
          <w:tab w:val="left" w:pos="540"/>
          <w:tab w:val="left" w:pos="569"/>
        </w:tabs>
        <w:ind w:left="900"/>
        <w:rPr>
          <w:b/>
          <w:bCs/>
          <w:sz w:val="22"/>
          <w:szCs w:val="22"/>
          <w:lang w:val="sr-Latn-ME"/>
        </w:rPr>
      </w:pPr>
    </w:p>
    <w:p w14:paraId="2539887D" w14:textId="77777777" w:rsidR="005505B4" w:rsidRPr="00FB6F73" w:rsidRDefault="005505B4" w:rsidP="005505B4">
      <w:pPr>
        <w:tabs>
          <w:tab w:val="left" w:pos="540"/>
          <w:tab w:val="left" w:pos="569"/>
        </w:tabs>
        <w:rPr>
          <w:b/>
          <w:bCs/>
          <w:sz w:val="22"/>
          <w:szCs w:val="22"/>
          <w:lang w:val="sr-Latn-ME"/>
        </w:rPr>
      </w:pPr>
      <w:r w:rsidRPr="00FB6F73">
        <w:rPr>
          <w:sz w:val="22"/>
          <w:szCs w:val="22"/>
          <w:lang w:val="sr-Latn-ME"/>
        </w:rPr>
        <w:t>Erlotinib Sandoz</w:t>
      </w:r>
      <w:r w:rsidRPr="00FB6F73">
        <w:rPr>
          <w:sz w:val="22"/>
          <w:szCs w:val="22"/>
          <w:vertAlign w:val="superscript"/>
          <w:lang w:val="sr-Latn-ME"/>
        </w:rPr>
        <w:t>®</w:t>
      </w:r>
      <w:r w:rsidRPr="00FB6F73">
        <w:rPr>
          <w:sz w:val="22"/>
          <w:szCs w:val="22"/>
          <w:lang w:val="sr-Latn-ME"/>
        </w:rPr>
        <w:t>, 150 mg, film tableta</w:t>
      </w:r>
    </w:p>
    <w:p w14:paraId="2B35D9F6" w14:textId="77777777" w:rsidR="005505B4" w:rsidRPr="00FB6F73" w:rsidRDefault="005505B4" w:rsidP="005505B4">
      <w:pPr>
        <w:rPr>
          <w:sz w:val="22"/>
          <w:szCs w:val="22"/>
          <w:lang w:val="sr-Latn-ME"/>
        </w:rPr>
      </w:pPr>
    </w:p>
    <w:p w14:paraId="4BF76ED5" w14:textId="77777777" w:rsidR="005505B4" w:rsidRPr="00FB6F73" w:rsidRDefault="005505B4" w:rsidP="005505B4">
      <w:pPr>
        <w:rPr>
          <w:sz w:val="22"/>
          <w:szCs w:val="22"/>
          <w:lang w:val="sr-Latn-ME"/>
        </w:rPr>
      </w:pPr>
      <w:r w:rsidRPr="00FB6F73">
        <w:rPr>
          <w:sz w:val="22"/>
          <w:szCs w:val="22"/>
          <w:lang w:val="sr-Latn-ME"/>
        </w:rPr>
        <w:t>INN: erlotinib</w:t>
      </w:r>
    </w:p>
    <w:p w14:paraId="10BB6AAC" w14:textId="77777777" w:rsidR="00EC2532" w:rsidRPr="00FB6F73" w:rsidRDefault="00EC2532">
      <w:pPr>
        <w:rPr>
          <w:sz w:val="22"/>
          <w:szCs w:val="22"/>
          <w:lang w:val="sr-Latn-ME"/>
        </w:rPr>
      </w:pPr>
    </w:p>
    <w:p w14:paraId="4900E0AE" w14:textId="77777777" w:rsidR="00530BD7" w:rsidRPr="00FB6F73" w:rsidRDefault="00530BD7">
      <w:pPr>
        <w:rPr>
          <w:bCs/>
          <w:sz w:val="22"/>
          <w:szCs w:val="22"/>
          <w:lang w:val="sr-Latn-ME"/>
        </w:rPr>
      </w:pPr>
    </w:p>
    <w:p w14:paraId="41B85DAF" w14:textId="77777777" w:rsidR="00411B4B" w:rsidRPr="00FB6F73" w:rsidRDefault="00411B4B" w:rsidP="00F5167F">
      <w:pPr>
        <w:tabs>
          <w:tab w:val="left" w:pos="540"/>
          <w:tab w:val="left" w:pos="569"/>
        </w:tabs>
        <w:rPr>
          <w:b/>
          <w:bCs/>
          <w:sz w:val="22"/>
          <w:szCs w:val="22"/>
          <w:lang w:val="sr-Latn-ME"/>
        </w:rPr>
      </w:pPr>
      <w:r w:rsidRPr="00FB6F73">
        <w:rPr>
          <w:b/>
          <w:bCs/>
          <w:sz w:val="22"/>
          <w:szCs w:val="22"/>
          <w:lang w:val="sr-Latn-ME"/>
        </w:rPr>
        <w:t xml:space="preserve">2. </w:t>
      </w:r>
      <w:r w:rsidR="00F5167F" w:rsidRPr="00FB6F73">
        <w:rPr>
          <w:b/>
          <w:bCs/>
          <w:sz w:val="22"/>
          <w:szCs w:val="22"/>
          <w:lang w:val="sr-Latn-ME"/>
        </w:rPr>
        <w:tab/>
      </w:r>
      <w:r w:rsidRPr="00FB6F73">
        <w:rPr>
          <w:b/>
          <w:bCs/>
          <w:sz w:val="22"/>
          <w:szCs w:val="22"/>
          <w:lang w:val="sr-Latn-ME"/>
        </w:rPr>
        <w:t>KVALITATIVNI I KVANTITATIVNI SASTAV</w:t>
      </w:r>
    </w:p>
    <w:p w14:paraId="02EE2F82" w14:textId="3CF5852C" w:rsidR="005505B4" w:rsidRPr="00FB6F73" w:rsidRDefault="005505B4" w:rsidP="005505B4">
      <w:pPr>
        <w:rPr>
          <w:sz w:val="22"/>
          <w:szCs w:val="22"/>
          <w:lang w:val="sr-Latn-ME"/>
        </w:rPr>
      </w:pPr>
    </w:p>
    <w:p w14:paraId="75B56D4B" w14:textId="77777777" w:rsidR="005505B4" w:rsidRPr="00FB6F73" w:rsidRDefault="005505B4" w:rsidP="005505B4">
      <w:pPr>
        <w:rPr>
          <w:sz w:val="22"/>
          <w:szCs w:val="22"/>
          <w:lang w:val="sr-Latn-ME"/>
        </w:rPr>
      </w:pPr>
      <w:r w:rsidRPr="00FB6F73">
        <w:rPr>
          <w:sz w:val="22"/>
          <w:szCs w:val="22"/>
          <w:lang w:val="sr-Latn-ME"/>
        </w:rPr>
        <w:t xml:space="preserve">Jedna film tableta sadrži 150 mg erlotiniba (u obliku erlotinib hidrohlorida). </w:t>
      </w:r>
    </w:p>
    <w:p w14:paraId="4C2EBD90" w14:textId="77777777" w:rsidR="005505B4" w:rsidRPr="00FB6F73" w:rsidRDefault="005505B4" w:rsidP="005505B4">
      <w:pPr>
        <w:rPr>
          <w:sz w:val="22"/>
          <w:szCs w:val="22"/>
          <w:lang w:val="sr-Latn-ME"/>
        </w:rPr>
      </w:pPr>
    </w:p>
    <w:p w14:paraId="24E38BC6" w14:textId="207AF93B" w:rsidR="00D55694" w:rsidRPr="00FB6F73" w:rsidRDefault="00D55694">
      <w:pPr>
        <w:rPr>
          <w:sz w:val="22"/>
          <w:szCs w:val="22"/>
          <w:lang w:val="sr-Latn-ME"/>
        </w:rPr>
      </w:pPr>
      <w:r w:rsidRPr="00FB6F73">
        <w:rPr>
          <w:sz w:val="22"/>
          <w:szCs w:val="22"/>
          <w:lang w:val="sr-Latn-ME"/>
        </w:rPr>
        <w:t>Pomoćna supstanca sa potvrđenim dejstvom:</w:t>
      </w:r>
    </w:p>
    <w:p w14:paraId="1233BB0F" w14:textId="0C6B2799" w:rsidR="005505B4" w:rsidRPr="00FB6F73" w:rsidRDefault="005505B4" w:rsidP="005505B4">
      <w:pPr>
        <w:rPr>
          <w:sz w:val="22"/>
          <w:szCs w:val="22"/>
          <w:lang w:val="sr-Latn-ME"/>
        </w:rPr>
      </w:pPr>
      <w:r w:rsidRPr="00FB6F73">
        <w:rPr>
          <w:sz w:val="22"/>
          <w:szCs w:val="22"/>
          <w:lang w:val="sr-Latn-ME"/>
        </w:rPr>
        <w:t>Jedna film tableta sadrži 143,90 mg laktoza</w:t>
      </w:r>
      <w:r w:rsidR="00D55694" w:rsidRPr="00FB6F73">
        <w:rPr>
          <w:sz w:val="22"/>
          <w:szCs w:val="22"/>
          <w:lang w:val="sr-Latn-ME"/>
        </w:rPr>
        <w:t>,</w:t>
      </w:r>
      <w:r w:rsidRPr="00FB6F73">
        <w:rPr>
          <w:sz w:val="22"/>
          <w:szCs w:val="22"/>
          <w:lang w:val="sr-Latn-ME"/>
        </w:rPr>
        <w:t xml:space="preserve"> monohidrata. </w:t>
      </w:r>
    </w:p>
    <w:p w14:paraId="35DD21EE" w14:textId="77777777" w:rsidR="005505B4" w:rsidRPr="00FB6F73" w:rsidRDefault="005505B4">
      <w:pPr>
        <w:rPr>
          <w:sz w:val="22"/>
          <w:szCs w:val="22"/>
          <w:lang w:val="sr-Latn-ME"/>
        </w:rPr>
      </w:pPr>
    </w:p>
    <w:p w14:paraId="5F2E78CE" w14:textId="77777777" w:rsidR="0003793F" w:rsidRPr="00FB6F73" w:rsidRDefault="0003793F">
      <w:pPr>
        <w:rPr>
          <w:sz w:val="22"/>
          <w:szCs w:val="22"/>
          <w:lang w:val="sr-Latn-ME"/>
        </w:rPr>
      </w:pPr>
      <w:r w:rsidRPr="00FB6F73">
        <w:rPr>
          <w:sz w:val="22"/>
          <w:szCs w:val="22"/>
          <w:lang w:val="sr-Latn-ME"/>
        </w:rPr>
        <w:t>Za spisak svih ekscipijenasa, pogledati dio 6.1.</w:t>
      </w:r>
    </w:p>
    <w:p w14:paraId="14DD71DF" w14:textId="77777777" w:rsidR="0003793F" w:rsidRPr="00FB6F73" w:rsidRDefault="0003793F">
      <w:pPr>
        <w:rPr>
          <w:sz w:val="22"/>
          <w:szCs w:val="22"/>
          <w:lang w:val="sr-Latn-ME"/>
        </w:rPr>
      </w:pPr>
    </w:p>
    <w:p w14:paraId="0E66353B" w14:textId="77777777" w:rsidR="00C37FD7" w:rsidRPr="00FB6F73" w:rsidRDefault="00C37FD7">
      <w:pPr>
        <w:rPr>
          <w:sz w:val="22"/>
          <w:szCs w:val="22"/>
          <w:lang w:val="sr-Latn-ME"/>
        </w:rPr>
      </w:pPr>
    </w:p>
    <w:p w14:paraId="0214DB46" w14:textId="77777777" w:rsidR="00411B4B" w:rsidRPr="00FB6F73" w:rsidRDefault="00411B4B" w:rsidP="00F5167F">
      <w:pPr>
        <w:tabs>
          <w:tab w:val="left" w:pos="540"/>
          <w:tab w:val="left" w:pos="569"/>
        </w:tabs>
        <w:rPr>
          <w:b/>
          <w:bCs/>
          <w:sz w:val="22"/>
          <w:szCs w:val="22"/>
          <w:lang w:val="sr-Latn-ME"/>
        </w:rPr>
      </w:pPr>
      <w:r w:rsidRPr="00FB6F73">
        <w:rPr>
          <w:b/>
          <w:bCs/>
          <w:sz w:val="22"/>
          <w:szCs w:val="22"/>
          <w:lang w:val="sr-Latn-ME"/>
        </w:rPr>
        <w:t xml:space="preserve">3. </w:t>
      </w:r>
      <w:r w:rsidR="00F5167F" w:rsidRPr="00FB6F73">
        <w:rPr>
          <w:b/>
          <w:bCs/>
          <w:sz w:val="22"/>
          <w:szCs w:val="22"/>
          <w:lang w:val="sr-Latn-ME"/>
        </w:rPr>
        <w:tab/>
      </w:r>
      <w:r w:rsidRPr="00FB6F73">
        <w:rPr>
          <w:b/>
          <w:bCs/>
          <w:sz w:val="22"/>
          <w:szCs w:val="22"/>
          <w:lang w:val="sr-Latn-ME"/>
        </w:rPr>
        <w:t>FARMACEUTSKI OBLIK</w:t>
      </w:r>
      <w:r w:rsidR="009F2D23" w:rsidRPr="00FB6F73">
        <w:rPr>
          <w:b/>
          <w:bCs/>
          <w:sz w:val="22"/>
          <w:szCs w:val="22"/>
          <w:lang w:val="sr-Latn-ME"/>
        </w:rPr>
        <w:t xml:space="preserve"> </w:t>
      </w:r>
    </w:p>
    <w:p w14:paraId="752CC0CD" w14:textId="77777777" w:rsidR="00411B4B" w:rsidRPr="00FB6F73" w:rsidRDefault="00411B4B">
      <w:pPr>
        <w:rPr>
          <w:bCs/>
          <w:sz w:val="22"/>
          <w:szCs w:val="22"/>
          <w:lang w:val="sr-Latn-ME"/>
        </w:rPr>
      </w:pPr>
    </w:p>
    <w:p w14:paraId="0FED7F30" w14:textId="77777777" w:rsidR="00FB6F73" w:rsidRDefault="00FB6F73" w:rsidP="005505B4">
      <w:pPr>
        <w:rPr>
          <w:bCs/>
          <w:sz w:val="22"/>
          <w:szCs w:val="22"/>
          <w:lang w:val="sr-Latn-ME"/>
        </w:rPr>
      </w:pPr>
      <w:r>
        <w:rPr>
          <w:bCs/>
          <w:sz w:val="22"/>
          <w:szCs w:val="22"/>
          <w:lang w:val="sr-Latn-ME"/>
        </w:rPr>
        <w:t>Film tableta.</w:t>
      </w:r>
    </w:p>
    <w:p w14:paraId="25A1C309" w14:textId="7116BA14" w:rsidR="005505B4" w:rsidRPr="00FB6F73" w:rsidRDefault="005505B4" w:rsidP="005505B4">
      <w:pPr>
        <w:rPr>
          <w:bCs/>
          <w:sz w:val="22"/>
          <w:szCs w:val="22"/>
          <w:lang w:val="sr-Latn-ME"/>
        </w:rPr>
      </w:pPr>
      <w:r w:rsidRPr="00FB6F73">
        <w:rPr>
          <w:bCs/>
          <w:sz w:val="22"/>
          <w:szCs w:val="22"/>
          <w:lang w:val="sr-Latn-ME"/>
        </w:rPr>
        <w:t>Okrugle, bikonveksne film tablete, b</w:t>
      </w:r>
      <w:r w:rsidR="00FD4480" w:rsidRPr="00FB6F73">
        <w:rPr>
          <w:bCs/>
          <w:sz w:val="22"/>
          <w:szCs w:val="22"/>
          <w:lang w:val="sr-Latn-ME"/>
        </w:rPr>
        <w:t>ij</w:t>
      </w:r>
      <w:r w:rsidRPr="00FB6F73">
        <w:rPr>
          <w:bCs/>
          <w:sz w:val="22"/>
          <w:szCs w:val="22"/>
          <w:lang w:val="sr-Latn-ME"/>
        </w:rPr>
        <w:t>ele do sv</w:t>
      </w:r>
      <w:r w:rsidR="00FD4480" w:rsidRPr="00FB6F73">
        <w:rPr>
          <w:bCs/>
          <w:sz w:val="22"/>
          <w:szCs w:val="22"/>
          <w:lang w:val="sr-Latn-ME"/>
        </w:rPr>
        <w:t>ij</w:t>
      </w:r>
      <w:r w:rsidRPr="00FB6F73">
        <w:rPr>
          <w:bCs/>
          <w:sz w:val="22"/>
          <w:szCs w:val="22"/>
          <w:lang w:val="sr-Latn-ME"/>
        </w:rPr>
        <w:t>etložute boje sa utisnutom oznakom „150“ na jednoj strani. Prečnik tablete iznosi 10,5 mm ± 5 %.</w:t>
      </w:r>
    </w:p>
    <w:p w14:paraId="50ED7767" w14:textId="531D7395" w:rsidR="00EC2532" w:rsidRDefault="00EC2532" w:rsidP="00981FFD">
      <w:pPr>
        <w:jc w:val="both"/>
        <w:rPr>
          <w:bCs/>
          <w:sz w:val="22"/>
          <w:szCs w:val="22"/>
          <w:lang w:val="sr-Latn-ME"/>
        </w:rPr>
      </w:pPr>
    </w:p>
    <w:p w14:paraId="2BE80767" w14:textId="77777777" w:rsidR="00FB6F73" w:rsidRPr="00FB6F73" w:rsidRDefault="00FB6F73" w:rsidP="00981FFD">
      <w:pPr>
        <w:jc w:val="both"/>
        <w:rPr>
          <w:bCs/>
          <w:sz w:val="22"/>
          <w:szCs w:val="22"/>
          <w:lang w:val="sr-Latn-ME"/>
        </w:rPr>
      </w:pPr>
    </w:p>
    <w:p w14:paraId="410A8FCC" w14:textId="77777777" w:rsidR="00411B4B" w:rsidRPr="00FB6F73" w:rsidRDefault="00411B4B" w:rsidP="00981FFD">
      <w:pPr>
        <w:tabs>
          <w:tab w:val="left" w:pos="540"/>
          <w:tab w:val="left" w:pos="569"/>
        </w:tabs>
        <w:jc w:val="both"/>
        <w:rPr>
          <w:b/>
          <w:bCs/>
          <w:sz w:val="22"/>
          <w:szCs w:val="22"/>
          <w:lang w:val="sr-Latn-ME"/>
        </w:rPr>
      </w:pPr>
      <w:r w:rsidRPr="00FB6F73">
        <w:rPr>
          <w:b/>
          <w:bCs/>
          <w:sz w:val="22"/>
          <w:szCs w:val="22"/>
          <w:lang w:val="sr-Latn-ME"/>
        </w:rPr>
        <w:t xml:space="preserve">4. </w:t>
      </w:r>
      <w:r w:rsidR="00480FB1" w:rsidRPr="00FB6F73">
        <w:rPr>
          <w:b/>
          <w:bCs/>
          <w:sz w:val="22"/>
          <w:szCs w:val="22"/>
          <w:lang w:val="sr-Latn-ME"/>
        </w:rPr>
        <w:tab/>
      </w:r>
      <w:r w:rsidRPr="00FB6F73">
        <w:rPr>
          <w:b/>
          <w:bCs/>
          <w:sz w:val="22"/>
          <w:szCs w:val="22"/>
          <w:lang w:val="sr-Latn-ME"/>
        </w:rPr>
        <w:t>KLINIČKI PODACI</w:t>
      </w:r>
    </w:p>
    <w:p w14:paraId="4D3B55BB" w14:textId="77777777" w:rsidR="00CD6F02" w:rsidRPr="00FB6F73" w:rsidRDefault="00CD6F02" w:rsidP="00981FFD">
      <w:pPr>
        <w:tabs>
          <w:tab w:val="left" w:pos="540"/>
          <w:tab w:val="left" w:pos="569"/>
        </w:tabs>
        <w:jc w:val="both"/>
        <w:rPr>
          <w:bCs/>
          <w:sz w:val="22"/>
          <w:szCs w:val="22"/>
          <w:lang w:val="sr-Latn-ME"/>
        </w:rPr>
      </w:pPr>
    </w:p>
    <w:p w14:paraId="7854D1DA" w14:textId="77777777" w:rsidR="00411B4B" w:rsidRPr="00FB6F73" w:rsidRDefault="00411B4B" w:rsidP="00981FFD">
      <w:pPr>
        <w:tabs>
          <w:tab w:val="left" w:pos="540"/>
          <w:tab w:val="left" w:pos="569"/>
        </w:tabs>
        <w:jc w:val="both"/>
        <w:rPr>
          <w:b/>
          <w:bCs/>
          <w:sz w:val="22"/>
          <w:szCs w:val="22"/>
          <w:lang w:val="sr-Latn-ME"/>
        </w:rPr>
      </w:pPr>
      <w:r w:rsidRPr="00FB6F73">
        <w:rPr>
          <w:b/>
          <w:bCs/>
          <w:sz w:val="22"/>
          <w:szCs w:val="22"/>
          <w:lang w:val="sr-Latn-ME"/>
        </w:rPr>
        <w:t xml:space="preserve">4.1. </w:t>
      </w:r>
      <w:r w:rsidR="00480FB1" w:rsidRPr="00FB6F73">
        <w:rPr>
          <w:b/>
          <w:bCs/>
          <w:sz w:val="22"/>
          <w:szCs w:val="22"/>
          <w:lang w:val="sr-Latn-ME"/>
        </w:rPr>
        <w:tab/>
      </w:r>
      <w:r w:rsidRPr="00FB6F73">
        <w:rPr>
          <w:b/>
          <w:bCs/>
          <w:sz w:val="22"/>
          <w:szCs w:val="22"/>
          <w:lang w:val="sr-Latn-ME"/>
        </w:rPr>
        <w:t>Terapijske indikacije</w:t>
      </w:r>
    </w:p>
    <w:p w14:paraId="6903A01D" w14:textId="1D342C98" w:rsidR="00411B4B" w:rsidRPr="00FB6F73" w:rsidRDefault="00411B4B" w:rsidP="00981FFD">
      <w:pPr>
        <w:tabs>
          <w:tab w:val="left" w:pos="540"/>
          <w:tab w:val="left" w:pos="569"/>
        </w:tabs>
        <w:jc w:val="both"/>
        <w:rPr>
          <w:bCs/>
          <w:sz w:val="22"/>
          <w:szCs w:val="22"/>
          <w:lang w:val="sr-Latn-ME"/>
        </w:rPr>
      </w:pPr>
    </w:p>
    <w:p w14:paraId="0CDD1B64" w14:textId="7311654D" w:rsidR="005505B4" w:rsidRPr="00FB6F73" w:rsidRDefault="005505B4" w:rsidP="00981FFD">
      <w:pPr>
        <w:tabs>
          <w:tab w:val="left" w:pos="540"/>
          <w:tab w:val="left" w:pos="569"/>
        </w:tabs>
        <w:jc w:val="both"/>
        <w:rPr>
          <w:bCs/>
          <w:sz w:val="22"/>
          <w:szCs w:val="22"/>
          <w:u w:val="single"/>
          <w:lang w:val="sr-Latn-ME"/>
        </w:rPr>
      </w:pPr>
      <w:r w:rsidRPr="00FB6F73">
        <w:rPr>
          <w:bCs/>
          <w:sz w:val="22"/>
          <w:szCs w:val="22"/>
          <w:u w:val="single"/>
          <w:lang w:val="sr-Latn-ME"/>
        </w:rPr>
        <w:t xml:space="preserve">Nemikrocelularni karcinom pluća </w:t>
      </w:r>
    </w:p>
    <w:p w14:paraId="19707032" w14:textId="1607F49D" w:rsidR="005505B4" w:rsidRPr="00FB6F73" w:rsidRDefault="005505B4" w:rsidP="00981FFD">
      <w:pPr>
        <w:tabs>
          <w:tab w:val="left" w:pos="540"/>
          <w:tab w:val="left" w:pos="569"/>
        </w:tabs>
        <w:jc w:val="both"/>
        <w:rPr>
          <w:bCs/>
          <w:sz w:val="22"/>
          <w:szCs w:val="22"/>
          <w:lang w:val="sr-Latn-ME"/>
        </w:rPr>
      </w:pPr>
      <w:r w:rsidRPr="00FB6F73">
        <w:rPr>
          <w:bCs/>
          <w:sz w:val="22"/>
          <w:szCs w:val="22"/>
          <w:lang w:val="sr-Latn-ME"/>
        </w:rPr>
        <w:t>L</w:t>
      </w:r>
      <w:r w:rsidR="00FD4480" w:rsidRPr="00FB6F73">
        <w:rPr>
          <w:bCs/>
          <w:sz w:val="22"/>
          <w:szCs w:val="22"/>
          <w:lang w:val="sr-Latn-ME"/>
        </w:rPr>
        <w:t>ij</w:t>
      </w:r>
      <w:r w:rsidRPr="00FB6F73">
        <w:rPr>
          <w:bCs/>
          <w:sz w:val="22"/>
          <w:szCs w:val="22"/>
          <w:lang w:val="sr-Latn-ME"/>
        </w:rPr>
        <w:t>ek Erlotinib Sandoz je indikovan kao terapija prve linije kod pacijenata sa lokalno uznapredovalim ili metastatskim nemikrocelularnim karcinomom pluća (</w:t>
      </w:r>
      <w:r w:rsidR="00A31E3C" w:rsidRPr="00FB6F73">
        <w:rPr>
          <w:bCs/>
          <w:sz w:val="22"/>
          <w:szCs w:val="22"/>
          <w:lang w:val="sr-Latn-ME"/>
        </w:rPr>
        <w:t>engl</w:t>
      </w:r>
      <w:r w:rsidR="001675CA" w:rsidRPr="00FB6F73">
        <w:rPr>
          <w:bCs/>
          <w:sz w:val="22"/>
          <w:szCs w:val="22"/>
          <w:lang w:val="sr-Latn-ME"/>
        </w:rPr>
        <w:t>.</w:t>
      </w:r>
      <w:r w:rsidR="00A31E3C" w:rsidRPr="00FB6F73">
        <w:rPr>
          <w:bCs/>
          <w:sz w:val="22"/>
          <w:szCs w:val="22"/>
          <w:lang w:val="sr-Latn-ME"/>
        </w:rPr>
        <w:t xml:space="preserve"> </w:t>
      </w:r>
      <w:r w:rsidR="00A31E3C" w:rsidRPr="00FB6F73">
        <w:rPr>
          <w:bCs/>
          <w:i/>
          <w:sz w:val="22"/>
          <w:szCs w:val="22"/>
          <w:lang w:val="sr-Latn-ME"/>
        </w:rPr>
        <w:t>non-small cell lung cancer</w:t>
      </w:r>
      <w:r w:rsidR="00A31E3C" w:rsidRPr="00FB6F73">
        <w:rPr>
          <w:bCs/>
          <w:sz w:val="22"/>
          <w:szCs w:val="22"/>
          <w:lang w:val="sr-Latn-ME"/>
        </w:rPr>
        <w:t xml:space="preserve">, </w:t>
      </w:r>
      <w:r w:rsidRPr="00FB6F73">
        <w:rPr>
          <w:bCs/>
          <w:sz w:val="22"/>
          <w:szCs w:val="22"/>
          <w:lang w:val="sr-Latn-ME"/>
        </w:rPr>
        <w:t xml:space="preserve">NSCLC) sa EGFR aktivirajućim mutacijama (engl. </w:t>
      </w:r>
      <w:r w:rsidRPr="00FB6F73">
        <w:rPr>
          <w:bCs/>
          <w:i/>
          <w:sz w:val="22"/>
          <w:szCs w:val="22"/>
          <w:lang w:val="sr-Latn-ME"/>
        </w:rPr>
        <w:t>epidermal growth factor receptor</w:t>
      </w:r>
      <w:r w:rsidRPr="00FB6F73">
        <w:rPr>
          <w:bCs/>
          <w:sz w:val="22"/>
          <w:szCs w:val="22"/>
          <w:lang w:val="sr-Latn-ME"/>
        </w:rPr>
        <w:t>).</w:t>
      </w:r>
    </w:p>
    <w:p w14:paraId="098CEFBB" w14:textId="77777777" w:rsidR="005505B4" w:rsidRPr="00FB6F73" w:rsidRDefault="005505B4" w:rsidP="00981FFD">
      <w:pPr>
        <w:tabs>
          <w:tab w:val="left" w:pos="540"/>
          <w:tab w:val="left" w:pos="569"/>
        </w:tabs>
        <w:jc w:val="both"/>
        <w:rPr>
          <w:bCs/>
          <w:sz w:val="22"/>
          <w:szCs w:val="22"/>
          <w:lang w:val="sr-Latn-ME"/>
        </w:rPr>
      </w:pPr>
    </w:p>
    <w:p w14:paraId="7ED589EF" w14:textId="0318BBE5" w:rsidR="005505B4" w:rsidRPr="00FB6F73" w:rsidRDefault="005505B4" w:rsidP="00981FFD">
      <w:pPr>
        <w:tabs>
          <w:tab w:val="left" w:pos="540"/>
          <w:tab w:val="left" w:pos="569"/>
        </w:tabs>
        <w:jc w:val="both"/>
        <w:rPr>
          <w:bCs/>
          <w:sz w:val="22"/>
          <w:szCs w:val="22"/>
          <w:lang w:val="sr-Latn-ME"/>
        </w:rPr>
      </w:pPr>
      <w:r w:rsidRPr="00FB6F73">
        <w:rPr>
          <w:bCs/>
          <w:sz w:val="22"/>
          <w:szCs w:val="22"/>
          <w:lang w:val="sr-Latn-ME"/>
        </w:rPr>
        <w:t>L</w:t>
      </w:r>
      <w:r w:rsidR="00FD4480" w:rsidRPr="00FB6F73">
        <w:rPr>
          <w:bCs/>
          <w:sz w:val="22"/>
          <w:szCs w:val="22"/>
          <w:lang w:val="sr-Latn-ME"/>
        </w:rPr>
        <w:t>ij</w:t>
      </w:r>
      <w:r w:rsidRPr="00FB6F73">
        <w:rPr>
          <w:bCs/>
          <w:sz w:val="22"/>
          <w:szCs w:val="22"/>
          <w:lang w:val="sr-Latn-ME"/>
        </w:rPr>
        <w:t xml:space="preserve">ek Erlotinib Sandoz je takođe indikovan za terapiju održavanja kod pacijenata sa lokalno uznapredovalim ili metastatskim NSCLC sa EGFR aktivirajućim mutacijama i stabilnom bolešću nakon prve linije hemioterapije (engl. </w:t>
      </w:r>
      <w:r w:rsidRPr="00FB6F73">
        <w:rPr>
          <w:bCs/>
          <w:i/>
          <w:sz w:val="22"/>
          <w:szCs w:val="22"/>
          <w:lang w:val="sr-Latn-ME"/>
        </w:rPr>
        <w:t>switch maintenance</w:t>
      </w:r>
      <w:r w:rsidRPr="00FB6F73">
        <w:rPr>
          <w:bCs/>
          <w:sz w:val="22"/>
          <w:szCs w:val="22"/>
          <w:lang w:val="sr-Latn-ME"/>
        </w:rPr>
        <w:t>).</w:t>
      </w:r>
    </w:p>
    <w:p w14:paraId="260DA3BB" w14:textId="77777777" w:rsidR="00F8289A" w:rsidRPr="00FB6F73" w:rsidRDefault="00F8289A" w:rsidP="00981FFD">
      <w:pPr>
        <w:tabs>
          <w:tab w:val="left" w:pos="540"/>
          <w:tab w:val="left" w:pos="569"/>
        </w:tabs>
        <w:jc w:val="both"/>
        <w:rPr>
          <w:bCs/>
          <w:sz w:val="22"/>
          <w:szCs w:val="22"/>
          <w:lang w:val="sr-Latn-ME"/>
        </w:rPr>
      </w:pPr>
    </w:p>
    <w:p w14:paraId="61198E15" w14:textId="33F8E276" w:rsidR="005505B4" w:rsidRPr="00FB6F73" w:rsidRDefault="00FD4480" w:rsidP="00981FFD">
      <w:pPr>
        <w:tabs>
          <w:tab w:val="left" w:pos="540"/>
          <w:tab w:val="left" w:pos="569"/>
        </w:tabs>
        <w:jc w:val="both"/>
        <w:rPr>
          <w:bCs/>
          <w:sz w:val="22"/>
          <w:szCs w:val="22"/>
          <w:lang w:val="sr-Latn-ME"/>
        </w:rPr>
      </w:pPr>
      <w:r w:rsidRPr="00FB6F73">
        <w:rPr>
          <w:bCs/>
          <w:sz w:val="22"/>
          <w:szCs w:val="22"/>
          <w:lang w:val="sr-Latn-ME"/>
        </w:rPr>
        <w:t>Lijek</w:t>
      </w:r>
      <w:r w:rsidR="005505B4" w:rsidRPr="00FB6F73">
        <w:rPr>
          <w:bCs/>
          <w:sz w:val="22"/>
          <w:szCs w:val="22"/>
          <w:lang w:val="sr-Latn-ME"/>
        </w:rPr>
        <w:t xml:space="preserve"> Erlotinib Sandoz je takođe indikovan u </w:t>
      </w:r>
      <w:r w:rsidRPr="00FB6F73">
        <w:rPr>
          <w:bCs/>
          <w:sz w:val="22"/>
          <w:szCs w:val="22"/>
          <w:lang w:val="sr-Latn-ME"/>
        </w:rPr>
        <w:t>liječenju</w:t>
      </w:r>
      <w:r w:rsidR="005505B4" w:rsidRPr="00FB6F73">
        <w:rPr>
          <w:bCs/>
          <w:sz w:val="22"/>
          <w:szCs w:val="22"/>
          <w:lang w:val="sr-Latn-ME"/>
        </w:rPr>
        <w:t xml:space="preserve"> pacijenata sa lokalno uznapredovalim ili metastatskim NSCLC nakon neusp</w:t>
      </w:r>
      <w:r w:rsidR="001675CA" w:rsidRPr="00FB6F73">
        <w:rPr>
          <w:bCs/>
          <w:sz w:val="22"/>
          <w:szCs w:val="22"/>
          <w:lang w:val="sr-Latn-ME"/>
        </w:rPr>
        <w:t>j</w:t>
      </w:r>
      <w:r w:rsidR="005505B4" w:rsidRPr="00FB6F73">
        <w:rPr>
          <w:bCs/>
          <w:sz w:val="22"/>
          <w:szCs w:val="22"/>
          <w:lang w:val="sr-Latn-ME"/>
        </w:rPr>
        <w:t xml:space="preserve">eha bar jednog prethodnog hemioterapijskog režima. </w:t>
      </w:r>
      <w:r w:rsidR="00A31E3C" w:rsidRPr="00FB6F73">
        <w:rPr>
          <w:bCs/>
          <w:sz w:val="22"/>
          <w:szCs w:val="22"/>
          <w:lang w:val="sr-Latn-ME"/>
        </w:rPr>
        <w:t>Kod pacijen</w:t>
      </w:r>
      <w:r w:rsidR="007A659B" w:rsidRPr="00FB6F73">
        <w:rPr>
          <w:bCs/>
          <w:sz w:val="22"/>
          <w:szCs w:val="22"/>
          <w:lang w:val="sr-Latn-ME"/>
        </w:rPr>
        <w:t>a</w:t>
      </w:r>
      <w:r w:rsidR="00A31E3C" w:rsidRPr="00FB6F73">
        <w:rPr>
          <w:bCs/>
          <w:sz w:val="22"/>
          <w:szCs w:val="22"/>
          <w:lang w:val="sr-Latn-ME"/>
        </w:rPr>
        <w:t xml:space="preserve">ta sa tumorima bez aktivirajućih mutacija EGFR-a, </w:t>
      </w:r>
      <w:r w:rsidR="001675CA" w:rsidRPr="00FB6F73">
        <w:rPr>
          <w:bCs/>
          <w:sz w:val="22"/>
          <w:szCs w:val="22"/>
          <w:lang w:val="sr-Latn-ME"/>
        </w:rPr>
        <w:t xml:space="preserve">lijek </w:t>
      </w:r>
      <w:r w:rsidR="007A659B" w:rsidRPr="00FB6F73">
        <w:rPr>
          <w:bCs/>
          <w:sz w:val="22"/>
          <w:szCs w:val="22"/>
          <w:lang w:val="sr-Latn-ME"/>
        </w:rPr>
        <w:t>Erlotinib Sandoz</w:t>
      </w:r>
      <w:r w:rsidR="00A31E3C" w:rsidRPr="00FB6F73">
        <w:rPr>
          <w:bCs/>
          <w:sz w:val="22"/>
          <w:szCs w:val="22"/>
          <w:lang w:val="sr-Latn-ME"/>
        </w:rPr>
        <w:t xml:space="preserve"> je indi</w:t>
      </w:r>
      <w:r w:rsidR="007A659B" w:rsidRPr="00FB6F73">
        <w:rPr>
          <w:bCs/>
          <w:sz w:val="22"/>
          <w:szCs w:val="22"/>
          <w:lang w:val="sr-Latn-ME"/>
        </w:rPr>
        <w:t>kovan</w:t>
      </w:r>
      <w:r w:rsidR="00A31E3C" w:rsidRPr="00FB6F73">
        <w:rPr>
          <w:bCs/>
          <w:sz w:val="22"/>
          <w:szCs w:val="22"/>
          <w:lang w:val="sr-Latn-ME"/>
        </w:rPr>
        <w:t xml:space="preserve"> kada se druge opcije liječenja ne smatraju </w:t>
      </w:r>
      <w:r w:rsidR="007A659B" w:rsidRPr="00FB6F73">
        <w:rPr>
          <w:bCs/>
          <w:sz w:val="22"/>
          <w:szCs w:val="22"/>
          <w:lang w:val="sr-Latn-ME"/>
        </w:rPr>
        <w:t>odgovarajućim</w:t>
      </w:r>
      <w:r w:rsidR="00A31E3C" w:rsidRPr="00FB6F73">
        <w:rPr>
          <w:bCs/>
          <w:sz w:val="22"/>
          <w:szCs w:val="22"/>
          <w:lang w:val="sr-Latn-ME"/>
        </w:rPr>
        <w:t>.</w:t>
      </w:r>
    </w:p>
    <w:p w14:paraId="2C6CAA00" w14:textId="77777777" w:rsidR="005505B4" w:rsidRPr="00FB6F73" w:rsidRDefault="005505B4" w:rsidP="00981FFD">
      <w:pPr>
        <w:tabs>
          <w:tab w:val="left" w:pos="540"/>
          <w:tab w:val="left" w:pos="569"/>
        </w:tabs>
        <w:jc w:val="both"/>
        <w:rPr>
          <w:bCs/>
          <w:sz w:val="22"/>
          <w:szCs w:val="22"/>
          <w:lang w:val="sr-Latn-ME"/>
        </w:rPr>
      </w:pPr>
    </w:p>
    <w:p w14:paraId="5FC28AD4" w14:textId="60C9F0B3" w:rsidR="005505B4" w:rsidRPr="00FB6F73" w:rsidRDefault="005505B4" w:rsidP="00981FFD">
      <w:pPr>
        <w:tabs>
          <w:tab w:val="left" w:pos="540"/>
          <w:tab w:val="left" w:pos="569"/>
        </w:tabs>
        <w:jc w:val="both"/>
        <w:rPr>
          <w:bCs/>
          <w:sz w:val="22"/>
          <w:szCs w:val="22"/>
          <w:lang w:val="sr-Latn-ME"/>
        </w:rPr>
      </w:pPr>
      <w:r w:rsidRPr="00FB6F73">
        <w:rPr>
          <w:bCs/>
          <w:sz w:val="22"/>
          <w:szCs w:val="22"/>
          <w:lang w:val="sr-Latn-ME"/>
        </w:rPr>
        <w:t xml:space="preserve">Kada se propisuje </w:t>
      </w:r>
      <w:r w:rsidR="001675CA" w:rsidRPr="00FB6F73">
        <w:rPr>
          <w:bCs/>
          <w:sz w:val="22"/>
          <w:szCs w:val="22"/>
          <w:lang w:val="sr-Latn-ME"/>
        </w:rPr>
        <w:t xml:space="preserve">lijek </w:t>
      </w:r>
      <w:r w:rsidRPr="00FB6F73">
        <w:rPr>
          <w:bCs/>
          <w:sz w:val="22"/>
          <w:szCs w:val="22"/>
          <w:lang w:val="sr-Latn-ME"/>
        </w:rPr>
        <w:t xml:space="preserve">Erlotinib Sandoz, treba uzeti u obzir i faktore povezane sa produženim preživljavanjem. </w:t>
      </w:r>
    </w:p>
    <w:p w14:paraId="4554D622" w14:textId="77777777" w:rsidR="005505B4" w:rsidRPr="00FB6F73" w:rsidRDefault="005505B4" w:rsidP="00981FFD">
      <w:pPr>
        <w:tabs>
          <w:tab w:val="left" w:pos="540"/>
          <w:tab w:val="left" w:pos="569"/>
        </w:tabs>
        <w:jc w:val="both"/>
        <w:rPr>
          <w:bCs/>
          <w:sz w:val="22"/>
          <w:szCs w:val="22"/>
          <w:lang w:val="sr-Latn-ME"/>
        </w:rPr>
      </w:pPr>
    </w:p>
    <w:p w14:paraId="62A7BE80" w14:textId="1BC42023" w:rsidR="005505B4" w:rsidRPr="00FB6F73" w:rsidRDefault="005505B4" w:rsidP="00981FFD">
      <w:pPr>
        <w:tabs>
          <w:tab w:val="left" w:pos="540"/>
          <w:tab w:val="left" w:pos="569"/>
        </w:tabs>
        <w:jc w:val="both"/>
        <w:rPr>
          <w:bCs/>
          <w:sz w:val="22"/>
          <w:szCs w:val="22"/>
          <w:lang w:val="sr-Latn-ME"/>
        </w:rPr>
      </w:pPr>
      <w:r w:rsidRPr="00FB6F73">
        <w:rPr>
          <w:bCs/>
          <w:sz w:val="22"/>
          <w:szCs w:val="22"/>
          <w:lang w:val="sr-Latn-ME"/>
        </w:rPr>
        <w:t>Nije dokazano produženo preživljavanje, niti drugi klinički značajni efekti l</w:t>
      </w:r>
      <w:r w:rsidR="00FD4480" w:rsidRPr="00FB6F73">
        <w:rPr>
          <w:bCs/>
          <w:sz w:val="22"/>
          <w:szCs w:val="22"/>
          <w:lang w:val="sr-Latn-ME"/>
        </w:rPr>
        <w:t>ij</w:t>
      </w:r>
      <w:r w:rsidRPr="00FB6F73">
        <w:rPr>
          <w:bCs/>
          <w:sz w:val="22"/>
          <w:szCs w:val="22"/>
          <w:lang w:val="sr-Latn-ME"/>
        </w:rPr>
        <w:t>ečenja kod pacijenata sa EGFR-IHC negativnim tumorima (EGFR - receptor za epidermalni faktor rasta) (vid</w:t>
      </w:r>
      <w:r w:rsidR="00FD4480" w:rsidRPr="00FB6F73">
        <w:rPr>
          <w:bCs/>
          <w:sz w:val="22"/>
          <w:szCs w:val="22"/>
          <w:lang w:val="sr-Latn-ME"/>
        </w:rPr>
        <w:t>j</w:t>
      </w:r>
      <w:r w:rsidRPr="00FB6F73">
        <w:rPr>
          <w:bCs/>
          <w:sz w:val="22"/>
          <w:szCs w:val="22"/>
          <w:lang w:val="sr-Latn-ME"/>
        </w:rPr>
        <w:t xml:space="preserve">eti </w:t>
      </w:r>
      <w:r w:rsidR="001675CA" w:rsidRPr="00FB6F73">
        <w:rPr>
          <w:bCs/>
          <w:sz w:val="22"/>
          <w:szCs w:val="22"/>
          <w:lang w:val="sr-Latn-ME"/>
        </w:rPr>
        <w:t xml:space="preserve">dio </w:t>
      </w:r>
      <w:r w:rsidRPr="00FB6F73">
        <w:rPr>
          <w:bCs/>
          <w:sz w:val="22"/>
          <w:szCs w:val="22"/>
          <w:lang w:val="sr-Latn-ME"/>
        </w:rPr>
        <w:t>5.1).</w:t>
      </w:r>
    </w:p>
    <w:p w14:paraId="584420C5" w14:textId="77777777" w:rsidR="005505B4" w:rsidRPr="00FB6F73" w:rsidRDefault="005505B4" w:rsidP="00981FFD">
      <w:pPr>
        <w:tabs>
          <w:tab w:val="left" w:pos="540"/>
          <w:tab w:val="left" w:pos="569"/>
        </w:tabs>
        <w:jc w:val="both"/>
        <w:rPr>
          <w:bCs/>
          <w:sz w:val="22"/>
          <w:szCs w:val="22"/>
          <w:lang w:val="sr-Latn-ME"/>
        </w:rPr>
      </w:pPr>
    </w:p>
    <w:p w14:paraId="48AA1177" w14:textId="77777777" w:rsidR="005505B4" w:rsidRPr="00FB6F73" w:rsidRDefault="005505B4" w:rsidP="00981FFD">
      <w:pPr>
        <w:tabs>
          <w:tab w:val="left" w:pos="540"/>
          <w:tab w:val="left" w:pos="569"/>
        </w:tabs>
        <w:jc w:val="both"/>
        <w:rPr>
          <w:bCs/>
          <w:sz w:val="22"/>
          <w:szCs w:val="22"/>
          <w:lang w:val="sr-Latn-ME"/>
        </w:rPr>
      </w:pPr>
      <w:r w:rsidRPr="00FB6F73">
        <w:rPr>
          <w:bCs/>
          <w:sz w:val="22"/>
          <w:szCs w:val="22"/>
          <w:u w:val="single"/>
          <w:lang w:val="sr-Latn-ME"/>
        </w:rPr>
        <w:t>Karcinom pankreasa:</w:t>
      </w:r>
      <w:r w:rsidRPr="00FB6F73">
        <w:rPr>
          <w:bCs/>
          <w:sz w:val="22"/>
          <w:szCs w:val="22"/>
          <w:lang w:val="sr-Latn-ME"/>
        </w:rPr>
        <w:t xml:space="preserve"> </w:t>
      </w:r>
    </w:p>
    <w:p w14:paraId="3F6CCB49" w14:textId="23AC6591" w:rsidR="005505B4" w:rsidRPr="00FB6F73" w:rsidRDefault="00FD4480" w:rsidP="00981FFD">
      <w:pPr>
        <w:tabs>
          <w:tab w:val="left" w:pos="540"/>
          <w:tab w:val="left" w:pos="569"/>
        </w:tabs>
        <w:jc w:val="both"/>
        <w:rPr>
          <w:bCs/>
          <w:sz w:val="22"/>
          <w:szCs w:val="22"/>
          <w:lang w:val="sr-Latn-ME"/>
        </w:rPr>
      </w:pPr>
      <w:r w:rsidRPr="00FB6F73">
        <w:rPr>
          <w:bCs/>
          <w:sz w:val="22"/>
          <w:szCs w:val="22"/>
          <w:lang w:val="sr-Latn-ME"/>
        </w:rPr>
        <w:t>Lijek</w:t>
      </w:r>
      <w:r w:rsidR="005505B4" w:rsidRPr="00FB6F73">
        <w:rPr>
          <w:bCs/>
          <w:sz w:val="22"/>
          <w:szCs w:val="22"/>
          <w:lang w:val="sr-Latn-ME"/>
        </w:rPr>
        <w:t xml:space="preserve"> Erlotinib Sandoz je u kombinaciji sa gemcitabinom indikovan za l</w:t>
      </w:r>
      <w:r w:rsidRPr="00FB6F73">
        <w:rPr>
          <w:bCs/>
          <w:sz w:val="22"/>
          <w:szCs w:val="22"/>
          <w:lang w:val="sr-Latn-ME"/>
        </w:rPr>
        <w:t>ij</w:t>
      </w:r>
      <w:r w:rsidR="005505B4" w:rsidRPr="00FB6F73">
        <w:rPr>
          <w:bCs/>
          <w:sz w:val="22"/>
          <w:szCs w:val="22"/>
          <w:lang w:val="sr-Latn-ME"/>
        </w:rPr>
        <w:t>ečenje obol</w:t>
      </w:r>
      <w:r w:rsidR="001675CA" w:rsidRPr="00FB6F73">
        <w:rPr>
          <w:bCs/>
          <w:sz w:val="22"/>
          <w:szCs w:val="22"/>
          <w:lang w:val="sr-Latn-ME"/>
        </w:rPr>
        <w:t>j</w:t>
      </w:r>
      <w:r w:rsidR="005505B4" w:rsidRPr="00FB6F73">
        <w:rPr>
          <w:bCs/>
          <w:sz w:val="22"/>
          <w:szCs w:val="22"/>
          <w:lang w:val="sr-Latn-ME"/>
        </w:rPr>
        <w:t xml:space="preserve">elih od metastatskog karcinoma pankreasa. </w:t>
      </w:r>
    </w:p>
    <w:p w14:paraId="4BBF8D2E" w14:textId="77777777" w:rsidR="005505B4" w:rsidRPr="00FB6F73" w:rsidRDefault="005505B4" w:rsidP="00981FFD">
      <w:pPr>
        <w:tabs>
          <w:tab w:val="left" w:pos="540"/>
          <w:tab w:val="left" w:pos="569"/>
        </w:tabs>
        <w:jc w:val="both"/>
        <w:rPr>
          <w:bCs/>
          <w:sz w:val="22"/>
          <w:szCs w:val="22"/>
          <w:lang w:val="sr-Latn-ME"/>
        </w:rPr>
      </w:pPr>
    </w:p>
    <w:p w14:paraId="0E97F980" w14:textId="4E11A333" w:rsidR="005505B4" w:rsidRPr="00FB6F73" w:rsidRDefault="005505B4" w:rsidP="00981FFD">
      <w:pPr>
        <w:tabs>
          <w:tab w:val="left" w:pos="540"/>
          <w:tab w:val="left" w:pos="569"/>
        </w:tabs>
        <w:jc w:val="both"/>
        <w:rPr>
          <w:bCs/>
          <w:sz w:val="22"/>
          <w:szCs w:val="22"/>
          <w:lang w:val="sr-Latn-ME"/>
        </w:rPr>
      </w:pPr>
      <w:r w:rsidRPr="00FB6F73">
        <w:rPr>
          <w:bCs/>
          <w:sz w:val="22"/>
          <w:szCs w:val="22"/>
          <w:lang w:val="sr-Latn-ME"/>
        </w:rPr>
        <w:t xml:space="preserve">Kada se propisuje </w:t>
      </w:r>
      <w:r w:rsidR="001675CA" w:rsidRPr="00FB6F73">
        <w:rPr>
          <w:bCs/>
          <w:sz w:val="22"/>
          <w:szCs w:val="22"/>
          <w:lang w:val="sr-Latn-ME"/>
        </w:rPr>
        <w:t xml:space="preserve">lijek </w:t>
      </w:r>
      <w:r w:rsidRPr="00FB6F73">
        <w:rPr>
          <w:bCs/>
          <w:sz w:val="22"/>
          <w:szCs w:val="22"/>
          <w:lang w:val="sr-Latn-ME"/>
        </w:rPr>
        <w:t>Erlotinib Sandoz, treba uzeti u obzir faktore koji su povezani sa produženim preživljavanjem (vid</w:t>
      </w:r>
      <w:r w:rsidR="00FD4480" w:rsidRPr="00FB6F73">
        <w:rPr>
          <w:bCs/>
          <w:sz w:val="22"/>
          <w:szCs w:val="22"/>
          <w:lang w:val="sr-Latn-ME"/>
        </w:rPr>
        <w:t>j</w:t>
      </w:r>
      <w:r w:rsidRPr="00FB6F73">
        <w:rPr>
          <w:bCs/>
          <w:sz w:val="22"/>
          <w:szCs w:val="22"/>
          <w:lang w:val="sr-Latn-ME"/>
        </w:rPr>
        <w:t xml:space="preserve">eti </w:t>
      </w:r>
      <w:r w:rsidR="001675CA" w:rsidRPr="00FB6F73">
        <w:rPr>
          <w:bCs/>
          <w:sz w:val="22"/>
          <w:szCs w:val="22"/>
          <w:lang w:val="sr-Latn-ME"/>
        </w:rPr>
        <w:t xml:space="preserve">djelove </w:t>
      </w:r>
      <w:r w:rsidRPr="00FB6F73">
        <w:rPr>
          <w:bCs/>
          <w:sz w:val="22"/>
          <w:szCs w:val="22"/>
          <w:lang w:val="sr-Latn-ME"/>
        </w:rPr>
        <w:t xml:space="preserve">4.2 i 5.1). </w:t>
      </w:r>
    </w:p>
    <w:p w14:paraId="2342C4BD" w14:textId="77777777" w:rsidR="005505B4" w:rsidRPr="00FB6F73" w:rsidRDefault="005505B4" w:rsidP="00981FFD">
      <w:pPr>
        <w:tabs>
          <w:tab w:val="left" w:pos="540"/>
          <w:tab w:val="left" w:pos="569"/>
        </w:tabs>
        <w:jc w:val="both"/>
        <w:rPr>
          <w:bCs/>
          <w:sz w:val="22"/>
          <w:szCs w:val="22"/>
          <w:lang w:val="sr-Latn-ME"/>
        </w:rPr>
      </w:pPr>
      <w:r w:rsidRPr="00FB6F73">
        <w:rPr>
          <w:bCs/>
          <w:sz w:val="22"/>
          <w:szCs w:val="22"/>
          <w:lang w:val="sr-Latn-ME"/>
        </w:rPr>
        <w:lastRenderedPageBreak/>
        <w:t>Kod pacijenata sa lokalno uznapredovalom bolešću nije pokazano poboljšanje u preživljavanju.</w:t>
      </w:r>
    </w:p>
    <w:p w14:paraId="759F774A" w14:textId="77777777" w:rsidR="005505B4" w:rsidRPr="00FB6F73" w:rsidRDefault="005505B4" w:rsidP="00981FFD">
      <w:pPr>
        <w:tabs>
          <w:tab w:val="left" w:pos="540"/>
          <w:tab w:val="left" w:pos="569"/>
        </w:tabs>
        <w:jc w:val="both"/>
        <w:rPr>
          <w:bCs/>
          <w:sz w:val="22"/>
          <w:szCs w:val="22"/>
          <w:lang w:val="sr-Latn-ME"/>
        </w:rPr>
      </w:pPr>
    </w:p>
    <w:p w14:paraId="4B22658E" w14:textId="77777777" w:rsidR="00411B4B" w:rsidRPr="00FB6F73" w:rsidRDefault="00411B4B" w:rsidP="00981FFD">
      <w:pPr>
        <w:tabs>
          <w:tab w:val="left" w:pos="540"/>
          <w:tab w:val="left" w:pos="569"/>
        </w:tabs>
        <w:jc w:val="both"/>
        <w:rPr>
          <w:b/>
          <w:bCs/>
          <w:sz w:val="22"/>
          <w:szCs w:val="22"/>
          <w:lang w:val="sr-Latn-ME"/>
        </w:rPr>
      </w:pPr>
      <w:r w:rsidRPr="00FB6F73">
        <w:rPr>
          <w:b/>
          <w:bCs/>
          <w:sz w:val="22"/>
          <w:szCs w:val="22"/>
          <w:lang w:val="sr-Latn-ME"/>
        </w:rPr>
        <w:t xml:space="preserve">4.2. </w:t>
      </w:r>
      <w:r w:rsidR="00480FB1" w:rsidRPr="00FB6F73">
        <w:rPr>
          <w:b/>
          <w:bCs/>
          <w:sz w:val="22"/>
          <w:szCs w:val="22"/>
          <w:lang w:val="sr-Latn-ME"/>
        </w:rPr>
        <w:tab/>
      </w:r>
      <w:r w:rsidRPr="00FB6F73">
        <w:rPr>
          <w:b/>
          <w:bCs/>
          <w:sz w:val="22"/>
          <w:szCs w:val="22"/>
          <w:lang w:val="sr-Latn-ME"/>
        </w:rPr>
        <w:t>Doziranje i način primjene</w:t>
      </w:r>
    </w:p>
    <w:p w14:paraId="6035BA2C" w14:textId="77777777" w:rsidR="00B13E55" w:rsidRPr="00FB6F73" w:rsidRDefault="00B13E55" w:rsidP="00981FFD">
      <w:pPr>
        <w:tabs>
          <w:tab w:val="left" w:pos="540"/>
          <w:tab w:val="left" w:pos="569"/>
        </w:tabs>
        <w:jc w:val="both"/>
        <w:rPr>
          <w:bCs/>
          <w:sz w:val="22"/>
          <w:szCs w:val="22"/>
          <w:lang w:val="sr-Latn-ME"/>
        </w:rPr>
      </w:pPr>
    </w:p>
    <w:p w14:paraId="55C63630" w14:textId="15AEB61E" w:rsidR="005505B4" w:rsidRPr="00FB6F73" w:rsidRDefault="005505B4" w:rsidP="00981FFD">
      <w:pPr>
        <w:tabs>
          <w:tab w:val="left" w:pos="540"/>
          <w:tab w:val="left" w:pos="569"/>
        </w:tabs>
        <w:jc w:val="both"/>
        <w:rPr>
          <w:bCs/>
          <w:sz w:val="22"/>
          <w:szCs w:val="22"/>
          <w:lang w:val="sr-Latn-ME"/>
        </w:rPr>
      </w:pPr>
      <w:r w:rsidRPr="00FB6F73">
        <w:rPr>
          <w:bCs/>
          <w:sz w:val="22"/>
          <w:szCs w:val="22"/>
          <w:lang w:val="sr-Latn-ME"/>
        </w:rPr>
        <w:t xml:space="preserve">Terapiju </w:t>
      </w:r>
      <w:r w:rsidR="00FD4480" w:rsidRPr="00FB6F73">
        <w:rPr>
          <w:bCs/>
          <w:sz w:val="22"/>
          <w:szCs w:val="22"/>
          <w:lang w:val="sr-Latn-ME"/>
        </w:rPr>
        <w:t>lijek</w:t>
      </w:r>
      <w:r w:rsidRPr="00FB6F73">
        <w:rPr>
          <w:bCs/>
          <w:sz w:val="22"/>
          <w:szCs w:val="22"/>
          <w:lang w:val="sr-Latn-ME"/>
        </w:rPr>
        <w:t xml:space="preserve">om Erlotinib Sandoz treba da nadzire </w:t>
      </w:r>
      <w:r w:rsidR="00FD4480" w:rsidRPr="00FB6F73">
        <w:rPr>
          <w:bCs/>
          <w:sz w:val="22"/>
          <w:szCs w:val="22"/>
          <w:lang w:val="sr-Latn-ME"/>
        </w:rPr>
        <w:t>ljekar</w:t>
      </w:r>
      <w:r w:rsidRPr="00FB6F73">
        <w:rPr>
          <w:bCs/>
          <w:sz w:val="22"/>
          <w:szCs w:val="22"/>
          <w:lang w:val="sr-Latn-ME"/>
        </w:rPr>
        <w:t xml:space="preserve"> sa iskustvom u </w:t>
      </w:r>
      <w:r w:rsidR="00FD4480" w:rsidRPr="00FB6F73">
        <w:rPr>
          <w:bCs/>
          <w:sz w:val="22"/>
          <w:szCs w:val="22"/>
          <w:lang w:val="sr-Latn-ME"/>
        </w:rPr>
        <w:t>primjeni</w:t>
      </w:r>
      <w:r w:rsidRPr="00FB6F73">
        <w:rPr>
          <w:bCs/>
          <w:sz w:val="22"/>
          <w:szCs w:val="22"/>
          <w:lang w:val="sr-Latn-ME"/>
        </w:rPr>
        <w:t xml:space="preserve"> </w:t>
      </w:r>
      <w:r w:rsidR="00986DDB" w:rsidRPr="00FB6F73">
        <w:rPr>
          <w:bCs/>
          <w:sz w:val="22"/>
          <w:szCs w:val="22"/>
          <w:lang w:val="sr-Latn-ME"/>
        </w:rPr>
        <w:t xml:space="preserve">antikarcinomske </w:t>
      </w:r>
      <w:r w:rsidRPr="00FB6F73">
        <w:rPr>
          <w:bCs/>
          <w:sz w:val="22"/>
          <w:szCs w:val="22"/>
          <w:lang w:val="sr-Latn-ME"/>
        </w:rPr>
        <w:t>terapije.</w:t>
      </w:r>
    </w:p>
    <w:p w14:paraId="019EDD72" w14:textId="77777777" w:rsidR="0072020E" w:rsidRPr="00FB6F73" w:rsidRDefault="0072020E" w:rsidP="00981FFD">
      <w:pPr>
        <w:tabs>
          <w:tab w:val="left" w:pos="540"/>
          <w:tab w:val="left" w:pos="569"/>
        </w:tabs>
        <w:jc w:val="both"/>
        <w:rPr>
          <w:bCs/>
          <w:sz w:val="22"/>
          <w:szCs w:val="22"/>
          <w:lang w:val="sr-Latn-ME"/>
        </w:rPr>
      </w:pPr>
    </w:p>
    <w:p w14:paraId="46A1FE42" w14:textId="77777777" w:rsidR="00452E9D" w:rsidRPr="00FB6F73" w:rsidRDefault="00452E9D" w:rsidP="00981FFD">
      <w:pPr>
        <w:tabs>
          <w:tab w:val="left" w:pos="540"/>
          <w:tab w:val="left" w:pos="569"/>
        </w:tabs>
        <w:jc w:val="both"/>
        <w:rPr>
          <w:bCs/>
          <w:sz w:val="22"/>
          <w:szCs w:val="22"/>
          <w:u w:val="single"/>
          <w:lang w:val="sr-Latn-ME"/>
        </w:rPr>
      </w:pPr>
      <w:r w:rsidRPr="00FB6F73">
        <w:rPr>
          <w:bCs/>
          <w:sz w:val="22"/>
          <w:szCs w:val="22"/>
          <w:u w:val="single"/>
          <w:lang w:val="sr-Latn-ME"/>
        </w:rPr>
        <w:t>Doziranje</w:t>
      </w:r>
    </w:p>
    <w:p w14:paraId="4FA40B62" w14:textId="06A43DF9" w:rsidR="00452E9D" w:rsidRPr="00FB6F73" w:rsidRDefault="00452E9D" w:rsidP="00981FFD">
      <w:pPr>
        <w:tabs>
          <w:tab w:val="left" w:pos="540"/>
          <w:tab w:val="left" w:pos="569"/>
        </w:tabs>
        <w:jc w:val="both"/>
        <w:rPr>
          <w:bCs/>
          <w:sz w:val="22"/>
          <w:szCs w:val="22"/>
          <w:u w:val="single"/>
          <w:lang w:val="sr-Latn-ME"/>
        </w:rPr>
      </w:pPr>
    </w:p>
    <w:p w14:paraId="7F817FB3" w14:textId="1E42A1D0" w:rsidR="005D0E6C" w:rsidRPr="00FB6F73" w:rsidRDefault="005D0E6C" w:rsidP="00981FFD">
      <w:pPr>
        <w:tabs>
          <w:tab w:val="left" w:pos="540"/>
          <w:tab w:val="left" w:pos="569"/>
        </w:tabs>
        <w:jc w:val="both"/>
        <w:rPr>
          <w:bCs/>
          <w:sz w:val="22"/>
          <w:szCs w:val="22"/>
          <w:u w:val="single"/>
          <w:lang w:val="sr-Latn-ME"/>
        </w:rPr>
      </w:pPr>
      <w:r w:rsidRPr="00FB6F73">
        <w:rPr>
          <w:bCs/>
          <w:sz w:val="22"/>
          <w:szCs w:val="22"/>
          <w:u w:val="single"/>
          <w:lang w:val="sr-Latn-ME"/>
        </w:rPr>
        <w:t>Pacijenti sa nemikrocelularnim karcinomom pluća:</w:t>
      </w:r>
    </w:p>
    <w:p w14:paraId="6CF19E50" w14:textId="576958D3" w:rsidR="005505B4" w:rsidRPr="00FB6F73" w:rsidRDefault="00A31E3C" w:rsidP="00981FFD">
      <w:pPr>
        <w:tabs>
          <w:tab w:val="left" w:pos="540"/>
          <w:tab w:val="left" w:pos="569"/>
        </w:tabs>
        <w:jc w:val="both"/>
        <w:rPr>
          <w:bCs/>
          <w:sz w:val="22"/>
          <w:szCs w:val="22"/>
          <w:lang w:val="sr-Latn-ME"/>
        </w:rPr>
      </w:pPr>
      <w:r w:rsidRPr="00FB6F73">
        <w:rPr>
          <w:bCs/>
          <w:sz w:val="22"/>
          <w:szCs w:val="22"/>
          <w:lang w:val="sr-Latn-ME"/>
        </w:rPr>
        <w:t>Treba sprovesti testiranje na mutacije EGFR-a u skladu odobrenim indikacijama (vidjeti dio 4.1).</w:t>
      </w:r>
      <w:r w:rsidRPr="00FB6F73">
        <w:rPr>
          <w:bCs/>
          <w:sz w:val="22"/>
          <w:szCs w:val="22"/>
          <w:u w:val="single"/>
          <w:lang w:val="sr-Latn-ME"/>
        </w:rPr>
        <w:t xml:space="preserve"> </w:t>
      </w:r>
      <w:r w:rsidR="005505B4" w:rsidRPr="00FB6F73">
        <w:rPr>
          <w:bCs/>
          <w:sz w:val="22"/>
          <w:szCs w:val="22"/>
          <w:lang w:val="sr-Latn-ME"/>
        </w:rPr>
        <w:t xml:space="preserve">Preporučena dnevna doza </w:t>
      </w:r>
      <w:r w:rsidR="00FD4480" w:rsidRPr="00FB6F73">
        <w:rPr>
          <w:bCs/>
          <w:sz w:val="22"/>
          <w:szCs w:val="22"/>
          <w:lang w:val="sr-Latn-ME"/>
        </w:rPr>
        <w:t>lijek</w:t>
      </w:r>
      <w:r w:rsidR="005505B4" w:rsidRPr="00FB6F73">
        <w:rPr>
          <w:bCs/>
          <w:sz w:val="22"/>
          <w:szCs w:val="22"/>
          <w:lang w:val="sr-Latn-ME"/>
        </w:rPr>
        <w:t>a Erlotinib Sandoz je 150 mg, a uzima se najmanje jedan sat pr</w:t>
      </w:r>
      <w:r w:rsidR="00986DDB" w:rsidRPr="00FB6F73">
        <w:rPr>
          <w:bCs/>
          <w:sz w:val="22"/>
          <w:szCs w:val="22"/>
          <w:lang w:val="sr-Latn-ME"/>
        </w:rPr>
        <w:t>ij</w:t>
      </w:r>
      <w:r w:rsidR="005505B4" w:rsidRPr="00FB6F73">
        <w:rPr>
          <w:bCs/>
          <w:sz w:val="22"/>
          <w:szCs w:val="22"/>
          <w:lang w:val="sr-Latn-ME"/>
        </w:rPr>
        <w:t>e ili dva sata nakon unošenja hrane.</w:t>
      </w:r>
    </w:p>
    <w:p w14:paraId="0C534572" w14:textId="77777777" w:rsidR="005505B4" w:rsidRPr="00FB6F73" w:rsidRDefault="005505B4" w:rsidP="00981FFD">
      <w:pPr>
        <w:tabs>
          <w:tab w:val="left" w:pos="540"/>
          <w:tab w:val="left" w:pos="569"/>
        </w:tabs>
        <w:jc w:val="both"/>
        <w:rPr>
          <w:bCs/>
          <w:sz w:val="22"/>
          <w:szCs w:val="22"/>
          <w:u w:val="single"/>
          <w:lang w:val="sr-Latn-ME"/>
        </w:rPr>
      </w:pPr>
    </w:p>
    <w:p w14:paraId="05DCF0A8" w14:textId="77777777" w:rsidR="005505B4" w:rsidRPr="00FB6F73" w:rsidRDefault="005505B4" w:rsidP="00981FFD">
      <w:pPr>
        <w:tabs>
          <w:tab w:val="left" w:pos="540"/>
          <w:tab w:val="left" w:pos="569"/>
        </w:tabs>
        <w:jc w:val="both"/>
        <w:rPr>
          <w:bCs/>
          <w:sz w:val="22"/>
          <w:szCs w:val="22"/>
          <w:u w:val="single"/>
          <w:lang w:val="sr-Latn-ME"/>
        </w:rPr>
      </w:pPr>
      <w:r w:rsidRPr="00FB6F73">
        <w:rPr>
          <w:bCs/>
          <w:sz w:val="22"/>
          <w:szCs w:val="22"/>
          <w:u w:val="single"/>
          <w:lang w:val="sr-Latn-ME"/>
        </w:rPr>
        <w:t xml:space="preserve">Pacijenti sa karcinomom pankreasa: </w:t>
      </w:r>
    </w:p>
    <w:p w14:paraId="0809051F" w14:textId="4DC97C96" w:rsidR="005505B4" w:rsidRPr="00FB6F73" w:rsidRDefault="005505B4" w:rsidP="00981FFD">
      <w:pPr>
        <w:tabs>
          <w:tab w:val="left" w:pos="540"/>
          <w:tab w:val="left" w:pos="569"/>
        </w:tabs>
        <w:jc w:val="both"/>
        <w:rPr>
          <w:bCs/>
          <w:sz w:val="22"/>
          <w:szCs w:val="22"/>
          <w:lang w:val="sr-Latn-ME"/>
        </w:rPr>
      </w:pPr>
      <w:r w:rsidRPr="00FB6F73">
        <w:rPr>
          <w:bCs/>
          <w:sz w:val="22"/>
          <w:szCs w:val="22"/>
          <w:lang w:val="sr-Latn-ME"/>
        </w:rPr>
        <w:t xml:space="preserve">Preporučena dnevna doza </w:t>
      </w:r>
      <w:r w:rsidR="00FD4480" w:rsidRPr="00FB6F73">
        <w:rPr>
          <w:bCs/>
          <w:sz w:val="22"/>
          <w:szCs w:val="22"/>
          <w:lang w:val="sr-Latn-ME"/>
        </w:rPr>
        <w:t>lijek</w:t>
      </w:r>
      <w:r w:rsidRPr="00FB6F73">
        <w:rPr>
          <w:bCs/>
          <w:sz w:val="22"/>
          <w:szCs w:val="22"/>
          <w:lang w:val="sr-Latn-ME"/>
        </w:rPr>
        <w:t>a Erlotinib Sandoz iznosi 100 mg, prim</w:t>
      </w:r>
      <w:r w:rsidR="00A31E3C" w:rsidRPr="00FB6F73">
        <w:rPr>
          <w:bCs/>
          <w:sz w:val="22"/>
          <w:szCs w:val="22"/>
          <w:lang w:val="sr-Latn-ME"/>
        </w:rPr>
        <w:t>ijenjena</w:t>
      </w:r>
      <w:r w:rsidR="002C4085" w:rsidRPr="00FB6F73">
        <w:rPr>
          <w:bCs/>
          <w:sz w:val="22"/>
          <w:szCs w:val="22"/>
          <w:lang w:val="sr-Latn-ME"/>
        </w:rPr>
        <w:t xml:space="preserve"> </w:t>
      </w:r>
      <w:r w:rsidRPr="00FB6F73">
        <w:rPr>
          <w:bCs/>
          <w:sz w:val="22"/>
          <w:szCs w:val="22"/>
          <w:lang w:val="sr-Latn-ME"/>
        </w:rPr>
        <w:t>najmanje jedan sat pr</w:t>
      </w:r>
      <w:r w:rsidR="00986DDB" w:rsidRPr="00FB6F73">
        <w:rPr>
          <w:bCs/>
          <w:sz w:val="22"/>
          <w:szCs w:val="22"/>
          <w:lang w:val="sr-Latn-ME"/>
        </w:rPr>
        <w:t>ij</w:t>
      </w:r>
      <w:r w:rsidRPr="00FB6F73">
        <w:rPr>
          <w:bCs/>
          <w:sz w:val="22"/>
          <w:szCs w:val="22"/>
          <w:lang w:val="sr-Latn-ME"/>
        </w:rPr>
        <w:t>e ili dva sata nakon unošenja hrane, u kombinaciji sa gemcitabinom (</w:t>
      </w:r>
      <w:r w:rsidR="00FD4480" w:rsidRPr="00FB6F73">
        <w:rPr>
          <w:bCs/>
          <w:sz w:val="22"/>
          <w:szCs w:val="22"/>
          <w:lang w:val="sr-Latn-ME"/>
        </w:rPr>
        <w:t>vidjeti</w:t>
      </w:r>
      <w:r w:rsidRPr="00FB6F73">
        <w:rPr>
          <w:bCs/>
          <w:sz w:val="22"/>
          <w:szCs w:val="22"/>
          <w:lang w:val="sr-Latn-ME"/>
        </w:rPr>
        <w:t xml:space="preserve"> indikaciju karcinom pankreasa u Sažetku karakteristika </w:t>
      </w:r>
      <w:r w:rsidR="00FD4480" w:rsidRPr="00FB6F73">
        <w:rPr>
          <w:bCs/>
          <w:sz w:val="22"/>
          <w:szCs w:val="22"/>
          <w:lang w:val="sr-Latn-ME"/>
        </w:rPr>
        <w:t>lijek</w:t>
      </w:r>
      <w:r w:rsidRPr="00FB6F73">
        <w:rPr>
          <w:bCs/>
          <w:sz w:val="22"/>
          <w:szCs w:val="22"/>
          <w:lang w:val="sr-Latn-ME"/>
        </w:rPr>
        <w:t>a za gemcitabin). Kod pacijenata kod kojih se osip ne razvije u prvih 4-8 ned</w:t>
      </w:r>
      <w:r w:rsidR="00986DDB" w:rsidRPr="00FB6F73">
        <w:rPr>
          <w:bCs/>
          <w:sz w:val="22"/>
          <w:szCs w:val="22"/>
          <w:lang w:val="sr-Latn-ME"/>
        </w:rPr>
        <w:t>j</w:t>
      </w:r>
      <w:r w:rsidRPr="00FB6F73">
        <w:rPr>
          <w:bCs/>
          <w:sz w:val="22"/>
          <w:szCs w:val="22"/>
          <w:lang w:val="sr-Latn-ME"/>
        </w:rPr>
        <w:t xml:space="preserve">elja terapije, dalje </w:t>
      </w:r>
      <w:r w:rsidR="00FD4480" w:rsidRPr="00FB6F73">
        <w:rPr>
          <w:bCs/>
          <w:sz w:val="22"/>
          <w:szCs w:val="22"/>
          <w:lang w:val="sr-Latn-ME"/>
        </w:rPr>
        <w:t>liječenj</w:t>
      </w:r>
      <w:r w:rsidRPr="00FB6F73">
        <w:rPr>
          <w:bCs/>
          <w:sz w:val="22"/>
          <w:szCs w:val="22"/>
          <w:lang w:val="sr-Latn-ME"/>
        </w:rPr>
        <w:t xml:space="preserve">e </w:t>
      </w:r>
      <w:r w:rsidR="00FD4480" w:rsidRPr="00FB6F73">
        <w:rPr>
          <w:bCs/>
          <w:sz w:val="22"/>
          <w:szCs w:val="22"/>
          <w:lang w:val="sr-Latn-ME"/>
        </w:rPr>
        <w:t>lijek</w:t>
      </w:r>
      <w:r w:rsidRPr="00FB6F73">
        <w:rPr>
          <w:bCs/>
          <w:sz w:val="22"/>
          <w:szCs w:val="22"/>
          <w:lang w:val="sr-Latn-ME"/>
        </w:rPr>
        <w:t>om Erlotinib Sandoz treba ponovo proc</w:t>
      </w:r>
      <w:r w:rsidR="00986DDB" w:rsidRPr="00FB6F73">
        <w:rPr>
          <w:bCs/>
          <w:sz w:val="22"/>
          <w:szCs w:val="22"/>
          <w:lang w:val="sr-Latn-ME"/>
        </w:rPr>
        <w:t>ij</w:t>
      </w:r>
      <w:r w:rsidRPr="00FB6F73">
        <w:rPr>
          <w:bCs/>
          <w:sz w:val="22"/>
          <w:szCs w:val="22"/>
          <w:lang w:val="sr-Latn-ME"/>
        </w:rPr>
        <w:t>eniti (</w:t>
      </w:r>
      <w:r w:rsidR="00FD4480" w:rsidRPr="00FB6F73">
        <w:rPr>
          <w:bCs/>
          <w:sz w:val="22"/>
          <w:szCs w:val="22"/>
          <w:lang w:val="sr-Latn-ME"/>
        </w:rPr>
        <w:t>vidjeti</w:t>
      </w:r>
      <w:r w:rsidRPr="00FB6F73">
        <w:rPr>
          <w:bCs/>
          <w:sz w:val="22"/>
          <w:szCs w:val="22"/>
          <w:lang w:val="sr-Latn-ME"/>
        </w:rPr>
        <w:t xml:space="preserve"> </w:t>
      </w:r>
      <w:r w:rsidR="00986DDB" w:rsidRPr="00FB6F73">
        <w:rPr>
          <w:bCs/>
          <w:sz w:val="22"/>
          <w:szCs w:val="22"/>
          <w:lang w:val="sr-Latn-ME"/>
        </w:rPr>
        <w:t xml:space="preserve">dio </w:t>
      </w:r>
      <w:r w:rsidRPr="00FB6F73">
        <w:rPr>
          <w:bCs/>
          <w:sz w:val="22"/>
          <w:szCs w:val="22"/>
          <w:lang w:val="sr-Latn-ME"/>
        </w:rPr>
        <w:t>5.1).</w:t>
      </w:r>
    </w:p>
    <w:p w14:paraId="5D16308E" w14:textId="77777777" w:rsidR="005505B4" w:rsidRPr="00FB6F73" w:rsidRDefault="005505B4" w:rsidP="00981FFD">
      <w:pPr>
        <w:tabs>
          <w:tab w:val="left" w:pos="540"/>
          <w:tab w:val="left" w:pos="569"/>
        </w:tabs>
        <w:jc w:val="both"/>
        <w:rPr>
          <w:bCs/>
          <w:sz w:val="22"/>
          <w:szCs w:val="22"/>
          <w:u w:val="single"/>
          <w:lang w:val="sr-Latn-ME"/>
        </w:rPr>
      </w:pPr>
    </w:p>
    <w:p w14:paraId="37519D90" w14:textId="0BF79C22" w:rsidR="005505B4" w:rsidRPr="00FB6F73" w:rsidRDefault="005505B4" w:rsidP="00981FFD">
      <w:pPr>
        <w:tabs>
          <w:tab w:val="left" w:pos="540"/>
          <w:tab w:val="left" w:pos="569"/>
        </w:tabs>
        <w:jc w:val="both"/>
        <w:rPr>
          <w:bCs/>
          <w:sz w:val="22"/>
          <w:szCs w:val="22"/>
          <w:lang w:val="sr-Latn-ME"/>
        </w:rPr>
      </w:pPr>
      <w:r w:rsidRPr="00FB6F73">
        <w:rPr>
          <w:bCs/>
          <w:sz w:val="22"/>
          <w:szCs w:val="22"/>
          <w:lang w:val="sr-Latn-ME"/>
        </w:rPr>
        <w:t>Kada je neophodno prilagođavanje doze, dozu treba smanjivati za po 50 mg, postepeno (</w:t>
      </w:r>
      <w:r w:rsidR="00FD4480" w:rsidRPr="00FB6F73">
        <w:rPr>
          <w:bCs/>
          <w:sz w:val="22"/>
          <w:szCs w:val="22"/>
          <w:lang w:val="sr-Latn-ME"/>
        </w:rPr>
        <w:t>vidjeti</w:t>
      </w:r>
      <w:r w:rsidRPr="00FB6F73">
        <w:rPr>
          <w:bCs/>
          <w:sz w:val="22"/>
          <w:szCs w:val="22"/>
          <w:lang w:val="sr-Latn-ME"/>
        </w:rPr>
        <w:t xml:space="preserve"> </w:t>
      </w:r>
      <w:r w:rsidR="00986DDB" w:rsidRPr="00FB6F73">
        <w:rPr>
          <w:bCs/>
          <w:sz w:val="22"/>
          <w:szCs w:val="22"/>
          <w:lang w:val="sr-Latn-ME"/>
        </w:rPr>
        <w:t xml:space="preserve">dio </w:t>
      </w:r>
      <w:r w:rsidRPr="00FB6F73">
        <w:rPr>
          <w:bCs/>
          <w:sz w:val="22"/>
          <w:szCs w:val="22"/>
          <w:lang w:val="sr-Latn-ME"/>
        </w:rPr>
        <w:t xml:space="preserve">4.4). </w:t>
      </w:r>
    </w:p>
    <w:p w14:paraId="51167F51" w14:textId="77777777" w:rsidR="005505B4" w:rsidRPr="00FB6F73" w:rsidRDefault="005505B4" w:rsidP="00981FFD">
      <w:pPr>
        <w:tabs>
          <w:tab w:val="left" w:pos="540"/>
          <w:tab w:val="left" w:pos="569"/>
        </w:tabs>
        <w:jc w:val="both"/>
        <w:rPr>
          <w:bCs/>
          <w:sz w:val="22"/>
          <w:szCs w:val="22"/>
          <w:lang w:val="sr-Latn-ME"/>
        </w:rPr>
      </w:pPr>
    </w:p>
    <w:p w14:paraId="671F36BE" w14:textId="2DE49FF9" w:rsidR="005505B4" w:rsidRPr="00FB6F73" w:rsidRDefault="005505B4" w:rsidP="00981FFD">
      <w:pPr>
        <w:tabs>
          <w:tab w:val="left" w:pos="540"/>
          <w:tab w:val="left" w:pos="569"/>
        </w:tabs>
        <w:jc w:val="both"/>
        <w:rPr>
          <w:bCs/>
          <w:sz w:val="22"/>
          <w:szCs w:val="22"/>
          <w:lang w:val="sr-Latn-ME"/>
        </w:rPr>
      </w:pPr>
      <w:r w:rsidRPr="00FB6F73">
        <w:rPr>
          <w:bCs/>
          <w:sz w:val="22"/>
          <w:szCs w:val="22"/>
          <w:lang w:val="sr-Latn-ME"/>
        </w:rPr>
        <w:t xml:space="preserve">Istovremena </w:t>
      </w:r>
      <w:r w:rsidR="00FD4480" w:rsidRPr="00FB6F73">
        <w:rPr>
          <w:bCs/>
          <w:sz w:val="22"/>
          <w:szCs w:val="22"/>
          <w:lang w:val="sr-Latn-ME"/>
        </w:rPr>
        <w:t>primjena</w:t>
      </w:r>
      <w:r w:rsidRPr="00FB6F73">
        <w:rPr>
          <w:bCs/>
          <w:sz w:val="22"/>
          <w:szCs w:val="22"/>
          <w:lang w:val="sr-Latn-ME"/>
        </w:rPr>
        <w:t xml:space="preserve"> supstrata i modulatora CYP3A4, može da zaht</w:t>
      </w:r>
      <w:r w:rsidR="00986DDB" w:rsidRPr="00FB6F73">
        <w:rPr>
          <w:bCs/>
          <w:sz w:val="22"/>
          <w:szCs w:val="22"/>
          <w:lang w:val="sr-Latn-ME"/>
        </w:rPr>
        <w:t>ij</w:t>
      </w:r>
      <w:r w:rsidRPr="00FB6F73">
        <w:rPr>
          <w:bCs/>
          <w:sz w:val="22"/>
          <w:szCs w:val="22"/>
          <w:lang w:val="sr-Latn-ME"/>
        </w:rPr>
        <w:t>eva prilagođavanje doze (</w:t>
      </w:r>
      <w:r w:rsidR="00FD4480" w:rsidRPr="00FB6F73">
        <w:rPr>
          <w:bCs/>
          <w:sz w:val="22"/>
          <w:szCs w:val="22"/>
          <w:lang w:val="sr-Latn-ME"/>
        </w:rPr>
        <w:t>vidjeti</w:t>
      </w:r>
      <w:r w:rsidRPr="00FB6F73">
        <w:rPr>
          <w:bCs/>
          <w:sz w:val="22"/>
          <w:szCs w:val="22"/>
          <w:lang w:val="sr-Latn-ME"/>
        </w:rPr>
        <w:t xml:space="preserve"> </w:t>
      </w:r>
      <w:r w:rsidR="00986DDB" w:rsidRPr="00FB6F73">
        <w:rPr>
          <w:bCs/>
          <w:sz w:val="22"/>
          <w:szCs w:val="22"/>
          <w:lang w:val="sr-Latn-ME"/>
        </w:rPr>
        <w:t xml:space="preserve">dio </w:t>
      </w:r>
      <w:r w:rsidRPr="00FB6F73">
        <w:rPr>
          <w:bCs/>
          <w:sz w:val="22"/>
          <w:szCs w:val="22"/>
          <w:lang w:val="sr-Latn-ME"/>
        </w:rPr>
        <w:t>4.5).</w:t>
      </w:r>
    </w:p>
    <w:p w14:paraId="3383FB94" w14:textId="77777777" w:rsidR="005505B4" w:rsidRPr="00FB6F73" w:rsidRDefault="005505B4" w:rsidP="00981FFD">
      <w:pPr>
        <w:tabs>
          <w:tab w:val="left" w:pos="540"/>
          <w:tab w:val="left" w:pos="569"/>
        </w:tabs>
        <w:jc w:val="both"/>
        <w:rPr>
          <w:bCs/>
          <w:sz w:val="22"/>
          <w:szCs w:val="22"/>
          <w:u w:val="single"/>
          <w:lang w:val="sr-Latn-ME"/>
        </w:rPr>
      </w:pPr>
    </w:p>
    <w:p w14:paraId="06C23D5A" w14:textId="77777777" w:rsidR="00986DDB" w:rsidRPr="00FB6F73" w:rsidRDefault="005505B4" w:rsidP="00981FFD">
      <w:pPr>
        <w:tabs>
          <w:tab w:val="left" w:pos="540"/>
          <w:tab w:val="left" w:pos="569"/>
        </w:tabs>
        <w:jc w:val="both"/>
        <w:rPr>
          <w:bCs/>
          <w:sz w:val="22"/>
          <w:szCs w:val="22"/>
          <w:u w:val="single"/>
          <w:lang w:val="sr-Latn-ME"/>
        </w:rPr>
      </w:pPr>
      <w:r w:rsidRPr="00FB6F73">
        <w:rPr>
          <w:bCs/>
          <w:sz w:val="22"/>
          <w:szCs w:val="22"/>
          <w:u w:val="single"/>
          <w:lang w:val="sr-Latn-ME"/>
        </w:rPr>
        <w:t xml:space="preserve">Pacijenti sa oštećenom funkcijom jetre: </w:t>
      </w:r>
    </w:p>
    <w:p w14:paraId="69572D76" w14:textId="263CB055" w:rsidR="005505B4" w:rsidRPr="00FB6F73" w:rsidRDefault="005505B4" w:rsidP="00981FFD">
      <w:pPr>
        <w:tabs>
          <w:tab w:val="left" w:pos="540"/>
          <w:tab w:val="left" w:pos="569"/>
        </w:tabs>
        <w:jc w:val="both"/>
        <w:rPr>
          <w:bCs/>
          <w:sz w:val="22"/>
          <w:szCs w:val="22"/>
          <w:lang w:val="sr-Latn-ME"/>
        </w:rPr>
      </w:pPr>
      <w:r w:rsidRPr="00FB6F73">
        <w:rPr>
          <w:bCs/>
          <w:sz w:val="22"/>
          <w:szCs w:val="22"/>
          <w:lang w:val="sr-Latn-ME"/>
        </w:rPr>
        <w:t>Erlotinib se eliminiše hepatičnim metabolizmom i bilijarnom ekskrecijom. Mada je izloženost erlotinibu kod pacijenata sa um</w:t>
      </w:r>
      <w:r w:rsidR="00FD4480" w:rsidRPr="00FB6F73">
        <w:rPr>
          <w:bCs/>
          <w:sz w:val="22"/>
          <w:szCs w:val="22"/>
          <w:lang w:val="sr-Latn-ME"/>
        </w:rPr>
        <w:t>j</w:t>
      </w:r>
      <w:r w:rsidRPr="00FB6F73">
        <w:rPr>
          <w:bCs/>
          <w:sz w:val="22"/>
          <w:szCs w:val="22"/>
          <w:lang w:val="sr-Latn-ME"/>
        </w:rPr>
        <w:t>ereno oštećenom funkcijom jetre (</w:t>
      </w:r>
      <w:r w:rsidRPr="00FB6F73">
        <w:rPr>
          <w:bCs/>
          <w:i/>
          <w:sz w:val="22"/>
          <w:szCs w:val="22"/>
          <w:lang w:val="sr-Latn-ME"/>
        </w:rPr>
        <w:t>Child</w:t>
      </w:r>
      <w:r w:rsidR="00986DDB" w:rsidRPr="00FB6F73">
        <w:rPr>
          <w:bCs/>
          <w:i/>
          <w:sz w:val="22"/>
          <w:szCs w:val="22"/>
          <w:lang w:val="sr-Latn-ME"/>
        </w:rPr>
        <w:t>-</w:t>
      </w:r>
      <w:r w:rsidRPr="00FB6F73">
        <w:rPr>
          <w:bCs/>
          <w:i/>
          <w:sz w:val="22"/>
          <w:szCs w:val="22"/>
          <w:lang w:val="sr-Latn-ME"/>
        </w:rPr>
        <w:t>Pugh</w:t>
      </w:r>
      <w:r w:rsidRPr="00FB6F73">
        <w:rPr>
          <w:bCs/>
          <w:sz w:val="22"/>
          <w:szCs w:val="22"/>
          <w:lang w:val="sr-Latn-ME"/>
        </w:rPr>
        <w:t xml:space="preserve"> skor 7-9) bila slična kao kod pacijenata sa normalnom funkcijom jetre, </w:t>
      </w:r>
      <w:r w:rsidR="00FD4480" w:rsidRPr="00FB6F73">
        <w:rPr>
          <w:bCs/>
          <w:sz w:val="22"/>
          <w:szCs w:val="22"/>
          <w:lang w:val="sr-Latn-ME"/>
        </w:rPr>
        <w:t>savjetuje</w:t>
      </w:r>
      <w:r w:rsidRPr="00FB6F73">
        <w:rPr>
          <w:bCs/>
          <w:sz w:val="22"/>
          <w:szCs w:val="22"/>
          <w:lang w:val="sr-Latn-ME"/>
        </w:rPr>
        <w:t xml:space="preserve"> se oprez prilikom </w:t>
      </w:r>
      <w:r w:rsidR="00FD4480" w:rsidRPr="00FB6F73">
        <w:rPr>
          <w:bCs/>
          <w:sz w:val="22"/>
          <w:szCs w:val="22"/>
          <w:lang w:val="sr-Latn-ME"/>
        </w:rPr>
        <w:t>primjene</w:t>
      </w:r>
      <w:r w:rsidRPr="00FB6F73">
        <w:rPr>
          <w:bCs/>
          <w:sz w:val="22"/>
          <w:szCs w:val="22"/>
          <w:lang w:val="sr-Latn-ME"/>
        </w:rPr>
        <w:t xml:space="preserve"> </w:t>
      </w:r>
      <w:r w:rsidR="00FD4480" w:rsidRPr="00FB6F73">
        <w:rPr>
          <w:bCs/>
          <w:sz w:val="22"/>
          <w:szCs w:val="22"/>
          <w:lang w:val="sr-Latn-ME"/>
        </w:rPr>
        <w:t>lijek</w:t>
      </w:r>
      <w:r w:rsidRPr="00FB6F73">
        <w:rPr>
          <w:bCs/>
          <w:sz w:val="22"/>
          <w:szCs w:val="22"/>
          <w:lang w:val="sr-Latn-ME"/>
        </w:rPr>
        <w:t>a Erlotinib Sandoz kod pacijenata sa oštećenjem funkcije jetre. Ako se pojave teške neželjene reakcije</w:t>
      </w:r>
      <w:r w:rsidR="00986DDB" w:rsidRPr="00FB6F73">
        <w:rPr>
          <w:bCs/>
          <w:sz w:val="22"/>
          <w:szCs w:val="22"/>
          <w:lang w:val="sr-Latn-ME"/>
        </w:rPr>
        <w:t>,</w:t>
      </w:r>
      <w:r w:rsidRPr="00FB6F73">
        <w:rPr>
          <w:bCs/>
          <w:sz w:val="22"/>
          <w:szCs w:val="22"/>
          <w:lang w:val="sr-Latn-ME"/>
        </w:rPr>
        <w:t xml:space="preserve"> treba razmotriti smanjenje doze ili prekid </w:t>
      </w:r>
      <w:r w:rsidR="00FD4480" w:rsidRPr="00FB6F73">
        <w:rPr>
          <w:bCs/>
          <w:sz w:val="22"/>
          <w:szCs w:val="22"/>
          <w:lang w:val="sr-Latn-ME"/>
        </w:rPr>
        <w:t>primjene</w:t>
      </w:r>
      <w:r w:rsidRPr="00FB6F73">
        <w:rPr>
          <w:bCs/>
          <w:sz w:val="22"/>
          <w:szCs w:val="22"/>
          <w:lang w:val="sr-Latn-ME"/>
        </w:rPr>
        <w:t xml:space="preserve"> </w:t>
      </w:r>
      <w:r w:rsidR="00FD4480" w:rsidRPr="00FB6F73">
        <w:rPr>
          <w:bCs/>
          <w:sz w:val="22"/>
          <w:szCs w:val="22"/>
          <w:lang w:val="sr-Latn-ME"/>
        </w:rPr>
        <w:t>lijek</w:t>
      </w:r>
      <w:r w:rsidRPr="00FB6F73">
        <w:rPr>
          <w:bCs/>
          <w:sz w:val="22"/>
          <w:szCs w:val="22"/>
          <w:lang w:val="sr-Latn-ME"/>
        </w:rPr>
        <w:t>a Erlotinib Sandoz. Bezb</w:t>
      </w:r>
      <w:r w:rsidR="00FD4480" w:rsidRPr="00FB6F73">
        <w:rPr>
          <w:bCs/>
          <w:sz w:val="22"/>
          <w:szCs w:val="22"/>
          <w:lang w:val="sr-Latn-ME"/>
        </w:rPr>
        <w:t>j</w:t>
      </w:r>
      <w:r w:rsidRPr="00FB6F73">
        <w:rPr>
          <w:bCs/>
          <w:sz w:val="22"/>
          <w:szCs w:val="22"/>
          <w:lang w:val="sr-Latn-ME"/>
        </w:rPr>
        <w:t xml:space="preserve">ednost i efikasnost </w:t>
      </w:r>
      <w:r w:rsidR="00FD4480" w:rsidRPr="00FB6F73">
        <w:rPr>
          <w:bCs/>
          <w:sz w:val="22"/>
          <w:szCs w:val="22"/>
          <w:lang w:val="sr-Latn-ME"/>
        </w:rPr>
        <w:t>primjene</w:t>
      </w:r>
      <w:r w:rsidRPr="00FB6F73">
        <w:rPr>
          <w:bCs/>
          <w:sz w:val="22"/>
          <w:szCs w:val="22"/>
          <w:lang w:val="sr-Latn-ME"/>
        </w:rPr>
        <w:t xml:space="preserve"> erlotiniba nisu ispitivane kod pacijenata sa teškom disfunkcijom jetre (AST/SGOT i ALT/SGPT &gt;5 x gornja granica normalnih </w:t>
      </w:r>
      <w:r w:rsidR="00FD4480" w:rsidRPr="00FB6F73">
        <w:rPr>
          <w:bCs/>
          <w:sz w:val="22"/>
          <w:szCs w:val="22"/>
          <w:lang w:val="sr-Latn-ME"/>
        </w:rPr>
        <w:t>vrijednost</w:t>
      </w:r>
      <w:r w:rsidRPr="00FB6F73">
        <w:rPr>
          <w:bCs/>
          <w:sz w:val="22"/>
          <w:szCs w:val="22"/>
          <w:lang w:val="sr-Latn-ME"/>
        </w:rPr>
        <w:t xml:space="preserve">i - GGN). Upotreba </w:t>
      </w:r>
      <w:r w:rsidR="00FD4480" w:rsidRPr="00FB6F73">
        <w:rPr>
          <w:bCs/>
          <w:sz w:val="22"/>
          <w:szCs w:val="22"/>
          <w:lang w:val="sr-Latn-ME"/>
        </w:rPr>
        <w:t>lijek</w:t>
      </w:r>
      <w:r w:rsidRPr="00FB6F73">
        <w:rPr>
          <w:bCs/>
          <w:sz w:val="22"/>
          <w:szCs w:val="22"/>
          <w:lang w:val="sr-Latn-ME"/>
        </w:rPr>
        <w:t>a Erlotinib Sandoz se ne preporučuje kod pacijenata sa teškom disfunkcijom jetre (</w:t>
      </w:r>
      <w:r w:rsidR="00FD4480" w:rsidRPr="00FB6F73">
        <w:rPr>
          <w:bCs/>
          <w:sz w:val="22"/>
          <w:szCs w:val="22"/>
          <w:lang w:val="sr-Latn-ME"/>
        </w:rPr>
        <w:t>vidjeti</w:t>
      </w:r>
      <w:r w:rsidRPr="00FB6F73">
        <w:rPr>
          <w:bCs/>
          <w:sz w:val="22"/>
          <w:szCs w:val="22"/>
          <w:lang w:val="sr-Latn-ME"/>
        </w:rPr>
        <w:t xml:space="preserve"> </w:t>
      </w:r>
      <w:r w:rsidR="00986DDB" w:rsidRPr="00FB6F73">
        <w:rPr>
          <w:bCs/>
          <w:sz w:val="22"/>
          <w:szCs w:val="22"/>
          <w:lang w:val="sr-Latn-ME"/>
        </w:rPr>
        <w:t xml:space="preserve">dio </w:t>
      </w:r>
      <w:r w:rsidRPr="00FB6F73">
        <w:rPr>
          <w:bCs/>
          <w:sz w:val="22"/>
          <w:szCs w:val="22"/>
          <w:lang w:val="sr-Latn-ME"/>
        </w:rPr>
        <w:t>5.2).</w:t>
      </w:r>
    </w:p>
    <w:p w14:paraId="5077F9C2" w14:textId="77777777" w:rsidR="005505B4" w:rsidRPr="00FB6F73" w:rsidRDefault="005505B4" w:rsidP="00981FFD">
      <w:pPr>
        <w:tabs>
          <w:tab w:val="left" w:pos="540"/>
          <w:tab w:val="left" w:pos="569"/>
        </w:tabs>
        <w:jc w:val="both"/>
        <w:rPr>
          <w:bCs/>
          <w:sz w:val="22"/>
          <w:szCs w:val="22"/>
          <w:u w:val="single"/>
          <w:lang w:val="sr-Latn-ME"/>
        </w:rPr>
      </w:pPr>
    </w:p>
    <w:p w14:paraId="6064557C" w14:textId="77777777" w:rsidR="00986DDB" w:rsidRPr="00FB6F73" w:rsidRDefault="005505B4" w:rsidP="00981FFD">
      <w:pPr>
        <w:tabs>
          <w:tab w:val="left" w:pos="540"/>
          <w:tab w:val="left" w:pos="569"/>
        </w:tabs>
        <w:jc w:val="both"/>
        <w:rPr>
          <w:bCs/>
          <w:sz w:val="22"/>
          <w:szCs w:val="22"/>
          <w:lang w:val="sr-Latn-ME"/>
        </w:rPr>
      </w:pPr>
      <w:r w:rsidRPr="00FB6F73">
        <w:rPr>
          <w:bCs/>
          <w:sz w:val="22"/>
          <w:szCs w:val="22"/>
          <w:u w:val="single"/>
          <w:lang w:val="sr-Latn-ME"/>
        </w:rPr>
        <w:t>Pacijenti sa oštećenom funkcijom bubrega</w:t>
      </w:r>
      <w:r w:rsidRPr="00FB6F73">
        <w:rPr>
          <w:bCs/>
          <w:sz w:val="22"/>
          <w:szCs w:val="22"/>
          <w:lang w:val="sr-Latn-ME"/>
        </w:rPr>
        <w:t xml:space="preserve">: </w:t>
      </w:r>
    </w:p>
    <w:p w14:paraId="25B564EA" w14:textId="5DDED11C" w:rsidR="005505B4" w:rsidRPr="00FB6F73" w:rsidRDefault="005505B4" w:rsidP="00981FFD">
      <w:pPr>
        <w:tabs>
          <w:tab w:val="left" w:pos="540"/>
          <w:tab w:val="left" w:pos="569"/>
        </w:tabs>
        <w:jc w:val="both"/>
        <w:rPr>
          <w:bCs/>
          <w:sz w:val="22"/>
          <w:szCs w:val="22"/>
          <w:lang w:val="sr-Latn-ME"/>
        </w:rPr>
      </w:pPr>
      <w:r w:rsidRPr="00FB6F73">
        <w:rPr>
          <w:bCs/>
          <w:sz w:val="22"/>
          <w:szCs w:val="22"/>
          <w:lang w:val="sr-Latn-ME"/>
        </w:rPr>
        <w:t>Bezb</w:t>
      </w:r>
      <w:r w:rsidR="00FD4480" w:rsidRPr="00FB6F73">
        <w:rPr>
          <w:bCs/>
          <w:sz w:val="22"/>
          <w:szCs w:val="22"/>
          <w:lang w:val="sr-Latn-ME"/>
        </w:rPr>
        <w:t>j</w:t>
      </w:r>
      <w:r w:rsidRPr="00FB6F73">
        <w:rPr>
          <w:bCs/>
          <w:sz w:val="22"/>
          <w:szCs w:val="22"/>
          <w:lang w:val="sr-Latn-ME"/>
        </w:rPr>
        <w:t xml:space="preserve">ednost i efikasnost </w:t>
      </w:r>
      <w:r w:rsidR="00FD4480" w:rsidRPr="00FB6F73">
        <w:rPr>
          <w:bCs/>
          <w:sz w:val="22"/>
          <w:szCs w:val="22"/>
          <w:lang w:val="sr-Latn-ME"/>
        </w:rPr>
        <w:t>primjene</w:t>
      </w:r>
      <w:r w:rsidRPr="00FB6F73">
        <w:rPr>
          <w:bCs/>
          <w:sz w:val="22"/>
          <w:szCs w:val="22"/>
          <w:lang w:val="sr-Latn-ME"/>
        </w:rPr>
        <w:t xml:space="preserve"> erlotiniba ni</w:t>
      </w:r>
      <w:r w:rsidR="00ED4DF5" w:rsidRPr="00FB6F73">
        <w:rPr>
          <w:bCs/>
          <w:sz w:val="22"/>
          <w:szCs w:val="22"/>
          <w:lang w:val="sr-Latn-ME"/>
        </w:rPr>
        <w:t>je</w:t>
      </w:r>
      <w:r w:rsidRPr="00FB6F73">
        <w:rPr>
          <w:bCs/>
          <w:sz w:val="22"/>
          <w:szCs w:val="22"/>
          <w:lang w:val="sr-Latn-ME"/>
        </w:rPr>
        <w:t xml:space="preserve">su ispitivane kod pacijenata sa oštećenom funkcijom bubrega (koncentracija kreatinina u serumu &gt;1,5 puta veća od gornje granice normale). Na osnovu farmakokinetičkih podataka, nije potrebno prilagođavanje doze kod pacijenata sa blagim do </w:t>
      </w:r>
      <w:r w:rsidR="00FD4480" w:rsidRPr="00FB6F73">
        <w:rPr>
          <w:bCs/>
          <w:sz w:val="22"/>
          <w:szCs w:val="22"/>
          <w:lang w:val="sr-Latn-ME"/>
        </w:rPr>
        <w:t>umjerenim</w:t>
      </w:r>
      <w:r w:rsidRPr="00FB6F73">
        <w:rPr>
          <w:bCs/>
          <w:sz w:val="22"/>
          <w:szCs w:val="22"/>
          <w:lang w:val="sr-Latn-ME"/>
        </w:rPr>
        <w:t xml:space="preserve"> oštećenjem bubrežne funkcije (</w:t>
      </w:r>
      <w:r w:rsidR="00FD4480" w:rsidRPr="00FB6F73">
        <w:rPr>
          <w:bCs/>
          <w:sz w:val="22"/>
          <w:szCs w:val="22"/>
          <w:lang w:val="sr-Latn-ME"/>
        </w:rPr>
        <w:t>vidjeti</w:t>
      </w:r>
      <w:r w:rsidRPr="00FB6F73">
        <w:rPr>
          <w:bCs/>
          <w:sz w:val="22"/>
          <w:szCs w:val="22"/>
          <w:lang w:val="sr-Latn-ME"/>
        </w:rPr>
        <w:t xml:space="preserve"> </w:t>
      </w:r>
      <w:r w:rsidR="00986DDB" w:rsidRPr="00FB6F73">
        <w:rPr>
          <w:bCs/>
          <w:sz w:val="22"/>
          <w:szCs w:val="22"/>
          <w:lang w:val="sr-Latn-ME"/>
        </w:rPr>
        <w:t xml:space="preserve">dio </w:t>
      </w:r>
      <w:r w:rsidRPr="00FB6F73">
        <w:rPr>
          <w:bCs/>
          <w:sz w:val="22"/>
          <w:szCs w:val="22"/>
          <w:lang w:val="sr-Latn-ME"/>
        </w:rPr>
        <w:t xml:space="preserve">5.2). </w:t>
      </w:r>
      <w:r w:rsidR="00FD4480" w:rsidRPr="00FB6F73">
        <w:rPr>
          <w:bCs/>
          <w:sz w:val="22"/>
          <w:szCs w:val="22"/>
          <w:lang w:val="sr-Latn-ME"/>
        </w:rPr>
        <w:t>Primjena</w:t>
      </w:r>
      <w:r w:rsidRPr="00FB6F73">
        <w:rPr>
          <w:bCs/>
          <w:sz w:val="22"/>
          <w:szCs w:val="22"/>
          <w:lang w:val="sr-Latn-ME"/>
        </w:rPr>
        <w:t xml:space="preserve"> </w:t>
      </w:r>
      <w:r w:rsidR="00FD4480" w:rsidRPr="00FB6F73">
        <w:rPr>
          <w:bCs/>
          <w:sz w:val="22"/>
          <w:szCs w:val="22"/>
          <w:lang w:val="sr-Latn-ME"/>
        </w:rPr>
        <w:t>lijek</w:t>
      </w:r>
      <w:r w:rsidRPr="00FB6F73">
        <w:rPr>
          <w:bCs/>
          <w:sz w:val="22"/>
          <w:szCs w:val="22"/>
          <w:lang w:val="sr-Latn-ME"/>
        </w:rPr>
        <w:t xml:space="preserve">a Erlotinib Sandoz kod pacijenata sa teškim oštećenjem bubrežne funkcije se ne preporučuje. </w:t>
      </w:r>
    </w:p>
    <w:p w14:paraId="3AED2BE4" w14:textId="77777777" w:rsidR="005505B4" w:rsidRPr="00FB6F73" w:rsidRDefault="005505B4" w:rsidP="00981FFD">
      <w:pPr>
        <w:tabs>
          <w:tab w:val="left" w:pos="540"/>
          <w:tab w:val="left" w:pos="569"/>
        </w:tabs>
        <w:jc w:val="both"/>
        <w:rPr>
          <w:bCs/>
          <w:sz w:val="22"/>
          <w:szCs w:val="22"/>
          <w:u w:val="single"/>
          <w:lang w:val="sr-Latn-ME"/>
        </w:rPr>
      </w:pPr>
    </w:p>
    <w:p w14:paraId="37B99D39" w14:textId="77777777" w:rsidR="005505B4" w:rsidRPr="00FB6F73" w:rsidRDefault="005505B4" w:rsidP="00981FFD">
      <w:pPr>
        <w:tabs>
          <w:tab w:val="left" w:pos="540"/>
          <w:tab w:val="left" w:pos="569"/>
        </w:tabs>
        <w:jc w:val="both"/>
        <w:rPr>
          <w:bCs/>
          <w:i/>
          <w:sz w:val="22"/>
          <w:szCs w:val="22"/>
          <w:lang w:val="sr-Latn-ME"/>
        </w:rPr>
      </w:pPr>
      <w:r w:rsidRPr="00FB6F73">
        <w:rPr>
          <w:bCs/>
          <w:i/>
          <w:sz w:val="22"/>
          <w:szCs w:val="22"/>
          <w:lang w:val="sr-Latn-ME"/>
        </w:rPr>
        <w:t>Pedijatrijska populacija</w:t>
      </w:r>
    </w:p>
    <w:p w14:paraId="66D173EA" w14:textId="3ABDB968" w:rsidR="005505B4" w:rsidRPr="00FB6F73" w:rsidRDefault="00FD4480" w:rsidP="00981FFD">
      <w:pPr>
        <w:tabs>
          <w:tab w:val="left" w:pos="540"/>
          <w:tab w:val="left" w:pos="569"/>
        </w:tabs>
        <w:jc w:val="both"/>
        <w:rPr>
          <w:bCs/>
          <w:sz w:val="22"/>
          <w:szCs w:val="22"/>
          <w:lang w:val="sr-Latn-ME"/>
        </w:rPr>
      </w:pPr>
      <w:r w:rsidRPr="00FB6F73">
        <w:rPr>
          <w:bCs/>
          <w:sz w:val="22"/>
          <w:szCs w:val="22"/>
          <w:lang w:val="sr-Latn-ME"/>
        </w:rPr>
        <w:t>Bezbjednost</w:t>
      </w:r>
      <w:r w:rsidR="005505B4" w:rsidRPr="00FB6F73">
        <w:rPr>
          <w:bCs/>
          <w:sz w:val="22"/>
          <w:szCs w:val="22"/>
          <w:lang w:val="sr-Latn-ME"/>
        </w:rPr>
        <w:t xml:space="preserve"> i efikasnost </w:t>
      </w:r>
      <w:r w:rsidRPr="00FB6F73">
        <w:rPr>
          <w:bCs/>
          <w:sz w:val="22"/>
          <w:szCs w:val="22"/>
          <w:lang w:val="sr-Latn-ME"/>
        </w:rPr>
        <w:t>primjene</w:t>
      </w:r>
      <w:r w:rsidR="005505B4" w:rsidRPr="00FB6F73">
        <w:rPr>
          <w:bCs/>
          <w:sz w:val="22"/>
          <w:szCs w:val="22"/>
          <w:lang w:val="sr-Latn-ME"/>
        </w:rPr>
        <w:t xml:space="preserve"> erlotiniba kod pacijenata mlađih od 18 godina nisu ustanovljene. </w:t>
      </w:r>
      <w:r w:rsidRPr="00FB6F73">
        <w:rPr>
          <w:bCs/>
          <w:sz w:val="22"/>
          <w:szCs w:val="22"/>
          <w:lang w:val="sr-Latn-ME"/>
        </w:rPr>
        <w:t>Primjena</w:t>
      </w:r>
      <w:r w:rsidR="005505B4" w:rsidRPr="00FB6F73">
        <w:rPr>
          <w:bCs/>
          <w:sz w:val="22"/>
          <w:szCs w:val="22"/>
          <w:lang w:val="sr-Latn-ME"/>
        </w:rPr>
        <w:t xml:space="preserve"> </w:t>
      </w:r>
      <w:r w:rsidRPr="00FB6F73">
        <w:rPr>
          <w:bCs/>
          <w:sz w:val="22"/>
          <w:szCs w:val="22"/>
          <w:lang w:val="sr-Latn-ME"/>
        </w:rPr>
        <w:t>lijek</w:t>
      </w:r>
      <w:r w:rsidR="005505B4" w:rsidRPr="00FB6F73">
        <w:rPr>
          <w:bCs/>
          <w:sz w:val="22"/>
          <w:szCs w:val="22"/>
          <w:lang w:val="sr-Latn-ME"/>
        </w:rPr>
        <w:t xml:space="preserve">a Erlotinib Sandoz kod pedijatrijskih pacijenata se ne preporučuje. </w:t>
      </w:r>
    </w:p>
    <w:p w14:paraId="0C58BA8B" w14:textId="77777777" w:rsidR="005505B4" w:rsidRPr="00FB6F73" w:rsidRDefault="005505B4" w:rsidP="00981FFD">
      <w:pPr>
        <w:tabs>
          <w:tab w:val="left" w:pos="540"/>
          <w:tab w:val="left" w:pos="569"/>
        </w:tabs>
        <w:jc w:val="both"/>
        <w:rPr>
          <w:bCs/>
          <w:sz w:val="22"/>
          <w:szCs w:val="22"/>
          <w:u w:val="single"/>
          <w:lang w:val="sr-Latn-ME"/>
        </w:rPr>
      </w:pPr>
    </w:p>
    <w:p w14:paraId="09AAFB64" w14:textId="77777777" w:rsidR="00986DDB" w:rsidRPr="00FB6F73" w:rsidRDefault="005505B4" w:rsidP="00981FFD">
      <w:pPr>
        <w:tabs>
          <w:tab w:val="left" w:pos="540"/>
          <w:tab w:val="left" w:pos="569"/>
        </w:tabs>
        <w:jc w:val="both"/>
        <w:rPr>
          <w:bCs/>
          <w:sz w:val="22"/>
          <w:szCs w:val="22"/>
          <w:u w:val="single"/>
          <w:lang w:val="sr-Latn-ME"/>
        </w:rPr>
      </w:pPr>
      <w:r w:rsidRPr="00FB6F73">
        <w:rPr>
          <w:bCs/>
          <w:sz w:val="22"/>
          <w:szCs w:val="22"/>
          <w:u w:val="single"/>
          <w:lang w:val="sr-Latn-ME"/>
        </w:rPr>
        <w:t xml:space="preserve">Pušači: </w:t>
      </w:r>
    </w:p>
    <w:p w14:paraId="42F91481" w14:textId="51D300BE" w:rsidR="005505B4" w:rsidRPr="00FB6F73" w:rsidRDefault="005505B4" w:rsidP="00981FFD">
      <w:pPr>
        <w:tabs>
          <w:tab w:val="left" w:pos="540"/>
          <w:tab w:val="left" w:pos="569"/>
        </w:tabs>
        <w:jc w:val="both"/>
        <w:rPr>
          <w:bCs/>
          <w:sz w:val="22"/>
          <w:szCs w:val="22"/>
          <w:lang w:val="sr-Latn-ME"/>
        </w:rPr>
      </w:pPr>
      <w:r w:rsidRPr="00FB6F73">
        <w:rPr>
          <w:bCs/>
          <w:sz w:val="22"/>
          <w:szCs w:val="22"/>
          <w:lang w:val="sr-Latn-ME"/>
        </w:rPr>
        <w:t xml:space="preserve">Pokazano je da pušenje cigareta smanjuje izloženost erlotinibu za 50-60%. Maksimalna podnošljiva doza </w:t>
      </w:r>
      <w:r w:rsidR="00FD4480" w:rsidRPr="00FB6F73">
        <w:rPr>
          <w:bCs/>
          <w:sz w:val="22"/>
          <w:szCs w:val="22"/>
          <w:lang w:val="sr-Latn-ME"/>
        </w:rPr>
        <w:t>lijek</w:t>
      </w:r>
      <w:r w:rsidRPr="00FB6F73">
        <w:rPr>
          <w:bCs/>
          <w:sz w:val="22"/>
          <w:szCs w:val="22"/>
          <w:lang w:val="sr-Latn-ME"/>
        </w:rPr>
        <w:t xml:space="preserve">a Erlotinib Sandoz kod NSCLC pacijenta koji su pušači iznosi 300 mg. </w:t>
      </w:r>
      <w:r w:rsidR="00986DDB" w:rsidRPr="00FB6F73">
        <w:rPr>
          <w:bCs/>
          <w:sz w:val="22"/>
          <w:szCs w:val="22"/>
          <w:lang w:val="sr-Latn-ME"/>
        </w:rPr>
        <w:t xml:space="preserve">Kod pacijenata </w:t>
      </w:r>
      <w:r w:rsidR="00A31E3C" w:rsidRPr="00FB6F73">
        <w:rPr>
          <w:bCs/>
          <w:sz w:val="22"/>
          <w:szCs w:val="22"/>
          <w:lang w:val="sr-Latn-ME"/>
        </w:rPr>
        <w:t xml:space="preserve">koji nastave </w:t>
      </w:r>
      <w:r w:rsidR="00986DDB" w:rsidRPr="00FB6F73">
        <w:rPr>
          <w:bCs/>
          <w:sz w:val="22"/>
          <w:szCs w:val="22"/>
          <w:lang w:val="sr-Latn-ME"/>
        </w:rPr>
        <w:t xml:space="preserve">da puše </w:t>
      </w:r>
      <w:r w:rsidR="00A31E3C" w:rsidRPr="00FB6F73">
        <w:rPr>
          <w:bCs/>
          <w:sz w:val="22"/>
          <w:szCs w:val="22"/>
          <w:lang w:val="sr-Latn-ME"/>
        </w:rPr>
        <w:t xml:space="preserve">cigarete, doza od 300 mg u </w:t>
      </w:r>
      <w:r w:rsidR="00986DDB" w:rsidRPr="00FB6F73">
        <w:rPr>
          <w:bCs/>
          <w:sz w:val="22"/>
          <w:szCs w:val="22"/>
          <w:lang w:val="sr-Latn-ME"/>
        </w:rPr>
        <w:t xml:space="preserve">poređenju </w:t>
      </w:r>
      <w:r w:rsidR="00A31E3C" w:rsidRPr="00FB6F73">
        <w:rPr>
          <w:bCs/>
          <w:sz w:val="22"/>
          <w:szCs w:val="22"/>
          <w:lang w:val="sr-Latn-ME"/>
        </w:rPr>
        <w:t xml:space="preserve">s preporučenom dozom od 150 mg nije pokazala bolju </w:t>
      </w:r>
      <w:r w:rsidR="00986DDB" w:rsidRPr="00FB6F73">
        <w:rPr>
          <w:bCs/>
          <w:sz w:val="22"/>
          <w:szCs w:val="22"/>
          <w:lang w:val="sr-Latn-ME"/>
        </w:rPr>
        <w:t xml:space="preserve">efikasnost </w:t>
      </w:r>
      <w:r w:rsidR="00A31E3C" w:rsidRPr="00FB6F73">
        <w:rPr>
          <w:bCs/>
          <w:sz w:val="22"/>
          <w:szCs w:val="22"/>
          <w:lang w:val="sr-Latn-ME"/>
        </w:rPr>
        <w:t xml:space="preserve">u drugoj liniji liječenja nakon neuspješne </w:t>
      </w:r>
      <w:r w:rsidR="007A659B" w:rsidRPr="00FB6F73">
        <w:rPr>
          <w:bCs/>
          <w:sz w:val="22"/>
          <w:szCs w:val="22"/>
          <w:lang w:val="sr-Latn-ME"/>
        </w:rPr>
        <w:t>h</w:t>
      </w:r>
      <w:r w:rsidR="00A31E3C" w:rsidRPr="00FB6F73">
        <w:rPr>
          <w:bCs/>
          <w:sz w:val="22"/>
          <w:szCs w:val="22"/>
          <w:lang w:val="sr-Latn-ME"/>
        </w:rPr>
        <w:t>em</w:t>
      </w:r>
      <w:r w:rsidR="00BC1194" w:rsidRPr="00FB6F73">
        <w:rPr>
          <w:bCs/>
          <w:sz w:val="22"/>
          <w:szCs w:val="22"/>
          <w:lang w:val="sr-Latn-ME"/>
        </w:rPr>
        <w:t>i</w:t>
      </w:r>
      <w:r w:rsidR="00A31E3C" w:rsidRPr="00FB6F73">
        <w:rPr>
          <w:bCs/>
          <w:sz w:val="22"/>
          <w:szCs w:val="22"/>
          <w:lang w:val="sr-Latn-ME"/>
        </w:rPr>
        <w:t xml:space="preserve">oterapije. Podaci o </w:t>
      </w:r>
      <w:r w:rsidR="00986DDB" w:rsidRPr="00FB6F73">
        <w:rPr>
          <w:bCs/>
          <w:sz w:val="22"/>
          <w:szCs w:val="22"/>
          <w:lang w:val="sr-Latn-ME"/>
        </w:rPr>
        <w:t xml:space="preserve">bezbjednosti </w:t>
      </w:r>
      <w:r w:rsidR="00A31E3C" w:rsidRPr="00FB6F73">
        <w:rPr>
          <w:bCs/>
          <w:sz w:val="22"/>
          <w:szCs w:val="22"/>
          <w:lang w:val="sr-Latn-ME"/>
        </w:rPr>
        <w:t xml:space="preserve">za doze od 300 mg i 150 mg bili su uporedivi; međutim, </w:t>
      </w:r>
      <w:r w:rsidR="007A659B" w:rsidRPr="00FB6F73">
        <w:rPr>
          <w:bCs/>
          <w:sz w:val="22"/>
          <w:szCs w:val="22"/>
          <w:lang w:val="sr-Latn-ME"/>
        </w:rPr>
        <w:t>kod pacijenata</w:t>
      </w:r>
      <w:r w:rsidR="00A31E3C" w:rsidRPr="00FB6F73">
        <w:rPr>
          <w:bCs/>
          <w:sz w:val="22"/>
          <w:szCs w:val="22"/>
          <w:lang w:val="sr-Latn-ME"/>
        </w:rPr>
        <w:t xml:space="preserve"> koji su primali višu dozu erlotiniba zabilježeno je brojčano povećanje incidencije osipa, </w:t>
      </w:r>
      <w:r w:rsidR="00775C40" w:rsidRPr="00FB6F73">
        <w:rPr>
          <w:bCs/>
          <w:sz w:val="22"/>
          <w:szCs w:val="22"/>
          <w:lang w:val="sr-Latn-ME"/>
        </w:rPr>
        <w:t xml:space="preserve">intersticijalne </w:t>
      </w:r>
      <w:r w:rsidR="00A31E3C" w:rsidRPr="00FB6F73">
        <w:rPr>
          <w:bCs/>
          <w:sz w:val="22"/>
          <w:szCs w:val="22"/>
          <w:lang w:val="sr-Latn-ME"/>
        </w:rPr>
        <w:t>bolesti pluća i prol</w:t>
      </w:r>
      <w:r w:rsidR="007A659B" w:rsidRPr="00FB6F73">
        <w:rPr>
          <w:bCs/>
          <w:sz w:val="22"/>
          <w:szCs w:val="22"/>
          <w:lang w:val="sr-Latn-ME"/>
        </w:rPr>
        <w:t>i</w:t>
      </w:r>
      <w:r w:rsidR="00A31E3C" w:rsidRPr="00FB6F73">
        <w:rPr>
          <w:bCs/>
          <w:sz w:val="22"/>
          <w:szCs w:val="22"/>
          <w:lang w:val="sr-Latn-ME"/>
        </w:rPr>
        <w:t xml:space="preserve">va. Pušačima treba savjetovati da prestanu </w:t>
      </w:r>
      <w:r w:rsidR="00986DDB" w:rsidRPr="00FB6F73">
        <w:rPr>
          <w:bCs/>
          <w:sz w:val="22"/>
          <w:szCs w:val="22"/>
          <w:lang w:val="sr-Latn-ME"/>
        </w:rPr>
        <w:t xml:space="preserve">da puše </w:t>
      </w:r>
      <w:r w:rsidR="00A31E3C" w:rsidRPr="00FB6F73">
        <w:rPr>
          <w:bCs/>
          <w:sz w:val="22"/>
          <w:szCs w:val="22"/>
          <w:lang w:val="sr-Latn-ME"/>
        </w:rPr>
        <w:t xml:space="preserve">(vidjeti djelove 4.4, 4.5, 5.1 i 5.2). </w:t>
      </w:r>
      <w:r w:rsidRPr="00FB6F73">
        <w:rPr>
          <w:bCs/>
          <w:sz w:val="22"/>
          <w:szCs w:val="22"/>
          <w:lang w:val="sr-Latn-ME"/>
        </w:rPr>
        <w:t xml:space="preserve"> </w:t>
      </w:r>
    </w:p>
    <w:p w14:paraId="65EA2417" w14:textId="77777777" w:rsidR="005505B4" w:rsidRPr="00FB6F73" w:rsidRDefault="005505B4" w:rsidP="00981FFD">
      <w:pPr>
        <w:tabs>
          <w:tab w:val="left" w:pos="540"/>
          <w:tab w:val="left" w:pos="569"/>
        </w:tabs>
        <w:jc w:val="both"/>
        <w:rPr>
          <w:bCs/>
          <w:sz w:val="22"/>
          <w:szCs w:val="22"/>
          <w:u w:val="single"/>
          <w:lang w:val="sr-Latn-ME"/>
        </w:rPr>
      </w:pPr>
    </w:p>
    <w:p w14:paraId="635598FF" w14:textId="77777777" w:rsidR="00452E9D" w:rsidRPr="00FB6F73" w:rsidRDefault="00452E9D" w:rsidP="00981FFD">
      <w:pPr>
        <w:tabs>
          <w:tab w:val="left" w:pos="540"/>
          <w:tab w:val="left" w:pos="569"/>
        </w:tabs>
        <w:jc w:val="both"/>
        <w:rPr>
          <w:bCs/>
          <w:sz w:val="22"/>
          <w:szCs w:val="22"/>
          <w:u w:val="single"/>
          <w:lang w:val="sr-Latn-ME"/>
        </w:rPr>
      </w:pPr>
      <w:r w:rsidRPr="00FB6F73">
        <w:rPr>
          <w:bCs/>
          <w:sz w:val="22"/>
          <w:szCs w:val="22"/>
          <w:u w:val="single"/>
          <w:lang w:val="sr-Latn-ME"/>
        </w:rPr>
        <w:t>Način primjene</w:t>
      </w:r>
    </w:p>
    <w:p w14:paraId="7194E83E" w14:textId="77777777" w:rsidR="005505B4" w:rsidRPr="00FB6F73" w:rsidRDefault="005505B4" w:rsidP="00981FFD">
      <w:pPr>
        <w:tabs>
          <w:tab w:val="left" w:pos="540"/>
          <w:tab w:val="left" w:pos="569"/>
        </w:tabs>
        <w:jc w:val="both"/>
        <w:rPr>
          <w:bCs/>
          <w:sz w:val="22"/>
          <w:szCs w:val="22"/>
          <w:lang w:val="sr-Latn-ME"/>
        </w:rPr>
      </w:pPr>
      <w:r w:rsidRPr="00FB6F73">
        <w:rPr>
          <w:bCs/>
          <w:sz w:val="22"/>
          <w:szCs w:val="22"/>
          <w:lang w:val="sr-Latn-ME"/>
        </w:rPr>
        <w:t>Oralna upotreba.</w:t>
      </w:r>
    </w:p>
    <w:p w14:paraId="2DD0846F" w14:textId="77777777" w:rsidR="00411B4B" w:rsidRPr="00FB6F73" w:rsidRDefault="00411B4B" w:rsidP="00981FFD">
      <w:pPr>
        <w:tabs>
          <w:tab w:val="left" w:pos="540"/>
          <w:tab w:val="left" w:pos="569"/>
        </w:tabs>
        <w:jc w:val="both"/>
        <w:rPr>
          <w:b/>
          <w:bCs/>
          <w:sz w:val="22"/>
          <w:szCs w:val="22"/>
          <w:lang w:val="sr-Latn-ME"/>
        </w:rPr>
      </w:pPr>
      <w:r w:rsidRPr="00FB6F73">
        <w:rPr>
          <w:b/>
          <w:bCs/>
          <w:sz w:val="22"/>
          <w:szCs w:val="22"/>
          <w:lang w:val="sr-Latn-ME"/>
        </w:rPr>
        <w:lastRenderedPageBreak/>
        <w:t xml:space="preserve">4.3. </w:t>
      </w:r>
      <w:r w:rsidR="00480FB1" w:rsidRPr="00FB6F73">
        <w:rPr>
          <w:b/>
          <w:bCs/>
          <w:sz w:val="22"/>
          <w:szCs w:val="22"/>
          <w:lang w:val="sr-Latn-ME"/>
        </w:rPr>
        <w:tab/>
      </w:r>
      <w:r w:rsidRPr="00FB6F73">
        <w:rPr>
          <w:b/>
          <w:bCs/>
          <w:sz w:val="22"/>
          <w:szCs w:val="22"/>
          <w:lang w:val="sr-Latn-ME"/>
        </w:rPr>
        <w:t>Kontraindikacije</w:t>
      </w:r>
    </w:p>
    <w:p w14:paraId="33756A9F" w14:textId="0CE03EB4" w:rsidR="0072020E" w:rsidRPr="00FB6F73" w:rsidRDefault="0072020E" w:rsidP="00981FFD">
      <w:pPr>
        <w:tabs>
          <w:tab w:val="left" w:pos="540"/>
          <w:tab w:val="left" w:pos="569"/>
        </w:tabs>
        <w:jc w:val="both"/>
        <w:rPr>
          <w:bCs/>
          <w:sz w:val="22"/>
          <w:szCs w:val="22"/>
          <w:lang w:val="sr-Latn-ME"/>
        </w:rPr>
      </w:pPr>
    </w:p>
    <w:p w14:paraId="111A4382" w14:textId="22C825C9" w:rsidR="005505B4" w:rsidRPr="00FB6F73" w:rsidRDefault="00FD4480" w:rsidP="00981FFD">
      <w:pPr>
        <w:tabs>
          <w:tab w:val="left" w:pos="540"/>
          <w:tab w:val="left" w:pos="569"/>
        </w:tabs>
        <w:jc w:val="both"/>
        <w:rPr>
          <w:bCs/>
          <w:sz w:val="22"/>
          <w:szCs w:val="22"/>
          <w:lang w:val="sr-Latn-ME"/>
        </w:rPr>
      </w:pPr>
      <w:r w:rsidRPr="00FB6F73">
        <w:rPr>
          <w:bCs/>
          <w:sz w:val="22"/>
          <w:szCs w:val="22"/>
          <w:lang w:val="sr-Latn-ME"/>
        </w:rPr>
        <w:t>Preosjetljivost</w:t>
      </w:r>
      <w:r w:rsidR="005505B4" w:rsidRPr="00FB6F73">
        <w:rPr>
          <w:bCs/>
          <w:sz w:val="22"/>
          <w:szCs w:val="22"/>
          <w:lang w:val="sr-Latn-ME"/>
        </w:rPr>
        <w:t xml:space="preserve"> na erlotinib ili na bilo koju od pomoćnih supstanci, navedenih u </w:t>
      </w:r>
      <w:r w:rsidR="00986DDB" w:rsidRPr="00FB6F73">
        <w:rPr>
          <w:bCs/>
          <w:sz w:val="22"/>
          <w:szCs w:val="22"/>
          <w:lang w:val="sr-Latn-ME"/>
        </w:rPr>
        <w:t xml:space="preserve">dijelu </w:t>
      </w:r>
      <w:r w:rsidR="005505B4" w:rsidRPr="00FB6F73">
        <w:rPr>
          <w:bCs/>
          <w:sz w:val="22"/>
          <w:szCs w:val="22"/>
          <w:lang w:val="sr-Latn-ME"/>
        </w:rPr>
        <w:t>6.1.</w:t>
      </w:r>
    </w:p>
    <w:p w14:paraId="11D22515" w14:textId="77777777" w:rsidR="005505B4" w:rsidRPr="00FB6F73" w:rsidRDefault="005505B4" w:rsidP="00981FFD">
      <w:pPr>
        <w:tabs>
          <w:tab w:val="left" w:pos="540"/>
          <w:tab w:val="left" w:pos="569"/>
        </w:tabs>
        <w:jc w:val="both"/>
        <w:rPr>
          <w:bCs/>
          <w:sz w:val="22"/>
          <w:szCs w:val="22"/>
          <w:lang w:val="sr-Latn-ME"/>
        </w:rPr>
      </w:pPr>
    </w:p>
    <w:p w14:paraId="3A881680" w14:textId="77777777" w:rsidR="00411B4B" w:rsidRPr="00FB6F73" w:rsidRDefault="00411B4B" w:rsidP="00981FFD">
      <w:pPr>
        <w:tabs>
          <w:tab w:val="left" w:pos="540"/>
          <w:tab w:val="left" w:pos="569"/>
        </w:tabs>
        <w:jc w:val="both"/>
        <w:rPr>
          <w:b/>
          <w:bCs/>
          <w:sz w:val="22"/>
          <w:szCs w:val="22"/>
          <w:lang w:val="sr-Latn-ME"/>
        </w:rPr>
      </w:pPr>
      <w:r w:rsidRPr="00FB6F73">
        <w:rPr>
          <w:b/>
          <w:bCs/>
          <w:sz w:val="22"/>
          <w:szCs w:val="22"/>
          <w:lang w:val="sr-Latn-ME"/>
        </w:rPr>
        <w:t xml:space="preserve">4.4. </w:t>
      </w:r>
      <w:r w:rsidR="00480FB1" w:rsidRPr="00FB6F73">
        <w:rPr>
          <w:b/>
          <w:bCs/>
          <w:sz w:val="22"/>
          <w:szCs w:val="22"/>
          <w:lang w:val="sr-Latn-ME"/>
        </w:rPr>
        <w:tab/>
      </w:r>
      <w:r w:rsidRPr="00FB6F73">
        <w:rPr>
          <w:b/>
          <w:bCs/>
          <w:sz w:val="22"/>
          <w:szCs w:val="22"/>
          <w:lang w:val="sr-Latn-ME"/>
        </w:rPr>
        <w:t>Posebna upozorenja i mjere opreza pri upotrebi lijeka</w:t>
      </w:r>
    </w:p>
    <w:p w14:paraId="11D403F2" w14:textId="124B4015" w:rsidR="0072020E" w:rsidRPr="00FB6F73" w:rsidRDefault="0072020E" w:rsidP="00981FFD">
      <w:pPr>
        <w:tabs>
          <w:tab w:val="left" w:pos="540"/>
          <w:tab w:val="left" w:pos="569"/>
        </w:tabs>
        <w:jc w:val="both"/>
        <w:rPr>
          <w:bCs/>
          <w:sz w:val="22"/>
          <w:szCs w:val="22"/>
          <w:lang w:val="sr-Latn-ME"/>
        </w:rPr>
      </w:pPr>
    </w:p>
    <w:p w14:paraId="7D022D1B" w14:textId="77777777" w:rsidR="005505B4" w:rsidRPr="00FB6F73" w:rsidRDefault="005505B4" w:rsidP="00981FFD">
      <w:pPr>
        <w:tabs>
          <w:tab w:val="left" w:pos="540"/>
          <w:tab w:val="left" w:pos="569"/>
        </w:tabs>
        <w:jc w:val="both"/>
        <w:rPr>
          <w:bCs/>
          <w:sz w:val="22"/>
          <w:szCs w:val="22"/>
          <w:u w:val="single"/>
          <w:lang w:val="sr-Latn-ME"/>
        </w:rPr>
      </w:pPr>
      <w:r w:rsidRPr="00FB6F73">
        <w:rPr>
          <w:bCs/>
          <w:sz w:val="22"/>
          <w:szCs w:val="22"/>
          <w:u w:val="single"/>
          <w:lang w:val="sr-Latn-ME"/>
        </w:rPr>
        <w:t xml:space="preserve">Određivanje statusa EGFR mutacije </w:t>
      </w:r>
    </w:p>
    <w:p w14:paraId="63A5CC6F" w14:textId="2DE21DB0" w:rsidR="00A31E3C" w:rsidRPr="00FB6F73" w:rsidRDefault="00A31E3C" w:rsidP="00981FFD">
      <w:pPr>
        <w:tabs>
          <w:tab w:val="left" w:pos="540"/>
          <w:tab w:val="left" w:pos="569"/>
        </w:tabs>
        <w:jc w:val="both"/>
        <w:rPr>
          <w:bCs/>
          <w:sz w:val="22"/>
          <w:szCs w:val="22"/>
          <w:lang w:val="sr-Latn-ME"/>
        </w:rPr>
      </w:pPr>
      <w:r w:rsidRPr="00FB6F73">
        <w:rPr>
          <w:bCs/>
          <w:sz w:val="22"/>
          <w:szCs w:val="22"/>
          <w:lang w:val="sr-Latn-ME"/>
        </w:rPr>
        <w:t xml:space="preserve">Kada se razmatra primjena lijeka Tarceva kao prve linije liječenja ili terapije održavanja za lokalno uznapredovali ili metastatski NSCLC važno je odrediti status EGFR mutacije. Potrebno je </w:t>
      </w:r>
      <w:r w:rsidR="007A659B" w:rsidRPr="00FB6F73">
        <w:rPr>
          <w:bCs/>
          <w:sz w:val="22"/>
          <w:szCs w:val="22"/>
          <w:lang w:val="sr-Latn-ME"/>
        </w:rPr>
        <w:t>s</w:t>
      </w:r>
      <w:r w:rsidRPr="00FB6F73">
        <w:rPr>
          <w:bCs/>
          <w:sz w:val="22"/>
          <w:szCs w:val="22"/>
          <w:lang w:val="sr-Latn-ME"/>
        </w:rPr>
        <w:t xml:space="preserve">provesti validiran, robustan, pouzdan i osjetljiv test koji ima unaprijed određen prag za pozitivan rezultat i koji je dokazano koristan za utvrđivanje statusa EGFR mutacije, koristeći ili tumorsku DNK </w:t>
      </w:r>
      <w:r w:rsidR="00775C40" w:rsidRPr="00FB6F73">
        <w:rPr>
          <w:bCs/>
          <w:sz w:val="22"/>
          <w:szCs w:val="22"/>
          <w:lang w:val="sr-Latn-ME"/>
        </w:rPr>
        <w:t xml:space="preserve">dobijenu </w:t>
      </w:r>
      <w:r w:rsidRPr="00FB6F73">
        <w:rPr>
          <w:bCs/>
          <w:sz w:val="22"/>
          <w:szCs w:val="22"/>
          <w:lang w:val="sr-Latn-ME"/>
        </w:rPr>
        <w:t xml:space="preserve">iz uzorka tkiva ili </w:t>
      </w:r>
      <w:r w:rsidR="00775C40" w:rsidRPr="00FB6F73">
        <w:rPr>
          <w:bCs/>
          <w:sz w:val="22"/>
          <w:szCs w:val="22"/>
          <w:lang w:val="sr-Latn-ME"/>
        </w:rPr>
        <w:t xml:space="preserve">cirkulišuću </w:t>
      </w:r>
      <w:r w:rsidRPr="00FB6F73">
        <w:rPr>
          <w:bCs/>
          <w:sz w:val="22"/>
          <w:szCs w:val="22"/>
          <w:lang w:val="sr-Latn-ME"/>
        </w:rPr>
        <w:t xml:space="preserve">slobodnu DNK (cfDNK) </w:t>
      </w:r>
      <w:r w:rsidR="00775C40" w:rsidRPr="00FB6F73">
        <w:rPr>
          <w:bCs/>
          <w:sz w:val="22"/>
          <w:szCs w:val="22"/>
          <w:lang w:val="sr-Latn-ME"/>
        </w:rPr>
        <w:t xml:space="preserve">dobijenu </w:t>
      </w:r>
      <w:r w:rsidRPr="00FB6F73">
        <w:rPr>
          <w:bCs/>
          <w:sz w:val="22"/>
          <w:szCs w:val="22"/>
          <w:lang w:val="sr-Latn-ME"/>
        </w:rPr>
        <w:t xml:space="preserve">iz uzorka krvi (plazme), u skladu s lokalnom medicinskom praksom. </w:t>
      </w:r>
    </w:p>
    <w:p w14:paraId="4CA199A9" w14:textId="4F466290" w:rsidR="005505B4" w:rsidRPr="00FB6F73" w:rsidRDefault="00A31E3C" w:rsidP="00981FFD">
      <w:pPr>
        <w:tabs>
          <w:tab w:val="left" w:pos="540"/>
          <w:tab w:val="left" w:pos="569"/>
        </w:tabs>
        <w:jc w:val="both"/>
        <w:rPr>
          <w:bCs/>
          <w:sz w:val="22"/>
          <w:szCs w:val="22"/>
          <w:lang w:val="sr-Latn-ME"/>
        </w:rPr>
      </w:pPr>
      <w:r w:rsidRPr="00FB6F73">
        <w:rPr>
          <w:bCs/>
          <w:sz w:val="22"/>
          <w:szCs w:val="22"/>
          <w:lang w:val="sr-Latn-ME"/>
        </w:rPr>
        <w:t xml:space="preserve">Ako se provodi test plazmatske cfDNK i dobije negativan nalaz na aktivirajuće mutacije, kad god je moguće treba </w:t>
      </w:r>
      <w:r w:rsidR="00775C40" w:rsidRPr="00FB6F73">
        <w:rPr>
          <w:bCs/>
          <w:sz w:val="22"/>
          <w:szCs w:val="22"/>
          <w:lang w:val="sr-Latn-ME"/>
        </w:rPr>
        <w:t>s</w:t>
      </w:r>
      <w:r w:rsidRPr="00FB6F73">
        <w:rPr>
          <w:bCs/>
          <w:sz w:val="22"/>
          <w:szCs w:val="22"/>
          <w:lang w:val="sr-Latn-ME"/>
        </w:rPr>
        <w:t>provesti i test na uzorku tumorskog tkiva</w:t>
      </w:r>
      <w:r w:rsidR="00775C40" w:rsidRPr="00FB6F73">
        <w:rPr>
          <w:bCs/>
          <w:sz w:val="22"/>
          <w:szCs w:val="22"/>
          <w:lang w:val="sr-Latn-ME"/>
        </w:rPr>
        <w:t>,</w:t>
      </w:r>
      <w:r w:rsidRPr="00FB6F73">
        <w:rPr>
          <w:bCs/>
          <w:sz w:val="22"/>
          <w:szCs w:val="22"/>
          <w:lang w:val="sr-Latn-ME"/>
        </w:rPr>
        <w:t xml:space="preserve"> zbog mogućeg lažno negativnog nalaza testa na plazmatskom uzorku.  </w:t>
      </w:r>
    </w:p>
    <w:p w14:paraId="1101CCB6" w14:textId="77777777" w:rsidR="00A31E3C" w:rsidRPr="00FB6F73" w:rsidRDefault="00A31E3C" w:rsidP="00981FFD">
      <w:pPr>
        <w:tabs>
          <w:tab w:val="left" w:pos="540"/>
          <w:tab w:val="left" w:pos="569"/>
        </w:tabs>
        <w:jc w:val="both"/>
        <w:rPr>
          <w:bCs/>
          <w:sz w:val="22"/>
          <w:szCs w:val="22"/>
          <w:lang w:val="sr-Latn-ME"/>
        </w:rPr>
      </w:pPr>
    </w:p>
    <w:p w14:paraId="6E90D424" w14:textId="77777777" w:rsidR="005505B4" w:rsidRPr="00FB6F73" w:rsidRDefault="005505B4" w:rsidP="00981FFD">
      <w:pPr>
        <w:tabs>
          <w:tab w:val="left" w:pos="540"/>
          <w:tab w:val="left" w:pos="569"/>
        </w:tabs>
        <w:jc w:val="both"/>
        <w:rPr>
          <w:bCs/>
          <w:sz w:val="22"/>
          <w:szCs w:val="22"/>
          <w:u w:val="single"/>
          <w:lang w:val="sr-Latn-ME"/>
        </w:rPr>
      </w:pPr>
      <w:r w:rsidRPr="00FB6F73">
        <w:rPr>
          <w:bCs/>
          <w:sz w:val="22"/>
          <w:szCs w:val="22"/>
          <w:u w:val="single"/>
          <w:lang w:val="sr-Latn-ME"/>
        </w:rPr>
        <w:t xml:space="preserve">Pušači </w:t>
      </w:r>
    </w:p>
    <w:p w14:paraId="45274A8F" w14:textId="63A68C89" w:rsidR="005505B4" w:rsidRPr="00FB6F73" w:rsidRDefault="005505B4" w:rsidP="00981FFD">
      <w:pPr>
        <w:tabs>
          <w:tab w:val="left" w:pos="540"/>
          <w:tab w:val="left" w:pos="569"/>
        </w:tabs>
        <w:jc w:val="both"/>
        <w:rPr>
          <w:bCs/>
          <w:sz w:val="22"/>
          <w:szCs w:val="22"/>
          <w:lang w:val="sr-Latn-ME"/>
        </w:rPr>
      </w:pPr>
      <w:r w:rsidRPr="00FB6F73">
        <w:rPr>
          <w:bCs/>
          <w:sz w:val="22"/>
          <w:szCs w:val="22"/>
          <w:lang w:val="sr-Latn-ME"/>
        </w:rPr>
        <w:t xml:space="preserve">Pacijentima koji puše treba </w:t>
      </w:r>
      <w:r w:rsidR="00FD4480" w:rsidRPr="00FB6F73">
        <w:rPr>
          <w:bCs/>
          <w:sz w:val="22"/>
          <w:szCs w:val="22"/>
          <w:lang w:val="sr-Latn-ME"/>
        </w:rPr>
        <w:t>savjet</w:t>
      </w:r>
      <w:r w:rsidRPr="00FB6F73">
        <w:rPr>
          <w:bCs/>
          <w:sz w:val="22"/>
          <w:szCs w:val="22"/>
          <w:lang w:val="sr-Latn-ME"/>
        </w:rPr>
        <w:t>ovati da prestanu, jer je koncentracija erlotiniba u plazmi pušača značajno manja u poređenju sa koncentracijom kod nepušača. Stepen navedenog smanjenja je v</w:t>
      </w:r>
      <w:r w:rsidR="00FD4480" w:rsidRPr="00FB6F73">
        <w:rPr>
          <w:bCs/>
          <w:sz w:val="22"/>
          <w:szCs w:val="22"/>
          <w:lang w:val="sr-Latn-ME"/>
        </w:rPr>
        <w:t>j</w:t>
      </w:r>
      <w:r w:rsidRPr="00FB6F73">
        <w:rPr>
          <w:bCs/>
          <w:sz w:val="22"/>
          <w:szCs w:val="22"/>
          <w:lang w:val="sr-Latn-ME"/>
        </w:rPr>
        <w:t>erovatno klinički značajan (</w:t>
      </w:r>
      <w:r w:rsidR="00FD4480" w:rsidRPr="00FB6F73">
        <w:rPr>
          <w:bCs/>
          <w:sz w:val="22"/>
          <w:szCs w:val="22"/>
          <w:lang w:val="sr-Latn-ME"/>
        </w:rPr>
        <w:t>vidjeti</w:t>
      </w:r>
      <w:r w:rsidRPr="00FB6F73">
        <w:rPr>
          <w:bCs/>
          <w:sz w:val="22"/>
          <w:szCs w:val="22"/>
          <w:lang w:val="sr-Latn-ME"/>
        </w:rPr>
        <w:t xml:space="preserve"> </w:t>
      </w:r>
      <w:r w:rsidR="00775C40" w:rsidRPr="00FB6F73">
        <w:rPr>
          <w:bCs/>
          <w:sz w:val="22"/>
          <w:szCs w:val="22"/>
          <w:lang w:val="sr-Latn-ME"/>
        </w:rPr>
        <w:t xml:space="preserve">djelove </w:t>
      </w:r>
      <w:r w:rsidR="00A31E3C" w:rsidRPr="00FB6F73">
        <w:rPr>
          <w:bCs/>
          <w:sz w:val="22"/>
          <w:szCs w:val="22"/>
          <w:lang w:val="sr-Latn-ME"/>
        </w:rPr>
        <w:t>4.2, 4.5, 5.1 i 5.2</w:t>
      </w:r>
      <w:r w:rsidRPr="00FB6F73">
        <w:rPr>
          <w:bCs/>
          <w:sz w:val="22"/>
          <w:szCs w:val="22"/>
          <w:lang w:val="sr-Latn-ME"/>
        </w:rPr>
        <w:t>).</w:t>
      </w:r>
    </w:p>
    <w:p w14:paraId="0F6435EE" w14:textId="77777777" w:rsidR="005505B4" w:rsidRPr="00FB6F73" w:rsidRDefault="005505B4" w:rsidP="00981FFD">
      <w:pPr>
        <w:tabs>
          <w:tab w:val="left" w:pos="540"/>
          <w:tab w:val="left" w:pos="569"/>
        </w:tabs>
        <w:jc w:val="both"/>
        <w:rPr>
          <w:bCs/>
          <w:sz w:val="22"/>
          <w:szCs w:val="22"/>
          <w:lang w:val="sr-Latn-ME"/>
        </w:rPr>
      </w:pPr>
    </w:p>
    <w:p w14:paraId="1275A71B" w14:textId="77777777" w:rsidR="005505B4" w:rsidRPr="00FB6F73" w:rsidRDefault="005505B4" w:rsidP="00981FFD">
      <w:pPr>
        <w:tabs>
          <w:tab w:val="left" w:pos="540"/>
          <w:tab w:val="left" w:pos="569"/>
        </w:tabs>
        <w:jc w:val="both"/>
        <w:rPr>
          <w:bCs/>
          <w:sz w:val="22"/>
          <w:szCs w:val="22"/>
          <w:lang w:val="sr-Latn-ME"/>
        </w:rPr>
      </w:pPr>
      <w:r w:rsidRPr="00FB6F73">
        <w:rPr>
          <w:bCs/>
          <w:sz w:val="22"/>
          <w:szCs w:val="22"/>
          <w:u w:val="single"/>
          <w:lang w:val="sr-Latn-ME"/>
        </w:rPr>
        <w:t>Intersticijalna bolest pluća</w:t>
      </w:r>
      <w:r w:rsidRPr="00FB6F73">
        <w:rPr>
          <w:bCs/>
          <w:sz w:val="22"/>
          <w:szCs w:val="22"/>
          <w:lang w:val="sr-Latn-ME"/>
        </w:rPr>
        <w:t xml:space="preserve"> </w:t>
      </w:r>
    </w:p>
    <w:p w14:paraId="469880C3" w14:textId="17399CC1" w:rsidR="005505B4" w:rsidRPr="00FB6F73" w:rsidRDefault="005505B4" w:rsidP="00981FFD">
      <w:pPr>
        <w:tabs>
          <w:tab w:val="left" w:pos="540"/>
          <w:tab w:val="left" w:pos="569"/>
        </w:tabs>
        <w:jc w:val="both"/>
        <w:rPr>
          <w:bCs/>
          <w:sz w:val="22"/>
          <w:szCs w:val="22"/>
          <w:lang w:val="sr-Latn-ME"/>
        </w:rPr>
      </w:pPr>
      <w:r w:rsidRPr="00FB6F73">
        <w:rPr>
          <w:bCs/>
          <w:sz w:val="22"/>
          <w:szCs w:val="22"/>
          <w:lang w:val="sr-Latn-ME"/>
        </w:rPr>
        <w:t xml:space="preserve">Slučajevi slični intersticijalnoj bolesti pluća (ILD; eng. </w:t>
      </w:r>
      <w:r w:rsidRPr="00FB6F73">
        <w:rPr>
          <w:bCs/>
          <w:i/>
          <w:sz w:val="22"/>
          <w:szCs w:val="22"/>
          <w:lang w:val="sr-Latn-ME"/>
        </w:rPr>
        <w:t>Interstitial Lung Disease</w:t>
      </w:r>
      <w:r w:rsidRPr="00FB6F73">
        <w:rPr>
          <w:bCs/>
          <w:sz w:val="22"/>
          <w:szCs w:val="22"/>
          <w:lang w:val="sr-Latn-ME"/>
        </w:rPr>
        <w:t xml:space="preserve">), uključujući i slučajeve sa smrtnim ishodom, su povremeno prijavljivani, kod pacijenata koji su primali erlotinib za </w:t>
      </w:r>
      <w:r w:rsidR="00FD4480" w:rsidRPr="00FB6F73">
        <w:rPr>
          <w:bCs/>
          <w:sz w:val="22"/>
          <w:szCs w:val="22"/>
          <w:lang w:val="sr-Latn-ME"/>
        </w:rPr>
        <w:t>liječenj</w:t>
      </w:r>
      <w:r w:rsidRPr="00FB6F73">
        <w:rPr>
          <w:bCs/>
          <w:sz w:val="22"/>
          <w:szCs w:val="22"/>
          <w:lang w:val="sr-Latn-ME"/>
        </w:rPr>
        <w:t>e nemikrocelularnog karcinoma pluća (NSCLC), karcinoma pankreasa ili drugih uznapredovalih solidnih tumora. U pivotalnoj studiji BR.21 kod pacijenata sa NSCLC, incidenca pojave ILD (0,8%) bila je ista u grupi koja je primala placebo i u grupi koja je primala erlotinib. U meta</w:t>
      </w:r>
      <w:r w:rsidR="004D46AC" w:rsidRPr="00FB6F73">
        <w:rPr>
          <w:bCs/>
          <w:sz w:val="22"/>
          <w:szCs w:val="22"/>
          <w:lang w:val="sr-Latn-ME"/>
        </w:rPr>
        <w:t>-</w:t>
      </w:r>
      <w:r w:rsidRPr="00FB6F73">
        <w:rPr>
          <w:bCs/>
          <w:sz w:val="22"/>
          <w:szCs w:val="22"/>
          <w:lang w:val="sr-Latn-ME"/>
        </w:rPr>
        <w:t>analizi randomizovanih kontrolisanih kliničkih studija kod nemikrocelularnog karcinoma pluća (NSCLC) (isključujući studije faze I i studije faze II sa jednom grupom, usl</w:t>
      </w:r>
      <w:r w:rsidR="00BC1194" w:rsidRPr="00FB6F73">
        <w:rPr>
          <w:bCs/>
          <w:sz w:val="22"/>
          <w:szCs w:val="22"/>
          <w:lang w:val="sr-Latn-ME"/>
        </w:rPr>
        <w:t>j</w:t>
      </w:r>
      <w:r w:rsidRPr="00FB6F73">
        <w:rPr>
          <w:bCs/>
          <w:sz w:val="22"/>
          <w:szCs w:val="22"/>
          <w:lang w:val="sr-Latn-ME"/>
        </w:rPr>
        <w:t xml:space="preserve">ed nedostatka kontrolne grupe), incidenca slučajeva sličnih ILD iznosila je 0,9% kod pacijenata koji su primali erlotinib u odnosu na 0,4% kod pacijenata u kontrolnim grupama. U kliničkoj studiji kod pacijenata sa karcinomom pankreasa, incidenca slučajeva sličnih ILD iznosila je 2,5% kod pacijenata koji su primali gemcitabin u kombinaciji sa erlotinibom, u odnosu na 0,4% kod pacijenata koji su primali gemcitabin u kombinaciji sa placebom. Kod pacijenata za koje se sumnjalo da imaju simptome slične </w:t>
      </w:r>
      <w:r w:rsidR="00775C40" w:rsidRPr="00FB6F73">
        <w:rPr>
          <w:bCs/>
          <w:sz w:val="22"/>
          <w:szCs w:val="22"/>
          <w:lang w:val="sr-Latn-ME"/>
        </w:rPr>
        <w:t xml:space="preserve">intersticijalnoj </w:t>
      </w:r>
      <w:r w:rsidR="00353F63" w:rsidRPr="00FB6F73">
        <w:rPr>
          <w:bCs/>
          <w:sz w:val="22"/>
          <w:szCs w:val="22"/>
          <w:lang w:val="sr-Latn-ME"/>
        </w:rPr>
        <w:t xml:space="preserve">bolesti pluća </w:t>
      </w:r>
      <w:r w:rsidRPr="00FB6F73">
        <w:rPr>
          <w:bCs/>
          <w:sz w:val="22"/>
          <w:szCs w:val="22"/>
          <w:lang w:val="sr-Latn-ME"/>
        </w:rPr>
        <w:t>prijavljen</w:t>
      </w:r>
      <w:r w:rsidR="00353F63" w:rsidRPr="00FB6F73">
        <w:rPr>
          <w:bCs/>
          <w:sz w:val="22"/>
          <w:szCs w:val="22"/>
          <w:lang w:val="sr-Latn-ME"/>
        </w:rPr>
        <w:t>i su</w:t>
      </w:r>
      <w:r w:rsidR="00BC1194" w:rsidRPr="00FB6F73">
        <w:rPr>
          <w:bCs/>
          <w:sz w:val="22"/>
          <w:szCs w:val="22"/>
          <w:lang w:val="sr-Latn-ME"/>
        </w:rPr>
        <w:t xml:space="preserve"> </w:t>
      </w:r>
      <w:r w:rsidRPr="00FB6F73">
        <w:rPr>
          <w:bCs/>
          <w:sz w:val="22"/>
          <w:szCs w:val="22"/>
          <w:lang w:val="sr-Latn-ME"/>
        </w:rPr>
        <w:t>pneumonitis, radijacioni pneumonitis, alergijski pneumonitis, intersticijalna pneumonija, intersticijalna bolest pluća, obliterativni bronhiolitis, plućna fibroza, akutni respiratorni distres sindrom (ARDS), alveolitis i infiltracija pluća. Simptomi su započinjali od nekoliko dana do nekoliko m</w:t>
      </w:r>
      <w:r w:rsidR="00ED4DF5" w:rsidRPr="00FB6F73">
        <w:rPr>
          <w:bCs/>
          <w:sz w:val="22"/>
          <w:szCs w:val="22"/>
          <w:lang w:val="sr-Latn-ME"/>
        </w:rPr>
        <w:t>j</w:t>
      </w:r>
      <w:r w:rsidRPr="00FB6F73">
        <w:rPr>
          <w:bCs/>
          <w:sz w:val="22"/>
          <w:szCs w:val="22"/>
          <w:lang w:val="sr-Latn-ME"/>
        </w:rPr>
        <w:t>eseci od početka l</w:t>
      </w:r>
      <w:r w:rsidR="00FD4480" w:rsidRPr="00FB6F73">
        <w:rPr>
          <w:bCs/>
          <w:sz w:val="22"/>
          <w:szCs w:val="22"/>
          <w:lang w:val="sr-Latn-ME"/>
        </w:rPr>
        <w:t>ij</w:t>
      </w:r>
      <w:r w:rsidRPr="00FB6F73">
        <w:rPr>
          <w:bCs/>
          <w:sz w:val="22"/>
          <w:szCs w:val="22"/>
          <w:lang w:val="sr-Latn-ME"/>
        </w:rPr>
        <w:t xml:space="preserve">ečenja erlotinibom. Učestali su bili </w:t>
      </w:r>
      <w:r w:rsidR="00353F63" w:rsidRPr="00FB6F73">
        <w:rPr>
          <w:bCs/>
          <w:sz w:val="22"/>
          <w:szCs w:val="22"/>
          <w:lang w:val="sr-Latn-ME"/>
        </w:rPr>
        <w:t>i</w:t>
      </w:r>
      <w:r w:rsidR="00BC1194" w:rsidRPr="00FB6F73">
        <w:rPr>
          <w:bCs/>
          <w:sz w:val="22"/>
          <w:szCs w:val="22"/>
          <w:lang w:val="sr-Latn-ME"/>
        </w:rPr>
        <w:t xml:space="preserve"> </w:t>
      </w:r>
      <w:r w:rsidR="00983D2D" w:rsidRPr="00FB6F73">
        <w:rPr>
          <w:bCs/>
          <w:sz w:val="22"/>
          <w:szCs w:val="22"/>
          <w:lang w:val="sr-Latn-ME"/>
        </w:rPr>
        <w:t xml:space="preserve">ometajući faktori (engl. </w:t>
      </w:r>
      <w:r w:rsidR="00983D2D" w:rsidRPr="00FB6F73">
        <w:rPr>
          <w:bCs/>
          <w:i/>
          <w:sz w:val="22"/>
          <w:szCs w:val="22"/>
          <w:lang w:val="sr-Latn-ME"/>
        </w:rPr>
        <w:t>confounding factors</w:t>
      </w:r>
      <w:r w:rsidR="00983D2D" w:rsidRPr="00FB6F73">
        <w:rPr>
          <w:bCs/>
          <w:sz w:val="22"/>
          <w:szCs w:val="22"/>
          <w:lang w:val="sr-Latn-ME"/>
        </w:rPr>
        <w:t xml:space="preserve">) ili </w:t>
      </w:r>
      <w:r w:rsidRPr="00FB6F73">
        <w:rPr>
          <w:bCs/>
          <w:sz w:val="22"/>
          <w:szCs w:val="22"/>
          <w:lang w:val="sr-Latn-ME"/>
        </w:rPr>
        <w:t xml:space="preserve">doprinoseći faktori (engl. </w:t>
      </w:r>
      <w:r w:rsidRPr="00FB6F73">
        <w:rPr>
          <w:bCs/>
          <w:i/>
          <w:sz w:val="22"/>
          <w:szCs w:val="22"/>
          <w:lang w:val="sr-Latn-ME"/>
        </w:rPr>
        <w:t>contributing factors</w:t>
      </w:r>
      <w:r w:rsidRPr="00FB6F73">
        <w:rPr>
          <w:bCs/>
          <w:sz w:val="22"/>
          <w:szCs w:val="22"/>
          <w:lang w:val="sr-Latn-ME"/>
        </w:rPr>
        <w:t>), kao što su istovremena ili prethodna hemioterapija, prethodna radijaciona terapija, prethodno postojeće oboljenje plućnog parenhima, metastatsko oboljenje pluća ili plućne infekcije. Veća incidenca ILD (približno 5% sa stopom smrtnosti 1,5%) uočava se među pacijentima u kliničkim studijama koje su se sprovodile u Japanu.</w:t>
      </w:r>
    </w:p>
    <w:p w14:paraId="63909D64" w14:textId="77777777" w:rsidR="005505B4" w:rsidRPr="00FB6F73" w:rsidRDefault="005505B4" w:rsidP="00981FFD">
      <w:pPr>
        <w:tabs>
          <w:tab w:val="left" w:pos="540"/>
          <w:tab w:val="left" w:pos="569"/>
        </w:tabs>
        <w:jc w:val="both"/>
        <w:rPr>
          <w:bCs/>
          <w:sz w:val="22"/>
          <w:szCs w:val="22"/>
          <w:lang w:val="sr-Latn-ME"/>
        </w:rPr>
      </w:pPr>
    </w:p>
    <w:p w14:paraId="3DF2FC64" w14:textId="16718DA7" w:rsidR="005505B4" w:rsidRPr="00FB6F73" w:rsidRDefault="005505B4" w:rsidP="00981FFD">
      <w:pPr>
        <w:tabs>
          <w:tab w:val="left" w:pos="540"/>
          <w:tab w:val="left" w:pos="569"/>
        </w:tabs>
        <w:jc w:val="both"/>
        <w:rPr>
          <w:bCs/>
          <w:sz w:val="22"/>
          <w:szCs w:val="22"/>
          <w:lang w:val="sr-Latn-ME"/>
        </w:rPr>
      </w:pPr>
      <w:r w:rsidRPr="00FB6F73">
        <w:rPr>
          <w:bCs/>
          <w:sz w:val="22"/>
          <w:szCs w:val="22"/>
          <w:lang w:val="sr-Latn-ME"/>
        </w:rPr>
        <w:t>Kod pacijenata kod kojih se razvije akutna pojava novih i/ili progresivnih neobjašnjivih plućnih simptoma</w:t>
      </w:r>
      <w:r w:rsidR="00BC1194" w:rsidRPr="00FB6F73">
        <w:rPr>
          <w:bCs/>
          <w:sz w:val="22"/>
          <w:szCs w:val="22"/>
          <w:lang w:val="sr-Latn-ME"/>
        </w:rPr>
        <w:t>,</w:t>
      </w:r>
      <w:r w:rsidRPr="00FB6F73">
        <w:rPr>
          <w:bCs/>
          <w:sz w:val="22"/>
          <w:szCs w:val="22"/>
          <w:lang w:val="sr-Latn-ME"/>
        </w:rPr>
        <w:t xml:space="preserve"> kao što su dispnea, kašalj i povišena t</w:t>
      </w:r>
      <w:r w:rsidR="00FD4480" w:rsidRPr="00FB6F73">
        <w:rPr>
          <w:bCs/>
          <w:sz w:val="22"/>
          <w:szCs w:val="22"/>
          <w:lang w:val="sr-Latn-ME"/>
        </w:rPr>
        <w:t>j</w:t>
      </w:r>
      <w:r w:rsidRPr="00FB6F73">
        <w:rPr>
          <w:bCs/>
          <w:sz w:val="22"/>
          <w:szCs w:val="22"/>
          <w:lang w:val="sr-Latn-ME"/>
        </w:rPr>
        <w:t>elesna temperatura, treba odmah obustaviti terapiju erlotinibom, dok se ne izvrši dijagnostička proc</w:t>
      </w:r>
      <w:r w:rsidR="00FD4480" w:rsidRPr="00FB6F73">
        <w:rPr>
          <w:bCs/>
          <w:sz w:val="22"/>
          <w:szCs w:val="22"/>
          <w:lang w:val="sr-Latn-ME"/>
        </w:rPr>
        <w:t>j</w:t>
      </w:r>
      <w:r w:rsidRPr="00FB6F73">
        <w:rPr>
          <w:bCs/>
          <w:sz w:val="22"/>
          <w:szCs w:val="22"/>
          <w:lang w:val="sr-Latn-ME"/>
        </w:rPr>
        <w:t xml:space="preserve">ena. Pacijente koji su istovremeno primali erlotinib i gemcitabin </w:t>
      </w:r>
      <w:r w:rsidR="00BC1194" w:rsidRPr="00FB6F73">
        <w:rPr>
          <w:bCs/>
          <w:sz w:val="22"/>
          <w:szCs w:val="22"/>
          <w:lang w:val="sr-Latn-ME"/>
        </w:rPr>
        <w:t xml:space="preserve">treba pažljivo pratiti, </w:t>
      </w:r>
      <w:r w:rsidRPr="00FB6F73">
        <w:rPr>
          <w:bCs/>
          <w:sz w:val="22"/>
          <w:szCs w:val="22"/>
          <w:lang w:val="sr-Latn-ME"/>
        </w:rPr>
        <w:t>usl</w:t>
      </w:r>
      <w:r w:rsidR="00BC1194" w:rsidRPr="00FB6F73">
        <w:rPr>
          <w:bCs/>
          <w:sz w:val="22"/>
          <w:szCs w:val="22"/>
          <w:lang w:val="sr-Latn-ME"/>
        </w:rPr>
        <w:t>j</w:t>
      </w:r>
      <w:r w:rsidRPr="00FB6F73">
        <w:rPr>
          <w:bCs/>
          <w:sz w:val="22"/>
          <w:szCs w:val="22"/>
          <w:lang w:val="sr-Latn-ME"/>
        </w:rPr>
        <w:t>ed mogućnosti da se kod njih razviju toksični simptomi slični</w:t>
      </w:r>
      <w:r w:rsidR="00353F63" w:rsidRPr="00FB6F73">
        <w:rPr>
          <w:bCs/>
          <w:sz w:val="22"/>
          <w:szCs w:val="22"/>
          <w:lang w:val="sr-Latn-ME"/>
        </w:rPr>
        <w:t xml:space="preserve"> </w:t>
      </w:r>
      <w:r w:rsidR="00BC1194" w:rsidRPr="00FB6F73">
        <w:rPr>
          <w:bCs/>
          <w:sz w:val="22"/>
          <w:szCs w:val="22"/>
          <w:lang w:val="sr-Latn-ME"/>
        </w:rPr>
        <w:t xml:space="preserve">intersticijalnoj </w:t>
      </w:r>
      <w:r w:rsidR="00353F63" w:rsidRPr="00FB6F73">
        <w:rPr>
          <w:bCs/>
          <w:sz w:val="22"/>
          <w:szCs w:val="22"/>
          <w:lang w:val="sr-Latn-ME"/>
        </w:rPr>
        <w:t>bolesti pluća</w:t>
      </w:r>
      <w:r w:rsidRPr="00FB6F73">
        <w:rPr>
          <w:bCs/>
          <w:sz w:val="22"/>
          <w:szCs w:val="22"/>
          <w:lang w:val="sr-Latn-ME"/>
        </w:rPr>
        <w:t>. Ako se utvrdi dijagnoza ILD, prim</w:t>
      </w:r>
      <w:r w:rsidR="00FD4480" w:rsidRPr="00FB6F73">
        <w:rPr>
          <w:bCs/>
          <w:sz w:val="22"/>
          <w:szCs w:val="22"/>
          <w:lang w:val="sr-Latn-ME"/>
        </w:rPr>
        <w:t>j</w:t>
      </w:r>
      <w:r w:rsidRPr="00FB6F73">
        <w:rPr>
          <w:bCs/>
          <w:sz w:val="22"/>
          <w:szCs w:val="22"/>
          <w:lang w:val="sr-Latn-ME"/>
        </w:rPr>
        <w:t>enu erlotiniba treba prekinuti i uvesti odgovarajuću terapiju (</w:t>
      </w:r>
      <w:r w:rsidR="00FD4480" w:rsidRPr="00FB6F73">
        <w:rPr>
          <w:bCs/>
          <w:sz w:val="22"/>
          <w:szCs w:val="22"/>
          <w:lang w:val="sr-Latn-ME"/>
        </w:rPr>
        <w:t>vidjeti</w:t>
      </w:r>
      <w:r w:rsidRPr="00FB6F73">
        <w:rPr>
          <w:bCs/>
          <w:sz w:val="22"/>
          <w:szCs w:val="22"/>
          <w:lang w:val="sr-Latn-ME"/>
        </w:rPr>
        <w:t xml:space="preserve"> </w:t>
      </w:r>
      <w:r w:rsidR="00597876" w:rsidRPr="00FB6F73">
        <w:rPr>
          <w:bCs/>
          <w:sz w:val="22"/>
          <w:szCs w:val="22"/>
          <w:lang w:val="sr-Latn-ME"/>
        </w:rPr>
        <w:t xml:space="preserve">dio </w:t>
      </w:r>
      <w:r w:rsidRPr="00FB6F73">
        <w:rPr>
          <w:bCs/>
          <w:sz w:val="22"/>
          <w:szCs w:val="22"/>
          <w:lang w:val="sr-Latn-ME"/>
        </w:rPr>
        <w:t>4.8).</w:t>
      </w:r>
    </w:p>
    <w:p w14:paraId="2DC953DB" w14:textId="77777777" w:rsidR="005505B4" w:rsidRPr="00FB6F73" w:rsidRDefault="005505B4" w:rsidP="00981FFD">
      <w:pPr>
        <w:tabs>
          <w:tab w:val="left" w:pos="540"/>
          <w:tab w:val="left" w:pos="569"/>
        </w:tabs>
        <w:jc w:val="both"/>
        <w:rPr>
          <w:bCs/>
          <w:sz w:val="22"/>
          <w:szCs w:val="22"/>
          <w:lang w:val="sr-Latn-ME"/>
        </w:rPr>
      </w:pPr>
    </w:p>
    <w:p w14:paraId="1FA2D5FF" w14:textId="7D7403E6" w:rsidR="005505B4" w:rsidRPr="00FB6F73" w:rsidRDefault="005505B4" w:rsidP="00981FFD">
      <w:pPr>
        <w:tabs>
          <w:tab w:val="left" w:pos="540"/>
          <w:tab w:val="left" w:pos="569"/>
        </w:tabs>
        <w:jc w:val="both"/>
        <w:rPr>
          <w:bCs/>
          <w:sz w:val="22"/>
          <w:szCs w:val="22"/>
          <w:u w:val="single"/>
          <w:lang w:val="sr-Latn-ME"/>
        </w:rPr>
      </w:pPr>
      <w:r w:rsidRPr="00FB6F73">
        <w:rPr>
          <w:bCs/>
          <w:sz w:val="22"/>
          <w:szCs w:val="22"/>
          <w:u w:val="single"/>
          <w:lang w:val="sr-Latn-ME"/>
        </w:rPr>
        <w:t xml:space="preserve">Dijareja, dehidracija, disbalans </w:t>
      </w:r>
      <w:r w:rsidR="00FD4480" w:rsidRPr="00FB6F73">
        <w:rPr>
          <w:bCs/>
          <w:sz w:val="22"/>
          <w:szCs w:val="22"/>
          <w:u w:val="single"/>
          <w:lang w:val="sr-Latn-ME"/>
        </w:rPr>
        <w:t>elektr</w:t>
      </w:r>
      <w:r w:rsidRPr="00FB6F73">
        <w:rPr>
          <w:bCs/>
          <w:sz w:val="22"/>
          <w:szCs w:val="22"/>
          <w:u w:val="single"/>
          <w:lang w:val="sr-Latn-ME"/>
        </w:rPr>
        <w:t xml:space="preserve">olita i bubrežna insuficijencija </w:t>
      </w:r>
    </w:p>
    <w:p w14:paraId="44F85E85" w14:textId="6AE73F09" w:rsidR="005505B4" w:rsidRPr="00FB6F73" w:rsidRDefault="005505B4" w:rsidP="00981FFD">
      <w:pPr>
        <w:tabs>
          <w:tab w:val="left" w:pos="540"/>
          <w:tab w:val="left" w:pos="569"/>
        </w:tabs>
        <w:jc w:val="both"/>
        <w:rPr>
          <w:bCs/>
          <w:sz w:val="22"/>
          <w:szCs w:val="22"/>
          <w:lang w:val="sr-Latn-ME"/>
        </w:rPr>
      </w:pPr>
      <w:r w:rsidRPr="00FB6F73">
        <w:rPr>
          <w:bCs/>
          <w:sz w:val="22"/>
          <w:szCs w:val="22"/>
          <w:lang w:val="sr-Latn-ME"/>
        </w:rPr>
        <w:t>Dijareja (uključujući veoma r</w:t>
      </w:r>
      <w:r w:rsidR="00FD4480" w:rsidRPr="00FB6F73">
        <w:rPr>
          <w:bCs/>
          <w:sz w:val="22"/>
          <w:szCs w:val="22"/>
          <w:lang w:val="sr-Latn-ME"/>
        </w:rPr>
        <w:t>ij</w:t>
      </w:r>
      <w:r w:rsidRPr="00FB6F73">
        <w:rPr>
          <w:bCs/>
          <w:sz w:val="22"/>
          <w:szCs w:val="22"/>
          <w:lang w:val="sr-Latn-ME"/>
        </w:rPr>
        <w:t xml:space="preserve">etke slučajeve sa fatalnim ishodom) </w:t>
      </w:r>
      <w:r w:rsidR="00597876" w:rsidRPr="00FB6F73">
        <w:rPr>
          <w:bCs/>
          <w:sz w:val="22"/>
          <w:szCs w:val="22"/>
          <w:lang w:val="sr-Latn-ME"/>
        </w:rPr>
        <w:t xml:space="preserve">zabilježena </w:t>
      </w:r>
      <w:r w:rsidRPr="00FB6F73">
        <w:rPr>
          <w:bCs/>
          <w:sz w:val="22"/>
          <w:szCs w:val="22"/>
          <w:lang w:val="sr-Latn-ME"/>
        </w:rPr>
        <w:t xml:space="preserve">je kod približno 50% pacijenata na terapiji </w:t>
      </w:r>
      <w:r w:rsidR="00FD4480" w:rsidRPr="00FB6F73">
        <w:rPr>
          <w:bCs/>
          <w:sz w:val="22"/>
          <w:szCs w:val="22"/>
          <w:lang w:val="sr-Latn-ME"/>
        </w:rPr>
        <w:t>lijek</w:t>
      </w:r>
      <w:r w:rsidRPr="00FB6F73">
        <w:rPr>
          <w:bCs/>
          <w:sz w:val="22"/>
          <w:szCs w:val="22"/>
          <w:lang w:val="sr-Latn-ME"/>
        </w:rPr>
        <w:t>om Erlotinib Sandoz, a um</w:t>
      </w:r>
      <w:r w:rsidR="00FD4480" w:rsidRPr="00FB6F73">
        <w:rPr>
          <w:bCs/>
          <w:sz w:val="22"/>
          <w:szCs w:val="22"/>
          <w:lang w:val="sr-Latn-ME"/>
        </w:rPr>
        <w:t>j</w:t>
      </w:r>
      <w:r w:rsidRPr="00FB6F73">
        <w:rPr>
          <w:bCs/>
          <w:sz w:val="22"/>
          <w:szCs w:val="22"/>
          <w:lang w:val="sr-Latn-ME"/>
        </w:rPr>
        <w:t>erenu ili tešku dijareju treba l</w:t>
      </w:r>
      <w:r w:rsidR="00FD4480" w:rsidRPr="00FB6F73">
        <w:rPr>
          <w:bCs/>
          <w:sz w:val="22"/>
          <w:szCs w:val="22"/>
          <w:lang w:val="sr-Latn-ME"/>
        </w:rPr>
        <w:t>ij</w:t>
      </w:r>
      <w:r w:rsidRPr="00FB6F73">
        <w:rPr>
          <w:bCs/>
          <w:sz w:val="22"/>
          <w:szCs w:val="22"/>
          <w:lang w:val="sr-Latn-ME"/>
        </w:rPr>
        <w:t xml:space="preserve">ečiti npr. loperamidom. U nekim slučajevima može biti potrebno smanjenje doze. U kliničkim studijama doze su smanjivane postepeno, za po 50 mg. Smanjenje doze za po 25 mg nije ispitivano. U slučaju teške ili perzistentne dijareje, mučnine, anoreksije ili povraćanja praćenih dehidracijom, terapiju </w:t>
      </w:r>
      <w:r w:rsidR="00FD4480" w:rsidRPr="00FB6F73">
        <w:rPr>
          <w:bCs/>
          <w:sz w:val="22"/>
          <w:szCs w:val="22"/>
          <w:lang w:val="sr-Latn-ME"/>
        </w:rPr>
        <w:t>lijek</w:t>
      </w:r>
      <w:r w:rsidRPr="00FB6F73">
        <w:rPr>
          <w:bCs/>
          <w:sz w:val="22"/>
          <w:szCs w:val="22"/>
          <w:lang w:val="sr-Latn-ME"/>
        </w:rPr>
        <w:t xml:space="preserve">om </w:t>
      </w:r>
      <w:r w:rsidRPr="00FB6F73">
        <w:rPr>
          <w:bCs/>
          <w:sz w:val="22"/>
          <w:szCs w:val="22"/>
          <w:lang w:val="sr-Latn-ME"/>
        </w:rPr>
        <w:lastRenderedPageBreak/>
        <w:t>Erlotinib Sandoz treba prekinuti i preduzeti odgovarajuće m</w:t>
      </w:r>
      <w:r w:rsidR="00FD4480" w:rsidRPr="00FB6F73">
        <w:rPr>
          <w:bCs/>
          <w:sz w:val="22"/>
          <w:szCs w:val="22"/>
          <w:lang w:val="sr-Latn-ME"/>
        </w:rPr>
        <w:t>j</w:t>
      </w:r>
      <w:r w:rsidRPr="00FB6F73">
        <w:rPr>
          <w:bCs/>
          <w:sz w:val="22"/>
          <w:szCs w:val="22"/>
          <w:lang w:val="sr-Latn-ME"/>
        </w:rPr>
        <w:t xml:space="preserve">ere u cilju </w:t>
      </w:r>
      <w:r w:rsidR="00FD4480" w:rsidRPr="00FB6F73">
        <w:rPr>
          <w:bCs/>
          <w:sz w:val="22"/>
          <w:szCs w:val="22"/>
          <w:lang w:val="sr-Latn-ME"/>
        </w:rPr>
        <w:t>liječenj</w:t>
      </w:r>
      <w:r w:rsidRPr="00FB6F73">
        <w:rPr>
          <w:bCs/>
          <w:sz w:val="22"/>
          <w:szCs w:val="22"/>
          <w:lang w:val="sr-Latn-ME"/>
        </w:rPr>
        <w:t>a dehidracije (</w:t>
      </w:r>
      <w:r w:rsidR="00FD4480" w:rsidRPr="00FB6F73">
        <w:rPr>
          <w:bCs/>
          <w:sz w:val="22"/>
          <w:szCs w:val="22"/>
          <w:lang w:val="sr-Latn-ME"/>
        </w:rPr>
        <w:t>vidjeti</w:t>
      </w:r>
      <w:r w:rsidRPr="00FB6F73">
        <w:rPr>
          <w:bCs/>
          <w:sz w:val="22"/>
          <w:szCs w:val="22"/>
          <w:lang w:val="sr-Latn-ME"/>
        </w:rPr>
        <w:t xml:space="preserve"> </w:t>
      </w:r>
      <w:r w:rsidR="00597876" w:rsidRPr="00FB6F73">
        <w:rPr>
          <w:bCs/>
          <w:sz w:val="22"/>
          <w:szCs w:val="22"/>
          <w:lang w:val="sr-Latn-ME"/>
        </w:rPr>
        <w:t xml:space="preserve">dio </w:t>
      </w:r>
      <w:r w:rsidRPr="00FB6F73">
        <w:rPr>
          <w:bCs/>
          <w:sz w:val="22"/>
          <w:szCs w:val="22"/>
          <w:lang w:val="sr-Latn-ME"/>
        </w:rPr>
        <w:t>4.8). Prijavljeni su r</w:t>
      </w:r>
      <w:r w:rsidR="00FD4480" w:rsidRPr="00FB6F73">
        <w:rPr>
          <w:bCs/>
          <w:sz w:val="22"/>
          <w:szCs w:val="22"/>
          <w:lang w:val="sr-Latn-ME"/>
        </w:rPr>
        <w:t>ij</w:t>
      </w:r>
      <w:r w:rsidRPr="00FB6F73">
        <w:rPr>
          <w:bCs/>
          <w:sz w:val="22"/>
          <w:szCs w:val="22"/>
          <w:lang w:val="sr-Latn-ME"/>
        </w:rPr>
        <w:t>etki slučajevi hipokalijemije i bubrežne insuficijencije (uključujući smrtne slučajeve). Neki slučajevi bili su posl</w:t>
      </w:r>
      <w:r w:rsidR="00597876" w:rsidRPr="00FB6F73">
        <w:rPr>
          <w:bCs/>
          <w:sz w:val="22"/>
          <w:szCs w:val="22"/>
          <w:lang w:val="sr-Latn-ME"/>
        </w:rPr>
        <w:t>j</w:t>
      </w:r>
      <w:r w:rsidRPr="00FB6F73">
        <w:rPr>
          <w:bCs/>
          <w:sz w:val="22"/>
          <w:szCs w:val="22"/>
          <w:lang w:val="sr-Latn-ME"/>
        </w:rPr>
        <w:t>edica teške dehidracije usl</w:t>
      </w:r>
      <w:r w:rsidR="00597876" w:rsidRPr="00FB6F73">
        <w:rPr>
          <w:bCs/>
          <w:sz w:val="22"/>
          <w:szCs w:val="22"/>
          <w:lang w:val="sr-Latn-ME"/>
        </w:rPr>
        <w:t>j</w:t>
      </w:r>
      <w:r w:rsidRPr="00FB6F73">
        <w:rPr>
          <w:bCs/>
          <w:sz w:val="22"/>
          <w:szCs w:val="22"/>
          <w:lang w:val="sr-Latn-ME"/>
        </w:rPr>
        <w:t xml:space="preserve">ed dijareje, povraćanja i/ili anoreksije, dok je u drugim slučajevima istovremena hemioterapija bila doprinoseći faktor. U mnogo težim dijarejama ili koje traju duže ili dovode do dehidratacije, naročito u grupi pacijenata sa otežavajućim faktorima rizika (istovremena hemioterapija ili </w:t>
      </w:r>
      <w:r w:rsidR="00FD4480" w:rsidRPr="00FB6F73">
        <w:rPr>
          <w:bCs/>
          <w:sz w:val="22"/>
          <w:szCs w:val="22"/>
          <w:lang w:val="sr-Latn-ME"/>
        </w:rPr>
        <w:t>primjena</w:t>
      </w:r>
      <w:r w:rsidRPr="00FB6F73">
        <w:rPr>
          <w:bCs/>
          <w:sz w:val="22"/>
          <w:szCs w:val="22"/>
          <w:lang w:val="sr-Latn-ME"/>
        </w:rPr>
        <w:t xml:space="preserve"> drugih </w:t>
      </w:r>
      <w:r w:rsidR="00FD4480" w:rsidRPr="00FB6F73">
        <w:rPr>
          <w:bCs/>
          <w:sz w:val="22"/>
          <w:szCs w:val="22"/>
          <w:lang w:val="sr-Latn-ME"/>
        </w:rPr>
        <w:t>ljek</w:t>
      </w:r>
      <w:r w:rsidRPr="00FB6F73">
        <w:rPr>
          <w:bCs/>
          <w:sz w:val="22"/>
          <w:szCs w:val="22"/>
          <w:lang w:val="sr-Latn-ME"/>
        </w:rPr>
        <w:t xml:space="preserve">ova, simptomi ili oboljenja ili druga predisponirajuća stanja, uključujući i starije životno doba) terapiju </w:t>
      </w:r>
      <w:r w:rsidR="00FD4480" w:rsidRPr="00FB6F73">
        <w:rPr>
          <w:bCs/>
          <w:sz w:val="22"/>
          <w:szCs w:val="22"/>
          <w:lang w:val="sr-Latn-ME"/>
        </w:rPr>
        <w:t>lijek</w:t>
      </w:r>
      <w:r w:rsidRPr="00FB6F73">
        <w:rPr>
          <w:bCs/>
          <w:sz w:val="22"/>
          <w:szCs w:val="22"/>
          <w:lang w:val="sr-Latn-ME"/>
        </w:rPr>
        <w:t>om Erlotinib Sandoz treba prekinuti i sprovesti adekvatne m</w:t>
      </w:r>
      <w:r w:rsidR="00FD4480" w:rsidRPr="00FB6F73">
        <w:rPr>
          <w:bCs/>
          <w:sz w:val="22"/>
          <w:szCs w:val="22"/>
          <w:lang w:val="sr-Latn-ME"/>
        </w:rPr>
        <w:t>j</w:t>
      </w:r>
      <w:r w:rsidRPr="00FB6F73">
        <w:rPr>
          <w:bCs/>
          <w:sz w:val="22"/>
          <w:szCs w:val="22"/>
          <w:lang w:val="sr-Latn-ME"/>
        </w:rPr>
        <w:t xml:space="preserve">ere, u cilju intenzivne rehidratacije pacijenta intravenskim putem. Dodatno, u cilju prevencije rizika od dehidracije treba pratiti funkciju bubrega i </w:t>
      </w:r>
      <w:r w:rsidR="00FD4480" w:rsidRPr="00FB6F73">
        <w:rPr>
          <w:bCs/>
          <w:sz w:val="22"/>
          <w:szCs w:val="22"/>
          <w:lang w:val="sr-Latn-ME"/>
        </w:rPr>
        <w:t>elektr</w:t>
      </w:r>
      <w:r w:rsidRPr="00FB6F73">
        <w:rPr>
          <w:bCs/>
          <w:sz w:val="22"/>
          <w:szCs w:val="22"/>
          <w:lang w:val="sr-Latn-ME"/>
        </w:rPr>
        <w:t>olite u serumu, uključujući kalijum.</w:t>
      </w:r>
    </w:p>
    <w:p w14:paraId="074EE7B7" w14:textId="77777777" w:rsidR="005505B4" w:rsidRPr="00FB6F73" w:rsidRDefault="005505B4" w:rsidP="00981FFD">
      <w:pPr>
        <w:tabs>
          <w:tab w:val="left" w:pos="540"/>
          <w:tab w:val="left" w:pos="569"/>
        </w:tabs>
        <w:jc w:val="both"/>
        <w:rPr>
          <w:b/>
          <w:bCs/>
          <w:sz w:val="22"/>
          <w:szCs w:val="22"/>
          <w:lang w:val="sr-Latn-ME"/>
        </w:rPr>
      </w:pPr>
    </w:p>
    <w:p w14:paraId="791C1152" w14:textId="77777777" w:rsidR="005505B4" w:rsidRPr="00FB6F73" w:rsidRDefault="005505B4" w:rsidP="00981FFD">
      <w:pPr>
        <w:tabs>
          <w:tab w:val="left" w:pos="540"/>
          <w:tab w:val="left" w:pos="569"/>
        </w:tabs>
        <w:jc w:val="both"/>
        <w:rPr>
          <w:bCs/>
          <w:sz w:val="22"/>
          <w:szCs w:val="22"/>
          <w:u w:val="single"/>
          <w:lang w:val="sr-Latn-ME"/>
        </w:rPr>
      </w:pPr>
      <w:r w:rsidRPr="00FB6F73">
        <w:rPr>
          <w:bCs/>
          <w:sz w:val="22"/>
          <w:szCs w:val="22"/>
          <w:u w:val="single"/>
          <w:lang w:val="sr-Latn-ME"/>
        </w:rPr>
        <w:t xml:space="preserve">Hepatitis, insuficijencija jetre </w:t>
      </w:r>
    </w:p>
    <w:p w14:paraId="44D17FAF" w14:textId="356BDB82" w:rsidR="005505B4" w:rsidRPr="00FB6F73" w:rsidRDefault="005505B4" w:rsidP="00981FFD">
      <w:pPr>
        <w:tabs>
          <w:tab w:val="left" w:pos="540"/>
          <w:tab w:val="left" w:pos="569"/>
        </w:tabs>
        <w:jc w:val="both"/>
        <w:rPr>
          <w:bCs/>
          <w:sz w:val="22"/>
          <w:szCs w:val="22"/>
          <w:lang w:val="sr-Latn-ME"/>
        </w:rPr>
      </w:pPr>
      <w:r w:rsidRPr="00FB6F73">
        <w:rPr>
          <w:bCs/>
          <w:sz w:val="22"/>
          <w:szCs w:val="22"/>
          <w:lang w:val="sr-Latn-ME"/>
        </w:rPr>
        <w:t>Prijavljeni su r</w:t>
      </w:r>
      <w:r w:rsidR="00FD4480" w:rsidRPr="00FB6F73">
        <w:rPr>
          <w:bCs/>
          <w:sz w:val="22"/>
          <w:szCs w:val="22"/>
          <w:lang w:val="sr-Latn-ME"/>
        </w:rPr>
        <w:t>ij</w:t>
      </w:r>
      <w:r w:rsidRPr="00FB6F73">
        <w:rPr>
          <w:bCs/>
          <w:sz w:val="22"/>
          <w:szCs w:val="22"/>
          <w:lang w:val="sr-Latn-ME"/>
        </w:rPr>
        <w:t xml:space="preserve">etki slučajevi insuficijencije jetre (uključujući smrtne slučajeve) tokom </w:t>
      </w:r>
      <w:r w:rsidR="00FD4480" w:rsidRPr="00FB6F73">
        <w:rPr>
          <w:bCs/>
          <w:sz w:val="22"/>
          <w:szCs w:val="22"/>
          <w:lang w:val="sr-Latn-ME"/>
        </w:rPr>
        <w:t>primjene</w:t>
      </w:r>
      <w:r w:rsidRPr="00FB6F73">
        <w:rPr>
          <w:bCs/>
          <w:sz w:val="22"/>
          <w:szCs w:val="22"/>
          <w:lang w:val="sr-Latn-ME"/>
        </w:rPr>
        <w:t xml:space="preserve"> </w:t>
      </w:r>
      <w:r w:rsidR="00FD4480" w:rsidRPr="00FB6F73">
        <w:rPr>
          <w:bCs/>
          <w:sz w:val="22"/>
          <w:szCs w:val="22"/>
          <w:lang w:val="sr-Latn-ME"/>
        </w:rPr>
        <w:t>lijek</w:t>
      </w:r>
      <w:r w:rsidRPr="00FB6F73">
        <w:rPr>
          <w:bCs/>
          <w:sz w:val="22"/>
          <w:szCs w:val="22"/>
          <w:lang w:val="sr-Latn-ME"/>
        </w:rPr>
        <w:t xml:space="preserve">a Erlotinib Sandoz. Doprinoseći faktori uključivali su prethodno postojeća oboljenja jetre ili istovremenu </w:t>
      </w:r>
      <w:r w:rsidR="00ED4DF5" w:rsidRPr="00FB6F73">
        <w:rPr>
          <w:bCs/>
          <w:sz w:val="22"/>
          <w:szCs w:val="22"/>
          <w:lang w:val="sr-Latn-ME"/>
        </w:rPr>
        <w:t>primjenu</w:t>
      </w:r>
      <w:r w:rsidRPr="00FB6F73">
        <w:rPr>
          <w:bCs/>
          <w:sz w:val="22"/>
          <w:szCs w:val="22"/>
          <w:lang w:val="sr-Latn-ME"/>
        </w:rPr>
        <w:t xml:space="preserve"> hepatotoksičnih </w:t>
      </w:r>
      <w:r w:rsidR="00FD4480" w:rsidRPr="00FB6F73">
        <w:rPr>
          <w:bCs/>
          <w:sz w:val="22"/>
          <w:szCs w:val="22"/>
          <w:lang w:val="sr-Latn-ME"/>
        </w:rPr>
        <w:t>ljek</w:t>
      </w:r>
      <w:r w:rsidRPr="00FB6F73">
        <w:rPr>
          <w:bCs/>
          <w:sz w:val="22"/>
          <w:szCs w:val="22"/>
          <w:lang w:val="sr-Latn-ME"/>
        </w:rPr>
        <w:t xml:space="preserve">ova. Stoga, kod ovakvih pacijenata, treba razmotriti periodično testiranje funkcija jetre. Terapiju </w:t>
      </w:r>
      <w:r w:rsidR="00FD4480" w:rsidRPr="00FB6F73">
        <w:rPr>
          <w:bCs/>
          <w:sz w:val="22"/>
          <w:szCs w:val="22"/>
          <w:lang w:val="sr-Latn-ME"/>
        </w:rPr>
        <w:t>lijek</w:t>
      </w:r>
      <w:r w:rsidRPr="00FB6F73">
        <w:rPr>
          <w:bCs/>
          <w:sz w:val="22"/>
          <w:szCs w:val="22"/>
          <w:lang w:val="sr-Latn-ME"/>
        </w:rPr>
        <w:t>om Erlotinib Sandoz treba prekinuti ukoliko su prom</w:t>
      </w:r>
      <w:r w:rsidR="00716C1D" w:rsidRPr="00FB6F73">
        <w:rPr>
          <w:bCs/>
          <w:sz w:val="22"/>
          <w:szCs w:val="22"/>
          <w:lang w:val="sr-Latn-ME"/>
        </w:rPr>
        <w:t>j</w:t>
      </w:r>
      <w:r w:rsidRPr="00FB6F73">
        <w:rPr>
          <w:bCs/>
          <w:sz w:val="22"/>
          <w:szCs w:val="22"/>
          <w:lang w:val="sr-Latn-ME"/>
        </w:rPr>
        <w:t>ene funkcije jetre teške (</w:t>
      </w:r>
      <w:r w:rsidR="00FD4480" w:rsidRPr="00FB6F73">
        <w:rPr>
          <w:bCs/>
          <w:sz w:val="22"/>
          <w:szCs w:val="22"/>
          <w:lang w:val="sr-Latn-ME"/>
        </w:rPr>
        <w:t>vidjeti</w:t>
      </w:r>
      <w:r w:rsidRPr="00FB6F73">
        <w:rPr>
          <w:bCs/>
          <w:sz w:val="22"/>
          <w:szCs w:val="22"/>
          <w:lang w:val="sr-Latn-ME"/>
        </w:rPr>
        <w:t xml:space="preserve"> </w:t>
      </w:r>
      <w:r w:rsidR="00597876" w:rsidRPr="00FB6F73">
        <w:rPr>
          <w:bCs/>
          <w:sz w:val="22"/>
          <w:szCs w:val="22"/>
          <w:lang w:val="sr-Latn-ME"/>
        </w:rPr>
        <w:t xml:space="preserve">dio </w:t>
      </w:r>
      <w:r w:rsidRPr="00FB6F73">
        <w:rPr>
          <w:bCs/>
          <w:sz w:val="22"/>
          <w:szCs w:val="22"/>
          <w:lang w:val="sr-Latn-ME"/>
        </w:rPr>
        <w:t xml:space="preserve">4.8). Ne preporučuje se </w:t>
      </w:r>
      <w:r w:rsidR="00FD4480" w:rsidRPr="00FB6F73">
        <w:rPr>
          <w:bCs/>
          <w:sz w:val="22"/>
          <w:szCs w:val="22"/>
          <w:lang w:val="sr-Latn-ME"/>
        </w:rPr>
        <w:t>primjena</w:t>
      </w:r>
      <w:r w:rsidRPr="00FB6F73">
        <w:rPr>
          <w:bCs/>
          <w:sz w:val="22"/>
          <w:szCs w:val="22"/>
          <w:lang w:val="sr-Latn-ME"/>
        </w:rPr>
        <w:t xml:space="preserve"> </w:t>
      </w:r>
      <w:r w:rsidR="00FD4480" w:rsidRPr="00FB6F73">
        <w:rPr>
          <w:bCs/>
          <w:sz w:val="22"/>
          <w:szCs w:val="22"/>
          <w:lang w:val="sr-Latn-ME"/>
        </w:rPr>
        <w:t>lijek</w:t>
      </w:r>
      <w:r w:rsidRPr="00FB6F73">
        <w:rPr>
          <w:bCs/>
          <w:sz w:val="22"/>
          <w:szCs w:val="22"/>
          <w:lang w:val="sr-Latn-ME"/>
        </w:rPr>
        <w:t xml:space="preserve">a Erlotinib Sandoz kod pacijenata sa teškom disfunkcijom jetre. </w:t>
      </w:r>
    </w:p>
    <w:p w14:paraId="341C3105" w14:textId="77777777" w:rsidR="005505B4" w:rsidRPr="00FB6F73" w:rsidRDefault="005505B4" w:rsidP="00981FFD">
      <w:pPr>
        <w:tabs>
          <w:tab w:val="left" w:pos="540"/>
          <w:tab w:val="left" w:pos="569"/>
        </w:tabs>
        <w:jc w:val="both"/>
        <w:rPr>
          <w:bCs/>
          <w:sz w:val="22"/>
          <w:szCs w:val="22"/>
          <w:lang w:val="sr-Latn-ME"/>
        </w:rPr>
      </w:pPr>
    </w:p>
    <w:p w14:paraId="38915B7E" w14:textId="77777777" w:rsidR="005505B4" w:rsidRPr="00FB6F73" w:rsidRDefault="005505B4" w:rsidP="00981FFD">
      <w:pPr>
        <w:tabs>
          <w:tab w:val="left" w:pos="540"/>
          <w:tab w:val="left" w:pos="569"/>
        </w:tabs>
        <w:jc w:val="both"/>
        <w:rPr>
          <w:bCs/>
          <w:sz w:val="22"/>
          <w:szCs w:val="22"/>
          <w:u w:val="single"/>
          <w:lang w:val="sr-Latn-ME"/>
        </w:rPr>
      </w:pPr>
      <w:r w:rsidRPr="00FB6F73">
        <w:rPr>
          <w:bCs/>
          <w:sz w:val="22"/>
          <w:szCs w:val="22"/>
          <w:u w:val="single"/>
          <w:lang w:val="sr-Latn-ME"/>
        </w:rPr>
        <w:t xml:space="preserve">Gastrointestinalne perforacije </w:t>
      </w:r>
    </w:p>
    <w:p w14:paraId="3B6FBFF9" w14:textId="601ED8A3" w:rsidR="005505B4" w:rsidRPr="00FB6F73" w:rsidRDefault="005505B4" w:rsidP="00981FFD">
      <w:pPr>
        <w:tabs>
          <w:tab w:val="left" w:pos="540"/>
          <w:tab w:val="left" w:pos="569"/>
        </w:tabs>
        <w:jc w:val="both"/>
        <w:rPr>
          <w:bCs/>
          <w:sz w:val="22"/>
          <w:szCs w:val="22"/>
          <w:lang w:val="sr-Latn-ME"/>
        </w:rPr>
      </w:pPr>
      <w:r w:rsidRPr="00FB6F73">
        <w:rPr>
          <w:bCs/>
          <w:sz w:val="22"/>
          <w:szCs w:val="22"/>
          <w:lang w:val="sr-Latn-ME"/>
        </w:rPr>
        <w:t xml:space="preserve">Pacijenti koji primaju </w:t>
      </w:r>
      <w:r w:rsidR="00FD4480" w:rsidRPr="00FB6F73">
        <w:rPr>
          <w:bCs/>
          <w:sz w:val="22"/>
          <w:szCs w:val="22"/>
          <w:lang w:val="sr-Latn-ME"/>
        </w:rPr>
        <w:t>lijek</w:t>
      </w:r>
      <w:r w:rsidRPr="00FB6F73">
        <w:rPr>
          <w:bCs/>
          <w:sz w:val="22"/>
          <w:szCs w:val="22"/>
          <w:lang w:val="sr-Latn-ME"/>
        </w:rPr>
        <w:t xml:space="preserve"> Erlotinib Sandoz imaju povećan rizik od razvoja gastrointestinalne perforacije, koja je uočena povremeno (uključujući neke slučajeve sa smrtnim ishodom). Povećan rizik imaju pacijenti koji istovremeno primaju neki od antiangiogenih </w:t>
      </w:r>
      <w:r w:rsidR="00FD4480" w:rsidRPr="00FB6F73">
        <w:rPr>
          <w:bCs/>
          <w:sz w:val="22"/>
          <w:szCs w:val="22"/>
          <w:lang w:val="sr-Latn-ME"/>
        </w:rPr>
        <w:t>ljek</w:t>
      </w:r>
      <w:r w:rsidRPr="00FB6F73">
        <w:rPr>
          <w:bCs/>
          <w:sz w:val="22"/>
          <w:szCs w:val="22"/>
          <w:lang w:val="sr-Latn-ME"/>
        </w:rPr>
        <w:t>ova, kortikosteroide, NSAIL i/ili hemioterapiju taksanima, ili oni koji u anamnezi imaju peptički ulkus ili divertikularnu bolest. Prim</w:t>
      </w:r>
      <w:r w:rsidR="00FD4480" w:rsidRPr="00FB6F73">
        <w:rPr>
          <w:bCs/>
          <w:sz w:val="22"/>
          <w:szCs w:val="22"/>
          <w:lang w:val="sr-Latn-ME"/>
        </w:rPr>
        <w:t>j</w:t>
      </w:r>
      <w:r w:rsidRPr="00FB6F73">
        <w:rPr>
          <w:bCs/>
          <w:sz w:val="22"/>
          <w:szCs w:val="22"/>
          <w:lang w:val="sr-Latn-ME"/>
        </w:rPr>
        <w:t xml:space="preserve">enu </w:t>
      </w:r>
      <w:r w:rsidR="00FD4480" w:rsidRPr="00FB6F73">
        <w:rPr>
          <w:bCs/>
          <w:sz w:val="22"/>
          <w:szCs w:val="22"/>
          <w:lang w:val="sr-Latn-ME"/>
        </w:rPr>
        <w:t>lijek</w:t>
      </w:r>
      <w:r w:rsidRPr="00FB6F73">
        <w:rPr>
          <w:bCs/>
          <w:sz w:val="22"/>
          <w:szCs w:val="22"/>
          <w:lang w:val="sr-Latn-ME"/>
        </w:rPr>
        <w:t>a Erlotinib Sandoz treba trajno prekinuti kod pacijenata kod kojih se razvije gastrointestinalna perforacija (</w:t>
      </w:r>
      <w:r w:rsidR="00FD4480" w:rsidRPr="00FB6F73">
        <w:rPr>
          <w:bCs/>
          <w:sz w:val="22"/>
          <w:szCs w:val="22"/>
          <w:lang w:val="sr-Latn-ME"/>
        </w:rPr>
        <w:t>vidjeti</w:t>
      </w:r>
      <w:r w:rsidRPr="00FB6F73">
        <w:rPr>
          <w:bCs/>
          <w:sz w:val="22"/>
          <w:szCs w:val="22"/>
          <w:lang w:val="sr-Latn-ME"/>
        </w:rPr>
        <w:t xml:space="preserve"> </w:t>
      </w:r>
      <w:r w:rsidR="00244348" w:rsidRPr="00FB6F73">
        <w:rPr>
          <w:bCs/>
          <w:sz w:val="22"/>
          <w:szCs w:val="22"/>
          <w:lang w:val="sr-Latn-ME"/>
        </w:rPr>
        <w:t xml:space="preserve">dio </w:t>
      </w:r>
      <w:r w:rsidRPr="00FB6F73">
        <w:rPr>
          <w:bCs/>
          <w:sz w:val="22"/>
          <w:szCs w:val="22"/>
          <w:lang w:val="sr-Latn-ME"/>
        </w:rPr>
        <w:t xml:space="preserve">4.8). </w:t>
      </w:r>
    </w:p>
    <w:p w14:paraId="49248D12" w14:textId="77777777" w:rsidR="005505B4" w:rsidRPr="00FB6F73" w:rsidRDefault="005505B4" w:rsidP="00981FFD">
      <w:pPr>
        <w:tabs>
          <w:tab w:val="left" w:pos="540"/>
          <w:tab w:val="left" w:pos="569"/>
        </w:tabs>
        <w:jc w:val="both"/>
        <w:rPr>
          <w:bCs/>
          <w:sz w:val="22"/>
          <w:szCs w:val="22"/>
          <w:lang w:val="sr-Latn-ME"/>
        </w:rPr>
      </w:pPr>
    </w:p>
    <w:p w14:paraId="1A44CEAC" w14:textId="61D5EE15" w:rsidR="005505B4" w:rsidRPr="00FB6F73" w:rsidRDefault="005505B4" w:rsidP="00981FFD">
      <w:pPr>
        <w:tabs>
          <w:tab w:val="left" w:pos="540"/>
          <w:tab w:val="left" w:pos="569"/>
        </w:tabs>
        <w:jc w:val="both"/>
        <w:rPr>
          <w:bCs/>
          <w:sz w:val="22"/>
          <w:szCs w:val="22"/>
          <w:u w:val="single"/>
          <w:lang w:val="sr-Latn-ME"/>
        </w:rPr>
      </w:pPr>
      <w:r w:rsidRPr="00FB6F73">
        <w:rPr>
          <w:bCs/>
          <w:sz w:val="22"/>
          <w:szCs w:val="22"/>
          <w:u w:val="single"/>
          <w:lang w:val="sr-Latn-ME"/>
        </w:rPr>
        <w:t>Bulozne i eksfolijativne prom</w:t>
      </w:r>
      <w:r w:rsidR="00FD4480" w:rsidRPr="00FB6F73">
        <w:rPr>
          <w:bCs/>
          <w:sz w:val="22"/>
          <w:szCs w:val="22"/>
          <w:u w:val="single"/>
          <w:lang w:val="sr-Latn-ME"/>
        </w:rPr>
        <w:t>j</w:t>
      </w:r>
      <w:r w:rsidRPr="00FB6F73">
        <w:rPr>
          <w:bCs/>
          <w:sz w:val="22"/>
          <w:szCs w:val="22"/>
          <w:u w:val="single"/>
          <w:lang w:val="sr-Latn-ME"/>
        </w:rPr>
        <w:t xml:space="preserve">ene na koži </w:t>
      </w:r>
    </w:p>
    <w:p w14:paraId="5CB95BDF" w14:textId="34EE4821" w:rsidR="005505B4" w:rsidRPr="00FB6F73" w:rsidRDefault="005505B4" w:rsidP="00981FFD">
      <w:pPr>
        <w:tabs>
          <w:tab w:val="left" w:pos="540"/>
          <w:tab w:val="left" w:pos="569"/>
        </w:tabs>
        <w:jc w:val="both"/>
        <w:rPr>
          <w:bCs/>
          <w:sz w:val="22"/>
          <w:szCs w:val="22"/>
          <w:lang w:val="sr-Latn-ME"/>
        </w:rPr>
      </w:pPr>
      <w:r w:rsidRPr="00FB6F73">
        <w:rPr>
          <w:bCs/>
          <w:sz w:val="22"/>
          <w:szCs w:val="22"/>
          <w:lang w:val="sr-Latn-ME"/>
        </w:rPr>
        <w:t>Prijavljene su bulozne, vezikularne i eksfolijativne prom</w:t>
      </w:r>
      <w:r w:rsidR="00FD4480" w:rsidRPr="00FB6F73">
        <w:rPr>
          <w:bCs/>
          <w:sz w:val="22"/>
          <w:szCs w:val="22"/>
          <w:lang w:val="sr-Latn-ME"/>
        </w:rPr>
        <w:t>j</w:t>
      </w:r>
      <w:r w:rsidRPr="00FB6F73">
        <w:rPr>
          <w:bCs/>
          <w:sz w:val="22"/>
          <w:szCs w:val="22"/>
          <w:lang w:val="sr-Latn-ME"/>
        </w:rPr>
        <w:t>ene na koži, uključujući i veoma r</w:t>
      </w:r>
      <w:r w:rsidR="00FD4480" w:rsidRPr="00FB6F73">
        <w:rPr>
          <w:bCs/>
          <w:sz w:val="22"/>
          <w:szCs w:val="22"/>
          <w:lang w:val="sr-Latn-ME"/>
        </w:rPr>
        <w:t>ij</w:t>
      </w:r>
      <w:r w:rsidRPr="00FB6F73">
        <w:rPr>
          <w:bCs/>
          <w:sz w:val="22"/>
          <w:szCs w:val="22"/>
          <w:lang w:val="sr-Latn-ME"/>
        </w:rPr>
        <w:t xml:space="preserve">etke slučajeve koji ukazuju na </w:t>
      </w:r>
      <w:r w:rsidRPr="00FB6F73">
        <w:rPr>
          <w:bCs/>
          <w:i/>
          <w:sz w:val="22"/>
          <w:szCs w:val="22"/>
          <w:lang w:val="sr-Latn-ME"/>
        </w:rPr>
        <w:t>Stevens-Johnson</w:t>
      </w:r>
      <w:r w:rsidRPr="00FB6F73">
        <w:rPr>
          <w:bCs/>
          <w:sz w:val="22"/>
          <w:szCs w:val="22"/>
          <w:lang w:val="sr-Latn-ME"/>
        </w:rPr>
        <w:t>-ov sindrom/toksičnu epidermalnu nekrolizu, koji su u nekim slučajevima bili fatalni (</w:t>
      </w:r>
      <w:r w:rsidR="00FD4480" w:rsidRPr="00FB6F73">
        <w:rPr>
          <w:bCs/>
          <w:sz w:val="22"/>
          <w:szCs w:val="22"/>
          <w:lang w:val="sr-Latn-ME"/>
        </w:rPr>
        <w:t>vidjeti</w:t>
      </w:r>
      <w:r w:rsidRPr="00FB6F73">
        <w:rPr>
          <w:bCs/>
          <w:sz w:val="22"/>
          <w:szCs w:val="22"/>
          <w:lang w:val="sr-Latn-ME"/>
        </w:rPr>
        <w:t xml:space="preserve"> </w:t>
      </w:r>
      <w:r w:rsidR="00244348" w:rsidRPr="00FB6F73">
        <w:rPr>
          <w:bCs/>
          <w:sz w:val="22"/>
          <w:szCs w:val="22"/>
          <w:lang w:val="sr-Latn-ME"/>
        </w:rPr>
        <w:t xml:space="preserve">dio </w:t>
      </w:r>
      <w:r w:rsidRPr="00FB6F73">
        <w:rPr>
          <w:bCs/>
          <w:sz w:val="22"/>
          <w:szCs w:val="22"/>
          <w:lang w:val="sr-Latn-ME"/>
        </w:rPr>
        <w:t xml:space="preserve">4.8). </w:t>
      </w:r>
      <w:r w:rsidR="00FD4480" w:rsidRPr="00FB6F73">
        <w:rPr>
          <w:bCs/>
          <w:sz w:val="22"/>
          <w:szCs w:val="22"/>
          <w:lang w:val="sr-Latn-ME"/>
        </w:rPr>
        <w:t>Liječenj</w:t>
      </w:r>
      <w:r w:rsidRPr="00FB6F73">
        <w:rPr>
          <w:bCs/>
          <w:sz w:val="22"/>
          <w:szCs w:val="22"/>
          <w:lang w:val="sr-Latn-ME"/>
        </w:rPr>
        <w:t xml:space="preserve">e </w:t>
      </w:r>
      <w:r w:rsidR="00FD4480" w:rsidRPr="00FB6F73">
        <w:rPr>
          <w:bCs/>
          <w:sz w:val="22"/>
          <w:szCs w:val="22"/>
          <w:lang w:val="sr-Latn-ME"/>
        </w:rPr>
        <w:t>lijek</w:t>
      </w:r>
      <w:r w:rsidRPr="00FB6F73">
        <w:rPr>
          <w:bCs/>
          <w:sz w:val="22"/>
          <w:szCs w:val="22"/>
          <w:lang w:val="sr-Latn-ME"/>
        </w:rPr>
        <w:t>om Erlotinib Sandoz treba trajno ili privremeno prekinuti kod pacijenata kod kojih se jave teške bulozne, blisterozne ili eksfolijativne prom</w:t>
      </w:r>
      <w:r w:rsidR="00244348" w:rsidRPr="00FB6F73">
        <w:rPr>
          <w:bCs/>
          <w:sz w:val="22"/>
          <w:szCs w:val="22"/>
          <w:lang w:val="sr-Latn-ME"/>
        </w:rPr>
        <w:t>j</w:t>
      </w:r>
      <w:r w:rsidRPr="00FB6F73">
        <w:rPr>
          <w:bCs/>
          <w:sz w:val="22"/>
          <w:szCs w:val="22"/>
          <w:lang w:val="sr-Latn-ME"/>
        </w:rPr>
        <w:t xml:space="preserve">ene na koži. Pacijente sa buloznim i eksfolijativnim </w:t>
      </w:r>
      <w:r w:rsidR="00ED4DF5" w:rsidRPr="00FB6F73">
        <w:rPr>
          <w:bCs/>
          <w:sz w:val="22"/>
          <w:szCs w:val="22"/>
          <w:lang w:val="sr-Latn-ME"/>
        </w:rPr>
        <w:t>promjena</w:t>
      </w:r>
      <w:r w:rsidRPr="00FB6F73">
        <w:rPr>
          <w:bCs/>
          <w:sz w:val="22"/>
          <w:szCs w:val="22"/>
          <w:lang w:val="sr-Latn-ME"/>
        </w:rPr>
        <w:t>ma na koži treba testirati na kožne infekcije i l</w:t>
      </w:r>
      <w:r w:rsidR="00FD4480" w:rsidRPr="00FB6F73">
        <w:rPr>
          <w:bCs/>
          <w:sz w:val="22"/>
          <w:szCs w:val="22"/>
          <w:lang w:val="sr-Latn-ME"/>
        </w:rPr>
        <w:t>ij</w:t>
      </w:r>
      <w:r w:rsidRPr="00FB6F73">
        <w:rPr>
          <w:bCs/>
          <w:sz w:val="22"/>
          <w:szCs w:val="22"/>
          <w:lang w:val="sr-Latn-ME"/>
        </w:rPr>
        <w:t>ečiti u skladu sa prihvaćenim terapijskim sm</w:t>
      </w:r>
      <w:r w:rsidR="00FD4480" w:rsidRPr="00FB6F73">
        <w:rPr>
          <w:bCs/>
          <w:sz w:val="22"/>
          <w:szCs w:val="22"/>
          <w:lang w:val="sr-Latn-ME"/>
        </w:rPr>
        <w:t>j</w:t>
      </w:r>
      <w:r w:rsidRPr="00FB6F73">
        <w:rPr>
          <w:bCs/>
          <w:sz w:val="22"/>
          <w:szCs w:val="22"/>
          <w:lang w:val="sr-Latn-ME"/>
        </w:rPr>
        <w:t>ernicama.</w:t>
      </w:r>
    </w:p>
    <w:p w14:paraId="010864CA" w14:textId="77777777" w:rsidR="00353F63" w:rsidRPr="00FB6F73" w:rsidRDefault="00353F63" w:rsidP="00981FFD">
      <w:pPr>
        <w:tabs>
          <w:tab w:val="left" w:pos="540"/>
          <w:tab w:val="left" w:pos="569"/>
        </w:tabs>
        <w:jc w:val="both"/>
        <w:rPr>
          <w:bCs/>
          <w:sz w:val="22"/>
          <w:szCs w:val="22"/>
          <w:lang w:val="sr-Latn-ME"/>
        </w:rPr>
      </w:pPr>
    </w:p>
    <w:p w14:paraId="4E066D7A" w14:textId="77777777" w:rsidR="005505B4" w:rsidRPr="00FB6F73" w:rsidRDefault="005505B4" w:rsidP="00981FFD">
      <w:pPr>
        <w:tabs>
          <w:tab w:val="left" w:pos="540"/>
          <w:tab w:val="left" w:pos="569"/>
        </w:tabs>
        <w:jc w:val="both"/>
        <w:rPr>
          <w:bCs/>
          <w:sz w:val="22"/>
          <w:szCs w:val="22"/>
          <w:u w:val="single"/>
          <w:lang w:val="sr-Latn-ME"/>
        </w:rPr>
      </w:pPr>
      <w:r w:rsidRPr="00FB6F73">
        <w:rPr>
          <w:bCs/>
          <w:sz w:val="22"/>
          <w:szCs w:val="22"/>
          <w:u w:val="single"/>
          <w:lang w:val="sr-Latn-ME"/>
        </w:rPr>
        <w:t xml:space="preserve">Poremećaji oka </w:t>
      </w:r>
    </w:p>
    <w:p w14:paraId="67A2B7A3" w14:textId="4496F99F" w:rsidR="005505B4" w:rsidRPr="00FB6F73" w:rsidRDefault="005505B4" w:rsidP="00981FFD">
      <w:pPr>
        <w:tabs>
          <w:tab w:val="left" w:pos="540"/>
          <w:tab w:val="left" w:pos="569"/>
        </w:tabs>
        <w:jc w:val="both"/>
        <w:rPr>
          <w:bCs/>
          <w:sz w:val="22"/>
          <w:szCs w:val="22"/>
          <w:lang w:val="sr-Latn-ME"/>
        </w:rPr>
      </w:pPr>
      <w:r w:rsidRPr="00FB6F73">
        <w:rPr>
          <w:bCs/>
          <w:sz w:val="22"/>
          <w:szCs w:val="22"/>
          <w:lang w:val="sr-Latn-ME"/>
        </w:rPr>
        <w:t>Pacijente sa znacima i simptomima koji ukazuju na keratitis, poput akutnog ili pogoršanja postojećeg: zapaljenja oka, suzenja, os</w:t>
      </w:r>
      <w:r w:rsidR="00FD4480" w:rsidRPr="00FB6F73">
        <w:rPr>
          <w:bCs/>
          <w:sz w:val="22"/>
          <w:szCs w:val="22"/>
          <w:lang w:val="sr-Latn-ME"/>
        </w:rPr>
        <w:t>j</w:t>
      </w:r>
      <w:r w:rsidRPr="00FB6F73">
        <w:rPr>
          <w:bCs/>
          <w:sz w:val="22"/>
          <w:szCs w:val="22"/>
          <w:lang w:val="sr-Latn-ME"/>
        </w:rPr>
        <w:t>etljivosti na sv</w:t>
      </w:r>
      <w:r w:rsidR="00FD4480" w:rsidRPr="00FB6F73">
        <w:rPr>
          <w:bCs/>
          <w:sz w:val="22"/>
          <w:szCs w:val="22"/>
          <w:lang w:val="sr-Latn-ME"/>
        </w:rPr>
        <w:t>j</w:t>
      </w:r>
      <w:r w:rsidRPr="00FB6F73">
        <w:rPr>
          <w:bCs/>
          <w:sz w:val="22"/>
          <w:szCs w:val="22"/>
          <w:lang w:val="sr-Latn-ME"/>
        </w:rPr>
        <w:t xml:space="preserve">etlost, zamagljenog vida, bola u oku i/ili crvenila oka, treba odmah uputiti oftalmologu. Ukoliko se potvrdi dijagnoza ulceroznog keratitisa, terapiju </w:t>
      </w:r>
      <w:r w:rsidR="00FD4480" w:rsidRPr="00FB6F73">
        <w:rPr>
          <w:bCs/>
          <w:sz w:val="22"/>
          <w:szCs w:val="22"/>
          <w:lang w:val="sr-Latn-ME"/>
        </w:rPr>
        <w:t>lijek</w:t>
      </w:r>
      <w:r w:rsidRPr="00FB6F73">
        <w:rPr>
          <w:bCs/>
          <w:sz w:val="22"/>
          <w:szCs w:val="22"/>
          <w:lang w:val="sr-Latn-ME"/>
        </w:rPr>
        <w:t>om Erlotinib Sandoz treba prekinuti ili obustaviti. U slučaju dijagnoze keratitisa, treba dobro proc</w:t>
      </w:r>
      <w:r w:rsidR="00FD4480" w:rsidRPr="00FB6F73">
        <w:rPr>
          <w:bCs/>
          <w:sz w:val="22"/>
          <w:szCs w:val="22"/>
          <w:lang w:val="sr-Latn-ME"/>
        </w:rPr>
        <w:t>ij</w:t>
      </w:r>
      <w:r w:rsidRPr="00FB6F73">
        <w:rPr>
          <w:bCs/>
          <w:sz w:val="22"/>
          <w:szCs w:val="22"/>
          <w:lang w:val="sr-Latn-ME"/>
        </w:rPr>
        <w:t xml:space="preserve">eniti odnos između koristi i rizika od dalje </w:t>
      </w:r>
      <w:r w:rsidR="00FD4480" w:rsidRPr="00FB6F73">
        <w:rPr>
          <w:bCs/>
          <w:sz w:val="22"/>
          <w:szCs w:val="22"/>
          <w:lang w:val="sr-Latn-ME"/>
        </w:rPr>
        <w:t>primjene</w:t>
      </w:r>
      <w:r w:rsidRPr="00FB6F73">
        <w:rPr>
          <w:bCs/>
          <w:sz w:val="22"/>
          <w:szCs w:val="22"/>
          <w:lang w:val="sr-Latn-ME"/>
        </w:rPr>
        <w:t xml:space="preserve"> </w:t>
      </w:r>
      <w:r w:rsidR="00FD4480" w:rsidRPr="00FB6F73">
        <w:rPr>
          <w:bCs/>
          <w:sz w:val="22"/>
          <w:szCs w:val="22"/>
          <w:lang w:val="sr-Latn-ME"/>
        </w:rPr>
        <w:t>lijek</w:t>
      </w:r>
      <w:r w:rsidRPr="00FB6F73">
        <w:rPr>
          <w:bCs/>
          <w:sz w:val="22"/>
          <w:szCs w:val="22"/>
          <w:lang w:val="sr-Latn-ME"/>
        </w:rPr>
        <w:t xml:space="preserve">a Erlotinib Sandoz. Potreban je oprez pri </w:t>
      </w:r>
      <w:r w:rsidR="00FD4480" w:rsidRPr="00FB6F73">
        <w:rPr>
          <w:bCs/>
          <w:sz w:val="22"/>
          <w:szCs w:val="22"/>
          <w:lang w:val="sr-Latn-ME"/>
        </w:rPr>
        <w:t>primjeni</w:t>
      </w:r>
      <w:r w:rsidRPr="00FB6F73">
        <w:rPr>
          <w:bCs/>
          <w:sz w:val="22"/>
          <w:szCs w:val="22"/>
          <w:lang w:val="sr-Latn-ME"/>
        </w:rPr>
        <w:t xml:space="preserve"> </w:t>
      </w:r>
      <w:r w:rsidR="00FD4480" w:rsidRPr="00FB6F73">
        <w:rPr>
          <w:bCs/>
          <w:sz w:val="22"/>
          <w:szCs w:val="22"/>
          <w:lang w:val="sr-Latn-ME"/>
        </w:rPr>
        <w:t>lijek</w:t>
      </w:r>
      <w:r w:rsidRPr="00FB6F73">
        <w:rPr>
          <w:bCs/>
          <w:sz w:val="22"/>
          <w:szCs w:val="22"/>
          <w:lang w:val="sr-Latn-ME"/>
        </w:rPr>
        <w:t xml:space="preserve">a Erlotinib Sandoz kod pacijenata koji su imali keratitis, ulcerozni keratitis ili teži oblik suvog oka u istoriji bolesti. </w:t>
      </w:r>
      <w:r w:rsidR="00FD4480" w:rsidRPr="00FB6F73">
        <w:rPr>
          <w:bCs/>
          <w:sz w:val="22"/>
          <w:szCs w:val="22"/>
          <w:lang w:val="sr-Latn-ME"/>
        </w:rPr>
        <w:t>Primjena</w:t>
      </w:r>
      <w:r w:rsidRPr="00FB6F73">
        <w:rPr>
          <w:bCs/>
          <w:sz w:val="22"/>
          <w:szCs w:val="22"/>
          <w:lang w:val="sr-Latn-ME"/>
        </w:rPr>
        <w:t xml:space="preserve"> kontaktnih sočiva takođe je faktor rizika za pojavu keratitisa ili ulceracija. Tokom </w:t>
      </w:r>
      <w:r w:rsidR="00FD4480" w:rsidRPr="00FB6F73">
        <w:rPr>
          <w:bCs/>
          <w:sz w:val="22"/>
          <w:szCs w:val="22"/>
          <w:lang w:val="sr-Latn-ME"/>
        </w:rPr>
        <w:t>primjene</w:t>
      </w:r>
      <w:r w:rsidRPr="00FB6F73">
        <w:rPr>
          <w:bCs/>
          <w:sz w:val="22"/>
          <w:szCs w:val="22"/>
          <w:lang w:val="sr-Latn-ME"/>
        </w:rPr>
        <w:t xml:space="preserve"> </w:t>
      </w:r>
      <w:r w:rsidR="00FD4480" w:rsidRPr="00FB6F73">
        <w:rPr>
          <w:bCs/>
          <w:sz w:val="22"/>
          <w:szCs w:val="22"/>
          <w:lang w:val="sr-Latn-ME"/>
        </w:rPr>
        <w:t>lijek</w:t>
      </w:r>
      <w:r w:rsidRPr="00FB6F73">
        <w:rPr>
          <w:bCs/>
          <w:sz w:val="22"/>
          <w:szCs w:val="22"/>
          <w:lang w:val="sr-Latn-ME"/>
        </w:rPr>
        <w:t xml:space="preserve">a Erlotinib Sandoz, prijavljeni su veoma </w:t>
      </w:r>
      <w:r w:rsidR="00FD4480" w:rsidRPr="00FB6F73">
        <w:rPr>
          <w:bCs/>
          <w:sz w:val="22"/>
          <w:szCs w:val="22"/>
          <w:lang w:val="sr-Latn-ME"/>
        </w:rPr>
        <w:t>rijetki</w:t>
      </w:r>
      <w:r w:rsidRPr="00FB6F73">
        <w:rPr>
          <w:bCs/>
          <w:sz w:val="22"/>
          <w:szCs w:val="22"/>
          <w:lang w:val="sr-Latn-ME"/>
        </w:rPr>
        <w:t xml:space="preserve"> slučajevi perforacije ili ulceracije rožnjače (</w:t>
      </w:r>
      <w:r w:rsidR="00FD4480" w:rsidRPr="00FB6F73">
        <w:rPr>
          <w:bCs/>
          <w:sz w:val="22"/>
          <w:szCs w:val="22"/>
          <w:lang w:val="sr-Latn-ME"/>
        </w:rPr>
        <w:t>vidjeti</w:t>
      </w:r>
      <w:r w:rsidRPr="00FB6F73">
        <w:rPr>
          <w:bCs/>
          <w:sz w:val="22"/>
          <w:szCs w:val="22"/>
          <w:lang w:val="sr-Latn-ME"/>
        </w:rPr>
        <w:t xml:space="preserve"> </w:t>
      </w:r>
      <w:r w:rsidR="00244348" w:rsidRPr="00FB6F73">
        <w:rPr>
          <w:bCs/>
          <w:sz w:val="22"/>
          <w:szCs w:val="22"/>
          <w:lang w:val="sr-Latn-ME"/>
        </w:rPr>
        <w:t xml:space="preserve">dio </w:t>
      </w:r>
      <w:r w:rsidRPr="00FB6F73">
        <w:rPr>
          <w:bCs/>
          <w:sz w:val="22"/>
          <w:szCs w:val="22"/>
          <w:lang w:val="sr-Latn-ME"/>
        </w:rPr>
        <w:t>4.8).</w:t>
      </w:r>
    </w:p>
    <w:p w14:paraId="686BCBA4" w14:textId="77777777" w:rsidR="005505B4" w:rsidRPr="00FB6F73" w:rsidRDefault="005505B4" w:rsidP="00981FFD">
      <w:pPr>
        <w:tabs>
          <w:tab w:val="left" w:pos="540"/>
          <w:tab w:val="left" w:pos="569"/>
        </w:tabs>
        <w:jc w:val="both"/>
        <w:rPr>
          <w:bCs/>
          <w:sz w:val="22"/>
          <w:szCs w:val="22"/>
          <w:u w:val="single"/>
          <w:lang w:val="sr-Latn-ME"/>
        </w:rPr>
      </w:pPr>
    </w:p>
    <w:p w14:paraId="0A705435" w14:textId="6270CB95" w:rsidR="005505B4" w:rsidRPr="00FB6F73" w:rsidRDefault="005505B4" w:rsidP="00981FFD">
      <w:pPr>
        <w:tabs>
          <w:tab w:val="left" w:pos="540"/>
          <w:tab w:val="left" w:pos="569"/>
        </w:tabs>
        <w:jc w:val="both"/>
        <w:rPr>
          <w:bCs/>
          <w:sz w:val="22"/>
          <w:szCs w:val="22"/>
          <w:lang w:val="sr-Latn-ME"/>
        </w:rPr>
      </w:pPr>
      <w:r w:rsidRPr="00FB6F73">
        <w:rPr>
          <w:bCs/>
          <w:sz w:val="22"/>
          <w:szCs w:val="22"/>
          <w:u w:val="single"/>
          <w:lang w:val="sr-Latn-ME"/>
        </w:rPr>
        <w:t xml:space="preserve">Interakcije sa drugim </w:t>
      </w:r>
      <w:r w:rsidR="00FD4480" w:rsidRPr="00FB6F73">
        <w:rPr>
          <w:bCs/>
          <w:sz w:val="22"/>
          <w:szCs w:val="22"/>
          <w:u w:val="single"/>
          <w:lang w:val="sr-Latn-ME"/>
        </w:rPr>
        <w:t>ljekovi</w:t>
      </w:r>
      <w:r w:rsidRPr="00FB6F73">
        <w:rPr>
          <w:bCs/>
          <w:sz w:val="22"/>
          <w:szCs w:val="22"/>
          <w:u w:val="single"/>
          <w:lang w:val="sr-Latn-ME"/>
        </w:rPr>
        <w:t>ma</w:t>
      </w:r>
      <w:r w:rsidRPr="00FB6F73">
        <w:rPr>
          <w:bCs/>
          <w:sz w:val="22"/>
          <w:szCs w:val="22"/>
          <w:lang w:val="sr-Latn-ME"/>
        </w:rPr>
        <w:t xml:space="preserve"> </w:t>
      </w:r>
    </w:p>
    <w:p w14:paraId="125B31E0" w14:textId="019CF2F3" w:rsidR="005505B4" w:rsidRPr="00FB6F73" w:rsidRDefault="005505B4" w:rsidP="00981FFD">
      <w:pPr>
        <w:tabs>
          <w:tab w:val="left" w:pos="540"/>
          <w:tab w:val="left" w:pos="569"/>
        </w:tabs>
        <w:jc w:val="both"/>
        <w:rPr>
          <w:bCs/>
          <w:sz w:val="22"/>
          <w:szCs w:val="22"/>
          <w:lang w:val="sr-Latn-ME"/>
        </w:rPr>
      </w:pPr>
      <w:r w:rsidRPr="00FB6F73">
        <w:rPr>
          <w:bCs/>
          <w:sz w:val="22"/>
          <w:szCs w:val="22"/>
          <w:lang w:val="sr-Latn-ME"/>
        </w:rPr>
        <w:t xml:space="preserve">Snažni induktori CYP3A4 mogu da smanje efikasnost erlotiniba, dok snažni inhibitori CYP3A4 mogu da dovedu do pojačane toksičnosti. Istovremenu terapiju erlotinibom sa </w:t>
      </w:r>
      <w:r w:rsidR="00FD4480" w:rsidRPr="00FB6F73">
        <w:rPr>
          <w:bCs/>
          <w:sz w:val="22"/>
          <w:szCs w:val="22"/>
          <w:lang w:val="sr-Latn-ME"/>
        </w:rPr>
        <w:t>ljekovi</w:t>
      </w:r>
      <w:r w:rsidRPr="00FB6F73">
        <w:rPr>
          <w:bCs/>
          <w:sz w:val="22"/>
          <w:szCs w:val="22"/>
          <w:lang w:val="sr-Latn-ME"/>
        </w:rPr>
        <w:t xml:space="preserve">ma ovog tipa treba </w:t>
      </w:r>
      <w:r w:rsidR="00ED4DF5" w:rsidRPr="00FB6F73">
        <w:rPr>
          <w:bCs/>
          <w:sz w:val="22"/>
          <w:szCs w:val="22"/>
          <w:lang w:val="sr-Latn-ME"/>
        </w:rPr>
        <w:t>izbjegavati</w:t>
      </w:r>
      <w:r w:rsidRPr="00FB6F73">
        <w:rPr>
          <w:bCs/>
          <w:sz w:val="22"/>
          <w:szCs w:val="22"/>
          <w:lang w:val="sr-Latn-ME"/>
        </w:rPr>
        <w:t xml:space="preserve"> (</w:t>
      </w:r>
      <w:r w:rsidR="00FD4480" w:rsidRPr="00FB6F73">
        <w:rPr>
          <w:bCs/>
          <w:sz w:val="22"/>
          <w:szCs w:val="22"/>
          <w:lang w:val="sr-Latn-ME"/>
        </w:rPr>
        <w:t>vidjeti</w:t>
      </w:r>
      <w:r w:rsidRPr="00FB6F73">
        <w:rPr>
          <w:bCs/>
          <w:sz w:val="22"/>
          <w:szCs w:val="22"/>
          <w:lang w:val="sr-Latn-ME"/>
        </w:rPr>
        <w:t xml:space="preserve"> </w:t>
      </w:r>
      <w:r w:rsidR="00244348" w:rsidRPr="00FB6F73">
        <w:rPr>
          <w:bCs/>
          <w:sz w:val="22"/>
          <w:szCs w:val="22"/>
          <w:lang w:val="sr-Latn-ME"/>
        </w:rPr>
        <w:t xml:space="preserve">dio </w:t>
      </w:r>
      <w:r w:rsidRPr="00FB6F73">
        <w:rPr>
          <w:bCs/>
          <w:sz w:val="22"/>
          <w:szCs w:val="22"/>
          <w:lang w:val="sr-Latn-ME"/>
        </w:rPr>
        <w:t>4.5).</w:t>
      </w:r>
    </w:p>
    <w:p w14:paraId="4F950FD4" w14:textId="77777777" w:rsidR="005505B4" w:rsidRPr="00FB6F73" w:rsidRDefault="005505B4" w:rsidP="00981FFD">
      <w:pPr>
        <w:tabs>
          <w:tab w:val="left" w:pos="540"/>
          <w:tab w:val="left" w:pos="569"/>
        </w:tabs>
        <w:jc w:val="both"/>
        <w:rPr>
          <w:bCs/>
          <w:sz w:val="22"/>
          <w:szCs w:val="22"/>
          <w:lang w:val="sr-Latn-ME"/>
        </w:rPr>
      </w:pPr>
    </w:p>
    <w:p w14:paraId="248D0D5C" w14:textId="77777777" w:rsidR="005505B4" w:rsidRPr="00FB6F73" w:rsidRDefault="005505B4" w:rsidP="00981FFD">
      <w:pPr>
        <w:tabs>
          <w:tab w:val="left" w:pos="540"/>
          <w:tab w:val="left" w:pos="569"/>
        </w:tabs>
        <w:jc w:val="both"/>
        <w:rPr>
          <w:bCs/>
          <w:sz w:val="22"/>
          <w:szCs w:val="22"/>
          <w:u w:val="single"/>
          <w:lang w:val="sr-Latn-ME"/>
        </w:rPr>
      </w:pPr>
      <w:r w:rsidRPr="00FB6F73">
        <w:rPr>
          <w:bCs/>
          <w:sz w:val="22"/>
          <w:szCs w:val="22"/>
          <w:u w:val="single"/>
          <w:lang w:val="sr-Latn-ME"/>
        </w:rPr>
        <w:t xml:space="preserve">Druge vrste interakcija </w:t>
      </w:r>
    </w:p>
    <w:p w14:paraId="524657FD" w14:textId="21920221" w:rsidR="005505B4" w:rsidRPr="00FB6F73" w:rsidRDefault="005505B4" w:rsidP="00981FFD">
      <w:pPr>
        <w:tabs>
          <w:tab w:val="left" w:pos="540"/>
          <w:tab w:val="left" w:pos="569"/>
        </w:tabs>
        <w:jc w:val="both"/>
        <w:rPr>
          <w:bCs/>
          <w:sz w:val="22"/>
          <w:szCs w:val="22"/>
          <w:lang w:val="sr-Latn-ME"/>
        </w:rPr>
      </w:pPr>
      <w:r w:rsidRPr="00FB6F73">
        <w:rPr>
          <w:bCs/>
          <w:sz w:val="22"/>
          <w:szCs w:val="22"/>
          <w:lang w:val="sr-Latn-ME"/>
        </w:rPr>
        <w:t>Osobina erlotiniba je smanjena rastvorljivosti pri vr</w:t>
      </w:r>
      <w:r w:rsidR="00FD4480" w:rsidRPr="00FB6F73">
        <w:rPr>
          <w:bCs/>
          <w:sz w:val="22"/>
          <w:szCs w:val="22"/>
          <w:lang w:val="sr-Latn-ME"/>
        </w:rPr>
        <w:t>ij</w:t>
      </w:r>
      <w:r w:rsidRPr="00FB6F73">
        <w:rPr>
          <w:bCs/>
          <w:sz w:val="22"/>
          <w:szCs w:val="22"/>
          <w:lang w:val="sr-Latn-ME"/>
        </w:rPr>
        <w:t xml:space="preserve">ednostima pH iznad 5. </w:t>
      </w:r>
      <w:r w:rsidR="00FD4480" w:rsidRPr="00FB6F73">
        <w:rPr>
          <w:bCs/>
          <w:sz w:val="22"/>
          <w:szCs w:val="22"/>
          <w:lang w:val="sr-Latn-ME"/>
        </w:rPr>
        <w:t>Ljekovi</w:t>
      </w:r>
      <w:r w:rsidRPr="00FB6F73">
        <w:rPr>
          <w:bCs/>
          <w:sz w:val="22"/>
          <w:szCs w:val="22"/>
          <w:lang w:val="sr-Latn-ME"/>
        </w:rPr>
        <w:t xml:space="preserve"> koji m</w:t>
      </w:r>
      <w:r w:rsidR="00ED4DF5" w:rsidRPr="00FB6F73">
        <w:rPr>
          <w:bCs/>
          <w:sz w:val="22"/>
          <w:szCs w:val="22"/>
          <w:lang w:val="sr-Latn-ME"/>
        </w:rPr>
        <w:t>ij</w:t>
      </w:r>
      <w:r w:rsidRPr="00FB6F73">
        <w:rPr>
          <w:bCs/>
          <w:sz w:val="22"/>
          <w:szCs w:val="22"/>
          <w:lang w:val="sr-Latn-ME"/>
        </w:rPr>
        <w:t xml:space="preserve">enjaju pH </w:t>
      </w:r>
      <w:r w:rsidR="00FD4480" w:rsidRPr="00FB6F73">
        <w:rPr>
          <w:bCs/>
          <w:sz w:val="22"/>
          <w:szCs w:val="22"/>
          <w:lang w:val="sr-Latn-ME"/>
        </w:rPr>
        <w:t>vrijednost</w:t>
      </w:r>
      <w:r w:rsidRPr="00FB6F73">
        <w:rPr>
          <w:bCs/>
          <w:sz w:val="22"/>
          <w:szCs w:val="22"/>
          <w:lang w:val="sr-Latn-ME"/>
        </w:rPr>
        <w:t xml:space="preserve"> u gornjim </w:t>
      </w:r>
      <w:r w:rsidR="00FD4480" w:rsidRPr="00FB6F73">
        <w:rPr>
          <w:bCs/>
          <w:sz w:val="22"/>
          <w:szCs w:val="22"/>
          <w:lang w:val="sr-Latn-ME"/>
        </w:rPr>
        <w:t>djelovima</w:t>
      </w:r>
      <w:r w:rsidRPr="00FB6F73">
        <w:rPr>
          <w:bCs/>
          <w:sz w:val="22"/>
          <w:szCs w:val="22"/>
          <w:lang w:val="sr-Latn-ME"/>
        </w:rPr>
        <w:t xml:space="preserve"> gastrointestinalnog trakta, kao i</w:t>
      </w:r>
      <w:r w:rsidR="000178BA" w:rsidRPr="00FB6F73">
        <w:rPr>
          <w:bCs/>
          <w:sz w:val="22"/>
          <w:szCs w:val="22"/>
          <w:lang w:val="sr-Latn-ME"/>
        </w:rPr>
        <w:t>n</w:t>
      </w:r>
      <w:r w:rsidRPr="00FB6F73">
        <w:rPr>
          <w:bCs/>
          <w:sz w:val="22"/>
          <w:szCs w:val="22"/>
          <w:lang w:val="sr-Latn-ME"/>
        </w:rPr>
        <w:t xml:space="preserve">hibitori protonske pumpe, H2 antagonisti i antacidi, mogu </w:t>
      </w:r>
      <w:r w:rsidR="00FD4480" w:rsidRPr="00FB6F73">
        <w:rPr>
          <w:bCs/>
          <w:sz w:val="22"/>
          <w:szCs w:val="22"/>
          <w:lang w:val="sr-Latn-ME"/>
        </w:rPr>
        <w:t>promijeniti</w:t>
      </w:r>
      <w:r w:rsidRPr="00FB6F73">
        <w:rPr>
          <w:bCs/>
          <w:sz w:val="22"/>
          <w:szCs w:val="22"/>
          <w:lang w:val="sr-Latn-ME"/>
        </w:rPr>
        <w:t xml:space="preserve"> rastvorljivost erlotiniba, a time i njegovu biološku raspoloživost. Povećanje doze </w:t>
      </w:r>
      <w:r w:rsidR="00FD4480" w:rsidRPr="00FB6F73">
        <w:rPr>
          <w:bCs/>
          <w:sz w:val="22"/>
          <w:szCs w:val="22"/>
          <w:lang w:val="sr-Latn-ME"/>
        </w:rPr>
        <w:t>lijek</w:t>
      </w:r>
      <w:r w:rsidRPr="00FB6F73">
        <w:rPr>
          <w:bCs/>
          <w:sz w:val="22"/>
          <w:szCs w:val="22"/>
          <w:lang w:val="sr-Latn-ME"/>
        </w:rPr>
        <w:t xml:space="preserve">a Erlotinib Sandoz pri istovremenoj </w:t>
      </w:r>
      <w:r w:rsidR="00FD4480" w:rsidRPr="00FB6F73">
        <w:rPr>
          <w:bCs/>
          <w:sz w:val="22"/>
          <w:szCs w:val="22"/>
          <w:lang w:val="sr-Latn-ME"/>
        </w:rPr>
        <w:t>primjeni</w:t>
      </w:r>
      <w:r w:rsidRPr="00FB6F73">
        <w:rPr>
          <w:bCs/>
          <w:sz w:val="22"/>
          <w:szCs w:val="22"/>
          <w:lang w:val="sr-Latn-ME"/>
        </w:rPr>
        <w:t xml:space="preserve"> sa ovim </w:t>
      </w:r>
      <w:r w:rsidR="00FD4480" w:rsidRPr="00FB6F73">
        <w:rPr>
          <w:bCs/>
          <w:sz w:val="22"/>
          <w:szCs w:val="22"/>
          <w:lang w:val="sr-Latn-ME"/>
        </w:rPr>
        <w:t>ljekovi</w:t>
      </w:r>
      <w:r w:rsidRPr="00FB6F73">
        <w:rPr>
          <w:bCs/>
          <w:sz w:val="22"/>
          <w:szCs w:val="22"/>
          <w:lang w:val="sr-Latn-ME"/>
        </w:rPr>
        <w:t xml:space="preserve">ma, neće kompenzovati smanjenu izloženost erlotinibu. Kombinaciju erlotiniba i inhibitora protonske pumpe </w:t>
      </w:r>
      <w:r w:rsidRPr="00FB6F73">
        <w:rPr>
          <w:bCs/>
          <w:sz w:val="22"/>
          <w:szCs w:val="22"/>
          <w:lang w:val="sr-Latn-ME"/>
        </w:rPr>
        <w:lastRenderedPageBreak/>
        <w:t>treba izb</w:t>
      </w:r>
      <w:r w:rsidR="00FD4480" w:rsidRPr="00FB6F73">
        <w:rPr>
          <w:bCs/>
          <w:sz w:val="22"/>
          <w:szCs w:val="22"/>
          <w:lang w:val="sr-Latn-ME"/>
        </w:rPr>
        <w:t>j</w:t>
      </w:r>
      <w:r w:rsidRPr="00FB6F73">
        <w:rPr>
          <w:bCs/>
          <w:sz w:val="22"/>
          <w:szCs w:val="22"/>
          <w:lang w:val="sr-Latn-ME"/>
        </w:rPr>
        <w:t xml:space="preserve">egavati. Mada efekti istovremene </w:t>
      </w:r>
      <w:r w:rsidR="00FD4480" w:rsidRPr="00FB6F73">
        <w:rPr>
          <w:bCs/>
          <w:sz w:val="22"/>
          <w:szCs w:val="22"/>
          <w:lang w:val="sr-Latn-ME"/>
        </w:rPr>
        <w:t>primjene</w:t>
      </w:r>
      <w:r w:rsidRPr="00FB6F73">
        <w:rPr>
          <w:bCs/>
          <w:sz w:val="22"/>
          <w:szCs w:val="22"/>
          <w:lang w:val="sr-Latn-ME"/>
        </w:rPr>
        <w:t xml:space="preserve"> erlotiniba sa H2 antagonistima i antacidima nisu sasvim poznati, smanjenje biološke raspoloživosti je moguće. Stoga, ovakve kombinacije takođe treba izb</w:t>
      </w:r>
      <w:r w:rsidR="00ED4DF5" w:rsidRPr="00FB6F73">
        <w:rPr>
          <w:bCs/>
          <w:sz w:val="22"/>
          <w:szCs w:val="22"/>
          <w:lang w:val="sr-Latn-ME"/>
        </w:rPr>
        <w:t>j</w:t>
      </w:r>
      <w:r w:rsidRPr="00FB6F73">
        <w:rPr>
          <w:bCs/>
          <w:sz w:val="22"/>
          <w:szCs w:val="22"/>
          <w:lang w:val="sr-Latn-ME"/>
        </w:rPr>
        <w:t>egavati (</w:t>
      </w:r>
      <w:r w:rsidR="00FD4480" w:rsidRPr="00FB6F73">
        <w:rPr>
          <w:bCs/>
          <w:sz w:val="22"/>
          <w:szCs w:val="22"/>
          <w:lang w:val="sr-Latn-ME"/>
        </w:rPr>
        <w:t>vidjeti</w:t>
      </w:r>
      <w:r w:rsidRPr="00FB6F73">
        <w:rPr>
          <w:bCs/>
          <w:sz w:val="22"/>
          <w:szCs w:val="22"/>
          <w:lang w:val="sr-Latn-ME"/>
        </w:rPr>
        <w:t xml:space="preserve"> </w:t>
      </w:r>
      <w:r w:rsidR="00244348" w:rsidRPr="00FB6F73">
        <w:rPr>
          <w:bCs/>
          <w:sz w:val="22"/>
          <w:szCs w:val="22"/>
          <w:lang w:val="sr-Latn-ME"/>
        </w:rPr>
        <w:t xml:space="preserve">dio </w:t>
      </w:r>
      <w:r w:rsidRPr="00FB6F73">
        <w:rPr>
          <w:bCs/>
          <w:sz w:val="22"/>
          <w:szCs w:val="22"/>
          <w:lang w:val="sr-Latn-ME"/>
        </w:rPr>
        <w:t xml:space="preserve">4.5). Ukoliko je tokom terapije </w:t>
      </w:r>
      <w:r w:rsidR="00FD4480" w:rsidRPr="00FB6F73">
        <w:rPr>
          <w:bCs/>
          <w:sz w:val="22"/>
          <w:szCs w:val="22"/>
          <w:lang w:val="sr-Latn-ME"/>
        </w:rPr>
        <w:t>lijek</w:t>
      </w:r>
      <w:r w:rsidRPr="00FB6F73">
        <w:rPr>
          <w:bCs/>
          <w:sz w:val="22"/>
          <w:szCs w:val="22"/>
          <w:lang w:val="sr-Latn-ME"/>
        </w:rPr>
        <w:t xml:space="preserve">om Erlotinib Sandoz neophodna i </w:t>
      </w:r>
      <w:r w:rsidR="00FD4480" w:rsidRPr="00FB6F73">
        <w:rPr>
          <w:bCs/>
          <w:sz w:val="22"/>
          <w:szCs w:val="22"/>
          <w:lang w:val="sr-Latn-ME"/>
        </w:rPr>
        <w:t>primjena</w:t>
      </w:r>
      <w:r w:rsidRPr="00FB6F73">
        <w:rPr>
          <w:bCs/>
          <w:sz w:val="22"/>
          <w:szCs w:val="22"/>
          <w:lang w:val="sr-Latn-ME"/>
        </w:rPr>
        <w:t xml:space="preserve"> antacida, tada ih treba uzimati najmanje 4 sata pr</w:t>
      </w:r>
      <w:r w:rsidR="00ED4DF5" w:rsidRPr="00FB6F73">
        <w:rPr>
          <w:bCs/>
          <w:sz w:val="22"/>
          <w:szCs w:val="22"/>
          <w:lang w:val="sr-Latn-ME"/>
        </w:rPr>
        <w:t>ij</w:t>
      </w:r>
      <w:r w:rsidRPr="00FB6F73">
        <w:rPr>
          <w:bCs/>
          <w:sz w:val="22"/>
          <w:szCs w:val="22"/>
          <w:lang w:val="sr-Latn-ME"/>
        </w:rPr>
        <w:t xml:space="preserve">e ili 2 sata nakon </w:t>
      </w:r>
      <w:r w:rsidR="00FD4480" w:rsidRPr="00FB6F73">
        <w:rPr>
          <w:bCs/>
          <w:sz w:val="22"/>
          <w:szCs w:val="22"/>
          <w:lang w:val="sr-Latn-ME"/>
        </w:rPr>
        <w:t>primjene</w:t>
      </w:r>
      <w:r w:rsidRPr="00FB6F73">
        <w:rPr>
          <w:bCs/>
          <w:sz w:val="22"/>
          <w:szCs w:val="22"/>
          <w:lang w:val="sr-Latn-ME"/>
        </w:rPr>
        <w:t xml:space="preserve"> dnevne doze </w:t>
      </w:r>
      <w:r w:rsidR="00FD4480" w:rsidRPr="00FB6F73">
        <w:rPr>
          <w:bCs/>
          <w:sz w:val="22"/>
          <w:szCs w:val="22"/>
          <w:lang w:val="sr-Latn-ME"/>
        </w:rPr>
        <w:t>lijek</w:t>
      </w:r>
      <w:r w:rsidRPr="00FB6F73">
        <w:rPr>
          <w:bCs/>
          <w:sz w:val="22"/>
          <w:szCs w:val="22"/>
          <w:lang w:val="sr-Latn-ME"/>
        </w:rPr>
        <w:t>a Erlotinib Sandoz.</w:t>
      </w:r>
    </w:p>
    <w:p w14:paraId="6FAA6F61" w14:textId="77777777" w:rsidR="005505B4" w:rsidRPr="00FB6F73" w:rsidRDefault="005505B4" w:rsidP="00981FFD">
      <w:pPr>
        <w:tabs>
          <w:tab w:val="left" w:pos="540"/>
          <w:tab w:val="left" w:pos="569"/>
        </w:tabs>
        <w:jc w:val="both"/>
        <w:rPr>
          <w:bCs/>
          <w:sz w:val="22"/>
          <w:szCs w:val="22"/>
          <w:lang w:val="sr-Latn-ME"/>
        </w:rPr>
      </w:pPr>
    </w:p>
    <w:p w14:paraId="787FE0B5" w14:textId="0A308552" w:rsidR="005505B4" w:rsidRPr="00FB6F73" w:rsidRDefault="005505B4" w:rsidP="00981FFD">
      <w:pPr>
        <w:tabs>
          <w:tab w:val="left" w:pos="540"/>
          <w:tab w:val="left" w:pos="569"/>
        </w:tabs>
        <w:jc w:val="both"/>
        <w:rPr>
          <w:b/>
          <w:bCs/>
          <w:sz w:val="22"/>
          <w:szCs w:val="22"/>
          <w:lang w:val="sr-Latn-ME"/>
        </w:rPr>
      </w:pPr>
      <w:r w:rsidRPr="00FB6F73">
        <w:rPr>
          <w:b/>
          <w:bCs/>
          <w:sz w:val="22"/>
          <w:szCs w:val="22"/>
          <w:lang w:val="sr-Latn-ME"/>
        </w:rPr>
        <w:t xml:space="preserve">Tablete </w:t>
      </w:r>
      <w:r w:rsidR="00FD4480" w:rsidRPr="00FB6F73">
        <w:rPr>
          <w:b/>
          <w:bCs/>
          <w:sz w:val="22"/>
          <w:szCs w:val="22"/>
          <w:lang w:val="sr-Latn-ME"/>
        </w:rPr>
        <w:t>lijek</w:t>
      </w:r>
      <w:r w:rsidRPr="00FB6F73">
        <w:rPr>
          <w:b/>
          <w:bCs/>
          <w:sz w:val="22"/>
          <w:szCs w:val="22"/>
          <w:lang w:val="sr-Latn-ME"/>
        </w:rPr>
        <w:t>a Erlotinib Sandoz sadrže laktozu</w:t>
      </w:r>
      <w:r w:rsidR="00244348" w:rsidRPr="00FB6F73">
        <w:rPr>
          <w:b/>
          <w:bCs/>
          <w:sz w:val="22"/>
          <w:szCs w:val="22"/>
          <w:lang w:val="sr-Latn-ME"/>
        </w:rPr>
        <w:t>.</w:t>
      </w:r>
      <w:r w:rsidRPr="00FB6F73">
        <w:rPr>
          <w:b/>
          <w:bCs/>
          <w:sz w:val="22"/>
          <w:szCs w:val="22"/>
          <w:lang w:val="sr-Latn-ME"/>
        </w:rPr>
        <w:t xml:space="preserve"> </w:t>
      </w:r>
    </w:p>
    <w:p w14:paraId="5CDC855A" w14:textId="79685E90" w:rsidR="005505B4" w:rsidRPr="00FB6F73" w:rsidRDefault="005505B4" w:rsidP="00981FFD">
      <w:pPr>
        <w:tabs>
          <w:tab w:val="left" w:pos="540"/>
          <w:tab w:val="left" w:pos="569"/>
        </w:tabs>
        <w:jc w:val="both"/>
        <w:rPr>
          <w:bCs/>
          <w:sz w:val="22"/>
          <w:szCs w:val="22"/>
          <w:lang w:val="sr-Latn-ME"/>
        </w:rPr>
      </w:pPr>
      <w:r w:rsidRPr="00FB6F73">
        <w:rPr>
          <w:bCs/>
          <w:sz w:val="22"/>
          <w:szCs w:val="22"/>
          <w:lang w:val="sr-Latn-ME"/>
        </w:rPr>
        <w:t xml:space="preserve">Pacijenti sa </w:t>
      </w:r>
      <w:r w:rsidR="00FD4480" w:rsidRPr="00FB6F73">
        <w:rPr>
          <w:bCs/>
          <w:sz w:val="22"/>
          <w:szCs w:val="22"/>
          <w:lang w:val="sr-Latn-ME"/>
        </w:rPr>
        <w:t>rijetki</w:t>
      </w:r>
      <w:r w:rsidRPr="00FB6F73">
        <w:rPr>
          <w:bCs/>
          <w:sz w:val="22"/>
          <w:szCs w:val="22"/>
          <w:lang w:val="sr-Latn-ME"/>
        </w:rPr>
        <w:t>m nasl</w:t>
      </w:r>
      <w:r w:rsidR="00244348" w:rsidRPr="00FB6F73">
        <w:rPr>
          <w:bCs/>
          <w:sz w:val="22"/>
          <w:szCs w:val="22"/>
          <w:lang w:val="sr-Latn-ME"/>
        </w:rPr>
        <w:t>j</w:t>
      </w:r>
      <w:r w:rsidRPr="00FB6F73">
        <w:rPr>
          <w:bCs/>
          <w:sz w:val="22"/>
          <w:szCs w:val="22"/>
          <w:lang w:val="sr-Latn-ME"/>
        </w:rPr>
        <w:t xml:space="preserve">ednim oboljenjem intolerancije na galaktozu, nedostatkom Lapp laktaze ili glukozno-galaktoznom malapsorpcijom ne </w:t>
      </w:r>
      <w:r w:rsidR="00244348" w:rsidRPr="00FB6F73">
        <w:rPr>
          <w:bCs/>
          <w:sz w:val="22"/>
          <w:szCs w:val="22"/>
          <w:lang w:val="sr-Latn-ME"/>
        </w:rPr>
        <w:t xml:space="preserve">smiju </w:t>
      </w:r>
      <w:r w:rsidRPr="00FB6F73">
        <w:rPr>
          <w:bCs/>
          <w:sz w:val="22"/>
          <w:szCs w:val="22"/>
          <w:lang w:val="sr-Latn-ME"/>
        </w:rPr>
        <w:t xml:space="preserve">uzimati ovaj </w:t>
      </w:r>
      <w:r w:rsidR="00FD4480" w:rsidRPr="00FB6F73">
        <w:rPr>
          <w:bCs/>
          <w:sz w:val="22"/>
          <w:szCs w:val="22"/>
          <w:lang w:val="sr-Latn-ME"/>
        </w:rPr>
        <w:t>lijek</w:t>
      </w:r>
      <w:r w:rsidRPr="00FB6F73">
        <w:rPr>
          <w:bCs/>
          <w:sz w:val="22"/>
          <w:szCs w:val="22"/>
          <w:lang w:val="sr-Latn-ME"/>
        </w:rPr>
        <w:t>.</w:t>
      </w:r>
    </w:p>
    <w:p w14:paraId="75C29F96" w14:textId="6BDDA702" w:rsidR="00353F63" w:rsidRPr="00FB6F73" w:rsidRDefault="00353F63" w:rsidP="00981FFD">
      <w:pPr>
        <w:tabs>
          <w:tab w:val="left" w:pos="540"/>
          <w:tab w:val="left" w:pos="569"/>
        </w:tabs>
        <w:jc w:val="both"/>
        <w:rPr>
          <w:bCs/>
          <w:sz w:val="22"/>
          <w:szCs w:val="22"/>
          <w:lang w:val="sr-Latn-ME"/>
        </w:rPr>
      </w:pPr>
      <w:r w:rsidRPr="00FB6F73">
        <w:rPr>
          <w:bCs/>
          <w:sz w:val="22"/>
          <w:szCs w:val="22"/>
          <w:lang w:val="sr-Latn-ME"/>
        </w:rPr>
        <w:t>Ovaj lijek sadrži manje od 1</w:t>
      </w:r>
      <w:r w:rsidR="00244348" w:rsidRPr="00FB6F73">
        <w:rPr>
          <w:bCs/>
          <w:sz w:val="22"/>
          <w:szCs w:val="22"/>
          <w:lang w:val="sr-Latn-ME"/>
        </w:rPr>
        <w:t xml:space="preserve"> </w:t>
      </w:r>
      <w:r w:rsidRPr="00FB6F73">
        <w:rPr>
          <w:bCs/>
          <w:sz w:val="22"/>
          <w:szCs w:val="22"/>
          <w:lang w:val="sr-Latn-ME"/>
        </w:rPr>
        <w:t xml:space="preserve">mmol </w:t>
      </w:r>
      <w:r w:rsidR="00AE45DF" w:rsidRPr="00FB6F73">
        <w:rPr>
          <w:bCs/>
          <w:sz w:val="22"/>
          <w:szCs w:val="22"/>
          <w:lang w:val="sr-Latn-ME"/>
        </w:rPr>
        <w:t xml:space="preserve">(23 mg) </w:t>
      </w:r>
      <w:r w:rsidRPr="00FB6F73">
        <w:rPr>
          <w:bCs/>
          <w:sz w:val="22"/>
          <w:szCs w:val="22"/>
          <w:lang w:val="sr-Latn-ME"/>
        </w:rPr>
        <w:t>natrijuma po tableti, tj. zanemarive količine natrij</w:t>
      </w:r>
      <w:r w:rsidR="007A659B" w:rsidRPr="00FB6F73">
        <w:rPr>
          <w:bCs/>
          <w:sz w:val="22"/>
          <w:szCs w:val="22"/>
          <w:lang w:val="sr-Latn-ME"/>
        </w:rPr>
        <w:t>uma</w:t>
      </w:r>
      <w:r w:rsidRPr="00FB6F73">
        <w:rPr>
          <w:bCs/>
          <w:sz w:val="22"/>
          <w:szCs w:val="22"/>
          <w:lang w:val="sr-Latn-ME"/>
        </w:rPr>
        <w:t>.</w:t>
      </w:r>
    </w:p>
    <w:p w14:paraId="6BE6161B" w14:textId="77777777" w:rsidR="005505B4" w:rsidRPr="00FB6F73" w:rsidRDefault="005505B4" w:rsidP="00981FFD">
      <w:pPr>
        <w:tabs>
          <w:tab w:val="left" w:pos="540"/>
          <w:tab w:val="left" w:pos="569"/>
        </w:tabs>
        <w:jc w:val="both"/>
        <w:rPr>
          <w:bCs/>
          <w:sz w:val="22"/>
          <w:szCs w:val="22"/>
          <w:lang w:val="sr-Latn-ME"/>
        </w:rPr>
      </w:pPr>
    </w:p>
    <w:p w14:paraId="38704CD0" w14:textId="77777777" w:rsidR="00411B4B" w:rsidRPr="00FB6F73" w:rsidRDefault="00411B4B" w:rsidP="00981FFD">
      <w:pPr>
        <w:tabs>
          <w:tab w:val="left" w:pos="540"/>
          <w:tab w:val="left" w:pos="569"/>
        </w:tabs>
        <w:jc w:val="both"/>
        <w:rPr>
          <w:b/>
          <w:bCs/>
          <w:sz w:val="22"/>
          <w:szCs w:val="22"/>
          <w:lang w:val="sr-Latn-ME"/>
        </w:rPr>
      </w:pPr>
      <w:r w:rsidRPr="00FB6F73">
        <w:rPr>
          <w:b/>
          <w:bCs/>
          <w:sz w:val="22"/>
          <w:szCs w:val="22"/>
          <w:lang w:val="sr-Latn-ME"/>
        </w:rPr>
        <w:t>4.5.</w:t>
      </w:r>
      <w:r w:rsidR="000D60CC" w:rsidRPr="00FB6F73">
        <w:rPr>
          <w:b/>
          <w:bCs/>
          <w:sz w:val="22"/>
          <w:szCs w:val="22"/>
          <w:lang w:val="sr-Latn-ME"/>
        </w:rPr>
        <w:tab/>
      </w:r>
      <w:r w:rsidRPr="00FB6F73">
        <w:rPr>
          <w:b/>
          <w:bCs/>
          <w:sz w:val="22"/>
          <w:szCs w:val="22"/>
          <w:lang w:val="sr-Latn-ME"/>
        </w:rPr>
        <w:t>Interakcije sa drugim ljekovima i druge vrste interakcija</w:t>
      </w:r>
    </w:p>
    <w:p w14:paraId="473F90EB" w14:textId="54687E98" w:rsidR="0072020E" w:rsidRPr="00FB6F73" w:rsidRDefault="0072020E" w:rsidP="00981FFD">
      <w:pPr>
        <w:tabs>
          <w:tab w:val="left" w:pos="540"/>
          <w:tab w:val="left" w:pos="569"/>
        </w:tabs>
        <w:jc w:val="both"/>
        <w:rPr>
          <w:bCs/>
          <w:sz w:val="22"/>
          <w:szCs w:val="22"/>
          <w:lang w:val="sr-Latn-ME"/>
        </w:rPr>
      </w:pPr>
    </w:p>
    <w:p w14:paraId="211F42C2" w14:textId="18BE65C6" w:rsidR="008E245E" w:rsidRPr="00FB6F73" w:rsidRDefault="008E245E" w:rsidP="00981FFD">
      <w:pPr>
        <w:tabs>
          <w:tab w:val="left" w:pos="540"/>
          <w:tab w:val="left" w:pos="569"/>
        </w:tabs>
        <w:jc w:val="both"/>
        <w:rPr>
          <w:bCs/>
          <w:sz w:val="22"/>
          <w:szCs w:val="22"/>
          <w:lang w:val="sr-Latn-ME"/>
        </w:rPr>
      </w:pPr>
      <w:r w:rsidRPr="00FB6F73">
        <w:rPr>
          <w:bCs/>
          <w:sz w:val="22"/>
          <w:szCs w:val="22"/>
          <w:lang w:val="sr-Latn-ME"/>
        </w:rPr>
        <w:t xml:space="preserve">Ispitivanja interakcija sprovedena su samo </w:t>
      </w:r>
      <w:r w:rsidR="000178BA" w:rsidRPr="00FB6F73">
        <w:rPr>
          <w:bCs/>
          <w:sz w:val="22"/>
          <w:szCs w:val="22"/>
          <w:lang w:val="sr-Latn-ME"/>
        </w:rPr>
        <w:t>kod odraslih</w:t>
      </w:r>
      <w:r w:rsidRPr="00FB6F73">
        <w:rPr>
          <w:bCs/>
          <w:sz w:val="22"/>
          <w:szCs w:val="22"/>
          <w:lang w:val="sr-Latn-ME"/>
        </w:rPr>
        <w:t>.</w:t>
      </w:r>
    </w:p>
    <w:p w14:paraId="4750CC2A" w14:textId="77777777" w:rsidR="008E245E" w:rsidRPr="00FB6F73" w:rsidRDefault="008E245E" w:rsidP="00981FFD">
      <w:pPr>
        <w:tabs>
          <w:tab w:val="left" w:pos="540"/>
          <w:tab w:val="left" w:pos="569"/>
        </w:tabs>
        <w:jc w:val="both"/>
        <w:rPr>
          <w:bCs/>
          <w:sz w:val="22"/>
          <w:szCs w:val="22"/>
          <w:lang w:val="sr-Latn-ME"/>
        </w:rPr>
      </w:pPr>
    </w:p>
    <w:p w14:paraId="01B5503D" w14:textId="77777777" w:rsidR="008E245E" w:rsidRPr="00FB6F73" w:rsidRDefault="008E245E" w:rsidP="00981FFD">
      <w:pPr>
        <w:tabs>
          <w:tab w:val="left" w:pos="540"/>
          <w:tab w:val="left" w:pos="569"/>
        </w:tabs>
        <w:jc w:val="both"/>
        <w:rPr>
          <w:bCs/>
          <w:sz w:val="22"/>
          <w:szCs w:val="22"/>
          <w:u w:val="single"/>
          <w:lang w:val="sr-Latn-ME"/>
        </w:rPr>
      </w:pPr>
      <w:r w:rsidRPr="00FB6F73">
        <w:rPr>
          <w:bCs/>
          <w:sz w:val="22"/>
          <w:szCs w:val="22"/>
          <w:u w:val="single"/>
          <w:lang w:val="sr-Latn-ME"/>
        </w:rPr>
        <w:t xml:space="preserve">Erlotinib i drugi CYP supstrati </w:t>
      </w:r>
    </w:p>
    <w:p w14:paraId="23D3D3A2" w14:textId="5B530E3B" w:rsidR="008E245E" w:rsidRPr="00FB6F73" w:rsidRDefault="008E245E" w:rsidP="00981FFD">
      <w:pPr>
        <w:tabs>
          <w:tab w:val="left" w:pos="540"/>
          <w:tab w:val="left" w:pos="569"/>
        </w:tabs>
        <w:jc w:val="both"/>
        <w:rPr>
          <w:bCs/>
          <w:sz w:val="22"/>
          <w:szCs w:val="22"/>
          <w:lang w:val="sr-Latn-ME"/>
        </w:rPr>
      </w:pPr>
      <w:r w:rsidRPr="00FB6F73">
        <w:rPr>
          <w:bCs/>
          <w:sz w:val="22"/>
          <w:szCs w:val="22"/>
          <w:lang w:val="sr-Latn-ME"/>
        </w:rPr>
        <w:t xml:space="preserve">Erlotinib je snažan inhibitor CYP1A1 i </w:t>
      </w:r>
      <w:r w:rsidR="00C13202" w:rsidRPr="00FB6F73">
        <w:rPr>
          <w:bCs/>
          <w:sz w:val="22"/>
          <w:szCs w:val="22"/>
          <w:lang w:val="sr-Latn-ME"/>
        </w:rPr>
        <w:t>umjeren</w:t>
      </w:r>
      <w:r w:rsidRPr="00FB6F73">
        <w:rPr>
          <w:bCs/>
          <w:sz w:val="22"/>
          <w:szCs w:val="22"/>
          <w:lang w:val="sr-Latn-ME"/>
        </w:rPr>
        <w:t xml:space="preserve">i inhibitor CYP3A4 i CYP2C8, kao i snažan inhibitor </w:t>
      </w:r>
      <w:r w:rsidR="00F12375" w:rsidRPr="00FB6F73">
        <w:rPr>
          <w:bCs/>
          <w:sz w:val="22"/>
          <w:szCs w:val="22"/>
          <w:lang w:val="sr-Latn-ME"/>
        </w:rPr>
        <w:t xml:space="preserve">glukuronidacije </w:t>
      </w:r>
      <w:r w:rsidRPr="00FB6F73">
        <w:rPr>
          <w:bCs/>
          <w:sz w:val="22"/>
          <w:szCs w:val="22"/>
          <w:lang w:val="sr-Latn-ME"/>
        </w:rPr>
        <w:t xml:space="preserve">UGT1A1 </w:t>
      </w:r>
      <w:r w:rsidRPr="00FB6F73">
        <w:rPr>
          <w:bCs/>
          <w:i/>
          <w:sz w:val="22"/>
          <w:szCs w:val="22"/>
          <w:lang w:val="sr-Latn-ME"/>
        </w:rPr>
        <w:t>in vitro</w:t>
      </w:r>
      <w:r w:rsidRPr="00FB6F73">
        <w:rPr>
          <w:bCs/>
          <w:sz w:val="22"/>
          <w:szCs w:val="22"/>
          <w:lang w:val="sr-Latn-ME"/>
        </w:rPr>
        <w:t xml:space="preserve">. </w:t>
      </w:r>
    </w:p>
    <w:p w14:paraId="106AAC6C" w14:textId="38A73600" w:rsidR="008E245E" w:rsidRPr="00FB6F73" w:rsidRDefault="008E245E" w:rsidP="00981FFD">
      <w:pPr>
        <w:tabs>
          <w:tab w:val="left" w:pos="540"/>
          <w:tab w:val="left" w:pos="569"/>
        </w:tabs>
        <w:jc w:val="both"/>
        <w:rPr>
          <w:bCs/>
          <w:sz w:val="22"/>
          <w:szCs w:val="22"/>
          <w:lang w:val="sr-Latn-ME"/>
        </w:rPr>
      </w:pPr>
      <w:r w:rsidRPr="00FB6F73">
        <w:rPr>
          <w:bCs/>
          <w:sz w:val="22"/>
          <w:szCs w:val="22"/>
          <w:lang w:val="sr-Latn-ME"/>
        </w:rPr>
        <w:t>Fiziološka važnost snažne inhibicije CYP1A1 nije poznata</w:t>
      </w:r>
      <w:r w:rsidR="00F12375" w:rsidRPr="00FB6F73">
        <w:rPr>
          <w:bCs/>
          <w:sz w:val="22"/>
          <w:szCs w:val="22"/>
          <w:lang w:val="sr-Latn-ME"/>
        </w:rPr>
        <w:t>,</w:t>
      </w:r>
      <w:r w:rsidRPr="00FB6F73">
        <w:rPr>
          <w:bCs/>
          <w:sz w:val="22"/>
          <w:szCs w:val="22"/>
          <w:lang w:val="sr-Latn-ME"/>
        </w:rPr>
        <w:t xml:space="preserve"> zbog veoma ograničene ekspresije CYP1A1 u tkivima </w:t>
      </w:r>
      <w:r w:rsidR="00ED4DF5" w:rsidRPr="00FB6F73">
        <w:rPr>
          <w:bCs/>
          <w:sz w:val="22"/>
          <w:szCs w:val="22"/>
          <w:lang w:val="sr-Latn-ME"/>
        </w:rPr>
        <w:t>čovjek</w:t>
      </w:r>
      <w:r w:rsidRPr="00FB6F73">
        <w:rPr>
          <w:bCs/>
          <w:sz w:val="22"/>
          <w:szCs w:val="22"/>
          <w:lang w:val="sr-Latn-ME"/>
        </w:rPr>
        <w:t>a.</w:t>
      </w:r>
    </w:p>
    <w:p w14:paraId="6765690C" w14:textId="77777777" w:rsidR="008E245E" w:rsidRPr="00FB6F73" w:rsidRDefault="008E245E" w:rsidP="00981FFD">
      <w:pPr>
        <w:tabs>
          <w:tab w:val="left" w:pos="540"/>
          <w:tab w:val="left" w:pos="569"/>
        </w:tabs>
        <w:jc w:val="both"/>
        <w:rPr>
          <w:bCs/>
          <w:sz w:val="22"/>
          <w:szCs w:val="22"/>
          <w:lang w:val="sr-Latn-ME"/>
        </w:rPr>
      </w:pPr>
    </w:p>
    <w:p w14:paraId="387BEBF1" w14:textId="1C55DB35" w:rsidR="008E245E" w:rsidRPr="00FB6F73" w:rsidRDefault="008E245E" w:rsidP="00981FFD">
      <w:pPr>
        <w:tabs>
          <w:tab w:val="left" w:pos="540"/>
          <w:tab w:val="left" w:pos="569"/>
        </w:tabs>
        <w:jc w:val="both"/>
        <w:rPr>
          <w:bCs/>
          <w:sz w:val="22"/>
          <w:szCs w:val="22"/>
          <w:lang w:val="sr-Latn-ME"/>
        </w:rPr>
      </w:pPr>
      <w:r w:rsidRPr="00FB6F73">
        <w:rPr>
          <w:bCs/>
          <w:sz w:val="22"/>
          <w:szCs w:val="22"/>
          <w:lang w:val="sr-Latn-ME"/>
        </w:rPr>
        <w:t xml:space="preserve">Kada se erlotinib </w:t>
      </w:r>
      <w:r w:rsidR="00C13202" w:rsidRPr="00FB6F73">
        <w:rPr>
          <w:bCs/>
          <w:sz w:val="22"/>
          <w:szCs w:val="22"/>
          <w:lang w:val="sr-Latn-ME"/>
        </w:rPr>
        <w:t>primjen</w:t>
      </w:r>
      <w:r w:rsidRPr="00FB6F73">
        <w:rPr>
          <w:bCs/>
          <w:sz w:val="22"/>
          <w:szCs w:val="22"/>
          <w:lang w:val="sr-Latn-ME"/>
        </w:rPr>
        <w:t xml:space="preserve">juje istovremeno sa ciprofloksacinom, </w:t>
      </w:r>
      <w:r w:rsidR="00FD4480" w:rsidRPr="00FB6F73">
        <w:rPr>
          <w:bCs/>
          <w:sz w:val="22"/>
          <w:szCs w:val="22"/>
          <w:lang w:val="sr-Latn-ME"/>
        </w:rPr>
        <w:t>umjerenim</w:t>
      </w:r>
      <w:r w:rsidRPr="00FB6F73">
        <w:rPr>
          <w:bCs/>
          <w:sz w:val="22"/>
          <w:szCs w:val="22"/>
          <w:lang w:val="sr-Latn-ME"/>
        </w:rPr>
        <w:t xml:space="preserve"> CYP1A2 inhibitorom, izloženost erlotinibu [PIK] značajno se poveća za 39%, dok nije uočena statistički značajna prom</w:t>
      </w:r>
      <w:r w:rsidR="00ED4DF5" w:rsidRPr="00FB6F73">
        <w:rPr>
          <w:bCs/>
          <w:sz w:val="22"/>
          <w:szCs w:val="22"/>
          <w:lang w:val="sr-Latn-ME"/>
        </w:rPr>
        <w:t>j</w:t>
      </w:r>
      <w:r w:rsidRPr="00FB6F73">
        <w:rPr>
          <w:bCs/>
          <w:sz w:val="22"/>
          <w:szCs w:val="22"/>
          <w:lang w:val="sr-Latn-ME"/>
        </w:rPr>
        <w:t>ena C</w:t>
      </w:r>
      <w:r w:rsidRPr="00FB6F73">
        <w:rPr>
          <w:bCs/>
          <w:sz w:val="22"/>
          <w:szCs w:val="22"/>
          <w:vertAlign w:val="subscript"/>
          <w:lang w:val="sr-Latn-ME"/>
        </w:rPr>
        <w:t>max</w:t>
      </w:r>
      <w:r w:rsidRPr="00FB6F73">
        <w:rPr>
          <w:bCs/>
          <w:sz w:val="22"/>
          <w:szCs w:val="22"/>
          <w:lang w:val="sr-Latn-ME"/>
        </w:rPr>
        <w:t>. Slično, izloženost aktivnim metabolitima se povećala za oko 60% i 48% za PIK, odnosno C</w:t>
      </w:r>
      <w:r w:rsidRPr="00FB6F73">
        <w:rPr>
          <w:bCs/>
          <w:sz w:val="22"/>
          <w:szCs w:val="22"/>
          <w:vertAlign w:val="subscript"/>
          <w:lang w:val="sr-Latn-ME"/>
        </w:rPr>
        <w:t>max</w:t>
      </w:r>
      <w:r w:rsidRPr="00FB6F73">
        <w:rPr>
          <w:bCs/>
          <w:sz w:val="22"/>
          <w:szCs w:val="22"/>
          <w:lang w:val="sr-Latn-ME"/>
        </w:rPr>
        <w:t xml:space="preserve">. Nije utvrđen klinički značaj ovih povećanja. Potreban je oprez kada se ciprofloksacin ili snažni CYP1A2 inibitori (npr. fluvoksamin) </w:t>
      </w:r>
      <w:r w:rsidR="00C13202" w:rsidRPr="00FB6F73">
        <w:rPr>
          <w:bCs/>
          <w:sz w:val="22"/>
          <w:szCs w:val="22"/>
          <w:lang w:val="sr-Latn-ME"/>
        </w:rPr>
        <w:t>primjen</w:t>
      </w:r>
      <w:r w:rsidRPr="00FB6F73">
        <w:rPr>
          <w:bCs/>
          <w:sz w:val="22"/>
          <w:szCs w:val="22"/>
          <w:lang w:val="sr-Latn-ME"/>
        </w:rPr>
        <w:t>juju u kombinaciji sa erlotinibom. Ukoliko se prim</w:t>
      </w:r>
      <w:r w:rsidR="00C13202" w:rsidRPr="00FB6F73">
        <w:rPr>
          <w:bCs/>
          <w:sz w:val="22"/>
          <w:szCs w:val="22"/>
          <w:lang w:val="sr-Latn-ME"/>
        </w:rPr>
        <w:t>ij</w:t>
      </w:r>
      <w:r w:rsidRPr="00FB6F73">
        <w:rPr>
          <w:bCs/>
          <w:sz w:val="22"/>
          <w:szCs w:val="22"/>
          <w:lang w:val="sr-Latn-ME"/>
        </w:rPr>
        <w:t>ete neželjene reakcije povezane sa erlotinibom, doza erlotiniba se može smanjiti.</w:t>
      </w:r>
    </w:p>
    <w:p w14:paraId="05175CB0" w14:textId="77777777" w:rsidR="008E245E" w:rsidRPr="00FB6F73" w:rsidRDefault="008E245E" w:rsidP="00981FFD">
      <w:pPr>
        <w:tabs>
          <w:tab w:val="left" w:pos="540"/>
          <w:tab w:val="left" w:pos="569"/>
        </w:tabs>
        <w:jc w:val="both"/>
        <w:rPr>
          <w:bCs/>
          <w:sz w:val="22"/>
          <w:szCs w:val="22"/>
          <w:lang w:val="sr-Latn-ME"/>
        </w:rPr>
      </w:pPr>
    </w:p>
    <w:p w14:paraId="6C4B8122" w14:textId="467DD5FD" w:rsidR="008E245E" w:rsidRPr="00FB6F73" w:rsidRDefault="008E245E" w:rsidP="00981FFD">
      <w:pPr>
        <w:tabs>
          <w:tab w:val="left" w:pos="540"/>
          <w:tab w:val="left" w:pos="569"/>
        </w:tabs>
        <w:jc w:val="both"/>
        <w:rPr>
          <w:bCs/>
          <w:sz w:val="22"/>
          <w:szCs w:val="22"/>
          <w:lang w:val="sr-Latn-ME"/>
        </w:rPr>
      </w:pPr>
      <w:r w:rsidRPr="00FB6F73">
        <w:rPr>
          <w:bCs/>
          <w:sz w:val="22"/>
          <w:szCs w:val="22"/>
          <w:lang w:val="sr-Latn-ME"/>
        </w:rPr>
        <w:t xml:space="preserve">Prethodna ili istovremena </w:t>
      </w:r>
      <w:r w:rsidR="00FD4480" w:rsidRPr="00FB6F73">
        <w:rPr>
          <w:bCs/>
          <w:sz w:val="22"/>
          <w:szCs w:val="22"/>
          <w:lang w:val="sr-Latn-ME"/>
        </w:rPr>
        <w:t>primjena</w:t>
      </w:r>
      <w:r w:rsidRPr="00FB6F73">
        <w:rPr>
          <w:bCs/>
          <w:sz w:val="22"/>
          <w:szCs w:val="22"/>
          <w:lang w:val="sr-Latn-ME"/>
        </w:rPr>
        <w:t xml:space="preserve"> </w:t>
      </w:r>
      <w:r w:rsidR="00FD4480" w:rsidRPr="00FB6F73">
        <w:rPr>
          <w:bCs/>
          <w:sz w:val="22"/>
          <w:szCs w:val="22"/>
          <w:lang w:val="sr-Latn-ME"/>
        </w:rPr>
        <w:t>lijek</w:t>
      </w:r>
      <w:r w:rsidRPr="00FB6F73">
        <w:rPr>
          <w:bCs/>
          <w:sz w:val="22"/>
          <w:szCs w:val="22"/>
          <w:lang w:val="sr-Latn-ME"/>
        </w:rPr>
        <w:t>a Erlotinib Sandoz nije m</w:t>
      </w:r>
      <w:r w:rsidR="00C43BDC" w:rsidRPr="00FB6F73">
        <w:rPr>
          <w:bCs/>
          <w:sz w:val="22"/>
          <w:szCs w:val="22"/>
          <w:lang w:val="sr-Latn-ME"/>
        </w:rPr>
        <w:t>ij</w:t>
      </w:r>
      <w:r w:rsidRPr="00FB6F73">
        <w:rPr>
          <w:bCs/>
          <w:sz w:val="22"/>
          <w:szCs w:val="22"/>
          <w:lang w:val="sr-Latn-ME"/>
        </w:rPr>
        <w:t>enjala klirens prototipnih supstrata CYP3A4, midazolama i eritromicina, ali se dešavalo da snižava oralnu biorasploživost midazolama do 24%. U drugoj kliničkoj studiji, erlotinib nije pokazao uticaj na farmakokinetiku istovremeno prim</w:t>
      </w:r>
      <w:r w:rsidR="00ED4DF5" w:rsidRPr="00FB6F73">
        <w:rPr>
          <w:bCs/>
          <w:sz w:val="22"/>
          <w:szCs w:val="22"/>
          <w:lang w:val="sr-Latn-ME"/>
        </w:rPr>
        <w:t>ij</w:t>
      </w:r>
      <w:r w:rsidRPr="00FB6F73">
        <w:rPr>
          <w:bCs/>
          <w:sz w:val="22"/>
          <w:szCs w:val="22"/>
          <w:lang w:val="sr-Latn-ME"/>
        </w:rPr>
        <w:t>enjenog supstrata CYP3A4/2C8 paklitaksela. Stoga nije v</w:t>
      </w:r>
      <w:r w:rsidR="00ED4DF5" w:rsidRPr="00FB6F73">
        <w:rPr>
          <w:bCs/>
          <w:sz w:val="22"/>
          <w:szCs w:val="22"/>
          <w:lang w:val="sr-Latn-ME"/>
        </w:rPr>
        <w:t>j</w:t>
      </w:r>
      <w:r w:rsidRPr="00FB6F73">
        <w:rPr>
          <w:bCs/>
          <w:sz w:val="22"/>
          <w:szCs w:val="22"/>
          <w:lang w:val="sr-Latn-ME"/>
        </w:rPr>
        <w:t>erovatan značajan uticaj na klirens drugih CYP3A4 supstrata.</w:t>
      </w:r>
    </w:p>
    <w:p w14:paraId="27A5F435" w14:textId="77777777" w:rsidR="008E245E" w:rsidRPr="00FB6F73" w:rsidRDefault="008E245E" w:rsidP="00981FFD">
      <w:pPr>
        <w:tabs>
          <w:tab w:val="left" w:pos="540"/>
          <w:tab w:val="left" w:pos="569"/>
        </w:tabs>
        <w:jc w:val="both"/>
        <w:rPr>
          <w:bCs/>
          <w:sz w:val="22"/>
          <w:szCs w:val="22"/>
          <w:lang w:val="sr-Latn-ME"/>
        </w:rPr>
      </w:pPr>
    </w:p>
    <w:p w14:paraId="24965CAA" w14:textId="09B0B7C1" w:rsidR="008E245E" w:rsidRPr="00FB6F73" w:rsidRDefault="008E245E" w:rsidP="00981FFD">
      <w:pPr>
        <w:tabs>
          <w:tab w:val="left" w:pos="540"/>
          <w:tab w:val="left" w:pos="569"/>
        </w:tabs>
        <w:jc w:val="both"/>
        <w:rPr>
          <w:bCs/>
          <w:sz w:val="22"/>
          <w:szCs w:val="22"/>
          <w:lang w:val="sr-Latn-ME"/>
        </w:rPr>
      </w:pPr>
      <w:r w:rsidRPr="00FB6F73">
        <w:rPr>
          <w:bCs/>
          <w:sz w:val="22"/>
          <w:szCs w:val="22"/>
          <w:lang w:val="sr-Latn-ME"/>
        </w:rPr>
        <w:t xml:space="preserve">Inhibicija </w:t>
      </w:r>
      <w:r w:rsidR="00F12375" w:rsidRPr="00FB6F73">
        <w:rPr>
          <w:bCs/>
          <w:sz w:val="22"/>
          <w:szCs w:val="22"/>
          <w:lang w:val="sr-Latn-ME"/>
        </w:rPr>
        <w:t xml:space="preserve">glukuronidacije </w:t>
      </w:r>
      <w:r w:rsidRPr="00FB6F73">
        <w:rPr>
          <w:bCs/>
          <w:sz w:val="22"/>
          <w:szCs w:val="22"/>
          <w:lang w:val="sr-Latn-ME"/>
        </w:rPr>
        <w:t xml:space="preserve">može da izazove interakcije sa </w:t>
      </w:r>
      <w:r w:rsidR="00FD4480" w:rsidRPr="00FB6F73">
        <w:rPr>
          <w:bCs/>
          <w:sz w:val="22"/>
          <w:szCs w:val="22"/>
          <w:lang w:val="sr-Latn-ME"/>
        </w:rPr>
        <w:t>ljekovi</w:t>
      </w:r>
      <w:r w:rsidRPr="00FB6F73">
        <w:rPr>
          <w:bCs/>
          <w:sz w:val="22"/>
          <w:szCs w:val="22"/>
          <w:lang w:val="sr-Latn-ME"/>
        </w:rPr>
        <w:t xml:space="preserve">ma koji su supstrati UGT1A1 i njihova eliminacija se odvija isključivo ovim putem. Kod pacijenta sa niskim nivoom ekspresije UGT1A1 ili genetskim poremećajima </w:t>
      </w:r>
      <w:r w:rsidR="00F12375" w:rsidRPr="00FB6F73">
        <w:rPr>
          <w:bCs/>
          <w:sz w:val="22"/>
          <w:szCs w:val="22"/>
          <w:lang w:val="sr-Latn-ME"/>
        </w:rPr>
        <w:t xml:space="preserve">glukuronidacije </w:t>
      </w:r>
      <w:r w:rsidRPr="00FB6F73">
        <w:rPr>
          <w:bCs/>
          <w:sz w:val="22"/>
          <w:szCs w:val="22"/>
          <w:lang w:val="sr-Latn-ME"/>
        </w:rPr>
        <w:t xml:space="preserve">(npr. </w:t>
      </w:r>
      <w:r w:rsidRPr="00FB6F73">
        <w:rPr>
          <w:bCs/>
          <w:i/>
          <w:sz w:val="22"/>
          <w:szCs w:val="22"/>
          <w:lang w:val="sr-Latn-ME"/>
        </w:rPr>
        <w:t>Gilbert</w:t>
      </w:r>
      <w:r w:rsidR="00F12375" w:rsidRPr="00FB6F73">
        <w:rPr>
          <w:bCs/>
          <w:sz w:val="22"/>
          <w:szCs w:val="22"/>
          <w:lang w:val="sr-Latn-ME"/>
        </w:rPr>
        <w:t>-</w:t>
      </w:r>
      <w:r w:rsidRPr="00FB6F73">
        <w:rPr>
          <w:bCs/>
          <w:sz w:val="22"/>
          <w:szCs w:val="22"/>
          <w:lang w:val="sr-Latn-ME"/>
        </w:rPr>
        <w:t xml:space="preserve">ova bolest) može doći do povišene koncentracije bilirubina u serumu, pa je potreban oprez pri </w:t>
      </w:r>
      <w:r w:rsidR="00FD4480" w:rsidRPr="00FB6F73">
        <w:rPr>
          <w:bCs/>
          <w:sz w:val="22"/>
          <w:szCs w:val="22"/>
          <w:lang w:val="sr-Latn-ME"/>
        </w:rPr>
        <w:t>liječenju</w:t>
      </w:r>
      <w:r w:rsidRPr="00FB6F73">
        <w:rPr>
          <w:bCs/>
          <w:sz w:val="22"/>
          <w:szCs w:val="22"/>
          <w:lang w:val="sr-Latn-ME"/>
        </w:rPr>
        <w:t>.</w:t>
      </w:r>
    </w:p>
    <w:p w14:paraId="376D9D35" w14:textId="77777777" w:rsidR="008E245E" w:rsidRPr="00FB6F73" w:rsidRDefault="008E245E" w:rsidP="00981FFD">
      <w:pPr>
        <w:tabs>
          <w:tab w:val="left" w:pos="540"/>
          <w:tab w:val="left" w:pos="569"/>
        </w:tabs>
        <w:jc w:val="both"/>
        <w:rPr>
          <w:bCs/>
          <w:sz w:val="22"/>
          <w:szCs w:val="22"/>
          <w:lang w:val="sr-Latn-ME"/>
        </w:rPr>
      </w:pPr>
    </w:p>
    <w:p w14:paraId="0334BD9E" w14:textId="1C713FFF" w:rsidR="008E245E" w:rsidRPr="00FB6F73" w:rsidRDefault="008E245E" w:rsidP="00981FFD">
      <w:pPr>
        <w:tabs>
          <w:tab w:val="left" w:pos="540"/>
          <w:tab w:val="left" w:pos="569"/>
        </w:tabs>
        <w:jc w:val="both"/>
        <w:rPr>
          <w:bCs/>
          <w:sz w:val="22"/>
          <w:szCs w:val="22"/>
          <w:lang w:val="sr-Latn-ME"/>
        </w:rPr>
      </w:pPr>
      <w:r w:rsidRPr="00FB6F73">
        <w:rPr>
          <w:bCs/>
          <w:sz w:val="22"/>
          <w:szCs w:val="22"/>
          <w:lang w:val="sr-Latn-ME"/>
        </w:rPr>
        <w:t>Erlotinib se kod ljudi metaboliše u jetri posredstvom hepatičkih citohroma, prvenstveno CYP3A4 i u manjoj m</w:t>
      </w:r>
      <w:r w:rsidR="00C43BDC" w:rsidRPr="00FB6F73">
        <w:rPr>
          <w:bCs/>
          <w:sz w:val="22"/>
          <w:szCs w:val="22"/>
          <w:lang w:val="sr-Latn-ME"/>
        </w:rPr>
        <w:t>j</w:t>
      </w:r>
      <w:r w:rsidRPr="00FB6F73">
        <w:rPr>
          <w:bCs/>
          <w:sz w:val="22"/>
          <w:szCs w:val="22"/>
          <w:lang w:val="sr-Latn-ME"/>
        </w:rPr>
        <w:t>eri CYP1A2. Ekstrahepatički metabolizam preko CYP3A4 u cr</w:t>
      </w:r>
      <w:r w:rsidR="00C43BDC" w:rsidRPr="00FB6F73">
        <w:rPr>
          <w:bCs/>
          <w:sz w:val="22"/>
          <w:szCs w:val="22"/>
          <w:lang w:val="sr-Latn-ME"/>
        </w:rPr>
        <w:t>ij</w:t>
      </w:r>
      <w:r w:rsidRPr="00FB6F73">
        <w:rPr>
          <w:bCs/>
          <w:sz w:val="22"/>
          <w:szCs w:val="22"/>
          <w:lang w:val="sr-Latn-ME"/>
        </w:rPr>
        <w:t>evima, CYP1A1 u plućima i CYP1B1 u tumorskom tkivu takođe potencijalno doprinosi metaboličkom klirensu erlotiniba. Potencijalne interakcije mogu nastati sa aktivnim supstancama koje se metabolišu preko ovih enzima ili su njihovi inhibitori ili ih indukuju.</w:t>
      </w:r>
    </w:p>
    <w:p w14:paraId="195B1531" w14:textId="77777777" w:rsidR="008E245E" w:rsidRPr="00FB6F73" w:rsidRDefault="008E245E" w:rsidP="00981FFD">
      <w:pPr>
        <w:tabs>
          <w:tab w:val="left" w:pos="540"/>
          <w:tab w:val="left" w:pos="569"/>
        </w:tabs>
        <w:jc w:val="both"/>
        <w:rPr>
          <w:bCs/>
          <w:sz w:val="22"/>
          <w:szCs w:val="22"/>
          <w:lang w:val="sr-Latn-ME"/>
        </w:rPr>
      </w:pPr>
    </w:p>
    <w:p w14:paraId="5648B485" w14:textId="7BEA9E58" w:rsidR="008E245E" w:rsidRPr="00FB6F73" w:rsidRDefault="008E245E" w:rsidP="00981FFD">
      <w:pPr>
        <w:tabs>
          <w:tab w:val="left" w:pos="540"/>
          <w:tab w:val="left" w:pos="569"/>
        </w:tabs>
        <w:jc w:val="both"/>
        <w:rPr>
          <w:bCs/>
          <w:sz w:val="22"/>
          <w:szCs w:val="22"/>
          <w:lang w:val="sr-Latn-ME"/>
        </w:rPr>
      </w:pPr>
      <w:r w:rsidRPr="00FB6F73">
        <w:rPr>
          <w:bCs/>
          <w:sz w:val="22"/>
          <w:szCs w:val="22"/>
          <w:lang w:val="sr-Latn-ME"/>
        </w:rPr>
        <w:t>Snažni inhibitori aktivnosti CYP3A4 smanjuju metabolizam erlotiniba i povećavaju koncentraciju erlotiniba u plazmi. U jednoj kliničkoj studiji, istovremena upotreba erlotiniba sa ketokonazolom (200 mg oralno, dva puta na dan tokom 5 dana), koji je snažan inhibitor CYP3A4, dovela je do povećane izloženosti erlotinibu (86% PIK i 69% C</w:t>
      </w:r>
      <w:r w:rsidRPr="00FB6F73">
        <w:rPr>
          <w:bCs/>
          <w:sz w:val="22"/>
          <w:szCs w:val="22"/>
          <w:vertAlign w:val="subscript"/>
          <w:lang w:val="sr-Latn-ME"/>
        </w:rPr>
        <w:t>max</w:t>
      </w:r>
      <w:r w:rsidRPr="00FB6F73">
        <w:rPr>
          <w:bCs/>
          <w:sz w:val="22"/>
          <w:szCs w:val="22"/>
          <w:lang w:val="sr-Latn-ME"/>
        </w:rPr>
        <w:t>). Prema tome, potreban je oprez kada se erlotinib kombinuje sa snažnim inhibitorom CYP3A4, npr. azolnim antimikoticima (tj. ketokonazolom, itrakonazolom, vorikonazolom), inhibitorima proteaze, eritromicinom ili klaritromicinom. Ako je neophodno, dozu erlotiniba treba smanjiti, posebno ako se prim</w:t>
      </w:r>
      <w:r w:rsidR="00AE45DF" w:rsidRPr="00FB6F73">
        <w:rPr>
          <w:bCs/>
          <w:sz w:val="22"/>
          <w:szCs w:val="22"/>
          <w:lang w:val="sr-Latn-ME"/>
        </w:rPr>
        <w:t>ij</w:t>
      </w:r>
      <w:r w:rsidRPr="00FB6F73">
        <w:rPr>
          <w:bCs/>
          <w:sz w:val="22"/>
          <w:szCs w:val="22"/>
          <w:lang w:val="sr-Latn-ME"/>
        </w:rPr>
        <w:t>ete znaci toksičnosti.</w:t>
      </w:r>
    </w:p>
    <w:p w14:paraId="08A95C8E" w14:textId="77777777" w:rsidR="00AE45DF" w:rsidRPr="00FB6F73" w:rsidRDefault="00AE45DF" w:rsidP="00981FFD">
      <w:pPr>
        <w:tabs>
          <w:tab w:val="left" w:pos="540"/>
          <w:tab w:val="left" w:pos="569"/>
        </w:tabs>
        <w:jc w:val="both"/>
        <w:rPr>
          <w:bCs/>
          <w:sz w:val="22"/>
          <w:szCs w:val="22"/>
          <w:lang w:val="sr-Latn-ME"/>
        </w:rPr>
      </w:pPr>
    </w:p>
    <w:p w14:paraId="3E423A3E" w14:textId="7861DAC0" w:rsidR="008E245E" w:rsidRPr="00FB6F73" w:rsidRDefault="008E245E" w:rsidP="00981FFD">
      <w:pPr>
        <w:tabs>
          <w:tab w:val="left" w:pos="540"/>
          <w:tab w:val="left" w:pos="569"/>
        </w:tabs>
        <w:jc w:val="both"/>
        <w:rPr>
          <w:bCs/>
          <w:sz w:val="22"/>
          <w:szCs w:val="22"/>
          <w:lang w:val="sr-Latn-ME"/>
        </w:rPr>
      </w:pPr>
      <w:r w:rsidRPr="00FB6F73">
        <w:rPr>
          <w:bCs/>
          <w:sz w:val="22"/>
          <w:szCs w:val="22"/>
          <w:lang w:val="sr-Latn-ME"/>
        </w:rPr>
        <w:t xml:space="preserve">Snažni induktori aktivnosti CYP3A4 pojačavaju metabolizam erlotiniba i značajno smanjuju koncentracije erlotiniba u plazmi. U jednoj kliničkoj studiji, istovremena upotreba erlotiniba i rifampicina (600 mg oralno, jednom dnevno tokom 7 dana), snažnog induktora CYP3A4, dovelo je do 69% smanjenja medijane </w:t>
      </w:r>
      <w:r w:rsidR="00FD4480" w:rsidRPr="00FB6F73">
        <w:rPr>
          <w:bCs/>
          <w:sz w:val="22"/>
          <w:szCs w:val="22"/>
          <w:lang w:val="sr-Latn-ME"/>
        </w:rPr>
        <w:t>vrijednost</w:t>
      </w:r>
      <w:r w:rsidRPr="00FB6F73">
        <w:rPr>
          <w:bCs/>
          <w:sz w:val="22"/>
          <w:szCs w:val="22"/>
          <w:lang w:val="sr-Latn-ME"/>
        </w:rPr>
        <w:t xml:space="preserve">i PIK erlotiniba. Istovremena </w:t>
      </w:r>
      <w:r w:rsidR="00FD4480" w:rsidRPr="00FB6F73">
        <w:rPr>
          <w:bCs/>
          <w:sz w:val="22"/>
          <w:szCs w:val="22"/>
          <w:lang w:val="sr-Latn-ME"/>
        </w:rPr>
        <w:t>primjena</w:t>
      </w:r>
      <w:r w:rsidRPr="00FB6F73">
        <w:rPr>
          <w:bCs/>
          <w:sz w:val="22"/>
          <w:szCs w:val="22"/>
          <w:lang w:val="sr-Latn-ME"/>
        </w:rPr>
        <w:t xml:space="preserve"> rifampicina sa pojedinačnom </w:t>
      </w:r>
      <w:r w:rsidRPr="00FB6F73">
        <w:rPr>
          <w:bCs/>
          <w:sz w:val="22"/>
          <w:szCs w:val="22"/>
          <w:lang w:val="sr-Latn-ME"/>
        </w:rPr>
        <w:lastRenderedPageBreak/>
        <w:t xml:space="preserve">dozom od 450 mg </w:t>
      </w:r>
      <w:r w:rsidR="00F12375" w:rsidRPr="00FB6F73">
        <w:rPr>
          <w:bCs/>
          <w:sz w:val="22"/>
          <w:szCs w:val="22"/>
          <w:lang w:val="sr-Latn-ME"/>
        </w:rPr>
        <w:t xml:space="preserve">erlotiniba </w:t>
      </w:r>
      <w:r w:rsidRPr="00FB6F73">
        <w:rPr>
          <w:bCs/>
          <w:sz w:val="22"/>
          <w:szCs w:val="22"/>
          <w:lang w:val="sr-Latn-ME"/>
        </w:rPr>
        <w:t xml:space="preserve">dovela je do srednje izloženosti erlotinibu (PIK) od 57,5% izloženosti nakon pojedinačne doze od 150 mg </w:t>
      </w:r>
      <w:r w:rsidR="00FA0AF7" w:rsidRPr="00FB6F73">
        <w:rPr>
          <w:bCs/>
          <w:sz w:val="22"/>
          <w:szCs w:val="22"/>
          <w:lang w:val="sr-Latn-ME"/>
        </w:rPr>
        <w:t xml:space="preserve">erlotiniba </w:t>
      </w:r>
      <w:r w:rsidRPr="00FB6F73">
        <w:rPr>
          <w:bCs/>
          <w:sz w:val="22"/>
          <w:szCs w:val="22"/>
          <w:lang w:val="sr-Latn-ME"/>
        </w:rPr>
        <w:t xml:space="preserve">bez rifampicina. Stoga </w:t>
      </w:r>
      <w:r w:rsidR="00C43BDC" w:rsidRPr="00FB6F73">
        <w:rPr>
          <w:bCs/>
          <w:sz w:val="22"/>
          <w:szCs w:val="22"/>
          <w:lang w:val="sr-Latn-ME"/>
        </w:rPr>
        <w:t xml:space="preserve">je </w:t>
      </w:r>
      <w:r w:rsidRPr="00FB6F73">
        <w:rPr>
          <w:bCs/>
          <w:sz w:val="22"/>
          <w:szCs w:val="22"/>
          <w:lang w:val="sr-Latn-ME"/>
        </w:rPr>
        <w:t xml:space="preserve">potrebno </w:t>
      </w:r>
      <w:r w:rsidR="00ED4DF5" w:rsidRPr="00FB6F73">
        <w:rPr>
          <w:bCs/>
          <w:sz w:val="22"/>
          <w:szCs w:val="22"/>
          <w:lang w:val="sr-Latn-ME"/>
        </w:rPr>
        <w:t>izbjegavati</w:t>
      </w:r>
      <w:r w:rsidRPr="00FB6F73">
        <w:rPr>
          <w:bCs/>
          <w:sz w:val="22"/>
          <w:szCs w:val="22"/>
          <w:lang w:val="sr-Latn-ME"/>
        </w:rPr>
        <w:t xml:space="preserve"> istovremenu prim</w:t>
      </w:r>
      <w:r w:rsidR="00ED4DF5" w:rsidRPr="00FB6F73">
        <w:rPr>
          <w:bCs/>
          <w:sz w:val="22"/>
          <w:szCs w:val="22"/>
          <w:lang w:val="sr-Latn-ME"/>
        </w:rPr>
        <w:t>j</w:t>
      </w:r>
      <w:r w:rsidRPr="00FB6F73">
        <w:rPr>
          <w:bCs/>
          <w:sz w:val="22"/>
          <w:szCs w:val="22"/>
          <w:lang w:val="sr-Latn-ME"/>
        </w:rPr>
        <w:t xml:space="preserve">enu </w:t>
      </w:r>
      <w:r w:rsidR="00FD4480" w:rsidRPr="00FB6F73">
        <w:rPr>
          <w:bCs/>
          <w:sz w:val="22"/>
          <w:szCs w:val="22"/>
          <w:lang w:val="sr-Latn-ME"/>
        </w:rPr>
        <w:t>lijek</w:t>
      </w:r>
      <w:r w:rsidRPr="00FB6F73">
        <w:rPr>
          <w:bCs/>
          <w:sz w:val="22"/>
          <w:szCs w:val="22"/>
          <w:lang w:val="sr-Latn-ME"/>
        </w:rPr>
        <w:t>a Erlotinib Sandoz sa CYP3A4 induktorima. Za pacijente koji</w:t>
      </w:r>
      <w:r w:rsidR="00FA0AF7" w:rsidRPr="00FB6F73">
        <w:rPr>
          <w:bCs/>
          <w:sz w:val="22"/>
          <w:szCs w:val="22"/>
          <w:lang w:val="sr-Latn-ME"/>
        </w:rPr>
        <w:t>ma</w:t>
      </w:r>
      <w:r w:rsidRPr="00FB6F73">
        <w:rPr>
          <w:bCs/>
          <w:sz w:val="22"/>
          <w:szCs w:val="22"/>
          <w:lang w:val="sr-Latn-ME"/>
        </w:rPr>
        <w:t xml:space="preserve"> </w:t>
      </w:r>
      <w:r w:rsidR="00FA0AF7" w:rsidRPr="00FB6F73">
        <w:rPr>
          <w:bCs/>
          <w:sz w:val="22"/>
          <w:szCs w:val="22"/>
          <w:lang w:val="sr-Latn-ME"/>
        </w:rPr>
        <w:t xml:space="preserve">je potrebno </w:t>
      </w:r>
      <w:r w:rsidRPr="00FB6F73">
        <w:rPr>
          <w:bCs/>
          <w:sz w:val="22"/>
          <w:szCs w:val="22"/>
          <w:lang w:val="sr-Latn-ME"/>
        </w:rPr>
        <w:t xml:space="preserve">istovremeno </w:t>
      </w:r>
      <w:r w:rsidR="00FD4480" w:rsidRPr="00FB6F73">
        <w:rPr>
          <w:bCs/>
          <w:sz w:val="22"/>
          <w:szCs w:val="22"/>
          <w:lang w:val="sr-Latn-ME"/>
        </w:rPr>
        <w:t>liječenj</w:t>
      </w:r>
      <w:r w:rsidRPr="00FB6F73">
        <w:rPr>
          <w:bCs/>
          <w:sz w:val="22"/>
          <w:szCs w:val="22"/>
          <w:lang w:val="sr-Latn-ME"/>
        </w:rPr>
        <w:t xml:space="preserve">e </w:t>
      </w:r>
      <w:r w:rsidR="00FD4480" w:rsidRPr="00FB6F73">
        <w:rPr>
          <w:bCs/>
          <w:sz w:val="22"/>
          <w:szCs w:val="22"/>
          <w:lang w:val="sr-Latn-ME"/>
        </w:rPr>
        <w:t>lijek</w:t>
      </w:r>
      <w:r w:rsidRPr="00FB6F73">
        <w:rPr>
          <w:bCs/>
          <w:sz w:val="22"/>
          <w:szCs w:val="22"/>
          <w:lang w:val="sr-Latn-ME"/>
        </w:rPr>
        <w:t>om Erlotinib Sandoz i snažnim CYP3A4 induktorima, kao što je rifampicin, treba razmotriti povećanje doze na 300 mg</w:t>
      </w:r>
      <w:r w:rsidR="00C43BDC" w:rsidRPr="00FB6F73">
        <w:rPr>
          <w:bCs/>
          <w:sz w:val="22"/>
          <w:szCs w:val="22"/>
          <w:lang w:val="sr-Latn-ME"/>
        </w:rPr>
        <w:t>,</w:t>
      </w:r>
      <w:r w:rsidRPr="00FB6F73">
        <w:rPr>
          <w:bCs/>
          <w:sz w:val="22"/>
          <w:szCs w:val="22"/>
          <w:lang w:val="sr-Latn-ME"/>
        </w:rPr>
        <w:t xml:space="preserve"> pritom pažljivo pratiti </w:t>
      </w:r>
      <w:r w:rsidR="00FD4480" w:rsidRPr="00FB6F73">
        <w:rPr>
          <w:bCs/>
          <w:sz w:val="22"/>
          <w:szCs w:val="22"/>
          <w:lang w:val="sr-Latn-ME"/>
        </w:rPr>
        <w:t>bezbjednost</w:t>
      </w:r>
      <w:r w:rsidRPr="00FB6F73">
        <w:rPr>
          <w:bCs/>
          <w:sz w:val="22"/>
          <w:szCs w:val="22"/>
          <w:lang w:val="sr-Latn-ME"/>
        </w:rPr>
        <w:t xml:space="preserve"> pacijenta (uključujući funkcije bubrega i jetre i </w:t>
      </w:r>
      <w:r w:rsidR="00FD4480" w:rsidRPr="00FB6F73">
        <w:rPr>
          <w:bCs/>
          <w:sz w:val="22"/>
          <w:szCs w:val="22"/>
          <w:lang w:val="sr-Latn-ME"/>
        </w:rPr>
        <w:t>elektr</w:t>
      </w:r>
      <w:r w:rsidRPr="00FB6F73">
        <w:rPr>
          <w:bCs/>
          <w:sz w:val="22"/>
          <w:szCs w:val="22"/>
          <w:lang w:val="sr-Latn-ME"/>
        </w:rPr>
        <w:t>olite u serumu), i ukoliko se dobro podnosi u periodu dužem od dv</w:t>
      </w:r>
      <w:r w:rsidR="00C43BDC" w:rsidRPr="00FB6F73">
        <w:rPr>
          <w:bCs/>
          <w:sz w:val="22"/>
          <w:szCs w:val="22"/>
          <w:lang w:val="sr-Latn-ME"/>
        </w:rPr>
        <w:t>ij</w:t>
      </w:r>
      <w:r w:rsidRPr="00FB6F73">
        <w:rPr>
          <w:bCs/>
          <w:sz w:val="22"/>
          <w:szCs w:val="22"/>
          <w:lang w:val="sr-Latn-ME"/>
        </w:rPr>
        <w:t>e ned</w:t>
      </w:r>
      <w:r w:rsidR="00C43BDC" w:rsidRPr="00FB6F73">
        <w:rPr>
          <w:bCs/>
          <w:sz w:val="22"/>
          <w:szCs w:val="22"/>
          <w:lang w:val="sr-Latn-ME"/>
        </w:rPr>
        <w:t>j</w:t>
      </w:r>
      <w:r w:rsidRPr="00FB6F73">
        <w:rPr>
          <w:bCs/>
          <w:sz w:val="22"/>
          <w:szCs w:val="22"/>
          <w:lang w:val="sr-Latn-ME"/>
        </w:rPr>
        <w:t xml:space="preserve">elje, treba razmotriti dalje povećanje na 450 mg uz pažljivo praćenje </w:t>
      </w:r>
      <w:r w:rsidR="00FD4480" w:rsidRPr="00FB6F73">
        <w:rPr>
          <w:bCs/>
          <w:sz w:val="22"/>
          <w:szCs w:val="22"/>
          <w:lang w:val="sr-Latn-ME"/>
        </w:rPr>
        <w:t>bezbjednost</w:t>
      </w:r>
      <w:r w:rsidRPr="00FB6F73">
        <w:rPr>
          <w:bCs/>
          <w:sz w:val="22"/>
          <w:szCs w:val="22"/>
          <w:lang w:val="sr-Latn-ME"/>
        </w:rPr>
        <w:t xml:space="preserve">i terapije. Do smanjene izloženosti erlotinibu može doći i pri istovremenoj upotrebi drugih induktora, npr. fenitoina, karbamazepina, barbiturata ili kantariona </w:t>
      </w:r>
      <w:r w:rsidRPr="00FB6F73">
        <w:rPr>
          <w:bCs/>
          <w:i/>
          <w:sz w:val="22"/>
          <w:szCs w:val="22"/>
          <w:lang w:val="sr-Latn-ME"/>
        </w:rPr>
        <w:t>(Hypericum perforatum)</w:t>
      </w:r>
      <w:r w:rsidRPr="00FB6F73">
        <w:rPr>
          <w:bCs/>
          <w:sz w:val="22"/>
          <w:szCs w:val="22"/>
          <w:lang w:val="sr-Latn-ME"/>
        </w:rPr>
        <w:t>. Treba biti oprezan i kada se ove aktivne supstance kombinuju sa erlotinibom. Treba uzeti u obzir i druge terapijske opcije koje nemaju snažnu CYP3A4 indukcionu aktivnost, kad god je to moguće.</w:t>
      </w:r>
    </w:p>
    <w:p w14:paraId="0DC133E5" w14:textId="77777777" w:rsidR="008E245E" w:rsidRPr="00FB6F73" w:rsidRDefault="008E245E" w:rsidP="00981FFD">
      <w:pPr>
        <w:tabs>
          <w:tab w:val="left" w:pos="540"/>
          <w:tab w:val="left" w:pos="569"/>
        </w:tabs>
        <w:jc w:val="both"/>
        <w:rPr>
          <w:bCs/>
          <w:sz w:val="22"/>
          <w:szCs w:val="22"/>
          <w:lang w:val="sr-Latn-ME"/>
        </w:rPr>
      </w:pPr>
    </w:p>
    <w:p w14:paraId="47F083B9" w14:textId="77777777" w:rsidR="008E245E" w:rsidRPr="00FB6F73" w:rsidRDefault="008E245E" w:rsidP="00981FFD">
      <w:pPr>
        <w:tabs>
          <w:tab w:val="left" w:pos="540"/>
          <w:tab w:val="left" w:pos="569"/>
        </w:tabs>
        <w:jc w:val="both"/>
        <w:rPr>
          <w:bCs/>
          <w:sz w:val="22"/>
          <w:szCs w:val="22"/>
          <w:lang w:val="sr-Latn-ME"/>
        </w:rPr>
      </w:pPr>
      <w:r w:rsidRPr="00FB6F73">
        <w:rPr>
          <w:bCs/>
          <w:sz w:val="22"/>
          <w:szCs w:val="22"/>
          <w:u w:val="single"/>
          <w:lang w:val="sr-Latn-ME"/>
        </w:rPr>
        <w:t>Erlotinib i kumarinski antikoagulansi</w:t>
      </w:r>
      <w:r w:rsidRPr="00FB6F73">
        <w:rPr>
          <w:bCs/>
          <w:sz w:val="22"/>
          <w:szCs w:val="22"/>
          <w:lang w:val="sr-Latn-ME"/>
        </w:rPr>
        <w:t xml:space="preserve"> </w:t>
      </w:r>
    </w:p>
    <w:p w14:paraId="70FA3E80" w14:textId="141EA88A" w:rsidR="008E245E" w:rsidRPr="00FB6F73" w:rsidRDefault="008E245E" w:rsidP="00981FFD">
      <w:pPr>
        <w:tabs>
          <w:tab w:val="left" w:pos="540"/>
          <w:tab w:val="left" w:pos="569"/>
        </w:tabs>
        <w:jc w:val="both"/>
        <w:rPr>
          <w:bCs/>
          <w:sz w:val="22"/>
          <w:szCs w:val="22"/>
          <w:lang w:val="sr-Latn-ME"/>
        </w:rPr>
      </w:pPr>
      <w:r w:rsidRPr="00FB6F73">
        <w:rPr>
          <w:bCs/>
          <w:sz w:val="22"/>
          <w:szCs w:val="22"/>
          <w:lang w:val="sr-Latn-ME"/>
        </w:rPr>
        <w:t xml:space="preserve">Kod pacijenata koji su primali </w:t>
      </w:r>
      <w:r w:rsidR="00FA0AF7" w:rsidRPr="00FB6F73">
        <w:rPr>
          <w:bCs/>
          <w:sz w:val="22"/>
          <w:szCs w:val="22"/>
          <w:lang w:val="sr-Latn-ME"/>
        </w:rPr>
        <w:t xml:space="preserve">erlotinib, </w:t>
      </w:r>
      <w:r w:rsidRPr="00FB6F73">
        <w:rPr>
          <w:bCs/>
          <w:sz w:val="22"/>
          <w:szCs w:val="22"/>
          <w:lang w:val="sr-Latn-ME"/>
        </w:rPr>
        <w:t xml:space="preserve">prijavljene su interakcija sa kumarinskim antikoagulansima, uključujući varfarin, koje su dovele do povećanja internacionalnog normalizovanog odnosa (INR- engl. </w:t>
      </w:r>
      <w:r w:rsidRPr="00FB6F73">
        <w:rPr>
          <w:bCs/>
          <w:i/>
          <w:sz w:val="22"/>
          <w:szCs w:val="22"/>
          <w:lang w:val="sr-Latn-ME"/>
        </w:rPr>
        <w:t>International Normalized Ratio</w:t>
      </w:r>
      <w:r w:rsidRPr="00FB6F73">
        <w:rPr>
          <w:bCs/>
          <w:sz w:val="22"/>
          <w:szCs w:val="22"/>
          <w:lang w:val="sr-Latn-ME"/>
        </w:rPr>
        <w:t>) i pojave krvarenja, koja su u nekim slučajevima imala smrtni ishod. Pacijente koji uzimaju kumarinske antikoagulanse treba pažljivo pratiti kako bi se uočile prom</w:t>
      </w:r>
      <w:r w:rsidR="00ED4DF5" w:rsidRPr="00FB6F73">
        <w:rPr>
          <w:bCs/>
          <w:sz w:val="22"/>
          <w:szCs w:val="22"/>
          <w:lang w:val="sr-Latn-ME"/>
        </w:rPr>
        <w:t>j</w:t>
      </w:r>
      <w:r w:rsidRPr="00FB6F73">
        <w:rPr>
          <w:bCs/>
          <w:sz w:val="22"/>
          <w:szCs w:val="22"/>
          <w:lang w:val="sr-Latn-ME"/>
        </w:rPr>
        <w:t xml:space="preserve">ene u protrombinskom vremenu ili INR. </w:t>
      </w:r>
    </w:p>
    <w:p w14:paraId="4B3C9CBA" w14:textId="77777777" w:rsidR="008E245E" w:rsidRPr="00FB6F73" w:rsidRDefault="008E245E" w:rsidP="00981FFD">
      <w:pPr>
        <w:tabs>
          <w:tab w:val="left" w:pos="540"/>
          <w:tab w:val="left" w:pos="569"/>
        </w:tabs>
        <w:jc w:val="both"/>
        <w:rPr>
          <w:bCs/>
          <w:sz w:val="22"/>
          <w:szCs w:val="22"/>
          <w:lang w:val="sr-Latn-ME"/>
        </w:rPr>
      </w:pPr>
    </w:p>
    <w:p w14:paraId="6F555885" w14:textId="77777777" w:rsidR="008E245E" w:rsidRPr="00FB6F73" w:rsidRDefault="008E245E" w:rsidP="00981FFD">
      <w:pPr>
        <w:tabs>
          <w:tab w:val="left" w:pos="540"/>
          <w:tab w:val="left" w:pos="569"/>
        </w:tabs>
        <w:jc w:val="both"/>
        <w:rPr>
          <w:bCs/>
          <w:sz w:val="22"/>
          <w:szCs w:val="22"/>
          <w:lang w:val="sr-Latn-ME"/>
        </w:rPr>
      </w:pPr>
      <w:r w:rsidRPr="00FB6F73">
        <w:rPr>
          <w:bCs/>
          <w:sz w:val="22"/>
          <w:szCs w:val="22"/>
          <w:u w:val="single"/>
          <w:lang w:val="sr-Latn-ME"/>
        </w:rPr>
        <w:t>Erlotinib i statini</w:t>
      </w:r>
      <w:r w:rsidRPr="00FB6F73">
        <w:rPr>
          <w:bCs/>
          <w:sz w:val="22"/>
          <w:szCs w:val="22"/>
          <w:lang w:val="sr-Latn-ME"/>
        </w:rPr>
        <w:t xml:space="preserve"> </w:t>
      </w:r>
    </w:p>
    <w:p w14:paraId="3831D510" w14:textId="536803B6" w:rsidR="008E245E" w:rsidRPr="00FB6F73" w:rsidRDefault="008E245E" w:rsidP="00981FFD">
      <w:pPr>
        <w:tabs>
          <w:tab w:val="left" w:pos="540"/>
          <w:tab w:val="left" w:pos="569"/>
        </w:tabs>
        <w:jc w:val="both"/>
        <w:rPr>
          <w:bCs/>
          <w:sz w:val="22"/>
          <w:szCs w:val="22"/>
          <w:lang w:val="sr-Latn-ME"/>
        </w:rPr>
      </w:pPr>
      <w:r w:rsidRPr="00FB6F73">
        <w:rPr>
          <w:bCs/>
          <w:sz w:val="22"/>
          <w:szCs w:val="22"/>
          <w:lang w:val="sr-Latn-ME"/>
        </w:rPr>
        <w:t xml:space="preserve">Kombinacija </w:t>
      </w:r>
      <w:r w:rsidR="00FD4480" w:rsidRPr="00FB6F73">
        <w:rPr>
          <w:bCs/>
          <w:sz w:val="22"/>
          <w:szCs w:val="22"/>
          <w:lang w:val="sr-Latn-ME"/>
        </w:rPr>
        <w:t>lijek</w:t>
      </w:r>
      <w:r w:rsidRPr="00FB6F73">
        <w:rPr>
          <w:bCs/>
          <w:sz w:val="22"/>
          <w:szCs w:val="22"/>
          <w:lang w:val="sr-Latn-ME"/>
        </w:rPr>
        <w:t>a Erlotinib Sandoz i statina može da poveća mogućnost razvoja miopatije indukovane statinima, uključujući rabdomiolizu, što je r</w:t>
      </w:r>
      <w:r w:rsidR="00ED4DF5" w:rsidRPr="00FB6F73">
        <w:rPr>
          <w:bCs/>
          <w:sz w:val="22"/>
          <w:szCs w:val="22"/>
          <w:lang w:val="sr-Latn-ME"/>
        </w:rPr>
        <w:t>ij</w:t>
      </w:r>
      <w:r w:rsidRPr="00FB6F73">
        <w:rPr>
          <w:bCs/>
          <w:sz w:val="22"/>
          <w:szCs w:val="22"/>
          <w:lang w:val="sr-Latn-ME"/>
        </w:rPr>
        <w:t xml:space="preserve">etko </w:t>
      </w:r>
      <w:r w:rsidR="004B1524" w:rsidRPr="00FB6F73">
        <w:rPr>
          <w:bCs/>
          <w:sz w:val="22"/>
          <w:szCs w:val="22"/>
          <w:lang w:val="sr-Latn-ME"/>
        </w:rPr>
        <w:t>zabilježeno</w:t>
      </w:r>
      <w:r w:rsidRPr="00FB6F73">
        <w:rPr>
          <w:bCs/>
          <w:sz w:val="22"/>
          <w:szCs w:val="22"/>
          <w:lang w:val="sr-Latn-ME"/>
        </w:rPr>
        <w:t xml:space="preserve">. </w:t>
      </w:r>
    </w:p>
    <w:p w14:paraId="6AC78C45" w14:textId="77777777" w:rsidR="008E245E" w:rsidRPr="00FB6F73" w:rsidRDefault="008E245E" w:rsidP="00981FFD">
      <w:pPr>
        <w:tabs>
          <w:tab w:val="left" w:pos="540"/>
          <w:tab w:val="left" w:pos="569"/>
        </w:tabs>
        <w:jc w:val="both"/>
        <w:rPr>
          <w:bCs/>
          <w:sz w:val="22"/>
          <w:szCs w:val="22"/>
          <w:lang w:val="sr-Latn-ME"/>
        </w:rPr>
      </w:pPr>
    </w:p>
    <w:p w14:paraId="18DE6EB1" w14:textId="77777777" w:rsidR="00813D04" w:rsidRPr="00FB6F73" w:rsidRDefault="008E245E" w:rsidP="00981FFD">
      <w:pPr>
        <w:tabs>
          <w:tab w:val="left" w:pos="540"/>
          <w:tab w:val="left" w:pos="569"/>
        </w:tabs>
        <w:jc w:val="both"/>
        <w:rPr>
          <w:bCs/>
          <w:sz w:val="22"/>
          <w:szCs w:val="22"/>
          <w:lang w:val="sr-Latn-ME"/>
        </w:rPr>
      </w:pPr>
      <w:r w:rsidRPr="00FB6F73">
        <w:rPr>
          <w:bCs/>
          <w:sz w:val="22"/>
          <w:szCs w:val="22"/>
          <w:u w:val="single"/>
          <w:lang w:val="sr-Latn-ME"/>
        </w:rPr>
        <w:t>Erlotinib i pušači</w:t>
      </w:r>
      <w:r w:rsidRPr="00FB6F73">
        <w:rPr>
          <w:bCs/>
          <w:sz w:val="22"/>
          <w:szCs w:val="22"/>
          <w:lang w:val="sr-Latn-ME"/>
        </w:rPr>
        <w:t xml:space="preserve"> </w:t>
      </w:r>
    </w:p>
    <w:p w14:paraId="045D1B85" w14:textId="17F7EBF9" w:rsidR="008E245E" w:rsidRPr="00FB6F73" w:rsidRDefault="008E245E" w:rsidP="00981FFD">
      <w:pPr>
        <w:tabs>
          <w:tab w:val="left" w:pos="540"/>
          <w:tab w:val="left" w:pos="569"/>
        </w:tabs>
        <w:jc w:val="both"/>
        <w:rPr>
          <w:bCs/>
          <w:sz w:val="22"/>
          <w:szCs w:val="22"/>
          <w:lang w:val="sr-Latn-ME"/>
        </w:rPr>
      </w:pPr>
      <w:r w:rsidRPr="00FB6F73">
        <w:rPr>
          <w:bCs/>
          <w:sz w:val="22"/>
          <w:szCs w:val="22"/>
          <w:lang w:val="sr-Latn-ME"/>
        </w:rPr>
        <w:t xml:space="preserve">Rezultati ispitivanja farmakokinetičkih interakcija </w:t>
      </w:r>
      <w:r w:rsidR="00813D04" w:rsidRPr="00FB6F73">
        <w:rPr>
          <w:bCs/>
          <w:sz w:val="22"/>
          <w:szCs w:val="22"/>
          <w:lang w:val="sr-Latn-ME"/>
        </w:rPr>
        <w:t>kod pušača i nepušača ukazuju na to da pušenje</w:t>
      </w:r>
      <w:r w:rsidR="004B1524" w:rsidRPr="00FB6F73">
        <w:rPr>
          <w:bCs/>
          <w:sz w:val="22"/>
          <w:szCs w:val="22"/>
          <w:lang w:val="sr-Latn-ME"/>
        </w:rPr>
        <w:t xml:space="preserve"> </w:t>
      </w:r>
      <w:r w:rsidRPr="00FB6F73">
        <w:rPr>
          <w:bCs/>
          <w:sz w:val="22"/>
          <w:szCs w:val="22"/>
          <w:lang w:val="sr-Latn-ME"/>
        </w:rPr>
        <w:t xml:space="preserve">značajno </w:t>
      </w:r>
      <w:r w:rsidR="004B1524" w:rsidRPr="00FB6F73">
        <w:rPr>
          <w:bCs/>
          <w:sz w:val="22"/>
          <w:szCs w:val="22"/>
          <w:lang w:val="sr-Latn-ME"/>
        </w:rPr>
        <w:t xml:space="preserve">smanjuje </w:t>
      </w:r>
      <w:r w:rsidRPr="00FB6F73">
        <w:rPr>
          <w:bCs/>
          <w:sz w:val="22"/>
          <w:szCs w:val="22"/>
          <w:lang w:val="sr-Latn-ME"/>
        </w:rPr>
        <w:t>PIK</w:t>
      </w:r>
      <w:r w:rsidRPr="00FB6F73">
        <w:rPr>
          <w:bCs/>
          <w:sz w:val="22"/>
          <w:szCs w:val="22"/>
          <w:vertAlign w:val="subscript"/>
          <w:lang w:val="sr-Latn-ME"/>
        </w:rPr>
        <w:t>inf</w:t>
      </w:r>
      <w:r w:rsidRPr="00FB6F73">
        <w:rPr>
          <w:bCs/>
          <w:sz w:val="22"/>
          <w:szCs w:val="22"/>
          <w:lang w:val="sr-Latn-ME"/>
        </w:rPr>
        <w:t>, C</w:t>
      </w:r>
      <w:r w:rsidRPr="00FB6F73">
        <w:rPr>
          <w:bCs/>
          <w:sz w:val="22"/>
          <w:szCs w:val="22"/>
          <w:vertAlign w:val="subscript"/>
          <w:lang w:val="sr-Latn-ME"/>
        </w:rPr>
        <w:t>max</w:t>
      </w:r>
      <w:r w:rsidRPr="00FB6F73">
        <w:rPr>
          <w:bCs/>
          <w:sz w:val="22"/>
          <w:szCs w:val="22"/>
          <w:lang w:val="sr-Latn-ME"/>
        </w:rPr>
        <w:t xml:space="preserve"> i koncentracije u plazmi nakon 24 sata, respektivno, nakon </w:t>
      </w:r>
      <w:r w:rsidR="00FD4480" w:rsidRPr="00FB6F73">
        <w:rPr>
          <w:bCs/>
          <w:sz w:val="22"/>
          <w:szCs w:val="22"/>
          <w:lang w:val="sr-Latn-ME"/>
        </w:rPr>
        <w:t>primjene</w:t>
      </w:r>
      <w:r w:rsidRPr="00FB6F73">
        <w:rPr>
          <w:bCs/>
          <w:sz w:val="22"/>
          <w:szCs w:val="22"/>
          <w:lang w:val="sr-Latn-ME"/>
        </w:rPr>
        <w:t xml:space="preserve"> </w:t>
      </w:r>
      <w:r w:rsidR="00776FF4" w:rsidRPr="00FB6F73">
        <w:rPr>
          <w:bCs/>
          <w:sz w:val="22"/>
          <w:szCs w:val="22"/>
          <w:lang w:val="sr-Latn-ME"/>
        </w:rPr>
        <w:t xml:space="preserve">erlotiniba </w:t>
      </w:r>
      <w:r w:rsidR="00813D04" w:rsidRPr="00FB6F73">
        <w:rPr>
          <w:bCs/>
          <w:sz w:val="22"/>
          <w:szCs w:val="22"/>
          <w:lang w:val="sr-Latn-ME"/>
        </w:rPr>
        <w:t>(2,8 puta, 1,5</w:t>
      </w:r>
      <w:r w:rsidR="00776FF4" w:rsidRPr="00FB6F73">
        <w:rPr>
          <w:bCs/>
          <w:sz w:val="22"/>
          <w:szCs w:val="22"/>
          <w:lang w:val="sr-Latn-ME"/>
        </w:rPr>
        <w:t xml:space="preserve"> </w:t>
      </w:r>
      <w:r w:rsidR="00813D04" w:rsidRPr="00FB6F73">
        <w:rPr>
          <w:bCs/>
          <w:sz w:val="22"/>
          <w:szCs w:val="22"/>
          <w:lang w:val="sr-Latn-ME"/>
        </w:rPr>
        <w:t>puta, odnosno 9 puta).</w:t>
      </w:r>
      <w:r w:rsidR="004B1524" w:rsidRPr="00FB6F73">
        <w:rPr>
          <w:bCs/>
          <w:sz w:val="22"/>
          <w:szCs w:val="22"/>
          <w:lang w:val="sr-Latn-ME"/>
        </w:rPr>
        <w:t xml:space="preserve"> </w:t>
      </w:r>
      <w:r w:rsidRPr="00FB6F73">
        <w:rPr>
          <w:bCs/>
          <w:sz w:val="22"/>
          <w:szCs w:val="22"/>
          <w:lang w:val="sr-Latn-ME"/>
        </w:rPr>
        <w:t>Stoga pacijente koji puše treba podstaknuti da prestanu da puše, što je pr</w:t>
      </w:r>
      <w:r w:rsidR="00ED4DF5" w:rsidRPr="00FB6F73">
        <w:rPr>
          <w:bCs/>
          <w:sz w:val="22"/>
          <w:szCs w:val="22"/>
          <w:lang w:val="sr-Latn-ME"/>
        </w:rPr>
        <w:t>ij</w:t>
      </w:r>
      <w:r w:rsidRPr="00FB6F73">
        <w:rPr>
          <w:bCs/>
          <w:sz w:val="22"/>
          <w:szCs w:val="22"/>
          <w:lang w:val="sr-Latn-ME"/>
        </w:rPr>
        <w:t>e moguće, pr</w:t>
      </w:r>
      <w:r w:rsidR="00ED4DF5" w:rsidRPr="00FB6F73">
        <w:rPr>
          <w:bCs/>
          <w:sz w:val="22"/>
          <w:szCs w:val="22"/>
          <w:lang w:val="sr-Latn-ME"/>
        </w:rPr>
        <w:t>ij</w:t>
      </w:r>
      <w:r w:rsidRPr="00FB6F73">
        <w:rPr>
          <w:bCs/>
          <w:sz w:val="22"/>
          <w:szCs w:val="22"/>
          <w:lang w:val="sr-Latn-ME"/>
        </w:rPr>
        <w:t xml:space="preserve">e početka terapije </w:t>
      </w:r>
      <w:r w:rsidR="00FD4480" w:rsidRPr="00FB6F73">
        <w:rPr>
          <w:bCs/>
          <w:sz w:val="22"/>
          <w:szCs w:val="22"/>
          <w:lang w:val="sr-Latn-ME"/>
        </w:rPr>
        <w:t>lijek</w:t>
      </w:r>
      <w:r w:rsidRPr="00FB6F73">
        <w:rPr>
          <w:bCs/>
          <w:sz w:val="22"/>
          <w:szCs w:val="22"/>
          <w:lang w:val="sr-Latn-ME"/>
        </w:rPr>
        <w:t xml:space="preserve">om Erlotinib Sandoz, jer u </w:t>
      </w:r>
      <w:r w:rsidR="004B1524" w:rsidRPr="00FB6F73">
        <w:rPr>
          <w:bCs/>
          <w:sz w:val="22"/>
          <w:szCs w:val="22"/>
          <w:lang w:val="sr-Latn-ME"/>
        </w:rPr>
        <w:t xml:space="preserve">suprotnom </w:t>
      </w:r>
      <w:r w:rsidRPr="00FB6F73">
        <w:rPr>
          <w:bCs/>
          <w:sz w:val="22"/>
          <w:szCs w:val="22"/>
          <w:lang w:val="sr-Latn-ME"/>
        </w:rPr>
        <w:t>može doći do smanjenja koncentracija erlotiniba u plazmi</w:t>
      </w:r>
      <w:r w:rsidR="00813D04" w:rsidRPr="00FB6F73">
        <w:rPr>
          <w:bCs/>
          <w:sz w:val="22"/>
          <w:szCs w:val="22"/>
          <w:lang w:val="sr-Latn-ME"/>
        </w:rPr>
        <w:t xml:space="preserve">. Prema podacima iz ispitivanja CURRENTS, nije bilo dokaza da je korist liječenja </w:t>
      </w:r>
      <w:r w:rsidR="004B1524" w:rsidRPr="00FB6F73">
        <w:rPr>
          <w:bCs/>
          <w:sz w:val="22"/>
          <w:szCs w:val="22"/>
          <w:lang w:val="sr-Latn-ME"/>
        </w:rPr>
        <w:t xml:space="preserve">kod </w:t>
      </w:r>
      <w:r w:rsidR="00813D04" w:rsidRPr="00FB6F73">
        <w:rPr>
          <w:bCs/>
          <w:sz w:val="22"/>
          <w:szCs w:val="22"/>
          <w:lang w:val="sr-Latn-ME"/>
        </w:rPr>
        <w:t xml:space="preserve">aktivnih pušača veća kod primjene više doze erlotiniba (300 mg) nego kod primjene preporučene doze od 150 mg. Podaci o </w:t>
      </w:r>
      <w:r w:rsidR="004B1524" w:rsidRPr="00FB6F73">
        <w:rPr>
          <w:bCs/>
          <w:sz w:val="22"/>
          <w:szCs w:val="22"/>
          <w:lang w:val="sr-Latn-ME"/>
        </w:rPr>
        <w:t xml:space="preserve">bezbjednosti </w:t>
      </w:r>
      <w:r w:rsidR="00813D04" w:rsidRPr="00FB6F73">
        <w:rPr>
          <w:bCs/>
          <w:sz w:val="22"/>
          <w:szCs w:val="22"/>
          <w:lang w:val="sr-Latn-ME"/>
        </w:rPr>
        <w:t xml:space="preserve">za doze od 300 mg i 150 mg bili su uporedivi; međutim, </w:t>
      </w:r>
      <w:r w:rsidR="007A659B" w:rsidRPr="00FB6F73">
        <w:rPr>
          <w:bCs/>
          <w:sz w:val="22"/>
          <w:szCs w:val="22"/>
          <w:lang w:val="sr-Latn-ME"/>
        </w:rPr>
        <w:t>kod pacijenata</w:t>
      </w:r>
      <w:r w:rsidR="00813D04" w:rsidRPr="00FB6F73">
        <w:rPr>
          <w:bCs/>
          <w:sz w:val="22"/>
          <w:szCs w:val="22"/>
          <w:lang w:val="sr-Latn-ME"/>
        </w:rPr>
        <w:t xml:space="preserve"> koji su primali višu dozu erlotiniba zabilježeno je brojčano povećanje incidencije osipa, </w:t>
      </w:r>
      <w:r w:rsidR="004B1524" w:rsidRPr="00FB6F73">
        <w:rPr>
          <w:bCs/>
          <w:sz w:val="22"/>
          <w:szCs w:val="22"/>
          <w:lang w:val="sr-Latn-ME"/>
        </w:rPr>
        <w:t xml:space="preserve">intersticijalne </w:t>
      </w:r>
      <w:r w:rsidR="00813D04" w:rsidRPr="00FB6F73">
        <w:rPr>
          <w:bCs/>
          <w:sz w:val="22"/>
          <w:szCs w:val="22"/>
          <w:lang w:val="sr-Latn-ME"/>
        </w:rPr>
        <w:t xml:space="preserve">bolesti pluća i </w:t>
      </w:r>
      <w:r w:rsidR="004B1524" w:rsidRPr="00FB6F73">
        <w:rPr>
          <w:bCs/>
          <w:sz w:val="22"/>
          <w:szCs w:val="22"/>
          <w:lang w:val="sr-Latn-ME"/>
        </w:rPr>
        <w:t xml:space="preserve">dijareje </w:t>
      </w:r>
      <w:r w:rsidR="00813D04" w:rsidRPr="00FB6F73">
        <w:rPr>
          <w:bCs/>
          <w:sz w:val="22"/>
          <w:szCs w:val="22"/>
          <w:lang w:val="sr-Latn-ME"/>
        </w:rPr>
        <w:t>(vidjeti djelove 4.2, 4.4, 5.1 i 5.2).</w:t>
      </w:r>
      <w:r w:rsidRPr="00FB6F73">
        <w:rPr>
          <w:bCs/>
          <w:sz w:val="22"/>
          <w:szCs w:val="22"/>
          <w:lang w:val="sr-Latn-ME"/>
        </w:rPr>
        <w:t xml:space="preserve">. </w:t>
      </w:r>
    </w:p>
    <w:p w14:paraId="02F578E3" w14:textId="77777777" w:rsidR="008E245E" w:rsidRPr="00FB6F73" w:rsidRDefault="008E245E" w:rsidP="00981FFD">
      <w:pPr>
        <w:tabs>
          <w:tab w:val="left" w:pos="540"/>
          <w:tab w:val="left" w:pos="569"/>
        </w:tabs>
        <w:jc w:val="both"/>
        <w:rPr>
          <w:bCs/>
          <w:sz w:val="22"/>
          <w:szCs w:val="22"/>
          <w:lang w:val="sr-Latn-ME"/>
        </w:rPr>
      </w:pPr>
    </w:p>
    <w:p w14:paraId="1E2B5F74" w14:textId="77777777" w:rsidR="008E245E" w:rsidRPr="00FB6F73" w:rsidRDefault="008E245E" w:rsidP="00981FFD">
      <w:pPr>
        <w:tabs>
          <w:tab w:val="left" w:pos="540"/>
          <w:tab w:val="left" w:pos="569"/>
        </w:tabs>
        <w:jc w:val="both"/>
        <w:rPr>
          <w:bCs/>
          <w:sz w:val="22"/>
          <w:szCs w:val="22"/>
          <w:lang w:val="sr-Latn-ME"/>
        </w:rPr>
      </w:pPr>
      <w:r w:rsidRPr="00FB6F73">
        <w:rPr>
          <w:bCs/>
          <w:sz w:val="22"/>
          <w:szCs w:val="22"/>
          <w:u w:val="single"/>
          <w:lang w:val="sr-Latn-ME"/>
        </w:rPr>
        <w:t>Erlotinib i inhibitori P-glikoproteina</w:t>
      </w:r>
      <w:r w:rsidRPr="00FB6F73">
        <w:rPr>
          <w:bCs/>
          <w:sz w:val="22"/>
          <w:szCs w:val="22"/>
          <w:lang w:val="sr-Latn-ME"/>
        </w:rPr>
        <w:t xml:space="preserve"> </w:t>
      </w:r>
    </w:p>
    <w:p w14:paraId="00F9A775" w14:textId="7706F53A" w:rsidR="008E245E" w:rsidRPr="00FB6F73" w:rsidRDefault="008E245E" w:rsidP="00981FFD">
      <w:pPr>
        <w:tabs>
          <w:tab w:val="left" w:pos="540"/>
          <w:tab w:val="left" w:pos="569"/>
        </w:tabs>
        <w:jc w:val="both"/>
        <w:rPr>
          <w:bCs/>
          <w:sz w:val="22"/>
          <w:szCs w:val="22"/>
          <w:lang w:val="sr-Latn-ME"/>
        </w:rPr>
      </w:pPr>
      <w:r w:rsidRPr="00FB6F73">
        <w:rPr>
          <w:bCs/>
          <w:sz w:val="22"/>
          <w:szCs w:val="22"/>
          <w:lang w:val="sr-Latn-ME"/>
        </w:rPr>
        <w:t xml:space="preserve">Erlotinib je supstrat za P-glikoprotein, nosač za aktivne supstance. Istovremena </w:t>
      </w:r>
      <w:r w:rsidR="00FD4480" w:rsidRPr="00FB6F73">
        <w:rPr>
          <w:bCs/>
          <w:sz w:val="22"/>
          <w:szCs w:val="22"/>
          <w:lang w:val="sr-Latn-ME"/>
        </w:rPr>
        <w:t>primjena</w:t>
      </w:r>
      <w:r w:rsidRPr="00FB6F73">
        <w:rPr>
          <w:bCs/>
          <w:sz w:val="22"/>
          <w:szCs w:val="22"/>
          <w:lang w:val="sr-Latn-ME"/>
        </w:rPr>
        <w:t xml:space="preserve"> inhibitora Pgp, npr. ciklosporina i verapamila, može da dovede do izm</w:t>
      </w:r>
      <w:r w:rsidR="00ED4DF5" w:rsidRPr="00FB6F73">
        <w:rPr>
          <w:bCs/>
          <w:sz w:val="22"/>
          <w:szCs w:val="22"/>
          <w:lang w:val="sr-Latn-ME"/>
        </w:rPr>
        <w:t>ij</w:t>
      </w:r>
      <w:r w:rsidRPr="00FB6F73">
        <w:rPr>
          <w:bCs/>
          <w:sz w:val="22"/>
          <w:szCs w:val="22"/>
          <w:lang w:val="sr-Latn-ME"/>
        </w:rPr>
        <w:t>enjene distribucije i/ili izm</w:t>
      </w:r>
      <w:r w:rsidR="00ED4DF5" w:rsidRPr="00FB6F73">
        <w:rPr>
          <w:bCs/>
          <w:sz w:val="22"/>
          <w:szCs w:val="22"/>
          <w:lang w:val="sr-Latn-ME"/>
        </w:rPr>
        <w:t>ij</w:t>
      </w:r>
      <w:r w:rsidRPr="00FB6F73">
        <w:rPr>
          <w:bCs/>
          <w:sz w:val="22"/>
          <w:szCs w:val="22"/>
          <w:lang w:val="sr-Latn-ME"/>
        </w:rPr>
        <w:t>enjene eliminacije erlotiniba. Posl</w:t>
      </w:r>
      <w:r w:rsidR="004B1524" w:rsidRPr="00FB6F73">
        <w:rPr>
          <w:bCs/>
          <w:sz w:val="22"/>
          <w:szCs w:val="22"/>
          <w:lang w:val="sr-Latn-ME"/>
        </w:rPr>
        <w:t>j</w:t>
      </w:r>
      <w:r w:rsidRPr="00FB6F73">
        <w:rPr>
          <w:bCs/>
          <w:sz w:val="22"/>
          <w:szCs w:val="22"/>
          <w:lang w:val="sr-Latn-ME"/>
        </w:rPr>
        <w:t>edice ove interakcije za npr. CNS toksičnost nisu utvrđene. U svim ovim situacijama potreban je oprez.</w:t>
      </w:r>
    </w:p>
    <w:p w14:paraId="0499F478" w14:textId="77777777" w:rsidR="008E245E" w:rsidRPr="00FB6F73" w:rsidRDefault="008E245E" w:rsidP="00981FFD">
      <w:pPr>
        <w:tabs>
          <w:tab w:val="left" w:pos="540"/>
          <w:tab w:val="left" w:pos="569"/>
        </w:tabs>
        <w:jc w:val="both"/>
        <w:rPr>
          <w:bCs/>
          <w:sz w:val="22"/>
          <w:szCs w:val="22"/>
          <w:lang w:val="sr-Latn-ME"/>
        </w:rPr>
      </w:pPr>
    </w:p>
    <w:p w14:paraId="21446595" w14:textId="14506A67" w:rsidR="008E245E" w:rsidRPr="00FB6F73" w:rsidRDefault="008E245E" w:rsidP="00981FFD">
      <w:pPr>
        <w:tabs>
          <w:tab w:val="left" w:pos="540"/>
          <w:tab w:val="left" w:pos="569"/>
        </w:tabs>
        <w:jc w:val="both"/>
        <w:rPr>
          <w:bCs/>
          <w:sz w:val="22"/>
          <w:szCs w:val="22"/>
          <w:lang w:val="sr-Latn-ME"/>
        </w:rPr>
      </w:pPr>
      <w:r w:rsidRPr="00FB6F73">
        <w:rPr>
          <w:bCs/>
          <w:sz w:val="22"/>
          <w:szCs w:val="22"/>
          <w:u w:val="single"/>
          <w:lang w:val="sr-Latn-ME"/>
        </w:rPr>
        <w:t xml:space="preserve">Erlotinib i </w:t>
      </w:r>
      <w:r w:rsidR="00FD4480" w:rsidRPr="00FB6F73">
        <w:rPr>
          <w:bCs/>
          <w:sz w:val="22"/>
          <w:szCs w:val="22"/>
          <w:u w:val="single"/>
          <w:lang w:val="sr-Latn-ME"/>
        </w:rPr>
        <w:t>ljekovi</w:t>
      </w:r>
      <w:r w:rsidRPr="00FB6F73">
        <w:rPr>
          <w:bCs/>
          <w:sz w:val="22"/>
          <w:szCs w:val="22"/>
          <w:u w:val="single"/>
          <w:lang w:val="sr-Latn-ME"/>
        </w:rPr>
        <w:t xml:space="preserve"> koji m</w:t>
      </w:r>
      <w:r w:rsidR="00C13202" w:rsidRPr="00FB6F73">
        <w:rPr>
          <w:bCs/>
          <w:sz w:val="22"/>
          <w:szCs w:val="22"/>
          <w:u w:val="single"/>
          <w:lang w:val="sr-Latn-ME"/>
        </w:rPr>
        <w:t>ij</w:t>
      </w:r>
      <w:r w:rsidRPr="00FB6F73">
        <w:rPr>
          <w:bCs/>
          <w:sz w:val="22"/>
          <w:szCs w:val="22"/>
          <w:u w:val="single"/>
          <w:lang w:val="sr-Latn-ME"/>
        </w:rPr>
        <w:t>enjaju pH</w:t>
      </w:r>
      <w:r w:rsidRPr="00FB6F73">
        <w:rPr>
          <w:bCs/>
          <w:sz w:val="22"/>
          <w:szCs w:val="22"/>
          <w:lang w:val="sr-Latn-ME"/>
        </w:rPr>
        <w:t xml:space="preserve"> </w:t>
      </w:r>
    </w:p>
    <w:p w14:paraId="57F9B6C3" w14:textId="6E9AD9E0" w:rsidR="008E245E" w:rsidRPr="00FB6F73" w:rsidRDefault="008E245E" w:rsidP="00981FFD">
      <w:pPr>
        <w:tabs>
          <w:tab w:val="left" w:pos="540"/>
          <w:tab w:val="left" w:pos="569"/>
        </w:tabs>
        <w:jc w:val="both"/>
        <w:rPr>
          <w:bCs/>
          <w:sz w:val="22"/>
          <w:szCs w:val="22"/>
          <w:lang w:val="sr-Latn-ME"/>
        </w:rPr>
      </w:pPr>
      <w:r w:rsidRPr="00FB6F73">
        <w:rPr>
          <w:bCs/>
          <w:sz w:val="22"/>
          <w:szCs w:val="22"/>
          <w:lang w:val="sr-Latn-ME"/>
        </w:rPr>
        <w:t xml:space="preserve">Karakteristika erlotiniba je smanjena rastvorljivost pri </w:t>
      </w:r>
      <w:r w:rsidR="00FD4480" w:rsidRPr="00FB6F73">
        <w:rPr>
          <w:bCs/>
          <w:sz w:val="22"/>
          <w:szCs w:val="22"/>
          <w:lang w:val="sr-Latn-ME"/>
        </w:rPr>
        <w:t>vrijednost</w:t>
      </w:r>
      <w:r w:rsidRPr="00FB6F73">
        <w:rPr>
          <w:bCs/>
          <w:sz w:val="22"/>
          <w:szCs w:val="22"/>
          <w:lang w:val="sr-Latn-ME"/>
        </w:rPr>
        <w:t xml:space="preserve">ima pH iznad 5. Stoga, </w:t>
      </w:r>
      <w:r w:rsidR="00FD4480" w:rsidRPr="00FB6F73">
        <w:rPr>
          <w:bCs/>
          <w:sz w:val="22"/>
          <w:szCs w:val="22"/>
          <w:lang w:val="sr-Latn-ME"/>
        </w:rPr>
        <w:t>ljekovi</w:t>
      </w:r>
      <w:r w:rsidRPr="00FB6F73">
        <w:rPr>
          <w:bCs/>
          <w:sz w:val="22"/>
          <w:szCs w:val="22"/>
          <w:lang w:val="sr-Latn-ME"/>
        </w:rPr>
        <w:t xml:space="preserve"> koji m</w:t>
      </w:r>
      <w:r w:rsidR="004B1524" w:rsidRPr="00FB6F73">
        <w:rPr>
          <w:bCs/>
          <w:sz w:val="22"/>
          <w:szCs w:val="22"/>
          <w:lang w:val="sr-Latn-ME"/>
        </w:rPr>
        <w:t>ij</w:t>
      </w:r>
      <w:r w:rsidRPr="00FB6F73">
        <w:rPr>
          <w:bCs/>
          <w:sz w:val="22"/>
          <w:szCs w:val="22"/>
          <w:lang w:val="sr-Latn-ME"/>
        </w:rPr>
        <w:t xml:space="preserve">enjaju pH </w:t>
      </w:r>
      <w:r w:rsidR="00FD4480" w:rsidRPr="00FB6F73">
        <w:rPr>
          <w:bCs/>
          <w:sz w:val="22"/>
          <w:szCs w:val="22"/>
          <w:lang w:val="sr-Latn-ME"/>
        </w:rPr>
        <w:t>vrijednost</w:t>
      </w:r>
      <w:r w:rsidRPr="00FB6F73">
        <w:rPr>
          <w:bCs/>
          <w:sz w:val="22"/>
          <w:szCs w:val="22"/>
          <w:lang w:val="sr-Latn-ME"/>
        </w:rPr>
        <w:t xml:space="preserve"> u gornjem d</w:t>
      </w:r>
      <w:r w:rsidR="004B1524" w:rsidRPr="00FB6F73">
        <w:rPr>
          <w:bCs/>
          <w:sz w:val="22"/>
          <w:szCs w:val="22"/>
          <w:lang w:val="sr-Latn-ME"/>
        </w:rPr>
        <w:t>ij</w:t>
      </w:r>
      <w:r w:rsidRPr="00FB6F73">
        <w:rPr>
          <w:bCs/>
          <w:sz w:val="22"/>
          <w:szCs w:val="22"/>
          <w:lang w:val="sr-Latn-ME"/>
        </w:rPr>
        <w:t xml:space="preserve">elu gastrointestinalnog trakta (GIT) mogu </w:t>
      </w:r>
      <w:r w:rsidR="00FD4480" w:rsidRPr="00FB6F73">
        <w:rPr>
          <w:bCs/>
          <w:sz w:val="22"/>
          <w:szCs w:val="22"/>
          <w:lang w:val="sr-Latn-ME"/>
        </w:rPr>
        <w:t>promijeniti</w:t>
      </w:r>
      <w:r w:rsidRPr="00FB6F73">
        <w:rPr>
          <w:bCs/>
          <w:sz w:val="22"/>
          <w:szCs w:val="22"/>
          <w:lang w:val="sr-Latn-ME"/>
        </w:rPr>
        <w:t xml:space="preserve"> rastvorljivost erlotiniba i time njegovu biološku raspoloživost. Istovremena </w:t>
      </w:r>
      <w:r w:rsidR="00FD4480" w:rsidRPr="00FB6F73">
        <w:rPr>
          <w:bCs/>
          <w:sz w:val="22"/>
          <w:szCs w:val="22"/>
          <w:lang w:val="sr-Latn-ME"/>
        </w:rPr>
        <w:t>primjena</w:t>
      </w:r>
      <w:r w:rsidRPr="00FB6F73">
        <w:rPr>
          <w:bCs/>
          <w:sz w:val="22"/>
          <w:szCs w:val="22"/>
          <w:lang w:val="sr-Latn-ME"/>
        </w:rPr>
        <w:t xml:space="preserve"> erlotiniba i omeprazola, inhibitora protonske pumpe (PPI), smanjuje izloženost erlotinibu [PIK] i maksimalnu koncentraciju [C</w:t>
      </w:r>
      <w:r w:rsidRPr="00FB6F73">
        <w:rPr>
          <w:bCs/>
          <w:sz w:val="22"/>
          <w:szCs w:val="22"/>
          <w:vertAlign w:val="subscript"/>
          <w:lang w:val="sr-Latn-ME"/>
        </w:rPr>
        <w:t>max</w:t>
      </w:r>
      <w:r w:rsidRPr="00FB6F73">
        <w:rPr>
          <w:bCs/>
          <w:sz w:val="22"/>
          <w:szCs w:val="22"/>
          <w:lang w:val="sr-Latn-ME"/>
        </w:rPr>
        <w:t>] za 46% odnosno za 61%. Nije bilo prom</w:t>
      </w:r>
      <w:r w:rsidR="00C13202" w:rsidRPr="00FB6F73">
        <w:rPr>
          <w:bCs/>
          <w:sz w:val="22"/>
          <w:szCs w:val="22"/>
          <w:lang w:val="sr-Latn-ME"/>
        </w:rPr>
        <w:t>j</w:t>
      </w:r>
      <w:r w:rsidRPr="00FB6F73">
        <w:rPr>
          <w:bCs/>
          <w:sz w:val="22"/>
          <w:szCs w:val="22"/>
          <w:lang w:val="sr-Latn-ME"/>
        </w:rPr>
        <w:t>ene u T</w:t>
      </w:r>
      <w:r w:rsidRPr="00FB6F73">
        <w:rPr>
          <w:bCs/>
          <w:sz w:val="22"/>
          <w:szCs w:val="22"/>
          <w:vertAlign w:val="subscript"/>
          <w:lang w:val="sr-Latn-ME"/>
        </w:rPr>
        <w:t>max</w:t>
      </w:r>
      <w:r w:rsidRPr="00FB6F73">
        <w:rPr>
          <w:bCs/>
          <w:sz w:val="22"/>
          <w:szCs w:val="22"/>
          <w:lang w:val="sr-Latn-ME"/>
        </w:rPr>
        <w:t xml:space="preserve"> ili poluvremenu eliminacije. Istovremena </w:t>
      </w:r>
      <w:r w:rsidR="00FD4480" w:rsidRPr="00FB6F73">
        <w:rPr>
          <w:bCs/>
          <w:sz w:val="22"/>
          <w:szCs w:val="22"/>
          <w:lang w:val="sr-Latn-ME"/>
        </w:rPr>
        <w:t>primjena</w:t>
      </w:r>
      <w:r w:rsidRPr="00FB6F73">
        <w:rPr>
          <w:bCs/>
          <w:sz w:val="22"/>
          <w:szCs w:val="22"/>
          <w:lang w:val="sr-Latn-ME"/>
        </w:rPr>
        <w:t xml:space="preserve"> </w:t>
      </w:r>
      <w:r w:rsidR="00776FF4" w:rsidRPr="00FB6F73">
        <w:rPr>
          <w:bCs/>
          <w:sz w:val="22"/>
          <w:szCs w:val="22"/>
          <w:lang w:val="sr-Latn-ME"/>
        </w:rPr>
        <w:t xml:space="preserve">erlotiniba </w:t>
      </w:r>
      <w:r w:rsidRPr="00FB6F73">
        <w:rPr>
          <w:bCs/>
          <w:sz w:val="22"/>
          <w:szCs w:val="22"/>
          <w:lang w:val="sr-Latn-ME"/>
        </w:rPr>
        <w:t>sa 300 mg ranitidina, antagoniste H2 receptora, smanjila je izloženost erlotinibu [PIK] i maksimalnu koncentraciju [C</w:t>
      </w:r>
      <w:r w:rsidRPr="00FB6F73">
        <w:rPr>
          <w:bCs/>
          <w:sz w:val="22"/>
          <w:szCs w:val="22"/>
          <w:vertAlign w:val="subscript"/>
          <w:lang w:val="sr-Latn-ME"/>
        </w:rPr>
        <w:t xml:space="preserve">max </w:t>
      </w:r>
      <w:r w:rsidRPr="00FB6F73">
        <w:rPr>
          <w:bCs/>
          <w:sz w:val="22"/>
          <w:szCs w:val="22"/>
          <w:lang w:val="sr-Latn-ME"/>
        </w:rPr>
        <w:t xml:space="preserve">] za 33% odnosno za 54%. Povećanje doze </w:t>
      </w:r>
      <w:r w:rsidR="00776FF4" w:rsidRPr="00FB6F73">
        <w:rPr>
          <w:bCs/>
          <w:sz w:val="22"/>
          <w:szCs w:val="22"/>
          <w:lang w:val="sr-Latn-ME"/>
        </w:rPr>
        <w:t xml:space="preserve">erlotiniba </w:t>
      </w:r>
      <w:r w:rsidRPr="00FB6F73">
        <w:rPr>
          <w:bCs/>
          <w:sz w:val="22"/>
          <w:szCs w:val="22"/>
          <w:lang w:val="sr-Latn-ME"/>
        </w:rPr>
        <w:t xml:space="preserve">prilikom istovremene </w:t>
      </w:r>
      <w:r w:rsidR="00FD4480" w:rsidRPr="00FB6F73">
        <w:rPr>
          <w:bCs/>
          <w:sz w:val="22"/>
          <w:szCs w:val="22"/>
          <w:lang w:val="sr-Latn-ME"/>
        </w:rPr>
        <w:t>primjene</w:t>
      </w:r>
      <w:r w:rsidRPr="00FB6F73">
        <w:rPr>
          <w:bCs/>
          <w:sz w:val="22"/>
          <w:szCs w:val="22"/>
          <w:lang w:val="sr-Latn-ME"/>
        </w:rPr>
        <w:t xml:space="preserve"> sa ovim </w:t>
      </w:r>
      <w:r w:rsidR="00FD4480" w:rsidRPr="00FB6F73">
        <w:rPr>
          <w:bCs/>
          <w:sz w:val="22"/>
          <w:szCs w:val="22"/>
          <w:lang w:val="sr-Latn-ME"/>
        </w:rPr>
        <w:t>ljekovi</w:t>
      </w:r>
      <w:r w:rsidRPr="00FB6F73">
        <w:rPr>
          <w:bCs/>
          <w:sz w:val="22"/>
          <w:szCs w:val="22"/>
          <w:lang w:val="sr-Latn-ME"/>
        </w:rPr>
        <w:t xml:space="preserve">ma </w:t>
      </w:r>
      <w:r w:rsidR="00FD4480" w:rsidRPr="00FB6F73">
        <w:rPr>
          <w:bCs/>
          <w:sz w:val="22"/>
          <w:szCs w:val="22"/>
          <w:lang w:val="sr-Latn-ME"/>
        </w:rPr>
        <w:t>vjerovatno</w:t>
      </w:r>
      <w:r w:rsidRPr="00FB6F73">
        <w:rPr>
          <w:bCs/>
          <w:sz w:val="22"/>
          <w:szCs w:val="22"/>
          <w:lang w:val="sr-Latn-ME"/>
        </w:rPr>
        <w:t xml:space="preserve"> neće nadoknaditi gubitak izloženosti </w:t>
      </w:r>
      <w:r w:rsidR="00FD4480" w:rsidRPr="00FB6F73">
        <w:rPr>
          <w:bCs/>
          <w:sz w:val="22"/>
          <w:szCs w:val="22"/>
          <w:lang w:val="sr-Latn-ME"/>
        </w:rPr>
        <w:t>lijek</w:t>
      </w:r>
      <w:r w:rsidRPr="00FB6F73">
        <w:rPr>
          <w:bCs/>
          <w:sz w:val="22"/>
          <w:szCs w:val="22"/>
          <w:lang w:val="sr-Latn-ME"/>
        </w:rPr>
        <w:t xml:space="preserve">u. Međutim, kada </w:t>
      </w:r>
      <w:r w:rsidR="00776FF4" w:rsidRPr="00FB6F73">
        <w:rPr>
          <w:bCs/>
          <w:sz w:val="22"/>
          <w:szCs w:val="22"/>
          <w:lang w:val="sr-Latn-ME"/>
        </w:rPr>
        <w:t xml:space="preserve">su </w:t>
      </w:r>
      <w:r w:rsidRPr="00FB6F73">
        <w:rPr>
          <w:bCs/>
          <w:sz w:val="22"/>
          <w:szCs w:val="22"/>
          <w:lang w:val="sr-Latn-ME"/>
        </w:rPr>
        <w:t xml:space="preserve">doze </w:t>
      </w:r>
      <w:r w:rsidR="00776FF4" w:rsidRPr="00FB6F73">
        <w:rPr>
          <w:bCs/>
          <w:sz w:val="22"/>
          <w:szCs w:val="22"/>
          <w:lang w:val="sr-Latn-ME"/>
        </w:rPr>
        <w:t xml:space="preserve">raspoređene </w:t>
      </w:r>
      <w:r w:rsidRPr="00FB6F73">
        <w:rPr>
          <w:bCs/>
          <w:sz w:val="22"/>
          <w:szCs w:val="22"/>
          <w:lang w:val="sr-Latn-ME"/>
        </w:rPr>
        <w:t xml:space="preserve">tako da se </w:t>
      </w:r>
      <w:r w:rsidR="00776FF4" w:rsidRPr="00FB6F73">
        <w:rPr>
          <w:bCs/>
          <w:sz w:val="22"/>
          <w:szCs w:val="22"/>
          <w:lang w:val="sr-Latn-ME"/>
        </w:rPr>
        <w:t xml:space="preserve">erlotinib </w:t>
      </w:r>
      <w:r w:rsidRPr="00FB6F73">
        <w:rPr>
          <w:bCs/>
          <w:sz w:val="22"/>
          <w:szCs w:val="22"/>
          <w:lang w:val="sr-Latn-ME"/>
        </w:rPr>
        <w:t>prim</w:t>
      </w:r>
      <w:r w:rsidR="00C13202" w:rsidRPr="00FB6F73">
        <w:rPr>
          <w:bCs/>
          <w:sz w:val="22"/>
          <w:szCs w:val="22"/>
          <w:lang w:val="sr-Latn-ME"/>
        </w:rPr>
        <w:t>j</w:t>
      </w:r>
      <w:r w:rsidRPr="00FB6F73">
        <w:rPr>
          <w:bCs/>
          <w:sz w:val="22"/>
          <w:szCs w:val="22"/>
          <w:lang w:val="sr-Latn-ME"/>
        </w:rPr>
        <w:t>enjuje 2 sata pr</w:t>
      </w:r>
      <w:r w:rsidR="00C13202" w:rsidRPr="00FB6F73">
        <w:rPr>
          <w:bCs/>
          <w:sz w:val="22"/>
          <w:szCs w:val="22"/>
          <w:lang w:val="sr-Latn-ME"/>
        </w:rPr>
        <w:t>ij</w:t>
      </w:r>
      <w:r w:rsidRPr="00FB6F73">
        <w:rPr>
          <w:bCs/>
          <w:sz w:val="22"/>
          <w:szCs w:val="22"/>
          <w:lang w:val="sr-Latn-ME"/>
        </w:rPr>
        <w:t xml:space="preserve">e ili 10 sati nakon ranitidina, koji se </w:t>
      </w:r>
      <w:r w:rsidR="00776FF4" w:rsidRPr="00FB6F73">
        <w:rPr>
          <w:bCs/>
          <w:sz w:val="22"/>
          <w:szCs w:val="22"/>
          <w:lang w:val="sr-Latn-ME"/>
        </w:rPr>
        <w:t xml:space="preserve">davao </w:t>
      </w:r>
      <w:r w:rsidRPr="00FB6F73">
        <w:rPr>
          <w:bCs/>
          <w:sz w:val="22"/>
          <w:szCs w:val="22"/>
          <w:lang w:val="sr-Latn-ME"/>
        </w:rPr>
        <w:t xml:space="preserve">dva puta dnevno u dozi do 150 mg, izloženost erlotinibu [PIK] i </w:t>
      </w:r>
      <w:r w:rsidR="004B1524" w:rsidRPr="00FB6F73">
        <w:rPr>
          <w:bCs/>
          <w:sz w:val="22"/>
          <w:szCs w:val="22"/>
          <w:lang w:val="sr-Latn-ME"/>
        </w:rPr>
        <w:t xml:space="preserve">maksimalna koncentracija </w:t>
      </w:r>
      <w:r w:rsidRPr="00FB6F73">
        <w:rPr>
          <w:bCs/>
          <w:sz w:val="22"/>
          <w:szCs w:val="22"/>
          <w:lang w:val="sr-Latn-ME"/>
        </w:rPr>
        <w:t>[C</w:t>
      </w:r>
      <w:r w:rsidRPr="00FB6F73">
        <w:rPr>
          <w:bCs/>
          <w:sz w:val="22"/>
          <w:szCs w:val="22"/>
          <w:vertAlign w:val="subscript"/>
          <w:lang w:val="sr-Latn-ME"/>
        </w:rPr>
        <w:t>max</w:t>
      </w:r>
      <w:r w:rsidRPr="00FB6F73">
        <w:rPr>
          <w:bCs/>
          <w:sz w:val="22"/>
          <w:szCs w:val="22"/>
          <w:lang w:val="sr-Latn-ME"/>
        </w:rPr>
        <w:t xml:space="preserve"> ] smanjene su samo za 15% odnosno za 17%. Efekat antacida na resorpciju erlotiniba nije ispitivan</w:t>
      </w:r>
      <w:r w:rsidR="004B1524" w:rsidRPr="00FB6F73">
        <w:rPr>
          <w:bCs/>
          <w:sz w:val="22"/>
          <w:szCs w:val="22"/>
          <w:lang w:val="sr-Latn-ME"/>
        </w:rPr>
        <w:t>,</w:t>
      </w:r>
      <w:r w:rsidRPr="00FB6F73">
        <w:rPr>
          <w:bCs/>
          <w:sz w:val="22"/>
          <w:szCs w:val="22"/>
          <w:lang w:val="sr-Latn-ME"/>
        </w:rPr>
        <w:t xml:space="preserve"> ali resorpcija može biti narušena, što dovodi do nižih nivoa u plazmi. Kombinacija erlotiniba i inhibitora protonske pumpe bi trebalo da se izb</w:t>
      </w:r>
      <w:r w:rsidR="004B1524" w:rsidRPr="00FB6F73">
        <w:rPr>
          <w:bCs/>
          <w:sz w:val="22"/>
          <w:szCs w:val="22"/>
          <w:lang w:val="sr-Latn-ME"/>
        </w:rPr>
        <w:t>j</w:t>
      </w:r>
      <w:r w:rsidRPr="00FB6F73">
        <w:rPr>
          <w:bCs/>
          <w:sz w:val="22"/>
          <w:szCs w:val="22"/>
          <w:lang w:val="sr-Latn-ME"/>
        </w:rPr>
        <w:t xml:space="preserve">egava. Ukoliko je </w:t>
      </w:r>
      <w:r w:rsidR="00FD4480" w:rsidRPr="00FB6F73">
        <w:rPr>
          <w:bCs/>
          <w:sz w:val="22"/>
          <w:szCs w:val="22"/>
          <w:lang w:val="sr-Latn-ME"/>
        </w:rPr>
        <w:t>primjena</w:t>
      </w:r>
      <w:r w:rsidRPr="00FB6F73">
        <w:rPr>
          <w:bCs/>
          <w:sz w:val="22"/>
          <w:szCs w:val="22"/>
          <w:lang w:val="sr-Latn-ME"/>
        </w:rPr>
        <w:t xml:space="preserve"> antacida neophodna tokom terapije </w:t>
      </w:r>
      <w:r w:rsidR="00FD4480" w:rsidRPr="00FB6F73">
        <w:rPr>
          <w:bCs/>
          <w:sz w:val="22"/>
          <w:szCs w:val="22"/>
          <w:lang w:val="sr-Latn-ME"/>
        </w:rPr>
        <w:t>lijek</w:t>
      </w:r>
      <w:r w:rsidRPr="00FB6F73">
        <w:rPr>
          <w:bCs/>
          <w:sz w:val="22"/>
          <w:szCs w:val="22"/>
          <w:lang w:val="sr-Latn-ME"/>
        </w:rPr>
        <w:t>om Erlotinib Sandoz, trebalo bi ih uzeti najmanje 4 sata pr</w:t>
      </w:r>
      <w:r w:rsidR="00C13202" w:rsidRPr="00FB6F73">
        <w:rPr>
          <w:bCs/>
          <w:sz w:val="22"/>
          <w:szCs w:val="22"/>
          <w:lang w:val="sr-Latn-ME"/>
        </w:rPr>
        <w:t>ij</w:t>
      </w:r>
      <w:r w:rsidRPr="00FB6F73">
        <w:rPr>
          <w:bCs/>
          <w:sz w:val="22"/>
          <w:szCs w:val="22"/>
          <w:lang w:val="sr-Latn-ME"/>
        </w:rPr>
        <w:t xml:space="preserve">e ili 2 sata nakon dnevne doze </w:t>
      </w:r>
      <w:r w:rsidR="00FD4480" w:rsidRPr="00FB6F73">
        <w:rPr>
          <w:bCs/>
          <w:sz w:val="22"/>
          <w:szCs w:val="22"/>
          <w:lang w:val="sr-Latn-ME"/>
        </w:rPr>
        <w:t>lijek</w:t>
      </w:r>
      <w:r w:rsidRPr="00FB6F73">
        <w:rPr>
          <w:bCs/>
          <w:sz w:val="22"/>
          <w:szCs w:val="22"/>
          <w:lang w:val="sr-Latn-ME"/>
        </w:rPr>
        <w:t xml:space="preserve">a Erlotinib Sandoz. Ukoliko se razmatra upotreba ranitidina, trebalo bi </w:t>
      </w:r>
      <w:r w:rsidRPr="00FB6F73">
        <w:rPr>
          <w:bCs/>
          <w:sz w:val="22"/>
          <w:szCs w:val="22"/>
          <w:lang w:val="sr-Latn-ME"/>
        </w:rPr>
        <w:lastRenderedPageBreak/>
        <w:t xml:space="preserve">rasporediti doziranje tako da </w:t>
      </w:r>
      <w:r w:rsidR="00FD4480" w:rsidRPr="00FB6F73">
        <w:rPr>
          <w:bCs/>
          <w:sz w:val="22"/>
          <w:szCs w:val="22"/>
          <w:lang w:val="sr-Latn-ME"/>
        </w:rPr>
        <w:t>lijek</w:t>
      </w:r>
      <w:r w:rsidRPr="00FB6F73">
        <w:rPr>
          <w:bCs/>
          <w:sz w:val="22"/>
          <w:szCs w:val="22"/>
          <w:lang w:val="sr-Latn-ME"/>
        </w:rPr>
        <w:t xml:space="preserve"> Erlotinib Sandoz treba uzeti najmanje 2 sata pr</w:t>
      </w:r>
      <w:r w:rsidR="00C13202" w:rsidRPr="00FB6F73">
        <w:rPr>
          <w:bCs/>
          <w:sz w:val="22"/>
          <w:szCs w:val="22"/>
          <w:lang w:val="sr-Latn-ME"/>
        </w:rPr>
        <w:t>ij</w:t>
      </w:r>
      <w:r w:rsidRPr="00FB6F73">
        <w:rPr>
          <w:bCs/>
          <w:sz w:val="22"/>
          <w:szCs w:val="22"/>
          <w:lang w:val="sr-Latn-ME"/>
        </w:rPr>
        <w:t>e ili 10 sati nakon doze ranitidina.</w:t>
      </w:r>
    </w:p>
    <w:p w14:paraId="5C3FD1F7" w14:textId="77777777" w:rsidR="00735264" w:rsidRPr="00FB6F73" w:rsidRDefault="00735264" w:rsidP="00981FFD">
      <w:pPr>
        <w:tabs>
          <w:tab w:val="left" w:pos="540"/>
          <w:tab w:val="left" w:pos="569"/>
        </w:tabs>
        <w:jc w:val="both"/>
        <w:rPr>
          <w:bCs/>
          <w:sz w:val="22"/>
          <w:szCs w:val="22"/>
          <w:lang w:val="sr-Latn-ME"/>
        </w:rPr>
      </w:pPr>
    </w:p>
    <w:p w14:paraId="21E54925" w14:textId="5587650D" w:rsidR="008E245E" w:rsidRPr="00FB6F73" w:rsidRDefault="008E245E" w:rsidP="00981FFD">
      <w:pPr>
        <w:tabs>
          <w:tab w:val="left" w:pos="540"/>
          <w:tab w:val="left" w:pos="569"/>
        </w:tabs>
        <w:jc w:val="both"/>
        <w:rPr>
          <w:bCs/>
          <w:sz w:val="22"/>
          <w:szCs w:val="22"/>
          <w:u w:val="single"/>
          <w:lang w:val="sr-Latn-ME"/>
        </w:rPr>
      </w:pPr>
      <w:r w:rsidRPr="00FB6F73">
        <w:rPr>
          <w:bCs/>
          <w:sz w:val="22"/>
          <w:szCs w:val="22"/>
          <w:u w:val="single"/>
          <w:lang w:val="sr-Latn-ME"/>
        </w:rPr>
        <w:t xml:space="preserve">Erlotinib i gemcitabin </w:t>
      </w:r>
    </w:p>
    <w:p w14:paraId="7433DA9E" w14:textId="77777777" w:rsidR="008E245E" w:rsidRPr="00FB6F73" w:rsidRDefault="008E245E" w:rsidP="00981FFD">
      <w:pPr>
        <w:tabs>
          <w:tab w:val="left" w:pos="540"/>
          <w:tab w:val="left" w:pos="569"/>
        </w:tabs>
        <w:jc w:val="both"/>
        <w:rPr>
          <w:bCs/>
          <w:sz w:val="22"/>
          <w:szCs w:val="22"/>
          <w:lang w:val="sr-Latn-ME"/>
        </w:rPr>
      </w:pPr>
      <w:r w:rsidRPr="00FB6F73">
        <w:rPr>
          <w:bCs/>
          <w:sz w:val="22"/>
          <w:szCs w:val="22"/>
          <w:lang w:val="sr-Latn-ME"/>
        </w:rPr>
        <w:t>U jednoj studiji faze Ib, nije bilo značajnih dejstava gemcitabina na farmakokinetiku erlotiniba, niti je bilo značajnih dejstava erlotiniba na farmakokinetiku gemcitabina.</w:t>
      </w:r>
    </w:p>
    <w:p w14:paraId="0456D8DC" w14:textId="77777777" w:rsidR="008E245E" w:rsidRPr="00FB6F73" w:rsidRDefault="008E245E" w:rsidP="00981FFD">
      <w:pPr>
        <w:tabs>
          <w:tab w:val="left" w:pos="540"/>
          <w:tab w:val="left" w:pos="569"/>
        </w:tabs>
        <w:jc w:val="both"/>
        <w:rPr>
          <w:bCs/>
          <w:sz w:val="22"/>
          <w:szCs w:val="22"/>
          <w:lang w:val="sr-Latn-ME"/>
        </w:rPr>
      </w:pPr>
    </w:p>
    <w:p w14:paraId="12CA3456" w14:textId="77777777" w:rsidR="008E245E" w:rsidRPr="00FB6F73" w:rsidRDefault="008E245E" w:rsidP="00981FFD">
      <w:pPr>
        <w:tabs>
          <w:tab w:val="left" w:pos="540"/>
          <w:tab w:val="left" w:pos="569"/>
        </w:tabs>
        <w:jc w:val="both"/>
        <w:rPr>
          <w:bCs/>
          <w:sz w:val="22"/>
          <w:szCs w:val="22"/>
          <w:lang w:val="sr-Latn-ME"/>
        </w:rPr>
      </w:pPr>
      <w:r w:rsidRPr="00FB6F73">
        <w:rPr>
          <w:bCs/>
          <w:sz w:val="22"/>
          <w:szCs w:val="22"/>
          <w:u w:val="single"/>
          <w:lang w:val="sr-Latn-ME"/>
        </w:rPr>
        <w:t>Erlotinib i karboplatin/paklitaksel</w:t>
      </w:r>
      <w:r w:rsidRPr="00FB6F73">
        <w:rPr>
          <w:bCs/>
          <w:sz w:val="22"/>
          <w:szCs w:val="22"/>
          <w:lang w:val="sr-Latn-ME"/>
        </w:rPr>
        <w:t xml:space="preserve"> </w:t>
      </w:r>
    </w:p>
    <w:p w14:paraId="7246747F" w14:textId="7409DCC5" w:rsidR="008E245E" w:rsidRPr="00FB6F73" w:rsidRDefault="008E245E" w:rsidP="00981FFD">
      <w:pPr>
        <w:tabs>
          <w:tab w:val="left" w:pos="540"/>
          <w:tab w:val="left" w:pos="569"/>
        </w:tabs>
        <w:jc w:val="both"/>
        <w:rPr>
          <w:bCs/>
          <w:sz w:val="22"/>
          <w:szCs w:val="22"/>
          <w:lang w:val="sr-Latn-ME"/>
        </w:rPr>
      </w:pPr>
      <w:r w:rsidRPr="00FB6F73">
        <w:rPr>
          <w:bCs/>
          <w:sz w:val="22"/>
          <w:szCs w:val="22"/>
          <w:lang w:val="sr-Latn-ME"/>
        </w:rPr>
        <w:t>Erlotinib povećava koncentraciju platine. U kliničkoj studiji, istovremena upotreba erlotiniba sa karboplatinom i paklitakselom dovela je do povećanja ukupnog PIK</w:t>
      </w:r>
      <w:r w:rsidRPr="00FB6F73">
        <w:rPr>
          <w:bCs/>
          <w:sz w:val="22"/>
          <w:szCs w:val="22"/>
          <w:vertAlign w:val="subscript"/>
          <w:lang w:val="sr-Latn-ME"/>
        </w:rPr>
        <w:t>0-48</w:t>
      </w:r>
      <w:r w:rsidRPr="00FB6F73">
        <w:rPr>
          <w:bCs/>
          <w:sz w:val="22"/>
          <w:szCs w:val="22"/>
          <w:lang w:val="sr-Latn-ME"/>
        </w:rPr>
        <w:t xml:space="preserve"> platine za 10,6%. Iako statistički značajna, ova razlika nije smatrana klinički značajnom. U kliničkoj praksi, moguće je da postoje drugi kofaktori koji dovode do povećanja izloženosti </w:t>
      </w:r>
      <w:r w:rsidR="00454812" w:rsidRPr="00FB6F73">
        <w:rPr>
          <w:bCs/>
          <w:sz w:val="22"/>
          <w:szCs w:val="22"/>
          <w:lang w:val="sr-Latn-ME"/>
        </w:rPr>
        <w:t>karboplatinu</w:t>
      </w:r>
      <w:r w:rsidR="00BF7797" w:rsidRPr="00FB6F73">
        <w:rPr>
          <w:bCs/>
          <w:sz w:val="22"/>
          <w:szCs w:val="22"/>
          <w:lang w:val="sr-Latn-ME"/>
        </w:rPr>
        <w:t>,</w:t>
      </w:r>
      <w:r w:rsidR="00454812" w:rsidRPr="00FB6F73">
        <w:rPr>
          <w:bCs/>
          <w:sz w:val="22"/>
          <w:szCs w:val="22"/>
          <w:lang w:val="sr-Latn-ME"/>
        </w:rPr>
        <w:t xml:space="preserve"> </w:t>
      </w:r>
      <w:r w:rsidRPr="00FB6F73">
        <w:rPr>
          <w:bCs/>
          <w:sz w:val="22"/>
          <w:szCs w:val="22"/>
          <w:lang w:val="sr-Latn-ME"/>
        </w:rPr>
        <w:t xml:space="preserve">kao što je oštećenje funkcije bubrega. Nije bilo značajnih efekata </w:t>
      </w:r>
      <w:r w:rsidR="00BF7797" w:rsidRPr="00FB6F73">
        <w:rPr>
          <w:bCs/>
          <w:sz w:val="22"/>
          <w:szCs w:val="22"/>
          <w:lang w:val="sr-Latn-ME"/>
        </w:rPr>
        <w:t xml:space="preserve">karboplatina </w:t>
      </w:r>
      <w:r w:rsidRPr="00FB6F73">
        <w:rPr>
          <w:bCs/>
          <w:sz w:val="22"/>
          <w:szCs w:val="22"/>
          <w:lang w:val="sr-Latn-ME"/>
        </w:rPr>
        <w:t xml:space="preserve">ili paklitaksela na farmakokinetiku erlotiniba. </w:t>
      </w:r>
    </w:p>
    <w:p w14:paraId="13F02141" w14:textId="77777777" w:rsidR="008E245E" w:rsidRPr="00FB6F73" w:rsidRDefault="008E245E" w:rsidP="00981FFD">
      <w:pPr>
        <w:tabs>
          <w:tab w:val="left" w:pos="540"/>
          <w:tab w:val="left" w:pos="569"/>
        </w:tabs>
        <w:jc w:val="both"/>
        <w:rPr>
          <w:bCs/>
          <w:sz w:val="22"/>
          <w:szCs w:val="22"/>
          <w:lang w:val="sr-Latn-ME"/>
        </w:rPr>
      </w:pPr>
    </w:p>
    <w:p w14:paraId="7E386A7D" w14:textId="77777777" w:rsidR="008E245E" w:rsidRPr="00FB6F73" w:rsidRDefault="008E245E" w:rsidP="00981FFD">
      <w:pPr>
        <w:tabs>
          <w:tab w:val="left" w:pos="540"/>
          <w:tab w:val="left" w:pos="569"/>
        </w:tabs>
        <w:jc w:val="both"/>
        <w:rPr>
          <w:bCs/>
          <w:sz w:val="22"/>
          <w:szCs w:val="22"/>
          <w:lang w:val="sr-Latn-ME"/>
        </w:rPr>
      </w:pPr>
      <w:r w:rsidRPr="00FB6F73">
        <w:rPr>
          <w:bCs/>
          <w:sz w:val="22"/>
          <w:szCs w:val="22"/>
          <w:u w:val="single"/>
          <w:lang w:val="sr-Latn-ME"/>
        </w:rPr>
        <w:t>Erlotinib i kapecitabin</w:t>
      </w:r>
      <w:r w:rsidRPr="00FB6F73">
        <w:rPr>
          <w:bCs/>
          <w:sz w:val="22"/>
          <w:szCs w:val="22"/>
          <w:lang w:val="sr-Latn-ME"/>
        </w:rPr>
        <w:t xml:space="preserve"> </w:t>
      </w:r>
    </w:p>
    <w:p w14:paraId="555A403C" w14:textId="05BAB32A" w:rsidR="008E245E" w:rsidRPr="00FB6F73" w:rsidRDefault="008E245E" w:rsidP="00981FFD">
      <w:pPr>
        <w:tabs>
          <w:tab w:val="left" w:pos="540"/>
          <w:tab w:val="left" w:pos="569"/>
        </w:tabs>
        <w:jc w:val="both"/>
        <w:rPr>
          <w:bCs/>
          <w:sz w:val="22"/>
          <w:szCs w:val="22"/>
          <w:lang w:val="sr-Latn-ME"/>
        </w:rPr>
      </w:pPr>
      <w:r w:rsidRPr="00FB6F73">
        <w:rPr>
          <w:bCs/>
          <w:sz w:val="22"/>
          <w:szCs w:val="22"/>
          <w:lang w:val="sr-Latn-ME"/>
        </w:rPr>
        <w:t>Kapecitabin može da poveća koncentraciju erlotiniba. Kada je erlotinib dat u kombinaciji sa kapecitabinom, došlo je do statistički značajnog povećanja PIK-a erlotiniba i graničnog povećanja u C</w:t>
      </w:r>
      <w:r w:rsidRPr="00FB6F73">
        <w:rPr>
          <w:bCs/>
          <w:sz w:val="22"/>
          <w:szCs w:val="22"/>
          <w:vertAlign w:val="subscript"/>
          <w:lang w:val="sr-Latn-ME"/>
        </w:rPr>
        <w:t>max</w:t>
      </w:r>
      <w:r w:rsidRPr="00FB6F73">
        <w:rPr>
          <w:bCs/>
          <w:sz w:val="22"/>
          <w:szCs w:val="22"/>
          <w:lang w:val="sr-Latn-ME"/>
        </w:rPr>
        <w:t xml:space="preserve"> u poređenju sa </w:t>
      </w:r>
      <w:r w:rsidR="00FD4480" w:rsidRPr="00FB6F73">
        <w:rPr>
          <w:bCs/>
          <w:sz w:val="22"/>
          <w:szCs w:val="22"/>
          <w:lang w:val="sr-Latn-ME"/>
        </w:rPr>
        <w:t>vrijednost</w:t>
      </w:r>
      <w:r w:rsidRPr="00FB6F73">
        <w:rPr>
          <w:bCs/>
          <w:sz w:val="22"/>
          <w:szCs w:val="22"/>
          <w:lang w:val="sr-Latn-ME"/>
        </w:rPr>
        <w:t>ima uočenim u drugoj studiji</w:t>
      </w:r>
      <w:r w:rsidR="00454812" w:rsidRPr="00FB6F73">
        <w:rPr>
          <w:bCs/>
          <w:sz w:val="22"/>
          <w:szCs w:val="22"/>
          <w:lang w:val="sr-Latn-ME"/>
        </w:rPr>
        <w:t>,</w:t>
      </w:r>
      <w:r w:rsidRPr="00FB6F73">
        <w:rPr>
          <w:bCs/>
          <w:sz w:val="22"/>
          <w:szCs w:val="22"/>
          <w:lang w:val="sr-Latn-ME"/>
        </w:rPr>
        <w:t xml:space="preserve"> gd</w:t>
      </w:r>
      <w:r w:rsidR="00454812" w:rsidRPr="00FB6F73">
        <w:rPr>
          <w:bCs/>
          <w:sz w:val="22"/>
          <w:szCs w:val="22"/>
          <w:lang w:val="sr-Latn-ME"/>
        </w:rPr>
        <w:t>j</w:t>
      </w:r>
      <w:r w:rsidRPr="00FB6F73">
        <w:rPr>
          <w:bCs/>
          <w:sz w:val="22"/>
          <w:szCs w:val="22"/>
          <w:lang w:val="sr-Latn-ME"/>
        </w:rPr>
        <w:t xml:space="preserve">e je erlotinib </w:t>
      </w:r>
      <w:r w:rsidR="00C13202" w:rsidRPr="00FB6F73">
        <w:rPr>
          <w:bCs/>
          <w:sz w:val="22"/>
          <w:szCs w:val="22"/>
          <w:lang w:val="sr-Latn-ME"/>
        </w:rPr>
        <w:t>primjen</w:t>
      </w:r>
      <w:r w:rsidRPr="00FB6F73">
        <w:rPr>
          <w:bCs/>
          <w:sz w:val="22"/>
          <w:szCs w:val="22"/>
          <w:lang w:val="sr-Latn-ME"/>
        </w:rPr>
        <w:t xml:space="preserve">jivan samostalno. Nije bilo značajnog uticaja erlotiniba na farmakokinetiku kapecitabina. </w:t>
      </w:r>
    </w:p>
    <w:p w14:paraId="025F1D56" w14:textId="77777777" w:rsidR="008E245E" w:rsidRPr="00FB6F73" w:rsidRDefault="008E245E" w:rsidP="00981FFD">
      <w:pPr>
        <w:tabs>
          <w:tab w:val="left" w:pos="540"/>
          <w:tab w:val="left" w:pos="569"/>
        </w:tabs>
        <w:jc w:val="both"/>
        <w:rPr>
          <w:bCs/>
          <w:sz w:val="22"/>
          <w:szCs w:val="22"/>
          <w:lang w:val="sr-Latn-ME"/>
        </w:rPr>
      </w:pPr>
    </w:p>
    <w:p w14:paraId="15F51010" w14:textId="77777777" w:rsidR="008E245E" w:rsidRPr="00FB6F73" w:rsidRDefault="008E245E" w:rsidP="00981FFD">
      <w:pPr>
        <w:tabs>
          <w:tab w:val="left" w:pos="540"/>
          <w:tab w:val="left" w:pos="569"/>
        </w:tabs>
        <w:jc w:val="both"/>
        <w:rPr>
          <w:bCs/>
          <w:sz w:val="22"/>
          <w:szCs w:val="22"/>
          <w:lang w:val="sr-Latn-ME"/>
        </w:rPr>
      </w:pPr>
      <w:r w:rsidRPr="00FB6F73">
        <w:rPr>
          <w:bCs/>
          <w:sz w:val="22"/>
          <w:szCs w:val="22"/>
          <w:u w:val="single"/>
          <w:lang w:val="sr-Latn-ME"/>
        </w:rPr>
        <w:t>Erlotinib i inhibitori proteazoma</w:t>
      </w:r>
      <w:r w:rsidRPr="00FB6F73">
        <w:rPr>
          <w:bCs/>
          <w:sz w:val="22"/>
          <w:szCs w:val="22"/>
          <w:lang w:val="sr-Latn-ME"/>
        </w:rPr>
        <w:t xml:space="preserve"> </w:t>
      </w:r>
    </w:p>
    <w:p w14:paraId="7575E28B" w14:textId="0A3CED88" w:rsidR="008E245E" w:rsidRPr="00FB6F73" w:rsidRDefault="008E245E" w:rsidP="00981FFD">
      <w:pPr>
        <w:tabs>
          <w:tab w:val="left" w:pos="540"/>
          <w:tab w:val="left" w:pos="569"/>
        </w:tabs>
        <w:jc w:val="both"/>
        <w:rPr>
          <w:bCs/>
          <w:sz w:val="22"/>
          <w:szCs w:val="22"/>
          <w:lang w:val="sr-Latn-ME"/>
        </w:rPr>
      </w:pPr>
      <w:r w:rsidRPr="00FB6F73">
        <w:rPr>
          <w:bCs/>
          <w:sz w:val="22"/>
          <w:szCs w:val="22"/>
          <w:lang w:val="sr-Latn-ME"/>
        </w:rPr>
        <w:t>Usl</w:t>
      </w:r>
      <w:r w:rsidR="00454812" w:rsidRPr="00FB6F73">
        <w:rPr>
          <w:bCs/>
          <w:sz w:val="22"/>
          <w:szCs w:val="22"/>
          <w:lang w:val="sr-Latn-ME"/>
        </w:rPr>
        <w:t>j</w:t>
      </w:r>
      <w:r w:rsidRPr="00FB6F73">
        <w:rPr>
          <w:bCs/>
          <w:sz w:val="22"/>
          <w:szCs w:val="22"/>
          <w:lang w:val="sr-Latn-ME"/>
        </w:rPr>
        <w:t>ed mehanizma d</w:t>
      </w:r>
      <w:r w:rsidR="00454812" w:rsidRPr="00FB6F73">
        <w:rPr>
          <w:bCs/>
          <w:sz w:val="22"/>
          <w:szCs w:val="22"/>
          <w:lang w:val="sr-Latn-ME"/>
        </w:rPr>
        <w:t>j</w:t>
      </w:r>
      <w:r w:rsidRPr="00FB6F73">
        <w:rPr>
          <w:bCs/>
          <w:sz w:val="22"/>
          <w:szCs w:val="22"/>
          <w:lang w:val="sr-Latn-ME"/>
        </w:rPr>
        <w:t xml:space="preserve">elovanja, može se očekivati da inhibitori proteazoma, uključujući bortezomib, utiču na efekte inhibitora EGFR (engl. </w:t>
      </w:r>
      <w:r w:rsidRPr="00FB6F73">
        <w:rPr>
          <w:bCs/>
          <w:i/>
          <w:sz w:val="22"/>
          <w:szCs w:val="22"/>
          <w:lang w:val="sr-Latn-ME"/>
        </w:rPr>
        <w:t>epidermal growth factor receptor</w:t>
      </w:r>
      <w:r w:rsidRPr="00FB6F73">
        <w:rPr>
          <w:bCs/>
          <w:sz w:val="22"/>
          <w:szCs w:val="22"/>
          <w:lang w:val="sr-Latn-ME"/>
        </w:rPr>
        <w:t>), uključujući erlotinib. Ovakav uticaj podržavaju ograničeni klinički podaci i pretklinička ispitivanja koja pokazuju degradaciju EGFR preko proteazoma.</w:t>
      </w:r>
    </w:p>
    <w:p w14:paraId="47CD75AB" w14:textId="77777777" w:rsidR="008E245E" w:rsidRPr="00FB6F73" w:rsidRDefault="008E245E" w:rsidP="00981FFD">
      <w:pPr>
        <w:tabs>
          <w:tab w:val="left" w:pos="540"/>
          <w:tab w:val="left" w:pos="569"/>
        </w:tabs>
        <w:jc w:val="both"/>
        <w:rPr>
          <w:bCs/>
          <w:sz w:val="22"/>
          <w:szCs w:val="22"/>
          <w:lang w:val="sr-Latn-ME"/>
        </w:rPr>
      </w:pPr>
    </w:p>
    <w:p w14:paraId="6CA7718B" w14:textId="77777777" w:rsidR="0072020E" w:rsidRPr="00FB6F73" w:rsidRDefault="0072020E" w:rsidP="00981FFD">
      <w:pPr>
        <w:tabs>
          <w:tab w:val="left" w:pos="540"/>
          <w:tab w:val="left" w:pos="569"/>
        </w:tabs>
        <w:jc w:val="both"/>
        <w:rPr>
          <w:b/>
          <w:sz w:val="22"/>
          <w:szCs w:val="22"/>
          <w:lang w:val="sr-Latn-ME"/>
        </w:rPr>
      </w:pPr>
      <w:r w:rsidRPr="00FB6F73">
        <w:rPr>
          <w:b/>
          <w:bCs/>
          <w:sz w:val="22"/>
          <w:szCs w:val="22"/>
          <w:lang w:val="sr-Latn-ME"/>
        </w:rPr>
        <w:t xml:space="preserve">4.6. </w:t>
      </w:r>
      <w:r w:rsidR="00480FB1" w:rsidRPr="00FB6F73">
        <w:rPr>
          <w:b/>
          <w:bCs/>
          <w:sz w:val="22"/>
          <w:szCs w:val="22"/>
          <w:lang w:val="sr-Latn-ME"/>
        </w:rPr>
        <w:tab/>
      </w:r>
      <w:r w:rsidR="006D20A5" w:rsidRPr="00FB6F73">
        <w:rPr>
          <w:b/>
          <w:sz w:val="22"/>
          <w:szCs w:val="22"/>
          <w:lang w:val="sr-Latn-ME"/>
        </w:rPr>
        <w:t>Plodnost, trudnoća i dojenje</w:t>
      </w:r>
    </w:p>
    <w:p w14:paraId="6EBBCA18" w14:textId="77777777" w:rsidR="002031B3" w:rsidRPr="00FB6F73" w:rsidRDefault="002031B3" w:rsidP="00981FFD">
      <w:pPr>
        <w:tabs>
          <w:tab w:val="left" w:pos="540"/>
          <w:tab w:val="left" w:pos="569"/>
        </w:tabs>
        <w:jc w:val="both"/>
        <w:rPr>
          <w:sz w:val="22"/>
          <w:szCs w:val="22"/>
          <w:u w:val="single"/>
          <w:lang w:val="sr-Latn-ME"/>
        </w:rPr>
      </w:pPr>
    </w:p>
    <w:p w14:paraId="3544EA70" w14:textId="77777777" w:rsidR="002031B3" w:rsidRPr="00FB6F73" w:rsidRDefault="002031B3" w:rsidP="00981FFD">
      <w:pPr>
        <w:tabs>
          <w:tab w:val="left" w:pos="540"/>
          <w:tab w:val="left" w:pos="569"/>
        </w:tabs>
        <w:jc w:val="both"/>
        <w:rPr>
          <w:sz w:val="22"/>
          <w:szCs w:val="22"/>
          <w:u w:val="single"/>
          <w:lang w:val="sr-Latn-ME"/>
        </w:rPr>
      </w:pPr>
      <w:r w:rsidRPr="00FB6F73">
        <w:rPr>
          <w:sz w:val="22"/>
          <w:szCs w:val="22"/>
          <w:u w:val="single"/>
          <w:lang w:val="sr-Latn-ME"/>
        </w:rPr>
        <w:t>Plodnost</w:t>
      </w:r>
    </w:p>
    <w:p w14:paraId="619745AE" w14:textId="4FA14E74" w:rsidR="008E245E" w:rsidRPr="00FB6F73" w:rsidRDefault="008E245E" w:rsidP="00981FFD">
      <w:pPr>
        <w:jc w:val="both"/>
        <w:rPr>
          <w:sz w:val="22"/>
          <w:szCs w:val="22"/>
          <w:lang w:val="sr-Latn-ME"/>
        </w:rPr>
      </w:pPr>
      <w:r w:rsidRPr="00FB6F73">
        <w:rPr>
          <w:sz w:val="22"/>
          <w:szCs w:val="22"/>
          <w:lang w:val="sr-Latn-ME"/>
        </w:rPr>
        <w:t>Studije na životinjama nisu pokazale znake smanjene plodnosti. Međutim, štetan uticaj na plodnost se ne može isključiti, jer su studije na životinjama pokazale uticaj na reproduktivne parametre (</w:t>
      </w:r>
      <w:r w:rsidR="00FD4480" w:rsidRPr="00FB6F73">
        <w:rPr>
          <w:sz w:val="22"/>
          <w:szCs w:val="22"/>
          <w:lang w:val="sr-Latn-ME"/>
        </w:rPr>
        <w:t>vidjeti</w:t>
      </w:r>
      <w:r w:rsidRPr="00FB6F73">
        <w:rPr>
          <w:sz w:val="22"/>
          <w:szCs w:val="22"/>
          <w:lang w:val="sr-Latn-ME"/>
        </w:rPr>
        <w:t xml:space="preserve"> </w:t>
      </w:r>
      <w:r w:rsidR="003A2296" w:rsidRPr="00FB6F73">
        <w:rPr>
          <w:sz w:val="22"/>
          <w:szCs w:val="22"/>
          <w:lang w:val="sr-Latn-ME"/>
        </w:rPr>
        <w:t xml:space="preserve">dio </w:t>
      </w:r>
      <w:r w:rsidRPr="00FB6F73">
        <w:rPr>
          <w:sz w:val="22"/>
          <w:szCs w:val="22"/>
          <w:lang w:val="sr-Latn-ME"/>
        </w:rPr>
        <w:t>5.3). Potencijalni rizik za ljude nije poznat.</w:t>
      </w:r>
    </w:p>
    <w:p w14:paraId="2FE29DEF" w14:textId="77777777" w:rsidR="002031B3" w:rsidRPr="00FB6F73" w:rsidRDefault="002031B3" w:rsidP="00981FFD">
      <w:pPr>
        <w:tabs>
          <w:tab w:val="left" w:pos="540"/>
          <w:tab w:val="left" w:pos="569"/>
        </w:tabs>
        <w:jc w:val="both"/>
        <w:rPr>
          <w:sz w:val="22"/>
          <w:szCs w:val="22"/>
          <w:u w:val="single"/>
          <w:lang w:val="sr-Latn-ME"/>
        </w:rPr>
      </w:pPr>
    </w:p>
    <w:p w14:paraId="23D1AC19" w14:textId="77777777" w:rsidR="007A3ECB" w:rsidRPr="00FB6F73" w:rsidRDefault="007A3ECB" w:rsidP="00981FFD">
      <w:pPr>
        <w:tabs>
          <w:tab w:val="left" w:pos="540"/>
          <w:tab w:val="left" w:pos="569"/>
        </w:tabs>
        <w:jc w:val="both"/>
        <w:rPr>
          <w:sz w:val="22"/>
          <w:szCs w:val="22"/>
          <w:u w:val="single"/>
          <w:lang w:val="sr-Latn-ME"/>
        </w:rPr>
      </w:pPr>
      <w:r w:rsidRPr="00FB6F73">
        <w:rPr>
          <w:sz w:val="22"/>
          <w:szCs w:val="22"/>
          <w:u w:val="single"/>
          <w:lang w:val="sr-Latn-ME"/>
        </w:rPr>
        <w:t>Trudnoća</w:t>
      </w:r>
    </w:p>
    <w:p w14:paraId="45D5B1D7" w14:textId="42E69C6E" w:rsidR="008E245E" w:rsidRPr="00FB6F73" w:rsidRDefault="008E245E" w:rsidP="00981FFD">
      <w:pPr>
        <w:jc w:val="both"/>
        <w:rPr>
          <w:sz w:val="22"/>
          <w:szCs w:val="22"/>
          <w:lang w:val="sr-Latn-ME"/>
        </w:rPr>
      </w:pPr>
      <w:r w:rsidRPr="00FB6F73">
        <w:rPr>
          <w:sz w:val="22"/>
          <w:szCs w:val="22"/>
          <w:lang w:val="sr-Latn-ME"/>
        </w:rPr>
        <w:t xml:space="preserve">Ne postoje odgovarajući podaci o </w:t>
      </w:r>
      <w:r w:rsidR="00FD4480" w:rsidRPr="00FB6F73">
        <w:rPr>
          <w:sz w:val="22"/>
          <w:szCs w:val="22"/>
          <w:lang w:val="sr-Latn-ME"/>
        </w:rPr>
        <w:t>primjeni</w:t>
      </w:r>
      <w:r w:rsidRPr="00FB6F73">
        <w:rPr>
          <w:sz w:val="22"/>
          <w:szCs w:val="22"/>
          <w:lang w:val="sr-Latn-ME"/>
        </w:rPr>
        <w:t xml:space="preserve"> erlotiniba kod trudnica. Studije na životinjama pokazale su da nema dokaza o teratogenosti i abnormalnosti porođaja. Međutim, štetan uticaj na trudnoću ne može se isključiti, pošto su studije na pacovima i kunićima pokazale povećani embriofetalni letalitet (</w:t>
      </w:r>
      <w:r w:rsidR="00FD4480" w:rsidRPr="00FB6F73">
        <w:rPr>
          <w:sz w:val="22"/>
          <w:szCs w:val="22"/>
          <w:lang w:val="sr-Latn-ME"/>
        </w:rPr>
        <w:t>vidjeti</w:t>
      </w:r>
      <w:r w:rsidRPr="00FB6F73">
        <w:rPr>
          <w:sz w:val="22"/>
          <w:szCs w:val="22"/>
          <w:lang w:val="sr-Latn-ME"/>
        </w:rPr>
        <w:t xml:space="preserve"> </w:t>
      </w:r>
      <w:r w:rsidR="003A2296" w:rsidRPr="00FB6F73">
        <w:rPr>
          <w:sz w:val="22"/>
          <w:szCs w:val="22"/>
          <w:lang w:val="sr-Latn-ME"/>
        </w:rPr>
        <w:t xml:space="preserve">dio </w:t>
      </w:r>
      <w:r w:rsidRPr="00FB6F73">
        <w:rPr>
          <w:sz w:val="22"/>
          <w:szCs w:val="22"/>
          <w:lang w:val="sr-Latn-ME"/>
        </w:rPr>
        <w:t xml:space="preserve">5.3). Potencijalni rizik za ljude nije poznat. </w:t>
      </w:r>
    </w:p>
    <w:p w14:paraId="3DC3FF7E" w14:textId="49E91139" w:rsidR="002031B3" w:rsidRPr="00FB6F73" w:rsidRDefault="002031B3" w:rsidP="00981FFD">
      <w:pPr>
        <w:tabs>
          <w:tab w:val="left" w:pos="540"/>
          <w:tab w:val="left" w:pos="569"/>
        </w:tabs>
        <w:jc w:val="both"/>
        <w:rPr>
          <w:sz w:val="22"/>
          <w:szCs w:val="22"/>
          <w:u w:val="single"/>
          <w:lang w:val="sr-Latn-ME"/>
        </w:rPr>
      </w:pPr>
    </w:p>
    <w:p w14:paraId="50CFB28B" w14:textId="77777777" w:rsidR="00136217" w:rsidRPr="00FB6F73" w:rsidRDefault="00136217" w:rsidP="00981FFD">
      <w:pPr>
        <w:jc w:val="both"/>
        <w:rPr>
          <w:sz w:val="22"/>
          <w:szCs w:val="22"/>
          <w:lang w:val="sr-Latn-ME"/>
        </w:rPr>
      </w:pPr>
      <w:r w:rsidRPr="00FB6F73">
        <w:rPr>
          <w:sz w:val="22"/>
          <w:szCs w:val="22"/>
          <w:u w:val="single"/>
          <w:lang w:val="sr-Latn-ME"/>
        </w:rPr>
        <w:t xml:space="preserve">Žene u reproduktivnom periodu </w:t>
      </w:r>
    </w:p>
    <w:p w14:paraId="4B016153" w14:textId="7B072EA4" w:rsidR="00136217" w:rsidRPr="00FB6F73" w:rsidRDefault="00136217" w:rsidP="00981FFD">
      <w:pPr>
        <w:jc w:val="both"/>
        <w:rPr>
          <w:sz w:val="22"/>
          <w:szCs w:val="22"/>
          <w:lang w:val="sr-Latn-ME"/>
        </w:rPr>
      </w:pPr>
      <w:r w:rsidRPr="00FB6F73">
        <w:rPr>
          <w:sz w:val="22"/>
          <w:szCs w:val="22"/>
          <w:lang w:val="sr-Latn-ME"/>
        </w:rPr>
        <w:t xml:space="preserve">Ženama </w:t>
      </w:r>
      <w:r w:rsidR="003A2296" w:rsidRPr="00FB6F73">
        <w:rPr>
          <w:sz w:val="22"/>
          <w:szCs w:val="22"/>
          <w:lang w:val="sr-Latn-ME"/>
        </w:rPr>
        <w:t>u reproduktivnom periodu</w:t>
      </w:r>
      <w:r w:rsidRPr="00FB6F73">
        <w:rPr>
          <w:sz w:val="22"/>
          <w:szCs w:val="22"/>
          <w:lang w:val="sr-Latn-ME"/>
        </w:rPr>
        <w:t xml:space="preserve"> treba </w:t>
      </w:r>
      <w:r w:rsidR="00FD4480" w:rsidRPr="00FB6F73">
        <w:rPr>
          <w:sz w:val="22"/>
          <w:szCs w:val="22"/>
          <w:lang w:val="sr-Latn-ME"/>
        </w:rPr>
        <w:t>savjet</w:t>
      </w:r>
      <w:r w:rsidRPr="00FB6F73">
        <w:rPr>
          <w:sz w:val="22"/>
          <w:szCs w:val="22"/>
          <w:lang w:val="sr-Latn-ME"/>
        </w:rPr>
        <w:t xml:space="preserve">ovati da </w:t>
      </w:r>
      <w:r w:rsidR="003A2296" w:rsidRPr="00FB6F73">
        <w:rPr>
          <w:sz w:val="22"/>
          <w:szCs w:val="22"/>
          <w:lang w:val="sr-Latn-ME"/>
        </w:rPr>
        <w:t xml:space="preserve">izbjegavaju </w:t>
      </w:r>
      <w:r w:rsidRPr="00FB6F73">
        <w:rPr>
          <w:sz w:val="22"/>
          <w:szCs w:val="22"/>
          <w:lang w:val="sr-Latn-ME"/>
        </w:rPr>
        <w:t xml:space="preserve">trudnoću dok primaju terapiju </w:t>
      </w:r>
      <w:r w:rsidR="00FD4480" w:rsidRPr="00FB6F73">
        <w:rPr>
          <w:sz w:val="22"/>
          <w:szCs w:val="22"/>
          <w:lang w:val="sr-Latn-ME"/>
        </w:rPr>
        <w:t>lijek</w:t>
      </w:r>
      <w:r w:rsidRPr="00FB6F73">
        <w:rPr>
          <w:sz w:val="22"/>
          <w:szCs w:val="22"/>
          <w:lang w:val="sr-Latn-ME"/>
        </w:rPr>
        <w:t>om Erlotinib Sandoz. Žene u reproduktivnom period</w:t>
      </w:r>
      <w:r w:rsidR="003A2296" w:rsidRPr="00FB6F73">
        <w:rPr>
          <w:sz w:val="22"/>
          <w:szCs w:val="22"/>
          <w:lang w:val="sr-Latn-ME"/>
        </w:rPr>
        <w:t>u</w:t>
      </w:r>
      <w:r w:rsidRPr="00FB6F73">
        <w:rPr>
          <w:sz w:val="22"/>
          <w:szCs w:val="22"/>
          <w:lang w:val="sr-Latn-ME"/>
        </w:rPr>
        <w:t xml:space="preserve"> moraju da koriste efektivnu kontracepciju tokom terapije </w:t>
      </w:r>
      <w:r w:rsidR="00FD4480" w:rsidRPr="00FB6F73">
        <w:rPr>
          <w:sz w:val="22"/>
          <w:szCs w:val="22"/>
          <w:lang w:val="sr-Latn-ME"/>
        </w:rPr>
        <w:t>lijek</w:t>
      </w:r>
      <w:r w:rsidRPr="00FB6F73">
        <w:rPr>
          <w:sz w:val="22"/>
          <w:szCs w:val="22"/>
          <w:lang w:val="sr-Latn-ME"/>
        </w:rPr>
        <w:t>om Erlotinib Sandoz</w:t>
      </w:r>
      <w:r w:rsidR="003A2296" w:rsidRPr="00FB6F73">
        <w:rPr>
          <w:sz w:val="22"/>
          <w:szCs w:val="22"/>
          <w:lang w:val="sr-Latn-ME"/>
        </w:rPr>
        <w:t>,</w:t>
      </w:r>
      <w:r w:rsidRPr="00FB6F73">
        <w:rPr>
          <w:sz w:val="22"/>
          <w:szCs w:val="22"/>
          <w:lang w:val="sr-Latn-ME"/>
        </w:rPr>
        <w:t xml:space="preserve"> i da sa njom nastave još najmanje 2 ned</w:t>
      </w:r>
      <w:r w:rsidR="003A2296" w:rsidRPr="00FB6F73">
        <w:rPr>
          <w:sz w:val="22"/>
          <w:szCs w:val="22"/>
          <w:lang w:val="sr-Latn-ME"/>
        </w:rPr>
        <w:t>j</w:t>
      </w:r>
      <w:r w:rsidRPr="00FB6F73">
        <w:rPr>
          <w:sz w:val="22"/>
          <w:szCs w:val="22"/>
          <w:lang w:val="sr-Latn-ME"/>
        </w:rPr>
        <w:t xml:space="preserve">elje nakon završetka ove terapije. Terapiju kod trudnica treba nastaviti samo ako je potencijalna korist za majku veća od rizika po fetus. </w:t>
      </w:r>
    </w:p>
    <w:p w14:paraId="0D4687BC" w14:textId="77777777" w:rsidR="00136217" w:rsidRPr="00FB6F73" w:rsidRDefault="00136217" w:rsidP="00981FFD">
      <w:pPr>
        <w:tabs>
          <w:tab w:val="left" w:pos="540"/>
          <w:tab w:val="left" w:pos="569"/>
        </w:tabs>
        <w:jc w:val="both"/>
        <w:rPr>
          <w:sz w:val="22"/>
          <w:szCs w:val="22"/>
          <w:u w:val="single"/>
          <w:lang w:val="sr-Latn-ME"/>
        </w:rPr>
      </w:pPr>
    </w:p>
    <w:p w14:paraId="232D5865" w14:textId="77777777" w:rsidR="0072020E" w:rsidRPr="00FB6F73" w:rsidRDefault="007A3ECB" w:rsidP="00981FFD">
      <w:pPr>
        <w:tabs>
          <w:tab w:val="left" w:pos="540"/>
          <w:tab w:val="left" w:pos="569"/>
        </w:tabs>
        <w:jc w:val="both"/>
        <w:rPr>
          <w:b/>
          <w:bCs/>
          <w:sz w:val="22"/>
          <w:szCs w:val="22"/>
          <w:lang w:val="sr-Latn-ME"/>
        </w:rPr>
      </w:pPr>
      <w:r w:rsidRPr="00FB6F73">
        <w:rPr>
          <w:sz w:val="22"/>
          <w:szCs w:val="22"/>
          <w:u w:val="single"/>
          <w:lang w:val="sr-Latn-ME"/>
        </w:rPr>
        <w:t xml:space="preserve">Dojenje </w:t>
      </w:r>
    </w:p>
    <w:p w14:paraId="0377D42A" w14:textId="440E400D" w:rsidR="00B13E55" w:rsidRPr="00FB6F73" w:rsidRDefault="008E245E" w:rsidP="00981FFD">
      <w:pPr>
        <w:jc w:val="both"/>
        <w:rPr>
          <w:sz w:val="22"/>
          <w:szCs w:val="22"/>
          <w:lang w:val="sr-Latn-ME"/>
        </w:rPr>
      </w:pPr>
      <w:r w:rsidRPr="00FB6F73">
        <w:rPr>
          <w:sz w:val="22"/>
          <w:szCs w:val="22"/>
          <w:lang w:val="sr-Latn-ME"/>
        </w:rPr>
        <w:t xml:space="preserve">Nije poznato da li se erlotinib izlučuje u </w:t>
      </w:r>
      <w:r w:rsidR="00735264" w:rsidRPr="00FB6F73">
        <w:rPr>
          <w:sz w:val="22"/>
          <w:szCs w:val="22"/>
          <w:lang w:val="sr-Latn-ME"/>
        </w:rPr>
        <w:t xml:space="preserve">majčino </w:t>
      </w:r>
      <w:r w:rsidRPr="00FB6F73">
        <w:rPr>
          <w:sz w:val="22"/>
          <w:szCs w:val="22"/>
          <w:lang w:val="sr-Latn-ME"/>
        </w:rPr>
        <w:t>m</w:t>
      </w:r>
      <w:r w:rsidR="00FD4480" w:rsidRPr="00FB6F73">
        <w:rPr>
          <w:sz w:val="22"/>
          <w:szCs w:val="22"/>
          <w:lang w:val="sr-Latn-ME"/>
        </w:rPr>
        <w:t>lijek</w:t>
      </w:r>
      <w:r w:rsidRPr="00FB6F73">
        <w:rPr>
          <w:sz w:val="22"/>
          <w:szCs w:val="22"/>
          <w:lang w:val="sr-Latn-ME"/>
        </w:rPr>
        <w:t>o</w:t>
      </w:r>
      <w:r w:rsidR="00735264" w:rsidRPr="00FB6F73">
        <w:rPr>
          <w:sz w:val="22"/>
          <w:szCs w:val="22"/>
          <w:lang w:val="sr-Latn-ME"/>
        </w:rPr>
        <w:t>.</w:t>
      </w:r>
      <w:r w:rsidRPr="00FB6F73">
        <w:rPr>
          <w:sz w:val="22"/>
          <w:szCs w:val="22"/>
          <w:lang w:val="sr-Latn-ME"/>
        </w:rPr>
        <w:t xml:space="preserve"> </w:t>
      </w:r>
      <w:r w:rsidR="00735264" w:rsidRPr="00FB6F73">
        <w:rPr>
          <w:sz w:val="22"/>
          <w:szCs w:val="22"/>
          <w:lang w:val="sr-Latn-ME"/>
        </w:rPr>
        <w:t xml:space="preserve">Nijesu </w:t>
      </w:r>
      <w:r w:rsidR="00C13202" w:rsidRPr="00FB6F73">
        <w:rPr>
          <w:sz w:val="22"/>
          <w:szCs w:val="22"/>
          <w:lang w:val="sr-Latn-ME"/>
        </w:rPr>
        <w:t>s</w:t>
      </w:r>
      <w:r w:rsidR="00735264" w:rsidRPr="00FB6F73">
        <w:rPr>
          <w:sz w:val="22"/>
          <w:szCs w:val="22"/>
          <w:lang w:val="sr-Latn-ME"/>
        </w:rPr>
        <w:t xml:space="preserve">provedena ispitivanja koja bi ocijenila uticaj </w:t>
      </w:r>
      <w:r w:rsidR="003A2296" w:rsidRPr="00FB6F73">
        <w:rPr>
          <w:sz w:val="22"/>
          <w:szCs w:val="22"/>
          <w:lang w:val="sr-Latn-ME"/>
        </w:rPr>
        <w:t>erlotiniba</w:t>
      </w:r>
      <w:r w:rsidR="00735264" w:rsidRPr="00FB6F73">
        <w:rPr>
          <w:sz w:val="22"/>
          <w:szCs w:val="22"/>
          <w:lang w:val="sr-Latn-ME"/>
        </w:rPr>
        <w:t xml:space="preserve"> na </w:t>
      </w:r>
      <w:r w:rsidR="003A2296" w:rsidRPr="00FB6F73">
        <w:rPr>
          <w:sz w:val="22"/>
          <w:szCs w:val="22"/>
          <w:lang w:val="sr-Latn-ME"/>
        </w:rPr>
        <w:t xml:space="preserve">stvaranje </w:t>
      </w:r>
      <w:r w:rsidR="00735264" w:rsidRPr="00FB6F73">
        <w:rPr>
          <w:sz w:val="22"/>
          <w:szCs w:val="22"/>
          <w:lang w:val="sr-Latn-ME"/>
        </w:rPr>
        <w:t xml:space="preserve">mlijeka ili njegovu prisutnost u </w:t>
      </w:r>
      <w:r w:rsidR="003A2296" w:rsidRPr="00FB6F73">
        <w:rPr>
          <w:sz w:val="22"/>
          <w:szCs w:val="22"/>
          <w:lang w:val="sr-Latn-ME"/>
        </w:rPr>
        <w:t xml:space="preserve">majčinom </w:t>
      </w:r>
      <w:r w:rsidR="00735264" w:rsidRPr="00FB6F73">
        <w:rPr>
          <w:sz w:val="22"/>
          <w:szCs w:val="22"/>
          <w:lang w:val="sr-Latn-ME"/>
        </w:rPr>
        <w:t xml:space="preserve">mlijeku. Budući da potencijalna opasnost za dojenče nije poznata, majke je potrebno savjetovati da ne doje za vrijeme primjene lijeka </w:t>
      </w:r>
      <w:r w:rsidR="003A2296" w:rsidRPr="00FB6F73">
        <w:rPr>
          <w:sz w:val="22"/>
          <w:szCs w:val="22"/>
          <w:lang w:val="sr-Latn-ME"/>
        </w:rPr>
        <w:t xml:space="preserve">Erlotinib Sandoz </w:t>
      </w:r>
      <w:r w:rsidR="00735264" w:rsidRPr="00FB6F73">
        <w:rPr>
          <w:sz w:val="22"/>
          <w:szCs w:val="22"/>
          <w:lang w:val="sr-Latn-ME"/>
        </w:rPr>
        <w:t xml:space="preserve">i još najmanje 2 </w:t>
      </w:r>
      <w:r w:rsidR="003A2296" w:rsidRPr="00FB6F73">
        <w:rPr>
          <w:sz w:val="22"/>
          <w:szCs w:val="22"/>
          <w:lang w:val="sr-Latn-ME"/>
        </w:rPr>
        <w:t xml:space="preserve">nedjelje </w:t>
      </w:r>
      <w:r w:rsidR="00735264" w:rsidRPr="00FB6F73">
        <w:rPr>
          <w:sz w:val="22"/>
          <w:szCs w:val="22"/>
          <w:lang w:val="sr-Latn-ME"/>
        </w:rPr>
        <w:t xml:space="preserve">nakon posljednje doze lijeka. </w:t>
      </w:r>
    </w:p>
    <w:p w14:paraId="289CAD36" w14:textId="77777777" w:rsidR="00B13E55" w:rsidRPr="00FB6F73" w:rsidRDefault="00B13E55" w:rsidP="00981FFD">
      <w:pPr>
        <w:jc w:val="both"/>
        <w:rPr>
          <w:sz w:val="22"/>
          <w:szCs w:val="22"/>
          <w:lang w:val="sr-Latn-ME"/>
        </w:rPr>
      </w:pPr>
    </w:p>
    <w:p w14:paraId="5A9C6A38" w14:textId="0641E28B" w:rsidR="0072020E" w:rsidRPr="00FB6F73" w:rsidRDefault="0072020E" w:rsidP="00981FFD">
      <w:pPr>
        <w:jc w:val="both"/>
        <w:rPr>
          <w:b/>
          <w:bCs/>
          <w:sz w:val="22"/>
          <w:szCs w:val="22"/>
          <w:lang w:val="sr-Latn-ME"/>
        </w:rPr>
      </w:pPr>
      <w:r w:rsidRPr="00FB6F73">
        <w:rPr>
          <w:b/>
          <w:bCs/>
          <w:sz w:val="22"/>
          <w:szCs w:val="22"/>
          <w:lang w:val="sr-Latn-ME"/>
        </w:rPr>
        <w:t xml:space="preserve">4.7. </w:t>
      </w:r>
      <w:r w:rsidR="00480FB1" w:rsidRPr="00FB6F73">
        <w:rPr>
          <w:b/>
          <w:bCs/>
          <w:sz w:val="22"/>
          <w:szCs w:val="22"/>
          <w:lang w:val="sr-Latn-ME"/>
        </w:rPr>
        <w:tab/>
      </w:r>
      <w:r w:rsidRPr="00FB6F73">
        <w:rPr>
          <w:b/>
          <w:bCs/>
          <w:sz w:val="22"/>
          <w:szCs w:val="22"/>
          <w:lang w:val="sr-Latn-ME"/>
        </w:rPr>
        <w:t xml:space="preserve">Uticaj na </w:t>
      </w:r>
      <w:r w:rsidR="002031B3" w:rsidRPr="00FB6F73">
        <w:rPr>
          <w:b/>
          <w:bCs/>
          <w:sz w:val="22"/>
          <w:szCs w:val="22"/>
          <w:lang w:val="sr-Latn-ME"/>
        </w:rPr>
        <w:t xml:space="preserve">sposobnost </w:t>
      </w:r>
      <w:r w:rsidR="00F34554" w:rsidRPr="00FB6F73">
        <w:rPr>
          <w:b/>
          <w:bCs/>
          <w:sz w:val="22"/>
          <w:szCs w:val="22"/>
          <w:lang w:val="sr-Latn-ME"/>
        </w:rPr>
        <w:t>upravljanja vozili</w:t>
      </w:r>
      <w:r w:rsidRPr="00FB6F73">
        <w:rPr>
          <w:b/>
          <w:bCs/>
          <w:sz w:val="22"/>
          <w:szCs w:val="22"/>
          <w:lang w:val="sr-Latn-ME"/>
        </w:rPr>
        <w:t>m</w:t>
      </w:r>
      <w:r w:rsidR="00F34554" w:rsidRPr="00FB6F73">
        <w:rPr>
          <w:b/>
          <w:bCs/>
          <w:sz w:val="22"/>
          <w:szCs w:val="22"/>
          <w:lang w:val="sr-Latn-ME"/>
        </w:rPr>
        <w:t>a</w:t>
      </w:r>
      <w:r w:rsidRPr="00FB6F73">
        <w:rPr>
          <w:b/>
          <w:bCs/>
          <w:sz w:val="22"/>
          <w:szCs w:val="22"/>
          <w:lang w:val="sr-Latn-ME"/>
        </w:rPr>
        <w:t xml:space="preserve"> i </w:t>
      </w:r>
      <w:r w:rsidR="000D3449" w:rsidRPr="00FB6F73">
        <w:rPr>
          <w:b/>
          <w:bCs/>
          <w:sz w:val="22"/>
          <w:szCs w:val="22"/>
          <w:lang w:val="sr-Latn-ME"/>
        </w:rPr>
        <w:t xml:space="preserve">rukovanje </w:t>
      </w:r>
      <w:r w:rsidRPr="00FB6F73">
        <w:rPr>
          <w:b/>
          <w:bCs/>
          <w:sz w:val="22"/>
          <w:szCs w:val="22"/>
          <w:lang w:val="sr-Latn-ME"/>
        </w:rPr>
        <w:t>mašinama</w:t>
      </w:r>
    </w:p>
    <w:p w14:paraId="3DA3BBD6" w14:textId="125DB7DB" w:rsidR="0072020E" w:rsidRPr="00FB6F73" w:rsidRDefault="0072020E" w:rsidP="00981FFD">
      <w:pPr>
        <w:tabs>
          <w:tab w:val="left" w:pos="540"/>
          <w:tab w:val="left" w:pos="569"/>
        </w:tabs>
        <w:jc w:val="both"/>
        <w:rPr>
          <w:b/>
          <w:bCs/>
          <w:sz w:val="22"/>
          <w:szCs w:val="22"/>
          <w:lang w:val="sr-Latn-ME"/>
        </w:rPr>
      </w:pPr>
    </w:p>
    <w:p w14:paraId="57320541" w14:textId="116B2190" w:rsidR="00136217" w:rsidRPr="00FB6F73" w:rsidRDefault="00136217" w:rsidP="00981FFD">
      <w:pPr>
        <w:jc w:val="both"/>
        <w:rPr>
          <w:sz w:val="22"/>
          <w:szCs w:val="22"/>
          <w:lang w:val="sr-Latn-ME"/>
        </w:rPr>
      </w:pPr>
      <w:r w:rsidRPr="00FB6F73">
        <w:rPr>
          <w:sz w:val="22"/>
          <w:szCs w:val="22"/>
          <w:lang w:val="sr-Latn-ME"/>
        </w:rPr>
        <w:t>Ni</w:t>
      </w:r>
      <w:r w:rsidR="00C13202" w:rsidRPr="00FB6F73">
        <w:rPr>
          <w:sz w:val="22"/>
          <w:szCs w:val="22"/>
          <w:lang w:val="sr-Latn-ME"/>
        </w:rPr>
        <w:t>je</w:t>
      </w:r>
      <w:r w:rsidRPr="00FB6F73">
        <w:rPr>
          <w:sz w:val="22"/>
          <w:szCs w:val="22"/>
          <w:lang w:val="sr-Latn-ME"/>
        </w:rPr>
        <w:t xml:space="preserve">su spovedena ispitivanja </w:t>
      </w:r>
      <w:r w:rsidR="006A1A4E" w:rsidRPr="00FB6F73">
        <w:rPr>
          <w:sz w:val="22"/>
          <w:szCs w:val="22"/>
          <w:lang w:val="sr-Latn-ME"/>
        </w:rPr>
        <w:t xml:space="preserve">uticaja </w:t>
      </w:r>
      <w:r w:rsidRPr="00FB6F73">
        <w:rPr>
          <w:sz w:val="22"/>
          <w:szCs w:val="22"/>
          <w:lang w:val="sr-Latn-ME"/>
        </w:rPr>
        <w:t xml:space="preserve">na sposobnost </w:t>
      </w:r>
      <w:r w:rsidR="003A2296" w:rsidRPr="00FB6F73">
        <w:rPr>
          <w:sz w:val="22"/>
          <w:szCs w:val="22"/>
          <w:lang w:val="sr-Latn-ME"/>
        </w:rPr>
        <w:t xml:space="preserve">upravljanja </w:t>
      </w:r>
      <w:r w:rsidRPr="00FB6F73">
        <w:rPr>
          <w:sz w:val="22"/>
          <w:szCs w:val="22"/>
          <w:lang w:val="sr-Latn-ME"/>
        </w:rPr>
        <w:t>vozilima i rukovanja mašinama; međutim, erlotinib se ne povezuje sa smanjenjem mentalnih sposobnosti.</w:t>
      </w:r>
    </w:p>
    <w:p w14:paraId="306309ED" w14:textId="77777777" w:rsidR="00136217" w:rsidRPr="00FB6F73" w:rsidRDefault="00136217" w:rsidP="00480FB1">
      <w:pPr>
        <w:tabs>
          <w:tab w:val="left" w:pos="540"/>
          <w:tab w:val="left" w:pos="569"/>
        </w:tabs>
        <w:rPr>
          <w:b/>
          <w:bCs/>
          <w:sz w:val="22"/>
          <w:szCs w:val="22"/>
          <w:lang w:val="sr-Latn-ME"/>
        </w:rPr>
      </w:pPr>
    </w:p>
    <w:p w14:paraId="4D69E43F" w14:textId="7F6AE945" w:rsidR="0072020E" w:rsidRPr="00FB6F73" w:rsidRDefault="0072020E" w:rsidP="00480FB1">
      <w:pPr>
        <w:tabs>
          <w:tab w:val="left" w:pos="540"/>
          <w:tab w:val="left" w:pos="569"/>
        </w:tabs>
        <w:rPr>
          <w:b/>
          <w:bCs/>
          <w:sz w:val="22"/>
          <w:szCs w:val="22"/>
          <w:lang w:val="sr-Latn-ME"/>
        </w:rPr>
      </w:pPr>
      <w:r w:rsidRPr="00FB6F73">
        <w:rPr>
          <w:b/>
          <w:bCs/>
          <w:sz w:val="22"/>
          <w:szCs w:val="22"/>
          <w:lang w:val="sr-Latn-ME"/>
        </w:rPr>
        <w:lastRenderedPageBreak/>
        <w:t xml:space="preserve">4.8. </w:t>
      </w:r>
      <w:r w:rsidR="00480FB1" w:rsidRPr="00FB6F73">
        <w:rPr>
          <w:b/>
          <w:bCs/>
          <w:sz w:val="22"/>
          <w:szCs w:val="22"/>
          <w:lang w:val="sr-Latn-ME"/>
        </w:rPr>
        <w:tab/>
      </w:r>
      <w:r w:rsidRPr="00FB6F73">
        <w:rPr>
          <w:b/>
          <w:bCs/>
          <w:sz w:val="22"/>
          <w:szCs w:val="22"/>
          <w:lang w:val="sr-Latn-ME"/>
        </w:rPr>
        <w:t>Neželjena dejstva</w:t>
      </w:r>
    </w:p>
    <w:p w14:paraId="4384015D" w14:textId="3A352C05" w:rsidR="00981FFD" w:rsidRPr="00FB6F73" w:rsidRDefault="00981FFD" w:rsidP="00480FB1">
      <w:pPr>
        <w:tabs>
          <w:tab w:val="left" w:pos="540"/>
          <w:tab w:val="left" w:pos="569"/>
        </w:tabs>
        <w:rPr>
          <w:b/>
          <w:bCs/>
          <w:sz w:val="22"/>
          <w:szCs w:val="22"/>
          <w:lang w:val="sr-Latn-ME"/>
        </w:rPr>
      </w:pPr>
    </w:p>
    <w:p w14:paraId="2E6C6CB6" w14:textId="16F622BC" w:rsidR="005D6DC0" w:rsidRPr="00FB6F73" w:rsidRDefault="00D63ADE" w:rsidP="00917054">
      <w:pPr>
        <w:tabs>
          <w:tab w:val="left" w:pos="540"/>
          <w:tab w:val="left" w:pos="569"/>
        </w:tabs>
        <w:jc w:val="both"/>
        <w:rPr>
          <w:sz w:val="22"/>
          <w:szCs w:val="22"/>
          <w:lang w:val="sr-Latn-ME"/>
        </w:rPr>
      </w:pPr>
      <w:r w:rsidRPr="00FB6F73">
        <w:rPr>
          <w:sz w:val="22"/>
          <w:szCs w:val="22"/>
          <w:lang w:val="sr-Latn-ME"/>
        </w:rPr>
        <w:t>Procjena bezbjednosti erlotiniba</w:t>
      </w:r>
      <w:r w:rsidR="005D6DC0" w:rsidRPr="00FB6F73">
        <w:rPr>
          <w:sz w:val="22"/>
          <w:szCs w:val="22"/>
          <w:lang w:val="sr-Latn-ME"/>
        </w:rPr>
        <w:t xml:space="preserve"> temelji se na podacima prikupljenim </w:t>
      </w:r>
      <w:r w:rsidRPr="00FB6F73">
        <w:rPr>
          <w:sz w:val="22"/>
          <w:szCs w:val="22"/>
          <w:lang w:val="sr-Latn-ME"/>
        </w:rPr>
        <w:t xml:space="preserve">od </w:t>
      </w:r>
      <w:r w:rsidR="005D6DC0" w:rsidRPr="00FB6F73">
        <w:rPr>
          <w:sz w:val="22"/>
          <w:szCs w:val="22"/>
          <w:lang w:val="sr-Latn-ME"/>
        </w:rPr>
        <w:t xml:space="preserve">više od 1500 pacijenata liječenih najmanje jednom dozom </w:t>
      </w:r>
      <w:r w:rsidRPr="00FB6F73">
        <w:rPr>
          <w:sz w:val="22"/>
          <w:szCs w:val="22"/>
          <w:lang w:val="sr-Latn-ME"/>
        </w:rPr>
        <w:t>erlotiniba</w:t>
      </w:r>
      <w:r w:rsidR="005D6DC0" w:rsidRPr="00FB6F73">
        <w:rPr>
          <w:sz w:val="22"/>
          <w:szCs w:val="22"/>
          <w:lang w:val="sr-Latn-ME"/>
        </w:rPr>
        <w:t xml:space="preserve"> od 150 mg </w:t>
      </w:r>
      <w:r w:rsidRPr="00FB6F73">
        <w:rPr>
          <w:sz w:val="22"/>
          <w:szCs w:val="22"/>
          <w:lang w:val="sr-Latn-ME"/>
        </w:rPr>
        <w:t xml:space="preserve">kao </w:t>
      </w:r>
      <w:r w:rsidR="005D6DC0" w:rsidRPr="00FB6F73">
        <w:rPr>
          <w:sz w:val="22"/>
          <w:szCs w:val="22"/>
          <w:lang w:val="sr-Latn-ME"/>
        </w:rPr>
        <w:t>monoterapij</w:t>
      </w:r>
      <w:r w:rsidRPr="00FB6F73">
        <w:rPr>
          <w:sz w:val="22"/>
          <w:szCs w:val="22"/>
          <w:lang w:val="sr-Latn-ME"/>
        </w:rPr>
        <w:t>e</w:t>
      </w:r>
      <w:r w:rsidR="005D6DC0" w:rsidRPr="00FB6F73">
        <w:rPr>
          <w:sz w:val="22"/>
          <w:szCs w:val="22"/>
          <w:lang w:val="sr-Latn-ME"/>
        </w:rPr>
        <w:t xml:space="preserve"> </w:t>
      </w:r>
      <w:r w:rsidRPr="00FB6F73">
        <w:rPr>
          <w:sz w:val="22"/>
          <w:szCs w:val="22"/>
          <w:lang w:val="sr-Latn-ME"/>
        </w:rPr>
        <w:t xml:space="preserve">i </w:t>
      </w:r>
      <w:r w:rsidR="005D6DC0" w:rsidRPr="00FB6F73">
        <w:rPr>
          <w:sz w:val="22"/>
          <w:szCs w:val="22"/>
          <w:lang w:val="sr-Latn-ME"/>
        </w:rPr>
        <w:t xml:space="preserve">više od 300 pacijenata koji su primali </w:t>
      </w:r>
      <w:r w:rsidRPr="00FB6F73">
        <w:rPr>
          <w:sz w:val="22"/>
          <w:szCs w:val="22"/>
          <w:lang w:val="sr-Latn-ME"/>
        </w:rPr>
        <w:t>erlotinib</w:t>
      </w:r>
      <w:r w:rsidR="005D6DC0" w:rsidRPr="00FB6F73">
        <w:rPr>
          <w:sz w:val="22"/>
          <w:szCs w:val="22"/>
          <w:lang w:val="sr-Latn-ME"/>
        </w:rPr>
        <w:t xml:space="preserve"> u dozi od 100 ili 150 mg</w:t>
      </w:r>
      <w:r w:rsidRPr="00FB6F73">
        <w:rPr>
          <w:sz w:val="22"/>
          <w:szCs w:val="22"/>
          <w:lang w:val="sr-Latn-ME"/>
        </w:rPr>
        <w:t>,</w:t>
      </w:r>
      <w:r w:rsidR="005D6DC0" w:rsidRPr="00FB6F73">
        <w:rPr>
          <w:sz w:val="22"/>
          <w:szCs w:val="22"/>
          <w:lang w:val="sr-Latn-ME"/>
        </w:rPr>
        <w:t xml:space="preserve"> u kombinaciji s gemcitabinom. </w:t>
      </w:r>
    </w:p>
    <w:p w14:paraId="2CBC4659" w14:textId="77777777" w:rsidR="00D63ADE" w:rsidRPr="00FB6F73" w:rsidRDefault="00D63ADE" w:rsidP="00917054">
      <w:pPr>
        <w:tabs>
          <w:tab w:val="left" w:pos="540"/>
          <w:tab w:val="left" w:pos="569"/>
        </w:tabs>
        <w:jc w:val="both"/>
        <w:rPr>
          <w:sz w:val="22"/>
          <w:szCs w:val="22"/>
          <w:lang w:val="sr-Latn-ME"/>
        </w:rPr>
      </w:pPr>
    </w:p>
    <w:p w14:paraId="24E6907D" w14:textId="2A7E4D1D" w:rsidR="00981FFD" w:rsidRPr="00FB6F73" w:rsidRDefault="005D6DC0" w:rsidP="00917054">
      <w:pPr>
        <w:tabs>
          <w:tab w:val="left" w:pos="540"/>
          <w:tab w:val="left" w:pos="569"/>
        </w:tabs>
        <w:jc w:val="both"/>
        <w:rPr>
          <w:sz w:val="22"/>
          <w:szCs w:val="22"/>
          <w:lang w:val="sr-Latn-ME"/>
        </w:rPr>
      </w:pPr>
      <w:r w:rsidRPr="00FB6F73">
        <w:rPr>
          <w:sz w:val="22"/>
          <w:szCs w:val="22"/>
          <w:lang w:val="sr-Latn-ME"/>
        </w:rPr>
        <w:t xml:space="preserve">Incidenca neželjenih dejstava lijeka prijavljenih u kliničkim ispitivanjima kod primjene </w:t>
      </w:r>
      <w:r w:rsidR="00D63ADE" w:rsidRPr="00FB6F73">
        <w:rPr>
          <w:sz w:val="22"/>
          <w:szCs w:val="22"/>
          <w:lang w:val="sr-Latn-ME"/>
        </w:rPr>
        <w:t>erlotiniba</w:t>
      </w:r>
      <w:r w:rsidRPr="00FB6F73">
        <w:rPr>
          <w:sz w:val="22"/>
          <w:szCs w:val="22"/>
          <w:lang w:val="sr-Latn-ME"/>
        </w:rPr>
        <w:t xml:space="preserve"> </w:t>
      </w:r>
      <w:r w:rsidR="00D63ADE" w:rsidRPr="00FB6F73">
        <w:rPr>
          <w:sz w:val="22"/>
          <w:szCs w:val="22"/>
          <w:lang w:val="sr-Latn-ME"/>
        </w:rPr>
        <w:t xml:space="preserve">kao </w:t>
      </w:r>
      <w:r w:rsidRPr="00FB6F73">
        <w:rPr>
          <w:sz w:val="22"/>
          <w:szCs w:val="22"/>
          <w:lang w:val="sr-Latn-ME"/>
        </w:rPr>
        <w:t>monoterapij</w:t>
      </w:r>
      <w:r w:rsidR="00D63ADE" w:rsidRPr="00FB6F73">
        <w:rPr>
          <w:sz w:val="22"/>
          <w:szCs w:val="22"/>
          <w:lang w:val="sr-Latn-ME"/>
        </w:rPr>
        <w:t>e</w:t>
      </w:r>
      <w:r w:rsidRPr="00FB6F73">
        <w:rPr>
          <w:sz w:val="22"/>
          <w:szCs w:val="22"/>
          <w:lang w:val="sr-Latn-ME"/>
        </w:rPr>
        <w:t xml:space="preserve"> ili u kombinaciji s </w:t>
      </w:r>
      <w:r w:rsidR="000F53BE" w:rsidRPr="00FB6F73">
        <w:rPr>
          <w:sz w:val="22"/>
          <w:szCs w:val="22"/>
          <w:lang w:val="sr-Latn-ME"/>
        </w:rPr>
        <w:t>h</w:t>
      </w:r>
      <w:r w:rsidRPr="00FB6F73">
        <w:rPr>
          <w:sz w:val="22"/>
          <w:szCs w:val="22"/>
          <w:lang w:val="sr-Latn-ME"/>
        </w:rPr>
        <w:t>em</w:t>
      </w:r>
      <w:r w:rsidR="00D63ADE" w:rsidRPr="00FB6F73">
        <w:rPr>
          <w:sz w:val="22"/>
          <w:szCs w:val="22"/>
          <w:lang w:val="sr-Latn-ME"/>
        </w:rPr>
        <w:t>i</w:t>
      </w:r>
      <w:r w:rsidRPr="00FB6F73">
        <w:rPr>
          <w:sz w:val="22"/>
          <w:szCs w:val="22"/>
          <w:lang w:val="sr-Latn-ME"/>
        </w:rPr>
        <w:t>oterapijom sažeto je prikazana u Tab</w:t>
      </w:r>
      <w:r w:rsidR="00D63ADE" w:rsidRPr="00FB6F73">
        <w:rPr>
          <w:sz w:val="22"/>
          <w:szCs w:val="22"/>
          <w:lang w:val="sr-Latn-ME"/>
        </w:rPr>
        <w:t>eli</w:t>
      </w:r>
      <w:r w:rsidRPr="00FB6F73">
        <w:rPr>
          <w:sz w:val="22"/>
          <w:szCs w:val="22"/>
          <w:lang w:val="sr-Latn-ME"/>
        </w:rPr>
        <w:t xml:space="preserve"> 1</w:t>
      </w:r>
      <w:r w:rsidR="0073143B" w:rsidRPr="00FB6F73">
        <w:rPr>
          <w:sz w:val="22"/>
          <w:szCs w:val="22"/>
          <w:lang w:val="sr-Latn-ME"/>
        </w:rPr>
        <w:t>,</w:t>
      </w:r>
      <w:r w:rsidRPr="00FB6F73">
        <w:rPr>
          <w:sz w:val="22"/>
          <w:szCs w:val="22"/>
          <w:lang w:val="sr-Latn-ME"/>
        </w:rPr>
        <w:t xml:space="preserve"> prema st</w:t>
      </w:r>
      <w:r w:rsidR="000F53BE" w:rsidRPr="00FB6F73">
        <w:rPr>
          <w:sz w:val="22"/>
          <w:szCs w:val="22"/>
          <w:lang w:val="sr-Latn-ME"/>
        </w:rPr>
        <w:t xml:space="preserve">epenu </w:t>
      </w:r>
      <w:r w:rsidRPr="00FB6F73">
        <w:rPr>
          <w:sz w:val="22"/>
          <w:szCs w:val="22"/>
          <w:lang w:val="sr-Latn-ME"/>
        </w:rPr>
        <w:t>toksičnosti</w:t>
      </w:r>
      <w:r w:rsidR="00D63ADE" w:rsidRPr="00FB6F73">
        <w:rPr>
          <w:sz w:val="22"/>
          <w:szCs w:val="22"/>
          <w:lang w:val="sr-Latn-ME"/>
        </w:rPr>
        <w:t>,</w:t>
      </w:r>
      <w:r w:rsidRPr="00FB6F73">
        <w:rPr>
          <w:sz w:val="22"/>
          <w:szCs w:val="22"/>
          <w:lang w:val="sr-Latn-ME"/>
        </w:rPr>
        <w:t xml:space="preserve"> </w:t>
      </w:r>
      <w:r w:rsidR="00D63ADE" w:rsidRPr="00FB6F73">
        <w:rPr>
          <w:sz w:val="22"/>
          <w:szCs w:val="22"/>
          <w:lang w:val="sr-Latn-ME"/>
        </w:rPr>
        <w:t xml:space="preserve">u skladu sa  opštim </w:t>
      </w:r>
      <w:r w:rsidRPr="00FB6F73">
        <w:rPr>
          <w:sz w:val="22"/>
          <w:szCs w:val="22"/>
          <w:lang w:val="sr-Latn-ME"/>
        </w:rPr>
        <w:t>kriterij</w:t>
      </w:r>
      <w:r w:rsidR="000F53BE" w:rsidRPr="00FB6F73">
        <w:rPr>
          <w:sz w:val="22"/>
          <w:szCs w:val="22"/>
          <w:lang w:val="sr-Latn-ME"/>
        </w:rPr>
        <w:t>umima</w:t>
      </w:r>
      <w:r w:rsidRPr="00FB6F73">
        <w:rPr>
          <w:sz w:val="22"/>
          <w:szCs w:val="22"/>
          <w:lang w:val="sr-Latn-ME"/>
        </w:rPr>
        <w:t xml:space="preserve"> toksičnosti Nacionalnog instituta za rak (</w:t>
      </w:r>
      <w:r w:rsidRPr="00FB6F73">
        <w:rPr>
          <w:i/>
          <w:sz w:val="22"/>
          <w:szCs w:val="22"/>
          <w:lang w:val="sr-Latn-ME"/>
        </w:rPr>
        <w:t>National Cancer Institute-Common Toxicity Criteria</w:t>
      </w:r>
      <w:r w:rsidRPr="00FB6F73">
        <w:rPr>
          <w:sz w:val="22"/>
          <w:szCs w:val="22"/>
          <w:lang w:val="sr-Latn-ME"/>
        </w:rPr>
        <w:t>, NCI-CTC). Naveden</w:t>
      </w:r>
      <w:r w:rsidR="000F53BE" w:rsidRPr="00FB6F73">
        <w:rPr>
          <w:sz w:val="22"/>
          <w:szCs w:val="22"/>
          <w:lang w:val="sr-Latn-ME"/>
        </w:rPr>
        <w:t>a</w:t>
      </w:r>
      <w:r w:rsidRPr="00FB6F73">
        <w:rPr>
          <w:sz w:val="22"/>
          <w:szCs w:val="22"/>
          <w:lang w:val="sr-Latn-ME"/>
        </w:rPr>
        <w:t xml:space="preserve"> su </w:t>
      </w:r>
      <w:r w:rsidR="000F53BE" w:rsidRPr="00FB6F73">
        <w:rPr>
          <w:sz w:val="22"/>
          <w:szCs w:val="22"/>
          <w:lang w:val="sr-Latn-ME"/>
        </w:rPr>
        <w:t>neželjena dejstva</w:t>
      </w:r>
      <w:r w:rsidRPr="00FB6F73">
        <w:rPr>
          <w:sz w:val="22"/>
          <w:szCs w:val="22"/>
          <w:lang w:val="sr-Latn-ME"/>
        </w:rPr>
        <w:t xml:space="preserve"> koj</w:t>
      </w:r>
      <w:r w:rsidR="000F53BE" w:rsidRPr="00FB6F73">
        <w:rPr>
          <w:sz w:val="22"/>
          <w:szCs w:val="22"/>
          <w:lang w:val="sr-Latn-ME"/>
        </w:rPr>
        <w:t>a</w:t>
      </w:r>
      <w:r w:rsidRPr="00FB6F73">
        <w:rPr>
          <w:sz w:val="22"/>
          <w:szCs w:val="22"/>
          <w:lang w:val="sr-Latn-ME"/>
        </w:rPr>
        <w:t xml:space="preserve"> su prijavljen</w:t>
      </w:r>
      <w:r w:rsidR="000F53BE" w:rsidRPr="00FB6F73">
        <w:rPr>
          <w:sz w:val="22"/>
          <w:szCs w:val="22"/>
          <w:lang w:val="sr-Latn-ME"/>
        </w:rPr>
        <w:t>a</w:t>
      </w:r>
      <w:r w:rsidRPr="00FB6F73">
        <w:rPr>
          <w:sz w:val="22"/>
          <w:szCs w:val="22"/>
          <w:lang w:val="sr-Latn-ME"/>
        </w:rPr>
        <w:t xml:space="preserve"> </w:t>
      </w:r>
      <w:r w:rsidR="00D63ADE" w:rsidRPr="00FB6F73">
        <w:rPr>
          <w:sz w:val="22"/>
          <w:szCs w:val="22"/>
          <w:lang w:val="sr-Latn-ME"/>
        </w:rPr>
        <w:t xml:space="preserve">kod </w:t>
      </w:r>
      <w:r w:rsidRPr="00FB6F73">
        <w:rPr>
          <w:sz w:val="22"/>
          <w:szCs w:val="22"/>
          <w:lang w:val="sr-Latn-ME"/>
        </w:rPr>
        <w:t xml:space="preserve">najmanje 10% </w:t>
      </w:r>
      <w:r w:rsidR="00D63ADE" w:rsidRPr="00FB6F73">
        <w:rPr>
          <w:sz w:val="22"/>
          <w:szCs w:val="22"/>
          <w:lang w:val="sr-Latn-ME"/>
        </w:rPr>
        <w:t xml:space="preserve">pacijenata </w:t>
      </w:r>
      <w:r w:rsidRPr="00FB6F73">
        <w:rPr>
          <w:sz w:val="22"/>
          <w:szCs w:val="22"/>
          <w:lang w:val="sr-Latn-ME"/>
        </w:rPr>
        <w:t xml:space="preserve">(u </w:t>
      </w:r>
      <w:r w:rsidR="000F53BE" w:rsidRPr="00FB6F73">
        <w:rPr>
          <w:sz w:val="22"/>
          <w:szCs w:val="22"/>
          <w:lang w:val="sr-Latn-ME"/>
        </w:rPr>
        <w:t>grupi</w:t>
      </w:r>
      <w:r w:rsidRPr="00FB6F73">
        <w:rPr>
          <w:sz w:val="22"/>
          <w:szCs w:val="22"/>
          <w:lang w:val="sr-Latn-ME"/>
        </w:rPr>
        <w:t xml:space="preserve"> liječenoj </w:t>
      </w:r>
      <w:r w:rsidR="0073143B" w:rsidRPr="00FB6F73">
        <w:rPr>
          <w:sz w:val="22"/>
          <w:szCs w:val="22"/>
          <w:lang w:val="sr-Latn-ME"/>
        </w:rPr>
        <w:t>erlotinibom</w:t>
      </w:r>
      <w:r w:rsidRPr="00FB6F73">
        <w:rPr>
          <w:sz w:val="22"/>
          <w:szCs w:val="22"/>
          <w:lang w:val="sr-Latn-ME"/>
        </w:rPr>
        <w:t xml:space="preserve">) i koje su se javljale češće (≥ 3%) </w:t>
      </w:r>
      <w:r w:rsidR="0073143B" w:rsidRPr="00FB6F73">
        <w:rPr>
          <w:sz w:val="22"/>
          <w:szCs w:val="22"/>
          <w:lang w:val="sr-Latn-ME"/>
        </w:rPr>
        <w:t>kod pacijenata</w:t>
      </w:r>
      <w:r w:rsidRPr="00FB6F73">
        <w:rPr>
          <w:sz w:val="22"/>
          <w:szCs w:val="22"/>
          <w:lang w:val="sr-Latn-ME"/>
        </w:rPr>
        <w:t xml:space="preserve"> liječenih </w:t>
      </w:r>
      <w:r w:rsidR="0073143B" w:rsidRPr="00FB6F73">
        <w:rPr>
          <w:sz w:val="22"/>
          <w:szCs w:val="22"/>
          <w:lang w:val="sr-Latn-ME"/>
        </w:rPr>
        <w:t>e</w:t>
      </w:r>
      <w:r w:rsidR="000F53BE" w:rsidRPr="00FB6F73">
        <w:rPr>
          <w:sz w:val="22"/>
          <w:szCs w:val="22"/>
          <w:lang w:val="sr-Latn-ME"/>
        </w:rPr>
        <w:t>rlotinib</w:t>
      </w:r>
      <w:r w:rsidR="0073143B" w:rsidRPr="00FB6F73">
        <w:rPr>
          <w:sz w:val="22"/>
          <w:szCs w:val="22"/>
          <w:lang w:val="sr-Latn-ME"/>
        </w:rPr>
        <w:t>om</w:t>
      </w:r>
      <w:r w:rsidRPr="00FB6F73">
        <w:rPr>
          <w:sz w:val="22"/>
          <w:szCs w:val="22"/>
          <w:lang w:val="sr-Latn-ME"/>
        </w:rPr>
        <w:t xml:space="preserve"> nego u </w:t>
      </w:r>
      <w:r w:rsidR="000F53BE" w:rsidRPr="00FB6F73">
        <w:rPr>
          <w:sz w:val="22"/>
          <w:szCs w:val="22"/>
          <w:lang w:val="sr-Latn-ME"/>
        </w:rPr>
        <w:t>poredbenoj grup</w:t>
      </w:r>
      <w:r w:rsidRPr="00FB6F73">
        <w:rPr>
          <w:sz w:val="22"/>
          <w:szCs w:val="22"/>
          <w:lang w:val="sr-Latn-ME"/>
        </w:rPr>
        <w:t>i. Ostal</w:t>
      </w:r>
      <w:r w:rsidR="000F53BE" w:rsidRPr="00FB6F73">
        <w:rPr>
          <w:sz w:val="22"/>
          <w:szCs w:val="22"/>
          <w:lang w:val="sr-Latn-ME"/>
        </w:rPr>
        <w:t>a neželjena dejstva</w:t>
      </w:r>
      <w:r w:rsidRPr="00FB6F73">
        <w:rPr>
          <w:sz w:val="22"/>
          <w:szCs w:val="22"/>
          <w:lang w:val="sr-Latn-ME"/>
        </w:rPr>
        <w:t>, uključujući on</w:t>
      </w:r>
      <w:r w:rsidR="000F53BE" w:rsidRPr="00FB6F73">
        <w:rPr>
          <w:sz w:val="22"/>
          <w:szCs w:val="22"/>
          <w:lang w:val="sr-Latn-ME"/>
        </w:rPr>
        <w:t>a</w:t>
      </w:r>
      <w:r w:rsidRPr="00FB6F73">
        <w:rPr>
          <w:sz w:val="22"/>
          <w:szCs w:val="22"/>
          <w:lang w:val="sr-Latn-ME"/>
        </w:rPr>
        <w:t xml:space="preserve"> iz drugih ispitivanja, sažeto su prikazan</w:t>
      </w:r>
      <w:r w:rsidR="000F53BE" w:rsidRPr="00FB6F73">
        <w:rPr>
          <w:sz w:val="22"/>
          <w:szCs w:val="22"/>
          <w:lang w:val="sr-Latn-ME"/>
        </w:rPr>
        <w:t>a</w:t>
      </w:r>
      <w:r w:rsidRPr="00FB6F73">
        <w:rPr>
          <w:sz w:val="22"/>
          <w:szCs w:val="22"/>
          <w:lang w:val="sr-Latn-ME"/>
        </w:rPr>
        <w:t xml:space="preserve"> u Tab</w:t>
      </w:r>
      <w:r w:rsidR="0073143B" w:rsidRPr="00FB6F73">
        <w:rPr>
          <w:sz w:val="22"/>
          <w:szCs w:val="22"/>
          <w:lang w:val="sr-Latn-ME"/>
        </w:rPr>
        <w:t>eli</w:t>
      </w:r>
      <w:r w:rsidRPr="00FB6F73">
        <w:rPr>
          <w:sz w:val="22"/>
          <w:szCs w:val="22"/>
          <w:lang w:val="sr-Latn-ME"/>
        </w:rPr>
        <w:t xml:space="preserve"> 2.</w:t>
      </w:r>
    </w:p>
    <w:p w14:paraId="6C710A10" w14:textId="479BFC53" w:rsidR="005D6DC0" w:rsidRPr="00FB6F73" w:rsidRDefault="005D6DC0" w:rsidP="00917054">
      <w:pPr>
        <w:tabs>
          <w:tab w:val="left" w:pos="540"/>
          <w:tab w:val="left" w:pos="569"/>
        </w:tabs>
        <w:jc w:val="both"/>
        <w:rPr>
          <w:sz w:val="22"/>
          <w:szCs w:val="22"/>
          <w:lang w:val="sr-Latn-ME"/>
        </w:rPr>
      </w:pPr>
    </w:p>
    <w:p w14:paraId="3419F198" w14:textId="4B4288B6" w:rsidR="005D6DC0" w:rsidRPr="00FB6F73" w:rsidRDefault="005D6DC0" w:rsidP="00917054">
      <w:pPr>
        <w:tabs>
          <w:tab w:val="left" w:pos="540"/>
          <w:tab w:val="left" w:pos="569"/>
        </w:tabs>
        <w:jc w:val="both"/>
        <w:rPr>
          <w:sz w:val="22"/>
          <w:szCs w:val="22"/>
          <w:lang w:val="sr-Latn-ME"/>
        </w:rPr>
      </w:pPr>
      <w:r w:rsidRPr="00FB6F73">
        <w:rPr>
          <w:sz w:val="22"/>
          <w:szCs w:val="22"/>
          <w:lang w:val="sr-Latn-ME"/>
        </w:rPr>
        <w:t>N</w:t>
      </w:r>
      <w:r w:rsidR="000F53BE" w:rsidRPr="00FB6F73">
        <w:rPr>
          <w:sz w:val="22"/>
          <w:szCs w:val="22"/>
          <w:lang w:val="sr-Latn-ME"/>
        </w:rPr>
        <w:t>eželjena dejstva</w:t>
      </w:r>
      <w:r w:rsidRPr="00FB6F73">
        <w:rPr>
          <w:sz w:val="22"/>
          <w:szCs w:val="22"/>
          <w:lang w:val="sr-Latn-ME"/>
        </w:rPr>
        <w:t xml:space="preserve"> iz kliničkih ispitivanja (Tab</w:t>
      </w:r>
      <w:r w:rsidR="0073143B" w:rsidRPr="00FB6F73">
        <w:rPr>
          <w:sz w:val="22"/>
          <w:szCs w:val="22"/>
          <w:lang w:val="sr-Latn-ME"/>
        </w:rPr>
        <w:t>ela</w:t>
      </w:r>
      <w:r w:rsidRPr="00FB6F73">
        <w:rPr>
          <w:sz w:val="22"/>
          <w:szCs w:val="22"/>
          <w:lang w:val="sr-Latn-ME"/>
        </w:rPr>
        <w:t xml:space="preserve"> 1) naveden</w:t>
      </w:r>
      <w:r w:rsidR="0073143B" w:rsidRPr="00FB6F73">
        <w:rPr>
          <w:sz w:val="22"/>
          <w:szCs w:val="22"/>
          <w:lang w:val="sr-Latn-ME"/>
        </w:rPr>
        <w:t>a</w:t>
      </w:r>
      <w:r w:rsidRPr="00FB6F73">
        <w:rPr>
          <w:sz w:val="22"/>
          <w:szCs w:val="22"/>
          <w:lang w:val="sr-Latn-ME"/>
        </w:rPr>
        <w:t xml:space="preserve"> su prema MedDRA klasifikaciji organskih s</w:t>
      </w:r>
      <w:r w:rsidR="000F53BE" w:rsidRPr="00FB6F73">
        <w:rPr>
          <w:sz w:val="22"/>
          <w:szCs w:val="22"/>
          <w:lang w:val="sr-Latn-ME"/>
        </w:rPr>
        <w:t>istema</w:t>
      </w:r>
      <w:r w:rsidRPr="00FB6F73">
        <w:rPr>
          <w:sz w:val="22"/>
          <w:szCs w:val="22"/>
          <w:lang w:val="sr-Latn-ME"/>
        </w:rPr>
        <w:t>. Pripadajuće kategorije učestalosti za svak</w:t>
      </w:r>
      <w:r w:rsidR="000F53BE" w:rsidRPr="00FB6F73">
        <w:rPr>
          <w:sz w:val="22"/>
          <w:szCs w:val="22"/>
          <w:lang w:val="sr-Latn-ME"/>
        </w:rPr>
        <w:t>o</w:t>
      </w:r>
      <w:r w:rsidRPr="00FB6F73">
        <w:rPr>
          <w:sz w:val="22"/>
          <w:szCs w:val="22"/>
          <w:lang w:val="sr-Latn-ME"/>
        </w:rPr>
        <w:t xml:space="preserve"> </w:t>
      </w:r>
      <w:r w:rsidR="000F53BE" w:rsidRPr="00FB6F73">
        <w:rPr>
          <w:sz w:val="22"/>
          <w:szCs w:val="22"/>
          <w:lang w:val="sr-Latn-ME"/>
        </w:rPr>
        <w:t xml:space="preserve">neželjeno dejstvo </w:t>
      </w:r>
      <w:r w:rsidRPr="00FB6F73">
        <w:rPr>
          <w:sz w:val="22"/>
          <w:szCs w:val="22"/>
          <w:lang w:val="sr-Latn-ME"/>
        </w:rPr>
        <w:t xml:space="preserve">temelje se na sljedećim kategorijama: vrlo često (≥1/10), često (≥1/100 i &lt;1/10), </w:t>
      </w:r>
      <w:r w:rsidR="0073143B" w:rsidRPr="00FB6F73">
        <w:rPr>
          <w:sz w:val="22"/>
          <w:szCs w:val="22"/>
          <w:lang w:val="sr-Latn-ME"/>
        </w:rPr>
        <w:t>povremeno</w:t>
      </w:r>
      <w:r w:rsidRPr="00FB6F73">
        <w:rPr>
          <w:sz w:val="22"/>
          <w:szCs w:val="22"/>
          <w:lang w:val="sr-Latn-ME"/>
        </w:rPr>
        <w:t xml:space="preserve"> (≥1/1000 i &lt;1/100), rijetko (≥1/10 000 i &lt;1/1000), vrlo rijetko (&lt;1/10 000). </w:t>
      </w:r>
    </w:p>
    <w:p w14:paraId="6EBFBEB9" w14:textId="77777777" w:rsidR="0073143B" w:rsidRPr="00FB6F73" w:rsidRDefault="0073143B" w:rsidP="00917054">
      <w:pPr>
        <w:tabs>
          <w:tab w:val="left" w:pos="540"/>
          <w:tab w:val="left" w:pos="569"/>
        </w:tabs>
        <w:jc w:val="both"/>
        <w:rPr>
          <w:sz w:val="22"/>
          <w:szCs w:val="22"/>
          <w:lang w:val="sr-Latn-ME"/>
        </w:rPr>
      </w:pPr>
    </w:p>
    <w:p w14:paraId="62561255" w14:textId="321380FE" w:rsidR="005D6DC0" w:rsidRPr="00FB6F73" w:rsidRDefault="005D6DC0" w:rsidP="00917054">
      <w:pPr>
        <w:tabs>
          <w:tab w:val="left" w:pos="540"/>
          <w:tab w:val="left" w:pos="569"/>
        </w:tabs>
        <w:jc w:val="both"/>
        <w:rPr>
          <w:sz w:val="22"/>
          <w:szCs w:val="22"/>
          <w:lang w:val="sr-Latn-ME"/>
        </w:rPr>
      </w:pPr>
      <w:r w:rsidRPr="00FB6F73">
        <w:rPr>
          <w:sz w:val="22"/>
          <w:szCs w:val="22"/>
          <w:lang w:val="sr-Latn-ME"/>
        </w:rPr>
        <w:t>Unutar svake kategorije učestalosti</w:t>
      </w:r>
      <w:r w:rsidR="0073143B" w:rsidRPr="00FB6F73">
        <w:rPr>
          <w:sz w:val="22"/>
          <w:szCs w:val="22"/>
          <w:lang w:val="sr-Latn-ME"/>
        </w:rPr>
        <w:t>,</w:t>
      </w:r>
      <w:r w:rsidRPr="00FB6F73">
        <w:rPr>
          <w:sz w:val="22"/>
          <w:szCs w:val="22"/>
          <w:lang w:val="sr-Latn-ME"/>
        </w:rPr>
        <w:t xml:space="preserve"> n</w:t>
      </w:r>
      <w:r w:rsidR="000F53BE" w:rsidRPr="00FB6F73">
        <w:rPr>
          <w:sz w:val="22"/>
          <w:szCs w:val="22"/>
          <w:lang w:val="sr-Latn-ME"/>
        </w:rPr>
        <w:t>eželjen</w:t>
      </w:r>
      <w:r w:rsidR="0073143B" w:rsidRPr="00FB6F73">
        <w:rPr>
          <w:sz w:val="22"/>
          <w:szCs w:val="22"/>
          <w:lang w:val="sr-Latn-ME"/>
        </w:rPr>
        <w:t>a</w:t>
      </w:r>
      <w:r w:rsidR="000F53BE" w:rsidRPr="00FB6F73">
        <w:rPr>
          <w:sz w:val="22"/>
          <w:szCs w:val="22"/>
          <w:lang w:val="sr-Latn-ME"/>
        </w:rPr>
        <w:t xml:space="preserve"> dejstva</w:t>
      </w:r>
      <w:r w:rsidRPr="00FB6F73">
        <w:rPr>
          <w:sz w:val="22"/>
          <w:szCs w:val="22"/>
          <w:lang w:val="sr-Latn-ME"/>
        </w:rPr>
        <w:t xml:space="preserve"> su prikazan</w:t>
      </w:r>
      <w:r w:rsidR="0073143B" w:rsidRPr="00FB6F73">
        <w:rPr>
          <w:sz w:val="22"/>
          <w:szCs w:val="22"/>
          <w:lang w:val="sr-Latn-ME"/>
        </w:rPr>
        <w:t>a</w:t>
      </w:r>
      <w:r w:rsidRPr="00FB6F73">
        <w:rPr>
          <w:sz w:val="22"/>
          <w:szCs w:val="22"/>
          <w:lang w:val="sr-Latn-ME"/>
        </w:rPr>
        <w:t xml:space="preserve"> prema </w:t>
      </w:r>
      <w:r w:rsidR="0073143B" w:rsidRPr="00FB6F73">
        <w:rPr>
          <w:sz w:val="22"/>
          <w:szCs w:val="22"/>
          <w:lang w:val="sr-Latn-ME"/>
        </w:rPr>
        <w:t xml:space="preserve">opadajućoj </w:t>
      </w:r>
      <w:r w:rsidRPr="00FB6F73">
        <w:rPr>
          <w:sz w:val="22"/>
          <w:szCs w:val="22"/>
          <w:lang w:val="sr-Latn-ME"/>
        </w:rPr>
        <w:t xml:space="preserve">ozbiljnosti. </w:t>
      </w:r>
    </w:p>
    <w:p w14:paraId="4254AB42" w14:textId="77777777" w:rsidR="0073143B" w:rsidRPr="00FB6F73" w:rsidRDefault="0073143B" w:rsidP="00917054">
      <w:pPr>
        <w:tabs>
          <w:tab w:val="left" w:pos="540"/>
          <w:tab w:val="left" w:pos="569"/>
        </w:tabs>
        <w:jc w:val="both"/>
        <w:rPr>
          <w:sz w:val="22"/>
          <w:szCs w:val="22"/>
          <w:lang w:val="sr-Latn-ME"/>
        </w:rPr>
      </w:pPr>
    </w:p>
    <w:p w14:paraId="38892362" w14:textId="7DBEC397" w:rsidR="0073143B" w:rsidRPr="00FB6F73" w:rsidRDefault="0073143B" w:rsidP="005D6DC0">
      <w:pPr>
        <w:tabs>
          <w:tab w:val="left" w:pos="540"/>
          <w:tab w:val="left" w:pos="569"/>
        </w:tabs>
        <w:rPr>
          <w:sz w:val="22"/>
          <w:szCs w:val="22"/>
          <w:u w:val="single"/>
          <w:lang w:val="sr-Latn-ME"/>
        </w:rPr>
      </w:pPr>
      <w:r w:rsidRPr="00FB6F73">
        <w:rPr>
          <w:sz w:val="22"/>
          <w:szCs w:val="22"/>
          <w:u w:val="single"/>
          <w:lang w:val="sr-Latn-ME"/>
        </w:rPr>
        <w:t>Nemikrocelularni karcinom pluća</w:t>
      </w:r>
      <w:r w:rsidR="005D6DC0" w:rsidRPr="00FB6F73">
        <w:rPr>
          <w:sz w:val="22"/>
          <w:szCs w:val="22"/>
          <w:u w:val="single"/>
          <w:lang w:val="sr-Latn-ME"/>
        </w:rPr>
        <w:t xml:space="preserve"> (</w:t>
      </w:r>
      <w:r w:rsidR="000F53BE" w:rsidRPr="00FB6F73">
        <w:rPr>
          <w:sz w:val="22"/>
          <w:szCs w:val="22"/>
          <w:u w:val="single"/>
          <w:lang w:val="sr-Latn-ME"/>
        </w:rPr>
        <w:t xml:space="preserve"> </w:t>
      </w:r>
      <w:bookmarkStart w:id="0" w:name="_Hlk114559279"/>
      <w:r w:rsidRPr="00FB6F73">
        <w:rPr>
          <w:sz w:val="22"/>
          <w:szCs w:val="22"/>
          <w:u w:val="single"/>
          <w:lang w:val="sr-Latn-ME"/>
        </w:rPr>
        <w:t>erlotinib primijenjen</w:t>
      </w:r>
      <w:r w:rsidR="000F53BE" w:rsidRPr="00FB6F73">
        <w:rPr>
          <w:sz w:val="22"/>
          <w:szCs w:val="22"/>
          <w:u w:val="single"/>
          <w:lang w:val="sr-Latn-ME"/>
        </w:rPr>
        <w:t xml:space="preserve"> </w:t>
      </w:r>
      <w:bookmarkEnd w:id="0"/>
      <w:r w:rsidR="005D6DC0" w:rsidRPr="00FB6F73">
        <w:rPr>
          <w:sz w:val="22"/>
          <w:szCs w:val="22"/>
          <w:u w:val="single"/>
          <w:lang w:val="sr-Latn-ME"/>
        </w:rPr>
        <w:t>kao monoterapij</w:t>
      </w:r>
      <w:r w:rsidRPr="00FB6F73">
        <w:rPr>
          <w:sz w:val="22"/>
          <w:szCs w:val="22"/>
          <w:u w:val="single"/>
          <w:lang w:val="sr-Latn-ME"/>
        </w:rPr>
        <w:t>a</w:t>
      </w:r>
      <w:r w:rsidR="005D6DC0" w:rsidRPr="00FB6F73">
        <w:rPr>
          <w:sz w:val="22"/>
          <w:szCs w:val="22"/>
          <w:u w:val="single"/>
          <w:lang w:val="sr-Latn-ME"/>
        </w:rPr>
        <w:t xml:space="preserve">) </w:t>
      </w:r>
    </w:p>
    <w:p w14:paraId="462BE760" w14:textId="024064CD" w:rsidR="005D6DC0" w:rsidRPr="00FB6F73" w:rsidRDefault="005D6DC0" w:rsidP="005D6DC0">
      <w:pPr>
        <w:tabs>
          <w:tab w:val="left" w:pos="540"/>
          <w:tab w:val="left" w:pos="569"/>
        </w:tabs>
        <w:rPr>
          <w:sz w:val="22"/>
          <w:szCs w:val="22"/>
          <w:lang w:val="sr-Latn-ME"/>
        </w:rPr>
      </w:pPr>
    </w:p>
    <w:p w14:paraId="5B2ADE46" w14:textId="77777777" w:rsidR="0073143B" w:rsidRPr="00FB6F73" w:rsidRDefault="0073143B" w:rsidP="0073143B">
      <w:pPr>
        <w:tabs>
          <w:tab w:val="left" w:pos="540"/>
          <w:tab w:val="left" w:pos="569"/>
        </w:tabs>
        <w:jc w:val="both"/>
        <w:rPr>
          <w:bCs/>
          <w:i/>
          <w:sz w:val="22"/>
          <w:szCs w:val="22"/>
          <w:u w:val="single"/>
          <w:lang w:val="sr-Latn-ME"/>
        </w:rPr>
      </w:pPr>
      <w:r w:rsidRPr="00FB6F73">
        <w:rPr>
          <w:bCs/>
          <w:i/>
          <w:sz w:val="22"/>
          <w:szCs w:val="22"/>
          <w:u w:val="single"/>
          <w:lang w:val="sr-Latn-ME"/>
        </w:rPr>
        <w:t xml:space="preserve">Terapija prve linije kod pacijenata sa EGFR mutacijama </w:t>
      </w:r>
    </w:p>
    <w:p w14:paraId="169E06DD" w14:textId="50A245FA" w:rsidR="0073143B" w:rsidRPr="00FB6F73" w:rsidRDefault="0073143B" w:rsidP="005C1819">
      <w:pPr>
        <w:tabs>
          <w:tab w:val="left" w:pos="540"/>
          <w:tab w:val="left" w:pos="569"/>
        </w:tabs>
        <w:jc w:val="both"/>
        <w:rPr>
          <w:bCs/>
          <w:sz w:val="22"/>
          <w:szCs w:val="22"/>
          <w:lang w:val="sr-Latn-ME"/>
        </w:rPr>
      </w:pPr>
      <w:r w:rsidRPr="00FB6F73">
        <w:rPr>
          <w:bCs/>
          <w:sz w:val="22"/>
          <w:szCs w:val="22"/>
          <w:lang w:val="sr-Latn-ME"/>
        </w:rPr>
        <w:t xml:space="preserve">U otvorenoj, randomizovanoj studiji faze III, ML20650 u kojoj su učestvovala 154 pacijenta; bezbjednost erlotiniba kao prve linije terapije pacijenata sa nemikrocelularnim karcinomom pluća sa EGFR aktivirajućim mutacijama je ispitivana kod 75 pacijenata. Nijesu uočeni novi bezbjednosni signali kod ovih pacijenata. </w:t>
      </w:r>
    </w:p>
    <w:p w14:paraId="7C635F09" w14:textId="77777777" w:rsidR="0073143B" w:rsidRPr="00FB6F73" w:rsidRDefault="0073143B">
      <w:pPr>
        <w:tabs>
          <w:tab w:val="left" w:pos="540"/>
          <w:tab w:val="left" w:pos="569"/>
        </w:tabs>
        <w:jc w:val="both"/>
        <w:rPr>
          <w:bCs/>
          <w:sz w:val="22"/>
          <w:szCs w:val="22"/>
          <w:lang w:val="sr-Latn-ME"/>
        </w:rPr>
      </w:pPr>
    </w:p>
    <w:p w14:paraId="477A012F" w14:textId="77777777" w:rsidR="0073143B" w:rsidRPr="00FB6F73" w:rsidRDefault="0073143B">
      <w:pPr>
        <w:tabs>
          <w:tab w:val="left" w:pos="540"/>
          <w:tab w:val="left" w:pos="569"/>
        </w:tabs>
        <w:jc w:val="both"/>
        <w:rPr>
          <w:bCs/>
          <w:sz w:val="22"/>
          <w:szCs w:val="22"/>
          <w:lang w:val="sr-Latn-ME"/>
        </w:rPr>
      </w:pPr>
      <w:r w:rsidRPr="00FB6F73">
        <w:rPr>
          <w:bCs/>
          <w:sz w:val="22"/>
          <w:szCs w:val="22"/>
          <w:lang w:val="sr-Latn-ME"/>
        </w:rPr>
        <w:t>Najčešće primijećena neželjena dejstva kod pacijenata koji su primali erlotinib  u studiji ML20650 su bila osip i dijareja (bilo kod gradusa kod 80% , odnosno 57% pacijenata). Najčešća su bila gradusa 1/2, i ova neželjena dejstva su prolazila bez posebnog liječenja. Osip i dijareja gradusa 3 javili su se kod 9% odnosno kod 4% pacijenata koji su primali erlotinib. Osip i dijareja gradusa 4 nijesu primjećeni. Prekid terapije zbog osipa i dijareje bio je potreban kod 1% pacijenata. Modifikacije doze (privremeni prekid primjene ili smanjenje doze) zbog osipa i dijareje bile su potrebne kod 11% odnosno 7% pacijenata.</w:t>
      </w:r>
    </w:p>
    <w:p w14:paraId="7BE8EEDE" w14:textId="3220AB91" w:rsidR="005D6DC0" w:rsidRPr="00FB6F73" w:rsidRDefault="005D6DC0" w:rsidP="00917054">
      <w:pPr>
        <w:tabs>
          <w:tab w:val="left" w:pos="540"/>
          <w:tab w:val="left" w:pos="569"/>
        </w:tabs>
        <w:jc w:val="both"/>
        <w:rPr>
          <w:sz w:val="22"/>
          <w:szCs w:val="22"/>
          <w:lang w:val="sr-Latn-ME"/>
        </w:rPr>
      </w:pPr>
    </w:p>
    <w:p w14:paraId="26CFE6E8" w14:textId="2C73D0E8" w:rsidR="005D6DC0" w:rsidRPr="00FB6F73" w:rsidRDefault="000F53BE" w:rsidP="00917054">
      <w:pPr>
        <w:tabs>
          <w:tab w:val="left" w:pos="540"/>
          <w:tab w:val="left" w:pos="569"/>
        </w:tabs>
        <w:jc w:val="both"/>
        <w:rPr>
          <w:i/>
          <w:sz w:val="22"/>
          <w:szCs w:val="22"/>
          <w:lang w:val="sr-Latn-ME"/>
        </w:rPr>
      </w:pPr>
      <w:r w:rsidRPr="00FB6F73">
        <w:rPr>
          <w:i/>
          <w:sz w:val="22"/>
          <w:szCs w:val="22"/>
          <w:lang w:val="sr-Latn-ME"/>
        </w:rPr>
        <w:t>T</w:t>
      </w:r>
      <w:r w:rsidR="005D6DC0" w:rsidRPr="00FB6F73">
        <w:rPr>
          <w:i/>
          <w:sz w:val="22"/>
          <w:szCs w:val="22"/>
          <w:lang w:val="sr-Latn-ME"/>
        </w:rPr>
        <w:t xml:space="preserve">erapija održavanja </w:t>
      </w:r>
    </w:p>
    <w:p w14:paraId="10DA1A5E" w14:textId="31C50F14" w:rsidR="005D6DC0" w:rsidRPr="00FB6F73" w:rsidRDefault="005D6DC0" w:rsidP="00917054">
      <w:pPr>
        <w:tabs>
          <w:tab w:val="left" w:pos="540"/>
          <w:tab w:val="left" w:pos="569"/>
        </w:tabs>
        <w:jc w:val="both"/>
        <w:rPr>
          <w:sz w:val="22"/>
          <w:szCs w:val="22"/>
          <w:lang w:val="sr-Latn-ME"/>
        </w:rPr>
      </w:pPr>
      <w:r w:rsidRPr="00FB6F73">
        <w:rPr>
          <w:sz w:val="22"/>
          <w:szCs w:val="22"/>
          <w:lang w:val="sr-Latn-ME"/>
        </w:rPr>
        <w:t>U druga dva dvostruko slijepa, randomizirana, placebom kontrol</w:t>
      </w:r>
      <w:r w:rsidR="000F53BE" w:rsidRPr="00FB6F73">
        <w:rPr>
          <w:sz w:val="22"/>
          <w:szCs w:val="22"/>
          <w:lang w:val="sr-Latn-ME"/>
        </w:rPr>
        <w:t>isana</w:t>
      </w:r>
      <w:r w:rsidRPr="00FB6F73">
        <w:rPr>
          <w:sz w:val="22"/>
          <w:szCs w:val="22"/>
          <w:lang w:val="sr-Latn-ME"/>
        </w:rPr>
        <w:t xml:space="preserve"> ispitivanja faze III – BO18192 (SATURN) i BO25460 (IUNO) – </w:t>
      </w:r>
      <w:r w:rsidR="00F54081" w:rsidRPr="00FB6F73">
        <w:rPr>
          <w:sz w:val="22"/>
          <w:szCs w:val="22"/>
          <w:lang w:val="sr-Latn-ME"/>
        </w:rPr>
        <w:t>erlotinib</w:t>
      </w:r>
      <w:r w:rsidRPr="00FB6F73">
        <w:rPr>
          <w:sz w:val="22"/>
          <w:szCs w:val="22"/>
          <w:lang w:val="sr-Latn-ME"/>
        </w:rPr>
        <w:t xml:space="preserve"> se primjenjiva</w:t>
      </w:r>
      <w:r w:rsidR="00F54081" w:rsidRPr="00FB6F73">
        <w:rPr>
          <w:sz w:val="22"/>
          <w:szCs w:val="22"/>
          <w:lang w:val="sr-Latn-ME"/>
        </w:rPr>
        <w:t>o</w:t>
      </w:r>
      <w:r w:rsidRPr="00FB6F73">
        <w:rPr>
          <w:sz w:val="22"/>
          <w:szCs w:val="22"/>
          <w:lang w:val="sr-Latn-ME"/>
        </w:rPr>
        <w:t xml:space="preserve"> kao terapija održavanja nakon prve linije </w:t>
      </w:r>
      <w:r w:rsidR="000F53BE" w:rsidRPr="00FB6F73">
        <w:rPr>
          <w:sz w:val="22"/>
          <w:szCs w:val="22"/>
          <w:lang w:val="sr-Latn-ME"/>
        </w:rPr>
        <w:t>h</w:t>
      </w:r>
      <w:r w:rsidRPr="00FB6F73">
        <w:rPr>
          <w:sz w:val="22"/>
          <w:szCs w:val="22"/>
          <w:lang w:val="sr-Latn-ME"/>
        </w:rPr>
        <w:t>em</w:t>
      </w:r>
      <w:r w:rsidR="00F54081" w:rsidRPr="00FB6F73">
        <w:rPr>
          <w:sz w:val="22"/>
          <w:szCs w:val="22"/>
          <w:lang w:val="sr-Latn-ME"/>
        </w:rPr>
        <w:t>i</w:t>
      </w:r>
      <w:r w:rsidRPr="00FB6F73">
        <w:rPr>
          <w:sz w:val="22"/>
          <w:szCs w:val="22"/>
          <w:lang w:val="sr-Latn-ME"/>
        </w:rPr>
        <w:t xml:space="preserve">oterapije. </w:t>
      </w:r>
      <w:r w:rsidR="00F54081" w:rsidRPr="00FB6F73">
        <w:rPr>
          <w:sz w:val="22"/>
          <w:szCs w:val="22"/>
          <w:lang w:val="sr-Latn-ME"/>
        </w:rPr>
        <w:t>Ova</w:t>
      </w:r>
      <w:r w:rsidRPr="00FB6F73">
        <w:rPr>
          <w:sz w:val="22"/>
          <w:szCs w:val="22"/>
          <w:lang w:val="sr-Latn-ME"/>
        </w:rPr>
        <w:t xml:space="preserve"> ispitivanja </w:t>
      </w:r>
      <w:r w:rsidR="00F54081" w:rsidRPr="00FB6F73">
        <w:rPr>
          <w:sz w:val="22"/>
          <w:szCs w:val="22"/>
          <w:lang w:val="sr-Latn-ME"/>
        </w:rPr>
        <w:t xml:space="preserve">su </w:t>
      </w:r>
      <w:r w:rsidR="000F53BE" w:rsidRPr="00FB6F73">
        <w:rPr>
          <w:sz w:val="22"/>
          <w:szCs w:val="22"/>
          <w:lang w:val="sr-Latn-ME"/>
        </w:rPr>
        <w:t>s</w:t>
      </w:r>
      <w:r w:rsidRPr="00FB6F73">
        <w:rPr>
          <w:sz w:val="22"/>
          <w:szCs w:val="22"/>
          <w:lang w:val="sr-Latn-ME"/>
        </w:rPr>
        <w:t xml:space="preserve">provedena </w:t>
      </w:r>
      <w:r w:rsidR="000F53BE" w:rsidRPr="00FB6F73">
        <w:rPr>
          <w:sz w:val="22"/>
          <w:szCs w:val="22"/>
          <w:lang w:val="sr-Latn-ME"/>
        </w:rPr>
        <w:t xml:space="preserve">na </w:t>
      </w:r>
      <w:r w:rsidRPr="00FB6F73">
        <w:rPr>
          <w:sz w:val="22"/>
          <w:szCs w:val="22"/>
          <w:lang w:val="sr-Latn-ME"/>
        </w:rPr>
        <w:t xml:space="preserve">ukupno 1532 </w:t>
      </w:r>
      <w:r w:rsidR="000F53BE" w:rsidRPr="00FB6F73">
        <w:rPr>
          <w:sz w:val="22"/>
          <w:szCs w:val="22"/>
          <w:lang w:val="sr-Latn-ME"/>
        </w:rPr>
        <w:t xml:space="preserve">pacijenta </w:t>
      </w:r>
      <w:r w:rsidRPr="00FB6F73">
        <w:rPr>
          <w:sz w:val="22"/>
          <w:szCs w:val="22"/>
          <w:lang w:val="sr-Latn-ME"/>
        </w:rPr>
        <w:t>s</w:t>
      </w:r>
      <w:r w:rsidR="000F53BE" w:rsidRPr="00FB6F73">
        <w:rPr>
          <w:sz w:val="22"/>
          <w:szCs w:val="22"/>
          <w:lang w:val="sr-Latn-ME"/>
        </w:rPr>
        <w:t>a</w:t>
      </w:r>
      <w:r w:rsidRPr="00FB6F73">
        <w:rPr>
          <w:sz w:val="22"/>
          <w:szCs w:val="22"/>
          <w:lang w:val="sr-Latn-ME"/>
        </w:rPr>
        <w:t xml:space="preserve"> uznapredovalim, rekurentnim ili metastatskim NSCLC-om nakon prve linije standardne </w:t>
      </w:r>
      <w:r w:rsidR="000F53BE" w:rsidRPr="00FB6F73">
        <w:rPr>
          <w:sz w:val="22"/>
          <w:szCs w:val="22"/>
          <w:lang w:val="sr-Latn-ME"/>
        </w:rPr>
        <w:t>h</w:t>
      </w:r>
      <w:r w:rsidRPr="00FB6F73">
        <w:rPr>
          <w:sz w:val="22"/>
          <w:szCs w:val="22"/>
          <w:lang w:val="sr-Latn-ME"/>
        </w:rPr>
        <w:t>em</w:t>
      </w:r>
      <w:r w:rsidR="00F54081" w:rsidRPr="00FB6F73">
        <w:rPr>
          <w:sz w:val="22"/>
          <w:szCs w:val="22"/>
          <w:lang w:val="sr-Latn-ME"/>
        </w:rPr>
        <w:t>i</w:t>
      </w:r>
      <w:r w:rsidRPr="00FB6F73">
        <w:rPr>
          <w:sz w:val="22"/>
          <w:szCs w:val="22"/>
          <w:lang w:val="sr-Latn-ME"/>
        </w:rPr>
        <w:t>oterapije na</w:t>
      </w:r>
      <w:r w:rsidR="00F54081" w:rsidRPr="00FB6F73">
        <w:rPr>
          <w:sz w:val="22"/>
          <w:szCs w:val="22"/>
          <w:lang w:val="sr-Latn-ME"/>
        </w:rPr>
        <w:t xml:space="preserve"> bazi</w:t>
      </w:r>
      <w:r w:rsidRPr="00FB6F73">
        <w:rPr>
          <w:sz w:val="22"/>
          <w:szCs w:val="22"/>
          <w:lang w:val="sr-Latn-ME"/>
        </w:rPr>
        <w:t xml:space="preserve"> platin</w:t>
      </w:r>
      <w:r w:rsidR="00F54081" w:rsidRPr="00FB6F73">
        <w:rPr>
          <w:sz w:val="22"/>
          <w:szCs w:val="22"/>
          <w:lang w:val="sr-Latn-ME"/>
        </w:rPr>
        <w:t>e</w:t>
      </w:r>
      <w:r w:rsidRPr="00FB6F73">
        <w:rPr>
          <w:sz w:val="22"/>
          <w:szCs w:val="22"/>
          <w:lang w:val="sr-Latn-ME"/>
        </w:rPr>
        <w:t>; ni</w:t>
      </w:r>
      <w:r w:rsidR="000F53BE" w:rsidRPr="00FB6F73">
        <w:rPr>
          <w:sz w:val="22"/>
          <w:szCs w:val="22"/>
          <w:lang w:val="sr-Latn-ME"/>
        </w:rPr>
        <w:t>je</w:t>
      </w:r>
      <w:r w:rsidRPr="00FB6F73">
        <w:rPr>
          <w:sz w:val="22"/>
          <w:szCs w:val="22"/>
          <w:lang w:val="sr-Latn-ME"/>
        </w:rPr>
        <w:t xml:space="preserve">su uočeni novi </w:t>
      </w:r>
      <w:r w:rsidR="00F54081" w:rsidRPr="00FB6F73">
        <w:rPr>
          <w:sz w:val="22"/>
          <w:szCs w:val="22"/>
          <w:lang w:val="sr-Latn-ME"/>
        </w:rPr>
        <w:t xml:space="preserve">bezbjednosni </w:t>
      </w:r>
      <w:r w:rsidRPr="00FB6F73">
        <w:rPr>
          <w:sz w:val="22"/>
          <w:szCs w:val="22"/>
          <w:lang w:val="sr-Latn-ME"/>
        </w:rPr>
        <w:t xml:space="preserve">signali.  </w:t>
      </w:r>
    </w:p>
    <w:p w14:paraId="61A36A44" w14:textId="77777777" w:rsidR="00F54081" w:rsidRPr="00FB6F73" w:rsidRDefault="00F54081" w:rsidP="00917054">
      <w:pPr>
        <w:tabs>
          <w:tab w:val="left" w:pos="540"/>
          <w:tab w:val="left" w:pos="569"/>
        </w:tabs>
        <w:jc w:val="both"/>
        <w:rPr>
          <w:sz w:val="22"/>
          <w:szCs w:val="22"/>
          <w:lang w:val="sr-Latn-ME"/>
        </w:rPr>
      </w:pPr>
    </w:p>
    <w:p w14:paraId="02AB6A8F" w14:textId="3D017C2A" w:rsidR="005D6DC0" w:rsidRPr="00FB6F73" w:rsidRDefault="005D6DC0" w:rsidP="00917054">
      <w:pPr>
        <w:tabs>
          <w:tab w:val="left" w:pos="540"/>
          <w:tab w:val="left" w:pos="569"/>
        </w:tabs>
        <w:jc w:val="both"/>
        <w:rPr>
          <w:sz w:val="22"/>
          <w:szCs w:val="22"/>
          <w:lang w:val="sr-Latn-ME"/>
        </w:rPr>
      </w:pPr>
      <w:r w:rsidRPr="00FB6F73">
        <w:rPr>
          <w:sz w:val="22"/>
          <w:szCs w:val="22"/>
          <w:lang w:val="sr-Latn-ME"/>
        </w:rPr>
        <w:t>Najčešć</w:t>
      </w:r>
      <w:r w:rsidR="000F53BE" w:rsidRPr="00FB6F73">
        <w:rPr>
          <w:sz w:val="22"/>
          <w:szCs w:val="22"/>
          <w:lang w:val="sr-Latn-ME"/>
        </w:rPr>
        <w:t>a</w:t>
      </w:r>
      <w:r w:rsidRPr="00FB6F73">
        <w:rPr>
          <w:sz w:val="22"/>
          <w:szCs w:val="22"/>
          <w:lang w:val="sr-Latn-ME"/>
        </w:rPr>
        <w:t xml:space="preserve"> n</w:t>
      </w:r>
      <w:r w:rsidR="000F53BE" w:rsidRPr="00FB6F73">
        <w:rPr>
          <w:sz w:val="22"/>
          <w:szCs w:val="22"/>
          <w:lang w:val="sr-Latn-ME"/>
        </w:rPr>
        <w:t>eželjena dejstva</w:t>
      </w:r>
      <w:r w:rsidRPr="00FB6F73">
        <w:rPr>
          <w:sz w:val="22"/>
          <w:szCs w:val="22"/>
          <w:lang w:val="sr-Latn-ME"/>
        </w:rPr>
        <w:t xml:space="preserve"> primijećen</w:t>
      </w:r>
      <w:r w:rsidR="000F53BE" w:rsidRPr="00FB6F73">
        <w:rPr>
          <w:sz w:val="22"/>
          <w:szCs w:val="22"/>
          <w:lang w:val="sr-Latn-ME"/>
        </w:rPr>
        <w:t>a</w:t>
      </w:r>
      <w:r w:rsidRPr="00FB6F73">
        <w:rPr>
          <w:sz w:val="22"/>
          <w:szCs w:val="22"/>
          <w:lang w:val="sr-Latn-ME"/>
        </w:rPr>
        <w:t xml:space="preserve"> </w:t>
      </w:r>
      <w:r w:rsidR="000F53BE" w:rsidRPr="00FB6F73">
        <w:rPr>
          <w:sz w:val="22"/>
          <w:szCs w:val="22"/>
          <w:lang w:val="sr-Latn-ME"/>
        </w:rPr>
        <w:t>kod pacijenata</w:t>
      </w:r>
      <w:r w:rsidRPr="00FB6F73">
        <w:rPr>
          <w:sz w:val="22"/>
          <w:szCs w:val="22"/>
          <w:lang w:val="sr-Latn-ME"/>
        </w:rPr>
        <w:t xml:space="preserve"> liječenih lijekom </w:t>
      </w:r>
      <w:r w:rsidR="00F54081" w:rsidRPr="00FB6F73">
        <w:rPr>
          <w:sz w:val="22"/>
          <w:szCs w:val="22"/>
          <w:lang w:val="sr-Latn-ME"/>
        </w:rPr>
        <w:t>erlotinib</w:t>
      </w:r>
      <w:r w:rsidRPr="00FB6F73">
        <w:rPr>
          <w:sz w:val="22"/>
          <w:szCs w:val="22"/>
          <w:lang w:val="sr-Latn-ME"/>
        </w:rPr>
        <w:t xml:space="preserve"> u ispitivanjima BO18192 i BO25460 bil</w:t>
      </w:r>
      <w:r w:rsidR="00F54081" w:rsidRPr="00FB6F73">
        <w:rPr>
          <w:sz w:val="22"/>
          <w:szCs w:val="22"/>
          <w:lang w:val="sr-Latn-ME"/>
        </w:rPr>
        <w:t>a</w:t>
      </w:r>
      <w:r w:rsidRPr="00FB6F73">
        <w:rPr>
          <w:sz w:val="22"/>
          <w:szCs w:val="22"/>
          <w:lang w:val="sr-Latn-ME"/>
        </w:rPr>
        <w:t xml:space="preserve"> su</w:t>
      </w:r>
      <w:r w:rsidR="00F54081" w:rsidRPr="00FB6F73">
        <w:rPr>
          <w:sz w:val="22"/>
          <w:szCs w:val="22"/>
          <w:lang w:val="sr-Latn-ME"/>
        </w:rPr>
        <w:t>:</w:t>
      </w:r>
      <w:r w:rsidRPr="00FB6F73">
        <w:rPr>
          <w:sz w:val="22"/>
          <w:szCs w:val="22"/>
          <w:lang w:val="sr-Latn-ME"/>
        </w:rPr>
        <w:t xml:space="preserve"> osip (BO18192 - bilo kojeg st</w:t>
      </w:r>
      <w:r w:rsidR="00EE0982" w:rsidRPr="00FB6F73">
        <w:rPr>
          <w:sz w:val="22"/>
          <w:szCs w:val="22"/>
          <w:lang w:val="sr-Latn-ME"/>
        </w:rPr>
        <w:t>epena</w:t>
      </w:r>
      <w:r w:rsidRPr="00FB6F73">
        <w:rPr>
          <w:sz w:val="22"/>
          <w:szCs w:val="22"/>
          <w:lang w:val="sr-Latn-ME"/>
        </w:rPr>
        <w:t>: 49,2%; s</w:t>
      </w:r>
      <w:r w:rsidR="00EE0982" w:rsidRPr="00FB6F73">
        <w:rPr>
          <w:sz w:val="22"/>
          <w:szCs w:val="22"/>
          <w:lang w:val="sr-Latn-ME"/>
        </w:rPr>
        <w:t>tepena</w:t>
      </w:r>
      <w:r w:rsidRPr="00FB6F73">
        <w:rPr>
          <w:sz w:val="22"/>
          <w:szCs w:val="22"/>
          <w:lang w:val="sr-Latn-ME"/>
        </w:rPr>
        <w:t xml:space="preserve"> 3: 6,0%; BO25460 - bilo kojeg st</w:t>
      </w:r>
      <w:r w:rsidR="00EE0982" w:rsidRPr="00FB6F73">
        <w:rPr>
          <w:sz w:val="22"/>
          <w:szCs w:val="22"/>
          <w:lang w:val="sr-Latn-ME"/>
        </w:rPr>
        <w:t>epena</w:t>
      </w:r>
      <w:r w:rsidRPr="00FB6F73">
        <w:rPr>
          <w:sz w:val="22"/>
          <w:szCs w:val="22"/>
          <w:lang w:val="sr-Latn-ME"/>
        </w:rPr>
        <w:t>: 39,4%; st</w:t>
      </w:r>
      <w:r w:rsidR="00EE0982" w:rsidRPr="00FB6F73">
        <w:rPr>
          <w:sz w:val="22"/>
          <w:szCs w:val="22"/>
          <w:lang w:val="sr-Latn-ME"/>
        </w:rPr>
        <w:t>epena</w:t>
      </w:r>
      <w:r w:rsidRPr="00FB6F73">
        <w:rPr>
          <w:sz w:val="22"/>
          <w:szCs w:val="22"/>
          <w:lang w:val="sr-Latn-ME"/>
        </w:rPr>
        <w:t xml:space="preserve"> 3: 5,0%) i prol</w:t>
      </w:r>
      <w:r w:rsidR="00EE0982" w:rsidRPr="00FB6F73">
        <w:rPr>
          <w:sz w:val="22"/>
          <w:szCs w:val="22"/>
          <w:lang w:val="sr-Latn-ME"/>
        </w:rPr>
        <w:t>iv</w:t>
      </w:r>
      <w:r w:rsidRPr="00FB6F73">
        <w:rPr>
          <w:sz w:val="22"/>
          <w:szCs w:val="22"/>
          <w:lang w:val="sr-Latn-ME"/>
        </w:rPr>
        <w:t xml:space="preserve"> (BO18192 - bilo kojeg st</w:t>
      </w:r>
      <w:r w:rsidR="00EE0982" w:rsidRPr="00FB6F73">
        <w:rPr>
          <w:sz w:val="22"/>
          <w:szCs w:val="22"/>
          <w:lang w:val="sr-Latn-ME"/>
        </w:rPr>
        <w:t>epena</w:t>
      </w:r>
      <w:r w:rsidRPr="00FB6F73">
        <w:rPr>
          <w:sz w:val="22"/>
          <w:szCs w:val="22"/>
          <w:lang w:val="sr-Latn-ME"/>
        </w:rPr>
        <w:t>: 20,3%; st</w:t>
      </w:r>
      <w:r w:rsidR="00EE0982" w:rsidRPr="00FB6F73">
        <w:rPr>
          <w:sz w:val="22"/>
          <w:szCs w:val="22"/>
          <w:lang w:val="sr-Latn-ME"/>
        </w:rPr>
        <w:t>epena</w:t>
      </w:r>
      <w:r w:rsidRPr="00FB6F73">
        <w:rPr>
          <w:sz w:val="22"/>
          <w:szCs w:val="22"/>
          <w:lang w:val="sr-Latn-ME"/>
        </w:rPr>
        <w:t xml:space="preserve"> 3: 1,8%; BO25460 - bilo kojeg st</w:t>
      </w:r>
      <w:r w:rsidR="00EE0982" w:rsidRPr="00FB6F73">
        <w:rPr>
          <w:sz w:val="22"/>
          <w:szCs w:val="22"/>
          <w:lang w:val="sr-Latn-ME"/>
        </w:rPr>
        <w:t>epena</w:t>
      </w:r>
      <w:r w:rsidRPr="00FB6F73">
        <w:rPr>
          <w:sz w:val="22"/>
          <w:szCs w:val="22"/>
          <w:lang w:val="sr-Latn-ME"/>
        </w:rPr>
        <w:t>: 24,2%, s</w:t>
      </w:r>
      <w:r w:rsidR="00EE0982" w:rsidRPr="00FB6F73">
        <w:rPr>
          <w:sz w:val="22"/>
          <w:szCs w:val="22"/>
          <w:lang w:val="sr-Latn-ME"/>
        </w:rPr>
        <w:t>tepena</w:t>
      </w:r>
      <w:r w:rsidRPr="00FB6F73">
        <w:rPr>
          <w:sz w:val="22"/>
          <w:szCs w:val="22"/>
          <w:lang w:val="sr-Latn-ME"/>
        </w:rPr>
        <w:t xml:space="preserve"> 3: 2,5%). Ni u jednom od ta dva ispitivanja ni</w:t>
      </w:r>
      <w:r w:rsidR="00EE0982" w:rsidRPr="00FB6F73">
        <w:rPr>
          <w:sz w:val="22"/>
          <w:szCs w:val="22"/>
          <w:lang w:val="sr-Latn-ME"/>
        </w:rPr>
        <w:t>je</w:t>
      </w:r>
      <w:r w:rsidRPr="00FB6F73">
        <w:rPr>
          <w:sz w:val="22"/>
          <w:szCs w:val="22"/>
          <w:lang w:val="sr-Latn-ME"/>
        </w:rPr>
        <w:t xml:space="preserve">su primijećeni osip </w:t>
      </w:r>
      <w:r w:rsidR="00F54081" w:rsidRPr="00FB6F73">
        <w:rPr>
          <w:sz w:val="22"/>
          <w:szCs w:val="22"/>
          <w:lang w:val="sr-Latn-ME"/>
        </w:rPr>
        <w:t xml:space="preserve">i </w:t>
      </w:r>
      <w:r w:rsidRPr="00FB6F73">
        <w:rPr>
          <w:sz w:val="22"/>
          <w:szCs w:val="22"/>
          <w:lang w:val="sr-Latn-ME"/>
        </w:rPr>
        <w:t>prol</w:t>
      </w:r>
      <w:r w:rsidR="00EE0982" w:rsidRPr="00FB6F73">
        <w:rPr>
          <w:sz w:val="22"/>
          <w:szCs w:val="22"/>
          <w:lang w:val="sr-Latn-ME"/>
        </w:rPr>
        <w:t>iv</w:t>
      </w:r>
      <w:r w:rsidRPr="00FB6F73">
        <w:rPr>
          <w:sz w:val="22"/>
          <w:szCs w:val="22"/>
          <w:lang w:val="sr-Latn-ME"/>
        </w:rPr>
        <w:t xml:space="preserve"> st</w:t>
      </w:r>
      <w:r w:rsidR="00EE0982" w:rsidRPr="00FB6F73">
        <w:rPr>
          <w:sz w:val="22"/>
          <w:szCs w:val="22"/>
          <w:lang w:val="sr-Latn-ME"/>
        </w:rPr>
        <w:t>epena</w:t>
      </w:r>
      <w:r w:rsidRPr="00FB6F73">
        <w:rPr>
          <w:sz w:val="22"/>
          <w:szCs w:val="22"/>
          <w:lang w:val="sr-Latn-ME"/>
        </w:rPr>
        <w:t xml:space="preserve"> 4. Osip i prol</w:t>
      </w:r>
      <w:r w:rsidR="00EE0982" w:rsidRPr="00FB6F73">
        <w:rPr>
          <w:sz w:val="22"/>
          <w:szCs w:val="22"/>
          <w:lang w:val="sr-Latn-ME"/>
        </w:rPr>
        <w:t>iv</w:t>
      </w:r>
      <w:r w:rsidRPr="00FB6F73">
        <w:rPr>
          <w:sz w:val="22"/>
          <w:szCs w:val="22"/>
          <w:lang w:val="sr-Latn-ME"/>
        </w:rPr>
        <w:t xml:space="preserve"> doveli su do prekida liječenja </w:t>
      </w:r>
      <w:r w:rsidR="00F54081" w:rsidRPr="00FB6F73">
        <w:rPr>
          <w:sz w:val="22"/>
          <w:szCs w:val="22"/>
          <w:lang w:val="sr-Latn-ME"/>
        </w:rPr>
        <w:t>erlotinibom</w:t>
      </w:r>
      <w:r w:rsidRPr="00FB6F73">
        <w:rPr>
          <w:sz w:val="22"/>
          <w:szCs w:val="22"/>
          <w:lang w:val="sr-Latn-ME"/>
        </w:rPr>
        <w:t xml:space="preserve"> u 1% odnosno &lt; 1% </w:t>
      </w:r>
      <w:r w:rsidR="00F54081" w:rsidRPr="00FB6F73">
        <w:rPr>
          <w:sz w:val="22"/>
          <w:szCs w:val="22"/>
          <w:lang w:val="sr-Latn-ME"/>
        </w:rPr>
        <w:t xml:space="preserve">pacijenata </w:t>
      </w:r>
      <w:r w:rsidRPr="00FB6F73">
        <w:rPr>
          <w:sz w:val="22"/>
          <w:szCs w:val="22"/>
          <w:lang w:val="sr-Latn-ME"/>
        </w:rPr>
        <w:t xml:space="preserve">u ispitivanju BO18192, dok u ispitivanju BO25460 nijedan </w:t>
      </w:r>
      <w:r w:rsidR="00EE0982" w:rsidRPr="00FB6F73">
        <w:rPr>
          <w:sz w:val="22"/>
          <w:szCs w:val="22"/>
          <w:lang w:val="sr-Latn-ME"/>
        </w:rPr>
        <w:t>pacijent</w:t>
      </w:r>
      <w:r w:rsidRPr="00FB6F73">
        <w:rPr>
          <w:sz w:val="22"/>
          <w:szCs w:val="22"/>
          <w:lang w:val="sr-Latn-ME"/>
        </w:rPr>
        <w:t xml:space="preserve"> nije prekinuo liječenje zbog osipa ili prol</w:t>
      </w:r>
      <w:r w:rsidR="00EE0982" w:rsidRPr="00FB6F73">
        <w:rPr>
          <w:sz w:val="22"/>
          <w:szCs w:val="22"/>
          <w:lang w:val="sr-Latn-ME"/>
        </w:rPr>
        <w:t>i</w:t>
      </w:r>
      <w:r w:rsidRPr="00FB6F73">
        <w:rPr>
          <w:sz w:val="22"/>
          <w:szCs w:val="22"/>
          <w:lang w:val="sr-Latn-ME"/>
        </w:rPr>
        <w:t>va. Prilago</w:t>
      </w:r>
      <w:r w:rsidR="00EE0982" w:rsidRPr="00FB6F73">
        <w:rPr>
          <w:sz w:val="22"/>
          <w:szCs w:val="22"/>
          <w:lang w:val="sr-Latn-ME"/>
        </w:rPr>
        <w:t>đavanj</w:t>
      </w:r>
      <w:r w:rsidR="00F54081" w:rsidRPr="00FB6F73">
        <w:rPr>
          <w:sz w:val="22"/>
          <w:szCs w:val="22"/>
          <w:lang w:val="sr-Latn-ME"/>
        </w:rPr>
        <w:t>a</w:t>
      </w:r>
      <w:r w:rsidRPr="00FB6F73">
        <w:rPr>
          <w:sz w:val="22"/>
          <w:szCs w:val="22"/>
          <w:lang w:val="sr-Latn-ME"/>
        </w:rPr>
        <w:t xml:space="preserve"> doze (privremeni prekid primjene ili smanjenje doze) zbog osipa i prol</w:t>
      </w:r>
      <w:r w:rsidR="00EE0982" w:rsidRPr="00FB6F73">
        <w:rPr>
          <w:sz w:val="22"/>
          <w:szCs w:val="22"/>
          <w:lang w:val="sr-Latn-ME"/>
        </w:rPr>
        <w:t>i</w:t>
      </w:r>
      <w:r w:rsidRPr="00FB6F73">
        <w:rPr>
          <w:sz w:val="22"/>
          <w:szCs w:val="22"/>
          <w:lang w:val="sr-Latn-ME"/>
        </w:rPr>
        <w:t>va bil</w:t>
      </w:r>
      <w:r w:rsidR="00F54081" w:rsidRPr="00FB6F73">
        <w:rPr>
          <w:sz w:val="22"/>
          <w:szCs w:val="22"/>
          <w:lang w:val="sr-Latn-ME"/>
        </w:rPr>
        <w:t>a</w:t>
      </w:r>
      <w:r w:rsidRPr="00FB6F73">
        <w:rPr>
          <w:sz w:val="22"/>
          <w:szCs w:val="22"/>
          <w:lang w:val="sr-Latn-ME"/>
        </w:rPr>
        <w:t xml:space="preserve"> su potrebne </w:t>
      </w:r>
      <w:r w:rsidR="00F54081" w:rsidRPr="00FB6F73">
        <w:rPr>
          <w:sz w:val="22"/>
          <w:szCs w:val="22"/>
          <w:lang w:val="sr-Latn-ME"/>
        </w:rPr>
        <w:t xml:space="preserve">kod </w:t>
      </w:r>
      <w:r w:rsidRPr="00FB6F73">
        <w:rPr>
          <w:sz w:val="22"/>
          <w:szCs w:val="22"/>
          <w:lang w:val="sr-Latn-ME"/>
        </w:rPr>
        <w:t xml:space="preserve">8,3% odnosno 3% </w:t>
      </w:r>
      <w:r w:rsidR="00F54081" w:rsidRPr="00FB6F73">
        <w:rPr>
          <w:sz w:val="22"/>
          <w:szCs w:val="22"/>
          <w:lang w:val="sr-Latn-ME"/>
        </w:rPr>
        <w:t xml:space="preserve">pacijenata </w:t>
      </w:r>
      <w:r w:rsidRPr="00FB6F73">
        <w:rPr>
          <w:sz w:val="22"/>
          <w:szCs w:val="22"/>
          <w:lang w:val="sr-Latn-ME"/>
        </w:rPr>
        <w:t xml:space="preserve">u ispitivanju BO18192 te </w:t>
      </w:r>
      <w:r w:rsidR="00F54081" w:rsidRPr="00FB6F73">
        <w:rPr>
          <w:sz w:val="22"/>
          <w:szCs w:val="22"/>
          <w:lang w:val="sr-Latn-ME"/>
        </w:rPr>
        <w:t xml:space="preserve">kod </w:t>
      </w:r>
      <w:r w:rsidRPr="00FB6F73">
        <w:rPr>
          <w:sz w:val="22"/>
          <w:szCs w:val="22"/>
          <w:lang w:val="sr-Latn-ME"/>
        </w:rPr>
        <w:t>5,6% odnosno 2,8%</w:t>
      </w:r>
      <w:r w:rsidR="00EE0982" w:rsidRPr="00FB6F73">
        <w:rPr>
          <w:sz w:val="22"/>
          <w:szCs w:val="22"/>
          <w:lang w:val="sr-Latn-ME"/>
        </w:rPr>
        <w:t xml:space="preserve"> pacijenata</w:t>
      </w:r>
      <w:r w:rsidRPr="00FB6F73">
        <w:rPr>
          <w:sz w:val="22"/>
          <w:szCs w:val="22"/>
          <w:lang w:val="sr-Latn-ME"/>
        </w:rPr>
        <w:t xml:space="preserve"> u ispitivanju BO25460.</w:t>
      </w:r>
    </w:p>
    <w:p w14:paraId="05E0528A" w14:textId="09CB28B1" w:rsidR="005D6DC0" w:rsidRPr="00FB6F73" w:rsidRDefault="005D6DC0" w:rsidP="00917054">
      <w:pPr>
        <w:tabs>
          <w:tab w:val="left" w:pos="540"/>
          <w:tab w:val="left" w:pos="569"/>
        </w:tabs>
        <w:jc w:val="both"/>
        <w:rPr>
          <w:sz w:val="22"/>
          <w:szCs w:val="22"/>
          <w:lang w:val="sr-Latn-ME"/>
        </w:rPr>
      </w:pPr>
    </w:p>
    <w:p w14:paraId="0082514F" w14:textId="11C274B0" w:rsidR="005D6DC0" w:rsidRPr="00FB6F73" w:rsidRDefault="005D6DC0" w:rsidP="00917054">
      <w:pPr>
        <w:tabs>
          <w:tab w:val="left" w:pos="540"/>
          <w:tab w:val="left" w:pos="569"/>
        </w:tabs>
        <w:jc w:val="both"/>
        <w:rPr>
          <w:i/>
          <w:sz w:val="22"/>
          <w:szCs w:val="22"/>
          <w:u w:val="single"/>
          <w:lang w:val="sr-Latn-ME"/>
        </w:rPr>
      </w:pPr>
      <w:r w:rsidRPr="00FB6F73">
        <w:rPr>
          <w:i/>
          <w:sz w:val="22"/>
          <w:szCs w:val="22"/>
          <w:u w:val="single"/>
          <w:lang w:val="sr-Latn-ME"/>
        </w:rPr>
        <w:t xml:space="preserve">Druga i dalje linije liječenja </w:t>
      </w:r>
    </w:p>
    <w:p w14:paraId="51E4B663" w14:textId="0EF75C6A" w:rsidR="005D6DC0" w:rsidRPr="00FB6F73" w:rsidRDefault="005D6DC0" w:rsidP="00917054">
      <w:pPr>
        <w:tabs>
          <w:tab w:val="left" w:pos="540"/>
          <w:tab w:val="left" w:pos="569"/>
        </w:tabs>
        <w:jc w:val="both"/>
        <w:rPr>
          <w:sz w:val="22"/>
          <w:szCs w:val="22"/>
          <w:lang w:val="sr-Latn-ME"/>
        </w:rPr>
      </w:pPr>
      <w:r w:rsidRPr="00FB6F73">
        <w:rPr>
          <w:sz w:val="22"/>
          <w:szCs w:val="22"/>
          <w:lang w:val="sr-Latn-ME"/>
        </w:rPr>
        <w:t xml:space="preserve">U randomiziranom, dvostruko slijepom ispitivanju (BR.21; </w:t>
      </w:r>
      <w:r w:rsidR="00F54081" w:rsidRPr="00FB6F73">
        <w:rPr>
          <w:sz w:val="22"/>
          <w:szCs w:val="22"/>
          <w:lang w:val="sr-Latn-ME"/>
        </w:rPr>
        <w:t>erlotinib</w:t>
      </w:r>
      <w:r w:rsidR="00EE0982" w:rsidRPr="00FB6F73">
        <w:rPr>
          <w:sz w:val="22"/>
          <w:szCs w:val="22"/>
          <w:lang w:val="sr-Latn-ME"/>
        </w:rPr>
        <w:t xml:space="preserve"> </w:t>
      </w:r>
      <w:r w:rsidRPr="00FB6F73">
        <w:rPr>
          <w:sz w:val="22"/>
          <w:szCs w:val="22"/>
          <w:lang w:val="sr-Latn-ME"/>
        </w:rPr>
        <w:t xml:space="preserve"> primjenje</w:t>
      </w:r>
      <w:r w:rsidR="00F54081" w:rsidRPr="00FB6F73">
        <w:rPr>
          <w:sz w:val="22"/>
          <w:szCs w:val="22"/>
          <w:lang w:val="sr-Latn-ME"/>
        </w:rPr>
        <w:t>n</w:t>
      </w:r>
      <w:r w:rsidRPr="00FB6F73">
        <w:rPr>
          <w:sz w:val="22"/>
          <w:szCs w:val="22"/>
          <w:lang w:val="sr-Latn-ME"/>
        </w:rPr>
        <w:t xml:space="preserve"> kao druga linija terapije), najčešće prijavljivan</w:t>
      </w:r>
      <w:r w:rsidR="00EE0982" w:rsidRPr="00FB6F73">
        <w:rPr>
          <w:sz w:val="22"/>
          <w:szCs w:val="22"/>
          <w:lang w:val="sr-Latn-ME"/>
        </w:rPr>
        <w:t>a neželjena dejstva</w:t>
      </w:r>
      <w:r w:rsidRPr="00FB6F73">
        <w:rPr>
          <w:sz w:val="22"/>
          <w:szCs w:val="22"/>
          <w:lang w:val="sr-Latn-ME"/>
        </w:rPr>
        <w:t xml:space="preserve"> su bil</w:t>
      </w:r>
      <w:r w:rsidR="00F54081" w:rsidRPr="00FB6F73">
        <w:rPr>
          <w:sz w:val="22"/>
          <w:szCs w:val="22"/>
          <w:lang w:val="sr-Latn-ME"/>
        </w:rPr>
        <w:t>a</w:t>
      </w:r>
      <w:r w:rsidRPr="00FB6F73">
        <w:rPr>
          <w:sz w:val="22"/>
          <w:szCs w:val="22"/>
          <w:lang w:val="sr-Latn-ME"/>
        </w:rPr>
        <w:t xml:space="preserve"> osip (75%) i prol</w:t>
      </w:r>
      <w:r w:rsidR="00EE0982" w:rsidRPr="00FB6F73">
        <w:rPr>
          <w:sz w:val="22"/>
          <w:szCs w:val="22"/>
          <w:lang w:val="sr-Latn-ME"/>
        </w:rPr>
        <w:t>i</w:t>
      </w:r>
      <w:r w:rsidRPr="00FB6F73">
        <w:rPr>
          <w:sz w:val="22"/>
          <w:szCs w:val="22"/>
          <w:lang w:val="sr-Latn-ME"/>
        </w:rPr>
        <w:t xml:space="preserve">v (54%). Većina </w:t>
      </w:r>
      <w:r w:rsidR="00F54081" w:rsidRPr="00FB6F73">
        <w:rPr>
          <w:sz w:val="22"/>
          <w:szCs w:val="22"/>
          <w:lang w:val="sr-Latn-ME"/>
        </w:rPr>
        <w:t xml:space="preserve">pacijenata </w:t>
      </w:r>
      <w:r w:rsidRPr="00FB6F73">
        <w:rPr>
          <w:sz w:val="22"/>
          <w:szCs w:val="22"/>
          <w:lang w:val="sr-Latn-ME"/>
        </w:rPr>
        <w:t xml:space="preserve">imala je </w:t>
      </w:r>
      <w:r w:rsidR="00F54081" w:rsidRPr="00FB6F73">
        <w:rPr>
          <w:sz w:val="22"/>
          <w:szCs w:val="22"/>
          <w:lang w:val="sr-Latn-ME"/>
        </w:rPr>
        <w:t xml:space="preserve">neželjena dejstva </w:t>
      </w:r>
      <w:r w:rsidRPr="00FB6F73">
        <w:rPr>
          <w:sz w:val="22"/>
          <w:szCs w:val="22"/>
          <w:lang w:val="sr-Latn-ME"/>
        </w:rPr>
        <w:t>st</w:t>
      </w:r>
      <w:r w:rsidR="00EE0982" w:rsidRPr="00FB6F73">
        <w:rPr>
          <w:sz w:val="22"/>
          <w:szCs w:val="22"/>
          <w:lang w:val="sr-Latn-ME"/>
        </w:rPr>
        <w:t>epena</w:t>
      </w:r>
      <w:r w:rsidR="009158A5" w:rsidRPr="00FB6F73">
        <w:rPr>
          <w:sz w:val="22"/>
          <w:szCs w:val="22"/>
          <w:lang w:val="sr-Latn-ME"/>
        </w:rPr>
        <w:t xml:space="preserve"> težine</w:t>
      </w:r>
      <w:r w:rsidRPr="00FB6F73">
        <w:rPr>
          <w:sz w:val="22"/>
          <w:szCs w:val="22"/>
          <w:lang w:val="sr-Latn-ME"/>
        </w:rPr>
        <w:t xml:space="preserve"> 1/2 </w:t>
      </w:r>
      <w:r w:rsidR="009158A5" w:rsidRPr="00FB6F73">
        <w:rPr>
          <w:sz w:val="22"/>
          <w:szCs w:val="22"/>
          <w:lang w:val="sr-Latn-ME"/>
        </w:rPr>
        <w:t>i prolazila su bez posebnog liječenja</w:t>
      </w:r>
      <w:r w:rsidRPr="00FB6F73">
        <w:rPr>
          <w:sz w:val="22"/>
          <w:szCs w:val="22"/>
          <w:lang w:val="sr-Latn-ME"/>
        </w:rPr>
        <w:t>. Osip i prol</w:t>
      </w:r>
      <w:r w:rsidR="009158A5" w:rsidRPr="00FB6F73">
        <w:rPr>
          <w:sz w:val="22"/>
          <w:szCs w:val="22"/>
          <w:lang w:val="sr-Latn-ME"/>
        </w:rPr>
        <w:t xml:space="preserve">iv </w:t>
      </w:r>
      <w:r w:rsidRPr="00FB6F73">
        <w:rPr>
          <w:sz w:val="22"/>
          <w:szCs w:val="22"/>
          <w:lang w:val="sr-Latn-ME"/>
        </w:rPr>
        <w:t>st</w:t>
      </w:r>
      <w:r w:rsidR="009158A5" w:rsidRPr="00FB6F73">
        <w:rPr>
          <w:sz w:val="22"/>
          <w:szCs w:val="22"/>
          <w:lang w:val="sr-Latn-ME"/>
        </w:rPr>
        <w:t>epena</w:t>
      </w:r>
      <w:r w:rsidRPr="00FB6F73">
        <w:rPr>
          <w:sz w:val="22"/>
          <w:szCs w:val="22"/>
          <w:lang w:val="sr-Latn-ME"/>
        </w:rPr>
        <w:t xml:space="preserve"> </w:t>
      </w:r>
      <w:r w:rsidRPr="00FB6F73">
        <w:rPr>
          <w:sz w:val="22"/>
          <w:szCs w:val="22"/>
          <w:lang w:val="sr-Latn-ME"/>
        </w:rPr>
        <w:lastRenderedPageBreak/>
        <w:t xml:space="preserve">3/4 </w:t>
      </w:r>
      <w:r w:rsidR="009158A5" w:rsidRPr="00FB6F73">
        <w:rPr>
          <w:sz w:val="22"/>
          <w:szCs w:val="22"/>
          <w:lang w:val="sr-Latn-ME"/>
        </w:rPr>
        <w:t xml:space="preserve">ispoljenii </w:t>
      </w:r>
      <w:r w:rsidRPr="00FB6F73">
        <w:rPr>
          <w:sz w:val="22"/>
          <w:szCs w:val="22"/>
          <w:lang w:val="sr-Latn-ME"/>
        </w:rPr>
        <w:t xml:space="preserve">su u 9% odnosno 6% slučajeva </w:t>
      </w:r>
      <w:r w:rsidR="009158A5" w:rsidRPr="00FB6F73">
        <w:rPr>
          <w:sz w:val="22"/>
          <w:szCs w:val="22"/>
          <w:lang w:val="sr-Latn-ME"/>
        </w:rPr>
        <w:t>kod  pacijenata</w:t>
      </w:r>
      <w:r w:rsidRPr="00FB6F73">
        <w:rPr>
          <w:sz w:val="22"/>
          <w:szCs w:val="22"/>
          <w:lang w:val="sr-Latn-ME"/>
        </w:rPr>
        <w:t xml:space="preserve"> koji</w:t>
      </w:r>
      <w:r w:rsidR="009158A5" w:rsidRPr="00FB6F73">
        <w:rPr>
          <w:sz w:val="22"/>
          <w:szCs w:val="22"/>
          <w:lang w:val="sr-Latn-ME"/>
        </w:rPr>
        <w:t xml:space="preserve"> su</w:t>
      </w:r>
      <w:r w:rsidRPr="00FB6F73">
        <w:rPr>
          <w:sz w:val="22"/>
          <w:szCs w:val="22"/>
          <w:lang w:val="sr-Latn-ME"/>
        </w:rPr>
        <w:t xml:space="preserve"> uzima</w:t>
      </w:r>
      <w:r w:rsidR="009158A5" w:rsidRPr="00FB6F73">
        <w:rPr>
          <w:sz w:val="22"/>
          <w:szCs w:val="22"/>
          <w:lang w:val="sr-Latn-ME"/>
        </w:rPr>
        <w:t>li</w:t>
      </w:r>
      <w:r w:rsidRPr="00FB6F73">
        <w:rPr>
          <w:sz w:val="22"/>
          <w:szCs w:val="22"/>
          <w:lang w:val="sr-Latn-ME"/>
        </w:rPr>
        <w:t xml:space="preserve"> </w:t>
      </w:r>
      <w:r w:rsidR="009158A5" w:rsidRPr="00FB6F73">
        <w:rPr>
          <w:sz w:val="22"/>
          <w:szCs w:val="22"/>
          <w:lang w:val="sr-Latn-ME"/>
        </w:rPr>
        <w:t>erlotinib</w:t>
      </w:r>
      <w:r w:rsidRPr="00FB6F73">
        <w:rPr>
          <w:sz w:val="22"/>
          <w:szCs w:val="22"/>
          <w:lang w:val="sr-Latn-ME"/>
        </w:rPr>
        <w:t xml:space="preserve">, </w:t>
      </w:r>
      <w:r w:rsidR="009158A5" w:rsidRPr="00FB6F73">
        <w:rPr>
          <w:sz w:val="22"/>
          <w:szCs w:val="22"/>
          <w:lang w:val="sr-Latn-ME"/>
        </w:rPr>
        <w:t xml:space="preserve">i u </w:t>
      </w:r>
      <w:r w:rsidRPr="00FB6F73">
        <w:rPr>
          <w:sz w:val="22"/>
          <w:szCs w:val="22"/>
          <w:lang w:val="sr-Latn-ME"/>
        </w:rPr>
        <w:t xml:space="preserve">oba </w:t>
      </w:r>
      <w:r w:rsidR="009158A5" w:rsidRPr="00FB6F73">
        <w:rPr>
          <w:sz w:val="22"/>
          <w:szCs w:val="22"/>
          <w:lang w:val="sr-Latn-ME"/>
        </w:rPr>
        <w:t>slučaja do obustavljanja</w:t>
      </w:r>
      <w:r w:rsidRPr="00FB6F73">
        <w:rPr>
          <w:sz w:val="22"/>
          <w:szCs w:val="22"/>
          <w:lang w:val="sr-Latn-ME"/>
        </w:rPr>
        <w:t xml:space="preserve"> </w:t>
      </w:r>
      <w:r w:rsidR="009158A5" w:rsidRPr="00FB6F73">
        <w:rPr>
          <w:sz w:val="22"/>
          <w:szCs w:val="22"/>
          <w:lang w:val="sr-Latn-ME"/>
        </w:rPr>
        <w:t>terapije je došlp kod</w:t>
      </w:r>
      <w:r w:rsidRPr="00FB6F73">
        <w:rPr>
          <w:sz w:val="22"/>
          <w:szCs w:val="22"/>
          <w:lang w:val="sr-Latn-ME"/>
        </w:rPr>
        <w:t xml:space="preserve"> 1% </w:t>
      </w:r>
      <w:r w:rsidR="009158A5" w:rsidRPr="00FB6F73">
        <w:rPr>
          <w:sz w:val="22"/>
          <w:szCs w:val="22"/>
          <w:lang w:val="sr-Latn-ME"/>
        </w:rPr>
        <w:t>pacijenata</w:t>
      </w:r>
      <w:r w:rsidRPr="00FB6F73">
        <w:rPr>
          <w:sz w:val="22"/>
          <w:szCs w:val="22"/>
          <w:lang w:val="sr-Latn-ME"/>
        </w:rPr>
        <w:t>. Smanjenje doze zbog osipa i prol</w:t>
      </w:r>
      <w:r w:rsidR="00EE0982" w:rsidRPr="00FB6F73">
        <w:rPr>
          <w:sz w:val="22"/>
          <w:szCs w:val="22"/>
          <w:lang w:val="sr-Latn-ME"/>
        </w:rPr>
        <w:t>i</w:t>
      </w:r>
      <w:r w:rsidRPr="00FB6F73">
        <w:rPr>
          <w:sz w:val="22"/>
          <w:szCs w:val="22"/>
          <w:lang w:val="sr-Latn-ME"/>
        </w:rPr>
        <w:t xml:space="preserve">va bilo je potrebno </w:t>
      </w:r>
      <w:r w:rsidR="009158A5" w:rsidRPr="00FB6F73">
        <w:rPr>
          <w:sz w:val="22"/>
          <w:szCs w:val="22"/>
          <w:lang w:val="sr-Latn-ME"/>
        </w:rPr>
        <w:t xml:space="preserve">kod </w:t>
      </w:r>
      <w:r w:rsidRPr="00FB6F73">
        <w:rPr>
          <w:sz w:val="22"/>
          <w:szCs w:val="22"/>
          <w:lang w:val="sr-Latn-ME"/>
        </w:rPr>
        <w:t xml:space="preserve">6% odnosno </w:t>
      </w:r>
      <w:r w:rsidR="009158A5" w:rsidRPr="00FB6F73">
        <w:rPr>
          <w:sz w:val="22"/>
          <w:szCs w:val="22"/>
          <w:lang w:val="sr-Latn-ME"/>
        </w:rPr>
        <w:t xml:space="preserve">kod </w:t>
      </w:r>
      <w:r w:rsidRPr="00FB6F73">
        <w:rPr>
          <w:sz w:val="22"/>
          <w:szCs w:val="22"/>
          <w:lang w:val="sr-Latn-ME"/>
        </w:rPr>
        <w:t xml:space="preserve">1% </w:t>
      </w:r>
      <w:r w:rsidR="009158A5" w:rsidRPr="00FB6F73">
        <w:rPr>
          <w:sz w:val="22"/>
          <w:szCs w:val="22"/>
          <w:lang w:val="sr-Latn-ME"/>
        </w:rPr>
        <w:t>pacijenata</w:t>
      </w:r>
      <w:r w:rsidRPr="00FB6F73">
        <w:rPr>
          <w:sz w:val="22"/>
          <w:szCs w:val="22"/>
          <w:lang w:val="sr-Latn-ME"/>
        </w:rPr>
        <w:t>. U ispitivanju BR.21 pokazalo se da je medijan</w:t>
      </w:r>
      <w:r w:rsidR="009158A5" w:rsidRPr="00FB6F73">
        <w:rPr>
          <w:sz w:val="22"/>
          <w:szCs w:val="22"/>
          <w:lang w:val="sr-Latn-ME"/>
        </w:rPr>
        <w:t>a</w:t>
      </w:r>
      <w:r w:rsidRPr="00FB6F73">
        <w:rPr>
          <w:sz w:val="22"/>
          <w:szCs w:val="22"/>
          <w:lang w:val="sr-Latn-ME"/>
        </w:rPr>
        <w:t xml:space="preserve"> do pojave osipa bil</w:t>
      </w:r>
      <w:r w:rsidR="009158A5" w:rsidRPr="00FB6F73">
        <w:rPr>
          <w:sz w:val="22"/>
          <w:szCs w:val="22"/>
          <w:lang w:val="sr-Latn-ME"/>
        </w:rPr>
        <w:t>a</w:t>
      </w:r>
      <w:r w:rsidRPr="00FB6F73">
        <w:rPr>
          <w:sz w:val="22"/>
          <w:szCs w:val="22"/>
          <w:lang w:val="sr-Latn-ME"/>
        </w:rPr>
        <w:t xml:space="preserve"> 8 dana, a medijan</w:t>
      </w:r>
      <w:r w:rsidR="009158A5" w:rsidRPr="00FB6F73">
        <w:rPr>
          <w:sz w:val="22"/>
          <w:szCs w:val="22"/>
          <w:lang w:val="sr-Latn-ME"/>
        </w:rPr>
        <w:t>a</w:t>
      </w:r>
      <w:r w:rsidRPr="00FB6F73">
        <w:rPr>
          <w:sz w:val="22"/>
          <w:szCs w:val="22"/>
          <w:lang w:val="sr-Latn-ME"/>
        </w:rPr>
        <w:t xml:space="preserve">  do pojave prol</w:t>
      </w:r>
      <w:r w:rsidR="00EE0982" w:rsidRPr="00FB6F73">
        <w:rPr>
          <w:sz w:val="22"/>
          <w:szCs w:val="22"/>
          <w:lang w:val="sr-Latn-ME"/>
        </w:rPr>
        <w:t>i</w:t>
      </w:r>
      <w:r w:rsidRPr="00FB6F73">
        <w:rPr>
          <w:sz w:val="22"/>
          <w:szCs w:val="22"/>
          <w:lang w:val="sr-Latn-ME"/>
        </w:rPr>
        <w:t>va 12 dana.</w:t>
      </w:r>
    </w:p>
    <w:p w14:paraId="7CEF7280" w14:textId="77777777" w:rsidR="009158A5" w:rsidRPr="00FB6F73" w:rsidRDefault="009158A5" w:rsidP="00917054">
      <w:pPr>
        <w:tabs>
          <w:tab w:val="left" w:pos="540"/>
          <w:tab w:val="left" w:pos="569"/>
        </w:tabs>
        <w:jc w:val="both"/>
        <w:rPr>
          <w:sz w:val="22"/>
          <w:szCs w:val="22"/>
          <w:lang w:val="sr-Latn-ME"/>
        </w:rPr>
      </w:pPr>
    </w:p>
    <w:p w14:paraId="63B57A68" w14:textId="33ED4835" w:rsidR="009158A5" w:rsidRPr="00FB6F73" w:rsidRDefault="00EE0982" w:rsidP="00917054">
      <w:pPr>
        <w:tabs>
          <w:tab w:val="left" w:pos="540"/>
          <w:tab w:val="left" w:pos="569"/>
        </w:tabs>
        <w:jc w:val="both"/>
        <w:rPr>
          <w:sz w:val="22"/>
          <w:szCs w:val="22"/>
          <w:lang w:val="sr-Latn-ME"/>
        </w:rPr>
      </w:pPr>
      <w:r w:rsidRPr="00FB6F73">
        <w:rPr>
          <w:sz w:val="22"/>
          <w:szCs w:val="22"/>
          <w:lang w:val="sr-Latn-ME"/>
        </w:rPr>
        <w:t>Uopšteno</w:t>
      </w:r>
      <w:r w:rsidR="005D6DC0" w:rsidRPr="00FB6F73">
        <w:rPr>
          <w:sz w:val="22"/>
          <w:szCs w:val="22"/>
          <w:lang w:val="sr-Latn-ME"/>
        </w:rPr>
        <w:t>, osip se manifest</w:t>
      </w:r>
      <w:r w:rsidR="009158A5" w:rsidRPr="00FB6F73">
        <w:rPr>
          <w:sz w:val="22"/>
          <w:szCs w:val="22"/>
          <w:lang w:val="sr-Latn-ME"/>
        </w:rPr>
        <w:t>uje</w:t>
      </w:r>
      <w:r w:rsidR="005D6DC0" w:rsidRPr="00FB6F73">
        <w:rPr>
          <w:sz w:val="22"/>
          <w:szCs w:val="22"/>
          <w:lang w:val="sr-Latn-ME"/>
        </w:rPr>
        <w:t xml:space="preserve"> kao blagi do umjereni eritematozni i papulopustulozni osip, koji se može pojaviti ili pogoršati na područjima izloženim suncu. Za </w:t>
      </w:r>
      <w:r w:rsidR="009158A5" w:rsidRPr="00FB6F73">
        <w:rPr>
          <w:sz w:val="22"/>
          <w:szCs w:val="22"/>
          <w:lang w:val="sr-Latn-ME"/>
        </w:rPr>
        <w:t xml:space="preserve">pacijente </w:t>
      </w:r>
      <w:r w:rsidR="005D6DC0" w:rsidRPr="00FB6F73">
        <w:rPr>
          <w:sz w:val="22"/>
          <w:szCs w:val="22"/>
          <w:lang w:val="sr-Latn-ME"/>
        </w:rPr>
        <w:t>koji su izloženi suncu poželjna je zaštitna odjeća, i/ili upotreba sredstva za zaštitu od sunca (npr. koje sadrže minerale).</w:t>
      </w:r>
      <w:r w:rsidR="001D7A21" w:rsidRPr="00FB6F73">
        <w:rPr>
          <w:sz w:val="22"/>
          <w:szCs w:val="22"/>
          <w:lang w:val="sr-Latn-ME"/>
        </w:rPr>
        <w:t xml:space="preserve"> </w:t>
      </w:r>
    </w:p>
    <w:p w14:paraId="1A11D840" w14:textId="77777777" w:rsidR="009158A5" w:rsidRPr="00FB6F73" w:rsidRDefault="009158A5" w:rsidP="005D6DC0">
      <w:pPr>
        <w:tabs>
          <w:tab w:val="left" w:pos="540"/>
          <w:tab w:val="left" w:pos="569"/>
        </w:tabs>
        <w:rPr>
          <w:sz w:val="22"/>
          <w:szCs w:val="22"/>
          <w:lang w:val="sr-Latn-ME"/>
        </w:rPr>
      </w:pPr>
    </w:p>
    <w:p w14:paraId="0D6CA219" w14:textId="44444CB4" w:rsidR="009158A5" w:rsidRPr="00FB6F73" w:rsidRDefault="001D7A21" w:rsidP="005D6DC0">
      <w:pPr>
        <w:tabs>
          <w:tab w:val="left" w:pos="540"/>
          <w:tab w:val="left" w:pos="569"/>
        </w:tabs>
        <w:rPr>
          <w:sz w:val="22"/>
          <w:szCs w:val="22"/>
          <w:u w:val="single"/>
          <w:lang w:val="sr-Latn-ME"/>
        </w:rPr>
      </w:pPr>
      <w:r w:rsidRPr="00FB6F73">
        <w:rPr>
          <w:sz w:val="22"/>
          <w:szCs w:val="22"/>
          <w:u w:val="single"/>
          <w:lang w:val="sr-Latn-ME"/>
        </w:rPr>
        <w:t>Karcinom</w:t>
      </w:r>
      <w:r w:rsidR="005D6DC0" w:rsidRPr="00FB6F73">
        <w:rPr>
          <w:sz w:val="22"/>
          <w:szCs w:val="22"/>
          <w:u w:val="single"/>
          <w:lang w:val="sr-Latn-ME"/>
        </w:rPr>
        <w:t xml:space="preserve"> </w:t>
      </w:r>
      <w:r w:rsidR="009158A5" w:rsidRPr="00FB6F73">
        <w:rPr>
          <w:sz w:val="22"/>
          <w:szCs w:val="22"/>
          <w:u w:val="single"/>
          <w:lang w:val="sr-Latn-ME"/>
        </w:rPr>
        <w:t xml:space="preserve">pankreasa </w:t>
      </w:r>
      <w:r w:rsidR="005D6DC0" w:rsidRPr="00FB6F73">
        <w:rPr>
          <w:sz w:val="22"/>
          <w:szCs w:val="22"/>
          <w:u w:val="single"/>
          <w:lang w:val="sr-Latn-ME"/>
        </w:rPr>
        <w:t xml:space="preserve">(primjena </w:t>
      </w:r>
      <w:r w:rsidR="009158A5" w:rsidRPr="00FB6F73">
        <w:rPr>
          <w:sz w:val="22"/>
          <w:szCs w:val="22"/>
          <w:u w:val="single"/>
          <w:lang w:val="sr-Latn-ME"/>
        </w:rPr>
        <w:t>erlotiniba</w:t>
      </w:r>
      <w:bookmarkStart w:id="1" w:name="_Hlk114564877"/>
      <w:r w:rsidRPr="00FB6F73">
        <w:rPr>
          <w:sz w:val="22"/>
          <w:szCs w:val="22"/>
          <w:u w:val="single"/>
          <w:lang w:val="sr-Latn-ME"/>
        </w:rPr>
        <w:t xml:space="preserve"> </w:t>
      </w:r>
      <w:bookmarkEnd w:id="1"/>
      <w:r w:rsidR="005D6DC0" w:rsidRPr="00FB6F73">
        <w:rPr>
          <w:sz w:val="22"/>
          <w:szCs w:val="22"/>
          <w:u w:val="single"/>
          <w:lang w:val="sr-Latn-ME"/>
        </w:rPr>
        <w:t xml:space="preserve">u kombinaciji s gemcitabinom) </w:t>
      </w:r>
    </w:p>
    <w:p w14:paraId="6579C3AE" w14:textId="77777777" w:rsidR="009158A5" w:rsidRPr="00FB6F73" w:rsidRDefault="009158A5" w:rsidP="005C1819">
      <w:pPr>
        <w:tabs>
          <w:tab w:val="left" w:pos="540"/>
          <w:tab w:val="left" w:pos="569"/>
        </w:tabs>
        <w:jc w:val="both"/>
        <w:rPr>
          <w:bCs/>
          <w:sz w:val="22"/>
          <w:szCs w:val="22"/>
          <w:lang w:val="sr-Latn-ME"/>
        </w:rPr>
      </w:pPr>
      <w:r w:rsidRPr="00FB6F73">
        <w:rPr>
          <w:bCs/>
          <w:sz w:val="22"/>
          <w:szCs w:val="22"/>
          <w:lang w:val="sr-Latn-ME"/>
        </w:rPr>
        <w:t>Najčešća neželjena dejstva u pivotalnoj studiji PA.3 kod pacijenata oboljelih od karcinoma pankreasa koji su primali erlotinib 100 mg u kombinaciji sa gemcitabinom bila su zamor, kožni osip i dijareja. U grupi koja je primala erlotinib u kombinaciji sa gemcitabinom kod 5% pacijenata zabilježeni su osip i dijareja gradusa 3/4. Medijana vremena do pojave osipa i dijareje bila je 10 dana, odnosno 15 dana. Kod 2% pacijenata koji su primali erlotinib u kombinaciji sa gemcitabinom, zbog osipa i dijareje se morala smanjiti doza, dok je kod 1% pacijenata ispitivanje prekinuto.</w:t>
      </w:r>
    </w:p>
    <w:p w14:paraId="4C8EA333" w14:textId="77777777" w:rsidR="00136217" w:rsidRPr="00FB6F73" w:rsidRDefault="00136217" w:rsidP="00917054">
      <w:pPr>
        <w:jc w:val="both"/>
        <w:rPr>
          <w:i/>
          <w:noProof/>
          <w:sz w:val="22"/>
          <w:szCs w:val="22"/>
          <w:highlight w:val="yellow"/>
          <w:lang w:val="sr-Latn-ME"/>
        </w:rPr>
      </w:pPr>
    </w:p>
    <w:p w14:paraId="7A0F9A98" w14:textId="3930B504" w:rsidR="00735264" w:rsidRPr="00FB6F73" w:rsidRDefault="00735264" w:rsidP="00917054">
      <w:pPr>
        <w:jc w:val="both"/>
        <w:rPr>
          <w:sz w:val="22"/>
          <w:szCs w:val="22"/>
          <w:lang w:val="sr-Latn-ME"/>
        </w:rPr>
      </w:pPr>
      <w:r w:rsidRPr="00FB6F73">
        <w:rPr>
          <w:sz w:val="22"/>
          <w:szCs w:val="22"/>
          <w:lang w:val="sr-Latn-ME"/>
        </w:rPr>
        <w:t>Tabela 1. Neželjene reakcije koje se javljaju kod ≥ 10% pacijenata u ispitivanjima BR.21 (terapija erlotinibom) i PA.3 (terapija erlotinibom i gemcitabinom) i neželjene reakcije koje se javljaju češće (≥3%) u poređenju sa placebom u ispitivanjima BR.21 (terapija erlotinibom) i PA.3 (terapija erlotinibom i gemcitabinom)</w:t>
      </w:r>
    </w:p>
    <w:p w14:paraId="1C9D3A84" w14:textId="56DA882F" w:rsidR="00735264" w:rsidRPr="00FB6F73" w:rsidRDefault="00735264" w:rsidP="00735264">
      <w:pPr>
        <w:rPr>
          <w:sz w:val="22"/>
          <w:szCs w:val="22"/>
          <w:lang w:val="sr-Latn-ME"/>
        </w:rPr>
      </w:pPr>
    </w:p>
    <w:tbl>
      <w:tblPr>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6"/>
        <w:gridCol w:w="992"/>
        <w:gridCol w:w="851"/>
        <w:gridCol w:w="850"/>
        <w:gridCol w:w="992"/>
        <w:gridCol w:w="851"/>
        <w:gridCol w:w="992"/>
        <w:gridCol w:w="1701"/>
      </w:tblGrid>
      <w:tr w:rsidR="00735264" w:rsidRPr="00FB6F73" w14:paraId="2B45E5BB" w14:textId="77777777" w:rsidTr="00FB6F73">
        <w:trPr>
          <w:trHeight w:hRule="exact" w:val="514"/>
        </w:trPr>
        <w:tc>
          <w:tcPr>
            <w:tcW w:w="2836" w:type="dxa"/>
          </w:tcPr>
          <w:p w14:paraId="53CC6086" w14:textId="77777777" w:rsidR="00735264" w:rsidRPr="00FB6F73" w:rsidRDefault="00735264" w:rsidP="00735264">
            <w:pPr>
              <w:widowControl w:val="0"/>
              <w:autoSpaceDE w:val="0"/>
              <w:autoSpaceDN w:val="0"/>
              <w:rPr>
                <w:sz w:val="22"/>
                <w:szCs w:val="22"/>
                <w:lang w:val="sr-Latn-ME"/>
              </w:rPr>
            </w:pPr>
          </w:p>
        </w:tc>
        <w:tc>
          <w:tcPr>
            <w:tcW w:w="2693" w:type="dxa"/>
            <w:gridSpan w:val="3"/>
          </w:tcPr>
          <w:p w14:paraId="629FD20A" w14:textId="77777777" w:rsidR="00735264" w:rsidRPr="00FB6F73" w:rsidRDefault="00735264" w:rsidP="00735264">
            <w:pPr>
              <w:widowControl w:val="0"/>
              <w:autoSpaceDE w:val="0"/>
              <w:autoSpaceDN w:val="0"/>
              <w:spacing w:line="242" w:lineRule="auto"/>
              <w:ind w:left="1103" w:right="575" w:hanging="514"/>
              <w:rPr>
                <w:b/>
                <w:sz w:val="22"/>
                <w:szCs w:val="22"/>
                <w:lang w:val="sr-Latn-ME"/>
              </w:rPr>
            </w:pPr>
            <w:r w:rsidRPr="00FB6F73">
              <w:rPr>
                <w:b/>
                <w:sz w:val="22"/>
                <w:szCs w:val="22"/>
                <w:lang w:val="sr-Latn-ME"/>
              </w:rPr>
              <w:t>Erlotinib (BR.21) N=485</w:t>
            </w:r>
          </w:p>
        </w:tc>
        <w:tc>
          <w:tcPr>
            <w:tcW w:w="2835" w:type="dxa"/>
            <w:gridSpan w:val="3"/>
          </w:tcPr>
          <w:p w14:paraId="2849AFE9" w14:textId="77777777" w:rsidR="00735264" w:rsidRPr="00FB6F73" w:rsidRDefault="00735264" w:rsidP="00735264">
            <w:pPr>
              <w:widowControl w:val="0"/>
              <w:autoSpaceDE w:val="0"/>
              <w:autoSpaceDN w:val="0"/>
              <w:spacing w:line="242" w:lineRule="auto"/>
              <w:ind w:left="958" w:right="966"/>
              <w:jc w:val="center"/>
              <w:rPr>
                <w:b/>
                <w:sz w:val="22"/>
                <w:szCs w:val="22"/>
                <w:lang w:val="sr-Latn-ME"/>
              </w:rPr>
            </w:pPr>
            <w:r w:rsidRPr="00FB6F73">
              <w:rPr>
                <w:b/>
                <w:sz w:val="22"/>
                <w:szCs w:val="22"/>
                <w:lang w:val="sr-Latn-ME"/>
              </w:rPr>
              <w:t>Placebo N=259</w:t>
            </w:r>
          </w:p>
        </w:tc>
        <w:tc>
          <w:tcPr>
            <w:tcW w:w="1701" w:type="dxa"/>
            <w:vMerge w:val="restart"/>
          </w:tcPr>
          <w:p w14:paraId="2DEE552A" w14:textId="77777777" w:rsidR="00735264" w:rsidRPr="00FB6F73" w:rsidRDefault="00735264" w:rsidP="00735264">
            <w:pPr>
              <w:widowControl w:val="0"/>
              <w:autoSpaceDE w:val="0"/>
              <w:autoSpaceDN w:val="0"/>
              <w:ind w:left="439" w:right="442"/>
              <w:jc w:val="center"/>
              <w:rPr>
                <w:b/>
                <w:sz w:val="22"/>
                <w:szCs w:val="22"/>
                <w:lang w:val="sr-Latn-ME"/>
              </w:rPr>
            </w:pPr>
            <w:r w:rsidRPr="00FB6F73">
              <w:rPr>
                <w:b/>
                <w:sz w:val="22"/>
                <w:szCs w:val="22"/>
                <w:lang w:val="sr-Latn-ME"/>
              </w:rPr>
              <w:t>Kategorija najveće učestalosti</w:t>
            </w:r>
          </w:p>
        </w:tc>
      </w:tr>
      <w:tr w:rsidR="00735264" w:rsidRPr="00FB6F73" w14:paraId="7F40AC23" w14:textId="77777777" w:rsidTr="00FB6F73">
        <w:trPr>
          <w:trHeight w:hRule="exact" w:val="773"/>
        </w:trPr>
        <w:tc>
          <w:tcPr>
            <w:tcW w:w="2836" w:type="dxa"/>
          </w:tcPr>
          <w:p w14:paraId="338AF6A0" w14:textId="77777777" w:rsidR="00735264" w:rsidRPr="00FB6F73" w:rsidRDefault="00735264" w:rsidP="00735264">
            <w:pPr>
              <w:widowControl w:val="0"/>
              <w:autoSpaceDE w:val="0"/>
              <w:autoSpaceDN w:val="0"/>
              <w:spacing w:before="9"/>
              <w:rPr>
                <w:sz w:val="22"/>
                <w:szCs w:val="22"/>
                <w:lang w:val="sr-Latn-ME"/>
              </w:rPr>
            </w:pPr>
          </w:p>
          <w:p w14:paraId="75241ABC" w14:textId="77777777" w:rsidR="00735264" w:rsidRPr="00FB6F73" w:rsidRDefault="00735264" w:rsidP="00735264">
            <w:pPr>
              <w:widowControl w:val="0"/>
              <w:autoSpaceDE w:val="0"/>
              <w:autoSpaceDN w:val="0"/>
              <w:ind w:left="384"/>
              <w:rPr>
                <w:b/>
                <w:sz w:val="22"/>
                <w:szCs w:val="22"/>
                <w:lang w:val="sr-Latn-ME"/>
              </w:rPr>
            </w:pPr>
            <w:r w:rsidRPr="00FB6F73">
              <w:rPr>
                <w:b/>
                <w:sz w:val="22"/>
                <w:szCs w:val="22"/>
                <w:lang w:val="sr-Latn-ME"/>
              </w:rPr>
              <w:t>NCI-CTC stepen</w:t>
            </w:r>
          </w:p>
        </w:tc>
        <w:tc>
          <w:tcPr>
            <w:tcW w:w="992" w:type="dxa"/>
          </w:tcPr>
          <w:p w14:paraId="05228A7F" w14:textId="77777777" w:rsidR="00735264" w:rsidRPr="00FB6F73" w:rsidRDefault="00735264" w:rsidP="00917054">
            <w:pPr>
              <w:widowControl w:val="0"/>
              <w:autoSpaceDE w:val="0"/>
              <w:autoSpaceDN w:val="0"/>
              <w:spacing w:line="242" w:lineRule="auto"/>
              <w:ind w:left="191" w:right="194"/>
              <w:rPr>
                <w:b/>
                <w:sz w:val="22"/>
                <w:szCs w:val="22"/>
                <w:lang w:val="sr-Latn-ME"/>
              </w:rPr>
            </w:pPr>
            <w:r w:rsidRPr="00FB6F73">
              <w:rPr>
                <w:b/>
                <w:sz w:val="22"/>
                <w:szCs w:val="22"/>
                <w:lang w:val="sr-Latn-ME"/>
              </w:rPr>
              <w:t xml:space="preserve">Bilo koji </w:t>
            </w:r>
            <w:r w:rsidRPr="00FB6F73">
              <w:rPr>
                <w:b/>
                <w:spacing w:val="-2"/>
                <w:sz w:val="22"/>
                <w:szCs w:val="22"/>
                <w:lang w:val="sr-Latn-ME"/>
              </w:rPr>
              <w:t>stepen</w:t>
            </w:r>
          </w:p>
        </w:tc>
        <w:tc>
          <w:tcPr>
            <w:tcW w:w="851" w:type="dxa"/>
          </w:tcPr>
          <w:p w14:paraId="1927E8B4" w14:textId="77777777" w:rsidR="00735264" w:rsidRPr="00FB6F73" w:rsidRDefault="00735264" w:rsidP="00735264">
            <w:pPr>
              <w:widowControl w:val="0"/>
              <w:autoSpaceDE w:val="0"/>
              <w:autoSpaceDN w:val="0"/>
              <w:spacing w:before="9"/>
              <w:rPr>
                <w:sz w:val="22"/>
                <w:szCs w:val="22"/>
                <w:lang w:val="sr-Latn-ME"/>
              </w:rPr>
            </w:pPr>
          </w:p>
          <w:p w14:paraId="2B170E92" w14:textId="77777777" w:rsidR="00735264" w:rsidRPr="00FB6F73" w:rsidRDefault="00735264" w:rsidP="00735264">
            <w:pPr>
              <w:widowControl w:val="0"/>
              <w:autoSpaceDE w:val="0"/>
              <w:autoSpaceDN w:val="0"/>
              <w:jc w:val="center"/>
              <w:rPr>
                <w:b/>
                <w:sz w:val="22"/>
                <w:szCs w:val="22"/>
                <w:lang w:val="sr-Latn-ME"/>
              </w:rPr>
            </w:pPr>
            <w:r w:rsidRPr="00FB6F73">
              <w:rPr>
                <w:b/>
                <w:sz w:val="22"/>
                <w:szCs w:val="22"/>
                <w:lang w:val="sr-Latn-ME"/>
              </w:rPr>
              <w:t>3</w:t>
            </w:r>
          </w:p>
        </w:tc>
        <w:tc>
          <w:tcPr>
            <w:tcW w:w="850" w:type="dxa"/>
          </w:tcPr>
          <w:p w14:paraId="2E96ADF7" w14:textId="77777777" w:rsidR="00735264" w:rsidRPr="00FB6F73" w:rsidRDefault="00735264" w:rsidP="00735264">
            <w:pPr>
              <w:widowControl w:val="0"/>
              <w:autoSpaceDE w:val="0"/>
              <w:autoSpaceDN w:val="0"/>
              <w:spacing w:before="9"/>
              <w:rPr>
                <w:sz w:val="22"/>
                <w:szCs w:val="22"/>
                <w:lang w:val="sr-Latn-ME"/>
              </w:rPr>
            </w:pPr>
          </w:p>
          <w:p w14:paraId="659C95AD" w14:textId="77777777" w:rsidR="00735264" w:rsidRPr="00FB6F73" w:rsidRDefault="00735264" w:rsidP="00735264">
            <w:pPr>
              <w:widowControl w:val="0"/>
              <w:autoSpaceDE w:val="0"/>
              <w:autoSpaceDN w:val="0"/>
              <w:jc w:val="center"/>
              <w:rPr>
                <w:b/>
                <w:sz w:val="22"/>
                <w:szCs w:val="22"/>
                <w:lang w:val="sr-Latn-ME"/>
              </w:rPr>
            </w:pPr>
            <w:r w:rsidRPr="00FB6F73">
              <w:rPr>
                <w:b/>
                <w:sz w:val="22"/>
                <w:szCs w:val="22"/>
                <w:lang w:val="sr-Latn-ME"/>
              </w:rPr>
              <w:t>4</w:t>
            </w:r>
          </w:p>
        </w:tc>
        <w:tc>
          <w:tcPr>
            <w:tcW w:w="992" w:type="dxa"/>
          </w:tcPr>
          <w:p w14:paraId="4326E97C" w14:textId="77777777" w:rsidR="00735264" w:rsidRPr="00FB6F73" w:rsidRDefault="00735264" w:rsidP="00917054">
            <w:pPr>
              <w:widowControl w:val="0"/>
              <w:autoSpaceDE w:val="0"/>
              <w:autoSpaceDN w:val="0"/>
              <w:spacing w:line="242" w:lineRule="auto"/>
              <w:ind w:left="134" w:right="127"/>
              <w:jc w:val="both"/>
              <w:rPr>
                <w:b/>
                <w:sz w:val="22"/>
                <w:szCs w:val="22"/>
                <w:lang w:val="sr-Latn-ME"/>
              </w:rPr>
            </w:pPr>
            <w:r w:rsidRPr="00FB6F73">
              <w:rPr>
                <w:b/>
                <w:sz w:val="22"/>
                <w:szCs w:val="22"/>
                <w:lang w:val="sr-Latn-ME"/>
              </w:rPr>
              <w:t xml:space="preserve">Bilo koji </w:t>
            </w:r>
            <w:r w:rsidRPr="00FB6F73">
              <w:rPr>
                <w:b/>
                <w:spacing w:val="-2"/>
                <w:sz w:val="22"/>
                <w:szCs w:val="22"/>
                <w:lang w:val="sr-Latn-ME"/>
              </w:rPr>
              <w:t>stepen</w:t>
            </w:r>
          </w:p>
        </w:tc>
        <w:tc>
          <w:tcPr>
            <w:tcW w:w="851" w:type="dxa"/>
          </w:tcPr>
          <w:p w14:paraId="46D81981" w14:textId="77777777" w:rsidR="00735264" w:rsidRPr="00FB6F73" w:rsidRDefault="00735264" w:rsidP="00735264">
            <w:pPr>
              <w:widowControl w:val="0"/>
              <w:autoSpaceDE w:val="0"/>
              <w:autoSpaceDN w:val="0"/>
              <w:spacing w:before="9"/>
              <w:rPr>
                <w:sz w:val="22"/>
                <w:szCs w:val="22"/>
                <w:lang w:val="sr-Latn-ME"/>
              </w:rPr>
            </w:pPr>
          </w:p>
          <w:p w14:paraId="6B57536F" w14:textId="77777777" w:rsidR="00735264" w:rsidRPr="00FB6F73" w:rsidRDefault="00735264" w:rsidP="00735264">
            <w:pPr>
              <w:widowControl w:val="0"/>
              <w:autoSpaceDE w:val="0"/>
              <w:autoSpaceDN w:val="0"/>
              <w:jc w:val="center"/>
              <w:rPr>
                <w:b/>
                <w:sz w:val="22"/>
                <w:szCs w:val="22"/>
                <w:lang w:val="sr-Latn-ME"/>
              </w:rPr>
            </w:pPr>
            <w:r w:rsidRPr="00FB6F73">
              <w:rPr>
                <w:b/>
                <w:sz w:val="22"/>
                <w:szCs w:val="22"/>
                <w:lang w:val="sr-Latn-ME"/>
              </w:rPr>
              <w:t>3</w:t>
            </w:r>
          </w:p>
        </w:tc>
        <w:tc>
          <w:tcPr>
            <w:tcW w:w="992" w:type="dxa"/>
          </w:tcPr>
          <w:p w14:paraId="1028C6E8" w14:textId="77777777" w:rsidR="00735264" w:rsidRPr="00FB6F73" w:rsidRDefault="00735264" w:rsidP="00735264">
            <w:pPr>
              <w:widowControl w:val="0"/>
              <w:autoSpaceDE w:val="0"/>
              <w:autoSpaceDN w:val="0"/>
              <w:spacing w:before="9"/>
              <w:rPr>
                <w:sz w:val="22"/>
                <w:szCs w:val="22"/>
                <w:lang w:val="sr-Latn-ME"/>
              </w:rPr>
            </w:pPr>
          </w:p>
          <w:p w14:paraId="0763763F" w14:textId="77777777" w:rsidR="00735264" w:rsidRPr="00FB6F73" w:rsidRDefault="00735264" w:rsidP="00735264">
            <w:pPr>
              <w:widowControl w:val="0"/>
              <w:autoSpaceDE w:val="0"/>
              <w:autoSpaceDN w:val="0"/>
              <w:ind w:right="434"/>
              <w:jc w:val="right"/>
              <w:rPr>
                <w:b/>
                <w:sz w:val="22"/>
                <w:szCs w:val="22"/>
                <w:lang w:val="sr-Latn-ME"/>
              </w:rPr>
            </w:pPr>
            <w:r w:rsidRPr="00FB6F73">
              <w:rPr>
                <w:b/>
                <w:sz w:val="22"/>
                <w:szCs w:val="22"/>
                <w:lang w:val="sr-Latn-ME"/>
              </w:rPr>
              <w:t>4</w:t>
            </w:r>
          </w:p>
        </w:tc>
        <w:tc>
          <w:tcPr>
            <w:tcW w:w="1701" w:type="dxa"/>
            <w:vMerge/>
          </w:tcPr>
          <w:p w14:paraId="0DBBF8B3" w14:textId="77777777" w:rsidR="00735264" w:rsidRPr="00FB6F73" w:rsidRDefault="00735264" w:rsidP="00735264">
            <w:pPr>
              <w:widowControl w:val="0"/>
              <w:autoSpaceDE w:val="0"/>
              <w:autoSpaceDN w:val="0"/>
              <w:rPr>
                <w:sz w:val="22"/>
                <w:szCs w:val="22"/>
                <w:lang w:val="sr-Latn-ME"/>
              </w:rPr>
            </w:pPr>
          </w:p>
        </w:tc>
      </w:tr>
      <w:tr w:rsidR="00735264" w:rsidRPr="00FB6F73" w14:paraId="091A5AC9" w14:textId="77777777" w:rsidTr="00FB6F73">
        <w:trPr>
          <w:trHeight w:hRule="exact" w:val="514"/>
        </w:trPr>
        <w:tc>
          <w:tcPr>
            <w:tcW w:w="2836" w:type="dxa"/>
          </w:tcPr>
          <w:p w14:paraId="6F18B4FF" w14:textId="77777777" w:rsidR="00735264" w:rsidRPr="00FB6F73" w:rsidRDefault="00735264" w:rsidP="00735264">
            <w:pPr>
              <w:widowControl w:val="0"/>
              <w:autoSpaceDE w:val="0"/>
              <w:autoSpaceDN w:val="0"/>
              <w:spacing w:before="1" w:line="250" w:lineRule="exact"/>
              <w:ind w:left="105"/>
              <w:rPr>
                <w:b/>
                <w:sz w:val="22"/>
                <w:szCs w:val="22"/>
                <w:lang w:val="sr-Latn-ME"/>
              </w:rPr>
            </w:pPr>
            <w:r w:rsidRPr="00FB6F73">
              <w:rPr>
                <w:b/>
                <w:sz w:val="22"/>
                <w:szCs w:val="22"/>
                <w:lang w:val="sr-Latn-ME"/>
              </w:rPr>
              <w:t>MedDRA preporučeni izraz</w:t>
            </w:r>
          </w:p>
        </w:tc>
        <w:tc>
          <w:tcPr>
            <w:tcW w:w="992" w:type="dxa"/>
          </w:tcPr>
          <w:p w14:paraId="21E48543" w14:textId="77777777" w:rsidR="00735264" w:rsidRPr="00FB6F73" w:rsidRDefault="00735264" w:rsidP="00735264">
            <w:pPr>
              <w:widowControl w:val="0"/>
              <w:autoSpaceDE w:val="0"/>
              <w:autoSpaceDN w:val="0"/>
              <w:spacing w:before="11"/>
              <w:rPr>
                <w:sz w:val="22"/>
                <w:szCs w:val="22"/>
                <w:lang w:val="sr-Latn-ME"/>
              </w:rPr>
            </w:pPr>
          </w:p>
          <w:p w14:paraId="56D92119" w14:textId="77777777" w:rsidR="00735264" w:rsidRPr="00FB6F73" w:rsidRDefault="00735264" w:rsidP="00735264">
            <w:pPr>
              <w:widowControl w:val="0"/>
              <w:autoSpaceDE w:val="0"/>
              <w:autoSpaceDN w:val="0"/>
              <w:ind w:left="1"/>
              <w:jc w:val="center"/>
              <w:rPr>
                <w:sz w:val="22"/>
                <w:szCs w:val="22"/>
                <w:lang w:val="sr-Latn-ME"/>
              </w:rPr>
            </w:pPr>
            <w:r w:rsidRPr="00FB6F73">
              <w:rPr>
                <w:sz w:val="22"/>
                <w:szCs w:val="22"/>
                <w:lang w:val="sr-Latn-ME"/>
              </w:rPr>
              <w:t>%</w:t>
            </w:r>
          </w:p>
        </w:tc>
        <w:tc>
          <w:tcPr>
            <w:tcW w:w="851" w:type="dxa"/>
          </w:tcPr>
          <w:p w14:paraId="62D79A0A" w14:textId="77777777" w:rsidR="00735264" w:rsidRPr="00FB6F73" w:rsidRDefault="00735264" w:rsidP="00735264">
            <w:pPr>
              <w:widowControl w:val="0"/>
              <w:autoSpaceDE w:val="0"/>
              <w:autoSpaceDN w:val="0"/>
              <w:spacing w:before="11"/>
              <w:rPr>
                <w:sz w:val="22"/>
                <w:szCs w:val="22"/>
                <w:lang w:val="sr-Latn-ME"/>
              </w:rPr>
            </w:pPr>
          </w:p>
          <w:p w14:paraId="043D694C" w14:textId="77777777" w:rsidR="00735264" w:rsidRPr="00FB6F73" w:rsidRDefault="00735264" w:rsidP="00735264">
            <w:pPr>
              <w:widowControl w:val="0"/>
              <w:autoSpaceDE w:val="0"/>
              <w:autoSpaceDN w:val="0"/>
              <w:ind w:right="1"/>
              <w:jc w:val="center"/>
              <w:rPr>
                <w:sz w:val="22"/>
                <w:szCs w:val="22"/>
                <w:lang w:val="sr-Latn-ME"/>
              </w:rPr>
            </w:pPr>
            <w:r w:rsidRPr="00FB6F73">
              <w:rPr>
                <w:sz w:val="22"/>
                <w:szCs w:val="22"/>
                <w:lang w:val="sr-Latn-ME"/>
              </w:rPr>
              <w:t>%</w:t>
            </w:r>
          </w:p>
        </w:tc>
        <w:tc>
          <w:tcPr>
            <w:tcW w:w="850" w:type="dxa"/>
          </w:tcPr>
          <w:p w14:paraId="42FD3F28" w14:textId="77777777" w:rsidR="00735264" w:rsidRPr="00FB6F73" w:rsidRDefault="00735264" w:rsidP="00735264">
            <w:pPr>
              <w:widowControl w:val="0"/>
              <w:autoSpaceDE w:val="0"/>
              <w:autoSpaceDN w:val="0"/>
              <w:spacing w:before="11"/>
              <w:rPr>
                <w:sz w:val="22"/>
                <w:szCs w:val="22"/>
                <w:lang w:val="sr-Latn-ME"/>
              </w:rPr>
            </w:pPr>
          </w:p>
          <w:p w14:paraId="086CC45E" w14:textId="77777777" w:rsidR="00735264" w:rsidRPr="00FB6F73" w:rsidRDefault="00735264" w:rsidP="00735264">
            <w:pPr>
              <w:widowControl w:val="0"/>
              <w:autoSpaceDE w:val="0"/>
              <w:autoSpaceDN w:val="0"/>
              <w:ind w:right="1"/>
              <w:jc w:val="center"/>
              <w:rPr>
                <w:sz w:val="22"/>
                <w:szCs w:val="22"/>
                <w:lang w:val="sr-Latn-ME"/>
              </w:rPr>
            </w:pPr>
            <w:r w:rsidRPr="00FB6F73">
              <w:rPr>
                <w:sz w:val="22"/>
                <w:szCs w:val="22"/>
                <w:lang w:val="sr-Latn-ME"/>
              </w:rPr>
              <w:t>%</w:t>
            </w:r>
          </w:p>
        </w:tc>
        <w:tc>
          <w:tcPr>
            <w:tcW w:w="992" w:type="dxa"/>
          </w:tcPr>
          <w:p w14:paraId="4FB5EDAA" w14:textId="77777777" w:rsidR="00735264" w:rsidRPr="00FB6F73" w:rsidRDefault="00735264" w:rsidP="00735264">
            <w:pPr>
              <w:widowControl w:val="0"/>
              <w:autoSpaceDE w:val="0"/>
              <w:autoSpaceDN w:val="0"/>
              <w:spacing w:before="11"/>
              <w:rPr>
                <w:sz w:val="22"/>
                <w:szCs w:val="22"/>
                <w:lang w:val="sr-Latn-ME"/>
              </w:rPr>
            </w:pPr>
          </w:p>
          <w:p w14:paraId="116B7059" w14:textId="77777777" w:rsidR="00735264" w:rsidRPr="00FB6F73" w:rsidRDefault="00735264" w:rsidP="00735264">
            <w:pPr>
              <w:widowControl w:val="0"/>
              <w:autoSpaceDE w:val="0"/>
              <w:autoSpaceDN w:val="0"/>
              <w:ind w:left="336"/>
              <w:rPr>
                <w:sz w:val="22"/>
                <w:szCs w:val="22"/>
                <w:lang w:val="sr-Latn-ME"/>
              </w:rPr>
            </w:pPr>
            <w:r w:rsidRPr="00FB6F73">
              <w:rPr>
                <w:sz w:val="22"/>
                <w:szCs w:val="22"/>
                <w:lang w:val="sr-Latn-ME"/>
              </w:rPr>
              <w:t>%</w:t>
            </w:r>
          </w:p>
        </w:tc>
        <w:tc>
          <w:tcPr>
            <w:tcW w:w="851" w:type="dxa"/>
          </w:tcPr>
          <w:p w14:paraId="61C1B4C9" w14:textId="77777777" w:rsidR="00735264" w:rsidRPr="00FB6F73" w:rsidRDefault="00735264" w:rsidP="00735264">
            <w:pPr>
              <w:widowControl w:val="0"/>
              <w:autoSpaceDE w:val="0"/>
              <w:autoSpaceDN w:val="0"/>
              <w:spacing w:before="11"/>
              <w:rPr>
                <w:sz w:val="22"/>
                <w:szCs w:val="22"/>
                <w:lang w:val="sr-Latn-ME"/>
              </w:rPr>
            </w:pPr>
          </w:p>
          <w:p w14:paraId="5F417489" w14:textId="77777777" w:rsidR="00735264" w:rsidRPr="00FB6F73" w:rsidRDefault="00735264" w:rsidP="00735264">
            <w:pPr>
              <w:widowControl w:val="0"/>
              <w:autoSpaceDE w:val="0"/>
              <w:autoSpaceDN w:val="0"/>
              <w:ind w:left="6"/>
              <w:jc w:val="center"/>
              <w:rPr>
                <w:sz w:val="22"/>
                <w:szCs w:val="22"/>
                <w:lang w:val="sr-Latn-ME"/>
              </w:rPr>
            </w:pPr>
            <w:r w:rsidRPr="00FB6F73">
              <w:rPr>
                <w:sz w:val="22"/>
                <w:szCs w:val="22"/>
                <w:lang w:val="sr-Latn-ME"/>
              </w:rPr>
              <w:t>%</w:t>
            </w:r>
          </w:p>
        </w:tc>
        <w:tc>
          <w:tcPr>
            <w:tcW w:w="992" w:type="dxa"/>
          </w:tcPr>
          <w:p w14:paraId="6D208CB9" w14:textId="77777777" w:rsidR="00735264" w:rsidRPr="00FB6F73" w:rsidRDefault="00735264" w:rsidP="00735264">
            <w:pPr>
              <w:widowControl w:val="0"/>
              <w:autoSpaceDE w:val="0"/>
              <w:autoSpaceDN w:val="0"/>
              <w:spacing w:before="11"/>
              <w:rPr>
                <w:sz w:val="22"/>
                <w:szCs w:val="22"/>
                <w:lang w:val="sr-Latn-ME"/>
              </w:rPr>
            </w:pPr>
          </w:p>
          <w:p w14:paraId="14C39710" w14:textId="77777777" w:rsidR="00735264" w:rsidRPr="00FB6F73" w:rsidRDefault="00735264" w:rsidP="00735264">
            <w:pPr>
              <w:widowControl w:val="0"/>
              <w:autoSpaceDE w:val="0"/>
              <w:autoSpaceDN w:val="0"/>
              <w:ind w:right="399"/>
              <w:jc w:val="right"/>
              <w:rPr>
                <w:sz w:val="22"/>
                <w:szCs w:val="22"/>
                <w:lang w:val="sr-Latn-ME"/>
              </w:rPr>
            </w:pPr>
            <w:r w:rsidRPr="00FB6F73">
              <w:rPr>
                <w:sz w:val="22"/>
                <w:szCs w:val="22"/>
                <w:lang w:val="sr-Latn-ME"/>
              </w:rPr>
              <w:t>%</w:t>
            </w:r>
          </w:p>
        </w:tc>
        <w:tc>
          <w:tcPr>
            <w:tcW w:w="1701" w:type="dxa"/>
            <w:vMerge/>
          </w:tcPr>
          <w:p w14:paraId="2E86EC0C" w14:textId="77777777" w:rsidR="00735264" w:rsidRPr="00FB6F73" w:rsidRDefault="00735264" w:rsidP="00735264">
            <w:pPr>
              <w:widowControl w:val="0"/>
              <w:autoSpaceDE w:val="0"/>
              <w:autoSpaceDN w:val="0"/>
              <w:rPr>
                <w:sz w:val="22"/>
                <w:szCs w:val="22"/>
                <w:lang w:val="sr-Latn-ME"/>
              </w:rPr>
            </w:pPr>
          </w:p>
        </w:tc>
      </w:tr>
      <w:tr w:rsidR="00735264" w:rsidRPr="00FB6F73" w14:paraId="0C0CCE83" w14:textId="77777777" w:rsidTr="00FB6F73">
        <w:trPr>
          <w:trHeight w:hRule="exact" w:val="518"/>
        </w:trPr>
        <w:tc>
          <w:tcPr>
            <w:tcW w:w="2836" w:type="dxa"/>
          </w:tcPr>
          <w:p w14:paraId="53197D00" w14:textId="77777777" w:rsidR="00735264" w:rsidRPr="00FB6F73" w:rsidRDefault="00735264" w:rsidP="00735264">
            <w:pPr>
              <w:widowControl w:val="0"/>
              <w:autoSpaceDE w:val="0"/>
              <w:autoSpaceDN w:val="0"/>
              <w:spacing w:line="244" w:lineRule="exact"/>
              <w:ind w:left="105"/>
              <w:rPr>
                <w:i/>
                <w:sz w:val="22"/>
                <w:szCs w:val="22"/>
                <w:lang w:val="sr-Latn-ME"/>
              </w:rPr>
            </w:pPr>
            <w:r w:rsidRPr="00FB6F73">
              <w:rPr>
                <w:i/>
                <w:sz w:val="22"/>
                <w:szCs w:val="22"/>
                <w:lang w:val="sr-Latn-ME"/>
              </w:rPr>
              <w:t>Infekcije i infestacije</w:t>
            </w:r>
          </w:p>
          <w:p w14:paraId="13DD5ABF" w14:textId="2B299343" w:rsidR="00735264" w:rsidRPr="00FB6F73" w:rsidRDefault="00FB6F73" w:rsidP="00FB6F73">
            <w:pPr>
              <w:widowControl w:val="0"/>
              <w:autoSpaceDE w:val="0"/>
              <w:autoSpaceDN w:val="0"/>
              <w:spacing w:before="1"/>
              <w:rPr>
                <w:sz w:val="22"/>
                <w:szCs w:val="22"/>
                <w:lang w:val="sr-Latn-ME"/>
              </w:rPr>
            </w:pPr>
            <w:r>
              <w:rPr>
                <w:sz w:val="22"/>
                <w:szCs w:val="22"/>
                <w:lang w:val="sr-Latn-ME"/>
              </w:rPr>
              <w:t xml:space="preserve"> </w:t>
            </w:r>
            <w:r w:rsidR="00735264" w:rsidRPr="00FB6F73">
              <w:rPr>
                <w:sz w:val="22"/>
                <w:szCs w:val="22"/>
                <w:lang w:val="sr-Latn-ME"/>
              </w:rPr>
              <w:t>Infekcija*</w:t>
            </w:r>
          </w:p>
        </w:tc>
        <w:tc>
          <w:tcPr>
            <w:tcW w:w="992" w:type="dxa"/>
          </w:tcPr>
          <w:p w14:paraId="2DEEFA86" w14:textId="77777777" w:rsidR="00735264" w:rsidRPr="00FB6F73" w:rsidRDefault="00735264" w:rsidP="00735264">
            <w:pPr>
              <w:widowControl w:val="0"/>
              <w:autoSpaceDE w:val="0"/>
              <w:autoSpaceDN w:val="0"/>
              <w:spacing w:before="4"/>
              <w:rPr>
                <w:sz w:val="22"/>
                <w:szCs w:val="22"/>
                <w:lang w:val="sr-Latn-ME"/>
              </w:rPr>
            </w:pPr>
          </w:p>
          <w:p w14:paraId="440DB5CE" w14:textId="77777777" w:rsidR="00735264" w:rsidRPr="00FB6F73" w:rsidRDefault="00735264" w:rsidP="00735264">
            <w:pPr>
              <w:widowControl w:val="0"/>
              <w:autoSpaceDE w:val="0"/>
              <w:autoSpaceDN w:val="0"/>
              <w:ind w:left="359" w:right="359"/>
              <w:jc w:val="center"/>
              <w:rPr>
                <w:sz w:val="22"/>
                <w:szCs w:val="22"/>
                <w:lang w:val="sr-Latn-ME"/>
              </w:rPr>
            </w:pPr>
            <w:r w:rsidRPr="00FB6F73">
              <w:rPr>
                <w:sz w:val="22"/>
                <w:szCs w:val="22"/>
                <w:lang w:val="sr-Latn-ME"/>
              </w:rPr>
              <w:t>24</w:t>
            </w:r>
          </w:p>
        </w:tc>
        <w:tc>
          <w:tcPr>
            <w:tcW w:w="851" w:type="dxa"/>
          </w:tcPr>
          <w:p w14:paraId="5D04727B" w14:textId="77777777" w:rsidR="00735264" w:rsidRPr="00FB6F73" w:rsidRDefault="00735264" w:rsidP="00735264">
            <w:pPr>
              <w:widowControl w:val="0"/>
              <w:autoSpaceDE w:val="0"/>
              <w:autoSpaceDN w:val="0"/>
              <w:spacing w:before="4"/>
              <w:rPr>
                <w:sz w:val="22"/>
                <w:szCs w:val="22"/>
                <w:lang w:val="sr-Latn-ME"/>
              </w:rPr>
            </w:pPr>
          </w:p>
          <w:p w14:paraId="0EA8BFF0" w14:textId="77777777" w:rsidR="00735264" w:rsidRPr="00FB6F73" w:rsidRDefault="00735264" w:rsidP="00735264">
            <w:pPr>
              <w:widowControl w:val="0"/>
              <w:autoSpaceDE w:val="0"/>
              <w:autoSpaceDN w:val="0"/>
              <w:jc w:val="center"/>
              <w:rPr>
                <w:sz w:val="22"/>
                <w:szCs w:val="22"/>
                <w:lang w:val="sr-Latn-ME"/>
              </w:rPr>
            </w:pPr>
            <w:r w:rsidRPr="00FB6F73">
              <w:rPr>
                <w:sz w:val="22"/>
                <w:szCs w:val="22"/>
                <w:lang w:val="sr-Latn-ME"/>
              </w:rPr>
              <w:t>4</w:t>
            </w:r>
          </w:p>
        </w:tc>
        <w:tc>
          <w:tcPr>
            <w:tcW w:w="850" w:type="dxa"/>
          </w:tcPr>
          <w:p w14:paraId="7AD81933" w14:textId="77777777" w:rsidR="00735264" w:rsidRPr="00FB6F73" w:rsidRDefault="00735264" w:rsidP="00735264">
            <w:pPr>
              <w:widowControl w:val="0"/>
              <w:autoSpaceDE w:val="0"/>
              <w:autoSpaceDN w:val="0"/>
              <w:spacing w:before="4"/>
              <w:rPr>
                <w:sz w:val="22"/>
                <w:szCs w:val="22"/>
                <w:lang w:val="sr-Latn-ME"/>
              </w:rPr>
            </w:pPr>
          </w:p>
          <w:p w14:paraId="4F4BB083" w14:textId="77777777" w:rsidR="00735264" w:rsidRPr="00FB6F73" w:rsidRDefault="00735264" w:rsidP="00735264">
            <w:pPr>
              <w:widowControl w:val="0"/>
              <w:autoSpaceDE w:val="0"/>
              <w:autoSpaceDN w:val="0"/>
              <w:jc w:val="center"/>
              <w:rPr>
                <w:sz w:val="22"/>
                <w:szCs w:val="22"/>
                <w:lang w:val="sr-Latn-ME"/>
              </w:rPr>
            </w:pPr>
            <w:r w:rsidRPr="00FB6F73">
              <w:rPr>
                <w:sz w:val="22"/>
                <w:szCs w:val="22"/>
                <w:lang w:val="sr-Latn-ME"/>
              </w:rPr>
              <w:t>0</w:t>
            </w:r>
          </w:p>
        </w:tc>
        <w:tc>
          <w:tcPr>
            <w:tcW w:w="992" w:type="dxa"/>
          </w:tcPr>
          <w:p w14:paraId="25BF7C84" w14:textId="77777777" w:rsidR="00735264" w:rsidRPr="00FB6F73" w:rsidRDefault="00735264" w:rsidP="00735264">
            <w:pPr>
              <w:widowControl w:val="0"/>
              <w:autoSpaceDE w:val="0"/>
              <w:autoSpaceDN w:val="0"/>
              <w:spacing w:before="4"/>
              <w:rPr>
                <w:sz w:val="22"/>
                <w:szCs w:val="22"/>
                <w:lang w:val="sr-Latn-ME"/>
              </w:rPr>
            </w:pPr>
          </w:p>
          <w:p w14:paraId="3E188F26" w14:textId="77777777" w:rsidR="00735264" w:rsidRPr="00FB6F73" w:rsidRDefault="00735264" w:rsidP="00735264">
            <w:pPr>
              <w:widowControl w:val="0"/>
              <w:autoSpaceDE w:val="0"/>
              <w:autoSpaceDN w:val="0"/>
              <w:ind w:left="316"/>
              <w:rPr>
                <w:sz w:val="22"/>
                <w:szCs w:val="22"/>
                <w:lang w:val="sr-Latn-ME"/>
              </w:rPr>
            </w:pPr>
            <w:r w:rsidRPr="00FB6F73">
              <w:rPr>
                <w:sz w:val="22"/>
                <w:szCs w:val="22"/>
                <w:lang w:val="sr-Latn-ME"/>
              </w:rPr>
              <w:t>31</w:t>
            </w:r>
          </w:p>
        </w:tc>
        <w:tc>
          <w:tcPr>
            <w:tcW w:w="851" w:type="dxa"/>
          </w:tcPr>
          <w:p w14:paraId="4F386B50" w14:textId="77777777" w:rsidR="00735264" w:rsidRPr="00FB6F73" w:rsidRDefault="00735264" w:rsidP="00735264">
            <w:pPr>
              <w:widowControl w:val="0"/>
              <w:autoSpaceDE w:val="0"/>
              <w:autoSpaceDN w:val="0"/>
              <w:spacing w:before="4"/>
              <w:rPr>
                <w:sz w:val="22"/>
                <w:szCs w:val="22"/>
                <w:lang w:val="sr-Latn-ME"/>
              </w:rPr>
            </w:pPr>
          </w:p>
          <w:p w14:paraId="4279B2FB" w14:textId="77777777" w:rsidR="00735264" w:rsidRPr="00FB6F73" w:rsidRDefault="00735264" w:rsidP="00735264">
            <w:pPr>
              <w:widowControl w:val="0"/>
              <w:autoSpaceDE w:val="0"/>
              <w:autoSpaceDN w:val="0"/>
              <w:jc w:val="center"/>
              <w:rPr>
                <w:sz w:val="22"/>
                <w:szCs w:val="22"/>
                <w:lang w:val="sr-Latn-ME"/>
              </w:rPr>
            </w:pPr>
            <w:r w:rsidRPr="00FB6F73">
              <w:rPr>
                <w:sz w:val="22"/>
                <w:szCs w:val="22"/>
                <w:lang w:val="sr-Latn-ME"/>
              </w:rPr>
              <w:t>3</w:t>
            </w:r>
          </w:p>
        </w:tc>
        <w:tc>
          <w:tcPr>
            <w:tcW w:w="992" w:type="dxa"/>
          </w:tcPr>
          <w:p w14:paraId="51D415A2" w14:textId="77777777" w:rsidR="00735264" w:rsidRPr="00FB6F73" w:rsidRDefault="00735264" w:rsidP="00735264">
            <w:pPr>
              <w:widowControl w:val="0"/>
              <w:autoSpaceDE w:val="0"/>
              <w:autoSpaceDN w:val="0"/>
              <w:spacing w:before="4"/>
              <w:rPr>
                <w:sz w:val="22"/>
                <w:szCs w:val="22"/>
                <w:lang w:val="sr-Latn-ME"/>
              </w:rPr>
            </w:pPr>
          </w:p>
          <w:p w14:paraId="504EC882" w14:textId="77777777" w:rsidR="00735264" w:rsidRPr="00FB6F73" w:rsidRDefault="00735264" w:rsidP="00735264">
            <w:pPr>
              <w:widowControl w:val="0"/>
              <w:autoSpaceDE w:val="0"/>
              <w:autoSpaceDN w:val="0"/>
              <w:ind w:right="372"/>
              <w:jc w:val="right"/>
              <w:rPr>
                <w:sz w:val="22"/>
                <w:szCs w:val="22"/>
                <w:lang w:val="sr-Latn-ME"/>
              </w:rPr>
            </w:pPr>
            <w:r w:rsidRPr="00FB6F73">
              <w:rPr>
                <w:sz w:val="22"/>
                <w:szCs w:val="22"/>
                <w:lang w:val="sr-Latn-ME"/>
              </w:rPr>
              <w:t>&lt;1</w:t>
            </w:r>
          </w:p>
        </w:tc>
        <w:tc>
          <w:tcPr>
            <w:tcW w:w="1701" w:type="dxa"/>
          </w:tcPr>
          <w:p w14:paraId="796F0933" w14:textId="77777777" w:rsidR="00735264" w:rsidRPr="00FB6F73" w:rsidRDefault="00735264" w:rsidP="00FB6F73">
            <w:pPr>
              <w:widowControl w:val="0"/>
              <w:autoSpaceDE w:val="0"/>
              <w:autoSpaceDN w:val="0"/>
              <w:spacing w:before="4"/>
              <w:jc w:val="center"/>
              <w:rPr>
                <w:sz w:val="22"/>
                <w:szCs w:val="22"/>
                <w:lang w:val="sr-Latn-ME"/>
              </w:rPr>
            </w:pPr>
          </w:p>
          <w:p w14:paraId="33C0F1E6" w14:textId="77777777" w:rsidR="00735264" w:rsidRPr="00FB6F73" w:rsidRDefault="00735264" w:rsidP="00FB6F73">
            <w:pPr>
              <w:widowControl w:val="0"/>
              <w:autoSpaceDE w:val="0"/>
              <w:autoSpaceDN w:val="0"/>
              <w:jc w:val="center"/>
              <w:rPr>
                <w:sz w:val="22"/>
                <w:szCs w:val="22"/>
                <w:lang w:val="sr-Latn-ME"/>
              </w:rPr>
            </w:pPr>
            <w:r w:rsidRPr="00FB6F73">
              <w:rPr>
                <w:sz w:val="22"/>
                <w:szCs w:val="22"/>
                <w:lang w:val="sr-Latn-ME"/>
              </w:rPr>
              <w:t>veoma često</w:t>
            </w:r>
          </w:p>
        </w:tc>
      </w:tr>
      <w:tr w:rsidR="00735264" w:rsidRPr="00FB6F73" w14:paraId="60256693" w14:textId="77777777" w:rsidTr="00FB6F73">
        <w:trPr>
          <w:trHeight w:hRule="exact" w:val="1177"/>
        </w:trPr>
        <w:tc>
          <w:tcPr>
            <w:tcW w:w="2836" w:type="dxa"/>
          </w:tcPr>
          <w:p w14:paraId="7B5720FE" w14:textId="77777777" w:rsidR="000656D0" w:rsidRPr="00FB6F73" w:rsidRDefault="00735264" w:rsidP="000656D0">
            <w:pPr>
              <w:pStyle w:val="TableParagraph"/>
              <w:spacing w:line="243" w:lineRule="exact"/>
              <w:ind w:left="105"/>
              <w:rPr>
                <w:i/>
                <w:lang w:val="sr-Latn-ME"/>
              </w:rPr>
            </w:pPr>
            <w:r w:rsidRPr="00FB6F73">
              <w:rPr>
                <w:i/>
                <w:lang w:val="sr-Latn-ME"/>
              </w:rPr>
              <w:t>Poremećaji</w:t>
            </w:r>
            <w:r w:rsidR="000656D0" w:rsidRPr="00FB6F73">
              <w:rPr>
                <w:i/>
                <w:lang w:val="sr-Latn-ME"/>
              </w:rPr>
              <w:t xml:space="preserve"> metabolizma i </w:t>
            </w:r>
          </w:p>
          <w:p w14:paraId="3FA700B6" w14:textId="77777777" w:rsidR="00874FEF" w:rsidRPr="00FB6F73" w:rsidRDefault="000656D0" w:rsidP="000656D0">
            <w:pPr>
              <w:pStyle w:val="TableParagraph"/>
              <w:spacing w:line="243" w:lineRule="exact"/>
              <w:ind w:left="105"/>
              <w:rPr>
                <w:i/>
                <w:lang w:val="sr-Latn-ME"/>
              </w:rPr>
            </w:pPr>
            <w:r w:rsidRPr="00FB6F73">
              <w:rPr>
                <w:i/>
                <w:lang w:val="sr-Latn-ME"/>
              </w:rPr>
              <w:t>i ishrane</w:t>
            </w:r>
          </w:p>
          <w:p w14:paraId="1765347D" w14:textId="702FFE9C" w:rsidR="000656D0" w:rsidRPr="00FB6F73" w:rsidRDefault="000656D0" w:rsidP="000656D0">
            <w:pPr>
              <w:pStyle w:val="TableParagraph"/>
              <w:spacing w:line="243" w:lineRule="exact"/>
              <w:ind w:left="105"/>
              <w:rPr>
                <w:lang w:val="sr-Latn-ME"/>
              </w:rPr>
            </w:pPr>
            <w:r w:rsidRPr="00FB6F73">
              <w:rPr>
                <w:lang w:val="sr-Latn-ME"/>
              </w:rPr>
              <w:t>Anoreksija</w:t>
            </w:r>
          </w:p>
          <w:p w14:paraId="5C1B3608" w14:textId="5CD65257" w:rsidR="00874FEF" w:rsidRPr="00FB6F73" w:rsidRDefault="00874FEF" w:rsidP="000656D0">
            <w:pPr>
              <w:pStyle w:val="TableParagraph"/>
              <w:spacing w:line="243" w:lineRule="exact"/>
              <w:ind w:left="105"/>
              <w:rPr>
                <w:lang w:val="sr-Latn-ME"/>
              </w:rPr>
            </w:pPr>
            <w:r w:rsidRPr="00FB6F73">
              <w:rPr>
                <w:lang w:val="sr-Latn-ME"/>
              </w:rPr>
              <w:t>Smanjenje tjelesne</w:t>
            </w:r>
            <w:r w:rsidR="00FE7A7A" w:rsidRPr="00FB6F73">
              <w:rPr>
                <w:lang w:val="sr-Latn-ME"/>
              </w:rPr>
              <w:t xml:space="preserve"> mase</w:t>
            </w:r>
          </w:p>
          <w:p w14:paraId="2E8FFD12" w14:textId="77777777" w:rsidR="00874FEF" w:rsidRPr="00FB6F73" w:rsidRDefault="00874FEF" w:rsidP="000656D0">
            <w:pPr>
              <w:pStyle w:val="TableParagraph"/>
              <w:spacing w:line="243" w:lineRule="exact"/>
              <w:ind w:left="105"/>
              <w:rPr>
                <w:i/>
                <w:lang w:val="sr-Latn-ME"/>
              </w:rPr>
            </w:pPr>
          </w:p>
          <w:p w14:paraId="041AA55F" w14:textId="77777777" w:rsidR="000656D0" w:rsidRPr="00FB6F73" w:rsidRDefault="000656D0" w:rsidP="000656D0">
            <w:pPr>
              <w:pStyle w:val="TableParagraph"/>
              <w:spacing w:line="243" w:lineRule="exact"/>
              <w:ind w:left="105"/>
              <w:rPr>
                <w:i/>
                <w:lang w:val="sr-Latn-ME"/>
              </w:rPr>
            </w:pPr>
          </w:p>
          <w:p w14:paraId="06BCC84D" w14:textId="209B6266" w:rsidR="000656D0" w:rsidRPr="00FB6F73" w:rsidRDefault="000656D0" w:rsidP="000656D0">
            <w:pPr>
              <w:pStyle w:val="TableParagraph"/>
              <w:spacing w:line="243" w:lineRule="exact"/>
              <w:ind w:left="105"/>
              <w:rPr>
                <w:i/>
                <w:lang w:val="sr-Latn-ME"/>
              </w:rPr>
            </w:pPr>
            <w:r w:rsidRPr="00FB6F73">
              <w:rPr>
                <w:i/>
                <w:lang w:val="sr-Latn-ME"/>
              </w:rPr>
              <w:t>ishrane</w:t>
            </w:r>
          </w:p>
          <w:p w14:paraId="022D0349" w14:textId="135CE2D4" w:rsidR="00735264" w:rsidRPr="00FB6F73" w:rsidRDefault="000656D0" w:rsidP="000656D0">
            <w:pPr>
              <w:widowControl w:val="0"/>
              <w:autoSpaceDE w:val="0"/>
              <w:autoSpaceDN w:val="0"/>
              <w:spacing w:line="244" w:lineRule="exact"/>
              <w:ind w:left="105"/>
              <w:rPr>
                <w:i/>
                <w:sz w:val="22"/>
                <w:szCs w:val="22"/>
                <w:lang w:val="sr-Latn-ME"/>
              </w:rPr>
            </w:pPr>
            <w:r w:rsidRPr="00FB6F73">
              <w:rPr>
                <w:sz w:val="22"/>
                <w:szCs w:val="22"/>
                <w:lang w:val="sr-Latn-ME"/>
              </w:rPr>
              <w:t>Anoreksija</w:t>
            </w:r>
          </w:p>
          <w:p w14:paraId="202DF579" w14:textId="77777777" w:rsidR="000656D0" w:rsidRPr="00FB6F73" w:rsidRDefault="000656D0" w:rsidP="00735264">
            <w:pPr>
              <w:widowControl w:val="0"/>
              <w:autoSpaceDE w:val="0"/>
              <w:autoSpaceDN w:val="0"/>
              <w:spacing w:line="244" w:lineRule="exact"/>
              <w:ind w:left="105"/>
              <w:rPr>
                <w:i/>
                <w:sz w:val="22"/>
                <w:szCs w:val="22"/>
                <w:lang w:val="sr-Latn-ME"/>
              </w:rPr>
            </w:pPr>
          </w:p>
          <w:p w14:paraId="625B35C7" w14:textId="13E3AB43" w:rsidR="000656D0" w:rsidRPr="00FB6F73" w:rsidRDefault="000656D0" w:rsidP="00735264">
            <w:pPr>
              <w:widowControl w:val="0"/>
              <w:autoSpaceDE w:val="0"/>
              <w:autoSpaceDN w:val="0"/>
              <w:spacing w:line="244" w:lineRule="exact"/>
              <w:ind w:left="105"/>
              <w:rPr>
                <w:i/>
                <w:sz w:val="22"/>
                <w:szCs w:val="22"/>
                <w:lang w:val="sr-Latn-ME"/>
              </w:rPr>
            </w:pPr>
          </w:p>
        </w:tc>
        <w:tc>
          <w:tcPr>
            <w:tcW w:w="992" w:type="dxa"/>
          </w:tcPr>
          <w:p w14:paraId="6E82A1E2" w14:textId="77777777" w:rsidR="000656D0" w:rsidRPr="00FB6F73" w:rsidRDefault="000656D0" w:rsidP="001D7A21">
            <w:pPr>
              <w:pStyle w:val="TableParagraph"/>
              <w:ind w:left="359" w:right="359"/>
              <w:jc w:val="center"/>
              <w:rPr>
                <w:lang w:val="sr-Latn-ME"/>
              </w:rPr>
            </w:pPr>
          </w:p>
          <w:p w14:paraId="0578493D" w14:textId="77777777" w:rsidR="00874FEF" w:rsidRPr="00FB6F73" w:rsidRDefault="00874FEF" w:rsidP="001D7A21">
            <w:pPr>
              <w:pStyle w:val="TableParagraph"/>
              <w:ind w:left="359" w:right="359"/>
              <w:jc w:val="center"/>
              <w:rPr>
                <w:lang w:val="sr-Latn-ME"/>
              </w:rPr>
            </w:pPr>
          </w:p>
          <w:p w14:paraId="4E175343" w14:textId="26E39FDB" w:rsidR="001D7A21" w:rsidRPr="00FB6F73" w:rsidRDefault="001D7A21" w:rsidP="001D7A21">
            <w:pPr>
              <w:pStyle w:val="TableParagraph"/>
              <w:ind w:left="359" w:right="359"/>
              <w:jc w:val="center"/>
              <w:rPr>
                <w:lang w:val="sr-Latn-ME"/>
              </w:rPr>
            </w:pPr>
            <w:r w:rsidRPr="00FB6F73">
              <w:rPr>
                <w:lang w:val="sr-Latn-ME"/>
              </w:rPr>
              <w:t>52</w:t>
            </w:r>
          </w:p>
          <w:p w14:paraId="24070E74" w14:textId="3DC2440B" w:rsidR="00874FEF" w:rsidRPr="00FB6F73" w:rsidRDefault="00874FEF" w:rsidP="001D7A21">
            <w:pPr>
              <w:pStyle w:val="TableParagraph"/>
              <w:ind w:left="359" w:right="359"/>
              <w:jc w:val="center"/>
              <w:rPr>
                <w:lang w:val="sr-Latn-ME"/>
              </w:rPr>
            </w:pPr>
            <w:r w:rsidRPr="00FB6F73">
              <w:rPr>
                <w:lang w:val="sr-Latn-ME"/>
              </w:rPr>
              <w:t>-</w:t>
            </w:r>
          </w:p>
          <w:p w14:paraId="602B0A5A" w14:textId="77777777" w:rsidR="00735264" w:rsidRPr="00FB6F73" w:rsidRDefault="00735264" w:rsidP="00735264">
            <w:pPr>
              <w:widowControl w:val="0"/>
              <w:autoSpaceDE w:val="0"/>
              <w:autoSpaceDN w:val="0"/>
              <w:rPr>
                <w:sz w:val="22"/>
                <w:szCs w:val="22"/>
                <w:lang w:val="sr-Latn-ME"/>
              </w:rPr>
            </w:pPr>
          </w:p>
        </w:tc>
        <w:tc>
          <w:tcPr>
            <w:tcW w:w="851" w:type="dxa"/>
          </w:tcPr>
          <w:p w14:paraId="40EE7A35" w14:textId="77777777" w:rsidR="000656D0" w:rsidRPr="00FB6F73" w:rsidRDefault="000656D0" w:rsidP="00735264">
            <w:pPr>
              <w:widowControl w:val="0"/>
              <w:autoSpaceDE w:val="0"/>
              <w:autoSpaceDN w:val="0"/>
              <w:spacing w:line="244" w:lineRule="exact"/>
              <w:jc w:val="center"/>
              <w:rPr>
                <w:sz w:val="22"/>
                <w:szCs w:val="22"/>
                <w:lang w:val="sr-Latn-ME"/>
              </w:rPr>
            </w:pPr>
          </w:p>
          <w:p w14:paraId="3E915F31" w14:textId="77777777" w:rsidR="00874FEF" w:rsidRPr="00FB6F73" w:rsidRDefault="00874FEF" w:rsidP="00735264">
            <w:pPr>
              <w:widowControl w:val="0"/>
              <w:autoSpaceDE w:val="0"/>
              <w:autoSpaceDN w:val="0"/>
              <w:spacing w:line="244" w:lineRule="exact"/>
              <w:jc w:val="center"/>
              <w:rPr>
                <w:sz w:val="22"/>
                <w:szCs w:val="22"/>
                <w:lang w:val="sr-Latn-ME"/>
              </w:rPr>
            </w:pPr>
          </w:p>
          <w:p w14:paraId="3C094A49" w14:textId="526F0143" w:rsidR="00735264" w:rsidRPr="00FB6F73" w:rsidRDefault="00874FEF" w:rsidP="00AE24D2">
            <w:pPr>
              <w:widowControl w:val="0"/>
              <w:autoSpaceDE w:val="0"/>
              <w:autoSpaceDN w:val="0"/>
              <w:spacing w:line="244" w:lineRule="exact"/>
              <w:rPr>
                <w:sz w:val="22"/>
                <w:szCs w:val="22"/>
                <w:lang w:val="sr-Latn-ME"/>
              </w:rPr>
            </w:pPr>
            <w:r w:rsidRPr="00FB6F73">
              <w:rPr>
                <w:sz w:val="22"/>
                <w:szCs w:val="22"/>
                <w:lang w:val="sr-Latn-ME"/>
              </w:rPr>
              <w:t xml:space="preserve">       </w:t>
            </w:r>
            <w:r w:rsidR="00735264" w:rsidRPr="00FB6F73">
              <w:rPr>
                <w:sz w:val="22"/>
                <w:szCs w:val="22"/>
                <w:lang w:val="sr-Latn-ME"/>
              </w:rPr>
              <w:t>8</w:t>
            </w:r>
          </w:p>
          <w:p w14:paraId="6E391095" w14:textId="4B73A7CA" w:rsidR="00874FEF" w:rsidRPr="00FB6F73" w:rsidRDefault="00874FEF" w:rsidP="00735264">
            <w:pPr>
              <w:widowControl w:val="0"/>
              <w:autoSpaceDE w:val="0"/>
              <w:autoSpaceDN w:val="0"/>
              <w:spacing w:line="244" w:lineRule="exact"/>
              <w:jc w:val="center"/>
              <w:rPr>
                <w:sz w:val="22"/>
                <w:szCs w:val="22"/>
                <w:lang w:val="sr-Latn-ME"/>
              </w:rPr>
            </w:pPr>
            <w:r w:rsidRPr="00FB6F73">
              <w:rPr>
                <w:sz w:val="22"/>
                <w:szCs w:val="22"/>
                <w:lang w:val="sr-Latn-ME"/>
              </w:rPr>
              <w:t>-</w:t>
            </w:r>
          </w:p>
        </w:tc>
        <w:tc>
          <w:tcPr>
            <w:tcW w:w="850" w:type="dxa"/>
          </w:tcPr>
          <w:p w14:paraId="1AF5BD89" w14:textId="77777777" w:rsidR="000656D0" w:rsidRPr="00FB6F73" w:rsidRDefault="000656D0" w:rsidP="00735264">
            <w:pPr>
              <w:widowControl w:val="0"/>
              <w:autoSpaceDE w:val="0"/>
              <w:autoSpaceDN w:val="0"/>
              <w:spacing w:line="244" w:lineRule="exact"/>
              <w:jc w:val="center"/>
              <w:rPr>
                <w:sz w:val="22"/>
                <w:szCs w:val="22"/>
                <w:lang w:val="sr-Latn-ME"/>
              </w:rPr>
            </w:pPr>
          </w:p>
          <w:p w14:paraId="46DBD3F5" w14:textId="77777777" w:rsidR="00874FEF" w:rsidRPr="00FB6F73" w:rsidRDefault="00874FEF" w:rsidP="00735264">
            <w:pPr>
              <w:widowControl w:val="0"/>
              <w:autoSpaceDE w:val="0"/>
              <w:autoSpaceDN w:val="0"/>
              <w:spacing w:line="244" w:lineRule="exact"/>
              <w:jc w:val="center"/>
              <w:rPr>
                <w:sz w:val="22"/>
                <w:szCs w:val="22"/>
                <w:lang w:val="sr-Latn-ME"/>
              </w:rPr>
            </w:pPr>
          </w:p>
          <w:p w14:paraId="17C391C8" w14:textId="07905364" w:rsidR="00735264" w:rsidRPr="00FB6F73" w:rsidRDefault="00735264" w:rsidP="00735264">
            <w:pPr>
              <w:widowControl w:val="0"/>
              <w:autoSpaceDE w:val="0"/>
              <w:autoSpaceDN w:val="0"/>
              <w:spacing w:line="244" w:lineRule="exact"/>
              <w:jc w:val="center"/>
              <w:rPr>
                <w:sz w:val="22"/>
                <w:szCs w:val="22"/>
                <w:lang w:val="sr-Latn-ME"/>
              </w:rPr>
            </w:pPr>
            <w:r w:rsidRPr="00FB6F73">
              <w:rPr>
                <w:sz w:val="22"/>
                <w:szCs w:val="22"/>
                <w:lang w:val="sr-Latn-ME"/>
              </w:rPr>
              <w:t>1</w:t>
            </w:r>
          </w:p>
          <w:p w14:paraId="1E3E27EE" w14:textId="44BC5D07" w:rsidR="00874FEF" w:rsidRPr="00FB6F73" w:rsidRDefault="00874FEF" w:rsidP="00735264">
            <w:pPr>
              <w:widowControl w:val="0"/>
              <w:autoSpaceDE w:val="0"/>
              <w:autoSpaceDN w:val="0"/>
              <w:spacing w:line="244" w:lineRule="exact"/>
              <w:jc w:val="center"/>
              <w:rPr>
                <w:sz w:val="22"/>
                <w:szCs w:val="22"/>
                <w:lang w:val="sr-Latn-ME"/>
              </w:rPr>
            </w:pPr>
            <w:r w:rsidRPr="00FB6F73">
              <w:rPr>
                <w:sz w:val="22"/>
                <w:szCs w:val="22"/>
                <w:lang w:val="sr-Latn-ME"/>
              </w:rPr>
              <w:t>-</w:t>
            </w:r>
          </w:p>
        </w:tc>
        <w:tc>
          <w:tcPr>
            <w:tcW w:w="992" w:type="dxa"/>
          </w:tcPr>
          <w:p w14:paraId="04307F57" w14:textId="77777777" w:rsidR="000656D0" w:rsidRPr="00FB6F73" w:rsidRDefault="000656D0" w:rsidP="00735264">
            <w:pPr>
              <w:widowControl w:val="0"/>
              <w:autoSpaceDE w:val="0"/>
              <w:autoSpaceDN w:val="0"/>
              <w:spacing w:line="244" w:lineRule="exact"/>
              <w:ind w:left="393"/>
              <w:rPr>
                <w:sz w:val="22"/>
                <w:szCs w:val="22"/>
                <w:lang w:val="sr-Latn-ME"/>
              </w:rPr>
            </w:pPr>
          </w:p>
          <w:p w14:paraId="314492C6" w14:textId="77777777" w:rsidR="00874FEF" w:rsidRPr="00FB6F73" w:rsidRDefault="00874FEF" w:rsidP="00735264">
            <w:pPr>
              <w:widowControl w:val="0"/>
              <w:autoSpaceDE w:val="0"/>
              <w:autoSpaceDN w:val="0"/>
              <w:spacing w:line="244" w:lineRule="exact"/>
              <w:ind w:left="393"/>
              <w:rPr>
                <w:sz w:val="22"/>
                <w:szCs w:val="22"/>
                <w:lang w:val="sr-Latn-ME"/>
              </w:rPr>
            </w:pPr>
          </w:p>
          <w:p w14:paraId="6C3024E2" w14:textId="7A5F336B" w:rsidR="00735264" w:rsidRPr="00FB6F73" w:rsidRDefault="00735264" w:rsidP="00735264">
            <w:pPr>
              <w:widowControl w:val="0"/>
              <w:autoSpaceDE w:val="0"/>
              <w:autoSpaceDN w:val="0"/>
              <w:spacing w:line="244" w:lineRule="exact"/>
              <w:ind w:left="393"/>
              <w:rPr>
                <w:sz w:val="22"/>
                <w:szCs w:val="22"/>
                <w:lang w:val="sr-Latn-ME"/>
              </w:rPr>
            </w:pPr>
            <w:r w:rsidRPr="00FB6F73">
              <w:rPr>
                <w:sz w:val="22"/>
                <w:szCs w:val="22"/>
                <w:lang w:val="sr-Latn-ME"/>
              </w:rPr>
              <w:t>-</w:t>
            </w:r>
          </w:p>
          <w:p w14:paraId="518E9C6B" w14:textId="43E180A5" w:rsidR="00874FEF" w:rsidRPr="00FB6F73" w:rsidRDefault="00874FEF" w:rsidP="00735264">
            <w:pPr>
              <w:widowControl w:val="0"/>
              <w:autoSpaceDE w:val="0"/>
              <w:autoSpaceDN w:val="0"/>
              <w:spacing w:line="244" w:lineRule="exact"/>
              <w:ind w:left="393"/>
              <w:rPr>
                <w:sz w:val="22"/>
                <w:szCs w:val="22"/>
                <w:lang w:val="sr-Latn-ME"/>
              </w:rPr>
            </w:pPr>
            <w:r w:rsidRPr="00FB6F73">
              <w:rPr>
                <w:sz w:val="22"/>
                <w:szCs w:val="22"/>
                <w:lang w:val="sr-Latn-ME"/>
              </w:rPr>
              <w:t>39</w:t>
            </w:r>
          </w:p>
        </w:tc>
        <w:tc>
          <w:tcPr>
            <w:tcW w:w="851" w:type="dxa"/>
          </w:tcPr>
          <w:p w14:paraId="1EFDAF6A" w14:textId="77777777" w:rsidR="000656D0" w:rsidRPr="00FB6F73" w:rsidRDefault="000656D0" w:rsidP="00735264">
            <w:pPr>
              <w:widowControl w:val="0"/>
              <w:autoSpaceDE w:val="0"/>
              <w:autoSpaceDN w:val="0"/>
              <w:spacing w:line="244" w:lineRule="exact"/>
              <w:ind w:left="1"/>
              <w:jc w:val="center"/>
              <w:rPr>
                <w:sz w:val="22"/>
                <w:szCs w:val="22"/>
                <w:lang w:val="sr-Latn-ME"/>
              </w:rPr>
            </w:pPr>
          </w:p>
          <w:p w14:paraId="021E76BB" w14:textId="77777777" w:rsidR="00874FEF" w:rsidRPr="00FB6F73" w:rsidRDefault="00874FEF" w:rsidP="00735264">
            <w:pPr>
              <w:widowControl w:val="0"/>
              <w:autoSpaceDE w:val="0"/>
              <w:autoSpaceDN w:val="0"/>
              <w:spacing w:line="244" w:lineRule="exact"/>
              <w:ind w:left="1"/>
              <w:jc w:val="center"/>
              <w:rPr>
                <w:sz w:val="22"/>
                <w:szCs w:val="22"/>
                <w:lang w:val="sr-Latn-ME"/>
              </w:rPr>
            </w:pPr>
          </w:p>
          <w:p w14:paraId="51846499" w14:textId="2EBF75FF" w:rsidR="00735264" w:rsidRPr="00FB6F73" w:rsidRDefault="00735264" w:rsidP="00735264">
            <w:pPr>
              <w:widowControl w:val="0"/>
              <w:autoSpaceDE w:val="0"/>
              <w:autoSpaceDN w:val="0"/>
              <w:spacing w:line="244" w:lineRule="exact"/>
              <w:ind w:left="1"/>
              <w:jc w:val="center"/>
              <w:rPr>
                <w:sz w:val="22"/>
                <w:szCs w:val="22"/>
                <w:lang w:val="sr-Latn-ME"/>
              </w:rPr>
            </w:pPr>
            <w:r w:rsidRPr="00FB6F73">
              <w:rPr>
                <w:sz w:val="22"/>
                <w:szCs w:val="22"/>
                <w:lang w:val="sr-Latn-ME"/>
              </w:rPr>
              <w:t>-</w:t>
            </w:r>
          </w:p>
          <w:p w14:paraId="67138F3C" w14:textId="5F141B32" w:rsidR="00874FEF" w:rsidRPr="00FB6F73" w:rsidRDefault="00874FEF" w:rsidP="00735264">
            <w:pPr>
              <w:widowControl w:val="0"/>
              <w:autoSpaceDE w:val="0"/>
              <w:autoSpaceDN w:val="0"/>
              <w:spacing w:line="244" w:lineRule="exact"/>
              <w:ind w:left="1"/>
              <w:jc w:val="center"/>
              <w:rPr>
                <w:sz w:val="22"/>
                <w:szCs w:val="22"/>
                <w:lang w:val="sr-Latn-ME"/>
              </w:rPr>
            </w:pPr>
            <w:r w:rsidRPr="00FB6F73">
              <w:rPr>
                <w:sz w:val="22"/>
                <w:szCs w:val="22"/>
                <w:lang w:val="sr-Latn-ME"/>
              </w:rPr>
              <w:t>2</w:t>
            </w:r>
          </w:p>
        </w:tc>
        <w:tc>
          <w:tcPr>
            <w:tcW w:w="992" w:type="dxa"/>
          </w:tcPr>
          <w:p w14:paraId="65952061" w14:textId="77777777" w:rsidR="000656D0" w:rsidRPr="00FB6F73" w:rsidRDefault="000656D0" w:rsidP="00735264">
            <w:pPr>
              <w:widowControl w:val="0"/>
              <w:autoSpaceDE w:val="0"/>
              <w:autoSpaceDN w:val="0"/>
              <w:spacing w:line="244" w:lineRule="exact"/>
              <w:ind w:right="452"/>
              <w:jc w:val="right"/>
              <w:rPr>
                <w:sz w:val="22"/>
                <w:szCs w:val="22"/>
                <w:lang w:val="sr-Latn-ME"/>
              </w:rPr>
            </w:pPr>
          </w:p>
          <w:p w14:paraId="35102CB3" w14:textId="77777777" w:rsidR="00874FEF" w:rsidRPr="00FB6F73" w:rsidRDefault="00874FEF" w:rsidP="00735264">
            <w:pPr>
              <w:widowControl w:val="0"/>
              <w:autoSpaceDE w:val="0"/>
              <w:autoSpaceDN w:val="0"/>
              <w:spacing w:line="244" w:lineRule="exact"/>
              <w:ind w:right="452"/>
              <w:jc w:val="right"/>
              <w:rPr>
                <w:sz w:val="22"/>
                <w:szCs w:val="22"/>
                <w:lang w:val="sr-Latn-ME"/>
              </w:rPr>
            </w:pPr>
          </w:p>
          <w:p w14:paraId="1B9D9300" w14:textId="65BD9529" w:rsidR="00735264" w:rsidRPr="00FB6F73" w:rsidRDefault="00735264" w:rsidP="00735264">
            <w:pPr>
              <w:widowControl w:val="0"/>
              <w:autoSpaceDE w:val="0"/>
              <w:autoSpaceDN w:val="0"/>
              <w:spacing w:line="244" w:lineRule="exact"/>
              <w:ind w:right="452"/>
              <w:jc w:val="right"/>
              <w:rPr>
                <w:sz w:val="22"/>
                <w:szCs w:val="22"/>
                <w:lang w:val="sr-Latn-ME"/>
              </w:rPr>
            </w:pPr>
            <w:r w:rsidRPr="00FB6F73">
              <w:rPr>
                <w:sz w:val="22"/>
                <w:szCs w:val="22"/>
                <w:lang w:val="sr-Latn-ME"/>
              </w:rPr>
              <w:t>-</w:t>
            </w:r>
          </w:p>
          <w:p w14:paraId="746ACCE2" w14:textId="071D341B" w:rsidR="00874FEF" w:rsidRPr="00FB6F73" w:rsidRDefault="00874FEF" w:rsidP="00735264">
            <w:pPr>
              <w:widowControl w:val="0"/>
              <w:autoSpaceDE w:val="0"/>
              <w:autoSpaceDN w:val="0"/>
              <w:spacing w:line="244" w:lineRule="exact"/>
              <w:ind w:right="452"/>
              <w:jc w:val="right"/>
              <w:rPr>
                <w:sz w:val="22"/>
                <w:szCs w:val="22"/>
                <w:lang w:val="sr-Latn-ME"/>
              </w:rPr>
            </w:pPr>
            <w:r w:rsidRPr="00FB6F73">
              <w:rPr>
                <w:sz w:val="22"/>
                <w:szCs w:val="22"/>
                <w:lang w:val="sr-Latn-ME"/>
              </w:rPr>
              <w:t>0</w:t>
            </w:r>
          </w:p>
        </w:tc>
        <w:tc>
          <w:tcPr>
            <w:tcW w:w="1701" w:type="dxa"/>
          </w:tcPr>
          <w:p w14:paraId="6B496104" w14:textId="74F59E8C" w:rsidR="004C492F" w:rsidRPr="00FB6F73" w:rsidRDefault="004C492F" w:rsidP="00FB6F73">
            <w:pPr>
              <w:widowControl w:val="0"/>
              <w:autoSpaceDE w:val="0"/>
              <w:autoSpaceDN w:val="0"/>
              <w:jc w:val="center"/>
              <w:rPr>
                <w:sz w:val="22"/>
                <w:szCs w:val="22"/>
                <w:lang w:val="sr-Latn-ME"/>
              </w:rPr>
            </w:pPr>
          </w:p>
          <w:p w14:paraId="201C6E42" w14:textId="0DD04471" w:rsidR="004C492F" w:rsidRPr="00FB6F73" w:rsidRDefault="004C492F" w:rsidP="00FB6F73">
            <w:pPr>
              <w:widowControl w:val="0"/>
              <w:autoSpaceDE w:val="0"/>
              <w:autoSpaceDN w:val="0"/>
              <w:jc w:val="center"/>
              <w:rPr>
                <w:sz w:val="22"/>
                <w:szCs w:val="22"/>
                <w:lang w:val="sr-Latn-ME"/>
              </w:rPr>
            </w:pPr>
          </w:p>
          <w:p w14:paraId="321758AE" w14:textId="09DE65F7" w:rsidR="00735264" w:rsidRPr="00FB6F73" w:rsidRDefault="004C492F" w:rsidP="00FB6F73">
            <w:pPr>
              <w:widowControl w:val="0"/>
              <w:autoSpaceDE w:val="0"/>
              <w:autoSpaceDN w:val="0"/>
              <w:jc w:val="center"/>
              <w:rPr>
                <w:sz w:val="22"/>
                <w:szCs w:val="22"/>
                <w:lang w:val="sr-Latn-ME"/>
              </w:rPr>
            </w:pPr>
            <w:r w:rsidRPr="00FB6F73">
              <w:rPr>
                <w:sz w:val="22"/>
                <w:szCs w:val="22"/>
                <w:lang w:val="sr-Latn-ME"/>
              </w:rPr>
              <w:t>v</w:t>
            </w:r>
            <w:r w:rsidR="00874FEF" w:rsidRPr="00FB6F73">
              <w:rPr>
                <w:sz w:val="22"/>
                <w:szCs w:val="22"/>
                <w:lang w:val="sr-Latn-ME"/>
              </w:rPr>
              <w:t>eoma</w:t>
            </w:r>
            <w:r w:rsidRPr="00FB6F73">
              <w:rPr>
                <w:sz w:val="22"/>
                <w:szCs w:val="22"/>
                <w:lang w:val="sr-Latn-ME"/>
              </w:rPr>
              <w:t xml:space="preserve"> često</w:t>
            </w:r>
          </w:p>
          <w:p w14:paraId="4042DD02" w14:textId="33FA7013" w:rsidR="004C492F" w:rsidRPr="00FB6F73" w:rsidRDefault="004C492F" w:rsidP="00FB6F73">
            <w:pPr>
              <w:widowControl w:val="0"/>
              <w:autoSpaceDE w:val="0"/>
              <w:autoSpaceDN w:val="0"/>
              <w:jc w:val="center"/>
              <w:rPr>
                <w:sz w:val="22"/>
                <w:szCs w:val="22"/>
                <w:lang w:val="sr-Latn-ME"/>
              </w:rPr>
            </w:pPr>
            <w:r w:rsidRPr="00FB6F73">
              <w:rPr>
                <w:sz w:val="22"/>
                <w:szCs w:val="22"/>
                <w:lang w:val="sr-Latn-ME"/>
              </w:rPr>
              <w:t>veoma često</w:t>
            </w:r>
          </w:p>
        </w:tc>
      </w:tr>
      <w:tr w:rsidR="000656D0" w:rsidRPr="00FB6F73" w14:paraId="060EE4B7" w14:textId="77777777" w:rsidTr="00FB6F73">
        <w:trPr>
          <w:trHeight w:val="1631"/>
        </w:trPr>
        <w:tc>
          <w:tcPr>
            <w:tcW w:w="2836" w:type="dxa"/>
          </w:tcPr>
          <w:p w14:paraId="0D95DA2E" w14:textId="77777777" w:rsidR="000656D0" w:rsidRPr="00FB6F73" w:rsidRDefault="000656D0" w:rsidP="00EE112C">
            <w:pPr>
              <w:pStyle w:val="TableParagraph"/>
              <w:spacing w:line="244" w:lineRule="exact"/>
              <w:ind w:left="105"/>
              <w:rPr>
                <w:i/>
                <w:lang w:val="sr-Latn-ME"/>
              </w:rPr>
            </w:pPr>
            <w:r w:rsidRPr="00FB6F73">
              <w:rPr>
                <w:i/>
                <w:lang w:val="sr-Latn-ME"/>
              </w:rPr>
              <w:t>Poremećaji oka</w:t>
            </w:r>
          </w:p>
          <w:p w14:paraId="4DE34140" w14:textId="77777777" w:rsidR="000656D0" w:rsidRPr="00FB6F73" w:rsidRDefault="000656D0" w:rsidP="00EE112C">
            <w:pPr>
              <w:pStyle w:val="TableParagraph"/>
              <w:spacing w:before="7" w:line="250" w:lineRule="exact"/>
              <w:ind w:left="105" w:firstLine="225"/>
              <w:rPr>
                <w:lang w:val="sr-Latn-ME"/>
              </w:rPr>
            </w:pPr>
          </w:p>
          <w:p w14:paraId="48DFDEF1" w14:textId="092755FD" w:rsidR="000656D0" w:rsidRPr="00FB6F73" w:rsidRDefault="00FB6F73" w:rsidP="00AE24D2">
            <w:pPr>
              <w:pStyle w:val="TableParagraph"/>
              <w:spacing w:before="7" w:line="250" w:lineRule="exact"/>
              <w:rPr>
                <w:lang w:val="sr-Latn-ME"/>
              </w:rPr>
            </w:pPr>
            <w:r>
              <w:rPr>
                <w:lang w:val="sr-Latn-ME"/>
              </w:rPr>
              <w:t xml:space="preserve"> </w:t>
            </w:r>
            <w:r w:rsidR="000656D0" w:rsidRPr="00FB6F73">
              <w:rPr>
                <w:lang w:val="sr-Latn-ME"/>
              </w:rPr>
              <w:t>Keratokonju</w:t>
            </w:r>
            <w:r w:rsidR="00FE7A7A" w:rsidRPr="00FB6F73">
              <w:rPr>
                <w:lang w:val="sr-Latn-ME"/>
              </w:rPr>
              <w:t>n</w:t>
            </w:r>
            <w:r w:rsidR="000656D0" w:rsidRPr="00FB6F73">
              <w:rPr>
                <w:lang w:val="sr-Latn-ME"/>
              </w:rPr>
              <w:t>ktivitis sicca</w:t>
            </w:r>
          </w:p>
          <w:p w14:paraId="4F78A149" w14:textId="3F5C0AF3" w:rsidR="000656D0" w:rsidRPr="00FB6F73" w:rsidRDefault="00FB6F73" w:rsidP="00FB6F73">
            <w:pPr>
              <w:pStyle w:val="TableParagraph"/>
              <w:spacing w:line="252" w:lineRule="exact"/>
              <w:rPr>
                <w:lang w:val="sr-Latn-ME"/>
              </w:rPr>
            </w:pPr>
            <w:r>
              <w:rPr>
                <w:lang w:val="sr-Latn-ME"/>
              </w:rPr>
              <w:t xml:space="preserve"> </w:t>
            </w:r>
            <w:r w:rsidR="000656D0" w:rsidRPr="00FB6F73">
              <w:rPr>
                <w:lang w:val="sr-Latn-ME"/>
              </w:rPr>
              <w:t>Konju</w:t>
            </w:r>
            <w:r w:rsidR="00FE7A7A" w:rsidRPr="00FB6F73">
              <w:rPr>
                <w:lang w:val="sr-Latn-ME"/>
              </w:rPr>
              <w:t>n</w:t>
            </w:r>
            <w:r w:rsidR="000656D0" w:rsidRPr="00FB6F73">
              <w:rPr>
                <w:lang w:val="sr-Latn-ME"/>
              </w:rPr>
              <w:t>ktivitis</w:t>
            </w:r>
          </w:p>
        </w:tc>
        <w:tc>
          <w:tcPr>
            <w:tcW w:w="992" w:type="dxa"/>
          </w:tcPr>
          <w:p w14:paraId="49374ADD" w14:textId="0B58381C" w:rsidR="00874FEF" w:rsidRPr="00FB6F73" w:rsidRDefault="00874FEF" w:rsidP="00917054">
            <w:pPr>
              <w:pStyle w:val="TableParagraph"/>
              <w:ind w:right="359"/>
              <w:jc w:val="center"/>
              <w:rPr>
                <w:lang w:val="sr-Latn-ME"/>
              </w:rPr>
            </w:pPr>
          </w:p>
          <w:p w14:paraId="53F89444" w14:textId="77777777" w:rsidR="00874FEF" w:rsidRPr="00FB6F73" w:rsidRDefault="00874FEF" w:rsidP="00917054">
            <w:pPr>
              <w:pStyle w:val="TableParagraph"/>
              <w:ind w:right="359"/>
              <w:jc w:val="center"/>
              <w:rPr>
                <w:lang w:val="sr-Latn-ME"/>
              </w:rPr>
            </w:pPr>
          </w:p>
          <w:p w14:paraId="336AB919" w14:textId="3FC177F8" w:rsidR="000656D0" w:rsidRPr="00FB6F73" w:rsidRDefault="005C1819" w:rsidP="00917054">
            <w:pPr>
              <w:pStyle w:val="TableParagraph"/>
              <w:ind w:right="359"/>
              <w:jc w:val="center"/>
              <w:rPr>
                <w:lang w:val="sr-Latn-ME"/>
              </w:rPr>
            </w:pPr>
            <w:r w:rsidRPr="00FB6F73">
              <w:rPr>
                <w:lang w:val="sr-Latn-ME"/>
              </w:rPr>
              <w:t xml:space="preserve">     </w:t>
            </w:r>
            <w:r w:rsidR="000656D0" w:rsidRPr="00FB6F73">
              <w:rPr>
                <w:lang w:val="sr-Latn-ME"/>
              </w:rPr>
              <w:t>12</w:t>
            </w:r>
          </w:p>
          <w:p w14:paraId="204BC887" w14:textId="77777777" w:rsidR="000656D0" w:rsidRPr="00FB6F73" w:rsidRDefault="000656D0" w:rsidP="005C1819">
            <w:pPr>
              <w:pStyle w:val="TableParagraph"/>
              <w:spacing w:before="1"/>
              <w:ind w:left="359" w:right="359"/>
              <w:jc w:val="center"/>
              <w:rPr>
                <w:lang w:val="sr-Latn-ME"/>
              </w:rPr>
            </w:pPr>
            <w:r w:rsidRPr="00FB6F73">
              <w:rPr>
                <w:lang w:val="sr-Latn-ME"/>
              </w:rPr>
              <w:t>12</w:t>
            </w:r>
          </w:p>
        </w:tc>
        <w:tc>
          <w:tcPr>
            <w:tcW w:w="851" w:type="dxa"/>
          </w:tcPr>
          <w:p w14:paraId="1658B1B8" w14:textId="77777777" w:rsidR="000656D0" w:rsidRPr="00FB6F73" w:rsidRDefault="000656D0" w:rsidP="00917054">
            <w:pPr>
              <w:pStyle w:val="TableParagraph"/>
              <w:jc w:val="center"/>
              <w:rPr>
                <w:lang w:val="sr-Latn-ME"/>
              </w:rPr>
            </w:pPr>
          </w:p>
          <w:p w14:paraId="19EFA110" w14:textId="77777777" w:rsidR="005C1819" w:rsidRPr="00FB6F73" w:rsidRDefault="005C1819" w:rsidP="005C1819">
            <w:pPr>
              <w:pStyle w:val="TableParagraph"/>
              <w:rPr>
                <w:lang w:val="sr-Latn-ME"/>
              </w:rPr>
            </w:pPr>
          </w:p>
          <w:p w14:paraId="0C96129D" w14:textId="51FAB49C" w:rsidR="000656D0" w:rsidRPr="00FB6F73" w:rsidRDefault="000656D0" w:rsidP="00917054">
            <w:pPr>
              <w:pStyle w:val="TableParagraph"/>
              <w:jc w:val="center"/>
              <w:rPr>
                <w:lang w:val="sr-Latn-ME"/>
              </w:rPr>
            </w:pPr>
            <w:r w:rsidRPr="00FB6F73">
              <w:rPr>
                <w:lang w:val="sr-Latn-ME"/>
              </w:rPr>
              <w:t>0</w:t>
            </w:r>
          </w:p>
          <w:p w14:paraId="7454CDCD" w14:textId="043ADD41" w:rsidR="000656D0" w:rsidRPr="00FB6F73" w:rsidRDefault="005C1819" w:rsidP="00917054">
            <w:pPr>
              <w:pStyle w:val="TableParagraph"/>
              <w:spacing w:before="1"/>
              <w:ind w:right="282"/>
              <w:jc w:val="center"/>
              <w:rPr>
                <w:lang w:val="sr-Latn-ME"/>
              </w:rPr>
            </w:pPr>
            <w:r w:rsidRPr="00FB6F73">
              <w:rPr>
                <w:lang w:val="sr-Latn-ME"/>
              </w:rPr>
              <w:t xml:space="preserve">    </w:t>
            </w:r>
            <w:r w:rsidR="000656D0" w:rsidRPr="00FB6F73">
              <w:rPr>
                <w:lang w:val="sr-Latn-ME"/>
              </w:rPr>
              <w:t>&lt;1</w:t>
            </w:r>
          </w:p>
        </w:tc>
        <w:tc>
          <w:tcPr>
            <w:tcW w:w="850" w:type="dxa"/>
          </w:tcPr>
          <w:p w14:paraId="74681739" w14:textId="77777777" w:rsidR="000656D0" w:rsidRPr="00FB6F73" w:rsidRDefault="000656D0" w:rsidP="00917054">
            <w:pPr>
              <w:pStyle w:val="TableParagraph"/>
              <w:jc w:val="center"/>
              <w:rPr>
                <w:lang w:val="sr-Latn-ME"/>
              </w:rPr>
            </w:pPr>
          </w:p>
          <w:p w14:paraId="584FD952" w14:textId="77777777" w:rsidR="000656D0" w:rsidRPr="00FB6F73" w:rsidRDefault="000656D0" w:rsidP="00917054">
            <w:pPr>
              <w:pStyle w:val="TableParagraph"/>
              <w:spacing w:before="1"/>
              <w:jc w:val="center"/>
              <w:rPr>
                <w:lang w:val="sr-Latn-ME"/>
              </w:rPr>
            </w:pPr>
          </w:p>
          <w:p w14:paraId="0A51031F" w14:textId="77777777" w:rsidR="000656D0" w:rsidRPr="00FB6F73" w:rsidRDefault="000656D0" w:rsidP="005C1819">
            <w:pPr>
              <w:pStyle w:val="TableParagraph"/>
              <w:jc w:val="center"/>
              <w:rPr>
                <w:lang w:val="sr-Latn-ME"/>
              </w:rPr>
            </w:pPr>
            <w:r w:rsidRPr="00FB6F73">
              <w:rPr>
                <w:lang w:val="sr-Latn-ME"/>
              </w:rPr>
              <w:t>0</w:t>
            </w:r>
          </w:p>
          <w:p w14:paraId="60F1780E" w14:textId="77777777" w:rsidR="000656D0" w:rsidRPr="00FB6F73" w:rsidRDefault="000656D0">
            <w:pPr>
              <w:pStyle w:val="TableParagraph"/>
              <w:spacing w:before="1"/>
              <w:jc w:val="center"/>
              <w:rPr>
                <w:lang w:val="sr-Latn-ME"/>
              </w:rPr>
            </w:pPr>
            <w:r w:rsidRPr="00FB6F73">
              <w:rPr>
                <w:lang w:val="sr-Latn-ME"/>
              </w:rPr>
              <w:t>0</w:t>
            </w:r>
          </w:p>
        </w:tc>
        <w:tc>
          <w:tcPr>
            <w:tcW w:w="992" w:type="dxa"/>
          </w:tcPr>
          <w:p w14:paraId="2A9788FA" w14:textId="77777777" w:rsidR="000656D0" w:rsidRPr="00FB6F73" w:rsidRDefault="000656D0" w:rsidP="00917054">
            <w:pPr>
              <w:pStyle w:val="TableParagraph"/>
              <w:jc w:val="center"/>
              <w:rPr>
                <w:lang w:val="sr-Latn-ME"/>
              </w:rPr>
            </w:pPr>
          </w:p>
          <w:p w14:paraId="126EBB23" w14:textId="77777777" w:rsidR="000656D0" w:rsidRPr="00FB6F73" w:rsidRDefault="000656D0" w:rsidP="00917054">
            <w:pPr>
              <w:pStyle w:val="TableParagraph"/>
              <w:spacing w:before="1"/>
              <w:jc w:val="center"/>
              <w:rPr>
                <w:lang w:val="sr-Latn-ME"/>
              </w:rPr>
            </w:pPr>
          </w:p>
          <w:p w14:paraId="3D0DD8CD" w14:textId="77777777" w:rsidR="000656D0" w:rsidRPr="00FB6F73" w:rsidRDefault="000656D0" w:rsidP="005C1819">
            <w:pPr>
              <w:pStyle w:val="TableParagraph"/>
              <w:ind w:left="6"/>
              <w:jc w:val="center"/>
              <w:rPr>
                <w:lang w:val="sr-Latn-ME"/>
              </w:rPr>
            </w:pPr>
            <w:r w:rsidRPr="00FB6F73">
              <w:rPr>
                <w:lang w:val="sr-Latn-ME"/>
              </w:rPr>
              <w:t>-</w:t>
            </w:r>
          </w:p>
          <w:p w14:paraId="5742F4F5" w14:textId="77777777" w:rsidR="000656D0" w:rsidRPr="00FB6F73" w:rsidRDefault="000656D0">
            <w:pPr>
              <w:pStyle w:val="TableParagraph"/>
              <w:spacing w:before="1"/>
              <w:ind w:left="6"/>
              <w:jc w:val="center"/>
              <w:rPr>
                <w:lang w:val="sr-Latn-ME"/>
              </w:rPr>
            </w:pPr>
            <w:r w:rsidRPr="00FB6F73">
              <w:rPr>
                <w:lang w:val="sr-Latn-ME"/>
              </w:rPr>
              <w:t>-</w:t>
            </w:r>
          </w:p>
        </w:tc>
        <w:tc>
          <w:tcPr>
            <w:tcW w:w="851" w:type="dxa"/>
          </w:tcPr>
          <w:p w14:paraId="3EBC3598" w14:textId="77777777" w:rsidR="000656D0" w:rsidRPr="00FB6F73" w:rsidRDefault="000656D0" w:rsidP="00917054">
            <w:pPr>
              <w:pStyle w:val="TableParagraph"/>
              <w:jc w:val="center"/>
              <w:rPr>
                <w:lang w:val="sr-Latn-ME"/>
              </w:rPr>
            </w:pPr>
          </w:p>
          <w:p w14:paraId="5560D2D9" w14:textId="77777777" w:rsidR="000656D0" w:rsidRPr="00FB6F73" w:rsidRDefault="000656D0" w:rsidP="00917054">
            <w:pPr>
              <w:pStyle w:val="TableParagraph"/>
              <w:spacing w:before="1"/>
              <w:jc w:val="center"/>
              <w:rPr>
                <w:lang w:val="sr-Latn-ME"/>
              </w:rPr>
            </w:pPr>
          </w:p>
          <w:p w14:paraId="7E85A55F" w14:textId="77777777" w:rsidR="000656D0" w:rsidRPr="00FB6F73" w:rsidRDefault="000656D0" w:rsidP="005C1819">
            <w:pPr>
              <w:pStyle w:val="TableParagraph"/>
              <w:ind w:left="1"/>
              <w:jc w:val="center"/>
              <w:rPr>
                <w:lang w:val="sr-Latn-ME"/>
              </w:rPr>
            </w:pPr>
            <w:r w:rsidRPr="00FB6F73">
              <w:rPr>
                <w:lang w:val="sr-Latn-ME"/>
              </w:rPr>
              <w:t>-</w:t>
            </w:r>
          </w:p>
          <w:p w14:paraId="682625D8" w14:textId="77777777" w:rsidR="000656D0" w:rsidRPr="00FB6F73" w:rsidRDefault="000656D0">
            <w:pPr>
              <w:pStyle w:val="TableParagraph"/>
              <w:spacing w:before="1"/>
              <w:ind w:left="1"/>
              <w:jc w:val="center"/>
              <w:rPr>
                <w:lang w:val="sr-Latn-ME"/>
              </w:rPr>
            </w:pPr>
            <w:r w:rsidRPr="00FB6F73">
              <w:rPr>
                <w:lang w:val="sr-Latn-ME"/>
              </w:rPr>
              <w:t>-</w:t>
            </w:r>
          </w:p>
        </w:tc>
        <w:tc>
          <w:tcPr>
            <w:tcW w:w="992" w:type="dxa"/>
          </w:tcPr>
          <w:p w14:paraId="1A86C4E2" w14:textId="77777777" w:rsidR="000656D0" w:rsidRPr="00FB6F73" w:rsidRDefault="000656D0" w:rsidP="00917054">
            <w:pPr>
              <w:pStyle w:val="TableParagraph"/>
              <w:jc w:val="center"/>
              <w:rPr>
                <w:lang w:val="sr-Latn-ME"/>
              </w:rPr>
            </w:pPr>
          </w:p>
          <w:p w14:paraId="3F3BDDC8" w14:textId="77777777" w:rsidR="000656D0" w:rsidRPr="00FB6F73" w:rsidRDefault="000656D0" w:rsidP="00917054">
            <w:pPr>
              <w:pStyle w:val="TableParagraph"/>
              <w:spacing w:before="1"/>
              <w:jc w:val="center"/>
              <w:rPr>
                <w:lang w:val="sr-Latn-ME"/>
              </w:rPr>
            </w:pPr>
          </w:p>
          <w:p w14:paraId="76B806AA" w14:textId="77777777" w:rsidR="000656D0" w:rsidRPr="00FB6F73" w:rsidRDefault="000656D0" w:rsidP="005C1819">
            <w:pPr>
              <w:pStyle w:val="TableParagraph"/>
              <w:ind w:left="1"/>
              <w:jc w:val="center"/>
              <w:rPr>
                <w:lang w:val="sr-Latn-ME"/>
              </w:rPr>
            </w:pPr>
            <w:r w:rsidRPr="00FB6F73">
              <w:rPr>
                <w:lang w:val="sr-Latn-ME"/>
              </w:rPr>
              <w:t>-</w:t>
            </w:r>
          </w:p>
          <w:p w14:paraId="0CE48CC4" w14:textId="77777777" w:rsidR="000656D0" w:rsidRPr="00FB6F73" w:rsidRDefault="000656D0">
            <w:pPr>
              <w:pStyle w:val="TableParagraph"/>
              <w:spacing w:before="1"/>
              <w:ind w:left="1"/>
              <w:jc w:val="center"/>
              <w:rPr>
                <w:lang w:val="sr-Latn-ME"/>
              </w:rPr>
            </w:pPr>
            <w:r w:rsidRPr="00FB6F73">
              <w:rPr>
                <w:lang w:val="sr-Latn-ME"/>
              </w:rPr>
              <w:t>-</w:t>
            </w:r>
          </w:p>
        </w:tc>
        <w:tc>
          <w:tcPr>
            <w:tcW w:w="1701" w:type="dxa"/>
          </w:tcPr>
          <w:p w14:paraId="38825C3B" w14:textId="77777777" w:rsidR="000656D0" w:rsidRPr="00FB6F73" w:rsidRDefault="000656D0" w:rsidP="00FB6F73">
            <w:pPr>
              <w:widowControl w:val="0"/>
              <w:autoSpaceDE w:val="0"/>
              <w:autoSpaceDN w:val="0"/>
              <w:jc w:val="center"/>
              <w:rPr>
                <w:sz w:val="22"/>
                <w:szCs w:val="22"/>
                <w:lang w:val="sr-Latn-ME"/>
              </w:rPr>
            </w:pPr>
          </w:p>
          <w:p w14:paraId="01C8B69A" w14:textId="77777777" w:rsidR="004C492F" w:rsidRPr="00FB6F73" w:rsidRDefault="004C492F" w:rsidP="00FB6F73">
            <w:pPr>
              <w:pStyle w:val="TableParagraph"/>
              <w:spacing w:before="4"/>
              <w:jc w:val="center"/>
              <w:rPr>
                <w:lang w:val="sr-Latn-ME"/>
              </w:rPr>
            </w:pPr>
          </w:p>
          <w:p w14:paraId="26AF257F" w14:textId="6C52722D" w:rsidR="000656D0" w:rsidRPr="00FB6F73" w:rsidRDefault="00FB6F73" w:rsidP="00FB6F73">
            <w:pPr>
              <w:pStyle w:val="TableParagraph"/>
              <w:ind w:right="403"/>
              <w:jc w:val="center"/>
              <w:rPr>
                <w:lang w:val="sr-Latn-ME"/>
              </w:rPr>
            </w:pPr>
            <w:r>
              <w:rPr>
                <w:lang w:val="sr-Latn-ME"/>
              </w:rPr>
              <w:t xml:space="preserve"> </w:t>
            </w:r>
            <w:r w:rsidR="000656D0" w:rsidRPr="00FB6F73">
              <w:rPr>
                <w:lang w:val="sr-Latn-ME"/>
              </w:rPr>
              <w:t>veoma često</w:t>
            </w:r>
          </w:p>
          <w:p w14:paraId="36F8E8FC" w14:textId="6A41ACC1" w:rsidR="004C492F" w:rsidRPr="00FB6F73" w:rsidRDefault="00FB6F73" w:rsidP="00FB6F73">
            <w:pPr>
              <w:pStyle w:val="TableParagraph"/>
              <w:ind w:right="403"/>
              <w:jc w:val="center"/>
              <w:rPr>
                <w:lang w:val="sr-Latn-ME"/>
              </w:rPr>
            </w:pPr>
            <w:r>
              <w:rPr>
                <w:lang w:val="sr-Latn-ME"/>
              </w:rPr>
              <w:t xml:space="preserve"> </w:t>
            </w:r>
            <w:r w:rsidR="004C492F" w:rsidRPr="00FB6F73">
              <w:rPr>
                <w:lang w:val="sr-Latn-ME"/>
              </w:rPr>
              <w:t>veoma često</w:t>
            </w:r>
          </w:p>
        </w:tc>
      </w:tr>
      <w:tr w:rsidR="000656D0" w:rsidRPr="00FB6F73" w14:paraId="6C952B51" w14:textId="77777777" w:rsidTr="00FB6F73">
        <w:trPr>
          <w:trHeight w:hRule="exact" w:val="768"/>
        </w:trPr>
        <w:tc>
          <w:tcPr>
            <w:tcW w:w="2836" w:type="dxa"/>
          </w:tcPr>
          <w:p w14:paraId="01C44AB7" w14:textId="77777777" w:rsidR="00C13202" w:rsidRPr="00FB6F73" w:rsidRDefault="00C13202" w:rsidP="00EE112C">
            <w:pPr>
              <w:pStyle w:val="TableParagraph"/>
              <w:spacing w:line="242" w:lineRule="auto"/>
              <w:ind w:left="105" w:right="1104"/>
              <w:rPr>
                <w:lang w:val="sr-Latn-ME"/>
              </w:rPr>
            </w:pPr>
            <w:r w:rsidRPr="00FB6F73">
              <w:rPr>
                <w:i/>
                <w:lang w:val="sr-Latn-ME"/>
              </w:rPr>
              <w:t xml:space="preserve">Psihijatrijski poremećaji </w:t>
            </w:r>
            <w:r w:rsidRPr="00FB6F73">
              <w:rPr>
                <w:lang w:val="sr-Latn-ME"/>
              </w:rPr>
              <w:t>Depresija</w:t>
            </w:r>
          </w:p>
        </w:tc>
        <w:tc>
          <w:tcPr>
            <w:tcW w:w="992" w:type="dxa"/>
          </w:tcPr>
          <w:p w14:paraId="6272FBA9" w14:textId="77777777" w:rsidR="00C13202" w:rsidRPr="00FB6F73" w:rsidRDefault="00C13202" w:rsidP="00EE112C">
            <w:pPr>
              <w:pStyle w:val="TableParagraph"/>
              <w:rPr>
                <w:lang w:val="sr-Latn-ME"/>
              </w:rPr>
            </w:pPr>
          </w:p>
          <w:p w14:paraId="702D708A" w14:textId="77777777" w:rsidR="00C13202" w:rsidRPr="00FB6F73" w:rsidRDefault="00C13202" w:rsidP="00EE112C">
            <w:pPr>
              <w:pStyle w:val="TableParagraph"/>
              <w:spacing w:before="5"/>
              <w:rPr>
                <w:lang w:val="sr-Latn-ME"/>
              </w:rPr>
            </w:pPr>
          </w:p>
          <w:p w14:paraId="1A434F6D" w14:textId="77777777" w:rsidR="00C13202" w:rsidRPr="00FB6F73" w:rsidRDefault="00C13202" w:rsidP="00EE112C">
            <w:pPr>
              <w:pStyle w:val="TableParagraph"/>
              <w:ind w:right="1"/>
              <w:jc w:val="center"/>
              <w:rPr>
                <w:lang w:val="sr-Latn-ME"/>
              </w:rPr>
            </w:pPr>
            <w:r w:rsidRPr="00FB6F73">
              <w:rPr>
                <w:lang w:val="sr-Latn-ME"/>
              </w:rPr>
              <w:t>-</w:t>
            </w:r>
          </w:p>
        </w:tc>
        <w:tc>
          <w:tcPr>
            <w:tcW w:w="851" w:type="dxa"/>
          </w:tcPr>
          <w:p w14:paraId="234AD4A7" w14:textId="77777777" w:rsidR="00C13202" w:rsidRPr="00FB6F73" w:rsidRDefault="00C13202" w:rsidP="00EE112C">
            <w:pPr>
              <w:pStyle w:val="TableParagraph"/>
              <w:rPr>
                <w:lang w:val="sr-Latn-ME"/>
              </w:rPr>
            </w:pPr>
          </w:p>
          <w:p w14:paraId="08CCCC29" w14:textId="77777777" w:rsidR="00C13202" w:rsidRPr="00FB6F73" w:rsidRDefault="00C13202" w:rsidP="00EE112C">
            <w:pPr>
              <w:pStyle w:val="TableParagraph"/>
              <w:spacing w:before="5"/>
              <w:rPr>
                <w:lang w:val="sr-Latn-ME"/>
              </w:rPr>
            </w:pPr>
          </w:p>
          <w:p w14:paraId="33C0EAEE" w14:textId="77777777" w:rsidR="00C13202" w:rsidRPr="00FB6F73" w:rsidRDefault="00C13202" w:rsidP="00EE112C">
            <w:pPr>
              <w:pStyle w:val="TableParagraph"/>
              <w:ind w:right="380"/>
              <w:jc w:val="right"/>
              <w:rPr>
                <w:lang w:val="sr-Latn-ME"/>
              </w:rPr>
            </w:pPr>
            <w:r w:rsidRPr="00FB6F73">
              <w:rPr>
                <w:lang w:val="sr-Latn-ME"/>
              </w:rPr>
              <w:t>-</w:t>
            </w:r>
          </w:p>
        </w:tc>
        <w:tc>
          <w:tcPr>
            <w:tcW w:w="850" w:type="dxa"/>
          </w:tcPr>
          <w:p w14:paraId="0B01827B" w14:textId="77777777" w:rsidR="00C13202" w:rsidRPr="00FB6F73" w:rsidRDefault="00C13202" w:rsidP="00EE112C">
            <w:pPr>
              <w:pStyle w:val="TableParagraph"/>
              <w:rPr>
                <w:lang w:val="sr-Latn-ME"/>
              </w:rPr>
            </w:pPr>
          </w:p>
          <w:p w14:paraId="53F7703D" w14:textId="77777777" w:rsidR="00C13202" w:rsidRPr="00FB6F73" w:rsidRDefault="00C13202" w:rsidP="00EE112C">
            <w:pPr>
              <w:pStyle w:val="TableParagraph"/>
              <w:spacing w:before="5"/>
              <w:rPr>
                <w:lang w:val="sr-Latn-ME"/>
              </w:rPr>
            </w:pPr>
          </w:p>
          <w:p w14:paraId="5699BFE8" w14:textId="77777777" w:rsidR="00C13202" w:rsidRPr="00FB6F73" w:rsidRDefault="00C13202" w:rsidP="00EE112C">
            <w:pPr>
              <w:pStyle w:val="TableParagraph"/>
              <w:ind w:left="1"/>
              <w:jc w:val="center"/>
              <w:rPr>
                <w:lang w:val="sr-Latn-ME"/>
              </w:rPr>
            </w:pPr>
            <w:r w:rsidRPr="00FB6F73">
              <w:rPr>
                <w:lang w:val="sr-Latn-ME"/>
              </w:rPr>
              <w:t>-</w:t>
            </w:r>
          </w:p>
        </w:tc>
        <w:tc>
          <w:tcPr>
            <w:tcW w:w="992" w:type="dxa"/>
          </w:tcPr>
          <w:p w14:paraId="636408C3" w14:textId="77777777" w:rsidR="00C13202" w:rsidRPr="00FB6F73" w:rsidRDefault="00C13202" w:rsidP="00EE112C">
            <w:pPr>
              <w:pStyle w:val="TableParagraph"/>
              <w:rPr>
                <w:lang w:val="sr-Latn-ME"/>
              </w:rPr>
            </w:pPr>
          </w:p>
          <w:p w14:paraId="0FB106BF" w14:textId="77777777" w:rsidR="00C13202" w:rsidRPr="00FB6F73" w:rsidRDefault="00C13202" w:rsidP="00EE112C">
            <w:pPr>
              <w:pStyle w:val="TableParagraph"/>
              <w:spacing w:before="5"/>
              <w:rPr>
                <w:lang w:val="sr-Latn-ME"/>
              </w:rPr>
            </w:pPr>
          </w:p>
          <w:p w14:paraId="155C8210" w14:textId="77777777" w:rsidR="00C13202" w:rsidRPr="00FB6F73" w:rsidRDefault="00C13202" w:rsidP="00EE112C">
            <w:pPr>
              <w:pStyle w:val="TableParagraph"/>
              <w:ind w:left="297" w:right="297"/>
              <w:jc w:val="center"/>
              <w:rPr>
                <w:lang w:val="sr-Latn-ME"/>
              </w:rPr>
            </w:pPr>
            <w:r w:rsidRPr="00FB6F73">
              <w:rPr>
                <w:lang w:val="sr-Latn-ME"/>
              </w:rPr>
              <w:t>19</w:t>
            </w:r>
          </w:p>
        </w:tc>
        <w:tc>
          <w:tcPr>
            <w:tcW w:w="851" w:type="dxa"/>
          </w:tcPr>
          <w:p w14:paraId="18F66DE4" w14:textId="77777777" w:rsidR="00C13202" w:rsidRPr="00FB6F73" w:rsidRDefault="00C13202" w:rsidP="00EE112C">
            <w:pPr>
              <w:pStyle w:val="TableParagraph"/>
              <w:rPr>
                <w:lang w:val="sr-Latn-ME"/>
              </w:rPr>
            </w:pPr>
          </w:p>
          <w:p w14:paraId="40E281A5" w14:textId="77777777" w:rsidR="00C13202" w:rsidRPr="00FB6F73" w:rsidRDefault="00C13202" w:rsidP="00EE112C">
            <w:pPr>
              <w:pStyle w:val="TableParagraph"/>
              <w:spacing w:before="5"/>
              <w:rPr>
                <w:lang w:val="sr-Latn-ME"/>
              </w:rPr>
            </w:pPr>
          </w:p>
          <w:p w14:paraId="4C946B29" w14:textId="77777777" w:rsidR="00C13202" w:rsidRPr="00FB6F73" w:rsidRDefault="00C13202" w:rsidP="00EE112C">
            <w:pPr>
              <w:pStyle w:val="TableParagraph"/>
              <w:jc w:val="center"/>
              <w:rPr>
                <w:lang w:val="sr-Latn-ME"/>
              </w:rPr>
            </w:pPr>
            <w:r w:rsidRPr="00FB6F73">
              <w:rPr>
                <w:lang w:val="sr-Latn-ME"/>
              </w:rPr>
              <w:t>2</w:t>
            </w:r>
          </w:p>
        </w:tc>
        <w:tc>
          <w:tcPr>
            <w:tcW w:w="992" w:type="dxa"/>
          </w:tcPr>
          <w:p w14:paraId="74DFE406" w14:textId="77777777" w:rsidR="00C13202" w:rsidRPr="00FB6F73" w:rsidRDefault="00C13202" w:rsidP="00EE112C">
            <w:pPr>
              <w:pStyle w:val="TableParagraph"/>
              <w:rPr>
                <w:lang w:val="sr-Latn-ME"/>
              </w:rPr>
            </w:pPr>
          </w:p>
          <w:p w14:paraId="4C3BBC1B" w14:textId="77777777" w:rsidR="00C13202" w:rsidRPr="00FB6F73" w:rsidRDefault="00C13202" w:rsidP="00EE112C">
            <w:pPr>
              <w:pStyle w:val="TableParagraph"/>
              <w:spacing w:before="5"/>
              <w:rPr>
                <w:lang w:val="sr-Latn-ME"/>
              </w:rPr>
            </w:pPr>
          </w:p>
          <w:p w14:paraId="2AAC3073" w14:textId="77777777" w:rsidR="00C13202" w:rsidRPr="00FB6F73" w:rsidRDefault="00C13202" w:rsidP="00EE112C">
            <w:pPr>
              <w:pStyle w:val="TableParagraph"/>
              <w:jc w:val="center"/>
              <w:rPr>
                <w:lang w:val="sr-Latn-ME"/>
              </w:rPr>
            </w:pPr>
            <w:r w:rsidRPr="00FB6F73">
              <w:rPr>
                <w:lang w:val="sr-Latn-ME"/>
              </w:rPr>
              <w:t>0</w:t>
            </w:r>
          </w:p>
        </w:tc>
        <w:tc>
          <w:tcPr>
            <w:tcW w:w="1701" w:type="dxa"/>
          </w:tcPr>
          <w:p w14:paraId="2ACB810C" w14:textId="77777777" w:rsidR="00C13202" w:rsidRPr="00FB6F73" w:rsidRDefault="00C13202" w:rsidP="00FB6F73">
            <w:pPr>
              <w:widowControl w:val="0"/>
              <w:autoSpaceDE w:val="0"/>
              <w:autoSpaceDN w:val="0"/>
              <w:jc w:val="center"/>
              <w:rPr>
                <w:sz w:val="22"/>
                <w:szCs w:val="22"/>
                <w:lang w:val="sr-Latn-ME"/>
              </w:rPr>
            </w:pPr>
          </w:p>
          <w:p w14:paraId="5C2277F5" w14:textId="77777777" w:rsidR="00C13202" w:rsidRPr="00FB6F73" w:rsidRDefault="00C13202" w:rsidP="00FB6F73">
            <w:pPr>
              <w:widowControl w:val="0"/>
              <w:autoSpaceDE w:val="0"/>
              <w:autoSpaceDN w:val="0"/>
              <w:jc w:val="center"/>
              <w:rPr>
                <w:sz w:val="22"/>
                <w:szCs w:val="22"/>
                <w:lang w:val="sr-Latn-ME"/>
              </w:rPr>
            </w:pPr>
          </w:p>
          <w:p w14:paraId="3160E099" w14:textId="77777777" w:rsidR="00C13202" w:rsidRPr="00FB6F73" w:rsidRDefault="00C13202" w:rsidP="00FB6F73">
            <w:pPr>
              <w:widowControl w:val="0"/>
              <w:autoSpaceDE w:val="0"/>
              <w:autoSpaceDN w:val="0"/>
              <w:jc w:val="center"/>
              <w:rPr>
                <w:sz w:val="22"/>
                <w:szCs w:val="22"/>
                <w:lang w:val="sr-Latn-ME"/>
              </w:rPr>
            </w:pPr>
            <w:r w:rsidRPr="00FB6F73">
              <w:rPr>
                <w:sz w:val="22"/>
                <w:szCs w:val="22"/>
                <w:lang w:val="sr-Latn-ME"/>
              </w:rPr>
              <w:t>veoma često</w:t>
            </w:r>
          </w:p>
        </w:tc>
      </w:tr>
      <w:tr w:rsidR="000656D0" w:rsidRPr="00FB6F73" w14:paraId="541F231B" w14:textId="77777777" w:rsidTr="00FB6F73">
        <w:trPr>
          <w:trHeight w:hRule="exact" w:val="1022"/>
        </w:trPr>
        <w:tc>
          <w:tcPr>
            <w:tcW w:w="2836" w:type="dxa"/>
          </w:tcPr>
          <w:p w14:paraId="31ABA52F" w14:textId="77777777" w:rsidR="00C13202" w:rsidRPr="00FB6F73" w:rsidRDefault="00C13202" w:rsidP="00EE112C">
            <w:pPr>
              <w:pStyle w:val="TableParagraph"/>
              <w:spacing w:before="1" w:line="250" w:lineRule="exact"/>
              <w:ind w:left="105" w:right="451"/>
              <w:rPr>
                <w:i/>
                <w:lang w:val="sr-Latn-ME"/>
              </w:rPr>
            </w:pPr>
            <w:r w:rsidRPr="00FB6F73">
              <w:rPr>
                <w:i/>
                <w:lang w:val="sr-Latn-ME"/>
              </w:rPr>
              <w:t>Poremećaji nervnog sistema</w:t>
            </w:r>
          </w:p>
          <w:p w14:paraId="20ECBF23" w14:textId="77777777" w:rsidR="00C13202" w:rsidRPr="00FB6F73" w:rsidRDefault="00C13202" w:rsidP="00EE112C">
            <w:pPr>
              <w:pStyle w:val="TableParagraph"/>
              <w:ind w:left="105" w:right="1104"/>
              <w:rPr>
                <w:lang w:val="sr-Latn-ME"/>
              </w:rPr>
            </w:pPr>
            <w:r w:rsidRPr="00FB6F73">
              <w:rPr>
                <w:lang w:val="sr-Latn-ME"/>
              </w:rPr>
              <w:t>Neuropatija Glavobolja</w:t>
            </w:r>
          </w:p>
        </w:tc>
        <w:tc>
          <w:tcPr>
            <w:tcW w:w="992" w:type="dxa"/>
          </w:tcPr>
          <w:p w14:paraId="356D6AFF" w14:textId="77777777" w:rsidR="00C13202" w:rsidRPr="00FB6F73" w:rsidRDefault="00C13202" w:rsidP="00EE112C">
            <w:pPr>
              <w:pStyle w:val="TableParagraph"/>
              <w:rPr>
                <w:lang w:val="sr-Latn-ME"/>
              </w:rPr>
            </w:pPr>
          </w:p>
          <w:p w14:paraId="41AE84D7" w14:textId="77777777" w:rsidR="00C13202" w:rsidRPr="00FB6F73" w:rsidRDefault="00C13202" w:rsidP="00EE112C">
            <w:pPr>
              <w:pStyle w:val="TableParagraph"/>
              <w:spacing w:before="5"/>
              <w:rPr>
                <w:lang w:val="sr-Latn-ME"/>
              </w:rPr>
            </w:pPr>
          </w:p>
          <w:p w14:paraId="5F2AFB87" w14:textId="77777777" w:rsidR="00C13202" w:rsidRPr="00FB6F73" w:rsidRDefault="00C13202" w:rsidP="00EE112C">
            <w:pPr>
              <w:pStyle w:val="TableParagraph"/>
              <w:ind w:right="1"/>
              <w:jc w:val="center"/>
              <w:rPr>
                <w:lang w:val="sr-Latn-ME"/>
              </w:rPr>
            </w:pPr>
            <w:r w:rsidRPr="00FB6F73">
              <w:rPr>
                <w:lang w:val="sr-Latn-ME"/>
              </w:rPr>
              <w:t>-</w:t>
            </w:r>
          </w:p>
          <w:p w14:paraId="0F005891" w14:textId="77777777" w:rsidR="00C13202" w:rsidRPr="00FB6F73" w:rsidRDefault="00C13202" w:rsidP="00EE112C">
            <w:pPr>
              <w:pStyle w:val="TableParagraph"/>
              <w:ind w:right="1"/>
              <w:jc w:val="center"/>
              <w:rPr>
                <w:lang w:val="sr-Latn-ME"/>
              </w:rPr>
            </w:pPr>
            <w:r w:rsidRPr="00FB6F73">
              <w:rPr>
                <w:lang w:val="sr-Latn-ME"/>
              </w:rPr>
              <w:t>-</w:t>
            </w:r>
          </w:p>
        </w:tc>
        <w:tc>
          <w:tcPr>
            <w:tcW w:w="851" w:type="dxa"/>
          </w:tcPr>
          <w:p w14:paraId="1B526315" w14:textId="77777777" w:rsidR="00C13202" w:rsidRPr="00FB6F73" w:rsidRDefault="00C13202" w:rsidP="00EE112C">
            <w:pPr>
              <w:pStyle w:val="TableParagraph"/>
              <w:rPr>
                <w:lang w:val="sr-Latn-ME"/>
              </w:rPr>
            </w:pPr>
          </w:p>
          <w:p w14:paraId="42AFDD24" w14:textId="77777777" w:rsidR="00C13202" w:rsidRPr="00FB6F73" w:rsidRDefault="00C13202" w:rsidP="00EE112C">
            <w:pPr>
              <w:pStyle w:val="TableParagraph"/>
              <w:spacing w:before="5"/>
              <w:rPr>
                <w:lang w:val="sr-Latn-ME"/>
              </w:rPr>
            </w:pPr>
          </w:p>
          <w:p w14:paraId="6FC396FA" w14:textId="77777777" w:rsidR="00C13202" w:rsidRPr="00FB6F73" w:rsidRDefault="00C13202" w:rsidP="00EE112C">
            <w:pPr>
              <w:pStyle w:val="TableParagraph"/>
              <w:ind w:left="1"/>
              <w:jc w:val="center"/>
              <w:rPr>
                <w:lang w:val="sr-Latn-ME"/>
              </w:rPr>
            </w:pPr>
            <w:r w:rsidRPr="00FB6F73">
              <w:rPr>
                <w:lang w:val="sr-Latn-ME"/>
              </w:rPr>
              <w:t>-</w:t>
            </w:r>
          </w:p>
          <w:p w14:paraId="3D83DA0D" w14:textId="77777777" w:rsidR="00C13202" w:rsidRPr="00FB6F73" w:rsidRDefault="00C13202" w:rsidP="00EE112C">
            <w:pPr>
              <w:pStyle w:val="TableParagraph"/>
              <w:ind w:left="1"/>
              <w:jc w:val="center"/>
              <w:rPr>
                <w:lang w:val="sr-Latn-ME"/>
              </w:rPr>
            </w:pPr>
            <w:r w:rsidRPr="00FB6F73">
              <w:rPr>
                <w:lang w:val="sr-Latn-ME"/>
              </w:rPr>
              <w:t>-</w:t>
            </w:r>
          </w:p>
        </w:tc>
        <w:tc>
          <w:tcPr>
            <w:tcW w:w="850" w:type="dxa"/>
          </w:tcPr>
          <w:p w14:paraId="0650E77D" w14:textId="77777777" w:rsidR="00C13202" w:rsidRPr="00FB6F73" w:rsidRDefault="00C13202" w:rsidP="00EE112C">
            <w:pPr>
              <w:pStyle w:val="TableParagraph"/>
              <w:rPr>
                <w:lang w:val="sr-Latn-ME"/>
              </w:rPr>
            </w:pPr>
          </w:p>
          <w:p w14:paraId="68CD53D1" w14:textId="77777777" w:rsidR="00C13202" w:rsidRPr="00FB6F73" w:rsidRDefault="00C13202" w:rsidP="00EE112C">
            <w:pPr>
              <w:pStyle w:val="TableParagraph"/>
              <w:spacing w:before="5"/>
              <w:rPr>
                <w:lang w:val="sr-Latn-ME"/>
              </w:rPr>
            </w:pPr>
          </w:p>
          <w:p w14:paraId="2815559D" w14:textId="77777777" w:rsidR="00C13202" w:rsidRPr="00FB6F73" w:rsidRDefault="00C13202" w:rsidP="00EE112C">
            <w:pPr>
              <w:pStyle w:val="TableParagraph"/>
              <w:ind w:left="1"/>
              <w:jc w:val="center"/>
              <w:rPr>
                <w:lang w:val="sr-Latn-ME"/>
              </w:rPr>
            </w:pPr>
            <w:r w:rsidRPr="00FB6F73">
              <w:rPr>
                <w:lang w:val="sr-Latn-ME"/>
              </w:rPr>
              <w:t>-</w:t>
            </w:r>
          </w:p>
          <w:p w14:paraId="558235F6" w14:textId="77777777" w:rsidR="00C13202" w:rsidRPr="00FB6F73" w:rsidRDefault="00C13202" w:rsidP="00EE112C">
            <w:pPr>
              <w:pStyle w:val="TableParagraph"/>
              <w:ind w:left="1"/>
              <w:jc w:val="center"/>
              <w:rPr>
                <w:lang w:val="sr-Latn-ME"/>
              </w:rPr>
            </w:pPr>
            <w:r w:rsidRPr="00FB6F73">
              <w:rPr>
                <w:lang w:val="sr-Latn-ME"/>
              </w:rPr>
              <w:t>-</w:t>
            </w:r>
          </w:p>
        </w:tc>
        <w:tc>
          <w:tcPr>
            <w:tcW w:w="992" w:type="dxa"/>
          </w:tcPr>
          <w:p w14:paraId="7F5CF49B" w14:textId="77777777" w:rsidR="00C13202" w:rsidRPr="00FB6F73" w:rsidRDefault="00C13202" w:rsidP="00EE112C">
            <w:pPr>
              <w:pStyle w:val="TableParagraph"/>
              <w:rPr>
                <w:lang w:val="sr-Latn-ME"/>
              </w:rPr>
            </w:pPr>
          </w:p>
          <w:p w14:paraId="2C20E123" w14:textId="77777777" w:rsidR="00C13202" w:rsidRPr="00FB6F73" w:rsidRDefault="00C13202" w:rsidP="00EE112C">
            <w:pPr>
              <w:pStyle w:val="TableParagraph"/>
              <w:spacing w:before="5"/>
              <w:rPr>
                <w:lang w:val="sr-Latn-ME"/>
              </w:rPr>
            </w:pPr>
          </w:p>
          <w:p w14:paraId="0469B4E4" w14:textId="77777777" w:rsidR="00C13202" w:rsidRPr="00FB6F73" w:rsidRDefault="00C13202" w:rsidP="00EE112C">
            <w:pPr>
              <w:pStyle w:val="TableParagraph"/>
              <w:ind w:left="297" w:right="297"/>
              <w:jc w:val="center"/>
              <w:rPr>
                <w:lang w:val="sr-Latn-ME"/>
              </w:rPr>
            </w:pPr>
            <w:r w:rsidRPr="00FB6F73">
              <w:rPr>
                <w:lang w:val="sr-Latn-ME"/>
              </w:rPr>
              <w:t>13</w:t>
            </w:r>
          </w:p>
          <w:p w14:paraId="664D32A4" w14:textId="77777777" w:rsidR="00C13202" w:rsidRPr="00FB6F73" w:rsidRDefault="00C13202" w:rsidP="00EE112C">
            <w:pPr>
              <w:pStyle w:val="TableParagraph"/>
              <w:ind w:left="297" w:right="297"/>
              <w:jc w:val="center"/>
              <w:rPr>
                <w:lang w:val="sr-Latn-ME"/>
              </w:rPr>
            </w:pPr>
            <w:r w:rsidRPr="00FB6F73">
              <w:rPr>
                <w:lang w:val="sr-Latn-ME"/>
              </w:rPr>
              <w:t>15</w:t>
            </w:r>
          </w:p>
        </w:tc>
        <w:tc>
          <w:tcPr>
            <w:tcW w:w="851" w:type="dxa"/>
          </w:tcPr>
          <w:p w14:paraId="3A9CB70A" w14:textId="77777777" w:rsidR="00C13202" w:rsidRPr="00FB6F73" w:rsidRDefault="00C13202" w:rsidP="00EE112C">
            <w:pPr>
              <w:pStyle w:val="TableParagraph"/>
              <w:rPr>
                <w:lang w:val="sr-Latn-ME"/>
              </w:rPr>
            </w:pPr>
          </w:p>
          <w:p w14:paraId="2926BEF8" w14:textId="77777777" w:rsidR="00C13202" w:rsidRPr="00FB6F73" w:rsidRDefault="00C13202" w:rsidP="00EE112C">
            <w:pPr>
              <w:pStyle w:val="TableParagraph"/>
              <w:spacing w:before="5"/>
              <w:rPr>
                <w:lang w:val="sr-Latn-ME"/>
              </w:rPr>
            </w:pPr>
          </w:p>
          <w:p w14:paraId="4E78FCBF" w14:textId="77777777" w:rsidR="00C13202" w:rsidRPr="00FB6F73" w:rsidRDefault="00C13202" w:rsidP="00EE112C">
            <w:pPr>
              <w:pStyle w:val="TableParagraph"/>
              <w:jc w:val="center"/>
              <w:rPr>
                <w:lang w:val="sr-Latn-ME"/>
              </w:rPr>
            </w:pPr>
            <w:r w:rsidRPr="00FB6F73">
              <w:rPr>
                <w:lang w:val="sr-Latn-ME"/>
              </w:rPr>
              <w:t>1</w:t>
            </w:r>
          </w:p>
          <w:p w14:paraId="1284FE43" w14:textId="77777777" w:rsidR="00C13202" w:rsidRPr="00FB6F73" w:rsidRDefault="00C13202" w:rsidP="00EE112C">
            <w:pPr>
              <w:pStyle w:val="TableParagraph"/>
              <w:ind w:left="282" w:right="282"/>
              <w:jc w:val="center"/>
              <w:rPr>
                <w:lang w:val="sr-Latn-ME"/>
              </w:rPr>
            </w:pPr>
            <w:r w:rsidRPr="00FB6F73">
              <w:rPr>
                <w:lang w:val="sr-Latn-ME"/>
              </w:rPr>
              <w:t>&lt;1</w:t>
            </w:r>
          </w:p>
        </w:tc>
        <w:tc>
          <w:tcPr>
            <w:tcW w:w="992" w:type="dxa"/>
          </w:tcPr>
          <w:p w14:paraId="131AFFC6" w14:textId="77777777" w:rsidR="00C13202" w:rsidRPr="00FB6F73" w:rsidRDefault="00C13202" w:rsidP="00EE112C">
            <w:pPr>
              <w:pStyle w:val="TableParagraph"/>
              <w:rPr>
                <w:lang w:val="sr-Latn-ME"/>
              </w:rPr>
            </w:pPr>
          </w:p>
          <w:p w14:paraId="0DD30196" w14:textId="77777777" w:rsidR="00C13202" w:rsidRPr="00FB6F73" w:rsidRDefault="00C13202" w:rsidP="00EE112C">
            <w:pPr>
              <w:pStyle w:val="TableParagraph"/>
              <w:spacing w:before="5"/>
              <w:rPr>
                <w:lang w:val="sr-Latn-ME"/>
              </w:rPr>
            </w:pPr>
          </w:p>
          <w:p w14:paraId="72F082DF" w14:textId="77777777" w:rsidR="00C13202" w:rsidRPr="00FB6F73" w:rsidRDefault="00C13202" w:rsidP="00EE112C">
            <w:pPr>
              <w:pStyle w:val="TableParagraph"/>
              <w:ind w:left="354" w:right="354"/>
              <w:jc w:val="center"/>
              <w:rPr>
                <w:lang w:val="sr-Latn-ME"/>
              </w:rPr>
            </w:pPr>
            <w:r w:rsidRPr="00FB6F73">
              <w:rPr>
                <w:lang w:val="sr-Latn-ME"/>
              </w:rPr>
              <w:t>&lt;1</w:t>
            </w:r>
          </w:p>
          <w:p w14:paraId="0FD9ABBC" w14:textId="77777777" w:rsidR="00C13202" w:rsidRPr="00FB6F73" w:rsidRDefault="00C13202" w:rsidP="00EE112C">
            <w:pPr>
              <w:pStyle w:val="TableParagraph"/>
              <w:jc w:val="center"/>
              <w:rPr>
                <w:lang w:val="sr-Latn-ME"/>
              </w:rPr>
            </w:pPr>
            <w:r w:rsidRPr="00FB6F73">
              <w:rPr>
                <w:lang w:val="sr-Latn-ME"/>
              </w:rPr>
              <w:t>0</w:t>
            </w:r>
          </w:p>
        </w:tc>
        <w:tc>
          <w:tcPr>
            <w:tcW w:w="1701" w:type="dxa"/>
          </w:tcPr>
          <w:p w14:paraId="2C9E158D" w14:textId="77777777" w:rsidR="00C13202" w:rsidRPr="00FB6F73" w:rsidRDefault="00C13202" w:rsidP="00FB6F73">
            <w:pPr>
              <w:pStyle w:val="TableParagraph"/>
              <w:jc w:val="center"/>
              <w:rPr>
                <w:lang w:val="sr-Latn-ME"/>
              </w:rPr>
            </w:pPr>
          </w:p>
          <w:p w14:paraId="47AD9C49" w14:textId="77777777" w:rsidR="00C13202" w:rsidRPr="00FB6F73" w:rsidRDefault="00C13202" w:rsidP="00FB6F73">
            <w:pPr>
              <w:pStyle w:val="TableParagraph"/>
              <w:spacing w:before="5"/>
              <w:jc w:val="center"/>
              <w:rPr>
                <w:lang w:val="sr-Latn-ME"/>
              </w:rPr>
            </w:pPr>
          </w:p>
          <w:p w14:paraId="6A518318" w14:textId="77777777" w:rsidR="00C13202" w:rsidRPr="00FB6F73" w:rsidRDefault="00C13202" w:rsidP="00FB6F73">
            <w:pPr>
              <w:pStyle w:val="TableParagraph"/>
              <w:ind w:left="417" w:right="403"/>
              <w:jc w:val="center"/>
              <w:rPr>
                <w:lang w:val="sr-Latn-ME"/>
              </w:rPr>
            </w:pPr>
            <w:r w:rsidRPr="00FB6F73">
              <w:rPr>
                <w:lang w:val="sr-Latn-ME"/>
              </w:rPr>
              <w:t>veoma često veoma često</w:t>
            </w:r>
          </w:p>
        </w:tc>
      </w:tr>
      <w:tr w:rsidR="000656D0" w:rsidRPr="00FB6F73" w14:paraId="7661F63B" w14:textId="77777777" w:rsidTr="00FB6F73">
        <w:trPr>
          <w:trHeight w:hRule="exact" w:val="1646"/>
        </w:trPr>
        <w:tc>
          <w:tcPr>
            <w:tcW w:w="2836" w:type="dxa"/>
          </w:tcPr>
          <w:p w14:paraId="4992B885" w14:textId="77777777" w:rsidR="00C13202" w:rsidRPr="00FB6F73" w:rsidRDefault="00C13202" w:rsidP="00EE112C">
            <w:pPr>
              <w:pStyle w:val="TableParagraph"/>
              <w:spacing w:line="242" w:lineRule="auto"/>
              <w:ind w:left="105" w:right="96"/>
              <w:rPr>
                <w:i/>
                <w:lang w:val="sr-Latn-ME"/>
              </w:rPr>
            </w:pPr>
            <w:r w:rsidRPr="00FB6F73">
              <w:rPr>
                <w:i/>
                <w:lang w:val="sr-Latn-ME"/>
              </w:rPr>
              <w:t>Respiratorni, torakalni i medijastinalni poremećaji</w:t>
            </w:r>
          </w:p>
          <w:p w14:paraId="5C82F77A" w14:textId="55CFBC7F" w:rsidR="000873F4" w:rsidRPr="00FB6F73" w:rsidRDefault="00FB6F73" w:rsidP="00FB6F73">
            <w:pPr>
              <w:pStyle w:val="TableParagraph"/>
              <w:spacing w:before="13" w:line="250" w:lineRule="exact"/>
              <w:ind w:right="1104"/>
              <w:rPr>
                <w:lang w:val="sr-Latn-ME"/>
              </w:rPr>
            </w:pPr>
            <w:r>
              <w:rPr>
                <w:lang w:val="sr-Latn-ME"/>
              </w:rPr>
              <w:t xml:space="preserve"> </w:t>
            </w:r>
            <w:r w:rsidR="00C13202" w:rsidRPr="00FB6F73">
              <w:rPr>
                <w:lang w:val="sr-Latn-ME"/>
              </w:rPr>
              <w:t xml:space="preserve">Dispnea </w:t>
            </w:r>
          </w:p>
          <w:p w14:paraId="1CBDADDF" w14:textId="235E4EE5" w:rsidR="00C13202" w:rsidRPr="00FB6F73" w:rsidRDefault="00FB6F73" w:rsidP="00FB6F73">
            <w:pPr>
              <w:pStyle w:val="TableParagraph"/>
              <w:spacing w:before="13" w:line="250" w:lineRule="exact"/>
              <w:ind w:right="1104"/>
              <w:rPr>
                <w:lang w:val="sr-Latn-ME"/>
              </w:rPr>
            </w:pPr>
            <w:r>
              <w:rPr>
                <w:lang w:val="sr-Latn-ME"/>
              </w:rPr>
              <w:t xml:space="preserve"> </w:t>
            </w:r>
            <w:r w:rsidR="00C13202" w:rsidRPr="00FB6F73">
              <w:rPr>
                <w:lang w:val="sr-Latn-ME"/>
              </w:rPr>
              <w:t>Kašalj</w:t>
            </w:r>
          </w:p>
        </w:tc>
        <w:tc>
          <w:tcPr>
            <w:tcW w:w="992" w:type="dxa"/>
          </w:tcPr>
          <w:p w14:paraId="33C3F88A" w14:textId="77777777" w:rsidR="00C13202" w:rsidRPr="00FB6F73" w:rsidRDefault="00C13202" w:rsidP="00EE112C">
            <w:pPr>
              <w:pStyle w:val="TableParagraph"/>
              <w:rPr>
                <w:lang w:val="sr-Latn-ME"/>
              </w:rPr>
            </w:pPr>
          </w:p>
          <w:p w14:paraId="00228647" w14:textId="77777777" w:rsidR="00C13202" w:rsidRPr="00FB6F73" w:rsidRDefault="00C13202" w:rsidP="00EE112C">
            <w:pPr>
              <w:pStyle w:val="TableParagraph"/>
              <w:rPr>
                <w:lang w:val="sr-Latn-ME"/>
              </w:rPr>
            </w:pPr>
          </w:p>
          <w:p w14:paraId="4785F17D" w14:textId="77777777" w:rsidR="00C13202" w:rsidRPr="00FB6F73" w:rsidRDefault="00C13202" w:rsidP="00EE112C">
            <w:pPr>
              <w:pStyle w:val="TableParagraph"/>
              <w:spacing w:before="202" w:line="251" w:lineRule="exact"/>
              <w:ind w:left="359" w:right="359"/>
              <w:jc w:val="center"/>
              <w:rPr>
                <w:lang w:val="sr-Latn-ME"/>
              </w:rPr>
            </w:pPr>
            <w:r w:rsidRPr="00FB6F73">
              <w:rPr>
                <w:lang w:val="sr-Latn-ME"/>
              </w:rPr>
              <w:t>41</w:t>
            </w:r>
          </w:p>
          <w:p w14:paraId="788E1BE1" w14:textId="77777777" w:rsidR="00C13202" w:rsidRPr="00FB6F73" w:rsidRDefault="00C13202" w:rsidP="00EE112C">
            <w:pPr>
              <w:pStyle w:val="TableParagraph"/>
              <w:spacing w:line="251" w:lineRule="exact"/>
              <w:ind w:left="359" w:right="359"/>
              <w:jc w:val="center"/>
              <w:rPr>
                <w:lang w:val="sr-Latn-ME"/>
              </w:rPr>
            </w:pPr>
            <w:r w:rsidRPr="00FB6F73">
              <w:rPr>
                <w:lang w:val="sr-Latn-ME"/>
              </w:rPr>
              <w:t>33</w:t>
            </w:r>
          </w:p>
        </w:tc>
        <w:tc>
          <w:tcPr>
            <w:tcW w:w="851" w:type="dxa"/>
          </w:tcPr>
          <w:p w14:paraId="7ED07C4C" w14:textId="77777777" w:rsidR="00C13202" w:rsidRPr="00FB6F73" w:rsidRDefault="00C13202" w:rsidP="00EE112C">
            <w:pPr>
              <w:pStyle w:val="TableParagraph"/>
              <w:rPr>
                <w:lang w:val="sr-Latn-ME"/>
              </w:rPr>
            </w:pPr>
          </w:p>
          <w:p w14:paraId="1F3D6FAA" w14:textId="77777777" w:rsidR="00C13202" w:rsidRPr="00FB6F73" w:rsidRDefault="00C13202" w:rsidP="00EE112C">
            <w:pPr>
              <w:pStyle w:val="TableParagraph"/>
              <w:rPr>
                <w:lang w:val="sr-Latn-ME"/>
              </w:rPr>
            </w:pPr>
          </w:p>
          <w:p w14:paraId="12F19092" w14:textId="77777777" w:rsidR="00C13202" w:rsidRPr="00FB6F73" w:rsidRDefault="00C13202" w:rsidP="00EE112C">
            <w:pPr>
              <w:pStyle w:val="TableParagraph"/>
              <w:spacing w:before="202" w:line="251" w:lineRule="exact"/>
              <w:ind w:left="280" w:right="282"/>
              <w:jc w:val="center"/>
              <w:rPr>
                <w:lang w:val="sr-Latn-ME"/>
              </w:rPr>
            </w:pPr>
            <w:r w:rsidRPr="00FB6F73">
              <w:rPr>
                <w:lang w:val="sr-Latn-ME"/>
              </w:rPr>
              <w:t>17</w:t>
            </w:r>
          </w:p>
          <w:p w14:paraId="5843F346" w14:textId="77777777" w:rsidR="00C13202" w:rsidRPr="00FB6F73" w:rsidRDefault="00C13202" w:rsidP="00EE112C">
            <w:pPr>
              <w:pStyle w:val="TableParagraph"/>
              <w:spacing w:line="251" w:lineRule="exact"/>
              <w:jc w:val="center"/>
              <w:rPr>
                <w:lang w:val="sr-Latn-ME"/>
              </w:rPr>
            </w:pPr>
            <w:r w:rsidRPr="00FB6F73">
              <w:rPr>
                <w:lang w:val="sr-Latn-ME"/>
              </w:rPr>
              <w:t>4</w:t>
            </w:r>
          </w:p>
        </w:tc>
        <w:tc>
          <w:tcPr>
            <w:tcW w:w="850" w:type="dxa"/>
          </w:tcPr>
          <w:p w14:paraId="41D8B426" w14:textId="77777777" w:rsidR="00C13202" w:rsidRPr="00FB6F73" w:rsidRDefault="00C13202" w:rsidP="00917054">
            <w:pPr>
              <w:pStyle w:val="TableParagraph"/>
              <w:jc w:val="center"/>
              <w:rPr>
                <w:lang w:val="sr-Latn-ME"/>
              </w:rPr>
            </w:pPr>
          </w:p>
          <w:p w14:paraId="3183E8FA" w14:textId="77777777" w:rsidR="00C13202" w:rsidRPr="00FB6F73" w:rsidRDefault="00C13202" w:rsidP="00917054">
            <w:pPr>
              <w:pStyle w:val="TableParagraph"/>
              <w:jc w:val="center"/>
              <w:rPr>
                <w:lang w:val="sr-Latn-ME"/>
              </w:rPr>
            </w:pPr>
          </w:p>
          <w:p w14:paraId="2C8D8A20" w14:textId="7AF736B9" w:rsidR="00C13202" w:rsidRPr="00FB6F73" w:rsidRDefault="005C1819" w:rsidP="00917054">
            <w:pPr>
              <w:pStyle w:val="TableParagraph"/>
              <w:spacing w:before="202" w:line="251" w:lineRule="exact"/>
              <w:ind w:right="354"/>
              <w:jc w:val="center"/>
              <w:rPr>
                <w:lang w:val="sr-Latn-ME"/>
              </w:rPr>
            </w:pPr>
            <w:r w:rsidRPr="00FB6F73">
              <w:rPr>
                <w:lang w:val="sr-Latn-ME"/>
              </w:rPr>
              <w:t xml:space="preserve">    </w:t>
            </w:r>
            <w:r w:rsidR="00C13202" w:rsidRPr="00FB6F73">
              <w:rPr>
                <w:lang w:val="sr-Latn-ME"/>
              </w:rPr>
              <w:t>11</w:t>
            </w:r>
          </w:p>
          <w:p w14:paraId="4CF8B628" w14:textId="0E77D95E" w:rsidR="00C13202" w:rsidRPr="00FB6F73" w:rsidRDefault="000873F4" w:rsidP="005C1819">
            <w:pPr>
              <w:pStyle w:val="TableParagraph"/>
              <w:spacing w:line="251" w:lineRule="exact"/>
              <w:jc w:val="center"/>
              <w:rPr>
                <w:lang w:val="sr-Latn-ME"/>
              </w:rPr>
            </w:pPr>
            <w:r w:rsidRPr="00FB6F73">
              <w:rPr>
                <w:lang w:val="sr-Latn-ME"/>
              </w:rPr>
              <w:t>0</w:t>
            </w:r>
          </w:p>
        </w:tc>
        <w:tc>
          <w:tcPr>
            <w:tcW w:w="992" w:type="dxa"/>
          </w:tcPr>
          <w:p w14:paraId="7C70EFC6" w14:textId="77777777" w:rsidR="00C13202" w:rsidRPr="00FB6F73" w:rsidRDefault="00C13202" w:rsidP="00917054">
            <w:pPr>
              <w:pStyle w:val="TableParagraph"/>
              <w:jc w:val="center"/>
              <w:rPr>
                <w:lang w:val="sr-Latn-ME"/>
              </w:rPr>
            </w:pPr>
          </w:p>
          <w:p w14:paraId="13AB7791" w14:textId="77777777" w:rsidR="00C13202" w:rsidRPr="00FB6F73" w:rsidRDefault="00C13202" w:rsidP="00917054">
            <w:pPr>
              <w:pStyle w:val="TableParagraph"/>
              <w:jc w:val="center"/>
              <w:rPr>
                <w:lang w:val="sr-Latn-ME"/>
              </w:rPr>
            </w:pPr>
          </w:p>
          <w:p w14:paraId="3416BA3C" w14:textId="77777777" w:rsidR="00C13202" w:rsidRPr="00FB6F73" w:rsidRDefault="00C13202" w:rsidP="005C1819">
            <w:pPr>
              <w:pStyle w:val="TableParagraph"/>
              <w:spacing w:before="208" w:line="250" w:lineRule="exact"/>
              <w:ind w:left="316" w:right="314" w:firstLine="6"/>
              <w:jc w:val="center"/>
              <w:rPr>
                <w:lang w:val="sr-Latn-ME"/>
              </w:rPr>
            </w:pPr>
            <w:r w:rsidRPr="00FB6F73">
              <w:rPr>
                <w:lang w:val="sr-Latn-ME"/>
              </w:rPr>
              <w:t>- 16</w:t>
            </w:r>
          </w:p>
        </w:tc>
        <w:tc>
          <w:tcPr>
            <w:tcW w:w="851" w:type="dxa"/>
          </w:tcPr>
          <w:p w14:paraId="66F3715A" w14:textId="77777777" w:rsidR="00C13202" w:rsidRPr="00FB6F73" w:rsidRDefault="00C13202" w:rsidP="00917054">
            <w:pPr>
              <w:pStyle w:val="TableParagraph"/>
              <w:jc w:val="center"/>
              <w:rPr>
                <w:lang w:val="sr-Latn-ME"/>
              </w:rPr>
            </w:pPr>
          </w:p>
          <w:p w14:paraId="24507691" w14:textId="77777777" w:rsidR="00C13202" w:rsidRPr="00FB6F73" w:rsidRDefault="00C13202" w:rsidP="00917054">
            <w:pPr>
              <w:pStyle w:val="TableParagraph"/>
              <w:jc w:val="center"/>
              <w:rPr>
                <w:lang w:val="sr-Latn-ME"/>
              </w:rPr>
            </w:pPr>
          </w:p>
          <w:p w14:paraId="3DE16F98" w14:textId="77777777" w:rsidR="00C13202" w:rsidRPr="00FB6F73" w:rsidRDefault="00C13202" w:rsidP="005C1819">
            <w:pPr>
              <w:pStyle w:val="TableParagraph"/>
              <w:spacing w:before="208" w:line="250" w:lineRule="exact"/>
              <w:ind w:left="364" w:right="362" w:firstLine="1"/>
              <w:jc w:val="center"/>
              <w:rPr>
                <w:lang w:val="sr-Latn-ME"/>
              </w:rPr>
            </w:pPr>
            <w:r w:rsidRPr="00FB6F73">
              <w:rPr>
                <w:lang w:val="sr-Latn-ME"/>
              </w:rPr>
              <w:t>- 0</w:t>
            </w:r>
          </w:p>
        </w:tc>
        <w:tc>
          <w:tcPr>
            <w:tcW w:w="992" w:type="dxa"/>
          </w:tcPr>
          <w:p w14:paraId="0C82E8AC" w14:textId="77777777" w:rsidR="00C13202" w:rsidRPr="00FB6F73" w:rsidRDefault="00C13202" w:rsidP="00917054">
            <w:pPr>
              <w:pStyle w:val="TableParagraph"/>
              <w:jc w:val="center"/>
              <w:rPr>
                <w:lang w:val="sr-Latn-ME"/>
              </w:rPr>
            </w:pPr>
          </w:p>
          <w:p w14:paraId="1524C8C8" w14:textId="77777777" w:rsidR="00C13202" w:rsidRPr="00FB6F73" w:rsidRDefault="00C13202" w:rsidP="00917054">
            <w:pPr>
              <w:pStyle w:val="TableParagraph"/>
              <w:jc w:val="center"/>
              <w:rPr>
                <w:lang w:val="sr-Latn-ME"/>
              </w:rPr>
            </w:pPr>
          </w:p>
          <w:p w14:paraId="3F376045" w14:textId="77777777" w:rsidR="00C13202" w:rsidRPr="00FB6F73" w:rsidRDefault="00C13202" w:rsidP="005C1819">
            <w:pPr>
              <w:pStyle w:val="TableParagraph"/>
              <w:spacing w:before="208" w:line="250" w:lineRule="exact"/>
              <w:ind w:left="436" w:right="434" w:firstLine="1"/>
              <w:jc w:val="center"/>
              <w:rPr>
                <w:lang w:val="sr-Latn-ME"/>
              </w:rPr>
            </w:pPr>
            <w:r w:rsidRPr="00FB6F73">
              <w:rPr>
                <w:lang w:val="sr-Latn-ME"/>
              </w:rPr>
              <w:t>- 0</w:t>
            </w:r>
          </w:p>
        </w:tc>
        <w:tc>
          <w:tcPr>
            <w:tcW w:w="1701" w:type="dxa"/>
          </w:tcPr>
          <w:p w14:paraId="4A751913" w14:textId="77777777" w:rsidR="00C13202" w:rsidRPr="00FB6F73" w:rsidRDefault="00C13202" w:rsidP="00FB6F73">
            <w:pPr>
              <w:pStyle w:val="TableParagraph"/>
              <w:jc w:val="center"/>
              <w:rPr>
                <w:lang w:val="sr-Latn-ME"/>
              </w:rPr>
            </w:pPr>
          </w:p>
          <w:p w14:paraId="524D311D" w14:textId="77777777" w:rsidR="00C13202" w:rsidRPr="00FB6F73" w:rsidRDefault="00C13202" w:rsidP="00FB6F73">
            <w:pPr>
              <w:pStyle w:val="TableParagraph"/>
              <w:spacing w:before="208" w:line="250" w:lineRule="exact"/>
              <w:ind w:left="417" w:right="403"/>
              <w:jc w:val="center"/>
              <w:rPr>
                <w:lang w:val="sr-Latn-ME"/>
              </w:rPr>
            </w:pPr>
            <w:r w:rsidRPr="00FB6F73">
              <w:rPr>
                <w:lang w:val="sr-Latn-ME"/>
              </w:rPr>
              <w:t>veoma često veoma često</w:t>
            </w:r>
          </w:p>
        </w:tc>
      </w:tr>
      <w:tr w:rsidR="000656D0" w:rsidRPr="00FB6F73" w14:paraId="02912B93" w14:textId="77777777" w:rsidTr="00FB6F73">
        <w:trPr>
          <w:trHeight w:hRule="exact" w:val="2290"/>
        </w:trPr>
        <w:tc>
          <w:tcPr>
            <w:tcW w:w="2836" w:type="dxa"/>
          </w:tcPr>
          <w:p w14:paraId="27302754" w14:textId="77777777" w:rsidR="00C13202" w:rsidRPr="00FB6F73" w:rsidRDefault="00C13202" w:rsidP="00EE112C">
            <w:pPr>
              <w:pStyle w:val="TableParagraph"/>
              <w:spacing w:line="242" w:lineRule="auto"/>
              <w:ind w:left="105" w:right="640"/>
              <w:rPr>
                <w:i/>
                <w:lang w:val="sr-Latn-ME"/>
              </w:rPr>
            </w:pPr>
            <w:r w:rsidRPr="00FB6F73">
              <w:rPr>
                <w:i/>
                <w:lang w:val="sr-Latn-ME"/>
              </w:rPr>
              <w:lastRenderedPageBreak/>
              <w:t>Gastrointestinalni poremećaji</w:t>
            </w:r>
          </w:p>
          <w:p w14:paraId="6288CAC0" w14:textId="77777777" w:rsidR="004C492F" w:rsidRPr="00FB6F73" w:rsidRDefault="00C13202" w:rsidP="00EE112C">
            <w:pPr>
              <w:pStyle w:val="TableParagraph"/>
              <w:spacing w:before="7"/>
              <w:ind w:left="326" w:right="451" w:firstLine="4"/>
              <w:rPr>
                <w:lang w:val="sr-Latn-ME"/>
              </w:rPr>
            </w:pPr>
            <w:r w:rsidRPr="00FB6F73">
              <w:rPr>
                <w:lang w:val="sr-Latn-ME"/>
              </w:rPr>
              <w:t>Dijareja**</w:t>
            </w:r>
          </w:p>
          <w:p w14:paraId="3C0DB9DC" w14:textId="26DA9243" w:rsidR="004C492F" w:rsidRPr="00FB6F73" w:rsidRDefault="00C13202" w:rsidP="00EE112C">
            <w:pPr>
              <w:pStyle w:val="TableParagraph"/>
              <w:spacing w:before="7"/>
              <w:ind w:left="326" w:right="451" w:firstLine="4"/>
              <w:rPr>
                <w:lang w:val="sr-Latn-ME"/>
              </w:rPr>
            </w:pPr>
            <w:r w:rsidRPr="00FB6F73">
              <w:rPr>
                <w:lang w:val="sr-Latn-ME"/>
              </w:rPr>
              <w:t xml:space="preserve">Mučnina </w:t>
            </w:r>
          </w:p>
          <w:p w14:paraId="13C93FB3" w14:textId="77777777" w:rsidR="004C492F" w:rsidRPr="00FB6F73" w:rsidRDefault="00C13202" w:rsidP="00EE112C">
            <w:pPr>
              <w:pStyle w:val="TableParagraph"/>
              <w:spacing w:before="7"/>
              <w:ind w:left="326" w:right="451" w:firstLine="4"/>
              <w:rPr>
                <w:lang w:val="sr-Latn-ME"/>
              </w:rPr>
            </w:pPr>
            <w:r w:rsidRPr="00FB6F73">
              <w:rPr>
                <w:lang w:val="sr-Latn-ME"/>
              </w:rPr>
              <w:t xml:space="preserve">Povraćanje </w:t>
            </w:r>
          </w:p>
          <w:p w14:paraId="7D617896" w14:textId="759FF00E" w:rsidR="00C13202" w:rsidRPr="00FB6F73" w:rsidRDefault="00C13202" w:rsidP="00EE112C">
            <w:pPr>
              <w:pStyle w:val="TableParagraph"/>
              <w:spacing w:before="7"/>
              <w:ind w:left="326" w:right="451" w:firstLine="4"/>
              <w:rPr>
                <w:lang w:val="sr-Latn-ME"/>
              </w:rPr>
            </w:pPr>
            <w:r w:rsidRPr="00FB6F73">
              <w:rPr>
                <w:lang w:val="sr-Latn-ME"/>
              </w:rPr>
              <w:t>Stomatitis</w:t>
            </w:r>
          </w:p>
          <w:p w14:paraId="76FEA7D7" w14:textId="77777777" w:rsidR="004C492F" w:rsidRPr="00FB6F73" w:rsidRDefault="00C13202" w:rsidP="00EE112C">
            <w:pPr>
              <w:pStyle w:val="TableParagraph"/>
              <w:spacing w:before="1"/>
              <w:ind w:left="326" w:right="142" w:firstLine="4"/>
              <w:rPr>
                <w:lang w:val="sr-Latn-ME"/>
              </w:rPr>
            </w:pPr>
            <w:r w:rsidRPr="00FB6F73">
              <w:rPr>
                <w:lang w:val="sr-Latn-ME"/>
              </w:rPr>
              <w:t>Bol u stomaku</w:t>
            </w:r>
          </w:p>
          <w:p w14:paraId="35468B29" w14:textId="77777777" w:rsidR="004C492F" w:rsidRPr="00FB6F73" w:rsidRDefault="00C13202" w:rsidP="00EE112C">
            <w:pPr>
              <w:pStyle w:val="TableParagraph"/>
              <w:spacing w:before="1"/>
              <w:ind w:left="326" w:right="142" w:firstLine="4"/>
              <w:rPr>
                <w:lang w:val="sr-Latn-ME"/>
              </w:rPr>
            </w:pPr>
            <w:r w:rsidRPr="00FB6F73">
              <w:rPr>
                <w:lang w:val="sr-Latn-ME"/>
              </w:rPr>
              <w:t xml:space="preserve"> Dispepsija </w:t>
            </w:r>
          </w:p>
          <w:p w14:paraId="1F5BFFBD" w14:textId="2279C9FC" w:rsidR="00C13202" w:rsidRPr="00FB6F73" w:rsidRDefault="00C13202" w:rsidP="00EE112C">
            <w:pPr>
              <w:pStyle w:val="TableParagraph"/>
              <w:spacing w:before="1"/>
              <w:ind w:left="326" w:right="142" w:firstLine="4"/>
              <w:rPr>
                <w:lang w:val="sr-Latn-ME"/>
              </w:rPr>
            </w:pPr>
            <w:r w:rsidRPr="00FB6F73">
              <w:rPr>
                <w:lang w:val="sr-Latn-ME"/>
              </w:rPr>
              <w:t>Flatulencija</w:t>
            </w:r>
          </w:p>
        </w:tc>
        <w:tc>
          <w:tcPr>
            <w:tcW w:w="992" w:type="dxa"/>
          </w:tcPr>
          <w:p w14:paraId="276EC935" w14:textId="77777777" w:rsidR="00C13202" w:rsidRPr="00FB6F73" w:rsidRDefault="00C13202" w:rsidP="00917054">
            <w:pPr>
              <w:pStyle w:val="TableParagraph"/>
              <w:jc w:val="center"/>
              <w:rPr>
                <w:lang w:val="sr-Latn-ME"/>
              </w:rPr>
            </w:pPr>
          </w:p>
          <w:p w14:paraId="6029BE09" w14:textId="77777777" w:rsidR="00C13202" w:rsidRPr="00FB6F73" w:rsidRDefault="00C13202" w:rsidP="00917054">
            <w:pPr>
              <w:pStyle w:val="TableParagraph"/>
              <w:spacing w:before="5"/>
              <w:jc w:val="center"/>
              <w:rPr>
                <w:lang w:val="sr-Latn-ME"/>
              </w:rPr>
            </w:pPr>
          </w:p>
          <w:p w14:paraId="3C6C398F" w14:textId="77777777" w:rsidR="00C13202" w:rsidRPr="00FB6F73" w:rsidRDefault="00C13202" w:rsidP="005C1819">
            <w:pPr>
              <w:pStyle w:val="TableParagraph"/>
              <w:ind w:left="359" w:right="359"/>
              <w:jc w:val="center"/>
              <w:rPr>
                <w:lang w:val="sr-Latn-ME"/>
              </w:rPr>
            </w:pPr>
            <w:r w:rsidRPr="00FB6F73">
              <w:rPr>
                <w:lang w:val="sr-Latn-ME"/>
              </w:rPr>
              <w:t>54</w:t>
            </w:r>
          </w:p>
          <w:p w14:paraId="1EE8F812" w14:textId="77777777" w:rsidR="00C13202" w:rsidRPr="00FB6F73" w:rsidRDefault="00C13202">
            <w:pPr>
              <w:pStyle w:val="TableParagraph"/>
              <w:spacing w:line="251" w:lineRule="exact"/>
              <w:ind w:left="359" w:right="359"/>
              <w:jc w:val="center"/>
              <w:rPr>
                <w:lang w:val="sr-Latn-ME"/>
              </w:rPr>
            </w:pPr>
            <w:r w:rsidRPr="00FB6F73">
              <w:rPr>
                <w:lang w:val="sr-Latn-ME"/>
              </w:rPr>
              <w:t>33</w:t>
            </w:r>
          </w:p>
          <w:p w14:paraId="6A818B33" w14:textId="77777777" w:rsidR="00C13202" w:rsidRPr="00FB6F73" w:rsidRDefault="00C13202">
            <w:pPr>
              <w:pStyle w:val="TableParagraph"/>
              <w:spacing w:line="251" w:lineRule="exact"/>
              <w:ind w:left="359" w:right="359"/>
              <w:jc w:val="center"/>
              <w:rPr>
                <w:lang w:val="sr-Latn-ME"/>
              </w:rPr>
            </w:pPr>
            <w:r w:rsidRPr="00FB6F73">
              <w:rPr>
                <w:lang w:val="sr-Latn-ME"/>
              </w:rPr>
              <w:t>23</w:t>
            </w:r>
          </w:p>
          <w:p w14:paraId="06C61A5E" w14:textId="77777777" w:rsidR="00C13202" w:rsidRPr="00FB6F73" w:rsidRDefault="00C13202">
            <w:pPr>
              <w:pStyle w:val="TableParagraph"/>
              <w:spacing w:before="2"/>
              <w:ind w:left="359" w:right="359"/>
              <w:jc w:val="center"/>
              <w:rPr>
                <w:lang w:val="sr-Latn-ME"/>
              </w:rPr>
            </w:pPr>
            <w:r w:rsidRPr="00FB6F73">
              <w:rPr>
                <w:lang w:val="sr-Latn-ME"/>
              </w:rPr>
              <w:t>17</w:t>
            </w:r>
          </w:p>
          <w:p w14:paraId="78EE3EC5" w14:textId="77777777" w:rsidR="00C13202" w:rsidRPr="00FB6F73" w:rsidRDefault="00C13202">
            <w:pPr>
              <w:pStyle w:val="TableParagraph"/>
              <w:spacing w:before="1" w:line="251" w:lineRule="exact"/>
              <w:ind w:left="359" w:right="359"/>
              <w:jc w:val="center"/>
              <w:rPr>
                <w:lang w:val="sr-Latn-ME"/>
              </w:rPr>
            </w:pPr>
            <w:r w:rsidRPr="00FB6F73">
              <w:rPr>
                <w:lang w:val="sr-Latn-ME"/>
              </w:rPr>
              <w:t>11</w:t>
            </w:r>
          </w:p>
          <w:p w14:paraId="66EAF55D" w14:textId="77777777" w:rsidR="00C13202" w:rsidRPr="00FB6F73" w:rsidRDefault="00C13202">
            <w:pPr>
              <w:pStyle w:val="TableParagraph"/>
              <w:spacing w:line="251" w:lineRule="exact"/>
              <w:ind w:right="1"/>
              <w:jc w:val="center"/>
              <w:rPr>
                <w:lang w:val="sr-Latn-ME"/>
              </w:rPr>
            </w:pPr>
            <w:r w:rsidRPr="00FB6F73">
              <w:rPr>
                <w:lang w:val="sr-Latn-ME"/>
              </w:rPr>
              <w:t>-</w:t>
            </w:r>
          </w:p>
          <w:p w14:paraId="5ED3DCE8" w14:textId="77777777" w:rsidR="00C13202" w:rsidRPr="00FB6F73" w:rsidRDefault="00C13202">
            <w:pPr>
              <w:pStyle w:val="TableParagraph"/>
              <w:spacing w:before="1"/>
              <w:ind w:right="1"/>
              <w:jc w:val="center"/>
              <w:rPr>
                <w:lang w:val="sr-Latn-ME"/>
              </w:rPr>
            </w:pPr>
            <w:r w:rsidRPr="00FB6F73">
              <w:rPr>
                <w:lang w:val="sr-Latn-ME"/>
              </w:rPr>
              <w:t>-</w:t>
            </w:r>
          </w:p>
        </w:tc>
        <w:tc>
          <w:tcPr>
            <w:tcW w:w="851" w:type="dxa"/>
          </w:tcPr>
          <w:p w14:paraId="00CE8E3F" w14:textId="77777777" w:rsidR="00C13202" w:rsidRPr="00FB6F73" w:rsidRDefault="00C13202" w:rsidP="00917054">
            <w:pPr>
              <w:pStyle w:val="TableParagraph"/>
              <w:jc w:val="center"/>
              <w:rPr>
                <w:lang w:val="sr-Latn-ME"/>
              </w:rPr>
            </w:pPr>
          </w:p>
          <w:p w14:paraId="0F33B1D3" w14:textId="77777777" w:rsidR="00C13202" w:rsidRPr="00FB6F73" w:rsidRDefault="00C13202" w:rsidP="00917054">
            <w:pPr>
              <w:pStyle w:val="TableParagraph"/>
              <w:spacing w:before="5"/>
              <w:jc w:val="center"/>
              <w:rPr>
                <w:lang w:val="sr-Latn-ME"/>
              </w:rPr>
            </w:pPr>
          </w:p>
          <w:p w14:paraId="4D39A233" w14:textId="77777777" w:rsidR="00C13202" w:rsidRPr="00FB6F73" w:rsidRDefault="00C13202" w:rsidP="005C1819">
            <w:pPr>
              <w:pStyle w:val="TableParagraph"/>
              <w:jc w:val="center"/>
              <w:rPr>
                <w:lang w:val="sr-Latn-ME"/>
              </w:rPr>
            </w:pPr>
            <w:r w:rsidRPr="00FB6F73">
              <w:rPr>
                <w:lang w:val="sr-Latn-ME"/>
              </w:rPr>
              <w:t>6</w:t>
            </w:r>
          </w:p>
          <w:p w14:paraId="37106CDC" w14:textId="77777777" w:rsidR="00C13202" w:rsidRPr="00FB6F73" w:rsidRDefault="00C13202">
            <w:pPr>
              <w:pStyle w:val="TableParagraph"/>
              <w:spacing w:line="251" w:lineRule="exact"/>
              <w:jc w:val="center"/>
              <w:rPr>
                <w:lang w:val="sr-Latn-ME"/>
              </w:rPr>
            </w:pPr>
            <w:r w:rsidRPr="00FB6F73">
              <w:rPr>
                <w:lang w:val="sr-Latn-ME"/>
              </w:rPr>
              <w:t>3</w:t>
            </w:r>
          </w:p>
          <w:p w14:paraId="0C2D0C7E" w14:textId="77777777" w:rsidR="00C13202" w:rsidRPr="00FB6F73" w:rsidRDefault="00C13202">
            <w:pPr>
              <w:pStyle w:val="TableParagraph"/>
              <w:spacing w:line="251" w:lineRule="exact"/>
              <w:jc w:val="center"/>
              <w:rPr>
                <w:lang w:val="sr-Latn-ME"/>
              </w:rPr>
            </w:pPr>
            <w:r w:rsidRPr="00FB6F73">
              <w:rPr>
                <w:lang w:val="sr-Latn-ME"/>
              </w:rPr>
              <w:t>2</w:t>
            </w:r>
          </w:p>
          <w:p w14:paraId="3744E5B6" w14:textId="77777777" w:rsidR="00C13202" w:rsidRPr="00FB6F73" w:rsidRDefault="00C13202">
            <w:pPr>
              <w:pStyle w:val="TableParagraph"/>
              <w:spacing w:before="2"/>
              <w:ind w:left="282" w:right="282"/>
              <w:jc w:val="center"/>
              <w:rPr>
                <w:lang w:val="sr-Latn-ME"/>
              </w:rPr>
            </w:pPr>
            <w:r w:rsidRPr="00FB6F73">
              <w:rPr>
                <w:lang w:val="sr-Latn-ME"/>
              </w:rPr>
              <w:t>&lt;1</w:t>
            </w:r>
          </w:p>
          <w:p w14:paraId="692D49D6" w14:textId="77777777" w:rsidR="00C13202" w:rsidRPr="00FB6F73" w:rsidRDefault="00C13202">
            <w:pPr>
              <w:pStyle w:val="TableParagraph"/>
              <w:spacing w:before="1" w:line="251" w:lineRule="exact"/>
              <w:jc w:val="center"/>
              <w:rPr>
                <w:lang w:val="sr-Latn-ME"/>
              </w:rPr>
            </w:pPr>
            <w:r w:rsidRPr="00FB6F73">
              <w:rPr>
                <w:lang w:val="sr-Latn-ME"/>
              </w:rPr>
              <w:t>2</w:t>
            </w:r>
          </w:p>
          <w:p w14:paraId="097684F7" w14:textId="77777777" w:rsidR="00C13202" w:rsidRPr="00FB6F73" w:rsidRDefault="00C13202">
            <w:pPr>
              <w:pStyle w:val="TableParagraph"/>
              <w:spacing w:line="251" w:lineRule="exact"/>
              <w:ind w:left="1"/>
              <w:jc w:val="center"/>
              <w:rPr>
                <w:lang w:val="sr-Latn-ME"/>
              </w:rPr>
            </w:pPr>
            <w:r w:rsidRPr="00FB6F73">
              <w:rPr>
                <w:lang w:val="sr-Latn-ME"/>
              </w:rPr>
              <w:t>-</w:t>
            </w:r>
          </w:p>
          <w:p w14:paraId="22D7B2A0" w14:textId="77777777" w:rsidR="00C13202" w:rsidRPr="00FB6F73" w:rsidRDefault="00C13202">
            <w:pPr>
              <w:pStyle w:val="TableParagraph"/>
              <w:spacing w:before="1"/>
              <w:ind w:left="1"/>
              <w:jc w:val="center"/>
              <w:rPr>
                <w:lang w:val="sr-Latn-ME"/>
              </w:rPr>
            </w:pPr>
            <w:r w:rsidRPr="00FB6F73">
              <w:rPr>
                <w:lang w:val="sr-Latn-ME"/>
              </w:rPr>
              <w:t>-</w:t>
            </w:r>
          </w:p>
        </w:tc>
        <w:tc>
          <w:tcPr>
            <w:tcW w:w="850" w:type="dxa"/>
          </w:tcPr>
          <w:p w14:paraId="47EC751F" w14:textId="77777777" w:rsidR="00C13202" w:rsidRPr="00FB6F73" w:rsidRDefault="00C13202" w:rsidP="00917054">
            <w:pPr>
              <w:pStyle w:val="TableParagraph"/>
              <w:jc w:val="center"/>
              <w:rPr>
                <w:lang w:val="sr-Latn-ME"/>
              </w:rPr>
            </w:pPr>
          </w:p>
          <w:p w14:paraId="55560DA9" w14:textId="77777777" w:rsidR="00C13202" w:rsidRPr="00FB6F73" w:rsidRDefault="00C13202" w:rsidP="00917054">
            <w:pPr>
              <w:pStyle w:val="TableParagraph"/>
              <w:spacing w:before="5"/>
              <w:jc w:val="center"/>
              <w:rPr>
                <w:lang w:val="sr-Latn-ME"/>
              </w:rPr>
            </w:pPr>
          </w:p>
          <w:p w14:paraId="6156FFB5" w14:textId="2A29E723" w:rsidR="00C13202" w:rsidRPr="00FB6F73" w:rsidRDefault="00C13202" w:rsidP="00917054">
            <w:pPr>
              <w:pStyle w:val="TableParagraph"/>
              <w:ind w:right="354"/>
              <w:jc w:val="center"/>
              <w:rPr>
                <w:lang w:val="sr-Latn-ME"/>
              </w:rPr>
            </w:pPr>
            <w:r w:rsidRPr="00FB6F73">
              <w:rPr>
                <w:lang w:val="sr-Latn-ME"/>
              </w:rPr>
              <w:t>&lt;</w:t>
            </w:r>
            <w:r w:rsidR="00702670" w:rsidRPr="00FB6F73">
              <w:rPr>
                <w:lang w:val="sr-Latn-ME"/>
              </w:rPr>
              <w:t>1</w:t>
            </w:r>
          </w:p>
          <w:p w14:paraId="619CB17F" w14:textId="77777777" w:rsidR="00C13202" w:rsidRPr="00FB6F73" w:rsidRDefault="00C13202" w:rsidP="005C1819">
            <w:pPr>
              <w:pStyle w:val="TableParagraph"/>
              <w:spacing w:line="251" w:lineRule="exact"/>
              <w:jc w:val="center"/>
              <w:rPr>
                <w:lang w:val="sr-Latn-ME"/>
              </w:rPr>
            </w:pPr>
            <w:r w:rsidRPr="00FB6F73">
              <w:rPr>
                <w:lang w:val="sr-Latn-ME"/>
              </w:rPr>
              <w:t>0</w:t>
            </w:r>
          </w:p>
          <w:p w14:paraId="535240CF" w14:textId="020FA346" w:rsidR="00C13202" w:rsidRPr="00FB6F73" w:rsidRDefault="00702670" w:rsidP="00917054">
            <w:pPr>
              <w:pStyle w:val="TableParagraph"/>
              <w:spacing w:line="251" w:lineRule="exact"/>
              <w:ind w:right="354"/>
              <w:jc w:val="center"/>
              <w:rPr>
                <w:lang w:val="sr-Latn-ME"/>
              </w:rPr>
            </w:pPr>
            <w:r w:rsidRPr="00FB6F73">
              <w:rPr>
                <w:lang w:val="sr-Latn-ME"/>
              </w:rPr>
              <w:t>&lt;1</w:t>
            </w:r>
          </w:p>
          <w:p w14:paraId="158D1FB7" w14:textId="3793B295" w:rsidR="00C13202" w:rsidRPr="00FB6F73" w:rsidRDefault="00FE7A7A" w:rsidP="005C1819">
            <w:pPr>
              <w:pStyle w:val="TableParagraph"/>
              <w:spacing w:before="2"/>
              <w:jc w:val="center"/>
              <w:rPr>
                <w:lang w:val="sr-Latn-ME"/>
              </w:rPr>
            </w:pPr>
            <w:r w:rsidRPr="00FB6F73">
              <w:rPr>
                <w:lang w:val="sr-Latn-ME"/>
              </w:rPr>
              <w:t>0</w:t>
            </w:r>
          </w:p>
          <w:p w14:paraId="62067324" w14:textId="29152F92" w:rsidR="00C13202" w:rsidRPr="00FB6F73" w:rsidRDefault="00702670" w:rsidP="00917054">
            <w:pPr>
              <w:pStyle w:val="TableParagraph"/>
              <w:spacing w:before="1" w:line="251" w:lineRule="exact"/>
              <w:ind w:right="354"/>
              <w:jc w:val="center"/>
              <w:rPr>
                <w:lang w:val="sr-Latn-ME"/>
              </w:rPr>
            </w:pPr>
            <w:r w:rsidRPr="00FB6F73">
              <w:rPr>
                <w:lang w:val="sr-Latn-ME"/>
              </w:rPr>
              <w:t>&lt;1</w:t>
            </w:r>
          </w:p>
          <w:p w14:paraId="2C7C06BE" w14:textId="77777777" w:rsidR="00C13202" w:rsidRPr="00FB6F73" w:rsidRDefault="00C13202" w:rsidP="005C1819">
            <w:pPr>
              <w:pStyle w:val="TableParagraph"/>
              <w:spacing w:line="251" w:lineRule="exact"/>
              <w:ind w:left="1"/>
              <w:jc w:val="center"/>
              <w:rPr>
                <w:lang w:val="sr-Latn-ME"/>
              </w:rPr>
            </w:pPr>
            <w:r w:rsidRPr="00FB6F73">
              <w:rPr>
                <w:lang w:val="sr-Latn-ME"/>
              </w:rPr>
              <w:t>-</w:t>
            </w:r>
          </w:p>
          <w:p w14:paraId="2D1B789F" w14:textId="77777777" w:rsidR="00C13202" w:rsidRPr="00FB6F73" w:rsidRDefault="00C13202">
            <w:pPr>
              <w:pStyle w:val="TableParagraph"/>
              <w:spacing w:before="1"/>
              <w:ind w:left="1"/>
              <w:jc w:val="center"/>
              <w:rPr>
                <w:lang w:val="sr-Latn-ME"/>
              </w:rPr>
            </w:pPr>
            <w:r w:rsidRPr="00FB6F73">
              <w:rPr>
                <w:lang w:val="sr-Latn-ME"/>
              </w:rPr>
              <w:t>-</w:t>
            </w:r>
          </w:p>
        </w:tc>
        <w:tc>
          <w:tcPr>
            <w:tcW w:w="992" w:type="dxa"/>
          </w:tcPr>
          <w:p w14:paraId="11EF3E30" w14:textId="77777777" w:rsidR="00C13202" w:rsidRPr="00FB6F73" w:rsidRDefault="00C13202" w:rsidP="00917054">
            <w:pPr>
              <w:pStyle w:val="TableParagraph"/>
              <w:jc w:val="center"/>
              <w:rPr>
                <w:lang w:val="sr-Latn-ME"/>
              </w:rPr>
            </w:pPr>
          </w:p>
          <w:p w14:paraId="2231636C" w14:textId="77777777" w:rsidR="00C13202" w:rsidRPr="00FB6F73" w:rsidRDefault="00C13202" w:rsidP="00917054">
            <w:pPr>
              <w:pStyle w:val="TableParagraph"/>
              <w:spacing w:before="5"/>
              <w:jc w:val="center"/>
              <w:rPr>
                <w:lang w:val="sr-Latn-ME"/>
              </w:rPr>
            </w:pPr>
          </w:p>
          <w:p w14:paraId="5BBFF19C" w14:textId="77777777" w:rsidR="00C13202" w:rsidRPr="00FB6F73" w:rsidRDefault="00C13202" w:rsidP="005C1819">
            <w:pPr>
              <w:pStyle w:val="TableParagraph"/>
              <w:ind w:left="297" w:right="297"/>
              <w:jc w:val="center"/>
              <w:rPr>
                <w:lang w:val="sr-Latn-ME"/>
              </w:rPr>
            </w:pPr>
            <w:r w:rsidRPr="00FB6F73">
              <w:rPr>
                <w:lang w:val="sr-Latn-ME"/>
              </w:rPr>
              <w:t>48</w:t>
            </w:r>
          </w:p>
          <w:p w14:paraId="6DA4E388" w14:textId="77777777" w:rsidR="00C13202" w:rsidRPr="00FB6F73" w:rsidRDefault="00C13202">
            <w:pPr>
              <w:pStyle w:val="TableParagraph"/>
              <w:spacing w:line="251" w:lineRule="exact"/>
              <w:ind w:left="6"/>
              <w:jc w:val="center"/>
              <w:rPr>
                <w:lang w:val="sr-Latn-ME"/>
              </w:rPr>
            </w:pPr>
            <w:r w:rsidRPr="00FB6F73">
              <w:rPr>
                <w:lang w:val="sr-Latn-ME"/>
              </w:rPr>
              <w:t>-</w:t>
            </w:r>
          </w:p>
          <w:p w14:paraId="69B9CDE4" w14:textId="77777777" w:rsidR="00C13202" w:rsidRPr="00FB6F73" w:rsidRDefault="00C13202">
            <w:pPr>
              <w:pStyle w:val="TableParagraph"/>
              <w:ind w:left="316" w:right="314" w:firstLine="6"/>
              <w:jc w:val="center"/>
              <w:rPr>
                <w:lang w:val="sr-Latn-ME"/>
              </w:rPr>
            </w:pPr>
            <w:r w:rsidRPr="00FB6F73">
              <w:rPr>
                <w:lang w:val="sr-Latn-ME"/>
              </w:rPr>
              <w:t>- 22</w:t>
            </w:r>
          </w:p>
          <w:p w14:paraId="181C9CD7" w14:textId="77777777" w:rsidR="00C13202" w:rsidRPr="00FB6F73" w:rsidRDefault="00C13202">
            <w:pPr>
              <w:pStyle w:val="TableParagraph"/>
              <w:spacing w:before="9" w:line="250" w:lineRule="exact"/>
              <w:ind w:left="316" w:right="314" w:firstLine="6"/>
              <w:jc w:val="center"/>
              <w:rPr>
                <w:lang w:val="sr-Latn-ME"/>
              </w:rPr>
            </w:pPr>
            <w:r w:rsidRPr="00FB6F73">
              <w:rPr>
                <w:lang w:val="sr-Latn-ME"/>
              </w:rPr>
              <w:t>- 17</w:t>
            </w:r>
          </w:p>
          <w:p w14:paraId="1CB9A4FF" w14:textId="77777777" w:rsidR="00C13202" w:rsidRPr="00FB6F73" w:rsidRDefault="00C13202">
            <w:pPr>
              <w:pStyle w:val="TableParagraph"/>
              <w:spacing w:line="252" w:lineRule="exact"/>
              <w:ind w:left="297" w:right="297"/>
              <w:jc w:val="center"/>
              <w:rPr>
                <w:lang w:val="sr-Latn-ME"/>
              </w:rPr>
            </w:pPr>
            <w:r w:rsidRPr="00FB6F73">
              <w:rPr>
                <w:lang w:val="sr-Latn-ME"/>
              </w:rPr>
              <w:t>13</w:t>
            </w:r>
          </w:p>
        </w:tc>
        <w:tc>
          <w:tcPr>
            <w:tcW w:w="851" w:type="dxa"/>
          </w:tcPr>
          <w:p w14:paraId="18FB89A7" w14:textId="77777777" w:rsidR="00C13202" w:rsidRPr="00FB6F73" w:rsidRDefault="00C13202" w:rsidP="00917054">
            <w:pPr>
              <w:pStyle w:val="TableParagraph"/>
              <w:jc w:val="center"/>
              <w:rPr>
                <w:lang w:val="sr-Latn-ME"/>
              </w:rPr>
            </w:pPr>
          </w:p>
          <w:p w14:paraId="04DC9C4B" w14:textId="77777777" w:rsidR="00C13202" w:rsidRPr="00FB6F73" w:rsidRDefault="00C13202" w:rsidP="00917054">
            <w:pPr>
              <w:pStyle w:val="TableParagraph"/>
              <w:spacing w:before="5"/>
              <w:jc w:val="center"/>
              <w:rPr>
                <w:lang w:val="sr-Latn-ME"/>
              </w:rPr>
            </w:pPr>
          </w:p>
          <w:p w14:paraId="1E64ADCF" w14:textId="77777777" w:rsidR="00C13202" w:rsidRPr="00FB6F73" w:rsidRDefault="00C13202" w:rsidP="005C1819">
            <w:pPr>
              <w:pStyle w:val="TableParagraph"/>
              <w:jc w:val="center"/>
              <w:rPr>
                <w:lang w:val="sr-Latn-ME"/>
              </w:rPr>
            </w:pPr>
            <w:r w:rsidRPr="00FB6F73">
              <w:rPr>
                <w:lang w:val="sr-Latn-ME"/>
              </w:rPr>
              <w:t>5</w:t>
            </w:r>
          </w:p>
          <w:p w14:paraId="176C9965" w14:textId="77777777" w:rsidR="00C13202" w:rsidRPr="00FB6F73" w:rsidRDefault="00C13202">
            <w:pPr>
              <w:pStyle w:val="TableParagraph"/>
              <w:spacing w:line="251" w:lineRule="exact"/>
              <w:ind w:left="1"/>
              <w:jc w:val="center"/>
              <w:rPr>
                <w:lang w:val="sr-Latn-ME"/>
              </w:rPr>
            </w:pPr>
            <w:r w:rsidRPr="00FB6F73">
              <w:rPr>
                <w:lang w:val="sr-Latn-ME"/>
              </w:rPr>
              <w:t>-</w:t>
            </w:r>
          </w:p>
          <w:p w14:paraId="3C457E33" w14:textId="77777777" w:rsidR="00C13202" w:rsidRPr="00FB6F73" w:rsidRDefault="00C13202">
            <w:pPr>
              <w:pStyle w:val="TableParagraph"/>
              <w:spacing w:line="251" w:lineRule="exact"/>
              <w:ind w:left="1"/>
              <w:jc w:val="center"/>
              <w:rPr>
                <w:lang w:val="sr-Latn-ME"/>
              </w:rPr>
            </w:pPr>
            <w:r w:rsidRPr="00FB6F73">
              <w:rPr>
                <w:lang w:val="sr-Latn-ME"/>
              </w:rPr>
              <w:t>-</w:t>
            </w:r>
          </w:p>
          <w:p w14:paraId="51074172" w14:textId="77777777" w:rsidR="00C13202" w:rsidRPr="00FB6F73" w:rsidRDefault="00C13202">
            <w:pPr>
              <w:pStyle w:val="TableParagraph"/>
              <w:spacing w:before="2"/>
              <w:ind w:left="282" w:right="282"/>
              <w:jc w:val="center"/>
              <w:rPr>
                <w:lang w:val="sr-Latn-ME"/>
              </w:rPr>
            </w:pPr>
            <w:r w:rsidRPr="00FB6F73">
              <w:rPr>
                <w:lang w:val="sr-Latn-ME"/>
              </w:rPr>
              <w:t>&lt;1</w:t>
            </w:r>
          </w:p>
          <w:p w14:paraId="1E6680DE" w14:textId="77777777" w:rsidR="00C13202" w:rsidRPr="00FB6F73" w:rsidRDefault="00C13202">
            <w:pPr>
              <w:pStyle w:val="TableParagraph"/>
              <w:spacing w:before="1" w:line="251" w:lineRule="exact"/>
              <w:ind w:left="1"/>
              <w:jc w:val="center"/>
              <w:rPr>
                <w:lang w:val="sr-Latn-ME"/>
              </w:rPr>
            </w:pPr>
            <w:r w:rsidRPr="00FB6F73">
              <w:rPr>
                <w:lang w:val="sr-Latn-ME"/>
              </w:rPr>
              <w:t>-</w:t>
            </w:r>
          </w:p>
          <w:p w14:paraId="5D6A7EF1" w14:textId="77777777" w:rsidR="00C13202" w:rsidRPr="00FB6F73" w:rsidRDefault="00C13202">
            <w:pPr>
              <w:pStyle w:val="TableParagraph"/>
              <w:spacing w:line="251" w:lineRule="exact"/>
              <w:ind w:left="282" w:right="282"/>
              <w:jc w:val="center"/>
              <w:rPr>
                <w:lang w:val="sr-Latn-ME"/>
              </w:rPr>
            </w:pPr>
            <w:r w:rsidRPr="00FB6F73">
              <w:rPr>
                <w:lang w:val="sr-Latn-ME"/>
              </w:rPr>
              <w:t>&lt;1</w:t>
            </w:r>
          </w:p>
          <w:p w14:paraId="5994C987" w14:textId="77777777" w:rsidR="00C13202" w:rsidRPr="00FB6F73" w:rsidRDefault="00C13202">
            <w:pPr>
              <w:pStyle w:val="TableParagraph"/>
              <w:spacing w:before="1"/>
              <w:jc w:val="center"/>
              <w:rPr>
                <w:lang w:val="sr-Latn-ME"/>
              </w:rPr>
            </w:pPr>
            <w:r w:rsidRPr="00FB6F73">
              <w:rPr>
                <w:lang w:val="sr-Latn-ME"/>
              </w:rPr>
              <w:t>0</w:t>
            </w:r>
          </w:p>
        </w:tc>
        <w:tc>
          <w:tcPr>
            <w:tcW w:w="992" w:type="dxa"/>
          </w:tcPr>
          <w:p w14:paraId="3C04220D" w14:textId="77777777" w:rsidR="00C13202" w:rsidRPr="00FB6F73" w:rsidRDefault="00C13202" w:rsidP="00917054">
            <w:pPr>
              <w:pStyle w:val="TableParagraph"/>
              <w:jc w:val="center"/>
              <w:rPr>
                <w:lang w:val="sr-Latn-ME"/>
              </w:rPr>
            </w:pPr>
          </w:p>
          <w:p w14:paraId="059B16AE" w14:textId="77777777" w:rsidR="00C13202" w:rsidRPr="00FB6F73" w:rsidRDefault="00C13202" w:rsidP="00917054">
            <w:pPr>
              <w:pStyle w:val="TableParagraph"/>
              <w:spacing w:before="5"/>
              <w:jc w:val="center"/>
              <w:rPr>
                <w:lang w:val="sr-Latn-ME"/>
              </w:rPr>
            </w:pPr>
          </w:p>
          <w:p w14:paraId="29C1CF67" w14:textId="77777777" w:rsidR="00C13202" w:rsidRPr="00FB6F73" w:rsidRDefault="00C13202" w:rsidP="005C1819">
            <w:pPr>
              <w:pStyle w:val="TableParagraph"/>
              <w:ind w:left="354" w:right="354"/>
              <w:jc w:val="center"/>
              <w:rPr>
                <w:lang w:val="sr-Latn-ME"/>
              </w:rPr>
            </w:pPr>
            <w:r w:rsidRPr="00FB6F73">
              <w:rPr>
                <w:lang w:val="sr-Latn-ME"/>
              </w:rPr>
              <w:t>&lt;1</w:t>
            </w:r>
          </w:p>
          <w:p w14:paraId="0B3E731F" w14:textId="77777777" w:rsidR="00C13202" w:rsidRPr="00FB6F73" w:rsidRDefault="00C13202">
            <w:pPr>
              <w:pStyle w:val="TableParagraph"/>
              <w:spacing w:line="251" w:lineRule="exact"/>
              <w:ind w:left="1"/>
              <w:jc w:val="center"/>
              <w:rPr>
                <w:lang w:val="sr-Latn-ME"/>
              </w:rPr>
            </w:pPr>
            <w:r w:rsidRPr="00FB6F73">
              <w:rPr>
                <w:lang w:val="sr-Latn-ME"/>
              </w:rPr>
              <w:t>-</w:t>
            </w:r>
          </w:p>
          <w:p w14:paraId="75D3116C" w14:textId="77777777" w:rsidR="00C13202" w:rsidRPr="00FB6F73" w:rsidRDefault="00C13202">
            <w:pPr>
              <w:pStyle w:val="TableParagraph"/>
              <w:ind w:left="436" w:right="434" w:firstLine="1"/>
              <w:jc w:val="center"/>
              <w:rPr>
                <w:lang w:val="sr-Latn-ME"/>
              </w:rPr>
            </w:pPr>
            <w:r w:rsidRPr="00FB6F73">
              <w:rPr>
                <w:lang w:val="sr-Latn-ME"/>
              </w:rPr>
              <w:t>- 0</w:t>
            </w:r>
          </w:p>
          <w:p w14:paraId="3D506009" w14:textId="77777777" w:rsidR="00C13202" w:rsidRPr="00FB6F73" w:rsidRDefault="00C13202">
            <w:pPr>
              <w:pStyle w:val="TableParagraph"/>
              <w:spacing w:before="9" w:line="250" w:lineRule="exact"/>
              <w:ind w:left="436" w:right="434" w:firstLine="1"/>
              <w:jc w:val="center"/>
              <w:rPr>
                <w:lang w:val="sr-Latn-ME"/>
              </w:rPr>
            </w:pPr>
            <w:r w:rsidRPr="00FB6F73">
              <w:rPr>
                <w:lang w:val="sr-Latn-ME"/>
              </w:rPr>
              <w:t>- 0</w:t>
            </w:r>
          </w:p>
          <w:p w14:paraId="4F81003A" w14:textId="77777777" w:rsidR="00C13202" w:rsidRPr="00FB6F73" w:rsidRDefault="00C13202">
            <w:pPr>
              <w:pStyle w:val="TableParagraph"/>
              <w:spacing w:line="252" w:lineRule="exact"/>
              <w:jc w:val="center"/>
              <w:rPr>
                <w:lang w:val="sr-Latn-ME"/>
              </w:rPr>
            </w:pPr>
            <w:r w:rsidRPr="00FB6F73">
              <w:rPr>
                <w:lang w:val="sr-Latn-ME"/>
              </w:rPr>
              <w:t>0</w:t>
            </w:r>
          </w:p>
        </w:tc>
        <w:tc>
          <w:tcPr>
            <w:tcW w:w="1701" w:type="dxa"/>
          </w:tcPr>
          <w:p w14:paraId="22F28B70" w14:textId="77777777" w:rsidR="00C13202" w:rsidRPr="00FB6F73" w:rsidRDefault="00C13202" w:rsidP="00EE112C">
            <w:pPr>
              <w:pStyle w:val="TableParagraph"/>
              <w:rPr>
                <w:lang w:val="sr-Latn-ME"/>
              </w:rPr>
            </w:pPr>
          </w:p>
          <w:p w14:paraId="4DDBFD69" w14:textId="77777777" w:rsidR="00C13202" w:rsidRPr="00FB6F73" w:rsidRDefault="00C13202" w:rsidP="00EE112C">
            <w:pPr>
              <w:pStyle w:val="TableParagraph"/>
              <w:spacing w:before="5"/>
              <w:rPr>
                <w:lang w:val="sr-Latn-ME"/>
              </w:rPr>
            </w:pPr>
          </w:p>
          <w:p w14:paraId="0B95880E" w14:textId="77777777" w:rsidR="00C13202" w:rsidRPr="00FB6F73" w:rsidRDefault="00C13202" w:rsidP="00EE112C">
            <w:pPr>
              <w:pStyle w:val="TableParagraph"/>
              <w:ind w:left="417" w:right="420"/>
              <w:jc w:val="both"/>
              <w:rPr>
                <w:lang w:val="sr-Latn-ME"/>
              </w:rPr>
            </w:pPr>
            <w:r w:rsidRPr="00FB6F73">
              <w:rPr>
                <w:lang w:val="sr-Latn-ME"/>
              </w:rPr>
              <w:t>veoma često veoma često veoma često veoma često veoma često veoma često veoma često</w:t>
            </w:r>
          </w:p>
        </w:tc>
      </w:tr>
      <w:tr w:rsidR="000656D0" w:rsidRPr="00FB6F73" w14:paraId="2B31F0A8" w14:textId="77777777" w:rsidTr="00FB6F73">
        <w:trPr>
          <w:trHeight w:hRule="exact" w:val="1781"/>
        </w:trPr>
        <w:tc>
          <w:tcPr>
            <w:tcW w:w="2836" w:type="dxa"/>
          </w:tcPr>
          <w:p w14:paraId="16415982" w14:textId="77777777" w:rsidR="00C13202" w:rsidRPr="00FB6F73" w:rsidRDefault="00C13202" w:rsidP="00EE112C">
            <w:pPr>
              <w:pStyle w:val="TableParagraph"/>
              <w:spacing w:line="242" w:lineRule="auto"/>
              <w:ind w:left="105" w:right="665"/>
              <w:rPr>
                <w:i/>
                <w:lang w:val="sr-Latn-ME"/>
              </w:rPr>
            </w:pPr>
            <w:r w:rsidRPr="00FB6F73">
              <w:rPr>
                <w:i/>
                <w:lang w:val="sr-Latn-ME"/>
              </w:rPr>
              <w:t>Poremećaji kože i potkožnog</w:t>
            </w:r>
          </w:p>
          <w:p w14:paraId="64137F0F" w14:textId="77777777" w:rsidR="00C13202" w:rsidRPr="00FB6F73" w:rsidRDefault="00C13202" w:rsidP="00EE112C">
            <w:pPr>
              <w:pStyle w:val="TableParagraph"/>
              <w:spacing w:before="8" w:line="247" w:lineRule="exact"/>
              <w:ind w:left="105"/>
              <w:rPr>
                <w:i/>
                <w:lang w:val="sr-Latn-ME"/>
              </w:rPr>
            </w:pPr>
            <w:r w:rsidRPr="00FB6F73">
              <w:rPr>
                <w:i/>
                <w:lang w:val="sr-Latn-ME"/>
              </w:rPr>
              <w:t>tkiva</w:t>
            </w:r>
          </w:p>
          <w:p w14:paraId="1A6F6123" w14:textId="77777777" w:rsidR="00702670" w:rsidRPr="00FB6F73" w:rsidRDefault="00C13202" w:rsidP="00EE112C">
            <w:pPr>
              <w:pStyle w:val="TableParagraph"/>
              <w:spacing w:before="1"/>
              <w:ind w:left="326" w:right="952" w:firstLine="4"/>
              <w:rPr>
                <w:lang w:val="sr-Latn-ME"/>
              </w:rPr>
            </w:pPr>
            <w:r w:rsidRPr="00FB6F73">
              <w:rPr>
                <w:lang w:val="sr-Latn-ME"/>
              </w:rPr>
              <w:t xml:space="preserve">Osip*** </w:t>
            </w:r>
          </w:p>
          <w:p w14:paraId="77C8A31F" w14:textId="77777777" w:rsidR="00702670" w:rsidRPr="00FB6F73" w:rsidRDefault="00C13202" w:rsidP="00EE112C">
            <w:pPr>
              <w:pStyle w:val="TableParagraph"/>
              <w:spacing w:before="1"/>
              <w:ind w:left="326" w:right="952" w:firstLine="4"/>
              <w:rPr>
                <w:lang w:val="sr-Latn-ME"/>
              </w:rPr>
            </w:pPr>
            <w:r w:rsidRPr="00FB6F73">
              <w:rPr>
                <w:lang w:val="sr-Latn-ME"/>
              </w:rPr>
              <w:t xml:space="preserve">Pruritus </w:t>
            </w:r>
          </w:p>
          <w:p w14:paraId="5AFE4115" w14:textId="3DEE3DE1" w:rsidR="00C13202" w:rsidRPr="00FB6F73" w:rsidRDefault="00C13202" w:rsidP="00EE112C">
            <w:pPr>
              <w:pStyle w:val="TableParagraph"/>
              <w:spacing w:before="1"/>
              <w:ind w:left="326" w:right="952" w:firstLine="4"/>
              <w:rPr>
                <w:lang w:val="sr-Latn-ME"/>
              </w:rPr>
            </w:pPr>
            <w:r w:rsidRPr="00FB6F73">
              <w:rPr>
                <w:lang w:val="sr-Latn-ME"/>
              </w:rPr>
              <w:t>Suva koža Alopecija</w:t>
            </w:r>
          </w:p>
        </w:tc>
        <w:tc>
          <w:tcPr>
            <w:tcW w:w="992" w:type="dxa"/>
          </w:tcPr>
          <w:p w14:paraId="6713AC47" w14:textId="77777777" w:rsidR="00C13202" w:rsidRPr="00FB6F73" w:rsidRDefault="00C13202" w:rsidP="00EE112C">
            <w:pPr>
              <w:pStyle w:val="TableParagraph"/>
              <w:rPr>
                <w:lang w:val="sr-Latn-ME"/>
              </w:rPr>
            </w:pPr>
          </w:p>
          <w:p w14:paraId="78C4FDFA" w14:textId="77777777" w:rsidR="00C13202" w:rsidRPr="00FB6F73" w:rsidRDefault="00C13202" w:rsidP="00EE112C">
            <w:pPr>
              <w:pStyle w:val="TableParagraph"/>
              <w:rPr>
                <w:lang w:val="sr-Latn-ME"/>
              </w:rPr>
            </w:pPr>
          </w:p>
          <w:p w14:paraId="38504606" w14:textId="77777777" w:rsidR="00C13202" w:rsidRPr="00FB6F73" w:rsidRDefault="00C13202" w:rsidP="00EE112C">
            <w:pPr>
              <w:pStyle w:val="TableParagraph"/>
              <w:spacing w:before="198"/>
              <w:ind w:left="359" w:right="359"/>
              <w:jc w:val="center"/>
              <w:rPr>
                <w:lang w:val="sr-Latn-ME"/>
              </w:rPr>
            </w:pPr>
            <w:r w:rsidRPr="00FB6F73">
              <w:rPr>
                <w:lang w:val="sr-Latn-ME"/>
              </w:rPr>
              <w:t>75</w:t>
            </w:r>
          </w:p>
          <w:p w14:paraId="7A9B24B9" w14:textId="77777777" w:rsidR="00C13202" w:rsidRPr="00FB6F73" w:rsidRDefault="00C13202" w:rsidP="00EE112C">
            <w:pPr>
              <w:pStyle w:val="TableParagraph"/>
              <w:spacing w:before="1" w:line="251" w:lineRule="exact"/>
              <w:ind w:left="359" w:right="359"/>
              <w:jc w:val="center"/>
              <w:rPr>
                <w:lang w:val="sr-Latn-ME"/>
              </w:rPr>
            </w:pPr>
            <w:r w:rsidRPr="00FB6F73">
              <w:rPr>
                <w:lang w:val="sr-Latn-ME"/>
              </w:rPr>
              <w:t>13</w:t>
            </w:r>
          </w:p>
          <w:p w14:paraId="2CDCD787" w14:textId="77777777" w:rsidR="00C13202" w:rsidRPr="00FB6F73" w:rsidRDefault="00C13202" w:rsidP="00EE112C">
            <w:pPr>
              <w:pStyle w:val="TableParagraph"/>
              <w:spacing w:line="251" w:lineRule="exact"/>
              <w:ind w:left="359" w:right="359"/>
              <w:jc w:val="center"/>
              <w:rPr>
                <w:lang w:val="sr-Latn-ME"/>
              </w:rPr>
            </w:pPr>
            <w:r w:rsidRPr="00FB6F73">
              <w:rPr>
                <w:lang w:val="sr-Latn-ME"/>
              </w:rPr>
              <w:t>12</w:t>
            </w:r>
          </w:p>
          <w:p w14:paraId="2F451582" w14:textId="77777777" w:rsidR="00C13202" w:rsidRPr="00FB6F73" w:rsidRDefault="00C13202" w:rsidP="00EE112C">
            <w:pPr>
              <w:pStyle w:val="TableParagraph"/>
              <w:spacing w:before="2"/>
              <w:ind w:right="1"/>
              <w:jc w:val="center"/>
              <w:rPr>
                <w:lang w:val="sr-Latn-ME"/>
              </w:rPr>
            </w:pPr>
            <w:r w:rsidRPr="00FB6F73">
              <w:rPr>
                <w:lang w:val="sr-Latn-ME"/>
              </w:rPr>
              <w:t>-</w:t>
            </w:r>
          </w:p>
        </w:tc>
        <w:tc>
          <w:tcPr>
            <w:tcW w:w="851" w:type="dxa"/>
          </w:tcPr>
          <w:p w14:paraId="0856F04D" w14:textId="77777777" w:rsidR="00C13202" w:rsidRPr="00FB6F73" w:rsidRDefault="00C13202" w:rsidP="00EE112C">
            <w:pPr>
              <w:pStyle w:val="TableParagraph"/>
              <w:rPr>
                <w:lang w:val="sr-Latn-ME"/>
              </w:rPr>
            </w:pPr>
          </w:p>
          <w:p w14:paraId="0A4D65CF" w14:textId="77777777" w:rsidR="00C13202" w:rsidRPr="00FB6F73" w:rsidRDefault="00C13202" w:rsidP="00EE112C">
            <w:pPr>
              <w:pStyle w:val="TableParagraph"/>
              <w:rPr>
                <w:lang w:val="sr-Latn-ME"/>
              </w:rPr>
            </w:pPr>
          </w:p>
          <w:p w14:paraId="564773A4" w14:textId="77777777" w:rsidR="00C13202" w:rsidRPr="00FB6F73" w:rsidRDefault="00C13202" w:rsidP="00EE112C">
            <w:pPr>
              <w:pStyle w:val="TableParagraph"/>
              <w:spacing w:before="198"/>
              <w:jc w:val="center"/>
              <w:rPr>
                <w:lang w:val="sr-Latn-ME"/>
              </w:rPr>
            </w:pPr>
            <w:r w:rsidRPr="00FB6F73">
              <w:rPr>
                <w:lang w:val="sr-Latn-ME"/>
              </w:rPr>
              <w:t>8</w:t>
            </w:r>
          </w:p>
          <w:p w14:paraId="0E2C3253" w14:textId="77777777" w:rsidR="00C13202" w:rsidRPr="00FB6F73" w:rsidRDefault="00C13202" w:rsidP="00EE112C">
            <w:pPr>
              <w:pStyle w:val="TableParagraph"/>
              <w:spacing w:before="1" w:line="251" w:lineRule="exact"/>
              <w:ind w:left="282" w:right="282"/>
              <w:jc w:val="center"/>
              <w:rPr>
                <w:lang w:val="sr-Latn-ME"/>
              </w:rPr>
            </w:pPr>
            <w:r w:rsidRPr="00FB6F73">
              <w:rPr>
                <w:lang w:val="sr-Latn-ME"/>
              </w:rPr>
              <w:t>&lt;1</w:t>
            </w:r>
          </w:p>
          <w:p w14:paraId="5093422A" w14:textId="77777777" w:rsidR="00C13202" w:rsidRPr="00FB6F73" w:rsidRDefault="00C13202" w:rsidP="00EE112C">
            <w:pPr>
              <w:pStyle w:val="TableParagraph"/>
              <w:spacing w:line="251" w:lineRule="exact"/>
              <w:jc w:val="center"/>
              <w:rPr>
                <w:lang w:val="sr-Latn-ME"/>
              </w:rPr>
            </w:pPr>
            <w:r w:rsidRPr="00FB6F73">
              <w:rPr>
                <w:lang w:val="sr-Latn-ME"/>
              </w:rPr>
              <w:t>0</w:t>
            </w:r>
          </w:p>
          <w:p w14:paraId="3C5E1EF3" w14:textId="77777777" w:rsidR="00C13202" w:rsidRPr="00FB6F73" w:rsidRDefault="00C13202" w:rsidP="00EE112C">
            <w:pPr>
              <w:pStyle w:val="TableParagraph"/>
              <w:spacing w:before="2"/>
              <w:ind w:left="1"/>
              <w:jc w:val="center"/>
              <w:rPr>
                <w:lang w:val="sr-Latn-ME"/>
              </w:rPr>
            </w:pPr>
            <w:r w:rsidRPr="00FB6F73">
              <w:rPr>
                <w:lang w:val="sr-Latn-ME"/>
              </w:rPr>
              <w:t>-</w:t>
            </w:r>
          </w:p>
        </w:tc>
        <w:tc>
          <w:tcPr>
            <w:tcW w:w="850" w:type="dxa"/>
          </w:tcPr>
          <w:p w14:paraId="01D61404" w14:textId="77777777" w:rsidR="00C13202" w:rsidRPr="00FB6F73" w:rsidRDefault="00C13202" w:rsidP="00EE112C">
            <w:pPr>
              <w:pStyle w:val="TableParagraph"/>
              <w:rPr>
                <w:lang w:val="sr-Latn-ME"/>
              </w:rPr>
            </w:pPr>
          </w:p>
          <w:p w14:paraId="0CCA98BA" w14:textId="77777777" w:rsidR="00C13202" w:rsidRPr="00FB6F73" w:rsidRDefault="00C13202" w:rsidP="00EE112C">
            <w:pPr>
              <w:pStyle w:val="TableParagraph"/>
              <w:rPr>
                <w:lang w:val="sr-Latn-ME"/>
              </w:rPr>
            </w:pPr>
          </w:p>
          <w:p w14:paraId="5351BEAF" w14:textId="20578695" w:rsidR="00C13202" w:rsidRPr="00FB6F73" w:rsidRDefault="005C1819" w:rsidP="00AE24D2">
            <w:pPr>
              <w:pStyle w:val="TableParagraph"/>
              <w:spacing w:before="198"/>
              <w:ind w:right="354"/>
              <w:rPr>
                <w:lang w:val="sr-Latn-ME"/>
              </w:rPr>
            </w:pPr>
            <w:r w:rsidRPr="00FB6F73">
              <w:rPr>
                <w:lang w:val="sr-Latn-ME"/>
              </w:rPr>
              <w:t xml:space="preserve">    </w:t>
            </w:r>
            <w:r w:rsidR="00C13202" w:rsidRPr="00FB6F73">
              <w:rPr>
                <w:lang w:val="sr-Latn-ME"/>
              </w:rPr>
              <w:t>&lt;1</w:t>
            </w:r>
          </w:p>
          <w:p w14:paraId="020D295E" w14:textId="77777777" w:rsidR="00C13202" w:rsidRPr="00FB6F73" w:rsidRDefault="00C13202" w:rsidP="00EE112C">
            <w:pPr>
              <w:pStyle w:val="TableParagraph"/>
              <w:spacing w:before="1" w:line="251" w:lineRule="exact"/>
              <w:jc w:val="center"/>
              <w:rPr>
                <w:lang w:val="sr-Latn-ME"/>
              </w:rPr>
            </w:pPr>
            <w:r w:rsidRPr="00FB6F73">
              <w:rPr>
                <w:lang w:val="sr-Latn-ME"/>
              </w:rPr>
              <w:t>0</w:t>
            </w:r>
          </w:p>
          <w:p w14:paraId="4DF8B19F" w14:textId="77777777" w:rsidR="00C13202" w:rsidRPr="00FB6F73" w:rsidRDefault="00C13202" w:rsidP="00EE112C">
            <w:pPr>
              <w:pStyle w:val="TableParagraph"/>
              <w:spacing w:line="251" w:lineRule="exact"/>
              <w:jc w:val="center"/>
              <w:rPr>
                <w:lang w:val="sr-Latn-ME"/>
              </w:rPr>
            </w:pPr>
            <w:r w:rsidRPr="00FB6F73">
              <w:rPr>
                <w:lang w:val="sr-Latn-ME"/>
              </w:rPr>
              <w:t>0</w:t>
            </w:r>
          </w:p>
          <w:p w14:paraId="58C2FCA0" w14:textId="77777777" w:rsidR="00C13202" w:rsidRPr="00FB6F73" w:rsidRDefault="00C13202" w:rsidP="00EE112C">
            <w:pPr>
              <w:pStyle w:val="TableParagraph"/>
              <w:spacing w:before="2"/>
              <w:ind w:left="1"/>
              <w:jc w:val="center"/>
              <w:rPr>
                <w:lang w:val="sr-Latn-ME"/>
              </w:rPr>
            </w:pPr>
            <w:r w:rsidRPr="00FB6F73">
              <w:rPr>
                <w:lang w:val="sr-Latn-ME"/>
              </w:rPr>
              <w:t>-</w:t>
            </w:r>
          </w:p>
        </w:tc>
        <w:tc>
          <w:tcPr>
            <w:tcW w:w="992" w:type="dxa"/>
          </w:tcPr>
          <w:p w14:paraId="4B626B21" w14:textId="77777777" w:rsidR="00C13202" w:rsidRPr="00FB6F73" w:rsidRDefault="00C13202" w:rsidP="00EE112C">
            <w:pPr>
              <w:pStyle w:val="TableParagraph"/>
              <w:rPr>
                <w:lang w:val="sr-Latn-ME"/>
              </w:rPr>
            </w:pPr>
          </w:p>
          <w:p w14:paraId="19B4A523" w14:textId="77777777" w:rsidR="00C13202" w:rsidRPr="00FB6F73" w:rsidRDefault="00C13202" w:rsidP="00EE112C">
            <w:pPr>
              <w:pStyle w:val="TableParagraph"/>
              <w:rPr>
                <w:lang w:val="sr-Latn-ME"/>
              </w:rPr>
            </w:pPr>
          </w:p>
          <w:p w14:paraId="422FE284" w14:textId="77777777" w:rsidR="00C13202" w:rsidRPr="00FB6F73" w:rsidRDefault="00C13202" w:rsidP="00EE112C">
            <w:pPr>
              <w:pStyle w:val="TableParagraph"/>
              <w:spacing w:before="198"/>
              <w:ind w:left="297" w:right="297"/>
              <w:jc w:val="center"/>
              <w:rPr>
                <w:lang w:val="sr-Latn-ME"/>
              </w:rPr>
            </w:pPr>
            <w:r w:rsidRPr="00FB6F73">
              <w:rPr>
                <w:lang w:val="sr-Latn-ME"/>
              </w:rPr>
              <w:t>69</w:t>
            </w:r>
          </w:p>
          <w:p w14:paraId="4211C1A3" w14:textId="77777777" w:rsidR="00C13202" w:rsidRPr="00FB6F73" w:rsidRDefault="00C13202" w:rsidP="00EE112C">
            <w:pPr>
              <w:pStyle w:val="TableParagraph"/>
              <w:spacing w:before="1" w:line="251" w:lineRule="exact"/>
              <w:ind w:left="6"/>
              <w:jc w:val="center"/>
              <w:rPr>
                <w:lang w:val="sr-Latn-ME"/>
              </w:rPr>
            </w:pPr>
            <w:r w:rsidRPr="00FB6F73">
              <w:rPr>
                <w:lang w:val="sr-Latn-ME"/>
              </w:rPr>
              <w:t>-</w:t>
            </w:r>
          </w:p>
          <w:p w14:paraId="3E3E6255" w14:textId="77777777" w:rsidR="00C13202" w:rsidRPr="00FB6F73" w:rsidRDefault="00C13202" w:rsidP="00EE112C">
            <w:pPr>
              <w:pStyle w:val="TableParagraph"/>
              <w:ind w:left="316" w:right="314" w:firstLine="6"/>
              <w:jc w:val="center"/>
              <w:rPr>
                <w:lang w:val="sr-Latn-ME"/>
              </w:rPr>
            </w:pPr>
            <w:r w:rsidRPr="00FB6F73">
              <w:rPr>
                <w:lang w:val="sr-Latn-ME"/>
              </w:rPr>
              <w:t>- 14</w:t>
            </w:r>
          </w:p>
        </w:tc>
        <w:tc>
          <w:tcPr>
            <w:tcW w:w="851" w:type="dxa"/>
          </w:tcPr>
          <w:p w14:paraId="7A4F21BB" w14:textId="77777777" w:rsidR="00C13202" w:rsidRPr="00FB6F73" w:rsidRDefault="00C13202" w:rsidP="00EE112C">
            <w:pPr>
              <w:pStyle w:val="TableParagraph"/>
              <w:rPr>
                <w:lang w:val="sr-Latn-ME"/>
              </w:rPr>
            </w:pPr>
          </w:p>
          <w:p w14:paraId="48CDEE61" w14:textId="77777777" w:rsidR="00C13202" w:rsidRPr="00FB6F73" w:rsidRDefault="00C13202" w:rsidP="00EE112C">
            <w:pPr>
              <w:pStyle w:val="TableParagraph"/>
              <w:rPr>
                <w:lang w:val="sr-Latn-ME"/>
              </w:rPr>
            </w:pPr>
          </w:p>
          <w:p w14:paraId="1F3EEB5D" w14:textId="77777777" w:rsidR="00C13202" w:rsidRPr="00FB6F73" w:rsidRDefault="00C13202" w:rsidP="00EE112C">
            <w:pPr>
              <w:pStyle w:val="TableParagraph"/>
              <w:spacing w:before="198"/>
              <w:jc w:val="center"/>
              <w:rPr>
                <w:lang w:val="sr-Latn-ME"/>
              </w:rPr>
            </w:pPr>
            <w:r w:rsidRPr="00FB6F73">
              <w:rPr>
                <w:lang w:val="sr-Latn-ME"/>
              </w:rPr>
              <w:t>5</w:t>
            </w:r>
          </w:p>
          <w:p w14:paraId="4BD80662" w14:textId="77777777" w:rsidR="00C13202" w:rsidRPr="00FB6F73" w:rsidRDefault="00C13202" w:rsidP="00EE112C">
            <w:pPr>
              <w:pStyle w:val="TableParagraph"/>
              <w:spacing w:before="1" w:line="251" w:lineRule="exact"/>
              <w:ind w:left="1"/>
              <w:jc w:val="center"/>
              <w:rPr>
                <w:lang w:val="sr-Latn-ME"/>
              </w:rPr>
            </w:pPr>
            <w:r w:rsidRPr="00FB6F73">
              <w:rPr>
                <w:lang w:val="sr-Latn-ME"/>
              </w:rPr>
              <w:t>-</w:t>
            </w:r>
          </w:p>
          <w:p w14:paraId="3979AEE6" w14:textId="77777777" w:rsidR="00C13202" w:rsidRPr="00FB6F73" w:rsidRDefault="00C13202" w:rsidP="00EE112C">
            <w:pPr>
              <w:pStyle w:val="TableParagraph"/>
              <w:ind w:left="364" w:right="362" w:firstLine="1"/>
              <w:jc w:val="center"/>
              <w:rPr>
                <w:lang w:val="sr-Latn-ME"/>
              </w:rPr>
            </w:pPr>
            <w:r w:rsidRPr="00FB6F73">
              <w:rPr>
                <w:lang w:val="sr-Latn-ME"/>
              </w:rPr>
              <w:t>- 0</w:t>
            </w:r>
          </w:p>
        </w:tc>
        <w:tc>
          <w:tcPr>
            <w:tcW w:w="992" w:type="dxa"/>
          </w:tcPr>
          <w:p w14:paraId="0C378A78" w14:textId="77777777" w:rsidR="00C13202" w:rsidRPr="00FB6F73" w:rsidRDefault="00C13202" w:rsidP="00EE112C">
            <w:pPr>
              <w:pStyle w:val="TableParagraph"/>
              <w:rPr>
                <w:lang w:val="sr-Latn-ME"/>
              </w:rPr>
            </w:pPr>
          </w:p>
          <w:p w14:paraId="49C7DA10" w14:textId="77777777" w:rsidR="00C13202" w:rsidRPr="00FB6F73" w:rsidRDefault="00C13202" w:rsidP="00EE112C">
            <w:pPr>
              <w:pStyle w:val="TableParagraph"/>
              <w:rPr>
                <w:lang w:val="sr-Latn-ME"/>
              </w:rPr>
            </w:pPr>
          </w:p>
          <w:p w14:paraId="130561B2" w14:textId="77777777" w:rsidR="00C13202" w:rsidRPr="00FB6F73" w:rsidRDefault="00C13202" w:rsidP="00EE112C">
            <w:pPr>
              <w:pStyle w:val="TableParagraph"/>
              <w:spacing w:before="198"/>
              <w:jc w:val="center"/>
              <w:rPr>
                <w:lang w:val="sr-Latn-ME"/>
              </w:rPr>
            </w:pPr>
            <w:r w:rsidRPr="00FB6F73">
              <w:rPr>
                <w:lang w:val="sr-Latn-ME"/>
              </w:rPr>
              <w:t>0</w:t>
            </w:r>
          </w:p>
          <w:p w14:paraId="5081A0E3" w14:textId="77777777" w:rsidR="00C13202" w:rsidRPr="00FB6F73" w:rsidRDefault="00C13202" w:rsidP="00EE112C">
            <w:pPr>
              <w:pStyle w:val="TableParagraph"/>
              <w:spacing w:before="1" w:line="251" w:lineRule="exact"/>
              <w:ind w:left="1"/>
              <w:jc w:val="center"/>
              <w:rPr>
                <w:lang w:val="sr-Latn-ME"/>
              </w:rPr>
            </w:pPr>
            <w:r w:rsidRPr="00FB6F73">
              <w:rPr>
                <w:lang w:val="sr-Latn-ME"/>
              </w:rPr>
              <w:t>-</w:t>
            </w:r>
          </w:p>
          <w:p w14:paraId="1805F949" w14:textId="77777777" w:rsidR="00C13202" w:rsidRPr="00FB6F73" w:rsidRDefault="00C13202" w:rsidP="00EE112C">
            <w:pPr>
              <w:pStyle w:val="TableParagraph"/>
              <w:ind w:left="436" w:right="434" w:firstLine="1"/>
              <w:jc w:val="center"/>
              <w:rPr>
                <w:lang w:val="sr-Latn-ME"/>
              </w:rPr>
            </w:pPr>
            <w:r w:rsidRPr="00FB6F73">
              <w:rPr>
                <w:lang w:val="sr-Latn-ME"/>
              </w:rPr>
              <w:t>- 0</w:t>
            </w:r>
          </w:p>
        </w:tc>
        <w:tc>
          <w:tcPr>
            <w:tcW w:w="1701" w:type="dxa"/>
          </w:tcPr>
          <w:p w14:paraId="383930AC" w14:textId="77777777" w:rsidR="00C13202" w:rsidRPr="00FB6F73" w:rsidRDefault="00C13202" w:rsidP="00EE112C">
            <w:pPr>
              <w:pStyle w:val="TableParagraph"/>
              <w:rPr>
                <w:lang w:val="sr-Latn-ME"/>
              </w:rPr>
            </w:pPr>
          </w:p>
          <w:p w14:paraId="050D1772" w14:textId="77777777" w:rsidR="00C13202" w:rsidRPr="00FB6F73" w:rsidRDefault="00C13202" w:rsidP="00EE112C">
            <w:pPr>
              <w:pStyle w:val="TableParagraph"/>
              <w:rPr>
                <w:lang w:val="sr-Latn-ME"/>
              </w:rPr>
            </w:pPr>
          </w:p>
          <w:p w14:paraId="62492589" w14:textId="77777777" w:rsidR="00C13202" w:rsidRPr="00FB6F73" w:rsidRDefault="00C13202" w:rsidP="00EE112C">
            <w:pPr>
              <w:pStyle w:val="TableParagraph"/>
              <w:spacing w:before="198"/>
              <w:ind w:left="417" w:right="420"/>
              <w:jc w:val="both"/>
              <w:rPr>
                <w:lang w:val="sr-Latn-ME"/>
              </w:rPr>
            </w:pPr>
            <w:r w:rsidRPr="00FB6F73">
              <w:rPr>
                <w:lang w:val="sr-Latn-ME"/>
              </w:rPr>
              <w:t>veoma često veoma često veoma često veoma često</w:t>
            </w:r>
          </w:p>
        </w:tc>
      </w:tr>
      <w:tr w:rsidR="000656D0" w:rsidRPr="00FB6F73" w14:paraId="23B3B90D" w14:textId="77777777" w:rsidTr="00FB6F73">
        <w:trPr>
          <w:trHeight w:hRule="exact" w:val="1526"/>
        </w:trPr>
        <w:tc>
          <w:tcPr>
            <w:tcW w:w="2836" w:type="dxa"/>
          </w:tcPr>
          <w:p w14:paraId="35EA287C" w14:textId="77777777" w:rsidR="00C13202" w:rsidRPr="00FB6F73" w:rsidRDefault="00C13202" w:rsidP="00EE112C">
            <w:pPr>
              <w:pStyle w:val="TableParagraph"/>
              <w:spacing w:line="242" w:lineRule="auto"/>
              <w:ind w:left="105" w:right="603"/>
              <w:rPr>
                <w:i/>
                <w:lang w:val="sr-Latn-ME"/>
              </w:rPr>
            </w:pPr>
            <w:r w:rsidRPr="00FB6F73">
              <w:rPr>
                <w:i/>
                <w:lang w:val="sr-Latn-ME"/>
              </w:rPr>
              <w:t>Opšti poremećaji i reakcije na</w:t>
            </w:r>
          </w:p>
          <w:p w14:paraId="5882D760" w14:textId="77777777" w:rsidR="00702670" w:rsidRPr="00FB6F73" w:rsidRDefault="00C13202" w:rsidP="00EE112C">
            <w:pPr>
              <w:pStyle w:val="TableParagraph"/>
              <w:spacing w:before="2"/>
              <w:ind w:left="326" w:right="952" w:hanging="221"/>
              <w:rPr>
                <w:lang w:val="sr-Latn-ME"/>
              </w:rPr>
            </w:pPr>
            <w:r w:rsidRPr="00FB6F73">
              <w:rPr>
                <w:i/>
                <w:lang w:val="sr-Latn-ME"/>
              </w:rPr>
              <w:t xml:space="preserve">mjestu primjene </w:t>
            </w:r>
            <w:r w:rsidRPr="00FB6F73">
              <w:rPr>
                <w:lang w:val="sr-Latn-ME"/>
              </w:rPr>
              <w:t xml:space="preserve">Zamor </w:t>
            </w:r>
          </w:p>
          <w:p w14:paraId="7E6544EB" w14:textId="1F3CBD44" w:rsidR="00702670" w:rsidRPr="00FB6F73" w:rsidRDefault="00702670" w:rsidP="00EE112C">
            <w:pPr>
              <w:pStyle w:val="TableParagraph"/>
              <w:spacing w:before="2"/>
              <w:ind w:left="326" w:right="952" w:hanging="221"/>
              <w:rPr>
                <w:lang w:val="sr-Latn-ME"/>
              </w:rPr>
            </w:pPr>
            <w:r w:rsidRPr="00FB6F73">
              <w:rPr>
                <w:lang w:val="sr-Latn-ME"/>
              </w:rPr>
              <w:t xml:space="preserve">   </w:t>
            </w:r>
            <w:r w:rsidR="00C13202" w:rsidRPr="00FB6F73">
              <w:rPr>
                <w:lang w:val="sr-Latn-ME"/>
              </w:rPr>
              <w:t xml:space="preserve">Pireksija </w:t>
            </w:r>
          </w:p>
          <w:p w14:paraId="731FF383" w14:textId="52C90F27" w:rsidR="00C13202" w:rsidRPr="00FB6F73" w:rsidRDefault="00702670" w:rsidP="00EE112C">
            <w:pPr>
              <w:pStyle w:val="TableParagraph"/>
              <w:spacing w:before="2"/>
              <w:ind w:left="326" w:right="952" w:hanging="221"/>
              <w:rPr>
                <w:lang w:val="sr-Latn-ME"/>
              </w:rPr>
            </w:pPr>
            <w:r w:rsidRPr="00FB6F73">
              <w:rPr>
                <w:lang w:val="sr-Latn-ME"/>
              </w:rPr>
              <w:t xml:space="preserve">   </w:t>
            </w:r>
            <w:r w:rsidR="00C13202" w:rsidRPr="00FB6F73">
              <w:rPr>
                <w:lang w:val="sr-Latn-ME"/>
              </w:rPr>
              <w:t>Drhtanje</w:t>
            </w:r>
          </w:p>
        </w:tc>
        <w:tc>
          <w:tcPr>
            <w:tcW w:w="992" w:type="dxa"/>
          </w:tcPr>
          <w:p w14:paraId="2BCDD9F5" w14:textId="77777777" w:rsidR="00C13202" w:rsidRPr="00FB6F73" w:rsidRDefault="00C13202" w:rsidP="00EE112C">
            <w:pPr>
              <w:pStyle w:val="TableParagraph"/>
              <w:rPr>
                <w:lang w:val="sr-Latn-ME"/>
              </w:rPr>
            </w:pPr>
          </w:p>
          <w:p w14:paraId="132F5F1A" w14:textId="77777777" w:rsidR="00C13202" w:rsidRPr="00FB6F73" w:rsidRDefault="00C13202" w:rsidP="00EE112C">
            <w:pPr>
              <w:pStyle w:val="TableParagraph"/>
              <w:rPr>
                <w:lang w:val="sr-Latn-ME"/>
              </w:rPr>
            </w:pPr>
          </w:p>
          <w:p w14:paraId="1B602CC8" w14:textId="77777777" w:rsidR="00C13202" w:rsidRPr="00FB6F73" w:rsidRDefault="00C13202" w:rsidP="00EE112C">
            <w:pPr>
              <w:pStyle w:val="TableParagraph"/>
              <w:spacing w:before="198"/>
              <w:ind w:left="359" w:right="359"/>
              <w:jc w:val="center"/>
              <w:rPr>
                <w:lang w:val="sr-Latn-ME"/>
              </w:rPr>
            </w:pPr>
            <w:r w:rsidRPr="00FB6F73">
              <w:rPr>
                <w:lang w:val="sr-Latn-ME"/>
              </w:rPr>
              <w:t>52</w:t>
            </w:r>
          </w:p>
          <w:p w14:paraId="2C5DBF4D" w14:textId="77777777" w:rsidR="00C13202" w:rsidRPr="00FB6F73" w:rsidRDefault="00C13202" w:rsidP="00EE112C">
            <w:pPr>
              <w:pStyle w:val="TableParagraph"/>
              <w:spacing w:before="1"/>
              <w:ind w:right="1"/>
              <w:jc w:val="center"/>
              <w:rPr>
                <w:lang w:val="sr-Latn-ME"/>
              </w:rPr>
            </w:pPr>
            <w:r w:rsidRPr="00FB6F73">
              <w:rPr>
                <w:lang w:val="sr-Latn-ME"/>
              </w:rPr>
              <w:t>-</w:t>
            </w:r>
          </w:p>
          <w:p w14:paraId="53A2C14F" w14:textId="6657842E" w:rsidR="005C1819" w:rsidRPr="00FB6F73" w:rsidRDefault="005C1819" w:rsidP="00EE112C">
            <w:pPr>
              <w:pStyle w:val="TableParagraph"/>
              <w:spacing w:before="1"/>
              <w:ind w:right="1"/>
              <w:jc w:val="center"/>
              <w:rPr>
                <w:lang w:val="sr-Latn-ME"/>
              </w:rPr>
            </w:pPr>
            <w:r w:rsidRPr="00FB6F73">
              <w:rPr>
                <w:lang w:val="sr-Latn-ME"/>
              </w:rPr>
              <w:t>-</w:t>
            </w:r>
          </w:p>
        </w:tc>
        <w:tc>
          <w:tcPr>
            <w:tcW w:w="851" w:type="dxa"/>
          </w:tcPr>
          <w:p w14:paraId="25DEC692" w14:textId="77777777" w:rsidR="00C13202" w:rsidRPr="00FB6F73" w:rsidRDefault="00C13202" w:rsidP="00EE112C">
            <w:pPr>
              <w:pStyle w:val="TableParagraph"/>
              <w:rPr>
                <w:lang w:val="sr-Latn-ME"/>
              </w:rPr>
            </w:pPr>
          </w:p>
          <w:p w14:paraId="6E74A4D4" w14:textId="77777777" w:rsidR="00C13202" w:rsidRPr="00FB6F73" w:rsidRDefault="00C13202" w:rsidP="00EE112C">
            <w:pPr>
              <w:pStyle w:val="TableParagraph"/>
              <w:rPr>
                <w:lang w:val="sr-Latn-ME"/>
              </w:rPr>
            </w:pPr>
          </w:p>
          <w:p w14:paraId="0BE45866" w14:textId="77777777" w:rsidR="00C13202" w:rsidRPr="00FB6F73" w:rsidRDefault="00C13202" w:rsidP="00EE112C">
            <w:pPr>
              <w:pStyle w:val="TableParagraph"/>
              <w:spacing w:before="198"/>
              <w:ind w:left="280" w:right="282"/>
              <w:jc w:val="center"/>
              <w:rPr>
                <w:lang w:val="sr-Latn-ME"/>
              </w:rPr>
            </w:pPr>
            <w:r w:rsidRPr="00FB6F73">
              <w:rPr>
                <w:lang w:val="sr-Latn-ME"/>
              </w:rPr>
              <w:t>14</w:t>
            </w:r>
          </w:p>
          <w:p w14:paraId="3A262471" w14:textId="77777777" w:rsidR="00C13202" w:rsidRPr="00FB6F73" w:rsidRDefault="00C13202" w:rsidP="00EE112C">
            <w:pPr>
              <w:pStyle w:val="TableParagraph"/>
              <w:spacing w:before="1"/>
              <w:ind w:left="1"/>
              <w:jc w:val="center"/>
              <w:rPr>
                <w:lang w:val="sr-Latn-ME"/>
              </w:rPr>
            </w:pPr>
            <w:r w:rsidRPr="00FB6F73">
              <w:rPr>
                <w:lang w:val="sr-Latn-ME"/>
              </w:rPr>
              <w:t>-</w:t>
            </w:r>
          </w:p>
          <w:p w14:paraId="521FEC70" w14:textId="3C5A3071" w:rsidR="005C1819" w:rsidRPr="00FB6F73" w:rsidRDefault="005C1819" w:rsidP="00EE112C">
            <w:pPr>
              <w:pStyle w:val="TableParagraph"/>
              <w:spacing w:before="1"/>
              <w:ind w:left="1"/>
              <w:jc w:val="center"/>
              <w:rPr>
                <w:lang w:val="sr-Latn-ME"/>
              </w:rPr>
            </w:pPr>
            <w:r w:rsidRPr="00FB6F73">
              <w:rPr>
                <w:lang w:val="sr-Latn-ME"/>
              </w:rPr>
              <w:t>-</w:t>
            </w:r>
          </w:p>
        </w:tc>
        <w:tc>
          <w:tcPr>
            <w:tcW w:w="850" w:type="dxa"/>
          </w:tcPr>
          <w:p w14:paraId="2DBE650C" w14:textId="77777777" w:rsidR="00C13202" w:rsidRPr="00FB6F73" w:rsidRDefault="00C13202" w:rsidP="00EE112C">
            <w:pPr>
              <w:pStyle w:val="TableParagraph"/>
              <w:rPr>
                <w:lang w:val="sr-Latn-ME"/>
              </w:rPr>
            </w:pPr>
          </w:p>
          <w:p w14:paraId="7C374776" w14:textId="77777777" w:rsidR="00C13202" w:rsidRPr="00FB6F73" w:rsidRDefault="00C13202" w:rsidP="00EE112C">
            <w:pPr>
              <w:pStyle w:val="TableParagraph"/>
              <w:rPr>
                <w:lang w:val="sr-Latn-ME"/>
              </w:rPr>
            </w:pPr>
          </w:p>
          <w:p w14:paraId="6FBD6C5B" w14:textId="77777777" w:rsidR="00C13202" w:rsidRPr="00FB6F73" w:rsidRDefault="00C13202" w:rsidP="00EE112C">
            <w:pPr>
              <w:pStyle w:val="TableParagraph"/>
              <w:spacing w:before="198"/>
              <w:jc w:val="center"/>
              <w:rPr>
                <w:lang w:val="sr-Latn-ME"/>
              </w:rPr>
            </w:pPr>
            <w:r w:rsidRPr="00FB6F73">
              <w:rPr>
                <w:lang w:val="sr-Latn-ME"/>
              </w:rPr>
              <w:t>4</w:t>
            </w:r>
          </w:p>
          <w:p w14:paraId="0CBEF133" w14:textId="77777777" w:rsidR="00C13202" w:rsidRPr="00FB6F73" w:rsidRDefault="00C13202" w:rsidP="00EE112C">
            <w:pPr>
              <w:pStyle w:val="TableParagraph"/>
              <w:spacing w:before="1"/>
              <w:ind w:left="1"/>
              <w:jc w:val="center"/>
              <w:rPr>
                <w:lang w:val="sr-Latn-ME"/>
              </w:rPr>
            </w:pPr>
            <w:r w:rsidRPr="00FB6F73">
              <w:rPr>
                <w:lang w:val="sr-Latn-ME"/>
              </w:rPr>
              <w:t>-</w:t>
            </w:r>
          </w:p>
          <w:p w14:paraId="50F2CDE0" w14:textId="1FFFCE90" w:rsidR="005C1819" w:rsidRPr="00FB6F73" w:rsidRDefault="005C1819" w:rsidP="00EE112C">
            <w:pPr>
              <w:pStyle w:val="TableParagraph"/>
              <w:spacing w:before="1"/>
              <w:ind w:left="1"/>
              <w:jc w:val="center"/>
              <w:rPr>
                <w:lang w:val="sr-Latn-ME"/>
              </w:rPr>
            </w:pPr>
            <w:r w:rsidRPr="00FB6F73">
              <w:rPr>
                <w:lang w:val="sr-Latn-ME"/>
              </w:rPr>
              <w:t>-</w:t>
            </w:r>
          </w:p>
        </w:tc>
        <w:tc>
          <w:tcPr>
            <w:tcW w:w="992" w:type="dxa"/>
          </w:tcPr>
          <w:p w14:paraId="0DD0FD18" w14:textId="77777777" w:rsidR="00C13202" w:rsidRPr="00FB6F73" w:rsidRDefault="00C13202" w:rsidP="00EE112C">
            <w:pPr>
              <w:pStyle w:val="TableParagraph"/>
              <w:rPr>
                <w:lang w:val="sr-Latn-ME"/>
              </w:rPr>
            </w:pPr>
          </w:p>
          <w:p w14:paraId="258A38B8" w14:textId="77777777" w:rsidR="00C13202" w:rsidRPr="00FB6F73" w:rsidRDefault="00C13202" w:rsidP="00EE112C">
            <w:pPr>
              <w:pStyle w:val="TableParagraph"/>
              <w:rPr>
                <w:lang w:val="sr-Latn-ME"/>
              </w:rPr>
            </w:pPr>
          </w:p>
          <w:p w14:paraId="42AEAAC2" w14:textId="77777777" w:rsidR="00C13202" w:rsidRPr="00FB6F73" w:rsidRDefault="00C13202" w:rsidP="00EE112C">
            <w:pPr>
              <w:pStyle w:val="TableParagraph"/>
              <w:spacing w:before="198"/>
              <w:ind w:left="297" w:right="297"/>
              <w:jc w:val="center"/>
              <w:rPr>
                <w:lang w:val="sr-Latn-ME"/>
              </w:rPr>
            </w:pPr>
            <w:r w:rsidRPr="00FB6F73">
              <w:rPr>
                <w:lang w:val="sr-Latn-ME"/>
              </w:rPr>
              <w:t>73</w:t>
            </w:r>
          </w:p>
          <w:p w14:paraId="41D9ABFE" w14:textId="77777777" w:rsidR="00C13202" w:rsidRPr="00FB6F73" w:rsidRDefault="00C13202" w:rsidP="00EE112C">
            <w:pPr>
              <w:pStyle w:val="TableParagraph"/>
              <w:spacing w:before="1" w:line="251" w:lineRule="exact"/>
              <w:ind w:left="297" w:right="297"/>
              <w:jc w:val="center"/>
              <w:rPr>
                <w:lang w:val="sr-Latn-ME"/>
              </w:rPr>
            </w:pPr>
            <w:r w:rsidRPr="00FB6F73">
              <w:rPr>
                <w:lang w:val="sr-Latn-ME"/>
              </w:rPr>
              <w:t>36</w:t>
            </w:r>
          </w:p>
          <w:p w14:paraId="56A80F1B" w14:textId="77777777" w:rsidR="00C13202" w:rsidRPr="00FB6F73" w:rsidRDefault="00C13202" w:rsidP="00EE112C">
            <w:pPr>
              <w:pStyle w:val="TableParagraph"/>
              <w:spacing w:line="251" w:lineRule="exact"/>
              <w:ind w:left="297" w:right="297"/>
              <w:jc w:val="center"/>
              <w:rPr>
                <w:lang w:val="sr-Latn-ME"/>
              </w:rPr>
            </w:pPr>
            <w:r w:rsidRPr="00FB6F73">
              <w:rPr>
                <w:lang w:val="sr-Latn-ME"/>
              </w:rPr>
              <w:t>12</w:t>
            </w:r>
          </w:p>
        </w:tc>
        <w:tc>
          <w:tcPr>
            <w:tcW w:w="851" w:type="dxa"/>
          </w:tcPr>
          <w:p w14:paraId="085864DD" w14:textId="77777777" w:rsidR="00C13202" w:rsidRPr="00FB6F73" w:rsidRDefault="00C13202" w:rsidP="00EE112C">
            <w:pPr>
              <w:pStyle w:val="TableParagraph"/>
              <w:rPr>
                <w:lang w:val="sr-Latn-ME"/>
              </w:rPr>
            </w:pPr>
          </w:p>
          <w:p w14:paraId="422234E6" w14:textId="77777777" w:rsidR="00C13202" w:rsidRPr="00FB6F73" w:rsidRDefault="00C13202" w:rsidP="00EE112C">
            <w:pPr>
              <w:pStyle w:val="TableParagraph"/>
              <w:rPr>
                <w:lang w:val="sr-Latn-ME"/>
              </w:rPr>
            </w:pPr>
          </w:p>
          <w:p w14:paraId="35542164" w14:textId="77777777" w:rsidR="00C13202" w:rsidRPr="00FB6F73" w:rsidRDefault="00C13202" w:rsidP="00EE112C">
            <w:pPr>
              <w:pStyle w:val="TableParagraph"/>
              <w:spacing w:before="198"/>
              <w:ind w:left="282" w:right="278"/>
              <w:jc w:val="center"/>
              <w:rPr>
                <w:lang w:val="sr-Latn-ME"/>
              </w:rPr>
            </w:pPr>
            <w:r w:rsidRPr="00FB6F73">
              <w:rPr>
                <w:lang w:val="sr-Latn-ME"/>
              </w:rPr>
              <w:t>14</w:t>
            </w:r>
          </w:p>
          <w:p w14:paraId="7791B7E4" w14:textId="77777777" w:rsidR="00C13202" w:rsidRPr="00FB6F73" w:rsidRDefault="00C13202" w:rsidP="00EE112C">
            <w:pPr>
              <w:pStyle w:val="TableParagraph"/>
              <w:spacing w:before="1" w:line="251" w:lineRule="exact"/>
              <w:jc w:val="center"/>
              <w:rPr>
                <w:lang w:val="sr-Latn-ME"/>
              </w:rPr>
            </w:pPr>
            <w:r w:rsidRPr="00FB6F73">
              <w:rPr>
                <w:lang w:val="sr-Latn-ME"/>
              </w:rPr>
              <w:t>3</w:t>
            </w:r>
          </w:p>
          <w:p w14:paraId="2C48995E" w14:textId="77777777" w:rsidR="00C13202" w:rsidRPr="00FB6F73" w:rsidRDefault="00C13202" w:rsidP="00EE112C">
            <w:pPr>
              <w:pStyle w:val="TableParagraph"/>
              <w:spacing w:line="251" w:lineRule="exact"/>
              <w:jc w:val="center"/>
              <w:rPr>
                <w:lang w:val="sr-Latn-ME"/>
              </w:rPr>
            </w:pPr>
            <w:r w:rsidRPr="00FB6F73">
              <w:rPr>
                <w:lang w:val="sr-Latn-ME"/>
              </w:rPr>
              <w:t>0</w:t>
            </w:r>
          </w:p>
        </w:tc>
        <w:tc>
          <w:tcPr>
            <w:tcW w:w="992" w:type="dxa"/>
          </w:tcPr>
          <w:p w14:paraId="78308895" w14:textId="77777777" w:rsidR="00C13202" w:rsidRPr="00FB6F73" w:rsidRDefault="00C13202" w:rsidP="00EE112C">
            <w:pPr>
              <w:pStyle w:val="TableParagraph"/>
              <w:rPr>
                <w:lang w:val="sr-Latn-ME"/>
              </w:rPr>
            </w:pPr>
          </w:p>
          <w:p w14:paraId="78F4A95F" w14:textId="77777777" w:rsidR="00C13202" w:rsidRPr="00FB6F73" w:rsidRDefault="00C13202" w:rsidP="00EE112C">
            <w:pPr>
              <w:pStyle w:val="TableParagraph"/>
              <w:rPr>
                <w:lang w:val="sr-Latn-ME"/>
              </w:rPr>
            </w:pPr>
          </w:p>
          <w:p w14:paraId="5D129B6B" w14:textId="77777777" w:rsidR="00C13202" w:rsidRPr="00FB6F73" w:rsidRDefault="00C13202" w:rsidP="00EE112C">
            <w:pPr>
              <w:pStyle w:val="TableParagraph"/>
              <w:spacing w:before="198"/>
              <w:jc w:val="center"/>
              <w:rPr>
                <w:lang w:val="sr-Latn-ME"/>
              </w:rPr>
            </w:pPr>
            <w:r w:rsidRPr="00FB6F73">
              <w:rPr>
                <w:lang w:val="sr-Latn-ME"/>
              </w:rPr>
              <w:t>2</w:t>
            </w:r>
          </w:p>
          <w:p w14:paraId="2DE14618" w14:textId="77777777" w:rsidR="00C13202" w:rsidRPr="00FB6F73" w:rsidRDefault="00C13202" w:rsidP="00EE112C">
            <w:pPr>
              <w:pStyle w:val="TableParagraph"/>
              <w:spacing w:before="1" w:line="251" w:lineRule="exact"/>
              <w:jc w:val="center"/>
              <w:rPr>
                <w:lang w:val="sr-Latn-ME"/>
              </w:rPr>
            </w:pPr>
            <w:r w:rsidRPr="00FB6F73">
              <w:rPr>
                <w:lang w:val="sr-Latn-ME"/>
              </w:rPr>
              <w:t>0</w:t>
            </w:r>
          </w:p>
          <w:p w14:paraId="364AC19D" w14:textId="77777777" w:rsidR="00C13202" w:rsidRPr="00FB6F73" w:rsidRDefault="00C13202" w:rsidP="00EE112C">
            <w:pPr>
              <w:pStyle w:val="TableParagraph"/>
              <w:spacing w:line="251" w:lineRule="exact"/>
              <w:jc w:val="center"/>
              <w:rPr>
                <w:lang w:val="sr-Latn-ME"/>
              </w:rPr>
            </w:pPr>
            <w:r w:rsidRPr="00FB6F73">
              <w:rPr>
                <w:lang w:val="sr-Latn-ME"/>
              </w:rPr>
              <w:t>0</w:t>
            </w:r>
          </w:p>
        </w:tc>
        <w:tc>
          <w:tcPr>
            <w:tcW w:w="1701" w:type="dxa"/>
          </w:tcPr>
          <w:p w14:paraId="6CF27508" w14:textId="77777777" w:rsidR="00C13202" w:rsidRPr="00FB6F73" w:rsidRDefault="00C13202" w:rsidP="00EE112C">
            <w:pPr>
              <w:pStyle w:val="TableParagraph"/>
              <w:rPr>
                <w:lang w:val="sr-Latn-ME"/>
              </w:rPr>
            </w:pPr>
          </w:p>
          <w:p w14:paraId="2C809B4F" w14:textId="77777777" w:rsidR="00C13202" w:rsidRPr="00FB6F73" w:rsidRDefault="00C13202" w:rsidP="00EE112C">
            <w:pPr>
              <w:pStyle w:val="TableParagraph"/>
              <w:rPr>
                <w:lang w:val="sr-Latn-ME"/>
              </w:rPr>
            </w:pPr>
          </w:p>
          <w:p w14:paraId="5CD2F2A6" w14:textId="77777777" w:rsidR="00C13202" w:rsidRPr="00FB6F73" w:rsidRDefault="00C13202" w:rsidP="00EE112C">
            <w:pPr>
              <w:pStyle w:val="TableParagraph"/>
              <w:spacing w:before="198"/>
              <w:ind w:left="417" w:right="420"/>
              <w:jc w:val="both"/>
              <w:rPr>
                <w:lang w:val="sr-Latn-ME"/>
              </w:rPr>
            </w:pPr>
            <w:r w:rsidRPr="00FB6F73">
              <w:rPr>
                <w:lang w:val="sr-Latn-ME"/>
              </w:rPr>
              <w:t>veoma često veoma često veoma često</w:t>
            </w:r>
          </w:p>
        </w:tc>
      </w:tr>
    </w:tbl>
    <w:p w14:paraId="06C3243A" w14:textId="77777777" w:rsidR="00136217" w:rsidRPr="00FB6F73" w:rsidRDefault="00136217" w:rsidP="00136217">
      <w:pPr>
        <w:tabs>
          <w:tab w:val="left" w:pos="540"/>
          <w:tab w:val="left" w:pos="569"/>
        </w:tabs>
        <w:rPr>
          <w:b/>
          <w:bCs/>
          <w:sz w:val="22"/>
          <w:szCs w:val="22"/>
          <w:lang w:val="sr-Latn-ME"/>
        </w:rPr>
      </w:pPr>
    </w:p>
    <w:p w14:paraId="42E0B591" w14:textId="77777777" w:rsidR="00136217" w:rsidRPr="00FB6F73" w:rsidRDefault="00136217" w:rsidP="00136217">
      <w:pPr>
        <w:rPr>
          <w:i/>
          <w:noProof/>
          <w:sz w:val="22"/>
          <w:szCs w:val="22"/>
          <w:highlight w:val="yellow"/>
          <w:lang w:val="sr-Latn-ME"/>
        </w:rPr>
      </w:pPr>
      <w:r w:rsidRPr="00FB6F73">
        <w:rPr>
          <w:sz w:val="22"/>
          <w:szCs w:val="22"/>
          <w:lang w:val="sr-Latn-ME"/>
        </w:rPr>
        <w:t>*Teške infekcije, sa ili bez neutropenije, uključivale su pneumoniju, sepsu i celulitis.</w:t>
      </w:r>
    </w:p>
    <w:p w14:paraId="41A2487B" w14:textId="77777777" w:rsidR="00136217" w:rsidRPr="00FB6F73" w:rsidRDefault="00136217" w:rsidP="00136217">
      <w:pPr>
        <w:rPr>
          <w:sz w:val="22"/>
          <w:szCs w:val="22"/>
          <w:lang w:val="sr-Latn-ME"/>
        </w:rPr>
      </w:pPr>
      <w:r w:rsidRPr="00FB6F73">
        <w:rPr>
          <w:sz w:val="22"/>
          <w:szCs w:val="22"/>
          <w:lang w:val="sr-Latn-ME"/>
        </w:rPr>
        <w:t>**Može da dovede do dehidracije, hipokalemije i bubrežne insuficijencije.</w:t>
      </w:r>
    </w:p>
    <w:p w14:paraId="09C35C98" w14:textId="77777777" w:rsidR="00136217" w:rsidRPr="00FB6F73" w:rsidRDefault="00136217" w:rsidP="00136217">
      <w:pPr>
        <w:rPr>
          <w:sz w:val="22"/>
          <w:szCs w:val="22"/>
          <w:lang w:val="sr-Latn-ME"/>
        </w:rPr>
      </w:pPr>
      <w:r w:rsidRPr="00FB6F73">
        <w:rPr>
          <w:sz w:val="22"/>
          <w:szCs w:val="22"/>
          <w:lang w:val="sr-Latn-ME"/>
        </w:rPr>
        <w:t>***Osip uključuje i akneformni dermatitis</w:t>
      </w:r>
    </w:p>
    <w:p w14:paraId="16E20319" w14:textId="77777777" w:rsidR="00C13202" w:rsidRPr="00FB6F73" w:rsidRDefault="00C13202" w:rsidP="00C13202">
      <w:pPr>
        <w:widowControl w:val="0"/>
        <w:autoSpaceDE w:val="0"/>
        <w:autoSpaceDN w:val="0"/>
        <w:spacing w:line="251" w:lineRule="exact"/>
        <w:ind w:left="232"/>
        <w:rPr>
          <w:sz w:val="22"/>
          <w:szCs w:val="22"/>
          <w:lang w:val="sr-Latn-ME"/>
        </w:rPr>
      </w:pPr>
      <w:r w:rsidRPr="00FB6F73">
        <w:rPr>
          <w:sz w:val="22"/>
          <w:szCs w:val="22"/>
          <w:lang w:val="sr-Latn-ME"/>
        </w:rPr>
        <w:t>- Označava procenat ispod praga</w:t>
      </w:r>
    </w:p>
    <w:p w14:paraId="45643C3F" w14:textId="77777777" w:rsidR="00136217" w:rsidRPr="00FB6F73" w:rsidRDefault="00136217" w:rsidP="00136217">
      <w:pPr>
        <w:rPr>
          <w:sz w:val="22"/>
          <w:szCs w:val="22"/>
          <w:lang w:val="sr-Latn-ME"/>
        </w:rPr>
      </w:pPr>
    </w:p>
    <w:p w14:paraId="316814DB" w14:textId="639066D7" w:rsidR="00136217" w:rsidRPr="00FB6F73" w:rsidRDefault="00136217" w:rsidP="00136217">
      <w:pPr>
        <w:rPr>
          <w:sz w:val="22"/>
          <w:szCs w:val="22"/>
          <w:lang w:val="sr-Latn-ME"/>
        </w:rPr>
      </w:pPr>
      <w:r w:rsidRPr="00FB6F73">
        <w:rPr>
          <w:sz w:val="22"/>
          <w:szCs w:val="22"/>
          <w:lang w:val="sr-Latn-ME"/>
        </w:rPr>
        <w:t xml:space="preserve">Tabela 2. </w:t>
      </w:r>
      <w:r w:rsidR="00F10335" w:rsidRPr="00FB6F73">
        <w:rPr>
          <w:sz w:val="22"/>
          <w:szCs w:val="22"/>
          <w:lang w:val="sr-Latn-ME"/>
        </w:rPr>
        <w:t>Sažeti prikaz n</w:t>
      </w:r>
      <w:r w:rsidR="00702670" w:rsidRPr="00FB6F73">
        <w:rPr>
          <w:sz w:val="22"/>
          <w:szCs w:val="22"/>
          <w:lang w:val="sr-Latn-ME"/>
        </w:rPr>
        <w:t>eželjenih dejstava</w:t>
      </w:r>
      <w:r w:rsidR="00F10335" w:rsidRPr="00FB6F73">
        <w:rPr>
          <w:sz w:val="22"/>
          <w:szCs w:val="22"/>
          <w:lang w:val="sr-Latn-ME"/>
        </w:rPr>
        <w:t xml:space="preserve"> lijeka prema kategoriji učestalosti::</w:t>
      </w:r>
    </w:p>
    <w:p w14:paraId="40A344EE" w14:textId="52983899" w:rsidR="00F10335" w:rsidRPr="00FB6F73" w:rsidRDefault="00F10335" w:rsidP="00136217">
      <w:pPr>
        <w:rPr>
          <w:sz w:val="22"/>
          <w:szCs w:val="22"/>
          <w:lang w:val="sr-Latn-M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2"/>
        <w:gridCol w:w="1565"/>
        <w:gridCol w:w="1642"/>
        <w:gridCol w:w="1805"/>
        <w:gridCol w:w="1622"/>
        <w:gridCol w:w="1464"/>
      </w:tblGrid>
      <w:tr w:rsidR="00F10335" w:rsidRPr="00FB6F73" w14:paraId="376AE162" w14:textId="77777777" w:rsidTr="00F10335">
        <w:trPr>
          <w:trHeight w:hRule="exact" w:val="773"/>
        </w:trPr>
        <w:tc>
          <w:tcPr>
            <w:tcW w:w="1762" w:type="dxa"/>
          </w:tcPr>
          <w:p w14:paraId="0C5221A7" w14:textId="77777777" w:rsidR="00F10335" w:rsidRPr="00FB6F73" w:rsidRDefault="00F10335" w:rsidP="00F10335">
            <w:pPr>
              <w:widowControl w:val="0"/>
              <w:autoSpaceDE w:val="0"/>
              <w:autoSpaceDN w:val="0"/>
              <w:spacing w:line="249" w:lineRule="exact"/>
              <w:ind w:left="206"/>
              <w:rPr>
                <w:b/>
                <w:sz w:val="22"/>
                <w:szCs w:val="22"/>
                <w:lang w:val="sr-Latn-ME"/>
              </w:rPr>
            </w:pPr>
            <w:r w:rsidRPr="00FB6F73">
              <w:rPr>
                <w:b/>
                <w:sz w:val="22"/>
                <w:szCs w:val="22"/>
                <w:lang w:val="sr-Latn-ME"/>
              </w:rPr>
              <w:t>Sistem organa</w:t>
            </w:r>
          </w:p>
        </w:tc>
        <w:tc>
          <w:tcPr>
            <w:tcW w:w="1565" w:type="dxa"/>
          </w:tcPr>
          <w:p w14:paraId="45E1C202" w14:textId="77777777" w:rsidR="00F10335" w:rsidRPr="00FB6F73" w:rsidRDefault="00F10335" w:rsidP="00F10335">
            <w:pPr>
              <w:widowControl w:val="0"/>
              <w:autoSpaceDE w:val="0"/>
              <w:autoSpaceDN w:val="0"/>
              <w:spacing w:line="242" w:lineRule="auto"/>
              <w:ind w:left="446" w:hanging="260"/>
              <w:rPr>
                <w:b/>
                <w:sz w:val="22"/>
                <w:szCs w:val="22"/>
                <w:lang w:val="sr-Latn-ME"/>
              </w:rPr>
            </w:pPr>
            <w:r w:rsidRPr="00FB6F73">
              <w:rPr>
                <w:b/>
                <w:sz w:val="22"/>
                <w:szCs w:val="22"/>
                <w:lang w:val="sr-Latn-ME"/>
              </w:rPr>
              <w:t>Veoma često (≥1/10)</w:t>
            </w:r>
          </w:p>
        </w:tc>
        <w:tc>
          <w:tcPr>
            <w:tcW w:w="1642" w:type="dxa"/>
          </w:tcPr>
          <w:p w14:paraId="00DCA55D" w14:textId="77777777" w:rsidR="00F10335" w:rsidRPr="00FB6F73" w:rsidRDefault="00F10335" w:rsidP="00F10335">
            <w:pPr>
              <w:widowControl w:val="0"/>
              <w:autoSpaceDE w:val="0"/>
              <w:autoSpaceDN w:val="0"/>
              <w:spacing w:line="249" w:lineRule="exact"/>
              <w:ind w:left="163" w:right="159"/>
              <w:jc w:val="center"/>
              <w:rPr>
                <w:b/>
                <w:sz w:val="22"/>
                <w:szCs w:val="22"/>
                <w:lang w:val="sr-Latn-ME"/>
              </w:rPr>
            </w:pPr>
            <w:r w:rsidRPr="00FB6F73">
              <w:rPr>
                <w:b/>
                <w:sz w:val="22"/>
                <w:szCs w:val="22"/>
                <w:lang w:val="sr-Latn-ME"/>
              </w:rPr>
              <w:t>Često</w:t>
            </w:r>
          </w:p>
          <w:p w14:paraId="2BC0A413" w14:textId="77777777" w:rsidR="00F10335" w:rsidRPr="00FB6F73" w:rsidRDefault="00F10335" w:rsidP="00F10335">
            <w:pPr>
              <w:widowControl w:val="0"/>
              <w:autoSpaceDE w:val="0"/>
              <w:autoSpaceDN w:val="0"/>
              <w:spacing w:before="1"/>
              <w:ind w:left="163" w:right="159"/>
              <w:jc w:val="center"/>
              <w:rPr>
                <w:b/>
                <w:sz w:val="22"/>
                <w:szCs w:val="22"/>
                <w:lang w:val="sr-Latn-ME"/>
              </w:rPr>
            </w:pPr>
            <w:r w:rsidRPr="00FB6F73">
              <w:rPr>
                <w:b/>
                <w:sz w:val="22"/>
                <w:szCs w:val="22"/>
                <w:lang w:val="sr-Latn-ME"/>
              </w:rPr>
              <w:t>(od ≥1/100 do</w:t>
            </w:r>
          </w:p>
          <w:p w14:paraId="186324BA" w14:textId="77777777" w:rsidR="00F10335" w:rsidRPr="00FB6F73" w:rsidRDefault="00F10335" w:rsidP="00F10335">
            <w:pPr>
              <w:widowControl w:val="0"/>
              <w:autoSpaceDE w:val="0"/>
              <w:autoSpaceDN w:val="0"/>
              <w:spacing w:before="1"/>
              <w:ind w:left="163" w:right="157"/>
              <w:jc w:val="center"/>
              <w:rPr>
                <w:b/>
                <w:sz w:val="22"/>
                <w:szCs w:val="22"/>
                <w:lang w:val="sr-Latn-ME"/>
              </w:rPr>
            </w:pPr>
            <w:r w:rsidRPr="00FB6F73">
              <w:rPr>
                <w:b/>
                <w:sz w:val="22"/>
                <w:szCs w:val="22"/>
                <w:lang w:val="sr-Latn-ME"/>
              </w:rPr>
              <w:t>&lt;1/10)</w:t>
            </w:r>
          </w:p>
        </w:tc>
        <w:tc>
          <w:tcPr>
            <w:tcW w:w="1805" w:type="dxa"/>
          </w:tcPr>
          <w:p w14:paraId="2E84BEE9" w14:textId="77777777" w:rsidR="00F10335" w:rsidRPr="00FB6F73" w:rsidRDefault="00F10335" w:rsidP="00F10335">
            <w:pPr>
              <w:widowControl w:val="0"/>
              <w:autoSpaceDE w:val="0"/>
              <w:autoSpaceDN w:val="0"/>
              <w:spacing w:line="242" w:lineRule="auto"/>
              <w:ind w:left="211" w:right="199" w:hanging="10"/>
              <w:jc w:val="center"/>
              <w:rPr>
                <w:b/>
                <w:sz w:val="22"/>
                <w:szCs w:val="22"/>
                <w:lang w:val="sr-Latn-ME"/>
              </w:rPr>
            </w:pPr>
            <w:r w:rsidRPr="00FB6F73">
              <w:rPr>
                <w:b/>
                <w:sz w:val="22"/>
                <w:szCs w:val="22"/>
                <w:lang w:val="sr-Latn-ME"/>
              </w:rPr>
              <w:t>Povremeno (od ≥1/1000</w:t>
            </w:r>
            <w:r w:rsidRPr="00FB6F73">
              <w:rPr>
                <w:b/>
                <w:spacing w:val="-7"/>
                <w:sz w:val="22"/>
                <w:szCs w:val="22"/>
                <w:lang w:val="sr-Latn-ME"/>
              </w:rPr>
              <w:t xml:space="preserve"> </w:t>
            </w:r>
            <w:r w:rsidRPr="00FB6F73">
              <w:rPr>
                <w:b/>
                <w:sz w:val="22"/>
                <w:szCs w:val="22"/>
                <w:lang w:val="sr-Latn-ME"/>
              </w:rPr>
              <w:t>do</w:t>
            </w:r>
          </w:p>
          <w:p w14:paraId="359CCFD8" w14:textId="77777777" w:rsidR="00F10335" w:rsidRPr="00FB6F73" w:rsidRDefault="00F10335" w:rsidP="00F10335">
            <w:pPr>
              <w:widowControl w:val="0"/>
              <w:autoSpaceDE w:val="0"/>
              <w:autoSpaceDN w:val="0"/>
              <w:spacing w:before="3" w:line="252" w:lineRule="exact"/>
              <w:ind w:left="528" w:right="527"/>
              <w:jc w:val="center"/>
              <w:rPr>
                <w:b/>
                <w:sz w:val="22"/>
                <w:szCs w:val="22"/>
                <w:lang w:val="sr-Latn-ME"/>
              </w:rPr>
            </w:pPr>
            <w:r w:rsidRPr="00FB6F73">
              <w:rPr>
                <w:b/>
                <w:sz w:val="22"/>
                <w:szCs w:val="22"/>
                <w:lang w:val="sr-Latn-ME"/>
              </w:rPr>
              <w:t>&lt;1/100)</w:t>
            </w:r>
          </w:p>
        </w:tc>
        <w:tc>
          <w:tcPr>
            <w:tcW w:w="1622" w:type="dxa"/>
          </w:tcPr>
          <w:p w14:paraId="5BDE4F78" w14:textId="1B0683ED" w:rsidR="00F10335" w:rsidRPr="00FB6F73" w:rsidRDefault="00F10335" w:rsidP="00F10335">
            <w:pPr>
              <w:widowControl w:val="0"/>
              <w:autoSpaceDE w:val="0"/>
              <w:autoSpaceDN w:val="0"/>
              <w:spacing w:line="249" w:lineRule="exact"/>
              <w:ind w:left="217" w:right="217"/>
              <w:jc w:val="center"/>
              <w:rPr>
                <w:b/>
                <w:sz w:val="22"/>
                <w:szCs w:val="22"/>
                <w:lang w:val="sr-Latn-ME"/>
              </w:rPr>
            </w:pPr>
            <w:r w:rsidRPr="00FB6F73">
              <w:rPr>
                <w:b/>
                <w:sz w:val="22"/>
                <w:szCs w:val="22"/>
                <w:lang w:val="sr-Latn-ME"/>
              </w:rPr>
              <w:t>R</w:t>
            </w:r>
            <w:r w:rsidR="00C13202" w:rsidRPr="00FB6F73">
              <w:rPr>
                <w:b/>
                <w:sz w:val="22"/>
                <w:szCs w:val="22"/>
                <w:lang w:val="sr-Latn-ME"/>
              </w:rPr>
              <w:t>ij</w:t>
            </w:r>
            <w:r w:rsidRPr="00FB6F73">
              <w:rPr>
                <w:b/>
                <w:sz w:val="22"/>
                <w:szCs w:val="22"/>
                <w:lang w:val="sr-Latn-ME"/>
              </w:rPr>
              <w:t>etko (od</w:t>
            </w:r>
          </w:p>
          <w:p w14:paraId="7A9BA760" w14:textId="77777777" w:rsidR="00F10335" w:rsidRPr="00FB6F73" w:rsidRDefault="00F10335" w:rsidP="00F10335">
            <w:pPr>
              <w:widowControl w:val="0"/>
              <w:autoSpaceDE w:val="0"/>
              <w:autoSpaceDN w:val="0"/>
              <w:spacing w:before="1"/>
              <w:ind w:left="226" w:right="217"/>
              <w:jc w:val="center"/>
              <w:rPr>
                <w:b/>
                <w:sz w:val="22"/>
                <w:szCs w:val="22"/>
                <w:lang w:val="sr-Latn-ME"/>
              </w:rPr>
            </w:pPr>
            <w:r w:rsidRPr="00FB6F73">
              <w:rPr>
                <w:b/>
                <w:sz w:val="22"/>
                <w:szCs w:val="22"/>
                <w:lang w:val="sr-Latn-ME"/>
              </w:rPr>
              <w:t>≥1/10000 do</w:t>
            </w:r>
          </w:p>
          <w:p w14:paraId="40710696" w14:textId="77777777" w:rsidR="00F10335" w:rsidRPr="00FB6F73" w:rsidRDefault="00F10335" w:rsidP="00F10335">
            <w:pPr>
              <w:widowControl w:val="0"/>
              <w:autoSpaceDE w:val="0"/>
              <w:autoSpaceDN w:val="0"/>
              <w:spacing w:before="1"/>
              <w:ind w:left="223" w:right="217"/>
              <w:jc w:val="center"/>
              <w:rPr>
                <w:b/>
                <w:sz w:val="22"/>
                <w:szCs w:val="22"/>
                <w:lang w:val="sr-Latn-ME"/>
              </w:rPr>
            </w:pPr>
            <w:r w:rsidRPr="00FB6F73">
              <w:rPr>
                <w:b/>
                <w:sz w:val="22"/>
                <w:szCs w:val="22"/>
                <w:lang w:val="sr-Latn-ME"/>
              </w:rPr>
              <w:t>&lt;1/1000)</w:t>
            </w:r>
          </w:p>
        </w:tc>
        <w:tc>
          <w:tcPr>
            <w:tcW w:w="1464" w:type="dxa"/>
          </w:tcPr>
          <w:p w14:paraId="4B1673F2" w14:textId="6828E920" w:rsidR="00F10335" w:rsidRPr="00FB6F73" w:rsidRDefault="00F10335" w:rsidP="00F10335">
            <w:pPr>
              <w:widowControl w:val="0"/>
              <w:autoSpaceDE w:val="0"/>
              <w:autoSpaceDN w:val="0"/>
              <w:spacing w:line="242" w:lineRule="auto"/>
              <w:ind w:left="225" w:right="231" w:hanging="3"/>
              <w:jc w:val="center"/>
              <w:rPr>
                <w:b/>
                <w:sz w:val="22"/>
                <w:szCs w:val="22"/>
                <w:lang w:val="sr-Latn-ME"/>
              </w:rPr>
            </w:pPr>
            <w:r w:rsidRPr="00FB6F73">
              <w:rPr>
                <w:b/>
                <w:sz w:val="22"/>
                <w:szCs w:val="22"/>
                <w:lang w:val="sr-Latn-ME"/>
              </w:rPr>
              <w:t>Veoma r</w:t>
            </w:r>
            <w:r w:rsidR="00C13202" w:rsidRPr="00FB6F73">
              <w:rPr>
                <w:b/>
                <w:sz w:val="22"/>
                <w:szCs w:val="22"/>
                <w:lang w:val="sr-Latn-ME"/>
              </w:rPr>
              <w:t>ij</w:t>
            </w:r>
            <w:r w:rsidRPr="00FB6F73">
              <w:rPr>
                <w:b/>
                <w:sz w:val="22"/>
                <w:szCs w:val="22"/>
                <w:lang w:val="sr-Latn-ME"/>
              </w:rPr>
              <w:t>etko (&lt;1/10000)</w:t>
            </w:r>
          </w:p>
        </w:tc>
      </w:tr>
      <w:tr w:rsidR="00F10335" w:rsidRPr="00FB6F73" w14:paraId="1DAA7520" w14:textId="77777777" w:rsidTr="00F10335">
        <w:trPr>
          <w:trHeight w:hRule="exact" w:val="504"/>
        </w:trPr>
        <w:tc>
          <w:tcPr>
            <w:tcW w:w="1762" w:type="dxa"/>
            <w:tcBorders>
              <w:bottom w:val="nil"/>
            </w:tcBorders>
          </w:tcPr>
          <w:p w14:paraId="1A55379B" w14:textId="77777777" w:rsidR="00F10335" w:rsidRPr="00FB6F73" w:rsidRDefault="00F10335" w:rsidP="00F10335">
            <w:pPr>
              <w:widowControl w:val="0"/>
              <w:autoSpaceDE w:val="0"/>
              <w:autoSpaceDN w:val="0"/>
              <w:spacing w:line="244" w:lineRule="exact"/>
              <w:ind w:left="105"/>
              <w:rPr>
                <w:i/>
                <w:sz w:val="22"/>
                <w:szCs w:val="22"/>
                <w:lang w:val="sr-Latn-ME"/>
              </w:rPr>
            </w:pPr>
            <w:r w:rsidRPr="00FB6F73">
              <w:rPr>
                <w:i/>
                <w:sz w:val="22"/>
                <w:szCs w:val="22"/>
                <w:lang w:val="sr-Latn-ME"/>
              </w:rPr>
              <w:t>Poremećaji oka</w:t>
            </w:r>
          </w:p>
        </w:tc>
        <w:tc>
          <w:tcPr>
            <w:tcW w:w="1565" w:type="dxa"/>
            <w:vMerge w:val="restart"/>
          </w:tcPr>
          <w:p w14:paraId="52430854" w14:textId="77777777" w:rsidR="00F10335" w:rsidRPr="00FB6F73" w:rsidRDefault="00F10335" w:rsidP="00F10335">
            <w:pPr>
              <w:widowControl w:val="0"/>
              <w:autoSpaceDE w:val="0"/>
              <w:autoSpaceDN w:val="0"/>
              <w:rPr>
                <w:sz w:val="22"/>
                <w:szCs w:val="22"/>
                <w:lang w:val="sr-Latn-ME"/>
              </w:rPr>
            </w:pPr>
          </w:p>
        </w:tc>
        <w:tc>
          <w:tcPr>
            <w:tcW w:w="1642" w:type="dxa"/>
            <w:tcBorders>
              <w:bottom w:val="nil"/>
            </w:tcBorders>
          </w:tcPr>
          <w:p w14:paraId="70A3623E" w14:textId="77777777" w:rsidR="00F10335" w:rsidRPr="00FB6F73" w:rsidRDefault="00F10335" w:rsidP="00F10335">
            <w:pPr>
              <w:widowControl w:val="0"/>
              <w:autoSpaceDE w:val="0"/>
              <w:autoSpaceDN w:val="0"/>
              <w:spacing w:line="230" w:lineRule="exact"/>
              <w:ind w:left="105"/>
              <w:rPr>
                <w:sz w:val="22"/>
                <w:szCs w:val="22"/>
                <w:lang w:val="sr-Latn-ME"/>
              </w:rPr>
            </w:pPr>
            <w:r w:rsidRPr="00FB6F73">
              <w:rPr>
                <w:sz w:val="22"/>
                <w:szCs w:val="22"/>
                <w:lang w:val="sr-Latn-ME"/>
              </w:rPr>
              <w:t>-Keratitis</w:t>
            </w:r>
          </w:p>
          <w:p w14:paraId="46FCDBA9" w14:textId="77777777" w:rsidR="00F10335" w:rsidRPr="00FB6F73" w:rsidRDefault="00F10335" w:rsidP="00F10335">
            <w:pPr>
              <w:widowControl w:val="0"/>
              <w:autoSpaceDE w:val="0"/>
              <w:autoSpaceDN w:val="0"/>
              <w:spacing w:line="264" w:lineRule="exact"/>
              <w:ind w:left="105"/>
              <w:rPr>
                <w:sz w:val="22"/>
                <w:szCs w:val="22"/>
                <w:lang w:val="sr-Latn-ME"/>
              </w:rPr>
            </w:pPr>
            <w:r w:rsidRPr="00FB6F73">
              <w:rPr>
                <w:sz w:val="22"/>
                <w:szCs w:val="22"/>
                <w:lang w:val="sr-Latn-ME"/>
              </w:rPr>
              <w:t>-Konjunktivitis</w:t>
            </w:r>
            <w:r w:rsidRPr="00FB6F73">
              <w:rPr>
                <w:position w:val="10"/>
                <w:sz w:val="22"/>
                <w:szCs w:val="22"/>
                <w:lang w:val="sr-Latn-ME"/>
              </w:rPr>
              <w:t>1</w:t>
            </w:r>
          </w:p>
        </w:tc>
        <w:tc>
          <w:tcPr>
            <w:tcW w:w="1805" w:type="dxa"/>
            <w:tcBorders>
              <w:bottom w:val="nil"/>
            </w:tcBorders>
          </w:tcPr>
          <w:p w14:paraId="6D83B50A" w14:textId="77777777" w:rsidR="00F10335" w:rsidRPr="00FB6F73" w:rsidRDefault="00F10335" w:rsidP="00F10335">
            <w:pPr>
              <w:widowControl w:val="0"/>
              <w:autoSpaceDE w:val="0"/>
              <w:autoSpaceDN w:val="0"/>
              <w:spacing w:before="14" w:line="213" w:lineRule="auto"/>
              <w:ind w:left="105" w:right="525"/>
              <w:rPr>
                <w:sz w:val="22"/>
                <w:szCs w:val="22"/>
                <w:lang w:val="sr-Latn-ME"/>
              </w:rPr>
            </w:pPr>
            <w:r w:rsidRPr="00FB6F73">
              <w:rPr>
                <w:sz w:val="22"/>
                <w:szCs w:val="22"/>
                <w:lang w:val="sr-Latn-ME"/>
              </w:rPr>
              <w:t>-Promene na trepavicama</w:t>
            </w:r>
            <w:r w:rsidRPr="00FB6F73">
              <w:rPr>
                <w:position w:val="10"/>
                <w:sz w:val="22"/>
                <w:szCs w:val="22"/>
                <w:lang w:val="sr-Latn-ME"/>
              </w:rPr>
              <w:t>2</w:t>
            </w:r>
          </w:p>
        </w:tc>
        <w:tc>
          <w:tcPr>
            <w:tcW w:w="1622" w:type="dxa"/>
            <w:vMerge w:val="restart"/>
          </w:tcPr>
          <w:p w14:paraId="70C527E2" w14:textId="77777777" w:rsidR="00F10335" w:rsidRPr="00FB6F73" w:rsidRDefault="00F10335" w:rsidP="00F10335">
            <w:pPr>
              <w:widowControl w:val="0"/>
              <w:autoSpaceDE w:val="0"/>
              <w:autoSpaceDN w:val="0"/>
              <w:rPr>
                <w:sz w:val="22"/>
                <w:szCs w:val="22"/>
                <w:lang w:val="sr-Latn-ME"/>
              </w:rPr>
            </w:pPr>
          </w:p>
        </w:tc>
        <w:tc>
          <w:tcPr>
            <w:tcW w:w="1464" w:type="dxa"/>
            <w:tcBorders>
              <w:bottom w:val="nil"/>
            </w:tcBorders>
          </w:tcPr>
          <w:p w14:paraId="5697EEA1" w14:textId="77777777" w:rsidR="00F10335" w:rsidRPr="00FB6F73" w:rsidRDefault="00F10335" w:rsidP="00F10335">
            <w:pPr>
              <w:widowControl w:val="0"/>
              <w:autoSpaceDE w:val="0"/>
              <w:autoSpaceDN w:val="0"/>
              <w:spacing w:line="237" w:lineRule="auto"/>
              <w:ind w:left="100" w:right="296"/>
              <w:rPr>
                <w:sz w:val="22"/>
                <w:szCs w:val="22"/>
                <w:lang w:val="sr-Latn-ME"/>
              </w:rPr>
            </w:pPr>
            <w:r w:rsidRPr="00FB6F73">
              <w:rPr>
                <w:sz w:val="22"/>
                <w:szCs w:val="22"/>
                <w:lang w:val="sr-Latn-ME"/>
              </w:rPr>
              <w:t>-Perforacija kornee</w:t>
            </w:r>
          </w:p>
        </w:tc>
      </w:tr>
      <w:tr w:rsidR="00F10335" w:rsidRPr="00FB6F73" w14:paraId="43808B60" w14:textId="77777777" w:rsidTr="00F10335">
        <w:trPr>
          <w:trHeight w:hRule="exact" w:val="254"/>
        </w:trPr>
        <w:tc>
          <w:tcPr>
            <w:tcW w:w="1762" w:type="dxa"/>
            <w:tcBorders>
              <w:top w:val="nil"/>
              <w:bottom w:val="nil"/>
            </w:tcBorders>
          </w:tcPr>
          <w:p w14:paraId="2F5C0FE9" w14:textId="77777777" w:rsidR="00F10335" w:rsidRPr="00FB6F73" w:rsidRDefault="00F10335" w:rsidP="00F10335">
            <w:pPr>
              <w:widowControl w:val="0"/>
              <w:autoSpaceDE w:val="0"/>
              <w:autoSpaceDN w:val="0"/>
              <w:rPr>
                <w:sz w:val="22"/>
                <w:szCs w:val="22"/>
                <w:lang w:val="sr-Latn-ME"/>
              </w:rPr>
            </w:pPr>
          </w:p>
        </w:tc>
        <w:tc>
          <w:tcPr>
            <w:tcW w:w="1565" w:type="dxa"/>
            <w:vMerge/>
          </w:tcPr>
          <w:p w14:paraId="79DB3BD4" w14:textId="77777777" w:rsidR="00F10335" w:rsidRPr="00FB6F73" w:rsidRDefault="00F10335" w:rsidP="00F10335">
            <w:pPr>
              <w:widowControl w:val="0"/>
              <w:autoSpaceDE w:val="0"/>
              <w:autoSpaceDN w:val="0"/>
              <w:rPr>
                <w:sz w:val="22"/>
                <w:szCs w:val="22"/>
                <w:lang w:val="sr-Latn-ME"/>
              </w:rPr>
            </w:pPr>
          </w:p>
        </w:tc>
        <w:tc>
          <w:tcPr>
            <w:tcW w:w="1642" w:type="dxa"/>
            <w:tcBorders>
              <w:top w:val="nil"/>
              <w:bottom w:val="nil"/>
            </w:tcBorders>
          </w:tcPr>
          <w:p w14:paraId="6A931A37" w14:textId="77777777" w:rsidR="00F10335" w:rsidRPr="00FB6F73" w:rsidRDefault="00F10335" w:rsidP="00F10335">
            <w:pPr>
              <w:widowControl w:val="0"/>
              <w:autoSpaceDE w:val="0"/>
              <w:autoSpaceDN w:val="0"/>
              <w:rPr>
                <w:sz w:val="22"/>
                <w:szCs w:val="22"/>
                <w:lang w:val="sr-Latn-ME"/>
              </w:rPr>
            </w:pPr>
          </w:p>
        </w:tc>
        <w:tc>
          <w:tcPr>
            <w:tcW w:w="1805" w:type="dxa"/>
            <w:tcBorders>
              <w:top w:val="nil"/>
              <w:bottom w:val="nil"/>
            </w:tcBorders>
          </w:tcPr>
          <w:p w14:paraId="2861A6E5" w14:textId="77777777" w:rsidR="00F10335" w:rsidRPr="00FB6F73" w:rsidRDefault="00F10335" w:rsidP="00F10335">
            <w:pPr>
              <w:widowControl w:val="0"/>
              <w:autoSpaceDE w:val="0"/>
              <w:autoSpaceDN w:val="0"/>
              <w:rPr>
                <w:sz w:val="22"/>
                <w:szCs w:val="22"/>
                <w:lang w:val="sr-Latn-ME"/>
              </w:rPr>
            </w:pPr>
          </w:p>
        </w:tc>
        <w:tc>
          <w:tcPr>
            <w:tcW w:w="1622" w:type="dxa"/>
            <w:vMerge/>
          </w:tcPr>
          <w:p w14:paraId="454C5CC8" w14:textId="77777777" w:rsidR="00F10335" w:rsidRPr="00FB6F73" w:rsidRDefault="00F10335" w:rsidP="00F10335">
            <w:pPr>
              <w:widowControl w:val="0"/>
              <w:autoSpaceDE w:val="0"/>
              <w:autoSpaceDN w:val="0"/>
              <w:rPr>
                <w:sz w:val="22"/>
                <w:szCs w:val="22"/>
                <w:lang w:val="sr-Latn-ME"/>
              </w:rPr>
            </w:pPr>
          </w:p>
        </w:tc>
        <w:tc>
          <w:tcPr>
            <w:tcW w:w="1464" w:type="dxa"/>
            <w:tcBorders>
              <w:top w:val="nil"/>
              <w:bottom w:val="nil"/>
            </w:tcBorders>
          </w:tcPr>
          <w:p w14:paraId="1D904A56" w14:textId="77777777" w:rsidR="00F10335" w:rsidRPr="00FB6F73" w:rsidRDefault="00F10335" w:rsidP="00F10335">
            <w:pPr>
              <w:widowControl w:val="0"/>
              <w:autoSpaceDE w:val="0"/>
              <w:autoSpaceDN w:val="0"/>
              <w:spacing w:line="249" w:lineRule="exact"/>
              <w:ind w:left="100"/>
              <w:rPr>
                <w:sz w:val="22"/>
                <w:szCs w:val="22"/>
                <w:lang w:val="sr-Latn-ME"/>
              </w:rPr>
            </w:pPr>
            <w:r w:rsidRPr="00FB6F73">
              <w:rPr>
                <w:sz w:val="22"/>
                <w:szCs w:val="22"/>
                <w:lang w:val="sr-Latn-ME"/>
              </w:rPr>
              <w:t>-Ulceracije</w:t>
            </w:r>
          </w:p>
        </w:tc>
      </w:tr>
      <w:tr w:rsidR="00F10335" w:rsidRPr="00FB6F73" w14:paraId="5EFA0E5A" w14:textId="77777777" w:rsidTr="00F10335">
        <w:trPr>
          <w:trHeight w:hRule="exact" w:val="252"/>
        </w:trPr>
        <w:tc>
          <w:tcPr>
            <w:tcW w:w="1762" w:type="dxa"/>
            <w:tcBorders>
              <w:top w:val="nil"/>
              <w:bottom w:val="nil"/>
            </w:tcBorders>
          </w:tcPr>
          <w:p w14:paraId="356FBC50" w14:textId="77777777" w:rsidR="00F10335" w:rsidRPr="00FB6F73" w:rsidRDefault="00F10335" w:rsidP="00F10335">
            <w:pPr>
              <w:widowControl w:val="0"/>
              <w:autoSpaceDE w:val="0"/>
              <w:autoSpaceDN w:val="0"/>
              <w:rPr>
                <w:sz w:val="22"/>
                <w:szCs w:val="22"/>
                <w:lang w:val="sr-Latn-ME"/>
              </w:rPr>
            </w:pPr>
          </w:p>
        </w:tc>
        <w:tc>
          <w:tcPr>
            <w:tcW w:w="1565" w:type="dxa"/>
            <w:vMerge/>
          </w:tcPr>
          <w:p w14:paraId="1A982C1F" w14:textId="77777777" w:rsidR="00F10335" w:rsidRPr="00FB6F73" w:rsidRDefault="00F10335" w:rsidP="00F10335">
            <w:pPr>
              <w:widowControl w:val="0"/>
              <w:autoSpaceDE w:val="0"/>
              <w:autoSpaceDN w:val="0"/>
              <w:rPr>
                <w:sz w:val="22"/>
                <w:szCs w:val="22"/>
                <w:lang w:val="sr-Latn-ME"/>
              </w:rPr>
            </w:pPr>
          </w:p>
        </w:tc>
        <w:tc>
          <w:tcPr>
            <w:tcW w:w="1642" w:type="dxa"/>
            <w:tcBorders>
              <w:top w:val="nil"/>
              <w:bottom w:val="nil"/>
            </w:tcBorders>
          </w:tcPr>
          <w:p w14:paraId="5AE159AE" w14:textId="77777777" w:rsidR="00F10335" w:rsidRPr="00FB6F73" w:rsidRDefault="00F10335" w:rsidP="00F10335">
            <w:pPr>
              <w:widowControl w:val="0"/>
              <w:autoSpaceDE w:val="0"/>
              <w:autoSpaceDN w:val="0"/>
              <w:rPr>
                <w:sz w:val="22"/>
                <w:szCs w:val="22"/>
                <w:lang w:val="sr-Latn-ME"/>
              </w:rPr>
            </w:pPr>
          </w:p>
        </w:tc>
        <w:tc>
          <w:tcPr>
            <w:tcW w:w="1805" w:type="dxa"/>
            <w:tcBorders>
              <w:top w:val="nil"/>
              <w:bottom w:val="nil"/>
            </w:tcBorders>
          </w:tcPr>
          <w:p w14:paraId="123A5FCD" w14:textId="77777777" w:rsidR="00F10335" w:rsidRPr="00FB6F73" w:rsidRDefault="00F10335" w:rsidP="00F10335">
            <w:pPr>
              <w:widowControl w:val="0"/>
              <w:autoSpaceDE w:val="0"/>
              <w:autoSpaceDN w:val="0"/>
              <w:rPr>
                <w:sz w:val="22"/>
                <w:szCs w:val="22"/>
                <w:lang w:val="sr-Latn-ME"/>
              </w:rPr>
            </w:pPr>
          </w:p>
        </w:tc>
        <w:tc>
          <w:tcPr>
            <w:tcW w:w="1622" w:type="dxa"/>
            <w:vMerge/>
          </w:tcPr>
          <w:p w14:paraId="6479EB0D" w14:textId="77777777" w:rsidR="00F10335" w:rsidRPr="00FB6F73" w:rsidRDefault="00F10335" w:rsidP="00F10335">
            <w:pPr>
              <w:widowControl w:val="0"/>
              <w:autoSpaceDE w:val="0"/>
              <w:autoSpaceDN w:val="0"/>
              <w:rPr>
                <w:sz w:val="22"/>
                <w:szCs w:val="22"/>
                <w:lang w:val="sr-Latn-ME"/>
              </w:rPr>
            </w:pPr>
          </w:p>
        </w:tc>
        <w:tc>
          <w:tcPr>
            <w:tcW w:w="1464" w:type="dxa"/>
            <w:tcBorders>
              <w:top w:val="nil"/>
              <w:bottom w:val="nil"/>
            </w:tcBorders>
          </w:tcPr>
          <w:p w14:paraId="343B38AD" w14:textId="77777777" w:rsidR="00F10335" w:rsidRPr="00FB6F73" w:rsidRDefault="00F10335" w:rsidP="00F10335">
            <w:pPr>
              <w:widowControl w:val="0"/>
              <w:autoSpaceDE w:val="0"/>
              <w:autoSpaceDN w:val="0"/>
              <w:spacing w:line="249" w:lineRule="exact"/>
              <w:ind w:left="100"/>
              <w:rPr>
                <w:sz w:val="22"/>
                <w:szCs w:val="22"/>
                <w:lang w:val="sr-Latn-ME"/>
              </w:rPr>
            </w:pPr>
            <w:r w:rsidRPr="00FB6F73">
              <w:rPr>
                <w:sz w:val="22"/>
                <w:szCs w:val="22"/>
                <w:lang w:val="sr-Latn-ME"/>
              </w:rPr>
              <w:t>kornee</w:t>
            </w:r>
          </w:p>
        </w:tc>
      </w:tr>
      <w:tr w:rsidR="00F10335" w:rsidRPr="00FB6F73" w14:paraId="772C6102" w14:textId="77777777" w:rsidTr="00F10335">
        <w:trPr>
          <w:trHeight w:hRule="exact" w:val="329"/>
        </w:trPr>
        <w:tc>
          <w:tcPr>
            <w:tcW w:w="1762" w:type="dxa"/>
            <w:tcBorders>
              <w:top w:val="nil"/>
            </w:tcBorders>
          </w:tcPr>
          <w:p w14:paraId="3A0573CE" w14:textId="77777777" w:rsidR="00F10335" w:rsidRPr="00FB6F73" w:rsidRDefault="00F10335" w:rsidP="00F10335">
            <w:pPr>
              <w:widowControl w:val="0"/>
              <w:autoSpaceDE w:val="0"/>
              <w:autoSpaceDN w:val="0"/>
              <w:rPr>
                <w:sz w:val="22"/>
                <w:szCs w:val="22"/>
                <w:lang w:val="sr-Latn-ME"/>
              </w:rPr>
            </w:pPr>
          </w:p>
        </w:tc>
        <w:tc>
          <w:tcPr>
            <w:tcW w:w="1565" w:type="dxa"/>
            <w:vMerge/>
          </w:tcPr>
          <w:p w14:paraId="7E3868E5" w14:textId="77777777" w:rsidR="00F10335" w:rsidRPr="00FB6F73" w:rsidRDefault="00F10335" w:rsidP="00F10335">
            <w:pPr>
              <w:widowControl w:val="0"/>
              <w:autoSpaceDE w:val="0"/>
              <w:autoSpaceDN w:val="0"/>
              <w:rPr>
                <w:sz w:val="22"/>
                <w:szCs w:val="22"/>
                <w:lang w:val="sr-Latn-ME"/>
              </w:rPr>
            </w:pPr>
          </w:p>
        </w:tc>
        <w:tc>
          <w:tcPr>
            <w:tcW w:w="1642" w:type="dxa"/>
            <w:tcBorders>
              <w:top w:val="nil"/>
            </w:tcBorders>
          </w:tcPr>
          <w:p w14:paraId="551D08D5" w14:textId="77777777" w:rsidR="00F10335" w:rsidRPr="00FB6F73" w:rsidRDefault="00F10335" w:rsidP="00F10335">
            <w:pPr>
              <w:widowControl w:val="0"/>
              <w:autoSpaceDE w:val="0"/>
              <w:autoSpaceDN w:val="0"/>
              <w:rPr>
                <w:sz w:val="22"/>
                <w:szCs w:val="22"/>
                <w:lang w:val="sr-Latn-ME"/>
              </w:rPr>
            </w:pPr>
          </w:p>
        </w:tc>
        <w:tc>
          <w:tcPr>
            <w:tcW w:w="1805" w:type="dxa"/>
            <w:tcBorders>
              <w:top w:val="nil"/>
            </w:tcBorders>
          </w:tcPr>
          <w:p w14:paraId="55E8C618" w14:textId="77777777" w:rsidR="00F10335" w:rsidRPr="00FB6F73" w:rsidRDefault="00F10335" w:rsidP="00F10335">
            <w:pPr>
              <w:widowControl w:val="0"/>
              <w:autoSpaceDE w:val="0"/>
              <w:autoSpaceDN w:val="0"/>
              <w:rPr>
                <w:sz w:val="22"/>
                <w:szCs w:val="22"/>
                <w:lang w:val="sr-Latn-ME"/>
              </w:rPr>
            </w:pPr>
          </w:p>
        </w:tc>
        <w:tc>
          <w:tcPr>
            <w:tcW w:w="1622" w:type="dxa"/>
            <w:vMerge/>
          </w:tcPr>
          <w:p w14:paraId="5E046414" w14:textId="77777777" w:rsidR="00F10335" w:rsidRPr="00FB6F73" w:rsidRDefault="00F10335" w:rsidP="00F10335">
            <w:pPr>
              <w:widowControl w:val="0"/>
              <w:autoSpaceDE w:val="0"/>
              <w:autoSpaceDN w:val="0"/>
              <w:rPr>
                <w:sz w:val="22"/>
                <w:szCs w:val="22"/>
                <w:lang w:val="sr-Latn-ME"/>
              </w:rPr>
            </w:pPr>
          </w:p>
        </w:tc>
        <w:tc>
          <w:tcPr>
            <w:tcW w:w="1464" w:type="dxa"/>
            <w:tcBorders>
              <w:top w:val="nil"/>
            </w:tcBorders>
          </w:tcPr>
          <w:p w14:paraId="6980398A" w14:textId="77777777" w:rsidR="00F10335" w:rsidRPr="00FB6F73" w:rsidRDefault="00F10335" w:rsidP="00F10335">
            <w:pPr>
              <w:widowControl w:val="0"/>
              <w:autoSpaceDE w:val="0"/>
              <w:autoSpaceDN w:val="0"/>
              <w:spacing w:line="247" w:lineRule="exact"/>
              <w:ind w:left="100"/>
              <w:rPr>
                <w:sz w:val="22"/>
                <w:szCs w:val="22"/>
                <w:lang w:val="sr-Latn-ME"/>
              </w:rPr>
            </w:pPr>
            <w:r w:rsidRPr="00FB6F73">
              <w:rPr>
                <w:sz w:val="22"/>
                <w:szCs w:val="22"/>
                <w:lang w:val="sr-Latn-ME"/>
              </w:rPr>
              <w:t>-Uveitis</w:t>
            </w:r>
          </w:p>
        </w:tc>
      </w:tr>
      <w:tr w:rsidR="00F10335" w:rsidRPr="00FB6F73" w14:paraId="7C5D071E" w14:textId="77777777" w:rsidTr="00F10335">
        <w:trPr>
          <w:trHeight w:hRule="exact" w:val="504"/>
        </w:trPr>
        <w:tc>
          <w:tcPr>
            <w:tcW w:w="1762" w:type="dxa"/>
            <w:tcBorders>
              <w:bottom w:val="nil"/>
            </w:tcBorders>
          </w:tcPr>
          <w:p w14:paraId="7C928FEB" w14:textId="77777777" w:rsidR="00F10335" w:rsidRPr="00FB6F73" w:rsidRDefault="00F10335" w:rsidP="00F10335">
            <w:pPr>
              <w:widowControl w:val="0"/>
              <w:autoSpaceDE w:val="0"/>
              <w:autoSpaceDN w:val="0"/>
              <w:spacing w:line="237" w:lineRule="auto"/>
              <w:ind w:left="105" w:right="459"/>
              <w:rPr>
                <w:i/>
                <w:sz w:val="22"/>
                <w:szCs w:val="22"/>
                <w:lang w:val="sr-Latn-ME"/>
              </w:rPr>
            </w:pPr>
            <w:r w:rsidRPr="00FB6F73">
              <w:rPr>
                <w:i/>
                <w:sz w:val="22"/>
                <w:szCs w:val="22"/>
                <w:lang w:val="sr-Latn-ME"/>
              </w:rPr>
              <w:t>Respiratorni, torakalni i</w:t>
            </w:r>
          </w:p>
        </w:tc>
        <w:tc>
          <w:tcPr>
            <w:tcW w:w="1565" w:type="dxa"/>
            <w:vMerge w:val="restart"/>
          </w:tcPr>
          <w:p w14:paraId="1DA836DD" w14:textId="77777777" w:rsidR="00F10335" w:rsidRPr="00FB6F73" w:rsidRDefault="00F10335" w:rsidP="00F10335">
            <w:pPr>
              <w:widowControl w:val="0"/>
              <w:autoSpaceDE w:val="0"/>
              <w:autoSpaceDN w:val="0"/>
              <w:rPr>
                <w:sz w:val="22"/>
                <w:szCs w:val="22"/>
                <w:lang w:val="sr-Latn-ME"/>
              </w:rPr>
            </w:pPr>
          </w:p>
        </w:tc>
        <w:tc>
          <w:tcPr>
            <w:tcW w:w="1642" w:type="dxa"/>
            <w:tcBorders>
              <w:bottom w:val="nil"/>
            </w:tcBorders>
          </w:tcPr>
          <w:p w14:paraId="594D85F0" w14:textId="77777777" w:rsidR="00F10335" w:rsidRPr="00FB6F73" w:rsidRDefault="00F10335" w:rsidP="00F10335">
            <w:pPr>
              <w:widowControl w:val="0"/>
              <w:autoSpaceDE w:val="0"/>
              <w:autoSpaceDN w:val="0"/>
              <w:spacing w:line="244" w:lineRule="exact"/>
              <w:ind w:left="105"/>
              <w:rPr>
                <w:sz w:val="22"/>
                <w:szCs w:val="22"/>
                <w:lang w:val="sr-Latn-ME"/>
              </w:rPr>
            </w:pPr>
            <w:r w:rsidRPr="00FB6F73">
              <w:rPr>
                <w:sz w:val="22"/>
                <w:szCs w:val="22"/>
                <w:lang w:val="sr-Latn-ME"/>
              </w:rPr>
              <w:t>-Epistaksa</w:t>
            </w:r>
          </w:p>
        </w:tc>
        <w:tc>
          <w:tcPr>
            <w:tcW w:w="1805" w:type="dxa"/>
            <w:tcBorders>
              <w:bottom w:val="nil"/>
            </w:tcBorders>
          </w:tcPr>
          <w:p w14:paraId="0E18373C" w14:textId="35C62C9C" w:rsidR="00F10335" w:rsidRPr="00FB6F73" w:rsidRDefault="00F10335" w:rsidP="00F10335">
            <w:pPr>
              <w:widowControl w:val="0"/>
              <w:autoSpaceDE w:val="0"/>
              <w:autoSpaceDN w:val="0"/>
              <w:spacing w:before="14" w:line="213" w:lineRule="auto"/>
              <w:ind w:left="105" w:right="387"/>
              <w:rPr>
                <w:sz w:val="22"/>
                <w:szCs w:val="22"/>
                <w:lang w:val="sr-Latn-ME"/>
              </w:rPr>
            </w:pPr>
            <w:r w:rsidRPr="00FB6F73">
              <w:rPr>
                <w:sz w:val="22"/>
                <w:szCs w:val="22"/>
                <w:lang w:val="sr-Latn-ME"/>
              </w:rPr>
              <w:t>-Intersticijalna bolest pluća</w:t>
            </w:r>
          </w:p>
        </w:tc>
        <w:tc>
          <w:tcPr>
            <w:tcW w:w="1622" w:type="dxa"/>
            <w:vMerge w:val="restart"/>
          </w:tcPr>
          <w:p w14:paraId="520BB39D" w14:textId="77777777" w:rsidR="00F10335" w:rsidRPr="00FB6F73" w:rsidRDefault="00F10335" w:rsidP="00F10335">
            <w:pPr>
              <w:widowControl w:val="0"/>
              <w:autoSpaceDE w:val="0"/>
              <w:autoSpaceDN w:val="0"/>
              <w:rPr>
                <w:sz w:val="22"/>
                <w:szCs w:val="22"/>
                <w:lang w:val="sr-Latn-ME"/>
              </w:rPr>
            </w:pPr>
          </w:p>
        </w:tc>
        <w:tc>
          <w:tcPr>
            <w:tcW w:w="1464" w:type="dxa"/>
            <w:vMerge w:val="restart"/>
          </w:tcPr>
          <w:p w14:paraId="25F67E6E" w14:textId="77777777" w:rsidR="00F10335" w:rsidRPr="00FB6F73" w:rsidRDefault="00F10335" w:rsidP="00F10335">
            <w:pPr>
              <w:widowControl w:val="0"/>
              <w:autoSpaceDE w:val="0"/>
              <w:autoSpaceDN w:val="0"/>
              <w:rPr>
                <w:sz w:val="22"/>
                <w:szCs w:val="22"/>
                <w:lang w:val="sr-Latn-ME"/>
              </w:rPr>
            </w:pPr>
          </w:p>
        </w:tc>
      </w:tr>
      <w:tr w:rsidR="00F10335" w:rsidRPr="00FB6F73" w14:paraId="16D71906" w14:textId="77777777" w:rsidTr="00FB6F73">
        <w:trPr>
          <w:trHeight w:hRule="exact" w:val="396"/>
        </w:trPr>
        <w:tc>
          <w:tcPr>
            <w:tcW w:w="1762" w:type="dxa"/>
            <w:tcBorders>
              <w:top w:val="nil"/>
              <w:bottom w:val="nil"/>
            </w:tcBorders>
          </w:tcPr>
          <w:p w14:paraId="17E6FCD7" w14:textId="77777777" w:rsidR="00F10335" w:rsidRPr="00FB6F73" w:rsidRDefault="00F10335" w:rsidP="00F10335">
            <w:pPr>
              <w:widowControl w:val="0"/>
              <w:autoSpaceDE w:val="0"/>
              <w:autoSpaceDN w:val="0"/>
              <w:spacing w:line="249" w:lineRule="exact"/>
              <w:ind w:left="105"/>
              <w:rPr>
                <w:i/>
                <w:sz w:val="22"/>
                <w:szCs w:val="22"/>
                <w:lang w:val="sr-Latn-ME"/>
              </w:rPr>
            </w:pPr>
            <w:r w:rsidRPr="00FB6F73">
              <w:rPr>
                <w:i/>
                <w:sz w:val="22"/>
                <w:szCs w:val="22"/>
                <w:lang w:val="sr-Latn-ME"/>
              </w:rPr>
              <w:t>medijastinalni</w:t>
            </w:r>
          </w:p>
        </w:tc>
        <w:tc>
          <w:tcPr>
            <w:tcW w:w="1565" w:type="dxa"/>
            <w:vMerge/>
          </w:tcPr>
          <w:p w14:paraId="137E9029" w14:textId="77777777" w:rsidR="00F10335" w:rsidRPr="00FB6F73" w:rsidRDefault="00F10335" w:rsidP="00F10335">
            <w:pPr>
              <w:widowControl w:val="0"/>
              <w:autoSpaceDE w:val="0"/>
              <w:autoSpaceDN w:val="0"/>
              <w:rPr>
                <w:sz w:val="22"/>
                <w:szCs w:val="22"/>
                <w:lang w:val="sr-Latn-ME"/>
              </w:rPr>
            </w:pPr>
          </w:p>
        </w:tc>
        <w:tc>
          <w:tcPr>
            <w:tcW w:w="1642" w:type="dxa"/>
            <w:tcBorders>
              <w:top w:val="nil"/>
              <w:bottom w:val="nil"/>
            </w:tcBorders>
          </w:tcPr>
          <w:p w14:paraId="796D3661" w14:textId="77777777" w:rsidR="00F10335" w:rsidRPr="00FB6F73" w:rsidRDefault="00F10335" w:rsidP="00F10335">
            <w:pPr>
              <w:widowControl w:val="0"/>
              <w:autoSpaceDE w:val="0"/>
              <w:autoSpaceDN w:val="0"/>
              <w:rPr>
                <w:sz w:val="22"/>
                <w:szCs w:val="22"/>
                <w:lang w:val="sr-Latn-ME"/>
              </w:rPr>
            </w:pPr>
          </w:p>
        </w:tc>
        <w:tc>
          <w:tcPr>
            <w:tcW w:w="1805" w:type="dxa"/>
            <w:tcBorders>
              <w:top w:val="nil"/>
              <w:bottom w:val="nil"/>
            </w:tcBorders>
          </w:tcPr>
          <w:p w14:paraId="6DCC1DFF" w14:textId="15EFE7F7" w:rsidR="00F10335" w:rsidRPr="00FB6F73" w:rsidRDefault="005C1819" w:rsidP="00F10335">
            <w:pPr>
              <w:widowControl w:val="0"/>
              <w:autoSpaceDE w:val="0"/>
              <w:autoSpaceDN w:val="0"/>
              <w:rPr>
                <w:sz w:val="22"/>
                <w:szCs w:val="22"/>
                <w:lang w:val="sr-Latn-ME"/>
              </w:rPr>
            </w:pPr>
            <w:r w:rsidRPr="00FB6F73">
              <w:rPr>
                <w:sz w:val="22"/>
                <w:szCs w:val="22"/>
                <w:lang w:val="sr-Latn-ME"/>
              </w:rPr>
              <w:t xml:space="preserve">  </w:t>
            </w:r>
            <w:r w:rsidR="007007B3" w:rsidRPr="00FB6F73">
              <w:rPr>
                <w:sz w:val="22"/>
                <w:szCs w:val="22"/>
                <w:lang w:val="sr-Latn-ME"/>
              </w:rPr>
              <w:t>(IBP)</w:t>
            </w:r>
            <w:r w:rsidR="007007B3" w:rsidRPr="00FB6F73">
              <w:rPr>
                <w:position w:val="10"/>
                <w:sz w:val="22"/>
                <w:szCs w:val="22"/>
                <w:lang w:val="sr-Latn-ME"/>
              </w:rPr>
              <w:t xml:space="preserve"> </w:t>
            </w:r>
            <w:r w:rsidR="007007B3" w:rsidRPr="00FB6F73">
              <w:rPr>
                <w:position w:val="10"/>
                <w:sz w:val="22"/>
                <w:szCs w:val="22"/>
                <w:vertAlign w:val="superscript"/>
                <w:lang w:val="sr-Latn-ME"/>
              </w:rPr>
              <w:t>3</w:t>
            </w:r>
          </w:p>
        </w:tc>
        <w:tc>
          <w:tcPr>
            <w:tcW w:w="1622" w:type="dxa"/>
            <w:vMerge/>
          </w:tcPr>
          <w:p w14:paraId="4AA7BC18" w14:textId="77777777" w:rsidR="00F10335" w:rsidRPr="00FB6F73" w:rsidRDefault="00F10335" w:rsidP="00F10335">
            <w:pPr>
              <w:widowControl w:val="0"/>
              <w:autoSpaceDE w:val="0"/>
              <w:autoSpaceDN w:val="0"/>
              <w:rPr>
                <w:sz w:val="22"/>
                <w:szCs w:val="22"/>
                <w:lang w:val="sr-Latn-ME"/>
              </w:rPr>
            </w:pPr>
          </w:p>
        </w:tc>
        <w:tc>
          <w:tcPr>
            <w:tcW w:w="1464" w:type="dxa"/>
            <w:vMerge/>
          </w:tcPr>
          <w:p w14:paraId="1FE7B352" w14:textId="77777777" w:rsidR="00F10335" w:rsidRPr="00FB6F73" w:rsidRDefault="00F10335" w:rsidP="00F10335">
            <w:pPr>
              <w:widowControl w:val="0"/>
              <w:autoSpaceDE w:val="0"/>
              <w:autoSpaceDN w:val="0"/>
              <w:rPr>
                <w:sz w:val="22"/>
                <w:szCs w:val="22"/>
                <w:lang w:val="sr-Latn-ME"/>
              </w:rPr>
            </w:pPr>
          </w:p>
        </w:tc>
      </w:tr>
      <w:tr w:rsidR="00F10335" w:rsidRPr="00FB6F73" w14:paraId="51DD7E8E" w14:textId="77777777" w:rsidTr="00AE24D2">
        <w:trPr>
          <w:trHeight w:hRule="exact" w:val="523"/>
        </w:trPr>
        <w:tc>
          <w:tcPr>
            <w:tcW w:w="1762" w:type="dxa"/>
            <w:tcBorders>
              <w:top w:val="nil"/>
            </w:tcBorders>
          </w:tcPr>
          <w:p w14:paraId="54E7B28D" w14:textId="77777777" w:rsidR="00F10335" w:rsidRPr="00FB6F73" w:rsidRDefault="00F10335" w:rsidP="00F10335">
            <w:pPr>
              <w:widowControl w:val="0"/>
              <w:autoSpaceDE w:val="0"/>
              <w:autoSpaceDN w:val="0"/>
              <w:spacing w:line="249" w:lineRule="exact"/>
              <w:ind w:left="105"/>
              <w:rPr>
                <w:i/>
                <w:sz w:val="22"/>
                <w:szCs w:val="22"/>
                <w:lang w:val="sr-Latn-ME"/>
              </w:rPr>
            </w:pPr>
            <w:r w:rsidRPr="00FB6F73">
              <w:rPr>
                <w:i/>
                <w:sz w:val="22"/>
                <w:szCs w:val="22"/>
                <w:lang w:val="sr-Latn-ME"/>
              </w:rPr>
              <w:t>poremećaji</w:t>
            </w:r>
          </w:p>
        </w:tc>
        <w:tc>
          <w:tcPr>
            <w:tcW w:w="1565" w:type="dxa"/>
            <w:vMerge/>
          </w:tcPr>
          <w:p w14:paraId="57B9ADFA" w14:textId="77777777" w:rsidR="00F10335" w:rsidRPr="00FB6F73" w:rsidRDefault="00F10335" w:rsidP="00F10335">
            <w:pPr>
              <w:widowControl w:val="0"/>
              <w:autoSpaceDE w:val="0"/>
              <w:autoSpaceDN w:val="0"/>
              <w:rPr>
                <w:sz w:val="22"/>
                <w:szCs w:val="22"/>
                <w:lang w:val="sr-Latn-ME"/>
              </w:rPr>
            </w:pPr>
          </w:p>
        </w:tc>
        <w:tc>
          <w:tcPr>
            <w:tcW w:w="1642" w:type="dxa"/>
            <w:tcBorders>
              <w:top w:val="nil"/>
            </w:tcBorders>
          </w:tcPr>
          <w:p w14:paraId="09543919" w14:textId="77777777" w:rsidR="00F10335" w:rsidRPr="00FB6F73" w:rsidRDefault="00F10335" w:rsidP="00F10335">
            <w:pPr>
              <w:widowControl w:val="0"/>
              <w:autoSpaceDE w:val="0"/>
              <w:autoSpaceDN w:val="0"/>
              <w:rPr>
                <w:sz w:val="22"/>
                <w:szCs w:val="22"/>
                <w:lang w:val="sr-Latn-ME"/>
              </w:rPr>
            </w:pPr>
          </w:p>
        </w:tc>
        <w:tc>
          <w:tcPr>
            <w:tcW w:w="1805" w:type="dxa"/>
            <w:tcBorders>
              <w:top w:val="nil"/>
            </w:tcBorders>
          </w:tcPr>
          <w:p w14:paraId="7F1F2F6C" w14:textId="77777777" w:rsidR="00F10335" w:rsidRPr="00FB6F73" w:rsidRDefault="00F10335" w:rsidP="00F10335">
            <w:pPr>
              <w:widowControl w:val="0"/>
              <w:autoSpaceDE w:val="0"/>
              <w:autoSpaceDN w:val="0"/>
              <w:rPr>
                <w:sz w:val="22"/>
                <w:szCs w:val="22"/>
                <w:lang w:val="sr-Latn-ME"/>
              </w:rPr>
            </w:pPr>
          </w:p>
        </w:tc>
        <w:tc>
          <w:tcPr>
            <w:tcW w:w="1622" w:type="dxa"/>
            <w:vMerge/>
          </w:tcPr>
          <w:p w14:paraId="6A6B3D0A" w14:textId="77777777" w:rsidR="00F10335" w:rsidRPr="00FB6F73" w:rsidRDefault="00F10335" w:rsidP="00F10335">
            <w:pPr>
              <w:widowControl w:val="0"/>
              <w:autoSpaceDE w:val="0"/>
              <w:autoSpaceDN w:val="0"/>
              <w:rPr>
                <w:sz w:val="22"/>
                <w:szCs w:val="22"/>
                <w:lang w:val="sr-Latn-ME"/>
              </w:rPr>
            </w:pPr>
          </w:p>
        </w:tc>
        <w:tc>
          <w:tcPr>
            <w:tcW w:w="1464" w:type="dxa"/>
            <w:vMerge/>
          </w:tcPr>
          <w:p w14:paraId="2F119DBF" w14:textId="77777777" w:rsidR="00F10335" w:rsidRPr="00FB6F73" w:rsidRDefault="00F10335" w:rsidP="00F10335">
            <w:pPr>
              <w:widowControl w:val="0"/>
              <w:autoSpaceDE w:val="0"/>
              <w:autoSpaceDN w:val="0"/>
              <w:rPr>
                <w:sz w:val="22"/>
                <w:szCs w:val="22"/>
                <w:lang w:val="sr-Latn-ME"/>
              </w:rPr>
            </w:pPr>
          </w:p>
        </w:tc>
      </w:tr>
      <w:tr w:rsidR="00F10335" w:rsidRPr="00FB6F73" w14:paraId="754BA8EE" w14:textId="77777777" w:rsidTr="00FB6F73">
        <w:trPr>
          <w:trHeight w:hRule="exact" w:val="890"/>
        </w:trPr>
        <w:tc>
          <w:tcPr>
            <w:tcW w:w="1762" w:type="dxa"/>
          </w:tcPr>
          <w:p w14:paraId="394CE314" w14:textId="77777777" w:rsidR="00F10335" w:rsidRPr="00FB6F73" w:rsidRDefault="00F10335" w:rsidP="00F10335">
            <w:pPr>
              <w:widowControl w:val="0"/>
              <w:autoSpaceDE w:val="0"/>
              <w:autoSpaceDN w:val="0"/>
              <w:spacing w:line="242" w:lineRule="auto"/>
              <w:ind w:left="105" w:right="86"/>
              <w:rPr>
                <w:i/>
                <w:sz w:val="22"/>
                <w:szCs w:val="22"/>
                <w:lang w:val="sr-Latn-ME"/>
              </w:rPr>
            </w:pPr>
            <w:r w:rsidRPr="00FB6F73">
              <w:rPr>
                <w:i/>
                <w:sz w:val="22"/>
                <w:szCs w:val="22"/>
                <w:lang w:val="sr-Latn-ME"/>
              </w:rPr>
              <w:t>Gastrontestinalni poremećaji</w:t>
            </w:r>
          </w:p>
        </w:tc>
        <w:tc>
          <w:tcPr>
            <w:tcW w:w="1565" w:type="dxa"/>
          </w:tcPr>
          <w:p w14:paraId="55B059C5" w14:textId="39FD3B42" w:rsidR="00F10335" w:rsidRPr="00FB6F73" w:rsidRDefault="00F10335" w:rsidP="00F10335">
            <w:pPr>
              <w:widowControl w:val="0"/>
              <w:autoSpaceDE w:val="0"/>
              <w:autoSpaceDN w:val="0"/>
              <w:spacing w:line="244" w:lineRule="exact"/>
              <w:ind w:left="100"/>
              <w:rPr>
                <w:sz w:val="22"/>
                <w:szCs w:val="22"/>
                <w:lang w:val="sr-Latn-ME"/>
              </w:rPr>
            </w:pPr>
            <w:r w:rsidRPr="00FB6F73">
              <w:rPr>
                <w:sz w:val="22"/>
                <w:szCs w:val="22"/>
                <w:lang w:val="sr-Latn-ME"/>
              </w:rPr>
              <w:t>-Dijarej</w:t>
            </w:r>
            <w:r w:rsidR="00FB6F73">
              <w:rPr>
                <w:sz w:val="22"/>
                <w:szCs w:val="22"/>
                <w:lang w:val="sr-Latn-ME"/>
              </w:rPr>
              <w:t>a</w:t>
            </w:r>
            <w:r w:rsidR="00FB6F73" w:rsidRPr="00FB6F73">
              <w:rPr>
                <w:sz w:val="22"/>
                <w:szCs w:val="22"/>
                <w:vertAlign w:val="superscript"/>
                <w:lang w:val="sr-Latn-ME"/>
              </w:rPr>
              <w:t>7</w:t>
            </w:r>
          </w:p>
        </w:tc>
        <w:tc>
          <w:tcPr>
            <w:tcW w:w="1642" w:type="dxa"/>
          </w:tcPr>
          <w:p w14:paraId="6970BCCC" w14:textId="1C9CDBD9" w:rsidR="00F10335" w:rsidRPr="00FB6F73" w:rsidRDefault="00F10335" w:rsidP="00F10335">
            <w:pPr>
              <w:widowControl w:val="0"/>
              <w:autoSpaceDE w:val="0"/>
              <w:autoSpaceDN w:val="0"/>
              <w:spacing w:line="230" w:lineRule="auto"/>
              <w:ind w:left="105" w:right="123"/>
              <w:rPr>
                <w:sz w:val="22"/>
                <w:szCs w:val="22"/>
                <w:lang w:val="sr-Latn-ME"/>
              </w:rPr>
            </w:pPr>
            <w:r w:rsidRPr="00FB6F73">
              <w:rPr>
                <w:sz w:val="22"/>
                <w:szCs w:val="22"/>
                <w:lang w:val="sr-Latn-ME"/>
              </w:rPr>
              <w:t>-Gastrointesti nalno krvarenje</w:t>
            </w:r>
            <w:r w:rsidR="00FB6F73">
              <w:rPr>
                <w:position w:val="10"/>
                <w:sz w:val="22"/>
                <w:szCs w:val="22"/>
                <w:vertAlign w:val="superscript"/>
                <w:lang w:val="sr-Latn-ME"/>
              </w:rPr>
              <w:t>4, 7</w:t>
            </w:r>
          </w:p>
        </w:tc>
        <w:tc>
          <w:tcPr>
            <w:tcW w:w="1805" w:type="dxa"/>
          </w:tcPr>
          <w:p w14:paraId="2507BCF8" w14:textId="4560DB88" w:rsidR="00F10335" w:rsidRPr="00FB6F73" w:rsidRDefault="00F10335" w:rsidP="00F10335">
            <w:pPr>
              <w:widowControl w:val="0"/>
              <w:autoSpaceDE w:val="0"/>
              <w:autoSpaceDN w:val="0"/>
              <w:spacing w:line="230" w:lineRule="auto"/>
              <w:ind w:left="105" w:right="387"/>
              <w:rPr>
                <w:sz w:val="22"/>
                <w:szCs w:val="22"/>
                <w:lang w:val="sr-Latn-ME"/>
              </w:rPr>
            </w:pPr>
            <w:r w:rsidRPr="00FB6F73">
              <w:rPr>
                <w:sz w:val="22"/>
                <w:szCs w:val="22"/>
                <w:lang w:val="sr-Latn-ME"/>
              </w:rPr>
              <w:t>-Gastrointesti nalne perforacij</w:t>
            </w:r>
            <w:r w:rsidR="00FB6F73">
              <w:rPr>
                <w:sz w:val="22"/>
                <w:szCs w:val="22"/>
                <w:lang w:val="sr-Latn-ME"/>
              </w:rPr>
              <w:t>e</w:t>
            </w:r>
            <w:r w:rsidR="00FB6F73" w:rsidRPr="00FB6F73">
              <w:rPr>
                <w:sz w:val="22"/>
                <w:szCs w:val="22"/>
                <w:vertAlign w:val="superscript"/>
                <w:lang w:val="sr-Latn-ME"/>
              </w:rPr>
              <w:t>7</w:t>
            </w:r>
          </w:p>
        </w:tc>
        <w:tc>
          <w:tcPr>
            <w:tcW w:w="1622" w:type="dxa"/>
          </w:tcPr>
          <w:p w14:paraId="34E94E49" w14:textId="77777777" w:rsidR="00F10335" w:rsidRPr="00FB6F73" w:rsidRDefault="00F10335" w:rsidP="00F10335">
            <w:pPr>
              <w:widowControl w:val="0"/>
              <w:autoSpaceDE w:val="0"/>
              <w:autoSpaceDN w:val="0"/>
              <w:rPr>
                <w:sz w:val="22"/>
                <w:szCs w:val="22"/>
                <w:lang w:val="sr-Latn-ME"/>
              </w:rPr>
            </w:pPr>
          </w:p>
        </w:tc>
        <w:tc>
          <w:tcPr>
            <w:tcW w:w="1464" w:type="dxa"/>
          </w:tcPr>
          <w:p w14:paraId="756D1857" w14:textId="77777777" w:rsidR="00F10335" w:rsidRPr="00FB6F73" w:rsidRDefault="00F10335" w:rsidP="00F10335">
            <w:pPr>
              <w:widowControl w:val="0"/>
              <w:autoSpaceDE w:val="0"/>
              <w:autoSpaceDN w:val="0"/>
              <w:rPr>
                <w:sz w:val="22"/>
                <w:szCs w:val="22"/>
                <w:lang w:val="sr-Latn-ME"/>
              </w:rPr>
            </w:pPr>
          </w:p>
        </w:tc>
      </w:tr>
      <w:tr w:rsidR="00F10335" w:rsidRPr="00FB6F73" w14:paraId="5D89DC9F" w14:textId="77777777" w:rsidTr="00FB6F73">
        <w:trPr>
          <w:trHeight w:hRule="exact" w:val="705"/>
        </w:trPr>
        <w:tc>
          <w:tcPr>
            <w:tcW w:w="1762" w:type="dxa"/>
            <w:tcBorders>
              <w:bottom w:val="nil"/>
            </w:tcBorders>
          </w:tcPr>
          <w:p w14:paraId="729C9EE1" w14:textId="77777777" w:rsidR="00F10335" w:rsidRPr="00FB6F73" w:rsidRDefault="00F10335" w:rsidP="00F10335">
            <w:pPr>
              <w:widowControl w:val="0"/>
              <w:autoSpaceDE w:val="0"/>
              <w:autoSpaceDN w:val="0"/>
              <w:spacing w:line="237" w:lineRule="auto"/>
              <w:ind w:left="105" w:right="258"/>
              <w:rPr>
                <w:i/>
                <w:sz w:val="22"/>
                <w:szCs w:val="22"/>
                <w:lang w:val="sr-Latn-ME"/>
              </w:rPr>
            </w:pPr>
            <w:r w:rsidRPr="00FB6F73">
              <w:rPr>
                <w:i/>
                <w:sz w:val="22"/>
                <w:szCs w:val="22"/>
                <w:lang w:val="sr-Latn-ME"/>
              </w:rPr>
              <w:t>Hepatobilijarni poremećaji</w:t>
            </w:r>
          </w:p>
        </w:tc>
        <w:tc>
          <w:tcPr>
            <w:tcW w:w="1565" w:type="dxa"/>
            <w:tcBorders>
              <w:bottom w:val="nil"/>
            </w:tcBorders>
          </w:tcPr>
          <w:p w14:paraId="7D8817A5" w14:textId="77777777" w:rsidR="00F10335" w:rsidRPr="00FB6F73" w:rsidRDefault="00F10335" w:rsidP="00F10335">
            <w:pPr>
              <w:widowControl w:val="0"/>
              <w:autoSpaceDE w:val="0"/>
              <w:autoSpaceDN w:val="0"/>
              <w:spacing w:line="237" w:lineRule="auto"/>
              <w:ind w:left="100"/>
              <w:rPr>
                <w:sz w:val="22"/>
                <w:szCs w:val="22"/>
                <w:lang w:val="sr-Latn-ME"/>
              </w:rPr>
            </w:pPr>
            <w:r w:rsidRPr="00FB6F73">
              <w:rPr>
                <w:sz w:val="22"/>
                <w:szCs w:val="22"/>
                <w:lang w:val="sr-Latn-ME"/>
              </w:rPr>
              <w:t>-Abnormalni rezultati</w:t>
            </w:r>
          </w:p>
        </w:tc>
        <w:tc>
          <w:tcPr>
            <w:tcW w:w="1642" w:type="dxa"/>
            <w:vMerge w:val="restart"/>
          </w:tcPr>
          <w:p w14:paraId="69000329" w14:textId="7851A1F8" w:rsidR="00F10335" w:rsidRPr="00FB6F73" w:rsidRDefault="00F10335" w:rsidP="00F10335">
            <w:pPr>
              <w:widowControl w:val="0"/>
              <w:autoSpaceDE w:val="0"/>
              <w:autoSpaceDN w:val="0"/>
              <w:rPr>
                <w:sz w:val="22"/>
                <w:szCs w:val="22"/>
                <w:lang w:val="sr-Latn-ME"/>
              </w:rPr>
            </w:pPr>
          </w:p>
        </w:tc>
        <w:tc>
          <w:tcPr>
            <w:tcW w:w="1805" w:type="dxa"/>
            <w:vMerge w:val="restart"/>
          </w:tcPr>
          <w:p w14:paraId="40861D3A" w14:textId="77777777" w:rsidR="00F10335" w:rsidRPr="00FB6F73" w:rsidRDefault="00F10335" w:rsidP="00F10335">
            <w:pPr>
              <w:widowControl w:val="0"/>
              <w:autoSpaceDE w:val="0"/>
              <w:autoSpaceDN w:val="0"/>
              <w:rPr>
                <w:sz w:val="22"/>
                <w:szCs w:val="22"/>
                <w:lang w:val="sr-Latn-ME"/>
              </w:rPr>
            </w:pPr>
          </w:p>
        </w:tc>
        <w:tc>
          <w:tcPr>
            <w:tcW w:w="1622" w:type="dxa"/>
            <w:tcBorders>
              <w:bottom w:val="nil"/>
            </w:tcBorders>
          </w:tcPr>
          <w:p w14:paraId="741C1209" w14:textId="77777777" w:rsidR="00F10335" w:rsidRPr="00FB6F73" w:rsidRDefault="00F10335" w:rsidP="00F10335">
            <w:pPr>
              <w:widowControl w:val="0"/>
              <w:autoSpaceDE w:val="0"/>
              <w:autoSpaceDN w:val="0"/>
              <w:spacing w:before="14" w:line="213" w:lineRule="auto"/>
              <w:ind w:left="105" w:right="229"/>
              <w:rPr>
                <w:sz w:val="22"/>
                <w:szCs w:val="22"/>
                <w:lang w:val="sr-Latn-ME"/>
              </w:rPr>
            </w:pPr>
            <w:r w:rsidRPr="00FB6F73">
              <w:rPr>
                <w:sz w:val="22"/>
                <w:szCs w:val="22"/>
                <w:lang w:val="sr-Latn-ME"/>
              </w:rPr>
              <w:t>Insuficijencija jetre</w:t>
            </w:r>
            <w:r w:rsidRPr="00FB6F73">
              <w:rPr>
                <w:position w:val="10"/>
                <w:sz w:val="22"/>
                <w:szCs w:val="22"/>
                <w:lang w:val="sr-Latn-ME"/>
              </w:rPr>
              <w:t>6</w:t>
            </w:r>
          </w:p>
        </w:tc>
        <w:tc>
          <w:tcPr>
            <w:tcW w:w="1464" w:type="dxa"/>
            <w:vMerge w:val="restart"/>
          </w:tcPr>
          <w:p w14:paraId="73ECC68C" w14:textId="77777777" w:rsidR="00F10335" w:rsidRPr="00FB6F73" w:rsidRDefault="00F10335" w:rsidP="00F10335">
            <w:pPr>
              <w:widowControl w:val="0"/>
              <w:autoSpaceDE w:val="0"/>
              <w:autoSpaceDN w:val="0"/>
              <w:rPr>
                <w:sz w:val="22"/>
                <w:szCs w:val="22"/>
                <w:lang w:val="sr-Latn-ME"/>
              </w:rPr>
            </w:pPr>
          </w:p>
        </w:tc>
      </w:tr>
      <w:tr w:rsidR="00F10335" w:rsidRPr="00FB6F73" w14:paraId="7C16DAA2" w14:textId="77777777" w:rsidTr="00FB6F73">
        <w:trPr>
          <w:trHeight w:hRule="exact" w:val="289"/>
        </w:trPr>
        <w:tc>
          <w:tcPr>
            <w:tcW w:w="1762" w:type="dxa"/>
            <w:tcBorders>
              <w:top w:val="nil"/>
              <w:bottom w:val="nil"/>
            </w:tcBorders>
          </w:tcPr>
          <w:p w14:paraId="0CE1B208" w14:textId="77777777" w:rsidR="00F10335" w:rsidRPr="00FB6F73" w:rsidRDefault="00F10335" w:rsidP="00F10335">
            <w:pPr>
              <w:widowControl w:val="0"/>
              <w:autoSpaceDE w:val="0"/>
              <w:autoSpaceDN w:val="0"/>
              <w:rPr>
                <w:sz w:val="22"/>
                <w:szCs w:val="22"/>
                <w:lang w:val="sr-Latn-ME"/>
              </w:rPr>
            </w:pPr>
          </w:p>
        </w:tc>
        <w:tc>
          <w:tcPr>
            <w:tcW w:w="1565" w:type="dxa"/>
            <w:tcBorders>
              <w:top w:val="nil"/>
              <w:bottom w:val="nil"/>
            </w:tcBorders>
          </w:tcPr>
          <w:p w14:paraId="49779075" w14:textId="77777777" w:rsidR="00F10335" w:rsidRPr="00FB6F73" w:rsidRDefault="00F10335" w:rsidP="00F10335">
            <w:pPr>
              <w:widowControl w:val="0"/>
              <w:autoSpaceDE w:val="0"/>
              <w:autoSpaceDN w:val="0"/>
              <w:spacing w:line="249" w:lineRule="exact"/>
              <w:ind w:left="100"/>
              <w:rPr>
                <w:sz w:val="22"/>
                <w:szCs w:val="22"/>
                <w:lang w:val="sr-Latn-ME"/>
              </w:rPr>
            </w:pPr>
            <w:r w:rsidRPr="00FB6F73">
              <w:rPr>
                <w:sz w:val="22"/>
                <w:szCs w:val="22"/>
                <w:lang w:val="sr-Latn-ME"/>
              </w:rPr>
              <w:t>ispitivanja</w:t>
            </w:r>
          </w:p>
        </w:tc>
        <w:tc>
          <w:tcPr>
            <w:tcW w:w="1642" w:type="dxa"/>
            <w:vMerge/>
          </w:tcPr>
          <w:p w14:paraId="0AEDB126" w14:textId="77777777" w:rsidR="00F10335" w:rsidRPr="00FB6F73" w:rsidRDefault="00F10335" w:rsidP="00F10335">
            <w:pPr>
              <w:widowControl w:val="0"/>
              <w:autoSpaceDE w:val="0"/>
              <w:autoSpaceDN w:val="0"/>
              <w:rPr>
                <w:sz w:val="22"/>
                <w:szCs w:val="22"/>
                <w:lang w:val="sr-Latn-ME"/>
              </w:rPr>
            </w:pPr>
          </w:p>
        </w:tc>
        <w:tc>
          <w:tcPr>
            <w:tcW w:w="1805" w:type="dxa"/>
            <w:vMerge/>
          </w:tcPr>
          <w:p w14:paraId="5BB1ADB5" w14:textId="77777777" w:rsidR="00F10335" w:rsidRPr="00FB6F73" w:rsidRDefault="00F10335" w:rsidP="00F10335">
            <w:pPr>
              <w:widowControl w:val="0"/>
              <w:autoSpaceDE w:val="0"/>
              <w:autoSpaceDN w:val="0"/>
              <w:rPr>
                <w:sz w:val="22"/>
                <w:szCs w:val="22"/>
                <w:lang w:val="sr-Latn-ME"/>
              </w:rPr>
            </w:pPr>
          </w:p>
        </w:tc>
        <w:tc>
          <w:tcPr>
            <w:tcW w:w="1622" w:type="dxa"/>
            <w:tcBorders>
              <w:top w:val="nil"/>
              <w:bottom w:val="nil"/>
            </w:tcBorders>
          </w:tcPr>
          <w:p w14:paraId="4A61EDB7" w14:textId="77777777" w:rsidR="00F10335" w:rsidRPr="00FB6F73" w:rsidRDefault="00F10335" w:rsidP="00F10335">
            <w:pPr>
              <w:widowControl w:val="0"/>
              <w:autoSpaceDE w:val="0"/>
              <w:autoSpaceDN w:val="0"/>
              <w:rPr>
                <w:sz w:val="22"/>
                <w:szCs w:val="22"/>
                <w:lang w:val="sr-Latn-ME"/>
              </w:rPr>
            </w:pPr>
          </w:p>
        </w:tc>
        <w:tc>
          <w:tcPr>
            <w:tcW w:w="1464" w:type="dxa"/>
            <w:vMerge/>
          </w:tcPr>
          <w:p w14:paraId="29E97414" w14:textId="77777777" w:rsidR="00F10335" w:rsidRPr="00FB6F73" w:rsidRDefault="00F10335" w:rsidP="00F10335">
            <w:pPr>
              <w:widowControl w:val="0"/>
              <w:autoSpaceDE w:val="0"/>
              <w:autoSpaceDN w:val="0"/>
              <w:rPr>
                <w:sz w:val="22"/>
                <w:szCs w:val="22"/>
                <w:lang w:val="sr-Latn-ME"/>
              </w:rPr>
            </w:pPr>
          </w:p>
        </w:tc>
      </w:tr>
      <w:tr w:rsidR="00F10335" w:rsidRPr="00FB6F73" w14:paraId="37A8B34A" w14:textId="77777777" w:rsidTr="00FB6F73">
        <w:trPr>
          <w:trHeight w:hRule="exact" w:val="389"/>
        </w:trPr>
        <w:tc>
          <w:tcPr>
            <w:tcW w:w="1762" w:type="dxa"/>
            <w:tcBorders>
              <w:top w:val="nil"/>
            </w:tcBorders>
          </w:tcPr>
          <w:p w14:paraId="13CE81F9" w14:textId="77777777" w:rsidR="00F10335" w:rsidRPr="00FB6F73" w:rsidRDefault="00F10335" w:rsidP="00F10335">
            <w:pPr>
              <w:widowControl w:val="0"/>
              <w:autoSpaceDE w:val="0"/>
              <w:autoSpaceDN w:val="0"/>
              <w:rPr>
                <w:sz w:val="22"/>
                <w:szCs w:val="22"/>
                <w:lang w:val="sr-Latn-ME"/>
              </w:rPr>
            </w:pPr>
          </w:p>
        </w:tc>
        <w:tc>
          <w:tcPr>
            <w:tcW w:w="1565" w:type="dxa"/>
            <w:tcBorders>
              <w:top w:val="nil"/>
            </w:tcBorders>
          </w:tcPr>
          <w:p w14:paraId="745CF084" w14:textId="296D5984" w:rsidR="00F10335" w:rsidRPr="00FB6F73" w:rsidRDefault="00F10335" w:rsidP="00FB6F73">
            <w:pPr>
              <w:widowControl w:val="0"/>
              <w:autoSpaceDE w:val="0"/>
              <w:autoSpaceDN w:val="0"/>
              <w:spacing w:line="263" w:lineRule="exact"/>
              <w:ind w:left="100"/>
              <w:rPr>
                <w:sz w:val="22"/>
                <w:szCs w:val="22"/>
                <w:lang w:val="sr-Latn-ME"/>
              </w:rPr>
            </w:pPr>
            <w:r w:rsidRPr="00FB6F73">
              <w:rPr>
                <w:sz w:val="22"/>
                <w:szCs w:val="22"/>
                <w:lang w:val="sr-Latn-ME"/>
              </w:rPr>
              <w:t>funkcije jetre</w:t>
            </w:r>
            <w:r w:rsidR="00FB6F73" w:rsidRPr="00FB6F73">
              <w:rPr>
                <w:sz w:val="22"/>
                <w:szCs w:val="22"/>
                <w:vertAlign w:val="superscript"/>
                <w:lang w:val="sr-Latn-ME"/>
              </w:rPr>
              <w:t>5</w:t>
            </w:r>
          </w:p>
        </w:tc>
        <w:tc>
          <w:tcPr>
            <w:tcW w:w="1642" w:type="dxa"/>
            <w:vMerge/>
          </w:tcPr>
          <w:p w14:paraId="2C83E799" w14:textId="77777777" w:rsidR="00F10335" w:rsidRPr="00FB6F73" w:rsidRDefault="00F10335" w:rsidP="00F10335">
            <w:pPr>
              <w:widowControl w:val="0"/>
              <w:autoSpaceDE w:val="0"/>
              <w:autoSpaceDN w:val="0"/>
              <w:rPr>
                <w:sz w:val="22"/>
                <w:szCs w:val="22"/>
                <w:lang w:val="sr-Latn-ME"/>
              </w:rPr>
            </w:pPr>
          </w:p>
        </w:tc>
        <w:tc>
          <w:tcPr>
            <w:tcW w:w="1805" w:type="dxa"/>
            <w:vMerge/>
          </w:tcPr>
          <w:p w14:paraId="5B58A4EF" w14:textId="77777777" w:rsidR="00F10335" w:rsidRPr="00FB6F73" w:rsidRDefault="00F10335" w:rsidP="00F10335">
            <w:pPr>
              <w:widowControl w:val="0"/>
              <w:autoSpaceDE w:val="0"/>
              <w:autoSpaceDN w:val="0"/>
              <w:rPr>
                <w:sz w:val="22"/>
                <w:szCs w:val="22"/>
                <w:lang w:val="sr-Latn-ME"/>
              </w:rPr>
            </w:pPr>
          </w:p>
        </w:tc>
        <w:tc>
          <w:tcPr>
            <w:tcW w:w="1622" w:type="dxa"/>
            <w:tcBorders>
              <w:top w:val="nil"/>
            </w:tcBorders>
          </w:tcPr>
          <w:p w14:paraId="72BC422F" w14:textId="77777777" w:rsidR="00F10335" w:rsidRPr="00FB6F73" w:rsidRDefault="00F10335" w:rsidP="00F10335">
            <w:pPr>
              <w:widowControl w:val="0"/>
              <w:autoSpaceDE w:val="0"/>
              <w:autoSpaceDN w:val="0"/>
              <w:rPr>
                <w:sz w:val="22"/>
                <w:szCs w:val="22"/>
                <w:lang w:val="sr-Latn-ME"/>
              </w:rPr>
            </w:pPr>
          </w:p>
        </w:tc>
        <w:tc>
          <w:tcPr>
            <w:tcW w:w="1464" w:type="dxa"/>
            <w:vMerge/>
          </w:tcPr>
          <w:p w14:paraId="3B43EB5A" w14:textId="77777777" w:rsidR="00F10335" w:rsidRPr="00FB6F73" w:rsidRDefault="00F10335" w:rsidP="00F10335">
            <w:pPr>
              <w:widowControl w:val="0"/>
              <w:autoSpaceDE w:val="0"/>
              <w:autoSpaceDN w:val="0"/>
              <w:rPr>
                <w:sz w:val="22"/>
                <w:szCs w:val="22"/>
                <w:lang w:val="sr-Latn-ME"/>
              </w:rPr>
            </w:pPr>
          </w:p>
        </w:tc>
      </w:tr>
      <w:tr w:rsidR="00F10335" w:rsidRPr="00FB6F73" w14:paraId="366FC433" w14:textId="77777777" w:rsidTr="00F10335">
        <w:trPr>
          <w:trHeight w:hRule="exact" w:val="504"/>
        </w:trPr>
        <w:tc>
          <w:tcPr>
            <w:tcW w:w="1762" w:type="dxa"/>
            <w:tcBorders>
              <w:bottom w:val="nil"/>
            </w:tcBorders>
          </w:tcPr>
          <w:p w14:paraId="5DF2DE52" w14:textId="77777777" w:rsidR="00F10335" w:rsidRPr="00FB6F73" w:rsidRDefault="00F10335" w:rsidP="00F10335">
            <w:pPr>
              <w:widowControl w:val="0"/>
              <w:autoSpaceDE w:val="0"/>
              <w:autoSpaceDN w:val="0"/>
              <w:spacing w:line="237" w:lineRule="auto"/>
              <w:ind w:left="105" w:right="125"/>
              <w:rPr>
                <w:i/>
                <w:sz w:val="22"/>
                <w:szCs w:val="22"/>
                <w:lang w:val="sr-Latn-ME"/>
              </w:rPr>
            </w:pPr>
            <w:r w:rsidRPr="00FB6F73">
              <w:rPr>
                <w:i/>
                <w:sz w:val="22"/>
                <w:szCs w:val="22"/>
                <w:lang w:val="sr-Latn-ME"/>
              </w:rPr>
              <w:t>Poremećaji kože i potkožnog tkiva</w:t>
            </w:r>
          </w:p>
        </w:tc>
        <w:tc>
          <w:tcPr>
            <w:tcW w:w="1565" w:type="dxa"/>
            <w:tcBorders>
              <w:bottom w:val="nil"/>
            </w:tcBorders>
          </w:tcPr>
          <w:p w14:paraId="4947D1B8" w14:textId="77777777" w:rsidR="00F10335" w:rsidRPr="00FB6F73" w:rsidRDefault="00F10335" w:rsidP="00F10335">
            <w:pPr>
              <w:widowControl w:val="0"/>
              <w:autoSpaceDE w:val="0"/>
              <w:autoSpaceDN w:val="0"/>
              <w:spacing w:line="244" w:lineRule="exact"/>
              <w:ind w:left="100"/>
              <w:rPr>
                <w:i/>
                <w:sz w:val="22"/>
                <w:szCs w:val="22"/>
                <w:lang w:val="sr-Latn-ME"/>
              </w:rPr>
            </w:pPr>
            <w:r w:rsidRPr="00FB6F73">
              <w:rPr>
                <w:i/>
                <w:sz w:val="22"/>
                <w:szCs w:val="22"/>
                <w:lang w:val="sr-Latn-ME"/>
              </w:rPr>
              <w:t>Osip</w:t>
            </w:r>
          </w:p>
        </w:tc>
        <w:tc>
          <w:tcPr>
            <w:tcW w:w="1642" w:type="dxa"/>
            <w:tcBorders>
              <w:bottom w:val="nil"/>
            </w:tcBorders>
          </w:tcPr>
          <w:p w14:paraId="63456931" w14:textId="77777777" w:rsidR="00F10335" w:rsidRPr="00FB6F73" w:rsidRDefault="00F10335" w:rsidP="00F10335">
            <w:pPr>
              <w:widowControl w:val="0"/>
              <w:autoSpaceDE w:val="0"/>
              <w:autoSpaceDN w:val="0"/>
              <w:spacing w:line="230" w:lineRule="exact"/>
              <w:ind w:left="105"/>
              <w:rPr>
                <w:sz w:val="22"/>
                <w:szCs w:val="22"/>
                <w:lang w:val="sr-Latn-ME"/>
              </w:rPr>
            </w:pPr>
            <w:r w:rsidRPr="00FB6F73">
              <w:rPr>
                <w:sz w:val="22"/>
                <w:szCs w:val="22"/>
                <w:lang w:val="sr-Latn-ME"/>
              </w:rPr>
              <w:t>-Alopecija</w:t>
            </w:r>
          </w:p>
          <w:p w14:paraId="78E16579" w14:textId="77777777" w:rsidR="00F10335" w:rsidRPr="00FB6F73" w:rsidRDefault="00F10335" w:rsidP="00F10335">
            <w:pPr>
              <w:widowControl w:val="0"/>
              <w:autoSpaceDE w:val="0"/>
              <w:autoSpaceDN w:val="0"/>
              <w:spacing w:line="264" w:lineRule="exact"/>
              <w:ind w:left="105"/>
              <w:rPr>
                <w:sz w:val="22"/>
                <w:szCs w:val="22"/>
                <w:lang w:val="sr-Latn-ME"/>
              </w:rPr>
            </w:pPr>
            <w:r w:rsidRPr="00FB6F73">
              <w:rPr>
                <w:sz w:val="22"/>
                <w:szCs w:val="22"/>
                <w:lang w:val="sr-Latn-ME"/>
              </w:rPr>
              <w:t>-Suva koža</w:t>
            </w:r>
            <w:r w:rsidRPr="00FB6F73">
              <w:rPr>
                <w:position w:val="10"/>
                <w:sz w:val="22"/>
                <w:szCs w:val="22"/>
                <w:lang w:val="sr-Latn-ME"/>
              </w:rPr>
              <w:t>1</w:t>
            </w:r>
          </w:p>
        </w:tc>
        <w:tc>
          <w:tcPr>
            <w:tcW w:w="1805" w:type="dxa"/>
            <w:tcBorders>
              <w:bottom w:val="nil"/>
            </w:tcBorders>
          </w:tcPr>
          <w:p w14:paraId="79FEC9A4" w14:textId="77777777" w:rsidR="00F10335" w:rsidRPr="00FB6F73" w:rsidRDefault="00F10335" w:rsidP="00F10335">
            <w:pPr>
              <w:widowControl w:val="0"/>
              <w:autoSpaceDE w:val="0"/>
              <w:autoSpaceDN w:val="0"/>
              <w:spacing w:line="243" w:lineRule="exact"/>
              <w:ind w:left="105"/>
              <w:rPr>
                <w:sz w:val="22"/>
                <w:szCs w:val="22"/>
                <w:lang w:val="sr-Latn-ME"/>
              </w:rPr>
            </w:pPr>
            <w:r w:rsidRPr="00FB6F73">
              <w:rPr>
                <w:sz w:val="22"/>
                <w:szCs w:val="22"/>
                <w:lang w:val="sr-Latn-ME"/>
              </w:rPr>
              <w:t>-Hirzuitizam</w:t>
            </w:r>
          </w:p>
          <w:p w14:paraId="3E8A8DFE" w14:textId="77777777" w:rsidR="00F10335" w:rsidRPr="00FB6F73" w:rsidRDefault="00F10335" w:rsidP="00F10335">
            <w:pPr>
              <w:widowControl w:val="0"/>
              <w:autoSpaceDE w:val="0"/>
              <w:autoSpaceDN w:val="0"/>
              <w:spacing w:line="251" w:lineRule="exact"/>
              <w:ind w:left="105"/>
              <w:rPr>
                <w:sz w:val="22"/>
                <w:szCs w:val="22"/>
                <w:lang w:val="sr-Latn-ME"/>
              </w:rPr>
            </w:pPr>
            <w:r w:rsidRPr="00FB6F73">
              <w:rPr>
                <w:sz w:val="22"/>
                <w:szCs w:val="22"/>
                <w:lang w:val="sr-Latn-ME"/>
              </w:rPr>
              <w:t>-Promene obrva</w:t>
            </w:r>
          </w:p>
        </w:tc>
        <w:tc>
          <w:tcPr>
            <w:tcW w:w="1622" w:type="dxa"/>
            <w:tcBorders>
              <w:bottom w:val="nil"/>
            </w:tcBorders>
          </w:tcPr>
          <w:p w14:paraId="64761506" w14:textId="77777777" w:rsidR="00F10335" w:rsidRPr="00FB6F73" w:rsidRDefault="00F10335" w:rsidP="00F10335">
            <w:pPr>
              <w:widowControl w:val="0"/>
              <w:autoSpaceDE w:val="0"/>
              <w:autoSpaceDN w:val="0"/>
              <w:spacing w:line="237" w:lineRule="auto"/>
              <w:ind w:left="105" w:right="229"/>
              <w:rPr>
                <w:sz w:val="22"/>
                <w:szCs w:val="22"/>
                <w:lang w:val="sr-Latn-ME"/>
              </w:rPr>
            </w:pPr>
            <w:r w:rsidRPr="00FB6F73">
              <w:rPr>
                <w:sz w:val="22"/>
                <w:szCs w:val="22"/>
                <w:lang w:val="sr-Latn-ME"/>
              </w:rPr>
              <w:t>-Sindrom palmarno-</w:t>
            </w:r>
          </w:p>
        </w:tc>
        <w:tc>
          <w:tcPr>
            <w:tcW w:w="1464" w:type="dxa"/>
            <w:tcBorders>
              <w:bottom w:val="nil"/>
            </w:tcBorders>
          </w:tcPr>
          <w:p w14:paraId="21117986" w14:textId="77777777" w:rsidR="00F10335" w:rsidRPr="00FB6F73" w:rsidRDefault="00F10335" w:rsidP="00F10335">
            <w:pPr>
              <w:widowControl w:val="0"/>
              <w:autoSpaceDE w:val="0"/>
              <w:autoSpaceDN w:val="0"/>
              <w:spacing w:line="237" w:lineRule="auto"/>
              <w:ind w:left="100" w:right="288"/>
              <w:rPr>
                <w:sz w:val="22"/>
                <w:szCs w:val="22"/>
                <w:lang w:val="sr-Latn-ME"/>
              </w:rPr>
            </w:pPr>
            <w:r w:rsidRPr="00FB6F73">
              <w:rPr>
                <w:sz w:val="22"/>
                <w:szCs w:val="22"/>
                <w:lang w:val="sr-Latn-ME"/>
              </w:rPr>
              <w:t>-</w:t>
            </w:r>
            <w:r w:rsidRPr="00FB6F73">
              <w:rPr>
                <w:i/>
                <w:sz w:val="22"/>
                <w:szCs w:val="22"/>
                <w:lang w:val="sr-Latn-ME"/>
              </w:rPr>
              <w:t>Stevens Johnson</w:t>
            </w:r>
            <w:r w:rsidRPr="00FB6F73">
              <w:rPr>
                <w:sz w:val="22"/>
                <w:szCs w:val="22"/>
                <w:lang w:val="sr-Latn-ME"/>
              </w:rPr>
              <w:t>-ov</w:t>
            </w:r>
          </w:p>
        </w:tc>
      </w:tr>
      <w:tr w:rsidR="00F10335" w:rsidRPr="00FB6F73" w14:paraId="622E6FC5" w14:textId="77777777" w:rsidTr="00F10335">
        <w:trPr>
          <w:trHeight w:hRule="exact" w:val="254"/>
        </w:trPr>
        <w:tc>
          <w:tcPr>
            <w:tcW w:w="1762" w:type="dxa"/>
            <w:tcBorders>
              <w:top w:val="nil"/>
              <w:bottom w:val="nil"/>
            </w:tcBorders>
          </w:tcPr>
          <w:p w14:paraId="78C6AD0B" w14:textId="77777777" w:rsidR="00F10335" w:rsidRPr="00FB6F73" w:rsidRDefault="00F10335" w:rsidP="00F10335">
            <w:pPr>
              <w:widowControl w:val="0"/>
              <w:autoSpaceDE w:val="0"/>
              <w:autoSpaceDN w:val="0"/>
              <w:rPr>
                <w:sz w:val="22"/>
                <w:szCs w:val="22"/>
                <w:lang w:val="sr-Latn-ME"/>
              </w:rPr>
            </w:pPr>
          </w:p>
        </w:tc>
        <w:tc>
          <w:tcPr>
            <w:tcW w:w="1565" w:type="dxa"/>
            <w:tcBorders>
              <w:top w:val="nil"/>
              <w:bottom w:val="nil"/>
            </w:tcBorders>
          </w:tcPr>
          <w:p w14:paraId="78E97B00" w14:textId="77777777" w:rsidR="00F10335" w:rsidRPr="00FB6F73" w:rsidRDefault="00F10335" w:rsidP="00F10335">
            <w:pPr>
              <w:widowControl w:val="0"/>
              <w:autoSpaceDE w:val="0"/>
              <w:autoSpaceDN w:val="0"/>
              <w:rPr>
                <w:sz w:val="22"/>
                <w:szCs w:val="22"/>
                <w:lang w:val="sr-Latn-ME"/>
              </w:rPr>
            </w:pPr>
          </w:p>
        </w:tc>
        <w:tc>
          <w:tcPr>
            <w:tcW w:w="1642" w:type="dxa"/>
            <w:tcBorders>
              <w:top w:val="nil"/>
              <w:bottom w:val="nil"/>
            </w:tcBorders>
          </w:tcPr>
          <w:p w14:paraId="3020A085" w14:textId="77777777" w:rsidR="00F10335" w:rsidRPr="00FB6F73" w:rsidRDefault="00F10335" w:rsidP="00F10335">
            <w:pPr>
              <w:widowControl w:val="0"/>
              <w:autoSpaceDE w:val="0"/>
              <w:autoSpaceDN w:val="0"/>
              <w:spacing w:line="249" w:lineRule="exact"/>
              <w:ind w:left="105"/>
              <w:rPr>
                <w:sz w:val="22"/>
                <w:szCs w:val="22"/>
                <w:lang w:val="sr-Latn-ME"/>
              </w:rPr>
            </w:pPr>
            <w:r w:rsidRPr="00FB6F73">
              <w:rPr>
                <w:sz w:val="22"/>
                <w:szCs w:val="22"/>
                <w:lang w:val="sr-Latn-ME"/>
              </w:rPr>
              <w:t>-Paronihija</w:t>
            </w:r>
          </w:p>
        </w:tc>
        <w:tc>
          <w:tcPr>
            <w:tcW w:w="1805" w:type="dxa"/>
            <w:tcBorders>
              <w:top w:val="nil"/>
              <w:bottom w:val="nil"/>
            </w:tcBorders>
          </w:tcPr>
          <w:p w14:paraId="6EBAC8FC" w14:textId="77777777" w:rsidR="00F10335" w:rsidRPr="00FB6F73" w:rsidRDefault="00F10335" w:rsidP="00F10335">
            <w:pPr>
              <w:widowControl w:val="0"/>
              <w:autoSpaceDE w:val="0"/>
              <w:autoSpaceDN w:val="0"/>
              <w:spacing w:line="249" w:lineRule="exact"/>
              <w:ind w:left="105"/>
              <w:rPr>
                <w:sz w:val="22"/>
                <w:szCs w:val="22"/>
                <w:lang w:val="sr-Latn-ME"/>
              </w:rPr>
            </w:pPr>
            <w:r w:rsidRPr="00FB6F73">
              <w:rPr>
                <w:sz w:val="22"/>
                <w:szCs w:val="22"/>
                <w:lang w:val="sr-Latn-ME"/>
              </w:rPr>
              <w:t>-Lomljivi i krti</w:t>
            </w:r>
          </w:p>
        </w:tc>
        <w:tc>
          <w:tcPr>
            <w:tcW w:w="1622" w:type="dxa"/>
            <w:tcBorders>
              <w:top w:val="nil"/>
              <w:bottom w:val="nil"/>
            </w:tcBorders>
          </w:tcPr>
          <w:p w14:paraId="0EBD4E02" w14:textId="77777777" w:rsidR="00F10335" w:rsidRPr="00FB6F73" w:rsidRDefault="00F10335" w:rsidP="00F10335">
            <w:pPr>
              <w:widowControl w:val="0"/>
              <w:autoSpaceDE w:val="0"/>
              <w:autoSpaceDN w:val="0"/>
              <w:spacing w:line="249" w:lineRule="exact"/>
              <w:ind w:left="105"/>
              <w:rPr>
                <w:sz w:val="22"/>
                <w:szCs w:val="22"/>
                <w:lang w:val="sr-Latn-ME"/>
              </w:rPr>
            </w:pPr>
            <w:r w:rsidRPr="00FB6F73">
              <w:rPr>
                <w:sz w:val="22"/>
                <w:szCs w:val="22"/>
                <w:lang w:val="sr-Latn-ME"/>
              </w:rPr>
              <w:t>plantarne</w:t>
            </w:r>
          </w:p>
        </w:tc>
        <w:tc>
          <w:tcPr>
            <w:tcW w:w="1464" w:type="dxa"/>
            <w:tcBorders>
              <w:top w:val="nil"/>
              <w:bottom w:val="nil"/>
            </w:tcBorders>
          </w:tcPr>
          <w:p w14:paraId="59B6BBC1" w14:textId="77777777" w:rsidR="00F10335" w:rsidRDefault="00F10335" w:rsidP="00F10335">
            <w:pPr>
              <w:widowControl w:val="0"/>
              <w:autoSpaceDE w:val="0"/>
              <w:autoSpaceDN w:val="0"/>
              <w:spacing w:line="249" w:lineRule="exact"/>
              <w:ind w:left="100"/>
              <w:rPr>
                <w:sz w:val="22"/>
                <w:szCs w:val="22"/>
                <w:lang w:val="sr-Latn-ME"/>
              </w:rPr>
            </w:pPr>
            <w:r w:rsidRPr="00FB6F73">
              <w:rPr>
                <w:sz w:val="22"/>
                <w:szCs w:val="22"/>
                <w:lang w:val="sr-Latn-ME"/>
              </w:rPr>
              <w:t>sindrom/</w:t>
            </w:r>
          </w:p>
          <w:p w14:paraId="6FEDECAA" w14:textId="77777777" w:rsidR="00FB6F73" w:rsidRDefault="00FB6F73" w:rsidP="00F10335">
            <w:pPr>
              <w:widowControl w:val="0"/>
              <w:autoSpaceDE w:val="0"/>
              <w:autoSpaceDN w:val="0"/>
              <w:spacing w:line="249" w:lineRule="exact"/>
              <w:ind w:left="100"/>
              <w:rPr>
                <w:sz w:val="22"/>
                <w:szCs w:val="22"/>
                <w:lang w:val="sr-Latn-ME"/>
              </w:rPr>
            </w:pPr>
          </w:p>
          <w:p w14:paraId="0F6649EB" w14:textId="5F162748" w:rsidR="00FB6F73" w:rsidRPr="00FB6F73" w:rsidRDefault="00FB6F73" w:rsidP="00F10335">
            <w:pPr>
              <w:widowControl w:val="0"/>
              <w:autoSpaceDE w:val="0"/>
              <w:autoSpaceDN w:val="0"/>
              <w:spacing w:line="249" w:lineRule="exact"/>
              <w:ind w:left="100"/>
              <w:rPr>
                <w:sz w:val="22"/>
                <w:szCs w:val="22"/>
                <w:lang w:val="sr-Latn-ME"/>
              </w:rPr>
            </w:pPr>
          </w:p>
        </w:tc>
      </w:tr>
      <w:tr w:rsidR="00F10335" w:rsidRPr="00FB6F73" w14:paraId="21FFF47D" w14:textId="77777777" w:rsidTr="00F10335">
        <w:trPr>
          <w:trHeight w:hRule="exact" w:val="252"/>
        </w:trPr>
        <w:tc>
          <w:tcPr>
            <w:tcW w:w="1762" w:type="dxa"/>
            <w:tcBorders>
              <w:top w:val="nil"/>
              <w:bottom w:val="nil"/>
            </w:tcBorders>
          </w:tcPr>
          <w:p w14:paraId="2A82C9A3" w14:textId="77777777" w:rsidR="00F10335" w:rsidRPr="00FB6F73" w:rsidRDefault="00F10335" w:rsidP="00F10335">
            <w:pPr>
              <w:widowControl w:val="0"/>
              <w:autoSpaceDE w:val="0"/>
              <w:autoSpaceDN w:val="0"/>
              <w:rPr>
                <w:sz w:val="22"/>
                <w:szCs w:val="22"/>
                <w:lang w:val="sr-Latn-ME"/>
              </w:rPr>
            </w:pPr>
          </w:p>
        </w:tc>
        <w:tc>
          <w:tcPr>
            <w:tcW w:w="1565" w:type="dxa"/>
            <w:tcBorders>
              <w:top w:val="nil"/>
              <w:bottom w:val="nil"/>
            </w:tcBorders>
          </w:tcPr>
          <w:p w14:paraId="767E295C" w14:textId="77777777" w:rsidR="00F10335" w:rsidRPr="00FB6F73" w:rsidRDefault="00F10335" w:rsidP="00F10335">
            <w:pPr>
              <w:widowControl w:val="0"/>
              <w:autoSpaceDE w:val="0"/>
              <w:autoSpaceDN w:val="0"/>
              <w:rPr>
                <w:sz w:val="22"/>
                <w:szCs w:val="22"/>
                <w:lang w:val="sr-Latn-ME"/>
              </w:rPr>
            </w:pPr>
          </w:p>
        </w:tc>
        <w:tc>
          <w:tcPr>
            <w:tcW w:w="1642" w:type="dxa"/>
            <w:tcBorders>
              <w:top w:val="nil"/>
              <w:bottom w:val="nil"/>
            </w:tcBorders>
          </w:tcPr>
          <w:p w14:paraId="6105A2A2" w14:textId="77777777" w:rsidR="00F10335" w:rsidRPr="00FB6F73" w:rsidRDefault="00F10335" w:rsidP="00F10335">
            <w:pPr>
              <w:widowControl w:val="0"/>
              <w:autoSpaceDE w:val="0"/>
              <w:autoSpaceDN w:val="0"/>
              <w:spacing w:line="249" w:lineRule="exact"/>
              <w:ind w:left="105"/>
              <w:rPr>
                <w:sz w:val="22"/>
                <w:szCs w:val="22"/>
                <w:lang w:val="sr-Latn-ME"/>
              </w:rPr>
            </w:pPr>
            <w:r w:rsidRPr="00FB6F73">
              <w:rPr>
                <w:sz w:val="22"/>
                <w:szCs w:val="22"/>
                <w:lang w:val="sr-Latn-ME"/>
              </w:rPr>
              <w:t>-Folikulitis</w:t>
            </w:r>
          </w:p>
        </w:tc>
        <w:tc>
          <w:tcPr>
            <w:tcW w:w="1805" w:type="dxa"/>
            <w:tcBorders>
              <w:top w:val="nil"/>
              <w:bottom w:val="nil"/>
            </w:tcBorders>
          </w:tcPr>
          <w:p w14:paraId="303D1691" w14:textId="77777777" w:rsidR="00F10335" w:rsidRPr="00FB6F73" w:rsidRDefault="00F10335" w:rsidP="00F10335">
            <w:pPr>
              <w:widowControl w:val="0"/>
              <w:autoSpaceDE w:val="0"/>
              <w:autoSpaceDN w:val="0"/>
              <w:spacing w:line="249" w:lineRule="exact"/>
              <w:ind w:left="105"/>
              <w:rPr>
                <w:sz w:val="22"/>
                <w:szCs w:val="22"/>
                <w:lang w:val="sr-Latn-ME"/>
              </w:rPr>
            </w:pPr>
            <w:r w:rsidRPr="00FB6F73">
              <w:rPr>
                <w:sz w:val="22"/>
                <w:szCs w:val="22"/>
                <w:lang w:val="sr-Latn-ME"/>
              </w:rPr>
              <w:t>nokti</w:t>
            </w:r>
          </w:p>
        </w:tc>
        <w:tc>
          <w:tcPr>
            <w:tcW w:w="1622" w:type="dxa"/>
            <w:tcBorders>
              <w:top w:val="nil"/>
              <w:bottom w:val="nil"/>
            </w:tcBorders>
          </w:tcPr>
          <w:p w14:paraId="329779DD" w14:textId="77777777" w:rsidR="00F10335" w:rsidRPr="00FB6F73" w:rsidRDefault="00F10335" w:rsidP="00F10335">
            <w:pPr>
              <w:widowControl w:val="0"/>
              <w:autoSpaceDE w:val="0"/>
              <w:autoSpaceDN w:val="0"/>
              <w:spacing w:line="249" w:lineRule="exact"/>
              <w:ind w:left="105"/>
              <w:rPr>
                <w:sz w:val="22"/>
                <w:szCs w:val="22"/>
                <w:lang w:val="sr-Latn-ME"/>
              </w:rPr>
            </w:pPr>
            <w:r w:rsidRPr="00FB6F73">
              <w:rPr>
                <w:sz w:val="22"/>
                <w:szCs w:val="22"/>
                <w:lang w:val="sr-Latn-ME"/>
              </w:rPr>
              <w:t>eritrodizestezije</w:t>
            </w:r>
          </w:p>
        </w:tc>
        <w:tc>
          <w:tcPr>
            <w:tcW w:w="1464" w:type="dxa"/>
            <w:tcBorders>
              <w:top w:val="nil"/>
              <w:bottom w:val="nil"/>
            </w:tcBorders>
          </w:tcPr>
          <w:p w14:paraId="782AEE2C" w14:textId="77777777" w:rsidR="00F10335" w:rsidRPr="00FB6F73" w:rsidRDefault="00F10335" w:rsidP="00F10335">
            <w:pPr>
              <w:widowControl w:val="0"/>
              <w:autoSpaceDE w:val="0"/>
              <w:autoSpaceDN w:val="0"/>
              <w:spacing w:line="249" w:lineRule="exact"/>
              <w:ind w:left="100"/>
              <w:rPr>
                <w:sz w:val="22"/>
                <w:szCs w:val="22"/>
                <w:lang w:val="sr-Latn-ME"/>
              </w:rPr>
            </w:pPr>
            <w:r w:rsidRPr="00FB6F73">
              <w:rPr>
                <w:sz w:val="22"/>
                <w:szCs w:val="22"/>
                <w:lang w:val="sr-Latn-ME"/>
              </w:rPr>
              <w:t>Toksična</w:t>
            </w:r>
          </w:p>
        </w:tc>
      </w:tr>
      <w:tr w:rsidR="00F10335" w:rsidRPr="00FB6F73" w14:paraId="0710D1C6" w14:textId="77777777" w:rsidTr="00FB6F73">
        <w:trPr>
          <w:trHeight w:hRule="exact" w:val="579"/>
        </w:trPr>
        <w:tc>
          <w:tcPr>
            <w:tcW w:w="1762" w:type="dxa"/>
            <w:tcBorders>
              <w:top w:val="nil"/>
              <w:bottom w:val="nil"/>
            </w:tcBorders>
          </w:tcPr>
          <w:p w14:paraId="73532577" w14:textId="77777777" w:rsidR="00F10335" w:rsidRPr="00FB6F73" w:rsidRDefault="00F10335" w:rsidP="00F10335">
            <w:pPr>
              <w:widowControl w:val="0"/>
              <w:autoSpaceDE w:val="0"/>
              <w:autoSpaceDN w:val="0"/>
              <w:rPr>
                <w:sz w:val="22"/>
                <w:szCs w:val="22"/>
                <w:lang w:val="sr-Latn-ME"/>
              </w:rPr>
            </w:pPr>
          </w:p>
        </w:tc>
        <w:tc>
          <w:tcPr>
            <w:tcW w:w="1565" w:type="dxa"/>
            <w:tcBorders>
              <w:top w:val="nil"/>
              <w:bottom w:val="nil"/>
            </w:tcBorders>
          </w:tcPr>
          <w:p w14:paraId="57D14010" w14:textId="77777777" w:rsidR="00F10335" w:rsidRPr="00FB6F73" w:rsidRDefault="00F10335" w:rsidP="00F10335">
            <w:pPr>
              <w:widowControl w:val="0"/>
              <w:autoSpaceDE w:val="0"/>
              <w:autoSpaceDN w:val="0"/>
              <w:rPr>
                <w:sz w:val="22"/>
                <w:szCs w:val="22"/>
                <w:lang w:val="sr-Latn-ME"/>
              </w:rPr>
            </w:pPr>
          </w:p>
        </w:tc>
        <w:tc>
          <w:tcPr>
            <w:tcW w:w="1642" w:type="dxa"/>
            <w:tcBorders>
              <w:top w:val="nil"/>
              <w:bottom w:val="nil"/>
            </w:tcBorders>
          </w:tcPr>
          <w:p w14:paraId="11938D24" w14:textId="77777777" w:rsidR="00F10335" w:rsidRPr="00FB6F73" w:rsidRDefault="00F10335" w:rsidP="00F10335">
            <w:pPr>
              <w:widowControl w:val="0"/>
              <w:autoSpaceDE w:val="0"/>
              <w:autoSpaceDN w:val="0"/>
              <w:spacing w:line="242" w:lineRule="auto"/>
              <w:ind w:left="105"/>
              <w:rPr>
                <w:sz w:val="22"/>
                <w:szCs w:val="22"/>
                <w:lang w:val="sr-Latn-ME"/>
              </w:rPr>
            </w:pPr>
            <w:r w:rsidRPr="00FB6F73">
              <w:rPr>
                <w:sz w:val="22"/>
                <w:szCs w:val="22"/>
                <w:lang w:val="sr-Latn-ME"/>
              </w:rPr>
              <w:t>-Akne/ Akneiformni</w:t>
            </w:r>
          </w:p>
        </w:tc>
        <w:tc>
          <w:tcPr>
            <w:tcW w:w="1805" w:type="dxa"/>
            <w:tcBorders>
              <w:top w:val="nil"/>
              <w:bottom w:val="nil"/>
            </w:tcBorders>
          </w:tcPr>
          <w:p w14:paraId="649A640F" w14:textId="77777777" w:rsidR="00F10335" w:rsidRPr="00FB6F73" w:rsidRDefault="00F10335" w:rsidP="00F10335">
            <w:pPr>
              <w:widowControl w:val="0"/>
              <w:autoSpaceDE w:val="0"/>
              <w:autoSpaceDN w:val="0"/>
              <w:spacing w:line="247" w:lineRule="exact"/>
              <w:ind w:left="105"/>
              <w:rPr>
                <w:sz w:val="22"/>
                <w:szCs w:val="22"/>
                <w:lang w:val="sr-Latn-ME"/>
              </w:rPr>
            </w:pPr>
            <w:r w:rsidRPr="00FB6F73">
              <w:rPr>
                <w:sz w:val="22"/>
                <w:szCs w:val="22"/>
                <w:lang w:val="sr-Latn-ME"/>
              </w:rPr>
              <w:t>-Blaga</w:t>
            </w:r>
          </w:p>
          <w:p w14:paraId="11FD8651" w14:textId="77777777" w:rsidR="00F10335" w:rsidRPr="00FB6F73" w:rsidRDefault="00F10335" w:rsidP="00F10335">
            <w:pPr>
              <w:widowControl w:val="0"/>
              <w:autoSpaceDE w:val="0"/>
              <w:autoSpaceDN w:val="0"/>
              <w:spacing w:before="1"/>
              <w:ind w:left="105"/>
              <w:rPr>
                <w:sz w:val="22"/>
                <w:szCs w:val="22"/>
                <w:lang w:val="sr-Latn-ME"/>
              </w:rPr>
            </w:pPr>
            <w:r w:rsidRPr="00FB6F73">
              <w:rPr>
                <w:sz w:val="22"/>
                <w:szCs w:val="22"/>
                <w:lang w:val="sr-Latn-ME"/>
              </w:rPr>
              <w:t>kožna reakcija</w:t>
            </w:r>
          </w:p>
        </w:tc>
        <w:tc>
          <w:tcPr>
            <w:tcW w:w="1622" w:type="dxa"/>
            <w:tcBorders>
              <w:top w:val="nil"/>
              <w:bottom w:val="nil"/>
            </w:tcBorders>
          </w:tcPr>
          <w:p w14:paraId="4616965C" w14:textId="77777777" w:rsidR="00F10335" w:rsidRPr="00FB6F73" w:rsidRDefault="00F10335" w:rsidP="00F10335">
            <w:pPr>
              <w:widowControl w:val="0"/>
              <w:autoSpaceDE w:val="0"/>
              <w:autoSpaceDN w:val="0"/>
              <w:rPr>
                <w:sz w:val="22"/>
                <w:szCs w:val="22"/>
                <w:lang w:val="sr-Latn-ME"/>
              </w:rPr>
            </w:pPr>
          </w:p>
        </w:tc>
        <w:tc>
          <w:tcPr>
            <w:tcW w:w="1464" w:type="dxa"/>
            <w:tcBorders>
              <w:top w:val="nil"/>
              <w:bottom w:val="nil"/>
            </w:tcBorders>
          </w:tcPr>
          <w:p w14:paraId="6B932574" w14:textId="77777777" w:rsidR="00F10335" w:rsidRPr="00FB6F73" w:rsidRDefault="00F10335" w:rsidP="00F10335">
            <w:pPr>
              <w:widowControl w:val="0"/>
              <w:autoSpaceDE w:val="0"/>
              <w:autoSpaceDN w:val="0"/>
              <w:spacing w:before="12" w:line="218" w:lineRule="auto"/>
              <w:ind w:left="100" w:right="247"/>
              <w:rPr>
                <w:sz w:val="22"/>
                <w:szCs w:val="22"/>
                <w:lang w:val="sr-Latn-ME"/>
              </w:rPr>
            </w:pPr>
            <w:r w:rsidRPr="00FB6F73">
              <w:rPr>
                <w:sz w:val="22"/>
                <w:szCs w:val="22"/>
                <w:lang w:val="sr-Latn-ME"/>
              </w:rPr>
              <w:t>epidermalna nekroliza</w:t>
            </w:r>
            <w:r w:rsidRPr="00FB6F73">
              <w:rPr>
                <w:position w:val="10"/>
                <w:sz w:val="22"/>
                <w:szCs w:val="22"/>
                <w:lang w:val="sr-Latn-ME"/>
              </w:rPr>
              <w:t>7</w:t>
            </w:r>
          </w:p>
        </w:tc>
      </w:tr>
      <w:tr w:rsidR="00F10335" w:rsidRPr="00FB6F73" w14:paraId="316CDC6C" w14:textId="77777777" w:rsidTr="00F10335">
        <w:trPr>
          <w:trHeight w:hRule="exact" w:val="254"/>
        </w:trPr>
        <w:tc>
          <w:tcPr>
            <w:tcW w:w="1762" w:type="dxa"/>
            <w:tcBorders>
              <w:top w:val="nil"/>
              <w:bottom w:val="nil"/>
            </w:tcBorders>
          </w:tcPr>
          <w:p w14:paraId="2B4C4B82" w14:textId="77777777" w:rsidR="00F10335" w:rsidRPr="00FB6F73" w:rsidRDefault="00F10335" w:rsidP="00F10335">
            <w:pPr>
              <w:widowControl w:val="0"/>
              <w:autoSpaceDE w:val="0"/>
              <w:autoSpaceDN w:val="0"/>
              <w:rPr>
                <w:sz w:val="22"/>
                <w:szCs w:val="22"/>
                <w:lang w:val="sr-Latn-ME"/>
              </w:rPr>
            </w:pPr>
          </w:p>
        </w:tc>
        <w:tc>
          <w:tcPr>
            <w:tcW w:w="1565" w:type="dxa"/>
            <w:tcBorders>
              <w:top w:val="nil"/>
              <w:bottom w:val="nil"/>
            </w:tcBorders>
          </w:tcPr>
          <w:p w14:paraId="28F98502" w14:textId="77777777" w:rsidR="00F10335" w:rsidRPr="00FB6F73" w:rsidRDefault="00F10335" w:rsidP="00F10335">
            <w:pPr>
              <w:widowControl w:val="0"/>
              <w:autoSpaceDE w:val="0"/>
              <w:autoSpaceDN w:val="0"/>
              <w:rPr>
                <w:sz w:val="22"/>
                <w:szCs w:val="22"/>
                <w:lang w:val="sr-Latn-ME"/>
              </w:rPr>
            </w:pPr>
          </w:p>
        </w:tc>
        <w:tc>
          <w:tcPr>
            <w:tcW w:w="1642" w:type="dxa"/>
            <w:tcBorders>
              <w:top w:val="nil"/>
              <w:bottom w:val="nil"/>
            </w:tcBorders>
          </w:tcPr>
          <w:p w14:paraId="07705BD9" w14:textId="77777777" w:rsidR="00F10335" w:rsidRPr="00FB6F73" w:rsidRDefault="00F10335" w:rsidP="00F10335">
            <w:pPr>
              <w:widowControl w:val="0"/>
              <w:autoSpaceDE w:val="0"/>
              <w:autoSpaceDN w:val="0"/>
              <w:spacing w:line="249" w:lineRule="exact"/>
              <w:ind w:left="105"/>
              <w:rPr>
                <w:sz w:val="22"/>
                <w:szCs w:val="22"/>
                <w:lang w:val="sr-Latn-ME"/>
              </w:rPr>
            </w:pPr>
            <w:r w:rsidRPr="00FB6F73">
              <w:rPr>
                <w:sz w:val="22"/>
                <w:szCs w:val="22"/>
                <w:lang w:val="sr-Latn-ME"/>
              </w:rPr>
              <w:t>dermatitis</w:t>
            </w:r>
          </w:p>
        </w:tc>
        <w:tc>
          <w:tcPr>
            <w:tcW w:w="1805" w:type="dxa"/>
            <w:tcBorders>
              <w:top w:val="nil"/>
              <w:bottom w:val="nil"/>
            </w:tcBorders>
          </w:tcPr>
          <w:p w14:paraId="7C803732" w14:textId="77777777" w:rsidR="00F10335" w:rsidRPr="00FB6F73" w:rsidRDefault="00F10335" w:rsidP="00F10335">
            <w:pPr>
              <w:widowControl w:val="0"/>
              <w:autoSpaceDE w:val="0"/>
              <w:autoSpaceDN w:val="0"/>
              <w:spacing w:line="249" w:lineRule="exact"/>
              <w:ind w:left="105"/>
              <w:rPr>
                <w:sz w:val="22"/>
                <w:szCs w:val="22"/>
                <w:lang w:val="sr-Latn-ME"/>
              </w:rPr>
            </w:pPr>
            <w:r w:rsidRPr="00FB6F73">
              <w:rPr>
                <w:sz w:val="22"/>
                <w:szCs w:val="22"/>
                <w:lang w:val="sr-Latn-ME"/>
              </w:rPr>
              <w:t>poput</w:t>
            </w:r>
          </w:p>
        </w:tc>
        <w:tc>
          <w:tcPr>
            <w:tcW w:w="1622" w:type="dxa"/>
            <w:tcBorders>
              <w:top w:val="nil"/>
              <w:bottom w:val="nil"/>
            </w:tcBorders>
          </w:tcPr>
          <w:p w14:paraId="5DD26F2D" w14:textId="77777777" w:rsidR="00F10335" w:rsidRPr="00FB6F73" w:rsidRDefault="00F10335" w:rsidP="00F10335">
            <w:pPr>
              <w:widowControl w:val="0"/>
              <w:autoSpaceDE w:val="0"/>
              <w:autoSpaceDN w:val="0"/>
              <w:rPr>
                <w:sz w:val="22"/>
                <w:szCs w:val="22"/>
                <w:lang w:val="sr-Latn-ME"/>
              </w:rPr>
            </w:pPr>
          </w:p>
        </w:tc>
        <w:tc>
          <w:tcPr>
            <w:tcW w:w="1464" w:type="dxa"/>
            <w:tcBorders>
              <w:top w:val="nil"/>
              <w:bottom w:val="nil"/>
            </w:tcBorders>
          </w:tcPr>
          <w:p w14:paraId="6CFFEE7B" w14:textId="77777777" w:rsidR="00F10335" w:rsidRPr="00FB6F73" w:rsidRDefault="00F10335" w:rsidP="00F10335">
            <w:pPr>
              <w:widowControl w:val="0"/>
              <w:autoSpaceDE w:val="0"/>
              <w:autoSpaceDN w:val="0"/>
              <w:rPr>
                <w:sz w:val="22"/>
                <w:szCs w:val="22"/>
                <w:lang w:val="sr-Latn-ME"/>
              </w:rPr>
            </w:pPr>
          </w:p>
        </w:tc>
      </w:tr>
      <w:tr w:rsidR="00F10335" w:rsidRPr="00FB6F73" w14:paraId="233F2D07" w14:textId="77777777" w:rsidTr="00F10335">
        <w:trPr>
          <w:trHeight w:hRule="exact" w:val="259"/>
        </w:trPr>
        <w:tc>
          <w:tcPr>
            <w:tcW w:w="1762" w:type="dxa"/>
            <w:tcBorders>
              <w:top w:val="nil"/>
            </w:tcBorders>
          </w:tcPr>
          <w:p w14:paraId="3850D8E7" w14:textId="77777777" w:rsidR="00F10335" w:rsidRPr="00FB6F73" w:rsidRDefault="00F10335" w:rsidP="00F10335">
            <w:pPr>
              <w:widowControl w:val="0"/>
              <w:autoSpaceDE w:val="0"/>
              <w:autoSpaceDN w:val="0"/>
              <w:rPr>
                <w:sz w:val="22"/>
                <w:szCs w:val="22"/>
                <w:lang w:val="sr-Latn-ME"/>
              </w:rPr>
            </w:pPr>
          </w:p>
        </w:tc>
        <w:tc>
          <w:tcPr>
            <w:tcW w:w="1565" w:type="dxa"/>
            <w:tcBorders>
              <w:top w:val="nil"/>
            </w:tcBorders>
          </w:tcPr>
          <w:p w14:paraId="109DDC34" w14:textId="77777777" w:rsidR="00F10335" w:rsidRPr="00FB6F73" w:rsidRDefault="00F10335" w:rsidP="00F10335">
            <w:pPr>
              <w:widowControl w:val="0"/>
              <w:autoSpaceDE w:val="0"/>
              <w:autoSpaceDN w:val="0"/>
              <w:rPr>
                <w:sz w:val="22"/>
                <w:szCs w:val="22"/>
                <w:lang w:val="sr-Latn-ME"/>
              </w:rPr>
            </w:pPr>
          </w:p>
        </w:tc>
        <w:tc>
          <w:tcPr>
            <w:tcW w:w="1642" w:type="dxa"/>
            <w:tcBorders>
              <w:top w:val="nil"/>
            </w:tcBorders>
          </w:tcPr>
          <w:p w14:paraId="131578E8" w14:textId="77777777" w:rsidR="00F10335" w:rsidRPr="00FB6F73" w:rsidRDefault="00F10335" w:rsidP="00F10335">
            <w:pPr>
              <w:widowControl w:val="0"/>
              <w:autoSpaceDE w:val="0"/>
              <w:autoSpaceDN w:val="0"/>
              <w:spacing w:line="249" w:lineRule="exact"/>
              <w:ind w:left="105"/>
              <w:rPr>
                <w:sz w:val="22"/>
                <w:szCs w:val="22"/>
                <w:lang w:val="sr-Latn-ME"/>
              </w:rPr>
            </w:pPr>
            <w:r w:rsidRPr="00FB6F73">
              <w:rPr>
                <w:sz w:val="22"/>
                <w:szCs w:val="22"/>
                <w:lang w:val="sr-Latn-ME"/>
              </w:rPr>
              <w:t>-Kožne fisure</w:t>
            </w:r>
          </w:p>
        </w:tc>
        <w:tc>
          <w:tcPr>
            <w:tcW w:w="1805" w:type="dxa"/>
            <w:tcBorders>
              <w:top w:val="nil"/>
            </w:tcBorders>
          </w:tcPr>
          <w:p w14:paraId="39CC10BB" w14:textId="77777777" w:rsidR="00F10335" w:rsidRPr="00FB6F73" w:rsidRDefault="00F10335" w:rsidP="00F10335">
            <w:pPr>
              <w:widowControl w:val="0"/>
              <w:autoSpaceDE w:val="0"/>
              <w:autoSpaceDN w:val="0"/>
              <w:spacing w:line="249" w:lineRule="exact"/>
              <w:ind w:left="105"/>
              <w:rPr>
                <w:sz w:val="22"/>
                <w:szCs w:val="22"/>
                <w:lang w:val="sr-Latn-ME"/>
              </w:rPr>
            </w:pPr>
            <w:r w:rsidRPr="00FB6F73">
              <w:rPr>
                <w:sz w:val="22"/>
                <w:szCs w:val="22"/>
                <w:lang w:val="sr-Latn-ME"/>
              </w:rPr>
              <w:t>hiperpigmentacije</w:t>
            </w:r>
          </w:p>
        </w:tc>
        <w:tc>
          <w:tcPr>
            <w:tcW w:w="1622" w:type="dxa"/>
            <w:tcBorders>
              <w:top w:val="nil"/>
            </w:tcBorders>
          </w:tcPr>
          <w:p w14:paraId="64AAB577" w14:textId="77777777" w:rsidR="00F10335" w:rsidRPr="00FB6F73" w:rsidRDefault="00F10335" w:rsidP="00F10335">
            <w:pPr>
              <w:widowControl w:val="0"/>
              <w:autoSpaceDE w:val="0"/>
              <w:autoSpaceDN w:val="0"/>
              <w:rPr>
                <w:sz w:val="22"/>
                <w:szCs w:val="22"/>
                <w:lang w:val="sr-Latn-ME"/>
              </w:rPr>
            </w:pPr>
          </w:p>
        </w:tc>
        <w:tc>
          <w:tcPr>
            <w:tcW w:w="1464" w:type="dxa"/>
            <w:tcBorders>
              <w:top w:val="nil"/>
            </w:tcBorders>
          </w:tcPr>
          <w:p w14:paraId="040086C7" w14:textId="77777777" w:rsidR="00F10335" w:rsidRPr="00FB6F73" w:rsidRDefault="00F10335" w:rsidP="00F10335">
            <w:pPr>
              <w:widowControl w:val="0"/>
              <w:autoSpaceDE w:val="0"/>
              <w:autoSpaceDN w:val="0"/>
              <w:rPr>
                <w:sz w:val="22"/>
                <w:szCs w:val="22"/>
                <w:lang w:val="sr-Latn-ME"/>
              </w:rPr>
            </w:pPr>
          </w:p>
        </w:tc>
      </w:tr>
      <w:tr w:rsidR="00F10335" w:rsidRPr="00FB6F73" w14:paraId="364CC184" w14:textId="77777777" w:rsidTr="00F10335">
        <w:trPr>
          <w:trHeight w:hRule="exact" w:val="509"/>
        </w:trPr>
        <w:tc>
          <w:tcPr>
            <w:tcW w:w="1762" w:type="dxa"/>
            <w:tcBorders>
              <w:bottom w:val="nil"/>
            </w:tcBorders>
          </w:tcPr>
          <w:p w14:paraId="49AF29E1" w14:textId="77777777" w:rsidR="00F10335" w:rsidRPr="00FB6F73" w:rsidRDefault="00F10335" w:rsidP="00F10335">
            <w:pPr>
              <w:widowControl w:val="0"/>
              <w:autoSpaceDE w:val="0"/>
              <w:autoSpaceDN w:val="0"/>
              <w:spacing w:line="242" w:lineRule="auto"/>
              <w:ind w:left="105"/>
              <w:rPr>
                <w:sz w:val="22"/>
                <w:szCs w:val="22"/>
                <w:lang w:val="sr-Latn-ME"/>
              </w:rPr>
            </w:pPr>
            <w:r w:rsidRPr="00FB6F73">
              <w:rPr>
                <w:sz w:val="22"/>
                <w:szCs w:val="22"/>
                <w:lang w:val="sr-Latn-ME"/>
              </w:rPr>
              <w:t>Poremećaji bubrega i</w:t>
            </w:r>
          </w:p>
        </w:tc>
        <w:tc>
          <w:tcPr>
            <w:tcW w:w="1565" w:type="dxa"/>
            <w:vMerge w:val="restart"/>
          </w:tcPr>
          <w:p w14:paraId="5FE66963" w14:textId="77777777" w:rsidR="00F10335" w:rsidRPr="00FB6F73" w:rsidRDefault="00F10335" w:rsidP="00F10335">
            <w:pPr>
              <w:widowControl w:val="0"/>
              <w:autoSpaceDE w:val="0"/>
              <w:autoSpaceDN w:val="0"/>
              <w:rPr>
                <w:sz w:val="22"/>
                <w:szCs w:val="22"/>
                <w:lang w:val="sr-Latn-ME"/>
              </w:rPr>
            </w:pPr>
          </w:p>
        </w:tc>
        <w:tc>
          <w:tcPr>
            <w:tcW w:w="1642" w:type="dxa"/>
            <w:tcBorders>
              <w:bottom w:val="nil"/>
            </w:tcBorders>
          </w:tcPr>
          <w:p w14:paraId="2565F433" w14:textId="77777777" w:rsidR="00F10335" w:rsidRPr="00FB6F73" w:rsidRDefault="00F10335" w:rsidP="00F10335">
            <w:pPr>
              <w:widowControl w:val="0"/>
              <w:autoSpaceDE w:val="0"/>
              <w:autoSpaceDN w:val="0"/>
              <w:spacing w:before="10" w:line="218" w:lineRule="auto"/>
              <w:ind w:left="105" w:right="123"/>
              <w:rPr>
                <w:sz w:val="22"/>
                <w:szCs w:val="22"/>
                <w:lang w:val="sr-Latn-ME"/>
              </w:rPr>
            </w:pPr>
            <w:r w:rsidRPr="00FB6F73">
              <w:rPr>
                <w:sz w:val="22"/>
                <w:szCs w:val="22"/>
                <w:lang w:val="sr-Latn-ME"/>
              </w:rPr>
              <w:t xml:space="preserve">-Bubrežna Insuficijencija </w:t>
            </w:r>
            <w:r w:rsidRPr="00FB6F73">
              <w:rPr>
                <w:position w:val="10"/>
                <w:sz w:val="22"/>
                <w:szCs w:val="22"/>
                <w:lang w:val="sr-Latn-ME"/>
              </w:rPr>
              <w:t>1</w:t>
            </w:r>
          </w:p>
        </w:tc>
        <w:tc>
          <w:tcPr>
            <w:tcW w:w="1805" w:type="dxa"/>
            <w:tcBorders>
              <w:bottom w:val="nil"/>
            </w:tcBorders>
          </w:tcPr>
          <w:p w14:paraId="53561E52" w14:textId="77777777" w:rsidR="00F10335" w:rsidRPr="00FB6F73" w:rsidRDefault="00F10335" w:rsidP="00F10335">
            <w:pPr>
              <w:widowControl w:val="0"/>
              <w:autoSpaceDE w:val="0"/>
              <w:autoSpaceDN w:val="0"/>
              <w:spacing w:line="232" w:lineRule="exact"/>
              <w:ind w:left="105"/>
              <w:rPr>
                <w:sz w:val="22"/>
                <w:szCs w:val="22"/>
                <w:lang w:val="sr-Latn-ME"/>
              </w:rPr>
            </w:pPr>
            <w:r w:rsidRPr="00FB6F73">
              <w:rPr>
                <w:sz w:val="22"/>
                <w:szCs w:val="22"/>
                <w:lang w:val="sr-Latn-ME"/>
              </w:rPr>
              <w:t>-Nefritis</w:t>
            </w:r>
            <w:r w:rsidRPr="00FB6F73">
              <w:rPr>
                <w:position w:val="10"/>
                <w:sz w:val="22"/>
                <w:szCs w:val="22"/>
                <w:lang w:val="sr-Latn-ME"/>
              </w:rPr>
              <w:t>1</w:t>
            </w:r>
          </w:p>
          <w:p w14:paraId="29D608CE" w14:textId="77777777" w:rsidR="00F10335" w:rsidRPr="00FB6F73" w:rsidRDefault="00F10335" w:rsidP="00F10335">
            <w:pPr>
              <w:widowControl w:val="0"/>
              <w:autoSpaceDE w:val="0"/>
              <w:autoSpaceDN w:val="0"/>
              <w:spacing w:line="266" w:lineRule="exact"/>
              <w:ind w:left="105"/>
              <w:rPr>
                <w:sz w:val="22"/>
                <w:szCs w:val="22"/>
                <w:lang w:val="sr-Latn-ME"/>
              </w:rPr>
            </w:pPr>
            <w:r w:rsidRPr="00FB6F73">
              <w:rPr>
                <w:sz w:val="22"/>
                <w:szCs w:val="22"/>
                <w:lang w:val="sr-Latn-ME"/>
              </w:rPr>
              <w:t>-Proteinurija</w:t>
            </w:r>
            <w:r w:rsidRPr="00FB6F73">
              <w:rPr>
                <w:position w:val="10"/>
                <w:sz w:val="22"/>
                <w:szCs w:val="22"/>
                <w:lang w:val="sr-Latn-ME"/>
              </w:rPr>
              <w:t>1</w:t>
            </w:r>
          </w:p>
        </w:tc>
        <w:tc>
          <w:tcPr>
            <w:tcW w:w="1622" w:type="dxa"/>
            <w:vMerge w:val="restart"/>
          </w:tcPr>
          <w:p w14:paraId="131C9896" w14:textId="77777777" w:rsidR="00F10335" w:rsidRPr="00FB6F73" w:rsidRDefault="00F10335" w:rsidP="00F10335">
            <w:pPr>
              <w:widowControl w:val="0"/>
              <w:autoSpaceDE w:val="0"/>
              <w:autoSpaceDN w:val="0"/>
              <w:rPr>
                <w:sz w:val="22"/>
                <w:szCs w:val="22"/>
                <w:lang w:val="sr-Latn-ME"/>
              </w:rPr>
            </w:pPr>
          </w:p>
        </w:tc>
        <w:tc>
          <w:tcPr>
            <w:tcW w:w="1464" w:type="dxa"/>
            <w:vMerge w:val="restart"/>
          </w:tcPr>
          <w:p w14:paraId="4B166C7D" w14:textId="77777777" w:rsidR="00F10335" w:rsidRPr="00FB6F73" w:rsidRDefault="00F10335" w:rsidP="00F10335">
            <w:pPr>
              <w:widowControl w:val="0"/>
              <w:autoSpaceDE w:val="0"/>
              <w:autoSpaceDN w:val="0"/>
              <w:rPr>
                <w:sz w:val="22"/>
                <w:szCs w:val="22"/>
                <w:lang w:val="sr-Latn-ME"/>
              </w:rPr>
            </w:pPr>
          </w:p>
        </w:tc>
      </w:tr>
      <w:tr w:rsidR="00F10335" w:rsidRPr="00FB6F73" w14:paraId="4FF43DCE" w14:textId="77777777" w:rsidTr="00F10335">
        <w:trPr>
          <w:trHeight w:hRule="exact" w:val="252"/>
        </w:trPr>
        <w:tc>
          <w:tcPr>
            <w:tcW w:w="1762" w:type="dxa"/>
            <w:tcBorders>
              <w:top w:val="nil"/>
              <w:bottom w:val="nil"/>
            </w:tcBorders>
          </w:tcPr>
          <w:p w14:paraId="39A8B115" w14:textId="77777777" w:rsidR="00F10335" w:rsidRPr="00FB6F73" w:rsidRDefault="00F10335" w:rsidP="00F10335">
            <w:pPr>
              <w:widowControl w:val="0"/>
              <w:autoSpaceDE w:val="0"/>
              <w:autoSpaceDN w:val="0"/>
              <w:spacing w:line="249" w:lineRule="exact"/>
              <w:ind w:left="105"/>
              <w:rPr>
                <w:sz w:val="22"/>
                <w:szCs w:val="22"/>
                <w:lang w:val="sr-Latn-ME"/>
              </w:rPr>
            </w:pPr>
            <w:r w:rsidRPr="00FB6F73">
              <w:rPr>
                <w:sz w:val="22"/>
                <w:szCs w:val="22"/>
                <w:lang w:val="sr-Latn-ME"/>
              </w:rPr>
              <w:t>urinarnog</w:t>
            </w:r>
          </w:p>
        </w:tc>
        <w:tc>
          <w:tcPr>
            <w:tcW w:w="1565" w:type="dxa"/>
            <w:vMerge/>
          </w:tcPr>
          <w:p w14:paraId="179E3B16" w14:textId="77777777" w:rsidR="00F10335" w:rsidRPr="00FB6F73" w:rsidRDefault="00F10335" w:rsidP="00F10335">
            <w:pPr>
              <w:widowControl w:val="0"/>
              <w:autoSpaceDE w:val="0"/>
              <w:autoSpaceDN w:val="0"/>
              <w:rPr>
                <w:sz w:val="22"/>
                <w:szCs w:val="22"/>
                <w:lang w:val="sr-Latn-ME"/>
              </w:rPr>
            </w:pPr>
          </w:p>
        </w:tc>
        <w:tc>
          <w:tcPr>
            <w:tcW w:w="1642" w:type="dxa"/>
            <w:tcBorders>
              <w:top w:val="nil"/>
              <w:bottom w:val="nil"/>
            </w:tcBorders>
          </w:tcPr>
          <w:p w14:paraId="2C4D8745" w14:textId="77777777" w:rsidR="00F10335" w:rsidRPr="00FB6F73" w:rsidRDefault="00F10335" w:rsidP="00F10335">
            <w:pPr>
              <w:widowControl w:val="0"/>
              <w:autoSpaceDE w:val="0"/>
              <w:autoSpaceDN w:val="0"/>
              <w:rPr>
                <w:sz w:val="22"/>
                <w:szCs w:val="22"/>
                <w:lang w:val="sr-Latn-ME"/>
              </w:rPr>
            </w:pPr>
          </w:p>
        </w:tc>
        <w:tc>
          <w:tcPr>
            <w:tcW w:w="1805" w:type="dxa"/>
            <w:tcBorders>
              <w:top w:val="nil"/>
              <w:bottom w:val="nil"/>
            </w:tcBorders>
          </w:tcPr>
          <w:p w14:paraId="354B3876" w14:textId="77777777" w:rsidR="00F10335" w:rsidRPr="00FB6F73" w:rsidRDefault="00F10335" w:rsidP="00F10335">
            <w:pPr>
              <w:widowControl w:val="0"/>
              <w:autoSpaceDE w:val="0"/>
              <w:autoSpaceDN w:val="0"/>
              <w:rPr>
                <w:sz w:val="22"/>
                <w:szCs w:val="22"/>
                <w:lang w:val="sr-Latn-ME"/>
              </w:rPr>
            </w:pPr>
          </w:p>
        </w:tc>
        <w:tc>
          <w:tcPr>
            <w:tcW w:w="1622" w:type="dxa"/>
            <w:vMerge/>
          </w:tcPr>
          <w:p w14:paraId="21C1CAE7" w14:textId="77777777" w:rsidR="00F10335" w:rsidRPr="00FB6F73" w:rsidRDefault="00F10335" w:rsidP="00F10335">
            <w:pPr>
              <w:widowControl w:val="0"/>
              <w:autoSpaceDE w:val="0"/>
              <w:autoSpaceDN w:val="0"/>
              <w:rPr>
                <w:sz w:val="22"/>
                <w:szCs w:val="22"/>
                <w:lang w:val="sr-Latn-ME"/>
              </w:rPr>
            </w:pPr>
          </w:p>
        </w:tc>
        <w:tc>
          <w:tcPr>
            <w:tcW w:w="1464" w:type="dxa"/>
            <w:vMerge/>
          </w:tcPr>
          <w:p w14:paraId="2291D710" w14:textId="77777777" w:rsidR="00F10335" w:rsidRPr="00FB6F73" w:rsidRDefault="00F10335" w:rsidP="00F10335">
            <w:pPr>
              <w:widowControl w:val="0"/>
              <w:autoSpaceDE w:val="0"/>
              <w:autoSpaceDN w:val="0"/>
              <w:rPr>
                <w:sz w:val="22"/>
                <w:szCs w:val="22"/>
                <w:lang w:val="sr-Latn-ME"/>
              </w:rPr>
            </w:pPr>
          </w:p>
        </w:tc>
      </w:tr>
      <w:tr w:rsidR="00F10335" w:rsidRPr="00FB6F73" w14:paraId="00E216B7" w14:textId="77777777" w:rsidTr="00F10335">
        <w:trPr>
          <w:trHeight w:hRule="exact" w:val="262"/>
        </w:trPr>
        <w:tc>
          <w:tcPr>
            <w:tcW w:w="1762" w:type="dxa"/>
            <w:tcBorders>
              <w:top w:val="nil"/>
            </w:tcBorders>
          </w:tcPr>
          <w:p w14:paraId="67F3DC21" w14:textId="77777777" w:rsidR="00F10335" w:rsidRPr="00FB6F73" w:rsidRDefault="00F10335" w:rsidP="00F10335">
            <w:pPr>
              <w:widowControl w:val="0"/>
              <w:autoSpaceDE w:val="0"/>
              <w:autoSpaceDN w:val="0"/>
              <w:spacing w:line="247" w:lineRule="exact"/>
              <w:ind w:left="105"/>
              <w:rPr>
                <w:sz w:val="22"/>
                <w:szCs w:val="22"/>
                <w:lang w:val="sr-Latn-ME"/>
              </w:rPr>
            </w:pPr>
            <w:r w:rsidRPr="00FB6F73">
              <w:rPr>
                <w:sz w:val="22"/>
                <w:szCs w:val="22"/>
                <w:lang w:val="sr-Latn-ME"/>
              </w:rPr>
              <w:t>sistema</w:t>
            </w:r>
          </w:p>
        </w:tc>
        <w:tc>
          <w:tcPr>
            <w:tcW w:w="1565" w:type="dxa"/>
            <w:vMerge/>
          </w:tcPr>
          <w:p w14:paraId="1150C518" w14:textId="77777777" w:rsidR="00F10335" w:rsidRPr="00FB6F73" w:rsidRDefault="00F10335" w:rsidP="00F10335">
            <w:pPr>
              <w:widowControl w:val="0"/>
              <w:autoSpaceDE w:val="0"/>
              <w:autoSpaceDN w:val="0"/>
              <w:rPr>
                <w:sz w:val="22"/>
                <w:szCs w:val="22"/>
                <w:lang w:val="sr-Latn-ME"/>
              </w:rPr>
            </w:pPr>
          </w:p>
        </w:tc>
        <w:tc>
          <w:tcPr>
            <w:tcW w:w="1642" w:type="dxa"/>
            <w:tcBorders>
              <w:top w:val="nil"/>
            </w:tcBorders>
          </w:tcPr>
          <w:p w14:paraId="62A5DACC" w14:textId="77777777" w:rsidR="00F10335" w:rsidRPr="00FB6F73" w:rsidRDefault="00F10335" w:rsidP="00F10335">
            <w:pPr>
              <w:widowControl w:val="0"/>
              <w:autoSpaceDE w:val="0"/>
              <w:autoSpaceDN w:val="0"/>
              <w:rPr>
                <w:sz w:val="22"/>
                <w:szCs w:val="22"/>
                <w:lang w:val="sr-Latn-ME"/>
              </w:rPr>
            </w:pPr>
          </w:p>
        </w:tc>
        <w:tc>
          <w:tcPr>
            <w:tcW w:w="1805" w:type="dxa"/>
            <w:tcBorders>
              <w:top w:val="nil"/>
            </w:tcBorders>
          </w:tcPr>
          <w:p w14:paraId="0FC79CFA" w14:textId="77777777" w:rsidR="00F10335" w:rsidRPr="00FB6F73" w:rsidRDefault="00F10335" w:rsidP="00F10335">
            <w:pPr>
              <w:widowControl w:val="0"/>
              <w:autoSpaceDE w:val="0"/>
              <w:autoSpaceDN w:val="0"/>
              <w:rPr>
                <w:sz w:val="22"/>
                <w:szCs w:val="22"/>
                <w:lang w:val="sr-Latn-ME"/>
              </w:rPr>
            </w:pPr>
          </w:p>
        </w:tc>
        <w:tc>
          <w:tcPr>
            <w:tcW w:w="1622" w:type="dxa"/>
            <w:vMerge/>
          </w:tcPr>
          <w:p w14:paraId="77DDE6A1" w14:textId="77777777" w:rsidR="00F10335" w:rsidRPr="00FB6F73" w:rsidRDefault="00F10335" w:rsidP="00F10335">
            <w:pPr>
              <w:widowControl w:val="0"/>
              <w:autoSpaceDE w:val="0"/>
              <w:autoSpaceDN w:val="0"/>
              <w:rPr>
                <w:sz w:val="22"/>
                <w:szCs w:val="22"/>
                <w:lang w:val="sr-Latn-ME"/>
              </w:rPr>
            </w:pPr>
          </w:p>
        </w:tc>
        <w:tc>
          <w:tcPr>
            <w:tcW w:w="1464" w:type="dxa"/>
            <w:vMerge/>
          </w:tcPr>
          <w:p w14:paraId="16E59717" w14:textId="77777777" w:rsidR="00F10335" w:rsidRPr="00FB6F73" w:rsidRDefault="00F10335" w:rsidP="00F10335">
            <w:pPr>
              <w:widowControl w:val="0"/>
              <w:autoSpaceDE w:val="0"/>
              <w:autoSpaceDN w:val="0"/>
              <w:rPr>
                <w:sz w:val="22"/>
                <w:szCs w:val="22"/>
                <w:lang w:val="sr-Latn-ME"/>
              </w:rPr>
            </w:pPr>
          </w:p>
        </w:tc>
      </w:tr>
    </w:tbl>
    <w:p w14:paraId="34C03321" w14:textId="61CD7DBC" w:rsidR="00F10335" w:rsidRPr="00FB6F73" w:rsidRDefault="00F10335" w:rsidP="00136217">
      <w:pPr>
        <w:rPr>
          <w:sz w:val="22"/>
          <w:szCs w:val="22"/>
          <w:lang w:val="sr-Latn-ME"/>
        </w:rPr>
      </w:pPr>
    </w:p>
    <w:p w14:paraId="71ADF81E" w14:textId="419E14CD" w:rsidR="00F10335" w:rsidRPr="00FB6F73" w:rsidRDefault="00FB6F73" w:rsidP="00FB6F73">
      <w:pPr>
        <w:widowControl w:val="0"/>
        <w:autoSpaceDE w:val="0"/>
        <w:autoSpaceDN w:val="0"/>
        <w:spacing w:before="94" w:line="266" w:lineRule="exact"/>
        <w:ind w:left="232"/>
        <w:jc w:val="both"/>
        <w:rPr>
          <w:position w:val="10"/>
          <w:sz w:val="22"/>
          <w:szCs w:val="22"/>
          <w:lang w:val="sr-Latn-ME"/>
        </w:rPr>
      </w:pPr>
      <w:r>
        <w:rPr>
          <w:sz w:val="22"/>
          <w:szCs w:val="22"/>
          <w:vertAlign w:val="superscript"/>
          <w:lang w:val="sr-Latn-ME"/>
        </w:rPr>
        <w:t>1</w:t>
      </w:r>
      <w:r w:rsidR="00F10335" w:rsidRPr="00FB6F73">
        <w:rPr>
          <w:sz w:val="22"/>
          <w:szCs w:val="22"/>
          <w:lang w:val="sr-Latn-ME"/>
        </w:rPr>
        <w:t>U kliničkoj studiji PA.3</w:t>
      </w:r>
    </w:p>
    <w:p w14:paraId="3A148E2F" w14:textId="41F9A9D4" w:rsidR="00F10335" w:rsidRPr="00FB6F73" w:rsidRDefault="00FB6F73" w:rsidP="00FB6F73">
      <w:pPr>
        <w:widowControl w:val="0"/>
        <w:autoSpaceDE w:val="0"/>
        <w:autoSpaceDN w:val="0"/>
        <w:spacing w:line="254" w:lineRule="exact"/>
        <w:ind w:left="232"/>
        <w:jc w:val="both"/>
        <w:rPr>
          <w:sz w:val="22"/>
          <w:szCs w:val="22"/>
          <w:lang w:val="sr-Latn-ME"/>
        </w:rPr>
      </w:pPr>
      <w:r w:rsidRPr="00FB6F73">
        <w:rPr>
          <w:sz w:val="22"/>
          <w:szCs w:val="22"/>
          <w:vertAlign w:val="superscript"/>
          <w:lang w:val="sr-Latn-ME"/>
        </w:rPr>
        <w:t>2</w:t>
      </w:r>
      <w:r w:rsidR="00F10335" w:rsidRPr="00FB6F73">
        <w:rPr>
          <w:sz w:val="22"/>
          <w:szCs w:val="22"/>
          <w:lang w:val="sr-Latn-ME"/>
        </w:rPr>
        <w:t>Uključujući urastanje trepavica, pojačan rast i zadebljanje trepavica.</w:t>
      </w:r>
    </w:p>
    <w:p w14:paraId="1F38294D" w14:textId="31716AD8" w:rsidR="00F10335" w:rsidRPr="00FB6F73" w:rsidRDefault="00FB6F73" w:rsidP="00FB6F73">
      <w:pPr>
        <w:widowControl w:val="0"/>
        <w:autoSpaceDE w:val="0"/>
        <w:autoSpaceDN w:val="0"/>
        <w:spacing w:before="19" w:line="250" w:lineRule="exact"/>
        <w:ind w:left="232" w:right="415"/>
        <w:jc w:val="both"/>
        <w:rPr>
          <w:sz w:val="22"/>
          <w:szCs w:val="22"/>
          <w:lang w:val="sr-Latn-ME"/>
        </w:rPr>
      </w:pPr>
      <w:r>
        <w:rPr>
          <w:sz w:val="22"/>
          <w:szCs w:val="22"/>
          <w:vertAlign w:val="superscript"/>
          <w:lang w:val="sr-Latn-ME"/>
        </w:rPr>
        <w:t>3</w:t>
      </w:r>
      <w:r w:rsidR="00F10335" w:rsidRPr="00FB6F73">
        <w:rPr>
          <w:sz w:val="22"/>
          <w:szCs w:val="22"/>
          <w:lang w:val="sr-Latn-ME"/>
        </w:rPr>
        <w:t>Uključujući i slučajeve sa smrtnim ishodom, kod pacijenata koji su primali erlotinib za terapiju NSCLC ili drugih uznapredovalih solidnih tumora (vid</w:t>
      </w:r>
      <w:r w:rsidR="00C13202" w:rsidRPr="00FB6F73">
        <w:rPr>
          <w:sz w:val="22"/>
          <w:szCs w:val="22"/>
          <w:lang w:val="sr-Latn-ME"/>
        </w:rPr>
        <w:t>j</w:t>
      </w:r>
      <w:r w:rsidR="00F10335" w:rsidRPr="00FB6F73">
        <w:rPr>
          <w:sz w:val="22"/>
          <w:szCs w:val="22"/>
          <w:lang w:val="sr-Latn-ME"/>
        </w:rPr>
        <w:t xml:space="preserve">eti </w:t>
      </w:r>
      <w:r w:rsidR="00FE7A7A" w:rsidRPr="00FB6F73">
        <w:rPr>
          <w:sz w:val="22"/>
          <w:szCs w:val="22"/>
          <w:lang w:val="sr-Latn-ME"/>
        </w:rPr>
        <w:t xml:space="preserve">dio </w:t>
      </w:r>
      <w:r w:rsidR="00F10335" w:rsidRPr="00FB6F73">
        <w:rPr>
          <w:sz w:val="22"/>
          <w:szCs w:val="22"/>
          <w:lang w:val="sr-Latn-ME"/>
        </w:rPr>
        <w:t>4.4). Veća incidenc</w:t>
      </w:r>
      <w:r w:rsidR="00FE7A7A" w:rsidRPr="00FB6F73">
        <w:rPr>
          <w:sz w:val="22"/>
          <w:szCs w:val="22"/>
          <w:lang w:val="sr-Latn-ME"/>
        </w:rPr>
        <w:t>a</w:t>
      </w:r>
      <w:r w:rsidR="00F10335" w:rsidRPr="00FB6F73">
        <w:rPr>
          <w:sz w:val="22"/>
          <w:szCs w:val="22"/>
          <w:lang w:val="sr-Latn-ME"/>
        </w:rPr>
        <w:t xml:space="preserve"> je uočena kod pacijenata </w:t>
      </w:r>
      <w:r w:rsidR="00FE7A7A" w:rsidRPr="00FB6F73">
        <w:rPr>
          <w:sz w:val="22"/>
          <w:szCs w:val="22"/>
          <w:lang w:val="sr-Latn-ME"/>
        </w:rPr>
        <w:t xml:space="preserve">u </w:t>
      </w:r>
      <w:r w:rsidR="00F10335" w:rsidRPr="00FB6F73">
        <w:rPr>
          <w:sz w:val="22"/>
          <w:szCs w:val="22"/>
          <w:lang w:val="sr-Latn-ME"/>
        </w:rPr>
        <w:t>Japanu</w:t>
      </w:r>
      <w:r w:rsidR="00C13202" w:rsidRPr="00FB6F73">
        <w:rPr>
          <w:sz w:val="22"/>
          <w:szCs w:val="22"/>
          <w:lang w:val="sr-Latn-ME"/>
        </w:rPr>
        <w:t xml:space="preserve"> </w:t>
      </w:r>
      <w:r w:rsidR="00F10335" w:rsidRPr="00FB6F73">
        <w:rPr>
          <w:sz w:val="22"/>
          <w:szCs w:val="22"/>
          <w:lang w:val="sr-Latn-ME"/>
        </w:rPr>
        <w:t>(vid</w:t>
      </w:r>
      <w:r w:rsidR="00C13202" w:rsidRPr="00FB6F73">
        <w:rPr>
          <w:sz w:val="22"/>
          <w:szCs w:val="22"/>
          <w:lang w:val="sr-Latn-ME"/>
        </w:rPr>
        <w:t>j</w:t>
      </w:r>
      <w:r w:rsidR="00F10335" w:rsidRPr="00FB6F73">
        <w:rPr>
          <w:sz w:val="22"/>
          <w:szCs w:val="22"/>
          <w:lang w:val="sr-Latn-ME"/>
        </w:rPr>
        <w:t xml:space="preserve">eti </w:t>
      </w:r>
      <w:r w:rsidR="00FE7A7A" w:rsidRPr="00FB6F73">
        <w:rPr>
          <w:sz w:val="22"/>
          <w:szCs w:val="22"/>
          <w:lang w:val="sr-Latn-ME"/>
        </w:rPr>
        <w:t xml:space="preserve">dio </w:t>
      </w:r>
      <w:r w:rsidR="00F10335" w:rsidRPr="00FB6F73">
        <w:rPr>
          <w:sz w:val="22"/>
          <w:szCs w:val="22"/>
          <w:lang w:val="sr-Latn-ME"/>
        </w:rPr>
        <w:t>4.4).</w:t>
      </w:r>
    </w:p>
    <w:p w14:paraId="489536FB" w14:textId="0D08DD01" w:rsidR="00F10335" w:rsidRPr="00FB6F73" w:rsidRDefault="00FB6F73" w:rsidP="00FB6F73">
      <w:pPr>
        <w:widowControl w:val="0"/>
        <w:autoSpaceDE w:val="0"/>
        <w:autoSpaceDN w:val="0"/>
        <w:spacing w:before="19" w:line="250" w:lineRule="exact"/>
        <w:ind w:left="232" w:right="1210"/>
        <w:jc w:val="both"/>
        <w:rPr>
          <w:sz w:val="22"/>
          <w:szCs w:val="22"/>
          <w:lang w:val="sr-Latn-ME"/>
        </w:rPr>
      </w:pPr>
      <w:r>
        <w:rPr>
          <w:sz w:val="22"/>
          <w:szCs w:val="22"/>
          <w:vertAlign w:val="superscript"/>
          <w:lang w:val="sr-Latn-ME"/>
        </w:rPr>
        <w:t>4</w:t>
      </w:r>
      <w:r w:rsidR="00F10335" w:rsidRPr="00FB6F73">
        <w:rPr>
          <w:sz w:val="22"/>
          <w:szCs w:val="22"/>
          <w:lang w:val="sr-Latn-ME"/>
        </w:rPr>
        <w:t xml:space="preserve">U kliničkim studijama, neki slučajevi su povezani sa istovremenom </w:t>
      </w:r>
      <w:r w:rsidR="00C13202" w:rsidRPr="00FB6F73">
        <w:rPr>
          <w:sz w:val="22"/>
          <w:szCs w:val="22"/>
          <w:lang w:val="sr-Latn-ME"/>
        </w:rPr>
        <w:t>primjen</w:t>
      </w:r>
      <w:r w:rsidR="00F10335" w:rsidRPr="00FB6F73">
        <w:rPr>
          <w:sz w:val="22"/>
          <w:szCs w:val="22"/>
          <w:lang w:val="sr-Latn-ME"/>
        </w:rPr>
        <w:t>om varfarina a neki sa istovremenom prim</w:t>
      </w:r>
      <w:r w:rsidR="00C13202" w:rsidRPr="00FB6F73">
        <w:rPr>
          <w:sz w:val="22"/>
          <w:szCs w:val="22"/>
          <w:lang w:val="sr-Latn-ME"/>
        </w:rPr>
        <w:t>j</w:t>
      </w:r>
      <w:r w:rsidR="00F10335" w:rsidRPr="00FB6F73">
        <w:rPr>
          <w:sz w:val="22"/>
          <w:szCs w:val="22"/>
          <w:lang w:val="sr-Latn-ME"/>
        </w:rPr>
        <w:t>enom NSAIL (</w:t>
      </w:r>
      <w:r w:rsidR="00C13202" w:rsidRPr="00FB6F73">
        <w:rPr>
          <w:sz w:val="22"/>
          <w:szCs w:val="22"/>
          <w:lang w:val="sr-Latn-ME"/>
        </w:rPr>
        <w:t>vidjeti</w:t>
      </w:r>
      <w:r w:rsidR="00F10335" w:rsidRPr="00FB6F73">
        <w:rPr>
          <w:sz w:val="22"/>
          <w:szCs w:val="22"/>
          <w:lang w:val="sr-Latn-ME"/>
        </w:rPr>
        <w:t xml:space="preserve"> </w:t>
      </w:r>
      <w:r w:rsidR="00FE7A7A" w:rsidRPr="00FB6F73">
        <w:rPr>
          <w:sz w:val="22"/>
          <w:szCs w:val="22"/>
          <w:lang w:val="sr-Latn-ME"/>
        </w:rPr>
        <w:t xml:space="preserve">dio </w:t>
      </w:r>
      <w:r w:rsidR="00F10335" w:rsidRPr="00FB6F73">
        <w:rPr>
          <w:sz w:val="22"/>
          <w:szCs w:val="22"/>
          <w:lang w:val="sr-Latn-ME"/>
        </w:rPr>
        <w:t>4.5).</w:t>
      </w:r>
    </w:p>
    <w:p w14:paraId="1F6B0404" w14:textId="3720BD57" w:rsidR="00F10335" w:rsidRPr="00FB6F73" w:rsidRDefault="00FB6F73" w:rsidP="00FB6F73">
      <w:pPr>
        <w:widowControl w:val="0"/>
        <w:autoSpaceDE w:val="0"/>
        <w:autoSpaceDN w:val="0"/>
        <w:spacing w:before="1" w:line="254" w:lineRule="exact"/>
        <w:ind w:left="232" w:right="328"/>
        <w:jc w:val="both"/>
        <w:rPr>
          <w:sz w:val="22"/>
          <w:szCs w:val="22"/>
          <w:lang w:val="sr-Latn-ME"/>
        </w:rPr>
      </w:pPr>
      <w:r>
        <w:rPr>
          <w:sz w:val="22"/>
          <w:szCs w:val="22"/>
          <w:vertAlign w:val="superscript"/>
          <w:lang w:val="sr-Latn-ME"/>
        </w:rPr>
        <w:t>5</w:t>
      </w:r>
      <w:r w:rsidR="00F10335" w:rsidRPr="00FB6F73">
        <w:rPr>
          <w:sz w:val="22"/>
          <w:szCs w:val="22"/>
          <w:lang w:val="sr-Latn-ME"/>
        </w:rPr>
        <w:t>Uključujući povišene vr</w:t>
      </w:r>
      <w:r w:rsidR="007A659B" w:rsidRPr="00FB6F73">
        <w:rPr>
          <w:sz w:val="22"/>
          <w:szCs w:val="22"/>
          <w:lang w:val="sr-Latn-ME"/>
        </w:rPr>
        <w:t>ij</w:t>
      </w:r>
      <w:r w:rsidR="00F10335" w:rsidRPr="00FB6F73">
        <w:rPr>
          <w:sz w:val="22"/>
          <w:szCs w:val="22"/>
          <w:lang w:val="sr-Latn-ME"/>
        </w:rPr>
        <w:t xml:space="preserve">ednosti alanin aminotransferaze/ALT/, aspartat aminotransferaze/AST/ i bilirubina. One su </w:t>
      </w:r>
      <w:r w:rsidR="00F10335" w:rsidRPr="00FB6F73">
        <w:rPr>
          <w:spacing w:val="-3"/>
          <w:sz w:val="22"/>
          <w:szCs w:val="22"/>
          <w:lang w:val="sr-Latn-ME"/>
        </w:rPr>
        <w:t xml:space="preserve">bile </w:t>
      </w:r>
      <w:r w:rsidR="00F10335" w:rsidRPr="00FB6F73">
        <w:rPr>
          <w:sz w:val="22"/>
          <w:szCs w:val="22"/>
          <w:lang w:val="sr-Latn-ME"/>
        </w:rPr>
        <w:t>veoma česte u kliničkoj studiji PA.3 i česte u kliničkoj studiji BR.21. Slučajevi su bili uglavnom blagog do um</w:t>
      </w:r>
      <w:r w:rsidR="00C13202" w:rsidRPr="00FB6F73">
        <w:rPr>
          <w:sz w:val="22"/>
          <w:szCs w:val="22"/>
          <w:lang w:val="sr-Latn-ME"/>
        </w:rPr>
        <w:t>j</w:t>
      </w:r>
      <w:r w:rsidR="00F10335" w:rsidRPr="00FB6F73">
        <w:rPr>
          <w:sz w:val="22"/>
          <w:szCs w:val="22"/>
          <w:lang w:val="sr-Latn-ME"/>
        </w:rPr>
        <w:t>ereno</w:t>
      </w:r>
      <w:r w:rsidR="00FE7A7A" w:rsidRPr="00FB6F73">
        <w:rPr>
          <w:sz w:val="22"/>
          <w:szCs w:val="22"/>
          <w:lang w:val="sr-Latn-ME"/>
        </w:rPr>
        <w:t>g</w:t>
      </w:r>
      <w:r w:rsidR="00F10335" w:rsidRPr="00FB6F73">
        <w:rPr>
          <w:sz w:val="22"/>
          <w:szCs w:val="22"/>
          <w:lang w:val="sr-Latn-ME"/>
        </w:rPr>
        <w:t xml:space="preserve"> intenziteta, prolazne prirode ili povezani sa metastazama u jetri.</w:t>
      </w:r>
    </w:p>
    <w:p w14:paraId="14779768" w14:textId="50300D70" w:rsidR="00F10335" w:rsidRPr="00FB6F73" w:rsidRDefault="00FB6F73" w:rsidP="00FB6F73">
      <w:pPr>
        <w:widowControl w:val="0"/>
        <w:autoSpaceDE w:val="0"/>
        <w:autoSpaceDN w:val="0"/>
        <w:spacing w:line="246" w:lineRule="exact"/>
        <w:ind w:left="232"/>
        <w:jc w:val="both"/>
        <w:rPr>
          <w:sz w:val="22"/>
          <w:szCs w:val="22"/>
          <w:lang w:val="sr-Latn-ME"/>
        </w:rPr>
      </w:pPr>
      <w:r>
        <w:rPr>
          <w:sz w:val="22"/>
          <w:szCs w:val="22"/>
          <w:vertAlign w:val="superscript"/>
          <w:lang w:val="sr-Latn-ME"/>
        </w:rPr>
        <w:t>6</w:t>
      </w:r>
      <w:r w:rsidR="00F10335" w:rsidRPr="00FB6F73">
        <w:rPr>
          <w:sz w:val="22"/>
          <w:szCs w:val="22"/>
          <w:lang w:val="sr-Latn-ME"/>
        </w:rPr>
        <w:t xml:space="preserve">Uključujući i slučajeve sa smrtnim ishodom. Ometajući faktori su uključivali postojeću bolest jetre </w:t>
      </w:r>
      <w:r w:rsidR="007A659B" w:rsidRPr="00FB6F73">
        <w:rPr>
          <w:sz w:val="22"/>
          <w:szCs w:val="22"/>
          <w:lang w:val="sr-Latn-ME"/>
        </w:rPr>
        <w:t xml:space="preserve">i </w:t>
      </w:r>
      <w:r w:rsidR="00F10335" w:rsidRPr="00FB6F73">
        <w:rPr>
          <w:sz w:val="22"/>
          <w:szCs w:val="22"/>
          <w:lang w:val="sr-Latn-ME"/>
        </w:rPr>
        <w:t xml:space="preserve">istovremenu </w:t>
      </w:r>
      <w:r w:rsidR="00ED4DF5" w:rsidRPr="00FB6F73">
        <w:rPr>
          <w:sz w:val="22"/>
          <w:szCs w:val="22"/>
          <w:lang w:val="sr-Latn-ME"/>
        </w:rPr>
        <w:t>primjenu</w:t>
      </w:r>
      <w:r w:rsidR="00F10335" w:rsidRPr="00FB6F73">
        <w:rPr>
          <w:sz w:val="22"/>
          <w:szCs w:val="22"/>
          <w:lang w:val="sr-Latn-ME"/>
        </w:rPr>
        <w:t xml:space="preserve"> hepatotoksičnih l</w:t>
      </w:r>
      <w:r w:rsidR="007A659B" w:rsidRPr="00FB6F73">
        <w:rPr>
          <w:sz w:val="22"/>
          <w:szCs w:val="22"/>
          <w:lang w:val="sr-Latn-ME"/>
        </w:rPr>
        <w:t>j</w:t>
      </w:r>
      <w:r w:rsidR="00F10335" w:rsidRPr="00FB6F73">
        <w:rPr>
          <w:sz w:val="22"/>
          <w:szCs w:val="22"/>
          <w:lang w:val="sr-Latn-ME"/>
        </w:rPr>
        <w:t>ekova (</w:t>
      </w:r>
      <w:r w:rsidR="00C13202" w:rsidRPr="00FB6F73">
        <w:rPr>
          <w:sz w:val="22"/>
          <w:szCs w:val="22"/>
          <w:lang w:val="sr-Latn-ME"/>
        </w:rPr>
        <w:t>vidjeti</w:t>
      </w:r>
      <w:r w:rsidR="00F10335" w:rsidRPr="00FB6F73">
        <w:rPr>
          <w:sz w:val="22"/>
          <w:szCs w:val="22"/>
          <w:lang w:val="sr-Latn-ME"/>
        </w:rPr>
        <w:t xml:space="preserve"> </w:t>
      </w:r>
      <w:r w:rsidR="00FE7A7A" w:rsidRPr="00FB6F73">
        <w:rPr>
          <w:sz w:val="22"/>
          <w:szCs w:val="22"/>
          <w:lang w:val="sr-Latn-ME"/>
        </w:rPr>
        <w:t xml:space="preserve">dio </w:t>
      </w:r>
      <w:r w:rsidR="00F10335" w:rsidRPr="00FB6F73">
        <w:rPr>
          <w:sz w:val="22"/>
          <w:szCs w:val="22"/>
          <w:lang w:val="sr-Latn-ME"/>
        </w:rPr>
        <w:t>4.4.)</w:t>
      </w:r>
    </w:p>
    <w:p w14:paraId="4AF836B0" w14:textId="0CD8128B" w:rsidR="00F10335" w:rsidRPr="00FB6F73" w:rsidRDefault="00FB6F73" w:rsidP="00FB6F73">
      <w:pPr>
        <w:widowControl w:val="0"/>
        <w:autoSpaceDE w:val="0"/>
        <w:autoSpaceDN w:val="0"/>
        <w:spacing w:line="266" w:lineRule="exact"/>
        <w:ind w:left="232"/>
        <w:jc w:val="both"/>
        <w:rPr>
          <w:sz w:val="22"/>
          <w:szCs w:val="22"/>
          <w:lang w:val="sr-Latn-ME"/>
        </w:rPr>
      </w:pPr>
      <w:r>
        <w:rPr>
          <w:sz w:val="22"/>
          <w:szCs w:val="22"/>
          <w:vertAlign w:val="superscript"/>
          <w:lang w:val="sr-Latn-ME"/>
        </w:rPr>
        <w:t>7</w:t>
      </w:r>
      <w:r w:rsidR="00F10335" w:rsidRPr="00FB6F73">
        <w:rPr>
          <w:sz w:val="22"/>
          <w:szCs w:val="22"/>
          <w:lang w:val="sr-Latn-ME"/>
        </w:rPr>
        <w:t>Uključujići i slučajeve sa smrtnim ishodom (</w:t>
      </w:r>
      <w:r w:rsidR="00C13202" w:rsidRPr="00FB6F73">
        <w:rPr>
          <w:sz w:val="22"/>
          <w:szCs w:val="22"/>
          <w:lang w:val="sr-Latn-ME"/>
        </w:rPr>
        <w:t>vidjeti</w:t>
      </w:r>
      <w:r w:rsidR="00F10335" w:rsidRPr="00FB6F73">
        <w:rPr>
          <w:sz w:val="22"/>
          <w:szCs w:val="22"/>
          <w:lang w:val="sr-Latn-ME"/>
        </w:rPr>
        <w:t xml:space="preserve"> </w:t>
      </w:r>
      <w:r w:rsidR="00FE7A7A" w:rsidRPr="00FB6F73">
        <w:rPr>
          <w:sz w:val="22"/>
          <w:szCs w:val="22"/>
          <w:lang w:val="sr-Latn-ME"/>
        </w:rPr>
        <w:t xml:space="preserve">dio </w:t>
      </w:r>
      <w:r w:rsidR="00F10335" w:rsidRPr="00FB6F73">
        <w:rPr>
          <w:sz w:val="22"/>
          <w:szCs w:val="22"/>
          <w:lang w:val="sr-Latn-ME"/>
        </w:rPr>
        <w:t>4.4.)</w:t>
      </w:r>
    </w:p>
    <w:p w14:paraId="2F56E9D6" w14:textId="77777777" w:rsidR="00F10335" w:rsidRPr="00FB6F73" w:rsidRDefault="00F10335" w:rsidP="00F10335">
      <w:pPr>
        <w:widowControl w:val="0"/>
        <w:autoSpaceDE w:val="0"/>
        <w:autoSpaceDN w:val="0"/>
        <w:rPr>
          <w:sz w:val="22"/>
          <w:szCs w:val="22"/>
          <w:lang w:val="sr-Latn-ME"/>
        </w:rPr>
      </w:pPr>
    </w:p>
    <w:p w14:paraId="53F788C2" w14:textId="77777777" w:rsidR="005A23D2" w:rsidRPr="00FB6F73" w:rsidRDefault="005A23D2" w:rsidP="00A46C9A">
      <w:pPr>
        <w:spacing w:after="200" w:line="276" w:lineRule="auto"/>
        <w:rPr>
          <w:rFonts w:eastAsia="Calibri"/>
          <w:sz w:val="22"/>
          <w:szCs w:val="22"/>
          <w:u w:val="single"/>
          <w:lang w:val="sr-Latn-ME"/>
        </w:rPr>
      </w:pPr>
      <w:r w:rsidRPr="00FB6F73">
        <w:rPr>
          <w:rFonts w:eastAsia="Calibri"/>
          <w:sz w:val="22"/>
          <w:szCs w:val="22"/>
          <w:u w:val="single"/>
          <w:lang w:val="sr-Latn-ME"/>
        </w:rPr>
        <w:t>Prijavljivanje sumnji na neželjena dejstva</w:t>
      </w:r>
    </w:p>
    <w:p w14:paraId="5A4652D1" w14:textId="77777777" w:rsidR="005A23D2" w:rsidRPr="00FB6F73" w:rsidRDefault="005A23D2" w:rsidP="00A46C9A">
      <w:pPr>
        <w:spacing w:after="200"/>
        <w:jc w:val="both"/>
        <w:rPr>
          <w:rFonts w:eastAsia="Calibri"/>
          <w:sz w:val="22"/>
          <w:szCs w:val="22"/>
          <w:lang w:val="sr-Latn-ME"/>
        </w:rPr>
      </w:pPr>
      <w:r w:rsidRPr="00FB6F73">
        <w:rPr>
          <w:rFonts w:eastAsia="Calibri"/>
          <w:sz w:val="22"/>
          <w:szCs w:val="22"/>
          <w:lang w:val="sr-Latn-ME"/>
        </w:rPr>
        <w:t>Prijavljivanje neželjenih dejstava nakon dobijanja dozvole je od velikog značaja jer obezbjeđuje kont</w:t>
      </w:r>
      <w:r w:rsidR="00EA5765" w:rsidRPr="00FB6F73">
        <w:rPr>
          <w:rFonts w:eastAsia="Calibri"/>
          <w:sz w:val="22"/>
          <w:szCs w:val="22"/>
          <w:lang w:val="sr-Latn-ME"/>
        </w:rPr>
        <w:t>inuirano praćenje odnosa korist</w:t>
      </w:r>
      <w:r w:rsidRPr="00FB6F73">
        <w:rPr>
          <w:rFonts w:eastAsia="Calibri"/>
          <w:sz w:val="22"/>
          <w:szCs w:val="22"/>
          <w:lang w:val="sr-Latn-ME"/>
        </w:rPr>
        <w:t>/rizik primjene lijeka. Zdravstveni radnici treba da prijave svaku sumnju na neželjeno</w:t>
      </w:r>
      <w:r w:rsidR="009B062A" w:rsidRPr="00FB6F73">
        <w:rPr>
          <w:rFonts w:eastAsia="Calibri"/>
          <w:sz w:val="22"/>
          <w:szCs w:val="22"/>
          <w:lang w:val="sr-Latn-ME"/>
        </w:rPr>
        <w:t xml:space="preserve"> </w:t>
      </w:r>
      <w:r w:rsidRPr="00FB6F73">
        <w:rPr>
          <w:rFonts w:eastAsia="Calibri"/>
          <w:sz w:val="22"/>
          <w:szCs w:val="22"/>
          <w:lang w:val="sr-Latn-ME"/>
        </w:rPr>
        <w:t xml:space="preserve">dejstvo ovog lijeka </w:t>
      </w:r>
      <w:r w:rsidR="004E70AD" w:rsidRPr="00FB6F73">
        <w:rPr>
          <w:rFonts w:eastAsia="Calibri"/>
          <w:sz w:val="22"/>
          <w:szCs w:val="22"/>
          <w:lang w:val="sr-Latn-ME"/>
        </w:rPr>
        <w:t>Institutu</w:t>
      </w:r>
      <w:r w:rsidRPr="00FB6F73">
        <w:rPr>
          <w:rFonts w:eastAsia="Calibri"/>
          <w:sz w:val="22"/>
          <w:szCs w:val="22"/>
          <w:lang w:val="sr-Latn-ME"/>
        </w:rPr>
        <w:t xml:space="preserve"> za ljekove i medicinska sredstva</w:t>
      </w:r>
      <w:r w:rsidR="004E70AD" w:rsidRPr="00FB6F73">
        <w:rPr>
          <w:rFonts w:eastAsia="Calibri"/>
          <w:sz w:val="22"/>
          <w:szCs w:val="22"/>
          <w:lang w:val="sr-Latn-ME"/>
        </w:rPr>
        <w:t xml:space="preserve"> </w:t>
      </w:r>
      <w:r w:rsidRPr="00FB6F73">
        <w:rPr>
          <w:rFonts w:eastAsia="Calibri"/>
          <w:sz w:val="22"/>
          <w:szCs w:val="22"/>
          <w:lang w:val="sr-Latn-ME"/>
        </w:rPr>
        <w:t>(</w:t>
      </w:r>
      <w:r w:rsidR="004E70AD" w:rsidRPr="00FB6F73">
        <w:rPr>
          <w:rFonts w:eastAsia="Calibri"/>
          <w:sz w:val="22"/>
          <w:szCs w:val="22"/>
          <w:lang w:val="sr-Latn-ME"/>
        </w:rPr>
        <w:t>CInMED</w:t>
      </w:r>
      <w:r w:rsidRPr="00FB6F73">
        <w:rPr>
          <w:rFonts w:eastAsia="Calibri"/>
          <w:sz w:val="22"/>
          <w:szCs w:val="22"/>
          <w:lang w:val="sr-Latn-ME"/>
        </w:rPr>
        <w:t>):</w:t>
      </w:r>
    </w:p>
    <w:p w14:paraId="56E3FBAF" w14:textId="77777777" w:rsidR="005A23D2" w:rsidRPr="00FB6F73" w:rsidRDefault="004E70AD" w:rsidP="00A46C9A">
      <w:pPr>
        <w:pStyle w:val="NoSpacing"/>
        <w:jc w:val="both"/>
        <w:rPr>
          <w:rFonts w:eastAsia="Calibri"/>
          <w:sz w:val="22"/>
          <w:szCs w:val="22"/>
          <w:lang w:val="sr-Latn-ME"/>
        </w:rPr>
      </w:pPr>
      <w:r w:rsidRPr="00FB6F73">
        <w:rPr>
          <w:rFonts w:eastAsia="Calibri"/>
          <w:sz w:val="22"/>
          <w:szCs w:val="22"/>
          <w:lang w:val="sr-Latn-ME"/>
        </w:rPr>
        <w:t xml:space="preserve">Institut </w:t>
      </w:r>
      <w:r w:rsidR="005A23D2" w:rsidRPr="00FB6F73">
        <w:rPr>
          <w:rFonts w:eastAsia="Calibri"/>
          <w:sz w:val="22"/>
          <w:szCs w:val="22"/>
          <w:lang w:val="sr-Latn-ME"/>
        </w:rPr>
        <w:t xml:space="preserve">za ljekove i medicinska sredstva </w:t>
      </w:r>
    </w:p>
    <w:p w14:paraId="033B47AA" w14:textId="77777777" w:rsidR="005A23D2" w:rsidRPr="00FB6F73" w:rsidRDefault="005A23D2" w:rsidP="00A46C9A">
      <w:pPr>
        <w:pStyle w:val="NoSpacing"/>
        <w:jc w:val="both"/>
        <w:rPr>
          <w:rFonts w:eastAsia="Calibri"/>
          <w:sz w:val="22"/>
          <w:szCs w:val="22"/>
          <w:lang w:val="sr-Latn-ME"/>
        </w:rPr>
      </w:pPr>
      <w:r w:rsidRPr="00FB6F73">
        <w:rPr>
          <w:rFonts w:eastAsia="Calibri"/>
          <w:sz w:val="22"/>
          <w:szCs w:val="22"/>
          <w:lang w:val="sr-Latn-ME"/>
        </w:rPr>
        <w:t>Odjeljenje za farmakovigilancu</w:t>
      </w:r>
    </w:p>
    <w:p w14:paraId="1438E521" w14:textId="77777777" w:rsidR="00EA5765" w:rsidRPr="00FB6F73" w:rsidRDefault="005A23D2" w:rsidP="00A46C9A">
      <w:pPr>
        <w:pStyle w:val="NoSpacing"/>
        <w:jc w:val="both"/>
        <w:rPr>
          <w:rFonts w:eastAsia="Calibri"/>
          <w:sz w:val="22"/>
          <w:szCs w:val="22"/>
          <w:lang w:val="sr-Latn-ME"/>
        </w:rPr>
      </w:pPr>
      <w:r w:rsidRPr="00FB6F73">
        <w:rPr>
          <w:rFonts w:eastAsia="Calibri"/>
          <w:sz w:val="22"/>
          <w:szCs w:val="22"/>
          <w:lang w:val="sr-Latn-ME"/>
        </w:rPr>
        <w:t>Bulevar Ivana Crnojevića 64a, 81000 Podgorica</w:t>
      </w:r>
    </w:p>
    <w:p w14:paraId="65BAE872" w14:textId="77777777" w:rsidR="00EA5765" w:rsidRPr="00FB6F73" w:rsidRDefault="00EA5765" w:rsidP="00A46C9A">
      <w:pPr>
        <w:pStyle w:val="NoSpacing"/>
        <w:rPr>
          <w:rFonts w:eastAsia="Calibri"/>
          <w:sz w:val="22"/>
          <w:szCs w:val="22"/>
          <w:lang w:val="sr-Latn-ME"/>
        </w:rPr>
      </w:pPr>
    </w:p>
    <w:p w14:paraId="4E745CDE" w14:textId="77777777" w:rsidR="005A23D2" w:rsidRPr="00FB6F73" w:rsidRDefault="005A23D2" w:rsidP="00A46C9A">
      <w:pPr>
        <w:pStyle w:val="NoSpacing"/>
        <w:jc w:val="both"/>
        <w:rPr>
          <w:rFonts w:eastAsia="Calibri"/>
          <w:sz w:val="22"/>
          <w:szCs w:val="22"/>
          <w:lang w:val="sr-Latn-ME"/>
        </w:rPr>
      </w:pPr>
      <w:r w:rsidRPr="00FB6F73">
        <w:rPr>
          <w:rFonts w:eastAsia="Calibri"/>
          <w:sz w:val="22"/>
          <w:szCs w:val="22"/>
          <w:lang w:val="sr-Latn-ME"/>
        </w:rPr>
        <w:t>tel: +382 (0) 20 310 280</w:t>
      </w:r>
    </w:p>
    <w:p w14:paraId="611B895D" w14:textId="77777777" w:rsidR="00EA5765" w:rsidRPr="00FB6F73" w:rsidRDefault="005A23D2" w:rsidP="00A46C9A">
      <w:pPr>
        <w:pStyle w:val="NoSpacing"/>
        <w:jc w:val="both"/>
        <w:rPr>
          <w:rFonts w:eastAsia="Calibri"/>
          <w:sz w:val="22"/>
          <w:szCs w:val="22"/>
          <w:lang w:val="sr-Latn-ME"/>
        </w:rPr>
      </w:pPr>
      <w:r w:rsidRPr="00FB6F73">
        <w:rPr>
          <w:rFonts w:eastAsia="Calibri"/>
          <w:sz w:val="22"/>
          <w:szCs w:val="22"/>
          <w:lang w:val="sr-Latn-ME"/>
        </w:rPr>
        <w:t>fax:</w:t>
      </w:r>
      <w:r w:rsidR="00EA5765" w:rsidRPr="00FB6F73">
        <w:rPr>
          <w:rFonts w:eastAsia="Calibri"/>
          <w:sz w:val="22"/>
          <w:szCs w:val="22"/>
          <w:lang w:val="sr-Latn-ME"/>
        </w:rPr>
        <w:t xml:space="preserve"> </w:t>
      </w:r>
      <w:r w:rsidRPr="00FB6F73">
        <w:rPr>
          <w:rFonts w:eastAsia="Calibri"/>
          <w:sz w:val="22"/>
          <w:szCs w:val="22"/>
          <w:lang w:val="sr-Latn-ME"/>
        </w:rPr>
        <w:t>+382 (0) 20 310 581</w:t>
      </w:r>
    </w:p>
    <w:p w14:paraId="78719105" w14:textId="77777777" w:rsidR="005A23D2" w:rsidRPr="00FB6F73" w:rsidRDefault="004E562E" w:rsidP="00A46C9A">
      <w:pPr>
        <w:pStyle w:val="NoSpacing"/>
        <w:jc w:val="both"/>
        <w:rPr>
          <w:rFonts w:eastAsia="Calibri"/>
          <w:sz w:val="22"/>
          <w:szCs w:val="22"/>
          <w:lang w:val="sr-Latn-ME"/>
        </w:rPr>
      </w:pPr>
      <w:hyperlink r:id="rId8" w:history="1">
        <w:r w:rsidR="004E70AD" w:rsidRPr="00FB6F73">
          <w:rPr>
            <w:rStyle w:val="Hyperlink"/>
            <w:rFonts w:eastAsia="Calibri"/>
            <w:sz w:val="22"/>
            <w:szCs w:val="22"/>
            <w:lang w:val="sr-Latn-ME"/>
          </w:rPr>
          <w:t>www.cinmed.me</w:t>
        </w:r>
      </w:hyperlink>
    </w:p>
    <w:p w14:paraId="37D55DA9" w14:textId="77777777" w:rsidR="00EA5765" w:rsidRPr="00FB6F73" w:rsidRDefault="004E562E" w:rsidP="00A46C9A">
      <w:pPr>
        <w:pStyle w:val="NoSpacing"/>
        <w:jc w:val="both"/>
        <w:rPr>
          <w:rFonts w:eastAsia="Calibri"/>
          <w:color w:val="0000FF"/>
          <w:sz w:val="22"/>
          <w:szCs w:val="22"/>
          <w:u w:val="single"/>
          <w:lang w:val="sr-Latn-ME"/>
        </w:rPr>
      </w:pPr>
      <w:hyperlink r:id="rId9" w:history="1">
        <w:r w:rsidR="004E70AD" w:rsidRPr="00FB6F73">
          <w:rPr>
            <w:rStyle w:val="Hyperlink"/>
            <w:rFonts w:eastAsia="Calibri"/>
            <w:sz w:val="22"/>
            <w:szCs w:val="22"/>
            <w:lang w:val="sr-Latn-ME"/>
          </w:rPr>
          <w:t>nezeljenadejstva@cinmed.me</w:t>
        </w:r>
      </w:hyperlink>
    </w:p>
    <w:p w14:paraId="0F76E527" w14:textId="77777777" w:rsidR="005A23D2" w:rsidRPr="00FB6F73" w:rsidRDefault="005A23D2" w:rsidP="00A46C9A">
      <w:pPr>
        <w:pStyle w:val="NoSpacing"/>
        <w:jc w:val="both"/>
        <w:rPr>
          <w:rFonts w:eastAsia="Calibri"/>
          <w:sz w:val="22"/>
          <w:szCs w:val="22"/>
          <w:lang w:val="sr-Latn-ME"/>
        </w:rPr>
      </w:pPr>
      <w:r w:rsidRPr="00FB6F73">
        <w:rPr>
          <w:rFonts w:eastAsia="Calibri"/>
          <w:sz w:val="22"/>
          <w:szCs w:val="22"/>
          <w:lang w:val="sr-Latn-ME"/>
        </w:rPr>
        <w:t>putem IS zdravstvene zaštite</w:t>
      </w:r>
    </w:p>
    <w:p w14:paraId="5F41CAF4" w14:textId="77777777" w:rsidR="00836B35" w:rsidRPr="00FB6F73" w:rsidRDefault="00836B35" w:rsidP="00480FB1">
      <w:pPr>
        <w:tabs>
          <w:tab w:val="left" w:pos="540"/>
          <w:tab w:val="left" w:pos="569"/>
        </w:tabs>
        <w:rPr>
          <w:b/>
          <w:bCs/>
          <w:sz w:val="22"/>
          <w:szCs w:val="22"/>
          <w:lang w:val="sr-Latn-ME"/>
        </w:rPr>
      </w:pPr>
    </w:p>
    <w:p w14:paraId="7A13DEE9" w14:textId="77777777" w:rsidR="00CD6F02" w:rsidRPr="00FB6F73" w:rsidRDefault="0072020E" w:rsidP="00981FFD">
      <w:pPr>
        <w:tabs>
          <w:tab w:val="left" w:pos="540"/>
          <w:tab w:val="left" w:pos="569"/>
        </w:tabs>
        <w:jc w:val="both"/>
        <w:rPr>
          <w:b/>
          <w:bCs/>
          <w:sz w:val="22"/>
          <w:szCs w:val="22"/>
          <w:lang w:val="sr-Latn-ME"/>
        </w:rPr>
      </w:pPr>
      <w:r w:rsidRPr="00FB6F73">
        <w:rPr>
          <w:b/>
          <w:bCs/>
          <w:sz w:val="22"/>
          <w:szCs w:val="22"/>
          <w:lang w:val="sr-Latn-ME"/>
        </w:rPr>
        <w:t xml:space="preserve">4.9. </w:t>
      </w:r>
      <w:r w:rsidR="00480FB1" w:rsidRPr="00FB6F73">
        <w:rPr>
          <w:b/>
          <w:bCs/>
          <w:sz w:val="22"/>
          <w:szCs w:val="22"/>
          <w:lang w:val="sr-Latn-ME"/>
        </w:rPr>
        <w:tab/>
      </w:r>
      <w:r w:rsidRPr="00FB6F73">
        <w:rPr>
          <w:b/>
          <w:bCs/>
          <w:sz w:val="22"/>
          <w:szCs w:val="22"/>
          <w:lang w:val="sr-Latn-ME"/>
        </w:rPr>
        <w:t>Predoziranje</w:t>
      </w:r>
      <w:r w:rsidR="002846DB" w:rsidRPr="00FB6F73">
        <w:rPr>
          <w:b/>
          <w:bCs/>
          <w:sz w:val="22"/>
          <w:szCs w:val="22"/>
          <w:lang w:val="sr-Latn-ME"/>
        </w:rPr>
        <w:t xml:space="preserve"> </w:t>
      </w:r>
    </w:p>
    <w:p w14:paraId="675B7C8A" w14:textId="77777777" w:rsidR="00CD6F02" w:rsidRPr="00FB6F73" w:rsidRDefault="00CD6F02" w:rsidP="00981FFD">
      <w:pPr>
        <w:tabs>
          <w:tab w:val="left" w:pos="540"/>
          <w:tab w:val="left" w:pos="569"/>
        </w:tabs>
        <w:jc w:val="both"/>
        <w:rPr>
          <w:b/>
          <w:bCs/>
          <w:sz w:val="22"/>
          <w:szCs w:val="22"/>
          <w:lang w:val="sr-Latn-ME"/>
        </w:rPr>
      </w:pPr>
    </w:p>
    <w:p w14:paraId="5BED0DAC" w14:textId="77777777" w:rsidR="00136217" w:rsidRPr="00FB6F73" w:rsidRDefault="00136217" w:rsidP="00981FFD">
      <w:pPr>
        <w:jc w:val="both"/>
        <w:rPr>
          <w:sz w:val="22"/>
          <w:szCs w:val="22"/>
          <w:u w:val="single"/>
          <w:lang w:val="sr-Latn-ME"/>
        </w:rPr>
      </w:pPr>
      <w:r w:rsidRPr="00FB6F73">
        <w:rPr>
          <w:sz w:val="22"/>
          <w:szCs w:val="22"/>
          <w:u w:val="single"/>
          <w:lang w:val="sr-Latn-ME"/>
        </w:rPr>
        <w:t>Simptomi</w:t>
      </w:r>
    </w:p>
    <w:p w14:paraId="30326F81" w14:textId="6302B4FE" w:rsidR="00136217" w:rsidRPr="00FB6F73" w:rsidRDefault="00136217" w:rsidP="00981FFD">
      <w:pPr>
        <w:jc w:val="both"/>
        <w:rPr>
          <w:sz w:val="22"/>
          <w:szCs w:val="22"/>
          <w:lang w:val="sr-Latn-ME"/>
        </w:rPr>
      </w:pPr>
      <w:r w:rsidRPr="00FB6F73">
        <w:rPr>
          <w:sz w:val="22"/>
          <w:szCs w:val="22"/>
          <w:lang w:val="sr-Latn-ME"/>
        </w:rPr>
        <w:t xml:space="preserve">Pojedinačna oralna doza </w:t>
      </w:r>
      <w:r w:rsidR="00FD4480" w:rsidRPr="00FB6F73">
        <w:rPr>
          <w:sz w:val="22"/>
          <w:szCs w:val="22"/>
          <w:lang w:val="sr-Latn-ME"/>
        </w:rPr>
        <w:t>lijek</w:t>
      </w:r>
      <w:r w:rsidRPr="00FB6F73">
        <w:rPr>
          <w:sz w:val="22"/>
          <w:szCs w:val="22"/>
          <w:lang w:val="sr-Latn-ME"/>
        </w:rPr>
        <w:t xml:space="preserve">a Erlotinib Sandoz do 1000 mg erlotiniba kod zdravih </w:t>
      </w:r>
      <w:r w:rsidR="00917350" w:rsidRPr="00FB6F73">
        <w:rPr>
          <w:sz w:val="22"/>
          <w:szCs w:val="22"/>
          <w:lang w:val="sr-Latn-ME"/>
        </w:rPr>
        <w:t>ispitanika</w:t>
      </w:r>
      <w:r w:rsidRPr="00FB6F73">
        <w:rPr>
          <w:sz w:val="22"/>
          <w:szCs w:val="22"/>
          <w:lang w:val="sr-Latn-ME"/>
        </w:rPr>
        <w:t>, i do 1600 mg kod pacijenata obol</w:t>
      </w:r>
      <w:r w:rsidR="00917350" w:rsidRPr="00FB6F73">
        <w:rPr>
          <w:sz w:val="22"/>
          <w:szCs w:val="22"/>
          <w:lang w:val="sr-Latn-ME"/>
        </w:rPr>
        <w:t>j</w:t>
      </w:r>
      <w:r w:rsidRPr="00FB6F73">
        <w:rPr>
          <w:sz w:val="22"/>
          <w:szCs w:val="22"/>
          <w:lang w:val="sr-Latn-ME"/>
        </w:rPr>
        <w:t xml:space="preserve">elih od </w:t>
      </w:r>
      <w:r w:rsidR="00917350" w:rsidRPr="00FB6F73">
        <w:rPr>
          <w:sz w:val="22"/>
          <w:szCs w:val="22"/>
          <w:lang w:val="sr-Latn-ME"/>
        </w:rPr>
        <w:t xml:space="preserve">karcinoma </w:t>
      </w:r>
      <w:r w:rsidRPr="00FB6F73">
        <w:rPr>
          <w:sz w:val="22"/>
          <w:szCs w:val="22"/>
          <w:lang w:val="sr-Latn-ME"/>
        </w:rPr>
        <w:t xml:space="preserve">dobro se podnosi. </w:t>
      </w:r>
      <w:r w:rsidR="00917350" w:rsidRPr="00FB6F73">
        <w:rPr>
          <w:sz w:val="22"/>
          <w:szCs w:val="22"/>
          <w:lang w:val="sr-Latn-ME"/>
        </w:rPr>
        <w:t xml:space="preserve">Zdravi ispitanici </w:t>
      </w:r>
      <w:r w:rsidRPr="00FB6F73">
        <w:rPr>
          <w:sz w:val="22"/>
          <w:szCs w:val="22"/>
          <w:lang w:val="sr-Latn-ME"/>
        </w:rPr>
        <w:t xml:space="preserve">su loše </w:t>
      </w:r>
      <w:r w:rsidR="00917350" w:rsidRPr="00FB6F73">
        <w:rPr>
          <w:sz w:val="22"/>
          <w:szCs w:val="22"/>
          <w:lang w:val="sr-Latn-ME"/>
        </w:rPr>
        <w:t xml:space="preserve">podnosili </w:t>
      </w:r>
      <w:r w:rsidRPr="00FB6F73">
        <w:rPr>
          <w:sz w:val="22"/>
          <w:szCs w:val="22"/>
          <w:lang w:val="sr-Latn-ME"/>
        </w:rPr>
        <w:t>ponovljenu dvostruku dnevnu dozu od 200 mg posl</w:t>
      </w:r>
      <w:r w:rsidR="00917350" w:rsidRPr="00FB6F73">
        <w:rPr>
          <w:sz w:val="22"/>
          <w:szCs w:val="22"/>
          <w:lang w:val="sr-Latn-ME"/>
        </w:rPr>
        <w:t>ij</w:t>
      </w:r>
      <w:r w:rsidRPr="00FB6F73">
        <w:rPr>
          <w:sz w:val="22"/>
          <w:szCs w:val="22"/>
          <w:lang w:val="sr-Latn-ME"/>
        </w:rPr>
        <w:t>e samo nekoliko dana doziranja. Na osnovu podataka iz ovih ispitivanja, teške neželjene reakcije</w:t>
      </w:r>
      <w:r w:rsidR="00917350" w:rsidRPr="00FB6F73">
        <w:rPr>
          <w:sz w:val="22"/>
          <w:szCs w:val="22"/>
          <w:lang w:val="sr-Latn-ME"/>
        </w:rPr>
        <w:t>,</w:t>
      </w:r>
      <w:r w:rsidRPr="00FB6F73">
        <w:rPr>
          <w:sz w:val="22"/>
          <w:szCs w:val="22"/>
          <w:lang w:val="sr-Latn-ME"/>
        </w:rPr>
        <w:t xml:space="preserve"> kao što su dijareja, osip i moguća povećana aktivnost aminotransferaza jetre</w:t>
      </w:r>
      <w:r w:rsidR="00917350" w:rsidRPr="00FB6F73">
        <w:rPr>
          <w:sz w:val="22"/>
          <w:szCs w:val="22"/>
          <w:lang w:val="sr-Latn-ME"/>
        </w:rPr>
        <w:t>,</w:t>
      </w:r>
      <w:r w:rsidRPr="00FB6F73">
        <w:rPr>
          <w:sz w:val="22"/>
          <w:szCs w:val="22"/>
          <w:lang w:val="sr-Latn-ME"/>
        </w:rPr>
        <w:t xml:space="preserve"> mogu da se pojave pri </w:t>
      </w:r>
      <w:r w:rsidR="00FD4480" w:rsidRPr="00FB6F73">
        <w:rPr>
          <w:sz w:val="22"/>
          <w:szCs w:val="22"/>
          <w:lang w:val="sr-Latn-ME"/>
        </w:rPr>
        <w:t>primjeni</w:t>
      </w:r>
      <w:r w:rsidRPr="00FB6F73">
        <w:rPr>
          <w:sz w:val="22"/>
          <w:szCs w:val="22"/>
          <w:lang w:val="sr-Latn-ME"/>
        </w:rPr>
        <w:t xml:space="preserve"> </w:t>
      </w:r>
      <w:r w:rsidR="00917350" w:rsidRPr="00FB6F73">
        <w:rPr>
          <w:sz w:val="22"/>
          <w:szCs w:val="22"/>
          <w:lang w:val="sr-Latn-ME"/>
        </w:rPr>
        <w:t xml:space="preserve">doza </w:t>
      </w:r>
      <w:r w:rsidRPr="00FB6F73">
        <w:rPr>
          <w:sz w:val="22"/>
          <w:szCs w:val="22"/>
          <w:lang w:val="sr-Latn-ME"/>
        </w:rPr>
        <w:t>većih od preporučenih.</w:t>
      </w:r>
    </w:p>
    <w:p w14:paraId="19EC708C" w14:textId="77777777" w:rsidR="00136217" w:rsidRPr="00FB6F73" w:rsidRDefault="00136217" w:rsidP="00981FFD">
      <w:pPr>
        <w:jc w:val="both"/>
        <w:rPr>
          <w:sz w:val="22"/>
          <w:szCs w:val="22"/>
          <w:lang w:val="sr-Latn-ME"/>
        </w:rPr>
      </w:pPr>
    </w:p>
    <w:p w14:paraId="1EA665AE" w14:textId="77777777" w:rsidR="00136217" w:rsidRPr="00FB6F73" w:rsidRDefault="00136217" w:rsidP="00981FFD">
      <w:pPr>
        <w:jc w:val="both"/>
        <w:rPr>
          <w:sz w:val="22"/>
          <w:szCs w:val="22"/>
          <w:u w:val="single"/>
          <w:lang w:val="sr-Latn-ME"/>
        </w:rPr>
      </w:pPr>
      <w:r w:rsidRPr="00FB6F73">
        <w:rPr>
          <w:sz w:val="22"/>
          <w:szCs w:val="22"/>
          <w:u w:val="single"/>
          <w:lang w:val="sr-Latn-ME"/>
        </w:rPr>
        <w:t>Terapija</w:t>
      </w:r>
    </w:p>
    <w:p w14:paraId="70978E3D" w14:textId="78D4A917" w:rsidR="00136217" w:rsidRPr="00FB6F73" w:rsidRDefault="00136217" w:rsidP="00981FFD">
      <w:pPr>
        <w:jc w:val="both"/>
        <w:rPr>
          <w:sz w:val="22"/>
          <w:szCs w:val="22"/>
          <w:lang w:val="sr-Latn-ME"/>
        </w:rPr>
      </w:pPr>
      <w:r w:rsidRPr="00FB6F73">
        <w:rPr>
          <w:sz w:val="22"/>
          <w:szCs w:val="22"/>
          <w:lang w:val="sr-Latn-ME"/>
        </w:rPr>
        <w:t xml:space="preserve">U slučaju sumnje na predoziranje, potrebno je obustaviti </w:t>
      </w:r>
      <w:r w:rsidR="00ED4DF5" w:rsidRPr="00FB6F73">
        <w:rPr>
          <w:sz w:val="22"/>
          <w:szCs w:val="22"/>
          <w:lang w:val="sr-Latn-ME"/>
        </w:rPr>
        <w:t>primjenu</w:t>
      </w:r>
      <w:r w:rsidRPr="00FB6F73">
        <w:rPr>
          <w:sz w:val="22"/>
          <w:szCs w:val="22"/>
          <w:lang w:val="sr-Latn-ME"/>
        </w:rPr>
        <w:t xml:space="preserve"> </w:t>
      </w:r>
      <w:r w:rsidR="00FD4480" w:rsidRPr="00FB6F73">
        <w:rPr>
          <w:sz w:val="22"/>
          <w:szCs w:val="22"/>
          <w:lang w:val="sr-Latn-ME"/>
        </w:rPr>
        <w:t>lijek</w:t>
      </w:r>
      <w:r w:rsidRPr="00FB6F73">
        <w:rPr>
          <w:sz w:val="22"/>
          <w:szCs w:val="22"/>
          <w:lang w:val="sr-Latn-ME"/>
        </w:rPr>
        <w:t>a Erlotinib Sandoz</w:t>
      </w:r>
      <w:r w:rsidR="00917350" w:rsidRPr="00FB6F73">
        <w:rPr>
          <w:sz w:val="22"/>
          <w:szCs w:val="22"/>
          <w:lang w:val="sr-Latn-ME"/>
        </w:rPr>
        <w:t xml:space="preserve"> </w:t>
      </w:r>
      <w:r w:rsidRPr="00FB6F73">
        <w:rPr>
          <w:sz w:val="22"/>
          <w:szCs w:val="22"/>
          <w:lang w:val="sr-Latn-ME"/>
        </w:rPr>
        <w:t>i započeti simptomatsku terapiju.</w:t>
      </w:r>
    </w:p>
    <w:p w14:paraId="0138A5B0" w14:textId="39C05A49" w:rsidR="00136217" w:rsidRDefault="00136217" w:rsidP="00981FFD">
      <w:pPr>
        <w:tabs>
          <w:tab w:val="left" w:pos="540"/>
          <w:tab w:val="left" w:pos="569"/>
        </w:tabs>
        <w:jc w:val="both"/>
        <w:rPr>
          <w:b/>
          <w:bCs/>
          <w:sz w:val="22"/>
          <w:szCs w:val="22"/>
          <w:lang w:val="sr-Latn-ME"/>
        </w:rPr>
      </w:pPr>
    </w:p>
    <w:p w14:paraId="23546907" w14:textId="77777777" w:rsidR="00FB6F73" w:rsidRPr="00FB6F73" w:rsidRDefault="00FB6F73" w:rsidP="00981FFD">
      <w:pPr>
        <w:tabs>
          <w:tab w:val="left" w:pos="540"/>
          <w:tab w:val="left" w:pos="569"/>
        </w:tabs>
        <w:jc w:val="both"/>
        <w:rPr>
          <w:b/>
          <w:bCs/>
          <w:sz w:val="22"/>
          <w:szCs w:val="22"/>
          <w:lang w:val="sr-Latn-ME"/>
        </w:rPr>
      </w:pPr>
    </w:p>
    <w:p w14:paraId="290663E2" w14:textId="77777777" w:rsidR="0072020E" w:rsidRPr="00FB6F73" w:rsidRDefault="0072020E" w:rsidP="00981FFD">
      <w:pPr>
        <w:tabs>
          <w:tab w:val="left" w:pos="540"/>
          <w:tab w:val="left" w:pos="569"/>
        </w:tabs>
        <w:jc w:val="both"/>
        <w:rPr>
          <w:b/>
          <w:bCs/>
          <w:sz w:val="22"/>
          <w:szCs w:val="22"/>
          <w:lang w:val="sr-Latn-ME"/>
        </w:rPr>
      </w:pPr>
      <w:r w:rsidRPr="00FB6F73">
        <w:rPr>
          <w:b/>
          <w:bCs/>
          <w:sz w:val="22"/>
          <w:szCs w:val="22"/>
          <w:lang w:val="sr-Latn-ME"/>
        </w:rPr>
        <w:t xml:space="preserve">5. </w:t>
      </w:r>
      <w:r w:rsidR="00480FB1" w:rsidRPr="00FB6F73">
        <w:rPr>
          <w:b/>
          <w:bCs/>
          <w:sz w:val="22"/>
          <w:szCs w:val="22"/>
          <w:lang w:val="sr-Latn-ME"/>
        </w:rPr>
        <w:tab/>
      </w:r>
      <w:r w:rsidRPr="00FB6F73">
        <w:rPr>
          <w:b/>
          <w:bCs/>
          <w:sz w:val="22"/>
          <w:szCs w:val="22"/>
          <w:lang w:val="sr-Latn-ME"/>
        </w:rPr>
        <w:t>FARMAKOLOŠK</w:t>
      </w:r>
      <w:r w:rsidR="000D425A" w:rsidRPr="00FB6F73">
        <w:rPr>
          <w:b/>
          <w:bCs/>
          <w:sz w:val="22"/>
          <w:szCs w:val="22"/>
          <w:lang w:val="sr-Latn-ME"/>
        </w:rPr>
        <w:t>I</w:t>
      </w:r>
      <w:r w:rsidRPr="00FB6F73">
        <w:rPr>
          <w:b/>
          <w:bCs/>
          <w:sz w:val="22"/>
          <w:szCs w:val="22"/>
          <w:lang w:val="sr-Latn-ME"/>
        </w:rPr>
        <w:t xml:space="preserve"> PODACI</w:t>
      </w:r>
    </w:p>
    <w:p w14:paraId="7532B0E3" w14:textId="77777777" w:rsidR="0072020E" w:rsidRPr="00FB6F73" w:rsidRDefault="0072020E" w:rsidP="00981FFD">
      <w:pPr>
        <w:tabs>
          <w:tab w:val="left" w:pos="540"/>
          <w:tab w:val="left" w:pos="569"/>
        </w:tabs>
        <w:jc w:val="both"/>
        <w:rPr>
          <w:b/>
          <w:bCs/>
          <w:sz w:val="22"/>
          <w:szCs w:val="22"/>
          <w:lang w:val="sr-Latn-ME"/>
        </w:rPr>
      </w:pPr>
    </w:p>
    <w:p w14:paraId="34B8E1DC" w14:textId="77777777" w:rsidR="0072020E" w:rsidRPr="00FB6F73" w:rsidRDefault="0072020E" w:rsidP="00981FFD">
      <w:pPr>
        <w:tabs>
          <w:tab w:val="left" w:pos="540"/>
          <w:tab w:val="left" w:pos="569"/>
        </w:tabs>
        <w:jc w:val="both"/>
        <w:rPr>
          <w:b/>
          <w:bCs/>
          <w:sz w:val="22"/>
          <w:szCs w:val="22"/>
          <w:lang w:val="sr-Latn-ME"/>
        </w:rPr>
      </w:pPr>
      <w:r w:rsidRPr="00FB6F73">
        <w:rPr>
          <w:b/>
          <w:bCs/>
          <w:sz w:val="22"/>
          <w:szCs w:val="22"/>
          <w:lang w:val="sr-Latn-ME"/>
        </w:rPr>
        <w:lastRenderedPageBreak/>
        <w:t xml:space="preserve">5.1. </w:t>
      </w:r>
      <w:r w:rsidR="00480FB1" w:rsidRPr="00FB6F73">
        <w:rPr>
          <w:b/>
          <w:bCs/>
          <w:sz w:val="22"/>
          <w:szCs w:val="22"/>
          <w:lang w:val="sr-Latn-ME"/>
        </w:rPr>
        <w:tab/>
      </w:r>
      <w:r w:rsidRPr="00FB6F73">
        <w:rPr>
          <w:b/>
          <w:bCs/>
          <w:sz w:val="22"/>
          <w:szCs w:val="22"/>
          <w:lang w:val="sr-Latn-ME"/>
        </w:rPr>
        <w:t>Farmakodinamski podaci</w:t>
      </w:r>
      <w:r w:rsidR="003A7059" w:rsidRPr="00FB6F73">
        <w:rPr>
          <w:b/>
          <w:bCs/>
          <w:sz w:val="22"/>
          <w:szCs w:val="22"/>
          <w:lang w:val="sr-Latn-ME"/>
        </w:rPr>
        <w:t xml:space="preserve"> </w:t>
      </w:r>
    </w:p>
    <w:p w14:paraId="33BD9641" w14:textId="77777777" w:rsidR="00F45F77" w:rsidRPr="00FB6F73" w:rsidRDefault="00F45F77" w:rsidP="00981FFD">
      <w:pPr>
        <w:tabs>
          <w:tab w:val="left" w:pos="540"/>
          <w:tab w:val="left" w:pos="569"/>
        </w:tabs>
        <w:jc w:val="both"/>
        <w:rPr>
          <w:b/>
          <w:bCs/>
          <w:sz w:val="22"/>
          <w:szCs w:val="22"/>
          <w:lang w:val="sr-Latn-ME"/>
        </w:rPr>
      </w:pPr>
    </w:p>
    <w:p w14:paraId="2D02E716" w14:textId="16A539CD" w:rsidR="00136217" w:rsidRPr="00FB6F73" w:rsidRDefault="0072020E" w:rsidP="00981FFD">
      <w:pPr>
        <w:tabs>
          <w:tab w:val="left" w:pos="540"/>
          <w:tab w:val="left" w:pos="569"/>
        </w:tabs>
        <w:jc w:val="both"/>
        <w:rPr>
          <w:bCs/>
          <w:sz w:val="22"/>
          <w:szCs w:val="22"/>
          <w:lang w:val="sr-Latn-ME"/>
        </w:rPr>
      </w:pPr>
      <w:r w:rsidRPr="00FB6F73">
        <w:rPr>
          <w:bCs/>
          <w:sz w:val="22"/>
          <w:szCs w:val="22"/>
          <w:lang w:val="sr-Latn-ME"/>
        </w:rPr>
        <w:t>Farmakoterapijska grupa:</w:t>
      </w:r>
      <w:r w:rsidR="00136217" w:rsidRPr="00FB6F73">
        <w:rPr>
          <w:bCs/>
          <w:sz w:val="22"/>
          <w:szCs w:val="22"/>
          <w:lang w:val="sr-Latn-ME"/>
        </w:rPr>
        <w:t xml:space="preserve"> </w:t>
      </w:r>
      <w:r w:rsidR="00136217" w:rsidRPr="00FB6F73">
        <w:rPr>
          <w:sz w:val="22"/>
          <w:szCs w:val="22"/>
          <w:lang w:val="sr-Latn-ME"/>
        </w:rPr>
        <w:t>Antineoplastici; inhibitori protein kinaze</w:t>
      </w:r>
    </w:p>
    <w:p w14:paraId="0B3A1395" w14:textId="63680D9C" w:rsidR="0072020E" w:rsidRPr="00FB6F73" w:rsidRDefault="0072020E" w:rsidP="00981FFD">
      <w:pPr>
        <w:tabs>
          <w:tab w:val="left" w:pos="540"/>
          <w:tab w:val="left" w:pos="569"/>
        </w:tabs>
        <w:jc w:val="both"/>
        <w:rPr>
          <w:bCs/>
          <w:sz w:val="22"/>
          <w:szCs w:val="22"/>
          <w:lang w:val="sr-Latn-ME"/>
        </w:rPr>
      </w:pPr>
    </w:p>
    <w:p w14:paraId="08F1B1B0" w14:textId="5BA7243E" w:rsidR="0072020E" w:rsidRPr="00FB6F73" w:rsidRDefault="0072020E" w:rsidP="00981FFD">
      <w:pPr>
        <w:tabs>
          <w:tab w:val="left" w:pos="540"/>
          <w:tab w:val="left" w:pos="569"/>
        </w:tabs>
        <w:jc w:val="both"/>
        <w:rPr>
          <w:bCs/>
          <w:sz w:val="22"/>
          <w:szCs w:val="22"/>
          <w:lang w:val="sr-Latn-ME"/>
        </w:rPr>
      </w:pPr>
      <w:r w:rsidRPr="00FB6F73">
        <w:rPr>
          <w:bCs/>
          <w:sz w:val="22"/>
          <w:szCs w:val="22"/>
          <w:lang w:val="sr-Latn-ME"/>
        </w:rPr>
        <w:t>ATC kod:</w:t>
      </w:r>
      <w:r w:rsidR="00136217" w:rsidRPr="00FB6F73">
        <w:rPr>
          <w:bCs/>
          <w:sz w:val="22"/>
          <w:szCs w:val="22"/>
          <w:lang w:val="sr-Latn-ME"/>
        </w:rPr>
        <w:t xml:space="preserve"> </w:t>
      </w:r>
      <w:r w:rsidR="00917350" w:rsidRPr="00FB6F73">
        <w:rPr>
          <w:bCs/>
          <w:sz w:val="22"/>
          <w:szCs w:val="22"/>
          <w:lang w:val="sr-Latn-ME"/>
        </w:rPr>
        <w:t>L01EB02</w:t>
      </w:r>
    </w:p>
    <w:p w14:paraId="3B3A71CC" w14:textId="06762748" w:rsidR="002E37A5" w:rsidRPr="00FB6F73" w:rsidRDefault="002E37A5" w:rsidP="00981FFD">
      <w:pPr>
        <w:tabs>
          <w:tab w:val="left" w:pos="540"/>
          <w:tab w:val="left" w:pos="569"/>
        </w:tabs>
        <w:jc w:val="both"/>
        <w:rPr>
          <w:b/>
          <w:bCs/>
          <w:sz w:val="22"/>
          <w:szCs w:val="22"/>
          <w:lang w:val="sr-Latn-ME"/>
        </w:rPr>
      </w:pPr>
    </w:p>
    <w:p w14:paraId="54B43788" w14:textId="77777777" w:rsidR="00136217" w:rsidRPr="00FB6F73" w:rsidRDefault="00136217" w:rsidP="00981FFD">
      <w:pPr>
        <w:jc w:val="both"/>
        <w:rPr>
          <w:sz w:val="22"/>
          <w:szCs w:val="22"/>
          <w:u w:val="single"/>
          <w:lang w:val="sr-Latn-ME"/>
        </w:rPr>
      </w:pPr>
      <w:r w:rsidRPr="00FB6F73">
        <w:rPr>
          <w:sz w:val="22"/>
          <w:szCs w:val="22"/>
          <w:u w:val="single"/>
          <w:lang w:val="sr-Latn-ME"/>
        </w:rPr>
        <w:t xml:space="preserve">Mehanizam dejstva </w:t>
      </w:r>
    </w:p>
    <w:p w14:paraId="20C34E39" w14:textId="77C805DA" w:rsidR="00136217" w:rsidRPr="00FB6F73" w:rsidRDefault="00136217" w:rsidP="00981FFD">
      <w:pPr>
        <w:jc w:val="both"/>
        <w:rPr>
          <w:sz w:val="22"/>
          <w:szCs w:val="22"/>
          <w:lang w:val="sr-Latn-ME"/>
        </w:rPr>
      </w:pPr>
      <w:r w:rsidRPr="00FB6F73">
        <w:rPr>
          <w:sz w:val="22"/>
          <w:szCs w:val="22"/>
          <w:lang w:val="sr-Latn-ME"/>
        </w:rPr>
        <w:t xml:space="preserve">Erlotinib je inhibitor tirozin kinaze receptora za epidermalni faktor rasta/humanog receptora za epidermalni faktor rasta tip 1 (engl. </w:t>
      </w:r>
      <w:r w:rsidRPr="00FB6F73">
        <w:rPr>
          <w:i/>
          <w:sz w:val="22"/>
          <w:szCs w:val="22"/>
          <w:lang w:val="sr-Latn-ME"/>
        </w:rPr>
        <w:t>epidermal growth factor receptor</w:t>
      </w:r>
      <w:r w:rsidRPr="00FB6F73">
        <w:rPr>
          <w:sz w:val="22"/>
          <w:szCs w:val="22"/>
          <w:lang w:val="sr-Latn-ME"/>
        </w:rPr>
        <w:t xml:space="preserve">, EGFR koji je poznat i kao HER1). Erlotinib snažno inhibira intracelularnu fosforilaciju EGFR. EGFR je eksprimiran na površini normalnih ćelija i </w:t>
      </w:r>
      <w:r w:rsidR="007F40D0" w:rsidRPr="00FB6F73">
        <w:rPr>
          <w:sz w:val="22"/>
          <w:szCs w:val="22"/>
          <w:lang w:val="sr-Latn-ME"/>
        </w:rPr>
        <w:t xml:space="preserve">karcinomskih </w:t>
      </w:r>
      <w:r w:rsidRPr="00FB6F73">
        <w:rPr>
          <w:sz w:val="22"/>
          <w:szCs w:val="22"/>
          <w:lang w:val="sr-Latn-ME"/>
        </w:rPr>
        <w:t xml:space="preserve">ćelija. U </w:t>
      </w:r>
      <w:r w:rsidR="007F40D0" w:rsidRPr="00FB6F73">
        <w:rPr>
          <w:sz w:val="22"/>
          <w:szCs w:val="22"/>
          <w:lang w:val="sr-Latn-ME"/>
        </w:rPr>
        <w:t xml:space="preserve">pretkliničkim </w:t>
      </w:r>
      <w:r w:rsidRPr="00FB6F73">
        <w:rPr>
          <w:sz w:val="22"/>
          <w:szCs w:val="22"/>
          <w:lang w:val="sr-Latn-ME"/>
        </w:rPr>
        <w:t>modelima, inhibicija EGFR fosfotirozina dovodi do zastoja u rastu ćelija i/ili njihove smrti.</w:t>
      </w:r>
    </w:p>
    <w:p w14:paraId="7F9CB72C" w14:textId="77777777" w:rsidR="00136217" w:rsidRPr="00FB6F73" w:rsidRDefault="00136217" w:rsidP="00981FFD">
      <w:pPr>
        <w:jc w:val="both"/>
        <w:rPr>
          <w:sz w:val="22"/>
          <w:szCs w:val="22"/>
          <w:lang w:val="sr-Latn-ME"/>
        </w:rPr>
      </w:pPr>
    </w:p>
    <w:p w14:paraId="45AFC3CA" w14:textId="4F958144" w:rsidR="00136217" w:rsidRPr="00FB6F73" w:rsidRDefault="00136217" w:rsidP="00981FFD">
      <w:pPr>
        <w:tabs>
          <w:tab w:val="left" w:pos="540"/>
          <w:tab w:val="left" w:pos="569"/>
        </w:tabs>
        <w:jc w:val="both"/>
        <w:rPr>
          <w:sz w:val="22"/>
          <w:szCs w:val="22"/>
          <w:lang w:val="sr-Latn-ME"/>
        </w:rPr>
      </w:pPr>
      <w:r w:rsidRPr="00FB6F73">
        <w:rPr>
          <w:sz w:val="22"/>
          <w:szCs w:val="22"/>
          <w:lang w:val="sr-Latn-ME"/>
        </w:rPr>
        <w:t>EGFR mutacije mogu dovesti do konstitutivne aktivacije anti-apoptotskih i proliferativnih signalnih puteva. Snažna efikasnost erlotiniba u blokiranju EGFR posredovanih signala, u tumorima pozitivnim na EGFR mutacije, je posl</w:t>
      </w:r>
      <w:r w:rsidR="007F40D0" w:rsidRPr="00FB6F73">
        <w:rPr>
          <w:sz w:val="22"/>
          <w:szCs w:val="22"/>
          <w:lang w:val="sr-Latn-ME"/>
        </w:rPr>
        <w:t>j</w:t>
      </w:r>
      <w:r w:rsidRPr="00FB6F73">
        <w:rPr>
          <w:sz w:val="22"/>
          <w:szCs w:val="22"/>
          <w:lang w:val="sr-Latn-ME"/>
        </w:rPr>
        <w:t>edica čvrstog vezivanja erlotiniba za ATP vezujuće m</w:t>
      </w:r>
      <w:r w:rsidR="007F40D0" w:rsidRPr="00FB6F73">
        <w:rPr>
          <w:sz w:val="22"/>
          <w:szCs w:val="22"/>
          <w:lang w:val="sr-Latn-ME"/>
        </w:rPr>
        <w:t>j</w:t>
      </w:r>
      <w:r w:rsidRPr="00FB6F73">
        <w:rPr>
          <w:sz w:val="22"/>
          <w:szCs w:val="22"/>
          <w:lang w:val="sr-Latn-ME"/>
        </w:rPr>
        <w:t>esto u mutiranom domenu EGFR kinaze. Usl</w:t>
      </w:r>
      <w:r w:rsidR="007F40D0" w:rsidRPr="00FB6F73">
        <w:rPr>
          <w:sz w:val="22"/>
          <w:szCs w:val="22"/>
          <w:lang w:val="sr-Latn-ME"/>
        </w:rPr>
        <w:t>j</w:t>
      </w:r>
      <w:r w:rsidRPr="00FB6F73">
        <w:rPr>
          <w:sz w:val="22"/>
          <w:szCs w:val="22"/>
          <w:lang w:val="sr-Latn-ME"/>
        </w:rPr>
        <w:t>ed blokade nishodnog signala, proliferacija ćelija se zaustavlja i indukuje se ćelijska smrt aktivacijom</w:t>
      </w:r>
      <w:r w:rsidR="007F40D0" w:rsidRPr="00FB6F73">
        <w:rPr>
          <w:sz w:val="22"/>
          <w:szCs w:val="22"/>
          <w:lang w:val="sr-Latn-ME"/>
        </w:rPr>
        <w:t xml:space="preserve"> </w:t>
      </w:r>
      <w:r w:rsidRPr="00FB6F73">
        <w:rPr>
          <w:sz w:val="22"/>
          <w:szCs w:val="22"/>
          <w:lang w:val="sr-Latn-ME"/>
        </w:rPr>
        <w:t>intrinzičkog puta apoptoze. Prim</w:t>
      </w:r>
      <w:r w:rsidR="007F40D0" w:rsidRPr="00FB6F73">
        <w:rPr>
          <w:sz w:val="22"/>
          <w:szCs w:val="22"/>
          <w:lang w:val="sr-Latn-ME"/>
        </w:rPr>
        <w:t>ij</w:t>
      </w:r>
      <w:r w:rsidRPr="00FB6F73">
        <w:rPr>
          <w:sz w:val="22"/>
          <w:szCs w:val="22"/>
          <w:lang w:val="sr-Latn-ME"/>
        </w:rPr>
        <w:t>ećena je regresija tumora na mišjim modelima sa pojačanom ekspresijom ovih aktivirajućih mutacija EGFR.</w:t>
      </w:r>
    </w:p>
    <w:p w14:paraId="02F70716" w14:textId="77777777" w:rsidR="00136217" w:rsidRPr="00FB6F73" w:rsidRDefault="00136217" w:rsidP="00981FFD">
      <w:pPr>
        <w:jc w:val="both"/>
        <w:rPr>
          <w:sz w:val="22"/>
          <w:szCs w:val="22"/>
          <w:lang w:val="sr-Latn-ME"/>
        </w:rPr>
      </w:pPr>
    </w:p>
    <w:p w14:paraId="59D77D48" w14:textId="358CFE52" w:rsidR="00136217" w:rsidRPr="00FB6F73" w:rsidRDefault="00136217" w:rsidP="00981FFD">
      <w:pPr>
        <w:jc w:val="both"/>
        <w:rPr>
          <w:sz w:val="22"/>
          <w:szCs w:val="22"/>
          <w:u w:val="single"/>
          <w:lang w:val="sr-Latn-ME"/>
        </w:rPr>
      </w:pPr>
      <w:r w:rsidRPr="00FB6F73">
        <w:rPr>
          <w:sz w:val="22"/>
          <w:szCs w:val="22"/>
          <w:u w:val="single"/>
          <w:lang w:val="sr-Latn-ME"/>
        </w:rPr>
        <w:t xml:space="preserve">Klinička </w:t>
      </w:r>
      <w:r w:rsidR="000A696B" w:rsidRPr="00FB6F73">
        <w:rPr>
          <w:sz w:val="22"/>
          <w:szCs w:val="22"/>
          <w:u w:val="single"/>
          <w:lang w:val="sr-Latn-ME"/>
        </w:rPr>
        <w:t>efikasnost</w:t>
      </w:r>
    </w:p>
    <w:p w14:paraId="66B3C767" w14:textId="77777777" w:rsidR="007F40D0" w:rsidRPr="00FB6F73" w:rsidRDefault="007F40D0" w:rsidP="00981FFD">
      <w:pPr>
        <w:jc w:val="both"/>
        <w:rPr>
          <w:sz w:val="22"/>
          <w:szCs w:val="22"/>
          <w:u w:val="single"/>
          <w:lang w:val="sr-Latn-ME"/>
        </w:rPr>
      </w:pPr>
    </w:p>
    <w:p w14:paraId="3AEE0608" w14:textId="7D0569D9" w:rsidR="00136217" w:rsidRPr="00FB6F73" w:rsidRDefault="00136217" w:rsidP="00981FFD">
      <w:pPr>
        <w:jc w:val="both"/>
        <w:rPr>
          <w:sz w:val="22"/>
          <w:szCs w:val="22"/>
          <w:u w:val="single"/>
          <w:lang w:val="sr-Latn-ME"/>
        </w:rPr>
      </w:pPr>
      <w:r w:rsidRPr="00FB6F73">
        <w:rPr>
          <w:sz w:val="22"/>
          <w:szCs w:val="22"/>
          <w:u w:val="single"/>
          <w:lang w:val="sr-Latn-ME"/>
        </w:rPr>
        <w:t xml:space="preserve">Prva linija terapije nemikrocelularnog karcinoma pluća (NSCLC) kod pacijenata sa aktivirajućim mutacijama EGFR (erlotinib </w:t>
      </w:r>
      <w:r w:rsidR="00C13202" w:rsidRPr="00FB6F73">
        <w:rPr>
          <w:sz w:val="22"/>
          <w:szCs w:val="22"/>
          <w:u w:val="single"/>
          <w:lang w:val="sr-Latn-ME"/>
        </w:rPr>
        <w:t>prim</w:t>
      </w:r>
      <w:r w:rsidR="007F40D0" w:rsidRPr="00FB6F73">
        <w:rPr>
          <w:sz w:val="22"/>
          <w:szCs w:val="22"/>
          <w:u w:val="single"/>
          <w:lang w:val="sr-Latn-ME"/>
        </w:rPr>
        <w:t>i</w:t>
      </w:r>
      <w:r w:rsidR="00C13202" w:rsidRPr="00FB6F73">
        <w:rPr>
          <w:sz w:val="22"/>
          <w:szCs w:val="22"/>
          <w:u w:val="single"/>
          <w:lang w:val="sr-Latn-ME"/>
        </w:rPr>
        <w:t>jen</w:t>
      </w:r>
      <w:r w:rsidRPr="00FB6F73">
        <w:rPr>
          <w:sz w:val="22"/>
          <w:szCs w:val="22"/>
          <w:u w:val="single"/>
          <w:lang w:val="sr-Latn-ME"/>
        </w:rPr>
        <w:t>jen kao monoterapija)</w:t>
      </w:r>
    </w:p>
    <w:p w14:paraId="586A2756" w14:textId="77777777" w:rsidR="00136217" w:rsidRPr="00FB6F73" w:rsidRDefault="00136217" w:rsidP="00981FFD">
      <w:pPr>
        <w:jc w:val="both"/>
        <w:rPr>
          <w:sz w:val="22"/>
          <w:szCs w:val="22"/>
          <w:lang w:val="sr-Latn-ME"/>
        </w:rPr>
      </w:pPr>
    </w:p>
    <w:p w14:paraId="7B74048D" w14:textId="2E63C053" w:rsidR="00136217" w:rsidRPr="00FB6F73" w:rsidRDefault="00136217" w:rsidP="00981FFD">
      <w:pPr>
        <w:jc w:val="both"/>
        <w:rPr>
          <w:sz w:val="22"/>
          <w:szCs w:val="22"/>
          <w:lang w:val="sr-Latn-ME"/>
        </w:rPr>
      </w:pPr>
      <w:r w:rsidRPr="00FB6F73">
        <w:rPr>
          <w:sz w:val="22"/>
          <w:szCs w:val="22"/>
          <w:lang w:val="sr-Latn-ME"/>
        </w:rPr>
        <w:t>Efikasnost erlotiniba u prvoj liniji terapije pacijenata sa EGFR aktivirajućim mutacijama kod NSCLC pokazana je u randomizovanoj, otvorenoj studiji faze III (ML20650, EURTAC). Ova studija je sprovedena na pacijentima b</w:t>
      </w:r>
      <w:r w:rsidR="007F40D0" w:rsidRPr="00FB6F73">
        <w:rPr>
          <w:sz w:val="22"/>
          <w:szCs w:val="22"/>
          <w:lang w:val="sr-Latn-ME"/>
        </w:rPr>
        <w:t>ij</w:t>
      </w:r>
      <w:r w:rsidRPr="00FB6F73">
        <w:rPr>
          <w:sz w:val="22"/>
          <w:szCs w:val="22"/>
          <w:lang w:val="sr-Latn-ME"/>
        </w:rPr>
        <w:t>ele rase sa metastatskim ili lokalno uznapedovalim NSCLC-om (stadijum IIIB i IV) koji prethodno nisu primali hemioterapiju ili drugu sistemsku antitumorsku terapiju za svoju uznapredovalu bolest, i koji ispoljavaju mutacije u domenu tirozin kinaze na EGF receptoru (deleciju egzona 19 ili mutaciju egzona 21). Pacijenti su bili randomizovani u odnosu 1:1 da primaju erlotinib 150 mg dnevno ili do 4 ciklusa dvostruke hemioterapije na bazi platine.</w:t>
      </w:r>
    </w:p>
    <w:p w14:paraId="2CDF8E29" w14:textId="77777777" w:rsidR="00136217" w:rsidRPr="00FB6F73" w:rsidRDefault="00136217" w:rsidP="00981FFD">
      <w:pPr>
        <w:jc w:val="both"/>
        <w:rPr>
          <w:sz w:val="22"/>
          <w:szCs w:val="22"/>
          <w:lang w:val="sr-Latn-ME"/>
        </w:rPr>
      </w:pPr>
    </w:p>
    <w:p w14:paraId="175D74F7" w14:textId="32ED4EC1" w:rsidR="00136217" w:rsidRPr="00FB6F73" w:rsidRDefault="00136217" w:rsidP="00981FFD">
      <w:pPr>
        <w:jc w:val="both"/>
        <w:rPr>
          <w:sz w:val="22"/>
          <w:szCs w:val="22"/>
          <w:lang w:val="sr-Latn-ME"/>
        </w:rPr>
      </w:pPr>
      <w:r w:rsidRPr="00FB6F73">
        <w:rPr>
          <w:sz w:val="22"/>
          <w:szCs w:val="22"/>
          <w:lang w:val="sr-Latn-ME"/>
        </w:rPr>
        <w:t>Primarni parametar praćenja ishoda je bio preživljavanje bez progresije bolesti (PFS) proc</w:t>
      </w:r>
      <w:r w:rsidR="007F40D0" w:rsidRPr="00FB6F73">
        <w:rPr>
          <w:sz w:val="22"/>
          <w:szCs w:val="22"/>
          <w:lang w:val="sr-Latn-ME"/>
        </w:rPr>
        <w:t>ij</w:t>
      </w:r>
      <w:r w:rsidRPr="00FB6F73">
        <w:rPr>
          <w:sz w:val="22"/>
          <w:szCs w:val="22"/>
          <w:lang w:val="sr-Latn-ME"/>
        </w:rPr>
        <w:t xml:space="preserve">enjen od strane istraživača. Rezultati efikasnosti su sumirani u Tabeli </w:t>
      </w:r>
      <w:r w:rsidR="00B42686" w:rsidRPr="00FB6F73">
        <w:rPr>
          <w:sz w:val="22"/>
          <w:szCs w:val="22"/>
          <w:lang w:val="sr-Latn-ME"/>
        </w:rPr>
        <w:t>3</w:t>
      </w:r>
      <w:r w:rsidRPr="00FB6F73">
        <w:rPr>
          <w:sz w:val="22"/>
          <w:szCs w:val="22"/>
          <w:lang w:val="sr-Latn-ME"/>
        </w:rPr>
        <w:t>.</w:t>
      </w:r>
    </w:p>
    <w:p w14:paraId="775CF8CD" w14:textId="77777777" w:rsidR="00136217" w:rsidRPr="00FB6F73" w:rsidRDefault="00136217" w:rsidP="00981FFD">
      <w:pPr>
        <w:jc w:val="both"/>
        <w:rPr>
          <w:sz w:val="22"/>
          <w:szCs w:val="22"/>
          <w:lang w:val="sr-Latn-ME"/>
        </w:rPr>
      </w:pPr>
    </w:p>
    <w:p w14:paraId="44C1BED8" w14:textId="3D029708" w:rsidR="00136217" w:rsidRPr="00FB6F73" w:rsidRDefault="00136217" w:rsidP="00981FFD">
      <w:pPr>
        <w:jc w:val="both"/>
        <w:rPr>
          <w:sz w:val="22"/>
          <w:szCs w:val="22"/>
          <w:lang w:val="sr-Latn-ME"/>
        </w:rPr>
      </w:pPr>
      <w:r w:rsidRPr="00FB6F73">
        <w:rPr>
          <w:sz w:val="22"/>
          <w:szCs w:val="22"/>
          <w:lang w:val="sr-Latn-ME"/>
        </w:rPr>
        <w:t xml:space="preserve">Slika 1. </w:t>
      </w:r>
      <w:r w:rsidRPr="00FB6F73">
        <w:rPr>
          <w:i/>
          <w:sz w:val="22"/>
          <w:szCs w:val="22"/>
          <w:lang w:val="sr-Latn-ME"/>
        </w:rPr>
        <w:t>Kaplan-Meier</w:t>
      </w:r>
      <w:r w:rsidRPr="00FB6F73">
        <w:rPr>
          <w:sz w:val="22"/>
          <w:szCs w:val="22"/>
          <w:lang w:val="sr-Latn-ME"/>
        </w:rPr>
        <w:t>-ova kriva preživljavanja bez progresije bolesti (</w:t>
      </w:r>
      <w:r w:rsidR="007F40D0" w:rsidRPr="00FB6F73">
        <w:rPr>
          <w:sz w:val="22"/>
          <w:szCs w:val="22"/>
          <w:lang w:val="sr-Latn-ME"/>
        </w:rPr>
        <w:t xml:space="preserve">engl. </w:t>
      </w:r>
      <w:r w:rsidRPr="00FB6F73">
        <w:rPr>
          <w:i/>
          <w:sz w:val="22"/>
          <w:szCs w:val="22"/>
          <w:lang w:val="sr-Latn-ME"/>
        </w:rPr>
        <w:t>progression-free survival</w:t>
      </w:r>
      <w:r w:rsidRPr="00FB6F73">
        <w:rPr>
          <w:sz w:val="22"/>
          <w:szCs w:val="22"/>
          <w:lang w:val="sr-Latn-ME"/>
        </w:rPr>
        <w:t>, PFS), proc</w:t>
      </w:r>
      <w:r w:rsidR="007F40D0" w:rsidRPr="00FB6F73">
        <w:rPr>
          <w:sz w:val="22"/>
          <w:szCs w:val="22"/>
          <w:lang w:val="sr-Latn-ME"/>
        </w:rPr>
        <w:t>ij</w:t>
      </w:r>
      <w:r w:rsidRPr="00FB6F73">
        <w:rPr>
          <w:sz w:val="22"/>
          <w:szCs w:val="22"/>
          <w:lang w:val="sr-Latn-ME"/>
        </w:rPr>
        <w:t>enjena od strane istraživača</w:t>
      </w:r>
      <w:r w:rsidR="007F40D0" w:rsidRPr="00FB6F73">
        <w:rPr>
          <w:sz w:val="22"/>
          <w:szCs w:val="22"/>
          <w:lang w:val="sr-Latn-ME"/>
        </w:rPr>
        <w:t xml:space="preserve"> </w:t>
      </w:r>
      <w:r w:rsidRPr="00FB6F73">
        <w:rPr>
          <w:sz w:val="22"/>
          <w:szCs w:val="22"/>
          <w:lang w:val="sr-Latn-ME"/>
        </w:rPr>
        <w:t xml:space="preserve">u kliničkoj studiji ML20650 (EURTAC) (april 2012. </w:t>
      </w:r>
      <w:r w:rsidR="000A696B" w:rsidRPr="00FB6F73">
        <w:rPr>
          <w:sz w:val="22"/>
          <w:szCs w:val="22"/>
          <w:lang w:val="sr-Latn-ME"/>
        </w:rPr>
        <w:t xml:space="preserve">- </w:t>
      </w:r>
      <w:r w:rsidRPr="00FB6F73">
        <w:rPr>
          <w:sz w:val="22"/>
          <w:szCs w:val="22"/>
          <w:lang w:val="sr-Latn-ME"/>
        </w:rPr>
        <w:t>datum pres</w:t>
      </w:r>
      <w:r w:rsidR="007F40D0" w:rsidRPr="00FB6F73">
        <w:rPr>
          <w:sz w:val="22"/>
          <w:szCs w:val="22"/>
          <w:lang w:val="sr-Latn-ME"/>
        </w:rPr>
        <w:t>j</w:t>
      </w:r>
      <w:r w:rsidRPr="00FB6F73">
        <w:rPr>
          <w:sz w:val="22"/>
          <w:szCs w:val="22"/>
          <w:lang w:val="sr-Latn-ME"/>
        </w:rPr>
        <w:t>eka (</w:t>
      </w:r>
      <w:r w:rsidR="007F40D0" w:rsidRPr="00FB6F73">
        <w:rPr>
          <w:sz w:val="22"/>
          <w:szCs w:val="22"/>
          <w:lang w:val="sr-Latn-ME"/>
        </w:rPr>
        <w:t xml:space="preserve">engl. </w:t>
      </w:r>
      <w:r w:rsidRPr="00FB6F73">
        <w:rPr>
          <w:i/>
          <w:sz w:val="22"/>
          <w:szCs w:val="22"/>
          <w:lang w:val="sr-Latn-ME"/>
        </w:rPr>
        <w:t>cut-off</w:t>
      </w:r>
      <w:r w:rsidRPr="00FB6F73">
        <w:rPr>
          <w:sz w:val="22"/>
          <w:szCs w:val="22"/>
          <w:lang w:val="sr-Latn-ME"/>
        </w:rPr>
        <w:t>)</w:t>
      </w:r>
      <w:r w:rsidR="000A696B" w:rsidRPr="00FB6F73">
        <w:rPr>
          <w:sz w:val="22"/>
          <w:szCs w:val="22"/>
          <w:lang w:val="sr-Latn-ME"/>
        </w:rPr>
        <w:t>)</w:t>
      </w:r>
      <w:r w:rsidRPr="00FB6F73">
        <w:rPr>
          <w:sz w:val="22"/>
          <w:szCs w:val="22"/>
          <w:lang w:val="sr-Latn-ME"/>
        </w:rPr>
        <w:t>.</w:t>
      </w:r>
    </w:p>
    <w:p w14:paraId="57C32D5F" w14:textId="77777777" w:rsidR="00136217" w:rsidRPr="00FB6F73" w:rsidRDefault="00136217" w:rsidP="00136217">
      <w:pPr>
        <w:tabs>
          <w:tab w:val="left" w:pos="540"/>
          <w:tab w:val="left" w:pos="569"/>
        </w:tabs>
        <w:rPr>
          <w:bCs/>
          <w:sz w:val="22"/>
          <w:szCs w:val="22"/>
          <w:lang w:val="sr-Latn-ME"/>
        </w:rPr>
      </w:pPr>
      <w:r w:rsidRPr="00FB6F73">
        <w:rPr>
          <w:bCs/>
          <w:noProof/>
          <w:sz w:val="22"/>
          <w:szCs w:val="22"/>
          <w:lang w:val="sr-Latn-ME" w:eastAsia="sr-Latn-ME"/>
        </w:rPr>
        <w:lastRenderedPageBreak/>
        <w:drawing>
          <wp:inline distT="0" distB="0" distL="0" distR="0" wp14:anchorId="6BD6B4A6" wp14:editId="26DD4316">
            <wp:extent cx="5979160" cy="3768725"/>
            <wp:effectExtent l="0" t="0" r="254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9160" cy="3768725"/>
                    </a:xfrm>
                    <a:prstGeom prst="rect">
                      <a:avLst/>
                    </a:prstGeom>
                    <a:noFill/>
                    <a:ln>
                      <a:noFill/>
                    </a:ln>
                  </pic:spPr>
                </pic:pic>
              </a:graphicData>
            </a:graphic>
          </wp:inline>
        </w:drawing>
      </w:r>
    </w:p>
    <w:p w14:paraId="75B08B99" w14:textId="77777777" w:rsidR="00136217" w:rsidRPr="00FB6F73" w:rsidRDefault="00136217" w:rsidP="00136217">
      <w:pPr>
        <w:tabs>
          <w:tab w:val="left" w:pos="540"/>
          <w:tab w:val="left" w:pos="569"/>
        </w:tabs>
        <w:rPr>
          <w:b/>
          <w:bCs/>
          <w:sz w:val="22"/>
          <w:szCs w:val="22"/>
          <w:lang w:val="sr-Latn-ME"/>
        </w:rPr>
      </w:pPr>
    </w:p>
    <w:p w14:paraId="10E8509D" w14:textId="2768E43A" w:rsidR="00136217" w:rsidRPr="00FB6F73" w:rsidRDefault="00136217" w:rsidP="00981FFD">
      <w:pPr>
        <w:tabs>
          <w:tab w:val="left" w:pos="540"/>
          <w:tab w:val="left" w:pos="569"/>
        </w:tabs>
        <w:jc w:val="both"/>
        <w:rPr>
          <w:sz w:val="22"/>
          <w:szCs w:val="22"/>
          <w:lang w:val="sr-Latn-ME"/>
        </w:rPr>
      </w:pPr>
      <w:r w:rsidRPr="00FB6F73">
        <w:rPr>
          <w:sz w:val="22"/>
          <w:szCs w:val="22"/>
          <w:lang w:val="sr-Latn-ME"/>
        </w:rPr>
        <w:t xml:space="preserve">Tabela </w:t>
      </w:r>
      <w:r w:rsidR="000A696B" w:rsidRPr="00FB6F73">
        <w:rPr>
          <w:sz w:val="22"/>
          <w:szCs w:val="22"/>
          <w:lang w:val="sr-Latn-ME"/>
        </w:rPr>
        <w:t>3</w:t>
      </w:r>
      <w:r w:rsidRPr="00FB6F73">
        <w:rPr>
          <w:sz w:val="22"/>
          <w:szCs w:val="22"/>
          <w:lang w:val="sr-Latn-ME"/>
        </w:rPr>
        <w:t>. Rezultati efikasnosti erlotiniba u odnosu na hemioterapiju u kliničkoj studiji ML20650 (EURTAC)</w:t>
      </w:r>
    </w:p>
    <w:p w14:paraId="3B695D65" w14:textId="77777777" w:rsidR="00136217" w:rsidRPr="00FB6F73" w:rsidRDefault="00136217" w:rsidP="00136217">
      <w:pPr>
        <w:tabs>
          <w:tab w:val="left" w:pos="540"/>
          <w:tab w:val="left" w:pos="569"/>
        </w:tabs>
        <w:rPr>
          <w:sz w:val="22"/>
          <w:szCs w:val="22"/>
          <w:lang w:val="sr-Latn-ME"/>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1984"/>
        <w:gridCol w:w="1559"/>
        <w:gridCol w:w="1276"/>
        <w:gridCol w:w="1701"/>
        <w:gridCol w:w="1134"/>
      </w:tblGrid>
      <w:tr w:rsidR="00136217" w:rsidRPr="00FB6F73" w14:paraId="25E0D11E" w14:textId="77777777" w:rsidTr="00981FFD">
        <w:tc>
          <w:tcPr>
            <w:tcW w:w="1555" w:type="dxa"/>
            <w:vMerge w:val="restart"/>
            <w:tcBorders>
              <w:top w:val="single" w:sz="4" w:space="0" w:color="000000"/>
              <w:left w:val="single" w:sz="4" w:space="0" w:color="000000"/>
              <w:bottom w:val="single" w:sz="4" w:space="0" w:color="000000"/>
              <w:right w:val="single" w:sz="4" w:space="0" w:color="000000"/>
            </w:tcBorders>
          </w:tcPr>
          <w:p w14:paraId="5430B4AC" w14:textId="77777777" w:rsidR="00136217" w:rsidRPr="00FB6F73" w:rsidRDefault="00136217" w:rsidP="00136217">
            <w:pPr>
              <w:rPr>
                <w:sz w:val="22"/>
                <w:szCs w:val="22"/>
                <w:lang w:val="sr-Latn-ME"/>
              </w:rPr>
            </w:pPr>
          </w:p>
        </w:tc>
        <w:tc>
          <w:tcPr>
            <w:tcW w:w="1984" w:type="dxa"/>
            <w:tcBorders>
              <w:top w:val="single" w:sz="4" w:space="0" w:color="000000"/>
              <w:left w:val="single" w:sz="4" w:space="0" w:color="000000"/>
              <w:bottom w:val="single" w:sz="4" w:space="0" w:color="000000"/>
              <w:right w:val="single" w:sz="4" w:space="0" w:color="000000"/>
            </w:tcBorders>
          </w:tcPr>
          <w:p w14:paraId="6B90012D" w14:textId="77777777" w:rsidR="00136217" w:rsidRPr="00FB6F73" w:rsidRDefault="00136217" w:rsidP="00136217">
            <w:pPr>
              <w:rPr>
                <w:sz w:val="22"/>
                <w:szCs w:val="22"/>
                <w:lang w:val="sr-Latn-ME"/>
              </w:rPr>
            </w:pPr>
          </w:p>
        </w:tc>
        <w:tc>
          <w:tcPr>
            <w:tcW w:w="1559" w:type="dxa"/>
            <w:tcBorders>
              <w:top w:val="single" w:sz="4" w:space="0" w:color="000000"/>
              <w:left w:val="single" w:sz="4" w:space="0" w:color="000000"/>
              <w:bottom w:val="single" w:sz="4" w:space="0" w:color="000000"/>
              <w:right w:val="single" w:sz="4" w:space="0" w:color="000000"/>
            </w:tcBorders>
            <w:hideMark/>
          </w:tcPr>
          <w:p w14:paraId="0E89FB42" w14:textId="77777777" w:rsidR="00136217" w:rsidRPr="00FB6F73" w:rsidRDefault="00136217" w:rsidP="00136217">
            <w:pPr>
              <w:jc w:val="center"/>
              <w:rPr>
                <w:b/>
                <w:sz w:val="22"/>
                <w:szCs w:val="22"/>
                <w:lang w:val="sr-Latn-ME"/>
              </w:rPr>
            </w:pPr>
            <w:r w:rsidRPr="00FB6F73">
              <w:rPr>
                <w:b/>
                <w:sz w:val="22"/>
                <w:szCs w:val="22"/>
                <w:lang w:val="sr-Latn-ME"/>
              </w:rPr>
              <w:t>Erlotinib</w:t>
            </w:r>
          </w:p>
        </w:tc>
        <w:tc>
          <w:tcPr>
            <w:tcW w:w="1276" w:type="dxa"/>
            <w:tcBorders>
              <w:top w:val="single" w:sz="4" w:space="0" w:color="000000"/>
              <w:left w:val="single" w:sz="4" w:space="0" w:color="000000"/>
              <w:bottom w:val="single" w:sz="4" w:space="0" w:color="000000"/>
              <w:right w:val="single" w:sz="4" w:space="0" w:color="000000"/>
            </w:tcBorders>
            <w:hideMark/>
          </w:tcPr>
          <w:p w14:paraId="5E78D9A2" w14:textId="77777777" w:rsidR="00136217" w:rsidRPr="00FB6F73" w:rsidRDefault="00136217" w:rsidP="00136217">
            <w:pPr>
              <w:jc w:val="center"/>
              <w:rPr>
                <w:b/>
                <w:sz w:val="22"/>
                <w:szCs w:val="22"/>
                <w:lang w:val="sr-Latn-ME"/>
              </w:rPr>
            </w:pPr>
            <w:r w:rsidRPr="00FB6F73">
              <w:rPr>
                <w:b/>
                <w:sz w:val="22"/>
                <w:szCs w:val="22"/>
                <w:lang w:val="sr-Latn-ME"/>
              </w:rPr>
              <w:t>Hemio</w:t>
            </w:r>
          </w:p>
          <w:p w14:paraId="5D4200B4" w14:textId="77777777" w:rsidR="00136217" w:rsidRPr="00FB6F73" w:rsidRDefault="00136217" w:rsidP="00136217">
            <w:pPr>
              <w:jc w:val="center"/>
              <w:rPr>
                <w:b/>
                <w:sz w:val="22"/>
                <w:szCs w:val="22"/>
                <w:lang w:val="sr-Latn-ME"/>
              </w:rPr>
            </w:pPr>
            <w:r w:rsidRPr="00FB6F73">
              <w:rPr>
                <w:b/>
                <w:sz w:val="22"/>
                <w:szCs w:val="22"/>
                <w:lang w:val="sr-Latn-ME"/>
              </w:rPr>
              <w:t>terapija</w:t>
            </w:r>
          </w:p>
        </w:tc>
        <w:tc>
          <w:tcPr>
            <w:tcW w:w="1701" w:type="dxa"/>
            <w:tcBorders>
              <w:top w:val="single" w:sz="4" w:space="0" w:color="000000"/>
              <w:left w:val="single" w:sz="4" w:space="0" w:color="000000"/>
              <w:bottom w:val="single" w:sz="4" w:space="0" w:color="000000"/>
              <w:right w:val="single" w:sz="4" w:space="0" w:color="000000"/>
            </w:tcBorders>
            <w:hideMark/>
          </w:tcPr>
          <w:p w14:paraId="4821E5F6" w14:textId="77777777" w:rsidR="00136217" w:rsidRPr="00FB6F73" w:rsidRDefault="00136217" w:rsidP="00136217">
            <w:pPr>
              <w:jc w:val="center"/>
              <w:rPr>
                <w:b/>
                <w:sz w:val="22"/>
                <w:szCs w:val="22"/>
                <w:lang w:val="sr-Latn-ME"/>
              </w:rPr>
            </w:pPr>
            <w:r w:rsidRPr="00FB6F73">
              <w:rPr>
                <w:b/>
                <w:sz w:val="22"/>
                <w:szCs w:val="22"/>
                <w:lang w:val="sr-Latn-ME"/>
              </w:rPr>
              <w:t>Indeks rizika</w:t>
            </w:r>
          </w:p>
          <w:p w14:paraId="577FEFC6" w14:textId="77777777" w:rsidR="00136217" w:rsidRPr="00FB6F73" w:rsidRDefault="00136217" w:rsidP="00136217">
            <w:pPr>
              <w:jc w:val="center"/>
              <w:rPr>
                <w:b/>
                <w:sz w:val="22"/>
                <w:szCs w:val="22"/>
                <w:lang w:val="sr-Latn-ME"/>
              </w:rPr>
            </w:pPr>
            <w:r w:rsidRPr="00FB6F73">
              <w:rPr>
                <w:b/>
                <w:sz w:val="22"/>
                <w:szCs w:val="22"/>
                <w:lang w:val="sr-Latn-ME"/>
              </w:rPr>
              <w:t>(95% CI)</w:t>
            </w:r>
          </w:p>
        </w:tc>
        <w:tc>
          <w:tcPr>
            <w:tcW w:w="1134" w:type="dxa"/>
            <w:tcBorders>
              <w:top w:val="single" w:sz="4" w:space="0" w:color="000000"/>
              <w:left w:val="single" w:sz="4" w:space="0" w:color="000000"/>
              <w:bottom w:val="single" w:sz="4" w:space="0" w:color="000000"/>
              <w:right w:val="single" w:sz="4" w:space="0" w:color="000000"/>
            </w:tcBorders>
          </w:tcPr>
          <w:p w14:paraId="621E5DDD" w14:textId="5331FE92" w:rsidR="00136217" w:rsidRPr="00FB6F73" w:rsidRDefault="00136217" w:rsidP="00136217">
            <w:pPr>
              <w:jc w:val="center"/>
              <w:rPr>
                <w:b/>
                <w:sz w:val="22"/>
                <w:szCs w:val="22"/>
                <w:lang w:val="sr-Latn-ME"/>
              </w:rPr>
            </w:pPr>
            <w:r w:rsidRPr="00FB6F73">
              <w:rPr>
                <w:b/>
                <w:sz w:val="22"/>
                <w:szCs w:val="22"/>
                <w:lang w:val="sr-Latn-ME"/>
              </w:rPr>
              <w:t>p-</w:t>
            </w:r>
            <w:r w:rsidR="00FD4480" w:rsidRPr="00FB6F73">
              <w:rPr>
                <w:b/>
                <w:sz w:val="22"/>
                <w:szCs w:val="22"/>
                <w:lang w:val="sr-Latn-ME"/>
              </w:rPr>
              <w:t>vrijednost</w:t>
            </w:r>
          </w:p>
          <w:p w14:paraId="4203C672" w14:textId="77777777" w:rsidR="00136217" w:rsidRPr="00FB6F73" w:rsidRDefault="00136217" w:rsidP="00136217">
            <w:pPr>
              <w:jc w:val="center"/>
              <w:rPr>
                <w:b/>
                <w:sz w:val="22"/>
                <w:szCs w:val="22"/>
                <w:lang w:val="sr-Latn-ME"/>
              </w:rPr>
            </w:pPr>
          </w:p>
        </w:tc>
      </w:tr>
      <w:tr w:rsidR="00136217" w:rsidRPr="00FB6F73" w14:paraId="633DF531" w14:textId="77777777" w:rsidTr="00981FFD">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3CC32D3D" w14:textId="77777777" w:rsidR="00136217" w:rsidRPr="00FB6F73" w:rsidRDefault="00136217" w:rsidP="00136217">
            <w:pPr>
              <w:rPr>
                <w:sz w:val="22"/>
                <w:szCs w:val="22"/>
                <w:lang w:val="sr-Latn-ME"/>
              </w:rPr>
            </w:pPr>
          </w:p>
        </w:tc>
        <w:tc>
          <w:tcPr>
            <w:tcW w:w="1984" w:type="dxa"/>
            <w:tcBorders>
              <w:top w:val="single" w:sz="4" w:space="0" w:color="000000"/>
              <w:left w:val="single" w:sz="4" w:space="0" w:color="000000"/>
              <w:bottom w:val="single" w:sz="4" w:space="0" w:color="000000"/>
              <w:right w:val="single" w:sz="4" w:space="0" w:color="000000"/>
            </w:tcBorders>
          </w:tcPr>
          <w:p w14:paraId="26AB3FA0" w14:textId="77777777" w:rsidR="00136217" w:rsidRPr="00FB6F73" w:rsidRDefault="00136217" w:rsidP="00136217">
            <w:pPr>
              <w:rPr>
                <w:sz w:val="22"/>
                <w:szCs w:val="22"/>
                <w:lang w:val="sr-Latn-ME"/>
              </w:rPr>
            </w:pPr>
          </w:p>
        </w:tc>
        <w:tc>
          <w:tcPr>
            <w:tcW w:w="1559" w:type="dxa"/>
            <w:tcBorders>
              <w:top w:val="single" w:sz="4" w:space="0" w:color="000000"/>
              <w:left w:val="single" w:sz="4" w:space="0" w:color="000000"/>
              <w:bottom w:val="single" w:sz="4" w:space="0" w:color="000000"/>
              <w:right w:val="single" w:sz="4" w:space="0" w:color="000000"/>
            </w:tcBorders>
            <w:hideMark/>
          </w:tcPr>
          <w:p w14:paraId="12B49506" w14:textId="77777777" w:rsidR="00136217" w:rsidRPr="00FB6F73" w:rsidRDefault="00136217" w:rsidP="00136217">
            <w:pPr>
              <w:jc w:val="center"/>
              <w:rPr>
                <w:b/>
                <w:sz w:val="22"/>
                <w:szCs w:val="22"/>
                <w:lang w:val="sr-Latn-ME"/>
              </w:rPr>
            </w:pPr>
            <w:r w:rsidRPr="00FB6F73">
              <w:rPr>
                <w:b/>
                <w:sz w:val="22"/>
                <w:szCs w:val="22"/>
                <w:lang w:val="sr-Latn-ME"/>
              </w:rPr>
              <w:t>n=77</w:t>
            </w:r>
          </w:p>
        </w:tc>
        <w:tc>
          <w:tcPr>
            <w:tcW w:w="1276" w:type="dxa"/>
            <w:tcBorders>
              <w:top w:val="single" w:sz="4" w:space="0" w:color="000000"/>
              <w:left w:val="single" w:sz="4" w:space="0" w:color="000000"/>
              <w:bottom w:val="single" w:sz="4" w:space="0" w:color="000000"/>
              <w:right w:val="single" w:sz="4" w:space="0" w:color="000000"/>
            </w:tcBorders>
            <w:hideMark/>
          </w:tcPr>
          <w:p w14:paraId="34C5CDFD" w14:textId="77777777" w:rsidR="00136217" w:rsidRPr="00FB6F73" w:rsidRDefault="00136217" w:rsidP="00136217">
            <w:pPr>
              <w:jc w:val="center"/>
              <w:rPr>
                <w:b/>
                <w:sz w:val="22"/>
                <w:szCs w:val="22"/>
                <w:lang w:val="sr-Latn-ME"/>
              </w:rPr>
            </w:pPr>
            <w:r w:rsidRPr="00FB6F73">
              <w:rPr>
                <w:b/>
                <w:sz w:val="22"/>
                <w:szCs w:val="22"/>
                <w:lang w:val="sr-Latn-ME"/>
              </w:rPr>
              <w:t>n=76</w:t>
            </w:r>
          </w:p>
        </w:tc>
        <w:tc>
          <w:tcPr>
            <w:tcW w:w="1701" w:type="dxa"/>
            <w:tcBorders>
              <w:top w:val="single" w:sz="4" w:space="0" w:color="000000"/>
              <w:left w:val="single" w:sz="4" w:space="0" w:color="000000"/>
              <w:bottom w:val="single" w:sz="4" w:space="0" w:color="000000"/>
              <w:right w:val="single" w:sz="4" w:space="0" w:color="000000"/>
            </w:tcBorders>
          </w:tcPr>
          <w:p w14:paraId="237C2F57" w14:textId="77777777" w:rsidR="00136217" w:rsidRPr="00FB6F73" w:rsidRDefault="00136217" w:rsidP="00136217">
            <w:pPr>
              <w:rPr>
                <w:sz w:val="22"/>
                <w:szCs w:val="22"/>
                <w:lang w:val="sr-Latn-ME"/>
              </w:rPr>
            </w:pPr>
          </w:p>
        </w:tc>
        <w:tc>
          <w:tcPr>
            <w:tcW w:w="1134" w:type="dxa"/>
            <w:tcBorders>
              <w:top w:val="single" w:sz="4" w:space="0" w:color="000000"/>
              <w:left w:val="single" w:sz="4" w:space="0" w:color="000000"/>
              <w:bottom w:val="single" w:sz="4" w:space="0" w:color="000000"/>
              <w:right w:val="single" w:sz="4" w:space="0" w:color="000000"/>
            </w:tcBorders>
          </w:tcPr>
          <w:p w14:paraId="6E30DA92" w14:textId="77777777" w:rsidR="00136217" w:rsidRPr="00FB6F73" w:rsidRDefault="00136217" w:rsidP="00136217">
            <w:pPr>
              <w:rPr>
                <w:sz w:val="22"/>
                <w:szCs w:val="22"/>
                <w:lang w:val="sr-Latn-ME"/>
              </w:rPr>
            </w:pPr>
          </w:p>
        </w:tc>
      </w:tr>
      <w:tr w:rsidR="00136217" w:rsidRPr="00FB6F73" w14:paraId="64889149" w14:textId="77777777" w:rsidTr="00981FFD">
        <w:tc>
          <w:tcPr>
            <w:tcW w:w="1555" w:type="dxa"/>
            <w:vMerge w:val="restart"/>
            <w:tcBorders>
              <w:top w:val="single" w:sz="4" w:space="0" w:color="000000"/>
              <w:left w:val="single" w:sz="4" w:space="0" w:color="000000"/>
              <w:bottom w:val="single" w:sz="4" w:space="0" w:color="000000"/>
              <w:right w:val="single" w:sz="4" w:space="0" w:color="000000"/>
            </w:tcBorders>
          </w:tcPr>
          <w:p w14:paraId="5AF45734" w14:textId="5B43E3EA" w:rsidR="00136217" w:rsidRPr="00FB6F73" w:rsidRDefault="00136217" w:rsidP="00136217">
            <w:pPr>
              <w:rPr>
                <w:sz w:val="22"/>
                <w:szCs w:val="22"/>
                <w:lang w:val="sr-Latn-ME"/>
              </w:rPr>
            </w:pPr>
            <w:r w:rsidRPr="00FB6F73">
              <w:rPr>
                <w:sz w:val="22"/>
                <w:szCs w:val="22"/>
                <w:lang w:val="sr-Latn-ME"/>
              </w:rPr>
              <w:t>Unapr</w:t>
            </w:r>
            <w:r w:rsidR="007F40D0" w:rsidRPr="00FB6F73">
              <w:rPr>
                <w:sz w:val="22"/>
                <w:szCs w:val="22"/>
                <w:lang w:val="sr-Latn-ME"/>
              </w:rPr>
              <w:t>ij</w:t>
            </w:r>
            <w:r w:rsidRPr="00FB6F73">
              <w:rPr>
                <w:sz w:val="22"/>
                <w:szCs w:val="22"/>
                <w:lang w:val="sr-Latn-ME"/>
              </w:rPr>
              <w:t xml:space="preserve">ed </w:t>
            </w:r>
          </w:p>
          <w:p w14:paraId="6AC25023" w14:textId="77777777" w:rsidR="00136217" w:rsidRPr="00FB6F73" w:rsidRDefault="00136217" w:rsidP="00136217">
            <w:pPr>
              <w:rPr>
                <w:sz w:val="22"/>
                <w:szCs w:val="22"/>
                <w:lang w:val="sr-Latn-ME"/>
              </w:rPr>
            </w:pPr>
            <w:r w:rsidRPr="00FB6F73">
              <w:rPr>
                <w:sz w:val="22"/>
                <w:szCs w:val="22"/>
                <w:lang w:val="sr-Latn-ME"/>
              </w:rPr>
              <w:t xml:space="preserve">planirana </w:t>
            </w:r>
          </w:p>
          <w:p w14:paraId="3B893E49" w14:textId="77777777" w:rsidR="00136217" w:rsidRPr="00FB6F73" w:rsidRDefault="00136217" w:rsidP="00136217">
            <w:pPr>
              <w:rPr>
                <w:sz w:val="22"/>
                <w:szCs w:val="22"/>
                <w:lang w:val="sr-Latn-ME"/>
              </w:rPr>
            </w:pPr>
            <w:r w:rsidRPr="00FB6F73">
              <w:rPr>
                <w:sz w:val="22"/>
                <w:szCs w:val="22"/>
                <w:lang w:val="sr-Latn-ME"/>
              </w:rPr>
              <w:t>međuanaliza</w:t>
            </w:r>
          </w:p>
          <w:p w14:paraId="1B273BC1" w14:textId="77777777" w:rsidR="00136217" w:rsidRPr="00FB6F73" w:rsidRDefault="00136217" w:rsidP="00136217">
            <w:pPr>
              <w:rPr>
                <w:sz w:val="22"/>
                <w:szCs w:val="22"/>
                <w:lang w:val="sr-Latn-ME"/>
              </w:rPr>
            </w:pPr>
            <w:r w:rsidRPr="00FB6F73">
              <w:rPr>
                <w:sz w:val="22"/>
                <w:szCs w:val="22"/>
                <w:lang w:val="sr-Latn-ME"/>
              </w:rPr>
              <w:t xml:space="preserve">(sa 35% podataka za OS) </w:t>
            </w:r>
          </w:p>
          <w:p w14:paraId="4B2C2EA8" w14:textId="77777777" w:rsidR="00136217" w:rsidRPr="00FB6F73" w:rsidRDefault="00136217" w:rsidP="00136217">
            <w:pPr>
              <w:rPr>
                <w:sz w:val="22"/>
                <w:szCs w:val="22"/>
                <w:lang w:val="sr-Latn-ME"/>
              </w:rPr>
            </w:pPr>
            <w:r w:rsidRPr="00FB6F73">
              <w:rPr>
                <w:sz w:val="22"/>
                <w:szCs w:val="22"/>
                <w:lang w:val="sr-Latn-ME"/>
              </w:rPr>
              <w:t>(n=153)</w:t>
            </w:r>
          </w:p>
          <w:p w14:paraId="7906D12C" w14:textId="77777777" w:rsidR="00136217" w:rsidRPr="00FB6F73" w:rsidRDefault="00136217" w:rsidP="00136217">
            <w:pPr>
              <w:rPr>
                <w:sz w:val="22"/>
                <w:szCs w:val="22"/>
                <w:lang w:val="sr-Latn-ME"/>
              </w:rPr>
            </w:pPr>
          </w:p>
          <w:p w14:paraId="159385A4" w14:textId="0469BFDD" w:rsidR="00136217" w:rsidRPr="00FB6F73" w:rsidRDefault="00136217" w:rsidP="00136217">
            <w:pPr>
              <w:rPr>
                <w:sz w:val="22"/>
                <w:szCs w:val="22"/>
                <w:lang w:val="sr-Latn-ME"/>
              </w:rPr>
            </w:pPr>
            <w:r w:rsidRPr="00FB6F73">
              <w:rPr>
                <w:sz w:val="22"/>
                <w:szCs w:val="22"/>
                <w:lang w:val="sr-Latn-ME"/>
              </w:rPr>
              <w:t>Datum pres</w:t>
            </w:r>
            <w:r w:rsidR="007F40D0" w:rsidRPr="00FB6F73">
              <w:rPr>
                <w:sz w:val="22"/>
                <w:szCs w:val="22"/>
                <w:lang w:val="sr-Latn-ME"/>
              </w:rPr>
              <w:t>j</w:t>
            </w:r>
            <w:r w:rsidRPr="00FB6F73">
              <w:rPr>
                <w:sz w:val="22"/>
                <w:szCs w:val="22"/>
                <w:lang w:val="sr-Latn-ME"/>
              </w:rPr>
              <w:t xml:space="preserve">eka: </w:t>
            </w:r>
          </w:p>
          <w:p w14:paraId="577A9368" w14:textId="7E084222" w:rsidR="00136217" w:rsidRPr="00FB6F73" w:rsidRDefault="00136217" w:rsidP="00136217">
            <w:pPr>
              <w:rPr>
                <w:sz w:val="22"/>
                <w:szCs w:val="22"/>
                <w:lang w:val="sr-Latn-ME"/>
              </w:rPr>
            </w:pPr>
            <w:r w:rsidRPr="00FB6F73">
              <w:rPr>
                <w:sz w:val="22"/>
                <w:szCs w:val="22"/>
                <w:lang w:val="sr-Latn-ME"/>
              </w:rPr>
              <w:t>Avgust 2010.</w:t>
            </w:r>
          </w:p>
        </w:tc>
        <w:tc>
          <w:tcPr>
            <w:tcW w:w="1984" w:type="dxa"/>
            <w:tcBorders>
              <w:top w:val="single" w:sz="4" w:space="0" w:color="000000"/>
              <w:left w:val="single" w:sz="4" w:space="0" w:color="000000"/>
              <w:bottom w:val="single" w:sz="4" w:space="0" w:color="000000"/>
              <w:right w:val="single" w:sz="4" w:space="0" w:color="000000"/>
            </w:tcBorders>
          </w:tcPr>
          <w:p w14:paraId="1475EAC7" w14:textId="77777777" w:rsidR="00136217" w:rsidRPr="00FB6F73" w:rsidRDefault="00136217" w:rsidP="00136217">
            <w:pPr>
              <w:rPr>
                <w:sz w:val="22"/>
                <w:szCs w:val="22"/>
                <w:lang w:val="sr-Latn-ME"/>
              </w:rPr>
            </w:pPr>
            <w:r w:rsidRPr="00FB6F73">
              <w:rPr>
                <w:sz w:val="22"/>
                <w:szCs w:val="22"/>
                <w:lang w:val="sr-Latn-ME"/>
              </w:rPr>
              <w:t xml:space="preserve">Primarni parametar </w:t>
            </w:r>
          </w:p>
          <w:p w14:paraId="0ABCA0A6" w14:textId="77777777" w:rsidR="00136217" w:rsidRPr="00FB6F73" w:rsidRDefault="00136217" w:rsidP="00136217">
            <w:pPr>
              <w:rPr>
                <w:sz w:val="22"/>
                <w:szCs w:val="22"/>
                <w:lang w:val="sr-Latn-ME"/>
              </w:rPr>
            </w:pPr>
            <w:r w:rsidRPr="00FB6F73">
              <w:rPr>
                <w:sz w:val="22"/>
                <w:szCs w:val="22"/>
                <w:lang w:val="sr-Latn-ME"/>
              </w:rPr>
              <w:t>praćenja ishoda:</w:t>
            </w:r>
          </w:p>
          <w:p w14:paraId="016BB74E" w14:textId="77777777" w:rsidR="00136217" w:rsidRPr="00FB6F73" w:rsidRDefault="00136217" w:rsidP="00136217">
            <w:pPr>
              <w:rPr>
                <w:sz w:val="22"/>
                <w:szCs w:val="22"/>
                <w:lang w:val="sr-Latn-ME"/>
              </w:rPr>
            </w:pPr>
            <w:r w:rsidRPr="00FB6F73">
              <w:rPr>
                <w:sz w:val="22"/>
                <w:szCs w:val="22"/>
                <w:lang w:val="sr-Latn-ME"/>
              </w:rPr>
              <w:t xml:space="preserve">preživljavanje bez </w:t>
            </w:r>
          </w:p>
          <w:p w14:paraId="1C63EB41" w14:textId="77777777" w:rsidR="00136217" w:rsidRPr="00FB6F73" w:rsidRDefault="00136217" w:rsidP="00136217">
            <w:pPr>
              <w:rPr>
                <w:sz w:val="22"/>
                <w:szCs w:val="22"/>
                <w:lang w:val="sr-Latn-ME"/>
              </w:rPr>
            </w:pPr>
            <w:r w:rsidRPr="00FB6F73">
              <w:rPr>
                <w:sz w:val="22"/>
                <w:szCs w:val="22"/>
                <w:lang w:val="sr-Latn-ME"/>
              </w:rPr>
              <w:t xml:space="preserve">progresije bolesti </w:t>
            </w:r>
          </w:p>
          <w:p w14:paraId="4044CDC5" w14:textId="77777777" w:rsidR="00136217" w:rsidRPr="00FB6F73" w:rsidRDefault="00136217" w:rsidP="00136217">
            <w:pPr>
              <w:rPr>
                <w:sz w:val="22"/>
                <w:szCs w:val="22"/>
                <w:lang w:val="sr-Latn-ME"/>
              </w:rPr>
            </w:pPr>
            <w:r w:rsidRPr="00FB6F73">
              <w:rPr>
                <w:sz w:val="22"/>
                <w:szCs w:val="22"/>
                <w:lang w:val="sr-Latn-ME"/>
              </w:rPr>
              <w:t xml:space="preserve">(PFS, medijana u </w:t>
            </w:r>
          </w:p>
          <w:p w14:paraId="2A96C38A" w14:textId="784C03F8" w:rsidR="00136217" w:rsidRPr="00FB6F73" w:rsidRDefault="00136217" w:rsidP="00136217">
            <w:pPr>
              <w:rPr>
                <w:sz w:val="22"/>
                <w:szCs w:val="22"/>
                <w:lang w:val="sr-Latn-ME"/>
              </w:rPr>
            </w:pPr>
            <w:r w:rsidRPr="00FB6F73">
              <w:rPr>
                <w:sz w:val="22"/>
                <w:szCs w:val="22"/>
                <w:lang w:val="sr-Latn-ME"/>
              </w:rPr>
              <w:t>m</w:t>
            </w:r>
            <w:r w:rsidR="007F40D0" w:rsidRPr="00FB6F73">
              <w:rPr>
                <w:sz w:val="22"/>
                <w:szCs w:val="22"/>
                <w:lang w:val="sr-Latn-ME"/>
              </w:rPr>
              <w:t>j</w:t>
            </w:r>
            <w:r w:rsidRPr="00FB6F73">
              <w:rPr>
                <w:sz w:val="22"/>
                <w:szCs w:val="22"/>
                <w:lang w:val="sr-Latn-ME"/>
              </w:rPr>
              <w:t>esecima)*</w:t>
            </w:r>
          </w:p>
          <w:p w14:paraId="74D85381" w14:textId="78FAD097" w:rsidR="00136217" w:rsidRPr="00FB6F73" w:rsidRDefault="00136217" w:rsidP="00136217">
            <w:pPr>
              <w:rPr>
                <w:sz w:val="22"/>
                <w:szCs w:val="22"/>
                <w:lang w:val="sr-Latn-ME"/>
              </w:rPr>
            </w:pPr>
            <w:r w:rsidRPr="00FB6F73">
              <w:rPr>
                <w:sz w:val="22"/>
                <w:szCs w:val="22"/>
                <w:lang w:val="sr-Latn-ME"/>
              </w:rPr>
              <w:t>Proc</w:t>
            </w:r>
            <w:r w:rsidR="007F40D0" w:rsidRPr="00FB6F73">
              <w:rPr>
                <w:sz w:val="22"/>
                <w:szCs w:val="22"/>
                <w:lang w:val="sr-Latn-ME"/>
              </w:rPr>
              <w:t>j</w:t>
            </w:r>
            <w:r w:rsidRPr="00FB6F73">
              <w:rPr>
                <w:sz w:val="22"/>
                <w:szCs w:val="22"/>
                <w:lang w:val="sr-Latn-ME"/>
              </w:rPr>
              <w:t>ena istraživača**</w:t>
            </w:r>
          </w:p>
          <w:p w14:paraId="2A087BEB" w14:textId="77777777" w:rsidR="00136217" w:rsidRPr="00FB6F73" w:rsidRDefault="00136217" w:rsidP="00136217">
            <w:pPr>
              <w:rPr>
                <w:sz w:val="22"/>
                <w:szCs w:val="22"/>
                <w:lang w:val="sr-Latn-ME"/>
              </w:rPr>
            </w:pPr>
          </w:p>
          <w:p w14:paraId="2286AA2F" w14:textId="65B42453" w:rsidR="00136217" w:rsidRPr="00FB6F73" w:rsidRDefault="00136217" w:rsidP="00136217">
            <w:pPr>
              <w:rPr>
                <w:sz w:val="22"/>
                <w:szCs w:val="22"/>
                <w:lang w:val="sr-Latn-ME"/>
              </w:rPr>
            </w:pPr>
            <w:r w:rsidRPr="00FB6F73">
              <w:rPr>
                <w:sz w:val="22"/>
                <w:szCs w:val="22"/>
                <w:lang w:val="sr-Latn-ME"/>
              </w:rPr>
              <w:t>Nezavisna proc</w:t>
            </w:r>
            <w:r w:rsidR="007F40D0" w:rsidRPr="00FB6F73">
              <w:rPr>
                <w:sz w:val="22"/>
                <w:szCs w:val="22"/>
                <w:lang w:val="sr-Latn-ME"/>
              </w:rPr>
              <w:t>j</w:t>
            </w:r>
            <w:r w:rsidRPr="00FB6F73">
              <w:rPr>
                <w:sz w:val="22"/>
                <w:szCs w:val="22"/>
                <w:lang w:val="sr-Latn-ME"/>
              </w:rPr>
              <w:t>ena**</w:t>
            </w:r>
          </w:p>
        </w:tc>
        <w:tc>
          <w:tcPr>
            <w:tcW w:w="1559" w:type="dxa"/>
            <w:tcBorders>
              <w:top w:val="single" w:sz="4" w:space="0" w:color="000000"/>
              <w:left w:val="single" w:sz="4" w:space="0" w:color="000000"/>
              <w:bottom w:val="single" w:sz="4" w:space="0" w:color="000000"/>
              <w:right w:val="single" w:sz="4" w:space="0" w:color="000000"/>
            </w:tcBorders>
          </w:tcPr>
          <w:p w14:paraId="233B8F50" w14:textId="77777777" w:rsidR="00136217" w:rsidRPr="00FB6F73" w:rsidRDefault="00136217" w:rsidP="00136217">
            <w:pPr>
              <w:jc w:val="center"/>
              <w:rPr>
                <w:sz w:val="22"/>
                <w:szCs w:val="22"/>
                <w:lang w:val="sr-Latn-ME"/>
              </w:rPr>
            </w:pPr>
          </w:p>
          <w:p w14:paraId="3EF5B96B" w14:textId="77777777" w:rsidR="00136217" w:rsidRPr="00FB6F73" w:rsidRDefault="00136217" w:rsidP="00136217">
            <w:pPr>
              <w:jc w:val="center"/>
              <w:rPr>
                <w:sz w:val="22"/>
                <w:szCs w:val="22"/>
                <w:lang w:val="sr-Latn-ME"/>
              </w:rPr>
            </w:pPr>
          </w:p>
          <w:p w14:paraId="73D7110A" w14:textId="77777777" w:rsidR="00136217" w:rsidRPr="00FB6F73" w:rsidRDefault="00136217" w:rsidP="00136217">
            <w:pPr>
              <w:jc w:val="center"/>
              <w:rPr>
                <w:sz w:val="22"/>
                <w:szCs w:val="22"/>
                <w:lang w:val="sr-Latn-ME"/>
              </w:rPr>
            </w:pPr>
          </w:p>
          <w:p w14:paraId="1CB59E4D" w14:textId="77777777" w:rsidR="00136217" w:rsidRPr="00FB6F73" w:rsidRDefault="00136217" w:rsidP="00136217">
            <w:pPr>
              <w:jc w:val="center"/>
              <w:rPr>
                <w:sz w:val="22"/>
                <w:szCs w:val="22"/>
                <w:lang w:val="sr-Latn-ME"/>
              </w:rPr>
            </w:pPr>
          </w:p>
          <w:p w14:paraId="7E86B893" w14:textId="77777777" w:rsidR="00136217" w:rsidRPr="00FB6F73" w:rsidRDefault="00136217" w:rsidP="00136217">
            <w:pPr>
              <w:jc w:val="center"/>
              <w:rPr>
                <w:sz w:val="22"/>
                <w:szCs w:val="22"/>
                <w:lang w:val="sr-Latn-ME"/>
              </w:rPr>
            </w:pPr>
          </w:p>
          <w:p w14:paraId="1163DFFC" w14:textId="77777777" w:rsidR="00136217" w:rsidRPr="00FB6F73" w:rsidRDefault="00136217" w:rsidP="00136217">
            <w:pPr>
              <w:jc w:val="center"/>
              <w:rPr>
                <w:sz w:val="22"/>
                <w:szCs w:val="22"/>
                <w:lang w:val="sr-Latn-ME"/>
              </w:rPr>
            </w:pPr>
          </w:p>
          <w:p w14:paraId="07D81FCD" w14:textId="77777777" w:rsidR="000A696B" w:rsidRPr="00FB6F73" w:rsidRDefault="000A696B" w:rsidP="00136217">
            <w:pPr>
              <w:jc w:val="center"/>
              <w:rPr>
                <w:sz w:val="22"/>
                <w:szCs w:val="22"/>
                <w:lang w:val="sr-Latn-ME"/>
              </w:rPr>
            </w:pPr>
          </w:p>
          <w:p w14:paraId="3F946E56" w14:textId="789BB0BC" w:rsidR="00136217" w:rsidRPr="00FB6F73" w:rsidRDefault="00136217" w:rsidP="00136217">
            <w:pPr>
              <w:jc w:val="center"/>
              <w:rPr>
                <w:sz w:val="22"/>
                <w:szCs w:val="22"/>
                <w:lang w:val="sr-Latn-ME"/>
              </w:rPr>
            </w:pPr>
            <w:r w:rsidRPr="00FB6F73">
              <w:rPr>
                <w:sz w:val="22"/>
                <w:szCs w:val="22"/>
                <w:lang w:val="sr-Latn-ME"/>
              </w:rPr>
              <w:t>9,4</w:t>
            </w:r>
          </w:p>
          <w:p w14:paraId="3C599E07" w14:textId="77777777" w:rsidR="00136217" w:rsidRPr="00FB6F73" w:rsidRDefault="00136217" w:rsidP="00136217">
            <w:pPr>
              <w:jc w:val="center"/>
              <w:rPr>
                <w:sz w:val="22"/>
                <w:szCs w:val="22"/>
                <w:lang w:val="sr-Latn-ME"/>
              </w:rPr>
            </w:pPr>
          </w:p>
          <w:p w14:paraId="551042A4" w14:textId="77777777" w:rsidR="00136217" w:rsidRPr="00FB6F73" w:rsidRDefault="00136217" w:rsidP="00136217">
            <w:pPr>
              <w:jc w:val="center"/>
              <w:rPr>
                <w:sz w:val="22"/>
                <w:szCs w:val="22"/>
                <w:lang w:val="sr-Latn-ME"/>
              </w:rPr>
            </w:pPr>
            <w:r w:rsidRPr="00FB6F73">
              <w:rPr>
                <w:sz w:val="22"/>
                <w:szCs w:val="22"/>
                <w:lang w:val="sr-Latn-ME"/>
              </w:rPr>
              <w:t>10,4</w:t>
            </w:r>
          </w:p>
        </w:tc>
        <w:tc>
          <w:tcPr>
            <w:tcW w:w="1276" w:type="dxa"/>
            <w:tcBorders>
              <w:top w:val="single" w:sz="4" w:space="0" w:color="000000"/>
              <w:left w:val="single" w:sz="4" w:space="0" w:color="000000"/>
              <w:bottom w:val="single" w:sz="4" w:space="0" w:color="000000"/>
              <w:right w:val="single" w:sz="4" w:space="0" w:color="000000"/>
            </w:tcBorders>
          </w:tcPr>
          <w:p w14:paraId="6BD96E15" w14:textId="77777777" w:rsidR="00136217" w:rsidRPr="00FB6F73" w:rsidRDefault="00136217" w:rsidP="00136217">
            <w:pPr>
              <w:jc w:val="center"/>
              <w:rPr>
                <w:sz w:val="22"/>
                <w:szCs w:val="22"/>
                <w:lang w:val="sr-Latn-ME"/>
              </w:rPr>
            </w:pPr>
          </w:p>
          <w:p w14:paraId="0F611A09" w14:textId="77777777" w:rsidR="00136217" w:rsidRPr="00FB6F73" w:rsidRDefault="00136217" w:rsidP="00136217">
            <w:pPr>
              <w:jc w:val="center"/>
              <w:rPr>
                <w:sz w:val="22"/>
                <w:szCs w:val="22"/>
                <w:lang w:val="sr-Latn-ME"/>
              </w:rPr>
            </w:pPr>
          </w:p>
          <w:p w14:paraId="1B308F3B" w14:textId="77777777" w:rsidR="00136217" w:rsidRPr="00FB6F73" w:rsidRDefault="00136217" w:rsidP="00136217">
            <w:pPr>
              <w:jc w:val="center"/>
              <w:rPr>
                <w:sz w:val="22"/>
                <w:szCs w:val="22"/>
                <w:lang w:val="sr-Latn-ME"/>
              </w:rPr>
            </w:pPr>
          </w:p>
          <w:p w14:paraId="30F39A9C" w14:textId="77777777" w:rsidR="00136217" w:rsidRPr="00FB6F73" w:rsidRDefault="00136217" w:rsidP="00136217">
            <w:pPr>
              <w:jc w:val="center"/>
              <w:rPr>
                <w:sz w:val="22"/>
                <w:szCs w:val="22"/>
                <w:lang w:val="sr-Latn-ME"/>
              </w:rPr>
            </w:pPr>
          </w:p>
          <w:p w14:paraId="0C7F13CA" w14:textId="77777777" w:rsidR="00136217" w:rsidRPr="00FB6F73" w:rsidRDefault="00136217" w:rsidP="00136217">
            <w:pPr>
              <w:jc w:val="center"/>
              <w:rPr>
                <w:sz w:val="22"/>
                <w:szCs w:val="22"/>
                <w:lang w:val="sr-Latn-ME"/>
              </w:rPr>
            </w:pPr>
          </w:p>
          <w:p w14:paraId="0226D9F1" w14:textId="77777777" w:rsidR="00136217" w:rsidRPr="00FB6F73" w:rsidRDefault="00136217" w:rsidP="00136217">
            <w:pPr>
              <w:jc w:val="center"/>
              <w:rPr>
                <w:sz w:val="22"/>
                <w:szCs w:val="22"/>
                <w:lang w:val="sr-Latn-ME"/>
              </w:rPr>
            </w:pPr>
          </w:p>
          <w:p w14:paraId="225CA14B" w14:textId="77777777" w:rsidR="000A696B" w:rsidRPr="00FB6F73" w:rsidRDefault="000A696B" w:rsidP="00136217">
            <w:pPr>
              <w:jc w:val="center"/>
              <w:rPr>
                <w:sz w:val="22"/>
                <w:szCs w:val="22"/>
                <w:lang w:val="sr-Latn-ME"/>
              </w:rPr>
            </w:pPr>
          </w:p>
          <w:p w14:paraId="2783B6D0" w14:textId="74DECC9D" w:rsidR="00136217" w:rsidRPr="00FB6F73" w:rsidRDefault="00136217" w:rsidP="00136217">
            <w:pPr>
              <w:jc w:val="center"/>
              <w:rPr>
                <w:sz w:val="22"/>
                <w:szCs w:val="22"/>
                <w:lang w:val="sr-Latn-ME"/>
              </w:rPr>
            </w:pPr>
            <w:r w:rsidRPr="00FB6F73">
              <w:rPr>
                <w:sz w:val="22"/>
                <w:szCs w:val="22"/>
                <w:lang w:val="sr-Latn-ME"/>
              </w:rPr>
              <w:t>5,2</w:t>
            </w:r>
          </w:p>
          <w:p w14:paraId="03090F41" w14:textId="77777777" w:rsidR="00136217" w:rsidRPr="00FB6F73" w:rsidRDefault="00136217" w:rsidP="00136217">
            <w:pPr>
              <w:jc w:val="center"/>
              <w:rPr>
                <w:sz w:val="22"/>
                <w:szCs w:val="22"/>
                <w:lang w:val="sr-Latn-ME"/>
              </w:rPr>
            </w:pPr>
          </w:p>
          <w:p w14:paraId="0D9AD1E3" w14:textId="77777777" w:rsidR="00136217" w:rsidRPr="00FB6F73" w:rsidRDefault="00136217" w:rsidP="00136217">
            <w:pPr>
              <w:jc w:val="center"/>
              <w:rPr>
                <w:sz w:val="22"/>
                <w:szCs w:val="22"/>
                <w:lang w:val="sr-Latn-ME"/>
              </w:rPr>
            </w:pPr>
            <w:r w:rsidRPr="00FB6F73">
              <w:rPr>
                <w:sz w:val="22"/>
                <w:szCs w:val="22"/>
                <w:lang w:val="sr-Latn-ME"/>
              </w:rPr>
              <w:t>5,4</w:t>
            </w:r>
          </w:p>
        </w:tc>
        <w:tc>
          <w:tcPr>
            <w:tcW w:w="1701" w:type="dxa"/>
            <w:tcBorders>
              <w:top w:val="single" w:sz="4" w:space="0" w:color="000000"/>
              <w:left w:val="single" w:sz="4" w:space="0" w:color="000000"/>
              <w:bottom w:val="single" w:sz="4" w:space="0" w:color="000000"/>
              <w:right w:val="single" w:sz="4" w:space="0" w:color="000000"/>
            </w:tcBorders>
          </w:tcPr>
          <w:p w14:paraId="07729776" w14:textId="77777777" w:rsidR="00136217" w:rsidRPr="00FB6F73" w:rsidRDefault="00136217" w:rsidP="00136217">
            <w:pPr>
              <w:jc w:val="center"/>
              <w:rPr>
                <w:sz w:val="22"/>
                <w:szCs w:val="22"/>
                <w:lang w:val="sr-Latn-ME"/>
              </w:rPr>
            </w:pPr>
          </w:p>
          <w:p w14:paraId="52293181" w14:textId="77777777" w:rsidR="00136217" w:rsidRPr="00FB6F73" w:rsidRDefault="00136217" w:rsidP="00136217">
            <w:pPr>
              <w:jc w:val="center"/>
              <w:rPr>
                <w:sz w:val="22"/>
                <w:szCs w:val="22"/>
                <w:lang w:val="sr-Latn-ME"/>
              </w:rPr>
            </w:pPr>
          </w:p>
          <w:p w14:paraId="115CFF14" w14:textId="77777777" w:rsidR="00136217" w:rsidRPr="00FB6F73" w:rsidRDefault="00136217" w:rsidP="00136217">
            <w:pPr>
              <w:jc w:val="center"/>
              <w:rPr>
                <w:sz w:val="22"/>
                <w:szCs w:val="22"/>
                <w:lang w:val="sr-Latn-ME"/>
              </w:rPr>
            </w:pPr>
          </w:p>
          <w:p w14:paraId="37B2543E" w14:textId="77777777" w:rsidR="00136217" w:rsidRPr="00FB6F73" w:rsidRDefault="00136217" w:rsidP="00136217">
            <w:pPr>
              <w:jc w:val="center"/>
              <w:rPr>
                <w:sz w:val="22"/>
                <w:szCs w:val="22"/>
                <w:lang w:val="sr-Latn-ME"/>
              </w:rPr>
            </w:pPr>
          </w:p>
          <w:p w14:paraId="4F56AE48" w14:textId="77777777" w:rsidR="00136217" w:rsidRPr="00FB6F73" w:rsidRDefault="00136217" w:rsidP="00136217">
            <w:pPr>
              <w:jc w:val="center"/>
              <w:rPr>
                <w:sz w:val="22"/>
                <w:szCs w:val="22"/>
                <w:lang w:val="sr-Latn-ME"/>
              </w:rPr>
            </w:pPr>
          </w:p>
          <w:p w14:paraId="4B68DF3D" w14:textId="77777777" w:rsidR="00136217" w:rsidRPr="00FB6F73" w:rsidRDefault="00136217" w:rsidP="00136217">
            <w:pPr>
              <w:jc w:val="center"/>
              <w:rPr>
                <w:sz w:val="22"/>
                <w:szCs w:val="22"/>
                <w:lang w:val="sr-Latn-ME"/>
              </w:rPr>
            </w:pPr>
          </w:p>
          <w:p w14:paraId="5A80826C" w14:textId="77777777" w:rsidR="000A696B" w:rsidRPr="00FB6F73" w:rsidRDefault="000A696B" w:rsidP="00136217">
            <w:pPr>
              <w:jc w:val="center"/>
              <w:rPr>
                <w:sz w:val="22"/>
                <w:szCs w:val="22"/>
                <w:lang w:val="sr-Latn-ME"/>
              </w:rPr>
            </w:pPr>
          </w:p>
          <w:p w14:paraId="11491442" w14:textId="537F6CDF" w:rsidR="00136217" w:rsidRPr="00FB6F73" w:rsidRDefault="00136217" w:rsidP="00136217">
            <w:pPr>
              <w:jc w:val="center"/>
              <w:rPr>
                <w:sz w:val="22"/>
                <w:szCs w:val="22"/>
                <w:lang w:val="sr-Latn-ME"/>
              </w:rPr>
            </w:pPr>
            <w:r w:rsidRPr="00FB6F73">
              <w:rPr>
                <w:sz w:val="22"/>
                <w:szCs w:val="22"/>
                <w:lang w:val="sr-Latn-ME"/>
              </w:rPr>
              <w:t>0,42</w:t>
            </w:r>
          </w:p>
          <w:p w14:paraId="3B9AED70" w14:textId="77777777" w:rsidR="00136217" w:rsidRPr="00FB6F73" w:rsidRDefault="00136217" w:rsidP="00136217">
            <w:pPr>
              <w:jc w:val="center"/>
              <w:rPr>
                <w:sz w:val="22"/>
                <w:szCs w:val="22"/>
                <w:lang w:val="sr-Latn-ME"/>
              </w:rPr>
            </w:pPr>
            <w:r w:rsidRPr="00FB6F73">
              <w:rPr>
                <w:sz w:val="22"/>
                <w:szCs w:val="22"/>
                <w:lang w:val="sr-Latn-ME"/>
              </w:rPr>
              <w:t>[0,27-0,64]</w:t>
            </w:r>
          </w:p>
          <w:p w14:paraId="4193A3C6" w14:textId="77777777" w:rsidR="00136217" w:rsidRPr="00FB6F73" w:rsidRDefault="00136217" w:rsidP="00136217">
            <w:pPr>
              <w:jc w:val="center"/>
              <w:rPr>
                <w:sz w:val="22"/>
                <w:szCs w:val="22"/>
                <w:lang w:val="sr-Latn-ME"/>
              </w:rPr>
            </w:pPr>
            <w:r w:rsidRPr="00FB6F73">
              <w:rPr>
                <w:sz w:val="22"/>
                <w:szCs w:val="22"/>
                <w:lang w:val="sr-Latn-ME"/>
              </w:rPr>
              <w:t>0,47</w:t>
            </w:r>
          </w:p>
          <w:p w14:paraId="57FEC4B6" w14:textId="77777777" w:rsidR="00136217" w:rsidRPr="00FB6F73" w:rsidRDefault="00136217" w:rsidP="00136217">
            <w:pPr>
              <w:jc w:val="center"/>
              <w:rPr>
                <w:sz w:val="22"/>
                <w:szCs w:val="22"/>
                <w:lang w:val="sr-Latn-ME"/>
              </w:rPr>
            </w:pPr>
            <w:r w:rsidRPr="00FB6F73">
              <w:rPr>
                <w:sz w:val="22"/>
                <w:szCs w:val="22"/>
                <w:lang w:val="sr-Latn-ME"/>
              </w:rPr>
              <w:t>[0,27-0,78]</w:t>
            </w:r>
          </w:p>
        </w:tc>
        <w:tc>
          <w:tcPr>
            <w:tcW w:w="1134" w:type="dxa"/>
            <w:tcBorders>
              <w:top w:val="single" w:sz="4" w:space="0" w:color="000000"/>
              <w:left w:val="single" w:sz="4" w:space="0" w:color="000000"/>
              <w:bottom w:val="single" w:sz="4" w:space="0" w:color="000000"/>
              <w:right w:val="single" w:sz="4" w:space="0" w:color="000000"/>
            </w:tcBorders>
          </w:tcPr>
          <w:p w14:paraId="63CD5587" w14:textId="77777777" w:rsidR="00136217" w:rsidRPr="00FB6F73" w:rsidRDefault="00136217" w:rsidP="00136217">
            <w:pPr>
              <w:jc w:val="center"/>
              <w:rPr>
                <w:sz w:val="22"/>
                <w:szCs w:val="22"/>
                <w:lang w:val="sr-Latn-ME"/>
              </w:rPr>
            </w:pPr>
          </w:p>
          <w:p w14:paraId="57570CF5" w14:textId="77777777" w:rsidR="00136217" w:rsidRPr="00FB6F73" w:rsidRDefault="00136217" w:rsidP="00136217">
            <w:pPr>
              <w:jc w:val="center"/>
              <w:rPr>
                <w:sz w:val="22"/>
                <w:szCs w:val="22"/>
                <w:lang w:val="sr-Latn-ME"/>
              </w:rPr>
            </w:pPr>
          </w:p>
          <w:p w14:paraId="419908F1" w14:textId="77777777" w:rsidR="00136217" w:rsidRPr="00FB6F73" w:rsidRDefault="00136217" w:rsidP="00136217">
            <w:pPr>
              <w:jc w:val="center"/>
              <w:rPr>
                <w:sz w:val="22"/>
                <w:szCs w:val="22"/>
                <w:lang w:val="sr-Latn-ME"/>
              </w:rPr>
            </w:pPr>
          </w:p>
          <w:p w14:paraId="26F8DBA5" w14:textId="77777777" w:rsidR="00136217" w:rsidRPr="00FB6F73" w:rsidRDefault="00136217" w:rsidP="00136217">
            <w:pPr>
              <w:jc w:val="center"/>
              <w:rPr>
                <w:sz w:val="22"/>
                <w:szCs w:val="22"/>
                <w:lang w:val="sr-Latn-ME"/>
              </w:rPr>
            </w:pPr>
          </w:p>
          <w:p w14:paraId="340F1778" w14:textId="77777777" w:rsidR="00136217" w:rsidRPr="00FB6F73" w:rsidRDefault="00136217" w:rsidP="00136217">
            <w:pPr>
              <w:jc w:val="center"/>
              <w:rPr>
                <w:sz w:val="22"/>
                <w:szCs w:val="22"/>
                <w:lang w:val="sr-Latn-ME"/>
              </w:rPr>
            </w:pPr>
          </w:p>
          <w:p w14:paraId="420417DB" w14:textId="77777777" w:rsidR="00136217" w:rsidRPr="00FB6F73" w:rsidRDefault="00136217" w:rsidP="00136217">
            <w:pPr>
              <w:jc w:val="center"/>
              <w:rPr>
                <w:sz w:val="22"/>
                <w:szCs w:val="22"/>
                <w:lang w:val="sr-Latn-ME"/>
              </w:rPr>
            </w:pPr>
          </w:p>
          <w:p w14:paraId="1048A800" w14:textId="77777777" w:rsidR="000A696B" w:rsidRPr="00FB6F73" w:rsidRDefault="000A696B" w:rsidP="00136217">
            <w:pPr>
              <w:jc w:val="center"/>
              <w:rPr>
                <w:sz w:val="22"/>
                <w:szCs w:val="22"/>
                <w:lang w:val="sr-Latn-ME"/>
              </w:rPr>
            </w:pPr>
          </w:p>
          <w:p w14:paraId="32140E6B" w14:textId="1F580F1E" w:rsidR="00136217" w:rsidRPr="00FB6F73" w:rsidRDefault="00136217" w:rsidP="00136217">
            <w:pPr>
              <w:jc w:val="center"/>
              <w:rPr>
                <w:sz w:val="22"/>
                <w:szCs w:val="22"/>
                <w:lang w:val="sr-Latn-ME"/>
              </w:rPr>
            </w:pPr>
            <w:r w:rsidRPr="00FB6F73">
              <w:rPr>
                <w:sz w:val="22"/>
                <w:szCs w:val="22"/>
                <w:lang w:val="sr-Latn-ME"/>
              </w:rPr>
              <w:t>p&lt;0,0001</w:t>
            </w:r>
          </w:p>
          <w:p w14:paraId="4679DAE3" w14:textId="77777777" w:rsidR="00136217" w:rsidRPr="00FB6F73" w:rsidRDefault="00136217" w:rsidP="00136217">
            <w:pPr>
              <w:jc w:val="center"/>
              <w:rPr>
                <w:sz w:val="22"/>
                <w:szCs w:val="22"/>
                <w:lang w:val="sr-Latn-ME"/>
              </w:rPr>
            </w:pPr>
          </w:p>
          <w:p w14:paraId="4BCF2343" w14:textId="77777777" w:rsidR="00136217" w:rsidRPr="00FB6F73" w:rsidRDefault="00136217" w:rsidP="00136217">
            <w:pPr>
              <w:jc w:val="center"/>
              <w:rPr>
                <w:sz w:val="22"/>
                <w:szCs w:val="22"/>
                <w:lang w:val="sr-Latn-ME"/>
              </w:rPr>
            </w:pPr>
            <w:r w:rsidRPr="00FB6F73">
              <w:rPr>
                <w:sz w:val="22"/>
                <w:szCs w:val="22"/>
                <w:lang w:val="sr-Latn-ME"/>
              </w:rPr>
              <w:t>p=0,003</w:t>
            </w:r>
          </w:p>
        </w:tc>
      </w:tr>
      <w:tr w:rsidR="00136217" w:rsidRPr="00FB6F73" w14:paraId="5FFAAF0A" w14:textId="77777777" w:rsidTr="00981FFD">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663A9674" w14:textId="77777777" w:rsidR="00136217" w:rsidRPr="00FB6F73" w:rsidRDefault="00136217" w:rsidP="00136217">
            <w:pPr>
              <w:rPr>
                <w:sz w:val="22"/>
                <w:szCs w:val="22"/>
                <w:lang w:val="sr-Latn-ME"/>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70AAC06C" w14:textId="77777777" w:rsidR="00136217" w:rsidRPr="00FB6F73" w:rsidRDefault="00136217" w:rsidP="00136217">
            <w:pPr>
              <w:rPr>
                <w:sz w:val="22"/>
                <w:szCs w:val="22"/>
                <w:lang w:val="sr-Latn-ME"/>
              </w:rPr>
            </w:pPr>
            <w:r w:rsidRPr="00FB6F73">
              <w:rPr>
                <w:sz w:val="22"/>
                <w:szCs w:val="22"/>
                <w:lang w:val="sr-Latn-ME"/>
              </w:rPr>
              <w:t>Najbolja ukupna</w:t>
            </w:r>
          </w:p>
          <w:p w14:paraId="61A4D8BB" w14:textId="77777777" w:rsidR="00136217" w:rsidRPr="00FB6F73" w:rsidRDefault="00136217" w:rsidP="00136217">
            <w:pPr>
              <w:rPr>
                <w:sz w:val="22"/>
                <w:szCs w:val="22"/>
                <w:lang w:val="sr-Latn-ME"/>
              </w:rPr>
            </w:pPr>
            <w:r w:rsidRPr="00FB6F73">
              <w:rPr>
                <w:sz w:val="22"/>
                <w:szCs w:val="22"/>
                <w:lang w:val="sr-Latn-ME"/>
              </w:rPr>
              <w:t>stopa odgovora (CR/PR)</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C1B748C" w14:textId="77777777" w:rsidR="00136217" w:rsidRPr="00FB6F73" w:rsidRDefault="00136217" w:rsidP="00136217">
            <w:pPr>
              <w:jc w:val="center"/>
              <w:rPr>
                <w:sz w:val="22"/>
                <w:szCs w:val="22"/>
                <w:lang w:val="sr-Latn-ME"/>
              </w:rPr>
            </w:pPr>
            <w:r w:rsidRPr="00FB6F73">
              <w:rPr>
                <w:sz w:val="22"/>
                <w:szCs w:val="22"/>
                <w:lang w:val="sr-Latn-ME"/>
              </w:rPr>
              <w:t>54,5%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452E6F2" w14:textId="77777777" w:rsidR="00136217" w:rsidRPr="00FB6F73" w:rsidRDefault="00136217" w:rsidP="00136217">
            <w:pPr>
              <w:jc w:val="center"/>
              <w:rPr>
                <w:sz w:val="22"/>
                <w:szCs w:val="22"/>
                <w:lang w:val="sr-Latn-ME"/>
              </w:rPr>
            </w:pPr>
            <w:r w:rsidRPr="00FB6F73">
              <w:rPr>
                <w:sz w:val="22"/>
                <w:szCs w:val="22"/>
                <w:lang w:val="sr-Latn-ME"/>
              </w:rPr>
              <w:t>10,5%</w:t>
            </w:r>
          </w:p>
        </w:tc>
        <w:tc>
          <w:tcPr>
            <w:tcW w:w="1701" w:type="dxa"/>
            <w:tcBorders>
              <w:top w:val="single" w:sz="4" w:space="0" w:color="000000"/>
              <w:left w:val="single" w:sz="4" w:space="0" w:color="000000"/>
              <w:bottom w:val="single" w:sz="4" w:space="0" w:color="000000"/>
              <w:right w:val="single" w:sz="4" w:space="0" w:color="000000"/>
            </w:tcBorders>
            <w:vAlign w:val="center"/>
          </w:tcPr>
          <w:p w14:paraId="4B727B59" w14:textId="77777777" w:rsidR="00136217" w:rsidRPr="00FB6F73" w:rsidRDefault="00136217" w:rsidP="00136217">
            <w:pPr>
              <w:jc w:val="center"/>
              <w:rPr>
                <w:sz w:val="22"/>
                <w:szCs w:val="22"/>
                <w:lang w:val="sr-Latn-ME"/>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1F2F055" w14:textId="77777777" w:rsidR="00136217" w:rsidRPr="00FB6F73" w:rsidRDefault="00136217" w:rsidP="00136217">
            <w:pPr>
              <w:jc w:val="center"/>
              <w:rPr>
                <w:sz w:val="22"/>
                <w:szCs w:val="22"/>
                <w:lang w:val="sr-Latn-ME"/>
              </w:rPr>
            </w:pPr>
            <w:r w:rsidRPr="00FB6F73">
              <w:rPr>
                <w:sz w:val="22"/>
                <w:szCs w:val="22"/>
                <w:lang w:val="sr-Latn-ME"/>
              </w:rPr>
              <w:t>p&lt;0,0001</w:t>
            </w:r>
          </w:p>
        </w:tc>
      </w:tr>
      <w:tr w:rsidR="00136217" w:rsidRPr="00FB6F73" w14:paraId="2F31B01D" w14:textId="77777777" w:rsidTr="00981FFD">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2F19FB63" w14:textId="77777777" w:rsidR="00136217" w:rsidRPr="00FB6F73" w:rsidRDefault="00136217" w:rsidP="00136217">
            <w:pPr>
              <w:rPr>
                <w:sz w:val="22"/>
                <w:szCs w:val="22"/>
                <w:lang w:val="sr-Latn-ME"/>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2CDCCE6" w14:textId="77777777" w:rsidR="00136217" w:rsidRPr="00FB6F73" w:rsidRDefault="00136217" w:rsidP="00136217">
            <w:pPr>
              <w:rPr>
                <w:sz w:val="22"/>
                <w:szCs w:val="22"/>
                <w:lang w:val="sr-Latn-ME"/>
              </w:rPr>
            </w:pPr>
            <w:r w:rsidRPr="00FB6F73">
              <w:rPr>
                <w:sz w:val="22"/>
                <w:szCs w:val="22"/>
                <w:lang w:val="sr-Latn-ME"/>
              </w:rPr>
              <w:t>Ukupno</w:t>
            </w:r>
          </w:p>
          <w:p w14:paraId="7C3A556A" w14:textId="77777777" w:rsidR="00136217" w:rsidRPr="00FB6F73" w:rsidRDefault="00136217" w:rsidP="00136217">
            <w:pPr>
              <w:rPr>
                <w:sz w:val="22"/>
                <w:szCs w:val="22"/>
                <w:lang w:val="sr-Latn-ME"/>
              </w:rPr>
            </w:pPr>
            <w:r w:rsidRPr="00FB6F73">
              <w:rPr>
                <w:sz w:val="22"/>
                <w:szCs w:val="22"/>
                <w:lang w:val="sr-Latn-ME"/>
              </w:rPr>
              <w:t>preživljavanje</w:t>
            </w:r>
          </w:p>
          <w:p w14:paraId="64EBB6BF" w14:textId="35790674" w:rsidR="00136217" w:rsidRPr="00FB6F73" w:rsidRDefault="00136217" w:rsidP="00136217">
            <w:pPr>
              <w:rPr>
                <w:sz w:val="22"/>
                <w:szCs w:val="22"/>
                <w:lang w:val="sr-Latn-ME"/>
              </w:rPr>
            </w:pPr>
            <w:r w:rsidRPr="00FB6F73">
              <w:rPr>
                <w:sz w:val="22"/>
                <w:szCs w:val="22"/>
                <w:lang w:val="sr-Latn-ME"/>
              </w:rPr>
              <w:t>(OS) (m</w:t>
            </w:r>
            <w:r w:rsidR="007F40D0" w:rsidRPr="00FB6F73">
              <w:rPr>
                <w:sz w:val="22"/>
                <w:szCs w:val="22"/>
                <w:lang w:val="sr-Latn-ME"/>
              </w:rPr>
              <w:t>j</w:t>
            </w:r>
            <w:r w:rsidRPr="00FB6F73">
              <w:rPr>
                <w:sz w:val="22"/>
                <w:szCs w:val="22"/>
                <w:lang w:val="sr-Latn-ME"/>
              </w:rPr>
              <w:t>eseci)</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1CEA550" w14:textId="77777777" w:rsidR="00136217" w:rsidRPr="00FB6F73" w:rsidRDefault="00136217" w:rsidP="00136217">
            <w:pPr>
              <w:jc w:val="center"/>
              <w:rPr>
                <w:sz w:val="22"/>
                <w:szCs w:val="22"/>
                <w:lang w:val="sr-Latn-ME"/>
              </w:rPr>
            </w:pPr>
            <w:r w:rsidRPr="00FB6F73">
              <w:rPr>
                <w:sz w:val="22"/>
                <w:szCs w:val="22"/>
                <w:lang w:val="sr-Latn-ME"/>
              </w:rPr>
              <w:t>22,9</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FA8C56E" w14:textId="77777777" w:rsidR="00136217" w:rsidRPr="00FB6F73" w:rsidRDefault="00136217" w:rsidP="00136217">
            <w:pPr>
              <w:jc w:val="center"/>
              <w:rPr>
                <w:sz w:val="22"/>
                <w:szCs w:val="22"/>
                <w:lang w:val="sr-Latn-ME"/>
              </w:rPr>
            </w:pPr>
            <w:r w:rsidRPr="00FB6F73">
              <w:rPr>
                <w:sz w:val="22"/>
                <w:szCs w:val="22"/>
                <w:lang w:val="sr-Latn-ME"/>
              </w:rPr>
              <w:t>18,8</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8AADEDB" w14:textId="77777777" w:rsidR="00136217" w:rsidRPr="00FB6F73" w:rsidRDefault="00136217" w:rsidP="00136217">
            <w:pPr>
              <w:jc w:val="center"/>
              <w:rPr>
                <w:sz w:val="22"/>
                <w:szCs w:val="22"/>
                <w:lang w:val="sr-Latn-ME"/>
              </w:rPr>
            </w:pPr>
            <w:r w:rsidRPr="00FB6F73">
              <w:rPr>
                <w:sz w:val="22"/>
                <w:szCs w:val="22"/>
                <w:lang w:val="sr-Latn-ME"/>
              </w:rPr>
              <w:t>0,80</w:t>
            </w:r>
          </w:p>
          <w:p w14:paraId="4E3465DA" w14:textId="77777777" w:rsidR="00136217" w:rsidRPr="00FB6F73" w:rsidRDefault="00136217" w:rsidP="00136217">
            <w:pPr>
              <w:jc w:val="center"/>
              <w:rPr>
                <w:sz w:val="22"/>
                <w:szCs w:val="22"/>
                <w:lang w:val="sr-Latn-ME"/>
              </w:rPr>
            </w:pPr>
            <w:r w:rsidRPr="00FB6F73">
              <w:rPr>
                <w:sz w:val="22"/>
                <w:szCs w:val="22"/>
                <w:lang w:val="sr-Latn-ME"/>
              </w:rPr>
              <w:t>[0,47-1,37]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B34446C" w14:textId="77777777" w:rsidR="00136217" w:rsidRPr="00FB6F73" w:rsidRDefault="00136217" w:rsidP="00136217">
            <w:pPr>
              <w:jc w:val="center"/>
              <w:rPr>
                <w:sz w:val="22"/>
                <w:szCs w:val="22"/>
                <w:lang w:val="sr-Latn-ME"/>
              </w:rPr>
            </w:pPr>
            <w:r w:rsidRPr="00FB6F73">
              <w:rPr>
                <w:sz w:val="22"/>
                <w:szCs w:val="22"/>
                <w:lang w:val="sr-Latn-ME"/>
              </w:rPr>
              <w:t>p=0,4170</w:t>
            </w:r>
          </w:p>
        </w:tc>
      </w:tr>
      <w:tr w:rsidR="00136217" w:rsidRPr="00FB6F73" w14:paraId="7814C404" w14:textId="77777777" w:rsidTr="00981FFD">
        <w:tc>
          <w:tcPr>
            <w:tcW w:w="1555" w:type="dxa"/>
            <w:vMerge w:val="restart"/>
            <w:tcBorders>
              <w:top w:val="single" w:sz="4" w:space="0" w:color="000000"/>
              <w:left w:val="single" w:sz="4" w:space="0" w:color="000000"/>
              <w:bottom w:val="single" w:sz="4" w:space="0" w:color="000000"/>
              <w:right w:val="single" w:sz="4" w:space="0" w:color="000000"/>
            </w:tcBorders>
          </w:tcPr>
          <w:p w14:paraId="203E09F3" w14:textId="77777777" w:rsidR="00136217" w:rsidRPr="00FB6F73" w:rsidRDefault="00136217" w:rsidP="00136217">
            <w:pPr>
              <w:rPr>
                <w:sz w:val="22"/>
                <w:szCs w:val="22"/>
                <w:lang w:val="sr-Latn-ME"/>
              </w:rPr>
            </w:pPr>
            <w:r w:rsidRPr="00FB6F73">
              <w:rPr>
                <w:sz w:val="22"/>
                <w:szCs w:val="22"/>
                <w:lang w:val="sr-Latn-ME"/>
              </w:rPr>
              <w:t xml:space="preserve">Eksplorativna </w:t>
            </w:r>
          </w:p>
          <w:p w14:paraId="071078B6" w14:textId="77777777" w:rsidR="00136217" w:rsidRPr="00FB6F73" w:rsidRDefault="00136217" w:rsidP="00136217">
            <w:pPr>
              <w:rPr>
                <w:sz w:val="22"/>
                <w:szCs w:val="22"/>
                <w:lang w:val="sr-Latn-ME"/>
              </w:rPr>
            </w:pPr>
            <w:r w:rsidRPr="00FB6F73">
              <w:rPr>
                <w:sz w:val="22"/>
                <w:szCs w:val="22"/>
                <w:lang w:val="sr-Latn-ME"/>
              </w:rPr>
              <w:t>analiza</w:t>
            </w:r>
          </w:p>
          <w:p w14:paraId="1DF391E5" w14:textId="77777777" w:rsidR="00136217" w:rsidRPr="00FB6F73" w:rsidRDefault="00136217" w:rsidP="00136217">
            <w:pPr>
              <w:rPr>
                <w:sz w:val="22"/>
                <w:szCs w:val="22"/>
                <w:lang w:val="sr-Latn-ME"/>
              </w:rPr>
            </w:pPr>
            <w:r w:rsidRPr="00FB6F73">
              <w:rPr>
                <w:sz w:val="22"/>
                <w:szCs w:val="22"/>
                <w:lang w:val="sr-Latn-ME"/>
              </w:rPr>
              <w:t xml:space="preserve">(sa 40% podataka </w:t>
            </w:r>
          </w:p>
          <w:p w14:paraId="2430C560" w14:textId="77777777" w:rsidR="00136217" w:rsidRPr="00FB6F73" w:rsidRDefault="00136217" w:rsidP="00136217">
            <w:pPr>
              <w:rPr>
                <w:sz w:val="22"/>
                <w:szCs w:val="22"/>
                <w:lang w:val="sr-Latn-ME"/>
              </w:rPr>
            </w:pPr>
            <w:r w:rsidRPr="00FB6F73">
              <w:rPr>
                <w:sz w:val="22"/>
                <w:szCs w:val="22"/>
                <w:lang w:val="sr-Latn-ME"/>
              </w:rPr>
              <w:t>za OS)</w:t>
            </w:r>
          </w:p>
          <w:p w14:paraId="7E10BCC7" w14:textId="77777777" w:rsidR="00136217" w:rsidRPr="00FB6F73" w:rsidRDefault="00136217" w:rsidP="00136217">
            <w:pPr>
              <w:rPr>
                <w:sz w:val="22"/>
                <w:szCs w:val="22"/>
                <w:lang w:val="sr-Latn-ME"/>
              </w:rPr>
            </w:pPr>
            <w:r w:rsidRPr="00FB6F73">
              <w:rPr>
                <w:sz w:val="22"/>
                <w:szCs w:val="22"/>
                <w:lang w:val="sr-Latn-ME"/>
              </w:rPr>
              <w:t>(n=173)</w:t>
            </w:r>
          </w:p>
          <w:p w14:paraId="63271461" w14:textId="77777777" w:rsidR="00136217" w:rsidRPr="00FB6F73" w:rsidRDefault="00136217" w:rsidP="00136217">
            <w:pPr>
              <w:rPr>
                <w:sz w:val="22"/>
                <w:szCs w:val="22"/>
                <w:lang w:val="sr-Latn-ME"/>
              </w:rPr>
            </w:pPr>
          </w:p>
          <w:p w14:paraId="6D45B144" w14:textId="77777777" w:rsidR="00136217" w:rsidRPr="00FB6F73" w:rsidRDefault="00136217" w:rsidP="00136217">
            <w:pPr>
              <w:rPr>
                <w:sz w:val="22"/>
                <w:szCs w:val="22"/>
                <w:lang w:val="sr-Latn-ME"/>
              </w:rPr>
            </w:pPr>
          </w:p>
          <w:p w14:paraId="25AE6A5A" w14:textId="6B6F214A" w:rsidR="00136217" w:rsidRPr="00FB6F73" w:rsidRDefault="00136217" w:rsidP="00136217">
            <w:pPr>
              <w:rPr>
                <w:sz w:val="22"/>
                <w:szCs w:val="22"/>
                <w:lang w:val="sr-Latn-ME"/>
              </w:rPr>
            </w:pPr>
            <w:r w:rsidRPr="00FB6F73">
              <w:rPr>
                <w:sz w:val="22"/>
                <w:szCs w:val="22"/>
                <w:lang w:val="sr-Latn-ME"/>
              </w:rPr>
              <w:t>Datum pres</w:t>
            </w:r>
            <w:r w:rsidR="007F40D0" w:rsidRPr="00FB6F73">
              <w:rPr>
                <w:sz w:val="22"/>
                <w:szCs w:val="22"/>
                <w:lang w:val="sr-Latn-ME"/>
              </w:rPr>
              <w:t>j</w:t>
            </w:r>
            <w:r w:rsidRPr="00FB6F73">
              <w:rPr>
                <w:sz w:val="22"/>
                <w:szCs w:val="22"/>
                <w:lang w:val="sr-Latn-ME"/>
              </w:rPr>
              <w:t xml:space="preserve">eka: </w:t>
            </w:r>
          </w:p>
          <w:p w14:paraId="2F32C0DC" w14:textId="1DDE13FB" w:rsidR="00136217" w:rsidRPr="00FB6F73" w:rsidRDefault="00136217" w:rsidP="00136217">
            <w:pPr>
              <w:rPr>
                <w:sz w:val="22"/>
                <w:szCs w:val="22"/>
                <w:lang w:val="sr-Latn-ME"/>
              </w:rPr>
            </w:pPr>
            <w:r w:rsidRPr="00FB6F73">
              <w:rPr>
                <w:sz w:val="22"/>
                <w:szCs w:val="22"/>
                <w:lang w:val="sr-Latn-ME"/>
              </w:rPr>
              <w:t>Januar 2011</w:t>
            </w:r>
            <w:r w:rsidR="000A696B" w:rsidRPr="00FB6F73">
              <w:rPr>
                <w:sz w:val="22"/>
                <w:szCs w:val="22"/>
                <w:lang w:val="sr-Latn-ME"/>
              </w:rPr>
              <w:t>.</w:t>
            </w:r>
          </w:p>
          <w:p w14:paraId="491D7A4F" w14:textId="77777777" w:rsidR="00136217" w:rsidRPr="00FB6F73" w:rsidRDefault="00136217" w:rsidP="00136217">
            <w:pPr>
              <w:rPr>
                <w:sz w:val="22"/>
                <w:szCs w:val="22"/>
                <w:lang w:val="sr-Latn-ME"/>
              </w:rPr>
            </w:pPr>
          </w:p>
        </w:tc>
        <w:tc>
          <w:tcPr>
            <w:tcW w:w="1984" w:type="dxa"/>
            <w:tcBorders>
              <w:top w:val="single" w:sz="4" w:space="0" w:color="000000"/>
              <w:left w:val="single" w:sz="4" w:space="0" w:color="000000"/>
              <w:bottom w:val="single" w:sz="4" w:space="0" w:color="000000"/>
              <w:right w:val="single" w:sz="4" w:space="0" w:color="000000"/>
            </w:tcBorders>
          </w:tcPr>
          <w:p w14:paraId="0AE9FFFF" w14:textId="77777777" w:rsidR="00136217" w:rsidRPr="00FB6F73" w:rsidRDefault="00136217" w:rsidP="00136217">
            <w:pPr>
              <w:rPr>
                <w:sz w:val="22"/>
                <w:szCs w:val="22"/>
                <w:lang w:val="sr-Latn-ME"/>
              </w:rPr>
            </w:pPr>
          </w:p>
        </w:tc>
        <w:tc>
          <w:tcPr>
            <w:tcW w:w="1559" w:type="dxa"/>
            <w:tcBorders>
              <w:top w:val="single" w:sz="4" w:space="0" w:color="000000"/>
              <w:left w:val="single" w:sz="4" w:space="0" w:color="000000"/>
              <w:bottom w:val="single" w:sz="4" w:space="0" w:color="000000"/>
              <w:right w:val="single" w:sz="4" w:space="0" w:color="000000"/>
            </w:tcBorders>
            <w:hideMark/>
          </w:tcPr>
          <w:p w14:paraId="4E0E7E34" w14:textId="77777777" w:rsidR="00136217" w:rsidRPr="00FB6F73" w:rsidRDefault="00136217" w:rsidP="00136217">
            <w:pPr>
              <w:jc w:val="center"/>
              <w:rPr>
                <w:sz w:val="22"/>
                <w:szCs w:val="22"/>
                <w:lang w:val="sr-Latn-ME"/>
              </w:rPr>
            </w:pPr>
            <w:r w:rsidRPr="00FB6F73">
              <w:rPr>
                <w:sz w:val="22"/>
                <w:szCs w:val="22"/>
                <w:lang w:val="sr-Latn-ME"/>
              </w:rPr>
              <w:t>n=86</w:t>
            </w:r>
          </w:p>
        </w:tc>
        <w:tc>
          <w:tcPr>
            <w:tcW w:w="1276" w:type="dxa"/>
            <w:tcBorders>
              <w:top w:val="single" w:sz="4" w:space="0" w:color="000000"/>
              <w:left w:val="single" w:sz="4" w:space="0" w:color="000000"/>
              <w:bottom w:val="single" w:sz="4" w:space="0" w:color="000000"/>
              <w:right w:val="single" w:sz="4" w:space="0" w:color="000000"/>
            </w:tcBorders>
            <w:hideMark/>
          </w:tcPr>
          <w:p w14:paraId="1D0C5CF2" w14:textId="77777777" w:rsidR="00136217" w:rsidRPr="00FB6F73" w:rsidRDefault="00136217" w:rsidP="00136217">
            <w:pPr>
              <w:jc w:val="center"/>
              <w:rPr>
                <w:sz w:val="22"/>
                <w:szCs w:val="22"/>
                <w:lang w:val="sr-Latn-ME"/>
              </w:rPr>
            </w:pPr>
            <w:r w:rsidRPr="00FB6F73">
              <w:rPr>
                <w:sz w:val="22"/>
                <w:szCs w:val="22"/>
                <w:lang w:val="sr-Latn-ME"/>
              </w:rPr>
              <w:t>n=87</w:t>
            </w:r>
          </w:p>
        </w:tc>
        <w:tc>
          <w:tcPr>
            <w:tcW w:w="1701" w:type="dxa"/>
            <w:tcBorders>
              <w:top w:val="single" w:sz="4" w:space="0" w:color="000000"/>
              <w:left w:val="single" w:sz="4" w:space="0" w:color="000000"/>
              <w:bottom w:val="single" w:sz="4" w:space="0" w:color="000000"/>
              <w:right w:val="single" w:sz="4" w:space="0" w:color="000000"/>
            </w:tcBorders>
          </w:tcPr>
          <w:p w14:paraId="7E567166" w14:textId="77777777" w:rsidR="00136217" w:rsidRPr="00FB6F73" w:rsidRDefault="00136217" w:rsidP="00136217">
            <w:pPr>
              <w:rPr>
                <w:sz w:val="22"/>
                <w:szCs w:val="22"/>
                <w:lang w:val="sr-Latn-ME"/>
              </w:rPr>
            </w:pPr>
          </w:p>
        </w:tc>
        <w:tc>
          <w:tcPr>
            <w:tcW w:w="1134" w:type="dxa"/>
            <w:tcBorders>
              <w:top w:val="single" w:sz="4" w:space="0" w:color="000000"/>
              <w:left w:val="single" w:sz="4" w:space="0" w:color="000000"/>
              <w:bottom w:val="single" w:sz="4" w:space="0" w:color="000000"/>
              <w:right w:val="single" w:sz="4" w:space="0" w:color="000000"/>
            </w:tcBorders>
          </w:tcPr>
          <w:p w14:paraId="55494CD1" w14:textId="77777777" w:rsidR="00136217" w:rsidRPr="00FB6F73" w:rsidRDefault="00136217" w:rsidP="00136217">
            <w:pPr>
              <w:rPr>
                <w:sz w:val="22"/>
                <w:szCs w:val="22"/>
                <w:lang w:val="sr-Latn-ME"/>
              </w:rPr>
            </w:pPr>
          </w:p>
        </w:tc>
      </w:tr>
      <w:tr w:rsidR="00136217" w:rsidRPr="00FB6F73" w14:paraId="6720E3EB" w14:textId="77777777" w:rsidTr="00981FFD">
        <w:trPr>
          <w:trHeight w:val="782"/>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4FB0C257" w14:textId="77777777" w:rsidR="00136217" w:rsidRPr="00FB6F73" w:rsidRDefault="00136217" w:rsidP="00136217">
            <w:pPr>
              <w:rPr>
                <w:sz w:val="22"/>
                <w:szCs w:val="22"/>
                <w:lang w:val="sr-Latn-ME"/>
              </w:rPr>
            </w:pPr>
          </w:p>
        </w:tc>
        <w:tc>
          <w:tcPr>
            <w:tcW w:w="1984" w:type="dxa"/>
            <w:tcBorders>
              <w:top w:val="single" w:sz="4" w:space="0" w:color="000000"/>
              <w:left w:val="single" w:sz="4" w:space="0" w:color="000000"/>
              <w:bottom w:val="single" w:sz="4" w:space="0" w:color="auto"/>
              <w:right w:val="single" w:sz="4" w:space="0" w:color="000000"/>
            </w:tcBorders>
            <w:hideMark/>
          </w:tcPr>
          <w:p w14:paraId="4B1C6B3B" w14:textId="77777777" w:rsidR="00136217" w:rsidRPr="00FB6F73" w:rsidRDefault="00136217" w:rsidP="00136217">
            <w:pPr>
              <w:rPr>
                <w:sz w:val="22"/>
                <w:szCs w:val="22"/>
                <w:lang w:val="sr-Latn-ME"/>
              </w:rPr>
            </w:pPr>
            <w:r w:rsidRPr="00FB6F73">
              <w:rPr>
                <w:sz w:val="22"/>
                <w:szCs w:val="22"/>
                <w:lang w:val="sr-Latn-ME"/>
              </w:rPr>
              <w:t xml:space="preserve">PFS (medijana u </w:t>
            </w:r>
          </w:p>
          <w:p w14:paraId="1C4A984B" w14:textId="64328B69" w:rsidR="00136217" w:rsidRPr="00FB6F73" w:rsidRDefault="00136217" w:rsidP="00136217">
            <w:pPr>
              <w:rPr>
                <w:sz w:val="22"/>
                <w:szCs w:val="22"/>
                <w:lang w:val="sr-Latn-ME"/>
              </w:rPr>
            </w:pPr>
            <w:r w:rsidRPr="00FB6F73">
              <w:rPr>
                <w:sz w:val="22"/>
                <w:szCs w:val="22"/>
                <w:lang w:val="sr-Latn-ME"/>
              </w:rPr>
              <w:t>m</w:t>
            </w:r>
            <w:r w:rsidR="007F40D0" w:rsidRPr="00FB6F73">
              <w:rPr>
                <w:sz w:val="22"/>
                <w:szCs w:val="22"/>
                <w:lang w:val="sr-Latn-ME"/>
              </w:rPr>
              <w:t>j</w:t>
            </w:r>
            <w:r w:rsidRPr="00FB6F73">
              <w:rPr>
                <w:sz w:val="22"/>
                <w:szCs w:val="22"/>
                <w:lang w:val="sr-Latn-ME"/>
              </w:rPr>
              <w:t xml:space="preserve">esecima), </w:t>
            </w:r>
          </w:p>
          <w:p w14:paraId="74C13143" w14:textId="715A1B01" w:rsidR="00136217" w:rsidRPr="00FB6F73" w:rsidRDefault="00136217" w:rsidP="00136217">
            <w:pPr>
              <w:rPr>
                <w:sz w:val="22"/>
                <w:szCs w:val="22"/>
                <w:lang w:val="sr-Latn-ME"/>
              </w:rPr>
            </w:pPr>
            <w:r w:rsidRPr="00FB6F73">
              <w:rPr>
                <w:sz w:val="22"/>
                <w:szCs w:val="22"/>
                <w:lang w:val="sr-Latn-ME"/>
              </w:rPr>
              <w:t>Proc</w:t>
            </w:r>
            <w:r w:rsidR="007F40D0" w:rsidRPr="00FB6F73">
              <w:rPr>
                <w:sz w:val="22"/>
                <w:szCs w:val="22"/>
                <w:lang w:val="sr-Latn-ME"/>
              </w:rPr>
              <w:t>j</w:t>
            </w:r>
            <w:r w:rsidRPr="00FB6F73">
              <w:rPr>
                <w:sz w:val="22"/>
                <w:szCs w:val="22"/>
                <w:lang w:val="sr-Latn-ME"/>
              </w:rPr>
              <w:t>ena istraživača</w:t>
            </w:r>
          </w:p>
        </w:tc>
        <w:tc>
          <w:tcPr>
            <w:tcW w:w="1559" w:type="dxa"/>
            <w:tcBorders>
              <w:top w:val="single" w:sz="4" w:space="0" w:color="000000"/>
              <w:left w:val="single" w:sz="4" w:space="0" w:color="000000"/>
              <w:bottom w:val="single" w:sz="4" w:space="0" w:color="auto"/>
              <w:right w:val="single" w:sz="4" w:space="0" w:color="000000"/>
            </w:tcBorders>
            <w:vAlign w:val="center"/>
            <w:hideMark/>
          </w:tcPr>
          <w:p w14:paraId="328BC423" w14:textId="77777777" w:rsidR="00136217" w:rsidRPr="00FB6F73" w:rsidRDefault="00136217" w:rsidP="00136217">
            <w:pPr>
              <w:jc w:val="center"/>
              <w:rPr>
                <w:sz w:val="22"/>
                <w:szCs w:val="22"/>
                <w:lang w:val="sr-Latn-ME"/>
              </w:rPr>
            </w:pPr>
            <w:r w:rsidRPr="00FB6F73">
              <w:rPr>
                <w:sz w:val="22"/>
                <w:szCs w:val="22"/>
                <w:lang w:val="sr-Latn-ME"/>
              </w:rPr>
              <w:t>9,7</w:t>
            </w:r>
          </w:p>
        </w:tc>
        <w:tc>
          <w:tcPr>
            <w:tcW w:w="1276" w:type="dxa"/>
            <w:tcBorders>
              <w:top w:val="single" w:sz="4" w:space="0" w:color="000000"/>
              <w:left w:val="single" w:sz="4" w:space="0" w:color="000000"/>
              <w:bottom w:val="single" w:sz="4" w:space="0" w:color="auto"/>
              <w:right w:val="single" w:sz="4" w:space="0" w:color="000000"/>
            </w:tcBorders>
            <w:vAlign w:val="center"/>
            <w:hideMark/>
          </w:tcPr>
          <w:p w14:paraId="36F042AA" w14:textId="77777777" w:rsidR="00136217" w:rsidRPr="00FB6F73" w:rsidRDefault="00136217" w:rsidP="00136217">
            <w:pPr>
              <w:jc w:val="center"/>
              <w:rPr>
                <w:sz w:val="22"/>
                <w:szCs w:val="22"/>
                <w:lang w:val="sr-Latn-ME"/>
              </w:rPr>
            </w:pPr>
            <w:r w:rsidRPr="00FB6F73">
              <w:rPr>
                <w:sz w:val="22"/>
                <w:szCs w:val="22"/>
                <w:lang w:val="sr-Latn-ME"/>
              </w:rPr>
              <w:t>5,2</w:t>
            </w:r>
          </w:p>
        </w:tc>
        <w:tc>
          <w:tcPr>
            <w:tcW w:w="1701" w:type="dxa"/>
            <w:tcBorders>
              <w:top w:val="single" w:sz="4" w:space="0" w:color="000000"/>
              <w:left w:val="single" w:sz="4" w:space="0" w:color="000000"/>
              <w:bottom w:val="single" w:sz="4" w:space="0" w:color="auto"/>
              <w:right w:val="single" w:sz="4" w:space="0" w:color="000000"/>
            </w:tcBorders>
            <w:vAlign w:val="center"/>
            <w:hideMark/>
          </w:tcPr>
          <w:p w14:paraId="3A3A4654" w14:textId="77777777" w:rsidR="00136217" w:rsidRPr="00FB6F73" w:rsidRDefault="00136217" w:rsidP="00136217">
            <w:pPr>
              <w:jc w:val="center"/>
              <w:rPr>
                <w:sz w:val="22"/>
                <w:szCs w:val="22"/>
                <w:lang w:val="sr-Latn-ME"/>
              </w:rPr>
            </w:pPr>
            <w:r w:rsidRPr="00FB6F73">
              <w:rPr>
                <w:sz w:val="22"/>
                <w:szCs w:val="22"/>
                <w:lang w:val="sr-Latn-ME"/>
              </w:rPr>
              <w:t>0,37</w:t>
            </w:r>
          </w:p>
          <w:p w14:paraId="68A8E4CC" w14:textId="77777777" w:rsidR="00136217" w:rsidRPr="00FB6F73" w:rsidRDefault="00136217" w:rsidP="00136217">
            <w:pPr>
              <w:jc w:val="center"/>
              <w:rPr>
                <w:sz w:val="22"/>
                <w:szCs w:val="22"/>
                <w:lang w:val="sr-Latn-ME"/>
              </w:rPr>
            </w:pPr>
            <w:r w:rsidRPr="00FB6F73">
              <w:rPr>
                <w:sz w:val="22"/>
                <w:szCs w:val="22"/>
                <w:lang w:val="sr-Latn-ME"/>
              </w:rPr>
              <w:t>[0,27-0,54]</w:t>
            </w:r>
          </w:p>
        </w:tc>
        <w:tc>
          <w:tcPr>
            <w:tcW w:w="1134" w:type="dxa"/>
            <w:tcBorders>
              <w:top w:val="single" w:sz="4" w:space="0" w:color="000000"/>
              <w:left w:val="single" w:sz="4" w:space="0" w:color="000000"/>
              <w:bottom w:val="single" w:sz="4" w:space="0" w:color="auto"/>
              <w:right w:val="single" w:sz="4" w:space="0" w:color="000000"/>
            </w:tcBorders>
            <w:vAlign w:val="center"/>
            <w:hideMark/>
          </w:tcPr>
          <w:p w14:paraId="325E4F9C" w14:textId="77777777" w:rsidR="00136217" w:rsidRPr="00FB6F73" w:rsidRDefault="00136217" w:rsidP="00136217">
            <w:pPr>
              <w:jc w:val="center"/>
              <w:rPr>
                <w:sz w:val="22"/>
                <w:szCs w:val="22"/>
                <w:lang w:val="sr-Latn-ME"/>
              </w:rPr>
            </w:pPr>
            <w:r w:rsidRPr="00FB6F73">
              <w:rPr>
                <w:sz w:val="22"/>
                <w:szCs w:val="22"/>
                <w:lang w:val="sr-Latn-ME"/>
              </w:rPr>
              <w:t>p&lt;0,0001</w:t>
            </w:r>
          </w:p>
        </w:tc>
      </w:tr>
      <w:tr w:rsidR="00136217" w:rsidRPr="00FB6F73" w14:paraId="09EE525C" w14:textId="77777777" w:rsidTr="00981FFD">
        <w:trPr>
          <w:trHeight w:val="508"/>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73D49CD0" w14:textId="77777777" w:rsidR="00136217" w:rsidRPr="00FB6F73" w:rsidRDefault="00136217" w:rsidP="00136217">
            <w:pPr>
              <w:rPr>
                <w:sz w:val="22"/>
                <w:szCs w:val="22"/>
                <w:lang w:val="sr-Latn-ME"/>
              </w:rPr>
            </w:pPr>
          </w:p>
        </w:tc>
        <w:tc>
          <w:tcPr>
            <w:tcW w:w="1984" w:type="dxa"/>
            <w:tcBorders>
              <w:top w:val="single" w:sz="4" w:space="0" w:color="auto"/>
              <w:left w:val="single" w:sz="4" w:space="0" w:color="000000"/>
              <w:bottom w:val="single" w:sz="4" w:space="0" w:color="auto"/>
              <w:right w:val="single" w:sz="4" w:space="0" w:color="000000"/>
            </w:tcBorders>
            <w:hideMark/>
          </w:tcPr>
          <w:p w14:paraId="3E90CDBA" w14:textId="77777777" w:rsidR="00136217" w:rsidRPr="00FB6F73" w:rsidRDefault="00136217" w:rsidP="00136217">
            <w:pPr>
              <w:rPr>
                <w:sz w:val="22"/>
                <w:szCs w:val="22"/>
                <w:lang w:val="sr-Latn-ME"/>
              </w:rPr>
            </w:pPr>
            <w:r w:rsidRPr="00FB6F73">
              <w:rPr>
                <w:sz w:val="22"/>
                <w:szCs w:val="22"/>
                <w:lang w:val="sr-Latn-ME"/>
              </w:rPr>
              <w:t xml:space="preserve">Najbolja ukupna </w:t>
            </w:r>
          </w:p>
          <w:p w14:paraId="54311D47" w14:textId="77777777" w:rsidR="00136217" w:rsidRPr="00FB6F73" w:rsidRDefault="00136217" w:rsidP="00136217">
            <w:pPr>
              <w:rPr>
                <w:sz w:val="22"/>
                <w:szCs w:val="22"/>
                <w:lang w:val="sr-Latn-ME"/>
              </w:rPr>
            </w:pPr>
            <w:r w:rsidRPr="00FB6F73">
              <w:rPr>
                <w:sz w:val="22"/>
                <w:szCs w:val="22"/>
                <w:lang w:val="sr-Latn-ME"/>
              </w:rPr>
              <w:t>stopa odgovora (CR/PR)</w:t>
            </w:r>
          </w:p>
        </w:tc>
        <w:tc>
          <w:tcPr>
            <w:tcW w:w="1559" w:type="dxa"/>
            <w:tcBorders>
              <w:top w:val="single" w:sz="4" w:space="0" w:color="auto"/>
              <w:left w:val="single" w:sz="4" w:space="0" w:color="000000"/>
              <w:bottom w:val="single" w:sz="4" w:space="0" w:color="auto"/>
              <w:right w:val="single" w:sz="4" w:space="0" w:color="000000"/>
            </w:tcBorders>
            <w:vAlign w:val="center"/>
            <w:hideMark/>
          </w:tcPr>
          <w:p w14:paraId="7B3D1C48" w14:textId="77777777" w:rsidR="00136217" w:rsidRPr="00FB6F73" w:rsidRDefault="00136217" w:rsidP="00136217">
            <w:pPr>
              <w:jc w:val="center"/>
              <w:rPr>
                <w:sz w:val="22"/>
                <w:szCs w:val="22"/>
                <w:lang w:val="sr-Latn-ME"/>
              </w:rPr>
            </w:pPr>
            <w:r w:rsidRPr="00FB6F73">
              <w:rPr>
                <w:sz w:val="22"/>
                <w:szCs w:val="22"/>
                <w:lang w:val="sr-Latn-ME"/>
              </w:rPr>
              <w:t>58,1%</w:t>
            </w:r>
          </w:p>
        </w:tc>
        <w:tc>
          <w:tcPr>
            <w:tcW w:w="1276" w:type="dxa"/>
            <w:tcBorders>
              <w:top w:val="single" w:sz="4" w:space="0" w:color="auto"/>
              <w:left w:val="single" w:sz="4" w:space="0" w:color="000000"/>
              <w:bottom w:val="single" w:sz="4" w:space="0" w:color="auto"/>
              <w:right w:val="single" w:sz="4" w:space="0" w:color="000000"/>
            </w:tcBorders>
            <w:vAlign w:val="center"/>
            <w:hideMark/>
          </w:tcPr>
          <w:p w14:paraId="72730125" w14:textId="77777777" w:rsidR="00136217" w:rsidRPr="00FB6F73" w:rsidRDefault="00136217" w:rsidP="00136217">
            <w:pPr>
              <w:jc w:val="center"/>
              <w:rPr>
                <w:sz w:val="22"/>
                <w:szCs w:val="22"/>
                <w:lang w:val="sr-Latn-ME"/>
              </w:rPr>
            </w:pPr>
            <w:r w:rsidRPr="00FB6F73">
              <w:rPr>
                <w:sz w:val="22"/>
                <w:szCs w:val="22"/>
                <w:lang w:val="sr-Latn-ME"/>
              </w:rPr>
              <w:t>14,9%</w:t>
            </w:r>
          </w:p>
        </w:tc>
        <w:tc>
          <w:tcPr>
            <w:tcW w:w="1701" w:type="dxa"/>
            <w:tcBorders>
              <w:top w:val="single" w:sz="4" w:space="0" w:color="auto"/>
              <w:left w:val="single" w:sz="4" w:space="0" w:color="000000"/>
              <w:bottom w:val="single" w:sz="4" w:space="0" w:color="auto"/>
              <w:right w:val="single" w:sz="4" w:space="0" w:color="000000"/>
            </w:tcBorders>
            <w:vAlign w:val="center"/>
          </w:tcPr>
          <w:p w14:paraId="40FFE68C" w14:textId="77777777" w:rsidR="00136217" w:rsidRPr="00FB6F73" w:rsidRDefault="00136217" w:rsidP="00136217">
            <w:pPr>
              <w:jc w:val="center"/>
              <w:rPr>
                <w:sz w:val="22"/>
                <w:szCs w:val="22"/>
                <w:lang w:val="sr-Latn-ME"/>
              </w:rPr>
            </w:pPr>
          </w:p>
        </w:tc>
        <w:tc>
          <w:tcPr>
            <w:tcW w:w="1134" w:type="dxa"/>
            <w:tcBorders>
              <w:top w:val="single" w:sz="4" w:space="0" w:color="auto"/>
              <w:left w:val="single" w:sz="4" w:space="0" w:color="000000"/>
              <w:bottom w:val="single" w:sz="4" w:space="0" w:color="auto"/>
              <w:right w:val="single" w:sz="4" w:space="0" w:color="000000"/>
            </w:tcBorders>
            <w:vAlign w:val="center"/>
            <w:hideMark/>
          </w:tcPr>
          <w:p w14:paraId="343C574F" w14:textId="77777777" w:rsidR="00136217" w:rsidRPr="00FB6F73" w:rsidRDefault="00136217" w:rsidP="00136217">
            <w:pPr>
              <w:jc w:val="center"/>
              <w:rPr>
                <w:sz w:val="22"/>
                <w:szCs w:val="22"/>
                <w:lang w:val="sr-Latn-ME"/>
              </w:rPr>
            </w:pPr>
            <w:r w:rsidRPr="00FB6F73">
              <w:rPr>
                <w:sz w:val="22"/>
                <w:szCs w:val="22"/>
                <w:lang w:val="sr-Latn-ME"/>
              </w:rPr>
              <w:t>p&lt;0,0001</w:t>
            </w:r>
          </w:p>
        </w:tc>
      </w:tr>
      <w:tr w:rsidR="00136217" w:rsidRPr="00FB6F73" w14:paraId="3E85042B" w14:textId="77777777" w:rsidTr="00981FFD">
        <w:trPr>
          <w:trHeight w:val="508"/>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16DA530A" w14:textId="77777777" w:rsidR="00136217" w:rsidRPr="00FB6F73" w:rsidRDefault="00136217" w:rsidP="00136217">
            <w:pPr>
              <w:rPr>
                <w:sz w:val="22"/>
                <w:szCs w:val="22"/>
                <w:lang w:val="sr-Latn-ME"/>
              </w:rPr>
            </w:pPr>
          </w:p>
        </w:tc>
        <w:tc>
          <w:tcPr>
            <w:tcW w:w="1984" w:type="dxa"/>
            <w:tcBorders>
              <w:top w:val="single" w:sz="4" w:space="0" w:color="auto"/>
              <w:left w:val="single" w:sz="4" w:space="0" w:color="000000"/>
              <w:bottom w:val="single" w:sz="4" w:space="0" w:color="auto"/>
              <w:right w:val="single" w:sz="4" w:space="0" w:color="000000"/>
            </w:tcBorders>
            <w:hideMark/>
          </w:tcPr>
          <w:p w14:paraId="50B06246" w14:textId="77777777" w:rsidR="00136217" w:rsidRPr="00FB6F73" w:rsidRDefault="00136217" w:rsidP="00136217">
            <w:pPr>
              <w:rPr>
                <w:sz w:val="22"/>
                <w:szCs w:val="22"/>
                <w:lang w:val="sr-Latn-ME"/>
              </w:rPr>
            </w:pPr>
            <w:r w:rsidRPr="00FB6F73">
              <w:rPr>
                <w:sz w:val="22"/>
                <w:szCs w:val="22"/>
                <w:lang w:val="sr-Latn-ME"/>
              </w:rPr>
              <w:t xml:space="preserve">Ukupno </w:t>
            </w:r>
          </w:p>
          <w:p w14:paraId="19B707C0" w14:textId="77777777" w:rsidR="00136217" w:rsidRPr="00FB6F73" w:rsidRDefault="00136217" w:rsidP="00136217">
            <w:pPr>
              <w:rPr>
                <w:sz w:val="22"/>
                <w:szCs w:val="22"/>
                <w:lang w:val="sr-Latn-ME"/>
              </w:rPr>
            </w:pPr>
            <w:r w:rsidRPr="00FB6F73">
              <w:rPr>
                <w:sz w:val="22"/>
                <w:szCs w:val="22"/>
                <w:lang w:val="sr-Latn-ME"/>
              </w:rPr>
              <w:t xml:space="preserve">preživljavanje </w:t>
            </w:r>
          </w:p>
          <w:p w14:paraId="1DB10EF1" w14:textId="4C0609BD" w:rsidR="00136217" w:rsidRPr="00FB6F73" w:rsidRDefault="00136217" w:rsidP="00136217">
            <w:pPr>
              <w:rPr>
                <w:sz w:val="22"/>
                <w:szCs w:val="22"/>
                <w:lang w:val="sr-Latn-ME"/>
              </w:rPr>
            </w:pPr>
            <w:r w:rsidRPr="00FB6F73">
              <w:rPr>
                <w:sz w:val="22"/>
                <w:szCs w:val="22"/>
                <w:lang w:val="sr-Latn-ME"/>
              </w:rPr>
              <w:t>(OS) (m</w:t>
            </w:r>
            <w:r w:rsidR="007F40D0" w:rsidRPr="00FB6F73">
              <w:rPr>
                <w:sz w:val="22"/>
                <w:szCs w:val="22"/>
                <w:lang w:val="sr-Latn-ME"/>
              </w:rPr>
              <w:t>j</w:t>
            </w:r>
            <w:r w:rsidRPr="00FB6F73">
              <w:rPr>
                <w:sz w:val="22"/>
                <w:szCs w:val="22"/>
                <w:lang w:val="sr-Latn-ME"/>
              </w:rPr>
              <w:t>eseci)</w:t>
            </w:r>
          </w:p>
        </w:tc>
        <w:tc>
          <w:tcPr>
            <w:tcW w:w="1559" w:type="dxa"/>
            <w:tcBorders>
              <w:top w:val="single" w:sz="4" w:space="0" w:color="auto"/>
              <w:left w:val="single" w:sz="4" w:space="0" w:color="000000"/>
              <w:bottom w:val="single" w:sz="4" w:space="0" w:color="auto"/>
              <w:right w:val="single" w:sz="4" w:space="0" w:color="000000"/>
            </w:tcBorders>
            <w:vAlign w:val="center"/>
            <w:hideMark/>
          </w:tcPr>
          <w:p w14:paraId="2C970440" w14:textId="77777777" w:rsidR="00136217" w:rsidRPr="00FB6F73" w:rsidRDefault="00136217" w:rsidP="00136217">
            <w:pPr>
              <w:jc w:val="center"/>
              <w:rPr>
                <w:sz w:val="22"/>
                <w:szCs w:val="22"/>
                <w:lang w:val="sr-Latn-ME"/>
              </w:rPr>
            </w:pPr>
            <w:r w:rsidRPr="00FB6F73">
              <w:rPr>
                <w:sz w:val="22"/>
                <w:szCs w:val="22"/>
                <w:lang w:val="sr-Latn-ME"/>
              </w:rPr>
              <w:t>19,3</w:t>
            </w:r>
          </w:p>
        </w:tc>
        <w:tc>
          <w:tcPr>
            <w:tcW w:w="1276" w:type="dxa"/>
            <w:tcBorders>
              <w:top w:val="single" w:sz="4" w:space="0" w:color="auto"/>
              <w:left w:val="single" w:sz="4" w:space="0" w:color="000000"/>
              <w:bottom w:val="single" w:sz="4" w:space="0" w:color="auto"/>
              <w:right w:val="single" w:sz="4" w:space="0" w:color="000000"/>
            </w:tcBorders>
            <w:vAlign w:val="center"/>
            <w:hideMark/>
          </w:tcPr>
          <w:p w14:paraId="388AD6C7" w14:textId="77777777" w:rsidR="00136217" w:rsidRPr="00FB6F73" w:rsidRDefault="00136217" w:rsidP="00136217">
            <w:pPr>
              <w:jc w:val="center"/>
              <w:rPr>
                <w:sz w:val="22"/>
                <w:szCs w:val="22"/>
                <w:lang w:val="sr-Latn-ME"/>
              </w:rPr>
            </w:pPr>
            <w:r w:rsidRPr="00FB6F73">
              <w:rPr>
                <w:sz w:val="22"/>
                <w:szCs w:val="22"/>
                <w:lang w:val="sr-Latn-ME"/>
              </w:rPr>
              <w:t>19,5</w:t>
            </w:r>
          </w:p>
        </w:tc>
        <w:tc>
          <w:tcPr>
            <w:tcW w:w="1701" w:type="dxa"/>
            <w:tcBorders>
              <w:top w:val="single" w:sz="4" w:space="0" w:color="auto"/>
              <w:left w:val="single" w:sz="4" w:space="0" w:color="000000"/>
              <w:bottom w:val="single" w:sz="4" w:space="0" w:color="auto"/>
              <w:right w:val="single" w:sz="4" w:space="0" w:color="000000"/>
            </w:tcBorders>
            <w:vAlign w:val="center"/>
          </w:tcPr>
          <w:p w14:paraId="415E6DBB" w14:textId="77777777" w:rsidR="00136217" w:rsidRPr="00FB6F73" w:rsidRDefault="00136217" w:rsidP="00136217">
            <w:pPr>
              <w:jc w:val="center"/>
              <w:rPr>
                <w:sz w:val="22"/>
                <w:szCs w:val="22"/>
                <w:lang w:val="sr-Latn-ME"/>
              </w:rPr>
            </w:pPr>
            <w:r w:rsidRPr="00FB6F73">
              <w:rPr>
                <w:sz w:val="22"/>
                <w:szCs w:val="22"/>
                <w:lang w:val="sr-Latn-ME"/>
              </w:rPr>
              <w:t>1,04</w:t>
            </w:r>
          </w:p>
          <w:p w14:paraId="5EA465D0" w14:textId="77777777" w:rsidR="00136217" w:rsidRPr="00FB6F73" w:rsidRDefault="00136217" w:rsidP="00136217">
            <w:pPr>
              <w:jc w:val="center"/>
              <w:rPr>
                <w:sz w:val="22"/>
                <w:szCs w:val="22"/>
                <w:lang w:val="sr-Latn-ME"/>
              </w:rPr>
            </w:pPr>
            <w:r w:rsidRPr="00FB6F73">
              <w:rPr>
                <w:sz w:val="22"/>
                <w:szCs w:val="22"/>
                <w:lang w:val="sr-Latn-ME"/>
              </w:rPr>
              <w:t>[0,65-1,68]</w:t>
            </w:r>
          </w:p>
          <w:p w14:paraId="63E2D652" w14:textId="77777777" w:rsidR="00136217" w:rsidRPr="00FB6F73" w:rsidRDefault="00136217" w:rsidP="00136217">
            <w:pPr>
              <w:jc w:val="center"/>
              <w:rPr>
                <w:sz w:val="22"/>
                <w:szCs w:val="22"/>
                <w:lang w:val="sr-Latn-ME"/>
              </w:rPr>
            </w:pPr>
          </w:p>
        </w:tc>
        <w:tc>
          <w:tcPr>
            <w:tcW w:w="1134" w:type="dxa"/>
            <w:tcBorders>
              <w:top w:val="single" w:sz="4" w:space="0" w:color="auto"/>
              <w:left w:val="single" w:sz="4" w:space="0" w:color="000000"/>
              <w:bottom w:val="single" w:sz="4" w:space="0" w:color="auto"/>
              <w:right w:val="single" w:sz="4" w:space="0" w:color="000000"/>
            </w:tcBorders>
            <w:vAlign w:val="center"/>
            <w:hideMark/>
          </w:tcPr>
          <w:p w14:paraId="1044E800" w14:textId="77777777" w:rsidR="00136217" w:rsidRPr="00FB6F73" w:rsidRDefault="00136217" w:rsidP="00136217">
            <w:pPr>
              <w:jc w:val="center"/>
              <w:rPr>
                <w:sz w:val="22"/>
                <w:szCs w:val="22"/>
                <w:lang w:val="sr-Latn-ME"/>
              </w:rPr>
            </w:pPr>
            <w:r w:rsidRPr="00FB6F73">
              <w:rPr>
                <w:sz w:val="22"/>
                <w:szCs w:val="22"/>
                <w:lang w:val="sr-Latn-ME"/>
              </w:rPr>
              <w:t>p=0,8702</w:t>
            </w:r>
          </w:p>
        </w:tc>
      </w:tr>
      <w:tr w:rsidR="00136217" w:rsidRPr="00FB6F73" w14:paraId="0C7A8646" w14:textId="77777777" w:rsidTr="00981FFD">
        <w:trPr>
          <w:trHeight w:val="305"/>
        </w:trPr>
        <w:tc>
          <w:tcPr>
            <w:tcW w:w="1555" w:type="dxa"/>
            <w:vMerge w:val="restart"/>
            <w:tcBorders>
              <w:top w:val="single" w:sz="4" w:space="0" w:color="000000"/>
              <w:left w:val="single" w:sz="4" w:space="0" w:color="000000"/>
              <w:bottom w:val="single" w:sz="4" w:space="0" w:color="000000"/>
              <w:right w:val="single" w:sz="4" w:space="0" w:color="000000"/>
            </w:tcBorders>
          </w:tcPr>
          <w:p w14:paraId="0FFDB9FE" w14:textId="77777777" w:rsidR="00136217" w:rsidRPr="00FB6F73" w:rsidRDefault="00136217" w:rsidP="00136217">
            <w:pPr>
              <w:rPr>
                <w:sz w:val="22"/>
                <w:szCs w:val="22"/>
                <w:lang w:val="sr-Latn-ME"/>
              </w:rPr>
            </w:pPr>
            <w:r w:rsidRPr="00FB6F73">
              <w:rPr>
                <w:sz w:val="22"/>
                <w:szCs w:val="22"/>
                <w:lang w:val="sr-Latn-ME"/>
              </w:rPr>
              <w:t xml:space="preserve">Ažurirana </w:t>
            </w:r>
          </w:p>
          <w:p w14:paraId="13D50CFC" w14:textId="77777777" w:rsidR="00136217" w:rsidRPr="00FB6F73" w:rsidRDefault="00136217" w:rsidP="00136217">
            <w:pPr>
              <w:rPr>
                <w:sz w:val="22"/>
                <w:szCs w:val="22"/>
                <w:lang w:val="sr-Latn-ME"/>
              </w:rPr>
            </w:pPr>
            <w:r w:rsidRPr="00FB6F73">
              <w:rPr>
                <w:sz w:val="22"/>
                <w:szCs w:val="22"/>
                <w:lang w:val="sr-Latn-ME"/>
              </w:rPr>
              <w:t xml:space="preserve">analiza </w:t>
            </w:r>
          </w:p>
          <w:p w14:paraId="6F5FCC80" w14:textId="77777777" w:rsidR="00136217" w:rsidRPr="00FB6F73" w:rsidRDefault="00136217" w:rsidP="00136217">
            <w:pPr>
              <w:rPr>
                <w:sz w:val="22"/>
                <w:szCs w:val="22"/>
                <w:lang w:val="sr-Latn-ME"/>
              </w:rPr>
            </w:pPr>
            <w:r w:rsidRPr="00FB6F73">
              <w:rPr>
                <w:sz w:val="22"/>
                <w:szCs w:val="22"/>
                <w:lang w:val="sr-Latn-ME"/>
              </w:rPr>
              <w:t xml:space="preserve">(sa 62% podataka </w:t>
            </w:r>
          </w:p>
          <w:p w14:paraId="49354A1A" w14:textId="77777777" w:rsidR="00136217" w:rsidRPr="00FB6F73" w:rsidRDefault="00136217" w:rsidP="00136217">
            <w:pPr>
              <w:rPr>
                <w:sz w:val="22"/>
                <w:szCs w:val="22"/>
                <w:lang w:val="sr-Latn-ME"/>
              </w:rPr>
            </w:pPr>
            <w:r w:rsidRPr="00FB6F73">
              <w:rPr>
                <w:sz w:val="22"/>
                <w:szCs w:val="22"/>
                <w:lang w:val="sr-Latn-ME"/>
              </w:rPr>
              <w:t>za OS)</w:t>
            </w:r>
          </w:p>
          <w:p w14:paraId="1C68AE2D" w14:textId="77777777" w:rsidR="00136217" w:rsidRPr="00FB6F73" w:rsidRDefault="00136217" w:rsidP="00136217">
            <w:pPr>
              <w:rPr>
                <w:sz w:val="22"/>
                <w:szCs w:val="22"/>
                <w:lang w:val="sr-Latn-ME"/>
              </w:rPr>
            </w:pPr>
            <w:r w:rsidRPr="00FB6F73">
              <w:rPr>
                <w:sz w:val="22"/>
                <w:szCs w:val="22"/>
                <w:lang w:val="sr-Latn-ME"/>
              </w:rPr>
              <w:t>(n=173)</w:t>
            </w:r>
          </w:p>
          <w:p w14:paraId="76EEA8F2" w14:textId="77777777" w:rsidR="00136217" w:rsidRPr="00FB6F73" w:rsidRDefault="00136217" w:rsidP="00136217">
            <w:pPr>
              <w:rPr>
                <w:sz w:val="22"/>
                <w:szCs w:val="22"/>
                <w:lang w:val="sr-Latn-ME"/>
              </w:rPr>
            </w:pPr>
          </w:p>
          <w:p w14:paraId="3CD43963" w14:textId="77777777" w:rsidR="00136217" w:rsidRPr="00FB6F73" w:rsidRDefault="00136217" w:rsidP="00136217">
            <w:pPr>
              <w:rPr>
                <w:sz w:val="22"/>
                <w:szCs w:val="22"/>
                <w:lang w:val="sr-Latn-ME"/>
              </w:rPr>
            </w:pPr>
          </w:p>
          <w:p w14:paraId="34AA4CFA" w14:textId="6DFF1684" w:rsidR="00136217" w:rsidRPr="00FB6F73" w:rsidRDefault="00136217" w:rsidP="00136217">
            <w:pPr>
              <w:rPr>
                <w:sz w:val="22"/>
                <w:szCs w:val="22"/>
                <w:lang w:val="sr-Latn-ME"/>
              </w:rPr>
            </w:pPr>
            <w:r w:rsidRPr="00FB6F73">
              <w:rPr>
                <w:sz w:val="22"/>
                <w:szCs w:val="22"/>
                <w:lang w:val="sr-Latn-ME"/>
              </w:rPr>
              <w:t>Datum pres</w:t>
            </w:r>
            <w:r w:rsidR="007F40D0" w:rsidRPr="00FB6F73">
              <w:rPr>
                <w:sz w:val="22"/>
                <w:szCs w:val="22"/>
                <w:lang w:val="sr-Latn-ME"/>
              </w:rPr>
              <w:t>j</w:t>
            </w:r>
            <w:r w:rsidRPr="00FB6F73">
              <w:rPr>
                <w:sz w:val="22"/>
                <w:szCs w:val="22"/>
                <w:lang w:val="sr-Latn-ME"/>
              </w:rPr>
              <w:t xml:space="preserve">eka: </w:t>
            </w:r>
          </w:p>
          <w:p w14:paraId="0457EDA3" w14:textId="6BB140F3" w:rsidR="00136217" w:rsidRPr="00FB6F73" w:rsidRDefault="00136217" w:rsidP="00136217">
            <w:pPr>
              <w:rPr>
                <w:sz w:val="22"/>
                <w:szCs w:val="22"/>
                <w:lang w:val="sr-Latn-ME"/>
              </w:rPr>
            </w:pPr>
            <w:r w:rsidRPr="00FB6F73">
              <w:rPr>
                <w:sz w:val="22"/>
                <w:szCs w:val="22"/>
                <w:lang w:val="sr-Latn-ME"/>
              </w:rPr>
              <w:t>April 2012</w:t>
            </w:r>
            <w:r w:rsidR="000A696B" w:rsidRPr="00FB6F73">
              <w:rPr>
                <w:sz w:val="22"/>
                <w:szCs w:val="22"/>
                <w:lang w:val="sr-Latn-ME"/>
              </w:rPr>
              <w:t>.</w:t>
            </w:r>
          </w:p>
          <w:p w14:paraId="3C443F63" w14:textId="77777777" w:rsidR="00136217" w:rsidRPr="00FB6F73" w:rsidRDefault="00136217" w:rsidP="00136217">
            <w:pPr>
              <w:rPr>
                <w:sz w:val="22"/>
                <w:szCs w:val="22"/>
                <w:lang w:val="sr-Latn-ME"/>
              </w:rPr>
            </w:pPr>
          </w:p>
        </w:tc>
        <w:tc>
          <w:tcPr>
            <w:tcW w:w="1984" w:type="dxa"/>
            <w:tcBorders>
              <w:top w:val="single" w:sz="4" w:space="0" w:color="auto"/>
              <w:left w:val="single" w:sz="4" w:space="0" w:color="000000"/>
              <w:bottom w:val="single" w:sz="4" w:space="0" w:color="auto"/>
              <w:right w:val="single" w:sz="4" w:space="0" w:color="000000"/>
            </w:tcBorders>
          </w:tcPr>
          <w:p w14:paraId="21408325" w14:textId="77777777" w:rsidR="00136217" w:rsidRPr="00FB6F73" w:rsidRDefault="00136217" w:rsidP="00136217">
            <w:pPr>
              <w:rPr>
                <w:sz w:val="22"/>
                <w:szCs w:val="22"/>
                <w:lang w:val="sr-Latn-ME"/>
              </w:rPr>
            </w:pPr>
          </w:p>
        </w:tc>
        <w:tc>
          <w:tcPr>
            <w:tcW w:w="1559" w:type="dxa"/>
            <w:tcBorders>
              <w:top w:val="single" w:sz="4" w:space="0" w:color="auto"/>
              <w:left w:val="single" w:sz="4" w:space="0" w:color="000000"/>
              <w:bottom w:val="single" w:sz="4" w:space="0" w:color="auto"/>
              <w:right w:val="single" w:sz="4" w:space="0" w:color="000000"/>
            </w:tcBorders>
            <w:hideMark/>
          </w:tcPr>
          <w:p w14:paraId="42F3F589" w14:textId="77777777" w:rsidR="00136217" w:rsidRPr="00FB6F73" w:rsidRDefault="00136217" w:rsidP="00136217">
            <w:pPr>
              <w:jc w:val="center"/>
              <w:rPr>
                <w:sz w:val="22"/>
                <w:szCs w:val="22"/>
                <w:lang w:val="sr-Latn-ME"/>
              </w:rPr>
            </w:pPr>
            <w:r w:rsidRPr="00FB6F73">
              <w:rPr>
                <w:sz w:val="22"/>
                <w:szCs w:val="22"/>
                <w:lang w:val="sr-Latn-ME"/>
              </w:rPr>
              <w:t>n=86</w:t>
            </w:r>
          </w:p>
        </w:tc>
        <w:tc>
          <w:tcPr>
            <w:tcW w:w="1276" w:type="dxa"/>
            <w:tcBorders>
              <w:top w:val="single" w:sz="4" w:space="0" w:color="auto"/>
              <w:left w:val="single" w:sz="4" w:space="0" w:color="000000"/>
              <w:bottom w:val="single" w:sz="4" w:space="0" w:color="auto"/>
              <w:right w:val="single" w:sz="4" w:space="0" w:color="000000"/>
            </w:tcBorders>
            <w:hideMark/>
          </w:tcPr>
          <w:p w14:paraId="241F7378" w14:textId="77777777" w:rsidR="00136217" w:rsidRPr="00FB6F73" w:rsidRDefault="00136217" w:rsidP="00136217">
            <w:pPr>
              <w:jc w:val="center"/>
              <w:rPr>
                <w:sz w:val="22"/>
                <w:szCs w:val="22"/>
                <w:lang w:val="sr-Latn-ME"/>
              </w:rPr>
            </w:pPr>
            <w:r w:rsidRPr="00FB6F73">
              <w:rPr>
                <w:sz w:val="22"/>
                <w:szCs w:val="22"/>
                <w:lang w:val="sr-Latn-ME"/>
              </w:rPr>
              <w:t>n=87</w:t>
            </w:r>
          </w:p>
        </w:tc>
        <w:tc>
          <w:tcPr>
            <w:tcW w:w="1701" w:type="dxa"/>
            <w:tcBorders>
              <w:top w:val="single" w:sz="4" w:space="0" w:color="auto"/>
              <w:left w:val="single" w:sz="4" w:space="0" w:color="000000"/>
              <w:bottom w:val="single" w:sz="4" w:space="0" w:color="auto"/>
              <w:right w:val="single" w:sz="4" w:space="0" w:color="000000"/>
            </w:tcBorders>
          </w:tcPr>
          <w:p w14:paraId="659D8F3E" w14:textId="77777777" w:rsidR="00136217" w:rsidRPr="00FB6F73" w:rsidRDefault="00136217" w:rsidP="00136217">
            <w:pPr>
              <w:rPr>
                <w:sz w:val="22"/>
                <w:szCs w:val="22"/>
                <w:lang w:val="sr-Latn-ME"/>
              </w:rPr>
            </w:pPr>
          </w:p>
        </w:tc>
        <w:tc>
          <w:tcPr>
            <w:tcW w:w="1134" w:type="dxa"/>
            <w:tcBorders>
              <w:top w:val="single" w:sz="4" w:space="0" w:color="auto"/>
              <w:left w:val="single" w:sz="4" w:space="0" w:color="000000"/>
              <w:bottom w:val="single" w:sz="4" w:space="0" w:color="auto"/>
              <w:right w:val="single" w:sz="4" w:space="0" w:color="000000"/>
            </w:tcBorders>
          </w:tcPr>
          <w:p w14:paraId="688D36C1" w14:textId="77777777" w:rsidR="00136217" w:rsidRPr="00FB6F73" w:rsidRDefault="00136217" w:rsidP="00136217">
            <w:pPr>
              <w:rPr>
                <w:sz w:val="22"/>
                <w:szCs w:val="22"/>
                <w:lang w:val="sr-Latn-ME"/>
              </w:rPr>
            </w:pPr>
          </w:p>
        </w:tc>
      </w:tr>
      <w:tr w:rsidR="00136217" w:rsidRPr="00FB6F73" w14:paraId="3592AC13" w14:textId="77777777" w:rsidTr="00981FFD">
        <w:trPr>
          <w:trHeight w:val="798"/>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537DDE15" w14:textId="77777777" w:rsidR="00136217" w:rsidRPr="00FB6F73" w:rsidRDefault="00136217" w:rsidP="00136217">
            <w:pPr>
              <w:rPr>
                <w:sz w:val="22"/>
                <w:szCs w:val="22"/>
                <w:lang w:val="sr-Latn-ME"/>
              </w:rPr>
            </w:pPr>
          </w:p>
        </w:tc>
        <w:tc>
          <w:tcPr>
            <w:tcW w:w="1984" w:type="dxa"/>
            <w:tcBorders>
              <w:top w:val="single" w:sz="4" w:space="0" w:color="auto"/>
              <w:left w:val="single" w:sz="4" w:space="0" w:color="000000"/>
              <w:bottom w:val="single" w:sz="4" w:space="0" w:color="auto"/>
              <w:right w:val="single" w:sz="4" w:space="0" w:color="000000"/>
            </w:tcBorders>
            <w:vAlign w:val="center"/>
            <w:hideMark/>
          </w:tcPr>
          <w:p w14:paraId="1EBD9D61" w14:textId="77777777" w:rsidR="00136217" w:rsidRPr="00FB6F73" w:rsidRDefault="00136217" w:rsidP="00136217">
            <w:pPr>
              <w:rPr>
                <w:sz w:val="22"/>
                <w:szCs w:val="22"/>
                <w:lang w:val="sr-Latn-ME"/>
              </w:rPr>
            </w:pPr>
            <w:r w:rsidRPr="00FB6F73">
              <w:rPr>
                <w:sz w:val="22"/>
                <w:szCs w:val="22"/>
                <w:lang w:val="sr-Latn-ME"/>
              </w:rPr>
              <w:t>PFS (medijana u</w:t>
            </w:r>
          </w:p>
          <w:p w14:paraId="6B4B4C3B" w14:textId="27F1653E" w:rsidR="00136217" w:rsidRPr="00FB6F73" w:rsidRDefault="00136217" w:rsidP="00136217">
            <w:pPr>
              <w:rPr>
                <w:sz w:val="22"/>
                <w:szCs w:val="22"/>
                <w:lang w:val="sr-Latn-ME"/>
              </w:rPr>
            </w:pPr>
            <w:r w:rsidRPr="00FB6F73">
              <w:rPr>
                <w:sz w:val="22"/>
                <w:szCs w:val="22"/>
                <w:lang w:val="sr-Latn-ME"/>
              </w:rPr>
              <w:t>m</w:t>
            </w:r>
            <w:r w:rsidR="007F40D0" w:rsidRPr="00FB6F73">
              <w:rPr>
                <w:sz w:val="22"/>
                <w:szCs w:val="22"/>
                <w:lang w:val="sr-Latn-ME"/>
              </w:rPr>
              <w:t>j</w:t>
            </w:r>
            <w:r w:rsidRPr="00FB6F73">
              <w:rPr>
                <w:sz w:val="22"/>
                <w:szCs w:val="22"/>
                <w:lang w:val="sr-Latn-ME"/>
              </w:rPr>
              <w:t>esecima)</w:t>
            </w:r>
          </w:p>
        </w:tc>
        <w:tc>
          <w:tcPr>
            <w:tcW w:w="1559" w:type="dxa"/>
            <w:tcBorders>
              <w:top w:val="single" w:sz="4" w:space="0" w:color="auto"/>
              <w:left w:val="single" w:sz="4" w:space="0" w:color="000000"/>
              <w:bottom w:val="single" w:sz="4" w:space="0" w:color="auto"/>
              <w:right w:val="single" w:sz="4" w:space="0" w:color="000000"/>
            </w:tcBorders>
            <w:vAlign w:val="center"/>
            <w:hideMark/>
          </w:tcPr>
          <w:p w14:paraId="42B863E7" w14:textId="77777777" w:rsidR="00136217" w:rsidRPr="00FB6F73" w:rsidRDefault="00136217" w:rsidP="00136217">
            <w:pPr>
              <w:jc w:val="center"/>
              <w:rPr>
                <w:sz w:val="22"/>
                <w:szCs w:val="22"/>
                <w:lang w:val="sr-Latn-ME"/>
              </w:rPr>
            </w:pPr>
            <w:r w:rsidRPr="00FB6F73">
              <w:rPr>
                <w:sz w:val="22"/>
                <w:szCs w:val="22"/>
                <w:lang w:val="sr-Latn-ME"/>
              </w:rPr>
              <w:t>10,4</w:t>
            </w:r>
          </w:p>
        </w:tc>
        <w:tc>
          <w:tcPr>
            <w:tcW w:w="1276" w:type="dxa"/>
            <w:tcBorders>
              <w:top w:val="single" w:sz="4" w:space="0" w:color="auto"/>
              <w:left w:val="single" w:sz="4" w:space="0" w:color="000000"/>
              <w:bottom w:val="single" w:sz="4" w:space="0" w:color="auto"/>
              <w:right w:val="single" w:sz="4" w:space="0" w:color="000000"/>
            </w:tcBorders>
            <w:vAlign w:val="center"/>
            <w:hideMark/>
          </w:tcPr>
          <w:p w14:paraId="36DD611F" w14:textId="77777777" w:rsidR="00136217" w:rsidRPr="00FB6F73" w:rsidRDefault="00136217" w:rsidP="00136217">
            <w:pPr>
              <w:jc w:val="center"/>
              <w:rPr>
                <w:sz w:val="22"/>
                <w:szCs w:val="22"/>
                <w:lang w:val="sr-Latn-ME"/>
              </w:rPr>
            </w:pPr>
            <w:r w:rsidRPr="00FB6F73">
              <w:rPr>
                <w:sz w:val="22"/>
                <w:szCs w:val="22"/>
                <w:lang w:val="sr-Latn-ME"/>
              </w:rPr>
              <w:t>5,1</w:t>
            </w:r>
          </w:p>
        </w:tc>
        <w:tc>
          <w:tcPr>
            <w:tcW w:w="1701" w:type="dxa"/>
            <w:tcBorders>
              <w:top w:val="single" w:sz="4" w:space="0" w:color="auto"/>
              <w:left w:val="single" w:sz="4" w:space="0" w:color="000000"/>
              <w:bottom w:val="single" w:sz="4" w:space="0" w:color="auto"/>
              <w:right w:val="single" w:sz="4" w:space="0" w:color="000000"/>
            </w:tcBorders>
            <w:vAlign w:val="center"/>
            <w:hideMark/>
          </w:tcPr>
          <w:p w14:paraId="65E3B1AF" w14:textId="77777777" w:rsidR="00136217" w:rsidRPr="00FB6F73" w:rsidRDefault="00136217" w:rsidP="00136217">
            <w:pPr>
              <w:jc w:val="center"/>
              <w:rPr>
                <w:sz w:val="22"/>
                <w:szCs w:val="22"/>
                <w:lang w:val="sr-Latn-ME"/>
              </w:rPr>
            </w:pPr>
            <w:r w:rsidRPr="00FB6F73">
              <w:rPr>
                <w:sz w:val="22"/>
                <w:szCs w:val="22"/>
                <w:lang w:val="sr-Latn-ME"/>
              </w:rPr>
              <w:t>0,34</w:t>
            </w:r>
          </w:p>
          <w:p w14:paraId="6B247517" w14:textId="77777777" w:rsidR="00136217" w:rsidRPr="00FB6F73" w:rsidRDefault="00136217" w:rsidP="00136217">
            <w:pPr>
              <w:jc w:val="center"/>
              <w:rPr>
                <w:sz w:val="22"/>
                <w:szCs w:val="22"/>
                <w:lang w:val="sr-Latn-ME"/>
              </w:rPr>
            </w:pPr>
            <w:r w:rsidRPr="00FB6F73">
              <w:rPr>
                <w:sz w:val="22"/>
                <w:szCs w:val="22"/>
                <w:lang w:val="sr-Latn-ME"/>
              </w:rPr>
              <w:t>[0,23-0,49]</w:t>
            </w:r>
          </w:p>
        </w:tc>
        <w:tc>
          <w:tcPr>
            <w:tcW w:w="1134" w:type="dxa"/>
            <w:tcBorders>
              <w:top w:val="single" w:sz="4" w:space="0" w:color="auto"/>
              <w:left w:val="single" w:sz="4" w:space="0" w:color="000000"/>
              <w:bottom w:val="single" w:sz="4" w:space="0" w:color="auto"/>
              <w:right w:val="single" w:sz="4" w:space="0" w:color="000000"/>
            </w:tcBorders>
            <w:vAlign w:val="center"/>
            <w:hideMark/>
          </w:tcPr>
          <w:p w14:paraId="70ACF07C" w14:textId="77777777" w:rsidR="00136217" w:rsidRPr="00FB6F73" w:rsidRDefault="00136217" w:rsidP="00136217">
            <w:pPr>
              <w:jc w:val="center"/>
              <w:rPr>
                <w:sz w:val="22"/>
                <w:szCs w:val="22"/>
                <w:lang w:val="sr-Latn-ME"/>
              </w:rPr>
            </w:pPr>
            <w:r w:rsidRPr="00FB6F73">
              <w:rPr>
                <w:sz w:val="22"/>
                <w:szCs w:val="22"/>
                <w:lang w:val="sr-Latn-ME"/>
              </w:rPr>
              <w:t>p&lt;0,0001</w:t>
            </w:r>
          </w:p>
        </w:tc>
      </w:tr>
      <w:tr w:rsidR="00136217" w:rsidRPr="00FB6F73" w14:paraId="243C3232" w14:textId="77777777" w:rsidTr="00981FFD">
        <w:trPr>
          <w:trHeight w:val="1285"/>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56E02573" w14:textId="77777777" w:rsidR="00136217" w:rsidRPr="00FB6F73" w:rsidRDefault="00136217" w:rsidP="00136217">
            <w:pPr>
              <w:rPr>
                <w:sz w:val="22"/>
                <w:szCs w:val="22"/>
                <w:lang w:val="sr-Latn-ME"/>
              </w:rPr>
            </w:pPr>
          </w:p>
        </w:tc>
        <w:tc>
          <w:tcPr>
            <w:tcW w:w="1984" w:type="dxa"/>
            <w:tcBorders>
              <w:top w:val="single" w:sz="4" w:space="0" w:color="auto"/>
              <w:left w:val="single" w:sz="4" w:space="0" w:color="000000"/>
              <w:bottom w:val="single" w:sz="4" w:space="0" w:color="000000"/>
              <w:right w:val="single" w:sz="4" w:space="0" w:color="000000"/>
            </w:tcBorders>
            <w:vAlign w:val="center"/>
            <w:hideMark/>
          </w:tcPr>
          <w:p w14:paraId="700990BB" w14:textId="417B8339" w:rsidR="00136217" w:rsidRPr="00FB6F73" w:rsidRDefault="00136217" w:rsidP="00136217">
            <w:pPr>
              <w:rPr>
                <w:sz w:val="22"/>
                <w:szCs w:val="22"/>
                <w:lang w:val="sr-Latn-ME"/>
              </w:rPr>
            </w:pPr>
            <w:r w:rsidRPr="00FB6F73">
              <w:rPr>
                <w:sz w:val="22"/>
                <w:szCs w:val="22"/>
                <w:lang w:val="sr-Latn-ME"/>
              </w:rPr>
              <w:t>OS*** (m</w:t>
            </w:r>
            <w:r w:rsidR="007F40D0" w:rsidRPr="00FB6F73">
              <w:rPr>
                <w:sz w:val="22"/>
                <w:szCs w:val="22"/>
                <w:lang w:val="sr-Latn-ME"/>
              </w:rPr>
              <w:t>j</w:t>
            </w:r>
            <w:r w:rsidRPr="00FB6F73">
              <w:rPr>
                <w:sz w:val="22"/>
                <w:szCs w:val="22"/>
                <w:lang w:val="sr-Latn-ME"/>
              </w:rPr>
              <w:t>eseci)</w:t>
            </w:r>
          </w:p>
        </w:tc>
        <w:tc>
          <w:tcPr>
            <w:tcW w:w="1559" w:type="dxa"/>
            <w:tcBorders>
              <w:top w:val="single" w:sz="4" w:space="0" w:color="auto"/>
              <w:left w:val="single" w:sz="4" w:space="0" w:color="000000"/>
              <w:bottom w:val="single" w:sz="4" w:space="0" w:color="000000"/>
              <w:right w:val="single" w:sz="4" w:space="0" w:color="000000"/>
            </w:tcBorders>
            <w:vAlign w:val="center"/>
            <w:hideMark/>
          </w:tcPr>
          <w:p w14:paraId="3A023B9D" w14:textId="77777777" w:rsidR="00136217" w:rsidRPr="00FB6F73" w:rsidRDefault="00136217" w:rsidP="00136217">
            <w:pPr>
              <w:jc w:val="center"/>
              <w:rPr>
                <w:sz w:val="22"/>
                <w:szCs w:val="22"/>
                <w:lang w:val="sr-Latn-ME"/>
              </w:rPr>
            </w:pPr>
            <w:r w:rsidRPr="00FB6F73">
              <w:rPr>
                <w:sz w:val="22"/>
                <w:szCs w:val="22"/>
                <w:lang w:val="sr-Latn-ME"/>
              </w:rPr>
              <w:t>22,9</w:t>
            </w:r>
          </w:p>
        </w:tc>
        <w:tc>
          <w:tcPr>
            <w:tcW w:w="1276" w:type="dxa"/>
            <w:tcBorders>
              <w:top w:val="single" w:sz="4" w:space="0" w:color="auto"/>
              <w:left w:val="single" w:sz="4" w:space="0" w:color="000000"/>
              <w:bottom w:val="single" w:sz="4" w:space="0" w:color="000000"/>
              <w:right w:val="single" w:sz="4" w:space="0" w:color="000000"/>
            </w:tcBorders>
            <w:vAlign w:val="center"/>
            <w:hideMark/>
          </w:tcPr>
          <w:p w14:paraId="02B5BC3F" w14:textId="77777777" w:rsidR="00136217" w:rsidRPr="00FB6F73" w:rsidRDefault="00136217" w:rsidP="00136217">
            <w:pPr>
              <w:jc w:val="center"/>
              <w:rPr>
                <w:sz w:val="22"/>
                <w:szCs w:val="22"/>
                <w:lang w:val="sr-Latn-ME"/>
              </w:rPr>
            </w:pPr>
            <w:r w:rsidRPr="00FB6F73">
              <w:rPr>
                <w:sz w:val="22"/>
                <w:szCs w:val="22"/>
                <w:lang w:val="sr-Latn-ME"/>
              </w:rPr>
              <w:t>20,8</w:t>
            </w:r>
          </w:p>
        </w:tc>
        <w:tc>
          <w:tcPr>
            <w:tcW w:w="1701" w:type="dxa"/>
            <w:tcBorders>
              <w:top w:val="single" w:sz="4" w:space="0" w:color="auto"/>
              <w:left w:val="single" w:sz="4" w:space="0" w:color="000000"/>
              <w:bottom w:val="single" w:sz="4" w:space="0" w:color="000000"/>
              <w:right w:val="single" w:sz="4" w:space="0" w:color="000000"/>
            </w:tcBorders>
            <w:vAlign w:val="center"/>
            <w:hideMark/>
          </w:tcPr>
          <w:p w14:paraId="110377EF" w14:textId="77777777" w:rsidR="00136217" w:rsidRPr="00FB6F73" w:rsidRDefault="00136217" w:rsidP="00136217">
            <w:pPr>
              <w:jc w:val="center"/>
              <w:rPr>
                <w:sz w:val="22"/>
                <w:szCs w:val="22"/>
                <w:lang w:val="sr-Latn-ME"/>
              </w:rPr>
            </w:pPr>
            <w:r w:rsidRPr="00FB6F73">
              <w:rPr>
                <w:sz w:val="22"/>
                <w:szCs w:val="22"/>
                <w:lang w:val="sr-Latn-ME"/>
              </w:rPr>
              <w:t>0,93</w:t>
            </w:r>
          </w:p>
          <w:p w14:paraId="4D1CC466" w14:textId="77777777" w:rsidR="00136217" w:rsidRPr="00FB6F73" w:rsidRDefault="00136217" w:rsidP="00136217">
            <w:pPr>
              <w:jc w:val="center"/>
              <w:rPr>
                <w:sz w:val="22"/>
                <w:szCs w:val="22"/>
                <w:lang w:val="sr-Latn-ME"/>
              </w:rPr>
            </w:pPr>
            <w:r w:rsidRPr="00FB6F73">
              <w:rPr>
                <w:sz w:val="22"/>
                <w:szCs w:val="22"/>
                <w:lang w:val="sr-Latn-ME"/>
              </w:rPr>
              <w:t>[0,64-1,36]</w:t>
            </w:r>
          </w:p>
        </w:tc>
        <w:tc>
          <w:tcPr>
            <w:tcW w:w="1134" w:type="dxa"/>
            <w:tcBorders>
              <w:top w:val="single" w:sz="4" w:space="0" w:color="auto"/>
              <w:left w:val="single" w:sz="4" w:space="0" w:color="000000"/>
              <w:bottom w:val="single" w:sz="4" w:space="0" w:color="000000"/>
              <w:right w:val="single" w:sz="4" w:space="0" w:color="000000"/>
            </w:tcBorders>
            <w:vAlign w:val="center"/>
            <w:hideMark/>
          </w:tcPr>
          <w:p w14:paraId="63A74CDA" w14:textId="77777777" w:rsidR="00136217" w:rsidRPr="00FB6F73" w:rsidRDefault="00136217" w:rsidP="00136217">
            <w:pPr>
              <w:jc w:val="center"/>
              <w:rPr>
                <w:sz w:val="22"/>
                <w:szCs w:val="22"/>
                <w:lang w:val="sr-Latn-ME"/>
              </w:rPr>
            </w:pPr>
            <w:r w:rsidRPr="00FB6F73">
              <w:rPr>
                <w:sz w:val="22"/>
                <w:szCs w:val="22"/>
                <w:lang w:val="sr-Latn-ME"/>
              </w:rPr>
              <w:t>p=0,7149</w:t>
            </w:r>
          </w:p>
        </w:tc>
      </w:tr>
    </w:tbl>
    <w:p w14:paraId="345E6A54" w14:textId="77777777" w:rsidR="00136217" w:rsidRPr="00FB6F73" w:rsidRDefault="00136217" w:rsidP="00981FFD">
      <w:pPr>
        <w:jc w:val="both"/>
        <w:rPr>
          <w:sz w:val="22"/>
          <w:szCs w:val="22"/>
          <w:lang w:val="sr-Latn-ME"/>
        </w:rPr>
      </w:pPr>
      <w:r w:rsidRPr="00FB6F73">
        <w:rPr>
          <w:sz w:val="22"/>
          <w:szCs w:val="22"/>
          <w:lang w:val="sr-Latn-ME"/>
        </w:rPr>
        <w:t>CR=kompletan odgovor; PR=parcijalni odgovor</w:t>
      </w:r>
    </w:p>
    <w:p w14:paraId="2521DAE7" w14:textId="0A159009" w:rsidR="00136217" w:rsidRPr="00FB6F73" w:rsidRDefault="00136217" w:rsidP="00981FFD">
      <w:pPr>
        <w:jc w:val="both"/>
        <w:rPr>
          <w:sz w:val="22"/>
          <w:szCs w:val="22"/>
          <w:lang w:val="sr-Latn-ME"/>
        </w:rPr>
      </w:pPr>
      <w:r w:rsidRPr="00FB6F73">
        <w:rPr>
          <w:sz w:val="22"/>
          <w:szCs w:val="22"/>
          <w:lang w:val="sr-Latn-ME"/>
        </w:rPr>
        <w:t xml:space="preserve">* 58%-tno smanjenje rizika od progresije bolesti ili smrtog ishoda je </w:t>
      </w:r>
      <w:r w:rsidR="007F40D0" w:rsidRPr="00FB6F73">
        <w:rPr>
          <w:sz w:val="22"/>
          <w:szCs w:val="22"/>
          <w:lang w:val="sr-Latn-ME"/>
        </w:rPr>
        <w:t>zabilježeno</w:t>
      </w:r>
    </w:p>
    <w:p w14:paraId="1ED7A736" w14:textId="46BAEC46" w:rsidR="00136217" w:rsidRPr="00FB6F73" w:rsidRDefault="00136217" w:rsidP="00981FFD">
      <w:pPr>
        <w:jc w:val="both"/>
        <w:rPr>
          <w:sz w:val="22"/>
          <w:szCs w:val="22"/>
          <w:lang w:val="sr-Latn-ME"/>
        </w:rPr>
      </w:pPr>
      <w:r w:rsidRPr="00FB6F73">
        <w:rPr>
          <w:sz w:val="22"/>
          <w:szCs w:val="22"/>
          <w:lang w:val="sr-Latn-ME"/>
        </w:rPr>
        <w:t>** Ukupna stopa podudarnosti između oc</w:t>
      </w:r>
      <w:r w:rsidR="007F40D0" w:rsidRPr="00FB6F73">
        <w:rPr>
          <w:sz w:val="22"/>
          <w:szCs w:val="22"/>
          <w:lang w:val="sr-Latn-ME"/>
        </w:rPr>
        <w:t>j</w:t>
      </w:r>
      <w:r w:rsidRPr="00FB6F73">
        <w:rPr>
          <w:sz w:val="22"/>
          <w:szCs w:val="22"/>
          <w:lang w:val="sr-Latn-ME"/>
        </w:rPr>
        <w:t>ene istraživača (INV) i nezavisne komisije (IRC) je bila 70%</w:t>
      </w:r>
      <w:r w:rsidR="007F40D0" w:rsidRPr="00FB6F73">
        <w:rPr>
          <w:sz w:val="22"/>
          <w:szCs w:val="22"/>
          <w:lang w:val="sr-Latn-ME"/>
        </w:rPr>
        <w:t>.</w:t>
      </w:r>
    </w:p>
    <w:p w14:paraId="52368D8B" w14:textId="7945686C" w:rsidR="00136217" w:rsidRPr="00FB6F73" w:rsidRDefault="00136217" w:rsidP="00981FFD">
      <w:pPr>
        <w:jc w:val="both"/>
        <w:rPr>
          <w:sz w:val="22"/>
          <w:szCs w:val="22"/>
          <w:lang w:val="sr-Latn-ME"/>
        </w:rPr>
      </w:pPr>
      <w:r w:rsidRPr="00FB6F73">
        <w:rPr>
          <w:sz w:val="22"/>
          <w:szCs w:val="22"/>
          <w:lang w:val="sr-Latn-ME"/>
        </w:rPr>
        <w:t>*** Visoki procenat pacijenata (82%) iz grupe pacijenata na hemioterapiji je prešao u nastavku terapije na inhibitore EGFR tirozin kinaze i svi su oni, izuzev dva pacijenta, nastavili dalje terapiju erlotinibom</w:t>
      </w:r>
      <w:r w:rsidR="007F40D0" w:rsidRPr="00FB6F73">
        <w:rPr>
          <w:sz w:val="22"/>
          <w:szCs w:val="22"/>
          <w:lang w:val="sr-Latn-ME"/>
        </w:rPr>
        <w:t>.</w:t>
      </w:r>
    </w:p>
    <w:p w14:paraId="5EFBFE46" w14:textId="77777777" w:rsidR="007F40D0" w:rsidRPr="00FB6F73" w:rsidRDefault="007F40D0" w:rsidP="00981FFD">
      <w:pPr>
        <w:jc w:val="both"/>
        <w:rPr>
          <w:sz w:val="22"/>
          <w:szCs w:val="22"/>
          <w:u w:val="single"/>
          <w:lang w:val="sr-Latn-ME"/>
        </w:rPr>
      </w:pPr>
    </w:p>
    <w:p w14:paraId="11E0FFEA" w14:textId="4966F2C9" w:rsidR="00136217" w:rsidRPr="00FB6F73" w:rsidRDefault="00136217" w:rsidP="00981FFD">
      <w:pPr>
        <w:jc w:val="both"/>
        <w:rPr>
          <w:sz w:val="22"/>
          <w:szCs w:val="22"/>
          <w:u w:val="single"/>
          <w:lang w:val="sr-Latn-ME"/>
        </w:rPr>
      </w:pPr>
      <w:r w:rsidRPr="00FB6F73">
        <w:rPr>
          <w:sz w:val="22"/>
          <w:szCs w:val="22"/>
          <w:u w:val="single"/>
          <w:lang w:val="sr-Latn-ME"/>
        </w:rPr>
        <w:t xml:space="preserve">Terapija održavanja kod pacijenata sa NSCLC nakon prve linije hemioterapije (erlotinib </w:t>
      </w:r>
      <w:r w:rsidR="00C13202" w:rsidRPr="00FB6F73">
        <w:rPr>
          <w:sz w:val="22"/>
          <w:szCs w:val="22"/>
          <w:u w:val="single"/>
          <w:lang w:val="sr-Latn-ME"/>
        </w:rPr>
        <w:t>prim</w:t>
      </w:r>
      <w:r w:rsidR="00833DAB" w:rsidRPr="00FB6F73">
        <w:rPr>
          <w:sz w:val="22"/>
          <w:szCs w:val="22"/>
          <w:u w:val="single"/>
          <w:lang w:val="sr-Latn-ME"/>
        </w:rPr>
        <w:t>i</w:t>
      </w:r>
      <w:r w:rsidR="00C13202" w:rsidRPr="00FB6F73">
        <w:rPr>
          <w:sz w:val="22"/>
          <w:szCs w:val="22"/>
          <w:u w:val="single"/>
          <w:lang w:val="sr-Latn-ME"/>
        </w:rPr>
        <w:t>jen</w:t>
      </w:r>
      <w:r w:rsidRPr="00FB6F73">
        <w:rPr>
          <w:sz w:val="22"/>
          <w:szCs w:val="22"/>
          <w:u w:val="single"/>
          <w:lang w:val="sr-Latn-ME"/>
        </w:rPr>
        <w:t xml:space="preserve">jen kao monoterapija) </w:t>
      </w:r>
    </w:p>
    <w:p w14:paraId="5B551191" w14:textId="77777777" w:rsidR="00833DAB" w:rsidRPr="00FB6F73" w:rsidRDefault="00833DAB" w:rsidP="00981FFD">
      <w:pPr>
        <w:jc w:val="both"/>
        <w:rPr>
          <w:sz w:val="22"/>
          <w:szCs w:val="22"/>
          <w:lang w:val="sr-Latn-ME"/>
        </w:rPr>
      </w:pPr>
    </w:p>
    <w:p w14:paraId="7FC6757E" w14:textId="443FB6D0" w:rsidR="00136217" w:rsidRPr="00FB6F73" w:rsidRDefault="00136217" w:rsidP="00981FFD">
      <w:pPr>
        <w:jc w:val="both"/>
        <w:rPr>
          <w:sz w:val="22"/>
          <w:szCs w:val="22"/>
          <w:lang w:val="sr-Latn-ME"/>
        </w:rPr>
      </w:pPr>
      <w:r w:rsidRPr="00FB6F73">
        <w:rPr>
          <w:sz w:val="22"/>
          <w:szCs w:val="22"/>
          <w:lang w:val="sr-Latn-ME"/>
        </w:rPr>
        <w:t xml:space="preserve">Efikasnost i </w:t>
      </w:r>
      <w:r w:rsidR="00FD4480" w:rsidRPr="00FB6F73">
        <w:rPr>
          <w:sz w:val="22"/>
          <w:szCs w:val="22"/>
          <w:lang w:val="sr-Latn-ME"/>
        </w:rPr>
        <w:t>bezbjednost</w:t>
      </w:r>
      <w:r w:rsidRPr="00FB6F73">
        <w:rPr>
          <w:sz w:val="22"/>
          <w:szCs w:val="22"/>
          <w:lang w:val="sr-Latn-ME"/>
        </w:rPr>
        <w:t xml:space="preserve"> erlotiniba kao terapije održavanja nakon prve linije hemioterapije u </w:t>
      </w:r>
      <w:r w:rsidR="00FD4480" w:rsidRPr="00FB6F73">
        <w:rPr>
          <w:sz w:val="22"/>
          <w:szCs w:val="22"/>
          <w:lang w:val="sr-Latn-ME"/>
        </w:rPr>
        <w:t>liječenju</w:t>
      </w:r>
      <w:r w:rsidRPr="00FB6F73">
        <w:rPr>
          <w:sz w:val="22"/>
          <w:szCs w:val="22"/>
          <w:lang w:val="sr-Latn-ME"/>
        </w:rPr>
        <w:t xml:space="preserve"> NSCLC ispitivana je u randomizovanoj, dvostruko-sl</w:t>
      </w:r>
      <w:r w:rsidR="007F40D0" w:rsidRPr="00FB6F73">
        <w:rPr>
          <w:sz w:val="22"/>
          <w:szCs w:val="22"/>
          <w:lang w:val="sr-Latn-ME"/>
        </w:rPr>
        <w:t>ij</w:t>
      </w:r>
      <w:r w:rsidRPr="00FB6F73">
        <w:rPr>
          <w:sz w:val="22"/>
          <w:szCs w:val="22"/>
          <w:lang w:val="sr-Latn-ME"/>
        </w:rPr>
        <w:t xml:space="preserve">epoj, placebom kontrolisanoj studiji (BO18192, SATURN). Ova studija sprovedena je na 889 pacijenata sa lokalno uznapredovalim ili metastatskim NSCLC kod kojih nije došlo do progresije bolesti nakon </w:t>
      </w:r>
      <w:r w:rsidR="00FD4480" w:rsidRPr="00FB6F73">
        <w:rPr>
          <w:sz w:val="22"/>
          <w:szCs w:val="22"/>
          <w:lang w:val="sr-Latn-ME"/>
        </w:rPr>
        <w:t>primjene</w:t>
      </w:r>
      <w:r w:rsidRPr="00FB6F73">
        <w:rPr>
          <w:sz w:val="22"/>
          <w:szCs w:val="22"/>
          <w:lang w:val="sr-Latn-ME"/>
        </w:rPr>
        <w:t xml:space="preserve"> 4 ciklusa hemioterapije na bazi platine. Pacijenti su bili randomizovani 1:1 da primaju erlotinib</w:t>
      </w:r>
      <w:r w:rsidR="007F40D0" w:rsidRPr="00FB6F73">
        <w:rPr>
          <w:sz w:val="22"/>
          <w:szCs w:val="22"/>
          <w:lang w:val="sr-Latn-ME"/>
        </w:rPr>
        <w:t xml:space="preserve"> </w:t>
      </w:r>
      <w:r w:rsidRPr="00FB6F73">
        <w:rPr>
          <w:sz w:val="22"/>
          <w:szCs w:val="22"/>
          <w:lang w:val="sr-Latn-ME"/>
        </w:rPr>
        <w:t>150 mg ili placebo oralno jednom dnevno do progresije bolesti. Primarni parametar praćenja ishoda ispitivanja uključivao je PFS (preživljavanje bez progresije bolesti) kod svih pacijenata. Demografske i karakteristike bolesti pacijenata pri uključivanju u studiju bile su dobro ujednačene između dv</w:t>
      </w:r>
      <w:r w:rsidR="007F40D0" w:rsidRPr="00FB6F73">
        <w:rPr>
          <w:sz w:val="22"/>
          <w:szCs w:val="22"/>
          <w:lang w:val="sr-Latn-ME"/>
        </w:rPr>
        <w:t>ij</w:t>
      </w:r>
      <w:r w:rsidRPr="00FB6F73">
        <w:rPr>
          <w:sz w:val="22"/>
          <w:szCs w:val="22"/>
          <w:lang w:val="sr-Latn-ME"/>
        </w:rPr>
        <w:t>e ispitivane grupe pacijenata. Pacijenti sa ECOG PS&gt;1, značajnim hepatičkim ili bubrežnim komorbiditetima nisu bili uključeni u studiju.</w:t>
      </w:r>
    </w:p>
    <w:p w14:paraId="7B965988" w14:textId="77777777" w:rsidR="00136217" w:rsidRPr="00FB6F73" w:rsidRDefault="00136217" w:rsidP="00981FFD">
      <w:pPr>
        <w:jc w:val="both"/>
        <w:rPr>
          <w:sz w:val="22"/>
          <w:szCs w:val="22"/>
          <w:lang w:val="sr-Latn-ME"/>
        </w:rPr>
      </w:pPr>
    </w:p>
    <w:p w14:paraId="59DB96E2" w14:textId="0B516103" w:rsidR="00136217" w:rsidRPr="00FB6F73" w:rsidRDefault="00136217" w:rsidP="00981FFD">
      <w:pPr>
        <w:jc w:val="both"/>
        <w:rPr>
          <w:sz w:val="22"/>
          <w:szCs w:val="22"/>
          <w:lang w:val="sr-Latn-ME"/>
        </w:rPr>
      </w:pPr>
      <w:r w:rsidRPr="00FB6F73">
        <w:rPr>
          <w:sz w:val="22"/>
          <w:szCs w:val="22"/>
          <w:lang w:val="sr-Latn-ME"/>
        </w:rPr>
        <w:t xml:space="preserve">U ovoj studiji pokazana je korist u pogledu PFS kao primarnog parametra praćenja ishoda studije (HR = 0,71, p &lt;0,0001) i OS kao sekundarnog parametra praćenja ishoda studije (HR = 0,81; p = 0,0088) u ukupnoj populaciji pacijenata. Međutim, najveća je korist </w:t>
      </w:r>
      <w:r w:rsidR="007F40D0" w:rsidRPr="00FB6F73">
        <w:rPr>
          <w:sz w:val="22"/>
          <w:szCs w:val="22"/>
          <w:lang w:val="sr-Latn-ME"/>
        </w:rPr>
        <w:t xml:space="preserve">zabilježena </w:t>
      </w:r>
      <w:r w:rsidRPr="00FB6F73">
        <w:rPr>
          <w:sz w:val="22"/>
          <w:szCs w:val="22"/>
          <w:lang w:val="sr-Latn-ME"/>
        </w:rPr>
        <w:t>u prethodno definisanoj eksploratornoj analizi sprovedenoj kod pacijenata sa EGFR aktivirajućim mutacijama (n=49), koja je pokazala značajnu korist u pogledu PFS-a (HR = 0,10; 95% CI, 0,04 – 0,25; p &lt; 0,0001), i HR za ukupno preživljavanje (OS) od 0,83 (95% CI, 0,34 – 2,02). 67% pacijenata koji su primali placebo, iz podgrupe pozitivne na mutaciju EGFR-a, primilo je drugu ili narednu liniju terapije sa inhibitorom EGFR tirozin kinaze (EGFR-TKI).</w:t>
      </w:r>
    </w:p>
    <w:p w14:paraId="58384AB2" w14:textId="77777777" w:rsidR="00136217" w:rsidRPr="00FB6F73" w:rsidRDefault="00136217" w:rsidP="00981FFD">
      <w:pPr>
        <w:jc w:val="both"/>
        <w:rPr>
          <w:sz w:val="22"/>
          <w:szCs w:val="22"/>
          <w:lang w:val="sr-Latn-ME"/>
        </w:rPr>
      </w:pPr>
    </w:p>
    <w:p w14:paraId="02966C67" w14:textId="4C035D6C" w:rsidR="00136217" w:rsidRPr="00FB6F73" w:rsidRDefault="00136217" w:rsidP="00981FFD">
      <w:pPr>
        <w:jc w:val="both"/>
        <w:rPr>
          <w:sz w:val="22"/>
          <w:szCs w:val="22"/>
          <w:lang w:val="sr-Latn-ME"/>
        </w:rPr>
      </w:pPr>
      <w:r w:rsidRPr="00FB6F73">
        <w:rPr>
          <w:sz w:val="22"/>
          <w:szCs w:val="22"/>
          <w:lang w:val="sr-Latn-ME"/>
        </w:rPr>
        <w:t xml:space="preserve">Studija BO25460 (IUNO) sprovedena je na 643 pacijenta sa uznapredovalim NSCLC čiji tumori nisu imali EGFR aktivirajuće mutacije (deleciju u egzonu 19 ili mutaciju L858R na egzonu 21) i koji nisu </w:t>
      </w:r>
      <w:r w:rsidR="00833DAB" w:rsidRPr="00FB6F73">
        <w:rPr>
          <w:sz w:val="22"/>
          <w:szCs w:val="22"/>
          <w:lang w:val="sr-Latn-ME"/>
        </w:rPr>
        <w:t xml:space="preserve">iskusili </w:t>
      </w:r>
      <w:r w:rsidRPr="00FB6F73">
        <w:rPr>
          <w:sz w:val="22"/>
          <w:szCs w:val="22"/>
          <w:lang w:val="sr-Latn-ME"/>
        </w:rPr>
        <w:t>progresiju bolesti nakon četiri ciklusa hemioterapije na bazi platine.</w:t>
      </w:r>
    </w:p>
    <w:p w14:paraId="5FC967CF" w14:textId="77777777" w:rsidR="00136217" w:rsidRPr="00FB6F73" w:rsidRDefault="00136217" w:rsidP="00981FFD">
      <w:pPr>
        <w:jc w:val="both"/>
        <w:rPr>
          <w:sz w:val="22"/>
          <w:szCs w:val="22"/>
          <w:lang w:val="sr-Latn-ME"/>
        </w:rPr>
      </w:pPr>
    </w:p>
    <w:p w14:paraId="4CA0597A" w14:textId="3823CDF4" w:rsidR="00136217" w:rsidRPr="00FB6F73" w:rsidRDefault="00136217" w:rsidP="00981FFD">
      <w:pPr>
        <w:jc w:val="both"/>
        <w:rPr>
          <w:sz w:val="22"/>
          <w:szCs w:val="22"/>
          <w:lang w:val="sr-Latn-ME"/>
        </w:rPr>
      </w:pPr>
      <w:r w:rsidRPr="00FB6F73">
        <w:rPr>
          <w:sz w:val="22"/>
          <w:szCs w:val="22"/>
          <w:lang w:val="sr-Latn-ME"/>
        </w:rPr>
        <w:t>Cilj studije bio je poređenje ukupnog preživljavanja (OS) terapije održavanja erlotinibom posl</w:t>
      </w:r>
      <w:r w:rsidR="007F40D0" w:rsidRPr="00FB6F73">
        <w:rPr>
          <w:sz w:val="22"/>
          <w:szCs w:val="22"/>
          <w:lang w:val="sr-Latn-ME"/>
        </w:rPr>
        <w:t>ij</w:t>
      </w:r>
      <w:r w:rsidRPr="00FB6F73">
        <w:rPr>
          <w:sz w:val="22"/>
          <w:szCs w:val="22"/>
          <w:lang w:val="sr-Latn-ME"/>
        </w:rPr>
        <w:t xml:space="preserve">e prve linije hemioterapije u odnosu na </w:t>
      </w:r>
      <w:r w:rsidR="00ED4DF5" w:rsidRPr="00FB6F73">
        <w:rPr>
          <w:sz w:val="22"/>
          <w:szCs w:val="22"/>
          <w:lang w:val="sr-Latn-ME"/>
        </w:rPr>
        <w:t>primjenu</w:t>
      </w:r>
      <w:r w:rsidRPr="00FB6F73">
        <w:rPr>
          <w:sz w:val="22"/>
          <w:szCs w:val="22"/>
          <w:lang w:val="sr-Latn-ME"/>
        </w:rPr>
        <w:t xml:space="preserve"> erlotiniba u trenutku progresije bolesti. Primarni parametar praćenja ishoda studije nije postignut. Ukupno preživljavanje (OS) pri </w:t>
      </w:r>
      <w:r w:rsidR="00FD4480" w:rsidRPr="00FB6F73">
        <w:rPr>
          <w:sz w:val="22"/>
          <w:szCs w:val="22"/>
          <w:lang w:val="sr-Latn-ME"/>
        </w:rPr>
        <w:t>primjeni</w:t>
      </w:r>
      <w:r w:rsidRPr="00FB6F73">
        <w:rPr>
          <w:sz w:val="22"/>
          <w:szCs w:val="22"/>
          <w:lang w:val="sr-Latn-ME"/>
        </w:rPr>
        <w:t xml:space="preserve"> erlotiniba kao terapije održavanja posl</w:t>
      </w:r>
      <w:r w:rsidR="007F40D0" w:rsidRPr="00FB6F73">
        <w:rPr>
          <w:sz w:val="22"/>
          <w:szCs w:val="22"/>
          <w:lang w:val="sr-Latn-ME"/>
        </w:rPr>
        <w:t>ij</w:t>
      </w:r>
      <w:r w:rsidRPr="00FB6F73">
        <w:rPr>
          <w:sz w:val="22"/>
          <w:szCs w:val="22"/>
          <w:lang w:val="sr-Latn-ME"/>
        </w:rPr>
        <w:t xml:space="preserve">e prve linije hemioterapije nije bilo superiorno u odnosu na OS ostvareno kada je erlotinib </w:t>
      </w:r>
      <w:r w:rsidR="00C13202" w:rsidRPr="00FB6F73">
        <w:rPr>
          <w:sz w:val="22"/>
          <w:szCs w:val="22"/>
          <w:lang w:val="sr-Latn-ME"/>
        </w:rPr>
        <w:t>prim</w:t>
      </w:r>
      <w:r w:rsidR="007F40D0" w:rsidRPr="00FB6F73">
        <w:rPr>
          <w:sz w:val="22"/>
          <w:szCs w:val="22"/>
          <w:lang w:val="sr-Latn-ME"/>
        </w:rPr>
        <w:t>i</w:t>
      </w:r>
      <w:r w:rsidR="00C13202" w:rsidRPr="00FB6F73">
        <w:rPr>
          <w:sz w:val="22"/>
          <w:szCs w:val="22"/>
          <w:lang w:val="sr-Latn-ME"/>
        </w:rPr>
        <w:t>jen</w:t>
      </w:r>
      <w:r w:rsidRPr="00FB6F73">
        <w:rPr>
          <w:sz w:val="22"/>
          <w:szCs w:val="22"/>
          <w:lang w:val="sr-Latn-ME"/>
        </w:rPr>
        <w:t xml:space="preserve">jen kao druga linija terapije kod pacijenata čiji tumori nisu imali EGFR aktivirajuće mutacije (HR = 1,02; 95% CI, 0,85 – 1,22; p = 0,82). Sekundarni parametar praćenja ishoda (PFS) je </w:t>
      </w:r>
      <w:r w:rsidRPr="00FB6F73">
        <w:rPr>
          <w:sz w:val="22"/>
          <w:szCs w:val="22"/>
          <w:lang w:val="sr-Latn-ME"/>
        </w:rPr>
        <w:lastRenderedPageBreak/>
        <w:t>pokazao da nema razlike između erlotiniba i placeba u terapiji održavanja (HR = 0,94; 95% CI, 0,80 – 1,11; p = 0,48).</w:t>
      </w:r>
    </w:p>
    <w:p w14:paraId="3E956FAB" w14:textId="77777777" w:rsidR="00136217" w:rsidRPr="00FB6F73" w:rsidRDefault="00136217" w:rsidP="00981FFD">
      <w:pPr>
        <w:jc w:val="both"/>
        <w:rPr>
          <w:sz w:val="22"/>
          <w:szCs w:val="22"/>
          <w:lang w:val="sr-Latn-ME"/>
        </w:rPr>
      </w:pPr>
    </w:p>
    <w:p w14:paraId="05E9BE81" w14:textId="578596BD" w:rsidR="00136217" w:rsidRPr="00FB6F73" w:rsidRDefault="00136217" w:rsidP="00981FFD">
      <w:pPr>
        <w:jc w:val="both"/>
        <w:rPr>
          <w:sz w:val="22"/>
          <w:szCs w:val="22"/>
          <w:lang w:val="sr-Latn-ME"/>
        </w:rPr>
      </w:pPr>
      <w:r w:rsidRPr="00FB6F73">
        <w:rPr>
          <w:sz w:val="22"/>
          <w:szCs w:val="22"/>
          <w:lang w:val="sr-Latn-ME"/>
        </w:rPr>
        <w:t xml:space="preserve">Na osnovu podataka iz studije BO25460 (IUNO), ne preporučuje se </w:t>
      </w:r>
      <w:r w:rsidR="00FD4480" w:rsidRPr="00FB6F73">
        <w:rPr>
          <w:sz w:val="22"/>
          <w:szCs w:val="22"/>
          <w:lang w:val="sr-Latn-ME"/>
        </w:rPr>
        <w:t>primjena</w:t>
      </w:r>
      <w:r w:rsidRPr="00FB6F73">
        <w:rPr>
          <w:sz w:val="22"/>
          <w:szCs w:val="22"/>
          <w:lang w:val="sr-Latn-ME"/>
        </w:rPr>
        <w:t xml:space="preserve"> erlotiniba za prvu liniju terapije održavanja kod pacijenata bez EGFR aktivirajućih mutacija.</w:t>
      </w:r>
    </w:p>
    <w:p w14:paraId="733E03FF" w14:textId="77777777" w:rsidR="00136217" w:rsidRPr="00FB6F73" w:rsidRDefault="00136217" w:rsidP="00981FFD">
      <w:pPr>
        <w:jc w:val="both"/>
        <w:rPr>
          <w:sz w:val="22"/>
          <w:szCs w:val="22"/>
          <w:lang w:val="sr-Latn-ME"/>
        </w:rPr>
      </w:pPr>
    </w:p>
    <w:p w14:paraId="2D2C4320" w14:textId="4618C4CE" w:rsidR="00136217" w:rsidRPr="00FB6F73" w:rsidRDefault="00136217" w:rsidP="00981FFD">
      <w:pPr>
        <w:jc w:val="both"/>
        <w:rPr>
          <w:sz w:val="22"/>
          <w:szCs w:val="22"/>
          <w:u w:val="single"/>
          <w:lang w:val="sr-Latn-ME"/>
        </w:rPr>
      </w:pPr>
      <w:r w:rsidRPr="00FB6F73">
        <w:rPr>
          <w:sz w:val="22"/>
          <w:szCs w:val="22"/>
          <w:u w:val="single"/>
          <w:lang w:val="sr-Latn-ME"/>
        </w:rPr>
        <w:t>Terapija NSCLC-a nakon neusp</w:t>
      </w:r>
      <w:r w:rsidR="007F40D0" w:rsidRPr="00FB6F73">
        <w:rPr>
          <w:sz w:val="22"/>
          <w:szCs w:val="22"/>
          <w:u w:val="single"/>
          <w:lang w:val="sr-Latn-ME"/>
        </w:rPr>
        <w:t>j</w:t>
      </w:r>
      <w:r w:rsidRPr="00FB6F73">
        <w:rPr>
          <w:sz w:val="22"/>
          <w:szCs w:val="22"/>
          <w:u w:val="single"/>
          <w:lang w:val="sr-Latn-ME"/>
        </w:rPr>
        <w:t xml:space="preserve">eha </w:t>
      </w:r>
      <w:r w:rsidR="00FD4480" w:rsidRPr="00FB6F73">
        <w:rPr>
          <w:sz w:val="22"/>
          <w:szCs w:val="22"/>
          <w:u w:val="single"/>
          <w:lang w:val="sr-Latn-ME"/>
        </w:rPr>
        <w:t>primjene</w:t>
      </w:r>
      <w:r w:rsidRPr="00FB6F73">
        <w:rPr>
          <w:sz w:val="22"/>
          <w:szCs w:val="22"/>
          <w:u w:val="single"/>
          <w:lang w:val="sr-Latn-ME"/>
        </w:rPr>
        <w:t xml:space="preserve"> najmanje jednog hemioterapijskog režima (erlotinib </w:t>
      </w:r>
      <w:r w:rsidR="00C13202" w:rsidRPr="00FB6F73">
        <w:rPr>
          <w:sz w:val="22"/>
          <w:szCs w:val="22"/>
          <w:u w:val="single"/>
          <w:lang w:val="sr-Latn-ME"/>
        </w:rPr>
        <w:t>prim</w:t>
      </w:r>
      <w:r w:rsidR="007F40D0" w:rsidRPr="00FB6F73">
        <w:rPr>
          <w:sz w:val="22"/>
          <w:szCs w:val="22"/>
          <w:u w:val="single"/>
          <w:lang w:val="sr-Latn-ME"/>
        </w:rPr>
        <w:t>i</w:t>
      </w:r>
      <w:r w:rsidR="00C13202" w:rsidRPr="00FB6F73">
        <w:rPr>
          <w:sz w:val="22"/>
          <w:szCs w:val="22"/>
          <w:u w:val="single"/>
          <w:lang w:val="sr-Latn-ME"/>
        </w:rPr>
        <w:t>jen</w:t>
      </w:r>
      <w:r w:rsidRPr="00FB6F73">
        <w:rPr>
          <w:sz w:val="22"/>
          <w:szCs w:val="22"/>
          <w:u w:val="single"/>
          <w:lang w:val="sr-Latn-ME"/>
        </w:rPr>
        <w:t>jen kao monoterapija)</w:t>
      </w:r>
    </w:p>
    <w:p w14:paraId="1617F546" w14:textId="77777777" w:rsidR="00136217" w:rsidRPr="00FB6F73" w:rsidRDefault="00136217" w:rsidP="00981FFD">
      <w:pPr>
        <w:jc w:val="both"/>
        <w:rPr>
          <w:sz w:val="22"/>
          <w:szCs w:val="22"/>
          <w:u w:val="single"/>
          <w:lang w:val="sr-Latn-ME"/>
        </w:rPr>
      </w:pPr>
    </w:p>
    <w:p w14:paraId="30293F52" w14:textId="3F42F2D2" w:rsidR="00136217" w:rsidRPr="00FB6F73" w:rsidRDefault="00136217" w:rsidP="00981FFD">
      <w:pPr>
        <w:jc w:val="both"/>
        <w:rPr>
          <w:sz w:val="22"/>
          <w:szCs w:val="22"/>
          <w:lang w:val="sr-Latn-ME"/>
        </w:rPr>
      </w:pPr>
      <w:r w:rsidRPr="00FB6F73">
        <w:rPr>
          <w:sz w:val="22"/>
          <w:szCs w:val="22"/>
          <w:lang w:val="sr-Latn-ME"/>
        </w:rPr>
        <w:t xml:space="preserve">Efikasnost i </w:t>
      </w:r>
      <w:r w:rsidR="00FD4480" w:rsidRPr="00FB6F73">
        <w:rPr>
          <w:sz w:val="22"/>
          <w:szCs w:val="22"/>
          <w:lang w:val="sr-Latn-ME"/>
        </w:rPr>
        <w:t>bezbjednost</w:t>
      </w:r>
      <w:r w:rsidRPr="00FB6F73">
        <w:rPr>
          <w:sz w:val="22"/>
          <w:szCs w:val="22"/>
          <w:lang w:val="sr-Latn-ME"/>
        </w:rPr>
        <w:t xml:space="preserve"> erlotiniba kao druge/treće linije terapije pokazana je u randomizovanoj, dvostruko sl</w:t>
      </w:r>
      <w:r w:rsidR="007F40D0" w:rsidRPr="00FB6F73">
        <w:rPr>
          <w:sz w:val="22"/>
          <w:szCs w:val="22"/>
          <w:lang w:val="sr-Latn-ME"/>
        </w:rPr>
        <w:t>ij</w:t>
      </w:r>
      <w:r w:rsidRPr="00FB6F73">
        <w:rPr>
          <w:sz w:val="22"/>
          <w:szCs w:val="22"/>
          <w:lang w:val="sr-Latn-ME"/>
        </w:rPr>
        <w:t>epoj, placebom kontrolisanoj studiji (BR.21), koja je obuhvatila 731 pacijenata sa lokalno uznapredovalim ili metastatskim NSCLC posl</w:t>
      </w:r>
      <w:r w:rsidR="007F40D0" w:rsidRPr="00FB6F73">
        <w:rPr>
          <w:sz w:val="22"/>
          <w:szCs w:val="22"/>
          <w:lang w:val="sr-Latn-ME"/>
        </w:rPr>
        <w:t>ij</w:t>
      </w:r>
      <w:r w:rsidRPr="00FB6F73">
        <w:rPr>
          <w:sz w:val="22"/>
          <w:szCs w:val="22"/>
          <w:lang w:val="sr-Latn-ME"/>
        </w:rPr>
        <w:t>e neusp</w:t>
      </w:r>
      <w:r w:rsidR="007F40D0" w:rsidRPr="00FB6F73">
        <w:rPr>
          <w:sz w:val="22"/>
          <w:szCs w:val="22"/>
          <w:lang w:val="sr-Latn-ME"/>
        </w:rPr>
        <w:t>j</w:t>
      </w:r>
      <w:r w:rsidRPr="00FB6F73">
        <w:rPr>
          <w:sz w:val="22"/>
          <w:szCs w:val="22"/>
          <w:lang w:val="sr-Latn-ME"/>
        </w:rPr>
        <w:t xml:space="preserve">eha </w:t>
      </w:r>
      <w:r w:rsidR="00FD4480" w:rsidRPr="00FB6F73">
        <w:rPr>
          <w:sz w:val="22"/>
          <w:szCs w:val="22"/>
          <w:lang w:val="sr-Latn-ME"/>
        </w:rPr>
        <w:t>primjene</w:t>
      </w:r>
      <w:r w:rsidRPr="00FB6F73">
        <w:rPr>
          <w:sz w:val="22"/>
          <w:szCs w:val="22"/>
          <w:lang w:val="sr-Latn-ME"/>
        </w:rPr>
        <w:t xml:space="preserve"> najmanje jednog hemioterapijskog režima. Pacijenti su randomizovani u odnosu 2:1 da primaju oralno erlotinib</w:t>
      </w:r>
      <w:r w:rsidR="007F40D0" w:rsidRPr="00FB6F73">
        <w:rPr>
          <w:sz w:val="22"/>
          <w:szCs w:val="22"/>
          <w:lang w:val="sr-Latn-ME"/>
        </w:rPr>
        <w:t xml:space="preserve"> </w:t>
      </w:r>
      <w:r w:rsidRPr="00FB6F73">
        <w:rPr>
          <w:sz w:val="22"/>
          <w:szCs w:val="22"/>
          <w:lang w:val="sr-Latn-ME"/>
        </w:rPr>
        <w:t>150 mg ili placebo jednom dnevno. Parametri praćenja ishoda ispitivanja uključivali su ukupno preživljavanje, preživljavanje bez progresije bolesti (</w:t>
      </w:r>
      <w:r w:rsidR="007F40D0" w:rsidRPr="00FB6F73">
        <w:rPr>
          <w:sz w:val="22"/>
          <w:szCs w:val="22"/>
          <w:lang w:val="sr-Latn-ME"/>
        </w:rPr>
        <w:t xml:space="preserve">engl. </w:t>
      </w:r>
      <w:r w:rsidRPr="00FB6F73">
        <w:rPr>
          <w:i/>
          <w:sz w:val="22"/>
          <w:szCs w:val="22"/>
          <w:lang w:val="sr-Latn-ME"/>
        </w:rPr>
        <w:t>progression-free survival</w:t>
      </w:r>
      <w:r w:rsidRPr="00FB6F73">
        <w:rPr>
          <w:sz w:val="22"/>
          <w:szCs w:val="22"/>
          <w:lang w:val="sr-Latn-ME"/>
        </w:rPr>
        <w:t>, PFS), stopu odgovora, trajanje odgovora, vr</w:t>
      </w:r>
      <w:r w:rsidR="007F40D0" w:rsidRPr="00FB6F73">
        <w:rPr>
          <w:sz w:val="22"/>
          <w:szCs w:val="22"/>
          <w:lang w:val="sr-Latn-ME"/>
        </w:rPr>
        <w:t>ij</w:t>
      </w:r>
      <w:r w:rsidRPr="00FB6F73">
        <w:rPr>
          <w:sz w:val="22"/>
          <w:szCs w:val="22"/>
          <w:lang w:val="sr-Latn-ME"/>
        </w:rPr>
        <w:t xml:space="preserve">eme do pogoršanja simptoma povezanih sa karcinomom pluća (kašalj, dispnea i bol), i </w:t>
      </w:r>
      <w:r w:rsidR="00FD4480" w:rsidRPr="00FB6F73">
        <w:rPr>
          <w:sz w:val="22"/>
          <w:szCs w:val="22"/>
          <w:lang w:val="sr-Latn-ME"/>
        </w:rPr>
        <w:t>bezbjednost</w:t>
      </w:r>
      <w:r w:rsidRPr="00FB6F73">
        <w:rPr>
          <w:sz w:val="22"/>
          <w:szCs w:val="22"/>
          <w:lang w:val="sr-Latn-ME"/>
        </w:rPr>
        <w:t xml:space="preserve">. Primarni parametar praćenja ishoda bio je preživljavanje. </w:t>
      </w:r>
    </w:p>
    <w:p w14:paraId="396EEBCE" w14:textId="77777777" w:rsidR="00136217" w:rsidRPr="00FB6F73" w:rsidRDefault="00136217" w:rsidP="00981FFD">
      <w:pPr>
        <w:jc w:val="both"/>
        <w:rPr>
          <w:sz w:val="22"/>
          <w:szCs w:val="22"/>
          <w:u w:val="single"/>
          <w:lang w:val="sr-Latn-ME"/>
        </w:rPr>
      </w:pPr>
    </w:p>
    <w:p w14:paraId="6F590E75" w14:textId="066A2FEB" w:rsidR="00136217" w:rsidRPr="00FB6F73" w:rsidRDefault="00136217" w:rsidP="00981FFD">
      <w:pPr>
        <w:jc w:val="both"/>
        <w:rPr>
          <w:sz w:val="22"/>
          <w:szCs w:val="22"/>
          <w:lang w:val="sr-Latn-ME"/>
        </w:rPr>
      </w:pPr>
      <w:r w:rsidRPr="00FB6F73">
        <w:rPr>
          <w:sz w:val="22"/>
          <w:szCs w:val="22"/>
          <w:lang w:val="sr-Latn-ME"/>
        </w:rPr>
        <w:t>Ove dv</w:t>
      </w:r>
      <w:r w:rsidR="007F40D0" w:rsidRPr="00FB6F73">
        <w:rPr>
          <w:sz w:val="22"/>
          <w:szCs w:val="22"/>
          <w:lang w:val="sr-Latn-ME"/>
        </w:rPr>
        <w:t>ij</w:t>
      </w:r>
      <w:r w:rsidRPr="00FB6F73">
        <w:rPr>
          <w:sz w:val="22"/>
          <w:szCs w:val="22"/>
          <w:lang w:val="sr-Latn-ME"/>
        </w:rPr>
        <w:t>e grupe su bile dobro uravnotežene u pogledu demografskih karakteristika. Oko dv</w:t>
      </w:r>
      <w:r w:rsidR="007F40D0" w:rsidRPr="00FB6F73">
        <w:rPr>
          <w:sz w:val="22"/>
          <w:szCs w:val="22"/>
          <w:lang w:val="sr-Latn-ME"/>
        </w:rPr>
        <w:t>ij</w:t>
      </w:r>
      <w:r w:rsidRPr="00FB6F73">
        <w:rPr>
          <w:sz w:val="22"/>
          <w:szCs w:val="22"/>
          <w:lang w:val="sr-Latn-ME"/>
        </w:rPr>
        <w:t>e trećine pacijenata bili su muškarci i otprilike jedna trećina je imala pr</w:t>
      </w:r>
      <w:r w:rsidR="008C4D88" w:rsidRPr="00FB6F73">
        <w:rPr>
          <w:sz w:val="22"/>
          <w:szCs w:val="22"/>
          <w:lang w:val="sr-Latn-ME"/>
        </w:rPr>
        <w:t>ij</w:t>
      </w:r>
      <w:r w:rsidRPr="00FB6F73">
        <w:rPr>
          <w:sz w:val="22"/>
          <w:szCs w:val="22"/>
          <w:lang w:val="sr-Latn-ME"/>
        </w:rPr>
        <w:t>e početka terapije (</w:t>
      </w:r>
      <w:r w:rsidR="008C4D88" w:rsidRPr="00FB6F73">
        <w:rPr>
          <w:sz w:val="22"/>
          <w:szCs w:val="22"/>
          <w:lang w:val="sr-Latn-ME"/>
        </w:rPr>
        <w:t xml:space="preserve">početni </w:t>
      </w:r>
      <w:r w:rsidRPr="00FB6F73">
        <w:rPr>
          <w:sz w:val="22"/>
          <w:szCs w:val="22"/>
          <w:lang w:val="sr-Latn-ME"/>
        </w:rPr>
        <w:t>nivo) ECOG performans status (PS) od 2, a 9% su imali ECOG PS 3. Devedeset tri procenta pacijenata koji su primali erlotinib i 92% onih koji su primali placebo, prethodno su primali terapiju koja je sadržala platinu, dok je 36% u prvoj, odnosno 37% u drugoj</w:t>
      </w:r>
      <w:r w:rsidR="008C4D88" w:rsidRPr="00FB6F73">
        <w:rPr>
          <w:sz w:val="22"/>
          <w:szCs w:val="22"/>
          <w:lang w:val="sr-Latn-ME"/>
        </w:rPr>
        <w:t xml:space="preserve"> </w:t>
      </w:r>
      <w:r w:rsidRPr="00FB6F73">
        <w:rPr>
          <w:sz w:val="22"/>
          <w:szCs w:val="22"/>
          <w:lang w:val="sr-Latn-ME"/>
        </w:rPr>
        <w:t>grupi prethodno primalo terapiju taksanima.</w:t>
      </w:r>
    </w:p>
    <w:p w14:paraId="468C896D" w14:textId="77777777" w:rsidR="00136217" w:rsidRPr="00FB6F73" w:rsidRDefault="00136217" w:rsidP="00981FFD">
      <w:pPr>
        <w:jc w:val="both"/>
        <w:rPr>
          <w:sz w:val="22"/>
          <w:szCs w:val="22"/>
          <w:lang w:val="sr-Latn-ME"/>
        </w:rPr>
      </w:pPr>
    </w:p>
    <w:p w14:paraId="1880FC3B" w14:textId="52047C8F" w:rsidR="00136217" w:rsidRPr="00FB6F73" w:rsidRDefault="00136217" w:rsidP="00981FFD">
      <w:pPr>
        <w:jc w:val="both"/>
        <w:rPr>
          <w:sz w:val="22"/>
          <w:szCs w:val="22"/>
          <w:lang w:val="sr-Latn-ME"/>
        </w:rPr>
      </w:pPr>
      <w:r w:rsidRPr="00FB6F73">
        <w:rPr>
          <w:sz w:val="22"/>
          <w:szCs w:val="22"/>
          <w:lang w:val="sr-Latn-ME"/>
        </w:rPr>
        <w:t xml:space="preserve">Prilagođeni indeks rizika HR (engl. </w:t>
      </w:r>
      <w:r w:rsidRPr="00FB6F73">
        <w:rPr>
          <w:i/>
          <w:sz w:val="22"/>
          <w:szCs w:val="22"/>
          <w:lang w:val="sr-Latn-ME"/>
        </w:rPr>
        <w:t>adjusted hazard ratio</w:t>
      </w:r>
      <w:r w:rsidRPr="00FB6F73">
        <w:rPr>
          <w:sz w:val="22"/>
          <w:szCs w:val="22"/>
          <w:lang w:val="sr-Latn-ME"/>
        </w:rPr>
        <w:t>) za smrtni ishod u grupi koja je primala erlotinib, u odnosu na grupu koja je primala placebo, iznosio je 0,73 (95% CI, 0,60 – 0,87) (p=0,001). Procenat pacijenata koji su preživ</w:t>
      </w:r>
      <w:r w:rsidR="008C4D88" w:rsidRPr="00FB6F73">
        <w:rPr>
          <w:sz w:val="22"/>
          <w:szCs w:val="22"/>
          <w:lang w:val="sr-Latn-ME"/>
        </w:rPr>
        <w:t>j</w:t>
      </w:r>
      <w:r w:rsidRPr="00FB6F73">
        <w:rPr>
          <w:sz w:val="22"/>
          <w:szCs w:val="22"/>
          <w:lang w:val="sr-Latn-ME"/>
        </w:rPr>
        <w:t>eli posl</w:t>
      </w:r>
      <w:r w:rsidR="008C4D88" w:rsidRPr="00FB6F73">
        <w:rPr>
          <w:sz w:val="22"/>
          <w:szCs w:val="22"/>
          <w:lang w:val="sr-Latn-ME"/>
        </w:rPr>
        <w:t>ij</w:t>
      </w:r>
      <w:r w:rsidRPr="00FB6F73">
        <w:rPr>
          <w:sz w:val="22"/>
          <w:szCs w:val="22"/>
          <w:lang w:val="sr-Latn-ME"/>
        </w:rPr>
        <w:t>e 12 mes</w:t>
      </w:r>
      <w:r w:rsidR="008C4D88" w:rsidRPr="00FB6F73">
        <w:rPr>
          <w:sz w:val="22"/>
          <w:szCs w:val="22"/>
          <w:lang w:val="sr-Latn-ME"/>
        </w:rPr>
        <w:t>j</w:t>
      </w:r>
      <w:r w:rsidRPr="00FB6F73">
        <w:rPr>
          <w:sz w:val="22"/>
          <w:szCs w:val="22"/>
          <w:lang w:val="sr-Latn-ME"/>
        </w:rPr>
        <w:t>eci iznosio je 31,2% u grupi koja je primala erlotinib i 21,5% u grupi koja je primala placebo. Medijana ukupnog preživljavanja iznosila je 6,7 m</w:t>
      </w:r>
      <w:r w:rsidR="008C4D88" w:rsidRPr="00FB6F73">
        <w:rPr>
          <w:sz w:val="22"/>
          <w:szCs w:val="22"/>
          <w:lang w:val="sr-Latn-ME"/>
        </w:rPr>
        <w:t>j</w:t>
      </w:r>
      <w:r w:rsidRPr="00FB6F73">
        <w:rPr>
          <w:sz w:val="22"/>
          <w:szCs w:val="22"/>
          <w:lang w:val="sr-Latn-ME"/>
        </w:rPr>
        <w:t>eseci u grupi koja je primala erlotinib (95% CI, 5,5 do 7,8 m</w:t>
      </w:r>
      <w:r w:rsidR="008C4D88" w:rsidRPr="00FB6F73">
        <w:rPr>
          <w:sz w:val="22"/>
          <w:szCs w:val="22"/>
          <w:lang w:val="sr-Latn-ME"/>
        </w:rPr>
        <w:t>j</w:t>
      </w:r>
      <w:r w:rsidRPr="00FB6F73">
        <w:rPr>
          <w:sz w:val="22"/>
          <w:szCs w:val="22"/>
          <w:lang w:val="sr-Latn-ME"/>
        </w:rPr>
        <w:t>eseci) u poređenju sa 4,7 m</w:t>
      </w:r>
      <w:r w:rsidR="008C4D88" w:rsidRPr="00FB6F73">
        <w:rPr>
          <w:sz w:val="22"/>
          <w:szCs w:val="22"/>
          <w:lang w:val="sr-Latn-ME"/>
        </w:rPr>
        <w:t>j</w:t>
      </w:r>
      <w:r w:rsidRPr="00FB6F73">
        <w:rPr>
          <w:sz w:val="22"/>
          <w:szCs w:val="22"/>
          <w:lang w:val="sr-Latn-ME"/>
        </w:rPr>
        <w:t>eseci u grupi koja je primala placebo (95% CI, 4,1 do 6,3 m</w:t>
      </w:r>
      <w:r w:rsidR="008C4D88" w:rsidRPr="00FB6F73">
        <w:rPr>
          <w:sz w:val="22"/>
          <w:szCs w:val="22"/>
          <w:lang w:val="sr-Latn-ME"/>
        </w:rPr>
        <w:t>j</w:t>
      </w:r>
      <w:r w:rsidRPr="00FB6F73">
        <w:rPr>
          <w:sz w:val="22"/>
          <w:szCs w:val="22"/>
          <w:lang w:val="sr-Latn-ME"/>
        </w:rPr>
        <w:t>eseca).</w:t>
      </w:r>
    </w:p>
    <w:p w14:paraId="275930E9" w14:textId="77777777" w:rsidR="00136217" w:rsidRPr="00FB6F73" w:rsidRDefault="00136217" w:rsidP="00981FFD">
      <w:pPr>
        <w:jc w:val="both"/>
        <w:rPr>
          <w:sz w:val="22"/>
          <w:szCs w:val="22"/>
          <w:lang w:val="sr-Latn-ME"/>
        </w:rPr>
      </w:pPr>
    </w:p>
    <w:p w14:paraId="23B62D71" w14:textId="32BD04BE" w:rsidR="00136217" w:rsidRPr="00FB6F73" w:rsidRDefault="00136217" w:rsidP="00981FFD">
      <w:pPr>
        <w:jc w:val="both"/>
        <w:rPr>
          <w:sz w:val="22"/>
          <w:szCs w:val="22"/>
          <w:lang w:val="sr-Latn-ME"/>
        </w:rPr>
      </w:pPr>
      <w:r w:rsidRPr="00FB6F73">
        <w:rPr>
          <w:sz w:val="22"/>
          <w:szCs w:val="22"/>
          <w:lang w:val="sr-Latn-ME"/>
        </w:rPr>
        <w:t xml:space="preserve">Efekat na ukupno preživljavanje ispitivan je u različitim podgrupama pacijenata. Efekat erlotiniba na ukupno preživljavanje bio je sličan kod pacijenata koji su imali performans status na početku </w:t>
      </w:r>
      <w:r w:rsidR="00FD4480" w:rsidRPr="00FB6F73">
        <w:rPr>
          <w:sz w:val="22"/>
          <w:szCs w:val="22"/>
          <w:lang w:val="sr-Latn-ME"/>
        </w:rPr>
        <w:t>liječenj</w:t>
      </w:r>
      <w:r w:rsidRPr="00FB6F73">
        <w:rPr>
          <w:sz w:val="22"/>
          <w:szCs w:val="22"/>
          <w:lang w:val="sr-Latn-ME"/>
        </w:rPr>
        <w:t>a (ECOG) između 2 i 3 (HR=0,77; 95% CI 0,6-1,0) i 0-1 (HR=0,73; 95% CI 0,6-0,9), muškaraca (HR=0,76; 95% CI 0,6-0,9) i žena (HR=0,80; 95% CI 0,6-1,1), pacijenata mlađih od 65 godina (HR=0,75;95% CI 0,6-0,9), i starijih pacijenata (HR=0,79; 95% CI 0,6-1,0), pacijenata koji su prethodno primili jedan terapijski režim (HR=0,76; 95% CI 0,6-1,0) i pacijenata koji su primili više od jednog terapijskog režima (HR=0,75; 95% CI 0,6-1,0), pacijenata b</w:t>
      </w:r>
      <w:r w:rsidR="008C4D88" w:rsidRPr="00FB6F73">
        <w:rPr>
          <w:sz w:val="22"/>
          <w:szCs w:val="22"/>
          <w:lang w:val="sr-Latn-ME"/>
        </w:rPr>
        <w:t>ij</w:t>
      </w:r>
      <w:r w:rsidRPr="00FB6F73">
        <w:rPr>
          <w:sz w:val="22"/>
          <w:szCs w:val="22"/>
          <w:lang w:val="sr-Latn-ME"/>
        </w:rPr>
        <w:t>ele rase (HR=0,79; 95% CI 0,6-1,0) i azijske rase (HR=0,61; 95% CI 0,4-1,0), pacijenata sa adenokarcinomom (HR=0,71; 95% CI 0,6-0,9) i karcinomom skvamoznih ćelija (HR=0,67; 95% CI 0,5 0,9), ali ne i kod pacijenata sa drugim histološkim tipom tumora (HR=1,04; 95% CI 0,7-1,5), pacijenata u četvrtom stadijumu bolesti pri postavljanju dijagnoze (HR=0,92; 95% CI 0,7-1,2), i stadijumu &lt;4 pri postavljanju dijagnoze (HR=0,65; 95% CI 0,5-0,8). Pacijenti koji nikada nisu pušili imali su da</w:t>
      </w:r>
      <w:r w:rsidR="00FD4480" w:rsidRPr="00FB6F73">
        <w:rPr>
          <w:sz w:val="22"/>
          <w:szCs w:val="22"/>
          <w:lang w:val="sr-Latn-ME"/>
        </w:rPr>
        <w:t>lek</w:t>
      </w:r>
      <w:r w:rsidRPr="00FB6F73">
        <w:rPr>
          <w:sz w:val="22"/>
          <w:szCs w:val="22"/>
          <w:lang w:val="sr-Latn-ME"/>
        </w:rPr>
        <w:t>o veću korist od terapije erlotinibom (preživljavanje HR=0,42; 95% CI 0,28-0,64) u poređenju sa onima koji puše ili su pušili (HR=0,87; 95% CI 0,71-1,05).</w:t>
      </w:r>
    </w:p>
    <w:p w14:paraId="1EFA16E1" w14:textId="77777777" w:rsidR="00136217" w:rsidRPr="00FB6F73" w:rsidRDefault="00136217" w:rsidP="00981FFD">
      <w:pPr>
        <w:jc w:val="both"/>
        <w:rPr>
          <w:sz w:val="22"/>
          <w:szCs w:val="22"/>
          <w:lang w:val="sr-Latn-ME"/>
        </w:rPr>
      </w:pPr>
      <w:r w:rsidRPr="00FB6F73">
        <w:rPr>
          <w:sz w:val="22"/>
          <w:szCs w:val="22"/>
          <w:lang w:val="sr-Latn-ME"/>
        </w:rPr>
        <w:t xml:space="preserve">Kod 45% pacijenata sa poznatim statusom ekspresije EGFR, HR iznosio je 0,68 (95% CI 0,49-0,94) kod pacijenata sa EGFR pozitivnim tumorima i 0,93 (95% CI 0,63-1,36) kod pacijenata sa EGFR-negativnim tumorima (koji su određeni imunohistohemijski korišćenjem EGFR pharmDx kita i koji su definisani kao EGFR-negativni ukoliko je obojeno manje od 10% tumorskih ćelija). Kod preostalih 55% pacijenata sa nepoznatim EGFR statusom ekspresije, HR je iznosio 0,77 (95% CI 0,61-0,98). </w:t>
      </w:r>
    </w:p>
    <w:p w14:paraId="7B4C6C82" w14:textId="77777777" w:rsidR="00136217" w:rsidRPr="00FB6F73" w:rsidRDefault="00136217" w:rsidP="00981FFD">
      <w:pPr>
        <w:jc w:val="both"/>
        <w:rPr>
          <w:sz w:val="22"/>
          <w:szCs w:val="22"/>
          <w:u w:val="single"/>
          <w:lang w:val="sr-Latn-ME"/>
        </w:rPr>
      </w:pPr>
    </w:p>
    <w:p w14:paraId="3DEBAEF6" w14:textId="09B90E34" w:rsidR="00136217" w:rsidRPr="00FB6F73" w:rsidRDefault="00136217" w:rsidP="00981FFD">
      <w:pPr>
        <w:jc w:val="both"/>
        <w:rPr>
          <w:sz w:val="22"/>
          <w:szCs w:val="22"/>
          <w:lang w:val="sr-Latn-ME"/>
        </w:rPr>
      </w:pPr>
      <w:r w:rsidRPr="00FB6F73">
        <w:rPr>
          <w:sz w:val="22"/>
          <w:szCs w:val="22"/>
          <w:lang w:val="sr-Latn-ME"/>
        </w:rPr>
        <w:t>Medijana PFS iznosila je 9,7 ned</w:t>
      </w:r>
      <w:r w:rsidR="008C4D88" w:rsidRPr="00FB6F73">
        <w:rPr>
          <w:sz w:val="22"/>
          <w:szCs w:val="22"/>
          <w:lang w:val="sr-Latn-ME"/>
        </w:rPr>
        <w:t>j</w:t>
      </w:r>
      <w:r w:rsidRPr="00FB6F73">
        <w:rPr>
          <w:sz w:val="22"/>
          <w:szCs w:val="22"/>
          <w:lang w:val="sr-Latn-ME"/>
        </w:rPr>
        <w:t>elja u grupi koja je primala erlotinib (95% CI, 8,4 do 12,4 ned</w:t>
      </w:r>
      <w:r w:rsidR="008C4D88" w:rsidRPr="00FB6F73">
        <w:rPr>
          <w:sz w:val="22"/>
          <w:szCs w:val="22"/>
          <w:lang w:val="sr-Latn-ME"/>
        </w:rPr>
        <w:t>j</w:t>
      </w:r>
      <w:r w:rsidRPr="00FB6F73">
        <w:rPr>
          <w:sz w:val="22"/>
          <w:szCs w:val="22"/>
          <w:lang w:val="sr-Latn-ME"/>
        </w:rPr>
        <w:t>elje) u poređenju sa 8,0 ned</w:t>
      </w:r>
      <w:r w:rsidR="008C4D88" w:rsidRPr="00FB6F73">
        <w:rPr>
          <w:sz w:val="22"/>
          <w:szCs w:val="22"/>
          <w:lang w:val="sr-Latn-ME"/>
        </w:rPr>
        <w:t>j</w:t>
      </w:r>
      <w:r w:rsidRPr="00FB6F73">
        <w:rPr>
          <w:sz w:val="22"/>
          <w:szCs w:val="22"/>
          <w:lang w:val="sr-Latn-ME"/>
        </w:rPr>
        <w:t>elja u grupi koja je primala placebo (95% CI, 7,9 do 8,1 ned</w:t>
      </w:r>
      <w:r w:rsidR="008C4D88" w:rsidRPr="00FB6F73">
        <w:rPr>
          <w:sz w:val="22"/>
          <w:szCs w:val="22"/>
          <w:lang w:val="sr-Latn-ME"/>
        </w:rPr>
        <w:t>j</w:t>
      </w:r>
      <w:r w:rsidRPr="00FB6F73">
        <w:rPr>
          <w:sz w:val="22"/>
          <w:szCs w:val="22"/>
          <w:lang w:val="sr-Latn-ME"/>
        </w:rPr>
        <w:t>elja).</w:t>
      </w:r>
    </w:p>
    <w:p w14:paraId="15A3F766" w14:textId="77777777" w:rsidR="00136217" w:rsidRPr="00FB6F73" w:rsidRDefault="00136217" w:rsidP="00981FFD">
      <w:pPr>
        <w:jc w:val="both"/>
        <w:rPr>
          <w:sz w:val="22"/>
          <w:szCs w:val="22"/>
          <w:u w:val="single"/>
          <w:lang w:val="sr-Latn-ME"/>
        </w:rPr>
      </w:pPr>
    </w:p>
    <w:p w14:paraId="4E56CA56" w14:textId="5FBF768E" w:rsidR="00136217" w:rsidRPr="00FB6F73" w:rsidRDefault="00136217" w:rsidP="00981FFD">
      <w:pPr>
        <w:jc w:val="both"/>
        <w:rPr>
          <w:sz w:val="22"/>
          <w:szCs w:val="22"/>
          <w:lang w:val="sr-Latn-ME"/>
        </w:rPr>
      </w:pPr>
      <w:r w:rsidRPr="00FB6F73">
        <w:rPr>
          <w:sz w:val="22"/>
          <w:szCs w:val="22"/>
          <w:lang w:val="sr-Latn-ME"/>
        </w:rPr>
        <w:t>Objektivna stopa odgovora po RECIST u grupi koja je primala erlotinib iznosila je 8,9% (95% CI, 6,4 do 12,0). Kod prvih 330 pacijenata stopu odgovora proc</w:t>
      </w:r>
      <w:r w:rsidR="008C4D88" w:rsidRPr="00FB6F73">
        <w:rPr>
          <w:sz w:val="22"/>
          <w:szCs w:val="22"/>
          <w:lang w:val="sr-Latn-ME"/>
        </w:rPr>
        <w:t>ij</w:t>
      </w:r>
      <w:r w:rsidRPr="00FB6F73">
        <w:rPr>
          <w:sz w:val="22"/>
          <w:szCs w:val="22"/>
          <w:lang w:val="sr-Latn-ME"/>
        </w:rPr>
        <w:t>enila je nezavisna centralna komisija (stopa odgovora 6,2%); a kod 401 pacijenta stopu odgovora proc</w:t>
      </w:r>
      <w:r w:rsidR="008C4D88" w:rsidRPr="00FB6F73">
        <w:rPr>
          <w:sz w:val="22"/>
          <w:szCs w:val="22"/>
          <w:lang w:val="sr-Latn-ME"/>
        </w:rPr>
        <w:t>ij</w:t>
      </w:r>
      <w:r w:rsidRPr="00FB6F73">
        <w:rPr>
          <w:sz w:val="22"/>
          <w:szCs w:val="22"/>
          <w:lang w:val="sr-Latn-ME"/>
        </w:rPr>
        <w:t xml:space="preserve">enio je istraživač (stopa odgovora 11,2%). </w:t>
      </w:r>
    </w:p>
    <w:p w14:paraId="12EBE137" w14:textId="44DA20B6" w:rsidR="00136217" w:rsidRPr="00FB6F73" w:rsidRDefault="00136217" w:rsidP="00981FFD">
      <w:pPr>
        <w:jc w:val="both"/>
        <w:rPr>
          <w:sz w:val="22"/>
          <w:szCs w:val="22"/>
          <w:lang w:val="sr-Latn-ME"/>
        </w:rPr>
      </w:pPr>
      <w:r w:rsidRPr="00FB6F73">
        <w:rPr>
          <w:sz w:val="22"/>
          <w:szCs w:val="22"/>
          <w:lang w:val="sr-Latn-ME"/>
        </w:rPr>
        <w:lastRenderedPageBreak/>
        <w:t>Medijana trajanja odgovora iznosila je 34,3 ned</w:t>
      </w:r>
      <w:r w:rsidR="008C4D88" w:rsidRPr="00FB6F73">
        <w:rPr>
          <w:sz w:val="22"/>
          <w:szCs w:val="22"/>
          <w:lang w:val="sr-Latn-ME"/>
        </w:rPr>
        <w:t>j</w:t>
      </w:r>
      <w:r w:rsidRPr="00FB6F73">
        <w:rPr>
          <w:sz w:val="22"/>
          <w:szCs w:val="22"/>
          <w:lang w:val="sr-Latn-ME"/>
        </w:rPr>
        <w:t>elje, i kretala se u rasponu između 9,7 do 57,6+ ned</w:t>
      </w:r>
      <w:r w:rsidR="008C4D88" w:rsidRPr="00FB6F73">
        <w:rPr>
          <w:sz w:val="22"/>
          <w:szCs w:val="22"/>
          <w:lang w:val="sr-Latn-ME"/>
        </w:rPr>
        <w:t>j</w:t>
      </w:r>
      <w:r w:rsidRPr="00FB6F73">
        <w:rPr>
          <w:sz w:val="22"/>
          <w:szCs w:val="22"/>
          <w:lang w:val="sr-Latn-ME"/>
        </w:rPr>
        <w:t xml:space="preserve">elja. Procenat pacijenata koji su ostvarili kompletan odgovor, parcijalan odgovor ili stabilizaciju bolesti iznosio je 44,0% u grupi koja je primala erlotinib odnosno 27,5% u grupi koja je primala placebo (p=0,004). </w:t>
      </w:r>
    </w:p>
    <w:p w14:paraId="7E2BB426" w14:textId="77777777" w:rsidR="00136217" w:rsidRPr="00FB6F73" w:rsidRDefault="00136217" w:rsidP="00981FFD">
      <w:pPr>
        <w:jc w:val="both"/>
        <w:rPr>
          <w:sz w:val="22"/>
          <w:szCs w:val="22"/>
          <w:u w:val="single"/>
          <w:lang w:val="sr-Latn-ME"/>
        </w:rPr>
      </w:pPr>
    </w:p>
    <w:p w14:paraId="6DAB0658" w14:textId="115168FD" w:rsidR="00136217" w:rsidRPr="00FB6F73" w:rsidRDefault="00136217" w:rsidP="00981FFD">
      <w:pPr>
        <w:jc w:val="both"/>
        <w:rPr>
          <w:sz w:val="22"/>
          <w:szCs w:val="22"/>
          <w:lang w:val="sr-Latn-ME"/>
        </w:rPr>
      </w:pPr>
      <w:r w:rsidRPr="00FB6F73">
        <w:rPr>
          <w:sz w:val="22"/>
          <w:szCs w:val="22"/>
          <w:lang w:val="sr-Latn-ME"/>
        </w:rPr>
        <w:t>Prednost u preživljavanju sa erlotinibom uočena je takođe i kod pacijenata koji nisu postigli objektivan tumorski odgovor (prema RECIST). Ovo je dokazano indeksom rizika za smrtni ishod od 0,82 (95% CI, 0,68 do 0,99) među pacijentima čiji je najbolji odgovor bio stabilna bolest ili progresija bolesti</w:t>
      </w:r>
      <w:r w:rsidR="008C4D88" w:rsidRPr="00FB6F73">
        <w:rPr>
          <w:sz w:val="22"/>
          <w:szCs w:val="22"/>
          <w:lang w:val="sr-Latn-ME"/>
        </w:rPr>
        <w:t>.</w:t>
      </w:r>
    </w:p>
    <w:p w14:paraId="551F5794" w14:textId="77777777" w:rsidR="00136217" w:rsidRPr="00FB6F73" w:rsidRDefault="00136217" w:rsidP="00981FFD">
      <w:pPr>
        <w:jc w:val="both"/>
        <w:rPr>
          <w:sz w:val="22"/>
          <w:szCs w:val="22"/>
          <w:u w:val="single"/>
          <w:lang w:val="sr-Latn-ME"/>
        </w:rPr>
      </w:pPr>
    </w:p>
    <w:p w14:paraId="2E6F9B1D" w14:textId="23E0004F" w:rsidR="00136217" w:rsidRPr="00FB6F73" w:rsidRDefault="00FD4480" w:rsidP="00981FFD">
      <w:pPr>
        <w:jc w:val="both"/>
        <w:rPr>
          <w:sz w:val="22"/>
          <w:szCs w:val="22"/>
          <w:lang w:val="sr-Latn-ME"/>
        </w:rPr>
      </w:pPr>
      <w:r w:rsidRPr="00FB6F73">
        <w:rPr>
          <w:sz w:val="22"/>
          <w:szCs w:val="22"/>
          <w:lang w:val="sr-Latn-ME"/>
        </w:rPr>
        <w:t>Primjena</w:t>
      </w:r>
      <w:r w:rsidR="00136217" w:rsidRPr="00FB6F73">
        <w:rPr>
          <w:sz w:val="22"/>
          <w:szCs w:val="22"/>
          <w:lang w:val="sr-Latn-ME"/>
        </w:rPr>
        <w:t xml:space="preserve"> erlotiniba dovela je do poboljšanja simptoma time što je značajno produženo vr</w:t>
      </w:r>
      <w:r w:rsidR="008C4D88" w:rsidRPr="00FB6F73">
        <w:rPr>
          <w:sz w:val="22"/>
          <w:szCs w:val="22"/>
          <w:lang w:val="sr-Latn-ME"/>
        </w:rPr>
        <w:t>ij</w:t>
      </w:r>
      <w:r w:rsidR="00136217" w:rsidRPr="00FB6F73">
        <w:rPr>
          <w:sz w:val="22"/>
          <w:szCs w:val="22"/>
          <w:lang w:val="sr-Latn-ME"/>
        </w:rPr>
        <w:t xml:space="preserve">eme do pogoršanja kašlja, dispnee i bola, u poređenju sa placebom. </w:t>
      </w:r>
    </w:p>
    <w:p w14:paraId="5AD287CB" w14:textId="59B06AE2" w:rsidR="00835CFF" w:rsidRPr="00FB6F73" w:rsidRDefault="00835CFF" w:rsidP="00981FFD">
      <w:pPr>
        <w:jc w:val="both"/>
        <w:rPr>
          <w:sz w:val="22"/>
          <w:szCs w:val="22"/>
          <w:lang w:val="sr-Latn-ME"/>
        </w:rPr>
      </w:pPr>
    </w:p>
    <w:p w14:paraId="20958F13" w14:textId="47FC5E4B" w:rsidR="00835CFF" w:rsidRPr="00FB6F73" w:rsidRDefault="00835CFF" w:rsidP="00981FFD">
      <w:pPr>
        <w:jc w:val="both"/>
        <w:rPr>
          <w:sz w:val="22"/>
          <w:szCs w:val="22"/>
          <w:lang w:val="sr-Latn-ME"/>
        </w:rPr>
      </w:pPr>
      <w:r w:rsidRPr="00FB6F73">
        <w:rPr>
          <w:sz w:val="22"/>
          <w:szCs w:val="22"/>
          <w:lang w:val="sr-Latn-ME"/>
        </w:rPr>
        <w:t xml:space="preserve">U dvostruko slijepom, </w:t>
      </w:r>
      <w:r w:rsidR="005A37D9" w:rsidRPr="00FB6F73">
        <w:rPr>
          <w:sz w:val="22"/>
          <w:szCs w:val="22"/>
          <w:lang w:val="sr-Latn-ME"/>
        </w:rPr>
        <w:t xml:space="preserve">randomizovanom </w:t>
      </w:r>
      <w:r w:rsidRPr="00FB6F73">
        <w:rPr>
          <w:sz w:val="22"/>
          <w:szCs w:val="22"/>
          <w:lang w:val="sr-Latn-ME"/>
        </w:rPr>
        <w:t xml:space="preserve">ispitivanju faze III (MO22162, CURRENTS), u kojem su se upoređivale dvije doze </w:t>
      </w:r>
      <w:r w:rsidR="005A37D9" w:rsidRPr="00FB6F73">
        <w:rPr>
          <w:sz w:val="22"/>
          <w:szCs w:val="22"/>
          <w:lang w:val="sr-Latn-ME"/>
        </w:rPr>
        <w:t>erlotiniba</w:t>
      </w:r>
      <w:r w:rsidRPr="00FB6F73">
        <w:rPr>
          <w:sz w:val="22"/>
          <w:szCs w:val="22"/>
          <w:lang w:val="sr-Latn-ME"/>
        </w:rPr>
        <w:t xml:space="preserve"> (300 mg naspram 150 mg) </w:t>
      </w:r>
      <w:r w:rsidR="008C4D88" w:rsidRPr="00FB6F73">
        <w:rPr>
          <w:sz w:val="22"/>
          <w:szCs w:val="22"/>
          <w:lang w:val="sr-Latn-ME"/>
        </w:rPr>
        <w:t xml:space="preserve">kod pacijenata </w:t>
      </w:r>
      <w:r w:rsidRPr="00FB6F73">
        <w:rPr>
          <w:sz w:val="22"/>
          <w:szCs w:val="22"/>
          <w:lang w:val="sr-Latn-ME"/>
        </w:rPr>
        <w:t>pušača (srednja vrijednost 38 kutija-godina) s lokalno uznapredovalim ili metastatskim NSCLC-om u drugoj liniji liječenja nakon neuspješne hem</w:t>
      </w:r>
      <w:r w:rsidR="00BC1194" w:rsidRPr="00FB6F73">
        <w:rPr>
          <w:sz w:val="22"/>
          <w:szCs w:val="22"/>
          <w:lang w:val="sr-Latn-ME"/>
        </w:rPr>
        <w:t>i</w:t>
      </w:r>
      <w:r w:rsidRPr="00FB6F73">
        <w:rPr>
          <w:sz w:val="22"/>
          <w:szCs w:val="22"/>
          <w:lang w:val="sr-Latn-ME"/>
        </w:rPr>
        <w:t xml:space="preserve">oterapije, doza </w:t>
      </w:r>
      <w:r w:rsidR="005A37D9" w:rsidRPr="00FB6F73">
        <w:rPr>
          <w:sz w:val="22"/>
          <w:szCs w:val="22"/>
          <w:lang w:val="sr-Latn-ME"/>
        </w:rPr>
        <w:t>erlotiniba</w:t>
      </w:r>
      <w:r w:rsidRPr="00FB6F73">
        <w:rPr>
          <w:sz w:val="22"/>
          <w:szCs w:val="22"/>
          <w:lang w:val="sr-Latn-ME"/>
        </w:rPr>
        <w:t xml:space="preserve"> od 300 mg nije ostvarila dodatne korisne efekte na PFS u odnosu na preporučenu dozu (7,00 naspram 6,86 ned</w:t>
      </w:r>
      <w:r w:rsidR="008C4D88" w:rsidRPr="00FB6F73">
        <w:rPr>
          <w:sz w:val="22"/>
          <w:szCs w:val="22"/>
          <w:lang w:val="sr-Latn-ME"/>
        </w:rPr>
        <w:t>j</w:t>
      </w:r>
      <w:r w:rsidRPr="00FB6F73">
        <w:rPr>
          <w:sz w:val="22"/>
          <w:szCs w:val="22"/>
          <w:lang w:val="sr-Latn-ME"/>
        </w:rPr>
        <w:t xml:space="preserve">elje).  </w:t>
      </w:r>
    </w:p>
    <w:p w14:paraId="22F64D3F" w14:textId="37DFA2B1" w:rsidR="00F42273" w:rsidRPr="00FB6F73" w:rsidRDefault="00835CFF" w:rsidP="00981FFD">
      <w:pPr>
        <w:jc w:val="both"/>
        <w:rPr>
          <w:sz w:val="22"/>
          <w:szCs w:val="22"/>
          <w:lang w:val="sr-Latn-ME"/>
        </w:rPr>
      </w:pPr>
      <w:r w:rsidRPr="00FB6F73">
        <w:rPr>
          <w:sz w:val="22"/>
          <w:szCs w:val="22"/>
          <w:lang w:val="sr-Latn-ME"/>
        </w:rPr>
        <w:t xml:space="preserve">Sve sekundarne mjere ishoda za </w:t>
      </w:r>
      <w:r w:rsidR="008C4D88" w:rsidRPr="00FB6F73">
        <w:rPr>
          <w:sz w:val="22"/>
          <w:szCs w:val="22"/>
          <w:lang w:val="sr-Latn-ME"/>
        </w:rPr>
        <w:t xml:space="preserve">efikasnost </w:t>
      </w:r>
      <w:r w:rsidRPr="00FB6F73">
        <w:rPr>
          <w:sz w:val="22"/>
          <w:szCs w:val="22"/>
          <w:lang w:val="sr-Latn-ME"/>
        </w:rPr>
        <w:t xml:space="preserve">bile su u skladu s primarnom mjerom ishoda te nije opažena razlika za OS između </w:t>
      </w:r>
      <w:r w:rsidR="008C4D88" w:rsidRPr="00FB6F73">
        <w:rPr>
          <w:sz w:val="22"/>
          <w:szCs w:val="22"/>
          <w:lang w:val="sr-Latn-ME"/>
        </w:rPr>
        <w:t xml:space="preserve">pacijenata </w:t>
      </w:r>
      <w:r w:rsidRPr="00FB6F73">
        <w:rPr>
          <w:sz w:val="22"/>
          <w:szCs w:val="22"/>
          <w:lang w:val="sr-Latn-ME"/>
        </w:rPr>
        <w:t xml:space="preserve">liječenih erlotinibom u dozi od 300 mg na dan i onih koji su primali dozu od 150 mg na dan (HR: 1,03; 95% CI: 0,80 - 1,32). Podaci o </w:t>
      </w:r>
      <w:r w:rsidR="008C4D88" w:rsidRPr="00FB6F73">
        <w:rPr>
          <w:sz w:val="22"/>
          <w:szCs w:val="22"/>
          <w:lang w:val="sr-Latn-ME"/>
        </w:rPr>
        <w:t xml:space="preserve">bezbjednosti </w:t>
      </w:r>
      <w:r w:rsidRPr="00FB6F73">
        <w:rPr>
          <w:sz w:val="22"/>
          <w:szCs w:val="22"/>
          <w:lang w:val="sr-Latn-ME"/>
        </w:rPr>
        <w:t xml:space="preserve">za doze od 300 mg i 150 mg bili su uporedivi; međutim, </w:t>
      </w:r>
      <w:r w:rsidR="008C4D88" w:rsidRPr="00FB6F73">
        <w:rPr>
          <w:sz w:val="22"/>
          <w:szCs w:val="22"/>
          <w:lang w:val="sr-Latn-ME"/>
        </w:rPr>
        <w:t xml:space="preserve">kod pacijenata </w:t>
      </w:r>
      <w:r w:rsidRPr="00FB6F73">
        <w:rPr>
          <w:sz w:val="22"/>
          <w:szCs w:val="22"/>
          <w:lang w:val="sr-Latn-ME"/>
        </w:rPr>
        <w:t>koji su primali višu dozu erlotiniba</w:t>
      </w:r>
      <w:r w:rsidR="00F42273" w:rsidRPr="00FB6F73">
        <w:rPr>
          <w:sz w:val="22"/>
          <w:szCs w:val="22"/>
          <w:lang w:val="sr-Latn-ME"/>
        </w:rPr>
        <w:t xml:space="preserve"> zabilježeno je brojčano povećanje incidencije osipa, intersticijske bolesti pluća i </w:t>
      </w:r>
      <w:r w:rsidR="008C4D88" w:rsidRPr="00FB6F73">
        <w:rPr>
          <w:sz w:val="22"/>
          <w:szCs w:val="22"/>
          <w:lang w:val="sr-Latn-ME"/>
        </w:rPr>
        <w:t>dijareje</w:t>
      </w:r>
      <w:r w:rsidR="00F42273" w:rsidRPr="00FB6F73">
        <w:rPr>
          <w:sz w:val="22"/>
          <w:szCs w:val="22"/>
          <w:lang w:val="sr-Latn-ME"/>
        </w:rPr>
        <w:t xml:space="preserve">. Prema podacima iz ispitivanja CURRENTS, nije bilo dokaza da je korist liječenja </w:t>
      </w:r>
      <w:r w:rsidR="008C4D88" w:rsidRPr="00FB6F73">
        <w:rPr>
          <w:sz w:val="22"/>
          <w:szCs w:val="22"/>
          <w:lang w:val="sr-Latn-ME"/>
        </w:rPr>
        <w:t xml:space="preserve">kod </w:t>
      </w:r>
      <w:r w:rsidR="00F42273" w:rsidRPr="00FB6F73">
        <w:rPr>
          <w:sz w:val="22"/>
          <w:szCs w:val="22"/>
          <w:lang w:val="sr-Latn-ME"/>
        </w:rPr>
        <w:t xml:space="preserve">aktivnih pušača veća kod primjene više doze erlotiniba (300 mg) nego kod primjene preporučene doze od 150 mg. </w:t>
      </w:r>
    </w:p>
    <w:p w14:paraId="60014EC5" w14:textId="19713D84" w:rsidR="00835CFF" w:rsidRPr="00FB6F73" w:rsidRDefault="007A659B" w:rsidP="00981FFD">
      <w:pPr>
        <w:jc w:val="both"/>
        <w:rPr>
          <w:sz w:val="22"/>
          <w:szCs w:val="22"/>
          <w:lang w:val="sr-Latn-ME"/>
        </w:rPr>
      </w:pPr>
      <w:r w:rsidRPr="00FB6F73">
        <w:rPr>
          <w:sz w:val="22"/>
          <w:szCs w:val="22"/>
          <w:lang w:val="sr-Latn-ME"/>
        </w:rPr>
        <w:t>Pacijenti</w:t>
      </w:r>
      <w:r w:rsidR="00F42273" w:rsidRPr="00FB6F73">
        <w:rPr>
          <w:sz w:val="22"/>
          <w:szCs w:val="22"/>
          <w:lang w:val="sr-Latn-ME"/>
        </w:rPr>
        <w:t xml:space="preserve"> u ovom ispitivanju nisu odabirani na </w:t>
      </w:r>
      <w:r w:rsidR="008C4D88" w:rsidRPr="00FB6F73">
        <w:rPr>
          <w:sz w:val="22"/>
          <w:szCs w:val="22"/>
          <w:lang w:val="sr-Latn-ME"/>
        </w:rPr>
        <w:t xml:space="preserve">osnovu </w:t>
      </w:r>
      <w:r w:rsidR="00F42273" w:rsidRPr="00FB6F73">
        <w:rPr>
          <w:sz w:val="22"/>
          <w:szCs w:val="22"/>
          <w:lang w:val="sr-Latn-ME"/>
        </w:rPr>
        <w:t>statusa mutacije EGFR-a. Vidjeti djelove 4.2, 4.4, 4.5 i 5.2.</w:t>
      </w:r>
    </w:p>
    <w:p w14:paraId="0A9E72EB" w14:textId="77777777" w:rsidR="00136217" w:rsidRPr="00FB6F73" w:rsidRDefault="00136217" w:rsidP="00981FFD">
      <w:pPr>
        <w:jc w:val="both"/>
        <w:rPr>
          <w:sz w:val="22"/>
          <w:szCs w:val="22"/>
          <w:u w:val="single"/>
          <w:lang w:val="sr-Latn-ME"/>
        </w:rPr>
      </w:pPr>
    </w:p>
    <w:p w14:paraId="7BAB4A81" w14:textId="2851A2EF" w:rsidR="00136217" w:rsidRPr="00FB6F73" w:rsidRDefault="00136217" w:rsidP="00981FFD">
      <w:pPr>
        <w:jc w:val="both"/>
        <w:rPr>
          <w:sz w:val="22"/>
          <w:szCs w:val="22"/>
          <w:u w:val="single"/>
          <w:lang w:val="sr-Latn-ME"/>
        </w:rPr>
      </w:pPr>
      <w:r w:rsidRPr="00FB6F73">
        <w:rPr>
          <w:sz w:val="22"/>
          <w:szCs w:val="22"/>
          <w:u w:val="single"/>
          <w:lang w:val="sr-Latn-ME"/>
        </w:rPr>
        <w:t xml:space="preserve">Karcinom pankreasa (erlotinib u kombinaciji sa gemcitabinom u studiji PA.3) </w:t>
      </w:r>
    </w:p>
    <w:p w14:paraId="443D54F7" w14:textId="77777777" w:rsidR="005A37D9" w:rsidRPr="00FB6F73" w:rsidRDefault="005A37D9" w:rsidP="00981FFD">
      <w:pPr>
        <w:jc w:val="both"/>
        <w:rPr>
          <w:sz w:val="22"/>
          <w:szCs w:val="22"/>
          <w:lang w:val="sr-Latn-ME"/>
        </w:rPr>
      </w:pPr>
    </w:p>
    <w:p w14:paraId="75562C59" w14:textId="5EE46438" w:rsidR="00136217" w:rsidRPr="00FB6F73" w:rsidRDefault="00136217" w:rsidP="00981FFD">
      <w:pPr>
        <w:jc w:val="both"/>
        <w:rPr>
          <w:sz w:val="22"/>
          <w:szCs w:val="22"/>
          <w:lang w:val="sr-Latn-ME"/>
        </w:rPr>
      </w:pPr>
      <w:r w:rsidRPr="00FB6F73">
        <w:rPr>
          <w:sz w:val="22"/>
          <w:szCs w:val="22"/>
          <w:lang w:val="sr-Latn-ME"/>
        </w:rPr>
        <w:t xml:space="preserve">Efikasnost i </w:t>
      </w:r>
      <w:r w:rsidR="00FD4480" w:rsidRPr="00FB6F73">
        <w:rPr>
          <w:sz w:val="22"/>
          <w:szCs w:val="22"/>
          <w:lang w:val="sr-Latn-ME"/>
        </w:rPr>
        <w:t>bezbjednost</w:t>
      </w:r>
      <w:r w:rsidRPr="00FB6F73">
        <w:rPr>
          <w:sz w:val="22"/>
          <w:szCs w:val="22"/>
          <w:lang w:val="sr-Latn-ME"/>
        </w:rPr>
        <w:t xml:space="preserve"> erlotiniba u kombinaciji sa gemcitabinom kao prva linija terapije ispitivane su u randomizovanoj, dvostruko sl</w:t>
      </w:r>
      <w:r w:rsidR="007A659B" w:rsidRPr="00FB6F73">
        <w:rPr>
          <w:sz w:val="22"/>
          <w:szCs w:val="22"/>
          <w:lang w:val="sr-Latn-ME"/>
        </w:rPr>
        <w:t>ij</w:t>
      </w:r>
      <w:r w:rsidRPr="00FB6F73">
        <w:rPr>
          <w:sz w:val="22"/>
          <w:szCs w:val="22"/>
          <w:lang w:val="sr-Latn-ME"/>
        </w:rPr>
        <w:t>epoj, placebom kontrolisanoj studiji kod pacijenata sa lokalno uznapredovalim, neresektabilnim ili metastatskim karcinomom pankreasa. Pacijenti su randomizovani da primaju erlotinib ili placebo jednom dnevno, po kontinuiranom rasporedu zajedno sa gemcitabinom i.v. (1000 mg/m</w:t>
      </w:r>
      <w:r w:rsidRPr="00FB6F73">
        <w:rPr>
          <w:sz w:val="22"/>
          <w:szCs w:val="22"/>
          <w:vertAlign w:val="superscript"/>
          <w:lang w:val="sr-Latn-ME"/>
        </w:rPr>
        <w:t>2</w:t>
      </w:r>
      <w:r w:rsidRPr="00FB6F73">
        <w:rPr>
          <w:sz w:val="22"/>
          <w:szCs w:val="22"/>
          <w:lang w:val="sr-Latn-ME"/>
        </w:rPr>
        <w:t>, Ciklus 1 - 1., 8., 15., 22., 29., 36. i 43. dana osmoned</w:t>
      </w:r>
      <w:r w:rsidR="00E23362" w:rsidRPr="00FB6F73">
        <w:rPr>
          <w:sz w:val="22"/>
          <w:szCs w:val="22"/>
          <w:lang w:val="sr-Latn-ME"/>
        </w:rPr>
        <w:t>j</w:t>
      </w:r>
      <w:r w:rsidRPr="00FB6F73">
        <w:rPr>
          <w:sz w:val="22"/>
          <w:szCs w:val="22"/>
          <w:lang w:val="sr-Latn-ME"/>
        </w:rPr>
        <w:t>eljnog ciklusa; Ciklus 2 i svi sl</w:t>
      </w:r>
      <w:r w:rsidR="00E23362" w:rsidRPr="00FB6F73">
        <w:rPr>
          <w:sz w:val="22"/>
          <w:szCs w:val="22"/>
          <w:lang w:val="sr-Latn-ME"/>
        </w:rPr>
        <w:t>j</w:t>
      </w:r>
      <w:r w:rsidRPr="00FB6F73">
        <w:rPr>
          <w:sz w:val="22"/>
          <w:szCs w:val="22"/>
          <w:lang w:val="sr-Latn-ME"/>
        </w:rPr>
        <w:t>edeći ciklusi: 1., 8. i 15. dana četvoroned</w:t>
      </w:r>
      <w:r w:rsidR="00E23362" w:rsidRPr="00FB6F73">
        <w:rPr>
          <w:sz w:val="22"/>
          <w:szCs w:val="22"/>
          <w:lang w:val="sr-Latn-ME"/>
        </w:rPr>
        <w:t>j</w:t>
      </w:r>
      <w:r w:rsidRPr="00FB6F73">
        <w:rPr>
          <w:sz w:val="22"/>
          <w:szCs w:val="22"/>
          <w:lang w:val="sr-Latn-ME"/>
        </w:rPr>
        <w:t xml:space="preserve">eljnog ciklusa [za odobrene doze i režime doziranja za karcinom pankreasa </w:t>
      </w:r>
      <w:r w:rsidR="00FD4480" w:rsidRPr="00FB6F73">
        <w:rPr>
          <w:sz w:val="22"/>
          <w:szCs w:val="22"/>
          <w:lang w:val="sr-Latn-ME"/>
        </w:rPr>
        <w:t>vidjeti</w:t>
      </w:r>
      <w:r w:rsidRPr="00FB6F73">
        <w:rPr>
          <w:sz w:val="22"/>
          <w:szCs w:val="22"/>
          <w:lang w:val="sr-Latn-ME"/>
        </w:rPr>
        <w:t xml:space="preserve"> Sažetak karakteristika </w:t>
      </w:r>
      <w:r w:rsidR="00FD4480" w:rsidRPr="00FB6F73">
        <w:rPr>
          <w:sz w:val="22"/>
          <w:szCs w:val="22"/>
          <w:lang w:val="sr-Latn-ME"/>
        </w:rPr>
        <w:t>lijek</w:t>
      </w:r>
      <w:r w:rsidRPr="00FB6F73">
        <w:rPr>
          <w:sz w:val="22"/>
          <w:szCs w:val="22"/>
          <w:lang w:val="sr-Latn-ME"/>
        </w:rPr>
        <w:t>a za gemcitabin]. Erlotinib ili placebo su uzimani oralno jednom dnevno sve do progresije bolesti ili neprihvatljive toksičnosti. Primarni parametar praćenja ishoda je bio ukupno preživljavanje</w:t>
      </w:r>
      <w:r w:rsidR="00F42273" w:rsidRPr="00FB6F73">
        <w:rPr>
          <w:sz w:val="22"/>
          <w:szCs w:val="22"/>
          <w:lang w:val="sr-Latn-ME"/>
        </w:rPr>
        <w:t xml:space="preserve"> (OS)</w:t>
      </w:r>
      <w:r w:rsidRPr="00FB6F73">
        <w:rPr>
          <w:sz w:val="22"/>
          <w:szCs w:val="22"/>
          <w:lang w:val="sr-Latn-ME"/>
        </w:rPr>
        <w:t xml:space="preserve">. </w:t>
      </w:r>
    </w:p>
    <w:p w14:paraId="05F04B58" w14:textId="77777777" w:rsidR="00136217" w:rsidRPr="00FB6F73" w:rsidRDefault="00136217" w:rsidP="00981FFD">
      <w:pPr>
        <w:jc w:val="both"/>
        <w:rPr>
          <w:sz w:val="22"/>
          <w:szCs w:val="22"/>
          <w:u w:val="single"/>
          <w:lang w:val="sr-Latn-ME"/>
        </w:rPr>
      </w:pPr>
    </w:p>
    <w:p w14:paraId="6E872FEE" w14:textId="7AE5976D" w:rsidR="00136217" w:rsidRPr="00FB6F73" w:rsidRDefault="00136217" w:rsidP="00981FFD">
      <w:pPr>
        <w:jc w:val="both"/>
        <w:rPr>
          <w:sz w:val="22"/>
          <w:szCs w:val="22"/>
          <w:lang w:val="sr-Latn-ME"/>
        </w:rPr>
      </w:pPr>
      <w:r w:rsidRPr="00FB6F73">
        <w:rPr>
          <w:sz w:val="22"/>
          <w:szCs w:val="22"/>
          <w:lang w:val="sr-Latn-ME"/>
        </w:rPr>
        <w:t>Ob</w:t>
      </w:r>
      <w:r w:rsidR="007A659B" w:rsidRPr="00FB6F73">
        <w:rPr>
          <w:sz w:val="22"/>
          <w:szCs w:val="22"/>
          <w:lang w:val="sr-Latn-ME"/>
        </w:rPr>
        <w:t>j</w:t>
      </w:r>
      <w:r w:rsidRPr="00FB6F73">
        <w:rPr>
          <w:sz w:val="22"/>
          <w:szCs w:val="22"/>
          <w:lang w:val="sr-Latn-ME"/>
        </w:rPr>
        <w:t>e terapijske grupe bile su usklađene po demografskim parametrima i opštim osobinama bolesti, 100 mg erlotiniba plus gemcitabin u poređenju sa placebo</w:t>
      </w:r>
      <w:r w:rsidR="00E23362" w:rsidRPr="00FB6F73">
        <w:rPr>
          <w:sz w:val="22"/>
          <w:szCs w:val="22"/>
          <w:lang w:val="sr-Latn-ME"/>
        </w:rPr>
        <w:t>m</w:t>
      </w:r>
      <w:r w:rsidRPr="00FB6F73">
        <w:rPr>
          <w:sz w:val="22"/>
          <w:szCs w:val="22"/>
          <w:lang w:val="sr-Latn-ME"/>
        </w:rPr>
        <w:t xml:space="preserve"> plus gemcitabin, osim što je u grupi erlotinib/gemcitabin bilo neznatno više žena u poređenju sa grupom placebo/gemcitabin: </w:t>
      </w:r>
    </w:p>
    <w:p w14:paraId="1D28C0E8" w14:textId="77777777" w:rsidR="007A659B" w:rsidRPr="00FB6F73" w:rsidRDefault="007A659B" w:rsidP="00136217">
      <w:pPr>
        <w:rPr>
          <w:sz w:val="22"/>
          <w:szCs w:val="22"/>
          <w:lang w:val="sr-Latn-M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5"/>
        <w:gridCol w:w="1987"/>
        <w:gridCol w:w="1971"/>
      </w:tblGrid>
      <w:tr w:rsidR="00136217" w:rsidRPr="00FB6F73" w14:paraId="78678DF7" w14:textId="77777777" w:rsidTr="00136217">
        <w:tc>
          <w:tcPr>
            <w:tcW w:w="5263" w:type="dxa"/>
            <w:tcBorders>
              <w:top w:val="single" w:sz="4" w:space="0" w:color="000000"/>
              <w:left w:val="single" w:sz="4" w:space="0" w:color="000000"/>
              <w:bottom w:val="single" w:sz="4" w:space="0" w:color="000000"/>
              <w:right w:val="single" w:sz="4" w:space="0" w:color="000000"/>
            </w:tcBorders>
            <w:hideMark/>
          </w:tcPr>
          <w:p w14:paraId="5346A9CE" w14:textId="522CD9B5" w:rsidR="00136217" w:rsidRPr="00FB6F73" w:rsidRDefault="005A37D9" w:rsidP="005A37D9">
            <w:pPr>
              <w:rPr>
                <w:b/>
                <w:sz w:val="22"/>
                <w:szCs w:val="22"/>
                <w:lang w:val="sr-Latn-ME"/>
              </w:rPr>
            </w:pPr>
            <w:r w:rsidRPr="00FB6F73">
              <w:rPr>
                <w:b/>
                <w:sz w:val="22"/>
                <w:szCs w:val="22"/>
                <w:lang w:val="sr-Latn-ME"/>
              </w:rPr>
              <w:t>Na početku ispitivanja</w:t>
            </w:r>
          </w:p>
        </w:tc>
        <w:tc>
          <w:tcPr>
            <w:tcW w:w="2025" w:type="dxa"/>
            <w:tcBorders>
              <w:top w:val="single" w:sz="4" w:space="0" w:color="000000"/>
              <w:left w:val="single" w:sz="4" w:space="0" w:color="000000"/>
              <w:bottom w:val="single" w:sz="4" w:space="0" w:color="000000"/>
              <w:right w:val="single" w:sz="4" w:space="0" w:color="000000"/>
            </w:tcBorders>
            <w:hideMark/>
          </w:tcPr>
          <w:p w14:paraId="58ED36DA" w14:textId="77777777" w:rsidR="00136217" w:rsidRPr="00FB6F73" w:rsidRDefault="00136217" w:rsidP="00136217">
            <w:pPr>
              <w:jc w:val="center"/>
              <w:rPr>
                <w:b/>
                <w:sz w:val="22"/>
                <w:szCs w:val="22"/>
                <w:lang w:val="sr-Latn-ME"/>
              </w:rPr>
            </w:pPr>
            <w:r w:rsidRPr="00FB6F73">
              <w:rPr>
                <w:b/>
                <w:sz w:val="22"/>
                <w:szCs w:val="22"/>
                <w:lang w:val="sr-Latn-ME"/>
              </w:rPr>
              <w:t>Erlotinib</w:t>
            </w:r>
          </w:p>
        </w:tc>
        <w:tc>
          <w:tcPr>
            <w:tcW w:w="2013" w:type="dxa"/>
            <w:tcBorders>
              <w:top w:val="single" w:sz="4" w:space="0" w:color="000000"/>
              <w:left w:val="single" w:sz="4" w:space="0" w:color="000000"/>
              <w:bottom w:val="single" w:sz="4" w:space="0" w:color="000000"/>
              <w:right w:val="single" w:sz="4" w:space="0" w:color="000000"/>
            </w:tcBorders>
            <w:hideMark/>
          </w:tcPr>
          <w:p w14:paraId="1F5E1C11" w14:textId="77777777" w:rsidR="00136217" w:rsidRPr="00FB6F73" w:rsidRDefault="00136217" w:rsidP="00136217">
            <w:pPr>
              <w:jc w:val="center"/>
              <w:rPr>
                <w:b/>
                <w:sz w:val="22"/>
                <w:szCs w:val="22"/>
                <w:lang w:val="sr-Latn-ME"/>
              </w:rPr>
            </w:pPr>
            <w:r w:rsidRPr="00FB6F73">
              <w:rPr>
                <w:b/>
                <w:sz w:val="22"/>
                <w:szCs w:val="22"/>
                <w:lang w:val="sr-Latn-ME"/>
              </w:rPr>
              <w:t>Placebo</w:t>
            </w:r>
          </w:p>
        </w:tc>
      </w:tr>
      <w:tr w:rsidR="00136217" w:rsidRPr="00FB6F73" w14:paraId="5534B209" w14:textId="77777777" w:rsidTr="00136217">
        <w:tc>
          <w:tcPr>
            <w:tcW w:w="5263" w:type="dxa"/>
            <w:tcBorders>
              <w:top w:val="single" w:sz="4" w:space="0" w:color="000000"/>
              <w:left w:val="single" w:sz="4" w:space="0" w:color="000000"/>
              <w:bottom w:val="single" w:sz="4" w:space="0" w:color="000000"/>
              <w:right w:val="single" w:sz="4" w:space="0" w:color="000000"/>
            </w:tcBorders>
            <w:hideMark/>
          </w:tcPr>
          <w:p w14:paraId="37BE3C1C" w14:textId="77777777" w:rsidR="00136217" w:rsidRPr="00FB6F73" w:rsidRDefault="00136217" w:rsidP="00136217">
            <w:pPr>
              <w:rPr>
                <w:sz w:val="22"/>
                <w:szCs w:val="22"/>
                <w:lang w:val="sr-Latn-ME"/>
              </w:rPr>
            </w:pPr>
            <w:r w:rsidRPr="00FB6F73">
              <w:rPr>
                <w:sz w:val="22"/>
                <w:szCs w:val="22"/>
                <w:lang w:val="sr-Latn-ME"/>
              </w:rPr>
              <w:t>Žene</w:t>
            </w:r>
          </w:p>
        </w:tc>
        <w:tc>
          <w:tcPr>
            <w:tcW w:w="2025" w:type="dxa"/>
            <w:tcBorders>
              <w:top w:val="single" w:sz="4" w:space="0" w:color="000000"/>
              <w:left w:val="single" w:sz="4" w:space="0" w:color="000000"/>
              <w:bottom w:val="single" w:sz="4" w:space="0" w:color="000000"/>
              <w:right w:val="single" w:sz="4" w:space="0" w:color="000000"/>
            </w:tcBorders>
            <w:hideMark/>
          </w:tcPr>
          <w:p w14:paraId="1814CFEC" w14:textId="77777777" w:rsidR="00136217" w:rsidRPr="00FB6F73" w:rsidRDefault="00136217" w:rsidP="00136217">
            <w:pPr>
              <w:jc w:val="center"/>
              <w:rPr>
                <w:sz w:val="22"/>
                <w:szCs w:val="22"/>
                <w:lang w:val="sr-Latn-ME"/>
              </w:rPr>
            </w:pPr>
            <w:r w:rsidRPr="00FB6F73">
              <w:rPr>
                <w:sz w:val="22"/>
                <w:szCs w:val="22"/>
                <w:lang w:val="sr-Latn-ME"/>
              </w:rPr>
              <w:t>51%</w:t>
            </w:r>
          </w:p>
        </w:tc>
        <w:tc>
          <w:tcPr>
            <w:tcW w:w="2013" w:type="dxa"/>
            <w:tcBorders>
              <w:top w:val="single" w:sz="4" w:space="0" w:color="000000"/>
              <w:left w:val="single" w:sz="4" w:space="0" w:color="000000"/>
              <w:bottom w:val="single" w:sz="4" w:space="0" w:color="000000"/>
              <w:right w:val="single" w:sz="4" w:space="0" w:color="000000"/>
            </w:tcBorders>
            <w:hideMark/>
          </w:tcPr>
          <w:p w14:paraId="71794ABA" w14:textId="77777777" w:rsidR="00136217" w:rsidRPr="00FB6F73" w:rsidRDefault="00136217" w:rsidP="00136217">
            <w:pPr>
              <w:jc w:val="center"/>
              <w:rPr>
                <w:sz w:val="22"/>
                <w:szCs w:val="22"/>
                <w:lang w:val="sr-Latn-ME"/>
              </w:rPr>
            </w:pPr>
            <w:r w:rsidRPr="00FB6F73">
              <w:rPr>
                <w:sz w:val="22"/>
                <w:szCs w:val="22"/>
                <w:lang w:val="sr-Latn-ME"/>
              </w:rPr>
              <w:t>44%</w:t>
            </w:r>
          </w:p>
        </w:tc>
      </w:tr>
      <w:tr w:rsidR="00136217" w:rsidRPr="00FB6F73" w14:paraId="2978D010" w14:textId="77777777" w:rsidTr="00136217">
        <w:tc>
          <w:tcPr>
            <w:tcW w:w="5263" w:type="dxa"/>
            <w:tcBorders>
              <w:top w:val="single" w:sz="4" w:space="0" w:color="000000"/>
              <w:left w:val="single" w:sz="4" w:space="0" w:color="000000"/>
              <w:bottom w:val="single" w:sz="4" w:space="0" w:color="000000"/>
              <w:right w:val="single" w:sz="4" w:space="0" w:color="000000"/>
            </w:tcBorders>
            <w:hideMark/>
          </w:tcPr>
          <w:p w14:paraId="619EF5D5" w14:textId="77777777" w:rsidR="00136217" w:rsidRPr="00FB6F73" w:rsidRDefault="00136217" w:rsidP="00136217">
            <w:pPr>
              <w:rPr>
                <w:sz w:val="22"/>
                <w:szCs w:val="22"/>
                <w:lang w:val="sr-Latn-ME"/>
              </w:rPr>
            </w:pPr>
            <w:r w:rsidRPr="00FB6F73">
              <w:rPr>
                <w:sz w:val="22"/>
                <w:szCs w:val="22"/>
                <w:lang w:val="sr-Latn-ME"/>
              </w:rPr>
              <w:t>Početni ECOG performans status (PS) = 0</w:t>
            </w:r>
          </w:p>
        </w:tc>
        <w:tc>
          <w:tcPr>
            <w:tcW w:w="2025" w:type="dxa"/>
            <w:tcBorders>
              <w:top w:val="single" w:sz="4" w:space="0" w:color="000000"/>
              <w:left w:val="single" w:sz="4" w:space="0" w:color="000000"/>
              <w:bottom w:val="single" w:sz="4" w:space="0" w:color="000000"/>
              <w:right w:val="single" w:sz="4" w:space="0" w:color="000000"/>
            </w:tcBorders>
            <w:hideMark/>
          </w:tcPr>
          <w:p w14:paraId="2A49E22B" w14:textId="77777777" w:rsidR="00136217" w:rsidRPr="00FB6F73" w:rsidRDefault="00136217" w:rsidP="00136217">
            <w:pPr>
              <w:jc w:val="center"/>
              <w:rPr>
                <w:sz w:val="22"/>
                <w:szCs w:val="22"/>
                <w:lang w:val="sr-Latn-ME"/>
              </w:rPr>
            </w:pPr>
            <w:r w:rsidRPr="00FB6F73">
              <w:rPr>
                <w:sz w:val="22"/>
                <w:szCs w:val="22"/>
                <w:lang w:val="sr-Latn-ME"/>
              </w:rPr>
              <w:t>31%</w:t>
            </w:r>
          </w:p>
        </w:tc>
        <w:tc>
          <w:tcPr>
            <w:tcW w:w="2013" w:type="dxa"/>
            <w:tcBorders>
              <w:top w:val="single" w:sz="4" w:space="0" w:color="000000"/>
              <w:left w:val="single" w:sz="4" w:space="0" w:color="000000"/>
              <w:bottom w:val="single" w:sz="4" w:space="0" w:color="000000"/>
              <w:right w:val="single" w:sz="4" w:space="0" w:color="000000"/>
            </w:tcBorders>
            <w:hideMark/>
          </w:tcPr>
          <w:p w14:paraId="6F7653C6" w14:textId="77777777" w:rsidR="00136217" w:rsidRPr="00FB6F73" w:rsidRDefault="00136217" w:rsidP="00136217">
            <w:pPr>
              <w:jc w:val="center"/>
              <w:rPr>
                <w:sz w:val="22"/>
                <w:szCs w:val="22"/>
                <w:lang w:val="sr-Latn-ME"/>
              </w:rPr>
            </w:pPr>
            <w:r w:rsidRPr="00FB6F73">
              <w:rPr>
                <w:sz w:val="22"/>
                <w:szCs w:val="22"/>
                <w:lang w:val="sr-Latn-ME"/>
              </w:rPr>
              <w:t>32%</w:t>
            </w:r>
          </w:p>
        </w:tc>
      </w:tr>
      <w:tr w:rsidR="00136217" w:rsidRPr="00FB6F73" w14:paraId="35017DBC" w14:textId="77777777" w:rsidTr="00136217">
        <w:tc>
          <w:tcPr>
            <w:tcW w:w="5263" w:type="dxa"/>
            <w:tcBorders>
              <w:top w:val="single" w:sz="4" w:space="0" w:color="000000"/>
              <w:left w:val="single" w:sz="4" w:space="0" w:color="000000"/>
              <w:bottom w:val="single" w:sz="4" w:space="0" w:color="000000"/>
              <w:right w:val="single" w:sz="4" w:space="0" w:color="000000"/>
            </w:tcBorders>
            <w:hideMark/>
          </w:tcPr>
          <w:p w14:paraId="1AD2B67A" w14:textId="77777777" w:rsidR="00136217" w:rsidRPr="00FB6F73" w:rsidRDefault="00136217" w:rsidP="00136217">
            <w:pPr>
              <w:rPr>
                <w:sz w:val="22"/>
                <w:szCs w:val="22"/>
                <w:lang w:val="sr-Latn-ME"/>
              </w:rPr>
            </w:pPr>
            <w:r w:rsidRPr="00FB6F73">
              <w:rPr>
                <w:sz w:val="22"/>
                <w:szCs w:val="22"/>
                <w:lang w:val="sr-Latn-ME"/>
              </w:rPr>
              <w:t>Početni ECOG performans status (PS) = 1</w:t>
            </w:r>
          </w:p>
        </w:tc>
        <w:tc>
          <w:tcPr>
            <w:tcW w:w="2025" w:type="dxa"/>
            <w:tcBorders>
              <w:top w:val="single" w:sz="4" w:space="0" w:color="000000"/>
              <w:left w:val="single" w:sz="4" w:space="0" w:color="000000"/>
              <w:bottom w:val="single" w:sz="4" w:space="0" w:color="000000"/>
              <w:right w:val="single" w:sz="4" w:space="0" w:color="000000"/>
            </w:tcBorders>
            <w:hideMark/>
          </w:tcPr>
          <w:p w14:paraId="20AF36CC" w14:textId="77777777" w:rsidR="00136217" w:rsidRPr="00FB6F73" w:rsidRDefault="00136217" w:rsidP="00136217">
            <w:pPr>
              <w:jc w:val="center"/>
              <w:rPr>
                <w:sz w:val="22"/>
                <w:szCs w:val="22"/>
                <w:lang w:val="sr-Latn-ME"/>
              </w:rPr>
            </w:pPr>
            <w:r w:rsidRPr="00FB6F73">
              <w:rPr>
                <w:sz w:val="22"/>
                <w:szCs w:val="22"/>
                <w:lang w:val="sr-Latn-ME"/>
              </w:rPr>
              <w:t>51%</w:t>
            </w:r>
          </w:p>
        </w:tc>
        <w:tc>
          <w:tcPr>
            <w:tcW w:w="2013" w:type="dxa"/>
            <w:tcBorders>
              <w:top w:val="single" w:sz="4" w:space="0" w:color="000000"/>
              <w:left w:val="single" w:sz="4" w:space="0" w:color="000000"/>
              <w:bottom w:val="single" w:sz="4" w:space="0" w:color="000000"/>
              <w:right w:val="single" w:sz="4" w:space="0" w:color="000000"/>
            </w:tcBorders>
            <w:hideMark/>
          </w:tcPr>
          <w:p w14:paraId="7CD5E6BB" w14:textId="77777777" w:rsidR="00136217" w:rsidRPr="00FB6F73" w:rsidRDefault="00136217" w:rsidP="00136217">
            <w:pPr>
              <w:jc w:val="center"/>
              <w:rPr>
                <w:sz w:val="22"/>
                <w:szCs w:val="22"/>
                <w:lang w:val="sr-Latn-ME"/>
              </w:rPr>
            </w:pPr>
            <w:r w:rsidRPr="00FB6F73">
              <w:rPr>
                <w:sz w:val="22"/>
                <w:szCs w:val="22"/>
                <w:lang w:val="sr-Latn-ME"/>
              </w:rPr>
              <w:t>51%</w:t>
            </w:r>
          </w:p>
        </w:tc>
      </w:tr>
      <w:tr w:rsidR="00136217" w:rsidRPr="00FB6F73" w14:paraId="293CC8F2" w14:textId="77777777" w:rsidTr="00136217">
        <w:tc>
          <w:tcPr>
            <w:tcW w:w="5263" w:type="dxa"/>
            <w:tcBorders>
              <w:top w:val="single" w:sz="4" w:space="0" w:color="000000"/>
              <w:left w:val="single" w:sz="4" w:space="0" w:color="000000"/>
              <w:bottom w:val="single" w:sz="4" w:space="0" w:color="000000"/>
              <w:right w:val="single" w:sz="4" w:space="0" w:color="000000"/>
            </w:tcBorders>
            <w:hideMark/>
          </w:tcPr>
          <w:p w14:paraId="15415B0F" w14:textId="77777777" w:rsidR="00136217" w:rsidRPr="00FB6F73" w:rsidRDefault="00136217" w:rsidP="00136217">
            <w:pPr>
              <w:rPr>
                <w:sz w:val="22"/>
                <w:szCs w:val="22"/>
                <w:lang w:val="sr-Latn-ME"/>
              </w:rPr>
            </w:pPr>
            <w:r w:rsidRPr="00FB6F73">
              <w:rPr>
                <w:sz w:val="22"/>
                <w:szCs w:val="22"/>
                <w:lang w:val="sr-Latn-ME"/>
              </w:rPr>
              <w:t>Početni ECOG performans status (PS) = 2</w:t>
            </w:r>
          </w:p>
        </w:tc>
        <w:tc>
          <w:tcPr>
            <w:tcW w:w="2025" w:type="dxa"/>
            <w:tcBorders>
              <w:top w:val="single" w:sz="4" w:space="0" w:color="000000"/>
              <w:left w:val="single" w:sz="4" w:space="0" w:color="000000"/>
              <w:bottom w:val="single" w:sz="4" w:space="0" w:color="000000"/>
              <w:right w:val="single" w:sz="4" w:space="0" w:color="000000"/>
            </w:tcBorders>
            <w:hideMark/>
          </w:tcPr>
          <w:p w14:paraId="074F060D" w14:textId="77777777" w:rsidR="00136217" w:rsidRPr="00FB6F73" w:rsidRDefault="00136217" w:rsidP="00136217">
            <w:pPr>
              <w:jc w:val="center"/>
              <w:rPr>
                <w:sz w:val="22"/>
                <w:szCs w:val="22"/>
                <w:lang w:val="sr-Latn-ME"/>
              </w:rPr>
            </w:pPr>
            <w:r w:rsidRPr="00FB6F73">
              <w:rPr>
                <w:sz w:val="22"/>
                <w:szCs w:val="22"/>
                <w:lang w:val="sr-Latn-ME"/>
              </w:rPr>
              <w:t>17%</w:t>
            </w:r>
          </w:p>
        </w:tc>
        <w:tc>
          <w:tcPr>
            <w:tcW w:w="2013" w:type="dxa"/>
            <w:tcBorders>
              <w:top w:val="single" w:sz="4" w:space="0" w:color="000000"/>
              <w:left w:val="single" w:sz="4" w:space="0" w:color="000000"/>
              <w:bottom w:val="single" w:sz="4" w:space="0" w:color="000000"/>
              <w:right w:val="single" w:sz="4" w:space="0" w:color="000000"/>
            </w:tcBorders>
            <w:hideMark/>
          </w:tcPr>
          <w:p w14:paraId="7DA7CBA7" w14:textId="77777777" w:rsidR="00136217" w:rsidRPr="00FB6F73" w:rsidRDefault="00136217" w:rsidP="00136217">
            <w:pPr>
              <w:jc w:val="center"/>
              <w:rPr>
                <w:sz w:val="22"/>
                <w:szCs w:val="22"/>
                <w:lang w:val="sr-Latn-ME"/>
              </w:rPr>
            </w:pPr>
            <w:r w:rsidRPr="00FB6F73">
              <w:rPr>
                <w:sz w:val="22"/>
                <w:szCs w:val="22"/>
                <w:lang w:val="sr-Latn-ME"/>
              </w:rPr>
              <w:t>17%</w:t>
            </w:r>
          </w:p>
        </w:tc>
      </w:tr>
      <w:tr w:rsidR="00136217" w:rsidRPr="00FB6F73" w14:paraId="61B110E2" w14:textId="77777777" w:rsidTr="00136217">
        <w:tc>
          <w:tcPr>
            <w:tcW w:w="5263" w:type="dxa"/>
            <w:tcBorders>
              <w:top w:val="single" w:sz="4" w:space="0" w:color="000000"/>
              <w:left w:val="single" w:sz="4" w:space="0" w:color="000000"/>
              <w:bottom w:val="single" w:sz="4" w:space="0" w:color="000000"/>
              <w:right w:val="single" w:sz="4" w:space="0" w:color="000000"/>
            </w:tcBorders>
            <w:hideMark/>
          </w:tcPr>
          <w:p w14:paraId="1BF5A862" w14:textId="25C2E092" w:rsidR="00136217" w:rsidRPr="00FB6F73" w:rsidRDefault="00136217" w:rsidP="005A37D9">
            <w:pPr>
              <w:rPr>
                <w:sz w:val="22"/>
                <w:szCs w:val="22"/>
                <w:lang w:val="sr-Latn-ME"/>
              </w:rPr>
            </w:pPr>
            <w:r w:rsidRPr="00FB6F73">
              <w:rPr>
                <w:sz w:val="22"/>
                <w:szCs w:val="22"/>
                <w:lang w:val="sr-Latn-ME"/>
              </w:rPr>
              <w:t xml:space="preserve">Metastatska bolest </w:t>
            </w:r>
            <w:r w:rsidR="005A37D9" w:rsidRPr="00FB6F73">
              <w:rPr>
                <w:sz w:val="22"/>
                <w:szCs w:val="22"/>
                <w:lang w:val="sr-Latn-ME"/>
              </w:rPr>
              <w:t>na početku ispitivanja</w:t>
            </w:r>
          </w:p>
        </w:tc>
        <w:tc>
          <w:tcPr>
            <w:tcW w:w="2025" w:type="dxa"/>
            <w:tcBorders>
              <w:top w:val="single" w:sz="4" w:space="0" w:color="000000"/>
              <w:left w:val="single" w:sz="4" w:space="0" w:color="000000"/>
              <w:bottom w:val="single" w:sz="4" w:space="0" w:color="000000"/>
              <w:right w:val="single" w:sz="4" w:space="0" w:color="000000"/>
            </w:tcBorders>
            <w:hideMark/>
          </w:tcPr>
          <w:p w14:paraId="3A49817B" w14:textId="77777777" w:rsidR="00136217" w:rsidRPr="00FB6F73" w:rsidRDefault="00136217" w:rsidP="00136217">
            <w:pPr>
              <w:jc w:val="center"/>
              <w:rPr>
                <w:sz w:val="22"/>
                <w:szCs w:val="22"/>
                <w:lang w:val="sr-Latn-ME"/>
              </w:rPr>
            </w:pPr>
            <w:r w:rsidRPr="00FB6F73">
              <w:rPr>
                <w:sz w:val="22"/>
                <w:szCs w:val="22"/>
                <w:lang w:val="sr-Latn-ME"/>
              </w:rPr>
              <w:t>77%</w:t>
            </w:r>
          </w:p>
        </w:tc>
        <w:tc>
          <w:tcPr>
            <w:tcW w:w="2013" w:type="dxa"/>
            <w:tcBorders>
              <w:top w:val="single" w:sz="4" w:space="0" w:color="000000"/>
              <w:left w:val="single" w:sz="4" w:space="0" w:color="000000"/>
              <w:bottom w:val="single" w:sz="4" w:space="0" w:color="000000"/>
              <w:right w:val="single" w:sz="4" w:space="0" w:color="000000"/>
            </w:tcBorders>
            <w:hideMark/>
          </w:tcPr>
          <w:p w14:paraId="30F92945" w14:textId="77777777" w:rsidR="00136217" w:rsidRPr="00FB6F73" w:rsidRDefault="00136217" w:rsidP="00136217">
            <w:pPr>
              <w:jc w:val="center"/>
              <w:rPr>
                <w:sz w:val="22"/>
                <w:szCs w:val="22"/>
                <w:lang w:val="sr-Latn-ME"/>
              </w:rPr>
            </w:pPr>
            <w:r w:rsidRPr="00FB6F73">
              <w:rPr>
                <w:sz w:val="22"/>
                <w:szCs w:val="22"/>
                <w:lang w:val="sr-Latn-ME"/>
              </w:rPr>
              <w:t>76%</w:t>
            </w:r>
          </w:p>
        </w:tc>
      </w:tr>
    </w:tbl>
    <w:p w14:paraId="1F3EC2E1" w14:textId="77777777" w:rsidR="00F42273" w:rsidRPr="00FB6F73" w:rsidRDefault="00F42273" w:rsidP="00136217">
      <w:pPr>
        <w:rPr>
          <w:sz w:val="22"/>
          <w:szCs w:val="22"/>
          <w:lang w:val="sr-Latn-ME"/>
        </w:rPr>
      </w:pPr>
    </w:p>
    <w:p w14:paraId="60E19F9E" w14:textId="5CAA0FD8" w:rsidR="00136217" w:rsidRDefault="00136217" w:rsidP="00981FFD">
      <w:pPr>
        <w:jc w:val="both"/>
        <w:rPr>
          <w:sz w:val="22"/>
          <w:szCs w:val="22"/>
          <w:lang w:val="sr-Latn-ME"/>
        </w:rPr>
      </w:pPr>
      <w:r w:rsidRPr="00FB6F73">
        <w:rPr>
          <w:sz w:val="22"/>
          <w:szCs w:val="22"/>
          <w:lang w:val="sr-Latn-ME"/>
        </w:rPr>
        <w:t>Preživljavanje je proc</w:t>
      </w:r>
      <w:r w:rsidR="00E23362" w:rsidRPr="00FB6F73">
        <w:rPr>
          <w:sz w:val="22"/>
          <w:szCs w:val="22"/>
          <w:lang w:val="sr-Latn-ME"/>
        </w:rPr>
        <w:t>j</w:t>
      </w:r>
      <w:r w:rsidRPr="00FB6F73">
        <w:rPr>
          <w:sz w:val="22"/>
          <w:szCs w:val="22"/>
          <w:lang w:val="sr-Latn-ME"/>
        </w:rPr>
        <w:t>enjivano u ITT populaciji (</w:t>
      </w:r>
      <w:r w:rsidR="00E23362" w:rsidRPr="00FB6F73">
        <w:rPr>
          <w:sz w:val="22"/>
          <w:szCs w:val="22"/>
          <w:lang w:val="sr-Latn-ME"/>
        </w:rPr>
        <w:t xml:space="preserve">engl. </w:t>
      </w:r>
      <w:r w:rsidRPr="00FB6F73">
        <w:rPr>
          <w:i/>
          <w:sz w:val="22"/>
          <w:szCs w:val="22"/>
          <w:lang w:val="sr-Latn-ME"/>
        </w:rPr>
        <w:t>intent to treat</w:t>
      </w:r>
      <w:r w:rsidRPr="00FB6F73">
        <w:rPr>
          <w:sz w:val="22"/>
          <w:szCs w:val="22"/>
          <w:lang w:val="sr-Latn-ME"/>
        </w:rPr>
        <w:t xml:space="preserve">- predviđenoj za </w:t>
      </w:r>
      <w:r w:rsidR="00FD4480" w:rsidRPr="00FB6F73">
        <w:rPr>
          <w:sz w:val="22"/>
          <w:szCs w:val="22"/>
          <w:lang w:val="sr-Latn-ME"/>
        </w:rPr>
        <w:t>liječenj</w:t>
      </w:r>
      <w:r w:rsidRPr="00FB6F73">
        <w:rPr>
          <w:sz w:val="22"/>
          <w:szCs w:val="22"/>
          <w:lang w:val="sr-Latn-ME"/>
        </w:rPr>
        <w:t>e), na osnovu podataka o preživljavanju dobijenih praćenjem. Rezultati su prikazani u sl</w:t>
      </w:r>
      <w:r w:rsidR="00E23362" w:rsidRPr="00FB6F73">
        <w:rPr>
          <w:sz w:val="22"/>
          <w:szCs w:val="22"/>
          <w:lang w:val="sr-Latn-ME"/>
        </w:rPr>
        <w:t>j</w:t>
      </w:r>
      <w:r w:rsidRPr="00FB6F73">
        <w:rPr>
          <w:sz w:val="22"/>
          <w:szCs w:val="22"/>
          <w:lang w:val="sr-Latn-ME"/>
        </w:rPr>
        <w:t>edećoj tabeli (rezultati grupe sa metastazama i lokalno uznapredovalom bolešću izvedeni su iz eksploratorne analize podgrupa)</w:t>
      </w:r>
      <w:r w:rsidR="005A37D9" w:rsidRPr="00FB6F73">
        <w:rPr>
          <w:sz w:val="22"/>
          <w:szCs w:val="22"/>
          <w:lang w:val="sr-Latn-ME"/>
        </w:rPr>
        <w:t>:</w:t>
      </w:r>
      <w:r w:rsidRPr="00FB6F73">
        <w:rPr>
          <w:sz w:val="22"/>
          <w:szCs w:val="22"/>
          <w:lang w:val="sr-Latn-ME"/>
        </w:rPr>
        <w:t xml:space="preserve"> </w:t>
      </w:r>
    </w:p>
    <w:p w14:paraId="032EC2C4" w14:textId="77777777" w:rsidR="00FB6F73" w:rsidRPr="00FB6F73" w:rsidRDefault="00FB6F73" w:rsidP="00981FFD">
      <w:pPr>
        <w:jc w:val="both"/>
        <w:rPr>
          <w:sz w:val="22"/>
          <w:szCs w:val="22"/>
          <w:lang w:val="sr-Latn-ME"/>
        </w:rPr>
      </w:pPr>
    </w:p>
    <w:p w14:paraId="7BEC6E49" w14:textId="77777777" w:rsidR="00F42273" w:rsidRPr="00FB6F73" w:rsidRDefault="00F42273" w:rsidP="00136217">
      <w:pPr>
        <w:rPr>
          <w:sz w:val="22"/>
          <w:szCs w:val="22"/>
          <w:lang w:val="sr-Latn-ME"/>
        </w:rPr>
      </w:pPr>
    </w:p>
    <w:tbl>
      <w:tblPr>
        <w:tblW w:w="93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2"/>
        <w:gridCol w:w="1174"/>
        <w:gridCol w:w="1147"/>
        <w:gridCol w:w="1147"/>
        <w:gridCol w:w="1024"/>
        <w:gridCol w:w="997"/>
        <w:gridCol w:w="1024"/>
        <w:gridCol w:w="1170"/>
      </w:tblGrid>
      <w:tr w:rsidR="00136217" w:rsidRPr="00FB6F73" w14:paraId="627C6301" w14:textId="77777777" w:rsidTr="00981FFD">
        <w:tc>
          <w:tcPr>
            <w:tcW w:w="1722" w:type="dxa"/>
            <w:tcBorders>
              <w:top w:val="single" w:sz="4" w:space="0" w:color="000000"/>
              <w:left w:val="single" w:sz="4" w:space="0" w:color="000000"/>
              <w:bottom w:val="single" w:sz="4" w:space="0" w:color="000000"/>
              <w:right w:val="single" w:sz="4" w:space="0" w:color="000000"/>
            </w:tcBorders>
            <w:hideMark/>
          </w:tcPr>
          <w:p w14:paraId="4AB5515B" w14:textId="77777777" w:rsidR="00136217" w:rsidRPr="00FB6F73" w:rsidRDefault="00136217" w:rsidP="00136217">
            <w:pPr>
              <w:jc w:val="center"/>
              <w:rPr>
                <w:b/>
                <w:sz w:val="22"/>
                <w:szCs w:val="22"/>
                <w:lang w:val="sr-Latn-ME"/>
              </w:rPr>
            </w:pPr>
            <w:r w:rsidRPr="00FB6F73">
              <w:rPr>
                <w:b/>
                <w:sz w:val="22"/>
                <w:szCs w:val="22"/>
                <w:lang w:val="sr-Latn-ME"/>
              </w:rPr>
              <w:lastRenderedPageBreak/>
              <w:t>Ishod</w:t>
            </w:r>
          </w:p>
        </w:tc>
        <w:tc>
          <w:tcPr>
            <w:tcW w:w="1183" w:type="dxa"/>
            <w:tcBorders>
              <w:top w:val="single" w:sz="4" w:space="0" w:color="000000"/>
              <w:left w:val="single" w:sz="4" w:space="0" w:color="000000"/>
              <w:bottom w:val="single" w:sz="4" w:space="0" w:color="000000"/>
              <w:right w:val="single" w:sz="4" w:space="0" w:color="000000"/>
            </w:tcBorders>
            <w:hideMark/>
          </w:tcPr>
          <w:p w14:paraId="28FEEB8C" w14:textId="77777777" w:rsidR="00136217" w:rsidRPr="00FB6F73" w:rsidRDefault="00136217" w:rsidP="00136217">
            <w:pPr>
              <w:jc w:val="center"/>
              <w:rPr>
                <w:b/>
                <w:sz w:val="22"/>
                <w:szCs w:val="22"/>
                <w:lang w:val="sr-Latn-ME"/>
              </w:rPr>
            </w:pPr>
            <w:r w:rsidRPr="00FB6F73">
              <w:rPr>
                <w:b/>
                <w:sz w:val="22"/>
                <w:szCs w:val="22"/>
                <w:lang w:val="sr-Latn-ME"/>
              </w:rPr>
              <w:t>Erlotinib</w:t>
            </w:r>
          </w:p>
          <w:p w14:paraId="569F2B61" w14:textId="4FCBC076" w:rsidR="00136217" w:rsidRPr="00FB6F73" w:rsidRDefault="00136217" w:rsidP="00136217">
            <w:pPr>
              <w:jc w:val="center"/>
              <w:rPr>
                <w:b/>
                <w:sz w:val="22"/>
                <w:szCs w:val="22"/>
                <w:lang w:val="sr-Latn-ME"/>
              </w:rPr>
            </w:pPr>
            <w:r w:rsidRPr="00FB6F73">
              <w:rPr>
                <w:b/>
                <w:sz w:val="22"/>
                <w:szCs w:val="22"/>
                <w:lang w:val="sr-Latn-ME"/>
              </w:rPr>
              <w:t>(m</w:t>
            </w:r>
            <w:r w:rsidR="00E23362" w:rsidRPr="00FB6F73">
              <w:rPr>
                <w:b/>
                <w:sz w:val="22"/>
                <w:szCs w:val="22"/>
                <w:lang w:val="sr-Latn-ME"/>
              </w:rPr>
              <w:t>j</w:t>
            </w:r>
            <w:r w:rsidRPr="00FB6F73">
              <w:rPr>
                <w:b/>
                <w:sz w:val="22"/>
                <w:szCs w:val="22"/>
                <w:lang w:val="sr-Latn-ME"/>
              </w:rPr>
              <w:t>eseci)</w:t>
            </w:r>
          </w:p>
        </w:tc>
        <w:tc>
          <w:tcPr>
            <w:tcW w:w="1155" w:type="dxa"/>
            <w:tcBorders>
              <w:top w:val="single" w:sz="4" w:space="0" w:color="000000"/>
              <w:left w:val="single" w:sz="4" w:space="0" w:color="000000"/>
              <w:bottom w:val="single" w:sz="4" w:space="0" w:color="000000"/>
              <w:right w:val="single" w:sz="4" w:space="0" w:color="000000"/>
            </w:tcBorders>
            <w:hideMark/>
          </w:tcPr>
          <w:p w14:paraId="33501A0E" w14:textId="77777777" w:rsidR="00136217" w:rsidRPr="00FB6F73" w:rsidRDefault="00136217" w:rsidP="00136217">
            <w:pPr>
              <w:jc w:val="center"/>
              <w:rPr>
                <w:b/>
                <w:sz w:val="22"/>
                <w:szCs w:val="22"/>
                <w:lang w:val="sr-Latn-ME"/>
              </w:rPr>
            </w:pPr>
            <w:r w:rsidRPr="00FB6F73">
              <w:rPr>
                <w:b/>
                <w:sz w:val="22"/>
                <w:szCs w:val="22"/>
                <w:lang w:val="sr-Latn-ME"/>
              </w:rPr>
              <w:t>Placebo</w:t>
            </w:r>
          </w:p>
          <w:p w14:paraId="2304618E" w14:textId="4D850A10" w:rsidR="00136217" w:rsidRPr="00FB6F73" w:rsidRDefault="00136217" w:rsidP="00136217">
            <w:pPr>
              <w:jc w:val="center"/>
              <w:rPr>
                <w:b/>
                <w:sz w:val="22"/>
                <w:szCs w:val="22"/>
                <w:lang w:val="sr-Latn-ME"/>
              </w:rPr>
            </w:pPr>
            <w:r w:rsidRPr="00FB6F73">
              <w:rPr>
                <w:b/>
                <w:sz w:val="22"/>
                <w:szCs w:val="22"/>
                <w:lang w:val="sr-Latn-ME"/>
              </w:rPr>
              <w:t>(m</w:t>
            </w:r>
            <w:r w:rsidR="00E23362" w:rsidRPr="00FB6F73">
              <w:rPr>
                <w:b/>
                <w:sz w:val="22"/>
                <w:szCs w:val="22"/>
                <w:lang w:val="sr-Latn-ME"/>
              </w:rPr>
              <w:t>j</w:t>
            </w:r>
            <w:r w:rsidRPr="00FB6F73">
              <w:rPr>
                <w:b/>
                <w:sz w:val="22"/>
                <w:szCs w:val="22"/>
                <w:lang w:val="sr-Latn-ME"/>
              </w:rPr>
              <w:t>eseci)</w:t>
            </w:r>
          </w:p>
        </w:tc>
        <w:tc>
          <w:tcPr>
            <w:tcW w:w="1155" w:type="dxa"/>
            <w:tcBorders>
              <w:top w:val="single" w:sz="4" w:space="0" w:color="000000"/>
              <w:left w:val="single" w:sz="4" w:space="0" w:color="000000"/>
              <w:bottom w:val="single" w:sz="4" w:space="0" w:color="000000"/>
              <w:right w:val="single" w:sz="4" w:space="0" w:color="000000"/>
            </w:tcBorders>
            <w:hideMark/>
          </w:tcPr>
          <w:p w14:paraId="7A1F4F96" w14:textId="77777777" w:rsidR="00136217" w:rsidRPr="00FB6F73" w:rsidRDefault="00136217" w:rsidP="00136217">
            <w:pPr>
              <w:jc w:val="center"/>
              <w:rPr>
                <w:b/>
                <w:sz w:val="22"/>
                <w:szCs w:val="22"/>
                <w:lang w:val="sr-Latn-ME"/>
              </w:rPr>
            </w:pPr>
            <w:r w:rsidRPr="00FB6F73">
              <w:rPr>
                <w:b/>
                <w:sz w:val="22"/>
                <w:szCs w:val="22"/>
                <w:lang w:val="sr-Latn-ME"/>
              </w:rPr>
              <w:t>Δ</w:t>
            </w:r>
          </w:p>
          <w:p w14:paraId="1E3D26E1" w14:textId="5EDAC346" w:rsidR="00136217" w:rsidRPr="00FB6F73" w:rsidRDefault="00136217" w:rsidP="00136217">
            <w:pPr>
              <w:jc w:val="center"/>
              <w:rPr>
                <w:b/>
                <w:sz w:val="22"/>
                <w:szCs w:val="22"/>
                <w:lang w:val="sr-Latn-ME"/>
              </w:rPr>
            </w:pPr>
            <w:r w:rsidRPr="00FB6F73">
              <w:rPr>
                <w:b/>
                <w:sz w:val="22"/>
                <w:szCs w:val="22"/>
                <w:lang w:val="sr-Latn-ME"/>
              </w:rPr>
              <w:t>(me</w:t>
            </w:r>
            <w:r w:rsidR="00E23362" w:rsidRPr="00FB6F73">
              <w:rPr>
                <w:b/>
                <w:sz w:val="22"/>
                <w:szCs w:val="22"/>
                <w:lang w:val="sr-Latn-ME"/>
              </w:rPr>
              <w:t>j</w:t>
            </w:r>
            <w:r w:rsidRPr="00FB6F73">
              <w:rPr>
                <w:b/>
                <w:sz w:val="22"/>
                <w:szCs w:val="22"/>
                <w:lang w:val="sr-Latn-ME"/>
              </w:rPr>
              <w:t>seci)</w:t>
            </w:r>
          </w:p>
        </w:tc>
        <w:tc>
          <w:tcPr>
            <w:tcW w:w="1055" w:type="dxa"/>
            <w:tcBorders>
              <w:top w:val="single" w:sz="4" w:space="0" w:color="000000"/>
              <w:left w:val="single" w:sz="4" w:space="0" w:color="000000"/>
              <w:bottom w:val="single" w:sz="4" w:space="0" w:color="000000"/>
              <w:right w:val="single" w:sz="4" w:space="0" w:color="000000"/>
            </w:tcBorders>
            <w:hideMark/>
          </w:tcPr>
          <w:p w14:paraId="2B09431B" w14:textId="77777777" w:rsidR="00136217" w:rsidRPr="00FB6F73" w:rsidRDefault="00136217" w:rsidP="00136217">
            <w:pPr>
              <w:jc w:val="center"/>
              <w:rPr>
                <w:b/>
                <w:sz w:val="22"/>
                <w:szCs w:val="22"/>
                <w:lang w:val="sr-Latn-ME"/>
              </w:rPr>
            </w:pPr>
            <w:r w:rsidRPr="00FB6F73">
              <w:rPr>
                <w:b/>
                <w:sz w:val="22"/>
                <w:szCs w:val="22"/>
                <w:lang w:val="sr-Latn-ME"/>
              </w:rPr>
              <w:t>Δ</w:t>
            </w:r>
          </w:p>
          <w:p w14:paraId="1D603395" w14:textId="77777777" w:rsidR="00136217" w:rsidRPr="00FB6F73" w:rsidRDefault="00136217" w:rsidP="00136217">
            <w:pPr>
              <w:jc w:val="center"/>
              <w:rPr>
                <w:b/>
                <w:sz w:val="22"/>
                <w:szCs w:val="22"/>
                <w:lang w:val="sr-Latn-ME"/>
              </w:rPr>
            </w:pPr>
            <w:r w:rsidRPr="00FB6F73">
              <w:rPr>
                <w:b/>
                <w:sz w:val="22"/>
                <w:szCs w:val="22"/>
                <w:lang w:val="sr-Latn-ME"/>
              </w:rPr>
              <w:t>CI</w:t>
            </w:r>
          </w:p>
        </w:tc>
        <w:tc>
          <w:tcPr>
            <w:tcW w:w="1032" w:type="dxa"/>
            <w:tcBorders>
              <w:top w:val="single" w:sz="4" w:space="0" w:color="000000"/>
              <w:left w:val="single" w:sz="4" w:space="0" w:color="000000"/>
              <w:bottom w:val="single" w:sz="4" w:space="0" w:color="000000"/>
              <w:right w:val="single" w:sz="4" w:space="0" w:color="000000"/>
            </w:tcBorders>
            <w:hideMark/>
          </w:tcPr>
          <w:p w14:paraId="0EA7ADA1" w14:textId="77777777" w:rsidR="00136217" w:rsidRPr="00FB6F73" w:rsidRDefault="00136217" w:rsidP="00136217">
            <w:pPr>
              <w:jc w:val="center"/>
              <w:rPr>
                <w:b/>
                <w:sz w:val="22"/>
                <w:szCs w:val="22"/>
                <w:lang w:val="sr-Latn-ME"/>
              </w:rPr>
            </w:pPr>
            <w:r w:rsidRPr="00FB6F73">
              <w:rPr>
                <w:b/>
                <w:sz w:val="22"/>
                <w:szCs w:val="22"/>
                <w:lang w:val="sr-Latn-ME"/>
              </w:rPr>
              <w:t>HR</w:t>
            </w:r>
          </w:p>
        </w:tc>
        <w:tc>
          <w:tcPr>
            <w:tcW w:w="1055" w:type="dxa"/>
            <w:tcBorders>
              <w:top w:val="single" w:sz="4" w:space="0" w:color="000000"/>
              <w:left w:val="single" w:sz="4" w:space="0" w:color="000000"/>
              <w:bottom w:val="single" w:sz="4" w:space="0" w:color="000000"/>
              <w:right w:val="single" w:sz="4" w:space="0" w:color="000000"/>
            </w:tcBorders>
            <w:hideMark/>
          </w:tcPr>
          <w:p w14:paraId="51BCAC70" w14:textId="77777777" w:rsidR="00136217" w:rsidRPr="00FB6F73" w:rsidRDefault="00136217" w:rsidP="00136217">
            <w:pPr>
              <w:jc w:val="center"/>
              <w:rPr>
                <w:b/>
                <w:sz w:val="22"/>
                <w:szCs w:val="22"/>
                <w:lang w:val="sr-Latn-ME"/>
              </w:rPr>
            </w:pPr>
            <w:r w:rsidRPr="00FB6F73">
              <w:rPr>
                <w:b/>
                <w:sz w:val="22"/>
                <w:szCs w:val="22"/>
                <w:lang w:val="sr-Latn-ME"/>
              </w:rPr>
              <w:t>HR CI</w:t>
            </w:r>
          </w:p>
        </w:tc>
        <w:tc>
          <w:tcPr>
            <w:tcW w:w="1028" w:type="dxa"/>
            <w:tcBorders>
              <w:top w:val="single" w:sz="4" w:space="0" w:color="000000"/>
              <w:left w:val="single" w:sz="4" w:space="0" w:color="000000"/>
              <w:bottom w:val="single" w:sz="4" w:space="0" w:color="000000"/>
              <w:right w:val="single" w:sz="4" w:space="0" w:color="000000"/>
            </w:tcBorders>
          </w:tcPr>
          <w:p w14:paraId="4E30324F" w14:textId="5E0B886E" w:rsidR="00136217" w:rsidRPr="00FB6F73" w:rsidRDefault="00136217" w:rsidP="00136217">
            <w:pPr>
              <w:jc w:val="center"/>
              <w:rPr>
                <w:b/>
                <w:sz w:val="22"/>
                <w:szCs w:val="22"/>
                <w:lang w:val="sr-Latn-ME"/>
              </w:rPr>
            </w:pPr>
            <w:r w:rsidRPr="00FB6F73">
              <w:rPr>
                <w:b/>
                <w:sz w:val="22"/>
                <w:szCs w:val="22"/>
                <w:lang w:val="sr-Latn-ME"/>
              </w:rPr>
              <w:t>p-</w:t>
            </w:r>
            <w:r w:rsidR="00FD4480" w:rsidRPr="00FB6F73">
              <w:rPr>
                <w:b/>
                <w:sz w:val="22"/>
                <w:szCs w:val="22"/>
                <w:lang w:val="sr-Latn-ME"/>
              </w:rPr>
              <w:t>vrijednost</w:t>
            </w:r>
          </w:p>
          <w:p w14:paraId="2A06D093" w14:textId="77777777" w:rsidR="00136217" w:rsidRPr="00FB6F73" w:rsidRDefault="00136217" w:rsidP="00136217">
            <w:pPr>
              <w:jc w:val="center"/>
              <w:rPr>
                <w:b/>
                <w:sz w:val="22"/>
                <w:szCs w:val="22"/>
                <w:lang w:val="sr-Latn-ME"/>
              </w:rPr>
            </w:pPr>
          </w:p>
        </w:tc>
      </w:tr>
      <w:tr w:rsidR="00136217" w:rsidRPr="00FB6F73" w14:paraId="6423A553" w14:textId="77777777" w:rsidTr="00981FFD">
        <w:tc>
          <w:tcPr>
            <w:tcW w:w="9385" w:type="dxa"/>
            <w:gridSpan w:val="8"/>
            <w:tcBorders>
              <w:top w:val="single" w:sz="4" w:space="0" w:color="000000"/>
              <w:left w:val="single" w:sz="4" w:space="0" w:color="000000"/>
              <w:bottom w:val="single" w:sz="4" w:space="0" w:color="000000"/>
              <w:right w:val="single" w:sz="4" w:space="0" w:color="000000"/>
            </w:tcBorders>
            <w:hideMark/>
          </w:tcPr>
          <w:p w14:paraId="58EF01C4" w14:textId="77777777" w:rsidR="00136217" w:rsidRPr="00FB6F73" w:rsidRDefault="00136217" w:rsidP="00136217">
            <w:pPr>
              <w:jc w:val="center"/>
              <w:rPr>
                <w:sz w:val="22"/>
                <w:szCs w:val="22"/>
                <w:lang w:val="sr-Latn-ME"/>
              </w:rPr>
            </w:pPr>
            <w:r w:rsidRPr="00FB6F73">
              <w:rPr>
                <w:sz w:val="22"/>
                <w:szCs w:val="22"/>
                <w:lang w:val="sr-Latn-ME"/>
              </w:rPr>
              <w:t>Ukupna populacija</w:t>
            </w:r>
          </w:p>
        </w:tc>
      </w:tr>
      <w:tr w:rsidR="00136217" w:rsidRPr="00FB6F73" w14:paraId="199770AA" w14:textId="77777777" w:rsidTr="00981FFD">
        <w:tc>
          <w:tcPr>
            <w:tcW w:w="1722" w:type="dxa"/>
            <w:tcBorders>
              <w:top w:val="single" w:sz="4" w:space="0" w:color="000000"/>
              <w:left w:val="single" w:sz="4" w:space="0" w:color="000000"/>
              <w:bottom w:val="single" w:sz="4" w:space="0" w:color="000000"/>
              <w:right w:val="single" w:sz="4" w:space="0" w:color="000000"/>
            </w:tcBorders>
            <w:hideMark/>
          </w:tcPr>
          <w:p w14:paraId="468A5B49" w14:textId="77777777" w:rsidR="00136217" w:rsidRPr="00FB6F73" w:rsidRDefault="00136217" w:rsidP="00136217">
            <w:pPr>
              <w:jc w:val="center"/>
              <w:rPr>
                <w:sz w:val="22"/>
                <w:szCs w:val="22"/>
                <w:lang w:val="sr-Latn-ME"/>
              </w:rPr>
            </w:pPr>
            <w:r w:rsidRPr="00FB6F73">
              <w:rPr>
                <w:sz w:val="22"/>
                <w:szCs w:val="22"/>
                <w:lang w:val="sr-Latn-ME"/>
              </w:rPr>
              <w:t>Medijana</w:t>
            </w:r>
          </w:p>
          <w:p w14:paraId="44DCDC35" w14:textId="77777777" w:rsidR="00136217" w:rsidRPr="00FB6F73" w:rsidRDefault="00136217" w:rsidP="00136217">
            <w:pPr>
              <w:jc w:val="center"/>
              <w:rPr>
                <w:sz w:val="22"/>
                <w:szCs w:val="22"/>
                <w:lang w:val="sr-Latn-ME"/>
              </w:rPr>
            </w:pPr>
            <w:r w:rsidRPr="00FB6F73">
              <w:rPr>
                <w:sz w:val="22"/>
                <w:szCs w:val="22"/>
                <w:lang w:val="sr-Latn-ME"/>
              </w:rPr>
              <w:t>ukupnog</w:t>
            </w:r>
          </w:p>
          <w:p w14:paraId="67F8AB2D" w14:textId="77777777" w:rsidR="00136217" w:rsidRPr="00FB6F73" w:rsidRDefault="00136217" w:rsidP="00136217">
            <w:pPr>
              <w:jc w:val="center"/>
              <w:rPr>
                <w:sz w:val="22"/>
                <w:szCs w:val="22"/>
                <w:lang w:val="sr-Latn-ME"/>
              </w:rPr>
            </w:pPr>
            <w:r w:rsidRPr="00FB6F73">
              <w:rPr>
                <w:sz w:val="22"/>
                <w:szCs w:val="22"/>
                <w:lang w:val="sr-Latn-ME"/>
              </w:rPr>
              <w:t>preživljavanja</w:t>
            </w:r>
          </w:p>
        </w:tc>
        <w:tc>
          <w:tcPr>
            <w:tcW w:w="1183" w:type="dxa"/>
            <w:tcBorders>
              <w:top w:val="single" w:sz="4" w:space="0" w:color="000000"/>
              <w:left w:val="single" w:sz="4" w:space="0" w:color="000000"/>
              <w:bottom w:val="single" w:sz="4" w:space="0" w:color="000000"/>
              <w:right w:val="single" w:sz="4" w:space="0" w:color="000000"/>
            </w:tcBorders>
            <w:vAlign w:val="center"/>
            <w:hideMark/>
          </w:tcPr>
          <w:p w14:paraId="49CBD9F4" w14:textId="77777777" w:rsidR="00136217" w:rsidRPr="00FB6F73" w:rsidRDefault="00136217" w:rsidP="00136217">
            <w:pPr>
              <w:jc w:val="center"/>
              <w:rPr>
                <w:sz w:val="22"/>
                <w:szCs w:val="22"/>
                <w:lang w:val="sr-Latn-ME"/>
              </w:rPr>
            </w:pPr>
            <w:r w:rsidRPr="00FB6F73">
              <w:rPr>
                <w:sz w:val="22"/>
                <w:szCs w:val="22"/>
                <w:lang w:val="sr-Latn-ME"/>
              </w:rPr>
              <w:t>6,4</w:t>
            </w:r>
          </w:p>
        </w:tc>
        <w:tc>
          <w:tcPr>
            <w:tcW w:w="1155" w:type="dxa"/>
            <w:tcBorders>
              <w:top w:val="single" w:sz="4" w:space="0" w:color="000000"/>
              <w:left w:val="single" w:sz="4" w:space="0" w:color="000000"/>
              <w:bottom w:val="single" w:sz="4" w:space="0" w:color="000000"/>
              <w:right w:val="single" w:sz="4" w:space="0" w:color="000000"/>
            </w:tcBorders>
            <w:vAlign w:val="center"/>
            <w:hideMark/>
          </w:tcPr>
          <w:p w14:paraId="2C75421B" w14:textId="77777777" w:rsidR="00136217" w:rsidRPr="00FB6F73" w:rsidRDefault="00136217" w:rsidP="00136217">
            <w:pPr>
              <w:jc w:val="center"/>
              <w:rPr>
                <w:sz w:val="22"/>
                <w:szCs w:val="22"/>
                <w:lang w:val="sr-Latn-ME"/>
              </w:rPr>
            </w:pPr>
            <w:r w:rsidRPr="00FB6F73">
              <w:rPr>
                <w:sz w:val="22"/>
                <w:szCs w:val="22"/>
                <w:lang w:val="sr-Latn-ME"/>
              </w:rPr>
              <w:t>6,0</w:t>
            </w:r>
          </w:p>
        </w:tc>
        <w:tc>
          <w:tcPr>
            <w:tcW w:w="1155" w:type="dxa"/>
            <w:tcBorders>
              <w:top w:val="single" w:sz="4" w:space="0" w:color="000000"/>
              <w:left w:val="single" w:sz="4" w:space="0" w:color="000000"/>
              <w:bottom w:val="single" w:sz="4" w:space="0" w:color="000000"/>
              <w:right w:val="single" w:sz="4" w:space="0" w:color="000000"/>
            </w:tcBorders>
            <w:vAlign w:val="center"/>
            <w:hideMark/>
          </w:tcPr>
          <w:p w14:paraId="2975BED5" w14:textId="77777777" w:rsidR="00136217" w:rsidRPr="00FB6F73" w:rsidRDefault="00136217" w:rsidP="00136217">
            <w:pPr>
              <w:jc w:val="center"/>
              <w:rPr>
                <w:sz w:val="22"/>
                <w:szCs w:val="22"/>
                <w:lang w:val="sr-Latn-ME"/>
              </w:rPr>
            </w:pPr>
            <w:r w:rsidRPr="00FB6F73">
              <w:rPr>
                <w:sz w:val="22"/>
                <w:szCs w:val="22"/>
                <w:lang w:val="sr-Latn-ME"/>
              </w:rPr>
              <w:t>0,41</w:t>
            </w:r>
          </w:p>
        </w:tc>
        <w:tc>
          <w:tcPr>
            <w:tcW w:w="1055" w:type="dxa"/>
            <w:tcBorders>
              <w:top w:val="single" w:sz="4" w:space="0" w:color="000000"/>
              <w:left w:val="single" w:sz="4" w:space="0" w:color="000000"/>
              <w:bottom w:val="single" w:sz="4" w:space="0" w:color="000000"/>
              <w:right w:val="single" w:sz="4" w:space="0" w:color="000000"/>
            </w:tcBorders>
            <w:vAlign w:val="center"/>
            <w:hideMark/>
          </w:tcPr>
          <w:p w14:paraId="2526ADA0" w14:textId="77777777" w:rsidR="00136217" w:rsidRPr="00FB6F73" w:rsidRDefault="00136217" w:rsidP="00136217">
            <w:pPr>
              <w:jc w:val="center"/>
              <w:rPr>
                <w:sz w:val="22"/>
                <w:szCs w:val="22"/>
                <w:lang w:val="sr-Latn-ME"/>
              </w:rPr>
            </w:pPr>
            <w:r w:rsidRPr="00FB6F73">
              <w:rPr>
                <w:sz w:val="22"/>
                <w:szCs w:val="22"/>
                <w:lang w:val="sr-Latn-ME"/>
              </w:rPr>
              <w:t>-0,54-1,64</w:t>
            </w:r>
          </w:p>
        </w:tc>
        <w:tc>
          <w:tcPr>
            <w:tcW w:w="1032" w:type="dxa"/>
            <w:vMerge w:val="restart"/>
            <w:tcBorders>
              <w:top w:val="single" w:sz="4" w:space="0" w:color="000000"/>
              <w:left w:val="single" w:sz="4" w:space="0" w:color="000000"/>
              <w:bottom w:val="single" w:sz="4" w:space="0" w:color="000000"/>
              <w:right w:val="single" w:sz="4" w:space="0" w:color="000000"/>
            </w:tcBorders>
            <w:vAlign w:val="center"/>
            <w:hideMark/>
          </w:tcPr>
          <w:p w14:paraId="57DF8819" w14:textId="77777777" w:rsidR="00136217" w:rsidRPr="00FB6F73" w:rsidRDefault="00136217" w:rsidP="00136217">
            <w:pPr>
              <w:jc w:val="center"/>
              <w:rPr>
                <w:sz w:val="22"/>
                <w:szCs w:val="22"/>
                <w:lang w:val="sr-Latn-ME"/>
              </w:rPr>
            </w:pPr>
            <w:r w:rsidRPr="00FB6F73">
              <w:rPr>
                <w:sz w:val="22"/>
                <w:szCs w:val="22"/>
                <w:lang w:val="sr-Latn-ME"/>
              </w:rPr>
              <w:t>0,82</w:t>
            </w:r>
          </w:p>
        </w:tc>
        <w:tc>
          <w:tcPr>
            <w:tcW w:w="1055" w:type="dxa"/>
            <w:vMerge w:val="restart"/>
            <w:tcBorders>
              <w:top w:val="single" w:sz="4" w:space="0" w:color="000000"/>
              <w:left w:val="single" w:sz="4" w:space="0" w:color="000000"/>
              <w:bottom w:val="single" w:sz="4" w:space="0" w:color="000000"/>
              <w:right w:val="single" w:sz="4" w:space="0" w:color="000000"/>
            </w:tcBorders>
            <w:vAlign w:val="center"/>
            <w:hideMark/>
          </w:tcPr>
          <w:p w14:paraId="35751108" w14:textId="77777777" w:rsidR="00136217" w:rsidRPr="00FB6F73" w:rsidRDefault="00136217" w:rsidP="00136217">
            <w:pPr>
              <w:jc w:val="center"/>
              <w:rPr>
                <w:sz w:val="22"/>
                <w:szCs w:val="22"/>
                <w:lang w:val="sr-Latn-ME"/>
              </w:rPr>
            </w:pPr>
            <w:r w:rsidRPr="00FB6F73">
              <w:rPr>
                <w:sz w:val="22"/>
                <w:szCs w:val="22"/>
                <w:lang w:val="sr-Latn-ME"/>
              </w:rPr>
              <w:t>0,69-0,98</w:t>
            </w:r>
          </w:p>
        </w:tc>
        <w:tc>
          <w:tcPr>
            <w:tcW w:w="1028" w:type="dxa"/>
            <w:vMerge w:val="restart"/>
            <w:tcBorders>
              <w:top w:val="single" w:sz="4" w:space="0" w:color="000000"/>
              <w:left w:val="single" w:sz="4" w:space="0" w:color="000000"/>
              <w:bottom w:val="single" w:sz="4" w:space="0" w:color="000000"/>
              <w:right w:val="single" w:sz="4" w:space="0" w:color="000000"/>
            </w:tcBorders>
            <w:vAlign w:val="center"/>
            <w:hideMark/>
          </w:tcPr>
          <w:p w14:paraId="671B3399" w14:textId="77777777" w:rsidR="00136217" w:rsidRPr="00FB6F73" w:rsidRDefault="00136217" w:rsidP="00136217">
            <w:pPr>
              <w:jc w:val="center"/>
              <w:rPr>
                <w:sz w:val="22"/>
                <w:szCs w:val="22"/>
                <w:lang w:val="sr-Latn-ME"/>
              </w:rPr>
            </w:pPr>
            <w:r w:rsidRPr="00FB6F73">
              <w:rPr>
                <w:sz w:val="22"/>
                <w:szCs w:val="22"/>
                <w:lang w:val="sr-Latn-ME"/>
              </w:rPr>
              <w:t>0,028</w:t>
            </w:r>
          </w:p>
        </w:tc>
      </w:tr>
      <w:tr w:rsidR="00136217" w:rsidRPr="00FB6F73" w14:paraId="4EE4D6F3" w14:textId="77777777" w:rsidTr="00981FFD">
        <w:tc>
          <w:tcPr>
            <w:tcW w:w="1722" w:type="dxa"/>
            <w:tcBorders>
              <w:top w:val="single" w:sz="4" w:space="0" w:color="000000"/>
              <w:left w:val="single" w:sz="4" w:space="0" w:color="000000"/>
              <w:bottom w:val="single" w:sz="4" w:space="0" w:color="000000"/>
              <w:right w:val="single" w:sz="4" w:space="0" w:color="000000"/>
            </w:tcBorders>
            <w:hideMark/>
          </w:tcPr>
          <w:p w14:paraId="61C9FBCD" w14:textId="2553EBB4" w:rsidR="00136217" w:rsidRPr="00FB6F73" w:rsidRDefault="00136217" w:rsidP="00136217">
            <w:pPr>
              <w:jc w:val="center"/>
              <w:rPr>
                <w:sz w:val="22"/>
                <w:szCs w:val="22"/>
                <w:lang w:val="sr-Latn-ME"/>
              </w:rPr>
            </w:pPr>
            <w:r w:rsidRPr="00FB6F73">
              <w:rPr>
                <w:sz w:val="22"/>
                <w:szCs w:val="22"/>
                <w:lang w:val="sr-Latn-ME"/>
              </w:rPr>
              <w:t xml:space="preserve">Srednja </w:t>
            </w:r>
            <w:r w:rsidR="00FD4480" w:rsidRPr="00FB6F73">
              <w:rPr>
                <w:sz w:val="22"/>
                <w:szCs w:val="22"/>
                <w:lang w:val="sr-Latn-ME"/>
              </w:rPr>
              <w:t>vrijednost</w:t>
            </w:r>
          </w:p>
          <w:p w14:paraId="1CCDE3B5" w14:textId="77777777" w:rsidR="00136217" w:rsidRPr="00FB6F73" w:rsidRDefault="00136217" w:rsidP="00136217">
            <w:pPr>
              <w:jc w:val="center"/>
              <w:rPr>
                <w:sz w:val="22"/>
                <w:szCs w:val="22"/>
                <w:lang w:val="sr-Latn-ME"/>
              </w:rPr>
            </w:pPr>
            <w:r w:rsidRPr="00FB6F73">
              <w:rPr>
                <w:sz w:val="22"/>
                <w:szCs w:val="22"/>
                <w:lang w:val="sr-Latn-ME"/>
              </w:rPr>
              <w:t>ukupnog</w:t>
            </w:r>
          </w:p>
          <w:p w14:paraId="21A55060" w14:textId="77777777" w:rsidR="00136217" w:rsidRPr="00FB6F73" w:rsidRDefault="00136217" w:rsidP="00136217">
            <w:pPr>
              <w:jc w:val="center"/>
              <w:rPr>
                <w:sz w:val="22"/>
                <w:szCs w:val="22"/>
                <w:lang w:val="sr-Latn-ME"/>
              </w:rPr>
            </w:pPr>
            <w:r w:rsidRPr="00FB6F73">
              <w:rPr>
                <w:sz w:val="22"/>
                <w:szCs w:val="22"/>
                <w:lang w:val="sr-Latn-ME"/>
              </w:rPr>
              <w:t>preživljavanja</w:t>
            </w:r>
          </w:p>
        </w:tc>
        <w:tc>
          <w:tcPr>
            <w:tcW w:w="1183" w:type="dxa"/>
            <w:tcBorders>
              <w:top w:val="single" w:sz="4" w:space="0" w:color="000000"/>
              <w:left w:val="single" w:sz="4" w:space="0" w:color="000000"/>
              <w:bottom w:val="single" w:sz="4" w:space="0" w:color="000000"/>
              <w:right w:val="single" w:sz="4" w:space="0" w:color="000000"/>
            </w:tcBorders>
            <w:vAlign w:val="center"/>
            <w:hideMark/>
          </w:tcPr>
          <w:p w14:paraId="5E094080" w14:textId="77777777" w:rsidR="00136217" w:rsidRPr="00FB6F73" w:rsidRDefault="00136217" w:rsidP="00136217">
            <w:pPr>
              <w:jc w:val="center"/>
              <w:rPr>
                <w:sz w:val="22"/>
                <w:szCs w:val="22"/>
                <w:lang w:val="sr-Latn-ME"/>
              </w:rPr>
            </w:pPr>
            <w:r w:rsidRPr="00FB6F73">
              <w:rPr>
                <w:sz w:val="22"/>
                <w:szCs w:val="22"/>
                <w:lang w:val="sr-Latn-ME"/>
              </w:rPr>
              <w:t>8,8</w:t>
            </w:r>
          </w:p>
        </w:tc>
        <w:tc>
          <w:tcPr>
            <w:tcW w:w="1155" w:type="dxa"/>
            <w:tcBorders>
              <w:top w:val="single" w:sz="4" w:space="0" w:color="000000"/>
              <w:left w:val="single" w:sz="4" w:space="0" w:color="000000"/>
              <w:bottom w:val="single" w:sz="4" w:space="0" w:color="000000"/>
              <w:right w:val="single" w:sz="4" w:space="0" w:color="000000"/>
            </w:tcBorders>
            <w:vAlign w:val="center"/>
            <w:hideMark/>
          </w:tcPr>
          <w:p w14:paraId="23FC4F3C" w14:textId="77777777" w:rsidR="00136217" w:rsidRPr="00FB6F73" w:rsidRDefault="00136217" w:rsidP="00136217">
            <w:pPr>
              <w:jc w:val="center"/>
              <w:rPr>
                <w:sz w:val="22"/>
                <w:szCs w:val="22"/>
                <w:lang w:val="sr-Latn-ME"/>
              </w:rPr>
            </w:pPr>
            <w:r w:rsidRPr="00FB6F73">
              <w:rPr>
                <w:sz w:val="22"/>
                <w:szCs w:val="22"/>
                <w:lang w:val="sr-Latn-ME"/>
              </w:rPr>
              <w:t>7,6</w:t>
            </w:r>
          </w:p>
        </w:tc>
        <w:tc>
          <w:tcPr>
            <w:tcW w:w="1155" w:type="dxa"/>
            <w:tcBorders>
              <w:top w:val="single" w:sz="4" w:space="0" w:color="000000"/>
              <w:left w:val="single" w:sz="4" w:space="0" w:color="000000"/>
              <w:bottom w:val="single" w:sz="4" w:space="0" w:color="000000"/>
              <w:right w:val="single" w:sz="4" w:space="0" w:color="000000"/>
            </w:tcBorders>
            <w:vAlign w:val="center"/>
            <w:hideMark/>
          </w:tcPr>
          <w:p w14:paraId="21787762" w14:textId="77777777" w:rsidR="00136217" w:rsidRPr="00FB6F73" w:rsidRDefault="00136217" w:rsidP="00136217">
            <w:pPr>
              <w:jc w:val="center"/>
              <w:rPr>
                <w:sz w:val="22"/>
                <w:szCs w:val="22"/>
                <w:lang w:val="sr-Latn-ME"/>
              </w:rPr>
            </w:pPr>
            <w:r w:rsidRPr="00FB6F73">
              <w:rPr>
                <w:sz w:val="22"/>
                <w:szCs w:val="22"/>
                <w:lang w:val="sr-Latn-ME"/>
              </w:rPr>
              <w:t>1,16</w:t>
            </w:r>
          </w:p>
        </w:tc>
        <w:tc>
          <w:tcPr>
            <w:tcW w:w="1055" w:type="dxa"/>
            <w:tcBorders>
              <w:top w:val="single" w:sz="4" w:space="0" w:color="000000"/>
              <w:left w:val="single" w:sz="4" w:space="0" w:color="000000"/>
              <w:bottom w:val="single" w:sz="4" w:space="0" w:color="000000"/>
              <w:right w:val="single" w:sz="4" w:space="0" w:color="000000"/>
            </w:tcBorders>
            <w:vAlign w:val="center"/>
            <w:hideMark/>
          </w:tcPr>
          <w:p w14:paraId="2588A220" w14:textId="77777777" w:rsidR="00136217" w:rsidRPr="00FB6F73" w:rsidRDefault="00136217" w:rsidP="00136217">
            <w:pPr>
              <w:jc w:val="center"/>
              <w:rPr>
                <w:sz w:val="22"/>
                <w:szCs w:val="22"/>
                <w:lang w:val="sr-Latn-ME"/>
              </w:rPr>
            </w:pPr>
            <w:r w:rsidRPr="00FB6F73">
              <w:rPr>
                <w:sz w:val="22"/>
                <w:szCs w:val="22"/>
                <w:lang w:val="sr-Latn-ME"/>
              </w:rPr>
              <w:t>-0,05-2,34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C06FF5" w14:textId="77777777" w:rsidR="00136217" w:rsidRPr="00FB6F73" w:rsidRDefault="00136217" w:rsidP="00136217">
            <w:pPr>
              <w:rPr>
                <w:sz w:val="22"/>
                <w:szCs w:val="22"/>
                <w:lang w:val="sr-Latn-M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93C4AC" w14:textId="77777777" w:rsidR="00136217" w:rsidRPr="00FB6F73" w:rsidRDefault="00136217" w:rsidP="00136217">
            <w:pPr>
              <w:rPr>
                <w:sz w:val="22"/>
                <w:szCs w:val="22"/>
                <w:lang w:val="sr-Latn-ME"/>
              </w:rPr>
            </w:pPr>
          </w:p>
        </w:tc>
        <w:tc>
          <w:tcPr>
            <w:tcW w:w="1028" w:type="dxa"/>
            <w:vMerge/>
            <w:tcBorders>
              <w:top w:val="single" w:sz="4" w:space="0" w:color="000000"/>
              <w:left w:val="single" w:sz="4" w:space="0" w:color="000000"/>
              <w:bottom w:val="single" w:sz="4" w:space="0" w:color="000000"/>
              <w:right w:val="single" w:sz="4" w:space="0" w:color="000000"/>
            </w:tcBorders>
            <w:vAlign w:val="center"/>
            <w:hideMark/>
          </w:tcPr>
          <w:p w14:paraId="39ECDCF1" w14:textId="77777777" w:rsidR="00136217" w:rsidRPr="00FB6F73" w:rsidRDefault="00136217" w:rsidP="00136217">
            <w:pPr>
              <w:rPr>
                <w:sz w:val="22"/>
                <w:szCs w:val="22"/>
                <w:lang w:val="sr-Latn-ME"/>
              </w:rPr>
            </w:pPr>
          </w:p>
        </w:tc>
      </w:tr>
      <w:tr w:rsidR="00136217" w:rsidRPr="00FB6F73" w14:paraId="5D5F408A" w14:textId="77777777" w:rsidTr="00981FFD">
        <w:tc>
          <w:tcPr>
            <w:tcW w:w="9385" w:type="dxa"/>
            <w:gridSpan w:val="8"/>
            <w:tcBorders>
              <w:top w:val="single" w:sz="4" w:space="0" w:color="000000"/>
              <w:left w:val="single" w:sz="4" w:space="0" w:color="000000"/>
              <w:bottom w:val="single" w:sz="4" w:space="0" w:color="000000"/>
              <w:right w:val="single" w:sz="4" w:space="0" w:color="000000"/>
            </w:tcBorders>
            <w:hideMark/>
          </w:tcPr>
          <w:p w14:paraId="3C171A78" w14:textId="77777777" w:rsidR="00136217" w:rsidRPr="00FB6F73" w:rsidRDefault="00136217" w:rsidP="00136217">
            <w:pPr>
              <w:jc w:val="center"/>
              <w:rPr>
                <w:sz w:val="22"/>
                <w:szCs w:val="22"/>
                <w:lang w:val="sr-Latn-ME"/>
              </w:rPr>
            </w:pPr>
            <w:r w:rsidRPr="00FB6F73">
              <w:rPr>
                <w:sz w:val="22"/>
                <w:szCs w:val="22"/>
                <w:lang w:val="sr-Latn-ME"/>
              </w:rPr>
              <w:t>Populacija sa metastazama</w:t>
            </w:r>
          </w:p>
        </w:tc>
      </w:tr>
      <w:tr w:rsidR="00136217" w:rsidRPr="00FB6F73" w14:paraId="29FAA919" w14:textId="77777777" w:rsidTr="00981FFD">
        <w:tc>
          <w:tcPr>
            <w:tcW w:w="1722" w:type="dxa"/>
            <w:tcBorders>
              <w:top w:val="single" w:sz="4" w:space="0" w:color="000000"/>
              <w:left w:val="single" w:sz="4" w:space="0" w:color="000000"/>
              <w:bottom w:val="single" w:sz="4" w:space="0" w:color="000000"/>
              <w:right w:val="single" w:sz="4" w:space="0" w:color="000000"/>
            </w:tcBorders>
            <w:vAlign w:val="center"/>
            <w:hideMark/>
          </w:tcPr>
          <w:p w14:paraId="2A3BCAE5" w14:textId="77777777" w:rsidR="00136217" w:rsidRPr="00FB6F73" w:rsidRDefault="00136217" w:rsidP="00136217">
            <w:pPr>
              <w:jc w:val="center"/>
              <w:rPr>
                <w:sz w:val="22"/>
                <w:szCs w:val="22"/>
                <w:lang w:val="sr-Latn-ME"/>
              </w:rPr>
            </w:pPr>
            <w:r w:rsidRPr="00FB6F73">
              <w:rPr>
                <w:sz w:val="22"/>
                <w:szCs w:val="22"/>
                <w:lang w:val="sr-Latn-ME"/>
              </w:rPr>
              <w:t>Medijana</w:t>
            </w:r>
          </w:p>
          <w:p w14:paraId="52E38816" w14:textId="77777777" w:rsidR="00136217" w:rsidRPr="00FB6F73" w:rsidRDefault="00136217" w:rsidP="00136217">
            <w:pPr>
              <w:jc w:val="center"/>
              <w:rPr>
                <w:sz w:val="22"/>
                <w:szCs w:val="22"/>
                <w:lang w:val="sr-Latn-ME"/>
              </w:rPr>
            </w:pPr>
            <w:r w:rsidRPr="00FB6F73">
              <w:rPr>
                <w:sz w:val="22"/>
                <w:szCs w:val="22"/>
                <w:lang w:val="sr-Latn-ME"/>
              </w:rPr>
              <w:t>ukupnog</w:t>
            </w:r>
          </w:p>
          <w:p w14:paraId="7DE8861C" w14:textId="77777777" w:rsidR="00136217" w:rsidRPr="00FB6F73" w:rsidRDefault="00136217" w:rsidP="00136217">
            <w:pPr>
              <w:jc w:val="center"/>
              <w:rPr>
                <w:sz w:val="22"/>
                <w:szCs w:val="22"/>
                <w:lang w:val="sr-Latn-ME"/>
              </w:rPr>
            </w:pPr>
            <w:r w:rsidRPr="00FB6F73">
              <w:rPr>
                <w:sz w:val="22"/>
                <w:szCs w:val="22"/>
                <w:lang w:val="sr-Latn-ME"/>
              </w:rPr>
              <w:t>preživljavanja</w:t>
            </w:r>
          </w:p>
        </w:tc>
        <w:tc>
          <w:tcPr>
            <w:tcW w:w="1183" w:type="dxa"/>
            <w:tcBorders>
              <w:top w:val="single" w:sz="4" w:space="0" w:color="000000"/>
              <w:left w:val="single" w:sz="4" w:space="0" w:color="000000"/>
              <w:bottom w:val="single" w:sz="4" w:space="0" w:color="000000"/>
              <w:right w:val="single" w:sz="4" w:space="0" w:color="000000"/>
            </w:tcBorders>
            <w:vAlign w:val="center"/>
            <w:hideMark/>
          </w:tcPr>
          <w:p w14:paraId="5C6DE35F" w14:textId="77777777" w:rsidR="00136217" w:rsidRPr="00FB6F73" w:rsidRDefault="00136217" w:rsidP="00136217">
            <w:pPr>
              <w:jc w:val="center"/>
              <w:rPr>
                <w:sz w:val="22"/>
                <w:szCs w:val="22"/>
                <w:lang w:val="sr-Latn-ME"/>
              </w:rPr>
            </w:pPr>
            <w:r w:rsidRPr="00FB6F73">
              <w:rPr>
                <w:sz w:val="22"/>
                <w:szCs w:val="22"/>
                <w:lang w:val="sr-Latn-ME"/>
              </w:rPr>
              <w:t>5,9</w:t>
            </w:r>
          </w:p>
        </w:tc>
        <w:tc>
          <w:tcPr>
            <w:tcW w:w="1155" w:type="dxa"/>
            <w:tcBorders>
              <w:top w:val="single" w:sz="4" w:space="0" w:color="000000"/>
              <w:left w:val="single" w:sz="4" w:space="0" w:color="000000"/>
              <w:bottom w:val="single" w:sz="4" w:space="0" w:color="000000"/>
              <w:right w:val="single" w:sz="4" w:space="0" w:color="000000"/>
            </w:tcBorders>
            <w:vAlign w:val="center"/>
            <w:hideMark/>
          </w:tcPr>
          <w:p w14:paraId="7EB88F72" w14:textId="77777777" w:rsidR="00136217" w:rsidRPr="00FB6F73" w:rsidRDefault="00136217" w:rsidP="00136217">
            <w:pPr>
              <w:jc w:val="center"/>
              <w:rPr>
                <w:sz w:val="22"/>
                <w:szCs w:val="22"/>
                <w:lang w:val="sr-Latn-ME"/>
              </w:rPr>
            </w:pPr>
            <w:r w:rsidRPr="00FB6F73">
              <w:rPr>
                <w:sz w:val="22"/>
                <w:szCs w:val="22"/>
                <w:lang w:val="sr-Latn-ME"/>
              </w:rPr>
              <w:t>5,1</w:t>
            </w:r>
          </w:p>
        </w:tc>
        <w:tc>
          <w:tcPr>
            <w:tcW w:w="1155" w:type="dxa"/>
            <w:tcBorders>
              <w:top w:val="single" w:sz="4" w:space="0" w:color="000000"/>
              <w:left w:val="single" w:sz="4" w:space="0" w:color="000000"/>
              <w:bottom w:val="single" w:sz="4" w:space="0" w:color="000000"/>
              <w:right w:val="single" w:sz="4" w:space="0" w:color="000000"/>
            </w:tcBorders>
            <w:vAlign w:val="center"/>
            <w:hideMark/>
          </w:tcPr>
          <w:p w14:paraId="096403C0" w14:textId="77777777" w:rsidR="00136217" w:rsidRPr="00FB6F73" w:rsidRDefault="00136217" w:rsidP="00136217">
            <w:pPr>
              <w:jc w:val="center"/>
              <w:rPr>
                <w:sz w:val="22"/>
                <w:szCs w:val="22"/>
                <w:lang w:val="sr-Latn-ME"/>
              </w:rPr>
            </w:pPr>
            <w:r w:rsidRPr="00FB6F73">
              <w:rPr>
                <w:sz w:val="22"/>
                <w:szCs w:val="22"/>
                <w:lang w:val="sr-Latn-ME"/>
              </w:rPr>
              <w:t>0,87</w:t>
            </w:r>
          </w:p>
        </w:tc>
        <w:tc>
          <w:tcPr>
            <w:tcW w:w="1055" w:type="dxa"/>
            <w:tcBorders>
              <w:top w:val="single" w:sz="4" w:space="0" w:color="000000"/>
              <w:left w:val="single" w:sz="4" w:space="0" w:color="000000"/>
              <w:bottom w:val="single" w:sz="4" w:space="0" w:color="000000"/>
              <w:right w:val="single" w:sz="4" w:space="0" w:color="000000"/>
            </w:tcBorders>
            <w:vAlign w:val="center"/>
            <w:hideMark/>
          </w:tcPr>
          <w:p w14:paraId="5CF08FA0" w14:textId="77777777" w:rsidR="00136217" w:rsidRPr="00FB6F73" w:rsidRDefault="00136217" w:rsidP="00136217">
            <w:pPr>
              <w:jc w:val="center"/>
              <w:rPr>
                <w:sz w:val="22"/>
                <w:szCs w:val="22"/>
                <w:lang w:val="sr-Latn-ME"/>
              </w:rPr>
            </w:pPr>
            <w:r w:rsidRPr="00FB6F73">
              <w:rPr>
                <w:sz w:val="22"/>
                <w:szCs w:val="22"/>
                <w:lang w:val="sr-Latn-ME"/>
              </w:rPr>
              <w:t>-0,26-1,56</w:t>
            </w:r>
          </w:p>
        </w:tc>
        <w:tc>
          <w:tcPr>
            <w:tcW w:w="1032" w:type="dxa"/>
            <w:vMerge w:val="restart"/>
            <w:tcBorders>
              <w:top w:val="single" w:sz="4" w:space="0" w:color="000000"/>
              <w:left w:val="single" w:sz="4" w:space="0" w:color="000000"/>
              <w:bottom w:val="single" w:sz="4" w:space="0" w:color="000000"/>
              <w:right w:val="single" w:sz="4" w:space="0" w:color="000000"/>
            </w:tcBorders>
            <w:vAlign w:val="center"/>
            <w:hideMark/>
          </w:tcPr>
          <w:p w14:paraId="13C2D3C8" w14:textId="77777777" w:rsidR="00136217" w:rsidRPr="00FB6F73" w:rsidRDefault="00136217" w:rsidP="00136217">
            <w:pPr>
              <w:jc w:val="center"/>
              <w:rPr>
                <w:sz w:val="22"/>
                <w:szCs w:val="22"/>
                <w:lang w:val="sr-Latn-ME"/>
              </w:rPr>
            </w:pPr>
            <w:r w:rsidRPr="00FB6F73">
              <w:rPr>
                <w:sz w:val="22"/>
                <w:szCs w:val="22"/>
                <w:lang w:val="sr-Latn-ME"/>
              </w:rPr>
              <w:t>0,80</w:t>
            </w:r>
          </w:p>
        </w:tc>
        <w:tc>
          <w:tcPr>
            <w:tcW w:w="1055" w:type="dxa"/>
            <w:vMerge w:val="restart"/>
            <w:tcBorders>
              <w:top w:val="single" w:sz="4" w:space="0" w:color="000000"/>
              <w:left w:val="single" w:sz="4" w:space="0" w:color="000000"/>
              <w:bottom w:val="single" w:sz="4" w:space="0" w:color="000000"/>
              <w:right w:val="single" w:sz="4" w:space="0" w:color="000000"/>
            </w:tcBorders>
            <w:vAlign w:val="center"/>
            <w:hideMark/>
          </w:tcPr>
          <w:p w14:paraId="34434D4A" w14:textId="77777777" w:rsidR="00136217" w:rsidRPr="00FB6F73" w:rsidRDefault="00136217" w:rsidP="00136217">
            <w:pPr>
              <w:jc w:val="center"/>
              <w:rPr>
                <w:sz w:val="22"/>
                <w:szCs w:val="22"/>
                <w:lang w:val="sr-Latn-ME"/>
              </w:rPr>
            </w:pPr>
            <w:r w:rsidRPr="00FB6F73">
              <w:rPr>
                <w:sz w:val="22"/>
                <w:szCs w:val="22"/>
                <w:lang w:val="sr-Latn-ME"/>
              </w:rPr>
              <w:t>0,66-0,98</w:t>
            </w:r>
          </w:p>
        </w:tc>
        <w:tc>
          <w:tcPr>
            <w:tcW w:w="1028" w:type="dxa"/>
            <w:vMerge w:val="restart"/>
            <w:tcBorders>
              <w:top w:val="single" w:sz="4" w:space="0" w:color="000000"/>
              <w:left w:val="single" w:sz="4" w:space="0" w:color="000000"/>
              <w:bottom w:val="single" w:sz="4" w:space="0" w:color="000000"/>
              <w:right w:val="single" w:sz="4" w:space="0" w:color="000000"/>
            </w:tcBorders>
            <w:vAlign w:val="center"/>
            <w:hideMark/>
          </w:tcPr>
          <w:p w14:paraId="14F8DB1D" w14:textId="77777777" w:rsidR="00136217" w:rsidRPr="00FB6F73" w:rsidRDefault="00136217" w:rsidP="00136217">
            <w:pPr>
              <w:jc w:val="center"/>
              <w:rPr>
                <w:sz w:val="22"/>
                <w:szCs w:val="22"/>
                <w:lang w:val="sr-Latn-ME"/>
              </w:rPr>
            </w:pPr>
            <w:r w:rsidRPr="00FB6F73">
              <w:rPr>
                <w:sz w:val="22"/>
                <w:szCs w:val="22"/>
                <w:lang w:val="sr-Latn-ME"/>
              </w:rPr>
              <w:t>0,029</w:t>
            </w:r>
          </w:p>
        </w:tc>
      </w:tr>
      <w:tr w:rsidR="00136217" w:rsidRPr="00FB6F73" w14:paraId="23C03EA2" w14:textId="77777777" w:rsidTr="00981FFD">
        <w:tc>
          <w:tcPr>
            <w:tcW w:w="1722" w:type="dxa"/>
            <w:tcBorders>
              <w:top w:val="single" w:sz="4" w:space="0" w:color="000000"/>
              <w:left w:val="single" w:sz="4" w:space="0" w:color="000000"/>
              <w:bottom w:val="single" w:sz="4" w:space="0" w:color="000000"/>
              <w:right w:val="single" w:sz="4" w:space="0" w:color="000000"/>
            </w:tcBorders>
            <w:vAlign w:val="center"/>
            <w:hideMark/>
          </w:tcPr>
          <w:p w14:paraId="1035FB74" w14:textId="75CF8651" w:rsidR="00136217" w:rsidRPr="00FB6F73" w:rsidRDefault="00136217" w:rsidP="00136217">
            <w:pPr>
              <w:jc w:val="center"/>
              <w:rPr>
                <w:sz w:val="22"/>
                <w:szCs w:val="22"/>
                <w:lang w:val="sr-Latn-ME"/>
              </w:rPr>
            </w:pPr>
            <w:r w:rsidRPr="00FB6F73">
              <w:rPr>
                <w:sz w:val="22"/>
                <w:szCs w:val="22"/>
                <w:lang w:val="sr-Latn-ME"/>
              </w:rPr>
              <w:t xml:space="preserve">Srednja </w:t>
            </w:r>
            <w:r w:rsidR="00FD4480" w:rsidRPr="00FB6F73">
              <w:rPr>
                <w:sz w:val="22"/>
                <w:szCs w:val="22"/>
                <w:lang w:val="sr-Latn-ME"/>
              </w:rPr>
              <w:t>vrijednost</w:t>
            </w:r>
          </w:p>
          <w:p w14:paraId="01FC3CAE" w14:textId="77777777" w:rsidR="00136217" w:rsidRPr="00FB6F73" w:rsidRDefault="00136217" w:rsidP="00136217">
            <w:pPr>
              <w:jc w:val="center"/>
              <w:rPr>
                <w:sz w:val="22"/>
                <w:szCs w:val="22"/>
                <w:lang w:val="sr-Latn-ME"/>
              </w:rPr>
            </w:pPr>
            <w:r w:rsidRPr="00FB6F73">
              <w:rPr>
                <w:sz w:val="22"/>
                <w:szCs w:val="22"/>
                <w:lang w:val="sr-Latn-ME"/>
              </w:rPr>
              <w:t>ukupnog</w:t>
            </w:r>
          </w:p>
          <w:p w14:paraId="44B080C7" w14:textId="77777777" w:rsidR="00136217" w:rsidRPr="00FB6F73" w:rsidRDefault="00136217" w:rsidP="00136217">
            <w:pPr>
              <w:jc w:val="center"/>
              <w:rPr>
                <w:sz w:val="22"/>
                <w:szCs w:val="22"/>
                <w:lang w:val="sr-Latn-ME"/>
              </w:rPr>
            </w:pPr>
            <w:r w:rsidRPr="00FB6F73">
              <w:rPr>
                <w:sz w:val="22"/>
                <w:szCs w:val="22"/>
                <w:lang w:val="sr-Latn-ME"/>
              </w:rPr>
              <w:t>preživljavanja</w:t>
            </w:r>
          </w:p>
        </w:tc>
        <w:tc>
          <w:tcPr>
            <w:tcW w:w="1183" w:type="dxa"/>
            <w:tcBorders>
              <w:top w:val="single" w:sz="4" w:space="0" w:color="000000"/>
              <w:left w:val="single" w:sz="4" w:space="0" w:color="000000"/>
              <w:bottom w:val="single" w:sz="4" w:space="0" w:color="000000"/>
              <w:right w:val="single" w:sz="4" w:space="0" w:color="000000"/>
            </w:tcBorders>
            <w:vAlign w:val="center"/>
            <w:hideMark/>
          </w:tcPr>
          <w:p w14:paraId="42493A85" w14:textId="77777777" w:rsidR="00136217" w:rsidRPr="00FB6F73" w:rsidRDefault="00136217" w:rsidP="00136217">
            <w:pPr>
              <w:jc w:val="center"/>
              <w:rPr>
                <w:sz w:val="22"/>
                <w:szCs w:val="22"/>
                <w:lang w:val="sr-Latn-ME"/>
              </w:rPr>
            </w:pPr>
            <w:r w:rsidRPr="00FB6F73">
              <w:rPr>
                <w:sz w:val="22"/>
                <w:szCs w:val="22"/>
                <w:lang w:val="sr-Latn-ME"/>
              </w:rPr>
              <w:t>8.1</w:t>
            </w:r>
          </w:p>
        </w:tc>
        <w:tc>
          <w:tcPr>
            <w:tcW w:w="1155" w:type="dxa"/>
            <w:tcBorders>
              <w:top w:val="single" w:sz="4" w:space="0" w:color="000000"/>
              <w:left w:val="single" w:sz="4" w:space="0" w:color="000000"/>
              <w:bottom w:val="single" w:sz="4" w:space="0" w:color="000000"/>
              <w:right w:val="single" w:sz="4" w:space="0" w:color="000000"/>
            </w:tcBorders>
            <w:vAlign w:val="center"/>
            <w:hideMark/>
          </w:tcPr>
          <w:p w14:paraId="0E56E433" w14:textId="77777777" w:rsidR="00136217" w:rsidRPr="00FB6F73" w:rsidRDefault="00136217" w:rsidP="00136217">
            <w:pPr>
              <w:jc w:val="center"/>
              <w:rPr>
                <w:sz w:val="22"/>
                <w:szCs w:val="22"/>
                <w:lang w:val="sr-Latn-ME"/>
              </w:rPr>
            </w:pPr>
            <w:r w:rsidRPr="00FB6F73">
              <w:rPr>
                <w:sz w:val="22"/>
                <w:szCs w:val="22"/>
                <w:lang w:val="sr-Latn-ME"/>
              </w:rPr>
              <w:t>6,7</w:t>
            </w:r>
          </w:p>
        </w:tc>
        <w:tc>
          <w:tcPr>
            <w:tcW w:w="1155" w:type="dxa"/>
            <w:tcBorders>
              <w:top w:val="single" w:sz="4" w:space="0" w:color="000000"/>
              <w:left w:val="single" w:sz="4" w:space="0" w:color="000000"/>
              <w:bottom w:val="single" w:sz="4" w:space="0" w:color="000000"/>
              <w:right w:val="single" w:sz="4" w:space="0" w:color="000000"/>
            </w:tcBorders>
            <w:vAlign w:val="center"/>
            <w:hideMark/>
          </w:tcPr>
          <w:p w14:paraId="367D30E0" w14:textId="77777777" w:rsidR="00136217" w:rsidRPr="00FB6F73" w:rsidRDefault="00136217" w:rsidP="00136217">
            <w:pPr>
              <w:jc w:val="center"/>
              <w:rPr>
                <w:sz w:val="22"/>
                <w:szCs w:val="22"/>
                <w:lang w:val="sr-Latn-ME"/>
              </w:rPr>
            </w:pPr>
            <w:r w:rsidRPr="00FB6F73">
              <w:rPr>
                <w:sz w:val="22"/>
                <w:szCs w:val="22"/>
                <w:lang w:val="sr-Latn-ME"/>
              </w:rPr>
              <w:t>1,43</w:t>
            </w:r>
          </w:p>
        </w:tc>
        <w:tc>
          <w:tcPr>
            <w:tcW w:w="1055" w:type="dxa"/>
            <w:tcBorders>
              <w:top w:val="single" w:sz="4" w:space="0" w:color="000000"/>
              <w:left w:val="single" w:sz="4" w:space="0" w:color="000000"/>
              <w:bottom w:val="single" w:sz="4" w:space="0" w:color="000000"/>
              <w:right w:val="single" w:sz="4" w:space="0" w:color="000000"/>
            </w:tcBorders>
            <w:vAlign w:val="center"/>
            <w:hideMark/>
          </w:tcPr>
          <w:p w14:paraId="7BC8CBA0" w14:textId="77777777" w:rsidR="00136217" w:rsidRPr="00FB6F73" w:rsidRDefault="00136217" w:rsidP="00136217">
            <w:pPr>
              <w:jc w:val="center"/>
              <w:rPr>
                <w:sz w:val="22"/>
                <w:szCs w:val="22"/>
                <w:lang w:val="sr-Latn-ME"/>
              </w:rPr>
            </w:pPr>
            <w:r w:rsidRPr="00FB6F73">
              <w:rPr>
                <w:sz w:val="22"/>
                <w:szCs w:val="22"/>
                <w:lang w:val="sr-Latn-ME"/>
              </w:rPr>
              <w:t>0,17-2,66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38B98D" w14:textId="77777777" w:rsidR="00136217" w:rsidRPr="00FB6F73" w:rsidRDefault="00136217" w:rsidP="00136217">
            <w:pPr>
              <w:rPr>
                <w:sz w:val="22"/>
                <w:szCs w:val="22"/>
                <w:lang w:val="sr-Latn-M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333CF3" w14:textId="77777777" w:rsidR="00136217" w:rsidRPr="00FB6F73" w:rsidRDefault="00136217" w:rsidP="00136217">
            <w:pPr>
              <w:rPr>
                <w:sz w:val="22"/>
                <w:szCs w:val="22"/>
                <w:lang w:val="sr-Latn-ME"/>
              </w:rPr>
            </w:pPr>
          </w:p>
        </w:tc>
        <w:tc>
          <w:tcPr>
            <w:tcW w:w="1028" w:type="dxa"/>
            <w:vMerge/>
            <w:tcBorders>
              <w:top w:val="single" w:sz="4" w:space="0" w:color="000000"/>
              <w:left w:val="single" w:sz="4" w:space="0" w:color="000000"/>
              <w:bottom w:val="single" w:sz="4" w:space="0" w:color="000000"/>
              <w:right w:val="single" w:sz="4" w:space="0" w:color="000000"/>
            </w:tcBorders>
            <w:vAlign w:val="center"/>
            <w:hideMark/>
          </w:tcPr>
          <w:p w14:paraId="40B6113E" w14:textId="77777777" w:rsidR="00136217" w:rsidRPr="00FB6F73" w:rsidRDefault="00136217" w:rsidP="00136217">
            <w:pPr>
              <w:rPr>
                <w:sz w:val="22"/>
                <w:szCs w:val="22"/>
                <w:lang w:val="sr-Latn-ME"/>
              </w:rPr>
            </w:pPr>
          </w:p>
        </w:tc>
      </w:tr>
      <w:tr w:rsidR="00136217" w:rsidRPr="00FB6F73" w14:paraId="3885AF3A" w14:textId="77777777" w:rsidTr="00981FFD">
        <w:tc>
          <w:tcPr>
            <w:tcW w:w="9385" w:type="dxa"/>
            <w:gridSpan w:val="8"/>
            <w:tcBorders>
              <w:top w:val="single" w:sz="4" w:space="0" w:color="000000"/>
              <w:left w:val="single" w:sz="4" w:space="0" w:color="000000"/>
              <w:bottom w:val="single" w:sz="4" w:space="0" w:color="000000"/>
              <w:right w:val="single" w:sz="4" w:space="0" w:color="000000"/>
            </w:tcBorders>
            <w:hideMark/>
          </w:tcPr>
          <w:p w14:paraId="212F8ECA" w14:textId="77777777" w:rsidR="00136217" w:rsidRPr="00FB6F73" w:rsidRDefault="00136217" w:rsidP="00136217">
            <w:pPr>
              <w:jc w:val="center"/>
              <w:rPr>
                <w:sz w:val="22"/>
                <w:szCs w:val="22"/>
                <w:lang w:val="sr-Latn-ME"/>
              </w:rPr>
            </w:pPr>
            <w:r w:rsidRPr="00FB6F73">
              <w:rPr>
                <w:sz w:val="22"/>
                <w:szCs w:val="22"/>
                <w:lang w:val="sr-Latn-ME"/>
              </w:rPr>
              <w:t>Populacija sa lokalno uznapredovalom bolešću</w:t>
            </w:r>
          </w:p>
        </w:tc>
      </w:tr>
      <w:tr w:rsidR="00136217" w:rsidRPr="00FB6F73" w14:paraId="09FB7C36" w14:textId="77777777" w:rsidTr="00981FFD">
        <w:tc>
          <w:tcPr>
            <w:tcW w:w="1722" w:type="dxa"/>
            <w:tcBorders>
              <w:top w:val="single" w:sz="4" w:space="0" w:color="000000"/>
              <w:left w:val="single" w:sz="4" w:space="0" w:color="000000"/>
              <w:bottom w:val="single" w:sz="4" w:space="0" w:color="000000"/>
              <w:right w:val="single" w:sz="4" w:space="0" w:color="000000"/>
            </w:tcBorders>
            <w:vAlign w:val="center"/>
            <w:hideMark/>
          </w:tcPr>
          <w:p w14:paraId="7BA027B9" w14:textId="77777777" w:rsidR="00136217" w:rsidRPr="00FB6F73" w:rsidRDefault="00136217" w:rsidP="00136217">
            <w:pPr>
              <w:jc w:val="center"/>
              <w:rPr>
                <w:sz w:val="22"/>
                <w:szCs w:val="22"/>
                <w:lang w:val="sr-Latn-ME"/>
              </w:rPr>
            </w:pPr>
            <w:r w:rsidRPr="00FB6F73">
              <w:rPr>
                <w:sz w:val="22"/>
                <w:szCs w:val="22"/>
                <w:lang w:val="sr-Latn-ME"/>
              </w:rPr>
              <w:t>Medijana</w:t>
            </w:r>
          </w:p>
          <w:p w14:paraId="4A20D460" w14:textId="77777777" w:rsidR="00136217" w:rsidRPr="00FB6F73" w:rsidRDefault="00136217" w:rsidP="00136217">
            <w:pPr>
              <w:jc w:val="center"/>
              <w:rPr>
                <w:sz w:val="22"/>
                <w:szCs w:val="22"/>
                <w:lang w:val="sr-Latn-ME"/>
              </w:rPr>
            </w:pPr>
            <w:r w:rsidRPr="00FB6F73">
              <w:rPr>
                <w:sz w:val="22"/>
                <w:szCs w:val="22"/>
                <w:lang w:val="sr-Latn-ME"/>
              </w:rPr>
              <w:t>ukupnog</w:t>
            </w:r>
          </w:p>
          <w:p w14:paraId="68803D91" w14:textId="77777777" w:rsidR="00136217" w:rsidRPr="00FB6F73" w:rsidRDefault="00136217" w:rsidP="00136217">
            <w:pPr>
              <w:jc w:val="center"/>
              <w:rPr>
                <w:sz w:val="22"/>
                <w:szCs w:val="22"/>
                <w:lang w:val="sr-Latn-ME"/>
              </w:rPr>
            </w:pPr>
            <w:r w:rsidRPr="00FB6F73">
              <w:rPr>
                <w:sz w:val="22"/>
                <w:szCs w:val="22"/>
                <w:lang w:val="sr-Latn-ME"/>
              </w:rPr>
              <w:t>preživljavanja</w:t>
            </w:r>
          </w:p>
        </w:tc>
        <w:tc>
          <w:tcPr>
            <w:tcW w:w="1183" w:type="dxa"/>
            <w:tcBorders>
              <w:top w:val="single" w:sz="4" w:space="0" w:color="000000"/>
              <w:left w:val="single" w:sz="4" w:space="0" w:color="000000"/>
              <w:bottom w:val="single" w:sz="4" w:space="0" w:color="000000"/>
              <w:right w:val="single" w:sz="4" w:space="0" w:color="000000"/>
            </w:tcBorders>
            <w:vAlign w:val="center"/>
            <w:hideMark/>
          </w:tcPr>
          <w:p w14:paraId="1AC6C396" w14:textId="77777777" w:rsidR="00136217" w:rsidRPr="00FB6F73" w:rsidRDefault="00136217" w:rsidP="00136217">
            <w:pPr>
              <w:jc w:val="center"/>
              <w:rPr>
                <w:sz w:val="22"/>
                <w:szCs w:val="22"/>
                <w:lang w:val="sr-Latn-ME"/>
              </w:rPr>
            </w:pPr>
            <w:r w:rsidRPr="00FB6F73">
              <w:rPr>
                <w:sz w:val="22"/>
                <w:szCs w:val="22"/>
                <w:lang w:val="sr-Latn-ME"/>
              </w:rPr>
              <w:t>8,5</w:t>
            </w:r>
          </w:p>
        </w:tc>
        <w:tc>
          <w:tcPr>
            <w:tcW w:w="1155" w:type="dxa"/>
            <w:tcBorders>
              <w:top w:val="single" w:sz="4" w:space="0" w:color="000000"/>
              <w:left w:val="single" w:sz="4" w:space="0" w:color="000000"/>
              <w:bottom w:val="single" w:sz="4" w:space="0" w:color="000000"/>
              <w:right w:val="single" w:sz="4" w:space="0" w:color="000000"/>
            </w:tcBorders>
            <w:vAlign w:val="center"/>
            <w:hideMark/>
          </w:tcPr>
          <w:p w14:paraId="564A1826" w14:textId="77777777" w:rsidR="00136217" w:rsidRPr="00FB6F73" w:rsidRDefault="00136217" w:rsidP="00136217">
            <w:pPr>
              <w:jc w:val="center"/>
              <w:rPr>
                <w:sz w:val="22"/>
                <w:szCs w:val="22"/>
                <w:lang w:val="sr-Latn-ME"/>
              </w:rPr>
            </w:pPr>
            <w:r w:rsidRPr="00FB6F73">
              <w:rPr>
                <w:sz w:val="22"/>
                <w:szCs w:val="22"/>
                <w:lang w:val="sr-Latn-ME"/>
              </w:rPr>
              <w:t>8,2</w:t>
            </w:r>
          </w:p>
        </w:tc>
        <w:tc>
          <w:tcPr>
            <w:tcW w:w="1155" w:type="dxa"/>
            <w:tcBorders>
              <w:top w:val="single" w:sz="4" w:space="0" w:color="000000"/>
              <w:left w:val="single" w:sz="4" w:space="0" w:color="000000"/>
              <w:bottom w:val="single" w:sz="4" w:space="0" w:color="000000"/>
              <w:right w:val="single" w:sz="4" w:space="0" w:color="000000"/>
            </w:tcBorders>
            <w:vAlign w:val="center"/>
            <w:hideMark/>
          </w:tcPr>
          <w:p w14:paraId="738D4EA8" w14:textId="77777777" w:rsidR="00136217" w:rsidRPr="00FB6F73" w:rsidRDefault="00136217" w:rsidP="00136217">
            <w:pPr>
              <w:jc w:val="center"/>
              <w:rPr>
                <w:sz w:val="22"/>
                <w:szCs w:val="22"/>
                <w:lang w:val="sr-Latn-ME"/>
              </w:rPr>
            </w:pPr>
            <w:r w:rsidRPr="00FB6F73">
              <w:rPr>
                <w:sz w:val="22"/>
                <w:szCs w:val="22"/>
                <w:lang w:val="sr-Latn-ME"/>
              </w:rPr>
              <w:t>0,36</w:t>
            </w:r>
          </w:p>
        </w:tc>
        <w:tc>
          <w:tcPr>
            <w:tcW w:w="1055" w:type="dxa"/>
            <w:tcBorders>
              <w:top w:val="single" w:sz="4" w:space="0" w:color="000000"/>
              <w:left w:val="single" w:sz="4" w:space="0" w:color="000000"/>
              <w:bottom w:val="single" w:sz="4" w:space="0" w:color="000000"/>
              <w:right w:val="single" w:sz="4" w:space="0" w:color="000000"/>
            </w:tcBorders>
            <w:vAlign w:val="center"/>
            <w:hideMark/>
          </w:tcPr>
          <w:p w14:paraId="0F0F6F9B" w14:textId="77777777" w:rsidR="00136217" w:rsidRPr="00FB6F73" w:rsidRDefault="00136217" w:rsidP="00136217">
            <w:pPr>
              <w:jc w:val="center"/>
              <w:rPr>
                <w:sz w:val="22"/>
                <w:szCs w:val="22"/>
                <w:lang w:val="sr-Latn-ME"/>
              </w:rPr>
            </w:pPr>
            <w:r w:rsidRPr="00FB6F73">
              <w:rPr>
                <w:sz w:val="22"/>
                <w:szCs w:val="22"/>
                <w:lang w:val="sr-Latn-ME"/>
              </w:rPr>
              <w:t>-2,43-2,96</w:t>
            </w:r>
          </w:p>
        </w:tc>
        <w:tc>
          <w:tcPr>
            <w:tcW w:w="1032" w:type="dxa"/>
            <w:vMerge w:val="restart"/>
            <w:tcBorders>
              <w:top w:val="single" w:sz="4" w:space="0" w:color="000000"/>
              <w:left w:val="single" w:sz="4" w:space="0" w:color="000000"/>
              <w:bottom w:val="single" w:sz="4" w:space="0" w:color="000000"/>
              <w:right w:val="single" w:sz="4" w:space="0" w:color="000000"/>
            </w:tcBorders>
            <w:vAlign w:val="center"/>
            <w:hideMark/>
          </w:tcPr>
          <w:p w14:paraId="5E39486D" w14:textId="77777777" w:rsidR="00136217" w:rsidRPr="00FB6F73" w:rsidRDefault="00136217" w:rsidP="00136217">
            <w:pPr>
              <w:jc w:val="center"/>
              <w:rPr>
                <w:sz w:val="22"/>
                <w:szCs w:val="22"/>
                <w:lang w:val="sr-Latn-ME"/>
              </w:rPr>
            </w:pPr>
            <w:r w:rsidRPr="00FB6F73">
              <w:rPr>
                <w:sz w:val="22"/>
                <w:szCs w:val="22"/>
                <w:lang w:val="sr-Latn-ME"/>
              </w:rPr>
              <w:t>0,93</w:t>
            </w:r>
          </w:p>
        </w:tc>
        <w:tc>
          <w:tcPr>
            <w:tcW w:w="1055" w:type="dxa"/>
            <w:vMerge w:val="restart"/>
            <w:tcBorders>
              <w:top w:val="single" w:sz="4" w:space="0" w:color="000000"/>
              <w:left w:val="single" w:sz="4" w:space="0" w:color="000000"/>
              <w:bottom w:val="single" w:sz="4" w:space="0" w:color="000000"/>
              <w:right w:val="single" w:sz="4" w:space="0" w:color="000000"/>
            </w:tcBorders>
            <w:vAlign w:val="center"/>
            <w:hideMark/>
          </w:tcPr>
          <w:p w14:paraId="569C6380" w14:textId="77777777" w:rsidR="00136217" w:rsidRPr="00FB6F73" w:rsidRDefault="00136217" w:rsidP="00136217">
            <w:pPr>
              <w:jc w:val="center"/>
              <w:rPr>
                <w:sz w:val="22"/>
                <w:szCs w:val="22"/>
                <w:lang w:val="sr-Latn-ME"/>
              </w:rPr>
            </w:pPr>
            <w:r w:rsidRPr="00FB6F73">
              <w:rPr>
                <w:sz w:val="22"/>
                <w:szCs w:val="22"/>
                <w:lang w:val="sr-Latn-ME"/>
              </w:rPr>
              <w:t>0,65-1,35</w:t>
            </w:r>
          </w:p>
        </w:tc>
        <w:tc>
          <w:tcPr>
            <w:tcW w:w="1028" w:type="dxa"/>
            <w:vMerge w:val="restart"/>
            <w:tcBorders>
              <w:top w:val="single" w:sz="4" w:space="0" w:color="000000"/>
              <w:left w:val="single" w:sz="4" w:space="0" w:color="000000"/>
              <w:bottom w:val="single" w:sz="4" w:space="0" w:color="000000"/>
              <w:right w:val="single" w:sz="4" w:space="0" w:color="000000"/>
            </w:tcBorders>
            <w:vAlign w:val="center"/>
            <w:hideMark/>
          </w:tcPr>
          <w:p w14:paraId="48A2008A" w14:textId="77777777" w:rsidR="00136217" w:rsidRPr="00FB6F73" w:rsidRDefault="00136217" w:rsidP="00136217">
            <w:pPr>
              <w:jc w:val="center"/>
              <w:rPr>
                <w:sz w:val="22"/>
                <w:szCs w:val="22"/>
                <w:lang w:val="sr-Latn-ME"/>
              </w:rPr>
            </w:pPr>
            <w:r w:rsidRPr="00FB6F73">
              <w:rPr>
                <w:sz w:val="22"/>
                <w:szCs w:val="22"/>
                <w:lang w:val="sr-Latn-ME"/>
              </w:rPr>
              <w:t>0,713</w:t>
            </w:r>
          </w:p>
        </w:tc>
      </w:tr>
      <w:tr w:rsidR="00136217" w:rsidRPr="00FB6F73" w14:paraId="30B02666" w14:textId="77777777" w:rsidTr="00981FFD">
        <w:tc>
          <w:tcPr>
            <w:tcW w:w="1722" w:type="dxa"/>
            <w:tcBorders>
              <w:top w:val="single" w:sz="4" w:space="0" w:color="000000"/>
              <w:left w:val="single" w:sz="4" w:space="0" w:color="000000"/>
              <w:bottom w:val="single" w:sz="4" w:space="0" w:color="000000"/>
              <w:right w:val="single" w:sz="4" w:space="0" w:color="000000"/>
            </w:tcBorders>
            <w:vAlign w:val="center"/>
            <w:hideMark/>
          </w:tcPr>
          <w:p w14:paraId="0FD8E170" w14:textId="5B9F3E88" w:rsidR="00136217" w:rsidRPr="00FB6F73" w:rsidRDefault="00136217" w:rsidP="00136217">
            <w:pPr>
              <w:jc w:val="center"/>
              <w:rPr>
                <w:sz w:val="22"/>
                <w:szCs w:val="22"/>
                <w:lang w:val="sr-Latn-ME"/>
              </w:rPr>
            </w:pPr>
            <w:r w:rsidRPr="00FB6F73">
              <w:rPr>
                <w:sz w:val="22"/>
                <w:szCs w:val="22"/>
                <w:lang w:val="sr-Latn-ME"/>
              </w:rPr>
              <w:t xml:space="preserve">Srednja </w:t>
            </w:r>
            <w:r w:rsidR="00FD4480" w:rsidRPr="00FB6F73">
              <w:rPr>
                <w:sz w:val="22"/>
                <w:szCs w:val="22"/>
                <w:lang w:val="sr-Latn-ME"/>
              </w:rPr>
              <w:t>vrijednost</w:t>
            </w:r>
          </w:p>
          <w:p w14:paraId="0E4D338C" w14:textId="77777777" w:rsidR="00136217" w:rsidRPr="00FB6F73" w:rsidRDefault="00136217" w:rsidP="00136217">
            <w:pPr>
              <w:jc w:val="center"/>
              <w:rPr>
                <w:sz w:val="22"/>
                <w:szCs w:val="22"/>
                <w:lang w:val="sr-Latn-ME"/>
              </w:rPr>
            </w:pPr>
            <w:r w:rsidRPr="00FB6F73">
              <w:rPr>
                <w:sz w:val="22"/>
                <w:szCs w:val="22"/>
                <w:lang w:val="sr-Latn-ME"/>
              </w:rPr>
              <w:t>ukupnog</w:t>
            </w:r>
          </w:p>
          <w:p w14:paraId="42BF3BA1" w14:textId="77777777" w:rsidR="00136217" w:rsidRPr="00FB6F73" w:rsidRDefault="00136217" w:rsidP="00136217">
            <w:pPr>
              <w:jc w:val="center"/>
              <w:rPr>
                <w:sz w:val="22"/>
                <w:szCs w:val="22"/>
                <w:lang w:val="sr-Latn-ME"/>
              </w:rPr>
            </w:pPr>
            <w:r w:rsidRPr="00FB6F73">
              <w:rPr>
                <w:sz w:val="22"/>
                <w:szCs w:val="22"/>
                <w:lang w:val="sr-Latn-ME"/>
              </w:rPr>
              <w:t>preživljavanja</w:t>
            </w:r>
          </w:p>
        </w:tc>
        <w:tc>
          <w:tcPr>
            <w:tcW w:w="1183" w:type="dxa"/>
            <w:tcBorders>
              <w:top w:val="single" w:sz="4" w:space="0" w:color="000000"/>
              <w:left w:val="single" w:sz="4" w:space="0" w:color="000000"/>
              <w:bottom w:val="single" w:sz="4" w:space="0" w:color="000000"/>
              <w:right w:val="single" w:sz="4" w:space="0" w:color="000000"/>
            </w:tcBorders>
            <w:vAlign w:val="center"/>
            <w:hideMark/>
          </w:tcPr>
          <w:p w14:paraId="3D5F6B0D" w14:textId="77777777" w:rsidR="00136217" w:rsidRPr="00FB6F73" w:rsidRDefault="00136217" w:rsidP="00136217">
            <w:pPr>
              <w:jc w:val="center"/>
              <w:rPr>
                <w:sz w:val="22"/>
                <w:szCs w:val="22"/>
                <w:lang w:val="sr-Latn-ME"/>
              </w:rPr>
            </w:pPr>
            <w:r w:rsidRPr="00FB6F73">
              <w:rPr>
                <w:sz w:val="22"/>
                <w:szCs w:val="22"/>
                <w:lang w:val="sr-Latn-ME"/>
              </w:rPr>
              <w:t>10,7</w:t>
            </w:r>
          </w:p>
        </w:tc>
        <w:tc>
          <w:tcPr>
            <w:tcW w:w="1155" w:type="dxa"/>
            <w:tcBorders>
              <w:top w:val="single" w:sz="4" w:space="0" w:color="000000"/>
              <w:left w:val="single" w:sz="4" w:space="0" w:color="000000"/>
              <w:bottom w:val="single" w:sz="4" w:space="0" w:color="000000"/>
              <w:right w:val="single" w:sz="4" w:space="0" w:color="000000"/>
            </w:tcBorders>
            <w:vAlign w:val="center"/>
            <w:hideMark/>
          </w:tcPr>
          <w:p w14:paraId="109AAA37" w14:textId="77777777" w:rsidR="00136217" w:rsidRPr="00FB6F73" w:rsidRDefault="00136217" w:rsidP="00136217">
            <w:pPr>
              <w:jc w:val="center"/>
              <w:rPr>
                <w:sz w:val="22"/>
                <w:szCs w:val="22"/>
                <w:lang w:val="sr-Latn-ME"/>
              </w:rPr>
            </w:pPr>
            <w:r w:rsidRPr="00FB6F73">
              <w:rPr>
                <w:sz w:val="22"/>
                <w:szCs w:val="22"/>
                <w:lang w:val="sr-Latn-ME"/>
              </w:rPr>
              <w:t>10,5</w:t>
            </w:r>
          </w:p>
        </w:tc>
        <w:tc>
          <w:tcPr>
            <w:tcW w:w="1155" w:type="dxa"/>
            <w:tcBorders>
              <w:top w:val="single" w:sz="4" w:space="0" w:color="000000"/>
              <w:left w:val="single" w:sz="4" w:space="0" w:color="000000"/>
              <w:bottom w:val="single" w:sz="4" w:space="0" w:color="000000"/>
              <w:right w:val="single" w:sz="4" w:space="0" w:color="000000"/>
            </w:tcBorders>
            <w:vAlign w:val="center"/>
            <w:hideMark/>
          </w:tcPr>
          <w:p w14:paraId="1880C751" w14:textId="77777777" w:rsidR="00136217" w:rsidRPr="00FB6F73" w:rsidRDefault="00136217" w:rsidP="00136217">
            <w:pPr>
              <w:jc w:val="center"/>
              <w:rPr>
                <w:sz w:val="22"/>
                <w:szCs w:val="22"/>
                <w:lang w:val="sr-Latn-ME"/>
              </w:rPr>
            </w:pPr>
            <w:r w:rsidRPr="00FB6F73">
              <w:rPr>
                <w:sz w:val="22"/>
                <w:szCs w:val="22"/>
                <w:lang w:val="sr-Latn-ME"/>
              </w:rPr>
              <w:t>0,19</w:t>
            </w:r>
          </w:p>
        </w:tc>
        <w:tc>
          <w:tcPr>
            <w:tcW w:w="1055" w:type="dxa"/>
            <w:tcBorders>
              <w:top w:val="single" w:sz="4" w:space="0" w:color="000000"/>
              <w:left w:val="single" w:sz="4" w:space="0" w:color="000000"/>
              <w:bottom w:val="single" w:sz="4" w:space="0" w:color="000000"/>
              <w:right w:val="single" w:sz="4" w:space="0" w:color="000000"/>
            </w:tcBorders>
            <w:vAlign w:val="center"/>
            <w:hideMark/>
          </w:tcPr>
          <w:p w14:paraId="1F6B1EE8" w14:textId="77777777" w:rsidR="00136217" w:rsidRPr="00FB6F73" w:rsidRDefault="00136217" w:rsidP="00136217">
            <w:pPr>
              <w:jc w:val="center"/>
              <w:rPr>
                <w:sz w:val="22"/>
                <w:szCs w:val="22"/>
                <w:lang w:val="sr-Latn-ME"/>
              </w:rPr>
            </w:pPr>
            <w:r w:rsidRPr="00FB6F73">
              <w:rPr>
                <w:sz w:val="22"/>
                <w:szCs w:val="22"/>
                <w:lang w:val="sr-Latn-ME"/>
              </w:rPr>
              <w:t>-2,43-2,69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8D71C3" w14:textId="77777777" w:rsidR="00136217" w:rsidRPr="00FB6F73" w:rsidRDefault="00136217" w:rsidP="00136217">
            <w:pPr>
              <w:rPr>
                <w:sz w:val="22"/>
                <w:szCs w:val="22"/>
                <w:lang w:val="sr-Latn-M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522A9F" w14:textId="77777777" w:rsidR="00136217" w:rsidRPr="00FB6F73" w:rsidRDefault="00136217" w:rsidP="00136217">
            <w:pPr>
              <w:rPr>
                <w:sz w:val="22"/>
                <w:szCs w:val="22"/>
                <w:lang w:val="sr-Latn-ME"/>
              </w:rPr>
            </w:pPr>
          </w:p>
        </w:tc>
        <w:tc>
          <w:tcPr>
            <w:tcW w:w="1028" w:type="dxa"/>
            <w:vMerge/>
            <w:tcBorders>
              <w:top w:val="single" w:sz="4" w:space="0" w:color="000000"/>
              <w:left w:val="single" w:sz="4" w:space="0" w:color="000000"/>
              <w:bottom w:val="single" w:sz="4" w:space="0" w:color="000000"/>
              <w:right w:val="single" w:sz="4" w:space="0" w:color="000000"/>
            </w:tcBorders>
            <w:vAlign w:val="center"/>
            <w:hideMark/>
          </w:tcPr>
          <w:p w14:paraId="6739D513" w14:textId="77777777" w:rsidR="00136217" w:rsidRPr="00FB6F73" w:rsidRDefault="00136217" w:rsidP="00136217">
            <w:pPr>
              <w:rPr>
                <w:sz w:val="22"/>
                <w:szCs w:val="22"/>
                <w:lang w:val="sr-Latn-ME"/>
              </w:rPr>
            </w:pPr>
          </w:p>
        </w:tc>
      </w:tr>
    </w:tbl>
    <w:p w14:paraId="70BDF17E" w14:textId="77777777" w:rsidR="00136217" w:rsidRPr="00FB6F73" w:rsidRDefault="00136217" w:rsidP="00136217">
      <w:pPr>
        <w:tabs>
          <w:tab w:val="left" w:pos="540"/>
          <w:tab w:val="left" w:pos="569"/>
        </w:tabs>
        <w:rPr>
          <w:b/>
          <w:bCs/>
          <w:sz w:val="22"/>
          <w:szCs w:val="22"/>
          <w:lang w:val="sr-Latn-ME"/>
        </w:rPr>
      </w:pPr>
    </w:p>
    <w:p w14:paraId="41E651D4" w14:textId="77777777" w:rsidR="00136217" w:rsidRPr="00FB6F73" w:rsidRDefault="00136217" w:rsidP="00136217">
      <w:pPr>
        <w:tabs>
          <w:tab w:val="left" w:pos="540"/>
          <w:tab w:val="left" w:pos="569"/>
        </w:tabs>
        <w:rPr>
          <w:noProof/>
          <w:sz w:val="22"/>
          <w:szCs w:val="22"/>
          <w:lang w:val="sr-Latn-ME"/>
        </w:rPr>
      </w:pPr>
    </w:p>
    <w:p w14:paraId="3BDE10F3" w14:textId="77777777" w:rsidR="00136217" w:rsidRPr="00FB6F73" w:rsidRDefault="00136217" w:rsidP="00136217">
      <w:pPr>
        <w:tabs>
          <w:tab w:val="left" w:pos="540"/>
          <w:tab w:val="left" w:pos="569"/>
        </w:tabs>
        <w:rPr>
          <w:noProof/>
          <w:sz w:val="22"/>
          <w:szCs w:val="22"/>
          <w:lang w:val="sr-Latn-ME"/>
        </w:rPr>
      </w:pPr>
    </w:p>
    <w:p w14:paraId="513D1970" w14:textId="77777777" w:rsidR="00136217" w:rsidRPr="00FB6F73" w:rsidRDefault="00136217" w:rsidP="00136217">
      <w:pPr>
        <w:tabs>
          <w:tab w:val="left" w:pos="540"/>
          <w:tab w:val="left" w:pos="569"/>
        </w:tabs>
        <w:rPr>
          <w:b/>
          <w:bCs/>
          <w:sz w:val="22"/>
          <w:szCs w:val="22"/>
          <w:lang w:val="sr-Latn-ME"/>
        </w:rPr>
      </w:pPr>
      <w:r w:rsidRPr="00FB6F73">
        <w:rPr>
          <w:noProof/>
          <w:sz w:val="22"/>
          <w:szCs w:val="22"/>
          <w:lang w:val="sr-Latn-ME" w:eastAsia="sr-Latn-ME"/>
        </w:rPr>
        <w:drawing>
          <wp:inline distT="0" distB="0" distL="0" distR="0" wp14:anchorId="1163635C" wp14:editId="2CE77506">
            <wp:extent cx="4253865" cy="3474720"/>
            <wp:effectExtent l="0" t="0" r="0" b="0"/>
            <wp:docPr id="8" name="Picture 2" descr="Slik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ika 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53865" cy="3474720"/>
                    </a:xfrm>
                    <a:prstGeom prst="rect">
                      <a:avLst/>
                    </a:prstGeom>
                    <a:noFill/>
                    <a:ln>
                      <a:noFill/>
                    </a:ln>
                  </pic:spPr>
                </pic:pic>
              </a:graphicData>
            </a:graphic>
          </wp:inline>
        </w:drawing>
      </w:r>
    </w:p>
    <w:p w14:paraId="3005AB64" w14:textId="77777777" w:rsidR="00136217" w:rsidRPr="00FB6F73" w:rsidRDefault="00136217" w:rsidP="00136217">
      <w:pPr>
        <w:tabs>
          <w:tab w:val="left" w:pos="540"/>
          <w:tab w:val="left" w:pos="569"/>
        </w:tabs>
        <w:rPr>
          <w:b/>
          <w:bCs/>
          <w:sz w:val="22"/>
          <w:szCs w:val="22"/>
          <w:lang w:val="sr-Latn-ME"/>
        </w:rPr>
      </w:pPr>
    </w:p>
    <w:p w14:paraId="648CDCAA" w14:textId="77777777" w:rsidR="00136217" w:rsidRPr="00FB6F73" w:rsidRDefault="00136217" w:rsidP="00136217">
      <w:pPr>
        <w:tabs>
          <w:tab w:val="left" w:pos="540"/>
          <w:tab w:val="left" w:pos="569"/>
        </w:tabs>
        <w:rPr>
          <w:b/>
          <w:bCs/>
          <w:sz w:val="22"/>
          <w:szCs w:val="22"/>
          <w:lang w:val="sr-Latn-ME"/>
        </w:rPr>
      </w:pPr>
      <w:r w:rsidRPr="00FB6F73">
        <w:rPr>
          <w:noProof/>
          <w:sz w:val="22"/>
          <w:szCs w:val="22"/>
          <w:lang w:val="sr-Latn-ME" w:eastAsia="sr-Latn-ME"/>
        </w:rPr>
        <w:lastRenderedPageBreak/>
        <w:drawing>
          <wp:inline distT="0" distB="0" distL="0" distR="0" wp14:anchorId="46812E49" wp14:editId="64D98ED1">
            <wp:extent cx="4237990" cy="3323590"/>
            <wp:effectExtent l="0" t="0" r="0" b="0"/>
            <wp:docPr id="9" name="Picture 3" descr="Slika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ika 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37990" cy="3323590"/>
                    </a:xfrm>
                    <a:prstGeom prst="rect">
                      <a:avLst/>
                    </a:prstGeom>
                    <a:noFill/>
                    <a:ln>
                      <a:noFill/>
                    </a:ln>
                  </pic:spPr>
                </pic:pic>
              </a:graphicData>
            </a:graphic>
          </wp:inline>
        </w:drawing>
      </w:r>
    </w:p>
    <w:p w14:paraId="0AFA4E96" w14:textId="77777777" w:rsidR="00136217" w:rsidRPr="00FB6F73" w:rsidRDefault="00136217" w:rsidP="00136217">
      <w:pPr>
        <w:tabs>
          <w:tab w:val="left" w:pos="540"/>
          <w:tab w:val="left" w:pos="569"/>
        </w:tabs>
        <w:rPr>
          <w:b/>
          <w:bCs/>
          <w:sz w:val="22"/>
          <w:szCs w:val="22"/>
          <w:lang w:val="sr-Latn-ME"/>
        </w:rPr>
      </w:pPr>
    </w:p>
    <w:p w14:paraId="3FA58864" w14:textId="77777777" w:rsidR="00136217" w:rsidRPr="00FB6F73" w:rsidRDefault="00136217" w:rsidP="00981FFD">
      <w:pPr>
        <w:jc w:val="both"/>
        <w:rPr>
          <w:sz w:val="22"/>
          <w:szCs w:val="22"/>
          <w:lang w:val="sr-Latn-ME"/>
        </w:rPr>
      </w:pPr>
      <w:r w:rsidRPr="00FB6F73">
        <w:rPr>
          <w:i/>
          <w:sz w:val="22"/>
          <w:szCs w:val="22"/>
          <w:lang w:val="sr-Latn-ME"/>
        </w:rPr>
        <w:t>Post-hoc</w:t>
      </w:r>
      <w:r w:rsidRPr="00FB6F73">
        <w:rPr>
          <w:sz w:val="22"/>
          <w:szCs w:val="22"/>
          <w:lang w:val="sr-Latn-ME"/>
        </w:rPr>
        <w:t xml:space="preserve"> analiza je pokazala da su pacijenti sa povoljnim kliničkim statusom na početku ispitivanja (nizak intenzitet bola, dobar kvalitet života i dobar PS) imali više koristi od erlotiniba. Ova korist uglavnom proizilazi iz prisustva bola niskog intenziteta.</w:t>
      </w:r>
    </w:p>
    <w:p w14:paraId="4C6E2B23" w14:textId="77777777" w:rsidR="00136217" w:rsidRPr="00FB6F73" w:rsidRDefault="00136217" w:rsidP="00981FFD">
      <w:pPr>
        <w:jc w:val="both"/>
        <w:rPr>
          <w:sz w:val="22"/>
          <w:szCs w:val="22"/>
          <w:u w:val="single"/>
          <w:lang w:val="sr-Latn-ME"/>
        </w:rPr>
      </w:pPr>
    </w:p>
    <w:p w14:paraId="3979AA24" w14:textId="1E08A95B" w:rsidR="00136217" w:rsidRPr="00FB6F73" w:rsidRDefault="00136217" w:rsidP="00981FFD">
      <w:pPr>
        <w:jc w:val="both"/>
        <w:rPr>
          <w:sz w:val="22"/>
          <w:szCs w:val="22"/>
          <w:lang w:val="sr-Latn-ME"/>
        </w:rPr>
      </w:pPr>
      <w:r w:rsidRPr="00FB6F73">
        <w:rPr>
          <w:i/>
          <w:sz w:val="22"/>
          <w:szCs w:val="22"/>
          <w:lang w:val="sr-Latn-ME"/>
        </w:rPr>
        <w:t>Post-hoc</w:t>
      </w:r>
      <w:r w:rsidRPr="00FB6F73">
        <w:rPr>
          <w:sz w:val="22"/>
          <w:szCs w:val="22"/>
          <w:lang w:val="sr-Latn-ME"/>
        </w:rPr>
        <w:t xml:space="preserve"> analiza je takođe pokazala da su pacijenti koji su primali erlotinib i kod kojih se pojavio osip, imali duže ukupno preživljavanje u poređenju sa pacijentima kod kojih se nije razvio osip (medijana ukupnog preživljavanja 7,2 m</w:t>
      </w:r>
      <w:r w:rsidR="00E23362" w:rsidRPr="00FB6F73">
        <w:rPr>
          <w:sz w:val="22"/>
          <w:szCs w:val="22"/>
          <w:lang w:val="sr-Latn-ME"/>
        </w:rPr>
        <w:t>j</w:t>
      </w:r>
      <w:r w:rsidRPr="00FB6F73">
        <w:rPr>
          <w:sz w:val="22"/>
          <w:szCs w:val="22"/>
          <w:lang w:val="sr-Latn-ME"/>
        </w:rPr>
        <w:t>eseca u poređenju sa 5 m</w:t>
      </w:r>
      <w:r w:rsidR="007A659B" w:rsidRPr="00FB6F73">
        <w:rPr>
          <w:sz w:val="22"/>
          <w:szCs w:val="22"/>
          <w:lang w:val="sr-Latn-ME"/>
        </w:rPr>
        <w:t>j</w:t>
      </w:r>
      <w:r w:rsidRPr="00FB6F73">
        <w:rPr>
          <w:sz w:val="22"/>
          <w:szCs w:val="22"/>
          <w:lang w:val="sr-Latn-ME"/>
        </w:rPr>
        <w:t xml:space="preserve">eseci, HR: 0,61). 90% pacijenata koji su primali erlotinib razvilo je osip u prva 44 dana. Medijana vremena do pojave osipa iznosila je 10 dana. </w:t>
      </w:r>
    </w:p>
    <w:p w14:paraId="0B810B69" w14:textId="77777777" w:rsidR="00136217" w:rsidRPr="00FB6F73" w:rsidRDefault="00136217" w:rsidP="00981FFD">
      <w:pPr>
        <w:jc w:val="both"/>
        <w:rPr>
          <w:sz w:val="22"/>
          <w:szCs w:val="22"/>
          <w:u w:val="single"/>
          <w:lang w:val="sr-Latn-ME"/>
        </w:rPr>
      </w:pPr>
    </w:p>
    <w:p w14:paraId="709F76EF" w14:textId="77777777" w:rsidR="00136217" w:rsidRPr="00FB6F73" w:rsidRDefault="00136217" w:rsidP="00981FFD">
      <w:pPr>
        <w:jc w:val="both"/>
        <w:rPr>
          <w:sz w:val="22"/>
          <w:szCs w:val="22"/>
          <w:u w:val="single"/>
          <w:lang w:val="sr-Latn-ME"/>
        </w:rPr>
      </w:pPr>
      <w:r w:rsidRPr="00FB6F73">
        <w:rPr>
          <w:sz w:val="22"/>
          <w:szCs w:val="22"/>
          <w:u w:val="single"/>
          <w:lang w:val="sr-Latn-ME"/>
        </w:rPr>
        <w:t>Pedijatrijska populacija</w:t>
      </w:r>
    </w:p>
    <w:p w14:paraId="30A2AD14" w14:textId="637BA3DF" w:rsidR="00136217" w:rsidRPr="00FB6F73" w:rsidRDefault="00136217" w:rsidP="00981FFD">
      <w:pPr>
        <w:jc w:val="both"/>
        <w:rPr>
          <w:sz w:val="22"/>
          <w:szCs w:val="22"/>
          <w:lang w:val="sr-Latn-ME"/>
        </w:rPr>
      </w:pPr>
      <w:r w:rsidRPr="00FB6F73">
        <w:rPr>
          <w:sz w:val="22"/>
          <w:szCs w:val="22"/>
          <w:lang w:val="sr-Latn-ME"/>
        </w:rPr>
        <w:t xml:space="preserve">Evropska agencija za </w:t>
      </w:r>
      <w:r w:rsidR="00FD4480" w:rsidRPr="00FB6F73">
        <w:rPr>
          <w:sz w:val="22"/>
          <w:szCs w:val="22"/>
          <w:lang w:val="sr-Latn-ME"/>
        </w:rPr>
        <w:t>ljek</w:t>
      </w:r>
      <w:r w:rsidRPr="00FB6F73">
        <w:rPr>
          <w:sz w:val="22"/>
          <w:szCs w:val="22"/>
          <w:lang w:val="sr-Latn-ME"/>
        </w:rPr>
        <w:t>ove je izuzela od obaveze podnošenje rezultata ispitivanja erlotiniba u svim podgrupama pedijatrijske populacije u indikacijama nemikrocelularni karcinom pluća i karcinom pankreasa (</w:t>
      </w:r>
      <w:r w:rsidR="00FD4480" w:rsidRPr="00FB6F73">
        <w:rPr>
          <w:sz w:val="22"/>
          <w:szCs w:val="22"/>
          <w:lang w:val="sr-Latn-ME"/>
        </w:rPr>
        <w:t>vidjeti</w:t>
      </w:r>
      <w:r w:rsidRPr="00FB6F73">
        <w:rPr>
          <w:sz w:val="22"/>
          <w:szCs w:val="22"/>
          <w:lang w:val="sr-Latn-ME"/>
        </w:rPr>
        <w:t xml:space="preserve"> </w:t>
      </w:r>
      <w:r w:rsidR="00E23362" w:rsidRPr="00FB6F73">
        <w:rPr>
          <w:sz w:val="22"/>
          <w:szCs w:val="22"/>
          <w:lang w:val="sr-Latn-ME"/>
        </w:rPr>
        <w:t xml:space="preserve">dio </w:t>
      </w:r>
      <w:r w:rsidRPr="00FB6F73">
        <w:rPr>
          <w:sz w:val="22"/>
          <w:szCs w:val="22"/>
          <w:lang w:val="sr-Latn-ME"/>
        </w:rPr>
        <w:t>4.2. za informacije o upotrebi u pedijatrijskoj populaciji).</w:t>
      </w:r>
    </w:p>
    <w:p w14:paraId="7DCD9BF7" w14:textId="77777777" w:rsidR="00136217" w:rsidRPr="00FB6F73" w:rsidRDefault="00136217" w:rsidP="00981FFD">
      <w:pPr>
        <w:tabs>
          <w:tab w:val="left" w:pos="540"/>
          <w:tab w:val="left" w:pos="569"/>
        </w:tabs>
        <w:jc w:val="both"/>
        <w:rPr>
          <w:b/>
          <w:bCs/>
          <w:sz w:val="22"/>
          <w:szCs w:val="22"/>
          <w:lang w:val="sr-Latn-ME"/>
        </w:rPr>
      </w:pPr>
    </w:p>
    <w:p w14:paraId="4C2C762D" w14:textId="77777777" w:rsidR="0072020E" w:rsidRPr="00FB6F73" w:rsidRDefault="0072020E" w:rsidP="00981FFD">
      <w:pPr>
        <w:tabs>
          <w:tab w:val="left" w:pos="540"/>
          <w:tab w:val="left" w:pos="569"/>
        </w:tabs>
        <w:jc w:val="both"/>
        <w:rPr>
          <w:b/>
          <w:bCs/>
          <w:sz w:val="22"/>
          <w:szCs w:val="22"/>
          <w:lang w:val="sr-Latn-ME"/>
        </w:rPr>
      </w:pPr>
      <w:r w:rsidRPr="00FB6F73">
        <w:rPr>
          <w:b/>
          <w:bCs/>
          <w:sz w:val="22"/>
          <w:szCs w:val="22"/>
          <w:lang w:val="sr-Latn-ME"/>
        </w:rPr>
        <w:t xml:space="preserve">5.2. </w:t>
      </w:r>
      <w:r w:rsidR="00480FB1" w:rsidRPr="00FB6F73">
        <w:rPr>
          <w:b/>
          <w:bCs/>
          <w:sz w:val="22"/>
          <w:szCs w:val="22"/>
          <w:lang w:val="sr-Latn-ME"/>
        </w:rPr>
        <w:tab/>
      </w:r>
      <w:r w:rsidRPr="00FB6F73">
        <w:rPr>
          <w:b/>
          <w:bCs/>
          <w:sz w:val="22"/>
          <w:szCs w:val="22"/>
          <w:lang w:val="sr-Latn-ME"/>
        </w:rPr>
        <w:t>Farmakokinetički podaci</w:t>
      </w:r>
      <w:r w:rsidR="003A7059" w:rsidRPr="00FB6F73">
        <w:rPr>
          <w:b/>
          <w:bCs/>
          <w:sz w:val="22"/>
          <w:szCs w:val="22"/>
          <w:lang w:val="sr-Latn-ME"/>
        </w:rPr>
        <w:t xml:space="preserve"> </w:t>
      </w:r>
    </w:p>
    <w:p w14:paraId="60BE78BC" w14:textId="01275D45" w:rsidR="0072020E" w:rsidRPr="00FB6F73" w:rsidRDefault="0072020E" w:rsidP="00981FFD">
      <w:pPr>
        <w:tabs>
          <w:tab w:val="left" w:pos="540"/>
          <w:tab w:val="left" w:pos="569"/>
        </w:tabs>
        <w:jc w:val="both"/>
        <w:rPr>
          <w:bCs/>
          <w:sz w:val="22"/>
          <w:szCs w:val="22"/>
          <w:lang w:val="sr-Latn-ME"/>
        </w:rPr>
      </w:pPr>
    </w:p>
    <w:p w14:paraId="114FAC2E" w14:textId="77777777" w:rsidR="00136217" w:rsidRPr="00FB6F73" w:rsidRDefault="00136217" w:rsidP="00981FFD">
      <w:pPr>
        <w:jc w:val="both"/>
        <w:rPr>
          <w:sz w:val="22"/>
          <w:szCs w:val="22"/>
          <w:u w:val="single"/>
          <w:lang w:val="sr-Latn-ME"/>
        </w:rPr>
      </w:pPr>
      <w:r w:rsidRPr="00FB6F73">
        <w:rPr>
          <w:sz w:val="22"/>
          <w:szCs w:val="22"/>
          <w:u w:val="single"/>
          <w:lang w:val="sr-Latn-ME"/>
        </w:rPr>
        <w:t>Resorpcija:</w:t>
      </w:r>
    </w:p>
    <w:p w14:paraId="388D128A" w14:textId="194A9E05" w:rsidR="00136217" w:rsidRPr="00FB6F73" w:rsidRDefault="00136217" w:rsidP="00981FFD">
      <w:pPr>
        <w:jc w:val="both"/>
        <w:rPr>
          <w:sz w:val="22"/>
          <w:szCs w:val="22"/>
          <w:lang w:val="sr-Latn-ME"/>
        </w:rPr>
      </w:pPr>
      <w:r w:rsidRPr="00FB6F73">
        <w:rPr>
          <w:sz w:val="22"/>
          <w:szCs w:val="22"/>
          <w:lang w:val="sr-Latn-ME"/>
        </w:rPr>
        <w:t xml:space="preserve">Nakon oralne </w:t>
      </w:r>
      <w:r w:rsidR="00FD4480" w:rsidRPr="00FB6F73">
        <w:rPr>
          <w:sz w:val="22"/>
          <w:szCs w:val="22"/>
          <w:lang w:val="sr-Latn-ME"/>
        </w:rPr>
        <w:t>primjene</w:t>
      </w:r>
      <w:r w:rsidRPr="00FB6F73">
        <w:rPr>
          <w:sz w:val="22"/>
          <w:szCs w:val="22"/>
          <w:lang w:val="sr-Latn-ME"/>
        </w:rPr>
        <w:t xml:space="preserve">, erlotinib postiže maksimalne koncentracije u plazmi otprilike 4 </w:t>
      </w:r>
      <w:r w:rsidR="00F50C95" w:rsidRPr="00FB6F73">
        <w:rPr>
          <w:sz w:val="22"/>
          <w:szCs w:val="22"/>
          <w:lang w:val="sr-Latn-ME"/>
        </w:rPr>
        <w:t xml:space="preserve">sata </w:t>
      </w:r>
      <w:r w:rsidRPr="00FB6F73">
        <w:rPr>
          <w:sz w:val="22"/>
          <w:szCs w:val="22"/>
          <w:lang w:val="sr-Latn-ME"/>
        </w:rPr>
        <w:t xml:space="preserve">nakon oralnog uzimanja </w:t>
      </w:r>
      <w:r w:rsidR="00FD4480" w:rsidRPr="00FB6F73">
        <w:rPr>
          <w:sz w:val="22"/>
          <w:szCs w:val="22"/>
          <w:lang w:val="sr-Latn-ME"/>
        </w:rPr>
        <w:t>lijek</w:t>
      </w:r>
      <w:r w:rsidRPr="00FB6F73">
        <w:rPr>
          <w:sz w:val="22"/>
          <w:szCs w:val="22"/>
          <w:lang w:val="sr-Latn-ME"/>
        </w:rPr>
        <w:t>a. U studiji na zdravim dobrovoljcima, apsolutna bioraspoloživost proc</w:t>
      </w:r>
      <w:r w:rsidR="00F50C95" w:rsidRPr="00FB6F73">
        <w:rPr>
          <w:sz w:val="22"/>
          <w:szCs w:val="22"/>
          <w:lang w:val="sr-Latn-ME"/>
        </w:rPr>
        <w:t>ij</w:t>
      </w:r>
      <w:r w:rsidRPr="00FB6F73">
        <w:rPr>
          <w:sz w:val="22"/>
          <w:szCs w:val="22"/>
          <w:lang w:val="sr-Latn-ME"/>
        </w:rPr>
        <w:t xml:space="preserve">enjena je na 59%. Izloženost </w:t>
      </w:r>
      <w:r w:rsidR="00FD4480" w:rsidRPr="00FB6F73">
        <w:rPr>
          <w:sz w:val="22"/>
          <w:szCs w:val="22"/>
          <w:lang w:val="sr-Latn-ME"/>
        </w:rPr>
        <w:t>lijek</w:t>
      </w:r>
      <w:r w:rsidRPr="00FB6F73">
        <w:rPr>
          <w:sz w:val="22"/>
          <w:szCs w:val="22"/>
          <w:lang w:val="sr-Latn-ME"/>
        </w:rPr>
        <w:t>u posl</w:t>
      </w:r>
      <w:r w:rsidR="00F50C95" w:rsidRPr="00FB6F73">
        <w:rPr>
          <w:sz w:val="22"/>
          <w:szCs w:val="22"/>
          <w:lang w:val="sr-Latn-ME"/>
        </w:rPr>
        <w:t>ij</w:t>
      </w:r>
      <w:r w:rsidRPr="00FB6F73">
        <w:rPr>
          <w:sz w:val="22"/>
          <w:szCs w:val="22"/>
          <w:lang w:val="sr-Latn-ME"/>
        </w:rPr>
        <w:t xml:space="preserve">e oralne </w:t>
      </w:r>
      <w:r w:rsidR="00FD4480" w:rsidRPr="00FB6F73">
        <w:rPr>
          <w:sz w:val="22"/>
          <w:szCs w:val="22"/>
          <w:lang w:val="sr-Latn-ME"/>
        </w:rPr>
        <w:t>primjene</w:t>
      </w:r>
      <w:r w:rsidRPr="00FB6F73">
        <w:rPr>
          <w:sz w:val="22"/>
          <w:szCs w:val="22"/>
          <w:lang w:val="sr-Latn-ME"/>
        </w:rPr>
        <w:t xml:space="preserve"> se može povećati ako se </w:t>
      </w:r>
      <w:r w:rsidR="00FD4480" w:rsidRPr="00FB6F73">
        <w:rPr>
          <w:sz w:val="22"/>
          <w:szCs w:val="22"/>
          <w:lang w:val="sr-Latn-ME"/>
        </w:rPr>
        <w:t>lijek</w:t>
      </w:r>
      <w:r w:rsidRPr="00FB6F73">
        <w:rPr>
          <w:sz w:val="22"/>
          <w:szCs w:val="22"/>
          <w:lang w:val="sr-Latn-ME"/>
        </w:rPr>
        <w:t xml:space="preserve"> uzima sa hranom.</w:t>
      </w:r>
    </w:p>
    <w:p w14:paraId="170D09F5" w14:textId="77777777" w:rsidR="00136217" w:rsidRPr="00FB6F73" w:rsidRDefault="00136217" w:rsidP="00981FFD">
      <w:pPr>
        <w:jc w:val="both"/>
        <w:rPr>
          <w:sz w:val="22"/>
          <w:szCs w:val="22"/>
          <w:lang w:val="sr-Latn-ME"/>
        </w:rPr>
      </w:pPr>
    </w:p>
    <w:p w14:paraId="6A43BCF7" w14:textId="77777777" w:rsidR="00136217" w:rsidRPr="00FB6F73" w:rsidRDefault="00136217" w:rsidP="00981FFD">
      <w:pPr>
        <w:jc w:val="both"/>
        <w:rPr>
          <w:sz w:val="22"/>
          <w:szCs w:val="22"/>
          <w:u w:val="single"/>
          <w:lang w:val="sr-Latn-ME"/>
        </w:rPr>
      </w:pPr>
      <w:r w:rsidRPr="00FB6F73">
        <w:rPr>
          <w:sz w:val="22"/>
          <w:szCs w:val="22"/>
          <w:u w:val="single"/>
          <w:lang w:val="sr-Latn-ME"/>
        </w:rPr>
        <w:t>Distribucija:</w:t>
      </w:r>
    </w:p>
    <w:p w14:paraId="43B53C14" w14:textId="45D25B2E" w:rsidR="00136217" w:rsidRPr="00FB6F73" w:rsidRDefault="00136217" w:rsidP="00981FFD">
      <w:pPr>
        <w:jc w:val="both"/>
        <w:rPr>
          <w:sz w:val="22"/>
          <w:szCs w:val="22"/>
          <w:lang w:val="sr-Latn-ME"/>
        </w:rPr>
      </w:pPr>
      <w:r w:rsidRPr="00FB6F73">
        <w:rPr>
          <w:sz w:val="22"/>
          <w:szCs w:val="22"/>
          <w:lang w:val="sr-Latn-ME"/>
        </w:rPr>
        <w:t>Erlotinib ima pros</w:t>
      </w:r>
      <w:r w:rsidR="00F50C95" w:rsidRPr="00FB6F73">
        <w:rPr>
          <w:sz w:val="22"/>
          <w:szCs w:val="22"/>
          <w:lang w:val="sr-Latn-ME"/>
        </w:rPr>
        <w:t>j</w:t>
      </w:r>
      <w:r w:rsidRPr="00FB6F73">
        <w:rPr>
          <w:sz w:val="22"/>
          <w:szCs w:val="22"/>
          <w:lang w:val="sr-Latn-ME"/>
        </w:rPr>
        <w:t xml:space="preserve">ečan volumen distribucije od 232 </w:t>
      </w:r>
      <w:r w:rsidR="00F50C95" w:rsidRPr="00FB6F73">
        <w:rPr>
          <w:sz w:val="22"/>
          <w:szCs w:val="22"/>
          <w:lang w:val="sr-Latn-ME"/>
        </w:rPr>
        <w:t xml:space="preserve">l </w:t>
      </w:r>
      <w:r w:rsidRPr="00FB6F73">
        <w:rPr>
          <w:sz w:val="22"/>
          <w:szCs w:val="22"/>
          <w:lang w:val="sr-Latn-ME"/>
        </w:rPr>
        <w:t>i distribuira se i u tumorsko tkivo kod ljudi. U jednoj studiji na 4 pacijenta (3 sa nemikrocelularnim karcinomom pluća /NSCLC/ i 1 sa karcinomom larinksa) koji su primali dnevne oralne doze od 150 mg erlotiniba, uzorci tumora uzeti hirurškom ekscizijom 9. dana terapije pokazali su da je u pros</w:t>
      </w:r>
      <w:r w:rsidR="007A659B" w:rsidRPr="00FB6F73">
        <w:rPr>
          <w:sz w:val="22"/>
          <w:szCs w:val="22"/>
          <w:lang w:val="sr-Latn-ME"/>
        </w:rPr>
        <w:t>j</w:t>
      </w:r>
      <w:r w:rsidRPr="00FB6F73">
        <w:rPr>
          <w:sz w:val="22"/>
          <w:szCs w:val="22"/>
          <w:lang w:val="sr-Latn-ME"/>
        </w:rPr>
        <w:t xml:space="preserve">eku koncentracija erlotiniba u tumorskom tkivu iznosila 1185 nanograma/g tkiva. Ovo odgovara ukupnom </w:t>
      </w:r>
      <w:r w:rsidR="007A659B" w:rsidRPr="00FB6F73">
        <w:rPr>
          <w:sz w:val="22"/>
          <w:szCs w:val="22"/>
          <w:lang w:val="sr-Latn-ME"/>
        </w:rPr>
        <w:t>prosjek</w:t>
      </w:r>
      <w:r w:rsidRPr="00FB6F73">
        <w:rPr>
          <w:sz w:val="22"/>
          <w:szCs w:val="22"/>
          <w:lang w:val="sr-Latn-ME"/>
        </w:rPr>
        <w:t>u od 63% (raspon 5-161%) maksimalnih koncentracija u plazmi u stanju ravnoteže. Primarni aktivni metaboliti bili su prisutni u tumoru u koncentracijama koje su u pros</w:t>
      </w:r>
      <w:r w:rsidR="007A659B" w:rsidRPr="00FB6F73">
        <w:rPr>
          <w:sz w:val="22"/>
          <w:szCs w:val="22"/>
          <w:lang w:val="sr-Latn-ME"/>
        </w:rPr>
        <w:t>j</w:t>
      </w:r>
      <w:r w:rsidRPr="00FB6F73">
        <w:rPr>
          <w:sz w:val="22"/>
          <w:szCs w:val="22"/>
          <w:lang w:val="sr-Latn-ME"/>
        </w:rPr>
        <w:t xml:space="preserve">eku iznosile 160 nanograma/g tkiva, što odgovara ukupnom </w:t>
      </w:r>
      <w:r w:rsidR="007A659B" w:rsidRPr="00FB6F73">
        <w:rPr>
          <w:sz w:val="22"/>
          <w:szCs w:val="22"/>
          <w:lang w:val="sr-Latn-ME"/>
        </w:rPr>
        <w:t>prosjek</w:t>
      </w:r>
      <w:r w:rsidRPr="00FB6F73">
        <w:rPr>
          <w:sz w:val="22"/>
          <w:szCs w:val="22"/>
          <w:lang w:val="sr-Latn-ME"/>
        </w:rPr>
        <w:t>u od 113% (raspon 88-130%) maksimalnih izm</w:t>
      </w:r>
      <w:r w:rsidR="00F50C95" w:rsidRPr="00FB6F73">
        <w:rPr>
          <w:sz w:val="22"/>
          <w:szCs w:val="22"/>
          <w:lang w:val="sr-Latn-ME"/>
        </w:rPr>
        <w:t>j</w:t>
      </w:r>
      <w:r w:rsidRPr="00FB6F73">
        <w:rPr>
          <w:sz w:val="22"/>
          <w:szCs w:val="22"/>
          <w:lang w:val="sr-Latn-ME"/>
        </w:rPr>
        <w:t xml:space="preserve">erenih koncentracija u plazmi u stanju ravnoteže. Vezivanje za proteine plazme iznosi približno 95%. Erlotinib se vezuje za serumski albumin i alfa-1 kiseli glikoprotein (AAG). </w:t>
      </w:r>
    </w:p>
    <w:p w14:paraId="033F5001" w14:textId="103457CD" w:rsidR="00F50C95" w:rsidRDefault="00F50C95" w:rsidP="00981FFD">
      <w:pPr>
        <w:jc w:val="both"/>
        <w:rPr>
          <w:sz w:val="22"/>
          <w:szCs w:val="22"/>
          <w:u w:val="single"/>
          <w:lang w:val="sr-Latn-ME"/>
        </w:rPr>
      </w:pPr>
    </w:p>
    <w:p w14:paraId="43190021" w14:textId="12A571CB" w:rsidR="00FB6F73" w:rsidRDefault="00FB6F73" w:rsidP="00981FFD">
      <w:pPr>
        <w:jc w:val="both"/>
        <w:rPr>
          <w:sz w:val="22"/>
          <w:szCs w:val="22"/>
          <w:u w:val="single"/>
          <w:lang w:val="sr-Latn-ME"/>
        </w:rPr>
      </w:pPr>
    </w:p>
    <w:p w14:paraId="700B2D6B" w14:textId="77777777" w:rsidR="00FB6F73" w:rsidRPr="00FB6F73" w:rsidRDefault="00FB6F73" w:rsidP="00981FFD">
      <w:pPr>
        <w:jc w:val="both"/>
        <w:rPr>
          <w:sz w:val="22"/>
          <w:szCs w:val="22"/>
          <w:u w:val="single"/>
          <w:lang w:val="sr-Latn-ME"/>
        </w:rPr>
      </w:pPr>
    </w:p>
    <w:p w14:paraId="1ACE97C5" w14:textId="06764B9C" w:rsidR="00136217" w:rsidRPr="00FB6F73" w:rsidRDefault="00136217" w:rsidP="00981FFD">
      <w:pPr>
        <w:jc w:val="both"/>
        <w:rPr>
          <w:sz w:val="22"/>
          <w:szCs w:val="22"/>
          <w:u w:val="single"/>
          <w:lang w:val="sr-Latn-ME"/>
        </w:rPr>
      </w:pPr>
      <w:r w:rsidRPr="00FB6F73">
        <w:rPr>
          <w:sz w:val="22"/>
          <w:szCs w:val="22"/>
          <w:u w:val="single"/>
          <w:lang w:val="sr-Latn-ME"/>
        </w:rPr>
        <w:lastRenderedPageBreak/>
        <w:t>Biotransformacija:</w:t>
      </w:r>
    </w:p>
    <w:p w14:paraId="02A12581" w14:textId="1D60ED32" w:rsidR="00136217" w:rsidRPr="00FB6F73" w:rsidRDefault="00136217" w:rsidP="00981FFD">
      <w:pPr>
        <w:jc w:val="both"/>
        <w:rPr>
          <w:sz w:val="22"/>
          <w:szCs w:val="22"/>
          <w:lang w:val="sr-Latn-ME"/>
        </w:rPr>
      </w:pPr>
      <w:r w:rsidRPr="00FB6F73">
        <w:rPr>
          <w:sz w:val="22"/>
          <w:szCs w:val="22"/>
          <w:lang w:val="sr-Latn-ME"/>
        </w:rPr>
        <w:t>Kod ljudi</w:t>
      </w:r>
      <w:r w:rsidR="00F50C95" w:rsidRPr="00FB6F73">
        <w:rPr>
          <w:sz w:val="22"/>
          <w:szCs w:val="22"/>
          <w:lang w:val="sr-Latn-ME"/>
        </w:rPr>
        <w:t>,</w:t>
      </w:r>
      <w:r w:rsidRPr="00FB6F73">
        <w:rPr>
          <w:sz w:val="22"/>
          <w:szCs w:val="22"/>
          <w:lang w:val="sr-Latn-ME"/>
        </w:rPr>
        <w:t xml:space="preserve"> erlotinib se metaboliše u jetri posredstvom enzima citohroma, i to prvenstveno CYP3A4 i u manjoj m</w:t>
      </w:r>
      <w:r w:rsidR="00F50C95" w:rsidRPr="00FB6F73">
        <w:rPr>
          <w:sz w:val="22"/>
          <w:szCs w:val="22"/>
          <w:lang w:val="sr-Latn-ME"/>
        </w:rPr>
        <w:t>j</w:t>
      </w:r>
      <w:r w:rsidRPr="00FB6F73">
        <w:rPr>
          <w:sz w:val="22"/>
          <w:szCs w:val="22"/>
          <w:lang w:val="sr-Latn-ME"/>
        </w:rPr>
        <w:t>eri CYP1A2. Ekstrahepatički metabolizam putem CYP3A4 u cr</w:t>
      </w:r>
      <w:r w:rsidR="00F50C95" w:rsidRPr="00FB6F73">
        <w:rPr>
          <w:sz w:val="22"/>
          <w:szCs w:val="22"/>
          <w:lang w:val="sr-Latn-ME"/>
        </w:rPr>
        <w:t>ij</w:t>
      </w:r>
      <w:r w:rsidRPr="00FB6F73">
        <w:rPr>
          <w:sz w:val="22"/>
          <w:szCs w:val="22"/>
          <w:lang w:val="sr-Latn-ME"/>
        </w:rPr>
        <w:t xml:space="preserve">evima, CYP1A1 u plućima, i 1B1 u tumorskom tkivu potencijalno doprinosi metaboličkom klirensu erlotiniba. </w:t>
      </w:r>
    </w:p>
    <w:p w14:paraId="7B287D88" w14:textId="77777777" w:rsidR="00136217" w:rsidRPr="00FB6F73" w:rsidRDefault="00136217" w:rsidP="00981FFD">
      <w:pPr>
        <w:jc w:val="both"/>
        <w:rPr>
          <w:sz w:val="22"/>
          <w:szCs w:val="22"/>
          <w:lang w:val="sr-Latn-ME"/>
        </w:rPr>
      </w:pPr>
    </w:p>
    <w:p w14:paraId="5B64C909" w14:textId="3CD9825B" w:rsidR="00136217" w:rsidRPr="00FB6F73" w:rsidRDefault="00136217" w:rsidP="00981FFD">
      <w:pPr>
        <w:jc w:val="both"/>
        <w:rPr>
          <w:sz w:val="22"/>
          <w:szCs w:val="22"/>
          <w:lang w:val="sr-Latn-ME"/>
        </w:rPr>
      </w:pPr>
      <w:r w:rsidRPr="00FB6F73">
        <w:rPr>
          <w:sz w:val="22"/>
          <w:szCs w:val="22"/>
          <w:lang w:val="sr-Latn-ME"/>
        </w:rPr>
        <w:t>Identifikovana su tri glavna metabolička puta: 1) O-demetilacija bilo jednog ili oba bočna lanca posl</w:t>
      </w:r>
      <w:r w:rsidR="00F50C95" w:rsidRPr="00FB6F73">
        <w:rPr>
          <w:sz w:val="22"/>
          <w:szCs w:val="22"/>
          <w:lang w:val="sr-Latn-ME"/>
        </w:rPr>
        <w:t>ij</w:t>
      </w:r>
      <w:r w:rsidRPr="00FB6F73">
        <w:rPr>
          <w:sz w:val="22"/>
          <w:szCs w:val="22"/>
          <w:lang w:val="sr-Latn-ME"/>
        </w:rPr>
        <w:t>e čega sl</w:t>
      </w:r>
      <w:r w:rsidR="00F50C95" w:rsidRPr="00FB6F73">
        <w:rPr>
          <w:sz w:val="22"/>
          <w:szCs w:val="22"/>
          <w:lang w:val="sr-Latn-ME"/>
        </w:rPr>
        <w:t>ij</w:t>
      </w:r>
      <w:r w:rsidRPr="00FB6F73">
        <w:rPr>
          <w:sz w:val="22"/>
          <w:szCs w:val="22"/>
          <w:lang w:val="sr-Latn-ME"/>
        </w:rPr>
        <w:t>edi oksidacija do karboksilne kiseline; 2) oksidacija acetilenskog d</w:t>
      </w:r>
      <w:r w:rsidR="00F50C95" w:rsidRPr="00FB6F73">
        <w:rPr>
          <w:sz w:val="22"/>
          <w:szCs w:val="22"/>
          <w:lang w:val="sr-Latn-ME"/>
        </w:rPr>
        <w:t>ij</w:t>
      </w:r>
      <w:r w:rsidRPr="00FB6F73">
        <w:rPr>
          <w:sz w:val="22"/>
          <w:szCs w:val="22"/>
          <w:lang w:val="sr-Latn-ME"/>
        </w:rPr>
        <w:t>ela posl</w:t>
      </w:r>
      <w:r w:rsidR="00F50C95" w:rsidRPr="00FB6F73">
        <w:rPr>
          <w:sz w:val="22"/>
          <w:szCs w:val="22"/>
          <w:lang w:val="sr-Latn-ME"/>
        </w:rPr>
        <w:t>ij</w:t>
      </w:r>
      <w:r w:rsidRPr="00FB6F73">
        <w:rPr>
          <w:sz w:val="22"/>
          <w:szCs w:val="22"/>
          <w:lang w:val="sr-Latn-ME"/>
        </w:rPr>
        <w:t>e čega sl</w:t>
      </w:r>
      <w:r w:rsidR="00F50C95" w:rsidRPr="00FB6F73">
        <w:rPr>
          <w:sz w:val="22"/>
          <w:szCs w:val="22"/>
          <w:lang w:val="sr-Latn-ME"/>
        </w:rPr>
        <w:t>ij</w:t>
      </w:r>
      <w:r w:rsidRPr="00FB6F73">
        <w:rPr>
          <w:sz w:val="22"/>
          <w:szCs w:val="22"/>
          <w:lang w:val="sr-Latn-ME"/>
        </w:rPr>
        <w:t>edi hidroliza do aril karboksilne kiseline; i 3) aromatična hidroksilacija fenil-acetilenskog d</w:t>
      </w:r>
      <w:r w:rsidR="00F50C95" w:rsidRPr="00FB6F73">
        <w:rPr>
          <w:sz w:val="22"/>
          <w:szCs w:val="22"/>
          <w:lang w:val="sr-Latn-ME"/>
        </w:rPr>
        <w:t>ij</w:t>
      </w:r>
      <w:r w:rsidRPr="00FB6F73">
        <w:rPr>
          <w:sz w:val="22"/>
          <w:szCs w:val="22"/>
          <w:lang w:val="sr-Latn-ME"/>
        </w:rPr>
        <w:t xml:space="preserve">ela. Primarni metaboliti OSI-420 i OSI-413 erlotiniba dobijeni su putem O-demetilacije bilo kojeg bočnog lanca i imaju aktivnost uporedivu sa erlotinibom u pretkliničkim </w:t>
      </w:r>
      <w:r w:rsidRPr="00FB6F73">
        <w:rPr>
          <w:i/>
          <w:sz w:val="22"/>
          <w:szCs w:val="22"/>
          <w:lang w:val="sr-Latn-ME"/>
        </w:rPr>
        <w:t>in vitro</w:t>
      </w:r>
      <w:r w:rsidR="00F50C95" w:rsidRPr="00FB6F73">
        <w:rPr>
          <w:sz w:val="22"/>
          <w:szCs w:val="22"/>
          <w:lang w:val="sr-Latn-ME"/>
        </w:rPr>
        <w:t xml:space="preserve"> </w:t>
      </w:r>
      <w:r w:rsidRPr="00FB6F73">
        <w:rPr>
          <w:sz w:val="22"/>
          <w:szCs w:val="22"/>
          <w:lang w:val="sr-Latn-ME"/>
        </w:rPr>
        <w:t xml:space="preserve">analizama i </w:t>
      </w:r>
      <w:r w:rsidRPr="00FB6F73">
        <w:rPr>
          <w:i/>
          <w:sz w:val="22"/>
          <w:szCs w:val="22"/>
          <w:lang w:val="sr-Latn-ME"/>
        </w:rPr>
        <w:t>in vivo</w:t>
      </w:r>
      <w:r w:rsidRPr="00FB6F73">
        <w:rPr>
          <w:sz w:val="22"/>
          <w:szCs w:val="22"/>
          <w:lang w:val="sr-Latn-ME"/>
        </w:rPr>
        <w:t xml:space="preserve"> tumorskim modelima. Oni su u plazmi prisutni u nivoima koji su &lt;10% erlotiniba i imaju sličnu farmakokinetiku kao i erlotinib. </w:t>
      </w:r>
    </w:p>
    <w:p w14:paraId="44814E23" w14:textId="77777777" w:rsidR="00136217" w:rsidRPr="00FB6F73" w:rsidRDefault="00136217" w:rsidP="00981FFD">
      <w:pPr>
        <w:jc w:val="both"/>
        <w:rPr>
          <w:sz w:val="22"/>
          <w:szCs w:val="22"/>
          <w:lang w:val="sr-Latn-ME"/>
        </w:rPr>
      </w:pPr>
    </w:p>
    <w:p w14:paraId="2F9F75D3" w14:textId="77777777" w:rsidR="00136217" w:rsidRPr="00FB6F73" w:rsidRDefault="00136217" w:rsidP="00981FFD">
      <w:pPr>
        <w:jc w:val="both"/>
        <w:rPr>
          <w:sz w:val="22"/>
          <w:szCs w:val="22"/>
          <w:u w:val="single"/>
          <w:lang w:val="sr-Latn-ME"/>
        </w:rPr>
      </w:pPr>
      <w:r w:rsidRPr="00FB6F73">
        <w:rPr>
          <w:sz w:val="22"/>
          <w:szCs w:val="22"/>
          <w:u w:val="single"/>
          <w:lang w:val="sr-Latn-ME"/>
        </w:rPr>
        <w:t>Eliminacija:</w:t>
      </w:r>
    </w:p>
    <w:p w14:paraId="1377E2B7" w14:textId="7897E329" w:rsidR="00136217" w:rsidRPr="00FB6F73" w:rsidRDefault="00136217" w:rsidP="00981FFD">
      <w:pPr>
        <w:jc w:val="both"/>
        <w:rPr>
          <w:sz w:val="22"/>
          <w:szCs w:val="22"/>
          <w:lang w:val="sr-Latn-ME"/>
        </w:rPr>
      </w:pPr>
      <w:r w:rsidRPr="00FB6F73">
        <w:rPr>
          <w:sz w:val="22"/>
          <w:szCs w:val="22"/>
          <w:lang w:val="sr-Latn-ME"/>
        </w:rPr>
        <w:t>Erlotinib se najvećim d</w:t>
      </w:r>
      <w:r w:rsidR="00F50C95" w:rsidRPr="00FB6F73">
        <w:rPr>
          <w:sz w:val="22"/>
          <w:szCs w:val="22"/>
          <w:lang w:val="sr-Latn-ME"/>
        </w:rPr>
        <w:t>ij</w:t>
      </w:r>
      <w:r w:rsidRPr="00FB6F73">
        <w:rPr>
          <w:sz w:val="22"/>
          <w:szCs w:val="22"/>
          <w:lang w:val="sr-Latn-ME"/>
        </w:rPr>
        <w:t xml:space="preserve">elom eliminiše u vidu metabolita putem fecesa (&gt;90%), dok renalna eliminacija čini samo mali </w:t>
      </w:r>
      <w:r w:rsidR="00F50C95" w:rsidRPr="00FB6F73">
        <w:rPr>
          <w:sz w:val="22"/>
          <w:szCs w:val="22"/>
          <w:lang w:val="sr-Latn-ME"/>
        </w:rPr>
        <w:t xml:space="preserve">dio </w:t>
      </w:r>
      <w:r w:rsidRPr="00FB6F73">
        <w:rPr>
          <w:sz w:val="22"/>
          <w:szCs w:val="22"/>
          <w:lang w:val="sr-Latn-ME"/>
        </w:rPr>
        <w:t xml:space="preserve">(približno 9%) oralno </w:t>
      </w:r>
      <w:r w:rsidR="00C13202" w:rsidRPr="00FB6F73">
        <w:rPr>
          <w:sz w:val="22"/>
          <w:szCs w:val="22"/>
          <w:lang w:val="sr-Latn-ME"/>
        </w:rPr>
        <w:t>prim</w:t>
      </w:r>
      <w:r w:rsidR="00F50C95" w:rsidRPr="00FB6F73">
        <w:rPr>
          <w:sz w:val="22"/>
          <w:szCs w:val="22"/>
          <w:lang w:val="sr-Latn-ME"/>
        </w:rPr>
        <w:t>i</w:t>
      </w:r>
      <w:r w:rsidR="00C13202" w:rsidRPr="00FB6F73">
        <w:rPr>
          <w:sz w:val="22"/>
          <w:szCs w:val="22"/>
          <w:lang w:val="sr-Latn-ME"/>
        </w:rPr>
        <w:t>jen</w:t>
      </w:r>
      <w:r w:rsidRPr="00FB6F73">
        <w:rPr>
          <w:sz w:val="22"/>
          <w:szCs w:val="22"/>
          <w:lang w:val="sr-Latn-ME"/>
        </w:rPr>
        <w:t xml:space="preserve">jene doze. Manje od 2% oralno </w:t>
      </w:r>
      <w:r w:rsidR="00C13202" w:rsidRPr="00FB6F73">
        <w:rPr>
          <w:sz w:val="22"/>
          <w:szCs w:val="22"/>
          <w:lang w:val="sr-Latn-ME"/>
        </w:rPr>
        <w:t>prim</w:t>
      </w:r>
      <w:r w:rsidR="00F50C95" w:rsidRPr="00FB6F73">
        <w:rPr>
          <w:sz w:val="22"/>
          <w:szCs w:val="22"/>
          <w:lang w:val="sr-Latn-ME"/>
        </w:rPr>
        <w:t>i</w:t>
      </w:r>
      <w:r w:rsidR="00C13202" w:rsidRPr="00FB6F73">
        <w:rPr>
          <w:sz w:val="22"/>
          <w:szCs w:val="22"/>
          <w:lang w:val="sr-Latn-ME"/>
        </w:rPr>
        <w:t>jen</w:t>
      </w:r>
      <w:r w:rsidRPr="00FB6F73">
        <w:rPr>
          <w:sz w:val="22"/>
          <w:szCs w:val="22"/>
          <w:lang w:val="sr-Latn-ME"/>
        </w:rPr>
        <w:t>jene doze eliminiše se u neprom</w:t>
      </w:r>
      <w:r w:rsidR="00F50C95" w:rsidRPr="00FB6F73">
        <w:rPr>
          <w:sz w:val="22"/>
          <w:szCs w:val="22"/>
          <w:lang w:val="sr-Latn-ME"/>
        </w:rPr>
        <w:t>ij</w:t>
      </w:r>
      <w:r w:rsidRPr="00FB6F73">
        <w:rPr>
          <w:sz w:val="22"/>
          <w:szCs w:val="22"/>
          <w:lang w:val="sr-Latn-ME"/>
        </w:rPr>
        <w:t xml:space="preserve">enjenom obliku. Populaciona farmakokinetička analiza sprovedena na 591 pacijentu koji je primao samo erlotinib pokazuje srednji prividni klirens od 4,47 </w:t>
      </w:r>
      <w:r w:rsidR="00F50C95" w:rsidRPr="00FB6F73">
        <w:rPr>
          <w:sz w:val="22"/>
          <w:szCs w:val="22"/>
          <w:lang w:val="sr-Latn-ME"/>
        </w:rPr>
        <w:t>l</w:t>
      </w:r>
      <w:r w:rsidRPr="00FB6F73">
        <w:rPr>
          <w:sz w:val="22"/>
          <w:szCs w:val="22"/>
          <w:lang w:val="sr-Latn-ME"/>
        </w:rPr>
        <w:t>/sat i medijanu poluvremena eliminacije od 36,2 sata. Prema tome, očekivano vr</w:t>
      </w:r>
      <w:r w:rsidR="00F50C95" w:rsidRPr="00FB6F73">
        <w:rPr>
          <w:sz w:val="22"/>
          <w:szCs w:val="22"/>
          <w:lang w:val="sr-Latn-ME"/>
        </w:rPr>
        <w:t>ij</w:t>
      </w:r>
      <w:r w:rsidRPr="00FB6F73">
        <w:rPr>
          <w:sz w:val="22"/>
          <w:szCs w:val="22"/>
          <w:lang w:val="sr-Latn-ME"/>
        </w:rPr>
        <w:t>eme do postizanja ravnotežnih koncentracija u plazmi iznosi približno 7-8 dana.</w:t>
      </w:r>
    </w:p>
    <w:p w14:paraId="79414FC2" w14:textId="77777777" w:rsidR="00136217" w:rsidRPr="00FB6F73" w:rsidRDefault="00136217" w:rsidP="00981FFD">
      <w:pPr>
        <w:jc w:val="both"/>
        <w:rPr>
          <w:sz w:val="22"/>
          <w:szCs w:val="22"/>
          <w:lang w:val="sr-Latn-ME"/>
        </w:rPr>
      </w:pPr>
    </w:p>
    <w:p w14:paraId="599DB80A" w14:textId="77777777" w:rsidR="00136217" w:rsidRPr="00FB6F73" w:rsidRDefault="00136217" w:rsidP="00981FFD">
      <w:pPr>
        <w:jc w:val="both"/>
        <w:rPr>
          <w:sz w:val="22"/>
          <w:szCs w:val="22"/>
          <w:u w:val="single"/>
          <w:lang w:val="sr-Latn-ME"/>
        </w:rPr>
      </w:pPr>
      <w:r w:rsidRPr="00FB6F73">
        <w:rPr>
          <w:sz w:val="22"/>
          <w:szCs w:val="22"/>
          <w:u w:val="single"/>
          <w:lang w:val="sr-Latn-ME"/>
        </w:rPr>
        <w:t>Farmakokinetika u posebnim grupama pacijenata:</w:t>
      </w:r>
    </w:p>
    <w:p w14:paraId="2A6BD043" w14:textId="097879B2" w:rsidR="00136217" w:rsidRPr="00FB6F73" w:rsidRDefault="00136217" w:rsidP="00981FFD">
      <w:pPr>
        <w:jc w:val="both"/>
        <w:rPr>
          <w:sz w:val="22"/>
          <w:szCs w:val="22"/>
          <w:lang w:val="sr-Latn-ME"/>
        </w:rPr>
      </w:pPr>
      <w:r w:rsidRPr="00FB6F73">
        <w:rPr>
          <w:sz w:val="22"/>
          <w:szCs w:val="22"/>
          <w:lang w:val="sr-Latn-ME"/>
        </w:rPr>
        <w:t>Populaciona farmakokinetička analiza je pokazala da nije utvrđen klinički značajan odnos između predviđenog prividnog klirensa i starosti pacijenta, t</w:t>
      </w:r>
      <w:r w:rsidR="00F50C95" w:rsidRPr="00FB6F73">
        <w:rPr>
          <w:sz w:val="22"/>
          <w:szCs w:val="22"/>
          <w:lang w:val="sr-Latn-ME"/>
        </w:rPr>
        <w:t>j</w:t>
      </w:r>
      <w:r w:rsidRPr="00FB6F73">
        <w:rPr>
          <w:sz w:val="22"/>
          <w:szCs w:val="22"/>
          <w:lang w:val="sr-Latn-ME"/>
        </w:rPr>
        <w:t>elesne mase, pola i etničke pripadnosti. Faktori vezani za pacijenta, koji su u korelaciji sa farmakokinetikom erlotiniba su: ukupni bilirubin u serumu, AAG (alfa kiseli glikoprotein) i pušenje. Povećane koncetracije ukupnog bilirubina i AAG u serumu povezane su sa smanjenim klirensom erlotiniba. Klinički značaj ovih razlika nije razjašnjen. Međutim,</w:t>
      </w:r>
      <w:r w:rsidR="007A659B" w:rsidRPr="00FB6F73">
        <w:rPr>
          <w:sz w:val="22"/>
          <w:szCs w:val="22"/>
          <w:lang w:val="sr-Latn-ME"/>
        </w:rPr>
        <w:t xml:space="preserve"> </w:t>
      </w:r>
      <w:r w:rsidRPr="00FB6F73">
        <w:rPr>
          <w:sz w:val="22"/>
          <w:szCs w:val="22"/>
          <w:lang w:val="sr-Latn-ME"/>
        </w:rPr>
        <w:t>pušači imaju ubrzani klirens erlotiniba. Ovo je potvrđeno u farmakokinetičkoj studiji, na zdravim ispitanicima, nepušačima i pušačima cigareta koji su dobili jednokratnu dozu od 150 mg erlotiniba. Geometrijska sredina C</w:t>
      </w:r>
      <w:r w:rsidRPr="00FB6F73">
        <w:rPr>
          <w:sz w:val="22"/>
          <w:szCs w:val="22"/>
          <w:vertAlign w:val="subscript"/>
          <w:lang w:val="sr-Latn-ME"/>
        </w:rPr>
        <w:t>max</w:t>
      </w:r>
      <w:r w:rsidR="00F50C95" w:rsidRPr="00FB6F73">
        <w:rPr>
          <w:sz w:val="22"/>
          <w:szCs w:val="22"/>
          <w:vertAlign w:val="subscript"/>
          <w:lang w:val="sr-Latn-ME"/>
        </w:rPr>
        <w:t xml:space="preserve"> </w:t>
      </w:r>
      <w:r w:rsidRPr="00FB6F73">
        <w:rPr>
          <w:sz w:val="22"/>
          <w:szCs w:val="22"/>
          <w:lang w:val="sr-Latn-ME"/>
        </w:rPr>
        <w:t>je bila 1056 nanograma/</w:t>
      </w:r>
      <w:r w:rsidR="00F50C95" w:rsidRPr="00FB6F73">
        <w:rPr>
          <w:sz w:val="22"/>
          <w:szCs w:val="22"/>
          <w:lang w:val="sr-Latn-ME"/>
        </w:rPr>
        <w:t xml:space="preserve">ml </w:t>
      </w:r>
      <w:r w:rsidRPr="00FB6F73">
        <w:rPr>
          <w:sz w:val="22"/>
          <w:szCs w:val="22"/>
          <w:lang w:val="sr-Latn-ME"/>
        </w:rPr>
        <w:t>u grupi nepušača i 689 nanograma/</w:t>
      </w:r>
      <w:r w:rsidR="00F50C95" w:rsidRPr="00FB6F73">
        <w:rPr>
          <w:sz w:val="22"/>
          <w:szCs w:val="22"/>
          <w:lang w:val="sr-Latn-ME"/>
        </w:rPr>
        <w:t xml:space="preserve">ml </w:t>
      </w:r>
      <w:r w:rsidRPr="00FB6F73">
        <w:rPr>
          <w:sz w:val="22"/>
          <w:szCs w:val="22"/>
          <w:lang w:val="sr-Latn-ME"/>
        </w:rPr>
        <w:t>u grupi pušača sa pros</w:t>
      </w:r>
      <w:r w:rsidR="00F50C95" w:rsidRPr="00FB6F73">
        <w:rPr>
          <w:sz w:val="22"/>
          <w:szCs w:val="22"/>
          <w:lang w:val="sr-Latn-ME"/>
        </w:rPr>
        <w:t>j</w:t>
      </w:r>
      <w:r w:rsidRPr="00FB6F73">
        <w:rPr>
          <w:sz w:val="22"/>
          <w:szCs w:val="22"/>
          <w:lang w:val="sr-Latn-ME"/>
        </w:rPr>
        <w:t>ečnim odnosom pušači-nepušači 65,2% (95% CI: 44,3 do 95,9, p=0,031). Geometrijska sredina PIK</w:t>
      </w:r>
      <w:r w:rsidRPr="00FB6F73">
        <w:rPr>
          <w:sz w:val="22"/>
          <w:szCs w:val="22"/>
          <w:vertAlign w:val="subscript"/>
          <w:lang w:val="sr-Latn-ME"/>
        </w:rPr>
        <w:t>0-inf</w:t>
      </w:r>
      <w:r w:rsidRPr="00FB6F73">
        <w:rPr>
          <w:sz w:val="22"/>
          <w:szCs w:val="22"/>
          <w:lang w:val="sr-Latn-ME"/>
        </w:rPr>
        <w:t xml:space="preserve"> je bila 18726 nanograma·h/</w:t>
      </w:r>
      <w:r w:rsidR="00F50C95" w:rsidRPr="00FB6F73">
        <w:rPr>
          <w:sz w:val="22"/>
          <w:szCs w:val="22"/>
          <w:lang w:val="sr-Latn-ME"/>
        </w:rPr>
        <w:t xml:space="preserve">ml </w:t>
      </w:r>
      <w:r w:rsidRPr="00FB6F73">
        <w:rPr>
          <w:sz w:val="22"/>
          <w:szCs w:val="22"/>
          <w:lang w:val="sr-Latn-ME"/>
        </w:rPr>
        <w:t>u grupi nepušača i 6718 nanograma·h/</w:t>
      </w:r>
      <w:r w:rsidR="00F50C95" w:rsidRPr="00FB6F73">
        <w:rPr>
          <w:sz w:val="22"/>
          <w:szCs w:val="22"/>
          <w:lang w:val="sr-Latn-ME"/>
        </w:rPr>
        <w:t xml:space="preserve">ml </w:t>
      </w:r>
      <w:r w:rsidRPr="00FB6F73">
        <w:rPr>
          <w:sz w:val="22"/>
          <w:szCs w:val="22"/>
          <w:lang w:val="sr-Latn-ME"/>
        </w:rPr>
        <w:t>u grupi pušača sa pros</w:t>
      </w:r>
      <w:r w:rsidR="00F50C95" w:rsidRPr="00FB6F73">
        <w:rPr>
          <w:sz w:val="22"/>
          <w:szCs w:val="22"/>
          <w:lang w:val="sr-Latn-ME"/>
        </w:rPr>
        <w:t>j</w:t>
      </w:r>
      <w:r w:rsidRPr="00FB6F73">
        <w:rPr>
          <w:sz w:val="22"/>
          <w:szCs w:val="22"/>
          <w:lang w:val="sr-Latn-ME"/>
        </w:rPr>
        <w:t xml:space="preserve">ečnim odnosom od 35,9% (95% CI: 23,7 do 54,3, p&lt;0,0001). Geometrijska sredina </w:t>
      </w:r>
      <w:r w:rsidR="00C84690" w:rsidRPr="00FB6F73">
        <w:rPr>
          <w:sz w:val="22"/>
          <w:szCs w:val="22"/>
          <w:lang w:val="sr-Latn-ME"/>
        </w:rPr>
        <w:t>C</w:t>
      </w:r>
      <w:r w:rsidR="00C84690" w:rsidRPr="00FB6F73">
        <w:rPr>
          <w:sz w:val="22"/>
          <w:szCs w:val="22"/>
          <w:vertAlign w:val="subscript"/>
          <w:lang w:val="sr-Latn-ME"/>
        </w:rPr>
        <w:t>24h</w:t>
      </w:r>
      <w:r w:rsidR="00C84690" w:rsidRPr="00FB6F73">
        <w:rPr>
          <w:sz w:val="22"/>
          <w:szCs w:val="22"/>
          <w:lang w:val="sr-Latn-ME"/>
        </w:rPr>
        <w:t xml:space="preserve"> </w:t>
      </w:r>
      <w:r w:rsidRPr="00FB6F73">
        <w:rPr>
          <w:sz w:val="22"/>
          <w:szCs w:val="22"/>
          <w:lang w:val="sr-Latn-ME"/>
        </w:rPr>
        <w:t>je bila 288 nanograma/</w:t>
      </w:r>
      <w:r w:rsidR="00F50C95" w:rsidRPr="00FB6F73">
        <w:rPr>
          <w:sz w:val="22"/>
          <w:szCs w:val="22"/>
          <w:lang w:val="sr-Latn-ME"/>
        </w:rPr>
        <w:t xml:space="preserve">ml </w:t>
      </w:r>
      <w:r w:rsidRPr="00FB6F73">
        <w:rPr>
          <w:sz w:val="22"/>
          <w:szCs w:val="22"/>
          <w:lang w:val="sr-Latn-ME"/>
        </w:rPr>
        <w:t>u grupi nepušača i 34,8 nanograma/</w:t>
      </w:r>
      <w:r w:rsidR="00F50C95" w:rsidRPr="00FB6F73">
        <w:rPr>
          <w:sz w:val="22"/>
          <w:szCs w:val="22"/>
          <w:lang w:val="sr-Latn-ME"/>
        </w:rPr>
        <w:t xml:space="preserve">ml </w:t>
      </w:r>
      <w:r w:rsidRPr="00FB6F73">
        <w:rPr>
          <w:sz w:val="22"/>
          <w:szCs w:val="22"/>
          <w:lang w:val="sr-Latn-ME"/>
        </w:rPr>
        <w:t>kod pušača sa odnosom 12,1% (95% CI: 4,82 do 30,2, p= 0,0001).</w:t>
      </w:r>
    </w:p>
    <w:p w14:paraId="05216CFD" w14:textId="77777777" w:rsidR="00136217" w:rsidRPr="00FB6F73" w:rsidRDefault="00136217" w:rsidP="00981FFD">
      <w:pPr>
        <w:jc w:val="both"/>
        <w:rPr>
          <w:sz w:val="22"/>
          <w:szCs w:val="22"/>
          <w:lang w:val="sr-Latn-ME"/>
        </w:rPr>
      </w:pPr>
    </w:p>
    <w:p w14:paraId="49C9057D" w14:textId="1CAA8725" w:rsidR="00136217" w:rsidRPr="00FB6F73" w:rsidRDefault="00136217" w:rsidP="00981FFD">
      <w:pPr>
        <w:jc w:val="both"/>
        <w:rPr>
          <w:sz w:val="22"/>
          <w:szCs w:val="22"/>
          <w:lang w:val="sr-Latn-ME"/>
        </w:rPr>
      </w:pPr>
      <w:r w:rsidRPr="00FB6F73">
        <w:rPr>
          <w:sz w:val="22"/>
          <w:szCs w:val="22"/>
          <w:lang w:val="sr-Latn-ME"/>
        </w:rPr>
        <w:t xml:space="preserve">U pivotalnoj NSCLC studiji faze III, pušači su ostvarili koncentraciju erlotiniba u plazmi neposredno pred </w:t>
      </w:r>
      <w:r w:rsidR="00ED4DF5" w:rsidRPr="00FB6F73">
        <w:rPr>
          <w:sz w:val="22"/>
          <w:szCs w:val="22"/>
          <w:lang w:val="sr-Latn-ME"/>
        </w:rPr>
        <w:t>primjenu</w:t>
      </w:r>
      <w:r w:rsidRPr="00FB6F73">
        <w:rPr>
          <w:sz w:val="22"/>
          <w:szCs w:val="22"/>
          <w:lang w:val="sr-Latn-ME"/>
        </w:rPr>
        <w:t xml:space="preserve"> naredne doze, u stanju ravnoteže, od 0,65 mikrograma/</w:t>
      </w:r>
      <w:r w:rsidR="00F50C95" w:rsidRPr="00FB6F73">
        <w:rPr>
          <w:sz w:val="22"/>
          <w:szCs w:val="22"/>
          <w:lang w:val="sr-Latn-ME"/>
        </w:rPr>
        <w:t xml:space="preserve">ml </w:t>
      </w:r>
      <w:r w:rsidRPr="00FB6F73">
        <w:rPr>
          <w:sz w:val="22"/>
          <w:szCs w:val="22"/>
          <w:lang w:val="sr-Latn-ME"/>
        </w:rPr>
        <w:t>(n=16), što je bilo približno 2 puta manje u odnosu na bivše pušače ili pacijente koji nikad nisu pušili (1,28 mikrograma/</w:t>
      </w:r>
      <w:r w:rsidR="00F50C95" w:rsidRPr="00FB6F73">
        <w:rPr>
          <w:sz w:val="22"/>
          <w:szCs w:val="22"/>
          <w:lang w:val="sr-Latn-ME"/>
        </w:rPr>
        <w:t>ml</w:t>
      </w:r>
      <w:r w:rsidRPr="00FB6F73">
        <w:rPr>
          <w:sz w:val="22"/>
          <w:szCs w:val="22"/>
          <w:lang w:val="sr-Latn-ME"/>
        </w:rPr>
        <w:t xml:space="preserve">, n=108). Ovaj efekat je bio udružen sa povećanjem od 24% u prividnom plazma klirensu erlotiniba. U studiji faze I, povećanje doze kod NSCLC pacijenata, pušača, farmakokinetička analiza, u stanju ravnoteže, je ukazala na dozno proporcionalno povećanje u izloženosti erlotinibu kada je doza erlotiniba povećana sa 150 mg do maksimalne podnošljive doze od 300 mg. Koncentracija u plazmi neposredno pred </w:t>
      </w:r>
      <w:r w:rsidR="00ED4DF5" w:rsidRPr="00FB6F73">
        <w:rPr>
          <w:sz w:val="22"/>
          <w:szCs w:val="22"/>
          <w:lang w:val="sr-Latn-ME"/>
        </w:rPr>
        <w:t>primjenu</w:t>
      </w:r>
      <w:r w:rsidRPr="00FB6F73">
        <w:rPr>
          <w:sz w:val="22"/>
          <w:szCs w:val="22"/>
          <w:lang w:val="sr-Latn-ME"/>
        </w:rPr>
        <w:t xml:space="preserve"> naredne doze u stanju ravnoteže pri dozi od 300 mg kod pušača, u ovoj studiji, iznosila je 1,22 mikrograma/</w:t>
      </w:r>
      <w:r w:rsidR="00C84690" w:rsidRPr="00FB6F73">
        <w:rPr>
          <w:sz w:val="22"/>
          <w:szCs w:val="22"/>
          <w:lang w:val="sr-Latn-ME"/>
        </w:rPr>
        <w:t xml:space="preserve">ml </w:t>
      </w:r>
      <w:r w:rsidRPr="00FB6F73">
        <w:rPr>
          <w:sz w:val="22"/>
          <w:szCs w:val="22"/>
          <w:lang w:val="sr-Latn-ME"/>
        </w:rPr>
        <w:t>(n=17).</w:t>
      </w:r>
      <w:r w:rsidR="003731FD" w:rsidRPr="00FB6F73">
        <w:rPr>
          <w:sz w:val="22"/>
          <w:szCs w:val="22"/>
          <w:lang w:val="sr-Latn-ME"/>
        </w:rPr>
        <w:t xml:space="preserve"> Vidjeti djelove 4.2, 4.4, 4.5 i 5.1.</w:t>
      </w:r>
    </w:p>
    <w:p w14:paraId="3FE45D1C" w14:textId="77777777" w:rsidR="00136217" w:rsidRPr="00FB6F73" w:rsidRDefault="00136217" w:rsidP="00981FFD">
      <w:pPr>
        <w:jc w:val="both"/>
        <w:rPr>
          <w:sz w:val="22"/>
          <w:szCs w:val="22"/>
          <w:lang w:val="sr-Latn-ME"/>
        </w:rPr>
      </w:pPr>
    </w:p>
    <w:p w14:paraId="36D4C6B3" w14:textId="30A552FB" w:rsidR="00136217" w:rsidRPr="00FB6F73" w:rsidRDefault="00136217" w:rsidP="00981FFD">
      <w:pPr>
        <w:jc w:val="both"/>
        <w:rPr>
          <w:sz w:val="22"/>
          <w:szCs w:val="22"/>
          <w:lang w:val="sr-Latn-ME"/>
        </w:rPr>
      </w:pPr>
      <w:r w:rsidRPr="00FB6F73">
        <w:rPr>
          <w:sz w:val="22"/>
          <w:szCs w:val="22"/>
          <w:lang w:val="sr-Latn-ME"/>
        </w:rPr>
        <w:t xml:space="preserve">Na osnovu rezultata farmakokinetičkih studija, pacijentima koji puše treba </w:t>
      </w:r>
      <w:r w:rsidR="00FD4480" w:rsidRPr="00FB6F73">
        <w:rPr>
          <w:sz w:val="22"/>
          <w:szCs w:val="22"/>
          <w:lang w:val="sr-Latn-ME"/>
        </w:rPr>
        <w:t>savjet</w:t>
      </w:r>
      <w:r w:rsidRPr="00FB6F73">
        <w:rPr>
          <w:sz w:val="22"/>
          <w:szCs w:val="22"/>
          <w:lang w:val="sr-Latn-ME"/>
        </w:rPr>
        <w:t>ovati da prestanu sa pušenjem dok su na terapiji erlotinibom,</w:t>
      </w:r>
      <w:r w:rsidR="00C84690" w:rsidRPr="00FB6F73">
        <w:rPr>
          <w:sz w:val="22"/>
          <w:szCs w:val="22"/>
          <w:lang w:val="sr-Latn-ME"/>
        </w:rPr>
        <w:t xml:space="preserve"> </w:t>
      </w:r>
      <w:r w:rsidRPr="00FB6F73">
        <w:rPr>
          <w:sz w:val="22"/>
          <w:szCs w:val="22"/>
          <w:lang w:val="sr-Latn-ME"/>
        </w:rPr>
        <w:t xml:space="preserve">budući da pušenje smanjuje koncentracije erlotiniba u plazmi. </w:t>
      </w:r>
    </w:p>
    <w:p w14:paraId="1BD79E77" w14:textId="77777777" w:rsidR="00136217" w:rsidRPr="00FB6F73" w:rsidRDefault="00136217" w:rsidP="00981FFD">
      <w:pPr>
        <w:jc w:val="both"/>
        <w:rPr>
          <w:sz w:val="22"/>
          <w:szCs w:val="22"/>
          <w:lang w:val="sr-Latn-ME"/>
        </w:rPr>
      </w:pPr>
    </w:p>
    <w:p w14:paraId="39E7021D" w14:textId="77777777" w:rsidR="00136217" w:rsidRPr="00FB6F73" w:rsidRDefault="00136217" w:rsidP="00981FFD">
      <w:pPr>
        <w:jc w:val="both"/>
        <w:rPr>
          <w:sz w:val="22"/>
          <w:szCs w:val="22"/>
          <w:lang w:val="sr-Latn-ME"/>
        </w:rPr>
      </w:pPr>
      <w:r w:rsidRPr="00FB6F73">
        <w:rPr>
          <w:sz w:val="22"/>
          <w:szCs w:val="22"/>
          <w:lang w:val="sr-Latn-ME"/>
        </w:rPr>
        <w:t xml:space="preserve">Na osnovu populacione farmakokinetičke analize, izgleda da prisustvo opioida pojačava izloženost za oko 11%. </w:t>
      </w:r>
    </w:p>
    <w:p w14:paraId="6E48E5EE" w14:textId="77777777" w:rsidR="00136217" w:rsidRPr="00FB6F73" w:rsidRDefault="00136217" w:rsidP="00981FFD">
      <w:pPr>
        <w:jc w:val="both"/>
        <w:rPr>
          <w:sz w:val="22"/>
          <w:szCs w:val="22"/>
          <w:lang w:val="sr-Latn-ME"/>
        </w:rPr>
      </w:pPr>
    </w:p>
    <w:p w14:paraId="7DA9BBAA" w14:textId="550F456C" w:rsidR="00136217" w:rsidRPr="00FB6F73" w:rsidRDefault="00136217" w:rsidP="00981FFD">
      <w:pPr>
        <w:jc w:val="both"/>
        <w:rPr>
          <w:sz w:val="22"/>
          <w:szCs w:val="22"/>
          <w:lang w:val="sr-Latn-ME"/>
        </w:rPr>
      </w:pPr>
      <w:r w:rsidRPr="00FB6F73">
        <w:rPr>
          <w:sz w:val="22"/>
          <w:szCs w:val="22"/>
          <w:lang w:val="sr-Latn-ME"/>
        </w:rPr>
        <w:t xml:space="preserve">Jedna druga populaciona farmakokinetička analiza sprovedena je da bi se uključili podaci o erlotinibu dobijeni na 204 pacijenta sa karcinomom pankreasa koji su primali erlotinib </w:t>
      </w:r>
      <w:r w:rsidR="003731FD" w:rsidRPr="00FB6F73">
        <w:rPr>
          <w:sz w:val="22"/>
          <w:szCs w:val="22"/>
          <w:lang w:val="sr-Latn-ME"/>
        </w:rPr>
        <w:t>i</w:t>
      </w:r>
      <w:r w:rsidR="00C84690" w:rsidRPr="00FB6F73">
        <w:rPr>
          <w:sz w:val="22"/>
          <w:szCs w:val="22"/>
          <w:lang w:val="sr-Latn-ME"/>
        </w:rPr>
        <w:t xml:space="preserve"> </w:t>
      </w:r>
      <w:r w:rsidRPr="00FB6F73">
        <w:rPr>
          <w:sz w:val="22"/>
          <w:szCs w:val="22"/>
          <w:lang w:val="sr-Latn-ME"/>
        </w:rPr>
        <w:t xml:space="preserve">gemcitabin. Ova analiza je pokazala da su kovarijanse koje utiču na klirens erlotiniba kod pacijenata sa karcinomom pankreasa veoma slične onima koje su već </w:t>
      </w:r>
      <w:r w:rsidR="00C84690" w:rsidRPr="00FB6F73">
        <w:rPr>
          <w:sz w:val="22"/>
          <w:szCs w:val="22"/>
          <w:lang w:val="sr-Latn-ME"/>
        </w:rPr>
        <w:t xml:space="preserve">zabilježene </w:t>
      </w:r>
      <w:r w:rsidRPr="00FB6F73">
        <w:rPr>
          <w:sz w:val="22"/>
          <w:szCs w:val="22"/>
          <w:lang w:val="sr-Latn-ME"/>
        </w:rPr>
        <w:t xml:space="preserve">u prethodnim farmakokinetičkim analizama monoterapije. </w:t>
      </w:r>
      <w:r w:rsidRPr="00FB6F73">
        <w:rPr>
          <w:sz w:val="22"/>
          <w:szCs w:val="22"/>
          <w:lang w:val="sr-Latn-ME"/>
        </w:rPr>
        <w:lastRenderedPageBreak/>
        <w:t xml:space="preserve">Nisu utvrđeni bilo kakvi novi efekti kovarijansi. Istovremeno davanje gemcitabina nije imalo nikakav efekat na plazma klirens erlotiniba. </w:t>
      </w:r>
    </w:p>
    <w:p w14:paraId="739171A6" w14:textId="77777777" w:rsidR="00136217" w:rsidRPr="00FB6F73" w:rsidRDefault="00136217" w:rsidP="00981FFD">
      <w:pPr>
        <w:jc w:val="both"/>
        <w:rPr>
          <w:sz w:val="22"/>
          <w:szCs w:val="22"/>
          <w:lang w:val="sr-Latn-ME"/>
        </w:rPr>
      </w:pPr>
    </w:p>
    <w:p w14:paraId="27826F93" w14:textId="77777777" w:rsidR="00C84690" w:rsidRPr="00FB6F73" w:rsidRDefault="00136217" w:rsidP="00981FFD">
      <w:pPr>
        <w:jc w:val="both"/>
        <w:rPr>
          <w:i/>
          <w:sz w:val="22"/>
          <w:szCs w:val="22"/>
          <w:u w:val="single"/>
          <w:lang w:val="sr-Latn-ME"/>
        </w:rPr>
      </w:pPr>
      <w:r w:rsidRPr="00FB6F73">
        <w:rPr>
          <w:sz w:val="22"/>
          <w:szCs w:val="22"/>
          <w:u w:val="single"/>
          <w:lang w:val="sr-Latn-ME"/>
        </w:rPr>
        <w:t>Pedijatrijska populacija:</w:t>
      </w:r>
      <w:r w:rsidRPr="00FB6F73">
        <w:rPr>
          <w:i/>
          <w:sz w:val="22"/>
          <w:szCs w:val="22"/>
          <w:u w:val="single"/>
          <w:lang w:val="sr-Latn-ME"/>
        </w:rPr>
        <w:t xml:space="preserve"> </w:t>
      </w:r>
    </w:p>
    <w:p w14:paraId="2DC1E81D" w14:textId="025239DC" w:rsidR="00136217" w:rsidRPr="00FB6F73" w:rsidRDefault="00136217" w:rsidP="00981FFD">
      <w:pPr>
        <w:jc w:val="both"/>
        <w:rPr>
          <w:i/>
          <w:sz w:val="22"/>
          <w:szCs w:val="22"/>
          <w:u w:val="single"/>
          <w:lang w:val="sr-Latn-ME"/>
        </w:rPr>
      </w:pPr>
      <w:r w:rsidRPr="00FB6F73">
        <w:rPr>
          <w:sz w:val="22"/>
          <w:szCs w:val="22"/>
          <w:lang w:val="sr-Latn-ME"/>
        </w:rPr>
        <w:t>Nisu</w:t>
      </w:r>
      <w:r w:rsidRPr="00FB6F73">
        <w:rPr>
          <w:i/>
          <w:sz w:val="22"/>
          <w:szCs w:val="22"/>
          <w:u w:val="single"/>
          <w:lang w:val="sr-Latn-ME"/>
        </w:rPr>
        <w:t xml:space="preserve"> </w:t>
      </w:r>
      <w:r w:rsidRPr="00FB6F73">
        <w:rPr>
          <w:sz w:val="22"/>
          <w:szCs w:val="22"/>
          <w:lang w:val="sr-Latn-ME"/>
        </w:rPr>
        <w:t>sprovedena posebna ispitivanja na pedijatrijskim pacijentima.</w:t>
      </w:r>
    </w:p>
    <w:p w14:paraId="1BE4BD8D" w14:textId="77777777" w:rsidR="00C84690" w:rsidRPr="00FB6F73" w:rsidRDefault="00C84690" w:rsidP="00981FFD">
      <w:pPr>
        <w:jc w:val="both"/>
        <w:rPr>
          <w:sz w:val="22"/>
          <w:szCs w:val="22"/>
          <w:u w:val="single"/>
          <w:lang w:val="sr-Latn-ME"/>
        </w:rPr>
      </w:pPr>
    </w:p>
    <w:p w14:paraId="40AB6405" w14:textId="4D3C43F2" w:rsidR="00C84690" w:rsidRPr="00FB6F73" w:rsidRDefault="00C84690" w:rsidP="00981FFD">
      <w:pPr>
        <w:jc w:val="both"/>
        <w:rPr>
          <w:i/>
          <w:sz w:val="22"/>
          <w:szCs w:val="22"/>
          <w:u w:val="single"/>
          <w:lang w:val="sr-Latn-ME"/>
        </w:rPr>
      </w:pPr>
      <w:r w:rsidRPr="00FB6F73">
        <w:rPr>
          <w:sz w:val="22"/>
          <w:szCs w:val="22"/>
          <w:u w:val="single"/>
          <w:lang w:val="sr-Latn-ME"/>
        </w:rPr>
        <w:t>Starije osobe</w:t>
      </w:r>
      <w:r w:rsidR="00136217" w:rsidRPr="00FB6F73">
        <w:rPr>
          <w:sz w:val="22"/>
          <w:szCs w:val="22"/>
          <w:u w:val="single"/>
          <w:lang w:val="sr-Latn-ME"/>
        </w:rPr>
        <w:t>:</w:t>
      </w:r>
      <w:r w:rsidR="00136217" w:rsidRPr="00FB6F73">
        <w:rPr>
          <w:i/>
          <w:sz w:val="22"/>
          <w:szCs w:val="22"/>
          <w:u w:val="single"/>
          <w:lang w:val="sr-Latn-ME"/>
        </w:rPr>
        <w:t xml:space="preserve"> </w:t>
      </w:r>
    </w:p>
    <w:p w14:paraId="02F26F4A" w14:textId="79E77CCB" w:rsidR="00136217" w:rsidRPr="00FB6F73" w:rsidRDefault="00136217" w:rsidP="00981FFD">
      <w:pPr>
        <w:jc w:val="both"/>
        <w:rPr>
          <w:i/>
          <w:sz w:val="22"/>
          <w:szCs w:val="22"/>
          <w:u w:val="single"/>
          <w:lang w:val="sr-Latn-ME"/>
        </w:rPr>
      </w:pPr>
      <w:r w:rsidRPr="00FB6F73">
        <w:rPr>
          <w:sz w:val="22"/>
          <w:szCs w:val="22"/>
          <w:lang w:val="sr-Latn-ME"/>
        </w:rPr>
        <w:t>Nisu sprovedena posebna ispitivanja na starijim pacijentima.</w:t>
      </w:r>
    </w:p>
    <w:p w14:paraId="29A419B0" w14:textId="77777777" w:rsidR="00136217" w:rsidRPr="00FB6F73" w:rsidRDefault="00136217" w:rsidP="00981FFD">
      <w:pPr>
        <w:jc w:val="both"/>
        <w:rPr>
          <w:sz w:val="22"/>
          <w:szCs w:val="22"/>
          <w:lang w:val="sr-Latn-ME"/>
        </w:rPr>
      </w:pPr>
    </w:p>
    <w:p w14:paraId="177A4A70" w14:textId="77777777" w:rsidR="00136217" w:rsidRPr="00FB6F73" w:rsidRDefault="00136217" w:rsidP="00981FFD">
      <w:pPr>
        <w:jc w:val="both"/>
        <w:rPr>
          <w:sz w:val="22"/>
          <w:szCs w:val="22"/>
          <w:u w:val="single"/>
          <w:lang w:val="sr-Latn-ME"/>
        </w:rPr>
      </w:pPr>
      <w:r w:rsidRPr="00FB6F73">
        <w:rPr>
          <w:sz w:val="22"/>
          <w:szCs w:val="22"/>
          <w:u w:val="single"/>
          <w:lang w:val="sr-Latn-ME"/>
        </w:rPr>
        <w:t xml:space="preserve">Oštećena funkcija jetre: </w:t>
      </w:r>
    </w:p>
    <w:p w14:paraId="49865878" w14:textId="0CD43B4D" w:rsidR="00136217" w:rsidRPr="00FB6F73" w:rsidRDefault="00136217" w:rsidP="00981FFD">
      <w:pPr>
        <w:jc w:val="both"/>
        <w:rPr>
          <w:sz w:val="22"/>
          <w:szCs w:val="22"/>
          <w:lang w:val="sr-Latn-ME"/>
        </w:rPr>
      </w:pPr>
      <w:r w:rsidRPr="00FB6F73">
        <w:rPr>
          <w:sz w:val="22"/>
          <w:szCs w:val="22"/>
          <w:lang w:val="sr-Latn-ME"/>
        </w:rPr>
        <w:t xml:space="preserve">Erlotinib se primarno eliminiše putem jetre. Kod pacijenata sa solidnim tumorima i </w:t>
      </w:r>
      <w:r w:rsidR="00FD4480" w:rsidRPr="00FB6F73">
        <w:rPr>
          <w:sz w:val="22"/>
          <w:szCs w:val="22"/>
          <w:lang w:val="sr-Latn-ME"/>
        </w:rPr>
        <w:t>umjerenim</w:t>
      </w:r>
      <w:r w:rsidRPr="00FB6F73">
        <w:rPr>
          <w:sz w:val="22"/>
          <w:szCs w:val="22"/>
          <w:lang w:val="sr-Latn-ME"/>
        </w:rPr>
        <w:t xml:space="preserve"> oštećenjem funkcije jetre (</w:t>
      </w:r>
      <w:r w:rsidRPr="00FB6F73">
        <w:rPr>
          <w:i/>
          <w:sz w:val="22"/>
          <w:szCs w:val="22"/>
          <w:lang w:val="sr-Latn-ME"/>
        </w:rPr>
        <w:t>Child-Pugh</w:t>
      </w:r>
      <w:r w:rsidRPr="00FB6F73">
        <w:rPr>
          <w:sz w:val="22"/>
          <w:szCs w:val="22"/>
          <w:lang w:val="sr-Latn-ME"/>
        </w:rPr>
        <w:t xml:space="preserve"> skor 7-9), geometrijska sredina PIK</w:t>
      </w:r>
      <w:r w:rsidRPr="00FB6F73">
        <w:rPr>
          <w:sz w:val="22"/>
          <w:szCs w:val="22"/>
          <w:vertAlign w:val="subscript"/>
          <w:lang w:val="sr-Latn-ME"/>
        </w:rPr>
        <w:t>0-t</w:t>
      </w:r>
      <w:r w:rsidRPr="00FB6F73">
        <w:rPr>
          <w:sz w:val="22"/>
          <w:szCs w:val="22"/>
          <w:lang w:val="sr-Latn-ME"/>
        </w:rPr>
        <w:t xml:space="preserve"> I C</w:t>
      </w:r>
      <w:r w:rsidRPr="00FB6F73">
        <w:rPr>
          <w:sz w:val="22"/>
          <w:szCs w:val="22"/>
          <w:vertAlign w:val="subscript"/>
          <w:lang w:val="sr-Latn-ME"/>
        </w:rPr>
        <w:t>max</w:t>
      </w:r>
      <w:r w:rsidRPr="00FB6F73">
        <w:rPr>
          <w:sz w:val="22"/>
          <w:szCs w:val="22"/>
          <w:lang w:val="sr-Latn-ME"/>
        </w:rPr>
        <w:t xml:space="preserve"> erlotiniba je bila 27000 nanograma·h/</w:t>
      </w:r>
      <w:r w:rsidR="00C84690" w:rsidRPr="00FB6F73">
        <w:rPr>
          <w:sz w:val="22"/>
          <w:szCs w:val="22"/>
          <w:lang w:val="sr-Latn-ME"/>
        </w:rPr>
        <w:t xml:space="preserve">ml </w:t>
      </w:r>
      <w:r w:rsidRPr="00FB6F73">
        <w:rPr>
          <w:sz w:val="22"/>
          <w:szCs w:val="22"/>
          <w:lang w:val="sr-Latn-ME"/>
        </w:rPr>
        <w:t>i 805 nanograma/</w:t>
      </w:r>
      <w:r w:rsidR="00C84690" w:rsidRPr="00FB6F73">
        <w:rPr>
          <w:sz w:val="22"/>
          <w:szCs w:val="22"/>
          <w:lang w:val="sr-Latn-ME"/>
        </w:rPr>
        <w:t>ml</w:t>
      </w:r>
      <w:r w:rsidRPr="00FB6F73">
        <w:rPr>
          <w:sz w:val="22"/>
          <w:szCs w:val="22"/>
          <w:lang w:val="sr-Latn-ME"/>
        </w:rPr>
        <w:t>, redom, u poređenju sa 29300 nanograma·h/</w:t>
      </w:r>
      <w:r w:rsidR="00C84690" w:rsidRPr="00FB6F73">
        <w:rPr>
          <w:sz w:val="22"/>
          <w:szCs w:val="22"/>
          <w:lang w:val="sr-Latn-ME"/>
        </w:rPr>
        <w:t xml:space="preserve">ml </w:t>
      </w:r>
      <w:r w:rsidRPr="00FB6F73">
        <w:rPr>
          <w:sz w:val="22"/>
          <w:szCs w:val="22"/>
          <w:lang w:val="sr-Latn-ME"/>
        </w:rPr>
        <w:t>i 1090 nanograma/</w:t>
      </w:r>
      <w:r w:rsidR="00C84690" w:rsidRPr="00FB6F73">
        <w:rPr>
          <w:sz w:val="22"/>
          <w:szCs w:val="22"/>
          <w:lang w:val="sr-Latn-ME"/>
        </w:rPr>
        <w:t xml:space="preserve">ml </w:t>
      </w:r>
      <w:r w:rsidRPr="00FB6F73">
        <w:rPr>
          <w:sz w:val="22"/>
          <w:szCs w:val="22"/>
          <w:lang w:val="sr-Latn-ME"/>
        </w:rPr>
        <w:t xml:space="preserve">kod pacijenata sa normalnom funkcijom jetre. U </w:t>
      </w:r>
      <w:r w:rsidR="00C84690" w:rsidRPr="00FB6F73">
        <w:rPr>
          <w:sz w:val="22"/>
          <w:szCs w:val="22"/>
          <w:lang w:val="sr-Latn-ME"/>
        </w:rPr>
        <w:t xml:space="preserve">studiju </w:t>
      </w:r>
      <w:r w:rsidRPr="00FB6F73">
        <w:rPr>
          <w:sz w:val="22"/>
          <w:szCs w:val="22"/>
          <w:lang w:val="sr-Latn-ME"/>
        </w:rPr>
        <w:t>su bili uključeni i pacijenti sa primarnim karcinomom u jetri ili metastazama u jetri. Iako je C</w:t>
      </w:r>
      <w:r w:rsidRPr="00FB6F73">
        <w:rPr>
          <w:sz w:val="22"/>
          <w:szCs w:val="22"/>
          <w:vertAlign w:val="subscript"/>
          <w:lang w:val="sr-Latn-ME"/>
        </w:rPr>
        <w:t>max</w:t>
      </w:r>
      <w:r w:rsidRPr="00FB6F73">
        <w:rPr>
          <w:sz w:val="22"/>
          <w:szCs w:val="22"/>
          <w:lang w:val="sr-Latn-ME"/>
        </w:rPr>
        <w:t xml:space="preserve"> bila statistički značajno niža kod pacijenata sa </w:t>
      </w:r>
      <w:r w:rsidR="00FD4480" w:rsidRPr="00FB6F73">
        <w:rPr>
          <w:sz w:val="22"/>
          <w:szCs w:val="22"/>
          <w:lang w:val="sr-Latn-ME"/>
        </w:rPr>
        <w:t>umjereno</w:t>
      </w:r>
      <w:r w:rsidRPr="00FB6F73">
        <w:rPr>
          <w:sz w:val="22"/>
          <w:szCs w:val="22"/>
          <w:lang w:val="sr-Latn-ME"/>
        </w:rPr>
        <w:t xml:space="preserve"> oštećenom funkcijom jetre, ova razlika se ne smatra klinički značajnom. Nema podataka o uticaju teške disfunkcije jetre na farmakokinetiku erlotiniba. U populacionim farmakokinetičkim analizama, povišene koncentracije ukupnog bilirubina u serumu bile su povezane sa smanjenim klirensom erlotiniba.</w:t>
      </w:r>
    </w:p>
    <w:p w14:paraId="41FCCCC2" w14:textId="77777777" w:rsidR="00136217" w:rsidRPr="00FB6F73" w:rsidRDefault="00136217" w:rsidP="00981FFD">
      <w:pPr>
        <w:jc w:val="both"/>
        <w:rPr>
          <w:sz w:val="22"/>
          <w:szCs w:val="22"/>
          <w:lang w:val="sr-Latn-ME"/>
        </w:rPr>
      </w:pPr>
    </w:p>
    <w:p w14:paraId="2BF94D9D" w14:textId="77777777" w:rsidR="00C84690" w:rsidRPr="00FB6F73" w:rsidRDefault="00136217" w:rsidP="00981FFD">
      <w:pPr>
        <w:jc w:val="both"/>
        <w:rPr>
          <w:sz w:val="22"/>
          <w:szCs w:val="22"/>
          <w:u w:val="single"/>
          <w:lang w:val="sr-Latn-ME"/>
        </w:rPr>
      </w:pPr>
      <w:r w:rsidRPr="00FB6F73">
        <w:rPr>
          <w:sz w:val="22"/>
          <w:szCs w:val="22"/>
          <w:u w:val="single"/>
          <w:lang w:val="sr-Latn-ME"/>
        </w:rPr>
        <w:t xml:space="preserve">Oštećena funkcija bubrega: </w:t>
      </w:r>
    </w:p>
    <w:p w14:paraId="1A480E2A" w14:textId="44F3AD59" w:rsidR="00136217" w:rsidRPr="00FB6F73" w:rsidRDefault="00136217" w:rsidP="00981FFD">
      <w:pPr>
        <w:jc w:val="both"/>
        <w:rPr>
          <w:sz w:val="22"/>
          <w:szCs w:val="22"/>
          <w:u w:val="single"/>
          <w:lang w:val="sr-Latn-ME"/>
        </w:rPr>
      </w:pPr>
      <w:r w:rsidRPr="00FB6F73">
        <w:rPr>
          <w:sz w:val="22"/>
          <w:szCs w:val="22"/>
          <w:lang w:val="sr-Latn-ME"/>
        </w:rPr>
        <w:t>Erlotinib i njegovi metaboliti se ne izlučuju u značajnoj m</w:t>
      </w:r>
      <w:r w:rsidR="007A659B" w:rsidRPr="00FB6F73">
        <w:rPr>
          <w:sz w:val="22"/>
          <w:szCs w:val="22"/>
          <w:lang w:val="sr-Latn-ME"/>
        </w:rPr>
        <w:t>j</w:t>
      </w:r>
      <w:r w:rsidRPr="00FB6F73">
        <w:rPr>
          <w:sz w:val="22"/>
          <w:szCs w:val="22"/>
          <w:lang w:val="sr-Latn-ME"/>
        </w:rPr>
        <w:t xml:space="preserve">eri putem bubrega, pošto se manje od 9% pojedinačne doze izluči urinom. U populacionim farmakokinetičkim analizama nije uočen klinički značajan odnos između klirensa erlotiniba i klirensa kreatinina, ali nema podataka za pacijente sa klirensom kreatinina manjim od 15 </w:t>
      </w:r>
      <w:r w:rsidR="00C84690" w:rsidRPr="00FB6F73">
        <w:rPr>
          <w:sz w:val="22"/>
          <w:szCs w:val="22"/>
          <w:lang w:val="sr-Latn-ME"/>
        </w:rPr>
        <w:t>ml</w:t>
      </w:r>
      <w:r w:rsidRPr="00FB6F73">
        <w:rPr>
          <w:sz w:val="22"/>
          <w:szCs w:val="22"/>
          <w:lang w:val="sr-Latn-ME"/>
        </w:rPr>
        <w:t>/min.</w:t>
      </w:r>
    </w:p>
    <w:p w14:paraId="59541302" w14:textId="77777777" w:rsidR="00136217" w:rsidRPr="00FB6F73" w:rsidRDefault="00136217" w:rsidP="00981FFD">
      <w:pPr>
        <w:tabs>
          <w:tab w:val="left" w:pos="540"/>
          <w:tab w:val="left" w:pos="569"/>
        </w:tabs>
        <w:jc w:val="both"/>
        <w:rPr>
          <w:bCs/>
          <w:sz w:val="22"/>
          <w:szCs w:val="22"/>
          <w:lang w:val="sr-Latn-ME"/>
        </w:rPr>
      </w:pPr>
    </w:p>
    <w:p w14:paraId="062A9CB7" w14:textId="77777777" w:rsidR="0072020E" w:rsidRPr="00FB6F73" w:rsidRDefault="0072020E" w:rsidP="00981FFD">
      <w:pPr>
        <w:tabs>
          <w:tab w:val="left" w:pos="540"/>
          <w:tab w:val="left" w:pos="569"/>
        </w:tabs>
        <w:jc w:val="both"/>
        <w:rPr>
          <w:b/>
          <w:bCs/>
          <w:sz w:val="22"/>
          <w:szCs w:val="22"/>
          <w:lang w:val="sr-Latn-ME"/>
        </w:rPr>
      </w:pPr>
      <w:r w:rsidRPr="00FB6F73">
        <w:rPr>
          <w:b/>
          <w:bCs/>
          <w:sz w:val="22"/>
          <w:szCs w:val="22"/>
          <w:lang w:val="sr-Latn-ME"/>
        </w:rPr>
        <w:t xml:space="preserve">5.3. </w:t>
      </w:r>
      <w:r w:rsidR="00480FB1" w:rsidRPr="00FB6F73">
        <w:rPr>
          <w:b/>
          <w:bCs/>
          <w:sz w:val="22"/>
          <w:szCs w:val="22"/>
          <w:lang w:val="sr-Latn-ME"/>
        </w:rPr>
        <w:tab/>
      </w:r>
      <w:r w:rsidRPr="00FB6F73">
        <w:rPr>
          <w:b/>
          <w:bCs/>
          <w:sz w:val="22"/>
          <w:szCs w:val="22"/>
          <w:lang w:val="sr-Latn-ME"/>
        </w:rPr>
        <w:t xml:space="preserve">Pretklinički podaci o bezbjednosti </w:t>
      </w:r>
    </w:p>
    <w:p w14:paraId="7F52EA75" w14:textId="77777777" w:rsidR="00EE112C" w:rsidRPr="00FB6F73" w:rsidRDefault="00EE112C" w:rsidP="00981FFD">
      <w:pPr>
        <w:tabs>
          <w:tab w:val="left" w:pos="540"/>
          <w:tab w:val="left" w:pos="569"/>
        </w:tabs>
        <w:jc w:val="both"/>
        <w:rPr>
          <w:bCs/>
          <w:sz w:val="22"/>
          <w:szCs w:val="22"/>
          <w:lang w:val="sr-Latn-ME"/>
        </w:rPr>
      </w:pPr>
    </w:p>
    <w:p w14:paraId="0B05827A" w14:textId="55107603" w:rsidR="00136217" w:rsidRPr="00FB6F73" w:rsidRDefault="00136217" w:rsidP="00981FFD">
      <w:pPr>
        <w:tabs>
          <w:tab w:val="left" w:pos="540"/>
          <w:tab w:val="left" w:pos="569"/>
        </w:tabs>
        <w:jc w:val="both"/>
        <w:rPr>
          <w:bCs/>
          <w:sz w:val="22"/>
          <w:szCs w:val="22"/>
          <w:lang w:val="sr-Latn-ME"/>
        </w:rPr>
      </w:pPr>
      <w:r w:rsidRPr="00FB6F73">
        <w:rPr>
          <w:bCs/>
          <w:sz w:val="22"/>
          <w:szCs w:val="22"/>
          <w:lang w:val="sr-Latn-ME"/>
        </w:rPr>
        <w:t xml:space="preserve">Efekti hronične </w:t>
      </w:r>
      <w:r w:rsidR="00FD4480" w:rsidRPr="00FB6F73">
        <w:rPr>
          <w:bCs/>
          <w:sz w:val="22"/>
          <w:szCs w:val="22"/>
          <w:lang w:val="sr-Latn-ME"/>
        </w:rPr>
        <w:t>primjene</w:t>
      </w:r>
      <w:r w:rsidRPr="00FB6F73">
        <w:rPr>
          <w:bCs/>
          <w:sz w:val="22"/>
          <w:szCs w:val="22"/>
          <w:lang w:val="sr-Latn-ME"/>
        </w:rPr>
        <w:t xml:space="preserve"> </w:t>
      </w:r>
      <w:r w:rsidR="00800E5D" w:rsidRPr="00FB6F73">
        <w:rPr>
          <w:bCs/>
          <w:sz w:val="22"/>
          <w:szCs w:val="22"/>
          <w:lang w:val="sr-Latn-ME"/>
        </w:rPr>
        <w:t xml:space="preserve">zabilježeni </w:t>
      </w:r>
      <w:r w:rsidRPr="00FB6F73">
        <w:rPr>
          <w:bCs/>
          <w:sz w:val="22"/>
          <w:szCs w:val="22"/>
          <w:lang w:val="sr-Latn-ME"/>
        </w:rPr>
        <w:t>kod najmanje jedne životinjske vrste ili u studiji, uključuju prom</w:t>
      </w:r>
      <w:r w:rsidR="00800E5D" w:rsidRPr="00FB6F73">
        <w:rPr>
          <w:bCs/>
          <w:sz w:val="22"/>
          <w:szCs w:val="22"/>
          <w:lang w:val="sr-Latn-ME"/>
        </w:rPr>
        <w:t>j</w:t>
      </w:r>
      <w:r w:rsidRPr="00FB6F73">
        <w:rPr>
          <w:bCs/>
          <w:sz w:val="22"/>
          <w:szCs w:val="22"/>
          <w:lang w:val="sr-Latn-ME"/>
        </w:rPr>
        <w:t xml:space="preserve">ene na rožnjači (atrofija, ulceracije), koži (degeneracija i inflamacija folikula, crvenilo, i alopecija), jajnicima (atrofija), jetri (nekroza jetre), bubrezima (bubrežna papilarna nekroza i tubularna dilatacija) i gastrointestinalnom traktu (usporeno pražnjenje želuca i dijareja). Parametri eritrocita bili su sniženi, dok su leukociti, prvenstveno neutrofili, bili povišeni. </w:t>
      </w:r>
      <w:r w:rsidR="00800E5D" w:rsidRPr="00FB6F73">
        <w:rPr>
          <w:bCs/>
          <w:sz w:val="22"/>
          <w:szCs w:val="22"/>
          <w:lang w:val="sr-Latn-ME"/>
        </w:rPr>
        <w:t xml:space="preserve">Zabilježeno </w:t>
      </w:r>
      <w:r w:rsidRPr="00FB6F73">
        <w:rPr>
          <w:bCs/>
          <w:sz w:val="22"/>
          <w:szCs w:val="22"/>
          <w:lang w:val="sr-Latn-ME"/>
        </w:rPr>
        <w:t xml:space="preserve">je povećanje ALT, AST i bilirubina povezano sa terapijom. Ovi nalazi su </w:t>
      </w:r>
      <w:r w:rsidR="00800E5D" w:rsidRPr="00FB6F73">
        <w:rPr>
          <w:bCs/>
          <w:sz w:val="22"/>
          <w:szCs w:val="22"/>
          <w:lang w:val="sr-Latn-ME"/>
        </w:rPr>
        <w:t xml:space="preserve">zabilježeni </w:t>
      </w:r>
      <w:r w:rsidRPr="00FB6F73">
        <w:rPr>
          <w:bCs/>
          <w:sz w:val="22"/>
          <w:szCs w:val="22"/>
          <w:lang w:val="sr-Latn-ME"/>
        </w:rPr>
        <w:t>pri izloženostima značajno nižim od relevantnih kliničkih izloženosti.</w:t>
      </w:r>
    </w:p>
    <w:p w14:paraId="6D6B3365" w14:textId="77777777" w:rsidR="00136217" w:rsidRPr="00FB6F73" w:rsidRDefault="00136217" w:rsidP="00981FFD">
      <w:pPr>
        <w:tabs>
          <w:tab w:val="left" w:pos="540"/>
          <w:tab w:val="left" w:pos="569"/>
        </w:tabs>
        <w:jc w:val="both"/>
        <w:rPr>
          <w:bCs/>
          <w:sz w:val="22"/>
          <w:szCs w:val="22"/>
          <w:lang w:val="sr-Latn-ME"/>
        </w:rPr>
      </w:pPr>
    </w:p>
    <w:p w14:paraId="449FA8EB" w14:textId="738C3258" w:rsidR="00136217" w:rsidRPr="00FB6F73" w:rsidRDefault="00136217" w:rsidP="00981FFD">
      <w:pPr>
        <w:tabs>
          <w:tab w:val="left" w:pos="540"/>
          <w:tab w:val="left" w:pos="569"/>
        </w:tabs>
        <w:jc w:val="both"/>
        <w:rPr>
          <w:bCs/>
          <w:sz w:val="22"/>
          <w:szCs w:val="22"/>
          <w:lang w:val="sr-Latn-ME"/>
        </w:rPr>
      </w:pPr>
      <w:r w:rsidRPr="00FB6F73">
        <w:rPr>
          <w:bCs/>
          <w:sz w:val="22"/>
          <w:szCs w:val="22"/>
          <w:lang w:val="sr-Latn-ME"/>
        </w:rPr>
        <w:t xml:space="preserve">Na osnovu mehanizma dejstva, erlotinib bi mogao biti teratogen. Podaci iz ispitivanja reproduktivne toksičnosti kod pacova i kunića u dozama koje su blizu maksimalne podnošljive doze i/ili dozama toksičnim za majku, pokazali su reproduktivnu toksičnost (embriotoksičnost kod pacova, resorpciju embriona i fetotoksičnost kod kunića) i razvojnu toksičnost (smanjenje rasta mladunaca i preživljavanje pacova), ali nisu pokazali teratogenost niti smanjenje plodnosti. Ovi nalazi su </w:t>
      </w:r>
      <w:r w:rsidR="00FD2E5F" w:rsidRPr="00FB6F73">
        <w:rPr>
          <w:bCs/>
          <w:sz w:val="22"/>
          <w:szCs w:val="22"/>
          <w:lang w:val="sr-Latn-ME"/>
        </w:rPr>
        <w:t xml:space="preserve">zabilježeni </w:t>
      </w:r>
      <w:r w:rsidRPr="00FB6F73">
        <w:rPr>
          <w:bCs/>
          <w:sz w:val="22"/>
          <w:szCs w:val="22"/>
          <w:lang w:val="sr-Latn-ME"/>
        </w:rPr>
        <w:t xml:space="preserve">pri klinički relevantnim koncentracijama </w:t>
      </w:r>
      <w:r w:rsidR="00FD4480" w:rsidRPr="00FB6F73">
        <w:rPr>
          <w:bCs/>
          <w:sz w:val="22"/>
          <w:szCs w:val="22"/>
          <w:lang w:val="sr-Latn-ME"/>
        </w:rPr>
        <w:t>lijek</w:t>
      </w:r>
      <w:r w:rsidRPr="00FB6F73">
        <w:rPr>
          <w:bCs/>
          <w:sz w:val="22"/>
          <w:szCs w:val="22"/>
          <w:lang w:val="sr-Latn-ME"/>
        </w:rPr>
        <w:t>a.</w:t>
      </w:r>
    </w:p>
    <w:p w14:paraId="3C2029B2" w14:textId="77777777" w:rsidR="00136217" w:rsidRPr="00FB6F73" w:rsidRDefault="00136217" w:rsidP="00981FFD">
      <w:pPr>
        <w:tabs>
          <w:tab w:val="left" w:pos="540"/>
          <w:tab w:val="left" w:pos="569"/>
        </w:tabs>
        <w:jc w:val="both"/>
        <w:rPr>
          <w:bCs/>
          <w:sz w:val="22"/>
          <w:szCs w:val="22"/>
          <w:lang w:val="sr-Latn-ME"/>
        </w:rPr>
      </w:pPr>
    </w:p>
    <w:p w14:paraId="5F723637" w14:textId="64745154" w:rsidR="00136217" w:rsidRPr="00FB6F73" w:rsidRDefault="00136217" w:rsidP="00981FFD">
      <w:pPr>
        <w:tabs>
          <w:tab w:val="left" w:pos="540"/>
          <w:tab w:val="left" w:pos="569"/>
        </w:tabs>
        <w:jc w:val="both"/>
        <w:rPr>
          <w:bCs/>
          <w:sz w:val="22"/>
          <w:szCs w:val="22"/>
          <w:lang w:val="sr-Latn-ME"/>
        </w:rPr>
      </w:pPr>
      <w:r w:rsidRPr="00FB6F73">
        <w:rPr>
          <w:bCs/>
          <w:sz w:val="22"/>
          <w:szCs w:val="22"/>
          <w:lang w:val="sr-Latn-ME"/>
        </w:rPr>
        <w:t>Konvencionalna ispitivanja genotoksičnosti erlotiniba su dala negativan rezultat. Dvogodišnja ispitivanja karcinogenosti erlotiniba sprovedena na pacovima i miševima su dala negativan rezultat sve do izloženosti koje prevazilaze terapijsku izloženost kod ljudi (do 2 odnosno 10 puta više, redom, bazirano na C</w:t>
      </w:r>
      <w:r w:rsidRPr="00FB6F73">
        <w:rPr>
          <w:bCs/>
          <w:sz w:val="22"/>
          <w:szCs w:val="22"/>
          <w:vertAlign w:val="subscript"/>
          <w:lang w:val="sr-Latn-ME"/>
        </w:rPr>
        <w:t>max</w:t>
      </w:r>
      <w:r w:rsidRPr="00FB6F73">
        <w:rPr>
          <w:bCs/>
          <w:sz w:val="22"/>
          <w:szCs w:val="22"/>
          <w:lang w:val="sr-Latn-ME"/>
        </w:rPr>
        <w:t xml:space="preserve"> i/ili PIK).</w:t>
      </w:r>
    </w:p>
    <w:p w14:paraId="3B96D644" w14:textId="77777777" w:rsidR="00136217" w:rsidRPr="00FB6F73" w:rsidRDefault="00136217" w:rsidP="00981FFD">
      <w:pPr>
        <w:tabs>
          <w:tab w:val="left" w:pos="540"/>
          <w:tab w:val="left" w:pos="569"/>
        </w:tabs>
        <w:jc w:val="both"/>
        <w:rPr>
          <w:bCs/>
          <w:sz w:val="22"/>
          <w:szCs w:val="22"/>
          <w:lang w:val="sr-Latn-ME"/>
        </w:rPr>
      </w:pPr>
    </w:p>
    <w:p w14:paraId="24A6B2F7" w14:textId="5D60EAFD" w:rsidR="00136217" w:rsidRPr="00FB6F73" w:rsidRDefault="00FD2E5F" w:rsidP="00981FFD">
      <w:pPr>
        <w:tabs>
          <w:tab w:val="left" w:pos="540"/>
          <w:tab w:val="left" w:pos="569"/>
        </w:tabs>
        <w:jc w:val="both"/>
        <w:rPr>
          <w:bCs/>
          <w:sz w:val="22"/>
          <w:szCs w:val="22"/>
          <w:lang w:val="sr-Latn-ME"/>
        </w:rPr>
      </w:pPr>
      <w:r w:rsidRPr="00FB6F73">
        <w:rPr>
          <w:bCs/>
          <w:sz w:val="22"/>
          <w:szCs w:val="22"/>
          <w:lang w:val="sr-Latn-ME"/>
        </w:rPr>
        <w:t xml:space="preserve">Zabilježena </w:t>
      </w:r>
      <w:r w:rsidR="00136217" w:rsidRPr="00FB6F73">
        <w:rPr>
          <w:bCs/>
          <w:sz w:val="22"/>
          <w:szCs w:val="22"/>
          <w:lang w:val="sr-Latn-ME"/>
        </w:rPr>
        <w:t>je blaga fototoksična reakcija na koži pacova nakon izlaganja UV zračenju</w:t>
      </w:r>
      <w:r w:rsidRPr="00FB6F73">
        <w:rPr>
          <w:bCs/>
          <w:sz w:val="22"/>
          <w:szCs w:val="22"/>
          <w:lang w:val="sr-Latn-ME"/>
        </w:rPr>
        <w:t>.</w:t>
      </w:r>
    </w:p>
    <w:p w14:paraId="2A2C736A" w14:textId="22EF360B" w:rsidR="00136217" w:rsidRDefault="00136217" w:rsidP="00136217">
      <w:pPr>
        <w:tabs>
          <w:tab w:val="left" w:pos="540"/>
          <w:tab w:val="left" w:pos="569"/>
        </w:tabs>
        <w:rPr>
          <w:b/>
          <w:bCs/>
          <w:sz w:val="22"/>
          <w:szCs w:val="22"/>
          <w:lang w:val="sr-Latn-ME"/>
        </w:rPr>
      </w:pPr>
    </w:p>
    <w:p w14:paraId="4DF901A9" w14:textId="77777777" w:rsidR="00FB6F73" w:rsidRPr="00FB6F73" w:rsidRDefault="00FB6F73" w:rsidP="00136217">
      <w:pPr>
        <w:tabs>
          <w:tab w:val="left" w:pos="540"/>
          <w:tab w:val="left" w:pos="569"/>
        </w:tabs>
        <w:rPr>
          <w:b/>
          <w:bCs/>
          <w:sz w:val="22"/>
          <w:szCs w:val="22"/>
          <w:lang w:val="sr-Latn-ME"/>
        </w:rPr>
      </w:pPr>
    </w:p>
    <w:p w14:paraId="7CBCB66E" w14:textId="77777777" w:rsidR="0072020E" w:rsidRPr="00FB6F73" w:rsidRDefault="0072020E" w:rsidP="00480FB1">
      <w:pPr>
        <w:tabs>
          <w:tab w:val="left" w:pos="540"/>
          <w:tab w:val="left" w:pos="569"/>
        </w:tabs>
        <w:rPr>
          <w:b/>
          <w:bCs/>
          <w:sz w:val="22"/>
          <w:szCs w:val="22"/>
          <w:lang w:val="sr-Latn-ME"/>
        </w:rPr>
      </w:pPr>
      <w:r w:rsidRPr="00FB6F73">
        <w:rPr>
          <w:b/>
          <w:bCs/>
          <w:sz w:val="22"/>
          <w:szCs w:val="22"/>
          <w:lang w:val="sr-Latn-ME"/>
        </w:rPr>
        <w:t xml:space="preserve">6. </w:t>
      </w:r>
      <w:r w:rsidR="00480FB1" w:rsidRPr="00FB6F73">
        <w:rPr>
          <w:b/>
          <w:bCs/>
          <w:sz w:val="22"/>
          <w:szCs w:val="22"/>
          <w:lang w:val="sr-Latn-ME"/>
        </w:rPr>
        <w:tab/>
      </w:r>
      <w:r w:rsidRPr="00FB6F73">
        <w:rPr>
          <w:b/>
          <w:bCs/>
          <w:sz w:val="22"/>
          <w:szCs w:val="22"/>
          <w:lang w:val="sr-Latn-ME"/>
        </w:rPr>
        <w:t>FARMACEUTSKI PODACI</w:t>
      </w:r>
    </w:p>
    <w:p w14:paraId="6EAF8242" w14:textId="77777777" w:rsidR="00836B35" w:rsidRPr="00FB6F73" w:rsidRDefault="00836B35" w:rsidP="00480FB1">
      <w:pPr>
        <w:tabs>
          <w:tab w:val="left" w:pos="540"/>
          <w:tab w:val="left" w:pos="569"/>
        </w:tabs>
        <w:rPr>
          <w:bCs/>
          <w:sz w:val="22"/>
          <w:szCs w:val="22"/>
          <w:lang w:val="sr-Latn-ME"/>
        </w:rPr>
      </w:pPr>
    </w:p>
    <w:p w14:paraId="5E25182F" w14:textId="77777777" w:rsidR="0072020E" w:rsidRPr="00FB6F73" w:rsidRDefault="0072020E" w:rsidP="00480FB1">
      <w:pPr>
        <w:tabs>
          <w:tab w:val="left" w:pos="540"/>
          <w:tab w:val="left" w:pos="569"/>
        </w:tabs>
        <w:rPr>
          <w:b/>
          <w:bCs/>
          <w:sz w:val="22"/>
          <w:szCs w:val="22"/>
          <w:lang w:val="sr-Latn-ME"/>
        </w:rPr>
      </w:pPr>
      <w:r w:rsidRPr="00FB6F73">
        <w:rPr>
          <w:b/>
          <w:bCs/>
          <w:sz w:val="22"/>
          <w:szCs w:val="22"/>
          <w:lang w:val="sr-Latn-ME"/>
        </w:rPr>
        <w:t xml:space="preserve">6.1. </w:t>
      </w:r>
      <w:r w:rsidR="00480FB1" w:rsidRPr="00FB6F73">
        <w:rPr>
          <w:b/>
          <w:bCs/>
          <w:sz w:val="22"/>
          <w:szCs w:val="22"/>
          <w:lang w:val="sr-Latn-ME"/>
        </w:rPr>
        <w:tab/>
      </w:r>
      <w:r w:rsidRPr="00FB6F73">
        <w:rPr>
          <w:b/>
          <w:bCs/>
          <w:sz w:val="22"/>
          <w:szCs w:val="22"/>
          <w:lang w:val="sr-Latn-ME"/>
        </w:rPr>
        <w:t>Lista pomoćnih supstanci</w:t>
      </w:r>
      <w:r w:rsidR="002E0135" w:rsidRPr="00FB6F73">
        <w:rPr>
          <w:b/>
          <w:bCs/>
          <w:sz w:val="22"/>
          <w:szCs w:val="22"/>
          <w:lang w:val="sr-Latn-ME"/>
        </w:rPr>
        <w:t xml:space="preserve"> (ekscipijenasa)</w:t>
      </w:r>
    </w:p>
    <w:p w14:paraId="501DA6CE" w14:textId="06E17A4A" w:rsidR="0072020E" w:rsidRDefault="0072020E" w:rsidP="00480FB1">
      <w:pPr>
        <w:tabs>
          <w:tab w:val="left" w:pos="540"/>
          <w:tab w:val="left" w:pos="569"/>
        </w:tabs>
        <w:rPr>
          <w:bCs/>
          <w:sz w:val="22"/>
          <w:szCs w:val="22"/>
          <w:lang w:val="sr-Latn-ME"/>
        </w:rPr>
      </w:pPr>
    </w:p>
    <w:p w14:paraId="131D1F95" w14:textId="690AE093" w:rsidR="00FB6F73" w:rsidRDefault="00FB6F73" w:rsidP="00480FB1">
      <w:pPr>
        <w:tabs>
          <w:tab w:val="left" w:pos="540"/>
          <w:tab w:val="left" w:pos="569"/>
        </w:tabs>
        <w:rPr>
          <w:bCs/>
          <w:sz w:val="22"/>
          <w:szCs w:val="22"/>
          <w:lang w:val="sr-Latn-ME"/>
        </w:rPr>
      </w:pPr>
    </w:p>
    <w:p w14:paraId="615654DF" w14:textId="77777777" w:rsidR="00FB6F73" w:rsidRPr="00FB6F73" w:rsidRDefault="00FB6F73" w:rsidP="00480FB1">
      <w:pPr>
        <w:tabs>
          <w:tab w:val="left" w:pos="540"/>
          <w:tab w:val="left" w:pos="569"/>
        </w:tabs>
        <w:rPr>
          <w:bCs/>
          <w:sz w:val="22"/>
          <w:szCs w:val="22"/>
          <w:lang w:val="sr-Latn-ME"/>
        </w:rPr>
      </w:pPr>
    </w:p>
    <w:p w14:paraId="2779BF95" w14:textId="77777777" w:rsidR="00136217" w:rsidRPr="00FB6F73" w:rsidRDefault="00136217" w:rsidP="00136217">
      <w:pPr>
        <w:rPr>
          <w:i/>
          <w:sz w:val="22"/>
          <w:szCs w:val="22"/>
          <w:lang w:val="sr-Latn-ME"/>
        </w:rPr>
      </w:pPr>
      <w:r w:rsidRPr="00FB6F73">
        <w:rPr>
          <w:i/>
          <w:sz w:val="22"/>
          <w:szCs w:val="22"/>
          <w:lang w:val="sr-Latn-ME"/>
        </w:rPr>
        <w:lastRenderedPageBreak/>
        <w:t>Jezgro tablete:</w:t>
      </w:r>
    </w:p>
    <w:p w14:paraId="04B77D31" w14:textId="29743534" w:rsidR="00136217" w:rsidRPr="00FB6F73" w:rsidRDefault="00136217" w:rsidP="00136217">
      <w:pPr>
        <w:rPr>
          <w:sz w:val="22"/>
          <w:szCs w:val="22"/>
          <w:lang w:val="sr-Latn-ME"/>
        </w:rPr>
      </w:pPr>
      <w:r w:rsidRPr="00FB6F73">
        <w:rPr>
          <w:sz w:val="22"/>
          <w:szCs w:val="22"/>
          <w:lang w:val="sr-Latn-ME"/>
        </w:rPr>
        <w:t>Laktoza</w:t>
      </w:r>
      <w:r w:rsidR="00D55694" w:rsidRPr="00FB6F73">
        <w:rPr>
          <w:sz w:val="22"/>
          <w:szCs w:val="22"/>
          <w:lang w:val="sr-Latn-ME"/>
        </w:rPr>
        <w:t>,</w:t>
      </w:r>
      <w:r w:rsidRPr="00FB6F73">
        <w:rPr>
          <w:sz w:val="22"/>
          <w:szCs w:val="22"/>
          <w:lang w:val="sr-Latn-ME"/>
        </w:rPr>
        <w:t xml:space="preserve"> monohidrat</w:t>
      </w:r>
    </w:p>
    <w:p w14:paraId="0E4A6DE9" w14:textId="77777777" w:rsidR="00136217" w:rsidRPr="00FB6F73" w:rsidRDefault="00136217" w:rsidP="00136217">
      <w:pPr>
        <w:rPr>
          <w:sz w:val="22"/>
          <w:szCs w:val="22"/>
          <w:lang w:val="sr-Latn-ME"/>
        </w:rPr>
      </w:pPr>
      <w:r w:rsidRPr="00FB6F73">
        <w:rPr>
          <w:sz w:val="22"/>
          <w:szCs w:val="22"/>
          <w:lang w:val="sr-Latn-ME"/>
        </w:rPr>
        <w:t>Celuloza, mikrokristalna (E460)</w:t>
      </w:r>
    </w:p>
    <w:p w14:paraId="58674475" w14:textId="6A23E631" w:rsidR="00136217" w:rsidRPr="00FB6F73" w:rsidRDefault="00136217" w:rsidP="00136217">
      <w:pPr>
        <w:rPr>
          <w:sz w:val="22"/>
          <w:szCs w:val="22"/>
          <w:lang w:val="sr-Latn-ME"/>
        </w:rPr>
      </w:pPr>
      <w:r w:rsidRPr="00FB6F73">
        <w:rPr>
          <w:sz w:val="22"/>
          <w:szCs w:val="22"/>
          <w:lang w:val="sr-Latn-ME"/>
        </w:rPr>
        <w:t>Natrijum</w:t>
      </w:r>
      <w:r w:rsidR="00D55694" w:rsidRPr="00FB6F73">
        <w:rPr>
          <w:sz w:val="22"/>
          <w:szCs w:val="22"/>
          <w:lang w:val="sr-Latn-ME"/>
        </w:rPr>
        <w:t xml:space="preserve"> </w:t>
      </w:r>
      <w:r w:rsidRPr="00FB6F73">
        <w:rPr>
          <w:sz w:val="22"/>
          <w:szCs w:val="22"/>
          <w:lang w:val="sr-Latn-ME"/>
        </w:rPr>
        <w:t>skrob</w:t>
      </w:r>
      <w:r w:rsidR="00D55694" w:rsidRPr="00FB6F73">
        <w:rPr>
          <w:sz w:val="22"/>
          <w:szCs w:val="22"/>
          <w:lang w:val="sr-Latn-ME"/>
        </w:rPr>
        <w:t xml:space="preserve"> </w:t>
      </w:r>
      <w:r w:rsidRPr="00FB6F73">
        <w:rPr>
          <w:sz w:val="22"/>
          <w:szCs w:val="22"/>
          <w:lang w:val="sr-Latn-ME"/>
        </w:rPr>
        <w:t>glikolat (tip A)</w:t>
      </w:r>
    </w:p>
    <w:p w14:paraId="0CBA1AEB" w14:textId="7E42D06C" w:rsidR="00136217" w:rsidRPr="00FB6F73" w:rsidRDefault="00136217" w:rsidP="00136217">
      <w:pPr>
        <w:rPr>
          <w:sz w:val="22"/>
          <w:szCs w:val="22"/>
          <w:lang w:val="sr-Latn-ME"/>
        </w:rPr>
      </w:pPr>
      <w:r w:rsidRPr="00FB6F73">
        <w:rPr>
          <w:sz w:val="22"/>
          <w:szCs w:val="22"/>
          <w:lang w:val="sr-Latn-ME"/>
        </w:rPr>
        <w:t>Magnezijum</w:t>
      </w:r>
      <w:r w:rsidR="00D55694" w:rsidRPr="00FB6F73">
        <w:rPr>
          <w:sz w:val="22"/>
          <w:szCs w:val="22"/>
          <w:lang w:val="sr-Latn-ME"/>
        </w:rPr>
        <w:t xml:space="preserve"> </w:t>
      </w:r>
      <w:r w:rsidRPr="00FB6F73">
        <w:rPr>
          <w:sz w:val="22"/>
          <w:szCs w:val="22"/>
          <w:lang w:val="sr-Latn-ME"/>
        </w:rPr>
        <w:t>stearat (E470b)</w:t>
      </w:r>
    </w:p>
    <w:p w14:paraId="5AA757C0" w14:textId="77777777" w:rsidR="00136217" w:rsidRPr="00FB6F73" w:rsidRDefault="00136217" w:rsidP="00136217">
      <w:pPr>
        <w:rPr>
          <w:sz w:val="22"/>
          <w:szCs w:val="22"/>
          <w:lang w:val="sr-Latn-ME"/>
        </w:rPr>
      </w:pPr>
    </w:p>
    <w:p w14:paraId="60DE4B4C" w14:textId="77777777" w:rsidR="00136217" w:rsidRPr="00FB6F73" w:rsidRDefault="00136217" w:rsidP="00136217">
      <w:pPr>
        <w:rPr>
          <w:i/>
          <w:sz w:val="22"/>
          <w:szCs w:val="22"/>
          <w:lang w:val="sr-Latn-ME"/>
        </w:rPr>
      </w:pPr>
      <w:r w:rsidRPr="00FB6F73">
        <w:rPr>
          <w:i/>
          <w:sz w:val="22"/>
          <w:szCs w:val="22"/>
          <w:lang w:val="sr-Latn-ME"/>
        </w:rPr>
        <w:t>Omotač tablete:</w:t>
      </w:r>
    </w:p>
    <w:p w14:paraId="4AFB87B0" w14:textId="6442AB47" w:rsidR="00136217" w:rsidRPr="00FB6F73" w:rsidRDefault="00136217" w:rsidP="00136217">
      <w:pPr>
        <w:rPr>
          <w:sz w:val="22"/>
          <w:szCs w:val="22"/>
          <w:lang w:val="sr-Latn-ME"/>
        </w:rPr>
      </w:pPr>
      <w:r w:rsidRPr="00FB6F73">
        <w:rPr>
          <w:sz w:val="22"/>
          <w:szCs w:val="22"/>
          <w:lang w:val="sr-Latn-ME"/>
        </w:rPr>
        <w:t>Polivinil</w:t>
      </w:r>
      <w:r w:rsidR="00D55694" w:rsidRPr="00FB6F73">
        <w:rPr>
          <w:sz w:val="22"/>
          <w:szCs w:val="22"/>
          <w:lang w:val="sr-Latn-ME"/>
        </w:rPr>
        <w:t xml:space="preserve"> </w:t>
      </w:r>
      <w:r w:rsidRPr="00FB6F73">
        <w:rPr>
          <w:sz w:val="22"/>
          <w:szCs w:val="22"/>
          <w:lang w:val="sr-Latn-ME"/>
        </w:rPr>
        <w:t>alkohol (E1203)</w:t>
      </w:r>
    </w:p>
    <w:p w14:paraId="2E91460D" w14:textId="6CB1C04C" w:rsidR="00136217" w:rsidRPr="00FB6F73" w:rsidRDefault="00136217" w:rsidP="00136217">
      <w:pPr>
        <w:rPr>
          <w:sz w:val="22"/>
          <w:szCs w:val="22"/>
          <w:lang w:val="sr-Latn-ME"/>
        </w:rPr>
      </w:pPr>
      <w:r w:rsidRPr="00FB6F73">
        <w:rPr>
          <w:sz w:val="22"/>
          <w:szCs w:val="22"/>
          <w:lang w:val="sr-Latn-ME"/>
        </w:rPr>
        <w:t>Titan</w:t>
      </w:r>
      <w:r w:rsidR="00D55694" w:rsidRPr="00FB6F73">
        <w:rPr>
          <w:sz w:val="22"/>
          <w:szCs w:val="22"/>
          <w:lang w:val="sr-Latn-ME"/>
        </w:rPr>
        <w:t xml:space="preserve"> </w:t>
      </w:r>
      <w:r w:rsidRPr="00FB6F73">
        <w:rPr>
          <w:sz w:val="22"/>
          <w:szCs w:val="22"/>
          <w:lang w:val="sr-Latn-ME"/>
        </w:rPr>
        <w:t>dioksid (E171)</w:t>
      </w:r>
    </w:p>
    <w:p w14:paraId="163935C5" w14:textId="77777777" w:rsidR="00136217" w:rsidRPr="00FB6F73" w:rsidRDefault="00136217" w:rsidP="00136217">
      <w:pPr>
        <w:rPr>
          <w:sz w:val="22"/>
          <w:szCs w:val="22"/>
          <w:lang w:val="sr-Latn-ME"/>
        </w:rPr>
      </w:pPr>
      <w:r w:rsidRPr="00FB6F73">
        <w:rPr>
          <w:sz w:val="22"/>
          <w:szCs w:val="22"/>
          <w:lang w:val="sr-Latn-ME"/>
        </w:rPr>
        <w:t>Makrogol 3350 (E1521)</w:t>
      </w:r>
    </w:p>
    <w:p w14:paraId="2BD08043" w14:textId="77777777" w:rsidR="00136217" w:rsidRPr="00FB6F73" w:rsidRDefault="00136217" w:rsidP="00136217">
      <w:pPr>
        <w:rPr>
          <w:sz w:val="22"/>
          <w:szCs w:val="22"/>
          <w:lang w:val="sr-Latn-ME"/>
        </w:rPr>
      </w:pPr>
      <w:r w:rsidRPr="00FB6F73">
        <w:rPr>
          <w:sz w:val="22"/>
          <w:szCs w:val="22"/>
          <w:lang w:val="sr-Latn-ME"/>
        </w:rPr>
        <w:t>Talk (E553b)</w:t>
      </w:r>
    </w:p>
    <w:p w14:paraId="78D55EEE" w14:textId="77777777" w:rsidR="00136217" w:rsidRPr="00FB6F73" w:rsidRDefault="00136217" w:rsidP="00136217">
      <w:pPr>
        <w:rPr>
          <w:sz w:val="22"/>
          <w:szCs w:val="22"/>
          <w:lang w:val="sr-Latn-ME"/>
        </w:rPr>
      </w:pPr>
      <w:r w:rsidRPr="00FB6F73">
        <w:rPr>
          <w:sz w:val="22"/>
          <w:szCs w:val="22"/>
          <w:lang w:val="sr-Latn-ME"/>
        </w:rPr>
        <w:t>Metakrilna kiselina-etilakrilat kopolimer (1:1), tip A</w:t>
      </w:r>
    </w:p>
    <w:p w14:paraId="3D6736A5" w14:textId="5FB7062C" w:rsidR="00136217" w:rsidRPr="00FB6F73" w:rsidRDefault="00136217" w:rsidP="00981FFD">
      <w:pPr>
        <w:rPr>
          <w:bCs/>
          <w:sz w:val="22"/>
          <w:szCs w:val="22"/>
          <w:lang w:val="sr-Latn-ME"/>
        </w:rPr>
      </w:pPr>
      <w:r w:rsidRPr="00FB6F73">
        <w:rPr>
          <w:sz w:val="22"/>
          <w:szCs w:val="22"/>
          <w:lang w:val="sr-Latn-ME"/>
        </w:rPr>
        <w:t>Natrijum</w:t>
      </w:r>
      <w:r w:rsidR="00D55694" w:rsidRPr="00FB6F73">
        <w:rPr>
          <w:sz w:val="22"/>
          <w:szCs w:val="22"/>
          <w:lang w:val="sr-Latn-ME"/>
        </w:rPr>
        <w:t xml:space="preserve"> </w:t>
      </w:r>
      <w:r w:rsidRPr="00FB6F73">
        <w:rPr>
          <w:sz w:val="22"/>
          <w:szCs w:val="22"/>
          <w:lang w:val="sr-Latn-ME"/>
        </w:rPr>
        <w:t>hidrogenkarbonat</w:t>
      </w:r>
    </w:p>
    <w:p w14:paraId="5A2A3E64" w14:textId="77777777" w:rsidR="00136217" w:rsidRPr="00FB6F73" w:rsidRDefault="00136217" w:rsidP="00480FB1">
      <w:pPr>
        <w:tabs>
          <w:tab w:val="left" w:pos="540"/>
          <w:tab w:val="left" w:pos="569"/>
        </w:tabs>
        <w:rPr>
          <w:bCs/>
          <w:sz w:val="22"/>
          <w:szCs w:val="22"/>
          <w:lang w:val="sr-Latn-ME"/>
        </w:rPr>
      </w:pPr>
    </w:p>
    <w:p w14:paraId="1C94FD9C" w14:textId="1F86B547" w:rsidR="0072020E" w:rsidRPr="00FB6F73" w:rsidRDefault="0072020E" w:rsidP="00480FB1">
      <w:pPr>
        <w:tabs>
          <w:tab w:val="left" w:pos="540"/>
          <w:tab w:val="left" w:pos="569"/>
        </w:tabs>
        <w:rPr>
          <w:b/>
          <w:bCs/>
          <w:sz w:val="22"/>
          <w:szCs w:val="22"/>
          <w:lang w:val="sr-Latn-ME"/>
        </w:rPr>
      </w:pPr>
      <w:r w:rsidRPr="00FB6F73">
        <w:rPr>
          <w:b/>
          <w:bCs/>
          <w:sz w:val="22"/>
          <w:szCs w:val="22"/>
          <w:lang w:val="sr-Latn-ME"/>
        </w:rPr>
        <w:t xml:space="preserve">6.2. </w:t>
      </w:r>
      <w:r w:rsidR="00480FB1" w:rsidRPr="00FB6F73">
        <w:rPr>
          <w:b/>
          <w:bCs/>
          <w:sz w:val="22"/>
          <w:szCs w:val="22"/>
          <w:lang w:val="sr-Latn-ME"/>
        </w:rPr>
        <w:tab/>
      </w:r>
      <w:r w:rsidRPr="00FB6F73">
        <w:rPr>
          <w:b/>
          <w:bCs/>
          <w:sz w:val="22"/>
          <w:szCs w:val="22"/>
          <w:lang w:val="sr-Latn-ME"/>
        </w:rPr>
        <w:t>Inkompatibilnost</w:t>
      </w:r>
      <w:r w:rsidR="002846DB" w:rsidRPr="00FB6F73">
        <w:rPr>
          <w:b/>
          <w:bCs/>
          <w:sz w:val="22"/>
          <w:szCs w:val="22"/>
          <w:lang w:val="sr-Latn-ME"/>
        </w:rPr>
        <w:t>i</w:t>
      </w:r>
    </w:p>
    <w:p w14:paraId="0DE51BCB" w14:textId="2967FAA9" w:rsidR="00136217" w:rsidRPr="00FB6F73" w:rsidRDefault="00136217" w:rsidP="00480FB1">
      <w:pPr>
        <w:tabs>
          <w:tab w:val="left" w:pos="540"/>
          <w:tab w:val="left" w:pos="569"/>
        </w:tabs>
        <w:rPr>
          <w:b/>
          <w:bCs/>
          <w:sz w:val="22"/>
          <w:szCs w:val="22"/>
          <w:lang w:val="sr-Latn-ME"/>
        </w:rPr>
      </w:pPr>
    </w:p>
    <w:p w14:paraId="1507FCEA" w14:textId="08AA7174" w:rsidR="00136217" w:rsidRPr="00FB6F73" w:rsidRDefault="00136217" w:rsidP="00480FB1">
      <w:pPr>
        <w:tabs>
          <w:tab w:val="left" w:pos="540"/>
          <w:tab w:val="left" w:pos="569"/>
        </w:tabs>
        <w:rPr>
          <w:sz w:val="22"/>
          <w:szCs w:val="22"/>
          <w:lang w:val="sr-Latn-ME"/>
        </w:rPr>
      </w:pPr>
      <w:r w:rsidRPr="00FB6F73">
        <w:rPr>
          <w:sz w:val="22"/>
          <w:szCs w:val="22"/>
          <w:lang w:val="sr-Latn-ME"/>
        </w:rPr>
        <w:t>Nije primjen</w:t>
      </w:r>
      <w:r w:rsidR="00D55694" w:rsidRPr="00FB6F73">
        <w:rPr>
          <w:sz w:val="22"/>
          <w:szCs w:val="22"/>
          <w:lang w:val="sr-Latn-ME"/>
        </w:rPr>
        <w:t>l</w:t>
      </w:r>
      <w:r w:rsidRPr="00FB6F73">
        <w:rPr>
          <w:sz w:val="22"/>
          <w:szCs w:val="22"/>
          <w:lang w:val="sr-Latn-ME"/>
        </w:rPr>
        <w:t>jivo.</w:t>
      </w:r>
    </w:p>
    <w:p w14:paraId="1AD21C2C" w14:textId="77777777" w:rsidR="0072020E" w:rsidRPr="00FB6F73" w:rsidRDefault="0072020E" w:rsidP="00480FB1">
      <w:pPr>
        <w:tabs>
          <w:tab w:val="left" w:pos="540"/>
          <w:tab w:val="left" w:pos="569"/>
        </w:tabs>
        <w:rPr>
          <w:bCs/>
          <w:sz w:val="22"/>
          <w:szCs w:val="22"/>
          <w:lang w:val="sr-Latn-ME"/>
        </w:rPr>
      </w:pPr>
    </w:p>
    <w:p w14:paraId="098F76F0" w14:textId="77777777" w:rsidR="0072020E" w:rsidRPr="00FB6F73" w:rsidRDefault="0072020E" w:rsidP="00480FB1">
      <w:pPr>
        <w:tabs>
          <w:tab w:val="left" w:pos="540"/>
          <w:tab w:val="left" w:pos="569"/>
        </w:tabs>
        <w:rPr>
          <w:b/>
          <w:bCs/>
          <w:sz w:val="22"/>
          <w:szCs w:val="22"/>
          <w:lang w:val="sr-Latn-ME"/>
        </w:rPr>
      </w:pPr>
      <w:r w:rsidRPr="00FB6F73">
        <w:rPr>
          <w:b/>
          <w:bCs/>
          <w:sz w:val="22"/>
          <w:szCs w:val="22"/>
          <w:lang w:val="sr-Latn-ME"/>
        </w:rPr>
        <w:t>6.3.</w:t>
      </w:r>
      <w:r w:rsidR="00C05DF8" w:rsidRPr="00FB6F73">
        <w:rPr>
          <w:b/>
          <w:bCs/>
          <w:sz w:val="22"/>
          <w:szCs w:val="22"/>
          <w:lang w:val="sr-Latn-ME"/>
        </w:rPr>
        <w:t xml:space="preserve"> </w:t>
      </w:r>
      <w:r w:rsidR="00480FB1" w:rsidRPr="00FB6F73">
        <w:rPr>
          <w:b/>
          <w:bCs/>
          <w:sz w:val="22"/>
          <w:szCs w:val="22"/>
          <w:lang w:val="sr-Latn-ME"/>
        </w:rPr>
        <w:tab/>
      </w:r>
      <w:r w:rsidRPr="00FB6F73">
        <w:rPr>
          <w:b/>
          <w:bCs/>
          <w:sz w:val="22"/>
          <w:szCs w:val="22"/>
          <w:lang w:val="sr-Latn-ME"/>
        </w:rPr>
        <w:t>Rok upotrebe</w:t>
      </w:r>
    </w:p>
    <w:p w14:paraId="55CEF008" w14:textId="77777777" w:rsidR="00D55694" w:rsidRPr="00FB6F73" w:rsidRDefault="00D55694" w:rsidP="00136217">
      <w:pPr>
        <w:rPr>
          <w:sz w:val="22"/>
          <w:szCs w:val="22"/>
          <w:lang w:val="sr-Latn-ME"/>
        </w:rPr>
      </w:pPr>
    </w:p>
    <w:p w14:paraId="5D614AFF" w14:textId="4F7F4998" w:rsidR="00136217" w:rsidRPr="00FB6F73" w:rsidRDefault="00D55DA6" w:rsidP="00136217">
      <w:pPr>
        <w:rPr>
          <w:sz w:val="22"/>
          <w:szCs w:val="22"/>
          <w:lang w:val="sr-Latn-ME"/>
        </w:rPr>
      </w:pPr>
      <w:r w:rsidRPr="00FB6F73">
        <w:rPr>
          <w:sz w:val="22"/>
          <w:szCs w:val="22"/>
          <w:lang w:val="sr-Latn-ME"/>
        </w:rPr>
        <w:t>3 godine</w:t>
      </w:r>
      <w:r w:rsidR="00136217" w:rsidRPr="00FB6F73">
        <w:rPr>
          <w:sz w:val="22"/>
          <w:szCs w:val="22"/>
          <w:lang w:val="sr-Latn-ME"/>
        </w:rPr>
        <w:t>.</w:t>
      </w:r>
    </w:p>
    <w:p w14:paraId="5FD29C71" w14:textId="77777777" w:rsidR="0072020E" w:rsidRPr="00FB6F73" w:rsidRDefault="0072020E" w:rsidP="00480FB1">
      <w:pPr>
        <w:tabs>
          <w:tab w:val="left" w:pos="540"/>
          <w:tab w:val="left" w:pos="569"/>
        </w:tabs>
        <w:rPr>
          <w:bCs/>
          <w:sz w:val="22"/>
          <w:szCs w:val="22"/>
          <w:lang w:val="sr-Latn-ME"/>
        </w:rPr>
      </w:pPr>
    </w:p>
    <w:p w14:paraId="2DC8914A" w14:textId="453DDAE9" w:rsidR="0072020E" w:rsidRPr="00FB6F73" w:rsidRDefault="0072020E" w:rsidP="00480FB1">
      <w:pPr>
        <w:tabs>
          <w:tab w:val="left" w:pos="540"/>
          <w:tab w:val="left" w:pos="569"/>
        </w:tabs>
        <w:rPr>
          <w:b/>
          <w:bCs/>
          <w:sz w:val="22"/>
          <w:szCs w:val="22"/>
          <w:lang w:val="sr-Latn-ME"/>
        </w:rPr>
      </w:pPr>
      <w:r w:rsidRPr="00FB6F73">
        <w:rPr>
          <w:b/>
          <w:bCs/>
          <w:sz w:val="22"/>
          <w:szCs w:val="22"/>
          <w:lang w:val="sr-Latn-ME"/>
        </w:rPr>
        <w:t xml:space="preserve">6.4. </w:t>
      </w:r>
      <w:r w:rsidR="00480FB1" w:rsidRPr="00FB6F73">
        <w:rPr>
          <w:b/>
          <w:bCs/>
          <w:sz w:val="22"/>
          <w:szCs w:val="22"/>
          <w:lang w:val="sr-Latn-ME"/>
        </w:rPr>
        <w:tab/>
      </w:r>
      <w:r w:rsidRPr="00FB6F73">
        <w:rPr>
          <w:b/>
          <w:bCs/>
          <w:sz w:val="22"/>
          <w:szCs w:val="22"/>
          <w:lang w:val="sr-Latn-ME"/>
        </w:rPr>
        <w:t>Posebne mjere upozorenja pri čuvanju</w:t>
      </w:r>
      <w:r w:rsidR="00F8570A" w:rsidRPr="00FB6F73">
        <w:rPr>
          <w:b/>
          <w:bCs/>
          <w:sz w:val="22"/>
          <w:szCs w:val="22"/>
          <w:lang w:val="sr-Latn-ME"/>
        </w:rPr>
        <w:t xml:space="preserve"> lijeka</w:t>
      </w:r>
    </w:p>
    <w:p w14:paraId="7103F26F" w14:textId="3F788BB4" w:rsidR="00136217" w:rsidRPr="00FB6F73" w:rsidRDefault="00136217" w:rsidP="00480FB1">
      <w:pPr>
        <w:tabs>
          <w:tab w:val="left" w:pos="540"/>
          <w:tab w:val="left" w:pos="569"/>
        </w:tabs>
        <w:rPr>
          <w:b/>
          <w:bCs/>
          <w:sz w:val="22"/>
          <w:szCs w:val="22"/>
          <w:lang w:val="sr-Latn-ME"/>
        </w:rPr>
      </w:pPr>
    </w:p>
    <w:p w14:paraId="0E944A24" w14:textId="183A8441" w:rsidR="00136217" w:rsidRPr="00FB6F73" w:rsidRDefault="00136217">
      <w:pPr>
        <w:tabs>
          <w:tab w:val="left" w:pos="540"/>
          <w:tab w:val="left" w:pos="569"/>
        </w:tabs>
        <w:rPr>
          <w:sz w:val="22"/>
          <w:szCs w:val="22"/>
          <w:lang w:val="sr-Latn-ME"/>
        </w:rPr>
      </w:pPr>
      <w:r w:rsidRPr="00FB6F73">
        <w:rPr>
          <w:sz w:val="22"/>
          <w:szCs w:val="22"/>
          <w:lang w:val="sr-Latn-ME"/>
        </w:rPr>
        <w:t xml:space="preserve">Ovaj lijek ne zahtijeva posebne </w:t>
      </w:r>
      <w:r w:rsidR="00D55694" w:rsidRPr="00FB6F73">
        <w:rPr>
          <w:sz w:val="22"/>
          <w:szCs w:val="22"/>
          <w:lang w:val="sr-Latn-ME"/>
        </w:rPr>
        <w:t xml:space="preserve">uslove </w:t>
      </w:r>
      <w:r w:rsidRPr="00FB6F73">
        <w:rPr>
          <w:sz w:val="22"/>
          <w:szCs w:val="22"/>
          <w:lang w:val="sr-Latn-ME"/>
        </w:rPr>
        <w:t>čuvanja.</w:t>
      </w:r>
    </w:p>
    <w:p w14:paraId="027A8F7D" w14:textId="77777777" w:rsidR="00EC2532" w:rsidRPr="00FB6F73" w:rsidRDefault="00EC2532" w:rsidP="00480FB1">
      <w:pPr>
        <w:tabs>
          <w:tab w:val="left" w:pos="540"/>
          <w:tab w:val="left" w:pos="569"/>
        </w:tabs>
        <w:rPr>
          <w:bCs/>
          <w:sz w:val="22"/>
          <w:szCs w:val="22"/>
          <w:lang w:val="sr-Latn-ME"/>
        </w:rPr>
      </w:pPr>
    </w:p>
    <w:p w14:paraId="32DF6C74" w14:textId="77777777" w:rsidR="0072020E" w:rsidRPr="00FB6F73" w:rsidRDefault="0072020E" w:rsidP="00480FB1">
      <w:pPr>
        <w:tabs>
          <w:tab w:val="left" w:pos="540"/>
          <w:tab w:val="left" w:pos="569"/>
        </w:tabs>
        <w:rPr>
          <w:b/>
          <w:bCs/>
          <w:sz w:val="22"/>
          <w:szCs w:val="22"/>
          <w:lang w:val="sr-Latn-ME"/>
        </w:rPr>
      </w:pPr>
      <w:r w:rsidRPr="00FB6F73">
        <w:rPr>
          <w:b/>
          <w:bCs/>
          <w:sz w:val="22"/>
          <w:szCs w:val="22"/>
          <w:lang w:val="sr-Latn-ME"/>
        </w:rPr>
        <w:t xml:space="preserve">6.5. </w:t>
      </w:r>
      <w:r w:rsidR="00480FB1" w:rsidRPr="00FB6F73">
        <w:rPr>
          <w:b/>
          <w:bCs/>
          <w:sz w:val="22"/>
          <w:szCs w:val="22"/>
          <w:lang w:val="sr-Latn-ME"/>
        </w:rPr>
        <w:tab/>
      </w:r>
      <w:r w:rsidR="002846DB" w:rsidRPr="00FB6F73">
        <w:rPr>
          <w:b/>
          <w:bCs/>
          <w:sz w:val="22"/>
          <w:szCs w:val="22"/>
          <w:lang w:val="sr-Latn-ME"/>
        </w:rPr>
        <w:t xml:space="preserve">Vrsta i sadržaj </w:t>
      </w:r>
      <w:r w:rsidR="00F8570A" w:rsidRPr="00FB6F73">
        <w:rPr>
          <w:b/>
          <w:bCs/>
          <w:sz w:val="22"/>
          <w:szCs w:val="22"/>
          <w:lang w:val="sr-Latn-ME"/>
        </w:rPr>
        <w:t>pakovanja</w:t>
      </w:r>
      <w:r w:rsidR="00C06864" w:rsidRPr="00FB6F73">
        <w:rPr>
          <w:b/>
          <w:bCs/>
          <w:sz w:val="22"/>
          <w:szCs w:val="22"/>
          <w:lang w:val="sr-Latn-ME"/>
        </w:rPr>
        <w:t xml:space="preserve"> </w:t>
      </w:r>
    </w:p>
    <w:p w14:paraId="405060E8" w14:textId="2375AFEA" w:rsidR="0072020E" w:rsidRPr="00FB6F73" w:rsidRDefault="0072020E" w:rsidP="00480FB1">
      <w:pPr>
        <w:tabs>
          <w:tab w:val="left" w:pos="540"/>
          <w:tab w:val="left" w:pos="569"/>
        </w:tabs>
        <w:rPr>
          <w:bCs/>
          <w:sz w:val="22"/>
          <w:szCs w:val="22"/>
          <w:lang w:val="sr-Latn-ME"/>
        </w:rPr>
      </w:pPr>
    </w:p>
    <w:p w14:paraId="5D090A3D" w14:textId="17F060BF" w:rsidR="00136217" w:rsidRPr="00FB6F73" w:rsidRDefault="00136217">
      <w:pPr>
        <w:rPr>
          <w:sz w:val="22"/>
          <w:szCs w:val="22"/>
          <w:lang w:val="sr-Latn-ME"/>
        </w:rPr>
      </w:pPr>
      <w:r w:rsidRPr="00FB6F73">
        <w:rPr>
          <w:sz w:val="22"/>
          <w:szCs w:val="22"/>
          <w:lang w:val="sr-Latn-ME"/>
        </w:rPr>
        <w:t xml:space="preserve">Unutrašnje pakovanje je Aluminijum – OPA/Alu/PVC blister koji sadrži </w:t>
      </w:r>
      <w:r w:rsidR="00D55694" w:rsidRPr="00FB6F73">
        <w:rPr>
          <w:sz w:val="22"/>
          <w:szCs w:val="22"/>
          <w:lang w:val="sr-Latn-ME"/>
        </w:rPr>
        <w:t xml:space="preserve">10 </w:t>
      </w:r>
      <w:r w:rsidRPr="00FB6F73">
        <w:rPr>
          <w:sz w:val="22"/>
          <w:szCs w:val="22"/>
          <w:lang w:val="sr-Latn-ME"/>
        </w:rPr>
        <w:t>film tableta.</w:t>
      </w:r>
    </w:p>
    <w:p w14:paraId="3EDAA88B" w14:textId="77777777" w:rsidR="00136217" w:rsidRPr="00FB6F73" w:rsidRDefault="00136217" w:rsidP="00136217">
      <w:pPr>
        <w:rPr>
          <w:sz w:val="22"/>
          <w:szCs w:val="22"/>
          <w:lang w:val="sr-Latn-ME"/>
        </w:rPr>
      </w:pPr>
    </w:p>
    <w:p w14:paraId="6580A2ED" w14:textId="79D76ABB" w:rsidR="00136217" w:rsidRPr="00FB6F73" w:rsidRDefault="00136217" w:rsidP="00136217">
      <w:pPr>
        <w:rPr>
          <w:sz w:val="22"/>
          <w:szCs w:val="22"/>
          <w:lang w:val="sr-Latn-ME"/>
        </w:rPr>
      </w:pPr>
      <w:r w:rsidRPr="00FB6F73">
        <w:rPr>
          <w:sz w:val="22"/>
          <w:szCs w:val="22"/>
          <w:lang w:val="sr-Latn-ME"/>
        </w:rPr>
        <w:t xml:space="preserve">Spoljašnje pakovanje je složiva kartonska kutija u kojoj se nalaze 3 blistera, (3 x 10) film tableta i Uputstvo za </w:t>
      </w:r>
      <w:r w:rsidR="00FD4480" w:rsidRPr="00FB6F73">
        <w:rPr>
          <w:sz w:val="22"/>
          <w:szCs w:val="22"/>
          <w:lang w:val="sr-Latn-ME"/>
        </w:rPr>
        <w:t>lijek</w:t>
      </w:r>
      <w:r w:rsidRPr="00FB6F73">
        <w:rPr>
          <w:sz w:val="22"/>
          <w:szCs w:val="22"/>
          <w:lang w:val="sr-Latn-ME"/>
        </w:rPr>
        <w:t>.</w:t>
      </w:r>
    </w:p>
    <w:p w14:paraId="74EA656B" w14:textId="77777777" w:rsidR="00136217" w:rsidRPr="00FB6F73" w:rsidRDefault="00136217" w:rsidP="00480FB1">
      <w:pPr>
        <w:tabs>
          <w:tab w:val="left" w:pos="540"/>
          <w:tab w:val="left" w:pos="569"/>
        </w:tabs>
        <w:rPr>
          <w:bCs/>
          <w:sz w:val="22"/>
          <w:szCs w:val="22"/>
          <w:lang w:val="sr-Latn-ME"/>
        </w:rPr>
      </w:pPr>
    </w:p>
    <w:p w14:paraId="66A268B0" w14:textId="77777777" w:rsidR="002846DB" w:rsidRPr="00FB6F73" w:rsidRDefault="0072020E" w:rsidP="00480FB1">
      <w:pPr>
        <w:tabs>
          <w:tab w:val="left" w:pos="540"/>
          <w:tab w:val="left" w:pos="569"/>
        </w:tabs>
        <w:rPr>
          <w:b/>
          <w:bCs/>
          <w:sz w:val="22"/>
          <w:szCs w:val="22"/>
          <w:lang w:val="sr-Latn-ME"/>
        </w:rPr>
      </w:pPr>
      <w:r w:rsidRPr="00FB6F73">
        <w:rPr>
          <w:b/>
          <w:bCs/>
          <w:sz w:val="22"/>
          <w:szCs w:val="22"/>
          <w:lang w:val="sr-Latn-ME"/>
        </w:rPr>
        <w:t xml:space="preserve">6.6. </w:t>
      </w:r>
      <w:r w:rsidR="00480FB1" w:rsidRPr="00FB6F73">
        <w:rPr>
          <w:b/>
          <w:bCs/>
          <w:sz w:val="22"/>
          <w:szCs w:val="22"/>
          <w:lang w:val="sr-Latn-ME"/>
        </w:rPr>
        <w:tab/>
      </w:r>
      <w:r w:rsidRPr="00FB6F73">
        <w:rPr>
          <w:b/>
          <w:bCs/>
          <w:color w:val="000000"/>
          <w:sz w:val="22"/>
          <w:szCs w:val="22"/>
          <w:lang w:val="sr-Latn-ME"/>
        </w:rPr>
        <w:t>Posebne mjere opreza pri odlaganju materijala koji treba odbaciti nakon primjene lijeka</w:t>
      </w:r>
      <w:r w:rsidRPr="00FB6F73">
        <w:rPr>
          <w:b/>
          <w:bCs/>
          <w:sz w:val="22"/>
          <w:szCs w:val="22"/>
          <w:lang w:val="sr-Latn-ME"/>
        </w:rPr>
        <w:t xml:space="preserve"> </w:t>
      </w:r>
      <w:r w:rsidR="00310F03" w:rsidRPr="00FB6F73">
        <w:rPr>
          <w:b/>
          <w:bCs/>
          <w:sz w:val="22"/>
          <w:szCs w:val="22"/>
          <w:lang w:val="sr-Latn-ME"/>
        </w:rPr>
        <w:t>(i druga uputs</w:t>
      </w:r>
      <w:r w:rsidR="004109FA" w:rsidRPr="00FB6F73">
        <w:rPr>
          <w:b/>
          <w:bCs/>
          <w:sz w:val="22"/>
          <w:szCs w:val="22"/>
          <w:lang w:val="sr-Latn-ME"/>
        </w:rPr>
        <w:t>t</w:t>
      </w:r>
      <w:r w:rsidR="00310F03" w:rsidRPr="00FB6F73">
        <w:rPr>
          <w:b/>
          <w:bCs/>
          <w:sz w:val="22"/>
          <w:szCs w:val="22"/>
          <w:lang w:val="sr-Latn-ME"/>
        </w:rPr>
        <w:t xml:space="preserve">va za rukovanje lijekom) </w:t>
      </w:r>
    </w:p>
    <w:p w14:paraId="7F9721EB" w14:textId="77777777" w:rsidR="00B66A70" w:rsidRPr="00FB6F73" w:rsidRDefault="00B66A70" w:rsidP="00480FB1">
      <w:pPr>
        <w:tabs>
          <w:tab w:val="left" w:pos="540"/>
          <w:tab w:val="left" w:pos="569"/>
        </w:tabs>
        <w:rPr>
          <w:b/>
          <w:bCs/>
          <w:sz w:val="22"/>
          <w:szCs w:val="22"/>
          <w:lang w:val="sr-Latn-ME"/>
        </w:rPr>
      </w:pPr>
    </w:p>
    <w:p w14:paraId="0EEDB52D" w14:textId="1082D9A7" w:rsidR="00136217" w:rsidRPr="00FB6F73" w:rsidRDefault="00136217" w:rsidP="00136217">
      <w:pPr>
        <w:rPr>
          <w:sz w:val="22"/>
          <w:szCs w:val="22"/>
          <w:lang w:val="sr-Latn-ME"/>
        </w:rPr>
      </w:pPr>
      <w:r w:rsidRPr="00FB6F73">
        <w:rPr>
          <w:sz w:val="22"/>
          <w:szCs w:val="22"/>
          <w:lang w:val="sr-Latn-ME"/>
        </w:rPr>
        <w:t>Nema specijalnih zaht</w:t>
      </w:r>
      <w:r w:rsidR="00D55694" w:rsidRPr="00FB6F73">
        <w:rPr>
          <w:sz w:val="22"/>
          <w:szCs w:val="22"/>
          <w:lang w:val="sr-Latn-ME"/>
        </w:rPr>
        <w:t>j</w:t>
      </w:r>
      <w:r w:rsidRPr="00FB6F73">
        <w:rPr>
          <w:sz w:val="22"/>
          <w:szCs w:val="22"/>
          <w:lang w:val="sr-Latn-ME"/>
        </w:rPr>
        <w:t>eva za odlaganje.</w:t>
      </w:r>
    </w:p>
    <w:p w14:paraId="504C3153" w14:textId="5924B9C1" w:rsidR="00136217" w:rsidRPr="00FB6F73" w:rsidRDefault="00136217" w:rsidP="00136217">
      <w:pPr>
        <w:rPr>
          <w:sz w:val="22"/>
          <w:szCs w:val="22"/>
          <w:lang w:val="sr-Latn-ME"/>
        </w:rPr>
      </w:pPr>
      <w:r w:rsidRPr="00FB6F73">
        <w:rPr>
          <w:sz w:val="22"/>
          <w:szCs w:val="22"/>
          <w:lang w:val="sr-Latn-ME"/>
        </w:rPr>
        <w:t xml:space="preserve">Svu neiskorišćenu količinu </w:t>
      </w:r>
      <w:r w:rsidR="00FD4480" w:rsidRPr="00FB6F73">
        <w:rPr>
          <w:sz w:val="22"/>
          <w:szCs w:val="22"/>
          <w:lang w:val="sr-Latn-ME"/>
        </w:rPr>
        <w:t>lijek</w:t>
      </w:r>
      <w:r w:rsidRPr="00FB6F73">
        <w:rPr>
          <w:sz w:val="22"/>
          <w:szCs w:val="22"/>
          <w:lang w:val="sr-Latn-ME"/>
        </w:rPr>
        <w:t>a ili otpadnog materijala nakon njegove upotrebe treba ukloniti, u skladu sa važećim propisima.</w:t>
      </w:r>
    </w:p>
    <w:p w14:paraId="63FD297B" w14:textId="59CCF8E6" w:rsidR="0072020E" w:rsidRDefault="0072020E" w:rsidP="00480FB1">
      <w:pPr>
        <w:tabs>
          <w:tab w:val="left" w:pos="540"/>
          <w:tab w:val="left" w:pos="569"/>
        </w:tabs>
        <w:rPr>
          <w:bCs/>
          <w:sz w:val="22"/>
          <w:szCs w:val="22"/>
          <w:lang w:val="sr-Latn-ME"/>
        </w:rPr>
      </w:pPr>
    </w:p>
    <w:p w14:paraId="27757BAE" w14:textId="77777777" w:rsidR="00FB6F73" w:rsidRPr="00FB6F73" w:rsidRDefault="00FB6F73" w:rsidP="00480FB1">
      <w:pPr>
        <w:tabs>
          <w:tab w:val="left" w:pos="540"/>
          <w:tab w:val="left" w:pos="569"/>
        </w:tabs>
        <w:rPr>
          <w:bCs/>
          <w:sz w:val="22"/>
          <w:szCs w:val="22"/>
          <w:lang w:val="sr-Latn-ME"/>
        </w:rPr>
      </w:pPr>
    </w:p>
    <w:p w14:paraId="022D504B" w14:textId="77777777" w:rsidR="00F8570A" w:rsidRPr="00FB6F73" w:rsidRDefault="0072020E" w:rsidP="00480FB1">
      <w:pPr>
        <w:tabs>
          <w:tab w:val="left" w:pos="540"/>
          <w:tab w:val="left" w:pos="569"/>
        </w:tabs>
        <w:rPr>
          <w:b/>
          <w:bCs/>
          <w:sz w:val="22"/>
          <w:szCs w:val="22"/>
          <w:lang w:val="sr-Latn-ME"/>
        </w:rPr>
      </w:pPr>
      <w:r w:rsidRPr="00FB6F73">
        <w:rPr>
          <w:b/>
          <w:bCs/>
          <w:sz w:val="22"/>
          <w:szCs w:val="22"/>
          <w:lang w:val="sr-Latn-ME"/>
        </w:rPr>
        <w:t xml:space="preserve">7. </w:t>
      </w:r>
      <w:r w:rsidR="00480FB1" w:rsidRPr="00FB6F73">
        <w:rPr>
          <w:b/>
          <w:bCs/>
          <w:sz w:val="22"/>
          <w:szCs w:val="22"/>
          <w:lang w:val="sr-Latn-ME"/>
        </w:rPr>
        <w:tab/>
      </w:r>
      <w:r w:rsidRPr="00FB6F73">
        <w:rPr>
          <w:b/>
          <w:bCs/>
          <w:sz w:val="22"/>
          <w:szCs w:val="22"/>
          <w:lang w:val="sr-Latn-ME"/>
        </w:rPr>
        <w:t>NOSILAC DOZVOLE</w:t>
      </w:r>
      <w:r w:rsidR="00483928" w:rsidRPr="00FB6F73">
        <w:rPr>
          <w:b/>
          <w:bCs/>
          <w:sz w:val="22"/>
          <w:szCs w:val="22"/>
          <w:lang w:val="sr-Latn-ME"/>
        </w:rPr>
        <w:t xml:space="preserve"> </w:t>
      </w:r>
    </w:p>
    <w:p w14:paraId="1F6E0359" w14:textId="0D3E1F60" w:rsidR="00C61BE0" w:rsidRPr="00FB6F73" w:rsidRDefault="00C61BE0" w:rsidP="00480FB1">
      <w:pPr>
        <w:tabs>
          <w:tab w:val="left" w:pos="540"/>
          <w:tab w:val="left" w:pos="569"/>
        </w:tabs>
        <w:rPr>
          <w:bCs/>
          <w:sz w:val="22"/>
          <w:szCs w:val="22"/>
          <w:lang w:val="sr-Latn-ME"/>
        </w:rPr>
      </w:pPr>
    </w:p>
    <w:p w14:paraId="23464B91" w14:textId="7BBC3C86" w:rsidR="00136217" w:rsidRPr="00FB6F73" w:rsidRDefault="00136217" w:rsidP="00480FB1">
      <w:pPr>
        <w:tabs>
          <w:tab w:val="left" w:pos="540"/>
          <w:tab w:val="left" w:pos="569"/>
        </w:tabs>
        <w:rPr>
          <w:bCs/>
          <w:sz w:val="22"/>
          <w:szCs w:val="22"/>
          <w:lang w:val="sr-Latn-ME"/>
        </w:rPr>
      </w:pPr>
      <w:r w:rsidRPr="00FB6F73">
        <w:rPr>
          <w:bCs/>
          <w:sz w:val="22"/>
          <w:szCs w:val="22"/>
          <w:lang w:val="sr-Latn-ME"/>
        </w:rPr>
        <w:t>Glosarij d.o.o.</w:t>
      </w:r>
      <w:r w:rsidR="00D55694" w:rsidRPr="00FB6F73">
        <w:rPr>
          <w:bCs/>
          <w:sz w:val="22"/>
          <w:szCs w:val="22"/>
          <w:lang w:val="sr-Latn-ME"/>
        </w:rPr>
        <w:t xml:space="preserve">, </w:t>
      </w:r>
      <w:r w:rsidRPr="00FB6F73">
        <w:rPr>
          <w:bCs/>
          <w:sz w:val="22"/>
          <w:szCs w:val="22"/>
          <w:lang w:val="sr-Latn-ME"/>
        </w:rPr>
        <w:t>Vojislavljevića 76, 81 000 Podgorica, Crna Gora</w:t>
      </w:r>
    </w:p>
    <w:p w14:paraId="5A83265A" w14:textId="00B52558" w:rsidR="00C37FD7" w:rsidRDefault="00C37FD7" w:rsidP="00480FB1">
      <w:pPr>
        <w:tabs>
          <w:tab w:val="left" w:pos="540"/>
          <w:tab w:val="left" w:pos="569"/>
        </w:tabs>
        <w:rPr>
          <w:bCs/>
          <w:sz w:val="22"/>
          <w:szCs w:val="22"/>
          <w:lang w:val="sr-Latn-ME"/>
        </w:rPr>
      </w:pPr>
    </w:p>
    <w:p w14:paraId="40664DA0" w14:textId="77777777" w:rsidR="00FB6F73" w:rsidRPr="00FB6F73" w:rsidRDefault="00FB6F73" w:rsidP="00480FB1">
      <w:pPr>
        <w:tabs>
          <w:tab w:val="left" w:pos="540"/>
          <w:tab w:val="left" w:pos="569"/>
        </w:tabs>
        <w:rPr>
          <w:bCs/>
          <w:sz w:val="22"/>
          <w:szCs w:val="22"/>
          <w:lang w:val="sr-Latn-ME"/>
        </w:rPr>
      </w:pPr>
    </w:p>
    <w:p w14:paraId="7463444D" w14:textId="77777777" w:rsidR="0072020E" w:rsidRPr="00FB6F73" w:rsidRDefault="0072020E" w:rsidP="00480FB1">
      <w:pPr>
        <w:tabs>
          <w:tab w:val="left" w:pos="540"/>
          <w:tab w:val="left" w:pos="569"/>
        </w:tabs>
        <w:rPr>
          <w:b/>
          <w:bCs/>
          <w:sz w:val="22"/>
          <w:szCs w:val="22"/>
          <w:lang w:val="sr-Latn-ME"/>
        </w:rPr>
      </w:pPr>
      <w:r w:rsidRPr="00FB6F73">
        <w:rPr>
          <w:b/>
          <w:bCs/>
          <w:sz w:val="22"/>
          <w:szCs w:val="22"/>
          <w:lang w:val="sr-Latn-ME"/>
        </w:rPr>
        <w:t xml:space="preserve">8. </w:t>
      </w:r>
      <w:r w:rsidR="00480FB1" w:rsidRPr="00FB6F73">
        <w:rPr>
          <w:b/>
          <w:bCs/>
          <w:sz w:val="22"/>
          <w:szCs w:val="22"/>
          <w:lang w:val="sr-Latn-ME"/>
        </w:rPr>
        <w:tab/>
      </w:r>
      <w:r w:rsidRPr="00FB6F73">
        <w:rPr>
          <w:b/>
          <w:bCs/>
          <w:sz w:val="22"/>
          <w:szCs w:val="22"/>
          <w:lang w:val="sr-Latn-ME"/>
        </w:rPr>
        <w:t>BROJ DOZVOLE</w:t>
      </w:r>
      <w:r w:rsidR="008A6D43" w:rsidRPr="00FB6F73">
        <w:rPr>
          <w:b/>
          <w:bCs/>
          <w:sz w:val="22"/>
          <w:szCs w:val="22"/>
          <w:lang w:val="sr-Latn-ME"/>
        </w:rPr>
        <w:t xml:space="preserve"> ZA STAVLJANJE LIJEKA U PROMET</w:t>
      </w:r>
    </w:p>
    <w:p w14:paraId="1F40369C" w14:textId="77777777" w:rsidR="0072020E" w:rsidRPr="00FB6F73" w:rsidRDefault="0072020E" w:rsidP="00480FB1">
      <w:pPr>
        <w:tabs>
          <w:tab w:val="left" w:pos="540"/>
          <w:tab w:val="left" w:pos="569"/>
        </w:tabs>
        <w:rPr>
          <w:bCs/>
          <w:sz w:val="22"/>
          <w:szCs w:val="22"/>
          <w:lang w:val="sr-Latn-ME"/>
        </w:rPr>
      </w:pPr>
    </w:p>
    <w:p w14:paraId="7D7BC33A" w14:textId="49A3F829" w:rsidR="00F45F77" w:rsidRDefault="00FB6F73" w:rsidP="00480FB1">
      <w:pPr>
        <w:tabs>
          <w:tab w:val="left" w:pos="540"/>
          <w:tab w:val="left" w:pos="569"/>
        </w:tabs>
        <w:rPr>
          <w:bCs/>
          <w:sz w:val="22"/>
          <w:szCs w:val="22"/>
          <w:lang w:val="sr-Latn-ME"/>
        </w:rPr>
      </w:pPr>
      <w:r>
        <w:rPr>
          <w:bCs/>
          <w:sz w:val="22"/>
          <w:szCs w:val="22"/>
          <w:lang w:val="sr-Latn-ME"/>
        </w:rPr>
        <w:t>2030/22/3516 - 4084</w:t>
      </w:r>
    </w:p>
    <w:p w14:paraId="5F90ACA4" w14:textId="1CF54025" w:rsidR="00FB6F73" w:rsidRDefault="00FB6F73" w:rsidP="00480FB1">
      <w:pPr>
        <w:tabs>
          <w:tab w:val="left" w:pos="540"/>
          <w:tab w:val="left" w:pos="569"/>
        </w:tabs>
        <w:rPr>
          <w:bCs/>
          <w:sz w:val="22"/>
          <w:szCs w:val="22"/>
          <w:lang w:val="sr-Latn-ME"/>
        </w:rPr>
      </w:pPr>
    </w:p>
    <w:p w14:paraId="07AA9DA4" w14:textId="77777777" w:rsidR="00FB6F73" w:rsidRPr="00FB6F73" w:rsidRDefault="00FB6F73" w:rsidP="00480FB1">
      <w:pPr>
        <w:tabs>
          <w:tab w:val="left" w:pos="540"/>
          <w:tab w:val="left" w:pos="569"/>
        </w:tabs>
        <w:rPr>
          <w:bCs/>
          <w:sz w:val="22"/>
          <w:szCs w:val="22"/>
          <w:lang w:val="sr-Latn-ME"/>
        </w:rPr>
      </w:pPr>
    </w:p>
    <w:p w14:paraId="0FFD8FFE" w14:textId="77777777" w:rsidR="0072020E" w:rsidRPr="00FB6F73" w:rsidRDefault="0072020E" w:rsidP="00480FB1">
      <w:pPr>
        <w:tabs>
          <w:tab w:val="left" w:pos="540"/>
          <w:tab w:val="left" w:pos="569"/>
        </w:tabs>
        <w:rPr>
          <w:b/>
          <w:bCs/>
          <w:sz w:val="22"/>
          <w:szCs w:val="22"/>
          <w:lang w:val="sr-Latn-ME"/>
        </w:rPr>
      </w:pPr>
      <w:r w:rsidRPr="00FB6F73">
        <w:rPr>
          <w:b/>
          <w:bCs/>
          <w:sz w:val="22"/>
          <w:szCs w:val="22"/>
          <w:lang w:val="sr-Latn-ME"/>
        </w:rPr>
        <w:t xml:space="preserve">9. </w:t>
      </w:r>
      <w:r w:rsidR="00480FB1" w:rsidRPr="00FB6F73">
        <w:rPr>
          <w:b/>
          <w:bCs/>
          <w:sz w:val="22"/>
          <w:szCs w:val="22"/>
          <w:lang w:val="sr-Latn-ME"/>
        </w:rPr>
        <w:tab/>
      </w:r>
      <w:r w:rsidRPr="00FB6F73">
        <w:rPr>
          <w:b/>
          <w:bCs/>
          <w:sz w:val="22"/>
          <w:szCs w:val="22"/>
          <w:lang w:val="sr-Latn-ME"/>
        </w:rPr>
        <w:t xml:space="preserve">DATUM </w:t>
      </w:r>
      <w:r w:rsidR="00C05DF8" w:rsidRPr="00FB6F73">
        <w:rPr>
          <w:b/>
          <w:bCs/>
          <w:sz w:val="22"/>
          <w:szCs w:val="22"/>
          <w:lang w:val="sr-Latn-ME"/>
        </w:rPr>
        <w:t xml:space="preserve">PRVE </w:t>
      </w:r>
      <w:r w:rsidR="008A6D43" w:rsidRPr="00FB6F73">
        <w:rPr>
          <w:b/>
          <w:bCs/>
          <w:sz w:val="22"/>
          <w:szCs w:val="22"/>
          <w:lang w:val="sr-Latn-ME"/>
        </w:rPr>
        <w:t>DOZVOLE</w:t>
      </w:r>
      <w:r w:rsidR="00C05DF8" w:rsidRPr="00FB6F73">
        <w:rPr>
          <w:b/>
          <w:bCs/>
          <w:sz w:val="22"/>
          <w:szCs w:val="22"/>
          <w:lang w:val="sr-Latn-ME"/>
        </w:rPr>
        <w:t>/OBNOVE DOZVOLE</w:t>
      </w:r>
      <w:r w:rsidR="008A6D43" w:rsidRPr="00FB6F73">
        <w:rPr>
          <w:b/>
          <w:bCs/>
          <w:sz w:val="22"/>
          <w:szCs w:val="22"/>
          <w:lang w:val="sr-Latn-ME"/>
        </w:rPr>
        <w:t xml:space="preserve"> ZA STAVLJANJE LIJEKA U PROMET</w:t>
      </w:r>
    </w:p>
    <w:p w14:paraId="0D89C9EF" w14:textId="4032D9C6" w:rsidR="0072020E" w:rsidRDefault="0072020E" w:rsidP="00480FB1">
      <w:pPr>
        <w:tabs>
          <w:tab w:val="left" w:pos="540"/>
          <w:tab w:val="left" w:pos="569"/>
        </w:tabs>
        <w:rPr>
          <w:bCs/>
          <w:sz w:val="22"/>
          <w:szCs w:val="22"/>
          <w:lang w:val="sr-Latn-ME"/>
        </w:rPr>
      </w:pPr>
    </w:p>
    <w:p w14:paraId="79D95A64" w14:textId="40CB8F78" w:rsidR="00FB6F73" w:rsidRDefault="00FB6F73" w:rsidP="00480FB1">
      <w:pPr>
        <w:tabs>
          <w:tab w:val="left" w:pos="540"/>
          <w:tab w:val="left" w:pos="569"/>
        </w:tabs>
        <w:rPr>
          <w:bCs/>
          <w:sz w:val="22"/>
          <w:szCs w:val="22"/>
          <w:lang w:val="sr-Latn-ME"/>
        </w:rPr>
      </w:pPr>
      <w:r>
        <w:rPr>
          <w:bCs/>
          <w:sz w:val="22"/>
          <w:szCs w:val="22"/>
          <w:lang w:val="sr-Latn-ME"/>
        </w:rPr>
        <w:t>30.11.2022. godine</w:t>
      </w:r>
    </w:p>
    <w:p w14:paraId="5C4BC908" w14:textId="77777777" w:rsidR="00FB6F73" w:rsidRPr="00FB6F73" w:rsidRDefault="00FB6F73" w:rsidP="00480FB1">
      <w:pPr>
        <w:tabs>
          <w:tab w:val="left" w:pos="540"/>
          <w:tab w:val="left" w:pos="569"/>
        </w:tabs>
        <w:rPr>
          <w:bCs/>
          <w:sz w:val="22"/>
          <w:szCs w:val="22"/>
          <w:lang w:val="sr-Latn-ME"/>
        </w:rPr>
      </w:pPr>
    </w:p>
    <w:p w14:paraId="7A149450" w14:textId="77777777" w:rsidR="00836B35" w:rsidRPr="00FB6F73" w:rsidRDefault="00836B35" w:rsidP="00480FB1">
      <w:pPr>
        <w:tabs>
          <w:tab w:val="left" w:pos="540"/>
          <w:tab w:val="left" w:pos="569"/>
        </w:tabs>
        <w:rPr>
          <w:bCs/>
          <w:sz w:val="22"/>
          <w:szCs w:val="22"/>
          <w:lang w:val="sr-Latn-ME"/>
        </w:rPr>
      </w:pPr>
    </w:p>
    <w:p w14:paraId="028AADA3" w14:textId="77777777" w:rsidR="003F6A59" w:rsidRPr="00FB6F73" w:rsidRDefault="0072020E" w:rsidP="00C05DF8">
      <w:pPr>
        <w:tabs>
          <w:tab w:val="left" w:pos="540"/>
          <w:tab w:val="left" w:pos="569"/>
        </w:tabs>
        <w:ind w:left="540" w:hanging="540"/>
        <w:rPr>
          <w:bCs/>
          <w:sz w:val="22"/>
          <w:szCs w:val="22"/>
          <w:lang w:val="sr-Latn-ME"/>
        </w:rPr>
      </w:pPr>
      <w:r w:rsidRPr="00FB6F73">
        <w:rPr>
          <w:b/>
          <w:bCs/>
          <w:sz w:val="22"/>
          <w:szCs w:val="22"/>
          <w:lang w:val="sr-Latn-ME"/>
        </w:rPr>
        <w:lastRenderedPageBreak/>
        <w:t xml:space="preserve">10. </w:t>
      </w:r>
      <w:r w:rsidR="00480FB1" w:rsidRPr="00FB6F73">
        <w:rPr>
          <w:b/>
          <w:bCs/>
          <w:sz w:val="22"/>
          <w:szCs w:val="22"/>
          <w:lang w:val="sr-Latn-ME"/>
        </w:rPr>
        <w:tab/>
      </w:r>
      <w:r w:rsidR="002846DB" w:rsidRPr="00FB6F73">
        <w:rPr>
          <w:b/>
          <w:bCs/>
          <w:sz w:val="22"/>
          <w:szCs w:val="22"/>
          <w:lang w:val="sr-Latn-ME"/>
        </w:rPr>
        <w:t>D</w:t>
      </w:r>
      <w:r w:rsidR="00EC2532" w:rsidRPr="00FB6F73">
        <w:rPr>
          <w:b/>
          <w:bCs/>
          <w:sz w:val="22"/>
          <w:szCs w:val="22"/>
          <w:lang w:val="sr-Latn-ME"/>
        </w:rPr>
        <w:t xml:space="preserve">ATUM REVIZIJE TEKSTA </w:t>
      </w:r>
    </w:p>
    <w:p w14:paraId="1D340156" w14:textId="77777777" w:rsidR="003F6A59" w:rsidRPr="00FB6F73" w:rsidRDefault="003F6A59" w:rsidP="00480FB1">
      <w:pPr>
        <w:tabs>
          <w:tab w:val="left" w:pos="540"/>
          <w:tab w:val="left" w:pos="569"/>
        </w:tabs>
        <w:rPr>
          <w:bCs/>
          <w:sz w:val="22"/>
          <w:szCs w:val="22"/>
          <w:lang w:val="sr-Latn-ME"/>
        </w:rPr>
      </w:pPr>
    </w:p>
    <w:p w14:paraId="6F23FFC8" w14:textId="63831ED6" w:rsidR="008A6D43" w:rsidRPr="00FB6F73" w:rsidRDefault="00FB6F73" w:rsidP="00480FB1">
      <w:pPr>
        <w:tabs>
          <w:tab w:val="left" w:pos="540"/>
          <w:tab w:val="left" w:pos="569"/>
        </w:tabs>
        <w:rPr>
          <w:bCs/>
          <w:sz w:val="22"/>
          <w:szCs w:val="22"/>
          <w:lang w:val="sr-Latn-ME"/>
        </w:rPr>
      </w:pPr>
      <w:r>
        <w:rPr>
          <w:bCs/>
          <w:sz w:val="22"/>
          <w:szCs w:val="22"/>
          <w:lang w:val="sr-Latn-ME"/>
        </w:rPr>
        <w:t>Novembar, 2022. godine</w:t>
      </w:r>
      <w:bookmarkStart w:id="2" w:name="_GoBack"/>
      <w:bookmarkEnd w:id="2"/>
    </w:p>
    <w:p w14:paraId="4A3C49C1" w14:textId="314C63CE" w:rsidR="003F6A59" w:rsidRPr="00FB6F73" w:rsidRDefault="003F6A59" w:rsidP="00DE3F5C">
      <w:pPr>
        <w:rPr>
          <w:sz w:val="22"/>
          <w:szCs w:val="22"/>
          <w:lang w:val="sr-Latn-ME"/>
        </w:rPr>
      </w:pPr>
    </w:p>
    <w:sectPr w:rsidR="003F6A59" w:rsidRPr="00FB6F73" w:rsidSect="006B5404">
      <w:footerReference w:type="default" r:id="rId13"/>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880F7" w14:textId="77777777" w:rsidR="004E562E" w:rsidRDefault="004E562E">
      <w:r>
        <w:separator/>
      </w:r>
    </w:p>
  </w:endnote>
  <w:endnote w:type="continuationSeparator" w:id="0">
    <w:p w14:paraId="26FB3868" w14:textId="77777777" w:rsidR="004E562E" w:rsidRDefault="004E5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E7F7C" w14:textId="4B852DE6" w:rsidR="00D63ADE" w:rsidRPr="00B23F69" w:rsidRDefault="00D63ADE"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FB6F73">
      <w:rPr>
        <w:noProof/>
        <w:sz w:val="22"/>
        <w:szCs w:val="22"/>
      </w:rPr>
      <w:t>22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FB6F73">
      <w:rPr>
        <w:noProof/>
        <w:sz w:val="22"/>
        <w:szCs w:val="22"/>
      </w:rPr>
      <w:t>22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F29B5" w14:textId="77777777" w:rsidR="004E562E" w:rsidRDefault="004E562E">
      <w:r>
        <w:separator/>
      </w:r>
    </w:p>
  </w:footnote>
  <w:footnote w:type="continuationSeparator" w:id="0">
    <w:p w14:paraId="1E0A148D" w14:textId="77777777" w:rsidR="004E562E" w:rsidRDefault="004E5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5.55pt;height:13.25pt;visibility:visible" o:bullet="t">
        <v:imagedata r:id="rId1" o:title="BT_1000x858px"/>
      </v:shape>
    </w:pict>
  </w:numPicBullet>
  <w:abstractNum w:abstractNumId="0" w15:restartNumberingAfterBreak="0">
    <w:nsid w:val="076D118F"/>
    <w:multiLevelType w:val="hybridMultilevel"/>
    <w:tmpl w:val="4B34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AA1776"/>
    <w:multiLevelType w:val="hybridMultilevel"/>
    <w:tmpl w:val="1CA08E7E"/>
    <w:lvl w:ilvl="0" w:tplc="7382B576">
      <w:start w:val="1"/>
      <w:numFmt w:val="decimal"/>
      <w:lvlText w:val="%1."/>
      <w:lvlJc w:val="left"/>
      <w:pPr>
        <w:ind w:left="900" w:hanging="54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3"/>
  </w:num>
  <w:num w:numId="2">
    <w:abstractNumId w:val="10"/>
  </w:num>
  <w:num w:numId="3">
    <w:abstractNumId w:val="1"/>
  </w:num>
  <w:num w:numId="4">
    <w:abstractNumId w:val="9"/>
  </w:num>
  <w:num w:numId="5">
    <w:abstractNumId w:val="5"/>
  </w:num>
  <w:num w:numId="6">
    <w:abstractNumId w:val="2"/>
  </w:num>
  <w:num w:numId="7">
    <w:abstractNumId w:val="8"/>
  </w:num>
  <w:num w:numId="8">
    <w:abstractNumId w:val="4"/>
  </w:num>
  <w:num w:numId="9">
    <w:abstractNumId w:val="7"/>
  </w:num>
  <w:num w:numId="10">
    <w:abstractNumId w:val="11"/>
  </w:num>
  <w:num w:numId="11">
    <w:abstractNumId w:val="6"/>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178BA"/>
    <w:rsid w:val="00036FA0"/>
    <w:rsid w:val="0003793F"/>
    <w:rsid w:val="00057E35"/>
    <w:rsid w:val="000656D0"/>
    <w:rsid w:val="00076726"/>
    <w:rsid w:val="00077DEF"/>
    <w:rsid w:val="00080303"/>
    <w:rsid w:val="000873F4"/>
    <w:rsid w:val="000A3F58"/>
    <w:rsid w:val="000A5A79"/>
    <w:rsid w:val="000A696B"/>
    <w:rsid w:val="000D2343"/>
    <w:rsid w:val="000D3449"/>
    <w:rsid w:val="000D425A"/>
    <w:rsid w:val="000D60CC"/>
    <w:rsid w:val="000E2084"/>
    <w:rsid w:val="000E6F55"/>
    <w:rsid w:val="000F53BE"/>
    <w:rsid w:val="000F77FA"/>
    <w:rsid w:val="00107BF7"/>
    <w:rsid w:val="00126F53"/>
    <w:rsid w:val="00136217"/>
    <w:rsid w:val="0014766D"/>
    <w:rsid w:val="001536CC"/>
    <w:rsid w:val="001675CA"/>
    <w:rsid w:val="0017287F"/>
    <w:rsid w:val="001A3FBA"/>
    <w:rsid w:val="001A5518"/>
    <w:rsid w:val="001B1C6A"/>
    <w:rsid w:val="001C1263"/>
    <w:rsid w:val="001C1417"/>
    <w:rsid w:val="001D7A21"/>
    <w:rsid w:val="001E149B"/>
    <w:rsid w:val="001E3208"/>
    <w:rsid w:val="001E390B"/>
    <w:rsid w:val="001F42FB"/>
    <w:rsid w:val="001F719A"/>
    <w:rsid w:val="002031B3"/>
    <w:rsid w:val="00215931"/>
    <w:rsid w:val="00224C91"/>
    <w:rsid w:val="00227BDB"/>
    <w:rsid w:val="00234CB1"/>
    <w:rsid w:val="002352F8"/>
    <w:rsid w:val="00244348"/>
    <w:rsid w:val="002510A5"/>
    <w:rsid w:val="00254A0A"/>
    <w:rsid w:val="00266046"/>
    <w:rsid w:val="002846DB"/>
    <w:rsid w:val="00284CCD"/>
    <w:rsid w:val="002C4085"/>
    <w:rsid w:val="002C6637"/>
    <w:rsid w:val="002E0135"/>
    <w:rsid w:val="002E37A5"/>
    <w:rsid w:val="00310F03"/>
    <w:rsid w:val="003247D2"/>
    <w:rsid w:val="003445C1"/>
    <w:rsid w:val="00353F63"/>
    <w:rsid w:val="00355B61"/>
    <w:rsid w:val="00362686"/>
    <w:rsid w:val="00371510"/>
    <w:rsid w:val="003731FD"/>
    <w:rsid w:val="00396DFD"/>
    <w:rsid w:val="003A2296"/>
    <w:rsid w:val="003A7059"/>
    <w:rsid w:val="003B7A36"/>
    <w:rsid w:val="003C17AB"/>
    <w:rsid w:val="003C7823"/>
    <w:rsid w:val="003E1DCC"/>
    <w:rsid w:val="003F11A1"/>
    <w:rsid w:val="003F6A59"/>
    <w:rsid w:val="004065C8"/>
    <w:rsid w:val="004109FA"/>
    <w:rsid w:val="00411B4B"/>
    <w:rsid w:val="00415BEE"/>
    <w:rsid w:val="00427F85"/>
    <w:rsid w:val="00436F42"/>
    <w:rsid w:val="004378B4"/>
    <w:rsid w:val="00451314"/>
    <w:rsid w:val="00452E9D"/>
    <w:rsid w:val="004534C7"/>
    <w:rsid w:val="00454812"/>
    <w:rsid w:val="00456F65"/>
    <w:rsid w:val="004671AA"/>
    <w:rsid w:val="00480FB1"/>
    <w:rsid w:val="00483928"/>
    <w:rsid w:val="004B1524"/>
    <w:rsid w:val="004C331F"/>
    <w:rsid w:val="004C492F"/>
    <w:rsid w:val="004D46AC"/>
    <w:rsid w:val="004D6103"/>
    <w:rsid w:val="004E3BCE"/>
    <w:rsid w:val="004E562E"/>
    <w:rsid w:val="004E70AD"/>
    <w:rsid w:val="004F0E97"/>
    <w:rsid w:val="00501DD1"/>
    <w:rsid w:val="00515C21"/>
    <w:rsid w:val="00530BD7"/>
    <w:rsid w:val="00545CD2"/>
    <w:rsid w:val="005476F3"/>
    <w:rsid w:val="005505B4"/>
    <w:rsid w:val="00572527"/>
    <w:rsid w:val="00573E40"/>
    <w:rsid w:val="00576348"/>
    <w:rsid w:val="00597876"/>
    <w:rsid w:val="005A0B2E"/>
    <w:rsid w:val="005A23D2"/>
    <w:rsid w:val="005A36CB"/>
    <w:rsid w:val="005A37D9"/>
    <w:rsid w:val="005B49B8"/>
    <w:rsid w:val="005C0741"/>
    <w:rsid w:val="005C1819"/>
    <w:rsid w:val="005C5EF4"/>
    <w:rsid w:val="005D0E6C"/>
    <w:rsid w:val="005D6DC0"/>
    <w:rsid w:val="005E2E0B"/>
    <w:rsid w:val="005E37C9"/>
    <w:rsid w:val="005E7A7D"/>
    <w:rsid w:val="00602457"/>
    <w:rsid w:val="00644FC3"/>
    <w:rsid w:val="00646BD1"/>
    <w:rsid w:val="0065350D"/>
    <w:rsid w:val="006561C2"/>
    <w:rsid w:val="00671CB3"/>
    <w:rsid w:val="00674BAF"/>
    <w:rsid w:val="00682200"/>
    <w:rsid w:val="00692BF6"/>
    <w:rsid w:val="006A1497"/>
    <w:rsid w:val="006A1A4E"/>
    <w:rsid w:val="006B0BD1"/>
    <w:rsid w:val="006B5404"/>
    <w:rsid w:val="006D20A5"/>
    <w:rsid w:val="006D37BF"/>
    <w:rsid w:val="007007B3"/>
    <w:rsid w:val="00702670"/>
    <w:rsid w:val="00702E22"/>
    <w:rsid w:val="00716C1D"/>
    <w:rsid w:val="0072020E"/>
    <w:rsid w:val="0073143B"/>
    <w:rsid w:val="00735264"/>
    <w:rsid w:val="00775C40"/>
    <w:rsid w:val="00776FF4"/>
    <w:rsid w:val="00786071"/>
    <w:rsid w:val="007A3ECB"/>
    <w:rsid w:val="007A659B"/>
    <w:rsid w:val="007D7BB3"/>
    <w:rsid w:val="007F40D0"/>
    <w:rsid w:val="00800E5D"/>
    <w:rsid w:val="00813D04"/>
    <w:rsid w:val="00824AB9"/>
    <w:rsid w:val="00824CF8"/>
    <w:rsid w:val="00833DAB"/>
    <w:rsid w:val="00835CFF"/>
    <w:rsid w:val="00836B35"/>
    <w:rsid w:val="00843BDE"/>
    <w:rsid w:val="00874FEF"/>
    <w:rsid w:val="0087588C"/>
    <w:rsid w:val="008808AA"/>
    <w:rsid w:val="0089705C"/>
    <w:rsid w:val="008A6D43"/>
    <w:rsid w:val="008B491E"/>
    <w:rsid w:val="008C1A28"/>
    <w:rsid w:val="008C2E98"/>
    <w:rsid w:val="008C4D88"/>
    <w:rsid w:val="008E245E"/>
    <w:rsid w:val="008E49BD"/>
    <w:rsid w:val="008E53E9"/>
    <w:rsid w:val="008E5771"/>
    <w:rsid w:val="008F4ACF"/>
    <w:rsid w:val="009158A5"/>
    <w:rsid w:val="00917054"/>
    <w:rsid w:val="00917350"/>
    <w:rsid w:val="00923C48"/>
    <w:rsid w:val="00924166"/>
    <w:rsid w:val="00940B9B"/>
    <w:rsid w:val="0095676E"/>
    <w:rsid w:val="00956983"/>
    <w:rsid w:val="00963CF0"/>
    <w:rsid w:val="00964BB1"/>
    <w:rsid w:val="009775D9"/>
    <w:rsid w:val="00981FFD"/>
    <w:rsid w:val="00983D2D"/>
    <w:rsid w:val="00986DDB"/>
    <w:rsid w:val="00997175"/>
    <w:rsid w:val="00997C08"/>
    <w:rsid w:val="009A1847"/>
    <w:rsid w:val="009B062A"/>
    <w:rsid w:val="009E7C6F"/>
    <w:rsid w:val="009F1793"/>
    <w:rsid w:val="009F2D23"/>
    <w:rsid w:val="00A01D69"/>
    <w:rsid w:val="00A02335"/>
    <w:rsid w:val="00A31E3C"/>
    <w:rsid w:val="00A46C9A"/>
    <w:rsid w:val="00A619F3"/>
    <w:rsid w:val="00A62A73"/>
    <w:rsid w:val="00A87FF6"/>
    <w:rsid w:val="00AA0A3B"/>
    <w:rsid w:val="00AA2763"/>
    <w:rsid w:val="00AA33B6"/>
    <w:rsid w:val="00AB50CA"/>
    <w:rsid w:val="00AB6D64"/>
    <w:rsid w:val="00AC53CE"/>
    <w:rsid w:val="00AD2193"/>
    <w:rsid w:val="00AE24D2"/>
    <w:rsid w:val="00AE3EAD"/>
    <w:rsid w:val="00AE45DF"/>
    <w:rsid w:val="00AF2AC7"/>
    <w:rsid w:val="00AF74CE"/>
    <w:rsid w:val="00B13E55"/>
    <w:rsid w:val="00B208DB"/>
    <w:rsid w:val="00B23F69"/>
    <w:rsid w:val="00B42686"/>
    <w:rsid w:val="00B56E97"/>
    <w:rsid w:val="00B60619"/>
    <w:rsid w:val="00B66A70"/>
    <w:rsid w:val="00B67366"/>
    <w:rsid w:val="00B80EE1"/>
    <w:rsid w:val="00B84135"/>
    <w:rsid w:val="00BC1194"/>
    <w:rsid w:val="00BF7797"/>
    <w:rsid w:val="00C04D34"/>
    <w:rsid w:val="00C05DF8"/>
    <w:rsid w:val="00C06864"/>
    <w:rsid w:val="00C10B4E"/>
    <w:rsid w:val="00C10F54"/>
    <w:rsid w:val="00C13202"/>
    <w:rsid w:val="00C23D8D"/>
    <w:rsid w:val="00C352A1"/>
    <w:rsid w:val="00C37AA3"/>
    <w:rsid w:val="00C37FD7"/>
    <w:rsid w:val="00C43419"/>
    <w:rsid w:val="00C43BDC"/>
    <w:rsid w:val="00C44CF3"/>
    <w:rsid w:val="00C61BE0"/>
    <w:rsid w:val="00C6707E"/>
    <w:rsid w:val="00C70B0E"/>
    <w:rsid w:val="00C773CA"/>
    <w:rsid w:val="00C83785"/>
    <w:rsid w:val="00C84690"/>
    <w:rsid w:val="00C94C0D"/>
    <w:rsid w:val="00CA1FEB"/>
    <w:rsid w:val="00CD4F85"/>
    <w:rsid w:val="00CD6F02"/>
    <w:rsid w:val="00CE246D"/>
    <w:rsid w:val="00CE38EE"/>
    <w:rsid w:val="00CF07A0"/>
    <w:rsid w:val="00CF255D"/>
    <w:rsid w:val="00CF3E03"/>
    <w:rsid w:val="00D0082A"/>
    <w:rsid w:val="00D21455"/>
    <w:rsid w:val="00D47634"/>
    <w:rsid w:val="00D55694"/>
    <w:rsid w:val="00D55DA6"/>
    <w:rsid w:val="00D63ADE"/>
    <w:rsid w:val="00D709B3"/>
    <w:rsid w:val="00DA2ED6"/>
    <w:rsid w:val="00DB76B8"/>
    <w:rsid w:val="00DC2EA1"/>
    <w:rsid w:val="00DD6AAF"/>
    <w:rsid w:val="00DE3F5C"/>
    <w:rsid w:val="00DF1D20"/>
    <w:rsid w:val="00E21324"/>
    <w:rsid w:val="00E23362"/>
    <w:rsid w:val="00E246B9"/>
    <w:rsid w:val="00E31B11"/>
    <w:rsid w:val="00E31FEA"/>
    <w:rsid w:val="00E45169"/>
    <w:rsid w:val="00E47787"/>
    <w:rsid w:val="00E51C30"/>
    <w:rsid w:val="00E64180"/>
    <w:rsid w:val="00E74AEE"/>
    <w:rsid w:val="00E868E5"/>
    <w:rsid w:val="00E9237A"/>
    <w:rsid w:val="00E939FA"/>
    <w:rsid w:val="00E9790A"/>
    <w:rsid w:val="00EA5765"/>
    <w:rsid w:val="00EC2532"/>
    <w:rsid w:val="00ED4DF5"/>
    <w:rsid w:val="00ED7812"/>
    <w:rsid w:val="00EE0982"/>
    <w:rsid w:val="00EE112C"/>
    <w:rsid w:val="00EF3B86"/>
    <w:rsid w:val="00F10335"/>
    <w:rsid w:val="00F12375"/>
    <w:rsid w:val="00F317E9"/>
    <w:rsid w:val="00F324B9"/>
    <w:rsid w:val="00F34554"/>
    <w:rsid w:val="00F42273"/>
    <w:rsid w:val="00F45F77"/>
    <w:rsid w:val="00F50C95"/>
    <w:rsid w:val="00F5167F"/>
    <w:rsid w:val="00F52258"/>
    <w:rsid w:val="00F54081"/>
    <w:rsid w:val="00F8289A"/>
    <w:rsid w:val="00F8570A"/>
    <w:rsid w:val="00F91C7B"/>
    <w:rsid w:val="00FA0AF7"/>
    <w:rsid w:val="00FB6F73"/>
    <w:rsid w:val="00FD2E5F"/>
    <w:rsid w:val="00FD4480"/>
    <w:rsid w:val="00FD613D"/>
    <w:rsid w:val="00FE46CA"/>
    <w:rsid w:val="00FE7A7A"/>
    <w:rsid w:val="00FF5F82"/>
  </w:rsids>
  <m:mathPr>
    <m:mathFont m:val="Cambria Math"/>
    <m:brkBin m:val="before"/>
    <m:brkBinSub m:val="--"/>
    <m:smallFrac m:val="0"/>
    <m:dispDef/>
    <m:lMargin m:val="0"/>
    <m:rMargin m:val="0"/>
    <m:defJc m:val="centerGroup"/>
    <m:wrapIndent m:val="1440"/>
    <m:intLim m:val="subSup"/>
    <m:naryLim m:val="undOvr"/>
  </m:mathPr>
  <w:themeFontLang w:val="sr-Latn-M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07B99"/>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5505B4"/>
    <w:pPr>
      <w:ind w:left="720"/>
      <w:contextualSpacing/>
    </w:pPr>
  </w:style>
  <w:style w:type="paragraph" w:customStyle="1" w:styleId="TableParagraph">
    <w:name w:val="Table Paragraph"/>
    <w:basedOn w:val="Normal"/>
    <w:uiPriority w:val="1"/>
    <w:qFormat/>
    <w:rsid w:val="00C13202"/>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6004">
      <w:bodyDiv w:val="1"/>
      <w:marLeft w:val="0"/>
      <w:marRight w:val="0"/>
      <w:marTop w:val="0"/>
      <w:marBottom w:val="0"/>
      <w:divBdr>
        <w:top w:val="none" w:sz="0" w:space="0" w:color="auto"/>
        <w:left w:val="none" w:sz="0" w:space="0" w:color="auto"/>
        <w:bottom w:val="none" w:sz="0" w:space="0" w:color="auto"/>
        <w:right w:val="none" w:sz="0" w:space="0" w:color="auto"/>
      </w:divBdr>
    </w:div>
    <w:div w:id="97408437">
      <w:bodyDiv w:val="1"/>
      <w:marLeft w:val="0"/>
      <w:marRight w:val="0"/>
      <w:marTop w:val="0"/>
      <w:marBottom w:val="0"/>
      <w:divBdr>
        <w:top w:val="none" w:sz="0" w:space="0" w:color="auto"/>
        <w:left w:val="none" w:sz="0" w:space="0" w:color="auto"/>
        <w:bottom w:val="none" w:sz="0" w:space="0" w:color="auto"/>
        <w:right w:val="none" w:sz="0" w:space="0" w:color="auto"/>
      </w:divBdr>
    </w:div>
    <w:div w:id="120076030">
      <w:bodyDiv w:val="1"/>
      <w:marLeft w:val="0"/>
      <w:marRight w:val="0"/>
      <w:marTop w:val="0"/>
      <w:marBottom w:val="0"/>
      <w:divBdr>
        <w:top w:val="none" w:sz="0" w:space="0" w:color="auto"/>
        <w:left w:val="none" w:sz="0" w:space="0" w:color="auto"/>
        <w:bottom w:val="none" w:sz="0" w:space="0" w:color="auto"/>
        <w:right w:val="none" w:sz="0" w:space="0" w:color="auto"/>
      </w:divBdr>
    </w:div>
    <w:div w:id="205216206">
      <w:bodyDiv w:val="1"/>
      <w:marLeft w:val="0"/>
      <w:marRight w:val="0"/>
      <w:marTop w:val="0"/>
      <w:marBottom w:val="0"/>
      <w:divBdr>
        <w:top w:val="none" w:sz="0" w:space="0" w:color="auto"/>
        <w:left w:val="none" w:sz="0" w:space="0" w:color="auto"/>
        <w:bottom w:val="none" w:sz="0" w:space="0" w:color="auto"/>
        <w:right w:val="none" w:sz="0" w:space="0" w:color="auto"/>
      </w:divBdr>
    </w:div>
    <w:div w:id="247545628">
      <w:bodyDiv w:val="1"/>
      <w:marLeft w:val="0"/>
      <w:marRight w:val="0"/>
      <w:marTop w:val="0"/>
      <w:marBottom w:val="0"/>
      <w:divBdr>
        <w:top w:val="none" w:sz="0" w:space="0" w:color="auto"/>
        <w:left w:val="none" w:sz="0" w:space="0" w:color="auto"/>
        <w:bottom w:val="none" w:sz="0" w:space="0" w:color="auto"/>
        <w:right w:val="none" w:sz="0" w:space="0" w:color="auto"/>
      </w:divBdr>
    </w:div>
    <w:div w:id="256132820">
      <w:bodyDiv w:val="1"/>
      <w:marLeft w:val="0"/>
      <w:marRight w:val="0"/>
      <w:marTop w:val="0"/>
      <w:marBottom w:val="0"/>
      <w:divBdr>
        <w:top w:val="none" w:sz="0" w:space="0" w:color="auto"/>
        <w:left w:val="none" w:sz="0" w:space="0" w:color="auto"/>
        <w:bottom w:val="none" w:sz="0" w:space="0" w:color="auto"/>
        <w:right w:val="none" w:sz="0" w:space="0" w:color="auto"/>
      </w:divBdr>
    </w:div>
    <w:div w:id="424309307">
      <w:bodyDiv w:val="1"/>
      <w:marLeft w:val="0"/>
      <w:marRight w:val="0"/>
      <w:marTop w:val="0"/>
      <w:marBottom w:val="0"/>
      <w:divBdr>
        <w:top w:val="none" w:sz="0" w:space="0" w:color="auto"/>
        <w:left w:val="none" w:sz="0" w:space="0" w:color="auto"/>
        <w:bottom w:val="none" w:sz="0" w:space="0" w:color="auto"/>
        <w:right w:val="none" w:sz="0" w:space="0" w:color="auto"/>
      </w:divBdr>
    </w:div>
    <w:div w:id="450324698">
      <w:bodyDiv w:val="1"/>
      <w:marLeft w:val="0"/>
      <w:marRight w:val="0"/>
      <w:marTop w:val="0"/>
      <w:marBottom w:val="0"/>
      <w:divBdr>
        <w:top w:val="none" w:sz="0" w:space="0" w:color="auto"/>
        <w:left w:val="none" w:sz="0" w:space="0" w:color="auto"/>
        <w:bottom w:val="none" w:sz="0" w:space="0" w:color="auto"/>
        <w:right w:val="none" w:sz="0" w:space="0" w:color="auto"/>
      </w:divBdr>
    </w:div>
    <w:div w:id="522405119">
      <w:bodyDiv w:val="1"/>
      <w:marLeft w:val="0"/>
      <w:marRight w:val="0"/>
      <w:marTop w:val="0"/>
      <w:marBottom w:val="0"/>
      <w:divBdr>
        <w:top w:val="none" w:sz="0" w:space="0" w:color="auto"/>
        <w:left w:val="none" w:sz="0" w:space="0" w:color="auto"/>
        <w:bottom w:val="none" w:sz="0" w:space="0" w:color="auto"/>
        <w:right w:val="none" w:sz="0" w:space="0" w:color="auto"/>
      </w:divBdr>
    </w:div>
    <w:div w:id="522550932">
      <w:bodyDiv w:val="1"/>
      <w:marLeft w:val="0"/>
      <w:marRight w:val="0"/>
      <w:marTop w:val="0"/>
      <w:marBottom w:val="0"/>
      <w:divBdr>
        <w:top w:val="none" w:sz="0" w:space="0" w:color="auto"/>
        <w:left w:val="none" w:sz="0" w:space="0" w:color="auto"/>
        <w:bottom w:val="none" w:sz="0" w:space="0" w:color="auto"/>
        <w:right w:val="none" w:sz="0" w:space="0" w:color="auto"/>
      </w:divBdr>
    </w:div>
    <w:div w:id="529149017">
      <w:bodyDiv w:val="1"/>
      <w:marLeft w:val="0"/>
      <w:marRight w:val="0"/>
      <w:marTop w:val="0"/>
      <w:marBottom w:val="0"/>
      <w:divBdr>
        <w:top w:val="none" w:sz="0" w:space="0" w:color="auto"/>
        <w:left w:val="none" w:sz="0" w:space="0" w:color="auto"/>
        <w:bottom w:val="none" w:sz="0" w:space="0" w:color="auto"/>
        <w:right w:val="none" w:sz="0" w:space="0" w:color="auto"/>
      </w:divBdr>
    </w:div>
    <w:div w:id="650712282">
      <w:bodyDiv w:val="1"/>
      <w:marLeft w:val="0"/>
      <w:marRight w:val="0"/>
      <w:marTop w:val="0"/>
      <w:marBottom w:val="0"/>
      <w:divBdr>
        <w:top w:val="none" w:sz="0" w:space="0" w:color="auto"/>
        <w:left w:val="none" w:sz="0" w:space="0" w:color="auto"/>
        <w:bottom w:val="none" w:sz="0" w:space="0" w:color="auto"/>
        <w:right w:val="none" w:sz="0" w:space="0" w:color="auto"/>
      </w:divBdr>
    </w:div>
    <w:div w:id="663895352">
      <w:bodyDiv w:val="1"/>
      <w:marLeft w:val="0"/>
      <w:marRight w:val="0"/>
      <w:marTop w:val="0"/>
      <w:marBottom w:val="0"/>
      <w:divBdr>
        <w:top w:val="none" w:sz="0" w:space="0" w:color="auto"/>
        <w:left w:val="none" w:sz="0" w:space="0" w:color="auto"/>
        <w:bottom w:val="none" w:sz="0" w:space="0" w:color="auto"/>
        <w:right w:val="none" w:sz="0" w:space="0" w:color="auto"/>
      </w:divBdr>
    </w:div>
    <w:div w:id="716274087">
      <w:bodyDiv w:val="1"/>
      <w:marLeft w:val="0"/>
      <w:marRight w:val="0"/>
      <w:marTop w:val="0"/>
      <w:marBottom w:val="0"/>
      <w:divBdr>
        <w:top w:val="none" w:sz="0" w:space="0" w:color="auto"/>
        <w:left w:val="none" w:sz="0" w:space="0" w:color="auto"/>
        <w:bottom w:val="none" w:sz="0" w:space="0" w:color="auto"/>
        <w:right w:val="none" w:sz="0" w:space="0" w:color="auto"/>
      </w:divBdr>
    </w:div>
    <w:div w:id="772474522">
      <w:bodyDiv w:val="1"/>
      <w:marLeft w:val="0"/>
      <w:marRight w:val="0"/>
      <w:marTop w:val="0"/>
      <w:marBottom w:val="0"/>
      <w:divBdr>
        <w:top w:val="none" w:sz="0" w:space="0" w:color="auto"/>
        <w:left w:val="none" w:sz="0" w:space="0" w:color="auto"/>
        <w:bottom w:val="none" w:sz="0" w:space="0" w:color="auto"/>
        <w:right w:val="none" w:sz="0" w:space="0" w:color="auto"/>
      </w:divBdr>
    </w:div>
    <w:div w:id="788814700">
      <w:bodyDiv w:val="1"/>
      <w:marLeft w:val="0"/>
      <w:marRight w:val="0"/>
      <w:marTop w:val="0"/>
      <w:marBottom w:val="0"/>
      <w:divBdr>
        <w:top w:val="none" w:sz="0" w:space="0" w:color="auto"/>
        <w:left w:val="none" w:sz="0" w:space="0" w:color="auto"/>
        <w:bottom w:val="none" w:sz="0" w:space="0" w:color="auto"/>
        <w:right w:val="none" w:sz="0" w:space="0" w:color="auto"/>
      </w:divBdr>
    </w:div>
    <w:div w:id="906304504">
      <w:bodyDiv w:val="1"/>
      <w:marLeft w:val="0"/>
      <w:marRight w:val="0"/>
      <w:marTop w:val="0"/>
      <w:marBottom w:val="0"/>
      <w:divBdr>
        <w:top w:val="none" w:sz="0" w:space="0" w:color="auto"/>
        <w:left w:val="none" w:sz="0" w:space="0" w:color="auto"/>
        <w:bottom w:val="none" w:sz="0" w:space="0" w:color="auto"/>
        <w:right w:val="none" w:sz="0" w:space="0" w:color="auto"/>
      </w:divBdr>
    </w:div>
    <w:div w:id="1002197279">
      <w:bodyDiv w:val="1"/>
      <w:marLeft w:val="0"/>
      <w:marRight w:val="0"/>
      <w:marTop w:val="0"/>
      <w:marBottom w:val="0"/>
      <w:divBdr>
        <w:top w:val="none" w:sz="0" w:space="0" w:color="auto"/>
        <w:left w:val="none" w:sz="0" w:space="0" w:color="auto"/>
        <w:bottom w:val="none" w:sz="0" w:space="0" w:color="auto"/>
        <w:right w:val="none" w:sz="0" w:space="0" w:color="auto"/>
      </w:divBdr>
    </w:div>
    <w:div w:id="1088578005">
      <w:bodyDiv w:val="1"/>
      <w:marLeft w:val="0"/>
      <w:marRight w:val="0"/>
      <w:marTop w:val="0"/>
      <w:marBottom w:val="0"/>
      <w:divBdr>
        <w:top w:val="none" w:sz="0" w:space="0" w:color="auto"/>
        <w:left w:val="none" w:sz="0" w:space="0" w:color="auto"/>
        <w:bottom w:val="none" w:sz="0" w:space="0" w:color="auto"/>
        <w:right w:val="none" w:sz="0" w:space="0" w:color="auto"/>
      </w:divBdr>
    </w:div>
    <w:div w:id="1129545048">
      <w:bodyDiv w:val="1"/>
      <w:marLeft w:val="0"/>
      <w:marRight w:val="0"/>
      <w:marTop w:val="0"/>
      <w:marBottom w:val="0"/>
      <w:divBdr>
        <w:top w:val="none" w:sz="0" w:space="0" w:color="auto"/>
        <w:left w:val="none" w:sz="0" w:space="0" w:color="auto"/>
        <w:bottom w:val="none" w:sz="0" w:space="0" w:color="auto"/>
        <w:right w:val="none" w:sz="0" w:space="0" w:color="auto"/>
      </w:divBdr>
    </w:div>
    <w:div w:id="1131557609">
      <w:bodyDiv w:val="1"/>
      <w:marLeft w:val="0"/>
      <w:marRight w:val="0"/>
      <w:marTop w:val="0"/>
      <w:marBottom w:val="0"/>
      <w:divBdr>
        <w:top w:val="none" w:sz="0" w:space="0" w:color="auto"/>
        <w:left w:val="none" w:sz="0" w:space="0" w:color="auto"/>
        <w:bottom w:val="none" w:sz="0" w:space="0" w:color="auto"/>
        <w:right w:val="none" w:sz="0" w:space="0" w:color="auto"/>
      </w:divBdr>
    </w:div>
    <w:div w:id="1157650467">
      <w:bodyDiv w:val="1"/>
      <w:marLeft w:val="0"/>
      <w:marRight w:val="0"/>
      <w:marTop w:val="0"/>
      <w:marBottom w:val="0"/>
      <w:divBdr>
        <w:top w:val="none" w:sz="0" w:space="0" w:color="auto"/>
        <w:left w:val="none" w:sz="0" w:space="0" w:color="auto"/>
        <w:bottom w:val="none" w:sz="0" w:space="0" w:color="auto"/>
        <w:right w:val="none" w:sz="0" w:space="0" w:color="auto"/>
      </w:divBdr>
    </w:div>
    <w:div w:id="1166630553">
      <w:bodyDiv w:val="1"/>
      <w:marLeft w:val="0"/>
      <w:marRight w:val="0"/>
      <w:marTop w:val="0"/>
      <w:marBottom w:val="0"/>
      <w:divBdr>
        <w:top w:val="none" w:sz="0" w:space="0" w:color="auto"/>
        <w:left w:val="none" w:sz="0" w:space="0" w:color="auto"/>
        <w:bottom w:val="none" w:sz="0" w:space="0" w:color="auto"/>
        <w:right w:val="none" w:sz="0" w:space="0" w:color="auto"/>
      </w:divBdr>
    </w:div>
    <w:div w:id="1183205290">
      <w:bodyDiv w:val="1"/>
      <w:marLeft w:val="0"/>
      <w:marRight w:val="0"/>
      <w:marTop w:val="0"/>
      <w:marBottom w:val="0"/>
      <w:divBdr>
        <w:top w:val="none" w:sz="0" w:space="0" w:color="auto"/>
        <w:left w:val="none" w:sz="0" w:space="0" w:color="auto"/>
        <w:bottom w:val="none" w:sz="0" w:space="0" w:color="auto"/>
        <w:right w:val="none" w:sz="0" w:space="0" w:color="auto"/>
      </w:divBdr>
    </w:div>
    <w:div w:id="1274366349">
      <w:bodyDiv w:val="1"/>
      <w:marLeft w:val="0"/>
      <w:marRight w:val="0"/>
      <w:marTop w:val="0"/>
      <w:marBottom w:val="0"/>
      <w:divBdr>
        <w:top w:val="none" w:sz="0" w:space="0" w:color="auto"/>
        <w:left w:val="none" w:sz="0" w:space="0" w:color="auto"/>
        <w:bottom w:val="none" w:sz="0" w:space="0" w:color="auto"/>
        <w:right w:val="none" w:sz="0" w:space="0" w:color="auto"/>
      </w:divBdr>
    </w:div>
    <w:div w:id="1458448697">
      <w:bodyDiv w:val="1"/>
      <w:marLeft w:val="0"/>
      <w:marRight w:val="0"/>
      <w:marTop w:val="0"/>
      <w:marBottom w:val="0"/>
      <w:divBdr>
        <w:top w:val="none" w:sz="0" w:space="0" w:color="auto"/>
        <w:left w:val="none" w:sz="0" w:space="0" w:color="auto"/>
        <w:bottom w:val="none" w:sz="0" w:space="0" w:color="auto"/>
        <w:right w:val="none" w:sz="0" w:space="0" w:color="auto"/>
      </w:divBdr>
    </w:div>
    <w:div w:id="1561668195">
      <w:bodyDiv w:val="1"/>
      <w:marLeft w:val="0"/>
      <w:marRight w:val="0"/>
      <w:marTop w:val="0"/>
      <w:marBottom w:val="0"/>
      <w:divBdr>
        <w:top w:val="none" w:sz="0" w:space="0" w:color="auto"/>
        <w:left w:val="none" w:sz="0" w:space="0" w:color="auto"/>
        <w:bottom w:val="none" w:sz="0" w:space="0" w:color="auto"/>
        <w:right w:val="none" w:sz="0" w:space="0" w:color="auto"/>
      </w:divBdr>
    </w:div>
    <w:div w:id="1562711693">
      <w:bodyDiv w:val="1"/>
      <w:marLeft w:val="0"/>
      <w:marRight w:val="0"/>
      <w:marTop w:val="0"/>
      <w:marBottom w:val="0"/>
      <w:divBdr>
        <w:top w:val="none" w:sz="0" w:space="0" w:color="auto"/>
        <w:left w:val="none" w:sz="0" w:space="0" w:color="auto"/>
        <w:bottom w:val="none" w:sz="0" w:space="0" w:color="auto"/>
        <w:right w:val="none" w:sz="0" w:space="0" w:color="auto"/>
      </w:divBdr>
    </w:div>
    <w:div w:id="1718507788">
      <w:bodyDiv w:val="1"/>
      <w:marLeft w:val="0"/>
      <w:marRight w:val="0"/>
      <w:marTop w:val="0"/>
      <w:marBottom w:val="0"/>
      <w:divBdr>
        <w:top w:val="none" w:sz="0" w:space="0" w:color="auto"/>
        <w:left w:val="none" w:sz="0" w:space="0" w:color="auto"/>
        <w:bottom w:val="none" w:sz="0" w:space="0" w:color="auto"/>
        <w:right w:val="none" w:sz="0" w:space="0" w:color="auto"/>
      </w:divBdr>
    </w:div>
    <w:div w:id="1758868951">
      <w:bodyDiv w:val="1"/>
      <w:marLeft w:val="0"/>
      <w:marRight w:val="0"/>
      <w:marTop w:val="0"/>
      <w:marBottom w:val="0"/>
      <w:divBdr>
        <w:top w:val="none" w:sz="0" w:space="0" w:color="auto"/>
        <w:left w:val="none" w:sz="0" w:space="0" w:color="auto"/>
        <w:bottom w:val="none" w:sz="0" w:space="0" w:color="auto"/>
        <w:right w:val="none" w:sz="0" w:space="0" w:color="auto"/>
      </w:divBdr>
    </w:div>
    <w:div w:id="1966541933">
      <w:bodyDiv w:val="1"/>
      <w:marLeft w:val="0"/>
      <w:marRight w:val="0"/>
      <w:marTop w:val="0"/>
      <w:marBottom w:val="0"/>
      <w:divBdr>
        <w:top w:val="none" w:sz="0" w:space="0" w:color="auto"/>
        <w:left w:val="none" w:sz="0" w:space="0" w:color="auto"/>
        <w:bottom w:val="none" w:sz="0" w:space="0" w:color="auto"/>
        <w:right w:val="none" w:sz="0" w:space="0" w:color="auto"/>
      </w:divBdr>
    </w:div>
    <w:div w:id="199225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E30C2-9C07-4D2D-A1E4-D01436043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22</Pages>
  <Words>9551</Words>
  <Characters>54447</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63871</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Gordana Boljević</cp:lastModifiedBy>
  <cp:revision>3</cp:revision>
  <dcterms:created xsi:type="dcterms:W3CDTF">2022-11-29T20:23:00Z</dcterms:created>
  <dcterms:modified xsi:type="dcterms:W3CDTF">2022-11-30T06:34:00Z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