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314DA" w14:textId="77777777" w:rsidR="002510A5" w:rsidRPr="000D67A2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0D67A2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C7314DB" w14:textId="77777777" w:rsidR="002510A5" w:rsidRPr="000D67A2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ED0D8B1" w14:textId="77777777" w:rsidR="000D67A2" w:rsidRPr="000D67A2" w:rsidRDefault="000D67A2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C7314E0" w14:textId="77777777" w:rsidR="00411B4B" w:rsidRPr="000D67A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>1.</w:t>
      </w:r>
      <w:r w:rsidR="00F5167F" w:rsidRPr="000D67A2">
        <w:rPr>
          <w:b/>
          <w:bCs/>
          <w:sz w:val="22"/>
          <w:szCs w:val="22"/>
          <w:lang w:val="sr-Latn-ME"/>
        </w:rPr>
        <w:tab/>
      </w:r>
      <w:r w:rsidR="002846DB" w:rsidRPr="000D67A2">
        <w:rPr>
          <w:b/>
          <w:bCs/>
          <w:sz w:val="22"/>
          <w:szCs w:val="22"/>
          <w:lang w:val="sr-Latn-ME"/>
        </w:rPr>
        <w:t xml:space="preserve">NAZIV </w:t>
      </w:r>
      <w:r w:rsidRPr="000D67A2">
        <w:rPr>
          <w:b/>
          <w:bCs/>
          <w:sz w:val="22"/>
          <w:szCs w:val="22"/>
          <w:lang w:val="sr-Latn-ME"/>
        </w:rPr>
        <w:t>LIJEKA</w:t>
      </w:r>
    </w:p>
    <w:p w14:paraId="6C7314E1" w14:textId="77777777" w:rsidR="00EC2532" w:rsidRPr="000D67A2" w:rsidRDefault="00EC2532">
      <w:pPr>
        <w:rPr>
          <w:sz w:val="22"/>
          <w:szCs w:val="22"/>
          <w:lang w:val="sr-Latn-ME"/>
        </w:rPr>
      </w:pPr>
    </w:p>
    <w:p w14:paraId="5BDACB3E" w14:textId="43AB9956" w:rsidR="00111A7A" w:rsidRPr="000D67A2" w:rsidRDefault="00111A7A" w:rsidP="00111A7A">
      <w:pPr>
        <w:rPr>
          <w:i/>
          <w:iCs/>
          <w:color w:val="808080"/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Tamsol</w:t>
      </w:r>
      <w:proofErr w:type="spellEnd"/>
      <w:r w:rsidRPr="000D67A2">
        <w:rPr>
          <w:sz w:val="22"/>
          <w:szCs w:val="22"/>
          <w:lang w:val="sr-Latn-ME"/>
        </w:rPr>
        <w:t>, 0,4 mg</w:t>
      </w:r>
      <w:r w:rsidRPr="000D67A2">
        <w:rPr>
          <w:bCs/>
          <w:sz w:val="22"/>
          <w:szCs w:val="22"/>
          <w:lang w:val="sr-Latn-ME"/>
        </w:rPr>
        <w:t>,</w:t>
      </w:r>
      <w:r w:rsidRPr="000D67A2">
        <w:rPr>
          <w:b/>
          <w:bCs/>
          <w:sz w:val="22"/>
          <w:szCs w:val="22"/>
          <w:lang w:val="sr-Latn-ME"/>
        </w:rPr>
        <w:t xml:space="preserve"> </w:t>
      </w:r>
      <w:r w:rsidRPr="000D67A2">
        <w:rPr>
          <w:bCs/>
          <w:sz w:val="22"/>
          <w:szCs w:val="22"/>
          <w:lang w:val="sr-Latn-ME"/>
        </w:rPr>
        <w:t xml:space="preserve">kapsula sa produženim oslobađanjem, tvrda </w:t>
      </w:r>
    </w:p>
    <w:p w14:paraId="73B4012F" w14:textId="77777777" w:rsidR="00111A7A" w:rsidRPr="000D67A2" w:rsidRDefault="00111A7A" w:rsidP="00111A7A">
      <w:pPr>
        <w:rPr>
          <w:bCs/>
          <w:sz w:val="22"/>
          <w:szCs w:val="22"/>
          <w:lang w:val="sr-Latn-ME"/>
        </w:rPr>
      </w:pPr>
    </w:p>
    <w:p w14:paraId="5B9E5BFD" w14:textId="77777777" w:rsidR="00111A7A" w:rsidRPr="000D67A2" w:rsidRDefault="00111A7A" w:rsidP="00111A7A">
      <w:pPr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INN</w:t>
      </w:r>
      <w:proofErr w:type="spellEnd"/>
      <w:r w:rsidRPr="000D67A2">
        <w:rPr>
          <w:sz w:val="22"/>
          <w:szCs w:val="22"/>
          <w:lang w:val="sr-Latn-ME"/>
        </w:rPr>
        <w:t xml:space="preserve">: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</w:p>
    <w:p w14:paraId="6C7314E6" w14:textId="743FEC87" w:rsidR="00530BD7" w:rsidRDefault="00530BD7">
      <w:pPr>
        <w:rPr>
          <w:bCs/>
          <w:sz w:val="22"/>
          <w:szCs w:val="22"/>
          <w:lang w:val="sr-Latn-ME"/>
        </w:rPr>
      </w:pPr>
    </w:p>
    <w:p w14:paraId="5361F42C" w14:textId="77777777" w:rsidR="000D67A2" w:rsidRPr="000D67A2" w:rsidRDefault="000D67A2">
      <w:pPr>
        <w:rPr>
          <w:bCs/>
          <w:sz w:val="22"/>
          <w:szCs w:val="22"/>
          <w:lang w:val="sr-Latn-ME"/>
        </w:rPr>
      </w:pPr>
    </w:p>
    <w:p w14:paraId="6C7314E7" w14:textId="77777777" w:rsidR="00411B4B" w:rsidRPr="000D67A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2. </w:t>
      </w:r>
      <w:r w:rsidR="00F5167F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KVALITATIVNI I KVANTITATIVNI SASTAV</w:t>
      </w:r>
    </w:p>
    <w:p w14:paraId="6C7314E8" w14:textId="77777777" w:rsidR="005A0B2E" w:rsidRPr="000D67A2" w:rsidRDefault="005A0B2E">
      <w:pPr>
        <w:rPr>
          <w:sz w:val="22"/>
          <w:szCs w:val="22"/>
          <w:lang w:val="sr-Latn-ME"/>
        </w:rPr>
      </w:pPr>
    </w:p>
    <w:p w14:paraId="1D73ADF7" w14:textId="29265F45" w:rsidR="00111A7A" w:rsidRPr="000D67A2" w:rsidRDefault="00111A7A">
      <w:pPr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Jedna kapsula sa produženim oslobađanjem, tvrda,</w:t>
      </w:r>
      <w:r w:rsidR="000C4A69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 xml:space="preserve">sadrži 0,4 mg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="000C4A69"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hidrohlorida</w:t>
      </w:r>
      <w:proofErr w:type="spellEnd"/>
      <w:r w:rsidRPr="000D67A2">
        <w:rPr>
          <w:sz w:val="22"/>
          <w:szCs w:val="22"/>
          <w:lang w:val="sr-Latn-ME"/>
        </w:rPr>
        <w:t xml:space="preserve">. </w:t>
      </w:r>
    </w:p>
    <w:p w14:paraId="7B635EAD" w14:textId="77777777" w:rsidR="00111A7A" w:rsidRPr="000D67A2" w:rsidRDefault="00111A7A">
      <w:pPr>
        <w:rPr>
          <w:sz w:val="22"/>
          <w:szCs w:val="22"/>
          <w:lang w:val="sr-Latn-ME"/>
        </w:rPr>
      </w:pPr>
    </w:p>
    <w:p w14:paraId="6C7314E9" w14:textId="79E5AE79" w:rsidR="0003793F" w:rsidRPr="000D67A2" w:rsidRDefault="0003793F">
      <w:pPr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Za spisak svih </w:t>
      </w:r>
      <w:proofErr w:type="spellStart"/>
      <w:r w:rsidRPr="000D67A2">
        <w:rPr>
          <w:sz w:val="22"/>
          <w:szCs w:val="22"/>
          <w:lang w:val="sr-Latn-ME"/>
        </w:rPr>
        <w:t>ekscipijenasa</w:t>
      </w:r>
      <w:proofErr w:type="spellEnd"/>
      <w:r w:rsidRPr="000D67A2">
        <w:rPr>
          <w:sz w:val="22"/>
          <w:szCs w:val="22"/>
          <w:lang w:val="sr-Latn-ME"/>
        </w:rPr>
        <w:t>, pogledati dio 6.1.</w:t>
      </w:r>
    </w:p>
    <w:p w14:paraId="6C7314EB" w14:textId="27164EDF" w:rsidR="00C37FD7" w:rsidRDefault="00C37FD7">
      <w:pPr>
        <w:rPr>
          <w:sz w:val="22"/>
          <w:szCs w:val="22"/>
          <w:lang w:val="sr-Latn-ME"/>
        </w:rPr>
      </w:pPr>
    </w:p>
    <w:p w14:paraId="1DDC94DC" w14:textId="77777777" w:rsidR="000D67A2" w:rsidRPr="000D67A2" w:rsidRDefault="000D67A2">
      <w:pPr>
        <w:rPr>
          <w:sz w:val="22"/>
          <w:szCs w:val="22"/>
          <w:lang w:val="sr-Latn-ME"/>
        </w:rPr>
      </w:pPr>
    </w:p>
    <w:p w14:paraId="6C7314EC" w14:textId="77777777" w:rsidR="00411B4B" w:rsidRPr="000D67A2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3. </w:t>
      </w:r>
      <w:r w:rsidR="00F5167F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FARMACEUTSKI OBLIK</w:t>
      </w:r>
      <w:r w:rsidR="009F2D23" w:rsidRPr="000D67A2">
        <w:rPr>
          <w:b/>
          <w:bCs/>
          <w:sz w:val="22"/>
          <w:szCs w:val="22"/>
          <w:lang w:val="sr-Latn-ME"/>
        </w:rPr>
        <w:t xml:space="preserve"> </w:t>
      </w:r>
    </w:p>
    <w:p w14:paraId="6C7314ED" w14:textId="77777777" w:rsidR="00411B4B" w:rsidRPr="000D67A2" w:rsidRDefault="00411B4B">
      <w:pPr>
        <w:rPr>
          <w:bCs/>
          <w:sz w:val="22"/>
          <w:szCs w:val="22"/>
          <w:lang w:val="sr-Latn-ME"/>
        </w:rPr>
      </w:pPr>
    </w:p>
    <w:p w14:paraId="32E2BF9A" w14:textId="16C0C296" w:rsidR="00111A7A" w:rsidRDefault="00111A7A" w:rsidP="00111A7A">
      <w:pPr>
        <w:rPr>
          <w:bCs/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>Kapsula sa produženim oslobađanjem, tvrda.</w:t>
      </w:r>
    </w:p>
    <w:p w14:paraId="7BF5BCB8" w14:textId="77777777" w:rsidR="000D67A2" w:rsidRPr="000D67A2" w:rsidRDefault="000D67A2" w:rsidP="00111A7A">
      <w:pPr>
        <w:rPr>
          <w:bCs/>
          <w:sz w:val="22"/>
          <w:szCs w:val="22"/>
          <w:lang w:val="sr-Latn-ME"/>
        </w:rPr>
      </w:pPr>
    </w:p>
    <w:p w14:paraId="6C7314EE" w14:textId="544F801D" w:rsidR="00EC2532" w:rsidRPr="000D67A2" w:rsidRDefault="00111A7A" w:rsidP="00111A7A">
      <w:pPr>
        <w:rPr>
          <w:bCs/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 xml:space="preserve">Tvrde želatinske kapsule sa narandžastim tijelom i kapom maslinasto zelene boje. Kapsule su punjene </w:t>
      </w:r>
      <w:proofErr w:type="spellStart"/>
      <w:r w:rsidRPr="000D67A2">
        <w:rPr>
          <w:bCs/>
          <w:sz w:val="22"/>
          <w:szCs w:val="22"/>
          <w:lang w:val="sr-Latn-ME"/>
        </w:rPr>
        <w:t>peletama</w:t>
      </w:r>
      <w:proofErr w:type="spellEnd"/>
      <w:r w:rsidRPr="000D67A2">
        <w:rPr>
          <w:bCs/>
          <w:sz w:val="22"/>
          <w:szCs w:val="22"/>
          <w:lang w:val="sr-Latn-ME"/>
        </w:rPr>
        <w:t xml:space="preserve"> bijele do skoro bijele boje.</w:t>
      </w:r>
    </w:p>
    <w:p w14:paraId="61901421" w14:textId="53124525" w:rsidR="00111A7A" w:rsidRDefault="00111A7A" w:rsidP="00111A7A">
      <w:pPr>
        <w:rPr>
          <w:bCs/>
          <w:sz w:val="22"/>
          <w:szCs w:val="22"/>
          <w:lang w:val="sr-Latn-ME"/>
        </w:rPr>
      </w:pPr>
    </w:p>
    <w:p w14:paraId="7EF386C3" w14:textId="77777777" w:rsidR="000D67A2" w:rsidRPr="000D67A2" w:rsidRDefault="000D67A2" w:rsidP="00111A7A">
      <w:pPr>
        <w:rPr>
          <w:bCs/>
          <w:sz w:val="22"/>
          <w:szCs w:val="22"/>
          <w:lang w:val="sr-Latn-ME"/>
        </w:rPr>
      </w:pPr>
    </w:p>
    <w:p w14:paraId="6C7314EF" w14:textId="77777777" w:rsidR="00411B4B" w:rsidRPr="000D67A2" w:rsidRDefault="00411B4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KLINIČKI PODACI</w:t>
      </w:r>
    </w:p>
    <w:p w14:paraId="6C7314F0" w14:textId="77777777" w:rsidR="00CD6F02" w:rsidRPr="000D67A2" w:rsidRDefault="00CD6F02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1" w14:textId="77777777" w:rsidR="00411B4B" w:rsidRPr="000D67A2" w:rsidRDefault="00411B4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4.1.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Terapijske indikacije</w:t>
      </w:r>
    </w:p>
    <w:p w14:paraId="106D3C16" w14:textId="77777777" w:rsidR="00111A7A" w:rsidRPr="000D67A2" w:rsidRDefault="00111A7A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2" w14:textId="7DF9906D" w:rsidR="00411B4B" w:rsidRPr="000D67A2" w:rsidRDefault="00111A7A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 xml:space="preserve">Terapija simptoma donjih djelova </w:t>
      </w:r>
      <w:proofErr w:type="spellStart"/>
      <w:r w:rsidRPr="000D67A2">
        <w:rPr>
          <w:bCs/>
          <w:sz w:val="22"/>
          <w:szCs w:val="22"/>
          <w:lang w:val="sr-Latn-ME"/>
        </w:rPr>
        <w:t>urinarnog</w:t>
      </w:r>
      <w:proofErr w:type="spellEnd"/>
      <w:r w:rsidRPr="000D67A2">
        <w:rPr>
          <w:bCs/>
          <w:sz w:val="22"/>
          <w:szCs w:val="22"/>
          <w:lang w:val="sr-Latn-ME"/>
        </w:rPr>
        <w:t xml:space="preserve"> trakta</w:t>
      </w:r>
      <w:r w:rsidR="00273D95" w:rsidRPr="000D67A2">
        <w:rPr>
          <w:bCs/>
          <w:sz w:val="22"/>
          <w:szCs w:val="22"/>
          <w:lang w:val="sr-Latn-ME"/>
        </w:rPr>
        <w:t xml:space="preserve"> </w:t>
      </w:r>
      <w:r w:rsidR="002A6A90" w:rsidRPr="000D67A2">
        <w:rPr>
          <w:bCs/>
          <w:sz w:val="22"/>
          <w:szCs w:val="22"/>
          <w:lang w:val="sr-Latn-ME"/>
        </w:rPr>
        <w:t>(</w:t>
      </w:r>
      <w:proofErr w:type="spellStart"/>
      <w:r w:rsidR="002A6A90" w:rsidRPr="000D67A2">
        <w:rPr>
          <w:bCs/>
          <w:sz w:val="22"/>
          <w:szCs w:val="22"/>
          <w:lang w:val="sr-Latn-ME"/>
        </w:rPr>
        <w:t>eng</w:t>
      </w:r>
      <w:proofErr w:type="spellEnd"/>
      <w:r w:rsidR="002A6A90" w:rsidRPr="000D67A2">
        <w:rPr>
          <w:bCs/>
          <w:sz w:val="22"/>
          <w:szCs w:val="22"/>
          <w:lang w:val="sr-Latn-ME"/>
        </w:rPr>
        <w:t xml:space="preserve">. </w:t>
      </w:r>
      <w:proofErr w:type="spellStart"/>
      <w:r w:rsidR="002A6A90" w:rsidRPr="000D67A2">
        <w:rPr>
          <w:bCs/>
          <w:i/>
          <w:sz w:val="22"/>
          <w:szCs w:val="22"/>
          <w:lang w:val="sr-Latn-ME"/>
        </w:rPr>
        <w:t>lower</w:t>
      </w:r>
      <w:proofErr w:type="spellEnd"/>
      <w:r w:rsidR="002A6A90" w:rsidRPr="000D67A2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2A6A90" w:rsidRPr="000D67A2">
        <w:rPr>
          <w:bCs/>
          <w:i/>
          <w:sz w:val="22"/>
          <w:szCs w:val="22"/>
          <w:lang w:val="sr-Latn-ME"/>
        </w:rPr>
        <w:t>urinary</w:t>
      </w:r>
      <w:proofErr w:type="spellEnd"/>
      <w:r w:rsidR="002A6A90" w:rsidRPr="000D67A2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2A6A90" w:rsidRPr="000D67A2">
        <w:rPr>
          <w:bCs/>
          <w:i/>
          <w:sz w:val="22"/>
          <w:szCs w:val="22"/>
          <w:lang w:val="sr-Latn-ME"/>
        </w:rPr>
        <w:t>tract</w:t>
      </w:r>
      <w:proofErr w:type="spellEnd"/>
      <w:r w:rsidR="002A6A90" w:rsidRPr="000D67A2">
        <w:rPr>
          <w:bCs/>
          <w:i/>
          <w:sz w:val="22"/>
          <w:szCs w:val="22"/>
          <w:lang w:val="sr-Latn-ME"/>
        </w:rPr>
        <w:t xml:space="preserve"> </w:t>
      </w:r>
      <w:proofErr w:type="spellStart"/>
      <w:r w:rsidR="002A6A90" w:rsidRPr="000D67A2">
        <w:rPr>
          <w:bCs/>
          <w:i/>
          <w:sz w:val="22"/>
          <w:szCs w:val="22"/>
          <w:lang w:val="sr-Latn-ME"/>
        </w:rPr>
        <w:t>symptoms</w:t>
      </w:r>
      <w:proofErr w:type="spellEnd"/>
      <w:r w:rsidR="002A6A90" w:rsidRPr="000D67A2">
        <w:rPr>
          <w:bCs/>
          <w:sz w:val="22"/>
          <w:szCs w:val="22"/>
          <w:lang w:val="sr-Latn-ME"/>
        </w:rPr>
        <w:t xml:space="preserve">, </w:t>
      </w:r>
      <w:proofErr w:type="spellStart"/>
      <w:r w:rsidR="002A6A90" w:rsidRPr="000D67A2">
        <w:rPr>
          <w:bCs/>
          <w:sz w:val="22"/>
          <w:szCs w:val="22"/>
          <w:lang w:val="sr-Latn-ME"/>
        </w:rPr>
        <w:t>LUTS</w:t>
      </w:r>
      <w:proofErr w:type="spellEnd"/>
      <w:r w:rsidR="002A6A90" w:rsidRPr="000D67A2">
        <w:rPr>
          <w:bCs/>
          <w:sz w:val="22"/>
          <w:szCs w:val="22"/>
          <w:lang w:val="sr-Latn-ME"/>
        </w:rPr>
        <w:t xml:space="preserve">) udruženih s </w:t>
      </w:r>
      <w:r w:rsidRPr="000D67A2">
        <w:rPr>
          <w:bCs/>
          <w:sz w:val="22"/>
          <w:szCs w:val="22"/>
          <w:lang w:val="sr-Latn-ME"/>
        </w:rPr>
        <w:t>benign</w:t>
      </w:r>
      <w:r w:rsidR="002A6A90" w:rsidRPr="000D67A2">
        <w:rPr>
          <w:bCs/>
          <w:sz w:val="22"/>
          <w:szCs w:val="22"/>
          <w:lang w:val="sr-Latn-ME"/>
        </w:rPr>
        <w:t>om</w:t>
      </w:r>
      <w:r w:rsidRPr="000D67A2">
        <w:rPr>
          <w:bCs/>
          <w:sz w:val="22"/>
          <w:szCs w:val="22"/>
          <w:lang w:val="sr-Latn-ME"/>
        </w:rPr>
        <w:t xml:space="preserve"> </w:t>
      </w:r>
      <w:proofErr w:type="spellStart"/>
      <w:r w:rsidRPr="000D67A2">
        <w:rPr>
          <w:bCs/>
          <w:sz w:val="22"/>
          <w:szCs w:val="22"/>
          <w:lang w:val="sr-Latn-ME"/>
        </w:rPr>
        <w:t>hiperplazij</w:t>
      </w:r>
      <w:r w:rsidR="002A6A90" w:rsidRPr="000D67A2">
        <w:rPr>
          <w:bCs/>
          <w:sz w:val="22"/>
          <w:szCs w:val="22"/>
          <w:lang w:val="sr-Latn-ME"/>
        </w:rPr>
        <w:t>om</w:t>
      </w:r>
      <w:proofErr w:type="spellEnd"/>
      <w:r w:rsidRPr="000D67A2">
        <w:rPr>
          <w:bCs/>
          <w:sz w:val="22"/>
          <w:szCs w:val="22"/>
          <w:lang w:val="sr-Latn-ME"/>
        </w:rPr>
        <w:t xml:space="preserve"> prostate (</w:t>
      </w:r>
      <w:proofErr w:type="spellStart"/>
      <w:r w:rsidRPr="000D67A2">
        <w:rPr>
          <w:bCs/>
          <w:sz w:val="22"/>
          <w:szCs w:val="22"/>
          <w:lang w:val="sr-Latn-ME"/>
        </w:rPr>
        <w:t>BHP</w:t>
      </w:r>
      <w:proofErr w:type="spellEnd"/>
      <w:r w:rsidRPr="000D67A2">
        <w:rPr>
          <w:bCs/>
          <w:sz w:val="22"/>
          <w:szCs w:val="22"/>
          <w:lang w:val="sr-Latn-ME"/>
        </w:rPr>
        <w:t>).</w:t>
      </w:r>
    </w:p>
    <w:p w14:paraId="7D3B208F" w14:textId="77777777" w:rsidR="00111A7A" w:rsidRPr="000D67A2" w:rsidRDefault="00111A7A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3" w14:textId="77777777" w:rsidR="00411B4B" w:rsidRPr="000D67A2" w:rsidRDefault="00411B4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4.2.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Doziranje i način primjene</w:t>
      </w:r>
    </w:p>
    <w:p w14:paraId="6C7314F4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5" w14:textId="77777777" w:rsidR="00452E9D" w:rsidRPr="000D67A2" w:rsidRDefault="00452E9D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D67A2">
        <w:rPr>
          <w:bCs/>
          <w:sz w:val="22"/>
          <w:szCs w:val="22"/>
          <w:u w:val="single"/>
          <w:lang w:val="sr-Latn-ME"/>
        </w:rPr>
        <w:t>Doziranje</w:t>
      </w:r>
    </w:p>
    <w:p w14:paraId="38271C2A" w14:textId="77777777" w:rsidR="000D16F0" w:rsidRPr="000D67A2" w:rsidRDefault="000D16F0" w:rsidP="001B5DD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Jedna kapsula dnevno, poslije doručka ili prvog dnevnog obroka.</w:t>
      </w:r>
    </w:p>
    <w:p w14:paraId="4F704688" w14:textId="77777777" w:rsidR="000D16F0" w:rsidRPr="000D67A2" w:rsidRDefault="000D16F0" w:rsidP="001B5DD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14EAFFE" w14:textId="77777777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Prilagođavanje doze nije neophodno kod pacijenata sa oštećenom funkcijom bubrega.</w:t>
      </w:r>
    </w:p>
    <w:p w14:paraId="62C25BEB" w14:textId="77777777" w:rsidR="000D16F0" w:rsidRPr="000D67A2" w:rsidRDefault="000D16F0" w:rsidP="00C2464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54D2C7F" w14:textId="77777777" w:rsidR="000D16F0" w:rsidRPr="000D67A2" w:rsidRDefault="000D16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Prilagođavanje doze nije neophodno kod pacijenata sa blagim do umjerenim oštećenjem funkcije jetre (vidjeti dio 4.3)</w:t>
      </w:r>
    </w:p>
    <w:p w14:paraId="0CB0F415" w14:textId="77777777" w:rsidR="000D16F0" w:rsidRPr="000D67A2" w:rsidRDefault="000D16F0" w:rsidP="001B5DD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B908B56" w14:textId="77777777" w:rsidR="000D16F0" w:rsidRPr="000D67A2" w:rsidRDefault="000D16F0" w:rsidP="001B5DD4">
      <w:pPr>
        <w:pStyle w:val="Header"/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Pedijatrijska populacija</w:t>
      </w:r>
    </w:p>
    <w:p w14:paraId="0EAE273D" w14:textId="22633FC1" w:rsidR="000A42F4" w:rsidRPr="000D67A2" w:rsidRDefault="000D16F0" w:rsidP="001B5DD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Ne postoji relevantna indikacija za primjenu lijeka </w:t>
      </w:r>
      <w:proofErr w:type="spellStart"/>
      <w:r w:rsidRPr="000D67A2">
        <w:rPr>
          <w:sz w:val="22"/>
          <w:szCs w:val="22"/>
          <w:lang w:val="sr-Latn-ME"/>
        </w:rPr>
        <w:t>Tamsol</w:t>
      </w:r>
      <w:proofErr w:type="spellEnd"/>
      <w:r w:rsidR="00AC5320" w:rsidRPr="000D67A2">
        <w:rPr>
          <w:sz w:val="22"/>
          <w:szCs w:val="22"/>
          <w:lang w:val="sr-Latn-ME"/>
        </w:rPr>
        <w:t xml:space="preserve"> u pedijatrijskoj populaciji</w:t>
      </w:r>
      <w:r w:rsidRPr="000D67A2">
        <w:rPr>
          <w:sz w:val="22"/>
          <w:szCs w:val="22"/>
          <w:lang w:val="sr-Latn-ME"/>
        </w:rPr>
        <w:t xml:space="preserve">. </w:t>
      </w:r>
    </w:p>
    <w:p w14:paraId="4E7DCCF9" w14:textId="77777777" w:rsidR="000A42F4" w:rsidRPr="000D67A2" w:rsidRDefault="000A42F4" w:rsidP="001B5DD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33E6DE8" w14:textId="5491856F" w:rsidR="000D16F0" w:rsidRPr="000D67A2" w:rsidRDefault="000A42F4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D67A2">
        <w:rPr>
          <w:sz w:val="22"/>
          <w:szCs w:val="22"/>
          <w:lang w:val="sr-Latn-ME"/>
        </w:rPr>
        <w:t xml:space="preserve">Bezbjednost i efikasnost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kod djece mlađe od 18 godina nijesu ustanovljene. </w:t>
      </w:r>
      <w:r w:rsidR="000D16F0" w:rsidRPr="000D67A2">
        <w:rPr>
          <w:sz w:val="22"/>
          <w:szCs w:val="22"/>
          <w:lang w:val="sr-Latn-ME"/>
        </w:rPr>
        <w:t>Trenutno dostupni podaci su navedeni u dijelu 5.1.</w:t>
      </w:r>
    </w:p>
    <w:p w14:paraId="6C7314F6" w14:textId="77777777" w:rsidR="00452E9D" w:rsidRPr="000D67A2" w:rsidRDefault="00452E9D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C7314F7" w14:textId="77777777" w:rsidR="00452E9D" w:rsidRPr="000D67A2" w:rsidRDefault="00452E9D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0D67A2">
        <w:rPr>
          <w:bCs/>
          <w:sz w:val="22"/>
          <w:szCs w:val="22"/>
          <w:u w:val="single"/>
          <w:lang w:val="sr-Latn-ME"/>
        </w:rPr>
        <w:t>Način primjene</w:t>
      </w:r>
    </w:p>
    <w:p w14:paraId="34D26B0D" w14:textId="6DB8E79C" w:rsidR="000D16F0" w:rsidRPr="000D67A2" w:rsidRDefault="000D16F0" w:rsidP="001B5DD4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Za oralnu primjenu. </w:t>
      </w:r>
    </w:p>
    <w:p w14:paraId="6C7314F8" w14:textId="5ED3A854" w:rsidR="00452E9D" w:rsidRPr="000D67A2" w:rsidRDefault="000D16F0" w:rsidP="001B5DD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Kapsulu treba progutati cijelu sa čašom vode, ne smije se lomiti ili otvarati</w:t>
      </w:r>
      <w:r w:rsidR="002A6A90" w:rsidRPr="000D67A2">
        <w:rPr>
          <w:sz w:val="22"/>
          <w:szCs w:val="22"/>
          <w:lang w:val="sr-Latn-ME"/>
        </w:rPr>
        <w:t>, gristi niti žvakati</w:t>
      </w:r>
      <w:r w:rsidRPr="000D67A2">
        <w:rPr>
          <w:sz w:val="22"/>
          <w:szCs w:val="22"/>
          <w:lang w:val="sr-Latn-ME"/>
        </w:rPr>
        <w:t xml:space="preserve">, jer to može nepovoljno </w:t>
      </w:r>
      <w:r w:rsidR="00AC5320" w:rsidRPr="000D67A2">
        <w:rPr>
          <w:sz w:val="22"/>
          <w:szCs w:val="22"/>
          <w:lang w:val="sr-Latn-ME"/>
        </w:rPr>
        <w:t xml:space="preserve">da </w:t>
      </w:r>
      <w:r w:rsidRPr="000D67A2">
        <w:rPr>
          <w:sz w:val="22"/>
          <w:szCs w:val="22"/>
          <w:lang w:val="sr-Latn-ME"/>
        </w:rPr>
        <w:t>uti</w:t>
      </w:r>
      <w:r w:rsidR="00AC5320" w:rsidRPr="000D67A2">
        <w:rPr>
          <w:sz w:val="22"/>
          <w:szCs w:val="22"/>
          <w:lang w:val="sr-Latn-ME"/>
        </w:rPr>
        <w:t>če</w:t>
      </w:r>
      <w:r w:rsidRPr="000D67A2">
        <w:rPr>
          <w:sz w:val="22"/>
          <w:szCs w:val="22"/>
          <w:lang w:val="sr-Latn-ME"/>
        </w:rPr>
        <w:t xml:space="preserve"> na oslobađanje aktivne supstance iz kapsule.</w:t>
      </w:r>
    </w:p>
    <w:p w14:paraId="7659F44F" w14:textId="77777777" w:rsidR="000D16F0" w:rsidRPr="000D67A2" w:rsidRDefault="000D16F0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9" w14:textId="77777777" w:rsidR="00411B4B" w:rsidRPr="000D67A2" w:rsidRDefault="00411B4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4.3.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proofErr w:type="spellStart"/>
      <w:r w:rsidRPr="000D67A2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6C7314FA" w14:textId="73FE7C66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F8BE45" w14:textId="56A3DF1C" w:rsidR="00273D95" w:rsidRPr="000D67A2" w:rsidRDefault="00C24644" w:rsidP="001B5DD4">
      <w:pPr>
        <w:pStyle w:val="Header"/>
        <w:numPr>
          <w:ilvl w:val="0"/>
          <w:numId w:val="12"/>
        </w:numPr>
        <w:tabs>
          <w:tab w:val="left" w:pos="284"/>
        </w:tabs>
        <w:ind w:left="284" w:hanging="142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preosjetljivost na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, uključujući i </w:t>
      </w:r>
      <w:proofErr w:type="spellStart"/>
      <w:r w:rsidRPr="000D67A2">
        <w:rPr>
          <w:sz w:val="22"/>
          <w:szCs w:val="22"/>
          <w:lang w:val="sr-Latn-ME"/>
        </w:rPr>
        <w:t>angioedem</w:t>
      </w:r>
      <w:proofErr w:type="spellEnd"/>
      <w:r w:rsidRPr="000D67A2">
        <w:rPr>
          <w:sz w:val="22"/>
          <w:szCs w:val="22"/>
          <w:lang w:val="sr-Latn-ME"/>
        </w:rPr>
        <w:t xml:space="preserve"> izazvan ljekovima; preosjetljivost na neki od pomoćnih sastojaka lijeka (pogledati dio 6.1),</w:t>
      </w:r>
    </w:p>
    <w:p w14:paraId="01BB778C" w14:textId="67B31680" w:rsidR="00273D95" w:rsidRPr="000D67A2" w:rsidRDefault="000D16F0" w:rsidP="001B5DD4">
      <w:pPr>
        <w:pStyle w:val="Header"/>
        <w:numPr>
          <w:ilvl w:val="0"/>
          <w:numId w:val="12"/>
        </w:numPr>
        <w:tabs>
          <w:tab w:val="left" w:pos="284"/>
        </w:tabs>
        <w:ind w:left="284" w:hanging="142"/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lastRenderedPageBreak/>
        <w:t>ortostatska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hipotenzija</w:t>
      </w:r>
      <w:proofErr w:type="spellEnd"/>
      <w:r w:rsidRPr="000D67A2">
        <w:rPr>
          <w:sz w:val="22"/>
          <w:szCs w:val="22"/>
          <w:lang w:val="sr-Latn-ME"/>
        </w:rPr>
        <w:t xml:space="preserve"> u anamnezi,</w:t>
      </w:r>
    </w:p>
    <w:p w14:paraId="37F91567" w14:textId="0DAF32F0" w:rsidR="000D16F0" w:rsidRPr="000D67A2" w:rsidRDefault="000D16F0" w:rsidP="001B5DD4">
      <w:pPr>
        <w:pStyle w:val="Header"/>
        <w:numPr>
          <w:ilvl w:val="0"/>
          <w:numId w:val="12"/>
        </w:numPr>
        <w:tabs>
          <w:tab w:val="left" w:pos="284"/>
        </w:tabs>
        <w:ind w:left="284" w:hanging="142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teška </w:t>
      </w:r>
      <w:proofErr w:type="spellStart"/>
      <w:r w:rsidRPr="000D67A2">
        <w:rPr>
          <w:sz w:val="22"/>
          <w:szCs w:val="22"/>
          <w:lang w:val="sr-Latn-ME"/>
        </w:rPr>
        <w:t>insuficijencija</w:t>
      </w:r>
      <w:proofErr w:type="spellEnd"/>
      <w:r w:rsidRPr="000D67A2">
        <w:rPr>
          <w:sz w:val="22"/>
          <w:szCs w:val="22"/>
          <w:lang w:val="sr-Latn-ME"/>
        </w:rPr>
        <w:t xml:space="preserve"> jetre</w:t>
      </w:r>
      <w:r w:rsidR="00C24644" w:rsidRPr="000D67A2">
        <w:rPr>
          <w:sz w:val="22"/>
          <w:szCs w:val="22"/>
          <w:lang w:val="sr-Latn-ME"/>
        </w:rPr>
        <w:t>.</w:t>
      </w:r>
    </w:p>
    <w:p w14:paraId="04F73F15" w14:textId="77777777" w:rsidR="000D16F0" w:rsidRPr="000D67A2" w:rsidRDefault="000D16F0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B" w14:textId="77777777" w:rsidR="00411B4B" w:rsidRPr="000D67A2" w:rsidRDefault="00411B4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4.4.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C7314FC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A55DD4" w14:textId="6BE1E1F6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Kao i kod ostalih antagonista α</w:t>
      </w:r>
      <w:r w:rsidRPr="000D67A2">
        <w:rPr>
          <w:sz w:val="22"/>
          <w:szCs w:val="22"/>
          <w:vertAlign w:val="subscript"/>
          <w:lang w:val="sr-Latn-ME"/>
        </w:rPr>
        <w:t xml:space="preserve"> 1</w:t>
      </w:r>
      <w:r w:rsidRPr="000D67A2">
        <w:rPr>
          <w:sz w:val="22"/>
          <w:szCs w:val="22"/>
          <w:lang w:val="sr-Latn-ME"/>
        </w:rPr>
        <w:t>-</w:t>
      </w:r>
      <w:proofErr w:type="spellStart"/>
      <w:r w:rsidRPr="000D67A2">
        <w:rPr>
          <w:sz w:val="22"/>
          <w:szCs w:val="22"/>
          <w:lang w:val="sr-Latn-ME"/>
        </w:rPr>
        <w:t>adrenoreceptora</w:t>
      </w:r>
      <w:proofErr w:type="spellEnd"/>
      <w:r w:rsidRPr="000D67A2">
        <w:rPr>
          <w:sz w:val="22"/>
          <w:szCs w:val="22"/>
          <w:lang w:val="sr-Latn-ME"/>
        </w:rPr>
        <w:t xml:space="preserve">, tokom terapije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može doći do sniženja krvnog pritiska, što</w:t>
      </w:r>
      <w:r w:rsidR="0085625B" w:rsidRPr="000D67A2">
        <w:rPr>
          <w:sz w:val="22"/>
          <w:szCs w:val="22"/>
          <w:lang w:val="sr-Latn-ME"/>
        </w:rPr>
        <w:t xml:space="preserve"> u</w:t>
      </w:r>
      <w:r w:rsidRPr="000D67A2">
        <w:rPr>
          <w:sz w:val="22"/>
          <w:szCs w:val="22"/>
          <w:lang w:val="sr-Latn-ME"/>
        </w:rPr>
        <w:t xml:space="preserve"> rijetk</w:t>
      </w:r>
      <w:r w:rsidR="0085625B" w:rsidRPr="000D67A2">
        <w:rPr>
          <w:sz w:val="22"/>
          <w:szCs w:val="22"/>
          <w:lang w:val="sr-Latn-ME"/>
        </w:rPr>
        <w:t>im</w:t>
      </w:r>
      <w:r w:rsidRPr="000D67A2">
        <w:rPr>
          <w:sz w:val="22"/>
          <w:szCs w:val="22"/>
          <w:lang w:val="sr-Latn-ME"/>
        </w:rPr>
        <w:t xml:space="preserve"> </w:t>
      </w:r>
      <w:r w:rsidR="0085625B" w:rsidRPr="000D67A2">
        <w:rPr>
          <w:sz w:val="22"/>
          <w:szCs w:val="22"/>
          <w:lang w:val="sr-Latn-ME"/>
        </w:rPr>
        <w:t>slučajevima može uzrokovati sinkopu</w:t>
      </w:r>
      <w:r w:rsidRPr="000D67A2">
        <w:rPr>
          <w:sz w:val="22"/>
          <w:szCs w:val="22"/>
          <w:lang w:val="sr-Latn-ME"/>
        </w:rPr>
        <w:t xml:space="preserve">. Ako pacijent osjeti prve znake </w:t>
      </w:r>
      <w:proofErr w:type="spellStart"/>
      <w:r w:rsidRPr="000D67A2">
        <w:rPr>
          <w:sz w:val="22"/>
          <w:szCs w:val="22"/>
          <w:lang w:val="sr-Latn-ME"/>
        </w:rPr>
        <w:t>ortostatske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hipotenzije</w:t>
      </w:r>
      <w:proofErr w:type="spellEnd"/>
      <w:r w:rsidRPr="000D67A2">
        <w:rPr>
          <w:sz w:val="22"/>
          <w:szCs w:val="22"/>
          <w:lang w:val="sr-Latn-ME"/>
        </w:rPr>
        <w:t xml:space="preserve"> (vrtoglavica, slabost), potrebno je da sjedne ili legne dok ovi simptomi ne nestanu. </w:t>
      </w:r>
    </w:p>
    <w:p w14:paraId="620D4A1B" w14:textId="77777777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</w:p>
    <w:p w14:paraId="32E0E193" w14:textId="77777777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Pacijente treba pregledati prije započinjanja terapije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da bi se isključilo prisustvo drugih stanja koja mogu dovesti do simptoma sličnih simptomima </w:t>
      </w:r>
      <w:proofErr w:type="spellStart"/>
      <w:r w:rsidRPr="000D67A2">
        <w:rPr>
          <w:sz w:val="22"/>
          <w:szCs w:val="22"/>
          <w:lang w:val="sr-Latn-ME"/>
        </w:rPr>
        <w:t>BHP</w:t>
      </w:r>
      <w:proofErr w:type="spellEnd"/>
      <w:r w:rsidRPr="000D67A2">
        <w:rPr>
          <w:sz w:val="22"/>
          <w:szCs w:val="22"/>
          <w:lang w:val="sr-Latn-ME"/>
        </w:rPr>
        <w:t xml:space="preserve">. Potrebno je izvršiti digitalni rektalni </w:t>
      </w:r>
      <w:proofErr w:type="spellStart"/>
      <w:r w:rsidRPr="000D67A2">
        <w:rPr>
          <w:sz w:val="22"/>
          <w:szCs w:val="22"/>
          <w:lang w:val="sr-Latn-ME"/>
        </w:rPr>
        <w:t>pregled</w:t>
      </w:r>
      <w:proofErr w:type="spellEnd"/>
      <w:r w:rsidRPr="000D67A2">
        <w:rPr>
          <w:sz w:val="22"/>
          <w:szCs w:val="22"/>
          <w:lang w:val="sr-Latn-ME"/>
        </w:rPr>
        <w:t xml:space="preserve"> prostate i, ako je potrebno, odrediti vrijednosti specifičnog </w:t>
      </w:r>
      <w:proofErr w:type="spellStart"/>
      <w:r w:rsidRPr="000D67A2">
        <w:rPr>
          <w:sz w:val="22"/>
          <w:szCs w:val="22"/>
          <w:lang w:val="sr-Latn-ME"/>
        </w:rPr>
        <w:t>antigena</w:t>
      </w:r>
      <w:proofErr w:type="spellEnd"/>
      <w:r w:rsidRPr="000D67A2">
        <w:rPr>
          <w:sz w:val="22"/>
          <w:szCs w:val="22"/>
          <w:lang w:val="sr-Latn-ME"/>
        </w:rPr>
        <w:t xml:space="preserve"> prostate (PSA) prije započinjanja terapije, i redovno tokom terapije.</w:t>
      </w:r>
    </w:p>
    <w:p w14:paraId="783A903A" w14:textId="77777777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</w:p>
    <w:p w14:paraId="79BBFA60" w14:textId="77777777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Terapiju pacijenata sa teškom </w:t>
      </w:r>
      <w:proofErr w:type="spellStart"/>
      <w:r w:rsidRPr="000D67A2">
        <w:rPr>
          <w:sz w:val="22"/>
          <w:szCs w:val="22"/>
          <w:lang w:val="sr-Latn-ME"/>
        </w:rPr>
        <w:t>renalnom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insuficijencijom</w:t>
      </w:r>
      <w:proofErr w:type="spellEnd"/>
      <w:r w:rsidRPr="000D67A2">
        <w:rPr>
          <w:sz w:val="22"/>
          <w:szCs w:val="22"/>
          <w:lang w:val="sr-Latn-ME"/>
        </w:rPr>
        <w:t xml:space="preserve"> (</w:t>
      </w:r>
      <w:proofErr w:type="spellStart"/>
      <w:r w:rsidRPr="000D67A2">
        <w:rPr>
          <w:sz w:val="22"/>
          <w:szCs w:val="22"/>
          <w:lang w:val="sr-Latn-ME"/>
        </w:rPr>
        <w:t>klirens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kreatinina</w:t>
      </w:r>
      <w:proofErr w:type="spellEnd"/>
      <w:r w:rsidRPr="000D67A2">
        <w:rPr>
          <w:sz w:val="22"/>
          <w:szCs w:val="22"/>
          <w:lang w:val="sr-Latn-ME"/>
        </w:rPr>
        <w:t xml:space="preserve"> ˂ 10 ml/min)  treba sprovoditi s velikim oprezom, jer nema podataka o liječenju ovakvih pacijenata. </w:t>
      </w:r>
    </w:p>
    <w:p w14:paraId="2B666913" w14:textId="3B2DF08D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</w:p>
    <w:p w14:paraId="12D9D6FF" w14:textId="747784A2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Postoje izvještaji o razvoju </w:t>
      </w:r>
      <w:proofErr w:type="spellStart"/>
      <w:r w:rsidRPr="000D67A2">
        <w:rPr>
          <w:sz w:val="22"/>
          <w:szCs w:val="22"/>
          <w:lang w:val="sr-Latn-ME"/>
        </w:rPr>
        <w:t>intraoperativnog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i/>
          <w:sz w:val="22"/>
          <w:szCs w:val="22"/>
          <w:lang w:val="sr-Latn-ME"/>
        </w:rPr>
        <w:t>floppy</w:t>
      </w:r>
      <w:proofErr w:type="spellEnd"/>
      <w:r w:rsidRPr="000D67A2">
        <w:rPr>
          <w:i/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iris sindroma (</w:t>
      </w:r>
      <w:proofErr w:type="spellStart"/>
      <w:r w:rsidRPr="000D67A2">
        <w:rPr>
          <w:sz w:val="22"/>
          <w:szCs w:val="22"/>
          <w:lang w:val="sr-Latn-ME"/>
        </w:rPr>
        <w:t>IFIS</w:t>
      </w:r>
      <w:proofErr w:type="spellEnd"/>
      <w:r w:rsidRPr="000D67A2">
        <w:rPr>
          <w:sz w:val="22"/>
          <w:szCs w:val="22"/>
          <w:lang w:val="sr-Latn-ME"/>
        </w:rPr>
        <w:t xml:space="preserve">, jednog oblika sindroma malih zjenica) koji je zabilježen tokom operacije katarakte i glaukoma kod pacijenata koji su na terapiji ili su prethodno liječeni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. </w:t>
      </w:r>
      <w:proofErr w:type="spellStart"/>
      <w:r w:rsidRPr="000D67A2">
        <w:rPr>
          <w:sz w:val="22"/>
          <w:szCs w:val="22"/>
          <w:lang w:val="sr-Latn-ME"/>
        </w:rPr>
        <w:t>IFIS</w:t>
      </w:r>
      <w:proofErr w:type="spellEnd"/>
      <w:r w:rsidRPr="000D67A2">
        <w:rPr>
          <w:sz w:val="22"/>
          <w:szCs w:val="22"/>
          <w:lang w:val="sr-Latn-ME"/>
        </w:rPr>
        <w:t xml:space="preserve"> može </w:t>
      </w:r>
      <w:r w:rsidR="000A42F4" w:rsidRPr="000D67A2">
        <w:rPr>
          <w:sz w:val="22"/>
          <w:szCs w:val="22"/>
          <w:lang w:val="sr-Latn-ME"/>
        </w:rPr>
        <w:t>povećati rizik od komplikacija na oku</w:t>
      </w:r>
      <w:r w:rsidRPr="000D67A2">
        <w:rPr>
          <w:sz w:val="22"/>
          <w:szCs w:val="22"/>
          <w:lang w:val="sr-Latn-ME"/>
        </w:rPr>
        <w:t xml:space="preserve"> tokom i nakon operacije.</w:t>
      </w:r>
    </w:p>
    <w:p w14:paraId="63EE7C92" w14:textId="77777777" w:rsidR="0085625B" w:rsidRPr="000D67A2" w:rsidRDefault="0085625B" w:rsidP="001B5DD4">
      <w:pPr>
        <w:jc w:val="both"/>
        <w:rPr>
          <w:sz w:val="22"/>
          <w:szCs w:val="22"/>
          <w:lang w:val="sr-Latn-ME"/>
        </w:rPr>
      </w:pPr>
    </w:p>
    <w:p w14:paraId="4A19A6FD" w14:textId="01C22254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Prekid liječenja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1 – 2 nedjelje prije operacije katarakte ili glaukoma se teoretski smatra povoljnim, međutim, korist </w:t>
      </w:r>
      <w:r w:rsidR="00AC5320" w:rsidRPr="000D67A2">
        <w:rPr>
          <w:sz w:val="22"/>
          <w:szCs w:val="22"/>
          <w:lang w:val="sr-Latn-ME"/>
        </w:rPr>
        <w:t xml:space="preserve">od </w:t>
      </w:r>
      <w:r w:rsidRPr="000D67A2">
        <w:rPr>
          <w:sz w:val="22"/>
          <w:szCs w:val="22"/>
          <w:lang w:val="sr-Latn-ME"/>
        </w:rPr>
        <w:t xml:space="preserve">prekida terapije prije operacije još uvijek nije utvrđen. Pojava </w:t>
      </w:r>
      <w:proofErr w:type="spellStart"/>
      <w:r w:rsidRPr="000D67A2">
        <w:rPr>
          <w:sz w:val="22"/>
          <w:szCs w:val="22"/>
          <w:lang w:val="sr-Latn-ME"/>
        </w:rPr>
        <w:t>IFIS</w:t>
      </w:r>
      <w:proofErr w:type="spellEnd"/>
      <w:r w:rsidRPr="000D67A2">
        <w:rPr>
          <w:sz w:val="22"/>
          <w:szCs w:val="22"/>
          <w:lang w:val="sr-Latn-ME"/>
        </w:rPr>
        <w:t xml:space="preserve"> sindroma prijavljena je i kod pacijenata koji su prestali sa primjenom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r w:rsidR="00AC5320" w:rsidRPr="000D67A2">
        <w:rPr>
          <w:sz w:val="22"/>
          <w:szCs w:val="22"/>
          <w:lang w:val="sr-Latn-ME"/>
        </w:rPr>
        <w:t xml:space="preserve">na duži period prije navedenih </w:t>
      </w:r>
      <w:r w:rsidRPr="000D67A2">
        <w:rPr>
          <w:sz w:val="22"/>
          <w:szCs w:val="22"/>
          <w:lang w:val="sr-Latn-ME"/>
        </w:rPr>
        <w:t>operacij</w:t>
      </w:r>
      <w:r w:rsidR="00AC5320" w:rsidRPr="000D67A2">
        <w:rPr>
          <w:sz w:val="22"/>
          <w:szCs w:val="22"/>
          <w:lang w:val="sr-Latn-ME"/>
        </w:rPr>
        <w:t>a</w:t>
      </w:r>
      <w:r w:rsidRPr="000D67A2">
        <w:rPr>
          <w:sz w:val="22"/>
          <w:szCs w:val="22"/>
          <w:lang w:val="sr-Latn-ME"/>
        </w:rPr>
        <w:t xml:space="preserve">. </w:t>
      </w:r>
    </w:p>
    <w:p w14:paraId="55281425" w14:textId="77777777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Započinjanje terapije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se ne preporučuje kod pacijenata koji imaju zakazanu operaciju katarakte ili glaukoma.</w:t>
      </w:r>
    </w:p>
    <w:p w14:paraId="7D99C048" w14:textId="0FABB47B" w:rsidR="000D16F0" w:rsidRPr="000D67A2" w:rsidRDefault="000D16F0" w:rsidP="001B5DD4">
      <w:pPr>
        <w:jc w:val="both"/>
        <w:rPr>
          <w:color w:val="FF0000"/>
          <w:sz w:val="22"/>
          <w:szCs w:val="22"/>
          <w:lang w:val="sr-Latn-ME" w:eastAsia="en-GB"/>
        </w:rPr>
      </w:pPr>
      <w:r w:rsidRPr="000D67A2">
        <w:rPr>
          <w:sz w:val="22"/>
          <w:szCs w:val="22"/>
          <w:lang w:val="sr-Latn-ME"/>
        </w:rPr>
        <w:t xml:space="preserve">Tokom </w:t>
      </w:r>
      <w:proofErr w:type="spellStart"/>
      <w:r w:rsidRPr="000D67A2">
        <w:rPr>
          <w:sz w:val="22"/>
          <w:szCs w:val="22"/>
          <w:lang w:val="sr-Latn-ME"/>
        </w:rPr>
        <w:t>preoperativne</w:t>
      </w:r>
      <w:proofErr w:type="spellEnd"/>
      <w:r w:rsidRPr="000D67A2">
        <w:rPr>
          <w:sz w:val="22"/>
          <w:szCs w:val="22"/>
          <w:lang w:val="sr-Latn-ME"/>
        </w:rPr>
        <w:t xml:space="preserve"> pripreme, hirurg koji će obaviti operaciju katarakte ili glaukoma i </w:t>
      </w:r>
      <w:proofErr w:type="spellStart"/>
      <w:r w:rsidRPr="000D67A2">
        <w:rPr>
          <w:sz w:val="22"/>
          <w:szCs w:val="22"/>
          <w:lang w:val="sr-Latn-ME"/>
        </w:rPr>
        <w:t>oftalmološki</w:t>
      </w:r>
      <w:proofErr w:type="spellEnd"/>
      <w:r w:rsidRPr="000D67A2">
        <w:rPr>
          <w:sz w:val="22"/>
          <w:szCs w:val="22"/>
          <w:lang w:val="sr-Latn-ME"/>
        </w:rPr>
        <w:t xml:space="preserve"> tim treba da vode računa o tome da li je pacijent, koji je na programu operacije katarakte ili glaukoma, na terapiji ili je bio na terapiji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, kako bi mogli da preduzmu odgovarajuće mjere predostrožnosti ukoliko dođe do pojave </w:t>
      </w:r>
      <w:proofErr w:type="spellStart"/>
      <w:r w:rsidRPr="000D67A2">
        <w:rPr>
          <w:sz w:val="22"/>
          <w:szCs w:val="22"/>
          <w:lang w:val="sr-Latn-ME"/>
        </w:rPr>
        <w:t>IFIS</w:t>
      </w:r>
      <w:proofErr w:type="spellEnd"/>
      <w:r w:rsidRPr="000D67A2">
        <w:rPr>
          <w:sz w:val="22"/>
          <w:szCs w:val="22"/>
          <w:lang w:val="sr-Latn-ME"/>
        </w:rPr>
        <w:t xml:space="preserve"> sindroma tokom operacije.</w:t>
      </w:r>
      <w:r w:rsidRPr="000D67A2">
        <w:rPr>
          <w:color w:val="FF0000"/>
          <w:sz w:val="22"/>
          <w:szCs w:val="22"/>
          <w:lang w:val="sr-Latn-ME" w:eastAsia="en-GB"/>
        </w:rPr>
        <w:t xml:space="preserve"> </w:t>
      </w:r>
    </w:p>
    <w:p w14:paraId="0E727921" w14:textId="77777777" w:rsidR="000D16F0" w:rsidRPr="000D67A2" w:rsidRDefault="000D16F0" w:rsidP="001B5DD4">
      <w:pPr>
        <w:jc w:val="both"/>
        <w:rPr>
          <w:color w:val="FF0000"/>
          <w:sz w:val="22"/>
          <w:szCs w:val="22"/>
          <w:lang w:val="sr-Latn-ME" w:eastAsia="en-GB"/>
        </w:rPr>
      </w:pPr>
    </w:p>
    <w:p w14:paraId="589D9AEA" w14:textId="49377C7F" w:rsidR="000D16F0" w:rsidRPr="000D67A2" w:rsidRDefault="000D16F0" w:rsidP="001B5DD4">
      <w:pPr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ne treba primjenjivati istovremeno sa snažnim </w:t>
      </w:r>
      <w:proofErr w:type="spellStart"/>
      <w:r w:rsidRPr="000D67A2">
        <w:rPr>
          <w:sz w:val="22"/>
          <w:szCs w:val="22"/>
          <w:lang w:val="sr-Latn-ME"/>
        </w:rPr>
        <w:t>inhibitorima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 kod pacijenata sa </w:t>
      </w:r>
      <w:proofErr w:type="spellStart"/>
      <w:r w:rsidRPr="000D67A2">
        <w:rPr>
          <w:sz w:val="22"/>
          <w:szCs w:val="22"/>
          <w:lang w:val="sr-Latn-ME"/>
        </w:rPr>
        <w:t>fenotipom</w:t>
      </w:r>
      <w:proofErr w:type="spellEnd"/>
      <w:r w:rsidRPr="000D67A2">
        <w:rPr>
          <w:sz w:val="22"/>
          <w:szCs w:val="22"/>
          <w:lang w:val="sr-Latn-ME"/>
        </w:rPr>
        <w:t xml:space="preserve"> sporih </w:t>
      </w:r>
      <w:proofErr w:type="spellStart"/>
      <w:r w:rsidRPr="000D67A2">
        <w:rPr>
          <w:sz w:val="22"/>
          <w:szCs w:val="22"/>
          <w:lang w:val="sr-Latn-ME"/>
        </w:rPr>
        <w:t>metabolizera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CYP2D6</w:t>
      </w:r>
      <w:proofErr w:type="spellEnd"/>
      <w:r w:rsidRPr="000D67A2">
        <w:rPr>
          <w:sz w:val="22"/>
          <w:szCs w:val="22"/>
          <w:lang w:val="sr-Latn-ME"/>
        </w:rPr>
        <w:t xml:space="preserve">.  </w:t>
      </w:r>
    </w:p>
    <w:p w14:paraId="020230C1" w14:textId="0CBDDCB2" w:rsidR="00465483" w:rsidRPr="000D67A2" w:rsidRDefault="000D16F0" w:rsidP="001B5DD4">
      <w:pPr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treba primjenjivati sa oprezom u kombinaciji sa snažnim i umjerenim </w:t>
      </w:r>
      <w:proofErr w:type="spellStart"/>
      <w:r w:rsidRPr="000D67A2">
        <w:rPr>
          <w:sz w:val="22"/>
          <w:szCs w:val="22"/>
          <w:lang w:val="sr-Latn-ME"/>
        </w:rPr>
        <w:t>inhibitorima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 (vidjeti dio 4.5).</w:t>
      </w:r>
    </w:p>
    <w:p w14:paraId="0B36C608" w14:textId="710F78E5" w:rsidR="00465483" w:rsidRPr="000D67A2" w:rsidRDefault="00465483" w:rsidP="001B5DD4">
      <w:pPr>
        <w:jc w:val="both"/>
        <w:rPr>
          <w:sz w:val="22"/>
          <w:szCs w:val="22"/>
          <w:lang w:val="sr-Latn-ME"/>
        </w:rPr>
      </w:pPr>
    </w:p>
    <w:p w14:paraId="77EC30FD" w14:textId="7101F979" w:rsidR="000D16F0" w:rsidRPr="000D67A2" w:rsidRDefault="00465483" w:rsidP="001B5DD4">
      <w:pPr>
        <w:jc w:val="both"/>
        <w:rPr>
          <w:sz w:val="22"/>
          <w:szCs w:val="22"/>
          <w:u w:val="single"/>
          <w:lang w:val="sr-Latn-ME"/>
        </w:rPr>
      </w:pPr>
      <w:r w:rsidRPr="000D67A2">
        <w:rPr>
          <w:rStyle w:val="markedcontent"/>
          <w:sz w:val="22"/>
          <w:szCs w:val="22"/>
          <w:lang w:val="sr-Latn-ME"/>
        </w:rPr>
        <w:t xml:space="preserve">Ovaj lijek sadrži manje od 1 </w:t>
      </w:r>
      <w:proofErr w:type="spellStart"/>
      <w:r w:rsidRPr="000D67A2">
        <w:rPr>
          <w:rStyle w:val="markedcontent"/>
          <w:sz w:val="22"/>
          <w:szCs w:val="22"/>
          <w:lang w:val="sr-Latn-ME"/>
        </w:rPr>
        <w:t>mmol</w:t>
      </w:r>
      <w:proofErr w:type="spellEnd"/>
      <w:r w:rsidRPr="000D67A2">
        <w:rPr>
          <w:rStyle w:val="markedcontent"/>
          <w:sz w:val="22"/>
          <w:szCs w:val="22"/>
          <w:lang w:val="sr-Latn-ME"/>
        </w:rPr>
        <w:t xml:space="preserve"> (23 mg) natrij</w:t>
      </w:r>
      <w:r w:rsidR="006F14A6" w:rsidRPr="000D67A2">
        <w:rPr>
          <w:rStyle w:val="markedcontent"/>
          <w:sz w:val="22"/>
          <w:szCs w:val="22"/>
          <w:lang w:val="sr-Latn-ME"/>
        </w:rPr>
        <w:t>uma</w:t>
      </w:r>
      <w:r w:rsidRPr="000D67A2">
        <w:rPr>
          <w:rStyle w:val="markedcontent"/>
          <w:sz w:val="22"/>
          <w:szCs w:val="22"/>
          <w:lang w:val="sr-Latn-ME"/>
        </w:rPr>
        <w:t xml:space="preserve"> po kapsuli, tj. zanemar</w:t>
      </w:r>
      <w:r w:rsidR="001B720F" w:rsidRPr="000D67A2">
        <w:rPr>
          <w:rStyle w:val="markedcontent"/>
          <w:sz w:val="22"/>
          <w:szCs w:val="22"/>
          <w:lang w:val="sr-Latn-ME"/>
        </w:rPr>
        <w:t>lj</w:t>
      </w:r>
      <w:r w:rsidRPr="000D67A2">
        <w:rPr>
          <w:rStyle w:val="markedcontent"/>
          <w:sz w:val="22"/>
          <w:szCs w:val="22"/>
          <w:lang w:val="sr-Latn-ME"/>
        </w:rPr>
        <w:t>ive količine natrij</w:t>
      </w:r>
      <w:r w:rsidR="006F14A6" w:rsidRPr="000D67A2">
        <w:rPr>
          <w:rStyle w:val="markedcontent"/>
          <w:sz w:val="22"/>
          <w:szCs w:val="22"/>
          <w:lang w:val="sr-Latn-ME"/>
        </w:rPr>
        <w:t>uma</w:t>
      </w:r>
    </w:p>
    <w:p w14:paraId="3F6E02EF" w14:textId="77777777" w:rsidR="000D16F0" w:rsidRPr="000D67A2" w:rsidRDefault="000D16F0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4FF" w14:textId="77777777" w:rsidR="00411B4B" w:rsidRPr="000D67A2" w:rsidRDefault="00411B4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>4.5.</w:t>
      </w:r>
      <w:r w:rsidR="000D60CC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C731500" w14:textId="02AF8DC2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FB245A" w14:textId="02C7AEA6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Ispitivanja interakcija su sprovedena samo kod odraslih.</w:t>
      </w:r>
    </w:p>
    <w:p w14:paraId="4183BF11" w14:textId="77777777" w:rsidR="003F3B23" w:rsidRPr="000D67A2" w:rsidRDefault="003F3B23" w:rsidP="001B5DD4">
      <w:pPr>
        <w:jc w:val="both"/>
        <w:rPr>
          <w:sz w:val="22"/>
          <w:szCs w:val="22"/>
          <w:lang w:val="sr-Latn-ME"/>
        </w:rPr>
      </w:pPr>
    </w:p>
    <w:p w14:paraId="6BAE38C8" w14:textId="47D40F9C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Tokom istovremene terapije </w:t>
      </w:r>
      <w:proofErr w:type="spellStart"/>
      <w:r w:rsidRPr="000D67A2">
        <w:rPr>
          <w:sz w:val="22"/>
          <w:szCs w:val="22"/>
          <w:lang w:val="sr-Latn-ME"/>
        </w:rPr>
        <w:t>tamsulosin</w:t>
      </w:r>
      <w:r w:rsidR="003F3B23" w:rsidRPr="000D67A2">
        <w:rPr>
          <w:sz w:val="22"/>
          <w:szCs w:val="22"/>
          <w:lang w:val="sr-Latn-ME"/>
        </w:rPr>
        <w:t>om</w:t>
      </w:r>
      <w:proofErr w:type="spellEnd"/>
      <w:r w:rsidRPr="000D67A2">
        <w:rPr>
          <w:sz w:val="22"/>
          <w:szCs w:val="22"/>
          <w:lang w:val="sr-Latn-ME"/>
        </w:rPr>
        <w:t xml:space="preserve"> sa </w:t>
      </w:r>
      <w:proofErr w:type="spellStart"/>
      <w:r w:rsidRPr="000D67A2">
        <w:rPr>
          <w:sz w:val="22"/>
          <w:szCs w:val="22"/>
          <w:lang w:val="sr-Latn-ME"/>
        </w:rPr>
        <w:t>atenololom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enalaprilom</w:t>
      </w:r>
      <w:proofErr w:type="spellEnd"/>
      <w:r w:rsidRPr="000D67A2">
        <w:rPr>
          <w:sz w:val="22"/>
          <w:szCs w:val="22"/>
          <w:lang w:val="sr-Latn-ME"/>
        </w:rPr>
        <w:t xml:space="preserve"> ili teofilinom, nije bilo prijavljenih interakcija.</w:t>
      </w:r>
    </w:p>
    <w:p w14:paraId="15C53151" w14:textId="2D67AF03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Kada se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daje sa </w:t>
      </w:r>
      <w:proofErr w:type="spellStart"/>
      <w:r w:rsidRPr="000D67A2">
        <w:rPr>
          <w:sz w:val="22"/>
          <w:szCs w:val="22"/>
          <w:lang w:val="sr-Latn-ME"/>
        </w:rPr>
        <w:t>cimetidinom</w:t>
      </w:r>
      <w:proofErr w:type="spellEnd"/>
      <w:r w:rsidRPr="000D67A2">
        <w:rPr>
          <w:sz w:val="22"/>
          <w:szCs w:val="22"/>
          <w:lang w:val="sr-Latn-ME"/>
        </w:rPr>
        <w:t xml:space="preserve"> dolazi do povišenja koncentracije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u plazmi, dok se kod istovremene primjene sa </w:t>
      </w:r>
      <w:proofErr w:type="spellStart"/>
      <w:r w:rsidRPr="000D67A2">
        <w:rPr>
          <w:sz w:val="22"/>
          <w:szCs w:val="22"/>
          <w:lang w:val="sr-Latn-ME"/>
        </w:rPr>
        <w:t>furosemidom</w:t>
      </w:r>
      <w:proofErr w:type="spellEnd"/>
      <w:r w:rsidRPr="000D67A2">
        <w:rPr>
          <w:sz w:val="22"/>
          <w:szCs w:val="22"/>
          <w:lang w:val="sr-Latn-ME"/>
        </w:rPr>
        <w:t xml:space="preserve"> smanjuje koncentracija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u plazmi, ali kako vrijednosti ostaju u okviru normalnih, nije potrebna promjena u doziranju. </w:t>
      </w:r>
    </w:p>
    <w:p w14:paraId="4901B031" w14:textId="77777777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</w:p>
    <w:p w14:paraId="60D11161" w14:textId="7DB1C9AC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U </w:t>
      </w:r>
      <w:r w:rsidRPr="000D67A2">
        <w:rPr>
          <w:i/>
          <w:sz w:val="22"/>
          <w:szCs w:val="22"/>
          <w:lang w:val="sr-Latn-ME"/>
        </w:rPr>
        <w:t xml:space="preserve">in </w:t>
      </w:r>
      <w:proofErr w:type="spellStart"/>
      <w:r w:rsidRPr="000D67A2">
        <w:rPr>
          <w:i/>
          <w:sz w:val="22"/>
          <w:szCs w:val="22"/>
          <w:lang w:val="sr-Latn-ME"/>
        </w:rPr>
        <w:t>vitro</w:t>
      </w:r>
      <w:proofErr w:type="spellEnd"/>
      <w:r w:rsidRPr="000D67A2">
        <w:rPr>
          <w:sz w:val="22"/>
          <w:szCs w:val="22"/>
          <w:lang w:val="sr-Latn-ME"/>
        </w:rPr>
        <w:t xml:space="preserve"> uslovima </w:t>
      </w:r>
      <w:proofErr w:type="spellStart"/>
      <w:r w:rsidRPr="000D67A2">
        <w:rPr>
          <w:sz w:val="22"/>
          <w:szCs w:val="22"/>
          <w:lang w:val="sr-Latn-ME"/>
        </w:rPr>
        <w:t>diazepam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propranolol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trihlormetiazid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hlormadinon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amitriptilin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diklofenak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glibenklamid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simvastatin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varfarin</w:t>
      </w:r>
      <w:proofErr w:type="spellEnd"/>
      <w:r w:rsidRPr="000D67A2">
        <w:rPr>
          <w:sz w:val="22"/>
          <w:szCs w:val="22"/>
          <w:lang w:val="sr-Latn-ME"/>
        </w:rPr>
        <w:t xml:space="preserve"> ne mijenjaju koncentraciju slobodnog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u plazmi. Takođe,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ne utiče na nivo </w:t>
      </w:r>
      <w:proofErr w:type="spellStart"/>
      <w:r w:rsidRPr="000D67A2">
        <w:rPr>
          <w:sz w:val="22"/>
          <w:szCs w:val="22"/>
          <w:lang w:val="sr-Latn-ME"/>
        </w:rPr>
        <w:t>diazepama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propranolola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trihlormetiazida</w:t>
      </w:r>
      <w:proofErr w:type="spellEnd"/>
      <w:r w:rsidRPr="000D67A2">
        <w:rPr>
          <w:sz w:val="22"/>
          <w:szCs w:val="22"/>
          <w:lang w:val="sr-Latn-ME"/>
        </w:rPr>
        <w:t xml:space="preserve"> i </w:t>
      </w:r>
      <w:proofErr w:type="spellStart"/>
      <w:r w:rsidRPr="000D67A2">
        <w:rPr>
          <w:sz w:val="22"/>
          <w:szCs w:val="22"/>
          <w:lang w:val="sr-Latn-ME"/>
        </w:rPr>
        <w:t>hlormadinona</w:t>
      </w:r>
      <w:proofErr w:type="spellEnd"/>
      <w:r w:rsidRPr="000D67A2">
        <w:rPr>
          <w:sz w:val="22"/>
          <w:szCs w:val="22"/>
          <w:lang w:val="sr-Latn-ME"/>
        </w:rPr>
        <w:t xml:space="preserve">. Međutim, </w:t>
      </w:r>
      <w:proofErr w:type="spellStart"/>
      <w:r w:rsidRPr="000D67A2">
        <w:rPr>
          <w:sz w:val="22"/>
          <w:szCs w:val="22"/>
          <w:lang w:val="sr-Latn-ME"/>
        </w:rPr>
        <w:t>diklofenak</w:t>
      </w:r>
      <w:proofErr w:type="spellEnd"/>
      <w:r w:rsidRPr="000D67A2">
        <w:rPr>
          <w:sz w:val="22"/>
          <w:szCs w:val="22"/>
          <w:lang w:val="sr-Latn-ME"/>
        </w:rPr>
        <w:t xml:space="preserve"> i </w:t>
      </w:r>
      <w:proofErr w:type="spellStart"/>
      <w:r w:rsidRPr="000D67A2">
        <w:rPr>
          <w:sz w:val="22"/>
          <w:szCs w:val="22"/>
          <w:lang w:val="sr-Latn-ME"/>
        </w:rPr>
        <w:t>varfarin</w:t>
      </w:r>
      <w:proofErr w:type="spellEnd"/>
      <w:r w:rsidRPr="000D67A2">
        <w:rPr>
          <w:sz w:val="22"/>
          <w:szCs w:val="22"/>
          <w:lang w:val="sr-Latn-ME"/>
        </w:rPr>
        <w:t xml:space="preserve"> mogu povećati </w:t>
      </w:r>
      <w:r w:rsidR="00AC5320" w:rsidRPr="000D67A2">
        <w:rPr>
          <w:sz w:val="22"/>
          <w:szCs w:val="22"/>
          <w:lang w:val="sr-Latn-ME"/>
        </w:rPr>
        <w:t>brzinu</w:t>
      </w:r>
      <w:r w:rsidRPr="000D67A2">
        <w:rPr>
          <w:sz w:val="22"/>
          <w:szCs w:val="22"/>
          <w:lang w:val="sr-Latn-ME"/>
        </w:rPr>
        <w:t xml:space="preserve"> eliminacije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>.</w:t>
      </w:r>
    </w:p>
    <w:p w14:paraId="4F949E50" w14:textId="77777777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</w:p>
    <w:p w14:paraId="138A485E" w14:textId="2892C58B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lastRenderedPageBreak/>
        <w:t xml:space="preserve">Istovremena primjena sa snažnim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inhibitorima</w:t>
      </w:r>
      <w:proofErr w:type="spellEnd"/>
      <w:r w:rsidRPr="000D67A2">
        <w:rPr>
          <w:sz w:val="22"/>
          <w:szCs w:val="22"/>
          <w:lang w:val="sr-Latn-ME"/>
        </w:rPr>
        <w:t xml:space="preserve"> može dovesti do povećane izloženosti </w:t>
      </w:r>
      <w:proofErr w:type="spellStart"/>
      <w:r w:rsidRPr="000D67A2">
        <w:rPr>
          <w:sz w:val="22"/>
          <w:szCs w:val="22"/>
          <w:lang w:val="sr-Latn-ME"/>
        </w:rPr>
        <w:t>tamsulosinu</w:t>
      </w:r>
      <w:proofErr w:type="spellEnd"/>
      <w:r w:rsidRPr="000D67A2">
        <w:rPr>
          <w:sz w:val="22"/>
          <w:szCs w:val="22"/>
          <w:lang w:val="sr-Latn-ME"/>
        </w:rPr>
        <w:t xml:space="preserve">. Tokom istovremene terapije sa </w:t>
      </w:r>
      <w:proofErr w:type="spellStart"/>
      <w:r w:rsidRPr="000D67A2">
        <w:rPr>
          <w:sz w:val="22"/>
          <w:szCs w:val="22"/>
          <w:lang w:val="sr-Latn-ME"/>
        </w:rPr>
        <w:t>ketokonazolom</w:t>
      </w:r>
      <w:proofErr w:type="spellEnd"/>
      <w:r w:rsidRPr="000D67A2">
        <w:rPr>
          <w:sz w:val="22"/>
          <w:szCs w:val="22"/>
          <w:lang w:val="sr-Latn-ME"/>
        </w:rPr>
        <w:t xml:space="preserve"> (snažnim </w:t>
      </w:r>
      <w:proofErr w:type="spellStart"/>
      <w:r w:rsidRPr="000D67A2">
        <w:rPr>
          <w:sz w:val="22"/>
          <w:szCs w:val="22"/>
          <w:lang w:val="sr-Latn-ME"/>
        </w:rPr>
        <w:t>inhibitorom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) dolazi do povećanja vrijednosti PIK-a i </w:t>
      </w:r>
      <w:proofErr w:type="spellStart"/>
      <w:r w:rsidRPr="000D67A2">
        <w:rPr>
          <w:sz w:val="22"/>
          <w:szCs w:val="22"/>
          <w:lang w:val="sr-Latn-ME"/>
        </w:rPr>
        <w:t>C</w:t>
      </w:r>
      <w:r w:rsidRPr="000D67A2">
        <w:rPr>
          <w:sz w:val="22"/>
          <w:szCs w:val="22"/>
          <w:vertAlign w:val="subscript"/>
          <w:lang w:val="sr-Latn-ME"/>
        </w:rPr>
        <w:t>max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za faktor 2.8, odnosno 2.2.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ne treba primjenjivati istovremeno sa snažnim </w:t>
      </w:r>
      <w:proofErr w:type="spellStart"/>
      <w:r w:rsidRPr="000D67A2">
        <w:rPr>
          <w:sz w:val="22"/>
          <w:szCs w:val="22"/>
          <w:lang w:val="sr-Latn-ME"/>
        </w:rPr>
        <w:t>inhibitorima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 kod pacijenata sa </w:t>
      </w:r>
      <w:proofErr w:type="spellStart"/>
      <w:r w:rsidRPr="000D67A2">
        <w:rPr>
          <w:sz w:val="22"/>
          <w:szCs w:val="22"/>
          <w:lang w:val="sr-Latn-ME"/>
        </w:rPr>
        <w:t>fenotipom</w:t>
      </w:r>
      <w:proofErr w:type="spellEnd"/>
      <w:r w:rsidRPr="000D67A2">
        <w:rPr>
          <w:sz w:val="22"/>
          <w:szCs w:val="22"/>
          <w:lang w:val="sr-Latn-ME"/>
        </w:rPr>
        <w:t xml:space="preserve"> sporih </w:t>
      </w:r>
      <w:proofErr w:type="spellStart"/>
      <w:r w:rsidRPr="000D67A2">
        <w:rPr>
          <w:sz w:val="22"/>
          <w:szCs w:val="22"/>
          <w:lang w:val="sr-Latn-ME"/>
        </w:rPr>
        <w:t>metabolizera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CYP2D6</w:t>
      </w:r>
      <w:proofErr w:type="spellEnd"/>
      <w:r w:rsidRPr="000D67A2">
        <w:rPr>
          <w:sz w:val="22"/>
          <w:szCs w:val="22"/>
          <w:lang w:val="sr-Latn-ME"/>
        </w:rPr>
        <w:t xml:space="preserve">. </w:t>
      </w:r>
    </w:p>
    <w:p w14:paraId="3B0707CE" w14:textId="273C5EE6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treba primjenjivati sa oprezom u kombinaciji sa snažnim i umjerenim </w:t>
      </w:r>
      <w:proofErr w:type="spellStart"/>
      <w:r w:rsidRPr="000D67A2">
        <w:rPr>
          <w:sz w:val="22"/>
          <w:szCs w:val="22"/>
          <w:lang w:val="sr-Latn-ME"/>
        </w:rPr>
        <w:t>inhibitorima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>.</w:t>
      </w:r>
    </w:p>
    <w:p w14:paraId="17C33285" w14:textId="77777777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Tokom istovremene primjene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i </w:t>
      </w:r>
      <w:proofErr w:type="spellStart"/>
      <w:r w:rsidRPr="000D67A2">
        <w:rPr>
          <w:sz w:val="22"/>
          <w:szCs w:val="22"/>
          <w:lang w:val="sr-Latn-ME"/>
        </w:rPr>
        <w:t>paroksetina</w:t>
      </w:r>
      <w:proofErr w:type="spellEnd"/>
      <w:r w:rsidRPr="000D67A2">
        <w:rPr>
          <w:sz w:val="22"/>
          <w:szCs w:val="22"/>
          <w:lang w:val="sr-Latn-ME"/>
        </w:rPr>
        <w:t xml:space="preserve"> (snažan </w:t>
      </w:r>
      <w:proofErr w:type="spellStart"/>
      <w:r w:rsidRPr="000D67A2">
        <w:rPr>
          <w:sz w:val="22"/>
          <w:szCs w:val="22"/>
          <w:lang w:val="sr-Latn-ME"/>
        </w:rPr>
        <w:t>inhibitor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CYP2D6</w:t>
      </w:r>
      <w:proofErr w:type="spellEnd"/>
      <w:r w:rsidRPr="000D67A2">
        <w:rPr>
          <w:sz w:val="22"/>
          <w:szCs w:val="22"/>
          <w:lang w:val="sr-Latn-ME"/>
        </w:rPr>
        <w:t xml:space="preserve">) dolazi do povećanja vrijednosti PIK-a i </w:t>
      </w:r>
      <w:proofErr w:type="spellStart"/>
      <w:r w:rsidRPr="000D67A2">
        <w:rPr>
          <w:sz w:val="22"/>
          <w:szCs w:val="22"/>
          <w:lang w:val="sr-Latn-ME"/>
        </w:rPr>
        <w:t>C</w:t>
      </w:r>
      <w:r w:rsidRPr="000D67A2">
        <w:rPr>
          <w:sz w:val="22"/>
          <w:szCs w:val="22"/>
          <w:vertAlign w:val="subscript"/>
          <w:lang w:val="sr-Latn-ME"/>
        </w:rPr>
        <w:t>max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za faktor 1,3, odnosno 1,6, ali se ovo povećanje ne smatra klinički značajnim.</w:t>
      </w:r>
    </w:p>
    <w:p w14:paraId="3675D323" w14:textId="77777777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</w:p>
    <w:p w14:paraId="6131AFBE" w14:textId="55D8A2AD" w:rsidR="00484E42" w:rsidRPr="000D67A2" w:rsidRDefault="00484E42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Kod istovremene primjene sa</w:t>
      </w:r>
      <w:r w:rsidR="00954661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drugim antagonistima α</w:t>
      </w:r>
      <w:r w:rsidRPr="000D67A2">
        <w:rPr>
          <w:sz w:val="22"/>
          <w:szCs w:val="22"/>
          <w:vertAlign w:val="subscript"/>
          <w:lang w:val="sr-Latn-ME"/>
        </w:rPr>
        <w:t>1</w:t>
      </w:r>
      <w:r w:rsidRPr="000D67A2">
        <w:rPr>
          <w:sz w:val="22"/>
          <w:szCs w:val="22"/>
          <w:lang w:val="sr-Latn-ME"/>
        </w:rPr>
        <w:t>-</w:t>
      </w:r>
      <w:proofErr w:type="spellStart"/>
      <w:r w:rsidRPr="000D67A2">
        <w:rPr>
          <w:sz w:val="22"/>
          <w:szCs w:val="22"/>
          <w:lang w:val="sr-Latn-ME"/>
        </w:rPr>
        <w:t>adrenoreceptora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r w:rsidR="00A82A89" w:rsidRPr="000D67A2">
        <w:rPr>
          <w:sz w:val="22"/>
          <w:szCs w:val="22"/>
          <w:lang w:val="sr-Latn-ME"/>
        </w:rPr>
        <w:t>može doći do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hipotenzivnih</w:t>
      </w:r>
      <w:proofErr w:type="spellEnd"/>
      <w:r w:rsidRPr="000D67A2">
        <w:rPr>
          <w:sz w:val="22"/>
          <w:szCs w:val="22"/>
          <w:lang w:val="sr-Latn-ME"/>
        </w:rPr>
        <w:t xml:space="preserve"> efekata.</w:t>
      </w:r>
    </w:p>
    <w:p w14:paraId="23DDF956" w14:textId="77777777" w:rsidR="00484E42" w:rsidRPr="000D67A2" w:rsidRDefault="00484E42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501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4.6.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="006D20A5" w:rsidRPr="000D67A2">
        <w:rPr>
          <w:b/>
          <w:sz w:val="22"/>
          <w:szCs w:val="22"/>
          <w:lang w:val="sr-Latn-ME"/>
        </w:rPr>
        <w:t>Plodnost, trudnoća i dojenje</w:t>
      </w:r>
    </w:p>
    <w:p w14:paraId="6C731502" w14:textId="77777777" w:rsidR="002031B3" w:rsidRPr="000D67A2" w:rsidRDefault="002031B3" w:rsidP="001B5DD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2D4993F" w14:textId="25A50AEB" w:rsidR="00484E42" w:rsidRPr="000D67A2" w:rsidRDefault="00954661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Lijek </w:t>
      </w:r>
      <w:proofErr w:type="spellStart"/>
      <w:r w:rsidR="00484E42" w:rsidRPr="000D67A2">
        <w:rPr>
          <w:sz w:val="22"/>
          <w:szCs w:val="22"/>
          <w:lang w:val="sr-Latn-ME"/>
        </w:rPr>
        <w:t>Tamsol</w:t>
      </w:r>
      <w:proofErr w:type="spellEnd"/>
      <w:r w:rsidR="00484E42" w:rsidRPr="000D67A2">
        <w:rPr>
          <w:sz w:val="22"/>
          <w:szCs w:val="22"/>
          <w:vertAlign w:val="superscript"/>
          <w:lang w:val="sr-Latn-ME"/>
        </w:rPr>
        <w:t xml:space="preserve"> </w:t>
      </w:r>
      <w:r w:rsidR="00484E42" w:rsidRPr="000D67A2">
        <w:rPr>
          <w:sz w:val="22"/>
          <w:szCs w:val="22"/>
          <w:lang w:val="sr-Latn-ME"/>
        </w:rPr>
        <w:t xml:space="preserve">je </w:t>
      </w:r>
      <w:proofErr w:type="spellStart"/>
      <w:r w:rsidR="00484E42" w:rsidRPr="000D67A2">
        <w:rPr>
          <w:sz w:val="22"/>
          <w:szCs w:val="22"/>
          <w:lang w:val="sr-Latn-ME"/>
        </w:rPr>
        <w:t>indikovan</w:t>
      </w:r>
      <w:proofErr w:type="spellEnd"/>
      <w:r w:rsidR="00484E42" w:rsidRPr="000D67A2">
        <w:rPr>
          <w:sz w:val="22"/>
          <w:szCs w:val="22"/>
          <w:lang w:val="sr-Latn-ME"/>
        </w:rPr>
        <w:t xml:space="preserve"> samo za primjenu kod muškaraca.</w:t>
      </w:r>
    </w:p>
    <w:p w14:paraId="0107D40B" w14:textId="77777777" w:rsidR="00484E42" w:rsidRPr="000D67A2" w:rsidRDefault="00484E42" w:rsidP="001B5DD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45E486B" w14:textId="36C6D546" w:rsidR="00484E42" w:rsidRPr="000D67A2" w:rsidRDefault="00484E42" w:rsidP="001B5DD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Primijećeni su poremećaji ejakulacije u kratkotrajnim i dugotrajnim kliničkim ispitivanjima sa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>.</w:t>
      </w:r>
      <w:r w:rsidR="009F3AB8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Nakon stavljanja lijeka u promet primijećeni su slučajevi poremećaja ejakulacije, retrogradne ejakulacije i nemogućnosti ejakulacije.</w:t>
      </w:r>
    </w:p>
    <w:p w14:paraId="6C731508" w14:textId="77777777" w:rsidR="00227BDB" w:rsidRPr="000D67A2" w:rsidRDefault="00227BDB" w:rsidP="001B5DD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C731509" w14:textId="77777777" w:rsidR="0072020E" w:rsidRPr="000D67A2" w:rsidRDefault="0072020E" w:rsidP="001B5DD4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4.7.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 xml:space="preserve">Uticaj na </w:t>
      </w:r>
      <w:r w:rsidR="002031B3" w:rsidRPr="000D67A2">
        <w:rPr>
          <w:b/>
          <w:bCs/>
          <w:sz w:val="22"/>
          <w:szCs w:val="22"/>
          <w:lang w:val="sr-Latn-ME"/>
        </w:rPr>
        <w:t xml:space="preserve">sposobnost </w:t>
      </w:r>
      <w:r w:rsidR="00F34554" w:rsidRPr="000D67A2">
        <w:rPr>
          <w:b/>
          <w:bCs/>
          <w:sz w:val="22"/>
          <w:szCs w:val="22"/>
          <w:lang w:val="sr-Latn-ME"/>
        </w:rPr>
        <w:t>upravljanja vozili</w:t>
      </w:r>
      <w:r w:rsidRPr="000D67A2">
        <w:rPr>
          <w:b/>
          <w:bCs/>
          <w:sz w:val="22"/>
          <w:szCs w:val="22"/>
          <w:lang w:val="sr-Latn-ME"/>
        </w:rPr>
        <w:t>m</w:t>
      </w:r>
      <w:r w:rsidR="00F34554" w:rsidRPr="000D67A2">
        <w:rPr>
          <w:b/>
          <w:bCs/>
          <w:sz w:val="22"/>
          <w:szCs w:val="22"/>
          <w:lang w:val="sr-Latn-ME"/>
        </w:rPr>
        <w:t>a</w:t>
      </w:r>
      <w:r w:rsidRPr="000D67A2">
        <w:rPr>
          <w:b/>
          <w:bCs/>
          <w:sz w:val="22"/>
          <w:szCs w:val="22"/>
          <w:lang w:val="sr-Latn-ME"/>
        </w:rPr>
        <w:t xml:space="preserve"> i </w:t>
      </w:r>
      <w:r w:rsidR="000D3449" w:rsidRPr="000D67A2">
        <w:rPr>
          <w:b/>
          <w:bCs/>
          <w:sz w:val="22"/>
          <w:szCs w:val="22"/>
          <w:lang w:val="sr-Latn-ME"/>
        </w:rPr>
        <w:t xml:space="preserve">rukovanje </w:t>
      </w:r>
      <w:r w:rsidRPr="000D67A2">
        <w:rPr>
          <w:b/>
          <w:bCs/>
          <w:sz w:val="22"/>
          <w:szCs w:val="22"/>
          <w:lang w:val="sr-Latn-ME"/>
        </w:rPr>
        <w:t>mašinama</w:t>
      </w:r>
    </w:p>
    <w:p w14:paraId="6C73150A" w14:textId="6445912D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DA50D7C" w14:textId="34FA0202" w:rsidR="00484E42" w:rsidRPr="000D67A2" w:rsidRDefault="00484E42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Ispitivanja o uticaju </w:t>
      </w:r>
      <w:proofErr w:type="spellStart"/>
      <w:r w:rsidR="00BC77DD" w:rsidRPr="000D67A2">
        <w:rPr>
          <w:sz w:val="22"/>
          <w:szCs w:val="22"/>
          <w:lang w:val="sr-Latn-ME"/>
        </w:rPr>
        <w:t>tamsulosina</w:t>
      </w:r>
      <w:proofErr w:type="spellEnd"/>
      <w:r w:rsidR="00BC77DD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na</w:t>
      </w:r>
      <w:r w:rsidR="00BC77DD" w:rsidRPr="000D67A2">
        <w:rPr>
          <w:sz w:val="22"/>
          <w:szCs w:val="22"/>
          <w:lang w:val="sr-Latn-ME"/>
        </w:rPr>
        <w:t xml:space="preserve"> sposobnost upravljanja vozilima i rukovanje mašinama</w:t>
      </w:r>
      <w:r w:rsidR="001B5DD4" w:rsidRPr="000D67A2">
        <w:rPr>
          <w:sz w:val="22"/>
          <w:szCs w:val="22"/>
          <w:lang w:val="sr-Latn-ME"/>
        </w:rPr>
        <w:t xml:space="preserve"> nijesu sprovedena</w:t>
      </w:r>
      <w:r w:rsidRPr="000D67A2">
        <w:rPr>
          <w:sz w:val="22"/>
          <w:szCs w:val="22"/>
          <w:lang w:val="sr-Latn-ME"/>
        </w:rPr>
        <w:t>. Ipak, potrebno je pacijentima skrenuti pažnju na moguću pojavu vrtoglavice</w:t>
      </w:r>
      <w:r w:rsidR="00CE2371" w:rsidRPr="000D67A2">
        <w:rPr>
          <w:sz w:val="22"/>
          <w:szCs w:val="22"/>
          <w:lang w:val="sr-Latn-ME"/>
        </w:rPr>
        <w:t>.</w:t>
      </w:r>
    </w:p>
    <w:p w14:paraId="5BDF46E9" w14:textId="77777777" w:rsidR="00484E42" w:rsidRPr="000D67A2" w:rsidRDefault="00484E42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CB6F9A4" w14:textId="22A13E31" w:rsidR="00954661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4.8.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Neželjena dejstva</w:t>
      </w:r>
    </w:p>
    <w:p w14:paraId="79C23E6D" w14:textId="77777777" w:rsidR="00484E42" w:rsidRPr="000D67A2" w:rsidRDefault="00484E42" w:rsidP="001B5DD4">
      <w:pPr>
        <w:tabs>
          <w:tab w:val="left" w:pos="540"/>
          <w:tab w:val="left" w:pos="569"/>
        </w:tabs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6C356655" w14:textId="379E58B0" w:rsidR="00484E42" w:rsidRPr="000D67A2" w:rsidRDefault="00484E42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Neželjena dejstva koja se mogu javiti tokom terapije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su predstavljena po učestalost</w:t>
      </w:r>
      <w:r w:rsidR="009F3AB8" w:rsidRPr="000D67A2">
        <w:rPr>
          <w:sz w:val="22"/>
          <w:szCs w:val="22"/>
          <w:lang w:val="sr-Latn-ME"/>
        </w:rPr>
        <w:t>i</w:t>
      </w:r>
      <w:r w:rsidRPr="000D67A2">
        <w:rPr>
          <w:sz w:val="22"/>
          <w:szCs w:val="22"/>
          <w:lang w:val="sr-Latn-ME"/>
        </w:rPr>
        <w:t xml:space="preserve"> javljanja:</w:t>
      </w:r>
    </w:p>
    <w:p w14:paraId="57A3BEA5" w14:textId="77777777" w:rsidR="00484E42" w:rsidRPr="000D67A2" w:rsidRDefault="00484E42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52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1279"/>
        <w:gridCol w:w="1754"/>
        <w:gridCol w:w="1405"/>
        <w:gridCol w:w="1389"/>
        <w:gridCol w:w="1389"/>
      </w:tblGrid>
      <w:tr w:rsidR="00484E42" w:rsidRPr="000D67A2" w14:paraId="6E1B3C9A" w14:textId="77777777" w:rsidTr="009F3AB8">
        <w:trPr>
          <w:trHeight w:val="673"/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59762" w14:textId="77777777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b/>
                <w:bCs/>
                <w:i/>
                <w:iCs/>
                <w:sz w:val="22"/>
                <w:szCs w:val="22"/>
                <w:lang w:val="sr-Latn-ME"/>
              </w:rPr>
              <w:t>MedDRA</w:t>
            </w:r>
            <w:proofErr w:type="spellEnd"/>
            <w:r w:rsidRPr="000D67A2">
              <w:rPr>
                <w:b/>
                <w:bCs/>
                <w:i/>
                <w:iCs/>
                <w:sz w:val="22"/>
                <w:szCs w:val="22"/>
                <w:lang w:val="sr-Latn-ME"/>
              </w:rPr>
              <w:t xml:space="preserve"> klasifikacija  sistema organa</w:t>
            </w:r>
          </w:p>
          <w:p w14:paraId="001D6379" w14:textId="77777777" w:rsidR="00484E42" w:rsidRPr="000D67A2" w:rsidRDefault="00484E42" w:rsidP="001B5DD4">
            <w:pPr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DB668" w14:textId="1EDBB0D3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Čest</w:t>
            </w:r>
            <w:r w:rsidR="000A42F4" w:rsidRPr="000D67A2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2BCB7605" w14:textId="77777777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(&gt;1/100, &lt;1/10)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7B758C" w14:textId="6D1B4C04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Povremen</w:t>
            </w:r>
            <w:r w:rsidR="000A42F4" w:rsidRPr="000D67A2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16594A5A" w14:textId="77777777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(&gt;1/1 000, &lt;1/100)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60940" w14:textId="4B402C97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Rijetk</w:t>
            </w:r>
            <w:r w:rsidR="000A42F4" w:rsidRPr="000D67A2">
              <w:rPr>
                <w:b/>
                <w:bCs/>
                <w:sz w:val="22"/>
                <w:szCs w:val="22"/>
                <w:lang w:val="sr-Latn-ME"/>
              </w:rPr>
              <w:t>o</w:t>
            </w:r>
          </w:p>
          <w:p w14:paraId="031DE30D" w14:textId="77777777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(&gt;1/10 000, &lt;1/1 000)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C1482" w14:textId="77FB6F80" w:rsidR="00484E42" w:rsidRPr="000D67A2" w:rsidRDefault="00484E42" w:rsidP="001B5DD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Veoma rijetk</w:t>
            </w:r>
            <w:r w:rsidR="000A42F4" w:rsidRPr="000D67A2">
              <w:rPr>
                <w:b/>
                <w:bCs/>
                <w:sz w:val="22"/>
                <w:szCs w:val="22"/>
                <w:lang w:val="sr-Latn-ME"/>
              </w:rPr>
              <w:t>o</w:t>
            </w:r>
            <w:r w:rsidRPr="000D67A2">
              <w:rPr>
                <w:b/>
                <w:bCs/>
                <w:sz w:val="22"/>
                <w:szCs w:val="22"/>
                <w:lang w:val="sr-Latn-ME"/>
              </w:rPr>
              <w:t xml:space="preserve"> (&lt;1/10 000)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B8E33" w14:textId="77777777" w:rsidR="00484E42" w:rsidRPr="000D67A2" w:rsidRDefault="00484E42" w:rsidP="001B5DD4">
            <w:pPr>
              <w:pStyle w:val="NormalWeb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0D67A2">
              <w:rPr>
                <w:b/>
                <w:bCs/>
                <w:sz w:val="22"/>
                <w:szCs w:val="22"/>
                <w:lang w:val="sr-Latn-ME"/>
              </w:rPr>
              <w:t>Nepoznato (ne može se  procijeniti na osnovu dostupnih podataka)</w:t>
            </w:r>
          </w:p>
        </w:tc>
      </w:tr>
      <w:tr w:rsidR="00484E42" w:rsidRPr="000D67A2" w14:paraId="1D18AECC" w14:textId="77777777" w:rsidTr="009F3AB8">
        <w:trPr>
          <w:trHeight w:val="689"/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0C660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bCs/>
                <w:i/>
                <w:sz w:val="22"/>
                <w:szCs w:val="22"/>
                <w:lang w:val="sr-Latn-ME"/>
              </w:rPr>
            </w:pPr>
            <w:r w:rsidRPr="000D67A2">
              <w:rPr>
                <w:bCs/>
                <w:i/>
                <w:sz w:val="22"/>
                <w:szCs w:val="22"/>
                <w:lang w:val="sr-Latn-ME"/>
              </w:rPr>
              <w:t>Poremećaji nervnog sistema</w:t>
            </w:r>
          </w:p>
          <w:p w14:paraId="20F7100B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F2E31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vrtoglavica (1,3%)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BF07B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580FD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sinkopa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24FBD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36B9D9BB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2AD22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</w:p>
        </w:tc>
      </w:tr>
      <w:tr w:rsidR="009F3AB8" w:rsidRPr="000D67A2" w14:paraId="52CDB65C" w14:textId="77777777" w:rsidTr="001B5DD4">
        <w:trPr>
          <w:trHeight w:val="558"/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DCDB" w14:textId="77777777" w:rsidR="009F3AB8" w:rsidRPr="000D67A2" w:rsidRDefault="009F3AB8" w:rsidP="000D67A2">
            <w:pPr>
              <w:pStyle w:val="NormalWeb"/>
              <w:spacing w:before="0" w:beforeAutospacing="0" w:after="0" w:afterAutospacing="0"/>
              <w:rPr>
                <w:bCs/>
                <w:i/>
                <w:sz w:val="22"/>
                <w:szCs w:val="22"/>
                <w:lang w:val="sr-Latn-ME"/>
              </w:rPr>
            </w:pPr>
            <w:r w:rsidRPr="000D67A2">
              <w:rPr>
                <w:bCs/>
                <w:i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57ADA" w14:textId="77777777" w:rsidR="009F3AB8" w:rsidRPr="000D67A2" w:rsidRDefault="009F3AB8" w:rsidP="000D67A2">
            <w:pPr>
              <w:pStyle w:val="NormalWeb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6C700" w14:textId="77777777" w:rsidR="009F3AB8" w:rsidRPr="000D67A2" w:rsidRDefault="009F3AB8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D219E" w14:textId="77777777" w:rsidR="009F3AB8" w:rsidRPr="000D67A2" w:rsidRDefault="009F3AB8" w:rsidP="000D67A2">
            <w:pPr>
              <w:pStyle w:val="NormalWeb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F8357" w14:textId="77777777" w:rsidR="009F3AB8" w:rsidRPr="000D67A2" w:rsidRDefault="009F3AB8" w:rsidP="000D67A2">
            <w:pPr>
              <w:pStyle w:val="NormalWeb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E6B63" w14:textId="554CFCE2" w:rsidR="009F3AB8" w:rsidRPr="000D67A2" w:rsidRDefault="009F3AB8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zamućen vid</w:t>
            </w:r>
          </w:p>
          <w:p w14:paraId="146A7315" w14:textId="25D6B6C3" w:rsidR="009F3AB8" w:rsidRPr="000D67A2" w:rsidRDefault="009F3AB8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oštećenje vida</w:t>
            </w:r>
          </w:p>
        </w:tc>
      </w:tr>
      <w:tr w:rsidR="00484E42" w:rsidRPr="000D67A2" w14:paraId="77C15F9A" w14:textId="77777777" w:rsidTr="009F3AB8">
        <w:trPr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6797C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i/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F7EC9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29CFBEB6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40FDB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t>palpitacije</w:t>
            </w:r>
            <w:proofErr w:type="spellEnd"/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0FFD3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0D13357F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F592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2794B0DE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1EB6D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</w:tr>
      <w:tr w:rsidR="00484E42" w:rsidRPr="000D67A2" w14:paraId="052CEC74" w14:textId="77777777" w:rsidTr="009F3AB8">
        <w:trPr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DA130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i/>
                <w:sz w:val="22"/>
                <w:szCs w:val="22"/>
                <w:lang w:val="sr-Latn-ME"/>
              </w:rPr>
              <w:t>Vaskularni poremećaji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D8D38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F94ED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t>ortostatska</w:t>
            </w:r>
            <w:proofErr w:type="spellEnd"/>
            <w:r w:rsidRPr="000D67A2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D67A2">
              <w:rPr>
                <w:sz w:val="22"/>
                <w:szCs w:val="22"/>
                <w:lang w:val="sr-Latn-ME"/>
              </w:rPr>
              <w:t>hipotenzija</w:t>
            </w:r>
            <w:proofErr w:type="spellEnd"/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14468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EA0A71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87E3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</w:tr>
      <w:tr w:rsidR="00484E42" w:rsidRPr="000D67A2" w14:paraId="5440A016" w14:textId="77777777" w:rsidTr="009F3AB8">
        <w:trPr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7E194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bCs/>
                <w:i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0D67A2">
              <w:rPr>
                <w:bCs/>
                <w:i/>
                <w:sz w:val="22"/>
                <w:szCs w:val="22"/>
                <w:lang w:val="sr-Latn-ME"/>
              </w:rPr>
              <w:t>medijastinalni</w:t>
            </w:r>
            <w:proofErr w:type="spellEnd"/>
            <w:r w:rsidRPr="000D67A2">
              <w:rPr>
                <w:bCs/>
                <w:i/>
                <w:sz w:val="22"/>
                <w:szCs w:val="22"/>
                <w:lang w:val="sr-Latn-ME"/>
              </w:rPr>
              <w:t xml:space="preserve"> poremećaji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5B086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0421E2A5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07EE1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t>rinitis</w:t>
            </w:r>
            <w:proofErr w:type="spellEnd"/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03449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39B2B75A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0C194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217F01FD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C1BBB" w14:textId="03F168C1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t>epistaksa</w:t>
            </w:r>
            <w:proofErr w:type="spellEnd"/>
          </w:p>
        </w:tc>
      </w:tr>
      <w:tr w:rsidR="00484E42" w:rsidRPr="000D67A2" w14:paraId="209D170C" w14:textId="77777777" w:rsidTr="009F3AB8">
        <w:trPr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A4CF3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bCs/>
                <w:i/>
                <w:sz w:val="22"/>
                <w:szCs w:val="22"/>
                <w:lang w:val="sr-Latn-ME"/>
              </w:rPr>
              <w:t>Gastrointestinalni  poremećaji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6E1C5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52BFEDB9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FC406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konstipacija, dijareja, mučnina, povraćanje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FF0A5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4D1FDB4F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D38CB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13E8AE72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791810" w14:textId="5F4C734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suva usta</w:t>
            </w:r>
          </w:p>
        </w:tc>
      </w:tr>
      <w:tr w:rsidR="00484E42" w:rsidRPr="000D67A2" w14:paraId="621796B8" w14:textId="77777777" w:rsidTr="009F3AB8">
        <w:trPr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9FD27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i/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19A2E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7344CED1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F2EA6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osip, svrab, urtikarija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D6090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E2804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  <w:proofErr w:type="spellStart"/>
            <w:r w:rsidRPr="000D67A2">
              <w:rPr>
                <w:i/>
                <w:sz w:val="22"/>
                <w:szCs w:val="22"/>
                <w:lang w:val="sr-Latn-ME"/>
              </w:rPr>
              <w:t>Stevens</w:t>
            </w:r>
            <w:proofErr w:type="spellEnd"/>
            <w:r w:rsidRPr="000D67A2">
              <w:rPr>
                <w:i/>
                <w:sz w:val="22"/>
                <w:szCs w:val="22"/>
                <w:lang w:val="sr-Latn-ME"/>
              </w:rPr>
              <w:t>-Johnson</w:t>
            </w:r>
            <w:r w:rsidRPr="000D67A2">
              <w:rPr>
                <w:sz w:val="22"/>
                <w:szCs w:val="22"/>
                <w:lang w:val="sr-Latn-ME"/>
              </w:rPr>
              <w:t>-ov sindrom</w:t>
            </w:r>
          </w:p>
          <w:p w14:paraId="40F1E1AB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lastRenderedPageBreak/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48F25" w14:textId="00DDE461" w:rsidR="009F3AB8" w:rsidRPr="000D67A2" w:rsidRDefault="00484E42" w:rsidP="000D67A2">
            <w:pPr>
              <w:pStyle w:val="NormalWeb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lastRenderedPageBreak/>
              <w:t>multiformni</w:t>
            </w:r>
            <w:proofErr w:type="spellEnd"/>
            <w:r w:rsidRPr="000D67A2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0D67A2">
              <w:rPr>
                <w:sz w:val="22"/>
                <w:szCs w:val="22"/>
                <w:lang w:val="sr-Latn-ME"/>
              </w:rPr>
              <w:t>eritem</w:t>
            </w:r>
            <w:proofErr w:type="spellEnd"/>
          </w:p>
          <w:p w14:paraId="1C3CC328" w14:textId="5B8F192E" w:rsidR="00484E42" w:rsidRPr="000D67A2" w:rsidRDefault="00484E42" w:rsidP="000D67A2">
            <w:pPr>
              <w:pStyle w:val="NormalWeb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lastRenderedPageBreak/>
              <w:t>eksfolijativni</w:t>
            </w:r>
            <w:proofErr w:type="spellEnd"/>
            <w:r w:rsidRPr="000D67A2">
              <w:rPr>
                <w:sz w:val="22"/>
                <w:szCs w:val="22"/>
                <w:lang w:val="sr-Latn-ME"/>
              </w:rPr>
              <w:t xml:space="preserve"> dermatitis</w:t>
            </w:r>
          </w:p>
        </w:tc>
      </w:tr>
      <w:tr w:rsidR="00484E42" w:rsidRPr="000D67A2" w14:paraId="45AA95A7" w14:textId="77777777" w:rsidTr="009F3AB8">
        <w:trPr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DEBBB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i/>
                <w:sz w:val="22"/>
                <w:szCs w:val="22"/>
                <w:lang w:val="sr-Latn-ME"/>
              </w:rPr>
              <w:lastRenderedPageBreak/>
              <w:t>Poremećaji reproduktivnog sistema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94B6F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poremećaji ejakulacije koji uključuju retrogradnu ejakulaciju i nemogućnost ejakulacije</w:t>
            </w:r>
          </w:p>
          <w:p w14:paraId="03DFCDC0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4EBDB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917BC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215065B5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AA580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proofErr w:type="spellStart"/>
            <w:r w:rsidRPr="000D67A2">
              <w:rPr>
                <w:sz w:val="22"/>
                <w:szCs w:val="22"/>
                <w:lang w:val="sr-Latn-ME"/>
              </w:rPr>
              <w:t>prijapizam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BE3AF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</w:tr>
      <w:tr w:rsidR="00484E42" w:rsidRPr="000D67A2" w14:paraId="6B463788" w14:textId="77777777" w:rsidTr="009F3AB8">
        <w:trPr>
          <w:trHeight w:val="960"/>
          <w:tblCellSpacing w:w="0" w:type="dxa"/>
        </w:trPr>
        <w:tc>
          <w:tcPr>
            <w:tcW w:w="2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3C02C8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i/>
                <w:sz w:val="22"/>
                <w:szCs w:val="22"/>
                <w:lang w:val="sr-Latn-ME"/>
              </w:rPr>
            </w:pPr>
            <w:r w:rsidRPr="000D67A2">
              <w:rPr>
                <w:i/>
                <w:sz w:val="22"/>
                <w:szCs w:val="22"/>
                <w:lang w:val="sr-Latn-ME"/>
              </w:rPr>
              <w:t>Opšti poremećaji i poremećaji na mjestu primjene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387B3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6AB9BE15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E2695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astenija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DB251C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092B43C5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39091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5E5DE6C3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536AA9BF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  <w:p w14:paraId="3DFED53C" w14:textId="77777777" w:rsidR="00484E42" w:rsidRPr="000D67A2" w:rsidRDefault="00484E42" w:rsidP="000D67A2">
            <w:pPr>
              <w:rPr>
                <w:sz w:val="22"/>
                <w:szCs w:val="22"/>
                <w:lang w:val="sr-Latn-ME"/>
              </w:rPr>
            </w:pPr>
            <w:r w:rsidRPr="000D67A2">
              <w:rPr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73842" w14:textId="77777777" w:rsidR="00484E42" w:rsidRPr="000D67A2" w:rsidRDefault="00484E42" w:rsidP="000D67A2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sr-Latn-ME"/>
              </w:rPr>
            </w:pPr>
          </w:p>
        </w:tc>
      </w:tr>
    </w:tbl>
    <w:p w14:paraId="015CFD32" w14:textId="77777777" w:rsidR="0014509B" w:rsidRPr="000D67A2" w:rsidRDefault="0014509B" w:rsidP="001B5DD4">
      <w:pPr>
        <w:pStyle w:val="Header"/>
        <w:jc w:val="both"/>
        <w:rPr>
          <w:rFonts w:eastAsia="Calibri"/>
          <w:sz w:val="22"/>
          <w:szCs w:val="22"/>
          <w:u w:val="single"/>
          <w:lang w:val="sr-Latn-ME"/>
        </w:rPr>
      </w:pPr>
    </w:p>
    <w:p w14:paraId="005CB0CD" w14:textId="111D90AB" w:rsidR="00484E42" w:rsidRPr="000D67A2" w:rsidRDefault="00484E42" w:rsidP="001B5DD4">
      <w:pPr>
        <w:pStyle w:val="Header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Tokom </w:t>
      </w:r>
      <w:proofErr w:type="spellStart"/>
      <w:r w:rsidRPr="000D67A2">
        <w:rPr>
          <w:sz w:val="22"/>
          <w:szCs w:val="22"/>
          <w:lang w:val="sr-Latn-ME"/>
        </w:rPr>
        <w:t>postmarketinškog</w:t>
      </w:r>
      <w:proofErr w:type="spellEnd"/>
      <w:r w:rsidRPr="000D67A2">
        <w:rPr>
          <w:sz w:val="22"/>
          <w:szCs w:val="22"/>
          <w:lang w:val="sr-Latn-ME"/>
        </w:rPr>
        <w:t xml:space="preserve"> praćenja je uočeno da se tokom operacije katarakte i glaukoma može javiti sindrom male </w:t>
      </w:r>
      <w:proofErr w:type="spellStart"/>
      <w:r w:rsidRPr="000D67A2">
        <w:rPr>
          <w:sz w:val="22"/>
          <w:szCs w:val="22"/>
          <w:lang w:val="sr-Latn-ME"/>
        </w:rPr>
        <w:t>zenice</w:t>
      </w:r>
      <w:proofErr w:type="spellEnd"/>
      <w:r w:rsidRPr="000D67A2">
        <w:rPr>
          <w:sz w:val="22"/>
          <w:szCs w:val="22"/>
          <w:lang w:val="sr-Latn-ME"/>
        </w:rPr>
        <w:t>, poznat kao (</w:t>
      </w:r>
      <w:proofErr w:type="spellStart"/>
      <w:r w:rsidRPr="000D67A2">
        <w:rPr>
          <w:sz w:val="22"/>
          <w:szCs w:val="22"/>
          <w:lang w:val="sr-Latn-ME"/>
        </w:rPr>
        <w:t>eng</w:t>
      </w:r>
      <w:proofErr w:type="spellEnd"/>
      <w:r w:rsidRPr="000D67A2">
        <w:rPr>
          <w:sz w:val="22"/>
          <w:szCs w:val="22"/>
          <w:lang w:val="sr-Latn-ME"/>
        </w:rPr>
        <w:t xml:space="preserve">. </w:t>
      </w:r>
      <w:proofErr w:type="spellStart"/>
      <w:r w:rsidRPr="000D67A2">
        <w:rPr>
          <w:i/>
          <w:sz w:val="22"/>
          <w:szCs w:val="22"/>
          <w:lang w:val="sr-Latn-ME"/>
        </w:rPr>
        <w:t>Intraoperativ</w:t>
      </w:r>
      <w:r w:rsidR="009F3AB8" w:rsidRPr="000D67A2">
        <w:rPr>
          <w:i/>
          <w:sz w:val="22"/>
          <w:szCs w:val="22"/>
          <w:lang w:val="sr-Latn-ME"/>
        </w:rPr>
        <w:t>e</w:t>
      </w:r>
      <w:proofErr w:type="spellEnd"/>
      <w:r w:rsidRPr="000D67A2">
        <w:rPr>
          <w:i/>
          <w:sz w:val="22"/>
          <w:szCs w:val="22"/>
          <w:lang w:val="sr-Latn-ME"/>
        </w:rPr>
        <w:t xml:space="preserve"> </w:t>
      </w:r>
      <w:proofErr w:type="spellStart"/>
      <w:r w:rsidRPr="000D67A2">
        <w:rPr>
          <w:i/>
          <w:sz w:val="22"/>
          <w:szCs w:val="22"/>
          <w:lang w:val="sr-Latn-ME"/>
        </w:rPr>
        <w:t>Floppy</w:t>
      </w:r>
      <w:proofErr w:type="spellEnd"/>
      <w:r w:rsidRPr="000D67A2">
        <w:rPr>
          <w:i/>
          <w:sz w:val="22"/>
          <w:szCs w:val="22"/>
          <w:lang w:val="sr-Latn-ME"/>
        </w:rPr>
        <w:t xml:space="preserve"> Iris </w:t>
      </w:r>
      <w:proofErr w:type="spellStart"/>
      <w:r w:rsidRPr="000D67A2">
        <w:rPr>
          <w:i/>
          <w:sz w:val="22"/>
          <w:szCs w:val="22"/>
          <w:lang w:val="sr-Latn-ME"/>
        </w:rPr>
        <w:t>Syndrome</w:t>
      </w:r>
      <w:proofErr w:type="spellEnd"/>
      <w:r w:rsidRPr="000D67A2">
        <w:rPr>
          <w:i/>
          <w:sz w:val="22"/>
          <w:szCs w:val="22"/>
          <w:lang w:val="sr-Latn-ME"/>
        </w:rPr>
        <w:t xml:space="preserve"> (</w:t>
      </w:r>
      <w:proofErr w:type="spellStart"/>
      <w:r w:rsidRPr="000D67A2">
        <w:rPr>
          <w:i/>
          <w:sz w:val="22"/>
          <w:szCs w:val="22"/>
          <w:lang w:val="sr-Latn-ME"/>
        </w:rPr>
        <w:t>IFIS</w:t>
      </w:r>
      <w:proofErr w:type="spellEnd"/>
      <w:r w:rsidRPr="000D67A2">
        <w:rPr>
          <w:i/>
          <w:sz w:val="22"/>
          <w:szCs w:val="22"/>
          <w:lang w:val="sr-Latn-ME"/>
        </w:rPr>
        <w:t>)</w:t>
      </w:r>
      <w:r w:rsidRPr="000D67A2">
        <w:rPr>
          <w:sz w:val="22"/>
          <w:szCs w:val="22"/>
          <w:lang w:val="sr-Latn-ME"/>
        </w:rPr>
        <w:t xml:space="preserve">) koji se povezuje sa terapijom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(vidjeti dio 4.4).</w:t>
      </w:r>
    </w:p>
    <w:p w14:paraId="7EF75906" w14:textId="77777777" w:rsidR="00484E42" w:rsidRPr="000D67A2" w:rsidRDefault="00484E42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B9314A" w14:textId="3643BA4D" w:rsidR="009F3AB8" w:rsidRPr="000D67A2" w:rsidRDefault="00484E42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Postmarketinško</w:t>
      </w:r>
      <w:proofErr w:type="spellEnd"/>
      <w:r w:rsidRPr="000D67A2">
        <w:rPr>
          <w:sz w:val="22"/>
          <w:szCs w:val="22"/>
          <w:lang w:val="sr-Latn-ME"/>
        </w:rPr>
        <w:t xml:space="preserve"> iskustvo: pored navedenih neželjenih </w:t>
      </w:r>
      <w:r w:rsidR="00BC77DD" w:rsidRPr="000D67A2">
        <w:rPr>
          <w:sz w:val="22"/>
          <w:szCs w:val="22"/>
          <w:lang w:val="sr-Latn-ME"/>
        </w:rPr>
        <w:t>dejstava</w:t>
      </w:r>
      <w:r w:rsidRPr="000D67A2">
        <w:rPr>
          <w:sz w:val="22"/>
          <w:szCs w:val="22"/>
          <w:lang w:val="sr-Latn-ME"/>
        </w:rPr>
        <w:t xml:space="preserve">, tokom primjene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su prijavljene i </w:t>
      </w:r>
      <w:proofErr w:type="spellStart"/>
      <w:r w:rsidRPr="000D67A2">
        <w:rPr>
          <w:sz w:val="22"/>
          <w:szCs w:val="22"/>
          <w:lang w:val="sr-Latn-ME"/>
        </w:rPr>
        <w:t>atrijalna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fibrilacija</w:t>
      </w:r>
      <w:proofErr w:type="spellEnd"/>
      <w:r w:rsidRPr="000D67A2">
        <w:rPr>
          <w:sz w:val="22"/>
          <w:szCs w:val="22"/>
          <w:lang w:val="sr-Latn-ME"/>
        </w:rPr>
        <w:t xml:space="preserve">, aritmija, tahikardija i </w:t>
      </w:r>
      <w:proofErr w:type="spellStart"/>
      <w:r w:rsidRPr="000D67A2">
        <w:rPr>
          <w:sz w:val="22"/>
          <w:szCs w:val="22"/>
          <w:lang w:val="sr-Latn-ME"/>
        </w:rPr>
        <w:t>dispneja</w:t>
      </w:r>
      <w:proofErr w:type="spellEnd"/>
      <w:r w:rsidRPr="000D67A2">
        <w:rPr>
          <w:sz w:val="22"/>
          <w:szCs w:val="22"/>
          <w:lang w:val="sr-Latn-ME"/>
        </w:rPr>
        <w:t xml:space="preserve">. Budući da su izvještaji o ovim spontano prijavljenim reakcijama prikupljeni iz cijelog svijeta tokom </w:t>
      </w:r>
      <w:proofErr w:type="spellStart"/>
      <w:r w:rsidRPr="000D67A2">
        <w:rPr>
          <w:sz w:val="22"/>
          <w:szCs w:val="22"/>
          <w:lang w:val="sr-Latn-ME"/>
        </w:rPr>
        <w:t>postmarketinškog</w:t>
      </w:r>
      <w:proofErr w:type="spellEnd"/>
      <w:r w:rsidRPr="000D67A2">
        <w:rPr>
          <w:sz w:val="22"/>
          <w:szCs w:val="22"/>
          <w:lang w:val="sr-Latn-ME"/>
        </w:rPr>
        <w:t xml:space="preserve"> praćenja, njihova učestalost i uloga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u njihovom nastanku nijesu do kraja utvrđeni.</w:t>
      </w:r>
    </w:p>
    <w:p w14:paraId="39EE072B" w14:textId="5F4EEF11" w:rsidR="00484E42" w:rsidRPr="000D67A2" w:rsidRDefault="00484E42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B4394DC" w14:textId="77777777" w:rsidR="009F3AB8" w:rsidRPr="000D67A2" w:rsidRDefault="009F3AB8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0D67A2">
        <w:rPr>
          <w:sz w:val="22"/>
          <w:szCs w:val="22"/>
          <w:u w:val="single"/>
          <w:lang w:val="sr-Latn-ME"/>
        </w:rPr>
        <w:t>Prijavljivanje sumnji na neželjena dejstva</w:t>
      </w:r>
    </w:p>
    <w:p w14:paraId="3AB2698E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698837D0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Institut za ljekove i medicinska sredstva </w:t>
      </w:r>
    </w:p>
    <w:p w14:paraId="29D20E7D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Odjeljenje za </w:t>
      </w:r>
      <w:proofErr w:type="spellStart"/>
      <w:r w:rsidRPr="000D67A2">
        <w:rPr>
          <w:sz w:val="22"/>
          <w:szCs w:val="22"/>
          <w:lang w:val="sr-Latn-ME"/>
        </w:rPr>
        <w:t>farmakovigilancu</w:t>
      </w:r>
      <w:proofErr w:type="spellEnd"/>
    </w:p>
    <w:p w14:paraId="7A82A8C6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Bulevar Ivana Crnojevića </w:t>
      </w:r>
      <w:proofErr w:type="spellStart"/>
      <w:r w:rsidRPr="000D67A2">
        <w:rPr>
          <w:sz w:val="22"/>
          <w:szCs w:val="22"/>
          <w:lang w:val="sr-Latn-ME"/>
        </w:rPr>
        <w:t>64a</w:t>
      </w:r>
      <w:proofErr w:type="spellEnd"/>
      <w:r w:rsidRPr="000D67A2">
        <w:rPr>
          <w:sz w:val="22"/>
          <w:szCs w:val="22"/>
          <w:lang w:val="sr-Latn-ME"/>
        </w:rPr>
        <w:t>, 81000 Podgorica</w:t>
      </w:r>
    </w:p>
    <w:p w14:paraId="0191AC32" w14:textId="77777777" w:rsidR="009F3AB8" w:rsidRPr="000D67A2" w:rsidRDefault="009F3AB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C879BCE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tel: +382 (0) 20 310 280</w:t>
      </w:r>
    </w:p>
    <w:p w14:paraId="09711D09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fax</w:t>
      </w:r>
      <w:proofErr w:type="spellEnd"/>
      <w:r w:rsidRPr="000D67A2">
        <w:rPr>
          <w:sz w:val="22"/>
          <w:szCs w:val="22"/>
          <w:lang w:val="sr-Latn-ME"/>
        </w:rPr>
        <w:t>: +382 (0) 20 310 581</w:t>
      </w:r>
    </w:p>
    <w:p w14:paraId="53739020" w14:textId="77777777" w:rsidR="009F3AB8" w:rsidRPr="000D67A2" w:rsidRDefault="006A6B0D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hyperlink r:id="rId8" w:history="1">
        <w:proofErr w:type="spellStart"/>
        <w:r w:rsidR="009F3AB8" w:rsidRPr="000D67A2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</w:p>
    <w:p w14:paraId="136CFBC3" w14:textId="77777777" w:rsidR="009F3AB8" w:rsidRPr="000D67A2" w:rsidRDefault="006A6B0D" w:rsidP="001B5DD4">
      <w:pPr>
        <w:pStyle w:val="Header"/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hyperlink r:id="rId9" w:history="1">
        <w:proofErr w:type="spellStart"/>
        <w:r w:rsidR="009F3AB8" w:rsidRPr="000D67A2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</w:p>
    <w:p w14:paraId="57031D0A" w14:textId="77777777" w:rsidR="009F3AB8" w:rsidRPr="000D67A2" w:rsidRDefault="009F3AB8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putem IS zdravstvene zaštite</w:t>
      </w:r>
    </w:p>
    <w:p w14:paraId="6C731517" w14:textId="77777777" w:rsidR="00836B35" w:rsidRPr="000D67A2" w:rsidRDefault="00836B35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31518" w14:textId="77777777" w:rsidR="00CD6F02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4.9.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proofErr w:type="spellStart"/>
      <w:r w:rsidRPr="000D67A2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0D67A2">
        <w:rPr>
          <w:b/>
          <w:bCs/>
          <w:sz w:val="22"/>
          <w:szCs w:val="22"/>
          <w:lang w:val="sr-Latn-ME"/>
        </w:rPr>
        <w:t xml:space="preserve"> </w:t>
      </w:r>
    </w:p>
    <w:p w14:paraId="6C731519" w14:textId="77777777" w:rsidR="00CD6F02" w:rsidRPr="000D67A2" w:rsidRDefault="00CD6F02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20F9864" w14:textId="77777777" w:rsidR="000B3061" w:rsidRPr="000D67A2" w:rsidRDefault="000B3061" w:rsidP="001B5DD4">
      <w:pPr>
        <w:jc w:val="both"/>
        <w:rPr>
          <w:i/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Simptomi</w:t>
      </w:r>
    </w:p>
    <w:p w14:paraId="4B56009B" w14:textId="3B5667C6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Prilikom </w:t>
      </w:r>
      <w:proofErr w:type="spellStart"/>
      <w:r w:rsidRPr="000D67A2">
        <w:rPr>
          <w:sz w:val="22"/>
          <w:szCs w:val="22"/>
          <w:lang w:val="sr-Latn-ME"/>
        </w:rPr>
        <w:t>predoziranja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tamsulosinom</w:t>
      </w:r>
      <w:proofErr w:type="spellEnd"/>
      <w:r w:rsidRPr="000D67A2">
        <w:rPr>
          <w:sz w:val="22"/>
          <w:szCs w:val="22"/>
          <w:lang w:val="sr-Latn-ME"/>
        </w:rPr>
        <w:t xml:space="preserve"> može doći do ozbiljnih </w:t>
      </w:r>
      <w:proofErr w:type="spellStart"/>
      <w:r w:rsidRPr="000D67A2">
        <w:rPr>
          <w:sz w:val="22"/>
          <w:szCs w:val="22"/>
          <w:lang w:val="sr-Latn-ME"/>
        </w:rPr>
        <w:t>hipotenzivnih</w:t>
      </w:r>
      <w:proofErr w:type="spellEnd"/>
      <w:r w:rsidRPr="000D67A2">
        <w:rPr>
          <w:sz w:val="22"/>
          <w:szCs w:val="22"/>
          <w:lang w:val="sr-Latn-ME"/>
        </w:rPr>
        <w:t xml:space="preserve"> efekata. Ovi efekti uočeni su prilikom </w:t>
      </w:r>
      <w:proofErr w:type="spellStart"/>
      <w:r w:rsidRPr="000D67A2">
        <w:rPr>
          <w:sz w:val="22"/>
          <w:szCs w:val="22"/>
          <w:lang w:val="sr-Latn-ME"/>
        </w:rPr>
        <w:t>predoziranja</w:t>
      </w:r>
      <w:proofErr w:type="spellEnd"/>
      <w:r w:rsidRPr="000D67A2">
        <w:rPr>
          <w:sz w:val="22"/>
          <w:szCs w:val="22"/>
          <w:lang w:val="sr-Latn-ME"/>
        </w:rPr>
        <w:t xml:space="preserve"> različitim dozama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.  </w:t>
      </w:r>
    </w:p>
    <w:p w14:paraId="3D6210B4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</w:p>
    <w:p w14:paraId="76278D6C" w14:textId="77777777" w:rsidR="000B3061" w:rsidRPr="000D67A2" w:rsidRDefault="000B3061" w:rsidP="001B5DD4">
      <w:pPr>
        <w:jc w:val="both"/>
        <w:rPr>
          <w:i/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Terapija</w:t>
      </w:r>
    </w:p>
    <w:p w14:paraId="666965BD" w14:textId="7CD7DC16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Kada se razvije akutna </w:t>
      </w:r>
      <w:proofErr w:type="spellStart"/>
      <w:r w:rsidRPr="000D67A2">
        <w:rPr>
          <w:sz w:val="22"/>
          <w:szCs w:val="22"/>
          <w:lang w:val="sr-Latn-ME"/>
        </w:rPr>
        <w:t>hipotenzija</w:t>
      </w:r>
      <w:proofErr w:type="spellEnd"/>
      <w:r w:rsidRPr="000D67A2">
        <w:rPr>
          <w:sz w:val="22"/>
          <w:szCs w:val="22"/>
          <w:lang w:val="sr-Latn-ME"/>
        </w:rPr>
        <w:t xml:space="preserve"> nakon </w:t>
      </w:r>
      <w:proofErr w:type="spellStart"/>
      <w:r w:rsidRPr="000D67A2">
        <w:rPr>
          <w:sz w:val="22"/>
          <w:szCs w:val="22"/>
          <w:lang w:val="sr-Latn-ME"/>
        </w:rPr>
        <w:t>predoziranja</w:t>
      </w:r>
      <w:proofErr w:type="spellEnd"/>
      <w:r w:rsidRPr="000D67A2">
        <w:rPr>
          <w:sz w:val="22"/>
          <w:szCs w:val="22"/>
          <w:lang w:val="sr-Latn-ME"/>
        </w:rPr>
        <w:t xml:space="preserve"> treba dati odgovarajuću terapiju u smislu održavanja </w:t>
      </w:r>
      <w:proofErr w:type="spellStart"/>
      <w:r w:rsidRPr="000D67A2">
        <w:rPr>
          <w:sz w:val="22"/>
          <w:szCs w:val="22"/>
          <w:lang w:val="sr-Latn-ME"/>
        </w:rPr>
        <w:t>kardiovaskularne</w:t>
      </w:r>
      <w:proofErr w:type="spellEnd"/>
      <w:r w:rsidRPr="000D67A2">
        <w:rPr>
          <w:sz w:val="22"/>
          <w:szCs w:val="22"/>
          <w:lang w:val="sr-Latn-ME"/>
        </w:rPr>
        <w:t xml:space="preserve"> funkcije. Potrebno je normalizovati krvni pritisak i puls tako što se pacijent stavlja u ležeći položaj. Ako ovo nije dovoljno, treba uključiti i terapiju za povećanje volumena, plazma </w:t>
      </w:r>
      <w:proofErr w:type="spellStart"/>
      <w:r w:rsidRPr="000D67A2">
        <w:rPr>
          <w:sz w:val="22"/>
          <w:szCs w:val="22"/>
          <w:lang w:val="sr-Latn-ME"/>
        </w:rPr>
        <w:t>ekspander</w:t>
      </w:r>
      <w:r w:rsidR="009F3AB8" w:rsidRPr="000D67A2">
        <w:rPr>
          <w:sz w:val="22"/>
          <w:szCs w:val="22"/>
          <w:lang w:val="sr-Latn-ME"/>
        </w:rPr>
        <w:t>e</w:t>
      </w:r>
      <w:proofErr w:type="spellEnd"/>
      <w:r w:rsidRPr="000D67A2">
        <w:rPr>
          <w:sz w:val="22"/>
          <w:szCs w:val="22"/>
          <w:lang w:val="sr-Latn-ME"/>
        </w:rPr>
        <w:t xml:space="preserve">, i ako je potrebno i </w:t>
      </w:r>
      <w:proofErr w:type="spellStart"/>
      <w:r w:rsidRPr="000D67A2">
        <w:rPr>
          <w:sz w:val="22"/>
          <w:szCs w:val="22"/>
          <w:lang w:val="sr-Latn-ME"/>
        </w:rPr>
        <w:t>vazopresorne</w:t>
      </w:r>
      <w:proofErr w:type="spellEnd"/>
      <w:r w:rsidRPr="000D67A2">
        <w:rPr>
          <w:sz w:val="22"/>
          <w:szCs w:val="22"/>
          <w:lang w:val="sr-Latn-ME"/>
        </w:rPr>
        <w:t xml:space="preserve"> ljekove. Potrebno je pratiti </w:t>
      </w:r>
      <w:proofErr w:type="spellStart"/>
      <w:r w:rsidRPr="000D67A2">
        <w:rPr>
          <w:sz w:val="22"/>
          <w:szCs w:val="22"/>
          <w:lang w:val="sr-Latn-ME"/>
        </w:rPr>
        <w:t>renalnu</w:t>
      </w:r>
      <w:proofErr w:type="spellEnd"/>
      <w:r w:rsidRPr="000D67A2">
        <w:rPr>
          <w:sz w:val="22"/>
          <w:szCs w:val="22"/>
          <w:lang w:val="sr-Latn-ME"/>
        </w:rPr>
        <w:t xml:space="preserve"> funkciju i uključiti i opšte </w:t>
      </w:r>
      <w:proofErr w:type="spellStart"/>
      <w:r w:rsidRPr="000D67A2">
        <w:rPr>
          <w:sz w:val="22"/>
          <w:szCs w:val="22"/>
          <w:lang w:val="sr-Latn-ME"/>
        </w:rPr>
        <w:t>suportivne</w:t>
      </w:r>
      <w:proofErr w:type="spellEnd"/>
      <w:r w:rsidRPr="000D67A2">
        <w:rPr>
          <w:sz w:val="22"/>
          <w:szCs w:val="22"/>
          <w:lang w:val="sr-Latn-ME"/>
        </w:rPr>
        <w:t xml:space="preserve"> mjere. Dijaliza u ovom slučaju nije od koristi, jer se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u velikoj mjeri vezuje za proteine plazme.</w:t>
      </w:r>
    </w:p>
    <w:p w14:paraId="7470E716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</w:p>
    <w:p w14:paraId="2A5E389F" w14:textId="00232AF0" w:rsidR="000B3061" w:rsidRPr="000D67A2" w:rsidRDefault="000B3061" w:rsidP="001B5DD4">
      <w:pPr>
        <w:jc w:val="both"/>
        <w:rPr>
          <w:color w:val="FF0000"/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Mjere kao što je povraćanje, treba sprovesti da bi se s</w:t>
      </w:r>
      <w:r w:rsidR="002B701E" w:rsidRPr="000D67A2">
        <w:rPr>
          <w:sz w:val="22"/>
          <w:szCs w:val="22"/>
          <w:lang w:val="sr-Latn-ME"/>
        </w:rPr>
        <w:t>manjila</w:t>
      </w:r>
      <w:r w:rsidRPr="000D67A2">
        <w:rPr>
          <w:sz w:val="22"/>
          <w:szCs w:val="22"/>
          <w:lang w:val="sr-Latn-ME"/>
        </w:rPr>
        <w:t xml:space="preserve"> resorpcija</w:t>
      </w:r>
      <w:r w:rsidR="002B701E" w:rsidRPr="000D67A2">
        <w:rPr>
          <w:sz w:val="22"/>
          <w:szCs w:val="22"/>
          <w:lang w:val="sr-Latn-ME"/>
        </w:rPr>
        <w:t xml:space="preserve"> lijeka</w:t>
      </w:r>
      <w:r w:rsidRPr="000D67A2">
        <w:rPr>
          <w:sz w:val="22"/>
          <w:szCs w:val="22"/>
          <w:lang w:val="sr-Latn-ME"/>
        </w:rPr>
        <w:t>.</w:t>
      </w:r>
      <w:r w:rsidRPr="000D67A2">
        <w:rPr>
          <w:color w:val="FF0000"/>
          <w:sz w:val="22"/>
          <w:szCs w:val="22"/>
          <w:lang w:val="sr-Latn-ME"/>
        </w:rPr>
        <w:t xml:space="preserve"> </w:t>
      </w:r>
    </w:p>
    <w:p w14:paraId="7BAEE886" w14:textId="3D169576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Ako se radi o velikim količinama lijeka, treba </w:t>
      </w:r>
      <w:proofErr w:type="spellStart"/>
      <w:r w:rsidRPr="000D67A2">
        <w:rPr>
          <w:sz w:val="22"/>
          <w:szCs w:val="22"/>
          <w:lang w:val="sr-Latn-ME"/>
        </w:rPr>
        <w:t>primjeniti</w:t>
      </w:r>
      <w:proofErr w:type="spellEnd"/>
      <w:r w:rsidRPr="000D67A2">
        <w:rPr>
          <w:sz w:val="22"/>
          <w:szCs w:val="22"/>
          <w:lang w:val="sr-Latn-ME"/>
        </w:rPr>
        <w:t xml:space="preserve"> ispiranje želuca i aktivni ugalj; a može se </w:t>
      </w:r>
      <w:proofErr w:type="spellStart"/>
      <w:r w:rsidRPr="000D67A2">
        <w:rPr>
          <w:sz w:val="22"/>
          <w:szCs w:val="22"/>
          <w:lang w:val="sr-Latn-ME"/>
        </w:rPr>
        <w:t>primjeniti</w:t>
      </w:r>
      <w:proofErr w:type="spellEnd"/>
      <w:r w:rsidRPr="000D67A2">
        <w:rPr>
          <w:sz w:val="22"/>
          <w:szCs w:val="22"/>
          <w:lang w:val="sr-Latn-ME"/>
        </w:rPr>
        <w:t xml:space="preserve"> i osmotski laksativ, kao što je natrijum-sulfat.</w:t>
      </w:r>
    </w:p>
    <w:p w14:paraId="2670A13E" w14:textId="77777777" w:rsidR="0014509B" w:rsidRPr="000D67A2" w:rsidRDefault="0014509B" w:rsidP="001B5DD4">
      <w:pPr>
        <w:jc w:val="both"/>
        <w:rPr>
          <w:sz w:val="22"/>
          <w:szCs w:val="22"/>
          <w:lang w:val="sr-Latn-ME"/>
        </w:rPr>
      </w:pPr>
    </w:p>
    <w:p w14:paraId="6C73151A" w14:textId="77777777" w:rsidR="00227BDB" w:rsidRPr="000D67A2" w:rsidRDefault="00227BDB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3151B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FARMAKOLOŠK</w:t>
      </w:r>
      <w:r w:rsidR="000D425A" w:rsidRPr="000D67A2">
        <w:rPr>
          <w:b/>
          <w:bCs/>
          <w:sz w:val="22"/>
          <w:szCs w:val="22"/>
          <w:lang w:val="sr-Latn-ME"/>
        </w:rPr>
        <w:t>I</w:t>
      </w:r>
      <w:r w:rsidRPr="000D67A2">
        <w:rPr>
          <w:b/>
          <w:bCs/>
          <w:sz w:val="22"/>
          <w:szCs w:val="22"/>
          <w:lang w:val="sr-Latn-ME"/>
        </w:rPr>
        <w:t xml:space="preserve"> PODACI</w:t>
      </w:r>
    </w:p>
    <w:p w14:paraId="6C73151C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3151D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5.1.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proofErr w:type="spellStart"/>
      <w:r w:rsidRPr="000D67A2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0D67A2">
        <w:rPr>
          <w:b/>
          <w:bCs/>
          <w:sz w:val="22"/>
          <w:szCs w:val="22"/>
          <w:lang w:val="sr-Latn-ME"/>
        </w:rPr>
        <w:t xml:space="preserve"> podaci</w:t>
      </w:r>
      <w:r w:rsidR="003A7059" w:rsidRPr="000D67A2">
        <w:rPr>
          <w:b/>
          <w:bCs/>
          <w:sz w:val="22"/>
          <w:szCs w:val="22"/>
          <w:lang w:val="sr-Latn-ME"/>
        </w:rPr>
        <w:t xml:space="preserve"> </w:t>
      </w:r>
    </w:p>
    <w:p w14:paraId="6C73151E" w14:textId="77777777" w:rsidR="00F45F77" w:rsidRPr="000D67A2" w:rsidRDefault="00F45F77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2563543" w14:textId="6032DEE0" w:rsidR="000B3061" w:rsidRPr="000D67A2" w:rsidRDefault="0072020E" w:rsidP="001B5DD4">
      <w:pPr>
        <w:jc w:val="both"/>
        <w:rPr>
          <w:bCs/>
          <w:sz w:val="22"/>
          <w:szCs w:val="22"/>
          <w:lang w:val="sr-Latn-ME"/>
        </w:rPr>
      </w:pPr>
      <w:proofErr w:type="spellStart"/>
      <w:r w:rsidRPr="000D67A2">
        <w:rPr>
          <w:bCs/>
          <w:sz w:val="22"/>
          <w:szCs w:val="22"/>
          <w:lang w:val="sr-Latn-ME"/>
        </w:rPr>
        <w:t>Farmakoterapijska</w:t>
      </w:r>
      <w:proofErr w:type="spellEnd"/>
      <w:r w:rsidRPr="000D67A2">
        <w:rPr>
          <w:bCs/>
          <w:sz w:val="22"/>
          <w:szCs w:val="22"/>
          <w:lang w:val="sr-Latn-ME"/>
        </w:rPr>
        <w:t xml:space="preserve"> grupa:</w:t>
      </w:r>
      <w:r w:rsidR="000B3061" w:rsidRPr="000D67A2">
        <w:rPr>
          <w:sz w:val="22"/>
          <w:szCs w:val="22"/>
          <w:lang w:val="sr-Latn-ME"/>
        </w:rPr>
        <w:t xml:space="preserve"> </w:t>
      </w:r>
      <w:r w:rsidR="000B3061" w:rsidRPr="000D67A2">
        <w:rPr>
          <w:bCs/>
          <w:sz w:val="22"/>
          <w:szCs w:val="22"/>
          <w:lang w:val="sr-Latn-ME"/>
        </w:rPr>
        <w:t xml:space="preserve">Ljekovi za liječenje benigne </w:t>
      </w:r>
      <w:proofErr w:type="spellStart"/>
      <w:r w:rsidR="000B3061" w:rsidRPr="000D67A2">
        <w:rPr>
          <w:bCs/>
          <w:sz w:val="22"/>
          <w:szCs w:val="22"/>
          <w:lang w:val="sr-Latn-ME"/>
        </w:rPr>
        <w:t>hiperplazije</w:t>
      </w:r>
      <w:proofErr w:type="spellEnd"/>
      <w:r w:rsidR="000B3061" w:rsidRPr="000D67A2">
        <w:rPr>
          <w:bCs/>
          <w:sz w:val="22"/>
          <w:szCs w:val="22"/>
          <w:lang w:val="sr-Latn-ME"/>
        </w:rPr>
        <w:t xml:space="preserve"> prostate; antagonist α</w:t>
      </w:r>
      <w:r w:rsidR="000B3061" w:rsidRPr="000D67A2">
        <w:rPr>
          <w:bCs/>
          <w:sz w:val="22"/>
          <w:szCs w:val="22"/>
          <w:vertAlign w:val="subscript"/>
          <w:lang w:val="sr-Latn-ME"/>
        </w:rPr>
        <w:t>1</w:t>
      </w:r>
      <w:r w:rsidR="004615DF" w:rsidRPr="000D67A2">
        <w:rPr>
          <w:bCs/>
          <w:sz w:val="22"/>
          <w:szCs w:val="22"/>
          <w:lang w:val="sr-Latn-ME"/>
        </w:rPr>
        <w:t>-</w:t>
      </w:r>
      <w:proofErr w:type="spellStart"/>
      <w:r w:rsidR="000B3061" w:rsidRPr="000D67A2">
        <w:rPr>
          <w:bCs/>
          <w:sz w:val="22"/>
          <w:szCs w:val="22"/>
          <w:lang w:val="sr-Latn-ME"/>
        </w:rPr>
        <w:t>adrenoreceptora</w:t>
      </w:r>
      <w:proofErr w:type="spellEnd"/>
    </w:p>
    <w:p w14:paraId="6C731520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731522" w14:textId="03A6A5AB" w:rsidR="002E37A5" w:rsidRPr="000D67A2" w:rsidRDefault="0072020E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>ATC kod:</w:t>
      </w:r>
      <w:r w:rsidR="000B3061" w:rsidRPr="000D67A2">
        <w:rPr>
          <w:sz w:val="22"/>
          <w:szCs w:val="22"/>
          <w:lang w:val="sr-Latn-ME"/>
        </w:rPr>
        <w:t xml:space="preserve"> </w:t>
      </w:r>
      <w:proofErr w:type="spellStart"/>
      <w:r w:rsidR="000B3061" w:rsidRPr="000D67A2">
        <w:rPr>
          <w:bCs/>
          <w:sz w:val="22"/>
          <w:szCs w:val="22"/>
          <w:lang w:val="sr-Latn-ME"/>
        </w:rPr>
        <w:t>G04CA02</w:t>
      </w:r>
      <w:proofErr w:type="spellEnd"/>
    </w:p>
    <w:p w14:paraId="2B2E4C64" w14:textId="2A3565CE" w:rsidR="000B3061" w:rsidRPr="000D67A2" w:rsidRDefault="000B3061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5C28E0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bCs/>
          <w:i/>
          <w:sz w:val="22"/>
          <w:szCs w:val="22"/>
          <w:lang w:val="sr-Latn-ME"/>
        </w:rPr>
      </w:pPr>
      <w:r w:rsidRPr="000D67A2">
        <w:rPr>
          <w:bCs/>
          <w:i/>
          <w:sz w:val="22"/>
          <w:szCs w:val="22"/>
          <w:lang w:val="sr-Latn-ME"/>
        </w:rPr>
        <w:t>Mehanizam djelovanja</w:t>
      </w:r>
    </w:p>
    <w:p w14:paraId="207D2B47" w14:textId="2B7CECC8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val="sr-Latn-ME"/>
        </w:rPr>
      </w:pPr>
      <w:proofErr w:type="spellStart"/>
      <w:r w:rsidRPr="000D67A2">
        <w:rPr>
          <w:bCs/>
          <w:sz w:val="22"/>
          <w:szCs w:val="22"/>
          <w:lang w:val="sr-Latn-ME"/>
        </w:rPr>
        <w:t>Tamsulosin</w:t>
      </w:r>
      <w:proofErr w:type="spellEnd"/>
      <w:r w:rsidRPr="000D67A2">
        <w:rPr>
          <w:bCs/>
          <w:sz w:val="22"/>
          <w:szCs w:val="22"/>
          <w:lang w:val="sr-Latn-ME"/>
        </w:rPr>
        <w:t xml:space="preserve"> se selektivno i </w:t>
      </w:r>
      <w:proofErr w:type="spellStart"/>
      <w:r w:rsidRPr="000D67A2">
        <w:rPr>
          <w:bCs/>
          <w:sz w:val="22"/>
          <w:szCs w:val="22"/>
          <w:lang w:val="sr-Latn-ME"/>
        </w:rPr>
        <w:t>kompetitivno</w:t>
      </w:r>
      <w:proofErr w:type="spellEnd"/>
      <w:r w:rsidRPr="000D67A2">
        <w:rPr>
          <w:bCs/>
          <w:sz w:val="22"/>
          <w:szCs w:val="22"/>
          <w:lang w:val="sr-Latn-ME"/>
        </w:rPr>
        <w:t xml:space="preserve"> vezuje za </w:t>
      </w:r>
      <w:proofErr w:type="spellStart"/>
      <w:r w:rsidRPr="000D67A2">
        <w:rPr>
          <w:bCs/>
          <w:sz w:val="22"/>
          <w:szCs w:val="22"/>
          <w:lang w:val="sr-Latn-ME"/>
        </w:rPr>
        <w:t>postsinaptičke</w:t>
      </w:r>
      <w:proofErr w:type="spellEnd"/>
      <w:r w:rsidRPr="000D67A2">
        <w:rPr>
          <w:b/>
          <w:bCs/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α</w:t>
      </w:r>
      <w:r w:rsidRPr="000D67A2">
        <w:rPr>
          <w:sz w:val="22"/>
          <w:szCs w:val="22"/>
          <w:vertAlign w:val="subscript"/>
          <w:lang w:val="sr-Latn-ME"/>
        </w:rPr>
        <w:t>1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adrenoreceptore</w:t>
      </w:r>
      <w:proofErr w:type="spellEnd"/>
      <w:r w:rsidRPr="000D67A2">
        <w:rPr>
          <w:sz w:val="22"/>
          <w:szCs w:val="22"/>
          <w:lang w:val="sr-Latn-ME"/>
        </w:rPr>
        <w:t xml:space="preserve">, prije svega za </w:t>
      </w:r>
      <w:proofErr w:type="spellStart"/>
      <w:r w:rsidRPr="000D67A2">
        <w:rPr>
          <w:sz w:val="22"/>
          <w:szCs w:val="22"/>
          <w:lang w:val="sr-Latn-ME"/>
        </w:rPr>
        <w:t>podtip</w:t>
      </w:r>
      <w:proofErr w:type="spellEnd"/>
      <w:r w:rsidR="004615DF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α</w:t>
      </w:r>
      <w:r w:rsidRPr="000D67A2">
        <w:rPr>
          <w:sz w:val="22"/>
          <w:szCs w:val="22"/>
          <w:vertAlign w:val="subscript"/>
          <w:lang w:val="sr-Latn-ME"/>
        </w:rPr>
        <w:t xml:space="preserve"> </w:t>
      </w:r>
      <w:proofErr w:type="spellStart"/>
      <w:r w:rsidRPr="000D67A2">
        <w:rPr>
          <w:sz w:val="22"/>
          <w:szCs w:val="22"/>
          <w:vertAlign w:val="subscript"/>
          <w:lang w:val="sr-Latn-ME"/>
        </w:rPr>
        <w:t>1A</w:t>
      </w:r>
      <w:proofErr w:type="spellEnd"/>
      <w:r w:rsidRPr="000D67A2">
        <w:rPr>
          <w:sz w:val="22"/>
          <w:szCs w:val="22"/>
          <w:lang w:val="sr-Latn-ME"/>
        </w:rPr>
        <w:t xml:space="preserve"> i α</w:t>
      </w:r>
      <w:proofErr w:type="spellStart"/>
      <w:r w:rsidRPr="000D67A2">
        <w:rPr>
          <w:sz w:val="22"/>
          <w:szCs w:val="22"/>
          <w:vertAlign w:val="subscript"/>
          <w:lang w:val="sr-Latn-ME"/>
        </w:rPr>
        <w:t>1D</w:t>
      </w:r>
      <w:proofErr w:type="spellEnd"/>
      <w:r w:rsidRPr="000D67A2">
        <w:rPr>
          <w:sz w:val="22"/>
          <w:szCs w:val="22"/>
          <w:vertAlign w:val="subscript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>, što prouzrokuje opuštanje glatkih mišića prostate i uretre.</w:t>
      </w:r>
    </w:p>
    <w:p w14:paraId="7CF1F930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2"/>
          <w:lang w:val="sr-Latn-ME"/>
        </w:rPr>
      </w:pPr>
    </w:p>
    <w:p w14:paraId="69F1A1B1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bCs/>
          <w:i/>
          <w:sz w:val="22"/>
          <w:szCs w:val="22"/>
          <w:lang w:val="sr-Latn-ME"/>
        </w:rPr>
      </w:pPr>
      <w:proofErr w:type="spellStart"/>
      <w:r w:rsidRPr="000D67A2">
        <w:rPr>
          <w:bCs/>
          <w:i/>
          <w:sz w:val="22"/>
          <w:szCs w:val="22"/>
          <w:lang w:val="sr-Latn-ME"/>
        </w:rPr>
        <w:t>Farmakodinamski</w:t>
      </w:r>
      <w:proofErr w:type="spellEnd"/>
      <w:r w:rsidRPr="000D67A2">
        <w:rPr>
          <w:bCs/>
          <w:i/>
          <w:sz w:val="22"/>
          <w:szCs w:val="22"/>
          <w:lang w:val="sr-Latn-ME"/>
        </w:rPr>
        <w:t xml:space="preserve"> efekat</w:t>
      </w:r>
    </w:p>
    <w:p w14:paraId="75D4FBDC" w14:textId="5D99B14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povećava stopu maksimalnog protoka urina</w:t>
      </w:r>
      <w:r w:rsidR="00807E1B" w:rsidRPr="000D67A2">
        <w:rPr>
          <w:sz w:val="22"/>
          <w:szCs w:val="22"/>
          <w:lang w:val="sr-Latn-ME"/>
        </w:rPr>
        <w:t xml:space="preserve">. Opuštanjem glatkih mišića </w:t>
      </w:r>
      <w:r w:rsidRPr="000D67A2">
        <w:rPr>
          <w:sz w:val="22"/>
          <w:szCs w:val="22"/>
          <w:lang w:val="sr-Latn-ME"/>
        </w:rPr>
        <w:t xml:space="preserve"> prostate i uretre, </w:t>
      </w:r>
      <w:r w:rsidR="00807E1B" w:rsidRPr="000D67A2">
        <w:rPr>
          <w:sz w:val="22"/>
          <w:szCs w:val="22"/>
          <w:lang w:val="sr-Latn-ME"/>
        </w:rPr>
        <w:t>smanjuje opstrukciju u prostati i tako olakšava mokrenje.</w:t>
      </w:r>
      <w:r w:rsidRPr="000D67A2">
        <w:rPr>
          <w:sz w:val="22"/>
          <w:szCs w:val="22"/>
          <w:lang w:val="sr-Latn-ME"/>
        </w:rPr>
        <w:t xml:space="preserve"> </w:t>
      </w:r>
    </w:p>
    <w:p w14:paraId="06CF0ABB" w14:textId="5921C95A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Takođe, ublažava iritirajuće i </w:t>
      </w:r>
      <w:proofErr w:type="spellStart"/>
      <w:r w:rsidRPr="000D67A2">
        <w:rPr>
          <w:sz w:val="22"/>
          <w:szCs w:val="22"/>
          <w:lang w:val="sr-Latn-ME"/>
        </w:rPr>
        <w:t>opstruktivne</w:t>
      </w:r>
      <w:proofErr w:type="spellEnd"/>
      <w:r w:rsidRPr="000D67A2">
        <w:rPr>
          <w:sz w:val="22"/>
          <w:szCs w:val="22"/>
          <w:lang w:val="sr-Latn-ME"/>
        </w:rPr>
        <w:t xml:space="preserve"> simptome </w:t>
      </w:r>
      <w:r w:rsidR="00807E1B" w:rsidRPr="000D67A2">
        <w:rPr>
          <w:sz w:val="22"/>
          <w:szCs w:val="22"/>
          <w:lang w:val="sr-Latn-ME"/>
        </w:rPr>
        <w:t xml:space="preserve">zadržavanja mokraće, pri čemu </w:t>
      </w:r>
      <w:r w:rsidRPr="000D67A2">
        <w:rPr>
          <w:sz w:val="22"/>
          <w:szCs w:val="22"/>
          <w:lang w:val="sr-Latn-ME"/>
        </w:rPr>
        <w:t xml:space="preserve"> nestabilnost bešike igra važnu ulogu.</w:t>
      </w:r>
    </w:p>
    <w:p w14:paraId="4FDB5950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p w14:paraId="2CFE2070" w14:textId="003910DA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Efekti</w:t>
      </w:r>
      <w:r w:rsidR="002B701E" w:rsidRPr="000D67A2">
        <w:rPr>
          <w:sz w:val="22"/>
          <w:szCs w:val="22"/>
          <w:lang w:val="sr-Latn-ME"/>
        </w:rPr>
        <w:t xml:space="preserve"> na simptome </w:t>
      </w:r>
      <w:r w:rsidR="00A82A89" w:rsidRPr="000D67A2">
        <w:rPr>
          <w:sz w:val="22"/>
          <w:szCs w:val="22"/>
          <w:lang w:val="sr-Latn-ME"/>
        </w:rPr>
        <w:t>zadržavanja mokraće i poremećaje</w:t>
      </w:r>
      <w:r w:rsidR="002B701E" w:rsidRPr="000D67A2">
        <w:rPr>
          <w:sz w:val="22"/>
          <w:szCs w:val="22"/>
          <w:lang w:val="sr-Latn-ME"/>
        </w:rPr>
        <w:t xml:space="preserve"> mokrenja ostaju isti i tokom dugotrajne upotrebe lijeka.</w:t>
      </w:r>
      <w:r w:rsidRPr="000D67A2">
        <w:rPr>
          <w:sz w:val="22"/>
          <w:szCs w:val="22"/>
          <w:lang w:val="sr-Latn-ME"/>
        </w:rPr>
        <w:t xml:space="preserve"> </w:t>
      </w:r>
      <w:r w:rsidR="002B701E" w:rsidRPr="000D67A2">
        <w:rPr>
          <w:sz w:val="22"/>
          <w:szCs w:val="22"/>
          <w:lang w:val="sr-Latn-ME"/>
        </w:rPr>
        <w:t>P</w:t>
      </w:r>
      <w:r w:rsidRPr="000D67A2">
        <w:rPr>
          <w:sz w:val="22"/>
          <w:szCs w:val="22"/>
          <w:lang w:val="sr-Latn-ME"/>
        </w:rPr>
        <w:t xml:space="preserve">otreba za hirurškom </w:t>
      </w:r>
      <w:r w:rsidR="00A82A89" w:rsidRPr="000D67A2">
        <w:rPr>
          <w:sz w:val="22"/>
          <w:szCs w:val="22"/>
          <w:lang w:val="sr-Latn-ME"/>
        </w:rPr>
        <w:t>intervencijom</w:t>
      </w:r>
      <w:r w:rsidRPr="000D67A2">
        <w:rPr>
          <w:sz w:val="22"/>
          <w:szCs w:val="22"/>
          <w:lang w:val="sr-Latn-ME"/>
        </w:rPr>
        <w:t xml:space="preserve"> ili </w:t>
      </w:r>
      <w:proofErr w:type="spellStart"/>
      <w:r w:rsidRPr="000D67A2">
        <w:rPr>
          <w:sz w:val="22"/>
          <w:szCs w:val="22"/>
          <w:lang w:val="sr-Latn-ME"/>
        </w:rPr>
        <w:t>kateterizacijom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r w:rsidR="002B701E" w:rsidRPr="000D67A2">
        <w:rPr>
          <w:sz w:val="22"/>
          <w:szCs w:val="22"/>
          <w:lang w:val="sr-Latn-ME"/>
        </w:rPr>
        <w:t xml:space="preserve">se </w:t>
      </w:r>
      <w:r w:rsidRPr="000D67A2">
        <w:rPr>
          <w:sz w:val="22"/>
          <w:szCs w:val="22"/>
          <w:lang w:val="sr-Latn-ME"/>
        </w:rPr>
        <w:t>značajno odlaže</w:t>
      </w:r>
      <w:r w:rsidR="00CE2371" w:rsidRPr="000D67A2">
        <w:rPr>
          <w:sz w:val="22"/>
          <w:szCs w:val="22"/>
          <w:lang w:val="sr-Latn-ME"/>
        </w:rPr>
        <w:t>.</w:t>
      </w:r>
    </w:p>
    <w:p w14:paraId="2C2F4261" w14:textId="74126ADA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α</w:t>
      </w:r>
      <w:r w:rsidRPr="000D67A2">
        <w:rPr>
          <w:sz w:val="22"/>
          <w:szCs w:val="22"/>
          <w:vertAlign w:val="subscript"/>
          <w:lang w:val="sr-Latn-ME"/>
        </w:rPr>
        <w:t>1</w:t>
      </w:r>
      <w:r w:rsidRPr="000D67A2">
        <w:rPr>
          <w:sz w:val="22"/>
          <w:szCs w:val="22"/>
          <w:lang w:val="sr-Latn-ME"/>
        </w:rPr>
        <w:t>-</w:t>
      </w:r>
      <w:r w:rsidRPr="000D67A2">
        <w:rPr>
          <w:sz w:val="22"/>
          <w:szCs w:val="22"/>
          <w:vertAlign w:val="subscript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blokatori</w:t>
      </w:r>
      <w:proofErr w:type="spellEnd"/>
      <w:r w:rsidRPr="000D67A2">
        <w:rPr>
          <w:sz w:val="22"/>
          <w:szCs w:val="22"/>
          <w:lang w:val="sr-Latn-ME"/>
        </w:rPr>
        <w:t xml:space="preserve"> mogu sniziti krvni pritisak smanjenjem perifernog otpora. Tokom studija </w:t>
      </w:r>
      <w:r w:rsidR="00A82A89" w:rsidRPr="000D67A2">
        <w:rPr>
          <w:sz w:val="22"/>
          <w:szCs w:val="22"/>
          <w:lang w:val="sr-Latn-ME"/>
        </w:rPr>
        <w:t xml:space="preserve">sa </w:t>
      </w:r>
      <w:proofErr w:type="spellStart"/>
      <w:r w:rsidR="00A82A89" w:rsidRPr="000D67A2">
        <w:rPr>
          <w:sz w:val="22"/>
          <w:szCs w:val="22"/>
          <w:lang w:val="sr-Latn-ME"/>
        </w:rPr>
        <w:t>tamsulosinom</w:t>
      </w:r>
      <w:proofErr w:type="spellEnd"/>
      <w:r w:rsidR="009B7B3B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 xml:space="preserve">nije zabilježeno klinički značajno sniženje krvnog pritiska. </w:t>
      </w:r>
    </w:p>
    <w:p w14:paraId="2C1246FA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p w14:paraId="5439A016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Pedijatrijska populacija</w:t>
      </w:r>
    </w:p>
    <w:p w14:paraId="41BF5FD5" w14:textId="44910EAF" w:rsidR="000B3061" w:rsidRPr="000D67A2" w:rsidRDefault="000B3061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U dvostruko slijepoj, </w:t>
      </w:r>
      <w:proofErr w:type="spellStart"/>
      <w:r w:rsidRPr="000D67A2">
        <w:rPr>
          <w:sz w:val="22"/>
          <w:szCs w:val="22"/>
          <w:lang w:val="sr-Latn-ME"/>
        </w:rPr>
        <w:t>randomiz</w:t>
      </w:r>
      <w:r w:rsidR="004615DF" w:rsidRPr="000D67A2">
        <w:rPr>
          <w:sz w:val="22"/>
          <w:szCs w:val="22"/>
          <w:lang w:val="sr-Latn-ME"/>
        </w:rPr>
        <w:t>ova</w:t>
      </w:r>
      <w:r w:rsidRPr="000D67A2">
        <w:rPr>
          <w:sz w:val="22"/>
          <w:szCs w:val="22"/>
          <w:lang w:val="sr-Latn-ME"/>
        </w:rPr>
        <w:t>noj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placebo</w:t>
      </w:r>
      <w:proofErr w:type="spellEnd"/>
      <w:r w:rsidRPr="000D67A2">
        <w:rPr>
          <w:sz w:val="22"/>
          <w:szCs w:val="22"/>
          <w:lang w:val="sr-Latn-ME"/>
        </w:rPr>
        <w:t xml:space="preserve"> kontrolisanoj studiji sa različitim dozama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učestvovalo je 161 dijete (</w:t>
      </w:r>
      <w:r w:rsidR="004615DF" w:rsidRPr="000D67A2">
        <w:rPr>
          <w:sz w:val="22"/>
          <w:szCs w:val="22"/>
          <w:lang w:val="sr-Latn-ME"/>
        </w:rPr>
        <w:t>uzrasta</w:t>
      </w:r>
      <w:r w:rsidRPr="000D67A2">
        <w:rPr>
          <w:sz w:val="22"/>
          <w:szCs w:val="22"/>
          <w:lang w:val="sr-Latn-ME"/>
        </w:rPr>
        <w:t xml:space="preserve"> 2-</w:t>
      </w:r>
      <w:r w:rsidR="00807E1B" w:rsidRPr="000D67A2">
        <w:rPr>
          <w:sz w:val="22"/>
          <w:szCs w:val="22"/>
          <w:lang w:val="sr-Latn-ME"/>
        </w:rPr>
        <w:t>1</w:t>
      </w:r>
      <w:r w:rsidRPr="000D67A2">
        <w:rPr>
          <w:sz w:val="22"/>
          <w:szCs w:val="22"/>
          <w:lang w:val="sr-Latn-ME"/>
        </w:rPr>
        <w:t xml:space="preserve">6 godina) sa neuropatijom bešike. Ispitivane su tri doze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(niska [0.001- 0.002 mg/kg], srednja [0.002 - 0.004 mg/kg], i visoka [0.004 - 0.008 mg/kg]) i</w:t>
      </w:r>
      <w:r w:rsidR="001A22FA" w:rsidRPr="000D67A2">
        <w:rPr>
          <w:sz w:val="22"/>
          <w:szCs w:val="22"/>
          <w:lang w:val="sr-Latn-ME"/>
        </w:rPr>
        <w:t>li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placebo</w:t>
      </w:r>
      <w:proofErr w:type="spellEnd"/>
      <w:r w:rsidRPr="000D67A2">
        <w:rPr>
          <w:sz w:val="22"/>
          <w:szCs w:val="22"/>
          <w:lang w:val="sr-Latn-ME"/>
        </w:rPr>
        <w:t xml:space="preserve">. Primarni </w:t>
      </w:r>
      <w:r w:rsidR="002B701E" w:rsidRPr="000D67A2">
        <w:rPr>
          <w:sz w:val="22"/>
          <w:szCs w:val="22"/>
          <w:lang w:val="sr-Latn-ME"/>
        </w:rPr>
        <w:t>paramet</w:t>
      </w:r>
      <w:r w:rsidR="003F261C" w:rsidRPr="000D67A2">
        <w:rPr>
          <w:sz w:val="22"/>
          <w:szCs w:val="22"/>
          <w:lang w:val="sr-Latn-ME"/>
        </w:rPr>
        <w:t>a</w:t>
      </w:r>
      <w:r w:rsidR="002B701E" w:rsidRPr="000D67A2">
        <w:rPr>
          <w:sz w:val="22"/>
          <w:szCs w:val="22"/>
          <w:lang w:val="sr-Latn-ME"/>
        </w:rPr>
        <w:t>r praćenja</w:t>
      </w:r>
      <w:r w:rsidRPr="000D67A2">
        <w:rPr>
          <w:sz w:val="22"/>
          <w:szCs w:val="22"/>
          <w:lang w:val="sr-Latn-ME"/>
        </w:rPr>
        <w:t xml:space="preserve"> je </w:t>
      </w:r>
      <w:r w:rsidR="002B701E" w:rsidRPr="000D67A2">
        <w:rPr>
          <w:sz w:val="22"/>
          <w:szCs w:val="22"/>
          <w:lang w:val="sr-Latn-ME"/>
        </w:rPr>
        <w:t xml:space="preserve">bio </w:t>
      </w:r>
      <w:r w:rsidRPr="000D67A2">
        <w:rPr>
          <w:sz w:val="22"/>
          <w:szCs w:val="22"/>
          <w:lang w:val="sr-Latn-ME"/>
        </w:rPr>
        <w:t xml:space="preserve">da se utvrdi broj pacijenata kod kojih je snižen pritisak pri početnom odlaženju mokraće kod nevoljne kontrakcije </w:t>
      </w:r>
      <w:proofErr w:type="spellStart"/>
      <w:r w:rsidRPr="000D67A2">
        <w:rPr>
          <w:sz w:val="22"/>
          <w:szCs w:val="22"/>
          <w:lang w:val="sr-Latn-ME"/>
        </w:rPr>
        <w:t>detruzora</w:t>
      </w:r>
      <w:proofErr w:type="spellEnd"/>
      <w:r w:rsidRPr="000D67A2">
        <w:rPr>
          <w:sz w:val="22"/>
          <w:szCs w:val="22"/>
          <w:lang w:val="sr-Latn-ME"/>
        </w:rPr>
        <w:t xml:space="preserve"> (</w:t>
      </w:r>
      <w:proofErr w:type="spellStart"/>
      <w:r w:rsidRPr="000D67A2">
        <w:rPr>
          <w:sz w:val="22"/>
          <w:szCs w:val="22"/>
          <w:lang w:val="sr-Latn-ME"/>
        </w:rPr>
        <w:t>LPP</w:t>
      </w:r>
      <w:proofErr w:type="spellEnd"/>
      <w:r w:rsidR="0018493E" w:rsidRPr="000D67A2">
        <w:rPr>
          <w:sz w:val="22"/>
          <w:szCs w:val="22"/>
          <w:lang w:val="sr-Latn-ME"/>
        </w:rPr>
        <w:t xml:space="preserve">, </w:t>
      </w:r>
      <w:proofErr w:type="spellStart"/>
      <w:r w:rsidR="0018493E" w:rsidRPr="000D67A2">
        <w:rPr>
          <w:sz w:val="22"/>
          <w:szCs w:val="22"/>
          <w:lang w:val="sr-Latn-ME"/>
        </w:rPr>
        <w:t>eng</w:t>
      </w:r>
      <w:proofErr w:type="spellEnd"/>
      <w:r w:rsidR="0018493E" w:rsidRPr="000D67A2">
        <w:rPr>
          <w:sz w:val="22"/>
          <w:szCs w:val="22"/>
          <w:lang w:val="sr-Latn-ME"/>
        </w:rPr>
        <w:t xml:space="preserve">. </w:t>
      </w:r>
      <w:proofErr w:type="spellStart"/>
      <w:r w:rsidR="0018493E" w:rsidRPr="000D67A2">
        <w:rPr>
          <w:i/>
          <w:sz w:val="22"/>
          <w:szCs w:val="22"/>
          <w:lang w:val="sr-Latn-ME"/>
        </w:rPr>
        <w:t>leak</w:t>
      </w:r>
      <w:proofErr w:type="spellEnd"/>
      <w:r w:rsidR="0018493E" w:rsidRPr="000D67A2">
        <w:rPr>
          <w:i/>
          <w:sz w:val="22"/>
          <w:szCs w:val="22"/>
          <w:lang w:val="sr-Latn-ME"/>
        </w:rPr>
        <w:t xml:space="preserve"> </w:t>
      </w:r>
      <w:proofErr w:type="spellStart"/>
      <w:r w:rsidR="0018493E" w:rsidRPr="000D67A2">
        <w:rPr>
          <w:i/>
          <w:sz w:val="22"/>
          <w:szCs w:val="22"/>
          <w:lang w:val="sr-Latn-ME"/>
        </w:rPr>
        <w:t>point</w:t>
      </w:r>
      <w:proofErr w:type="spellEnd"/>
      <w:r w:rsidR="0018493E" w:rsidRPr="000D67A2">
        <w:rPr>
          <w:i/>
          <w:sz w:val="22"/>
          <w:szCs w:val="22"/>
          <w:lang w:val="sr-Latn-ME"/>
        </w:rPr>
        <w:t xml:space="preserve"> </w:t>
      </w:r>
      <w:proofErr w:type="spellStart"/>
      <w:r w:rsidR="0018493E" w:rsidRPr="000D67A2">
        <w:rPr>
          <w:i/>
          <w:sz w:val="22"/>
          <w:szCs w:val="22"/>
          <w:lang w:val="sr-Latn-ME"/>
        </w:rPr>
        <w:t>pressure</w:t>
      </w:r>
      <w:proofErr w:type="spellEnd"/>
      <w:r w:rsidRPr="000D67A2">
        <w:rPr>
          <w:sz w:val="22"/>
          <w:szCs w:val="22"/>
          <w:lang w:val="sr-Latn-ME"/>
        </w:rPr>
        <w:t xml:space="preserve">) na &lt;40 cm </w:t>
      </w:r>
      <w:proofErr w:type="spellStart"/>
      <w:r w:rsidRPr="000D67A2">
        <w:rPr>
          <w:sz w:val="22"/>
          <w:szCs w:val="22"/>
          <w:lang w:val="sr-Latn-ME"/>
        </w:rPr>
        <w:t>H</w:t>
      </w:r>
      <w:r w:rsidRPr="000D67A2">
        <w:rPr>
          <w:sz w:val="22"/>
          <w:szCs w:val="22"/>
          <w:vertAlign w:val="subscript"/>
          <w:lang w:val="sr-Latn-ME"/>
        </w:rPr>
        <w:t>2</w:t>
      </w:r>
      <w:r w:rsidRPr="000D67A2">
        <w:rPr>
          <w:sz w:val="22"/>
          <w:szCs w:val="22"/>
          <w:lang w:val="sr-Latn-ME"/>
        </w:rPr>
        <w:t>O</w:t>
      </w:r>
      <w:proofErr w:type="spellEnd"/>
      <w:r w:rsidRPr="000D67A2">
        <w:rPr>
          <w:sz w:val="22"/>
          <w:szCs w:val="22"/>
          <w:lang w:val="sr-Latn-ME"/>
        </w:rPr>
        <w:t xml:space="preserve"> na osnovu dva mjerenja </w:t>
      </w:r>
      <w:r w:rsidR="00482320" w:rsidRPr="000D67A2">
        <w:rPr>
          <w:sz w:val="22"/>
          <w:szCs w:val="22"/>
          <w:lang w:val="sr-Latn-ME"/>
        </w:rPr>
        <w:t xml:space="preserve">obavljena </w:t>
      </w:r>
      <w:r w:rsidRPr="000D67A2">
        <w:rPr>
          <w:sz w:val="22"/>
          <w:szCs w:val="22"/>
          <w:lang w:val="sr-Latn-ME"/>
        </w:rPr>
        <w:t xml:space="preserve">istog dana. </w:t>
      </w:r>
      <w:r w:rsidR="002B701E" w:rsidRPr="000D67A2">
        <w:rPr>
          <w:sz w:val="22"/>
          <w:szCs w:val="22"/>
          <w:lang w:val="sr-Latn-ME"/>
        </w:rPr>
        <w:t>Sekundarni parametri praćenja</w:t>
      </w:r>
      <w:r w:rsidRPr="000D67A2">
        <w:rPr>
          <w:sz w:val="22"/>
          <w:szCs w:val="22"/>
          <w:lang w:val="sr-Latn-ME"/>
        </w:rPr>
        <w:t xml:space="preserve"> su bili </w:t>
      </w:r>
      <w:r w:rsidR="009B7B3B" w:rsidRPr="000D67A2">
        <w:rPr>
          <w:sz w:val="22"/>
          <w:szCs w:val="22"/>
          <w:lang w:val="sr-Latn-ME"/>
        </w:rPr>
        <w:t>brojčane</w:t>
      </w:r>
      <w:r w:rsidR="002B701E" w:rsidRPr="000D67A2">
        <w:rPr>
          <w:sz w:val="22"/>
          <w:szCs w:val="22"/>
          <w:lang w:val="sr-Latn-ME"/>
        </w:rPr>
        <w:t xml:space="preserve"> i procentualne</w:t>
      </w:r>
      <w:r w:rsidRPr="000D67A2">
        <w:rPr>
          <w:sz w:val="22"/>
          <w:szCs w:val="22"/>
          <w:lang w:val="sr-Latn-ME"/>
        </w:rPr>
        <w:t xml:space="preserve"> promjene </w:t>
      </w:r>
      <w:r w:rsidR="002B701E" w:rsidRPr="000D67A2">
        <w:rPr>
          <w:sz w:val="22"/>
          <w:szCs w:val="22"/>
          <w:lang w:val="sr-Latn-ME"/>
        </w:rPr>
        <w:t xml:space="preserve">pritiska pri početnom odlaženju mokraće kod nevoljne kontrakcije </w:t>
      </w:r>
      <w:proofErr w:type="spellStart"/>
      <w:r w:rsidR="002B701E" w:rsidRPr="000D67A2">
        <w:rPr>
          <w:sz w:val="22"/>
          <w:szCs w:val="22"/>
          <w:lang w:val="sr-Latn-ME"/>
        </w:rPr>
        <w:t>detruzora</w:t>
      </w:r>
      <w:proofErr w:type="spellEnd"/>
      <w:r w:rsidR="002B701E" w:rsidRPr="000D67A2">
        <w:rPr>
          <w:sz w:val="22"/>
          <w:szCs w:val="22"/>
          <w:lang w:val="sr-Latn-ME"/>
        </w:rPr>
        <w:t xml:space="preserve">, </w:t>
      </w:r>
      <w:r w:rsidRPr="000D67A2">
        <w:rPr>
          <w:sz w:val="22"/>
          <w:szCs w:val="22"/>
          <w:lang w:val="sr-Latn-ME"/>
        </w:rPr>
        <w:t>poboljšanje</w:t>
      </w:r>
      <w:r w:rsidR="002B701E" w:rsidRPr="000D67A2">
        <w:rPr>
          <w:sz w:val="22"/>
          <w:szCs w:val="22"/>
          <w:lang w:val="sr-Latn-ME"/>
        </w:rPr>
        <w:t xml:space="preserve"> ili</w:t>
      </w:r>
      <w:r w:rsidRPr="000D67A2">
        <w:rPr>
          <w:sz w:val="22"/>
          <w:szCs w:val="22"/>
          <w:lang w:val="sr-Latn-ME"/>
        </w:rPr>
        <w:t xml:space="preserve"> stabilizacij</w:t>
      </w:r>
      <w:r w:rsidR="002B701E" w:rsidRPr="000D67A2">
        <w:rPr>
          <w:sz w:val="22"/>
          <w:szCs w:val="22"/>
          <w:lang w:val="sr-Latn-ME"/>
        </w:rPr>
        <w:t>a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hidronefroze</w:t>
      </w:r>
      <w:proofErr w:type="spellEnd"/>
      <w:r w:rsidRPr="000D67A2">
        <w:rPr>
          <w:sz w:val="22"/>
          <w:szCs w:val="22"/>
          <w:lang w:val="sr-Latn-ME"/>
        </w:rPr>
        <w:t xml:space="preserve"> i</w:t>
      </w:r>
      <w:r w:rsidR="002B701E" w:rsidRPr="000D67A2">
        <w:rPr>
          <w:sz w:val="22"/>
          <w:szCs w:val="22"/>
          <w:lang w:val="sr-Latn-ME"/>
        </w:rPr>
        <w:t>li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hidrouret</w:t>
      </w:r>
      <w:r w:rsidR="009B7B3B" w:rsidRPr="000D67A2">
        <w:rPr>
          <w:sz w:val="22"/>
          <w:szCs w:val="22"/>
          <w:lang w:val="sr-Latn-ME"/>
        </w:rPr>
        <w:t>era</w:t>
      </w:r>
      <w:proofErr w:type="spellEnd"/>
      <w:r w:rsidRPr="000D67A2">
        <w:rPr>
          <w:sz w:val="22"/>
          <w:szCs w:val="22"/>
          <w:lang w:val="sr-Latn-ME"/>
        </w:rPr>
        <w:t xml:space="preserve"> i promjene u zapremini urina </w:t>
      </w:r>
      <w:r w:rsidR="002B701E" w:rsidRPr="000D67A2">
        <w:rPr>
          <w:sz w:val="22"/>
          <w:szCs w:val="22"/>
          <w:lang w:val="sr-Latn-ME"/>
        </w:rPr>
        <w:t>mjerene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kateterizacijom</w:t>
      </w:r>
      <w:proofErr w:type="spellEnd"/>
      <w:r w:rsidRPr="000D67A2">
        <w:rPr>
          <w:sz w:val="22"/>
          <w:szCs w:val="22"/>
          <w:lang w:val="sr-Latn-ME"/>
        </w:rPr>
        <w:t xml:space="preserve"> i </w:t>
      </w:r>
      <w:r w:rsidR="0015511B" w:rsidRPr="000D67A2">
        <w:rPr>
          <w:sz w:val="22"/>
          <w:szCs w:val="22"/>
          <w:lang w:val="sr-Latn-ME"/>
        </w:rPr>
        <w:t xml:space="preserve">u </w:t>
      </w:r>
      <w:r w:rsidRPr="000D67A2">
        <w:rPr>
          <w:sz w:val="22"/>
          <w:szCs w:val="22"/>
          <w:lang w:val="sr-Latn-ME"/>
        </w:rPr>
        <w:t>broj</w:t>
      </w:r>
      <w:r w:rsidR="001B5DD4" w:rsidRPr="000D67A2">
        <w:rPr>
          <w:sz w:val="22"/>
          <w:szCs w:val="22"/>
          <w:lang w:val="sr-Latn-ME"/>
        </w:rPr>
        <w:t>u</w:t>
      </w:r>
      <w:r w:rsidRPr="000D67A2">
        <w:rPr>
          <w:sz w:val="22"/>
          <w:szCs w:val="22"/>
          <w:lang w:val="sr-Latn-ME"/>
        </w:rPr>
        <w:t xml:space="preserve"> mokrenja tokom </w:t>
      </w:r>
      <w:proofErr w:type="spellStart"/>
      <w:r w:rsidRPr="000D67A2">
        <w:rPr>
          <w:sz w:val="22"/>
          <w:szCs w:val="22"/>
          <w:lang w:val="sr-Latn-ME"/>
        </w:rPr>
        <w:t>kateterizacije</w:t>
      </w:r>
      <w:proofErr w:type="spellEnd"/>
      <w:r w:rsidRPr="000D67A2">
        <w:rPr>
          <w:sz w:val="22"/>
          <w:szCs w:val="22"/>
          <w:lang w:val="sr-Latn-ME"/>
        </w:rPr>
        <w:t xml:space="preserve">, </w:t>
      </w:r>
      <w:proofErr w:type="spellStart"/>
      <w:r w:rsidRPr="000D67A2">
        <w:rPr>
          <w:sz w:val="22"/>
          <w:szCs w:val="22"/>
          <w:lang w:val="sr-Latn-ME"/>
        </w:rPr>
        <w:t>zabilježen</w:t>
      </w:r>
      <w:r w:rsidR="009B7B3B" w:rsidRPr="000D67A2">
        <w:rPr>
          <w:sz w:val="22"/>
          <w:szCs w:val="22"/>
          <w:lang w:val="sr-Latn-ME"/>
        </w:rPr>
        <w:t>im</w:t>
      </w:r>
      <w:proofErr w:type="spellEnd"/>
      <w:r w:rsidRPr="000D67A2">
        <w:rPr>
          <w:sz w:val="22"/>
          <w:szCs w:val="22"/>
          <w:lang w:val="sr-Latn-ME"/>
        </w:rPr>
        <w:t xml:space="preserve"> u dnevnicima vođenja. Nije zabilježena statistički značajna razlika </w:t>
      </w:r>
      <w:r w:rsidR="002B701E" w:rsidRPr="000D67A2">
        <w:rPr>
          <w:sz w:val="22"/>
          <w:szCs w:val="22"/>
          <w:lang w:val="sr-Latn-ME"/>
        </w:rPr>
        <w:t xml:space="preserve">ni u primarnim ni u sekundarnim ishodima </w:t>
      </w:r>
      <w:r w:rsidRPr="000D67A2">
        <w:rPr>
          <w:sz w:val="22"/>
          <w:szCs w:val="22"/>
          <w:lang w:val="sr-Latn-ME"/>
        </w:rPr>
        <w:t xml:space="preserve">u </w:t>
      </w:r>
      <w:proofErr w:type="spellStart"/>
      <w:r w:rsidRPr="000D67A2">
        <w:rPr>
          <w:sz w:val="22"/>
          <w:szCs w:val="22"/>
          <w:lang w:val="sr-Latn-ME"/>
        </w:rPr>
        <w:t>placebo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r w:rsidR="002B701E" w:rsidRPr="000D67A2">
        <w:rPr>
          <w:sz w:val="22"/>
          <w:szCs w:val="22"/>
          <w:lang w:val="sr-Latn-ME"/>
        </w:rPr>
        <w:t xml:space="preserve">grupi </w:t>
      </w:r>
      <w:r w:rsidRPr="000D67A2">
        <w:rPr>
          <w:sz w:val="22"/>
          <w:szCs w:val="22"/>
          <w:lang w:val="sr-Latn-ME"/>
        </w:rPr>
        <w:t>i grup</w:t>
      </w:r>
      <w:r w:rsidR="00BC77DD" w:rsidRPr="000D67A2">
        <w:rPr>
          <w:sz w:val="22"/>
          <w:szCs w:val="22"/>
          <w:lang w:val="sr-Latn-ME"/>
        </w:rPr>
        <w:t>a</w:t>
      </w:r>
      <w:r w:rsidR="002B701E" w:rsidRPr="000D67A2">
        <w:rPr>
          <w:sz w:val="22"/>
          <w:szCs w:val="22"/>
          <w:lang w:val="sr-Latn-ME"/>
        </w:rPr>
        <w:t>ma</w:t>
      </w:r>
      <w:r w:rsidRPr="000D67A2">
        <w:rPr>
          <w:sz w:val="22"/>
          <w:szCs w:val="22"/>
          <w:lang w:val="sr-Latn-ME"/>
        </w:rPr>
        <w:t xml:space="preserve"> koj</w:t>
      </w:r>
      <w:r w:rsidR="00BC77DD" w:rsidRPr="000D67A2">
        <w:rPr>
          <w:sz w:val="22"/>
          <w:szCs w:val="22"/>
          <w:lang w:val="sr-Latn-ME"/>
        </w:rPr>
        <w:t>e</w:t>
      </w:r>
      <w:r w:rsidRPr="000D67A2">
        <w:rPr>
          <w:sz w:val="22"/>
          <w:szCs w:val="22"/>
          <w:lang w:val="sr-Latn-ME"/>
        </w:rPr>
        <w:t xml:space="preserve"> </w:t>
      </w:r>
      <w:r w:rsidR="00BC77DD" w:rsidRPr="000D67A2">
        <w:rPr>
          <w:sz w:val="22"/>
          <w:szCs w:val="22"/>
          <w:lang w:val="sr-Latn-ME"/>
        </w:rPr>
        <w:t>su</w:t>
      </w:r>
      <w:r w:rsidRPr="000D67A2">
        <w:rPr>
          <w:sz w:val="22"/>
          <w:szCs w:val="22"/>
          <w:lang w:val="sr-Latn-ME"/>
        </w:rPr>
        <w:t xml:space="preserve"> primal</w:t>
      </w:r>
      <w:r w:rsidR="00BC77DD" w:rsidRPr="000D67A2">
        <w:rPr>
          <w:sz w:val="22"/>
          <w:szCs w:val="22"/>
          <w:lang w:val="sr-Latn-ME"/>
        </w:rPr>
        <w:t>e bilo koju od</w:t>
      </w:r>
      <w:r w:rsidRPr="000D67A2">
        <w:rPr>
          <w:sz w:val="22"/>
          <w:szCs w:val="22"/>
          <w:lang w:val="sr-Latn-ME"/>
        </w:rPr>
        <w:t xml:space="preserve"> 3 različite doze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. Takođe nije zabilježen </w:t>
      </w:r>
      <w:proofErr w:type="spellStart"/>
      <w:r w:rsidR="00BC77DD" w:rsidRPr="000D67A2">
        <w:rPr>
          <w:sz w:val="22"/>
          <w:szCs w:val="22"/>
          <w:lang w:val="sr-Latn-ME"/>
        </w:rPr>
        <w:t>dozno</w:t>
      </w:r>
      <w:proofErr w:type="spellEnd"/>
      <w:r w:rsidR="00BC77DD" w:rsidRPr="000D67A2">
        <w:rPr>
          <w:sz w:val="22"/>
          <w:szCs w:val="22"/>
          <w:lang w:val="sr-Latn-ME"/>
        </w:rPr>
        <w:t xml:space="preserve"> zavisan odgovor</w:t>
      </w:r>
      <w:r w:rsidRPr="000D67A2">
        <w:rPr>
          <w:sz w:val="22"/>
          <w:szCs w:val="22"/>
          <w:lang w:val="sr-Latn-ME"/>
        </w:rPr>
        <w:t xml:space="preserve"> ni pri jednoj </w:t>
      </w:r>
      <w:r w:rsidR="00BC77DD" w:rsidRPr="000D67A2">
        <w:rPr>
          <w:sz w:val="22"/>
          <w:szCs w:val="22"/>
          <w:lang w:val="sr-Latn-ME"/>
        </w:rPr>
        <w:t xml:space="preserve">od primijenjenih </w:t>
      </w:r>
      <w:r w:rsidRPr="000D67A2">
        <w:rPr>
          <w:sz w:val="22"/>
          <w:szCs w:val="22"/>
          <w:lang w:val="sr-Latn-ME"/>
        </w:rPr>
        <w:t>doz</w:t>
      </w:r>
      <w:r w:rsidR="00BC77DD" w:rsidRPr="000D67A2">
        <w:rPr>
          <w:sz w:val="22"/>
          <w:szCs w:val="22"/>
          <w:lang w:val="sr-Latn-ME"/>
        </w:rPr>
        <w:t>a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tamulosina</w:t>
      </w:r>
      <w:proofErr w:type="spellEnd"/>
      <w:r w:rsidRPr="000D67A2">
        <w:rPr>
          <w:sz w:val="22"/>
          <w:szCs w:val="22"/>
          <w:lang w:val="sr-Latn-ME"/>
        </w:rPr>
        <w:t xml:space="preserve">. </w:t>
      </w:r>
    </w:p>
    <w:p w14:paraId="5D8F62A1" w14:textId="77777777" w:rsidR="000B3061" w:rsidRPr="000D67A2" w:rsidRDefault="000B3061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31523" w14:textId="77777777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5.2.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proofErr w:type="spellStart"/>
      <w:r w:rsidRPr="000D67A2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0D67A2">
        <w:rPr>
          <w:b/>
          <w:bCs/>
          <w:sz w:val="22"/>
          <w:szCs w:val="22"/>
          <w:lang w:val="sr-Latn-ME"/>
        </w:rPr>
        <w:t xml:space="preserve"> podaci</w:t>
      </w:r>
      <w:r w:rsidR="003A7059" w:rsidRPr="000D67A2">
        <w:rPr>
          <w:b/>
          <w:bCs/>
          <w:sz w:val="22"/>
          <w:szCs w:val="22"/>
          <w:lang w:val="sr-Latn-ME"/>
        </w:rPr>
        <w:t xml:space="preserve"> </w:t>
      </w:r>
    </w:p>
    <w:p w14:paraId="0A5F633B" w14:textId="77777777" w:rsidR="000B3061" w:rsidRPr="000D67A2" w:rsidRDefault="000B3061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99A90DC" w14:textId="77777777" w:rsidR="000B3061" w:rsidRPr="000D67A2" w:rsidRDefault="000B3061" w:rsidP="001B5DD4">
      <w:pPr>
        <w:jc w:val="both"/>
        <w:rPr>
          <w:i/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Resorpcija</w:t>
      </w:r>
    </w:p>
    <w:p w14:paraId="49B43637" w14:textId="1B19C8EF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se resorbuje u crijevima i gotovo je potpuno </w:t>
      </w:r>
      <w:proofErr w:type="spellStart"/>
      <w:r w:rsidRPr="000D67A2">
        <w:rPr>
          <w:sz w:val="22"/>
          <w:szCs w:val="22"/>
          <w:lang w:val="sr-Latn-ME"/>
        </w:rPr>
        <w:t>bioraspoloživ</w:t>
      </w:r>
      <w:proofErr w:type="spellEnd"/>
      <w:r w:rsidRPr="000D67A2">
        <w:rPr>
          <w:sz w:val="22"/>
          <w:szCs w:val="22"/>
          <w:lang w:val="sr-Latn-ME"/>
        </w:rPr>
        <w:t xml:space="preserve">. </w:t>
      </w:r>
      <w:r w:rsidR="0018493E" w:rsidRPr="000D67A2">
        <w:rPr>
          <w:sz w:val="22"/>
          <w:szCs w:val="22"/>
          <w:lang w:val="sr-Latn-ME"/>
        </w:rPr>
        <w:t>Re</w:t>
      </w:r>
      <w:r w:rsidR="00807E1B" w:rsidRPr="000D67A2">
        <w:rPr>
          <w:sz w:val="22"/>
          <w:szCs w:val="22"/>
          <w:lang w:val="sr-Latn-ME"/>
        </w:rPr>
        <w:t>sorpcija se smanjuje</w:t>
      </w:r>
      <w:r w:rsidR="001A22FA" w:rsidRPr="000D67A2">
        <w:rPr>
          <w:sz w:val="22"/>
          <w:szCs w:val="22"/>
          <w:lang w:val="sr-Latn-ME"/>
        </w:rPr>
        <w:t xml:space="preserve"> </w:t>
      </w:r>
      <w:r w:rsidR="00807E1B" w:rsidRPr="000D67A2">
        <w:rPr>
          <w:sz w:val="22"/>
          <w:szCs w:val="22"/>
          <w:lang w:val="sr-Latn-ME"/>
        </w:rPr>
        <w:t>neposredno nakon obroka.</w:t>
      </w:r>
    </w:p>
    <w:p w14:paraId="2190C435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Ujednačenost resorpcije može biti </w:t>
      </w:r>
      <w:proofErr w:type="spellStart"/>
      <w:r w:rsidRPr="000D67A2">
        <w:rPr>
          <w:sz w:val="22"/>
          <w:szCs w:val="22"/>
          <w:lang w:val="sr-Latn-ME"/>
        </w:rPr>
        <w:t>obezbijeđena</w:t>
      </w:r>
      <w:proofErr w:type="spellEnd"/>
      <w:r w:rsidRPr="000D67A2">
        <w:rPr>
          <w:sz w:val="22"/>
          <w:szCs w:val="22"/>
          <w:lang w:val="sr-Latn-ME"/>
        </w:rPr>
        <w:t xml:space="preserve"> tako što se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uzima uvijek nakon istog obroka.</w:t>
      </w:r>
    </w:p>
    <w:p w14:paraId="49C3F221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pokazuje linearnu kinetiku.</w:t>
      </w:r>
    </w:p>
    <w:p w14:paraId="7D2CC3C3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</w:p>
    <w:p w14:paraId="395EFFA2" w14:textId="310C7FCD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Nakon pojedinačne doze lijeka uzetog nakon obroka, maksimalna koncentracija u plazmi se postiže nakon 6 sati. </w:t>
      </w:r>
      <w:r w:rsidR="009B7B3B" w:rsidRPr="000D67A2">
        <w:rPr>
          <w:sz w:val="22"/>
          <w:szCs w:val="22"/>
          <w:lang w:val="sr-Latn-ME"/>
        </w:rPr>
        <w:t xml:space="preserve">U </w:t>
      </w:r>
      <w:proofErr w:type="spellStart"/>
      <w:r w:rsidR="009B7B3B" w:rsidRPr="000D67A2">
        <w:rPr>
          <w:sz w:val="22"/>
          <w:szCs w:val="22"/>
          <w:lang w:val="sr-Latn-ME"/>
        </w:rPr>
        <w:t>ravotežnom</w:t>
      </w:r>
      <w:proofErr w:type="spellEnd"/>
      <w:r w:rsidR="009B7B3B" w:rsidRPr="000D67A2">
        <w:rPr>
          <w:sz w:val="22"/>
          <w:szCs w:val="22"/>
          <w:lang w:val="sr-Latn-ME"/>
        </w:rPr>
        <w:t xml:space="preserve"> stanju koje </w:t>
      </w:r>
      <w:r w:rsidRPr="000D67A2">
        <w:rPr>
          <w:sz w:val="22"/>
          <w:szCs w:val="22"/>
          <w:lang w:val="sr-Latn-ME"/>
        </w:rPr>
        <w:t xml:space="preserve">se postiže nakon pet dana višekratnog doziranja,  </w:t>
      </w:r>
      <w:proofErr w:type="spellStart"/>
      <w:r w:rsidRPr="000D67A2">
        <w:rPr>
          <w:sz w:val="22"/>
          <w:szCs w:val="22"/>
          <w:lang w:val="sr-Latn-ME"/>
        </w:rPr>
        <w:t>C</w:t>
      </w:r>
      <w:r w:rsidRPr="000D67A2">
        <w:rPr>
          <w:sz w:val="22"/>
          <w:szCs w:val="22"/>
          <w:vertAlign w:val="subscript"/>
          <w:lang w:val="sr-Latn-ME"/>
        </w:rPr>
        <w:t>max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r w:rsidR="009B7B3B" w:rsidRPr="000D67A2">
        <w:rPr>
          <w:sz w:val="22"/>
          <w:szCs w:val="22"/>
          <w:lang w:val="sr-Latn-ME"/>
        </w:rPr>
        <w:t xml:space="preserve">je otprilike </w:t>
      </w:r>
      <w:r w:rsidRPr="000D67A2">
        <w:rPr>
          <w:sz w:val="22"/>
          <w:szCs w:val="22"/>
          <w:lang w:val="sr-Latn-ME"/>
        </w:rPr>
        <w:t>za dvije trećine već</w:t>
      </w:r>
      <w:r w:rsidR="00482320" w:rsidRPr="000D67A2">
        <w:rPr>
          <w:sz w:val="22"/>
          <w:szCs w:val="22"/>
          <w:lang w:val="sr-Latn-ME"/>
        </w:rPr>
        <w:t>a</w:t>
      </w:r>
      <w:r w:rsidRPr="000D67A2">
        <w:rPr>
          <w:sz w:val="22"/>
          <w:szCs w:val="22"/>
          <w:lang w:val="sr-Latn-ME"/>
        </w:rPr>
        <w:t xml:space="preserve"> nego kod pojedinačne primjene. Iako je ovo ustanovljeno samo kod starijih pacijenata, isti rezultati se mogu očekivati i kod mlađih pacijenata </w:t>
      </w:r>
    </w:p>
    <w:p w14:paraId="2AF8F5B0" w14:textId="77777777" w:rsidR="00807E1B" w:rsidRPr="000D67A2" w:rsidRDefault="00807E1B" w:rsidP="001B5DD4">
      <w:pPr>
        <w:jc w:val="both"/>
        <w:rPr>
          <w:sz w:val="22"/>
          <w:szCs w:val="22"/>
          <w:lang w:val="sr-Latn-ME"/>
        </w:rPr>
      </w:pPr>
    </w:p>
    <w:p w14:paraId="0C81C3FE" w14:textId="35522241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Postoje značajne individualne razlike u koncentracijama lijeka u plazmi među pacijentima nakon pojedinačne i višestruke doze. </w:t>
      </w:r>
    </w:p>
    <w:p w14:paraId="6948AE74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</w:p>
    <w:p w14:paraId="24598769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i/>
          <w:iCs/>
          <w:sz w:val="22"/>
          <w:szCs w:val="22"/>
          <w:lang w:val="sr-Latn-ME"/>
        </w:rPr>
      </w:pPr>
      <w:r w:rsidRPr="000D67A2">
        <w:rPr>
          <w:i/>
          <w:iCs/>
          <w:sz w:val="22"/>
          <w:szCs w:val="22"/>
          <w:lang w:val="sr-Latn-ME"/>
        </w:rPr>
        <w:t>Distribucija</w:t>
      </w:r>
    </w:p>
    <w:p w14:paraId="19AC96DF" w14:textId="2848315F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lang w:val="sr-Latn-ME"/>
        </w:rPr>
      </w:pPr>
      <w:r w:rsidRPr="000D67A2">
        <w:rPr>
          <w:iCs/>
          <w:sz w:val="22"/>
          <w:szCs w:val="22"/>
          <w:lang w:val="sr-Latn-ME"/>
        </w:rPr>
        <w:t xml:space="preserve">Kod </w:t>
      </w:r>
      <w:proofErr w:type="spellStart"/>
      <w:r w:rsidR="0018493E" w:rsidRPr="000D67A2">
        <w:rPr>
          <w:iCs/>
          <w:sz w:val="22"/>
          <w:szCs w:val="22"/>
          <w:lang w:val="sr-Latn-ME"/>
        </w:rPr>
        <w:t>ljudi</w:t>
      </w:r>
      <w:proofErr w:type="spellEnd"/>
      <w:r w:rsidRPr="000D67A2">
        <w:rPr>
          <w:iCs/>
          <w:sz w:val="22"/>
          <w:szCs w:val="22"/>
          <w:lang w:val="sr-Latn-ME"/>
        </w:rPr>
        <w:t xml:space="preserve">, više od 99% </w:t>
      </w:r>
      <w:proofErr w:type="spellStart"/>
      <w:r w:rsidRPr="000D67A2">
        <w:rPr>
          <w:iCs/>
          <w:sz w:val="22"/>
          <w:szCs w:val="22"/>
          <w:lang w:val="sr-Latn-ME"/>
        </w:rPr>
        <w:t>tamsulosina</w:t>
      </w:r>
      <w:proofErr w:type="spellEnd"/>
      <w:r w:rsidRPr="000D67A2">
        <w:rPr>
          <w:iCs/>
          <w:sz w:val="22"/>
          <w:szCs w:val="22"/>
          <w:lang w:val="sr-Latn-ME"/>
        </w:rPr>
        <w:t xml:space="preserve"> se vezuje za prot</w:t>
      </w:r>
      <w:r w:rsidR="00CE2371" w:rsidRPr="000D67A2">
        <w:rPr>
          <w:iCs/>
          <w:sz w:val="22"/>
          <w:szCs w:val="22"/>
          <w:lang w:val="sr-Latn-ME"/>
        </w:rPr>
        <w:t>e</w:t>
      </w:r>
      <w:r w:rsidRPr="000D67A2">
        <w:rPr>
          <w:iCs/>
          <w:sz w:val="22"/>
          <w:szCs w:val="22"/>
          <w:lang w:val="sr-Latn-ME"/>
        </w:rPr>
        <w:t xml:space="preserve">ine plazme, volumen distribucije je mali </w:t>
      </w:r>
      <w:r w:rsidRPr="000D67A2">
        <w:rPr>
          <w:sz w:val="22"/>
          <w:szCs w:val="22"/>
          <w:lang w:val="sr-Latn-ME"/>
        </w:rPr>
        <w:t>(oko 0,2</w:t>
      </w:r>
      <w:r w:rsidR="00BC77DD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 xml:space="preserve">l/kg). </w:t>
      </w:r>
      <w:r w:rsidRPr="000D67A2">
        <w:rPr>
          <w:iCs/>
          <w:sz w:val="22"/>
          <w:szCs w:val="22"/>
          <w:lang w:val="sr-Latn-ME"/>
        </w:rPr>
        <w:t xml:space="preserve"> </w:t>
      </w:r>
    </w:p>
    <w:p w14:paraId="521B277E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bCs/>
          <w:i/>
          <w:sz w:val="22"/>
          <w:szCs w:val="22"/>
          <w:lang w:val="sr-Latn-ME"/>
        </w:rPr>
      </w:pPr>
      <w:proofErr w:type="spellStart"/>
      <w:r w:rsidRPr="000D67A2">
        <w:rPr>
          <w:bCs/>
          <w:i/>
          <w:sz w:val="22"/>
          <w:szCs w:val="22"/>
          <w:lang w:val="sr-Latn-ME"/>
        </w:rPr>
        <w:lastRenderedPageBreak/>
        <w:t>Biotransformacija</w:t>
      </w:r>
      <w:proofErr w:type="spellEnd"/>
    </w:p>
    <w:p w14:paraId="76C6F525" w14:textId="7FD072F7" w:rsidR="000B3061" w:rsidRPr="000D67A2" w:rsidRDefault="000B3061" w:rsidP="00C24644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ima slab efekat prvog prolaza kroz jetru i s</w:t>
      </w:r>
      <w:r w:rsidR="00BC77DD" w:rsidRPr="000D67A2">
        <w:rPr>
          <w:sz w:val="22"/>
          <w:szCs w:val="22"/>
          <w:lang w:val="sr-Latn-ME"/>
        </w:rPr>
        <w:t>poro</w:t>
      </w:r>
      <w:r w:rsidRPr="000D67A2">
        <w:rPr>
          <w:sz w:val="22"/>
          <w:szCs w:val="22"/>
          <w:lang w:val="sr-Latn-ME"/>
        </w:rPr>
        <w:t xml:space="preserve"> se </w:t>
      </w:r>
      <w:proofErr w:type="spellStart"/>
      <w:r w:rsidRPr="000D67A2">
        <w:rPr>
          <w:sz w:val="22"/>
          <w:szCs w:val="22"/>
          <w:lang w:val="sr-Latn-ME"/>
        </w:rPr>
        <w:t>metaboliše</w:t>
      </w:r>
      <w:proofErr w:type="spellEnd"/>
      <w:r w:rsidRPr="000D67A2">
        <w:rPr>
          <w:sz w:val="22"/>
          <w:szCs w:val="22"/>
          <w:lang w:val="sr-Latn-ME"/>
        </w:rPr>
        <w:t xml:space="preserve">. Većina </w:t>
      </w:r>
      <w:proofErr w:type="spellStart"/>
      <w:r w:rsidRPr="000D67A2">
        <w:rPr>
          <w:sz w:val="22"/>
          <w:szCs w:val="22"/>
          <w:lang w:val="sr-Latn-ME"/>
        </w:rPr>
        <w:t>unijetog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se nalazi u plazmi u obliku </w:t>
      </w:r>
      <w:proofErr w:type="spellStart"/>
      <w:r w:rsidRPr="000D67A2">
        <w:rPr>
          <w:sz w:val="22"/>
          <w:szCs w:val="22"/>
          <w:lang w:val="sr-Latn-ME"/>
        </w:rPr>
        <w:t>neizmijenjenog</w:t>
      </w:r>
      <w:proofErr w:type="spellEnd"/>
      <w:r w:rsidRPr="000D67A2">
        <w:rPr>
          <w:sz w:val="22"/>
          <w:szCs w:val="22"/>
          <w:lang w:val="sr-Latn-ME"/>
        </w:rPr>
        <w:t xml:space="preserve"> lijeka. </w:t>
      </w:r>
      <w:proofErr w:type="spellStart"/>
      <w:r w:rsidRPr="000D67A2">
        <w:rPr>
          <w:sz w:val="22"/>
          <w:szCs w:val="22"/>
          <w:lang w:val="sr-Latn-ME"/>
        </w:rPr>
        <w:t>Metaboliše</w:t>
      </w:r>
      <w:proofErr w:type="spellEnd"/>
      <w:r w:rsidRPr="000D67A2">
        <w:rPr>
          <w:sz w:val="22"/>
          <w:szCs w:val="22"/>
          <w:lang w:val="sr-Latn-ME"/>
        </w:rPr>
        <w:t xml:space="preserve"> se u jetri.</w:t>
      </w:r>
    </w:p>
    <w:p w14:paraId="49B78D9E" w14:textId="7AD7640A" w:rsidR="000B3061" w:rsidRPr="000D67A2" w:rsidRDefault="0048232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U</w:t>
      </w:r>
      <w:r w:rsidR="000B3061" w:rsidRPr="000D67A2">
        <w:rPr>
          <w:sz w:val="22"/>
          <w:szCs w:val="22"/>
          <w:lang w:val="sr-Latn-ME"/>
        </w:rPr>
        <w:t xml:space="preserve"> eksperimentima vršenim na pacovima primijećena je slaba indukcija </w:t>
      </w:r>
      <w:proofErr w:type="spellStart"/>
      <w:r w:rsidR="000B3061" w:rsidRPr="000D67A2">
        <w:rPr>
          <w:sz w:val="22"/>
          <w:szCs w:val="22"/>
          <w:lang w:val="sr-Latn-ME"/>
        </w:rPr>
        <w:t>mikrozomalnih</w:t>
      </w:r>
      <w:proofErr w:type="spellEnd"/>
      <w:r w:rsidR="000B3061" w:rsidRPr="000D67A2">
        <w:rPr>
          <w:sz w:val="22"/>
          <w:szCs w:val="22"/>
          <w:lang w:val="sr-Latn-ME"/>
        </w:rPr>
        <w:t xml:space="preserve"> enzima jetre pod uticajem </w:t>
      </w:r>
      <w:proofErr w:type="spellStart"/>
      <w:r w:rsidR="000B3061" w:rsidRPr="000D67A2">
        <w:rPr>
          <w:sz w:val="22"/>
          <w:szCs w:val="22"/>
          <w:lang w:val="sr-Latn-ME"/>
        </w:rPr>
        <w:t>tamsulosina</w:t>
      </w:r>
      <w:proofErr w:type="spellEnd"/>
      <w:r w:rsidR="000B3061" w:rsidRPr="000D67A2">
        <w:rPr>
          <w:sz w:val="22"/>
          <w:szCs w:val="22"/>
          <w:lang w:val="sr-Latn-ME"/>
        </w:rPr>
        <w:t>.</w:t>
      </w:r>
    </w:p>
    <w:p w14:paraId="21C0C5EF" w14:textId="0BED2811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 xml:space="preserve">In </w:t>
      </w:r>
      <w:proofErr w:type="spellStart"/>
      <w:r w:rsidRPr="000D67A2">
        <w:rPr>
          <w:i/>
          <w:sz w:val="22"/>
          <w:szCs w:val="22"/>
          <w:lang w:val="sr-Latn-ME"/>
        </w:rPr>
        <w:t>vitro</w:t>
      </w:r>
      <w:proofErr w:type="spellEnd"/>
      <w:r w:rsidRPr="000D67A2">
        <w:rPr>
          <w:sz w:val="22"/>
          <w:szCs w:val="22"/>
          <w:lang w:val="sr-Latn-ME"/>
        </w:rPr>
        <w:t xml:space="preserve"> rezultati sugerišu da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, kao i </w:t>
      </w:r>
      <w:proofErr w:type="spellStart"/>
      <w:r w:rsidRPr="000D67A2">
        <w:rPr>
          <w:sz w:val="22"/>
          <w:szCs w:val="22"/>
          <w:lang w:val="sr-Latn-ME"/>
        </w:rPr>
        <w:t>CYP2D6</w:t>
      </w:r>
      <w:proofErr w:type="spellEnd"/>
      <w:r w:rsidRPr="000D67A2">
        <w:rPr>
          <w:sz w:val="22"/>
          <w:szCs w:val="22"/>
          <w:lang w:val="sr-Latn-ME"/>
        </w:rPr>
        <w:t xml:space="preserve"> učestvuju u metabolizmu, sa mogućim minimalnim uticajem na metabolizam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od strane drugih </w:t>
      </w:r>
      <w:proofErr w:type="spellStart"/>
      <w:r w:rsidRPr="000D67A2">
        <w:rPr>
          <w:sz w:val="22"/>
          <w:szCs w:val="22"/>
          <w:lang w:val="sr-Latn-ME"/>
        </w:rPr>
        <w:t>CYP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izoenzima</w:t>
      </w:r>
      <w:proofErr w:type="spellEnd"/>
      <w:r w:rsidRPr="000D67A2">
        <w:rPr>
          <w:sz w:val="22"/>
          <w:szCs w:val="22"/>
          <w:lang w:val="sr-Latn-ME"/>
        </w:rPr>
        <w:t xml:space="preserve">. Inhibicija </w:t>
      </w:r>
      <w:proofErr w:type="spellStart"/>
      <w:r w:rsidRPr="000D67A2">
        <w:rPr>
          <w:sz w:val="22"/>
          <w:szCs w:val="22"/>
          <w:lang w:val="sr-Latn-ME"/>
        </w:rPr>
        <w:t>CYP3A4</w:t>
      </w:r>
      <w:proofErr w:type="spellEnd"/>
      <w:r w:rsidRPr="000D67A2">
        <w:rPr>
          <w:sz w:val="22"/>
          <w:szCs w:val="22"/>
          <w:lang w:val="sr-Latn-ME"/>
        </w:rPr>
        <w:t xml:space="preserve"> i </w:t>
      </w:r>
      <w:proofErr w:type="spellStart"/>
      <w:r w:rsidRPr="000D67A2">
        <w:rPr>
          <w:sz w:val="22"/>
          <w:szCs w:val="22"/>
          <w:lang w:val="sr-Latn-ME"/>
        </w:rPr>
        <w:t>CYP2D6</w:t>
      </w:r>
      <w:proofErr w:type="spellEnd"/>
      <w:r w:rsidRPr="000D67A2">
        <w:rPr>
          <w:sz w:val="22"/>
          <w:szCs w:val="22"/>
          <w:lang w:val="sr-Latn-ME"/>
        </w:rPr>
        <w:t xml:space="preserve"> enzima uključenih u metabolizam ljekova može dovesti do povećane izloženosti </w:t>
      </w:r>
      <w:proofErr w:type="spellStart"/>
      <w:r w:rsidRPr="000D67A2">
        <w:rPr>
          <w:sz w:val="22"/>
          <w:szCs w:val="22"/>
          <w:lang w:val="sr-Latn-ME"/>
        </w:rPr>
        <w:t>tamsulosinu</w:t>
      </w:r>
      <w:proofErr w:type="spellEnd"/>
      <w:r w:rsidRPr="000D67A2">
        <w:rPr>
          <w:sz w:val="22"/>
          <w:szCs w:val="22"/>
          <w:lang w:val="sr-Latn-ME"/>
        </w:rPr>
        <w:t xml:space="preserve"> (vidjeti dijelove 4.4 i 4.5).</w:t>
      </w:r>
    </w:p>
    <w:p w14:paraId="5E0F7446" w14:textId="77777777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</w:p>
    <w:p w14:paraId="11EC9B7E" w14:textId="366ECC39" w:rsidR="000B3061" w:rsidRPr="000D67A2" w:rsidRDefault="00482320" w:rsidP="001B5DD4">
      <w:pPr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N</w:t>
      </w:r>
      <w:r w:rsidR="00494ADB" w:rsidRPr="000D67A2">
        <w:rPr>
          <w:sz w:val="22"/>
          <w:szCs w:val="22"/>
          <w:lang w:val="sr-Latn-ME"/>
        </w:rPr>
        <w:t>ije</w:t>
      </w:r>
      <w:r w:rsidRPr="000D67A2">
        <w:rPr>
          <w:sz w:val="22"/>
          <w:szCs w:val="22"/>
          <w:lang w:val="sr-Latn-ME"/>
        </w:rPr>
        <w:t>dan</w:t>
      </w:r>
      <w:r w:rsidR="00494ADB" w:rsidRPr="000D67A2">
        <w:rPr>
          <w:sz w:val="22"/>
          <w:szCs w:val="22"/>
          <w:lang w:val="sr-Latn-ME"/>
        </w:rPr>
        <w:t xml:space="preserve"> </w:t>
      </w:r>
      <w:proofErr w:type="spellStart"/>
      <w:r w:rsidR="00494ADB" w:rsidRPr="000D67A2">
        <w:rPr>
          <w:sz w:val="22"/>
          <w:szCs w:val="22"/>
          <w:lang w:val="sr-Latn-ME"/>
        </w:rPr>
        <w:t>m</w:t>
      </w:r>
      <w:r w:rsidR="000B3061" w:rsidRPr="000D67A2">
        <w:rPr>
          <w:sz w:val="22"/>
          <w:szCs w:val="22"/>
          <w:lang w:val="sr-Latn-ME"/>
        </w:rPr>
        <w:t>etabolit</w:t>
      </w:r>
      <w:proofErr w:type="spellEnd"/>
      <w:r w:rsidR="000B3061" w:rsidRPr="000D67A2">
        <w:rPr>
          <w:sz w:val="22"/>
          <w:szCs w:val="22"/>
          <w:lang w:val="sr-Latn-ME"/>
        </w:rPr>
        <w:t xml:space="preserve"> </w:t>
      </w:r>
      <w:r w:rsidR="00494ADB" w:rsidRPr="000D67A2">
        <w:rPr>
          <w:sz w:val="22"/>
          <w:szCs w:val="22"/>
          <w:lang w:val="sr-Latn-ME"/>
        </w:rPr>
        <w:t>nije aktivniji</w:t>
      </w:r>
      <w:r w:rsidR="000B3061" w:rsidRPr="000D67A2">
        <w:rPr>
          <w:sz w:val="22"/>
          <w:szCs w:val="22"/>
          <w:lang w:val="sr-Latn-ME"/>
        </w:rPr>
        <w:t xml:space="preserve"> od aktivne supstance.</w:t>
      </w:r>
    </w:p>
    <w:p w14:paraId="3D15E021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bCs/>
          <w:i/>
          <w:sz w:val="22"/>
          <w:szCs w:val="22"/>
          <w:lang w:val="sr-Latn-ME"/>
        </w:rPr>
      </w:pPr>
    </w:p>
    <w:p w14:paraId="0B44240A" w14:textId="77777777" w:rsidR="000B3061" w:rsidRPr="000D67A2" w:rsidRDefault="000B3061" w:rsidP="001B5DD4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sr-Latn-ME"/>
        </w:rPr>
      </w:pPr>
      <w:r w:rsidRPr="000D67A2">
        <w:rPr>
          <w:bCs/>
          <w:i/>
          <w:sz w:val="22"/>
          <w:szCs w:val="22"/>
          <w:lang w:val="sr-Latn-ME"/>
        </w:rPr>
        <w:t>Eliminacija</w:t>
      </w:r>
    </w:p>
    <w:p w14:paraId="50274323" w14:textId="61000C53" w:rsidR="000B3061" w:rsidRPr="000D67A2" w:rsidRDefault="000B3061" w:rsidP="001B5DD4">
      <w:pPr>
        <w:jc w:val="both"/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i njegovi </w:t>
      </w:r>
      <w:proofErr w:type="spellStart"/>
      <w:r w:rsidRPr="000D67A2">
        <w:rPr>
          <w:sz w:val="22"/>
          <w:szCs w:val="22"/>
          <w:lang w:val="sr-Latn-ME"/>
        </w:rPr>
        <w:t>metaboliti</w:t>
      </w:r>
      <w:proofErr w:type="spellEnd"/>
      <w:r w:rsidRPr="000D67A2">
        <w:rPr>
          <w:sz w:val="22"/>
          <w:szCs w:val="22"/>
          <w:lang w:val="sr-Latn-ME"/>
        </w:rPr>
        <w:t xml:space="preserve"> se uglavnom eliminišu urinom, pri čemu se 9% doze izlučuje u </w:t>
      </w:r>
      <w:proofErr w:type="spellStart"/>
      <w:r w:rsidRPr="000D67A2">
        <w:rPr>
          <w:sz w:val="22"/>
          <w:szCs w:val="22"/>
          <w:lang w:val="sr-Latn-ME"/>
        </w:rPr>
        <w:t>nepromijenjenom</w:t>
      </w:r>
      <w:proofErr w:type="spellEnd"/>
      <w:r w:rsidRPr="000D67A2">
        <w:rPr>
          <w:sz w:val="22"/>
          <w:szCs w:val="22"/>
          <w:lang w:val="sr-Latn-ME"/>
        </w:rPr>
        <w:t xml:space="preserve"> obliku. Nakon pojedinačne doze lijeka i postizanja ravnotežnog stanja, poluvrijeme eliminacije lijeka iznosi od 10 do 13 sati.</w:t>
      </w:r>
    </w:p>
    <w:p w14:paraId="1488A1A7" w14:textId="77777777" w:rsidR="000B3061" w:rsidRPr="000D67A2" w:rsidRDefault="000B3061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31525" w14:textId="086E8FA0" w:rsidR="0072020E" w:rsidRPr="000D67A2" w:rsidRDefault="0072020E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5.3.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proofErr w:type="spellStart"/>
      <w:r w:rsidRPr="000D67A2">
        <w:rPr>
          <w:b/>
          <w:bCs/>
          <w:sz w:val="22"/>
          <w:szCs w:val="22"/>
          <w:lang w:val="sr-Latn-ME"/>
        </w:rPr>
        <w:t>Pretklinički</w:t>
      </w:r>
      <w:proofErr w:type="spellEnd"/>
      <w:r w:rsidRPr="000D67A2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C731526" w14:textId="77777777" w:rsidR="00836B35" w:rsidRPr="000D67A2" w:rsidRDefault="00836B35" w:rsidP="001B5DD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B2A1F0B" w14:textId="6C3FD3C1" w:rsidR="00F3070C" w:rsidRPr="000D67A2" w:rsidRDefault="00F3070C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Studije toksičnosti nakon pojedinačne i ponovljene doze su rađene na miševima, pacovima i psima. Pored toga postoje i studije reproduktivne toksičnosti na pacovima i ispitivanja kancerogenosti </w:t>
      </w:r>
      <w:r w:rsidR="00482320" w:rsidRPr="000D67A2">
        <w:rPr>
          <w:sz w:val="22"/>
          <w:szCs w:val="22"/>
          <w:lang w:val="sr-Latn-ME"/>
        </w:rPr>
        <w:t>na</w:t>
      </w:r>
      <w:r w:rsidRPr="000D67A2">
        <w:rPr>
          <w:sz w:val="22"/>
          <w:szCs w:val="22"/>
          <w:lang w:val="sr-Latn-ME"/>
        </w:rPr>
        <w:t xml:space="preserve"> mišev</w:t>
      </w:r>
      <w:r w:rsidR="00482320" w:rsidRPr="000D67A2">
        <w:rPr>
          <w:sz w:val="22"/>
          <w:szCs w:val="22"/>
          <w:lang w:val="sr-Latn-ME"/>
        </w:rPr>
        <w:t>ima</w:t>
      </w:r>
      <w:r w:rsidRPr="000D67A2">
        <w:rPr>
          <w:sz w:val="22"/>
          <w:szCs w:val="22"/>
          <w:lang w:val="sr-Latn-ME"/>
        </w:rPr>
        <w:t xml:space="preserve"> i pacov</w:t>
      </w:r>
      <w:r w:rsidR="00482320" w:rsidRPr="000D67A2">
        <w:rPr>
          <w:sz w:val="22"/>
          <w:szCs w:val="22"/>
          <w:lang w:val="sr-Latn-ME"/>
        </w:rPr>
        <w:t>ima</w:t>
      </w:r>
      <w:r w:rsidRPr="000D67A2">
        <w:rPr>
          <w:sz w:val="22"/>
          <w:szCs w:val="22"/>
          <w:lang w:val="sr-Latn-ME"/>
        </w:rPr>
        <w:t xml:space="preserve"> i </w:t>
      </w:r>
      <w:r w:rsidRPr="000D67A2">
        <w:rPr>
          <w:i/>
          <w:sz w:val="22"/>
          <w:szCs w:val="22"/>
          <w:lang w:val="sr-Latn-ME"/>
        </w:rPr>
        <w:t xml:space="preserve">in </w:t>
      </w:r>
      <w:proofErr w:type="spellStart"/>
      <w:r w:rsidRPr="000D67A2">
        <w:rPr>
          <w:i/>
          <w:sz w:val="22"/>
          <w:szCs w:val="22"/>
          <w:lang w:val="sr-Latn-ME"/>
        </w:rPr>
        <w:t>vivo</w:t>
      </w:r>
      <w:proofErr w:type="spellEnd"/>
      <w:r w:rsidRPr="000D67A2">
        <w:rPr>
          <w:sz w:val="22"/>
          <w:szCs w:val="22"/>
          <w:lang w:val="sr-Latn-ME"/>
        </w:rPr>
        <w:t xml:space="preserve"> i </w:t>
      </w:r>
      <w:r w:rsidRPr="000D67A2">
        <w:rPr>
          <w:i/>
          <w:sz w:val="22"/>
          <w:szCs w:val="22"/>
          <w:lang w:val="sr-Latn-ME"/>
        </w:rPr>
        <w:t xml:space="preserve">in </w:t>
      </w:r>
      <w:proofErr w:type="spellStart"/>
      <w:r w:rsidRPr="000D67A2">
        <w:rPr>
          <w:i/>
          <w:sz w:val="22"/>
          <w:szCs w:val="22"/>
          <w:lang w:val="sr-Latn-ME"/>
        </w:rPr>
        <w:t>vitro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genotoksičnosti</w:t>
      </w:r>
      <w:proofErr w:type="spellEnd"/>
      <w:r w:rsidRPr="000D67A2">
        <w:rPr>
          <w:sz w:val="22"/>
          <w:szCs w:val="22"/>
          <w:lang w:val="sr-Latn-ME"/>
        </w:rPr>
        <w:t>.</w:t>
      </w:r>
    </w:p>
    <w:p w14:paraId="29F5B3C7" w14:textId="36444291" w:rsidR="00F3070C" w:rsidRPr="000D67A2" w:rsidRDefault="00F3070C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Profil toksičnosti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pri visokim dozama je u saglasnosti sa poznatim farmakološkim djelovanjem α</w:t>
      </w:r>
      <w:r w:rsidR="00E15207" w:rsidRPr="000D67A2">
        <w:rPr>
          <w:sz w:val="22"/>
          <w:szCs w:val="22"/>
          <w:vertAlign w:val="subscript"/>
          <w:lang w:val="sr-Latn-ME"/>
        </w:rPr>
        <w:t>1</w:t>
      </w:r>
      <w:r w:rsidRPr="000D67A2">
        <w:rPr>
          <w:sz w:val="22"/>
          <w:szCs w:val="22"/>
          <w:lang w:val="sr-Latn-ME"/>
        </w:rPr>
        <w:t>–</w:t>
      </w:r>
      <w:proofErr w:type="spellStart"/>
      <w:r w:rsidRPr="000D67A2">
        <w:rPr>
          <w:sz w:val="22"/>
          <w:szCs w:val="22"/>
          <w:lang w:val="sr-Latn-ME"/>
        </w:rPr>
        <w:t>adrenergičnih</w:t>
      </w:r>
      <w:proofErr w:type="spellEnd"/>
      <w:r w:rsidRPr="000D67A2">
        <w:rPr>
          <w:sz w:val="22"/>
          <w:szCs w:val="22"/>
          <w:lang w:val="sr-Latn-ME"/>
        </w:rPr>
        <w:t xml:space="preserve"> antagonista. </w:t>
      </w:r>
    </w:p>
    <w:p w14:paraId="51FE9768" w14:textId="2B5DCA1F" w:rsidR="00F3070C" w:rsidRPr="000D67A2" w:rsidRDefault="00F3070C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Pri veoma visokim dozama lijeka, EKG kod pasa je bio promijenjen. </w:t>
      </w:r>
      <w:r w:rsidR="009B7B3B" w:rsidRPr="000D67A2">
        <w:rPr>
          <w:sz w:val="22"/>
          <w:szCs w:val="22"/>
          <w:lang w:val="sr-Latn-ME"/>
        </w:rPr>
        <w:t>Ove promjene nijesu okarakterisane kao klinički značajne</w:t>
      </w:r>
      <w:r w:rsidRPr="000D67A2">
        <w:rPr>
          <w:sz w:val="22"/>
          <w:szCs w:val="22"/>
          <w:lang w:val="sr-Latn-ME"/>
        </w:rPr>
        <w:t xml:space="preserve">. </w:t>
      </w:r>
      <w:proofErr w:type="spellStart"/>
      <w:r w:rsidRPr="000D67A2">
        <w:rPr>
          <w:sz w:val="22"/>
          <w:szCs w:val="22"/>
          <w:lang w:val="sr-Latn-ME"/>
        </w:rPr>
        <w:t>Tamsulosin</w:t>
      </w:r>
      <w:proofErr w:type="spellEnd"/>
      <w:r w:rsidRPr="000D67A2">
        <w:rPr>
          <w:sz w:val="22"/>
          <w:szCs w:val="22"/>
          <w:lang w:val="sr-Latn-ME"/>
        </w:rPr>
        <w:t xml:space="preserve"> nije pokazao </w:t>
      </w:r>
      <w:proofErr w:type="spellStart"/>
      <w:r w:rsidRPr="000D67A2">
        <w:rPr>
          <w:sz w:val="22"/>
          <w:szCs w:val="22"/>
          <w:lang w:val="sr-Latn-ME"/>
        </w:rPr>
        <w:t>genotoksično</w:t>
      </w:r>
      <w:proofErr w:type="spellEnd"/>
      <w:r w:rsidRPr="000D67A2">
        <w:rPr>
          <w:sz w:val="22"/>
          <w:szCs w:val="22"/>
          <w:lang w:val="sr-Latn-ME"/>
        </w:rPr>
        <w:t xml:space="preserve"> djelovanje. </w:t>
      </w:r>
    </w:p>
    <w:p w14:paraId="2F0360E0" w14:textId="45137801" w:rsidR="00F3070C" w:rsidRPr="000D67A2" w:rsidRDefault="00F3070C" w:rsidP="001B5DD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Pri primjeni </w:t>
      </w:r>
      <w:proofErr w:type="spellStart"/>
      <w:r w:rsidRPr="000D67A2">
        <w:rPr>
          <w:sz w:val="22"/>
          <w:szCs w:val="22"/>
          <w:lang w:val="sr-Latn-ME"/>
        </w:rPr>
        <w:t>tamsulosina</w:t>
      </w:r>
      <w:proofErr w:type="spellEnd"/>
      <w:r w:rsidRPr="000D67A2">
        <w:rPr>
          <w:sz w:val="22"/>
          <w:szCs w:val="22"/>
          <w:lang w:val="sr-Latn-ME"/>
        </w:rPr>
        <w:t xml:space="preserve"> primijećena je</w:t>
      </w:r>
      <w:r w:rsidR="00273D95" w:rsidRPr="000D67A2">
        <w:rPr>
          <w:sz w:val="22"/>
          <w:szCs w:val="22"/>
          <w:lang w:val="sr-Latn-ME"/>
        </w:rPr>
        <w:t xml:space="preserve"> </w:t>
      </w:r>
      <w:r w:rsidRPr="000D67A2">
        <w:rPr>
          <w:sz w:val="22"/>
          <w:szCs w:val="22"/>
          <w:lang w:val="sr-Latn-ME"/>
        </w:rPr>
        <w:t xml:space="preserve">povećana </w:t>
      </w:r>
      <w:proofErr w:type="spellStart"/>
      <w:r w:rsidRPr="000D67A2">
        <w:rPr>
          <w:sz w:val="22"/>
          <w:szCs w:val="22"/>
          <w:lang w:val="sr-Latn-ME"/>
        </w:rPr>
        <w:t>incidenca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proliferativnih</w:t>
      </w:r>
      <w:proofErr w:type="spellEnd"/>
      <w:r w:rsidRPr="000D67A2">
        <w:rPr>
          <w:sz w:val="22"/>
          <w:szCs w:val="22"/>
          <w:lang w:val="sr-Latn-ME"/>
        </w:rPr>
        <w:t xml:space="preserve"> promjena na mlječnim žlijezdama ženki pacova i miševa. Smatra se da je to </w:t>
      </w:r>
      <w:r w:rsidR="00F6364A" w:rsidRPr="000D67A2">
        <w:rPr>
          <w:sz w:val="22"/>
          <w:szCs w:val="22"/>
          <w:lang w:val="sr-Latn-ME"/>
        </w:rPr>
        <w:t>vjerovatno</w:t>
      </w:r>
      <w:r w:rsidRPr="000D67A2">
        <w:rPr>
          <w:sz w:val="22"/>
          <w:szCs w:val="22"/>
          <w:lang w:val="sr-Latn-ME"/>
        </w:rPr>
        <w:t xml:space="preserve"> po</w:t>
      </w:r>
      <w:r w:rsidR="009B7B3B" w:rsidRPr="000D67A2">
        <w:rPr>
          <w:sz w:val="22"/>
          <w:szCs w:val="22"/>
          <w:lang w:val="sr-Latn-ME"/>
        </w:rPr>
        <w:t>sljedica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hiperprolaktinemij</w:t>
      </w:r>
      <w:r w:rsidR="009B7B3B" w:rsidRPr="000D67A2">
        <w:rPr>
          <w:sz w:val="22"/>
          <w:szCs w:val="22"/>
          <w:lang w:val="sr-Latn-ME"/>
        </w:rPr>
        <w:t>e</w:t>
      </w:r>
      <w:proofErr w:type="spellEnd"/>
      <w:r w:rsidRPr="000D67A2">
        <w:rPr>
          <w:sz w:val="22"/>
          <w:szCs w:val="22"/>
          <w:lang w:val="sr-Latn-ME"/>
        </w:rPr>
        <w:t xml:space="preserve"> i, s obzirom </w:t>
      </w:r>
      <w:r w:rsidR="009B7B3B" w:rsidRPr="000D67A2">
        <w:rPr>
          <w:sz w:val="22"/>
          <w:szCs w:val="22"/>
          <w:lang w:val="sr-Latn-ME"/>
        </w:rPr>
        <w:t xml:space="preserve">na to </w:t>
      </w:r>
      <w:r w:rsidRPr="000D67A2">
        <w:rPr>
          <w:sz w:val="22"/>
          <w:szCs w:val="22"/>
          <w:lang w:val="sr-Latn-ME"/>
        </w:rPr>
        <w:t>da se javlja samo pri jako visokim dozama, ne smatra se klinički značajnim.</w:t>
      </w:r>
    </w:p>
    <w:p w14:paraId="6C731527" w14:textId="5590436A" w:rsidR="00396DFD" w:rsidRDefault="00396DFD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A772F73" w14:textId="77777777" w:rsidR="00D66874" w:rsidRPr="000D67A2" w:rsidRDefault="00D66874" w:rsidP="001B5DD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C731528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6.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FARMACEUTSKI PODACI</w:t>
      </w:r>
    </w:p>
    <w:p w14:paraId="6C731529" w14:textId="77777777" w:rsidR="00836B35" w:rsidRPr="000D67A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2A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6.1.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Lista pomoćnih supstanci</w:t>
      </w:r>
      <w:r w:rsidR="002E0135" w:rsidRPr="000D67A2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0D67A2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0D67A2">
        <w:rPr>
          <w:b/>
          <w:bCs/>
          <w:sz w:val="22"/>
          <w:szCs w:val="22"/>
          <w:lang w:val="sr-Latn-ME"/>
        </w:rPr>
        <w:t>)</w:t>
      </w:r>
    </w:p>
    <w:p w14:paraId="6C73152B" w14:textId="3C207460" w:rsidR="0072020E" w:rsidRPr="000D67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2CFFEB9" w14:textId="5323F5B9" w:rsidR="005F74D2" w:rsidRPr="000D67A2" w:rsidRDefault="000C4A69" w:rsidP="005F74D2">
      <w:pPr>
        <w:rPr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 xml:space="preserve">Sastav </w:t>
      </w:r>
      <w:proofErr w:type="spellStart"/>
      <w:r w:rsidRPr="000D67A2">
        <w:rPr>
          <w:i/>
          <w:sz w:val="22"/>
          <w:szCs w:val="22"/>
          <w:lang w:val="sr-Latn-ME"/>
        </w:rPr>
        <w:t>peleta</w:t>
      </w:r>
      <w:proofErr w:type="spellEnd"/>
      <w:r w:rsidR="005F74D2" w:rsidRPr="000D67A2">
        <w:rPr>
          <w:sz w:val="22"/>
          <w:szCs w:val="22"/>
          <w:lang w:val="sr-Latn-ME"/>
        </w:rPr>
        <w:t xml:space="preserve">: </w:t>
      </w:r>
      <w:r w:rsidRPr="000D67A2">
        <w:rPr>
          <w:sz w:val="22"/>
          <w:szCs w:val="22"/>
          <w:lang w:val="sr-Latn-ME"/>
        </w:rPr>
        <w:t xml:space="preserve">celuloza, </w:t>
      </w:r>
      <w:proofErr w:type="spellStart"/>
      <w:r w:rsidRPr="000D67A2">
        <w:rPr>
          <w:sz w:val="22"/>
          <w:szCs w:val="22"/>
          <w:lang w:val="sr-Latn-ME"/>
        </w:rPr>
        <w:t>mikrokristalna</w:t>
      </w:r>
      <w:proofErr w:type="spellEnd"/>
      <w:r w:rsidRPr="000D67A2">
        <w:rPr>
          <w:sz w:val="22"/>
          <w:szCs w:val="22"/>
          <w:lang w:val="sr-Latn-ME"/>
        </w:rPr>
        <w:t>;</w:t>
      </w:r>
      <w:r w:rsidR="005F74D2"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metakrilna</w:t>
      </w:r>
      <w:proofErr w:type="spellEnd"/>
      <w:r w:rsidRPr="000D67A2">
        <w:rPr>
          <w:sz w:val="22"/>
          <w:szCs w:val="22"/>
          <w:lang w:val="sr-Latn-ME"/>
        </w:rPr>
        <w:t xml:space="preserve"> kiselina</w:t>
      </w:r>
      <w:r w:rsidR="005F74D2" w:rsidRPr="000D67A2">
        <w:rPr>
          <w:sz w:val="22"/>
          <w:szCs w:val="22"/>
          <w:lang w:val="sr-Latn-ME"/>
        </w:rPr>
        <w:t xml:space="preserve"> - </w:t>
      </w:r>
      <w:proofErr w:type="spellStart"/>
      <w:r w:rsidRPr="000D67A2">
        <w:rPr>
          <w:sz w:val="22"/>
          <w:szCs w:val="22"/>
          <w:lang w:val="sr-Latn-ME"/>
        </w:rPr>
        <w:t>etilakrilat</w:t>
      </w:r>
      <w:proofErr w:type="spellEnd"/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kopolimer</w:t>
      </w:r>
      <w:proofErr w:type="spellEnd"/>
      <w:r w:rsidR="005F74D2" w:rsidRPr="000D67A2">
        <w:rPr>
          <w:sz w:val="22"/>
          <w:szCs w:val="22"/>
          <w:lang w:val="sr-Latn-ME"/>
        </w:rPr>
        <w:t xml:space="preserve"> (1:1)</w:t>
      </w:r>
      <w:r w:rsidRPr="000D67A2">
        <w:rPr>
          <w:sz w:val="22"/>
          <w:szCs w:val="22"/>
          <w:lang w:val="sr-Latn-ME"/>
        </w:rPr>
        <w:t xml:space="preserve"> disperzija 30%;</w:t>
      </w:r>
      <w:r w:rsidR="005F74D2"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polisorbat</w:t>
      </w:r>
      <w:proofErr w:type="spellEnd"/>
      <w:r w:rsidRPr="000D67A2">
        <w:rPr>
          <w:sz w:val="22"/>
          <w:szCs w:val="22"/>
          <w:lang w:val="sr-Latn-ME"/>
        </w:rPr>
        <w:t xml:space="preserve"> 80; natrijum </w:t>
      </w:r>
      <w:proofErr w:type="spellStart"/>
      <w:r w:rsidRPr="000D67A2">
        <w:rPr>
          <w:sz w:val="22"/>
          <w:szCs w:val="22"/>
          <w:lang w:val="sr-Latn-ME"/>
        </w:rPr>
        <w:t>l</w:t>
      </w:r>
      <w:r w:rsidR="005F74D2" w:rsidRPr="000D67A2">
        <w:rPr>
          <w:sz w:val="22"/>
          <w:szCs w:val="22"/>
          <w:lang w:val="sr-Latn-ME"/>
        </w:rPr>
        <w:t>aurilsulfat</w:t>
      </w:r>
      <w:proofErr w:type="spellEnd"/>
      <w:r w:rsidRPr="000D67A2">
        <w:rPr>
          <w:sz w:val="22"/>
          <w:szCs w:val="22"/>
          <w:lang w:val="sr-Latn-ME"/>
        </w:rPr>
        <w:t xml:space="preserve">; </w:t>
      </w:r>
      <w:proofErr w:type="spellStart"/>
      <w:r w:rsidRPr="000D67A2">
        <w:rPr>
          <w:sz w:val="22"/>
          <w:szCs w:val="22"/>
          <w:lang w:val="sr-Latn-ME"/>
        </w:rPr>
        <w:t>trietil</w:t>
      </w:r>
      <w:proofErr w:type="spellEnd"/>
      <w:r w:rsidR="004E70E4"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sz w:val="22"/>
          <w:szCs w:val="22"/>
          <w:lang w:val="sr-Latn-ME"/>
        </w:rPr>
        <w:t>citrat</w:t>
      </w:r>
      <w:proofErr w:type="spellEnd"/>
      <w:r w:rsidRPr="000D67A2">
        <w:rPr>
          <w:sz w:val="22"/>
          <w:szCs w:val="22"/>
          <w:lang w:val="sr-Latn-ME"/>
        </w:rPr>
        <w:t>; talk; voda, prečišćena.</w:t>
      </w:r>
    </w:p>
    <w:p w14:paraId="1A1FFF5F" w14:textId="77777777" w:rsidR="005F74D2" w:rsidRPr="000D67A2" w:rsidRDefault="005F74D2" w:rsidP="005F74D2">
      <w:pPr>
        <w:rPr>
          <w:sz w:val="22"/>
          <w:szCs w:val="22"/>
          <w:lang w:val="sr-Latn-ME"/>
        </w:rPr>
      </w:pPr>
    </w:p>
    <w:p w14:paraId="58948DD1" w14:textId="480C60D2" w:rsidR="005F74D2" w:rsidRPr="000D67A2" w:rsidRDefault="000C4A69" w:rsidP="005F74D2">
      <w:pPr>
        <w:rPr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Sastav tijela kapsule</w:t>
      </w:r>
      <w:r w:rsidRPr="000D67A2">
        <w:rPr>
          <w:sz w:val="22"/>
          <w:szCs w:val="22"/>
          <w:lang w:val="sr-Latn-ME"/>
        </w:rPr>
        <w:t>:</w:t>
      </w:r>
      <w:r w:rsidR="009818BB" w:rsidRPr="000D67A2">
        <w:rPr>
          <w:sz w:val="22"/>
          <w:szCs w:val="22"/>
          <w:lang w:val="sr-Latn-ME"/>
        </w:rPr>
        <w:t xml:space="preserve"> želatin;</w:t>
      </w:r>
      <w:r w:rsidRPr="000D67A2">
        <w:rPr>
          <w:sz w:val="22"/>
          <w:szCs w:val="22"/>
          <w:lang w:val="sr-Latn-ME"/>
        </w:rPr>
        <w:t xml:space="preserve"> </w:t>
      </w:r>
      <w:r w:rsidR="009818BB" w:rsidRPr="000D67A2">
        <w:rPr>
          <w:sz w:val="22"/>
          <w:szCs w:val="22"/>
          <w:lang w:val="sr-Latn-ME"/>
        </w:rPr>
        <w:t>titan dioksid</w:t>
      </w:r>
      <w:r w:rsidR="005608B5" w:rsidRPr="000D67A2">
        <w:rPr>
          <w:sz w:val="22"/>
          <w:szCs w:val="22"/>
          <w:lang w:val="sr-Latn-ME"/>
        </w:rPr>
        <w:t xml:space="preserve"> </w:t>
      </w:r>
      <w:r w:rsidR="005608B5" w:rsidRPr="000D67A2">
        <w:rPr>
          <w:bCs/>
          <w:sz w:val="22"/>
          <w:szCs w:val="22"/>
          <w:lang w:val="sr-Latn-ME"/>
        </w:rPr>
        <w:t>(</w:t>
      </w:r>
      <w:proofErr w:type="spellStart"/>
      <w:r w:rsidR="005608B5" w:rsidRPr="000D67A2">
        <w:rPr>
          <w:bCs/>
          <w:sz w:val="22"/>
          <w:szCs w:val="22"/>
          <w:lang w:val="sr-Latn-ME"/>
        </w:rPr>
        <w:t>E171</w:t>
      </w:r>
      <w:proofErr w:type="spellEnd"/>
      <w:r w:rsidR="005608B5" w:rsidRPr="000D67A2">
        <w:rPr>
          <w:bCs/>
          <w:sz w:val="22"/>
          <w:szCs w:val="22"/>
          <w:lang w:val="sr-Latn-ME"/>
        </w:rPr>
        <w:t>)</w:t>
      </w:r>
      <w:r w:rsidR="009818BB" w:rsidRPr="000D67A2">
        <w:rPr>
          <w:sz w:val="22"/>
          <w:szCs w:val="22"/>
          <w:lang w:val="sr-Latn-ME"/>
        </w:rPr>
        <w:t xml:space="preserve">; </w:t>
      </w:r>
      <w:r w:rsidRPr="000D67A2">
        <w:rPr>
          <w:sz w:val="22"/>
          <w:szCs w:val="22"/>
          <w:lang w:val="sr-Latn-ME"/>
        </w:rPr>
        <w:t>gvožđe (III) oksid, crveni</w:t>
      </w:r>
      <w:r w:rsidR="005608B5" w:rsidRPr="000D67A2">
        <w:rPr>
          <w:sz w:val="22"/>
          <w:szCs w:val="22"/>
          <w:lang w:val="sr-Latn-ME"/>
        </w:rPr>
        <w:t xml:space="preserve"> </w:t>
      </w:r>
      <w:r w:rsidR="005608B5" w:rsidRPr="000D67A2">
        <w:rPr>
          <w:bCs/>
          <w:sz w:val="22"/>
          <w:szCs w:val="22"/>
          <w:lang w:val="sr-Latn-ME"/>
        </w:rPr>
        <w:t>(</w:t>
      </w:r>
      <w:proofErr w:type="spellStart"/>
      <w:r w:rsidR="005608B5" w:rsidRPr="000D67A2">
        <w:rPr>
          <w:bCs/>
          <w:sz w:val="22"/>
          <w:szCs w:val="22"/>
          <w:lang w:val="sr-Latn-ME"/>
        </w:rPr>
        <w:t>E172</w:t>
      </w:r>
      <w:proofErr w:type="spellEnd"/>
      <w:r w:rsidR="005608B5" w:rsidRPr="000D67A2">
        <w:rPr>
          <w:bCs/>
          <w:sz w:val="22"/>
          <w:szCs w:val="22"/>
          <w:lang w:val="sr-Latn-ME"/>
        </w:rPr>
        <w:t>)</w:t>
      </w:r>
      <w:r w:rsidRPr="000D67A2">
        <w:rPr>
          <w:sz w:val="22"/>
          <w:szCs w:val="22"/>
          <w:lang w:val="sr-Latn-ME"/>
        </w:rPr>
        <w:t xml:space="preserve">; </w:t>
      </w:r>
      <w:r w:rsidR="009818BB" w:rsidRPr="000D67A2">
        <w:rPr>
          <w:sz w:val="22"/>
          <w:szCs w:val="22"/>
          <w:lang w:val="sr-Latn-ME"/>
        </w:rPr>
        <w:t>gvožđe (III) oksid, žuti</w:t>
      </w:r>
      <w:r w:rsidR="005608B5" w:rsidRPr="000D67A2">
        <w:rPr>
          <w:sz w:val="22"/>
          <w:szCs w:val="22"/>
          <w:lang w:val="sr-Latn-ME"/>
        </w:rPr>
        <w:t xml:space="preserve"> </w:t>
      </w:r>
      <w:r w:rsidR="005608B5" w:rsidRPr="000D67A2">
        <w:rPr>
          <w:bCs/>
          <w:sz w:val="22"/>
          <w:szCs w:val="22"/>
          <w:lang w:val="sr-Latn-ME"/>
        </w:rPr>
        <w:t>(</w:t>
      </w:r>
      <w:proofErr w:type="spellStart"/>
      <w:r w:rsidR="005608B5" w:rsidRPr="000D67A2">
        <w:rPr>
          <w:bCs/>
          <w:sz w:val="22"/>
          <w:szCs w:val="22"/>
          <w:lang w:val="sr-Latn-ME"/>
        </w:rPr>
        <w:t>E172</w:t>
      </w:r>
      <w:proofErr w:type="spellEnd"/>
      <w:r w:rsidR="005608B5" w:rsidRPr="000D67A2">
        <w:rPr>
          <w:bCs/>
          <w:sz w:val="22"/>
          <w:szCs w:val="22"/>
          <w:lang w:val="sr-Latn-ME"/>
        </w:rPr>
        <w:t>)</w:t>
      </w:r>
      <w:r w:rsidR="009818BB" w:rsidRPr="000D67A2">
        <w:rPr>
          <w:sz w:val="22"/>
          <w:szCs w:val="22"/>
          <w:lang w:val="sr-Latn-ME"/>
        </w:rPr>
        <w:t>;</w:t>
      </w:r>
    </w:p>
    <w:p w14:paraId="333B7540" w14:textId="31E768BD" w:rsidR="006A0FF7" w:rsidRPr="000D67A2" w:rsidRDefault="009818BB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67A2">
        <w:rPr>
          <w:i/>
          <w:sz w:val="22"/>
          <w:szCs w:val="22"/>
          <w:lang w:val="sr-Latn-ME"/>
        </w:rPr>
        <w:t>S</w:t>
      </w:r>
      <w:r w:rsidR="000C4A69" w:rsidRPr="000D67A2">
        <w:rPr>
          <w:i/>
          <w:sz w:val="22"/>
          <w:szCs w:val="22"/>
          <w:lang w:val="sr-Latn-ME"/>
        </w:rPr>
        <w:t xml:space="preserve">astav kape </w:t>
      </w:r>
      <w:r w:rsidRPr="000D67A2">
        <w:rPr>
          <w:i/>
          <w:sz w:val="22"/>
          <w:szCs w:val="22"/>
          <w:lang w:val="sr-Latn-ME"/>
        </w:rPr>
        <w:t>kapsule</w:t>
      </w:r>
      <w:r w:rsidR="000C4A69" w:rsidRPr="000D67A2">
        <w:rPr>
          <w:sz w:val="22"/>
          <w:szCs w:val="22"/>
          <w:lang w:val="sr-Latn-ME"/>
        </w:rPr>
        <w:t>:</w:t>
      </w:r>
      <w:r w:rsidRPr="000D67A2">
        <w:rPr>
          <w:sz w:val="22"/>
          <w:szCs w:val="22"/>
          <w:lang w:val="sr-Latn-ME"/>
        </w:rPr>
        <w:t xml:space="preserve"> želatin; titan dioksid</w:t>
      </w:r>
      <w:r w:rsidR="005608B5" w:rsidRPr="000D67A2">
        <w:rPr>
          <w:sz w:val="22"/>
          <w:szCs w:val="22"/>
          <w:lang w:val="sr-Latn-ME"/>
        </w:rPr>
        <w:t xml:space="preserve"> </w:t>
      </w:r>
      <w:r w:rsidR="005608B5" w:rsidRPr="000D67A2">
        <w:rPr>
          <w:bCs/>
          <w:sz w:val="22"/>
          <w:szCs w:val="22"/>
          <w:lang w:val="sr-Latn-ME"/>
        </w:rPr>
        <w:t>(</w:t>
      </w:r>
      <w:proofErr w:type="spellStart"/>
      <w:r w:rsidR="005608B5" w:rsidRPr="000D67A2">
        <w:rPr>
          <w:bCs/>
          <w:sz w:val="22"/>
          <w:szCs w:val="22"/>
          <w:lang w:val="sr-Latn-ME"/>
        </w:rPr>
        <w:t>E171</w:t>
      </w:r>
      <w:proofErr w:type="spellEnd"/>
      <w:r w:rsidR="005608B5" w:rsidRPr="000D67A2">
        <w:rPr>
          <w:bCs/>
          <w:sz w:val="22"/>
          <w:szCs w:val="22"/>
          <w:lang w:val="sr-Latn-ME"/>
        </w:rPr>
        <w:t>)</w:t>
      </w:r>
      <w:r w:rsidRPr="000D67A2">
        <w:rPr>
          <w:sz w:val="22"/>
          <w:szCs w:val="22"/>
          <w:lang w:val="sr-Latn-ME"/>
        </w:rPr>
        <w:t xml:space="preserve">; </w:t>
      </w:r>
      <w:r w:rsidR="008F7670" w:rsidRPr="000D67A2">
        <w:rPr>
          <w:sz w:val="22"/>
          <w:szCs w:val="22"/>
          <w:lang w:val="sr-Latn-ME"/>
        </w:rPr>
        <w:t>i</w:t>
      </w:r>
      <w:r w:rsidR="005F74D2" w:rsidRPr="000D67A2">
        <w:rPr>
          <w:sz w:val="22"/>
          <w:szCs w:val="22"/>
          <w:lang w:val="sr-Latn-ME"/>
        </w:rPr>
        <w:t xml:space="preserve">ndigo </w:t>
      </w:r>
      <w:r w:rsidR="008F7670" w:rsidRPr="000D67A2">
        <w:rPr>
          <w:sz w:val="22"/>
          <w:szCs w:val="22"/>
          <w:lang w:val="sr-Latn-ME"/>
        </w:rPr>
        <w:t>k</w:t>
      </w:r>
      <w:r w:rsidR="005F74D2" w:rsidRPr="000D67A2">
        <w:rPr>
          <w:sz w:val="22"/>
          <w:szCs w:val="22"/>
          <w:lang w:val="sr-Latn-ME"/>
        </w:rPr>
        <w:t xml:space="preserve">armin </w:t>
      </w:r>
      <w:r w:rsidR="008F7670" w:rsidRPr="000D67A2">
        <w:rPr>
          <w:sz w:val="22"/>
          <w:szCs w:val="22"/>
          <w:lang w:val="sr-Latn-ME"/>
        </w:rPr>
        <w:t>(</w:t>
      </w:r>
      <w:proofErr w:type="spellStart"/>
      <w:r w:rsidR="005F74D2" w:rsidRPr="000D67A2">
        <w:rPr>
          <w:sz w:val="22"/>
          <w:szCs w:val="22"/>
          <w:lang w:val="sr-Latn-ME"/>
        </w:rPr>
        <w:t>FD&amp;C</w:t>
      </w:r>
      <w:proofErr w:type="spellEnd"/>
      <w:r w:rsidR="005F74D2" w:rsidRPr="000D67A2">
        <w:rPr>
          <w:sz w:val="22"/>
          <w:szCs w:val="22"/>
          <w:lang w:val="sr-Latn-ME"/>
        </w:rPr>
        <w:t xml:space="preserve"> </w:t>
      </w:r>
      <w:proofErr w:type="spellStart"/>
      <w:r w:rsidR="005F74D2" w:rsidRPr="000D67A2">
        <w:rPr>
          <w:sz w:val="22"/>
          <w:szCs w:val="22"/>
          <w:lang w:val="sr-Latn-ME"/>
        </w:rPr>
        <w:t>Blue</w:t>
      </w:r>
      <w:proofErr w:type="spellEnd"/>
      <w:r w:rsidR="005F74D2" w:rsidRPr="000D67A2">
        <w:rPr>
          <w:sz w:val="22"/>
          <w:szCs w:val="22"/>
          <w:lang w:val="sr-Latn-ME"/>
        </w:rPr>
        <w:t xml:space="preserve"> 2</w:t>
      </w:r>
      <w:r w:rsidR="008F7670" w:rsidRPr="000D67A2">
        <w:rPr>
          <w:sz w:val="22"/>
          <w:szCs w:val="22"/>
          <w:lang w:val="sr-Latn-ME"/>
        </w:rPr>
        <w:t>)</w:t>
      </w:r>
      <w:r w:rsidRPr="000D67A2">
        <w:rPr>
          <w:sz w:val="22"/>
          <w:szCs w:val="22"/>
          <w:lang w:val="sr-Latn-ME"/>
        </w:rPr>
        <w:t>; gvožđe (III) oksid, crni</w:t>
      </w:r>
      <w:r w:rsidR="005608B5" w:rsidRPr="000D67A2">
        <w:rPr>
          <w:sz w:val="22"/>
          <w:szCs w:val="22"/>
          <w:lang w:val="sr-Latn-ME"/>
        </w:rPr>
        <w:t xml:space="preserve"> </w:t>
      </w:r>
      <w:r w:rsidR="005608B5" w:rsidRPr="000D67A2">
        <w:rPr>
          <w:bCs/>
          <w:sz w:val="22"/>
          <w:szCs w:val="22"/>
          <w:lang w:val="sr-Latn-ME"/>
        </w:rPr>
        <w:t>(</w:t>
      </w:r>
      <w:proofErr w:type="spellStart"/>
      <w:r w:rsidR="005608B5" w:rsidRPr="000D67A2">
        <w:rPr>
          <w:bCs/>
          <w:sz w:val="22"/>
          <w:szCs w:val="22"/>
          <w:lang w:val="sr-Latn-ME"/>
        </w:rPr>
        <w:t>E172</w:t>
      </w:r>
      <w:proofErr w:type="spellEnd"/>
      <w:r w:rsidR="005608B5" w:rsidRPr="000D67A2">
        <w:rPr>
          <w:bCs/>
          <w:sz w:val="22"/>
          <w:szCs w:val="22"/>
          <w:lang w:val="sr-Latn-ME"/>
        </w:rPr>
        <w:t>)</w:t>
      </w:r>
      <w:r w:rsidRPr="000D67A2">
        <w:rPr>
          <w:sz w:val="22"/>
          <w:szCs w:val="22"/>
          <w:lang w:val="sr-Latn-ME"/>
        </w:rPr>
        <w:t>; gvožđe (III) oksid, žuti</w:t>
      </w:r>
      <w:r w:rsidR="005608B5" w:rsidRPr="000D67A2">
        <w:rPr>
          <w:sz w:val="22"/>
          <w:szCs w:val="22"/>
          <w:lang w:val="sr-Latn-ME"/>
        </w:rPr>
        <w:t xml:space="preserve"> </w:t>
      </w:r>
      <w:r w:rsidR="005608B5" w:rsidRPr="000D67A2">
        <w:rPr>
          <w:bCs/>
          <w:sz w:val="22"/>
          <w:szCs w:val="22"/>
          <w:lang w:val="sr-Latn-ME"/>
        </w:rPr>
        <w:t>(</w:t>
      </w:r>
      <w:proofErr w:type="spellStart"/>
      <w:r w:rsidR="005608B5" w:rsidRPr="000D67A2">
        <w:rPr>
          <w:bCs/>
          <w:sz w:val="22"/>
          <w:szCs w:val="22"/>
          <w:lang w:val="sr-Latn-ME"/>
        </w:rPr>
        <w:t>E172</w:t>
      </w:r>
      <w:proofErr w:type="spellEnd"/>
      <w:r w:rsidR="005608B5" w:rsidRPr="000D67A2">
        <w:rPr>
          <w:bCs/>
          <w:sz w:val="22"/>
          <w:szCs w:val="22"/>
          <w:lang w:val="sr-Latn-ME"/>
        </w:rPr>
        <w:t>)</w:t>
      </w:r>
      <w:r w:rsidRPr="000D67A2">
        <w:rPr>
          <w:sz w:val="22"/>
          <w:szCs w:val="22"/>
          <w:lang w:val="sr-Latn-ME"/>
        </w:rPr>
        <w:t>.</w:t>
      </w:r>
    </w:p>
    <w:p w14:paraId="1CA891AF" w14:textId="0CEAE277" w:rsidR="006A0FF7" w:rsidRPr="000D67A2" w:rsidRDefault="006A0FF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2C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6.2.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Inkompatibilnost</w:t>
      </w:r>
      <w:r w:rsidR="002846DB" w:rsidRPr="000D67A2">
        <w:rPr>
          <w:b/>
          <w:bCs/>
          <w:sz w:val="22"/>
          <w:szCs w:val="22"/>
          <w:lang w:val="sr-Latn-ME"/>
        </w:rPr>
        <w:t>i</w:t>
      </w:r>
    </w:p>
    <w:p w14:paraId="6C73152D" w14:textId="78FB159A" w:rsidR="0072020E" w:rsidRPr="000D67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96C63E" w14:textId="21203B3E" w:rsidR="00F3070C" w:rsidRPr="000D67A2" w:rsidRDefault="00F3070C" w:rsidP="00F3070C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Nije </w:t>
      </w:r>
      <w:r w:rsidR="008F7670" w:rsidRPr="000D67A2">
        <w:rPr>
          <w:sz w:val="22"/>
          <w:szCs w:val="22"/>
          <w:lang w:val="sr-Latn-ME"/>
        </w:rPr>
        <w:t>primjenljivo</w:t>
      </w:r>
      <w:r w:rsidRPr="000D67A2">
        <w:rPr>
          <w:sz w:val="22"/>
          <w:szCs w:val="22"/>
          <w:lang w:val="sr-Latn-ME"/>
        </w:rPr>
        <w:t>.</w:t>
      </w:r>
    </w:p>
    <w:p w14:paraId="5378AAA8" w14:textId="77777777" w:rsidR="00F3070C" w:rsidRPr="000D67A2" w:rsidRDefault="00F3070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2E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>6.3.</w:t>
      </w:r>
      <w:r w:rsidR="00C05DF8" w:rsidRPr="000D67A2">
        <w:rPr>
          <w:b/>
          <w:bCs/>
          <w:sz w:val="22"/>
          <w:szCs w:val="22"/>
          <w:lang w:val="sr-Latn-ME"/>
        </w:rPr>
        <w:t xml:space="preserve">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Rok upotrebe</w:t>
      </w:r>
    </w:p>
    <w:p w14:paraId="6C73152F" w14:textId="7122AD1B" w:rsidR="0072020E" w:rsidRPr="000D67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AA5645" w14:textId="77777777" w:rsidR="00F3070C" w:rsidRPr="000D67A2" w:rsidRDefault="00F3070C" w:rsidP="00F3070C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3 godine.</w:t>
      </w:r>
    </w:p>
    <w:p w14:paraId="36BC4279" w14:textId="77777777" w:rsidR="00F3070C" w:rsidRPr="000D67A2" w:rsidRDefault="00F3070C" w:rsidP="00F3070C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30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6.4.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0D67A2">
        <w:rPr>
          <w:b/>
          <w:bCs/>
          <w:sz w:val="22"/>
          <w:szCs w:val="22"/>
          <w:lang w:val="sr-Latn-ME"/>
        </w:rPr>
        <w:t xml:space="preserve"> lijeka</w:t>
      </w:r>
    </w:p>
    <w:p w14:paraId="6C731531" w14:textId="12A1FDF6" w:rsidR="00EC2532" w:rsidRPr="000D67A2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7AFA1F" w14:textId="77777777" w:rsidR="00F3070C" w:rsidRPr="000D67A2" w:rsidRDefault="00F3070C" w:rsidP="00F3070C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 xml:space="preserve">Čuvati u originalnom pakovanju. </w:t>
      </w:r>
    </w:p>
    <w:p w14:paraId="6B987439" w14:textId="77777777" w:rsidR="00F3070C" w:rsidRPr="000D67A2" w:rsidRDefault="00F3070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2C4A54E" w14:textId="77777777" w:rsidR="00D66874" w:rsidRDefault="00D6687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879BD72" w14:textId="77777777" w:rsidR="00D66874" w:rsidRDefault="00D6687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731532" w14:textId="6730DC21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lastRenderedPageBreak/>
        <w:t xml:space="preserve">6.5.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="002846DB" w:rsidRPr="000D67A2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0D67A2">
        <w:rPr>
          <w:b/>
          <w:bCs/>
          <w:sz w:val="22"/>
          <w:szCs w:val="22"/>
          <w:lang w:val="sr-Latn-ME"/>
        </w:rPr>
        <w:t>pakovanja</w:t>
      </w:r>
      <w:r w:rsidR="00C06864" w:rsidRPr="000D67A2">
        <w:rPr>
          <w:b/>
          <w:bCs/>
          <w:sz w:val="22"/>
          <w:szCs w:val="22"/>
          <w:lang w:val="sr-Latn-ME"/>
        </w:rPr>
        <w:t xml:space="preserve"> </w:t>
      </w:r>
    </w:p>
    <w:p w14:paraId="6C731533" w14:textId="358FBD98" w:rsidR="0072020E" w:rsidRPr="000D67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A251EDF" w14:textId="4D518B2A" w:rsidR="00FD2C3A" w:rsidRPr="000D67A2" w:rsidRDefault="00FD2C3A" w:rsidP="00DA2067">
      <w:pPr>
        <w:spacing w:after="40"/>
        <w:rPr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 xml:space="preserve">Unutrašnje pakovanje je </w:t>
      </w:r>
      <w:proofErr w:type="spellStart"/>
      <w:r w:rsidRPr="000D67A2">
        <w:rPr>
          <w:bCs/>
          <w:sz w:val="22"/>
          <w:szCs w:val="22"/>
          <w:lang w:val="sr-Latn-ME"/>
        </w:rPr>
        <w:t>blister</w:t>
      </w:r>
      <w:proofErr w:type="spellEnd"/>
      <w:r w:rsidR="00DA2067" w:rsidRPr="000D67A2">
        <w:rPr>
          <w:sz w:val="22"/>
          <w:szCs w:val="22"/>
          <w:lang w:val="sr-Latn-ME"/>
        </w:rPr>
        <w:t xml:space="preserve"> (PVC/</w:t>
      </w:r>
      <w:proofErr w:type="spellStart"/>
      <w:r w:rsidR="00DA2067" w:rsidRPr="000D67A2">
        <w:rPr>
          <w:sz w:val="22"/>
          <w:szCs w:val="22"/>
          <w:lang w:val="sr-Latn-ME"/>
        </w:rPr>
        <w:t>PVDC</w:t>
      </w:r>
      <w:proofErr w:type="spellEnd"/>
      <w:r w:rsidR="00DA2067" w:rsidRPr="000D67A2">
        <w:rPr>
          <w:sz w:val="22"/>
          <w:szCs w:val="22"/>
          <w:lang w:val="sr-Latn-ME"/>
        </w:rPr>
        <w:t>/Alu ili PVC/</w:t>
      </w:r>
      <w:proofErr w:type="spellStart"/>
      <w:r w:rsidR="00DA2067" w:rsidRPr="000D67A2">
        <w:rPr>
          <w:sz w:val="22"/>
          <w:szCs w:val="22"/>
          <w:lang w:val="sr-Latn-ME"/>
        </w:rPr>
        <w:t>PE</w:t>
      </w:r>
      <w:proofErr w:type="spellEnd"/>
      <w:r w:rsidR="00DA2067" w:rsidRPr="000D67A2">
        <w:rPr>
          <w:sz w:val="22"/>
          <w:szCs w:val="22"/>
          <w:lang w:val="sr-Latn-ME"/>
        </w:rPr>
        <w:t>/</w:t>
      </w:r>
      <w:proofErr w:type="spellStart"/>
      <w:r w:rsidR="00DA2067" w:rsidRPr="000D67A2">
        <w:rPr>
          <w:sz w:val="22"/>
          <w:szCs w:val="22"/>
          <w:lang w:val="sr-Latn-ME"/>
        </w:rPr>
        <w:t>PVDC</w:t>
      </w:r>
      <w:proofErr w:type="spellEnd"/>
      <w:r w:rsidR="00DA2067" w:rsidRPr="000D67A2">
        <w:rPr>
          <w:sz w:val="22"/>
          <w:szCs w:val="22"/>
          <w:lang w:val="sr-Latn-ME"/>
        </w:rPr>
        <w:t>/Alu) sa 10 kapsula sa produženim oslobađanjem, tvrdih</w:t>
      </w:r>
      <w:r w:rsidRPr="000D67A2">
        <w:rPr>
          <w:sz w:val="22"/>
          <w:szCs w:val="22"/>
          <w:lang w:val="sr-Latn-ME"/>
        </w:rPr>
        <w:t>.</w:t>
      </w:r>
    </w:p>
    <w:p w14:paraId="5B0B0D54" w14:textId="5CAE0CBF" w:rsidR="00FD2C3A" w:rsidRPr="000D67A2" w:rsidRDefault="00FD2C3A" w:rsidP="00FD2C3A">
      <w:pPr>
        <w:spacing w:after="40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Spoljašnje pakovanje je</w:t>
      </w:r>
      <w:r w:rsidR="00DA2067" w:rsidRPr="000D67A2">
        <w:rPr>
          <w:sz w:val="22"/>
          <w:szCs w:val="22"/>
          <w:lang w:val="sr-Latn-ME"/>
        </w:rPr>
        <w:t xml:space="preserve"> </w:t>
      </w:r>
      <w:proofErr w:type="spellStart"/>
      <w:r w:rsidR="00DA2067" w:rsidRPr="000D67A2">
        <w:rPr>
          <w:sz w:val="22"/>
          <w:szCs w:val="22"/>
          <w:lang w:val="sr-Latn-ME"/>
        </w:rPr>
        <w:t>složiv</w:t>
      </w:r>
      <w:r w:rsidRPr="000D67A2">
        <w:rPr>
          <w:sz w:val="22"/>
          <w:szCs w:val="22"/>
          <w:lang w:val="sr-Latn-ME"/>
        </w:rPr>
        <w:t>a</w:t>
      </w:r>
      <w:proofErr w:type="spellEnd"/>
      <w:r w:rsidR="00DA2067" w:rsidRPr="000D67A2">
        <w:rPr>
          <w:sz w:val="22"/>
          <w:szCs w:val="22"/>
          <w:lang w:val="sr-Latn-ME"/>
        </w:rPr>
        <w:t xml:space="preserve"> kartonsk</w:t>
      </w:r>
      <w:r w:rsidRPr="000D67A2">
        <w:rPr>
          <w:sz w:val="22"/>
          <w:szCs w:val="22"/>
          <w:lang w:val="sr-Latn-ME"/>
        </w:rPr>
        <w:t>a</w:t>
      </w:r>
      <w:r w:rsidR="00DA2067" w:rsidRPr="000D67A2">
        <w:rPr>
          <w:sz w:val="22"/>
          <w:szCs w:val="22"/>
          <w:lang w:val="sr-Latn-ME"/>
        </w:rPr>
        <w:t xml:space="preserve"> kutij</w:t>
      </w:r>
      <w:r w:rsidRPr="000D67A2">
        <w:rPr>
          <w:sz w:val="22"/>
          <w:szCs w:val="22"/>
          <w:lang w:val="sr-Latn-ME"/>
        </w:rPr>
        <w:t xml:space="preserve">a u kojoj se nalazi tri </w:t>
      </w:r>
      <w:proofErr w:type="spellStart"/>
      <w:r w:rsidRPr="000D67A2">
        <w:rPr>
          <w:sz w:val="22"/>
          <w:szCs w:val="22"/>
          <w:lang w:val="sr-Latn-ME"/>
        </w:rPr>
        <w:t>blistera</w:t>
      </w:r>
      <w:proofErr w:type="spellEnd"/>
      <w:r w:rsidRPr="000D67A2">
        <w:rPr>
          <w:sz w:val="22"/>
          <w:szCs w:val="22"/>
          <w:lang w:val="sr-Latn-ME"/>
        </w:rPr>
        <w:t xml:space="preserve"> sa po 10 kapsula sa</w:t>
      </w:r>
    </w:p>
    <w:p w14:paraId="47C09685" w14:textId="1C2BD467" w:rsidR="00DA2067" w:rsidRPr="000D67A2" w:rsidRDefault="00FD2C3A" w:rsidP="00FD2C3A">
      <w:pPr>
        <w:spacing w:after="40"/>
        <w:rPr>
          <w:sz w:val="22"/>
          <w:szCs w:val="22"/>
          <w:lang w:val="sr-Latn-ME"/>
        </w:rPr>
      </w:pPr>
      <w:r w:rsidRPr="000D67A2">
        <w:rPr>
          <w:sz w:val="22"/>
          <w:szCs w:val="22"/>
          <w:lang w:val="sr-Latn-ME"/>
        </w:rPr>
        <w:t>produženim oslobađanjem, tvrdih (ukupno 30 kapsula sa produženim oslobađanjem, tvrdih) i Uputstvo za lijek.</w:t>
      </w:r>
    </w:p>
    <w:p w14:paraId="66693BE5" w14:textId="77777777" w:rsidR="00DA2067" w:rsidRPr="000D67A2" w:rsidRDefault="00DA20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34" w14:textId="1DB85E1B" w:rsidR="002846DB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6.6.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0D67A2">
        <w:rPr>
          <w:b/>
          <w:bCs/>
          <w:sz w:val="22"/>
          <w:szCs w:val="22"/>
          <w:lang w:val="sr-Latn-ME"/>
        </w:rPr>
        <w:t xml:space="preserve"> </w:t>
      </w:r>
      <w:r w:rsidR="00310F03" w:rsidRPr="000D67A2">
        <w:rPr>
          <w:b/>
          <w:bCs/>
          <w:sz w:val="22"/>
          <w:szCs w:val="22"/>
          <w:lang w:val="sr-Latn-ME"/>
        </w:rPr>
        <w:t>(i druga uputs</w:t>
      </w:r>
      <w:r w:rsidR="002A6F57" w:rsidRPr="000D67A2">
        <w:rPr>
          <w:b/>
          <w:bCs/>
          <w:sz w:val="22"/>
          <w:szCs w:val="22"/>
          <w:lang w:val="sr-Latn-ME"/>
        </w:rPr>
        <w:t>t</w:t>
      </w:r>
      <w:r w:rsidR="00310F03" w:rsidRPr="000D67A2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C731535" w14:textId="77777777" w:rsidR="00B66A70" w:rsidRPr="000D67A2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13F903" w14:textId="5880452A" w:rsidR="00DA2067" w:rsidRPr="000D67A2" w:rsidRDefault="00DA2067" w:rsidP="00DA206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0D67A2">
        <w:rPr>
          <w:sz w:val="22"/>
          <w:szCs w:val="22"/>
          <w:lang w:val="sr-Latn-ME"/>
        </w:rPr>
        <w:t>Neupotrijebljeni</w:t>
      </w:r>
      <w:proofErr w:type="spellEnd"/>
      <w:r w:rsidRPr="000D67A2">
        <w:rPr>
          <w:sz w:val="22"/>
          <w:szCs w:val="22"/>
          <w:lang w:val="sr-Latn-ME"/>
        </w:rPr>
        <w:t xml:space="preserve"> lijek ili ostatak lijeka se odlaže i uništava u skladu sa važećim propisima.</w:t>
      </w:r>
    </w:p>
    <w:p w14:paraId="6C731536" w14:textId="5258A6EB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087025" w14:textId="77777777" w:rsidR="00D66874" w:rsidRPr="000D67A2" w:rsidRDefault="00D6687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37" w14:textId="77777777" w:rsidR="00F8570A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7.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NOSILAC DOZVOLE</w:t>
      </w:r>
      <w:r w:rsidR="00483928" w:rsidRPr="000D67A2">
        <w:rPr>
          <w:b/>
          <w:bCs/>
          <w:sz w:val="22"/>
          <w:szCs w:val="22"/>
          <w:lang w:val="sr-Latn-ME"/>
        </w:rPr>
        <w:t xml:space="preserve"> </w:t>
      </w:r>
    </w:p>
    <w:p w14:paraId="6B2B9051" w14:textId="77777777" w:rsidR="00DA2067" w:rsidRPr="000D67A2" w:rsidRDefault="00DA2067" w:rsidP="00DA20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62CF2C" w14:textId="4BEA3C9D" w:rsidR="00FD2C3A" w:rsidRPr="000D67A2" w:rsidRDefault="00DA2067" w:rsidP="00DA20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0D67A2">
        <w:rPr>
          <w:bCs/>
          <w:sz w:val="22"/>
          <w:szCs w:val="22"/>
          <w:lang w:val="sr-Latn-ME"/>
        </w:rPr>
        <w:t>PharmaSwiss</w:t>
      </w:r>
      <w:proofErr w:type="spellEnd"/>
      <w:r w:rsidRPr="000D67A2">
        <w:rPr>
          <w:bCs/>
          <w:sz w:val="22"/>
          <w:szCs w:val="22"/>
          <w:lang w:val="sr-Latn-ME"/>
        </w:rPr>
        <w:t xml:space="preserve"> -</w:t>
      </w:r>
      <w:r w:rsidRPr="000D67A2">
        <w:rPr>
          <w:sz w:val="22"/>
          <w:szCs w:val="22"/>
          <w:lang w:val="sr-Latn-ME"/>
        </w:rPr>
        <w:t xml:space="preserve"> </w:t>
      </w:r>
      <w:proofErr w:type="spellStart"/>
      <w:r w:rsidRPr="000D67A2">
        <w:rPr>
          <w:bCs/>
          <w:sz w:val="22"/>
          <w:szCs w:val="22"/>
          <w:lang w:val="sr-Latn-ME"/>
        </w:rPr>
        <w:t>Montenegro</w:t>
      </w:r>
      <w:proofErr w:type="spellEnd"/>
      <w:r w:rsidRPr="000D67A2">
        <w:rPr>
          <w:bCs/>
          <w:sz w:val="22"/>
          <w:szCs w:val="22"/>
          <w:lang w:val="sr-Latn-ME"/>
        </w:rPr>
        <w:t xml:space="preserve">, </w:t>
      </w:r>
      <w:proofErr w:type="spellStart"/>
      <w:r w:rsidRPr="000D67A2">
        <w:rPr>
          <w:bCs/>
          <w:sz w:val="22"/>
          <w:szCs w:val="22"/>
          <w:lang w:val="sr-Latn-ME"/>
        </w:rPr>
        <w:t>Pharmaswiss</w:t>
      </w:r>
      <w:proofErr w:type="spellEnd"/>
      <w:r w:rsidRPr="000D67A2">
        <w:rPr>
          <w:bCs/>
          <w:sz w:val="22"/>
          <w:szCs w:val="22"/>
          <w:lang w:val="sr-Latn-ME"/>
        </w:rPr>
        <w:t xml:space="preserve"> d.o.o Beograd, dio stranog društva u Podgorici</w:t>
      </w:r>
    </w:p>
    <w:p w14:paraId="5299917A" w14:textId="74244380" w:rsidR="00DA2067" w:rsidRPr="000D67A2" w:rsidRDefault="00DA2067" w:rsidP="00DA20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 xml:space="preserve">Rimski </w:t>
      </w:r>
      <w:r w:rsidR="00FD2C3A" w:rsidRPr="000D67A2">
        <w:rPr>
          <w:bCs/>
          <w:sz w:val="22"/>
          <w:szCs w:val="22"/>
          <w:lang w:val="sr-Latn-ME"/>
        </w:rPr>
        <w:t xml:space="preserve">trg </w:t>
      </w:r>
      <w:r w:rsidRPr="000D67A2">
        <w:rPr>
          <w:bCs/>
          <w:sz w:val="22"/>
          <w:szCs w:val="22"/>
          <w:lang w:val="sr-Latn-ME"/>
        </w:rPr>
        <w:t>16, Podgorica, Crna Gora</w:t>
      </w:r>
    </w:p>
    <w:p w14:paraId="6C731539" w14:textId="0F44395A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58EBB1" w14:textId="77777777" w:rsidR="00D66874" w:rsidRPr="000D67A2" w:rsidRDefault="00D6687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3A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8.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>BROJ DOZVOLE</w:t>
      </w:r>
      <w:r w:rsidR="008A6D43" w:rsidRPr="000D67A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85A4082" w14:textId="77777777" w:rsidR="00D66874" w:rsidRDefault="00D66874" w:rsidP="00DA2067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</w:p>
    <w:p w14:paraId="3B01E028" w14:textId="77777777" w:rsidR="00D66874" w:rsidRDefault="00D66874" w:rsidP="00DA2067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D66874">
        <w:rPr>
          <w:bCs/>
          <w:sz w:val="22"/>
          <w:szCs w:val="22"/>
          <w:lang w:val="sr-Latn-ME"/>
        </w:rPr>
        <w:t>2030/22/3595 - 8432</w:t>
      </w:r>
    </w:p>
    <w:p w14:paraId="62D1E721" w14:textId="099BD9DE" w:rsidR="00DA2067" w:rsidRPr="000D67A2" w:rsidRDefault="00DA2067" w:rsidP="00DA2067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0D67A2">
        <w:rPr>
          <w:bCs/>
          <w:sz w:val="22"/>
          <w:szCs w:val="22"/>
          <w:lang w:val="sr-Latn-ME"/>
        </w:rPr>
        <w:t xml:space="preserve"> </w:t>
      </w:r>
    </w:p>
    <w:p w14:paraId="6C73153C" w14:textId="77777777" w:rsidR="00F45F77" w:rsidRPr="000D67A2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3D" w14:textId="77777777" w:rsidR="0072020E" w:rsidRPr="000D67A2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9.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Pr="000D67A2">
        <w:rPr>
          <w:b/>
          <w:bCs/>
          <w:sz w:val="22"/>
          <w:szCs w:val="22"/>
          <w:lang w:val="sr-Latn-ME"/>
        </w:rPr>
        <w:t xml:space="preserve">DATUM </w:t>
      </w:r>
      <w:r w:rsidR="00C05DF8" w:rsidRPr="000D67A2">
        <w:rPr>
          <w:b/>
          <w:bCs/>
          <w:sz w:val="22"/>
          <w:szCs w:val="22"/>
          <w:lang w:val="sr-Latn-ME"/>
        </w:rPr>
        <w:t xml:space="preserve">PRVE </w:t>
      </w:r>
      <w:r w:rsidR="008A6D43" w:rsidRPr="000D67A2">
        <w:rPr>
          <w:b/>
          <w:bCs/>
          <w:sz w:val="22"/>
          <w:szCs w:val="22"/>
          <w:lang w:val="sr-Latn-ME"/>
        </w:rPr>
        <w:t>DOZVOLE</w:t>
      </w:r>
      <w:r w:rsidR="00C05DF8" w:rsidRPr="000D67A2">
        <w:rPr>
          <w:b/>
          <w:bCs/>
          <w:sz w:val="22"/>
          <w:szCs w:val="22"/>
          <w:lang w:val="sr-Latn-ME"/>
        </w:rPr>
        <w:t>/OBNOVE DOZVOLE</w:t>
      </w:r>
      <w:r w:rsidR="008A6D43" w:rsidRPr="000D67A2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D919B2B" w14:textId="2B7F8007" w:rsidR="00DA2067" w:rsidRDefault="00DA206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5F47E3" w14:textId="5D8F10CE" w:rsidR="00D66874" w:rsidRDefault="00D6687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Datum prve dozvole:</w:t>
      </w:r>
      <w:r w:rsidR="006F7C40" w:rsidRPr="006F7C40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6F7C40" w:rsidRPr="006F7C40">
        <w:rPr>
          <w:bCs/>
          <w:sz w:val="22"/>
          <w:szCs w:val="22"/>
          <w:lang w:val="sr-Latn-ME"/>
        </w:rPr>
        <w:t>21.12.2012. godine</w:t>
      </w:r>
    </w:p>
    <w:p w14:paraId="2934BA09" w14:textId="1DBDE545" w:rsidR="00D66874" w:rsidRPr="000D67A2" w:rsidRDefault="00D6687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Datum </w:t>
      </w:r>
      <w:proofErr w:type="spellStart"/>
      <w:r>
        <w:rPr>
          <w:bCs/>
          <w:sz w:val="22"/>
          <w:szCs w:val="22"/>
          <w:lang w:val="sr-Latn-ME"/>
        </w:rPr>
        <w:t>poslednje</w:t>
      </w:r>
      <w:proofErr w:type="spellEnd"/>
      <w:r>
        <w:rPr>
          <w:bCs/>
          <w:sz w:val="22"/>
          <w:szCs w:val="22"/>
          <w:lang w:val="sr-Latn-ME"/>
        </w:rPr>
        <w:t xml:space="preserve"> obnove dozvole:</w:t>
      </w:r>
      <w:r w:rsidR="006F7C40" w:rsidRPr="006F7C40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6F7C40" w:rsidRPr="006F7C40">
        <w:rPr>
          <w:bCs/>
          <w:sz w:val="22"/>
          <w:szCs w:val="22"/>
          <w:lang w:val="sr-Latn-ME"/>
        </w:rPr>
        <w:t>06.12.2022. godine</w:t>
      </w:r>
    </w:p>
    <w:p w14:paraId="6C73153E" w14:textId="4013F104" w:rsidR="0072020E" w:rsidRPr="000D67A2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73153F" w14:textId="77777777" w:rsidR="00836B35" w:rsidRPr="000D67A2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6C731540" w14:textId="77777777" w:rsidR="003F6A59" w:rsidRPr="000D67A2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0D67A2">
        <w:rPr>
          <w:b/>
          <w:bCs/>
          <w:sz w:val="22"/>
          <w:szCs w:val="22"/>
          <w:lang w:val="sr-Latn-ME"/>
        </w:rPr>
        <w:t xml:space="preserve">10. </w:t>
      </w:r>
      <w:r w:rsidR="00480FB1" w:rsidRPr="000D67A2">
        <w:rPr>
          <w:b/>
          <w:bCs/>
          <w:sz w:val="22"/>
          <w:szCs w:val="22"/>
          <w:lang w:val="sr-Latn-ME"/>
        </w:rPr>
        <w:tab/>
      </w:r>
      <w:r w:rsidR="002846DB" w:rsidRPr="000D67A2">
        <w:rPr>
          <w:b/>
          <w:bCs/>
          <w:sz w:val="22"/>
          <w:szCs w:val="22"/>
          <w:lang w:val="sr-Latn-ME"/>
        </w:rPr>
        <w:t>D</w:t>
      </w:r>
      <w:r w:rsidR="00EC2532" w:rsidRPr="000D67A2">
        <w:rPr>
          <w:b/>
          <w:bCs/>
          <w:sz w:val="22"/>
          <w:szCs w:val="22"/>
          <w:lang w:val="sr-Latn-ME"/>
        </w:rPr>
        <w:t xml:space="preserve">ATUM REVIZIJE TEKSTA </w:t>
      </w:r>
    </w:p>
    <w:p w14:paraId="6C731541" w14:textId="77777777" w:rsidR="003F6A59" w:rsidRPr="000D67A2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C025F98" w14:textId="6E080166" w:rsidR="00DA2067" w:rsidRPr="000D67A2" w:rsidRDefault="006F7C40" w:rsidP="00DA206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Decembar, 2022. godine</w:t>
      </w:r>
    </w:p>
    <w:p w14:paraId="6C731542" w14:textId="77777777" w:rsidR="008A6D43" w:rsidRPr="000D67A2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sectPr w:rsidR="008A6D43" w:rsidRPr="000D67A2" w:rsidSect="00EF3B86">
      <w:footerReference w:type="default" r:id="rId10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9DA9" w16cex:dateUtc="2022-12-02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4D7603" w16cid:durableId="27349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0BBF" w14:textId="77777777" w:rsidR="006A6B0D" w:rsidRDefault="006A6B0D">
      <w:r>
        <w:separator/>
      </w:r>
    </w:p>
  </w:endnote>
  <w:endnote w:type="continuationSeparator" w:id="0">
    <w:p w14:paraId="72C88164" w14:textId="77777777" w:rsidR="006A6B0D" w:rsidRDefault="006A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31550" w14:textId="4A364B4D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F7C40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F7C40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DF337" w14:textId="77777777" w:rsidR="006A6B0D" w:rsidRDefault="006A6B0D">
      <w:r>
        <w:separator/>
      </w:r>
    </w:p>
  </w:footnote>
  <w:footnote w:type="continuationSeparator" w:id="0">
    <w:p w14:paraId="562A8083" w14:textId="77777777" w:rsidR="006A6B0D" w:rsidRDefault="006A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5.45pt;height:13.5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825B36"/>
    <w:multiLevelType w:val="hybridMultilevel"/>
    <w:tmpl w:val="F84E5D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6726"/>
    <w:rsid w:val="00080303"/>
    <w:rsid w:val="000A3F58"/>
    <w:rsid w:val="000A42F4"/>
    <w:rsid w:val="000B3061"/>
    <w:rsid w:val="000C4A69"/>
    <w:rsid w:val="000D16F0"/>
    <w:rsid w:val="000D2343"/>
    <w:rsid w:val="000D3449"/>
    <w:rsid w:val="000D425A"/>
    <w:rsid w:val="000D60CC"/>
    <w:rsid w:val="000D67A2"/>
    <w:rsid w:val="000E2084"/>
    <w:rsid w:val="000E6F55"/>
    <w:rsid w:val="000F77FA"/>
    <w:rsid w:val="00107BF7"/>
    <w:rsid w:val="00111A7A"/>
    <w:rsid w:val="00126F53"/>
    <w:rsid w:val="0014509B"/>
    <w:rsid w:val="0014766D"/>
    <w:rsid w:val="001536CC"/>
    <w:rsid w:val="0015511B"/>
    <w:rsid w:val="0018493E"/>
    <w:rsid w:val="001A22FA"/>
    <w:rsid w:val="001A3FBA"/>
    <w:rsid w:val="001A5518"/>
    <w:rsid w:val="001B1C6A"/>
    <w:rsid w:val="001B2167"/>
    <w:rsid w:val="001B5DD4"/>
    <w:rsid w:val="001B720F"/>
    <w:rsid w:val="001C1263"/>
    <w:rsid w:val="001C1417"/>
    <w:rsid w:val="001E390B"/>
    <w:rsid w:val="001F42FB"/>
    <w:rsid w:val="001F719A"/>
    <w:rsid w:val="002031B3"/>
    <w:rsid w:val="00215931"/>
    <w:rsid w:val="00227BDB"/>
    <w:rsid w:val="00234724"/>
    <w:rsid w:val="00234CB1"/>
    <w:rsid w:val="002352F8"/>
    <w:rsid w:val="002510A5"/>
    <w:rsid w:val="00254A0A"/>
    <w:rsid w:val="00266046"/>
    <w:rsid w:val="00273D95"/>
    <w:rsid w:val="002846DB"/>
    <w:rsid w:val="00284CCD"/>
    <w:rsid w:val="002A1F20"/>
    <w:rsid w:val="002A6A90"/>
    <w:rsid w:val="002A6F57"/>
    <w:rsid w:val="002B701E"/>
    <w:rsid w:val="002C6637"/>
    <w:rsid w:val="002E0135"/>
    <w:rsid w:val="002E37A5"/>
    <w:rsid w:val="002E5975"/>
    <w:rsid w:val="00310F03"/>
    <w:rsid w:val="003247D2"/>
    <w:rsid w:val="003445C1"/>
    <w:rsid w:val="00355B61"/>
    <w:rsid w:val="00362686"/>
    <w:rsid w:val="00371510"/>
    <w:rsid w:val="00396DFD"/>
    <w:rsid w:val="003A7059"/>
    <w:rsid w:val="003A7D78"/>
    <w:rsid w:val="003B7A36"/>
    <w:rsid w:val="003C17AB"/>
    <w:rsid w:val="003C7823"/>
    <w:rsid w:val="003E1DCC"/>
    <w:rsid w:val="003F261C"/>
    <w:rsid w:val="003F3B23"/>
    <w:rsid w:val="003F6A59"/>
    <w:rsid w:val="004065C8"/>
    <w:rsid w:val="00411B4B"/>
    <w:rsid w:val="00415BEE"/>
    <w:rsid w:val="00427F85"/>
    <w:rsid w:val="00436F42"/>
    <w:rsid w:val="004378B4"/>
    <w:rsid w:val="00451314"/>
    <w:rsid w:val="00452E9D"/>
    <w:rsid w:val="004534C7"/>
    <w:rsid w:val="004615DF"/>
    <w:rsid w:val="00465483"/>
    <w:rsid w:val="004671AA"/>
    <w:rsid w:val="004764CD"/>
    <w:rsid w:val="00480FB1"/>
    <w:rsid w:val="00482320"/>
    <w:rsid w:val="00483928"/>
    <w:rsid w:val="00484E42"/>
    <w:rsid w:val="00494ADB"/>
    <w:rsid w:val="004D6103"/>
    <w:rsid w:val="004E3BCE"/>
    <w:rsid w:val="004E70E4"/>
    <w:rsid w:val="004E7C3C"/>
    <w:rsid w:val="004F0E97"/>
    <w:rsid w:val="00501DD1"/>
    <w:rsid w:val="00515C21"/>
    <w:rsid w:val="00530BD7"/>
    <w:rsid w:val="00545CD2"/>
    <w:rsid w:val="005476F3"/>
    <w:rsid w:val="00554646"/>
    <w:rsid w:val="005608B5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7A7D"/>
    <w:rsid w:val="005F74D2"/>
    <w:rsid w:val="00646BD1"/>
    <w:rsid w:val="006561C2"/>
    <w:rsid w:val="00671CB3"/>
    <w:rsid w:val="00674BAF"/>
    <w:rsid w:val="00682200"/>
    <w:rsid w:val="006A0FF7"/>
    <w:rsid w:val="006A1497"/>
    <w:rsid w:val="006A6B0D"/>
    <w:rsid w:val="006B0BD1"/>
    <w:rsid w:val="006D20A5"/>
    <w:rsid w:val="006D37BF"/>
    <w:rsid w:val="006F14A6"/>
    <w:rsid w:val="006F7C40"/>
    <w:rsid w:val="00702E22"/>
    <w:rsid w:val="0072020E"/>
    <w:rsid w:val="0072745A"/>
    <w:rsid w:val="0074689A"/>
    <w:rsid w:val="00786071"/>
    <w:rsid w:val="007A3ECB"/>
    <w:rsid w:val="00807E1B"/>
    <w:rsid w:val="00824AB9"/>
    <w:rsid w:val="00836B35"/>
    <w:rsid w:val="00843BDE"/>
    <w:rsid w:val="0085625B"/>
    <w:rsid w:val="0089705C"/>
    <w:rsid w:val="008A6D43"/>
    <w:rsid w:val="008B491E"/>
    <w:rsid w:val="008C1A28"/>
    <w:rsid w:val="008C2E98"/>
    <w:rsid w:val="008E49BD"/>
    <w:rsid w:val="008E53E9"/>
    <w:rsid w:val="008E5771"/>
    <w:rsid w:val="008F7670"/>
    <w:rsid w:val="00940B9B"/>
    <w:rsid w:val="00954661"/>
    <w:rsid w:val="0095676E"/>
    <w:rsid w:val="00956983"/>
    <w:rsid w:val="00963CF0"/>
    <w:rsid w:val="00964BB1"/>
    <w:rsid w:val="009775D9"/>
    <w:rsid w:val="009818BB"/>
    <w:rsid w:val="00997175"/>
    <w:rsid w:val="009A1847"/>
    <w:rsid w:val="009A1A89"/>
    <w:rsid w:val="009B062A"/>
    <w:rsid w:val="009B7B3B"/>
    <w:rsid w:val="009C5904"/>
    <w:rsid w:val="009E7C6F"/>
    <w:rsid w:val="009F1793"/>
    <w:rsid w:val="009F2D23"/>
    <w:rsid w:val="009F3AB8"/>
    <w:rsid w:val="00A01D69"/>
    <w:rsid w:val="00A02335"/>
    <w:rsid w:val="00A132A9"/>
    <w:rsid w:val="00A41229"/>
    <w:rsid w:val="00A46C9A"/>
    <w:rsid w:val="00A619F3"/>
    <w:rsid w:val="00A62A73"/>
    <w:rsid w:val="00A82A89"/>
    <w:rsid w:val="00A87FF6"/>
    <w:rsid w:val="00AA0A3B"/>
    <w:rsid w:val="00AA2763"/>
    <w:rsid w:val="00AA33B6"/>
    <w:rsid w:val="00AB50CA"/>
    <w:rsid w:val="00AB6D64"/>
    <w:rsid w:val="00AC5320"/>
    <w:rsid w:val="00AC53CE"/>
    <w:rsid w:val="00AD2193"/>
    <w:rsid w:val="00AF2AC7"/>
    <w:rsid w:val="00AF74CE"/>
    <w:rsid w:val="00B00FF2"/>
    <w:rsid w:val="00B03373"/>
    <w:rsid w:val="00B10C12"/>
    <w:rsid w:val="00B208DB"/>
    <w:rsid w:val="00B23F69"/>
    <w:rsid w:val="00B60619"/>
    <w:rsid w:val="00B66A70"/>
    <w:rsid w:val="00B67366"/>
    <w:rsid w:val="00B80EE1"/>
    <w:rsid w:val="00B84135"/>
    <w:rsid w:val="00BC77DD"/>
    <w:rsid w:val="00C04D34"/>
    <w:rsid w:val="00C05DF8"/>
    <w:rsid w:val="00C06864"/>
    <w:rsid w:val="00C10F54"/>
    <w:rsid w:val="00C1349D"/>
    <w:rsid w:val="00C23D8D"/>
    <w:rsid w:val="00C24644"/>
    <w:rsid w:val="00C37AA3"/>
    <w:rsid w:val="00C37FD7"/>
    <w:rsid w:val="00C43419"/>
    <w:rsid w:val="00C44CF3"/>
    <w:rsid w:val="00C5086D"/>
    <w:rsid w:val="00C61BE0"/>
    <w:rsid w:val="00C70B0E"/>
    <w:rsid w:val="00C773CA"/>
    <w:rsid w:val="00C83785"/>
    <w:rsid w:val="00C94C0D"/>
    <w:rsid w:val="00CA1FEB"/>
    <w:rsid w:val="00CD4F85"/>
    <w:rsid w:val="00CD6F02"/>
    <w:rsid w:val="00CE2371"/>
    <w:rsid w:val="00CE246D"/>
    <w:rsid w:val="00CF07A0"/>
    <w:rsid w:val="00CF3E03"/>
    <w:rsid w:val="00D0082A"/>
    <w:rsid w:val="00D21455"/>
    <w:rsid w:val="00D43AAF"/>
    <w:rsid w:val="00D47634"/>
    <w:rsid w:val="00D66791"/>
    <w:rsid w:val="00D66874"/>
    <w:rsid w:val="00D679D3"/>
    <w:rsid w:val="00D709B3"/>
    <w:rsid w:val="00DA2067"/>
    <w:rsid w:val="00DA2ED6"/>
    <w:rsid w:val="00DA634C"/>
    <w:rsid w:val="00DB76B8"/>
    <w:rsid w:val="00DC2EA1"/>
    <w:rsid w:val="00DD6AAF"/>
    <w:rsid w:val="00DE3F5C"/>
    <w:rsid w:val="00DF1D20"/>
    <w:rsid w:val="00E15207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E01E3"/>
    <w:rsid w:val="00EF3B86"/>
    <w:rsid w:val="00F3070C"/>
    <w:rsid w:val="00F30B88"/>
    <w:rsid w:val="00F317E9"/>
    <w:rsid w:val="00F34554"/>
    <w:rsid w:val="00F45F77"/>
    <w:rsid w:val="00F5167F"/>
    <w:rsid w:val="00F52258"/>
    <w:rsid w:val="00F6364A"/>
    <w:rsid w:val="00F8570A"/>
    <w:rsid w:val="00F91C7B"/>
    <w:rsid w:val="00F945BA"/>
    <w:rsid w:val="00FA530A"/>
    <w:rsid w:val="00FB7AC8"/>
    <w:rsid w:val="00FD2C3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14D8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D16F0"/>
    <w:rPr>
      <w:sz w:val="24"/>
      <w:szCs w:val="24"/>
      <w:lang w:val="en-US" w:eastAsia="en-US"/>
    </w:rPr>
  </w:style>
  <w:style w:type="paragraph" w:styleId="NormalWeb">
    <w:name w:val="Normal (Web)"/>
    <w:basedOn w:val="Normal"/>
    <w:unhideWhenUsed/>
    <w:rsid w:val="00484E42"/>
    <w:pPr>
      <w:spacing w:before="100" w:beforeAutospacing="1" w:after="100" w:afterAutospacing="1"/>
    </w:pPr>
    <w:rPr>
      <w:lang w:val="sr-Latn-CS" w:eastAsia="sr-Latn-CS"/>
    </w:rPr>
  </w:style>
  <w:style w:type="character" w:styleId="Hyperlink">
    <w:name w:val="Hyperlink"/>
    <w:basedOn w:val="DefaultParagraphFont"/>
    <w:rsid w:val="009F3AB8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465483"/>
  </w:style>
  <w:style w:type="paragraph" w:styleId="Revision">
    <w:name w:val="Revision"/>
    <w:hidden/>
    <w:uiPriority w:val="99"/>
    <w:semiHidden/>
    <w:rsid w:val="00F945B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B4AA-12A1-464F-A99E-7CE3E16F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16472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8</cp:revision>
  <dcterms:created xsi:type="dcterms:W3CDTF">2022-11-29T10:08:00Z</dcterms:created>
  <dcterms:modified xsi:type="dcterms:W3CDTF">2022-12-06T09:23:00Z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449097d-8494-49be-8a4b-4e936cf918e5_Enabled">
    <vt:lpwstr>true</vt:lpwstr>
  </property>
  <property fmtid="{D5CDD505-2E9C-101B-9397-08002B2CF9AE}" pid="4" name="MSIP_Label_c449097d-8494-49be-8a4b-4e936cf918e5_SetDate">
    <vt:lpwstr>2022-05-05T19:40:28Z</vt:lpwstr>
  </property>
  <property fmtid="{D5CDD505-2E9C-101B-9397-08002B2CF9AE}" pid="5" name="MSIP_Label_c449097d-8494-49be-8a4b-4e936cf918e5_Method">
    <vt:lpwstr>Standard</vt:lpwstr>
  </property>
  <property fmtid="{D5CDD505-2E9C-101B-9397-08002B2CF9AE}" pid="6" name="MSIP_Label_c449097d-8494-49be-8a4b-4e936cf918e5_Name">
    <vt:lpwstr>CORP SpinCo Information Label</vt:lpwstr>
  </property>
  <property fmtid="{D5CDD505-2E9C-101B-9397-08002B2CF9AE}" pid="7" name="MSIP_Label_c449097d-8494-49be-8a4b-4e936cf918e5_SiteId">
    <vt:lpwstr>a72dda32-ee80-4da8-a3ac-ec0e9e41a50a</vt:lpwstr>
  </property>
  <property fmtid="{D5CDD505-2E9C-101B-9397-08002B2CF9AE}" pid="8" name="MSIP_Label_c449097d-8494-49be-8a4b-4e936cf918e5_ActionId">
    <vt:lpwstr>e0bb74df-64e3-42d8-bfed-4450d8f983d7</vt:lpwstr>
  </property>
  <property fmtid="{D5CDD505-2E9C-101B-9397-08002B2CF9AE}" pid="9" name="MSIP_Label_c449097d-8494-49be-8a4b-4e936cf918e5_ContentBits">
    <vt:lpwstr>0</vt:lpwstr>
  </property>
</Properties>
</file>