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7D49" w14:textId="77777777" w:rsidR="00C47554" w:rsidRPr="0047585D" w:rsidRDefault="00C47554" w:rsidP="00BE5A22">
      <w:pPr>
        <w:widowControl/>
        <w:autoSpaceDE/>
        <w:autoSpaceDN/>
        <w:jc w:val="center"/>
        <w:rPr>
          <w:b/>
          <w:bCs/>
          <w:iCs/>
          <w:u w:val="single"/>
          <w:lang w:val="sr-Latn-ME"/>
        </w:rPr>
      </w:pPr>
      <w:r w:rsidRPr="0047585D">
        <w:rPr>
          <w:b/>
          <w:bCs/>
          <w:iCs/>
          <w:u w:val="single"/>
          <w:lang w:val="sr-Latn-ME"/>
        </w:rPr>
        <w:t>SAŽETAK KARAKTERISTIKA LIJEKA</w:t>
      </w:r>
    </w:p>
    <w:p w14:paraId="54B12E90" w14:textId="77777777" w:rsidR="0084478E" w:rsidRPr="0047585D" w:rsidRDefault="0084478E" w:rsidP="00BE5A22">
      <w:pPr>
        <w:widowControl/>
        <w:autoSpaceDE/>
        <w:autoSpaceDN/>
        <w:jc w:val="center"/>
        <w:rPr>
          <w:b/>
          <w:bCs/>
          <w:iCs/>
          <w:u w:val="single"/>
          <w:lang w:val="sr-Latn-ME"/>
        </w:rPr>
      </w:pPr>
    </w:p>
    <w:p w14:paraId="2C542A5F" w14:textId="77777777" w:rsidR="0084478E" w:rsidRPr="0047585D" w:rsidRDefault="0084478E" w:rsidP="00BE5A22">
      <w:pPr>
        <w:pStyle w:val="BodyText"/>
        <w:rPr>
          <w:lang w:val="sr-Latn-ME"/>
        </w:rPr>
      </w:pPr>
    </w:p>
    <w:p w14:paraId="33EA531B" w14:textId="77777777" w:rsidR="0084478E" w:rsidRPr="0047585D" w:rsidRDefault="00200D97" w:rsidP="00A56A66">
      <w:pPr>
        <w:widowControl/>
        <w:numPr>
          <w:ilvl w:val="0"/>
          <w:numId w:val="11"/>
        </w:numPr>
        <w:tabs>
          <w:tab w:val="left" w:pos="540"/>
          <w:tab w:val="left" w:pos="569"/>
        </w:tabs>
        <w:autoSpaceDE/>
        <w:autoSpaceDN/>
        <w:ind w:left="0" w:firstLine="0"/>
        <w:rPr>
          <w:b/>
          <w:bCs/>
          <w:lang w:val="sr-Latn-ME"/>
        </w:rPr>
      </w:pPr>
      <w:bookmarkStart w:id="0" w:name="SAŽETAK_OPISA_SVOJSTAVA_LIJEKA"/>
      <w:bookmarkEnd w:id="0"/>
      <w:r w:rsidRPr="0047585D">
        <w:rPr>
          <w:b/>
          <w:bCs/>
          <w:lang w:val="sr-Latn-ME"/>
        </w:rPr>
        <w:t>NAZIV LIJEKA</w:t>
      </w:r>
    </w:p>
    <w:p w14:paraId="5036D2F3" w14:textId="77777777" w:rsidR="002C0C82" w:rsidRPr="0047585D" w:rsidRDefault="002C0C82" w:rsidP="00A56A66">
      <w:pPr>
        <w:pStyle w:val="BodyText"/>
        <w:jc w:val="both"/>
        <w:rPr>
          <w:lang w:val="sr-Latn-ME"/>
        </w:rPr>
      </w:pPr>
    </w:p>
    <w:p w14:paraId="3F830F6C" w14:textId="37B5B03D" w:rsidR="0084478E" w:rsidRPr="00A56A66" w:rsidRDefault="00D95513" w:rsidP="00A56A66">
      <w:pPr>
        <w:pStyle w:val="BodyText"/>
        <w:jc w:val="both"/>
        <w:rPr>
          <w:lang w:val="sr-Latn-ME"/>
        </w:rPr>
      </w:pPr>
      <w:r w:rsidRPr="00A56A66">
        <w:rPr>
          <w:lang w:val="sr-Latn-ME"/>
        </w:rPr>
        <w:t>Azacitidine Accord</w:t>
      </w:r>
      <w:r w:rsidR="00D21904" w:rsidRPr="00A56A66">
        <w:rPr>
          <w:lang w:val="sr-Latn-ME"/>
        </w:rPr>
        <w:t>,</w:t>
      </w:r>
      <w:r w:rsidR="00200D97" w:rsidRPr="00A56A66">
        <w:rPr>
          <w:lang w:val="sr-Latn-ME"/>
        </w:rPr>
        <w:t xml:space="preserve"> 25 mg/ml</w:t>
      </w:r>
      <w:r w:rsidR="00D21904" w:rsidRPr="00A56A66">
        <w:rPr>
          <w:lang w:val="sr-Latn-ME"/>
        </w:rPr>
        <w:t>,</w:t>
      </w:r>
      <w:r w:rsidR="00200D97" w:rsidRPr="00A56A66">
        <w:rPr>
          <w:lang w:val="sr-Latn-ME"/>
        </w:rPr>
        <w:t xml:space="preserve"> prašak za suspenziju za injekciju</w:t>
      </w:r>
    </w:p>
    <w:p w14:paraId="377EF148" w14:textId="77777777" w:rsidR="002C0C82" w:rsidRPr="0047585D" w:rsidRDefault="002C0C82" w:rsidP="00A56A66">
      <w:pPr>
        <w:pStyle w:val="BodyText"/>
        <w:jc w:val="both"/>
        <w:rPr>
          <w:lang w:val="sr-Latn-ME"/>
        </w:rPr>
      </w:pPr>
    </w:p>
    <w:p w14:paraId="21F36932" w14:textId="7A58B0AE" w:rsidR="00D21904" w:rsidRPr="0047585D" w:rsidRDefault="00D21904" w:rsidP="00A56A66">
      <w:pPr>
        <w:pStyle w:val="BodyText"/>
        <w:jc w:val="both"/>
        <w:rPr>
          <w:lang w:val="sr-Latn-ME"/>
        </w:rPr>
      </w:pPr>
      <w:r w:rsidRPr="0047585D">
        <w:rPr>
          <w:lang w:val="sr-Latn-ME"/>
        </w:rPr>
        <w:t>INN:</w:t>
      </w:r>
      <w:r w:rsidR="004D5F71" w:rsidRPr="0047585D">
        <w:rPr>
          <w:lang w:val="sr-Latn-ME"/>
        </w:rPr>
        <w:t xml:space="preserve">  azacitidin</w:t>
      </w:r>
    </w:p>
    <w:p w14:paraId="4021A1B1" w14:textId="0D52AA1F" w:rsidR="002C0C82" w:rsidRPr="0047585D" w:rsidRDefault="002C0C82" w:rsidP="00A56A66">
      <w:pPr>
        <w:pStyle w:val="BodyText"/>
        <w:jc w:val="both"/>
        <w:rPr>
          <w:lang w:val="sr-Latn-ME"/>
        </w:rPr>
      </w:pPr>
    </w:p>
    <w:p w14:paraId="375516EB" w14:textId="77777777" w:rsidR="002C0C82" w:rsidRPr="0047585D" w:rsidRDefault="002C0C82" w:rsidP="00A56A66">
      <w:pPr>
        <w:pStyle w:val="BodyText"/>
        <w:jc w:val="both"/>
        <w:rPr>
          <w:lang w:val="sr-Latn-ME"/>
        </w:rPr>
      </w:pPr>
    </w:p>
    <w:p w14:paraId="1217572B" w14:textId="77777777" w:rsidR="0084478E" w:rsidRPr="0047585D" w:rsidRDefault="00200D97" w:rsidP="00A56A66">
      <w:pPr>
        <w:widowControl/>
        <w:numPr>
          <w:ilvl w:val="0"/>
          <w:numId w:val="11"/>
        </w:numPr>
        <w:tabs>
          <w:tab w:val="left" w:pos="540"/>
          <w:tab w:val="left" w:pos="569"/>
        </w:tabs>
        <w:autoSpaceDE/>
        <w:autoSpaceDN/>
        <w:ind w:left="0" w:firstLine="0"/>
        <w:rPr>
          <w:b/>
          <w:bCs/>
          <w:lang w:val="sr-Latn-ME"/>
        </w:rPr>
      </w:pPr>
      <w:r w:rsidRPr="0047585D">
        <w:rPr>
          <w:b/>
          <w:bCs/>
          <w:lang w:val="sr-Latn-ME"/>
        </w:rPr>
        <w:t>KVALITATIVNI I KVANTITATIVNI SASTAV</w:t>
      </w:r>
    </w:p>
    <w:p w14:paraId="392001A2" w14:textId="77777777" w:rsidR="002C0C82" w:rsidRPr="0047585D" w:rsidRDefault="002C0C82" w:rsidP="00A56A66">
      <w:pPr>
        <w:widowControl/>
        <w:autoSpaceDE/>
        <w:autoSpaceDN/>
        <w:rPr>
          <w:lang w:val="sr-Latn-ME"/>
        </w:rPr>
      </w:pPr>
    </w:p>
    <w:p w14:paraId="2477C259" w14:textId="040E715F" w:rsidR="0084478E" w:rsidRPr="0047585D" w:rsidRDefault="00200D97" w:rsidP="00A56A66">
      <w:pPr>
        <w:widowControl/>
        <w:autoSpaceDE/>
        <w:autoSpaceDN/>
        <w:rPr>
          <w:lang w:val="sr-Latn-ME"/>
        </w:rPr>
      </w:pPr>
      <w:r w:rsidRPr="0047585D">
        <w:rPr>
          <w:lang w:val="sr-Latn-ME"/>
        </w:rPr>
        <w:t>Jedna bočica sadrži 100 mg azacitidina. Nakon rekonstitucije svaki ml suspenzije sadrži 25 mg azacitidina.</w:t>
      </w:r>
    </w:p>
    <w:p w14:paraId="5A6637B1" w14:textId="77777777" w:rsidR="0047585D" w:rsidRPr="0047585D" w:rsidRDefault="0047585D" w:rsidP="00A56A66">
      <w:pPr>
        <w:widowControl/>
        <w:autoSpaceDE/>
        <w:autoSpaceDN/>
        <w:rPr>
          <w:lang w:val="sr-Latn-ME"/>
        </w:rPr>
      </w:pPr>
    </w:p>
    <w:p w14:paraId="21678CE0" w14:textId="72239709" w:rsidR="00D21904" w:rsidRPr="0047585D" w:rsidRDefault="00D21904" w:rsidP="00A56A66">
      <w:pPr>
        <w:widowControl/>
        <w:autoSpaceDE/>
        <w:autoSpaceDN/>
        <w:rPr>
          <w:lang w:val="sr-Latn-ME"/>
        </w:rPr>
      </w:pPr>
      <w:r w:rsidRPr="0047585D">
        <w:rPr>
          <w:lang w:val="sr-Latn-ME"/>
        </w:rPr>
        <w:t>Za spisak svih ekscipijenasa, pogledati dio 6.1.</w:t>
      </w:r>
    </w:p>
    <w:p w14:paraId="329DB6CD" w14:textId="6133FB22" w:rsidR="002C0C82" w:rsidRPr="0047585D" w:rsidRDefault="002C0C82" w:rsidP="00A56A66">
      <w:pPr>
        <w:widowControl/>
        <w:autoSpaceDE/>
        <w:autoSpaceDN/>
        <w:rPr>
          <w:lang w:val="sr-Latn-ME"/>
        </w:rPr>
      </w:pPr>
    </w:p>
    <w:p w14:paraId="22363FB0" w14:textId="77777777" w:rsidR="002C0C82" w:rsidRPr="0047585D" w:rsidRDefault="002C0C82" w:rsidP="00A56A66">
      <w:pPr>
        <w:widowControl/>
        <w:autoSpaceDE/>
        <w:autoSpaceDN/>
        <w:rPr>
          <w:lang w:val="sr-Latn-ME"/>
        </w:rPr>
      </w:pPr>
    </w:p>
    <w:p w14:paraId="1C943E3A" w14:textId="77777777" w:rsidR="002C14A2" w:rsidRPr="0047585D" w:rsidRDefault="00200D97" w:rsidP="00A56A66">
      <w:pPr>
        <w:widowControl/>
        <w:numPr>
          <w:ilvl w:val="0"/>
          <w:numId w:val="11"/>
        </w:numPr>
        <w:tabs>
          <w:tab w:val="left" w:pos="540"/>
          <w:tab w:val="left" w:pos="569"/>
        </w:tabs>
        <w:autoSpaceDE/>
        <w:autoSpaceDN/>
        <w:ind w:left="0" w:firstLine="0"/>
        <w:rPr>
          <w:lang w:val="sr-Latn-ME"/>
        </w:rPr>
      </w:pPr>
      <w:r w:rsidRPr="0047585D">
        <w:rPr>
          <w:b/>
          <w:lang w:val="sr-Latn-ME"/>
        </w:rPr>
        <w:t xml:space="preserve">FARMACEUTSKI </w:t>
      </w:r>
      <w:r w:rsidRPr="0047585D">
        <w:rPr>
          <w:b/>
          <w:spacing w:val="-4"/>
          <w:lang w:val="sr-Latn-ME"/>
        </w:rPr>
        <w:t xml:space="preserve">OBLIK </w:t>
      </w:r>
    </w:p>
    <w:p w14:paraId="4CBA8231" w14:textId="77777777" w:rsidR="002C0C82" w:rsidRPr="0047585D" w:rsidRDefault="002C0C82" w:rsidP="00A56A66">
      <w:pPr>
        <w:pStyle w:val="ListParagraph"/>
        <w:tabs>
          <w:tab w:val="left" w:pos="785"/>
          <w:tab w:val="left" w:pos="786"/>
        </w:tabs>
        <w:ind w:left="0" w:firstLine="0"/>
        <w:rPr>
          <w:lang w:val="sr-Latn-ME"/>
        </w:rPr>
      </w:pPr>
    </w:p>
    <w:p w14:paraId="7E23EA2B" w14:textId="5F25EB23" w:rsidR="0070083A" w:rsidRPr="0047585D" w:rsidRDefault="00200D97" w:rsidP="00A56A66">
      <w:pPr>
        <w:pStyle w:val="ListParagraph"/>
        <w:tabs>
          <w:tab w:val="left" w:pos="785"/>
          <w:tab w:val="left" w:pos="786"/>
        </w:tabs>
        <w:ind w:left="0" w:firstLine="0"/>
        <w:rPr>
          <w:lang w:val="sr-Latn-ME"/>
        </w:rPr>
      </w:pPr>
      <w:r w:rsidRPr="0047585D">
        <w:rPr>
          <w:lang w:val="sr-Latn-ME"/>
        </w:rPr>
        <w:t>Prašak za suspenziju za injekciju.</w:t>
      </w:r>
    </w:p>
    <w:p w14:paraId="42DB6F2E" w14:textId="2D9F9029" w:rsidR="0084478E" w:rsidRPr="0047585D" w:rsidRDefault="0070083A" w:rsidP="00A56A66">
      <w:pPr>
        <w:pStyle w:val="BodyText"/>
        <w:jc w:val="both"/>
        <w:rPr>
          <w:lang w:val="sr-Latn-ME"/>
        </w:rPr>
      </w:pPr>
      <w:r w:rsidRPr="0047585D">
        <w:rPr>
          <w:lang w:val="sr-Latn-ME"/>
        </w:rPr>
        <w:t>Bijeli liofilizovani prašak ili kolačić.</w:t>
      </w:r>
    </w:p>
    <w:p w14:paraId="5286AA2E" w14:textId="77777777" w:rsidR="002C0C82" w:rsidRPr="0047585D" w:rsidRDefault="002C0C82" w:rsidP="00A56A66">
      <w:pPr>
        <w:pStyle w:val="BodyText"/>
        <w:jc w:val="both"/>
        <w:rPr>
          <w:lang w:val="sr-Latn-ME"/>
        </w:rPr>
      </w:pPr>
    </w:p>
    <w:p w14:paraId="5945800C" w14:textId="46DB8E05" w:rsidR="00D34E19" w:rsidRPr="0047585D" w:rsidRDefault="00D34E19" w:rsidP="00A56A66">
      <w:pPr>
        <w:pStyle w:val="BodyText"/>
        <w:jc w:val="both"/>
        <w:rPr>
          <w:lang w:val="sr-Latn-ME"/>
        </w:rPr>
      </w:pPr>
    </w:p>
    <w:p w14:paraId="7744FF6A" w14:textId="751D4502" w:rsidR="0084478E" w:rsidRPr="0047585D" w:rsidRDefault="00200D97" w:rsidP="00A56A66">
      <w:pPr>
        <w:widowControl/>
        <w:numPr>
          <w:ilvl w:val="0"/>
          <w:numId w:val="11"/>
        </w:numPr>
        <w:tabs>
          <w:tab w:val="left" w:pos="540"/>
          <w:tab w:val="left" w:pos="569"/>
        </w:tabs>
        <w:autoSpaceDE/>
        <w:autoSpaceDN/>
        <w:ind w:left="0" w:firstLine="0"/>
        <w:rPr>
          <w:b/>
          <w:bCs/>
          <w:lang w:val="sr-Latn-ME"/>
        </w:rPr>
      </w:pPr>
      <w:r w:rsidRPr="0047585D">
        <w:rPr>
          <w:b/>
          <w:bCs/>
          <w:lang w:val="sr-Latn-ME"/>
        </w:rPr>
        <w:t>KLINIČKI PODACI</w:t>
      </w:r>
    </w:p>
    <w:p w14:paraId="7EED4DD1" w14:textId="77777777" w:rsidR="00D34E19" w:rsidRPr="0047585D" w:rsidRDefault="00D34E19" w:rsidP="00A56A66">
      <w:pPr>
        <w:widowControl/>
        <w:tabs>
          <w:tab w:val="left" w:pos="540"/>
          <w:tab w:val="left" w:pos="569"/>
        </w:tabs>
        <w:autoSpaceDE/>
        <w:autoSpaceDN/>
        <w:rPr>
          <w:b/>
          <w:bCs/>
          <w:lang w:val="sr-Latn-ME"/>
        </w:rPr>
      </w:pPr>
    </w:p>
    <w:p w14:paraId="2D077F31" w14:textId="77777777" w:rsidR="0084478E" w:rsidRPr="0047585D" w:rsidRDefault="00200D97" w:rsidP="00A56A66">
      <w:pPr>
        <w:widowControl/>
        <w:numPr>
          <w:ilvl w:val="1"/>
          <w:numId w:val="11"/>
        </w:numPr>
        <w:tabs>
          <w:tab w:val="left" w:pos="540"/>
          <w:tab w:val="left" w:pos="569"/>
        </w:tabs>
        <w:autoSpaceDE/>
        <w:autoSpaceDN/>
        <w:ind w:left="0" w:firstLine="0"/>
        <w:rPr>
          <w:b/>
          <w:bCs/>
          <w:lang w:val="sr-Latn-ME"/>
        </w:rPr>
      </w:pPr>
      <w:r w:rsidRPr="0047585D">
        <w:rPr>
          <w:b/>
          <w:bCs/>
          <w:lang w:val="sr-Latn-ME"/>
        </w:rPr>
        <w:t>Terapijske indikacije</w:t>
      </w:r>
    </w:p>
    <w:p w14:paraId="13A7540B" w14:textId="5E4B2DD6" w:rsidR="0084478E" w:rsidRPr="0047585D" w:rsidRDefault="00064919" w:rsidP="00A56A66">
      <w:pPr>
        <w:pStyle w:val="BodyText"/>
        <w:jc w:val="both"/>
        <w:rPr>
          <w:lang w:val="sr-Latn-ME"/>
        </w:rPr>
      </w:pPr>
      <w:r w:rsidRPr="0047585D">
        <w:rPr>
          <w:lang w:val="sr-Latn-ME"/>
        </w:rPr>
        <w:t>Lijek</w:t>
      </w:r>
      <w:r w:rsidR="00074B7B" w:rsidRPr="0047585D">
        <w:rPr>
          <w:lang w:val="sr-Latn-ME"/>
        </w:rPr>
        <w:t xml:space="preserve"> </w:t>
      </w:r>
      <w:r w:rsidR="00D95513" w:rsidRPr="0047585D">
        <w:rPr>
          <w:lang w:val="sr-Latn-ME"/>
        </w:rPr>
        <w:t>Azacitidine Accord</w:t>
      </w:r>
      <w:r w:rsidR="00200D97" w:rsidRPr="0047585D">
        <w:rPr>
          <w:lang w:val="sr-Latn-ME"/>
        </w:rPr>
        <w:t xml:space="preserve"> je indi</w:t>
      </w:r>
      <w:r w:rsidRPr="0047585D">
        <w:rPr>
          <w:lang w:val="sr-Latn-ME"/>
        </w:rPr>
        <w:t>kovan</w:t>
      </w:r>
      <w:r w:rsidR="00200D97" w:rsidRPr="0047585D">
        <w:rPr>
          <w:lang w:val="sr-Latn-ME"/>
        </w:rPr>
        <w:t xml:space="preserve"> za liječenje odraslih </w:t>
      </w:r>
      <w:r w:rsidR="00862A19" w:rsidRPr="0047585D">
        <w:rPr>
          <w:lang w:val="sr-Latn-ME"/>
        </w:rPr>
        <w:t>pacijen</w:t>
      </w:r>
      <w:r w:rsidRPr="0047585D">
        <w:rPr>
          <w:lang w:val="sr-Latn-ME"/>
        </w:rPr>
        <w:t>a</w:t>
      </w:r>
      <w:r w:rsidR="00862A19" w:rsidRPr="0047585D">
        <w:rPr>
          <w:lang w:val="sr-Latn-ME"/>
        </w:rPr>
        <w:t>t</w:t>
      </w:r>
      <w:r w:rsidR="00200D97" w:rsidRPr="0047585D">
        <w:rPr>
          <w:lang w:val="sr-Latn-ME"/>
        </w:rPr>
        <w:t>a koji nisu zadovoljavali kriterij</w:t>
      </w:r>
      <w:r w:rsidRPr="0047585D">
        <w:rPr>
          <w:lang w:val="sr-Latn-ME"/>
        </w:rPr>
        <w:t>um</w:t>
      </w:r>
      <w:r w:rsidR="00200D97" w:rsidRPr="0047585D">
        <w:rPr>
          <w:lang w:val="sr-Latn-ME"/>
        </w:rPr>
        <w:t xml:space="preserve">e za transplantaciju hematopoetskih matičnih </w:t>
      </w:r>
      <w:r w:rsidRPr="0047585D">
        <w:rPr>
          <w:lang w:val="sr-Latn-ME"/>
        </w:rPr>
        <w:t>ćelij</w:t>
      </w:r>
      <w:r w:rsidR="00200D97" w:rsidRPr="0047585D">
        <w:rPr>
          <w:lang w:val="sr-Latn-ME"/>
        </w:rPr>
        <w:t>a (</w:t>
      </w:r>
      <w:r w:rsidR="001314D2" w:rsidRPr="00A56A66">
        <w:rPr>
          <w:i/>
          <w:lang w:val="sr-Latn-ME"/>
        </w:rPr>
        <w:t>haematopoietic stem cell transplantation</w:t>
      </w:r>
      <w:r w:rsidR="002F02C6" w:rsidRPr="0047585D">
        <w:rPr>
          <w:i/>
          <w:lang w:val="sr-Latn-ME"/>
        </w:rPr>
        <w:t>,</w:t>
      </w:r>
      <w:r w:rsidR="001314D2" w:rsidRPr="0047585D">
        <w:rPr>
          <w:lang w:val="sr-Latn-ME"/>
        </w:rPr>
        <w:t xml:space="preserve"> HSCT)</w:t>
      </w:r>
      <w:r w:rsidR="00200D97" w:rsidRPr="0047585D">
        <w:rPr>
          <w:lang w:val="sr-Latn-ME"/>
        </w:rPr>
        <w:t>, koji boluju od:</w:t>
      </w:r>
    </w:p>
    <w:p w14:paraId="5F2CDB4D" w14:textId="414B1D2A" w:rsidR="0048662B" w:rsidRPr="0047585D" w:rsidRDefault="00200D97" w:rsidP="00A56A66">
      <w:pPr>
        <w:pStyle w:val="ListParagraph"/>
        <w:numPr>
          <w:ilvl w:val="0"/>
          <w:numId w:val="10"/>
        </w:numPr>
        <w:tabs>
          <w:tab w:val="left" w:pos="284"/>
        </w:tabs>
        <w:ind w:left="0" w:firstLine="0"/>
        <w:jc w:val="both"/>
        <w:rPr>
          <w:lang w:val="sr-Latn-ME"/>
        </w:rPr>
      </w:pPr>
      <w:r w:rsidRPr="0047585D">
        <w:rPr>
          <w:lang w:val="sr-Latn-ME"/>
        </w:rPr>
        <w:t>mijelodisplastičnih sindroma (</w:t>
      </w:r>
      <w:r w:rsidR="00C11635" w:rsidRPr="00A56A66">
        <w:rPr>
          <w:i/>
          <w:lang w:val="sr-Latn-ME"/>
        </w:rPr>
        <w:t>myelodysplastic syndromes</w:t>
      </w:r>
      <w:r w:rsidR="002F02C6" w:rsidRPr="0047585D">
        <w:rPr>
          <w:lang w:val="sr-Latn-ME"/>
        </w:rPr>
        <w:t xml:space="preserve">, </w:t>
      </w:r>
      <w:r w:rsidRPr="0047585D">
        <w:rPr>
          <w:lang w:val="sr-Latn-ME"/>
        </w:rPr>
        <w:t>MDS) srednjeg 2 i visokog rizika prema međunarodnom prognostičkom numeričkom s</w:t>
      </w:r>
      <w:r w:rsidR="00064919" w:rsidRPr="0047585D">
        <w:rPr>
          <w:lang w:val="sr-Latn-ME"/>
        </w:rPr>
        <w:t>istem</w:t>
      </w:r>
      <w:r w:rsidRPr="0047585D">
        <w:rPr>
          <w:lang w:val="sr-Latn-ME"/>
        </w:rPr>
        <w:t>u rangiranja (</w:t>
      </w:r>
      <w:r w:rsidRPr="0047585D">
        <w:rPr>
          <w:i/>
          <w:lang w:val="sr-Latn-ME"/>
        </w:rPr>
        <w:t>International Prognostic Scoring System,</w:t>
      </w:r>
      <w:r w:rsidRPr="0047585D">
        <w:rPr>
          <w:i/>
          <w:spacing w:val="-1"/>
          <w:lang w:val="sr-Latn-ME"/>
        </w:rPr>
        <w:t xml:space="preserve"> </w:t>
      </w:r>
      <w:r w:rsidRPr="0047585D">
        <w:rPr>
          <w:lang w:val="sr-Latn-ME"/>
        </w:rPr>
        <w:t>IPSS),</w:t>
      </w:r>
    </w:p>
    <w:p w14:paraId="35DBC684" w14:textId="79AAA5B4" w:rsidR="0084478E" w:rsidRPr="0047585D" w:rsidRDefault="00734EDA" w:rsidP="00A56A66">
      <w:pPr>
        <w:pStyle w:val="ListParagraph"/>
        <w:numPr>
          <w:ilvl w:val="0"/>
          <w:numId w:val="10"/>
        </w:numPr>
        <w:tabs>
          <w:tab w:val="left" w:pos="284"/>
        </w:tabs>
        <w:ind w:left="0" w:firstLine="0"/>
        <w:jc w:val="both"/>
        <w:rPr>
          <w:lang w:val="sr-Latn-ME"/>
        </w:rPr>
      </w:pPr>
      <w:r w:rsidRPr="0047585D">
        <w:rPr>
          <w:lang w:val="sr-Latn-ME"/>
        </w:rPr>
        <w:t>h</w:t>
      </w:r>
      <w:r w:rsidR="00200D97" w:rsidRPr="0047585D">
        <w:rPr>
          <w:lang w:val="sr-Latn-ME"/>
        </w:rPr>
        <w:t>ronične mijelomonocitne leukemije (</w:t>
      </w:r>
      <w:r w:rsidR="00C11635" w:rsidRPr="00A56A66">
        <w:rPr>
          <w:i/>
          <w:lang w:val="sr-Latn-ME"/>
        </w:rPr>
        <w:t>chronic myelomonocytic leukaemia</w:t>
      </w:r>
      <w:r w:rsidR="002F02C6" w:rsidRPr="0047585D">
        <w:rPr>
          <w:lang w:val="sr-Latn-ME"/>
        </w:rPr>
        <w:t>,</w:t>
      </w:r>
      <w:r w:rsidR="00C11635" w:rsidRPr="0047585D">
        <w:rPr>
          <w:lang w:val="sr-Latn-ME"/>
        </w:rPr>
        <w:t xml:space="preserve"> CMML</w:t>
      </w:r>
      <w:r w:rsidR="00200D97" w:rsidRPr="0047585D">
        <w:rPr>
          <w:lang w:val="sr-Latn-ME"/>
        </w:rPr>
        <w:t>) s 10-29 % blasta u koštanoj srži bez mijeloproliferativnog poremećaja,</w:t>
      </w:r>
    </w:p>
    <w:p w14:paraId="4B5B812E" w14:textId="77777777" w:rsidR="0084478E" w:rsidRPr="0047585D" w:rsidRDefault="00200D97" w:rsidP="00A56A66">
      <w:pPr>
        <w:pStyle w:val="ListParagraph"/>
        <w:numPr>
          <w:ilvl w:val="0"/>
          <w:numId w:val="10"/>
        </w:numPr>
        <w:tabs>
          <w:tab w:val="left" w:pos="284"/>
        </w:tabs>
        <w:ind w:left="0" w:firstLine="0"/>
        <w:jc w:val="both"/>
        <w:rPr>
          <w:lang w:val="sr-Latn-ME"/>
        </w:rPr>
      </w:pPr>
      <w:r w:rsidRPr="0047585D">
        <w:rPr>
          <w:lang w:val="sr-Latn-ME"/>
        </w:rPr>
        <w:t>akutne mijelo</w:t>
      </w:r>
      <w:r w:rsidR="006C1D06" w:rsidRPr="0047585D">
        <w:rPr>
          <w:lang w:val="sr-Latn-ME"/>
        </w:rPr>
        <w:t>idne</w:t>
      </w:r>
      <w:r w:rsidRPr="0047585D">
        <w:rPr>
          <w:lang w:val="sr-Latn-ME"/>
        </w:rPr>
        <w:t xml:space="preserve"> leukemije (</w:t>
      </w:r>
      <w:r w:rsidR="00C11635" w:rsidRPr="00A56A66">
        <w:rPr>
          <w:i/>
          <w:lang w:val="sr-Latn-ME"/>
        </w:rPr>
        <w:t>acute myeloid leukaemia</w:t>
      </w:r>
      <w:r w:rsidR="002F02C6" w:rsidRPr="0047585D">
        <w:rPr>
          <w:lang w:val="sr-Latn-ME"/>
        </w:rPr>
        <w:t xml:space="preserve">, </w:t>
      </w:r>
      <w:r w:rsidRPr="0047585D">
        <w:rPr>
          <w:lang w:val="sr-Latn-ME"/>
        </w:rPr>
        <w:t>AML) s 20-30 % blasta i displazijom više loza, prema klasifikaciji Svjetske zdravstvene organizacije (SZO),</w:t>
      </w:r>
    </w:p>
    <w:p w14:paraId="1077A9A4" w14:textId="2CA53117" w:rsidR="0084478E" w:rsidRPr="0047585D" w:rsidRDefault="00200D97" w:rsidP="00A56A66">
      <w:pPr>
        <w:pStyle w:val="ListParagraph"/>
        <w:numPr>
          <w:ilvl w:val="0"/>
          <w:numId w:val="10"/>
        </w:numPr>
        <w:tabs>
          <w:tab w:val="left" w:pos="284"/>
        </w:tabs>
        <w:ind w:left="0" w:firstLine="0"/>
        <w:jc w:val="both"/>
        <w:rPr>
          <w:lang w:val="sr-Latn-ME"/>
        </w:rPr>
      </w:pPr>
      <w:r w:rsidRPr="0047585D">
        <w:rPr>
          <w:lang w:val="sr-Latn-ME"/>
        </w:rPr>
        <w:t>AML-a s &gt;30 % blasta u koštanoj srži prema klasifikaciji SZO-a.</w:t>
      </w:r>
    </w:p>
    <w:p w14:paraId="58591A78" w14:textId="77777777" w:rsidR="0048662B" w:rsidRPr="0047585D" w:rsidRDefault="0048662B" w:rsidP="00A56A66">
      <w:pPr>
        <w:pStyle w:val="ListParagraph"/>
        <w:numPr>
          <w:ilvl w:val="0"/>
          <w:numId w:val="10"/>
        </w:numPr>
        <w:tabs>
          <w:tab w:val="left" w:pos="284"/>
        </w:tabs>
        <w:ind w:left="0" w:firstLine="0"/>
        <w:jc w:val="both"/>
        <w:rPr>
          <w:lang w:val="sr-Latn-ME"/>
        </w:rPr>
      </w:pPr>
    </w:p>
    <w:p w14:paraId="59B3A994" w14:textId="102A5BFA" w:rsidR="0084478E" w:rsidRPr="00A56A66" w:rsidRDefault="00200D97" w:rsidP="00A56A66">
      <w:pPr>
        <w:widowControl/>
        <w:numPr>
          <w:ilvl w:val="1"/>
          <w:numId w:val="11"/>
        </w:numPr>
        <w:tabs>
          <w:tab w:val="left" w:pos="540"/>
          <w:tab w:val="left" w:pos="569"/>
        </w:tabs>
        <w:autoSpaceDE/>
        <w:autoSpaceDN/>
        <w:ind w:left="0" w:firstLine="0"/>
        <w:rPr>
          <w:lang w:val="sr-Latn-ME"/>
        </w:rPr>
      </w:pPr>
      <w:r w:rsidRPr="0047585D">
        <w:rPr>
          <w:b/>
          <w:bCs/>
          <w:lang w:val="sr-Latn-ME"/>
        </w:rPr>
        <w:t>Doziranje i način primjene</w:t>
      </w:r>
    </w:p>
    <w:p w14:paraId="44174104" w14:textId="77777777" w:rsidR="00D34E19" w:rsidRPr="0047585D" w:rsidRDefault="00D34E19" w:rsidP="00A56A66">
      <w:pPr>
        <w:widowControl/>
        <w:tabs>
          <w:tab w:val="left" w:pos="540"/>
          <w:tab w:val="left" w:pos="569"/>
        </w:tabs>
        <w:autoSpaceDE/>
        <w:autoSpaceDN/>
        <w:rPr>
          <w:lang w:val="sr-Latn-ME"/>
        </w:rPr>
      </w:pPr>
    </w:p>
    <w:p w14:paraId="5C7D8B06" w14:textId="0B1769F1" w:rsidR="0084478E" w:rsidRPr="0047585D" w:rsidRDefault="00200D97" w:rsidP="00A56A66">
      <w:pPr>
        <w:pStyle w:val="BodyText"/>
        <w:jc w:val="both"/>
        <w:rPr>
          <w:lang w:val="sr-Latn-ME"/>
        </w:rPr>
      </w:pPr>
      <w:r w:rsidRPr="0047585D">
        <w:rPr>
          <w:lang w:val="sr-Latn-ME"/>
        </w:rPr>
        <w:t xml:space="preserve">Liječenje lijekom </w:t>
      </w:r>
      <w:r w:rsidR="00D95513" w:rsidRPr="0047585D">
        <w:rPr>
          <w:lang w:val="sr-Latn-ME"/>
        </w:rPr>
        <w:t>Azacitidine Accord</w:t>
      </w:r>
      <w:r w:rsidRPr="0047585D">
        <w:rPr>
          <w:lang w:val="sr-Latn-ME"/>
        </w:rPr>
        <w:t xml:space="preserve"> treba</w:t>
      </w:r>
      <w:r w:rsidR="006C1D06" w:rsidRPr="0047585D">
        <w:rPr>
          <w:lang w:val="sr-Latn-ME"/>
        </w:rPr>
        <w:t xml:space="preserve"> da započne </w:t>
      </w:r>
      <w:r w:rsidRPr="0047585D">
        <w:rPr>
          <w:lang w:val="sr-Latn-ME"/>
        </w:rPr>
        <w:t xml:space="preserve">i </w:t>
      </w:r>
      <w:r w:rsidR="003A2DB1" w:rsidRPr="0047585D">
        <w:rPr>
          <w:lang w:val="sr-Latn-ME"/>
        </w:rPr>
        <w:t>prati</w:t>
      </w:r>
      <w:r w:rsidR="006C1D06" w:rsidRPr="0047585D">
        <w:rPr>
          <w:lang w:val="sr-Latn-ME"/>
        </w:rPr>
        <w:t xml:space="preserve"> </w:t>
      </w:r>
      <w:r w:rsidRPr="0047585D">
        <w:rPr>
          <w:lang w:val="sr-Latn-ME"/>
        </w:rPr>
        <w:t>l</w:t>
      </w:r>
      <w:r w:rsidR="00734EDA" w:rsidRPr="0047585D">
        <w:rPr>
          <w:lang w:val="sr-Latn-ME"/>
        </w:rPr>
        <w:t>jekar</w:t>
      </w:r>
      <w:r w:rsidRPr="0047585D">
        <w:rPr>
          <w:lang w:val="sr-Latn-ME"/>
        </w:rPr>
        <w:t xml:space="preserve"> iskusan u primjeni </w:t>
      </w:r>
      <w:r w:rsidR="00734EDA" w:rsidRPr="0047585D">
        <w:rPr>
          <w:lang w:val="sr-Latn-ME"/>
        </w:rPr>
        <w:t>h</w:t>
      </w:r>
      <w:r w:rsidRPr="0047585D">
        <w:rPr>
          <w:lang w:val="sr-Latn-ME"/>
        </w:rPr>
        <w:t xml:space="preserve">emoterapijskih ljekova. </w:t>
      </w:r>
      <w:r w:rsidR="00862A19" w:rsidRPr="0047585D">
        <w:rPr>
          <w:lang w:val="sr-Latn-ME"/>
        </w:rPr>
        <w:t>Pacijentima</w:t>
      </w:r>
      <w:r w:rsidRPr="0047585D">
        <w:rPr>
          <w:lang w:val="sr-Latn-ME"/>
        </w:rPr>
        <w:t xml:space="preserve"> treba dati antiemetike </w:t>
      </w:r>
      <w:r w:rsidR="000B7BDC" w:rsidRPr="0047585D">
        <w:rPr>
          <w:lang w:val="sr-Latn-ME"/>
        </w:rPr>
        <w:t xml:space="preserve">kao premedikaciju </w:t>
      </w:r>
      <w:r w:rsidRPr="0047585D">
        <w:rPr>
          <w:lang w:val="sr-Latn-ME"/>
        </w:rPr>
        <w:t>zbog mučnine i povraćanja.</w:t>
      </w:r>
    </w:p>
    <w:p w14:paraId="1C480218" w14:textId="77777777" w:rsidR="00D34E19" w:rsidRPr="0047585D" w:rsidRDefault="00D34E19" w:rsidP="00A56A66">
      <w:pPr>
        <w:pStyle w:val="BodyText"/>
        <w:jc w:val="both"/>
        <w:rPr>
          <w:lang w:val="sr-Latn-ME"/>
        </w:rPr>
      </w:pPr>
    </w:p>
    <w:p w14:paraId="574B5379" w14:textId="77777777" w:rsidR="0084478E" w:rsidRPr="0047585D" w:rsidRDefault="00200D97" w:rsidP="00A56A66">
      <w:pPr>
        <w:pStyle w:val="BodyText"/>
        <w:jc w:val="both"/>
        <w:rPr>
          <w:lang w:val="sr-Latn-ME"/>
        </w:rPr>
      </w:pPr>
      <w:r w:rsidRPr="0047585D">
        <w:rPr>
          <w:u w:val="single"/>
          <w:lang w:val="sr-Latn-ME"/>
        </w:rPr>
        <w:t>Doziranje</w:t>
      </w:r>
    </w:p>
    <w:p w14:paraId="7FCE312E" w14:textId="22A3D53E" w:rsidR="0084478E" w:rsidRPr="0047585D" w:rsidRDefault="00200D97" w:rsidP="00A56A66">
      <w:pPr>
        <w:pStyle w:val="BodyText"/>
        <w:jc w:val="both"/>
        <w:rPr>
          <w:lang w:val="sr-Latn-ME"/>
        </w:rPr>
      </w:pPr>
      <w:r w:rsidRPr="0047585D">
        <w:rPr>
          <w:lang w:val="sr-Latn-ME"/>
        </w:rPr>
        <w:t xml:space="preserve">Preporučena početna doza za prvi ciklus liječenja </w:t>
      </w:r>
      <w:r w:rsidR="006C1D06" w:rsidRPr="0047585D">
        <w:rPr>
          <w:lang w:val="sr-Latn-ME"/>
        </w:rPr>
        <w:t xml:space="preserve">je </w:t>
      </w:r>
      <w:r w:rsidRPr="0047585D">
        <w:rPr>
          <w:lang w:val="sr-Latn-ME"/>
        </w:rPr>
        <w:t xml:space="preserve">za sve </w:t>
      </w:r>
      <w:r w:rsidR="00862A19" w:rsidRPr="0047585D">
        <w:rPr>
          <w:lang w:val="sr-Latn-ME"/>
        </w:rPr>
        <w:t>pacijent</w:t>
      </w:r>
      <w:r w:rsidRPr="0047585D">
        <w:rPr>
          <w:lang w:val="sr-Latn-ME"/>
        </w:rPr>
        <w:t>e, bez obzira na početne hematološke laboratorijske vrijednosti, 75 mg/m2 površine tijela, a injicira se su</w:t>
      </w:r>
      <w:r w:rsidR="00D542A4">
        <w:rPr>
          <w:lang w:val="sr-Latn-ME"/>
        </w:rPr>
        <w:t>b</w:t>
      </w:r>
      <w:r w:rsidRPr="0047585D">
        <w:rPr>
          <w:lang w:val="sr-Latn-ME"/>
        </w:rPr>
        <w:t>kutano, jednom dnevno t</w:t>
      </w:r>
      <w:r w:rsidR="00734EDA" w:rsidRPr="0047585D">
        <w:rPr>
          <w:lang w:val="sr-Latn-ME"/>
        </w:rPr>
        <w:t>o</w:t>
      </w:r>
      <w:r w:rsidRPr="0047585D">
        <w:rPr>
          <w:lang w:val="sr-Latn-ME"/>
        </w:rPr>
        <w:t xml:space="preserve">kom 7 dana, nakon čega slijedi </w:t>
      </w:r>
      <w:r w:rsidR="00734EDA" w:rsidRPr="0047585D">
        <w:rPr>
          <w:lang w:val="sr-Latn-ME"/>
        </w:rPr>
        <w:t>pauz</w:t>
      </w:r>
      <w:r w:rsidRPr="0047585D">
        <w:rPr>
          <w:lang w:val="sr-Latn-ME"/>
        </w:rPr>
        <w:t>a od 21 dana (28-dnevni ciklus liječenja).</w:t>
      </w:r>
    </w:p>
    <w:p w14:paraId="00A19643" w14:textId="77777777" w:rsidR="0048662B" w:rsidRPr="0047585D" w:rsidRDefault="0048662B" w:rsidP="00A56A66">
      <w:pPr>
        <w:pStyle w:val="BodyText"/>
        <w:jc w:val="both"/>
        <w:rPr>
          <w:lang w:val="sr-Latn-ME"/>
        </w:rPr>
      </w:pPr>
    </w:p>
    <w:p w14:paraId="2441A4F4" w14:textId="1D5189C1" w:rsidR="0084478E" w:rsidRPr="0047585D" w:rsidRDefault="00200D97" w:rsidP="00A56A66">
      <w:pPr>
        <w:pStyle w:val="BodyText"/>
        <w:jc w:val="both"/>
        <w:rPr>
          <w:lang w:val="sr-Latn-ME"/>
        </w:rPr>
      </w:pPr>
      <w:r w:rsidRPr="0047585D">
        <w:rPr>
          <w:lang w:val="sr-Latn-ME"/>
        </w:rPr>
        <w:t xml:space="preserve">Preporučuje se </w:t>
      </w:r>
      <w:r w:rsidR="00734EDA" w:rsidRPr="0047585D">
        <w:rPr>
          <w:lang w:val="sr-Latn-ME"/>
        </w:rPr>
        <w:t>liječenje pacijenata</w:t>
      </w:r>
      <w:r w:rsidRPr="0047585D">
        <w:rPr>
          <w:lang w:val="sr-Latn-ME"/>
        </w:rPr>
        <w:t xml:space="preserve"> u najmanje 6 ciklusa. Liječenje treba</w:t>
      </w:r>
      <w:r w:rsidR="006C1D06" w:rsidRPr="0047585D">
        <w:rPr>
          <w:lang w:val="sr-Latn-ME"/>
        </w:rPr>
        <w:t xml:space="preserve"> da se nastavi</w:t>
      </w:r>
      <w:r w:rsidRPr="0047585D">
        <w:rPr>
          <w:lang w:val="sr-Latn-ME"/>
        </w:rPr>
        <w:t xml:space="preserve"> sve dok </w:t>
      </w:r>
      <w:r w:rsidR="00862A19" w:rsidRPr="0047585D">
        <w:rPr>
          <w:lang w:val="sr-Latn-ME"/>
        </w:rPr>
        <w:t>pacijent</w:t>
      </w:r>
      <w:r w:rsidRPr="0047585D">
        <w:rPr>
          <w:lang w:val="sr-Latn-ME"/>
        </w:rPr>
        <w:t xml:space="preserve"> i dalje ima koristi</w:t>
      </w:r>
      <w:r w:rsidR="000B7BDC" w:rsidRPr="0047585D">
        <w:rPr>
          <w:lang w:val="sr-Latn-ME"/>
        </w:rPr>
        <w:t xml:space="preserve"> od liječenja</w:t>
      </w:r>
      <w:r w:rsidRPr="0047585D">
        <w:rPr>
          <w:lang w:val="sr-Latn-ME"/>
        </w:rPr>
        <w:t xml:space="preserve"> ili do pojave znak</w:t>
      </w:r>
      <w:r w:rsidR="006C1D06" w:rsidRPr="0047585D">
        <w:rPr>
          <w:lang w:val="sr-Latn-ME"/>
        </w:rPr>
        <w:t xml:space="preserve">a </w:t>
      </w:r>
      <w:r w:rsidRPr="0047585D">
        <w:rPr>
          <w:lang w:val="sr-Latn-ME"/>
        </w:rPr>
        <w:t>progresije bolesti.</w:t>
      </w:r>
    </w:p>
    <w:p w14:paraId="5C1E81BC" w14:textId="77777777" w:rsidR="0048662B" w:rsidRPr="0047585D" w:rsidRDefault="0048662B" w:rsidP="00A56A66">
      <w:pPr>
        <w:pStyle w:val="BodyText"/>
        <w:jc w:val="both"/>
        <w:rPr>
          <w:lang w:val="sr-Latn-ME"/>
        </w:rPr>
      </w:pPr>
    </w:p>
    <w:p w14:paraId="17C93043" w14:textId="02385FE7" w:rsidR="00356CF9" w:rsidRPr="0047585D" w:rsidRDefault="00200D97" w:rsidP="00A56A66">
      <w:pPr>
        <w:pStyle w:val="BodyText"/>
        <w:jc w:val="both"/>
        <w:rPr>
          <w:lang w:val="sr-Latn-ME"/>
        </w:rPr>
      </w:pPr>
      <w:r w:rsidRPr="0047585D">
        <w:rPr>
          <w:lang w:val="sr-Latn-ME"/>
        </w:rPr>
        <w:t xml:space="preserve">Kod </w:t>
      </w:r>
      <w:r w:rsidR="00862A19" w:rsidRPr="0047585D">
        <w:rPr>
          <w:lang w:val="sr-Latn-ME"/>
        </w:rPr>
        <w:t>pacijen</w:t>
      </w:r>
      <w:r w:rsidR="00734EDA" w:rsidRPr="0047585D">
        <w:rPr>
          <w:lang w:val="sr-Latn-ME"/>
        </w:rPr>
        <w:t>a</w:t>
      </w:r>
      <w:r w:rsidR="00862A19" w:rsidRPr="0047585D">
        <w:rPr>
          <w:lang w:val="sr-Latn-ME"/>
        </w:rPr>
        <w:t>t</w:t>
      </w:r>
      <w:r w:rsidRPr="0047585D">
        <w:rPr>
          <w:lang w:val="sr-Latn-ME"/>
        </w:rPr>
        <w:t>a treba pratiti hematološki odgovor/toksičnost i bubrežn</w:t>
      </w:r>
      <w:r w:rsidR="000B7BDC" w:rsidRPr="0047585D">
        <w:rPr>
          <w:lang w:val="sr-Latn-ME"/>
        </w:rPr>
        <w:t>u</w:t>
      </w:r>
      <w:r w:rsidRPr="0047585D">
        <w:rPr>
          <w:lang w:val="sr-Latn-ME"/>
        </w:rPr>
        <w:t xml:space="preserve"> toksičnost (vidjeti dio 4.4); možda će biti </w:t>
      </w:r>
      <w:r w:rsidR="00734EDA" w:rsidRPr="0047585D">
        <w:rPr>
          <w:lang w:val="sr-Latn-ME"/>
        </w:rPr>
        <w:t>potrebno odlaganje</w:t>
      </w:r>
      <w:r w:rsidRPr="0047585D">
        <w:rPr>
          <w:lang w:val="sr-Latn-ME"/>
        </w:rPr>
        <w:t xml:space="preserve"> početka sljedećeg ciklusa ili smanjenje doze kao što je opisano</w:t>
      </w:r>
      <w:r w:rsidR="000B7BDC" w:rsidRPr="0047585D">
        <w:rPr>
          <w:lang w:val="sr-Latn-ME"/>
        </w:rPr>
        <w:t xml:space="preserve"> u daljem tekstu.</w:t>
      </w:r>
    </w:p>
    <w:p w14:paraId="4CDDA06B" w14:textId="77777777" w:rsidR="00456DC4" w:rsidRDefault="00456DC4" w:rsidP="00A56A66">
      <w:pPr>
        <w:pStyle w:val="BodyText"/>
        <w:jc w:val="both"/>
        <w:rPr>
          <w:i/>
          <w:u w:val="single"/>
          <w:lang w:val="sr-Latn-ME"/>
        </w:rPr>
      </w:pPr>
    </w:p>
    <w:p w14:paraId="1C4D25E0" w14:textId="4BC482E0" w:rsidR="0084478E" w:rsidRPr="0047585D" w:rsidRDefault="00200D97" w:rsidP="00A56A66">
      <w:pPr>
        <w:pStyle w:val="BodyText"/>
        <w:jc w:val="both"/>
        <w:rPr>
          <w:i/>
          <w:lang w:val="sr-Latn-ME"/>
        </w:rPr>
      </w:pPr>
      <w:r w:rsidRPr="0047585D">
        <w:rPr>
          <w:i/>
          <w:u w:val="single"/>
          <w:lang w:val="sr-Latn-ME"/>
        </w:rPr>
        <w:lastRenderedPageBreak/>
        <w:t>Laboratorijsk</w:t>
      </w:r>
      <w:r w:rsidR="006C1D06" w:rsidRPr="0047585D">
        <w:rPr>
          <w:i/>
          <w:u w:val="single"/>
          <w:lang w:val="sr-Latn-ME"/>
        </w:rPr>
        <w:t>e analize</w:t>
      </w:r>
    </w:p>
    <w:p w14:paraId="56B2CA4E" w14:textId="77777777" w:rsidR="0084478E" w:rsidRPr="0047585D" w:rsidRDefault="00200D97" w:rsidP="00A56A66">
      <w:pPr>
        <w:pStyle w:val="BodyText"/>
        <w:jc w:val="both"/>
        <w:rPr>
          <w:lang w:val="sr-Latn-ME"/>
        </w:rPr>
      </w:pPr>
      <w:r w:rsidRPr="0047585D">
        <w:rPr>
          <w:lang w:val="sr-Latn-ME"/>
        </w:rPr>
        <w:t xml:space="preserve">Prije početka liječenja i prije svakog ciklusa liječenja treba odrediti </w:t>
      </w:r>
      <w:r w:rsidR="00734EDA" w:rsidRPr="0047585D">
        <w:rPr>
          <w:lang w:val="sr-Latn-ME"/>
        </w:rPr>
        <w:t>indikatore funkcije jetre</w:t>
      </w:r>
      <w:r w:rsidRPr="0047585D">
        <w:rPr>
          <w:lang w:val="sr-Latn-ME"/>
        </w:rPr>
        <w:t>, kreatinin u serumu i bikarbonate u serumu. Da bi se</w:t>
      </w:r>
      <w:r w:rsidR="00FA45EF" w:rsidRPr="0047585D">
        <w:rPr>
          <w:lang w:val="sr-Latn-ME"/>
        </w:rPr>
        <w:t xml:space="preserve"> pratio</w:t>
      </w:r>
      <w:r w:rsidRPr="0047585D">
        <w:rPr>
          <w:lang w:val="sr-Latn-ME"/>
        </w:rPr>
        <w:t xml:space="preserve"> odgovor i toksičnost </w:t>
      </w:r>
      <w:r w:rsidR="00734EDA" w:rsidRPr="0047585D">
        <w:rPr>
          <w:lang w:val="sr-Latn-ME"/>
        </w:rPr>
        <w:t>neophodn</w:t>
      </w:r>
      <w:r w:rsidRPr="0047585D">
        <w:rPr>
          <w:lang w:val="sr-Latn-ME"/>
        </w:rPr>
        <w:t>o je</w:t>
      </w:r>
      <w:r w:rsidR="00FA45EF" w:rsidRPr="0047585D">
        <w:rPr>
          <w:lang w:val="sr-Latn-ME"/>
        </w:rPr>
        <w:t xml:space="preserve"> provjeriti</w:t>
      </w:r>
      <w:r w:rsidRPr="0047585D">
        <w:rPr>
          <w:lang w:val="sr-Latn-ME"/>
        </w:rPr>
        <w:t xml:space="preserve"> kompletnu krvnu sliku</w:t>
      </w:r>
      <w:r w:rsidR="00FA45EF" w:rsidRPr="0047585D">
        <w:rPr>
          <w:lang w:val="sr-Latn-ME"/>
        </w:rPr>
        <w:t xml:space="preserve"> </w:t>
      </w:r>
      <w:r w:rsidRPr="0047585D">
        <w:rPr>
          <w:lang w:val="sr-Latn-ME"/>
        </w:rPr>
        <w:t>prije početka terapije i p</w:t>
      </w:r>
      <w:r w:rsidR="00FA45EF" w:rsidRPr="0047585D">
        <w:rPr>
          <w:lang w:val="sr-Latn-ME"/>
        </w:rPr>
        <w:t>o</w:t>
      </w:r>
      <w:r w:rsidRPr="0047585D">
        <w:rPr>
          <w:lang w:val="sr-Latn-ME"/>
        </w:rPr>
        <w:t xml:space="preserve"> potrebi, ali </w:t>
      </w:r>
      <w:r w:rsidR="00FA45EF" w:rsidRPr="0047585D">
        <w:rPr>
          <w:lang w:val="sr-Latn-ME"/>
        </w:rPr>
        <w:t>najmanje</w:t>
      </w:r>
      <w:r w:rsidRPr="0047585D">
        <w:rPr>
          <w:lang w:val="sr-Latn-ME"/>
        </w:rPr>
        <w:t xml:space="preserve"> prije svakog ciklusa liječenja.</w:t>
      </w:r>
    </w:p>
    <w:p w14:paraId="42E3BD3E" w14:textId="77777777" w:rsidR="0048662B" w:rsidRPr="0047585D" w:rsidRDefault="0048662B" w:rsidP="00A56A66">
      <w:pPr>
        <w:jc w:val="both"/>
        <w:rPr>
          <w:i/>
          <w:lang w:val="sr-Latn-ME"/>
        </w:rPr>
      </w:pPr>
    </w:p>
    <w:p w14:paraId="2407FA90" w14:textId="4636E45E" w:rsidR="0084478E" w:rsidRPr="0047585D" w:rsidRDefault="006C1D06" w:rsidP="00A56A66">
      <w:pPr>
        <w:jc w:val="both"/>
        <w:rPr>
          <w:i/>
          <w:lang w:val="sr-Latn-ME"/>
        </w:rPr>
      </w:pPr>
      <w:r w:rsidRPr="0047585D">
        <w:rPr>
          <w:i/>
          <w:lang w:val="sr-Latn-ME"/>
        </w:rPr>
        <w:t>Prilagođavanje</w:t>
      </w:r>
      <w:r w:rsidR="00200D97" w:rsidRPr="0047585D">
        <w:rPr>
          <w:i/>
          <w:lang w:val="sr-Latn-ME"/>
        </w:rPr>
        <w:t xml:space="preserve"> doza zbog hematološke toksičnosti</w:t>
      </w:r>
    </w:p>
    <w:p w14:paraId="61243330" w14:textId="47C3D31F" w:rsidR="0084478E" w:rsidRPr="0047585D" w:rsidRDefault="00200D97" w:rsidP="00A56A66">
      <w:pPr>
        <w:pStyle w:val="BodyText"/>
        <w:jc w:val="both"/>
        <w:rPr>
          <w:lang w:val="sr-Latn-ME"/>
        </w:rPr>
      </w:pPr>
      <w:r w:rsidRPr="0047585D">
        <w:rPr>
          <w:lang w:val="sr-Latn-ME"/>
        </w:rPr>
        <w:t>Hematološka toksičnost defini</w:t>
      </w:r>
      <w:r w:rsidR="00734EDA" w:rsidRPr="0047585D">
        <w:rPr>
          <w:lang w:val="sr-Latn-ME"/>
        </w:rPr>
        <w:t>sa</w:t>
      </w:r>
      <w:r w:rsidRPr="0047585D">
        <w:rPr>
          <w:lang w:val="sr-Latn-ME"/>
        </w:rPr>
        <w:t>na je kao najniža vrijednost dos</w:t>
      </w:r>
      <w:r w:rsidR="006C1D06" w:rsidRPr="0047585D">
        <w:rPr>
          <w:lang w:val="sr-Latn-ME"/>
        </w:rPr>
        <w:t>tignuta</w:t>
      </w:r>
      <w:r w:rsidRPr="0047585D">
        <w:rPr>
          <w:lang w:val="sr-Latn-ME"/>
        </w:rPr>
        <w:t xml:space="preserve"> u određenom ciklusu ako su trombociti ≤ 50,0 x 10</w:t>
      </w:r>
      <w:r w:rsidRPr="0047585D">
        <w:rPr>
          <w:position w:val="8"/>
          <w:lang w:val="sr-Latn-ME"/>
        </w:rPr>
        <w:t>9</w:t>
      </w:r>
      <w:r w:rsidRPr="0047585D">
        <w:rPr>
          <w:lang w:val="sr-Latn-ME"/>
        </w:rPr>
        <w:t>/l i/ili ako je apsolutni broj neutrofila (</w:t>
      </w:r>
      <w:r w:rsidR="00606BD4" w:rsidRPr="00A56A66">
        <w:rPr>
          <w:i/>
          <w:lang w:val="sr-Latn-ME"/>
        </w:rPr>
        <w:t>absolute neutrophil count</w:t>
      </w:r>
      <w:r w:rsidR="00B5128D" w:rsidRPr="0047585D">
        <w:rPr>
          <w:lang w:val="sr-Latn-ME"/>
        </w:rPr>
        <w:t xml:space="preserve">, </w:t>
      </w:r>
      <w:r w:rsidR="00606BD4" w:rsidRPr="0047585D">
        <w:rPr>
          <w:lang w:val="sr-Latn-ME"/>
        </w:rPr>
        <w:t>ANC</w:t>
      </w:r>
      <w:r w:rsidRPr="0047585D">
        <w:rPr>
          <w:lang w:val="sr-Latn-ME"/>
        </w:rPr>
        <w:t>) ≤ 1 x 10</w:t>
      </w:r>
      <w:r w:rsidRPr="0047585D">
        <w:rPr>
          <w:position w:val="8"/>
          <w:lang w:val="sr-Latn-ME"/>
        </w:rPr>
        <w:t>9</w:t>
      </w:r>
      <w:r w:rsidRPr="0047585D">
        <w:rPr>
          <w:lang w:val="sr-Latn-ME"/>
        </w:rPr>
        <w:t>/l.</w:t>
      </w:r>
    </w:p>
    <w:p w14:paraId="450D3AF1" w14:textId="77777777" w:rsidR="0048662B" w:rsidRPr="0047585D" w:rsidRDefault="0048662B" w:rsidP="00A56A66">
      <w:pPr>
        <w:pStyle w:val="BodyText"/>
        <w:jc w:val="both"/>
        <w:rPr>
          <w:lang w:val="sr-Latn-ME"/>
        </w:rPr>
      </w:pPr>
    </w:p>
    <w:p w14:paraId="44CCA037" w14:textId="73EA1954" w:rsidR="0084478E" w:rsidRPr="0047585D" w:rsidRDefault="00200D97" w:rsidP="00A56A66">
      <w:pPr>
        <w:pStyle w:val="BodyText"/>
        <w:jc w:val="both"/>
        <w:rPr>
          <w:lang w:val="sr-Latn-ME"/>
        </w:rPr>
      </w:pPr>
      <w:r w:rsidRPr="0047585D">
        <w:rPr>
          <w:lang w:val="sr-Latn-ME"/>
        </w:rPr>
        <w:t>Oporavak je defini</w:t>
      </w:r>
      <w:r w:rsidR="00734EDA" w:rsidRPr="0047585D">
        <w:rPr>
          <w:lang w:val="sr-Latn-ME"/>
        </w:rPr>
        <w:t>s</w:t>
      </w:r>
      <w:r w:rsidRPr="0047585D">
        <w:rPr>
          <w:lang w:val="sr-Latn-ME"/>
        </w:rPr>
        <w:t xml:space="preserve">an kao porast </w:t>
      </w:r>
      <w:r w:rsidR="00734EDA" w:rsidRPr="0047585D">
        <w:rPr>
          <w:lang w:val="sr-Latn-ME"/>
        </w:rPr>
        <w:t>ćelijskih</w:t>
      </w:r>
      <w:r w:rsidRPr="0047585D">
        <w:rPr>
          <w:lang w:val="sr-Latn-ME"/>
        </w:rPr>
        <w:t xml:space="preserve"> linija kod kojih je uočena hematološka toksičnost, i to najmanje za polovinu razlike najniže i početne vrijednosti, uvećanu za najnižu vrijednost (tj. krvna slika u oporavku ≥ najniža vrijednost + (0,5 x [početna vrijednost – najniža vrijednost]).</w:t>
      </w:r>
    </w:p>
    <w:p w14:paraId="76DAA053" w14:textId="77777777" w:rsidR="0048662B" w:rsidRPr="0047585D" w:rsidRDefault="0048662B" w:rsidP="00A56A66">
      <w:pPr>
        <w:pStyle w:val="BodyText"/>
        <w:jc w:val="both"/>
        <w:rPr>
          <w:lang w:val="sr-Latn-ME"/>
        </w:rPr>
      </w:pPr>
    </w:p>
    <w:p w14:paraId="792B2768" w14:textId="3E871A91" w:rsidR="0084478E" w:rsidRPr="0047585D" w:rsidRDefault="00734EDA" w:rsidP="00A56A66">
      <w:pPr>
        <w:jc w:val="both"/>
        <w:rPr>
          <w:i/>
          <w:lang w:val="sr-Latn-ME"/>
        </w:rPr>
      </w:pPr>
      <w:r w:rsidRPr="0047585D">
        <w:rPr>
          <w:i/>
          <w:lang w:val="sr-Latn-ME"/>
        </w:rPr>
        <w:t>Pacijent</w:t>
      </w:r>
      <w:r w:rsidR="00200D97" w:rsidRPr="0047585D">
        <w:rPr>
          <w:i/>
          <w:lang w:val="sr-Latn-ME"/>
        </w:rPr>
        <w:t xml:space="preserve">i bez smanjenih početnih vrijednosti krvne slike (tj. bijele krvne </w:t>
      </w:r>
      <w:r w:rsidRPr="0047585D">
        <w:rPr>
          <w:i/>
          <w:lang w:val="sr-Latn-ME"/>
        </w:rPr>
        <w:t>ćelij</w:t>
      </w:r>
      <w:r w:rsidR="00200D97" w:rsidRPr="0047585D">
        <w:rPr>
          <w:i/>
          <w:lang w:val="sr-Latn-ME"/>
        </w:rPr>
        <w:t>e ≥ 3,0 x 10</w:t>
      </w:r>
      <w:r w:rsidR="00200D97" w:rsidRPr="0047585D">
        <w:rPr>
          <w:i/>
          <w:vertAlign w:val="superscript"/>
          <w:lang w:val="sr-Latn-ME"/>
        </w:rPr>
        <w:t>9</w:t>
      </w:r>
      <w:r w:rsidR="00200D97" w:rsidRPr="0047585D">
        <w:rPr>
          <w:i/>
          <w:lang w:val="sr-Latn-ME"/>
        </w:rPr>
        <w:t xml:space="preserve">/l i </w:t>
      </w:r>
      <w:r w:rsidR="00606BD4" w:rsidRPr="0047585D">
        <w:rPr>
          <w:i/>
          <w:lang w:val="sr-Latn-ME"/>
        </w:rPr>
        <w:t>ANC</w:t>
      </w:r>
      <w:r w:rsidR="00200D97" w:rsidRPr="0047585D">
        <w:rPr>
          <w:i/>
          <w:lang w:val="sr-Latn-ME"/>
        </w:rPr>
        <w:t xml:space="preserve"> ≥ 1,5 x 10</w:t>
      </w:r>
      <w:r w:rsidR="00200D97" w:rsidRPr="0047585D">
        <w:rPr>
          <w:i/>
          <w:vertAlign w:val="superscript"/>
          <w:lang w:val="sr-Latn-ME"/>
        </w:rPr>
        <w:t>9</w:t>
      </w:r>
      <w:r w:rsidR="00200D97" w:rsidRPr="0047585D">
        <w:rPr>
          <w:i/>
          <w:lang w:val="sr-Latn-ME"/>
        </w:rPr>
        <w:t>/l i trombociti ≥ 75,0 x 10</w:t>
      </w:r>
      <w:r w:rsidR="00200D97" w:rsidRPr="0047585D">
        <w:rPr>
          <w:i/>
          <w:vertAlign w:val="superscript"/>
          <w:lang w:val="sr-Latn-ME"/>
        </w:rPr>
        <w:t>9</w:t>
      </w:r>
      <w:r w:rsidR="00200D97" w:rsidRPr="0047585D">
        <w:rPr>
          <w:i/>
          <w:lang w:val="sr-Latn-ME"/>
        </w:rPr>
        <w:t>/l) prije prvog liječenja</w:t>
      </w:r>
    </w:p>
    <w:p w14:paraId="0793C149" w14:textId="5C05B871" w:rsidR="0084478E" w:rsidRPr="0047585D" w:rsidRDefault="00200D97" w:rsidP="00A56A66">
      <w:pPr>
        <w:pStyle w:val="BodyText"/>
        <w:jc w:val="both"/>
        <w:rPr>
          <w:lang w:val="sr-Latn-ME"/>
        </w:rPr>
      </w:pPr>
      <w:r w:rsidRPr="0047585D">
        <w:rPr>
          <w:lang w:val="sr-Latn-ME"/>
        </w:rPr>
        <w:t xml:space="preserve">Ako se nakon liječenja lijekom </w:t>
      </w:r>
      <w:r w:rsidR="00D95513" w:rsidRPr="0047585D">
        <w:rPr>
          <w:lang w:val="sr-Latn-ME"/>
        </w:rPr>
        <w:t>Azacitidine Accord</w:t>
      </w:r>
      <w:r w:rsidRPr="0047585D">
        <w:rPr>
          <w:lang w:val="sr-Latn-ME"/>
        </w:rPr>
        <w:t xml:space="preserve"> </w:t>
      </w:r>
      <w:r w:rsidR="00734EDA" w:rsidRPr="0047585D">
        <w:rPr>
          <w:lang w:val="sr-Latn-ME"/>
        </w:rPr>
        <w:t>za</w:t>
      </w:r>
      <w:r w:rsidRPr="0047585D">
        <w:rPr>
          <w:lang w:val="sr-Latn-ME"/>
        </w:rPr>
        <w:t>pazi hematološka toksičnost, sljedeći ciklus liječenja treba o</w:t>
      </w:r>
      <w:r w:rsidR="00734EDA" w:rsidRPr="0047585D">
        <w:rPr>
          <w:lang w:val="sr-Latn-ME"/>
        </w:rPr>
        <w:t>dlož</w:t>
      </w:r>
      <w:r w:rsidRPr="0047585D">
        <w:rPr>
          <w:lang w:val="sr-Latn-ME"/>
        </w:rPr>
        <w:t xml:space="preserve">iti sve dok se ne oporave vrijednosti trombocita i apsolutnog broja neutrofila. Ako je oporavak postignut unutar 14 dana, </w:t>
      </w:r>
      <w:r w:rsidR="006C1D06" w:rsidRPr="0047585D">
        <w:rPr>
          <w:lang w:val="sr-Latn-ME"/>
        </w:rPr>
        <w:t>prilagođavanje</w:t>
      </w:r>
      <w:r w:rsidRPr="0047585D">
        <w:rPr>
          <w:lang w:val="sr-Latn-ME"/>
        </w:rPr>
        <w:t xml:space="preserve"> doze nije potrebn</w:t>
      </w:r>
      <w:r w:rsidR="00734EDA" w:rsidRPr="0047585D">
        <w:rPr>
          <w:lang w:val="sr-Latn-ME"/>
        </w:rPr>
        <w:t>o</w:t>
      </w:r>
      <w:r w:rsidRPr="0047585D">
        <w:rPr>
          <w:lang w:val="sr-Latn-ME"/>
        </w:rPr>
        <w:t>. Međutim, ako oporavak nije postignut unutar 14 dana, dozu treba smanjiti prema sljedećoj tab</w:t>
      </w:r>
      <w:r w:rsidR="006C1D06" w:rsidRPr="0047585D">
        <w:rPr>
          <w:lang w:val="sr-Latn-ME"/>
        </w:rPr>
        <w:t>eli.</w:t>
      </w:r>
      <w:r w:rsidRPr="0047585D">
        <w:rPr>
          <w:lang w:val="sr-Latn-ME"/>
        </w:rPr>
        <w:t xml:space="preserve"> Nakon prilago</w:t>
      </w:r>
      <w:r w:rsidR="00734EDA" w:rsidRPr="0047585D">
        <w:rPr>
          <w:lang w:val="sr-Latn-ME"/>
        </w:rPr>
        <w:t>đ</w:t>
      </w:r>
      <w:r w:rsidR="006C1D06" w:rsidRPr="0047585D">
        <w:rPr>
          <w:lang w:val="sr-Latn-ME"/>
        </w:rPr>
        <w:t>avanja</w:t>
      </w:r>
      <w:r w:rsidRPr="0047585D">
        <w:rPr>
          <w:lang w:val="sr-Latn-ME"/>
        </w:rPr>
        <w:t xml:space="preserve"> doz</w:t>
      </w:r>
      <w:r w:rsidR="009C2F1B" w:rsidRPr="0047585D">
        <w:rPr>
          <w:lang w:val="sr-Latn-ME"/>
        </w:rPr>
        <w:t>e</w:t>
      </w:r>
      <w:r w:rsidRPr="0047585D">
        <w:rPr>
          <w:lang w:val="sr-Latn-ME"/>
        </w:rPr>
        <w:t>, trajanje ciklusa treba ope</w:t>
      </w:r>
      <w:r w:rsidR="006C1D06" w:rsidRPr="0047585D">
        <w:rPr>
          <w:lang w:val="sr-Latn-ME"/>
        </w:rPr>
        <w:t xml:space="preserve">t da bude </w:t>
      </w:r>
      <w:r w:rsidRPr="0047585D">
        <w:rPr>
          <w:lang w:val="sr-Latn-ME"/>
        </w:rPr>
        <w:t>28</w:t>
      </w:r>
      <w:r w:rsidRPr="0047585D">
        <w:rPr>
          <w:spacing w:val="-5"/>
          <w:lang w:val="sr-Latn-ME"/>
        </w:rPr>
        <w:t xml:space="preserve"> </w:t>
      </w:r>
      <w:r w:rsidRPr="0047585D">
        <w:rPr>
          <w:lang w:val="sr-Latn-ME"/>
        </w:rPr>
        <w:t>dana.</w:t>
      </w:r>
    </w:p>
    <w:p w14:paraId="6281BBB6" w14:textId="77777777" w:rsidR="0048662B" w:rsidRPr="0047585D" w:rsidRDefault="0048662B" w:rsidP="00A56A66">
      <w:pPr>
        <w:pStyle w:val="BodyText"/>
        <w:jc w:val="both"/>
        <w:rPr>
          <w:lang w:val="sr-Latn-ME"/>
        </w:rPr>
      </w:pPr>
    </w:p>
    <w:tbl>
      <w:tblPr>
        <w:tblW w:w="9290"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64"/>
        <w:gridCol w:w="2866"/>
        <w:gridCol w:w="3560"/>
      </w:tblGrid>
      <w:tr w:rsidR="0084478E" w:rsidRPr="0047585D" w14:paraId="1DE9EE30" w14:textId="77777777" w:rsidTr="00357F8B">
        <w:trPr>
          <w:trHeight w:val="253"/>
        </w:trPr>
        <w:tc>
          <w:tcPr>
            <w:tcW w:w="5730" w:type="dxa"/>
            <w:gridSpan w:val="2"/>
            <w:tcBorders>
              <w:bottom w:val="single" w:sz="4" w:space="0" w:color="000000"/>
              <w:right w:val="single" w:sz="4" w:space="0" w:color="000000"/>
            </w:tcBorders>
          </w:tcPr>
          <w:p w14:paraId="4A6AD4C7" w14:textId="77777777" w:rsidR="0084478E" w:rsidRPr="00A56A66" w:rsidRDefault="00200D97" w:rsidP="00BE5A22">
            <w:pPr>
              <w:pStyle w:val="TableParagraph"/>
              <w:spacing w:line="234" w:lineRule="exact"/>
              <w:ind w:left="0"/>
              <w:jc w:val="both"/>
              <w:rPr>
                <w:sz w:val="20"/>
                <w:szCs w:val="20"/>
                <w:lang w:val="sr-Latn-ME"/>
              </w:rPr>
            </w:pPr>
            <w:r w:rsidRPr="00A56A66">
              <w:rPr>
                <w:szCs w:val="20"/>
                <w:lang w:val="sr-Latn-ME"/>
              </w:rPr>
              <w:t>Najniže vrijednosti</w:t>
            </w:r>
          </w:p>
        </w:tc>
        <w:tc>
          <w:tcPr>
            <w:tcW w:w="3560" w:type="dxa"/>
            <w:vMerge w:val="restart"/>
            <w:tcBorders>
              <w:left w:val="single" w:sz="4" w:space="0" w:color="000000"/>
              <w:bottom w:val="single" w:sz="4" w:space="0" w:color="000000"/>
              <w:right w:val="single" w:sz="4" w:space="0" w:color="000000"/>
            </w:tcBorders>
          </w:tcPr>
          <w:p w14:paraId="7F71A62A" w14:textId="77777777" w:rsidR="0084478E" w:rsidRPr="00A56A66" w:rsidRDefault="00200D97" w:rsidP="00A56A66">
            <w:pPr>
              <w:pStyle w:val="TableParagraph"/>
              <w:ind w:left="0"/>
              <w:rPr>
                <w:szCs w:val="20"/>
                <w:lang w:val="sr-Latn-ME"/>
              </w:rPr>
            </w:pPr>
            <w:r w:rsidRPr="00A56A66">
              <w:rPr>
                <w:szCs w:val="20"/>
                <w:lang w:val="sr-Latn-ME"/>
              </w:rPr>
              <w:t>% doze u sljedećem ciklusu, ako oporavak* nije postignut</w:t>
            </w:r>
          </w:p>
          <w:p w14:paraId="46008B39" w14:textId="77777777" w:rsidR="0084478E" w:rsidRPr="00A56A66" w:rsidRDefault="00200D97" w:rsidP="00A56A66">
            <w:pPr>
              <w:pStyle w:val="TableParagraph"/>
              <w:spacing w:before="1" w:line="248" w:lineRule="exact"/>
              <w:ind w:left="0"/>
              <w:rPr>
                <w:sz w:val="20"/>
                <w:szCs w:val="20"/>
                <w:lang w:val="sr-Latn-ME"/>
              </w:rPr>
            </w:pPr>
            <w:r w:rsidRPr="00A56A66">
              <w:rPr>
                <w:szCs w:val="20"/>
                <w:lang w:val="sr-Latn-ME"/>
              </w:rPr>
              <w:t>unutar 14 dana</w:t>
            </w:r>
          </w:p>
        </w:tc>
      </w:tr>
      <w:tr w:rsidR="0084478E" w:rsidRPr="0047585D" w14:paraId="2B8BDE65" w14:textId="77777777" w:rsidTr="00357F8B">
        <w:trPr>
          <w:trHeight w:val="510"/>
        </w:trPr>
        <w:tc>
          <w:tcPr>
            <w:tcW w:w="2864" w:type="dxa"/>
            <w:tcBorders>
              <w:top w:val="single" w:sz="4" w:space="0" w:color="000000"/>
              <w:bottom w:val="single" w:sz="4" w:space="0" w:color="000000"/>
              <w:right w:val="single" w:sz="4" w:space="0" w:color="000000"/>
            </w:tcBorders>
          </w:tcPr>
          <w:p w14:paraId="0FEDFA99" w14:textId="77777777" w:rsidR="00456DC4" w:rsidRDefault="00200D97" w:rsidP="00A56A66">
            <w:pPr>
              <w:pStyle w:val="TableParagraph"/>
              <w:spacing w:before="2" w:line="252" w:lineRule="exact"/>
              <w:ind w:left="0"/>
              <w:rPr>
                <w:szCs w:val="20"/>
                <w:lang w:val="sr-Latn-ME"/>
              </w:rPr>
            </w:pPr>
            <w:r w:rsidRPr="00A56A66">
              <w:rPr>
                <w:szCs w:val="20"/>
                <w:lang w:val="sr-Latn-ME"/>
              </w:rPr>
              <w:t xml:space="preserve">Apsolutni broj neutrofila </w:t>
            </w:r>
          </w:p>
          <w:p w14:paraId="3263712B" w14:textId="5E5F7A91" w:rsidR="0084478E" w:rsidRPr="00A56A66" w:rsidRDefault="00200D97" w:rsidP="00A56A66">
            <w:pPr>
              <w:pStyle w:val="TableParagraph"/>
              <w:spacing w:before="2" w:line="252" w:lineRule="exact"/>
              <w:ind w:left="0"/>
              <w:rPr>
                <w:sz w:val="20"/>
                <w:szCs w:val="20"/>
                <w:lang w:val="sr-Latn-ME"/>
              </w:rPr>
            </w:pPr>
            <w:r w:rsidRPr="00A56A66">
              <w:rPr>
                <w:szCs w:val="20"/>
                <w:lang w:val="sr-Latn-ME"/>
              </w:rPr>
              <w:t>(x 10</w:t>
            </w:r>
            <w:r w:rsidRPr="00A56A66">
              <w:rPr>
                <w:position w:val="8"/>
                <w:sz w:val="20"/>
                <w:szCs w:val="20"/>
                <w:lang w:val="sr-Latn-ME"/>
              </w:rPr>
              <w:t>9</w:t>
            </w:r>
            <w:r w:rsidRPr="00A56A66">
              <w:rPr>
                <w:szCs w:val="20"/>
                <w:lang w:val="sr-Latn-ME"/>
              </w:rPr>
              <w:t>/l)</w:t>
            </w:r>
          </w:p>
        </w:tc>
        <w:tc>
          <w:tcPr>
            <w:tcW w:w="2866" w:type="dxa"/>
            <w:tcBorders>
              <w:top w:val="single" w:sz="4" w:space="0" w:color="000000"/>
              <w:left w:val="single" w:sz="4" w:space="0" w:color="000000"/>
              <w:bottom w:val="single" w:sz="4" w:space="0" w:color="000000"/>
              <w:right w:val="single" w:sz="4" w:space="0" w:color="000000"/>
            </w:tcBorders>
          </w:tcPr>
          <w:p w14:paraId="2BF94E45" w14:textId="77777777" w:rsidR="0084478E" w:rsidRPr="00A56A66" w:rsidRDefault="00200D97" w:rsidP="00BE5A22">
            <w:pPr>
              <w:pStyle w:val="TableParagraph"/>
              <w:spacing w:before="120"/>
              <w:ind w:left="0"/>
              <w:jc w:val="both"/>
              <w:rPr>
                <w:sz w:val="20"/>
                <w:szCs w:val="20"/>
                <w:lang w:val="sr-Latn-ME"/>
              </w:rPr>
            </w:pPr>
            <w:r w:rsidRPr="00A56A66">
              <w:rPr>
                <w:szCs w:val="20"/>
                <w:lang w:val="sr-Latn-ME"/>
              </w:rPr>
              <w:t>Trombociti (x 10</w:t>
            </w:r>
            <w:r w:rsidRPr="00A56A66">
              <w:rPr>
                <w:position w:val="8"/>
                <w:sz w:val="20"/>
                <w:szCs w:val="20"/>
                <w:lang w:val="sr-Latn-ME"/>
              </w:rPr>
              <w:t>9</w:t>
            </w:r>
            <w:r w:rsidRPr="00A56A66">
              <w:rPr>
                <w:szCs w:val="20"/>
                <w:lang w:val="sr-Latn-ME"/>
              </w:rPr>
              <w:t>/l)</w:t>
            </w:r>
          </w:p>
        </w:tc>
        <w:tc>
          <w:tcPr>
            <w:tcW w:w="3560" w:type="dxa"/>
            <w:vMerge/>
            <w:tcBorders>
              <w:top w:val="nil"/>
              <w:left w:val="single" w:sz="4" w:space="0" w:color="000000"/>
              <w:bottom w:val="single" w:sz="4" w:space="0" w:color="000000"/>
              <w:right w:val="single" w:sz="4" w:space="0" w:color="000000"/>
            </w:tcBorders>
          </w:tcPr>
          <w:p w14:paraId="163C8A21" w14:textId="77777777" w:rsidR="0084478E" w:rsidRPr="00A56A66" w:rsidRDefault="0084478E" w:rsidP="00BE5A22">
            <w:pPr>
              <w:jc w:val="both"/>
              <w:rPr>
                <w:sz w:val="20"/>
                <w:szCs w:val="20"/>
                <w:lang w:val="sr-Latn-ME"/>
              </w:rPr>
            </w:pPr>
          </w:p>
        </w:tc>
      </w:tr>
      <w:tr w:rsidR="0084478E" w:rsidRPr="0047585D" w14:paraId="295476C4" w14:textId="77777777" w:rsidTr="00357F8B">
        <w:trPr>
          <w:trHeight w:val="251"/>
        </w:trPr>
        <w:tc>
          <w:tcPr>
            <w:tcW w:w="2864" w:type="dxa"/>
            <w:tcBorders>
              <w:top w:val="single" w:sz="4" w:space="0" w:color="000000"/>
              <w:bottom w:val="single" w:sz="4" w:space="0" w:color="000000"/>
              <w:right w:val="single" w:sz="4" w:space="0" w:color="000000"/>
            </w:tcBorders>
          </w:tcPr>
          <w:p w14:paraId="2FDF8A54" w14:textId="77777777" w:rsidR="0084478E" w:rsidRPr="00A56A66" w:rsidRDefault="00200D97" w:rsidP="00BE5A22">
            <w:pPr>
              <w:pStyle w:val="TableParagraph"/>
              <w:spacing w:line="232" w:lineRule="exact"/>
              <w:ind w:left="0"/>
              <w:jc w:val="both"/>
              <w:rPr>
                <w:szCs w:val="20"/>
                <w:lang w:val="sr-Latn-ME"/>
              </w:rPr>
            </w:pPr>
            <w:r w:rsidRPr="00A56A66">
              <w:rPr>
                <w:szCs w:val="20"/>
                <w:lang w:val="sr-Latn-ME"/>
              </w:rPr>
              <w:t>≤ 1,0</w:t>
            </w:r>
          </w:p>
        </w:tc>
        <w:tc>
          <w:tcPr>
            <w:tcW w:w="2866" w:type="dxa"/>
            <w:tcBorders>
              <w:top w:val="single" w:sz="4" w:space="0" w:color="000000"/>
              <w:left w:val="single" w:sz="4" w:space="0" w:color="000000"/>
              <w:bottom w:val="single" w:sz="4" w:space="0" w:color="000000"/>
              <w:right w:val="single" w:sz="4" w:space="0" w:color="000000"/>
            </w:tcBorders>
          </w:tcPr>
          <w:p w14:paraId="2DCA96DA" w14:textId="77777777" w:rsidR="0084478E" w:rsidRPr="00A56A66" w:rsidRDefault="00200D97" w:rsidP="00BE5A22">
            <w:pPr>
              <w:pStyle w:val="TableParagraph"/>
              <w:spacing w:line="232" w:lineRule="exact"/>
              <w:ind w:left="0"/>
              <w:jc w:val="both"/>
              <w:rPr>
                <w:szCs w:val="20"/>
                <w:lang w:val="sr-Latn-ME"/>
              </w:rPr>
            </w:pPr>
            <w:r w:rsidRPr="00A56A66">
              <w:rPr>
                <w:szCs w:val="20"/>
                <w:lang w:val="sr-Latn-ME"/>
              </w:rPr>
              <w:t>≤ 50,0</w:t>
            </w:r>
          </w:p>
        </w:tc>
        <w:tc>
          <w:tcPr>
            <w:tcW w:w="3560" w:type="dxa"/>
            <w:tcBorders>
              <w:top w:val="single" w:sz="4" w:space="0" w:color="000000"/>
              <w:left w:val="single" w:sz="4" w:space="0" w:color="000000"/>
              <w:bottom w:val="single" w:sz="4" w:space="0" w:color="000000"/>
              <w:right w:val="single" w:sz="4" w:space="0" w:color="000000"/>
            </w:tcBorders>
          </w:tcPr>
          <w:p w14:paraId="5009F6F8" w14:textId="77777777" w:rsidR="0084478E" w:rsidRPr="00A56A66" w:rsidRDefault="00200D97" w:rsidP="00BE5A22">
            <w:pPr>
              <w:pStyle w:val="TableParagraph"/>
              <w:spacing w:line="232" w:lineRule="exact"/>
              <w:ind w:left="0"/>
              <w:jc w:val="both"/>
              <w:rPr>
                <w:szCs w:val="20"/>
                <w:lang w:val="sr-Latn-ME"/>
              </w:rPr>
            </w:pPr>
            <w:r w:rsidRPr="00A56A66">
              <w:rPr>
                <w:szCs w:val="20"/>
                <w:lang w:val="sr-Latn-ME"/>
              </w:rPr>
              <w:t>50 %</w:t>
            </w:r>
          </w:p>
        </w:tc>
      </w:tr>
      <w:tr w:rsidR="0084478E" w:rsidRPr="0047585D" w14:paraId="21A94C67" w14:textId="77777777" w:rsidTr="00357F8B">
        <w:trPr>
          <w:trHeight w:val="253"/>
        </w:trPr>
        <w:tc>
          <w:tcPr>
            <w:tcW w:w="2864" w:type="dxa"/>
            <w:tcBorders>
              <w:top w:val="single" w:sz="4" w:space="0" w:color="000000"/>
              <w:right w:val="single" w:sz="4" w:space="0" w:color="000000"/>
            </w:tcBorders>
          </w:tcPr>
          <w:p w14:paraId="285CFB8C"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&gt; 1,0</w:t>
            </w:r>
          </w:p>
        </w:tc>
        <w:tc>
          <w:tcPr>
            <w:tcW w:w="2866" w:type="dxa"/>
            <w:tcBorders>
              <w:top w:val="single" w:sz="4" w:space="0" w:color="000000"/>
              <w:left w:val="single" w:sz="4" w:space="0" w:color="000000"/>
              <w:right w:val="single" w:sz="4" w:space="0" w:color="000000"/>
            </w:tcBorders>
          </w:tcPr>
          <w:p w14:paraId="122AE222"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&gt; 50,0</w:t>
            </w:r>
          </w:p>
        </w:tc>
        <w:tc>
          <w:tcPr>
            <w:tcW w:w="3560" w:type="dxa"/>
            <w:tcBorders>
              <w:top w:val="single" w:sz="4" w:space="0" w:color="000000"/>
              <w:left w:val="single" w:sz="4" w:space="0" w:color="000000"/>
              <w:right w:val="single" w:sz="4" w:space="0" w:color="000000"/>
            </w:tcBorders>
          </w:tcPr>
          <w:p w14:paraId="1231F5A4"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100 %</w:t>
            </w:r>
          </w:p>
        </w:tc>
      </w:tr>
    </w:tbl>
    <w:p w14:paraId="76E4CB41" w14:textId="77777777" w:rsidR="00357F8B" w:rsidRPr="0047585D" w:rsidRDefault="00200D97" w:rsidP="00357F8B">
      <w:pPr>
        <w:pStyle w:val="BodyText"/>
        <w:spacing w:after="200"/>
        <w:jc w:val="both"/>
        <w:rPr>
          <w:lang w:val="sr-Latn-ME"/>
        </w:rPr>
      </w:pPr>
      <w:r w:rsidRPr="0047585D">
        <w:rPr>
          <w:lang w:val="sr-Latn-ME"/>
        </w:rPr>
        <w:t>*Oporavak = vrijednosti ≥ najniža vrijednost + (0,5 x [početna vrijednost – najniža vrijednost])</w:t>
      </w:r>
    </w:p>
    <w:p w14:paraId="42567386" w14:textId="6012F009" w:rsidR="0084478E" w:rsidRPr="0047585D" w:rsidRDefault="00734EDA" w:rsidP="00A56A66">
      <w:pPr>
        <w:jc w:val="both"/>
        <w:rPr>
          <w:i/>
          <w:lang w:val="sr-Latn-ME"/>
        </w:rPr>
      </w:pPr>
      <w:r w:rsidRPr="0047585D">
        <w:rPr>
          <w:i/>
          <w:lang w:val="sr-Latn-ME"/>
        </w:rPr>
        <w:t>Pacijent</w:t>
      </w:r>
      <w:r w:rsidR="00200D97" w:rsidRPr="0047585D">
        <w:rPr>
          <w:i/>
          <w:lang w:val="sr-Latn-ME"/>
        </w:rPr>
        <w:t xml:space="preserve">i sa smanjenim vrijednostima početne krvne slike (tj. bijele krvne </w:t>
      </w:r>
      <w:r w:rsidRPr="0047585D">
        <w:rPr>
          <w:i/>
          <w:lang w:val="sr-Latn-ME"/>
        </w:rPr>
        <w:t>ćelij</w:t>
      </w:r>
      <w:r w:rsidR="00200D97" w:rsidRPr="0047585D">
        <w:rPr>
          <w:i/>
          <w:lang w:val="sr-Latn-ME"/>
        </w:rPr>
        <w:t>e &lt; 3,0 x 10</w:t>
      </w:r>
      <w:r w:rsidR="00200D97" w:rsidRPr="0047585D">
        <w:rPr>
          <w:i/>
          <w:vertAlign w:val="superscript"/>
          <w:lang w:val="sr-Latn-ME"/>
        </w:rPr>
        <w:t>9</w:t>
      </w:r>
      <w:r w:rsidR="00200D97" w:rsidRPr="0047585D">
        <w:rPr>
          <w:i/>
          <w:lang w:val="sr-Latn-ME"/>
        </w:rPr>
        <w:t xml:space="preserve">/l ili </w:t>
      </w:r>
      <w:r w:rsidR="00606BD4" w:rsidRPr="0047585D">
        <w:rPr>
          <w:i/>
          <w:lang w:val="sr-Latn-ME"/>
        </w:rPr>
        <w:t>ANC</w:t>
      </w:r>
      <w:r w:rsidR="00200D97" w:rsidRPr="0047585D">
        <w:rPr>
          <w:i/>
          <w:lang w:val="sr-Latn-ME"/>
        </w:rPr>
        <w:t xml:space="preserve"> &lt; 1,5 x 10</w:t>
      </w:r>
      <w:r w:rsidR="00200D97" w:rsidRPr="0047585D">
        <w:rPr>
          <w:i/>
          <w:vertAlign w:val="superscript"/>
          <w:lang w:val="sr-Latn-ME"/>
        </w:rPr>
        <w:t>9</w:t>
      </w:r>
      <w:r w:rsidR="00200D97" w:rsidRPr="0047585D">
        <w:rPr>
          <w:i/>
          <w:lang w:val="sr-Latn-ME"/>
        </w:rPr>
        <w:t>/l ili trombociti &lt; 75,0 x 10</w:t>
      </w:r>
      <w:r w:rsidR="00200D97" w:rsidRPr="0047585D">
        <w:rPr>
          <w:i/>
          <w:vertAlign w:val="superscript"/>
          <w:lang w:val="sr-Latn-ME"/>
        </w:rPr>
        <w:t>9</w:t>
      </w:r>
      <w:r w:rsidR="00200D97" w:rsidRPr="0047585D">
        <w:rPr>
          <w:i/>
          <w:lang w:val="sr-Latn-ME"/>
        </w:rPr>
        <w:t>/l) prije prvog liječenja</w:t>
      </w:r>
    </w:p>
    <w:p w14:paraId="099ABFB6" w14:textId="003D557F" w:rsidR="0084478E" w:rsidRPr="0047585D" w:rsidRDefault="00200D97" w:rsidP="00A56A66">
      <w:pPr>
        <w:pStyle w:val="BodyText"/>
        <w:jc w:val="both"/>
        <w:rPr>
          <w:lang w:val="sr-Latn-ME"/>
        </w:rPr>
      </w:pPr>
      <w:r w:rsidRPr="0047585D">
        <w:rPr>
          <w:lang w:val="sr-Latn-ME"/>
        </w:rPr>
        <w:t>Sljedeći ciklus ne treba od</w:t>
      </w:r>
      <w:r w:rsidR="00734EDA" w:rsidRPr="0047585D">
        <w:rPr>
          <w:lang w:val="sr-Latn-ME"/>
        </w:rPr>
        <w:t>lagati</w:t>
      </w:r>
      <w:r w:rsidRPr="0047585D">
        <w:rPr>
          <w:lang w:val="sr-Latn-ME"/>
        </w:rPr>
        <w:t xml:space="preserve"> </w:t>
      </w:r>
      <w:r w:rsidR="008C578C" w:rsidRPr="0047585D">
        <w:rPr>
          <w:lang w:val="sr-Latn-ME"/>
        </w:rPr>
        <w:t>i</w:t>
      </w:r>
      <w:r w:rsidRPr="0047585D">
        <w:rPr>
          <w:lang w:val="sr-Latn-ME"/>
        </w:rPr>
        <w:t xml:space="preserve"> dozu ne treba prilagođavati ako je nakon liječenja lijekom </w:t>
      </w:r>
      <w:r w:rsidR="00D95513" w:rsidRPr="0047585D">
        <w:rPr>
          <w:lang w:val="sr-Latn-ME"/>
        </w:rPr>
        <w:t>Azacitidine Accord</w:t>
      </w:r>
      <w:r w:rsidRPr="0047585D">
        <w:rPr>
          <w:lang w:val="sr-Latn-ME"/>
        </w:rPr>
        <w:t xml:space="preserve"> smanjenje vrijednosti bijelih krvnih </w:t>
      </w:r>
      <w:r w:rsidR="00734EDA" w:rsidRPr="0047585D">
        <w:rPr>
          <w:lang w:val="sr-Latn-ME"/>
        </w:rPr>
        <w:t>ćelij</w:t>
      </w:r>
      <w:r w:rsidRPr="0047585D">
        <w:rPr>
          <w:lang w:val="sr-Latn-ME"/>
        </w:rPr>
        <w:t>a ili apsolutnog broja neutrofila ili trombocita u odnosu na vrijednosti prije početka liječenja ≤ 50 % ili veće od 50 %, ali uz poboljšanje diferencijacije bilo koje</w:t>
      </w:r>
      <w:r w:rsidR="00734EDA" w:rsidRPr="0047585D">
        <w:rPr>
          <w:lang w:val="sr-Latn-ME"/>
        </w:rPr>
        <w:t xml:space="preserve"> ćelijsk</w:t>
      </w:r>
      <w:r w:rsidRPr="0047585D">
        <w:rPr>
          <w:lang w:val="sr-Latn-ME"/>
        </w:rPr>
        <w:t>e linije.</w:t>
      </w:r>
    </w:p>
    <w:p w14:paraId="4C059738" w14:textId="77777777" w:rsidR="0048662B" w:rsidRPr="0047585D" w:rsidRDefault="0048662B" w:rsidP="00A56A66">
      <w:pPr>
        <w:pStyle w:val="BodyText"/>
        <w:jc w:val="both"/>
        <w:rPr>
          <w:lang w:val="sr-Latn-ME"/>
        </w:rPr>
      </w:pPr>
    </w:p>
    <w:p w14:paraId="10B96F67" w14:textId="1F77DBFB" w:rsidR="0084478E" w:rsidRDefault="00200D97" w:rsidP="00A56A66">
      <w:pPr>
        <w:pStyle w:val="BodyText"/>
        <w:jc w:val="both"/>
        <w:rPr>
          <w:lang w:val="sr-Latn-ME"/>
        </w:rPr>
      </w:pPr>
      <w:r w:rsidRPr="0047585D">
        <w:rPr>
          <w:lang w:val="sr-Latn-ME"/>
        </w:rPr>
        <w:t xml:space="preserve">Ako je smanjenje vrijednosti bijelih krvnih </w:t>
      </w:r>
      <w:r w:rsidR="00734EDA" w:rsidRPr="0047585D">
        <w:rPr>
          <w:lang w:val="sr-Latn-ME"/>
        </w:rPr>
        <w:t>ćelij</w:t>
      </w:r>
      <w:r w:rsidRPr="0047585D">
        <w:rPr>
          <w:lang w:val="sr-Latn-ME"/>
        </w:rPr>
        <w:t xml:space="preserve">a ili apsolutnog broja neutrofila ili trombocita veće od 50 % u odnosu na vrijednosti prije početka liječenja, i bez poboljšanja u diferencijaciji </w:t>
      </w:r>
      <w:r w:rsidR="00450069" w:rsidRPr="0047585D">
        <w:rPr>
          <w:lang w:val="sr-Latn-ME"/>
        </w:rPr>
        <w:t>ćelijsk</w:t>
      </w:r>
      <w:r w:rsidRPr="0047585D">
        <w:rPr>
          <w:lang w:val="sr-Latn-ME"/>
        </w:rPr>
        <w:t xml:space="preserve">e linije, sljedeći ciklus liječenja lijekom </w:t>
      </w:r>
      <w:r w:rsidR="00D95513" w:rsidRPr="0047585D">
        <w:rPr>
          <w:lang w:val="sr-Latn-ME"/>
        </w:rPr>
        <w:t>Azacitidine Accord</w:t>
      </w:r>
      <w:r w:rsidRPr="0047585D">
        <w:rPr>
          <w:lang w:val="sr-Latn-ME"/>
        </w:rPr>
        <w:t xml:space="preserve"> treba o</w:t>
      </w:r>
      <w:r w:rsidR="00450069" w:rsidRPr="0047585D">
        <w:rPr>
          <w:lang w:val="sr-Latn-ME"/>
        </w:rPr>
        <w:t>dloži</w:t>
      </w:r>
      <w:r w:rsidRPr="0047585D">
        <w:rPr>
          <w:lang w:val="sr-Latn-ME"/>
        </w:rPr>
        <w:t>ti sve dok se vrijednosti trombocita i apsolutnog broja neutrofila ne oporave. Ako je oporavak postignut unutar 14 dana, nije potrebn</w:t>
      </w:r>
      <w:r w:rsidR="00450069" w:rsidRPr="0047585D">
        <w:rPr>
          <w:lang w:val="sr-Latn-ME"/>
        </w:rPr>
        <w:t xml:space="preserve">o </w:t>
      </w:r>
      <w:r w:rsidR="006C1D06" w:rsidRPr="0047585D">
        <w:rPr>
          <w:lang w:val="sr-Latn-ME"/>
        </w:rPr>
        <w:t>prilagođavanje</w:t>
      </w:r>
      <w:r w:rsidRPr="0047585D">
        <w:rPr>
          <w:lang w:val="sr-Latn-ME"/>
        </w:rPr>
        <w:t xml:space="preserve"> doze. Međutim, ako oporavak nije postignut unutar 14 dana, treba odrediti celularnost koštane srži. </w:t>
      </w:r>
      <w:r w:rsidR="006C1D06" w:rsidRPr="0047585D">
        <w:rPr>
          <w:lang w:val="sr-Latn-ME"/>
        </w:rPr>
        <w:t>Prilagođavanje</w:t>
      </w:r>
      <w:r w:rsidRPr="0047585D">
        <w:rPr>
          <w:lang w:val="sr-Latn-ME"/>
        </w:rPr>
        <w:t xml:space="preserve"> doze nije potrebn</w:t>
      </w:r>
      <w:r w:rsidR="00450069" w:rsidRPr="0047585D">
        <w:rPr>
          <w:lang w:val="sr-Latn-ME"/>
        </w:rPr>
        <w:t xml:space="preserve">o </w:t>
      </w:r>
      <w:r w:rsidRPr="0047585D">
        <w:rPr>
          <w:lang w:val="sr-Latn-ME"/>
        </w:rPr>
        <w:t>ako je celularnost koštane srži &gt; 50 %. Ako je celularnost koštane srži ≤ 50 %, liječenje treba od</w:t>
      </w:r>
      <w:r w:rsidR="00450069" w:rsidRPr="0047585D">
        <w:rPr>
          <w:lang w:val="sr-Latn-ME"/>
        </w:rPr>
        <w:t>loži</w:t>
      </w:r>
      <w:r w:rsidRPr="0047585D">
        <w:rPr>
          <w:lang w:val="sr-Latn-ME"/>
        </w:rPr>
        <w:t>ti i dozu smanjiti prema sljedećoj tab</w:t>
      </w:r>
      <w:r w:rsidR="008C578C" w:rsidRPr="0047585D">
        <w:rPr>
          <w:lang w:val="sr-Latn-ME"/>
        </w:rPr>
        <w:t>eli</w:t>
      </w:r>
      <w:r w:rsidRPr="0047585D">
        <w:rPr>
          <w:lang w:val="sr-Latn-ME"/>
        </w:rPr>
        <w:t>:</w:t>
      </w:r>
    </w:p>
    <w:p w14:paraId="543EE474" w14:textId="77777777" w:rsidR="00456DC4" w:rsidRPr="0047585D" w:rsidRDefault="00456DC4" w:rsidP="00A56A66">
      <w:pPr>
        <w:pStyle w:val="BodyText"/>
        <w:jc w:val="both"/>
        <w:rPr>
          <w:lang w:val="sr-Latn-ME"/>
        </w:rPr>
      </w:pPr>
    </w:p>
    <w:tbl>
      <w:tblPr>
        <w:tblW w:w="9289"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2"/>
        <w:gridCol w:w="2916"/>
        <w:gridCol w:w="2921"/>
      </w:tblGrid>
      <w:tr w:rsidR="0084478E" w:rsidRPr="0047585D" w14:paraId="7C8CC71B" w14:textId="77777777" w:rsidTr="00357F8B">
        <w:trPr>
          <w:trHeight w:val="506"/>
        </w:trPr>
        <w:tc>
          <w:tcPr>
            <w:tcW w:w="3452" w:type="dxa"/>
            <w:tcBorders>
              <w:bottom w:val="single" w:sz="4" w:space="0" w:color="000000"/>
              <w:right w:val="single" w:sz="4" w:space="0" w:color="000000"/>
            </w:tcBorders>
          </w:tcPr>
          <w:p w14:paraId="7D2C4AC5" w14:textId="77777777" w:rsidR="0084478E" w:rsidRPr="00A56A66" w:rsidRDefault="00200D97" w:rsidP="00BE5A22">
            <w:pPr>
              <w:pStyle w:val="TableParagraph"/>
              <w:spacing w:line="246" w:lineRule="exact"/>
              <w:ind w:left="0"/>
              <w:jc w:val="both"/>
              <w:rPr>
                <w:szCs w:val="20"/>
                <w:lang w:val="sr-Latn-ME"/>
              </w:rPr>
            </w:pPr>
            <w:r w:rsidRPr="00A56A66">
              <w:rPr>
                <w:szCs w:val="20"/>
                <w:lang w:val="sr-Latn-ME"/>
              </w:rPr>
              <w:t>Celularnost koštane srži</w:t>
            </w:r>
          </w:p>
        </w:tc>
        <w:tc>
          <w:tcPr>
            <w:tcW w:w="5837" w:type="dxa"/>
            <w:gridSpan w:val="2"/>
            <w:tcBorders>
              <w:left w:val="single" w:sz="4" w:space="0" w:color="000000"/>
              <w:bottom w:val="single" w:sz="4" w:space="0" w:color="000000"/>
            </w:tcBorders>
          </w:tcPr>
          <w:p w14:paraId="273D6D77" w14:textId="77777777" w:rsidR="0084478E" w:rsidRPr="00A56A66" w:rsidRDefault="00200D97" w:rsidP="00BE5A22">
            <w:pPr>
              <w:pStyle w:val="TableParagraph"/>
              <w:spacing w:line="246" w:lineRule="exact"/>
              <w:ind w:left="0"/>
              <w:jc w:val="both"/>
              <w:rPr>
                <w:szCs w:val="20"/>
                <w:lang w:val="sr-Latn-ME"/>
              </w:rPr>
            </w:pPr>
            <w:r w:rsidRPr="00A56A66">
              <w:rPr>
                <w:szCs w:val="20"/>
                <w:lang w:val="sr-Latn-ME"/>
              </w:rPr>
              <w:t>% doze u sljedećem ciklusu, ako oporavak nije postignut</w:t>
            </w:r>
          </w:p>
          <w:p w14:paraId="7A9D387B" w14:textId="77777777" w:rsidR="0084478E" w:rsidRPr="00A56A66" w:rsidRDefault="00200D97" w:rsidP="00BE5A22">
            <w:pPr>
              <w:pStyle w:val="TableParagraph"/>
              <w:spacing w:before="2" w:line="238" w:lineRule="exact"/>
              <w:ind w:left="0"/>
              <w:jc w:val="both"/>
              <w:rPr>
                <w:szCs w:val="20"/>
                <w:lang w:val="sr-Latn-ME"/>
              </w:rPr>
            </w:pPr>
            <w:r w:rsidRPr="00A56A66">
              <w:rPr>
                <w:szCs w:val="20"/>
                <w:lang w:val="sr-Latn-ME"/>
              </w:rPr>
              <w:t>unutar 14 dana</w:t>
            </w:r>
          </w:p>
        </w:tc>
      </w:tr>
      <w:tr w:rsidR="0084478E" w:rsidRPr="0047585D" w14:paraId="11E9936E" w14:textId="77777777" w:rsidTr="00357F8B">
        <w:trPr>
          <w:trHeight w:val="254"/>
        </w:trPr>
        <w:tc>
          <w:tcPr>
            <w:tcW w:w="3452" w:type="dxa"/>
            <w:tcBorders>
              <w:top w:val="single" w:sz="4" w:space="0" w:color="000000"/>
              <w:bottom w:val="single" w:sz="4" w:space="0" w:color="000000"/>
              <w:right w:val="single" w:sz="4" w:space="0" w:color="000000"/>
            </w:tcBorders>
          </w:tcPr>
          <w:p w14:paraId="3FBF63E6" w14:textId="77777777" w:rsidR="0084478E" w:rsidRPr="00A56A66" w:rsidRDefault="0084478E" w:rsidP="00BE5A22">
            <w:pPr>
              <w:pStyle w:val="TableParagraph"/>
              <w:ind w:left="0"/>
              <w:jc w:val="both"/>
              <w:rPr>
                <w:szCs w:val="20"/>
                <w:lang w:val="sr-Latn-ME"/>
              </w:rPr>
            </w:pPr>
          </w:p>
        </w:tc>
        <w:tc>
          <w:tcPr>
            <w:tcW w:w="2916" w:type="dxa"/>
            <w:tcBorders>
              <w:top w:val="single" w:sz="4" w:space="0" w:color="000000"/>
              <w:left w:val="single" w:sz="4" w:space="0" w:color="000000"/>
              <w:bottom w:val="single" w:sz="4" w:space="0" w:color="000000"/>
            </w:tcBorders>
          </w:tcPr>
          <w:p w14:paraId="2C684998"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Oporavak* ≤ 21 dana</w:t>
            </w:r>
          </w:p>
        </w:tc>
        <w:tc>
          <w:tcPr>
            <w:tcW w:w="2921" w:type="dxa"/>
            <w:tcBorders>
              <w:top w:val="single" w:sz="4" w:space="0" w:color="000000"/>
              <w:bottom w:val="single" w:sz="4" w:space="0" w:color="000000"/>
            </w:tcBorders>
          </w:tcPr>
          <w:p w14:paraId="37DC1A4B"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Oporavak* &gt; 21 dana</w:t>
            </w:r>
          </w:p>
        </w:tc>
      </w:tr>
      <w:tr w:rsidR="0084478E" w:rsidRPr="0047585D" w14:paraId="06992CBC" w14:textId="77777777" w:rsidTr="00357F8B">
        <w:trPr>
          <w:trHeight w:val="251"/>
        </w:trPr>
        <w:tc>
          <w:tcPr>
            <w:tcW w:w="3452" w:type="dxa"/>
            <w:tcBorders>
              <w:top w:val="single" w:sz="4" w:space="0" w:color="000000"/>
              <w:bottom w:val="single" w:sz="4" w:space="0" w:color="000000"/>
              <w:right w:val="single" w:sz="4" w:space="0" w:color="000000"/>
            </w:tcBorders>
          </w:tcPr>
          <w:p w14:paraId="48C990D1" w14:textId="77777777" w:rsidR="0084478E" w:rsidRPr="00A56A66" w:rsidRDefault="00200D97" w:rsidP="00BE5A22">
            <w:pPr>
              <w:pStyle w:val="TableParagraph"/>
              <w:spacing w:line="232" w:lineRule="exact"/>
              <w:ind w:left="0"/>
              <w:jc w:val="both"/>
              <w:rPr>
                <w:szCs w:val="20"/>
                <w:lang w:val="sr-Latn-ME"/>
              </w:rPr>
            </w:pPr>
            <w:r w:rsidRPr="00A56A66">
              <w:rPr>
                <w:szCs w:val="20"/>
                <w:lang w:val="sr-Latn-ME"/>
              </w:rPr>
              <w:t>15-50 %</w:t>
            </w:r>
          </w:p>
        </w:tc>
        <w:tc>
          <w:tcPr>
            <w:tcW w:w="2916" w:type="dxa"/>
            <w:tcBorders>
              <w:top w:val="single" w:sz="4" w:space="0" w:color="000000"/>
              <w:left w:val="single" w:sz="4" w:space="0" w:color="000000"/>
              <w:bottom w:val="single" w:sz="4" w:space="0" w:color="000000"/>
            </w:tcBorders>
          </w:tcPr>
          <w:p w14:paraId="77C5820E" w14:textId="77777777" w:rsidR="0084478E" w:rsidRPr="00A56A66" w:rsidRDefault="00200D97" w:rsidP="00BE5A22">
            <w:pPr>
              <w:pStyle w:val="TableParagraph"/>
              <w:spacing w:line="232" w:lineRule="exact"/>
              <w:ind w:left="0"/>
              <w:jc w:val="both"/>
              <w:rPr>
                <w:szCs w:val="20"/>
                <w:lang w:val="sr-Latn-ME"/>
              </w:rPr>
            </w:pPr>
            <w:r w:rsidRPr="00A56A66">
              <w:rPr>
                <w:szCs w:val="20"/>
                <w:lang w:val="sr-Latn-ME"/>
              </w:rPr>
              <w:t>100 %</w:t>
            </w:r>
          </w:p>
        </w:tc>
        <w:tc>
          <w:tcPr>
            <w:tcW w:w="2921" w:type="dxa"/>
            <w:tcBorders>
              <w:top w:val="single" w:sz="4" w:space="0" w:color="000000"/>
              <w:bottom w:val="single" w:sz="4" w:space="0" w:color="000000"/>
            </w:tcBorders>
          </w:tcPr>
          <w:p w14:paraId="6F1B5502" w14:textId="77777777" w:rsidR="0084478E" w:rsidRPr="00A56A66" w:rsidRDefault="00200D97" w:rsidP="00BE5A22">
            <w:pPr>
              <w:pStyle w:val="TableParagraph"/>
              <w:spacing w:line="232" w:lineRule="exact"/>
              <w:ind w:left="0"/>
              <w:jc w:val="both"/>
              <w:rPr>
                <w:szCs w:val="20"/>
                <w:lang w:val="sr-Latn-ME"/>
              </w:rPr>
            </w:pPr>
            <w:r w:rsidRPr="00A56A66">
              <w:rPr>
                <w:szCs w:val="20"/>
                <w:lang w:val="sr-Latn-ME"/>
              </w:rPr>
              <w:t>50 %</w:t>
            </w:r>
          </w:p>
        </w:tc>
      </w:tr>
      <w:tr w:rsidR="0084478E" w:rsidRPr="0047585D" w14:paraId="42DC6A4D" w14:textId="77777777" w:rsidTr="00357F8B">
        <w:trPr>
          <w:trHeight w:val="254"/>
        </w:trPr>
        <w:tc>
          <w:tcPr>
            <w:tcW w:w="3452" w:type="dxa"/>
            <w:tcBorders>
              <w:top w:val="single" w:sz="4" w:space="0" w:color="000000"/>
              <w:bottom w:val="single" w:sz="4" w:space="0" w:color="000000"/>
              <w:right w:val="single" w:sz="4" w:space="0" w:color="000000"/>
            </w:tcBorders>
          </w:tcPr>
          <w:p w14:paraId="3D55D747"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&lt; 15 %</w:t>
            </w:r>
          </w:p>
        </w:tc>
        <w:tc>
          <w:tcPr>
            <w:tcW w:w="2916" w:type="dxa"/>
            <w:tcBorders>
              <w:top w:val="single" w:sz="4" w:space="0" w:color="000000"/>
              <w:left w:val="single" w:sz="4" w:space="0" w:color="000000"/>
              <w:bottom w:val="single" w:sz="4" w:space="0" w:color="000000"/>
            </w:tcBorders>
          </w:tcPr>
          <w:p w14:paraId="2130945D"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100 %</w:t>
            </w:r>
          </w:p>
        </w:tc>
        <w:tc>
          <w:tcPr>
            <w:tcW w:w="2921" w:type="dxa"/>
            <w:tcBorders>
              <w:top w:val="single" w:sz="4" w:space="0" w:color="000000"/>
              <w:bottom w:val="single" w:sz="4" w:space="0" w:color="000000"/>
            </w:tcBorders>
          </w:tcPr>
          <w:p w14:paraId="5FB877E5" w14:textId="77777777" w:rsidR="0084478E" w:rsidRPr="00A56A66" w:rsidRDefault="00200D97" w:rsidP="00BE5A22">
            <w:pPr>
              <w:pStyle w:val="TableParagraph"/>
              <w:spacing w:line="234" w:lineRule="exact"/>
              <w:ind w:left="0"/>
              <w:jc w:val="both"/>
              <w:rPr>
                <w:szCs w:val="20"/>
                <w:lang w:val="sr-Latn-ME"/>
              </w:rPr>
            </w:pPr>
            <w:r w:rsidRPr="00A56A66">
              <w:rPr>
                <w:szCs w:val="20"/>
                <w:lang w:val="sr-Latn-ME"/>
              </w:rPr>
              <w:t>33 %</w:t>
            </w:r>
          </w:p>
        </w:tc>
      </w:tr>
    </w:tbl>
    <w:p w14:paraId="1CE6EB35" w14:textId="77777777" w:rsidR="008C578C" w:rsidRPr="0047585D" w:rsidRDefault="00200D97" w:rsidP="00BE5A22">
      <w:pPr>
        <w:pStyle w:val="BodyText"/>
        <w:spacing w:line="480" w:lineRule="auto"/>
        <w:jc w:val="both"/>
        <w:rPr>
          <w:lang w:val="sr-Latn-ME"/>
        </w:rPr>
      </w:pPr>
      <w:r w:rsidRPr="0047585D">
        <w:rPr>
          <w:lang w:val="sr-Latn-ME"/>
        </w:rPr>
        <w:t xml:space="preserve">*Oporavak = vrijednosti ≥ najniža vrijednost + (0,5 x [početna vrijednost – najniža vrijednost]) </w:t>
      </w:r>
    </w:p>
    <w:p w14:paraId="61DA24EC" w14:textId="77777777" w:rsidR="0084478E" w:rsidRPr="0047585D" w:rsidRDefault="00200D97" w:rsidP="008D5A0B">
      <w:pPr>
        <w:pStyle w:val="BodyText"/>
        <w:spacing w:line="480" w:lineRule="auto"/>
        <w:jc w:val="both"/>
        <w:rPr>
          <w:lang w:val="sr-Latn-ME"/>
        </w:rPr>
      </w:pPr>
      <w:r w:rsidRPr="0047585D">
        <w:rPr>
          <w:lang w:val="sr-Latn-ME"/>
        </w:rPr>
        <w:t xml:space="preserve">Nakon izmjena doze, trajanje </w:t>
      </w:r>
      <w:r w:rsidR="008C578C" w:rsidRPr="0047585D">
        <w:rPr>
          <w:lang w:val="sr-Latn-ME"/>
        </w:rPr>
        <w:t xml:space="preserve">sljedećeg </w:t>
      </w:r>
      <w:r w:rsidRPr="0047585D">
        <w:rPr>
          <w:lang w:val="sr-Latn-ME"/>
        </w:rPr>
        <w:t xml:space="preserve">ciklusa </w:t>
      </w:r>
      <w:r w:rsidR="00A605C8" w:rsidRPr="0047585D">
        <w:rPr>
          <w:lang w:val="sr-Latn-ME"/>
        </w:rPr>
        <w:t xml:space="preserve">treba ponovo da bude </w:t>
      </w:r>
      <w:r w:rsidRPr="0047585D">
        <w:rPr>
          <w:lang w:val="sr-Latn-ME"/>
        </w:rPr>
        <w:t>28 dana.</w:t>
      </w:r>
    </w:p>
    <w:p w14:paraId="08C75551" w14:textId="77777777" w:rsidR="00AB5C2D" w:rsidRPr="0047585D" w:rsidRDefault="00200D97" w:rsidP="00A56A66">
      <w:pPr>
        <w:jc w:val="both"/>
        <w:rPr>
          <w:i/>
          <w:u w:val="single"/>
          <w:lang w:val="sr-Latn-ME"/>
        </w:rPr>
      </w:pPr>
      <w:r w:rsidRPr="0047585D">
        <w:rPr>
          <w:i/>
          <w:u w:val="single"/>
          <w:lang w:val="sr-Latn-ME"/>
        </w:rPr>
        <w:t>Posebne populacije</w:t>
      </w:r>
    </w:p>
    <w:p w14:paraId="6220C743" w14:textId="518F6E6C" w:rsidR="0084478E" w:rsidRPr="0047585D" w:rsidRDefault="00200D97" w:rsidP="00A56A66">
      <w:pPr>
        <w:jc w:val="both"/>
        <w:rPr>
          <w:i/>
          <w:lang w:val="sr-Latn-ME"/>
        </w:rPr>
      </w:pPr>
      <w:r w:rsidRPr="0047585D">
        <w:rPr>
          <w:i/>
          <w:lang w:val="sr-Latn-ME"/>
        </w:rPr>
        <w:t>Starije osobe</w:t>
      </w:r>
    </w:p>
    <w:p w14:paraId="1E893015" w14:textId="2C1C076F" w:rsidR="0084478E" w:rsidRPr="0047585D" w:rsidRDefault="00200D97" w:rsidP="00A56A66">
      <w:pPr>
        <w:pStyle w:val="BodyText"/>
        <w:jc w:val="both"/>
        <w:rPr>
          <w:lang w:val="sr-Latn-ME"/>
        </w:rPr>
      </w:pPr>
      <w:r w:rsidRPr="0047585D">
        <w:rPr>
          <w:lang w:val="sr-Latn-ME"/>
        </w:rPr>
        <w:lastRenderedPageBreak/>
        <w:t>Ne preporučuj</w:t>
      </w:r>
      <w:r w:rsidR="00450069" w:rsidRPr="0047585D">
        <w:rPr>
          <w:lang w:val="sr-Latn-ME"/>
        </w:rPr>
        <w:t>e</w:t>
      </w:r>
      <w:r w:rsidRPr="0047585D">
        <w:rPr>
          <w:lang w:val="sr-Latn-ME"/>
        </w:rPr>
        <w:t xml:space="preserve"> se posebn</w:t>
      </w:r>
      <w:r w:rsidR="00450069" w:rsidRPr="0047585D">
        <w:rPr>
          <w:lang w:val="sr-Latn-ME"/>
        </w:rPr>
        <w:t>o</w:t>
      </w:r>
      <w:r w:rsidRPr="0047585D">
        <w:rPr>
          <w:lang w:val="sr-Latn-ME"/>
        </w:rPr>
        <w:t xml:space="preserve"> </w:t>
      </w:r>
      <w:r w:rsidR="006C1D06" w:rsidRPr="0047585D">
        <w:rPr>
          <w:lang w:val="sr-Latn-ME"/>
        </w:rPr>
        <w:t>prilagođavanje</w:t>
      </w:r>
      <w:r w:rsidRPr="0047585D">
        <w:rPr>
          <w:lang w:val="sr-Latn-ME"/>
        </w:rPr>
        <w:t xml:space="preserve"> doza kod starijih osoba</w:t>
      </w:r>
      <w:r w:rsidR="00AB5C2D" w:rsidRPr="0047585D">
        <w:rPr>
          <w:lang w:val="sr-Latn-ME"/>
        </w:rPr>
        <w:t>. S obzirom na to</w:t>
      </w:r>
      <w:r w:rsidRPr="0047585D">
        <w:rPr>
          <w:lang w:val="sr-Latn-ME"/>
        </w:rPr>
        <w:t xml:space="preserve"> da je </w:t>
      </w:r>
      <w:r w:rsidR="00450069" w:rsidRPr="0047585D">
        <w:rPr>
          <w:lang w:val="sr-Latn-ME"/>
        </w:rPr>
        <w:t>kod</w:t>
      </w:r>
      <w:r w:rsidRPr="0047585D">
        <w:rPr>
          <w:lang w:val="sr-Latn-ME"/>
        </w:rPr>
        <w:t xml:space="preserve"> starijih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a veća vjero</w:t>
      </w:r>
      <w:r w:rsidR="00450069" w:rsidRPr="0047585D">
        <w:rPr>
          <w:lang w:val="sr-Latn-ME"/>
        </w:rPr>
        <w:t>v</w:t>
      </w:r>
      <w:r w:rsidRPr="0047585D">
        <w:rPr>
          <w:lang w:val="sr-Latn-ME"/>
        </w:rPr>
        <w:t>atno</w:t>
      </w:r>
      <w:r w:rsidR="00450069" w:rsidRPr="0047585D">
        <w:rPr>
          <w:lang w:val="sr-Latn-ME"/>
        </w:rPr>
        <w:t>ća</w:t>
      </w:r>
      <w:r w:rsidRPr="0047585D">
        <w:rPr>
          <w:lang w:val="sr-Latn-ME"/>
        </w:rPr>
        <w:t xml:space="preserve"> smanjene bubrežne funkcije, korisno bi bilo</w:t>
      </w:r>
      <w:r w:rsidR="00AB5C2D" w:rsidRPr="0047585D">
        <w:rPr>
          <w:lang w:val="sr-Latn-ME"/>
        </w:rPr>
        <w:t xml:space="preserve"> </w:t>
      </w:r>
      <w:r w:rsidR="00A605C8" w:rsidRPr="0047585D">
        <w:rPr>
          <w:lang w:val="sr-Latn-ME"/>
        </w:rPr>
        <w:t>pratiti</w:t>
      </w:r>
      <w:r w:rsidR="00AB5C2D" w:rsidRPr="0047585D">
        <w:rPr>
          <w:lang w:val="sr-Latn-ME"/>
        </w:rPr>
        <w:t xml:space="preserve"> </w:t>
      </w:r>
      <w:r w:rsidRPr="0047585D">
        <w:rPr>
          <w:lang w:val="sr-Latn-ME"/>
        </w:rPr>
        <w:t>bubrežn</w:t>
      </w:r>
      <w:r w:rsidR="00A605C8" w:rsidRPr="0047585D">
        <w:rPr>
          <w:lang w:val="sr-Latn-ME"/>
        </w:rPr>
        <w:t>u</w:t>
      </w:r>
      <w:r w:rsidRPr="0047585D">
        <w:rPr>
          <w:lang w:val="sr-Latn-ME"/>
        </w:rPr>
        <w:t xml:space="preserve"> funkcij</w:t>
      </w:r>
      <w:r w:rsidR="00A605C8" w:rsidRPr="0047585D">
        <w:rPr>
          <w:lang w:val="sr-Latn-ME"/>
        </w:rPr>
        <w:t>u</w:t>
      </w:r>
      <w:r w:rsidRPr="0047585D">
        <w:rPr>
          <w:lang w:val="sr-Latn-ME"/>
        </w:rPr>
        <w:t>.</w:t>
      </w:r>
    </w:p>
    <w:p w14:paraId="4A55E692" w14:textId="77777777" w:rsidR="0048662B" w:rsidRPr="0047585D" w:rsidRDefault="0048662B" w:rsidP="00A56A66">
      <w:pPr>
        <w:pStyle w:val="BodyText"/>
        <w:jc w:val="both"/>
        <w:rPr>
          <w:lang w:val="sr-Latn-ME"/>
        </w:rPr>
      </w:pPr>
    </w:p>
    <w:p w14:paraId="100647D6" w14:textId="77777777" w:rsidR="0084478E" w:rsidRPr="0047585D" w:rsidRDefault="00450069" w:rsidP="00A56A66">
      <w:pPr>
        <w:jc w:val="both"/>
        <w:rPr>
          <w:i/>
          <w:lang w:val="sr-Latn-ME"/>
        </w:rPr>
      </w:pPr>
      <w:r w:rsidRPr="0047585D">
        <w:rPr>
          <w:i/>
          <w:lang w:val="sr-Latn-ME"/>
        </w:rPr>
        <w:t>Pacijent</w:t>
      </w:r>
      <w:r w:rsidR="00200D97" w:rsidRPr="0047585D">
        <w:rPr>
          <w:i/>
          <w:lang w:val="sr-Latn-ME"/>
        </w:rPr>
        <w:t>i s oštećenjem bubrega</w:t>
      </w:r>
    </w:p>
    <w:p w14:paraId="5BFE84AD" w14:textId="068C0752" w:rsidR="0084478E" w:rsidRPr="0047585D" w:rsidRDefault="00200D97" w:rsidP="00A56A66">
      <w:pPr>
        <w:pStyle w:val="BodyText"/>
        <w:jc w:val="both"/>
        <w:rPr>
          <w:lang w:val="sr-Latn-ME"/>
        </w:rPr>
      </w:pPr>
      <w:r w:rsidRPr="0047585D">
        <w:rPr>
          <w:lang w:val="sr-Latn-ME"/>
        </w:rPr>
        <w:t>Azacitidin se može primjenjivati</w:t>
      </w:r>
      <w:r w:rsidR="005055AD" w:rsidRPr="0047585D">
        <w:rPr>
          <w:lang w:val="sr-Latn-ME"/>
        </w:rPr>
        <w:t xml:space="preserve"> kod</w:t>
      </w:r>
      <w:r w:rsidRPr="0047585D">
        <w:rPr>
          <w:lang w:val="sr-Latn-ME"/>
        </w:rPr>
        <w:t xml:space="preserve"> </w:t>
      </w:r>
      <w:r w:rsidR="00862A19" w:rsidRPr="0047585D">
        <w:rPr>
          <w:lang w:val="sr-Latn-ME"/>
        </w:rPr>
        <w:t>pacijen</w:t>
      </w:r>
      <w:r w:rsidR="005055AD" w:rsidRPr="0047585D">
        <w:rPr>
          <w:lang w:val="sr-Latn-ME"/>
        </w:rPr>
        <w:t>ata</w:t>
      </w:r>
      <w:r w:rsidRPr="0047585D">
        <w:rPr>
          <w:lang w:val="sr-Latn-ME"/>
        </w:rPr>
        <w:t xml:space="preserve"> s oštećenjem bubrega bez prilago</w:t>
      </w:r>
      <w:r w:rsidR="00450069" w:rsidRPr="0047585D">
        <w:rPr>
          <w:lang w:val="sr-Latn-ME"/>
        </w:rPr>
        <w:t>đ</w:t>
      </w:r>
      <w:r w:rsidR="005055AD" w:rsidRPr="0047585D">
        <w:rPr>
          <w:lang w:val="sr-Latn-ME"/>
        </w:rPr>
        <w:t>avanja</w:t>
      </w:r>
      <w:r w:rsidRPr="0047585D">
        <w:rPr>
          <w:lang w:val="sr-Latn-ME"/>
        </w:rPr>
        <w:t xml:space="preserve"> početne doze (vidjeti dio 5.2). Ako dođe do neobjašnjenog smanjenja </w:t>
      </w:r>
      <w:r w:rsidR="00450069" w:rsidRPr="0047585D">
        <w:rPr>
          <w:lang w:val="sr-Latn-ME"/>
        </w:rPr>
        <w:t>nivoa</w:t>
      </w:r>
      <w:r w:rsidRPr="0047585D">
        <w:rPr>
          <w:lang w:val="sr-Latn-ME"/>
        </w:rPr>
        <w:t xml:space="preserve"> bikarbonata u serumu ispod 20 mmol/l, u sljedećem ciklusu dozu treba smanjiti za 50 %. Ako dođe do neobjašn</w:t>
      </w:r>
      <w:r w:rsidR="00A605C8" w:rsidRPr="0047585D">
        <w:rPr>
          <w:lang w:val="sr-Latn-ME"/>
        </w:rPr>
        <w:t>jivog</w:t>
      </w:r>
      <w:r w:rsidRPr="0047585D">
        <w:rPr>
          <w:lang w:val="sr-Latn-ME"/>
        </w:rPr>
        <w:t xml:space="preserve"> povećanja serumskog kreatinina ili </w:t>
      </w:r>
      <w:r w:rsidR="00450069" w:rsidRPr="0047585D">
        <w:rPr>
          <w:lang w:val="sr-Latn-ME"/>
        </w:rPr>
        <w:t>azota</w:t>
      </w:r>
      <w:r w:rsidRPr="0047585D">
        <w:rPr>
          <w:lang w:val="sr-Latn-ME"/>
        </w:rPr>
        <w:t xml:space="preserve"> iz uree u krvi (BUN) na vrijednosti ≥ 2 puta veće od početne vrijednosti i iznad gornje granice normale sljedeći ciklus treba od</w:t>
      </w:r>
      <w:r w:rsidR="00450069" w:rsidRPr="0047585D">
        <w:rPr>
          <w:lang w:val="sr-Latn-ME"/>
        </w:rPr>
        <w:t>ložit</w:t>
      </w:r>
      <w:r w:rsidRPr="0047585D">
        <w:rPr>
          <w:lang w:val="sr-Latn-ME"/>
        </w:rPr>
        <w:t>i sve dok se vrijednosti ne vrate na normalnu ili početnu vrijednost, a dozu u sljedećem ciklusu liječenja treba smanjiti za 50 % (vidjeti dio 4.4).</w:t>
      </w:r>
    </w:p>
    <w:p w14:paraId="453BB819" w14:textId="77777777" w:rsidR="0048662B" w:rsidRPr="0047585D" w:rsidRDefault="0048662B" w:rsidP="00A56A66">
      <w:pPr>
        <w:pStyle w:val="BodyText"/>
        <w:jc w:val="both"/>
        <w:rPr>
          <w:lang w:val="sr-Latn-ME"/>
        </w:rPr>
      </w:pPr>
    </w:p>
    <w:p w14:paraId="4E34D9EE" w14:textId="77777777" w:rsidR="0084478E" w:rsidRPr="0047585D" w:rsidRDefault="00450069" w:rsidP="00A56A66">
      <w:pPr>
        <w:jc w:val="both"/>
        <w:rPr>
          <w:i/>
          <w:lang w:val="sr-Latn-ME"/>
        </w:rPr>
      </w:pPr>
      <w:r w:rsidRPr="0047585D">
        <w:rPr>
          <w:i/>
          <w:lang w:val="sr-Latn-ME"/>
        </w:rPr>
        <w:t>Pacijenti</w:t>
      </w:r>
      <w:r w:rsidR="00200D97" w:rsidRPr="0047585D">
        <w:rPr>
          <w:i/>
          <w:lang w:val="sr-Latn-ME"/>
        </w:rPr>
        <w:t xml:space="preserve"> s oštećenjem jetre</w:t>
      </w:r>
    </w:p>
    <w:p w14:paraId="5C996DAE" w14:textId="03ADE3D4" w:rsidR="0084478E" w:rsidRPr="0047585D" w:rsidRDefault="00200D97" w:rsidP="00A56A66">
      <w:pPr>
        <w:pStyle w:val="BodyText"/>
        <w:jc w:val="both"/>
        <w:rPr>
          <w:lang w:val="sr-Latn-ME"/>
        </w:rPr>
      </w:pPr>
      <w:r w:rsidRPr="0047585D">
        <w:rPr>
          <w:lang w:val="sr-Latn-ME"/>
        </w:rPr>
        <w:t xml:space="preserve">Nisu </w:t>
      </w:r>
      <w:r w:rsidR="00450069" w:rsidRPr="0047585D">
        <w:rPr>
          <w:lang w:val="sr-Latn-ME"/>
        </w:rPr>
        <w:t>vrše</w:t>
      </w:r>
      <w:r w:rsidRPr="0047585D">
        <w:rPr>
          <w:lang w:val="sr-Latn-ME"/>
        </w:rPr>
        <w:t>na</w:t>
      </w:r>
      <w:r w:rsidR="005055AD" w:rsidRPr="0047585D">
        <w:rPr>
          <w:lang w:val="sr-Latn-ME"/>
        </w:rPr>
        <w:t xml:space="preserve"> zvanična</w:t>
      </w:r>
      <w:r w:rsidRPr="0047585D">
        <w:rPr>
          <w:lang w:val="sr-Latn-ME"/>
        </w:rPr>
        <w:t xml:space="preserve"> ispitivanja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 xml:space="preserve">a s oštećenjem jetre (vidjeti dio 4.4). </w:t>
      </w:r>
      <w:r w:rsidR="00862A19" w:rsidRPr="0047585D">
        <w:rPr>
          <w:lang w:val="sr-Latn-ME"/>
        </w:rPr>
        <w:t>Pacijent</w:t>
      </w:r>
      <w:r w:rsidRPr="0047585D">
        <w:rPr>
          <w:lang w:val="sr-Latn-ME"/>
        </w:rPr>
        <w:t>e s teškim oštećenjem jetre treba pažljivo</w:t>
      </w:r>
      <w:r w:rsidR="005055AD" w:rsidRPr="0047585D">
        <w:rPr>
          <w:lang w:val="sr-Latn-ME"/>
        </w:rPr>
        <w:t xml:space="preserve"> pratiti</w:t>
      </w:r>
      <w:r w:rsidRPr="0047585D">
        <w:rPr>
          <w:lang w:val="sr-Latn-ME"/>
        </w:rPr>
        <w:t xml:space="preserve"> zbog</w:t>
      </w:r>
      <w:r w:rsidR="005055AD" w:rsidRPr="0047585D">
        <w:rPr>
          <w:lang w:val="sr-Latn-ME"/>
        </w:rPr>
        <w:t xml:space="preserve"> neželjenih</w:t>
      </w:r>
      <w:r w:rsidRPr="0047585D">
        <w:rPr>
          <w:lang w:val="sr-Latn-ME"/>
        </w:rPr>
        <w:t xml:space="preserve"> događaja.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 xml:space="preserve">a s oštećenjem jetre prije početka liječenja nisu preporučene posebne izmjene početne doze; naknadne izmjene doza treba </w:t>
      </w:r>
      <w:r w:rsidR="00450069" w:rsidRPr="0047585D">
        <w:rPr>
          <w:lang w:val="sr-Latn-ME"/>
        </w:rPr>
        <w:t>zasnivati</w:t>
      </w:r>
      <w:r w:rsidRPr="0047585D">
        <w:rPr>
          <w:lang w:val="sr-Latn-ME"/>
        </w:rPr>
        <w:t xml:space="preserve"> na hematološkim laboratorijskim </w:t>
      </w:r>
      <w:r w:rsidR="00450069" w:rsidRPr="0047585D">
        <w:rPr>
          <w:lang w:val="sr-Latn-ME"/>
        </w:rPr>
        <w:t>indikatorima</w:t>
      </w:r>
      <w:r w:rsidRPr="0047585D">
        <w:rPr>
          <w:lang w:val="sr-Latn-ME"/>
        </w:rPr>
        <w:t xml:space="preserve">. </w:t>
      </w:r>
      <w:r w:rsidR="00450069" w:rsidRPr="0047585D">
        <w:rPr>
          <w:lang w:val="sr-Latn-ME"/>
        </w:rPr>
        <w:t xml:space="preserve">Lijek </w:t>
      </w:r>
      <w:r w:rsidR="00D95513" w:rsidRPr="0047585D">
        <w:rPr>
          <w:lang w:val="sr-Latn-ME"/>
        </w:rPr>
        <w:t>Azacitidine Accord</w:t>
      </w:r>
      <w:r w:rsidRPr="0047585D">
        <w:rPr>
          <w:lang w:val="sr-Latn-ME"/>
        </w:rPr>
        <w:t xml:space="preserve"> je kontraindi</w:t>
      </w:r>
      <w:r w:rsidR="00450069" w:rsidRPr="0047585D">
        <w:rPr>
          <w:lang w:val="sr-Latn-ME"/>
        </w:rPr>
        <w:t>kov</w:t>
      </w:r>
      <w:r w:rsidRPr="0047585D">
        <w:rPr>
          <w:lang w:val="sr-Latn-ME"/>
        </w:rPr>
        <w:t xml:space="preserve">an </w:t>
      </w:r>
      <w:r w:rsidR="00450069" w:rsidRPr="0047585D">
        <w:rPr>
          <w:lang w:val="sr-Latn-ME"/>
        </w:rPr>
        <w:t>kod</w:t>
      </w:r>
      <w:r w:rsidRPr="0047585D">
        <w:rPr>
          <w:lang w:val="sr-Latn-ME"/>
        </w:rPr>
        <w:t xml:space="preserve">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a s uznapredovalim malignim tumorima jetre (vidjeti djelove 4.3 i 4.4).</w:t>
      </w:r>
    </w:p>
    <w:p w14:paraId="4109FDCE" w14:textId="77777777" w:rsidR="0048662B" w:rsidRPr="0047585D" w:rsidRDefault="0048662B" w:rsidP="00A56A66">
      <w:pPr>
        <w:pStyle w:val="BodyText"/>
        <w:jc w:val="both"/>
        <w:rPr>
          <w:lang w:val="sr-Latn-ME"/>
        </w:rPr>
      </w:pPr>
    </w:p>
    <w:p w14:paraId="05118D79" w14:textId="77777777" w:rsidR="0084478E" w:rsidRPr="0047585D" w:rsidRDefault="00200D97" w:rsidP="00A56A66">
      <w:pPr>
        <w:jc w:val="both"/>
        <w:rPr>
          <w:i/>
          <w:lang w:val="sr-Latn-ME"/>
        </w:rPr>
      </w:pPr>
      <w:r w:rsidRPr="0047585D">
        <w:rPr>
          <w:i/>
          <w:lang w:val="sr-Latn-ME"/>
        </w:rPr>
        <w:t>Pedijatrijska populacija</w:t>
      </w:r>
    </w:p>
    <w:p w14:paraId="0D6D0598" w14:textId="27B22F03" w:rsidR="005055AD" w:rsidRPr="0047585D" w:rsidRDefault="00862A19" w:rsidP="00A56A66">
      <w:pPr>
        <w:pStyle w:val="BodyText"/>
        <w:jc w:val="both"/>
        <w:rPr>
          <w:lang w:val="sr-Latn-ME"/>
        </w:rPr>
      </w:pPr>
      <w:r w:rsidRPr="0047585D">
        <w:rPr>
          <w:lang w:val="sr-Latn-ME"/>
        </w:rPr>
        <w:t>Bezbjednost</w:t>
      </w:r>
      <w:r w:rsidR="00200D97" w:rsidRPr="0047585D">
        <w:rPr>
          <w:lang w:val="sr-Latn-ME"/>
        </w:rPr>
        <w:t xml:space="preserve"> i </w:t>
      </w:r>
      <w:r w:rsidRPr="0047585D">
        <w:rPr>
          <w:lang w:val="sr-Latn-ME"/>
        </w:rPr>
        <w:t>efikasnost</w:t>
      </w:r>
      <w:r w:rsidR="00200D97" w:rsidRPr="0047585D">
        <w:rPr>
          <w:lang w:val="sr-Latn-ME"/>
        </w:rPr>
        <w:t xml:space="preserve"> azacitidina </w:t>
      </w:r>
      <w:r w:rsidR="00450069" w:rsidRPr="0047585D">
        <w:rPr>
          <w:lang w:val="sr-Latn-ME"/>
        </w:rPr>
        <w:t>kod</w:t>
      </w:r>
      <w:r w:rsidR="00200D97" w:rsidRPr="0047585D">
        <w:rPr>
          <w:lang w:val="sr-Latn-ME"/>
        </w:rPr>
        <w:t xml:space="preserve"> djece </w:t>
      </w:r>
      <w:r w:rsidRPr="0047585D">
        <w:rPr>
          <w:lang w:val="sr-Latn-ME"/>
        </w:rPr>
        <w:t>uzrasta</w:t>
      </w:r>
      <w:r w:rsidR="00200D97" w:rsidRPr="0047585D">
        <w:rPr>
          <w:lang w:val="sr-Latn-ME"/>
        </w:rPr>
        <w:t xml:space="preserve"> od 0 do 17 godina nisu još ustanovljene. </w:t>
      </w:r>
      <w:r w:rsidR="005055AD" w:rsidRPr="0047585D">
        <w:rPr>
          <w:lang w:val="sr-Latn-ME"/>
        </w:rPr>
        <w:t>Trenutno dostupni podaci opisani su u dijelovima 4.8, 5.1 i 5.2, međutim, nije moguće dati preporuku o doziranju.</w:t>
      </w:r>
    </w:p>
    <w:p w14:paraId="79C25AAE" w14:textId="77777777" w:rsidR="00D54FD0" w:rsidRPr="0047585D" w:rsidRDefault="00D54FD0" w:rsidP="00A56A66">
      <w:pPr>
        <w:pStyle w:val="BodyText"/>
        <w:jc w:val="both"/>
        <w:rPr>
          <w:lang w:val="sr-Latn-ME"/>
        </w:rPr>
      </w:pPr>
    </w:p>
    <w:p w14:paraId="2A7C5942" w14:textId="77777777" w:rsidR="0084478E" w:rsidRPr="0047585D" w:rsidRDefault="00200D97" w:rsidP="00A56A66">
      <w:pPr>
        <w:pStyle w:val="BodyText"/>
        <w:jc w:val="both"/>
        <w:rPr>
          <w:lang w:val="sr-Latn-ME"/>
        </w:rPr>
      </w:pPr>
      <w:r w:rsidRPr="0047585D">
        <w:rPr>
          <w:u w:val="single"/>
          <w:lang w:val="sr-Latn-ME"/>
        </w:rPr>
        <w:t>Način primjene</w:t>
      </w:r>
    </w:p>
    <w:p w14:paraId="7F7905ED" w14:textId="45017F59" w:rsidR="0084478E" w:rsidRPr="0047585D" w:rsidRDefault="00200D97" w:rsidP="00A56A66">
      <w:pPr>
        <w:pStyle w:val="BodyText"/>
        <w:jc w:val="both"/>
        <w:rPr>
          <w:lang w:val="sr-Latn-ME"/>
        </w:rPr>
      </w:pPr>
      <w:r w:rsidRPr="0047585D">
        <w:rPr>
          <w:lang w:val="sr-Latn-ME"/>
        </w:rPr>
        <w:t>Rekonstitui</w:t>
      </w:r>
      <w:r w:rsidR="00450069" w:rsidRPr="0047585D">
        <w:rPr>
          <w:lang w:val="sr-Latn-ME"/>
        </w:rPr>
        <w:t>s</w:t>
      </w:r>
      <w:r w:rsidRPr="0047585D">
        <w:rPr>
          <w:lang w:val="sr-Latn-ME"/>
        </w:rPr>
        <w:t xml:space="preserve">ani lijek </w:t>
      </w:r>
      <w:r w:rsidR="00D95513" w:rsidRPr="0047585D">
        <w:rPr>
          <w:lang w:val="sr-Latn-ME"/>
        </w:rPr>
        <w:t>Azacitidine Accord</w:t>
      </w:r>
      <w:r w:rsidRPr="0047585D">
        <w:rPr>
          <w:lang w:val="sr-Latn-ME"/>
        </w:rPr>
        <w:t xml:space="preserve"> treba injicirati su</w:t>
      </w:r>
      <w:r w:rsidR="00D542A4">
        <w:rPr>
          <w:lang w:val="sr-Latn-ME"/>
        </w:rPr>
        <w:t>b</w:t>
      </w:r>
      <w:r w:rsidRPr="0047585D">
        <w:rPr>
          <w:lang w:val="sr-Latn-ME"/>
        </w:rPr>
        <w:t>kutano u nadlakticu,</w:t>
      </w:r>
      <w:r w:rsidR="00A605C8" w:rsidRPr="0047585D">
        <w:rPr>
          <w:lang w:val="sr-Latn-ME"/>
        </w:rPr>
        <w:t xml:space="preserve"> butinu</w:t>
      </w:r>
      <w:r w:rsidRPr="0047585D">
        <w:rPr>
          <w:lang w:val="sr-Latn-ME"/>
        </w:rPr>
        <w:t xml:space="preserve"> ili abdomen. Mjesta injiciranja treba mijenjati. Nove injekcije treba primijeniti najmanje 2,5 cm od prethodnog mjesta i nikada na osjetljiva mjesta, mjesta s modricama, na crvena ili </w:t>
      </w:r>
      <w:r w:rsidR="00BC119C" w:rsidRPr="0047585D">
        <w:rPr>
          <w:lang w:val="sr-Latn-ME"/>
        </w:rPr>
        <w:t>tvrda</w:t>
      </w:r>
      <w:r w:rsidRPr="0047585D">
        <w:rPr>
          <w:lang w:val="sr-Latn-ME"/>
        </w:rPr>
        <w:t xml:space="preserve"> područja.</w:t>
      </w:r>
    </w:p>
    <w:p w14:paraId="2B47A8CD" w14:textId="77777777" w:rsidR="00D54FD0" w:rsidRPr="0047585D" w:rsidRDefault="00D54FD0" w:rsidP="00A56A66">
      <w:pPr>
        <w:pStyle w:val="BodyText"/>
        <w:jc w:val="both"/>
        <w:rPr>
          <w:lang w:val="sr-Latn-ME"/>
        </w:rPr>
      </w:pPr>
    </w:p>
    <w:p w14:paraId="60E543D7" w14:textId="1F0B9B74" w:rsidR="0084478E" w:rsidRPr="0047585D" w:rsidRDefault="00200D97" w:rsidP="00A56A66">
      <w:pPr>
        <w:pStyle w:val="BodyText"/>
        <w:jc w:val="both"/>
        <w:rPr>
          <w:lang w:val="sr-Latn-ME"/>
        </w:rPr>
      </w:pPr>
      <w:r w:rsidRPr="0047585D">
        <w:rPr>
          <w:lang w:val="sr-Latn-ME"/>
        </w:rPr>
        <w:t>Nakon rekonstitucije suspenzija se ne smije filtrirati. Za upu</w:t>
      </w:r>
      <w:r w:rsidR="00450069" w:rsidRPr="0047585D">
        <w:rPr>
          <w:lang w:val="sr-Latn-ME"/>
        </w:rPr>
        <w:t>tstvo</w:t>
      </w:r>
      <w:r w:rsidRPr="0047585D">
        <w:rPr>
          <w:lang w:val="sr-Latn-ME"/>
        </w:rPr>
        <w:t xml:space="preserve"> o rekonstituciji lijeka prije primjene</w:t>
      </w:r>
      <w:r w:rsidR="00D54FD0" w:rsidRPr="0047585D">
        <w:rPr>
          <w:lang w:val="sr-Latn-ME"/>
        </w:rPr>
        <w:t>,</w:t>
      </w:r>
      <w:r w:rsidRPr="0047585D">
        <w:rPr>
          <w:lang w:val="sr-Latn-ME"/>
        </w:rPr>
        <w:t xml:space="preserve"> vidjeti dio 6.6.</w:t>
      </w:r>
    </w:p>
    <w:p w14:paraId="714E6299" w14:textId="77777777" w:rsidR="00D34E19" w:rsidRPr="0047585D" w:rsidRDefault="00D34E19" w:rsidP="00A56A66">
      <w:pPr>
        <w:pStyle w:val="BodyText"/>
        <w:jc w:val="both"/>
        <w:rPr>
          <w:lang w:val="sr-Latn-ME"/>
        </w:rPr>
      </w:pPr>
    </w:p>
    <w:p w14:paraId="56687AED" w14:textId="0E441CCE" w:rsidR="0084478E" w:rsidRPr="0047585D" w:rsidRDefault="00200D97" w:rsidP="00A56A66">
      <w:pPr>
        <w:widowControl/>
        <w:numPr>
          <w:ilvl w:val="1"/>
          <w:numId w:val="11"/>
        </w:numPr>
        <w:tabs>
          <w:tab w:val="left" w:pos="540"/>
          <w:tab w:val="left" w:pos="569"/>
        </w:tabs>
        <w:autoSpaceDE/>
        <w:autoSpaceDN/>
        <w:ind w:left="0" w:firstLine="0"/>
        <w:jc w:val="both"/>
        <w:rPr>
          <w:b/>
          <w:bCs/>
          <w:lang w:val="sr-Latn-ME"/>
        </w:rPr>
      </w:pPr>
      <w:r w:rsidRPr="0047585D">
        <w:rPr>
          <w:b/>
          <w:bCs/>
          <w:lang w:val="sr-Latn-ME"/>
        </w:rPr>
        <w:t>Kontraindikacije</w:t>
      </w:r>
    </w:p>
    <w:p w14:paraId="6611B82A" w14:textId="77777777" w:rsidR="00D54FD0" w:rsidRPr="0047585D" w:rsidRDefault="00D54FD0" w:rsidP="00A56A66">
      <w:pPr>
        <w:widowControl/>
        <w:tabs>
          <w:tab w:val="left" w:pos="540"/>
          <w:tab w:val="left" w:pos="569"/>
        </w:tabs>
        <w:autoSpaceDE/>
        <w:autoSpaceDN/>
        <w:jc w:val="both"/>
        <w:rPr>
          <w:b/>
          <w:bCs/>
          <w:lang w:val="sr-Latn-ME"/>
        </w:rPr>
      </w:pPr>
    </w:p>
    <w:p w14:paraId="0140BE8D" w14:textId="7D605B69" w:rsidR="00A605C8" w:rsidRPr="0047585D" w:rsidRDefault="00200D97" w:rsidP="00A56A66">
      <w:pPr>
        <w:pStyle w:val="BodyText"/>
        <w:jc w:val="both"/>
        <w:rPr>
          <w:lang w:val="sr-Latn-ME"/>
        </w:rPr>
      </w:pPr>
      <w:r w:rsidRPr="0047585D">
        <w:rPr>
          <w:lang w:val="sr-Latn-ME"/>
        </w:rPr>
        <w:t xml:space="preserve">Preosjetljivost na </w:t>
      </w:r>
      <w:r w:rsidR="00450069" w:rsidRPr="0047585D">
        <w:rPr>
          <w:lang w:val="sr-Latn-ME"/>
        </w:rPr>
        <w:t>aktivnu supstancu</w:t>
      </w:r>
      <w:r w:rsidRPr="0047585D">
        <w:rPr>
          <w:lang w:val="sr-Latn-ME"/>
        </w:rPr>
        <w:t xml:space="preserve"> ili neku od pomoćnih </w:t>
      </w:r>
      <w:r w:rsidR="00450069" w:rsidRPr="0047585D">
        <w:rPr>
          <w:lang w:val="sr-Latn-ME"/>
        </w:rPr>
        <w:t>supstanc</w:t>
      </w:r>
      <w:r w:rsidRPr="0047585D">
        <w:rPr>
          <w:lang w:val="sr-Latn-ME"/>
        </w:rPr>
        <w:t xml:space="preserve">i navedenih u dijelu 6.1. </w:t>
      </w:r>
    </w:p>
    <w:p w14:paraId="749FCF9D" w14:textId="77777777" w:rsidR="00D54FD0" w:rsidRPr="0047585D" w:rsidRDefault="00D54FD0" w:rsidP="00A56A66">
      <w:pPr>
        <w:pStyle w:val="BodyText"/>
        <w:jc w:val="both"/>
        <w:rPr>
          <w:lang w:val="sr-Latn-ME"/>
        </w:rPr>
      </w:pPr>
    </w:p>
    <w:p w14:paraId="2BDAE2A4" w14:textId="1B8B2C28" w:rsidR="0084478E" w:rsidRPr="0047585D" w:rsidRDefault="00200D97" w:rsidP="00A56A66">
      <w:pPr>
        <w:pStyle w:val="BodyText"/>
        <w:jc w:val="both"/>
        <w:rPr>
          <w:lang w:val="sr-Latn-ME"/>
        </w:rPr>
      </w:pPr>
      <w:r w:rsidRPr="0047585D">
        <w:rPr>
          <w:lang w:val="sr-Latn-ME"/>
        </w:rPr>
        <w:t>Uznapredovali maligni tumori jetre (vidjeti dio 4.4).</w:t>
      </w:r>
    </w:p>
    <w:p w14:paraId="4529BA72" w14:textId="77777777" w:rsidR="00D54FD0" w:rsidRPr="0047585D" w:rsidRDefault="00D54FD0" w:rsidP="00A56A66">
      <w:pPr>
        <w:pStyle w:val="BodyText"/>
        <w:jc w:val="both"/>
        <w:rPr>
          <w:lang w:val="sr-Latn-ME"/>
        </w:rPr>
      </w:pPr>
    </w:p>
    <w:p w14:paraId="2BD54E55" w14:textId="6847B6CC" w:rsidR="00A97662" w:rsidRPr="0047585D" w:rsidRDefault="00200D97" w:rsidP="00A56A66">
      <w:pPr>
        <w:pStyle w:val="BodyText"/>
        <w:jc w:val="both"/>
        <w:rPr>
          <w:lang w:val="sr-Latn-ME"/>
        </w:rPr>
      </w:pPr>
      <w:r w:rsidRPr="0047585D">
        <w:rPr>
          <w:lang w:val="sr-Latn-ME"/>
        </w:rPr>
        <w:t>Dojenje (vidjeti dio 4.6).</w:t>
      </w:r>
    </w:p>
    <w:p w14:paraId="223C9411" w14:textId="77777777" w:rsidR="00D54FD0" w:rsidRPr="0047585D" w:rsidRDefault="00D54FD0" w:rsidP="00A56A66">
      <w:pPr>
        <w:pStyle w:val="BodyText"/>
        <w:jc w:val="both"/>
        <w:rPr>
          <w:lang w:val="sr-Latn-ME"/>
        </w:rPr>
      </w:pPr>
    </w:p>
    <w:p w14:paraId="312ACABD" w14:textId="5573BB0E" w:rsidR="0084478E" w:rsidRPr="0047585D" w:rsidRDefault="00200D97" w:rsidP="00A56A66">
      <w:pPr>
        <w:widowControl/>
        <w:numPr>
          <w:ilvl w:val="1"/>
          <w:numId w:val="11"/>
        </w:numPr>
        <w:tabs>
          <w:tab w:val="left" w:pos="540"/>
          <w:tab w:val="left" w:pos="569"/>
        </w:tabs>
        <w:autoSpaceDE/>
        <w:autoSpaceDN/>
        <w:ind w:left="0" w:firstLine="0"/>
        <w:jc w:val="both"/>
        <w:rPr>
          <w:b/>
          <w:bCs/>
          <w:lang w:val="sr-Latn-ME"/>
        </w:rPr>
      </w:pPr>
      <w:r w:rsidRPr="0047585D">
        <w:rPr>
          <w:b/>
          <w:bCs/>
          <w:lang w:val="sr-Latn-ME"/>
        </w:rPr>
        <w:t>Posebna upozorenja i mjere opreza pri upotrebi lijeka</w:t>
      </w:r>
    </w:p>
    <w:p w14:paraId="53DBFC99" w14:textId="77777777" w:rsidR="00D54FD0" w:rsidRPr="0047585D" w:rsidRDefault="00D54FD0" w:rsidP="00A56A66">
      <w:pPr>
        <w:widowControl/>
        <w:tabs>
          <w:tab w:val="left" w:pos="540"/>
          <w:tab w:val="left" w:pos="569"/>
        </w:tabs>
        <w:autoSpaceDE/>
        <w:autoSpaceDN/>
        <w:jc w:val="both"/>
        <w:rPr>
          <w:b/>
          <w:bCs/>
          <w:lang w:val="sr-Latn-ME"/>
        </w:rPr>
      </w:pPr>
    </w:p>
    <w:p w14:paraId="51B08B2A" w14:textId="77777777" w:rsidR="0084478E" w:rsidRPr="0047585D" w:rsidRDefault="00200D97" w:rsidP="00A56A66">
      <w:pPr>
        <w:pStyle w:val="BodyText"/>
        <w:jc w:val="both"/>
        <w:rPr>
          <w:lang w:val="sr-Latn-ME"/>
        </w:rPr>
      </w:pPr>
      <w:r w:rsidRPr="0047585D">
        <w:rPr>
          <w:u w:val="single"/>
          <w:lang w:val="sr-Latn-ME"/>
        </w:rPr>
        <w:t>Hematološka toksičnost</w:t>
      </w:r>
    </w:p>
    <w:p w14:paraId="7CD7ABEC" w14:textId="26219D5C" w:rsidR="0084478E" w:rsidRPr="0047585D" w:rsidRDefault="00200D97" w:rsidP="00A56A66">
      <w:pPr>
        <w:pStyle w:val="BodyText"/>
        <w:jc w:val="both"/>
        <w:rPr>
          <w:lang w:val="sr-Latn-ME"/>
        </w:rPr>
      </w:pPr>
      <w:r w:rsidRPr="0047585D">
        <w:rPr>
          <w:lang w:val="sr-Latn-ME"/>
        </w:rPr>
        <w:t xml:space="preserve">Liječenje azacitidinom povezano je s anemijom, neutropenijom i trombocitopenijom, </w:t>
      </w:r>
      <w:r w:rsidR="00450069" w:rsidRPr="0047585D">
        <w:rPr>
          <w:lang w:val="sr-Latn-ME"/>
        </w:rPr>
        <w:t>posebno to</w:t>
      </w:r>
      <w:r w:rsidRPr="0047585D">
        <w:rPr>
          <w:lang w:val="sr-Latn-ME"/>
        </w:rPr>
        <w:t>kom prva 2 ciklusa (vidjeti dio 4.8). Kompletnu krvnu sliku treba</w:t>
      </w:r>
      <w:r w:rsidR="003F74B7" w:rsidRPr="0047585D">
        <w:rPr>
          <w:lang w:val="sr-Latn-ME"/>
        </w:rPr>
        <w:t xml:space="preserve"> provjerit</w:t>
      </w:r>
      <w:r w:rsidRPr="0047585D">
        <w:rPr>
          <w:lang w:val="sr-Latn-ME"/>
        </w:rPr>
        <w:t xml:space="preserve">i kad je potrebno da bi se pratio odgovor i toksičnost, ali najmanje prije svakog ciklusa liječenja. Nakon primjene preporučene doze za prvi ciklus, dozu za sljedeće cikluse treba smanjiti ili </w:t>
      </w:r>
      <w:r w:rsidR="00450069" w:rsidRPr="0047585D">
        <w:rPr>
          <w:lang w:val="sr-Latn-ME"/>
        </w:rPr>
        <w:t>odložiti</w:t>
      </w:r>
      <w:r w:rsidRPr="0047585D">
        <w:rPr>
          <w:lang w:val="sr-Latn-ME"/>
        </w:rPr>
        <w:t xml:space="preserve"> njenu primjenu na </w:t>
      </w:r>
      <w:r w:rsidR="00450069" w:rsidRPr="0047585D">
        <w:rPr>
          <w:lang w:val="sr-Latn-ME"/>
        </w:rPr>
        <w:t>osnov</w:t>
      </w:r>
      <w:r w:rsidRPr="0047585D">
        <w:rPr>
          <w:lang w:val="sr-Latn-ME"/>
        </w:rPr>
        <w:t xml:space="preserve">u najnižih vrijednosti i hematološkog odgovora (vidjeti dio 4.2). </w:t>
      </w:r>
      <w:r w:rsidR="00862A19" w:rsidRPr="0047585D">
        <w:rPr>
          <w:lang w:val="sr-Latn-ME"/>
        </w:rPr>
        <w:t>Pacijent</w:t>
      </w:r>
      <w:r w:rsidRPr="0047585D">
        <w:rPr>
          <w:lang w:val="sr-Latn-ME"/>
        </w:rPr>
        <w:t xml:space="preserve">e treba uputiti da što prije prijave epizode </w:t>
      </w:r>
      <w:r w:rsidR="00450069" w:rsidRPr="0047585D">
        <w:rPr>
          <w:lang w:val="sr-Latn-ME"/>
        </w:rPr>
        <w:t>povišene tjelesne temperatur</w:t>
      </w:r>
      <w:r w:rsidRPr="0047585D">
        <w:rPr>
          <w:lang w:val="sr-Latn-ME"/>
        </w:rPr>
        <w:t xml:space="preserve">e. </w:t>
      </w:r>
      <w:r w:rsidR="00862A19" w:rsidRPr="0047585D">
        <w:rPr>
          <w:lang w:val="sr-Latn-ME"/>
        </w:rPr>
        <w:t>Pacijentima</w:t>
      </w:r>
      <w:r w:rsidRPr="0047585D">
        <w:rPr>
          <w:lang w:val="sr-Latn-ME"/>
        </w:rPr>
        <w:t xml:space="preserve"> i </w:t>
      </w:r>
      <w:r w:rsidR="00450069" w:rsidRPr="0047585D">
        <w:rPr>
          <w:lang w:val="sr-Latn-ME"/>
        </w:rPr>
        <w:t>ljekarim</w:t>
      </w:r>
      <w:r w:rsidRPr="0047585D">
        <w:rPr>
          <w:lang w:val="sr-Latn-ME"/>
        </w:rPr>
        <w:t>a</w:t>
      </w:r>
      <w:r w:rsidR="00BF660B" w:rsidRPr="0047585D">
        <w:rPr>
          <w:lang w:val="sr-Latn-ME"/>
        </w:rPr>
        <w:t xml:space="preserve"> se </w:t>
      </w:r>
      <w:r w:rsidRPr="0047585D">
        <w:rPr>
          <w:lang w:val="sr-Latn-ME"/>
        </w:rPr>
        <w:t>takođe</w:t>
      </w:r>
      <w:r w:rsidR="00BF660B" w:rsidRPr="0047585D">
        <w:rPr>
          <w:lang w:val="sr-Latn-ME"/>
        </w:rPr>
        <w:t xml:space="preserve"> </w:t>
      </w:r>
      <w:r w:rsidRPr="0047585D">
        <w:rPr>
          <w:lang w:val="sr-Latn-ME"/>
        </w:rPr>
        <w:t>savjetuje da obrate</w:t>
      </w:r>
      <w:r w:rsidR="00BF660B" w:rsidRPr="0047585D">
        <w:rPr>
          <w:lang w:val="sr-Latn-ME"/>
        </w:rPr>
        <w:t xml:space="preserve"> pažnju </w:t>
      </w:r>
      <w:r w:rsidRPr="0047585D">
        <w:rPr>
          <w:lang w:val="sr-Latn-ME"/>
        </w:rPr>
        <w:t>na znak</w:t>
      </w:r>
      <w:r w:rsidR="00BF660B" w:rsidRPr="0047585D">
        <w:rPr>
          <w:lang w:val="sr-Latn-ME"/>
        </w:rPr>
        <w:t>e</w:t>
      </w:r>
      <w:r w:rsidRPr="0047585D">
        <w:rPr>
          <w:lang w:val="sr-Latn-ME"/>
        </w:rPr>
        <w:t xml:space="preserve"> i simptome krvarenja.</w:t>
      </w:r>
    </w:p>
    <w:p w14:paraId="729E9A0D" w14:textId="77777777" w:rsidR="00D54FD0" w:rsidRPr="0047585D" w:rsidRDefault="00D54FD0" w:rsidP="00A56A66">
      <w:pPr>
        <w:pStyle w:val="BodyText"/>
        <w:jc w:val="both"/>
        <w:rPr>
          <w:lang w:val="sr-Latn-ME"/>
        </w:rPr>
      </w:pPr>
    </w:p>
    <w:p w14:paraId="78EB8733" w14:textId="77777777" w:rsidR="0084478E" w:rsidRPr="0047585D" w:rsidRDefault="00200D97" w:rsidP="00A56A66">
      <w:pPr>
        <w:pStyle w:val="BodyText"/>
        <w:jc w:val="both"/>
        <w:rPr>
          <w:lang w:val="sr-Latn-ME"/>
        </w:rPr>
      </w:pPr>
      <w:r w:rsidRPr="0047585D">
        <w:rPr>
          <w:u w:val="single"/>
          <w:lang w:val="sr-Latn-ME"/>
        </w:rPr>
        <w:t>Oštećenje jetre</w:t>
      </w:r>
    </w:p>
    <w:p w14:paraId="7EAEA323" w14:textId="5703D104" w:rsidR="0084478E" w:rsidRPr="0047585D" w:rsidRDefault="00200D97" w:rsidP="00A56A66">
      <w:pPr>
        <w:pStyle w:val="BodyText"/>
        <w:jc w:val="both"/>
        <w:rPr>
          <w:lang w:val="sr-Latn-ME"/>
        </w:rPr>
      </w:pPr>
      <w:r w:rsidRPr="0047585D">
        <w:rPr>
          <w:lang w:val="sr-Latn-ME"/>
        </w:rPr>
        <w:t xml:space="preserve">Nisu </w:t>
      </w:r>
      <w:r w:rsidR="00BF660B" w:rsidRPr="0047585D">
        <w:rPr>
          <w:lang w:val="sr-Latn-ME"/>
        </w:rPr>
        <w:t>vršena zvanična</w:t>
      </w:r>
      <w:r w:rsidRPr="0047585D">
        <w:rPr>
          <w:lang w:val="sr-Latn-ME"/>
        </w:rPr>
        <w:t xml:space="preserve"> ispitivanja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a s oštećenjem jetre. Prijavljena je pojava progresivne hepatičke kome i smrti t</w:t>
      </w:r>
      <w:r w:rsidR="00450069" w:rsidRPr="0047585D">
        <w:rPr>
          <w:lang w:val="sr-Latn-ME"/>
        </w:rPr>
        <w:t>o</w:t>
      </w:r>
      <w:r w:rsidRPr="0047585D">
        <w:rPr>
          <w:lang w:val="sr-Latn-ME"/>
        </w:rPr>
        <w:t xml:space="preserve">kom liječenja azacitidinom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 xml:space="preserve">a s opsežnim metastatskim tumorom, </w:t>
      </w:r>
      <w:r w:rsidR="00450069" w:rsidRPr="0047585D">
        <w:rPr>
          <w:lang w:val="sr-Latn-ME"/>
        </w:rPr>
        <w:t>posebn</w:t>
      </w:r>
      <w:r w:rsidRPr="0047585D">
        <w:rPr>
          <w:lang w:val="sr-Latn-ME"/>
        </w:rPr>
        <w:t xml:space="preserve">o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a s početnim vrijednostima serumskog albumina &lt; 30 g/l. Azacitidin je kontraindi</w:t>
      </w:r>
      <w:r w:rsidR="00450069" w:rsidRPr="0047585D">
        <w:rPr>
          <w:lang w:val="sr-Latn-ME"/>
        </w:rPr>
        <w:t xml:space="preserve">kovan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a s uznapredovalim malignim tumorima jetre (vidjeti dio 4.3).</w:t>
      </w:r>
    </w:p>
    <w:p w14:paraId="48766D2E" w14:textId="77777777" w:rsidR="00D54FD0" w:rsidRPr="0047585D" w:rsidRDefault="00D54FD0" w:rsidP="00A56A66">
      <w:pPr>
        <w:pStyle w:val="BodyText"/>
        <w:jc w:val="both"/>
        <w:rPr>
          <w:lang w:val="sr-Latn-ME"/>
        </w:rPr>
      </w:pPr>
    </w:p>
    <w:p w14:paraId="62314DEC" w14:textId="77777777" w:rsidR="00DD2F06" w:rsidRDefault="00DD2F06" w:rsidP="00A56A66">
      <w:pPr>
        <w:pStyle w:val="BodyText"/>
        <w:jc w:val="both"/>
        <w:rPr>
          <w:u w:val="single"/>
          <w:lang w:val="sr-Latn-ME"/>
        </w:rPr>
      </w:pPr>
    </w:p>
    <w:p w14:paraId="0CB58069" w14:textId="79E1B031" w:rsidR="0084478E" w:rsidRPr="0047585D" w:rsidRDefault="00200D97" w:rsidP="00A56A66">
      <w:pPr>
        <w:pStyle w:val="BodyText"/>
        <w:jc w:val="both"/>
        <w:rPr>
          <w:lang w:val="sr-Latn-ME"/>
        </w:rPr>
      </w:pPr>
      <w:r w:rsidRPr="0047585D">
        <w:rPr>
          <w:u w:val="single"/>
          <w:lang w:val="sr-Latn-ME"/>
        </w:rPr>
        <w:lastRenderedPageBreak/>
        <w:t>Oštećenje bubrega</w:t>
      </w:r>
    </w:p>
    <w:p w14:paraId="2A0BF804" w14:textId="61A38546" w:rsidR="0084478E" w:rsidRPr="0047585D" w:rsidRDefault="00200D97" w:rsidP="00A56A66">
      <w:pPr>
        <w:pStyle w:val="BodyText"/>
        <w:jc w:val="both"/>
        <w:rPr>
          <w:lang w:val="sr-Latn-ME"/>
        </w:rPr>
      </w:pPr>
      <w:r w:rsidRPr="0047585D">
        <w:rPr>
          <w:lang w:val="sr-Latn-ME"/>
        </w:rPr>
        <w:t xml:space="preserve">Prijavljene su bubrežne abnormalnosti u rasponu od povišenog serumskog kreatinina do </w:t>
      </w:r>
      <w:r w:rsidR="00450069" w:rsidRPr="0047585D">
        <w:rPr>
          <w:lang w:val="sr-Latn-ME"/>
        </w:rPr>
        <w:t xml:space="preserve">insuficijencije </w:t>
      </w:r>
      <w:r w:rsidRPr="0047585D">
        <w:rPr>
          <w:lang w:val="sr-Latn-ME"/>
        </w:rPr>
        <w:t xml:space="preserve">bubrega i smrti kod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 xml:space="preserve">a liječenih intravenskim azacitidinom u kombinaciji s drugim </w:t>
      </w:r>
      <w:r w:rsidR="00450069" w:rsidRPr="0047585D">
        <w:rPr>
          <w:lang w:val="sr-Latn-ME"/>
        </w:rPr>
        <w:t>h</w:t>
      </w:r>
      <w:r w:rsidRPr="0047585D">
        <w:rPr>
          <w:lang w:val="sr-Latn-ME"/>
        </w:rPr>
        <w:t>emoterapijskim ljekovima. Uz to, kod 5</w:t>
      </w:r>
      <w:r w:rsidR="00BF660B" w:rsidRPr="0047585D">
        <w:rPr>
          <w:lang w:val="sr-Latn-ME"/>
        </w:rPr>
        <w:t xml:space="preserve"> </w:t>
      </w:r>
      <w:r w:rsidR="00862A19" w:rsidRPr="0047585D">
        <w:rPr>
          <w:lang w:val="sr-Latn-ME"/>
        </w:rPr>
        <w:t>pacijen</w:t>
      </w:r>
      <w:r w:rsidR="00450069" w:rsidRPr="0047585D">
        <w:rPr>
          <w:lang w:val="sr-Latn-ME"/>
        </w:rPr>
        <w:t>a</w:t>
      </w:r>
      <w:r w:rsidR="00862A19" w:rsidRPr="0047585D">
        <w:rPr>
          <w:lang w:val="sr-Latn-ME"/>
        </w:rPr>
        <w:t>t</w:t>
      </w:r>
      <w:r w:rsidRPr="0047585D">
        <w:rPr>
          <w:lang w:val="sr-Latn-ME"/>
        </w:rPr>
        <w:t xml:space="preserve">a s </w:t>
      </w:r>
      <w:r w:rsidR="00450069" w:rsidRPr="0047585D">
        <w:rPr>
          <w:lang w:val="sr-Latn-ME"/>
        </w:rPr>
        <w:t>h</w:t>
      </w:r>
      <w:r w:rsidRPr="0047585D">
        <w:rPr>
          <w:lang w:val="sr-Latn-ME"/>
        </w:rPr>
        <w:t>roničnom mijelo</w:t>
      </w:r>
      <w:r w:rsidR="00BF660B" w:rsidRPr="0047585D">
        <w:rPr>
          <w:lang w:val="sr-Latn-ME"/>
        </w:rPr>
        <w:t>idnom</w:t>
      </w:r>
      <w:r w:rsidRPr="0047585D">
        <w:rPr>
          <w:lang w:val="sr-Latn-ME"/>
        </w:rPr>
        <w:t xml:space="preserve"> leukemijom (</w:t>
      </w:r>
      <w:r w:rsidR="00C11635" w:rsidRPr="00A56A66">
        <w:rPr>
          <w:i/>
          <w:lang w:val="sr-Latn-ME"/>
        </w:rPr>
        <w:t>chronic myelogenous leukaemia</w:t>
      </w:r>
      <w:r w:rsidR="008238BA" w:rsidRPr="0047585D">
        <w:rPr>
          <w:i/>
          <w:lang w:val="sr-Latn-ME"/>
        </w:rPr>
        <w:t>,</w:t>
      </w:r>
      <w:r w:rsidR="00C11635" w:rsidRPr="0047585D">
        <w:rPr>
          <w:lang w:val="sr-Latn-ME"/>
        </w:rPr>
        <w:t xml:space="preserve"> CML</w:t>
      </w:r>
      <w:r w:rsidRPr="0047585D">
        <w:rPr>
          <w:lang w:val="sr-Latn-ME"/>
        </w:rPr>
        <w:t>) liječenih azacitidinom i etopo</w:t>
      </w:r>
      <w:r w:rsidR="000562CF" w:rsidRPr="0047585D">
        <w:rPr>
          <w:lang w:val="sr-Latn-ME"/>
        </w:rPr>
        <w:t>z</w:t>
      </w:r>
      <w:r w:rsidRPr="0047585D">
        <w:rPr>
          <w:lang w:val="sr-Latn-ME"/>
        </w:rPr>
        <w:t>idom razvila</w:t>
      </w:r>
      <w:r w:rsidR="00BF660B" w:rsidRPr="0047585D">
        <w:rPr>
          <w:lang w:val="sr-Latn-ME"/>
        </w:rPr>
        <w:t xml:space="preserve"> se </w:t>
      </w:r>
      <w:r w:rsidRPr="0047585D">
        <w:rPr>
          <w:lang w:val="sr-Latn-ME"/>
        </w:rPr>
        <w:t>bubrežna tubularna acidoza, defini</w:t>
      </w:r>
      <w:r w:rsidR="00450069" w:rsidRPr="0047585D">
        <w:rPr>
          <w:lang w:val="sr-Latn-ME"/>
        </w:rPr>
        <w:t>s</w:t>
      </w:r>
      <w:r w:rsidRPr="0047585D">
        <w:rPr>
          <w:lang w:val="sr-Latn-ME"/>
        </w:rPr>
        <w:t xml:space="preserve">ana kao pad serumskih bikarbonata do &lt; 20 mmol/l u kombinaciji s </w:t>
      </w:r>
      <w:r w:rsidR="00570926" w:rsidRPr="0047585D">
        <w:rPr>
          <w:lang w:val="sr-Latn-ME"/>
        </w:rPr>
        <w:t>alkalni</w:t>
      </w:r>
      <w:r w:rsidRPr="0047585D">
        <w:rPr>
          <w:lang w:val="sr-Latn-ME"/>
        </w:rPr>
        <w:t>m urinom i hipokal</w:t>
      </w:r>
      <w:r w:rsidR="003F74B7" w:rsidRPr="0047585D">
        <w:rPr>
          <w:lang w:val="sr-Latn-ME"/>
        </w:rPr>
        <w:t>ij</w:t>
      </w:r>
      <w:r w:rsidRPr="0047585D">
        <w:rPr>
          <w:lang w:val="sr-Latn-ME"/>
        </w:rPr>
        <w:t>emijom (serumski kalij</w:t>
      </w:r>
      <w:r w:rsidR="00450069" w:rsidRPr="0047585D">
        <w:rPr>
          <w:lang w:val="sr-Latn-ME"/>
        </w:rPr>
        <w:t>um</w:t>
      </w:r>
      <w:r w:rsidRPr="0047585D">
        <w:rPr>
          <w:lang w:val="sr-Latn-ME"/>
        </w:rPr>
        <w:t>&lt; 3 mmol/l). Ako dođe do neobjašn</w:t>
      </w:r>
      <w:r w:rsidR="00BF660B" w:rsidRPr="0047585D">
        <w:rPr>
          <w:lang w:val="sr-Latn-ME"/>
        </w:rPr>
        <w:t>jivog</w:t>
      </w:r>
      <w:r w:rsidRPr="0047585D">
        <w:rPr>
          <w:lang w:val="sr-Latn-ME"/>
        </w:rPr>
        <w:t xml:space="preserve"> smanjenja serumskih bikarbonata (&lt; 20 mmol/l) ili povišenja serumskog kreatinina ili </w:t>
      </w:r>
      <w:r w:rsidR="00450069" w:rsidRPr="0047585D">
        <w:rPr>
          <w:lang w:val="sr-Latn-ME"/>
        </w:rPr>
        <w:t>azota</w:t>
      </w:r>
      <w:r w:rsidRPr="0047585D">
        <w:rPr>
          <w:lang w:val="sr-Latn-ME"/>
        </w:rPr>
        <w:t xml:space="preserve"> iz uree u krvi, potrebno je smanjiti dozu ili </w:t>
      </w:r>
      <w:r w:rsidR="00450069" w:rsidRPr="0047585D">
        <w:rPr>
          <w:lang w:val="sr-Latn-ME"/>
        </w:rPr>
        <w:t>odložiti</w:t>
      </w:r>
      <w:r w:rsidRPr="0047585D">
        <w:rPr>
          <w:lang w:val="sr-Latn-ME"/>
        </w:rPr>
        <w:t xml:space="preserve"> njenu primjenu (vidjeti dio 4.2).</w:t>
      </w:r>
    </w:p>
    <w:p w14:paraId="1550207A" w14:textId="77777777" w:rsidR="00D54FD0" w:rsidRPr="0047585D" w:rsidRDefault="00D54FD0" w:rsidP="00A56A66">
      <w:pPr>
        <w:pStyle w:val="BodyText"/>
        <w:jc w:val="both"/>
        <w:rPr>
          <w:lang w:val="sr-Latn-ME"/>
        </w:rPr>
      </w:pPr>
    </w:p>
    <w:p w14:paraId="283669F3" w14:textId="04BB79B9" w:rsidR="0084478E" w:rsidRPr="0047585D" w:rsidRDefault="00862A19" w:rsidP="00A56A66">
      <w:pPr>
        <w:pStyle w:val="BodyText"/>
        <w:jc w:val="both"/>
        <w:rPr>
          <w:lang w:val="sr-Latn-ME"/>
        </w:rPr>
      </w:pPr>
      <w:r w:rsidRPr="0047585D">
        <w:rPr>
          <w:lang w:val="sr-Latn-ME"/>
        </w:rPr>
        <w:t>Pacijent</w:t>
      </w:r>
      <w:r w:rsidR="003F74B7" w:rsidRPr="0047585D">
        <w:rPr>
          <w:lang w:val="sr-Latn-ME"/>
        </w:rPr>
        <w:t>e</w:t>
      </w:r>
      <w:r w:rsidR="00200D97" w:rsidRPr="0047585D">
        <w:rPr>
          <w:lang w:val="sr-Latn-ME"/>
        </w:rPr>
        <w:t xml:space="preserve"> treba savjetovati da zdravstvenom </w:t>
      </w:r>
      <w:r w:rsidR="00450069" w:rsidRPr="0047585D">
        <w:rPr>
          <w:lang w:val="sr-Latn-ME"/>
        </w:rPr>
        <w:t>radnik</w:t>
      </w:r>
      <w:r w:rsidR="00200D97" w:rsidRPr="0047585D">
        <w:rPr>
          <w:lang w:val="sr-Latn-ME"/>
        </w:rPr>
        <w:t>u odmah prijave oliguriju i anuriju.</w:t>
      </w:r>
    </w:p>
    <w:p w14:paraId="27396AD3" w14:textId="77777777" w:rsidR="00D54FD0" w:rsidRPr="0047585D" w:rsidRDefault="00D54FD0" w:rsidP="00A56A66">
      <w:pPr>
        <w:pStyle w:val="BodyText"/>
        <w:jc w:val="both"/>
        <w:rPr>
          <w:lang w:val="sr-Latn-ME"/>
        </w:rPr>
      </w:pPr>
    </w:p>
    <w:p w14:paraId="4A8B6778" w14:textId="5262D3C4" w:rsidR="0084478E" w:rsidRPr="0047585D" w:rsidRDefault="005D04EB" w:rsidP="00A56A66">
      <w:pPr>
        <w:pStyle w:val="BodyText"/>
        <w:jc w:val="both"/>
        <w:rPr>
          <w:lang w:val="sr-Latn-ME"/>
        </w:rPr>
      </w:pPr>
      <w:r w:rsidRPr="0047585D">
        <w:rPr>
          <w:lang w:val="sr-Latn-ME"/>
        </w:rPr>
        <w:t>Iako</w:t>
      </w:r>
      <w:r w:rsidR="00200D97" w:rsidRPr="0047585D">
        <w:rPr>
          <w:lang w:val="sr-Latn-ME"/>
        </w:rPr>
        <w:t xml:space="preserve"> nisu uočene klinički značajne razlike u učestalosti n</w:t>
      </w:r>
      <w:r w:rsidRPr="0047585D">
        <w:rPr>
          <w:lang w:val="sr-Latn-ME"/>
        </w:rPr>
        <w:t>eželjenih dejstav</w:t>
      </w:r>
      <w:r w:rsidR="00200D97" w:rsidRPr="0047585D">
        <w:rPr>
          <w:lang w:val="sr-Latn-ME"/>
        </w:rPr>
        <w:t xml:space="preserve">a između ispitanika s normalnom funkcijom bubrega i onih s oštećenjem bubrega, </w:t>
      </w:r>
      <w:r w:rsidR="00862A19" w:rsidRPr="0047585D">
        <w:rPr>
          <w:lang w:val="sr-Latn-ME"/>
        </w:rPr>
        <w:t>pacijent</w:t>
      </w:r>
      <w:r w:rsidR="00200D97" w:rsidRPr="0047585D">
        <w:rPr>
          <w:lang w:val="sr-Latn-ME"/>
        </w:rPr>
        <w:t>e s oštećenjem bubrega treba pažljivo pratiti zbog toksičnosti jer se azacitidin i/ili njegovi metaboliti primarno izlučuju putem bubrega</w:t>
      </w:r>
      <w:r w:rsidRPr="0047585D">
        <w:rPr>
          <w:lang w:val="sr-Latn-ME"/>
        </w:rPr>
        <w:t xml:space="preserve"> </w:t>
      </w:r>
      <w:r w:rsidR="00200D97" w:rsidRPr="0047585D">
        <w:rPr>
          <w:lang w:val="sr-Latn-ME"/>
        </w:rPr>
        <w:t>(vidjeti dio 4.2).</w:t>
      </w:r>
    </w:p>
    <w:p w14:paraId="3462F5B3" w14:textId="77777777" w:rsidR="00D54FD0" w:rsidRPr="0047585D" w:rsidRDefault="00D54FD0" w:rsidP="00A56A66">
      <w:pPr>
        <w:pStyle w:val="BodyText"/>
        <w:jc w:val="both"/>
        <w:rPr>
          <w:lang w:val="sr-Latn-ME"/>
        </w:rPr>
      </w:pPr>
    </w:p>
    <w:p w14:paraId="610D386A" w14:textId="77777777" w:rsidR="0084478E" w:rsidRPr="0047585D" w:rsidRDefault="00200D97" w:rsidP="00A56A66">
      <w:pPr>
        <w:pStyle w:val="BodyText"/>
        <w:jc w:val="both"/>
        <w:rPr>
          <w:lang w:val="sr-Latn-ME"/>
        </w:rPr>
      </w:pPr>
      <w:r w:rsidRPr="0047585D">
        <w:rPr>
          <w:u w:val="single"/>
          <w:lang w:val="sr-Latn-ME"/>
        </w:rPr>
        <w:t>Laboratorijs</w:t>
      </w:r>
      <w:r w:rsidR="005D04EB" w:rsidRPr="0047585D">
        <w:rPr>
          <w:u w:val="single"/>
          <w:lang w:val="sr-Latn-ME"/>
        </w:rPr>
        <w:t>k</w:t>
      </w:r>
      <w:r w:rsidR="007817C6" w:rsidRPr="0047585D">
        <w:rPr>
          <w:u w:val="single"/>
          <w:lang w:val="sr-Latn-ME"/>
        </w:rPr>
        <w:t>e analize</w:t>
      </w:r>
    </w:p>
    <w:p w14:paraId="533A21D5" w14:textId="3BBA7209" w:rsidR="0084478E" w:rsidRPr="0047585D" w:rsidRDefault="00200D97" w:rsidP="00A56A66">
      <w:pPr>
        <w:pStyle w:val="BodyText"/>
        <w:jc w:val="both"/>
        <w:rPr>
          <w:lang w:val="sr-Latn-ME"/>
        </w:rPr>
      </w:pPr>
      <w:r w:rsidRPr="0047585D">
        <w:rPr>
          <w:lang w:val="sr-Latn-ME"/>
        </w:rPr>
        <w:t>Prije početka liječenja i prije svakog ciklusa liječenja treba odrediti pokazatelj</w:t>
      </w:r>
      <w:r w:rsidR="003F74B7" w:rsidRPr="0047585D">
        <w:rPr>
          <w:lang w:val="sr-Latn-ME"/>
        </w:rPr>
        <w:t>e</w:t>
      </w:r>
      <w:r w:rsidRPr="0047585D">
        <w:rPr>
          <w:lang w:val="sr-Latn-ME"/>
        </w:rPr>
        <w:t xml:space="preserve"> funkcije</w:t>
      </w:r>
      <w:r w:rsidR="005D04EB" w:rsidRPr="0047585D">
        <w:rPr>
          <w:lang w:val="sr-Latn-ME"/>
        </w:rPr>
        <w:t xml:space="preserve"> jetre</w:t>
      </w:r>
      <w:r w:rsidRPr="0047585D">
        <w:rPr>
          <w:lang w:val="sr-Latn-ME"/>
        </w:rPr>
        <w:t>, kreatinin u serumu i bikarbonate u serumu. Da bi se</w:t>
      </w:r>
      <w:r w:rsidR="007817C6" w:rsidRPr="0047585D">
        <w:rPr>
          <w:lang w:val="sr-Latn-ME"/>
        </w:rPr>
        <w:t xml:space="preserve"> pratio</w:t>
      </w:r>
      <w:r w:rsidRPr="0047585D">
        <w:rPr>
          <w:lang w:val="sr-Latn-ME"/>
        </w:rPr>
        <w:t xml:space="preserve"> odgovor i toksičnost </w:t>
      </w:r>
      <w:r w:rsidR="005D04EB" w:rsidRPr="0047585D">
        <w:rPr>
          <w:lang w:val="sr-Latn-ME"/>
        </w:rPr>
        <w:t>potrebn</w:t>
      </w:r>
      <w:r w:rsidRPr="0047585D">
        <w:rPr>
          <w:lang w:val="sr-Latn-ME"/>
        </w:rPr>
        <w:t>o je kompletnu krvnu sliku</w:t>
      </w:r>
      <w:r w:rsidR="003F74B7" w:rsidRPr="0047585D">
        <w:rPr>
          <w:lang w:val="sr-Latn-ME"/>
        </w:rPr>
        <w:t xml:space="preserve"> provjeriti</w:t>
      </w:r>
      <w:r w:rsidRPr="0047585D">
        <w:rPr>
          <w:lang w:val="sr-Latn-ME"/>
        </w:rPr>
        <w:t xml:space="preserve"> prije početka terapije i prema potrebi, al</w:t>
      </w:r>
      <w:r w:rsidR="003F74B7" w:rsidRPr="0047585D">
        <w:rPr>
          <w:lang w:val="sr-Latn-ME"/>
        </w:rPr>
        <w:t xml:space="preserve">i najmanje </w:t>
      </w:r>
      <w:r w:rsidRPr="0047585D">
        <w:rPr>
          <w:lang w:val="sr-Latn-ME"/>
        </w:rPr>
        <w:t>prije svakog ciklusa liječenja, vidjeti takođe dio</w:t>
      </w:r>
      <w:r w:rsidRPr="0047585D">
        <w:rPr>
          <w:spacing w:val="1"/>
          <w:lang w:val="sr-Latn-ME"/>
        </w:rPr>
        <w:t xml:space="preserve"> </w:t>
      </w:r>
      <w:r w:rsidRPr="0047585D">
        <w:rPr>
          <w:lang w:val="sr-Latn-ME"/>
        </w:rPr>
        <w:t>4.8.</w:t>
      </w:r>
    </w:p>
    <w:p w14:paraId="7AB58DF8" w14:textId="77777777" w:rsidR="00D54FD0" w:rsidRPr="0047585D" w:rsidRDefault="00D54FD0" w:rsidP="00A56A66">
      <w:pPr>
        <w:pStyle w:val="BodyText"/>
        <w:jc w:val="both"/>
        <w:rPr>
          <w:lang w:val="sr-Latn-ME"/>
        </w:rPr>
      </w:pPr>
    </w:p>
    <w:p w14:paraId="7830D4B9" w14:textId="77777777" w:rsidR="0084478E" w:rsidRPr="0047585D" w:rsidRDefault="00200D97" w:rsidP="00A56A66">
      <w:pPr>
        <w:pStyle w:val="BodyText"/>
        <w:jc w:val="both"/>
        <w:rPr>
          <w:lang w:val="sr-Latn-ME"/>
        </w:rPr>
      </w:pPr>
      <w:r w:rsidRPr="0047585D">
        <w:rPr>
          <w:u w:val="single"/>
          <w:lang w:val="sr-Latn-ME"/>
        </w:rPr>
        <w:t>Srčane i plućne</w:t>
      </w:r>
      <w:r w:rsidRPr="0047585D">
        <w:rPr>
          <w:spacing w:val="-8"/>
          <w:u w:val="single"/>
          <w:lang w:val="sr-Latn-ME"/>
        </w:rPr>
        <w:t xml:space="preserve"> </w:t>
      </w:r>
      <w:r w:rsidRPr="0047585D">
        <w:rPr>
          <w:u w:val="single"/>
          <w:lang w:val="sr-Latn-ME"/>
        </w:rPr>
        <w:t>bolesti</w:t>
      </w:r>
    </w:p>
    <w:p w14:paraId="045DB013" w14:textId="593CBCCC" w:rsidR="0084478E" w:rsidRPr="0047585D" w:rsidRDefault="00450069" w:rsidP="00A56A66">
      <w:pPr>
        <w:pStyle w:val="BodyText"/>
        <w:jc w:val="both"/>
        <w:rPr>
          <w:lang w:val="sr-Latn-ME"/>
        </w:rPr>
      </w:pPr>
      <w:r w:rsidRPr="0047585D">
        <w:rPr>
          <w:lang w:val="sr-Latn-ME"/>
        </w:rPr>
        <w:t>Pacijenti</w:t>
      </w:r>
      <w:r w:rsidR="00200D97" w:rsidRPr="0047585D">
        <w:rPr>
          <w:lang w:val="sr-Latn-ME"/>
        </w:rPr>
        <w:t xml:space="preserve"> s anamnezom tešk</w:t>
      </w:r>
      <w:r w:rsidR="005D04EB" w:rsidRPr="0047585D">
        <w:rPr>
          <w:lang w:val="sr-Latn-ME"/>
        </w:rPr>
        <w:t xml:space="preserve">e </w:t>
      </w:r>
      <w:r w:rsidR="00200D97" w:rsidRPr="0047585D">
        <w:rPr>
          <w:lang w:val="sr-Latn-ME"/>
        </w:rPr>
        <w:t>kongestivn</w:t>
      </w:r>
      <w:r w:rsidR="005D04EB" w:rsidRPr="0047585D">
        <w:rPr>
          <w:lang w:val="sr-Latn-ME"/>
        </w:rPr>
        <w:t>e</w:t>
      </w:r>
      <w:r w:rsidR="00200D97" w:rsidRPr="0047585D">
        <w:rPr>
          <w:lang w:val="sr-Latn-ME"/>
        </w:rPr>
        <w:t xml:space="preserve"> </w:t>
      </w:r>
      <w:r w:rsidR="005D04EB" w:rsidRPr="0047585D">
        <w:rPr>
          <w:lang w:val="sr-Latn-ME"/>
        </w:rPr>
        <w:t>insuficijencije</w:t>
      </w:r>
      <w:r w:rsidR="00200D97" w:rsidRPr="0047585D">
        <w:rPr>
          <w:lang w:val="sr-Latn-ME"/>
        </w:rPr>
        <w:t xml:space="preserve"> srca, klinički nestabilne bolesti srca ili bolesti pluća bili su isključeni iz pivotalnih registraci</w:t>
      </w:r>
      <w:r w:rsidR="007817C6" w:rsidRPr="0047585D">
        <w:rPr>
          <w:lang w:val="sr-Latn-ME"/>
        </w:rPr>
        <w:t>onih</w:t>
      </w:r>
      <w:r w:rsidR="00200D97" w:rsidRPr="0047585D">
        <w:rPr>
          <w:lang w:val="sr-Latn-ME"/>
        </w:rPr>
        <w:t xml:space="preserve"> ispitivanja (AZA PH GL 2003 CL 001 </w:t>
      </w:r>
      <w:r w:rsidR="009A3C73" w:rsidRPr="0047585D">
        <w:rPr>
          <w:lang w:val="sr-Latn-ME"/>
        </w:rPr>
        <w:t>i</w:t>
      </w:r>
      <w:r w:rsidR="003F74B7" w:rsidRPr="0047585D">
        <w:rPr>
          <w:lang w:val="sr-Latn-ME"/>
        </w:rPr>
        <w:t xml:space="preserve"> </w:t>
      </w:r>
      <w:r w:rsidR="009A3C73" w:rsidRPr="0047585D">
        <w:rPr>
          <w:lang w:val="sr-Latn-ME"/>
        </w:rPr>
        <w:t>A</w:t>
      </w:r>
      <w:r w:rsidR="00200D97" w:rsidRPr="0047585D">
        <w:rPr>
          <w:lang w:val="sr-Latn-ME"/>
        </w:rPr>
        <w:t xml:space="preserve">ZA-AML-001) pa </w:t>
      </w:r>
      <w:r w:rsidR="00570926" w:rsidRPr="0047585D">
        <w:rPr>
          <w:lang w:val="sr-Latn-ME"/>
        </w:rPr>
        <w:t>zato</w:t>
      </w:r>
      <w:r w:rsidR="00200D97" w:rsidRPr="0047585D">
        <w:rPr>
          <w:lang w:val="sr-Latn-ME"/>
        </w:rPr>
        <w:t xml:space="preserve"> </w:t>
      </w:r>
      <w:r w:rsidR="00862A19" w:rsidRPr="0047585D">
        <w:rPr>
          <w:lang w:val="sr-Latn-ME"/>
        </w:rPr>
        <w:t>bezbjednost</w:t>
      </w:r>
      <w:r w:rsidR="00200D97" w:rsidRPr="0047585D">
        <w:rPr>
          <w:lang w:val="sr-Latn-ME"/>
        </w:rPr>
        <w:t xml:space="preserve"> i </w:t>
      </w:r>
      <w:r w:rsidR="00862A19" w:rsidRPr="0047585D">
        <w:rPr>
          <w:lang w:val="sr-Latn-ME"/>
        </w:rPr>
        <w:t>efikasnost</w:t>
      </w:r>
      <w:r w:rsidR="00200D97" w:rsidRPr="0047585D">
        <w:rPr>
          <w:lang w:val="sr-Latn-ME"/>
        </w:rPr>
        <w:t xml:space="preserve"> azacitidina </w:t>
      </w:r>
      <w:r w:rsidR="005D04EB" w:rsidRPr="0047585D">
        <w:rPr>
          <w:lang w:val="sr-Latn-ME"/>
        </w:rPr>
        <w:t>kod</w:t>
      </w:r>
      <w:r w:rsidR="00200D97" w:rsidRPr="0047585D">
        <w:rPr>
          <w:lang w:val="sr-Latn-ME"/>
        </w:rPr>
        <w:t xml:space="preserve"> takvih </w:t>
      </w:r>
      <w:r w:rsidR="00862A19" w:rsidRPr="0047585D">
        <w:rPr>
          <w:lang w:val="sr-Latn-ME"/>
        </w:rPr>
        <w:t>pacijen</w:t>
      </w:r>
      <w:r w:rsidR="005D04EB" w:rsidRPr="0047585D">
        <w:rPr>
          <w:lang w:val="sr-Latn-ME"/>
        </w:rPr>
        <w:t>a</w:t>
      </w:r>
      <w:r w:rsidR="00862A19" w:rsidRPr="0047585D">
        <w:rPr>
          <w:lang w:val="sr-Latn-ME"/>
        </w:rPr>
        <w:t>t</w:t>
      </w:r>
      <w:r w:rsidR="00200D97" w:rsidRPr="0047585D">
        <w:rPr>
          <w:lang w:val="sr-Latn-ME"/>
        </w:rPr>
        <w:t xml:space="preserve">a nije ustanovljena. Noviji podaci iz kliničkog ispitivanja </w:t>
      </w:r>
      <w:r w:rsidR="005D04EB" w:rsidRPr="0047585D">
        <w:rPr>
          <w:lang w:val="sr-Latn-ME"/>
        </w:rPr>
        <w:t>kod</w:t>
      </w:r>
      <w:r w:rsidR="00200D97" w:rsidRPr="0047585D">
        <w:rPr>
          <w:lang w:val="sr-Latn-ME"/>
        </w:rPr>
        <w:t xml:space="preserve"> </w:t>
      </w:r>
      <w:r w:rsidR="00862A19" w:rsidRPr="0047585D">
        <w:rPr>
          <w:lang w:val="sr-Latn-ME"/>
        </w:rPr>
        <w:t>pacijen</w:t>
      </w:r>
      <w:r w:rsidR="005D04EB" w:rsidRPr="0047585D">
        <w:rPr>
          <w:lang w:val="sr-Latn-ME"/>
        </w:rPr>
        <w:t>a</w:t>
      </w:r>
      <w:r w:rsidR="00862A19" w:rsidRPr="0047585D">
        <w:rPr>
          <w:lang w:val="sr-Latn-ME"/>
        </w:rPr>
        <w:t>t</w:t>
      </w:r>
      <w:r w:rsidR="00200D97" w:rsidRPr="0047585D">
        <w:rPr>
          <w:lang w:val="sr-Latn-ME"/>
        </w:rPr>
        <w:t xml:space="preserve">a s kardiovaskularnom ili plućnom bolešću u </w:t>
      </w:r>
      <w:r w:rsidR="005D04EB" w:rsidRPr="0047585D">
        <w:rPr>
          <w:lang w:val="sr-Latn-ME"/>
        </w:rPr>
        <w:t>istorij</w:t>
      </w:r>
      <w:r w:rsidR="00200D97" w:rsidRPr="0047585D">
        <w:rPr>
          <w:lang w:val="sr-Latn-ME"/>
        </w:rPr>
        <w:t>i bolesti pokazali su značajno povišenu incidenciju srčanih događaja uz azacitidin (vidjeti dio 4.8).</w:t>
      </w:r>
      <w:r w:rsidR="003F74B7" w:rsidRPr="0047585D">
        <w:rPr>
          <w:lang w:val="sr-Latn-ME"/>
        </w:rPr>
        <w:t xml:space="preserve"> </w:t>
      </w:r>
      <w:r w:rsidR="005D04EB" w:rsidRPr="0047585D">
        <w:rPr>
          <w:lang w:val="sr-Latn-ME"/>
        </w:rPr>
        <w:t>Zato</w:t>
      </w:r>
      <w:r w:rsidR="00200D97" w:rsidRPr="0047585D">
        <w:rPr>
          <w:lang w:val="sr-Latn-ME"/>
        </w:rPr>
        <w:t xml:space="preserve"> se savjetuje oprez kad se azacitidin propisuje ovim </w:t>
      </w:r>
      <w:r w:rsidR="00862A19" w:rsidRPr="0047585D">
        <w:rPr>
          <w:lang w:val="sr-Latn-ME"/>
        </w:rPr>
        <w:t>pacijentima</w:t>
      </w:r>
      <w:r w:rsidR="00200D97" w:rsidRPr="0047585D">
        <w:rPr>
          <w:lang w:val="sr-Latn-ME"/>
        </w:rPr>
        <w:t>. Potrebno je razmotriti kardiopulmonalnu procjenu prije i t</w:t>
      </w:r>
      <w:r w:rsidR="005D04EB" w:rsidRPr="0047585D">
        <w:rPr>
          <w:lang w:val="sr-Latn-ME"/>
        </w:rPr>
        <w:t>o</w:t>
      </w:r>
      <w:r w:rsidR="00200D97" w:rsidRPr="0047585D">
        <w:rPr>
          <w:lang w:val="sr-Latn-ME"/>
        </w:rPr>
        <w:t>kom liječenja.</w:t>
      </w:r>
    </w:p>
    <w:p w14:paraId="19388DEA" w14:textId="77777777" w:rsidR="00101B93" w:rsidRPr="0047585D" w:rsidRDefault="00101B93" w:rsidP="00A56A66">
      <w:pPr>
        <w:pStyle w:val="BodyText"/>
        <w:jc w:val="both"/>
        <w:rPr>
          <w:u w:val="single"/>
          <w:lang w:val="sr-Latn-ME"/>
        </w:rPr>
      </w:pPr>
    </w:p>
    <w:p w14:paraId="29A908A6" w14:textId="77777777" w:rsidR="0084478E" w:rsidRPr="0047585D" w:rsidRDefault="00200D97" w:rsidP="00A56A66">
      <w:pPr>
        <w:pStyle w:val="BodyText"/>
        <w:jc w:val="both"/>
        <w:rPr>
          <w:lang w:val="sr-Latn-ME"/>
        </w:rPr>
      </w:pPr>
      <w:r w:rsidRPr="0047585D">
        <w:rPr>
          <w:u w:val="single"/>
          <w:lang w:val="sr-Latn-ME"/>
        </w:rPr>
        <w:t>Nekrotizirajući fasciitis</w:t>
      </w:r>
    </w:p>
    <w:p w14:paraId="54BD9C73" w14:textId="0879D1EB" w:rsidR="0084478E" w:rsidRPr="0047585D" w:rsidRDefault="00200D97" w:rsidP="00A56A66">
      <w:pPr>
        <w:pStyle w:val="BodyText"/>
        <w:jc w:val="both"/>
        <w:rPr>
          <w:lang w:val="sr-Latn-ME"/>
        </w:rPr>
      </w:pPr>
      <w:r w:rsidRPr="0047585D">
        <w:rPr>
          <w:lang w:val="sr-Latn-ME"/>
        </w:rPr>
        <w:t xml:space="preserve">Nekrotizirajući fasciitis, uključujući slučajeve sa smrtnim ishodom, zabilježen je </w:t>
      </w:r>
      <w:r w:rsidR="005D04EB" w:rsidRPr="0047585D">
        <w:rPr>
          <w:lang w:val="sr-Latn-ME"/>
        </w:rPr>
        <w:t xml:space="preserve">kod </w:t>
      </w:r>
      <w:r w:rsidR="00862A19" w:rsidRPr="0047585D">
        <w:rPr>
          <w:lang w:val="sr-Latn-ME"/>
        </w:rPr>
        <w:t>pacijen</w:t>
      </w:r>
      <w:r w:rsidR="005D04EB" w:rsidRPr="0047585D">
        <w:rPr>
          <w:lang w:val="sr-Latn-ME"/>
        </w:rPr>
        <w:t>a</w:t>
      </w:r>
      <w:r w:rsidR="00862A19" w:rsidRPr="0047585D">
        <w:rPr>
          <w:lang w:val="sr-Latn-ME"/>
        </w:rPr>
        <w:t>t</w:t>
      </w:r>
      <w:r w:rsidRPr="0047585D">
        <w:rPr>
          <w:lang w:val="sr-Latn-ME"/>
        </w:rPr>
        <w:t xml:space="preserve">a liječenih azacitidinom. </w:t>
      </w:r>
      <w:r w:rsidR="005D04EB" w:rsidRPr="0047585D">
        <w:rPr>
          <w:lang w:val="sr-Latn-ME"/>
        </w:rPr>
        <w:t>Kod</w:t>
      </w:r>
      <w:r w:rsidRPr="0047585D">
        <w:rPr>
          <w:lang w:val="sr-Latn-ME"/>
        </w:rPr>
        <w:t xml:space="preserve"> </w:t>
      </w:r>
      <w:r w:rsidR="00862A19" w:rsidRPr="0047585D">
        <w:rPr>
          <w:lang w:val="sr-Latn-ME"/>
        </w:rPr>
        <w:t>pacijen</w:t>
      </w:r>
      <w:r w:rsidR="005D04EB" w:rsidRPr="0047585D">
        <w:rPr>
          <w:lang w:val="sr-Latn-ME"/>
        </w:rPr>
        <w:t>a</w:t>
      </w:r>
      <w:r w:rsidR="00862A19" w:rsidRPr="0047585D">
        <w:rPr>
          <w:lang w:val="sr-Latn-ME"/>
        </w:rPr>
        <w:t>t</w:t>
      </w:r>
      <w:r w:rsidRPr="0047585D">
        <w:rPr>
          <w:lang w:val="sr-Latn-ME"/>
        </w:rPr>
        <w:t>a koji razviju nekrotizirajući fascitis, terapiju azacitidinom treba prekinuti i brzo započeti odgovarajuće liječenje.</w:t>
      </w:r>
    </w:p>
    <w:p w14:paraId="4476E735" w14:textId="77777777" w:rsidR="00D54FD0" w:rsidRPr="0047585D" w:rsidRDefault="00D54FD0" w:rsidP="00A56A66">
      <w:pPr>
        <w:pStyle w:val="BodyText"/>
        <w:jc w:val="both"/>
        <w:rPr>
          <w:lang w:val="sr-Latn-ME"/>
        </w:rPr>
      </w:pPr>
    </w:p>
    <w:p w14:paraId="0927C0F2" w14:textId="77777777" w:rsidR="0084478E" w:rsidRPr="0047585D" w:rsidRDefault="00200D97" w:rsidP="00A56A66">
      <w:pPr>
        <w:pStyle w:val="BodyText"/>
        <w:jc w:val="both"/>
        <w:rPr>
          <w:lang w:val="sr-Latn-ME"/>
        </w:rPr>
      </w:pPr>
      <w:r w:rsidRPr="0047585D">
        <w:rPr>
          <w:u w:val="single"/>
          <w:lang w:val="sr-Latn-ME"/>
        </w:rPr>
        <w:t>Sindrom lize tumora</w:t>
      </w:r>
    </w:p>
    <w:p w14:paraId="5521BD3C" w14:textId="4B1CE0C6" w:rsidR="0084478E" w:rsidRPr="0047585D" w:rsidRDefault="00450069" w:rsidP="00A56A66">
      <w:pPr>
        <w:pStyle w:val="BodyText"/>
        <w:jc w:val="both"/>
        <w:rPr>
          <w:lang w:val="sr-Latn-ME"/>
        </w:rPr>
      </w:pPr>
      <w:r w:rsidRPr="0047585D">
        <w:rPr>
          <w:lang w:val="sr-Latn-ME"/>
        </w:rPr>
        <w:t>Pacijenti</w:t>
      </w:r>
      <w:r w:rsidR="00200D97" w:rsidRPr="0047585D">
        <w:rPr>
          <w:lang w:val="sr-Latn-ME"/>
        </w:rPr>
        <w:t xml:space="preserve"> sa rizikom od sindroma lize tumora su oni koji imaju veliko opterećenje tumorskom masom prije liječenja. Te </w:t>
      </w:r>
      <w:r w:rsidR="00862A19" w:rsidRPr="0047585D">
        <w:rPr>
          <w:lang w:val="sr-Latn-ME"/>
        </w:rPr>
        <w:t>pacijent</w:t>
      </w:r>
      <w:r w:rsidR="00200D97" w:rsidRPr="0047585D">
        <w:rPr>
          <w:lang w:val="sr-Latn-ME"/>
        </w:rPr>
        <w:t xml:space="preserve">e treba </w:t>
      </w:r>
      <w:r w:rsidR="005D04EB" w:rsidRPr="0047585D">
        <w:rPr>
          <w:lang w:val="sr-Latn-ME"/>
        </w:rPr>
        <w:t>pažljiv</w:t>
      </w:r>
      <w:r w:rsidR="00200D97" w:rsidRPr="0047585D">
        <w:rPr>
          <w:lang w:val="sr-Latn-ME"/>
        </w:rPr>
        <w:t>o</w:t>
      </w:r>
      <w:r w:rsidR="007817C6" w:rsidRPr="0047585D">
        <w:rPr>
          <w:lang w:val="sr-Latn-ME"/>
        </w:rPr>
        <w:t xml:space="preserve"> prati</w:t>
      </w:r>
      <w:r w:rsidR="00FA0B15" w:rsidRPr="0047585D">
        <w:rPr>
          <w:lang w:val="sr-Latn-ME"/>
        </w:rPr>
        <w:t>ti</w:t>
      </w:r>
      <w:r w:rsidR="00200D97" w:rsidRPr="0047585D">
        <w:rPr>
          <w:lang w:val="sr-Latn-ME"/>
        </w:rPr>
        <w:t xml:space="preserve"> i p</w:t>
      </w:r>
      <w:r w:rsidR="007817C6" w:rsidRPr="0047585D">
        <w:rPr>
          <w:lang w:val="sr-Latn-ME"/>
        </w:rPr>
        <w:t xml:space="preserve">reduzimati </w:t>
      </w:r>
      <w:r w:rsidR="00200D97" w:rsidRPr="0047585D">
        <w:rPr>
          <w:lang w:val="sr-Latn-ME"/>
        </w:rPr>
        <w:t>odgovarajuće mjere opreza.</w:t>
      </w:r>
    </w:p>
    <w:p w14:paraId="2DE7D9DB" w14:textId="77777777" w:rsidR="00D54FD0" w:rsidRPr="0047585D" w:rsidRDefault="00D54FD0" w:rsidP="00A56A66">
      <w:pPr>
        <w:pStyle w:val="BodyText"/>
        <w:jc w:val="both"/>
        <w:rPr>
          <w:lang w:val="sr-Latn-ME"/>
        </w:rPr>
      </w:pPr>
    </w:p>
    <w:p w14:paraId="0A657EEB" w14:textId="77777777" w:rsidR="007817C6" w:rsidRPr="0047585D" w:rsidRDefault="007817C6" w:rsidP="00A56A66">
      <w:pPr>
        <w:pStyle w:val="BodyText"/>
        <w:jc w:val="both"/>
        <w:rPr>
          <w:u w:val="single"/>
          <w:lang w:val="sr-Latn-ME"/>
        </w:rPr>
      </w:pPr>
      <w:r w:rsidRPr="0047585D">
        <w:rPr>
          <w:u w:val="single"/>
          <w:lang w:val="sr-Latn-ME"/>
        </w:rPr>
        <w:t xml:space="preserve">Sindrom diferencijacije </w:t>
      </w:r>
    </w:p>
    <w:p w14:paraId="72C2A1DC" w14:textId="4F62DD5D" w:rsidR="007817C6" w:rsidRDefault="007817C6" w:rsidP="00A56A66">
      <w:pPr>
        <w:pStyle w:val="BodyText"/>
        <w:jc w:val="both"/>
        <w:rPr>
          <w:lang w:val="sr-Latn-ME"/>
        </w:rPr>
      </w:pPr>
      <w:r w:rsidRPr="0047585D">
        <w:rPr>
          <w:lang w:val="sr-Latn-ME"/>
        </w:rPr>
        <w:t>Kod pacijenata koji su primali azacitidin u injekciji zabilježeni su slučajevi sindroma diferencijacije (poznatog i kao sindrom retinoinske kiseline). Sindrom diferencijacije može imati smrtni ishod, a simptomi i klinički nalazi uključuju respiratorni distres, plućne infiltrate, groznica, osip, plućni edem, periferni edem, brzo dobijanje na težini, pleuralne izlive, perikardijalne izlive, hipotenziju i bubrežnu disfunkciju (vidjeti dio 4.8). Pri prvoj pojavi simptoma ili znaka koji upućuju na sindrom diferencijacije treba razmotriti liječenje visokim dozama i.v. kortikosteroida i hemodinamski nadzor. Potrebno je razmotriti privremeni prestanak primjene azacitidina u injekciji dok se simptomi ne povuku, a ako se nastavi s primjenom lijeka, savjetuje se oprez.</w:t>
      </w:r>
    </w:p>
    <w:p w14:paraId="1ED30FC7" w14:textId="77777777" w:rsidR="00DD2F06" w:rsidRPr="0047585D" w:rsidRDefault="00DD2F06" w:rsidP="00A56A66">
      <w:pPr>
        <w:pStyle w:val="BodyText"/>
        <w:jc w:val="both"/>
        <w:rPr>
          <w:lang w:val="sr-Latn-ME"/>
        </w:rPr>
      </w:pPr>
    </w:p>
    <w:p w14:paraId="3525E245" w14:textId="5A1AFF36" w:rsidR="0084478E" w:rsidRPr="0047585D" w:rsidRDefault="00200D97" w:rsidP="00A56A66">
      <w:pPr>
        <w:widowControl/>
        <w:numPr>
          <w:ilvl w:val="1"/>
          <w:numId w:val="11"/>
        </w:numPr>
        <w:tabs>
          <w:tab w:val="left" w:pos="540"/>
          <w:tab w:val="left" w:pos="569"/>
        </w:tabs>
        <w:autoSpaceDE/>
        <w:autoSpaceDN/>
        <w:ind w:left="0" w:firstLine="0"/>
        <w:jc w:val="both"/>
        <w:rPr>
          <w:b/>
          <w:bCs/>
          <w:lang w:val="sr-Latn-ME"/>
        </w:rPr>
      </w:pPr>
      <w:r w:rsidRPr="0047585D">
        <w:rPr>
          <w:b/>
          <w:bCs/>
          <w:lang w:val="sr-Latn-ME"/>
        </w:rPr>
        <w:t>Interakcije sa drugim ljekovima i druge vrste interakcija</w:t>
      </w:r>
    </w:p>
    <w:p w14:paraId="58BD955B" w14:textId="77777777" w:rsidR="00D54FD0" w:rsidRPr="0047585D" w:rsidRDefault="00D54FD0" w:rsidP="00A56A66">
      <w:pPr>
        <w:widowControl/>
        <w:tabs>
          <w:tab w:val="left" w:pos="540"/>
          <w:tab w:val="left" w:pos="569"/>
        </w:tabs>
        <w:autoSpaceDE/>
        <w:autoSpaceDN/>
        <w:jc w:val="both"/>
        <w:rPr>
          <w:b/>
          <w:bCs/>
          <w:lang w:val="sr-Latn-ME"/>
        </w:rPr>
      </w:pPr>
    </w:p>
    <w:p w14:paraId="09664F08" w14:textId="1E62D667" w:rsidR="0084478E" w:rsidRPr="0047585D" w:rsidRDefault="00200D97" w:rsidP="00A56A66">
      <w:pPr>
        <w:pStyle w:val="BodyText"/>
        <w:jc w:val="both"/>
        <w:rPr>
          <w:lang w:val="sr-Latn-ME"/>
        </w:rPr>
      </w:pPr>
      <w:r w:rsidRPr="0047585D">
        <w:rPr>
          <w:lang w:val="sr-Latn-ME"/>
        </w:rPr>
        <w:t>Na</w:t>
      </w:r>
      <w:r w:rsidR="005D04EB" w:rsidRPr="0047585D">
        <w:rPr>
          <w:lang w:val="sr-Latn-ME"/>
        </w:rPr>
        <w:t xml:space="preserve"> osnov</w:t>
      </w:r>
      <w:r w:rsidRPr="0047585D">
        <w:rPr>
          <w:lang w:val="sr-Latn-ME"/>
        </w:rPr>
        <w:t xml:space="preserve">u podataka </w:t>
      </w:r>
      <w:r w:rsidRPr="0047585D">
        <w:rPr>
          <w:i/>
          <w:lang w:val="sr-Latn-ME"/>
        </w:rPr>
        <w:t>in vitro</w:t>
      </w:r>
      <w:r w:rsidRPr="0047585D">
        <w:rPr>
          <w:lang w:val="sr-Latn-ME"/>
        </w:rPr>
        <w:t>, čini se da metabolizam azacitidina nije posredovan izoenzimima cito</w:t>
      </w:r>
      <w:r w:rsidR="00FA0B15" w:rsidRPr="0047585D">
        <w:rPr>
          <w:lang w:val="sr-Latn-ME"/>
        </w:rPr>
        <w:t>h</w:t>
      </w:r>
      <w:r w:rsidRPr="0047585D">
        <w:rPr>
          <w:lang w:val="sr-Latn-ME"/>
        </w:rPr>
        <w:t xml:space="preserve">roma P450 (CYP), UDP-glukuronil transferazama (UGT), sulfotransferazama (SULT) i glutation transferazama (GST); </w:t>
      </w:r>
      <w:r w:rsidR="005D04EB" w:rsidRPr="0047585D">
        <w:rPr>
          <w:lang w:val="sr-Latn-ME"/>
        </w:rPr>
        <w:t>pa</w:t>
      </w:r>
      <w:r w:rsidRPr="0047585D">
        <w:rPr>
          <w:lang w:val="sr-Latn-ME"/>
        </w:rPr>
        <w:t xml:space="preserve"> se smatra da interakcije povezane s tim metaboli</w:t>
      </w:r>
      <w:r w:rsidR="007817C6" w:rsidRPr="0047585D">
        <w:rPr>
          <w:lang w:val="sr-Latn-ME"/>
        </w:rPr>
        <w:t>čkim</w:t>
      </w:r>
      <w:r w:rsidRPr="0047585D">
        <w:rPr>
          <w:lang w:val="sr-Latn-ME"/>
        </w:rPr>
        <w:t xml:space="preserve"> enzimima </w:t>
      </w:r>
      <w:r w:rsidRPr="0047585D">
        <w:rPr>
          <w:i/>
          <w:lang w:val="sr-Latn-ME"/>
        </w:rPr>
        <w:t xml:space="preserve">in vivo </w:t>
      </w:r>
      <w:r w:rsidRPr="0047585D">
        <w:rPr>
          <w:lang w:val="sr-Latn-ME"/>
        </w:rPr>
        <w:t xml:space="preserve">nisu </w:t>
      </w:r>
      <w:r w:rsidRPr="0047585D">
        <w:rPr>
          <w:lang w:val="sr-Latn-ME"/>
        </w:rPr>
        <w:lastRenderedPageBreak/>
        <w:t>vjero</w:t>
      </w:r>
      <w:r w:rsidR="005D04EB" w:rsidRPr="0047585D">
        <w:rPr>
          <w:lang w:val="sr-Latn-ME"/>
        </w:rPr>
        <w:t>v</w:t>
      </w:r>
      <w:r w:rsidRPr="0047585D">
        <w:rPr>
          <w:lang w:val="sr-Latn-ME"/>
        </w:rPr>
        <w:t>atne.</w:t>
      </w:r>
    </w:p>
    <w:p w14:paraId="50C7DF2B" w14:textId="77777777" w:rsidR="00D54FD0" w:rsidRPr="0047585D" w:rsidRDefault="00D54FD0" w:rsidP="00A56A66">
      <w:pPr>
        <w:pStyle w:val="BodyText"/>
        <w:jc w:val="both"/>
        <w:rPr>
          <w:lang w:val="sr-Latn-ME"/>
        </w:rPr>
      </w:pPr>
    </w:p>
    <w:p w14:paraId="34F290D7" w14:textId="0A23CD4E" w:rsidR="0084478E" w:rsidRPr="0047585D" w:rsidRDefault="00200D97" w:rsidP="00A56A66">
      <w:pPr>
        <w:pStyle w:val="BodyText"/>
        <w:jc w:val="both"/>
        <w:rPr>
          <w:lang w:val="sr-Latn-ME"/>
        </w:rPr>
      </w:pPr>
      <w:r w:rsidRPr="0047585D">
        <w:rPr>
          <w:lang w:val="sr-Latn-ME"/>
        </w:rPr>
        <w:t>Klinički značajni inhib</w:t>
      </w:r>
      <w:r w:rsidR="00FA0B15" w:rsidRPr="0047585D">
        <w:rPr>
          <w:lang w:val="sr-Latn-ME"/>
        </w:rPr>
        <w:t>itorni</w:t>
      </w:r>
      <w:r w:rsidRPr="0047585D">
        <w:rPr>
          <w:lang w:val="sr-Latn-ME"/>
        </w:rPr>
        <w:t xml:space="preserve"> ili ind</w:t>
      </w:r>
      <w:r w:rsidR="00FA0B15" w:rsidRPr="0047585D">
        <w:rPr>
          <w:lang w:val="sr-Latn-ME"/>
        </w:rPr>
        <w:t>uktivni</w:t>
      </w:r>
      <w:r w:rsidRPr="0047585D">
        <w:rPr>
          <w:lang w:val="sr-Latn-ME"/>
        </w:rPr>
        <w:t xml:space="preserve"> </w:t>
      </w:r>
      <w:r w:rsidR="005D04EB" w:rsidRPr="0047585D">
        <w:rPr>
          <w:lang w:val="sr-Latn-ME"/>
        </w:rPr>
        <w:t>efekti</w:t>
      </w:r>
      <w:r w:rsidRPr="0047585D">
        <w:rPr>
          <w:lang w:val="sr-Latn-ME"/>
        </w:rPr>
        <w:t xml:space="preserve"> azacitidina na enzime cito</w:t>
      </w:r>
      <w:r w:rsidR="00570926" w:rsidRPr="0047585D">
        <w:rPr>
          <w:lang w:val="sr-Latn-ME"/>
        </w:rPr>
        <w:t>h</w:t>
      </w:r>
      <w:r w:rsidRPr="0047585D">
        <w:rPr>
          <w:lang w:val="sr-Latn-ME"/>
        </w:rPr>
        <w:t>roma P450 nisu vjero</w:t>
      </w:r>
      <w:r w:rsidR="005D04EB" w:rsidRPr="0047585D">
        <w:rPr>
          <w:lang w:val="sr-Latn-ME"/>
        </w:rPr>
        <w:t>v</w:t>
      </w:r>
      <w:r w:rsidRPr="0047585D">
        <w:rPr>
          <w:lang w:val="sr-Latn-ME"/>
        </w:rPr>
        <w:t>atni (vidjeti dio 5.2).</w:t>
      </w:r>
    </w:p>
    <w:p w14:paraId="2881302B" w14:textId="77777777" w:rsidR="00D54FD0" w:rsidRPr="0047585D" w:rsidRDefault="00D54FD0" w:rsidP="00A56A66">
      <w:pPr>
        <w:pStyle w:val="BodyText"/>
        <w:jc w:val="both"/>
        <w:rPr>
          <w:lang w:val="sr-Latn-ME"/>
        </w:rPr>
      </w:pPr>
    </w:p>
    <w:p w14:paraId="58AB6504" w14:textId="77777777" w:rsidR="0084478E" w:rsidRPr="0047585D" w:rsidRDefault="00200D97" w:rsidP="00A56A66">
      <w:pPr>
        <w:pStyle w:val="BodyText"/>
        <w:jc w:val="both"/>
        <w:rPr>
          <w:lang w:val="sr-Latn-ME"/>
        </w:rPr>
      </w:pPr>
      <w:r w:rsidRPr="0047585D">
        <w:rPr>
          <w:lang w:val="sr-Latn-ME"/>
        </w:rPr>
        <w:t xml:space="preserve">Nisu </w:t>
      </w:r>
      <w:r w:rsidR="00570926" w:rsidRPr="0047585D">
        <w:rPr>
          <w:lang w:val="sr-Latn-ME"/>
        </w:rPr>
        <w:t>vrše</w:t>
      </w:r>
      <w:r w:rsidRPr="0047585D">
        <w:rPr>
          <w:lang w:val="sr-Latn-ME"/>
        </w:rPr>
        <w:t>na</w:t>
      </w:r>
      <w:r w:rsidR="007817C6" w:rsidRPr="0047585D">
        <w:rPr>
          <w:lang w:val="sr-Latn-ME"/>
        </w:rPr>
        <w:t xml:space="preserve"> zvanična</w:t>
      </w:r>
      <w:r w:rsidRPr="0047585D">
        <w:rPr>
          <w:lang w:val="sr-Latn-ME"/>
        </w:rPr>
        <w:t xml:space="preserve"> klinička ispitivanja interakcija s azacitidinom.</w:t>
      </w:r>
    </w:p>
    <w:p w14:paraId="424F2D49" w14:textId="77777777" w:rsidR="00F11D13" w:rsidRPr="0047585D" w:rsidRDefault="00F11D13" w:rsidP="00A56A66">
      <w:pPr>
        <w:pStyle w:val="BodyText"/>
        <w:jc w:val="both"/>
        <w:rPr>
          <w:lang w:val="sr-Latn-ME"/>
        </w:rPr>
      </w:pPr>
    </w:p>
    <w:p w14:paraId="72891365" w14:textId="0440FAC1" w:rsidR="0084478E" w:rsidRPr="0047585D" w:rsidRDefault="00200D97" w:rsidP="00A56A66">
      <w:pPr>
        <w:widowControl/>
        <w:numPr>
          <w:ilvl w:val="1"/>
          <w:numId w:val="11"/>
        </w:numPr>
        <w:tabs>
          <w:tab w:val="left" w:pos="540"/>
          <w:tab w:val="left" w:pos="569"/>
        </w:tabs>
        <w:autoSpaceDE/>
        <w:autoSpaceDN/>
        <w:ind w:left="0" w:firstLine="0"/>
        <w:jc w:val="both"/>
        <w:rPr>
          <w:b/>
          <w:bCs/>
          <w:lang w:val="sr-Latn-ME"/>
        </w:rPr>
      </w:pPr>
      <w:r w:rsidRPr="0047585D">
        <w:rPr>
          <w:b/>
          <w:bCs/>
          <w:lang w:val="sr-Latn-ME"/>
        </w:rPr>
        <w:t>Plodnost, trudnoća i dojenje</w:t>
      </w:r>
    </w:p>
    <w:p w14:paraId="4BE06B98" w14:textId="77777777" w:rsidR="00D54FD0" w:rsidRPr="0047585D" w:rsidRDefault="00D54FD0" w:rsidP="00A56A66">
      <w:pPr>
        <w:widowControl/>
        <w:tabs>
          <w:tab w:val="left" w:pos="540"/>
          <w:tab w:val="left" w:pos="569"/>
        </w:tabs>
        <w:autoSpaceDE/>
        <w:autoSpaceDN/>
        <w:jc w:val="both"/>
        <w:rPr>
          <w:b/>
          <w:bCs/>
          <w:lang w:val="sr-Latn-ME"/>
        </w:rPr>
      </w:pPr>
    </w:p>
    <w:p w14:paraId="0FBA0DA5" w14:textId="77777777" w:rsidR="0084478E" w:rsidRPr="0047585D" w:rsidRDefault="00200D97" w:rsidP="00A56A66">
      <w:pPr>
        <w:pStyle w:val="BodyText"/>
        <w:jc w:val="both"/>
        <w:rPr>
          <w:lang w:val="sr-Latn-ME"/>
        </w:rPr>
      </w:pPr>
      <w:r w:rsidRPr="0047585D">
        <w:rPr>
          <w:u w:val="single"/>
          <w:lang w:val="sr-Latn-ME"/>
        </w:rPr>
        <w:t>Žene</w:t>
      </w:r>
      <w:r w:rsidR="007B2C96" w:rsidRPr="0047585D">
        <w:rPr>
          <w:u w:val="single"/>
          <w:lang w:val="sr-Latn-ME"/>
        </w:rPr>
        <w:t xml:space="preserve"> u</w:t>
      </w:r>
      <w:r w:rsidRPr="0047585D">
        <w:rPr>
          <w:u w:val="single"/>
          <w:lang w:val="sr-Latn-ME"/>
        </w:rPr>
        <w:t xml:space="preserve"> reproduktivn</w:t>
      </w:r>
      <w:r w:rsidR="007B2C96" w:rsidRPr="0047585D">
        <w:rPr>
          <w:u w:val="single"/>
          <w:lang w:val="sr-Latn-ME"/>
        </w:rPr>
        <w:t>om periodu</w:t>
      </w:r>
      <w:r w:rsidRPr="0047585D">
        <w:rPr>
          <w:u w:val="single"/>
          <w:lang w:val="sr-Latn-ME"/>
        </w:rPr>
        <w:t xml:space="preserve"> / Kontracepcija </w:t>
      </w:r>
      <w:r w:rsidR="005D04EB" w:rsidRPr="0047585D">
        <w:rPr>
          <w:u w:val="single"/>
          <w:lang w:val="sr-Latn-ME"/>
        </w:rPr>
        <w:t>kod</w:t>
      </w:r>
      <w:r w:rsidRPr="0047585D">
        <w:rPr>
          <w:u w:val="single"/>
          <w:lang w:val="sr-Latn-ME"/>
        </w:rPr>
        <w:t xml:space="preserve"> muškaraca i žena</w:t>
      </w:r>
    </w:p>
    <w:p w14:paraId="6FAA2178" w14:textId="521D0469" w:rsidR="0084478E" w:rsidRPr="0047585D" w:rsidRDefault="00200D97" w:rsidP="00A56A66">
      <w:pPr>
        <w:pStyle w:val="BodyText"/>
        <w:jc w:val="both"/>
        <w:rPr>
          <w:lang w:val="sr-Latn-ME"/>
        </w:rPr>
      </w:pPr>
      <w:r w:rsidRPr="0047585D">
        <w:rPr>
          <w:lang w:val="sr-Latn-ME"/>
        </w:rPr>
        <w:t>Žene u reproduktivn</w:t>
      </w:r>
      <w:r w:rsidR="007B2C96" w:rsidRPr="0047585D">
        <w:rPr>
          <w:lang w:val="sr-Latn-ME"/>
        </w:rPr>
        <w:t>om periodu</w:t>
      </w:r>
      <w:r w:rsidRPr="0047585D">
        <w:rPr>
          <w:lang w:val="sr-Latn-ME"/>
        </w:rPr>
        <w:t xml:space="preserve"> i muškarci moraju primjenjivati</w:t>
      </w:r>
      <w:r w:rsidR="005D04EB" w:rsidRPr="0047585D">
        <w:rPr>
          <w:lang w:val="sr-Latn-ME"/>
        </w:rPr>
        <w:t xml:space="preserve"> efikasn</w:t>
      </w:r>
      <w:r w:rsidRPr="0047585D">
        <w:rPr>
          <w:lang w:val="sr-Latn-ME"/>
        </w:rPr>
        <w:t>u kontracepciju za vrijeme i do 3 mjeseca nakon liječenja.</w:t>
      </w:r>
    </w:p>
    <w:p w14:paraId="3E3F04AA" w14:textId="77777777" w:rsidR="00D54FD0" w:rsidRPr="0047585D" w:rsidRDefault="00D54FD0" w:rsidP="00A56A66">
      <w:pPr>
        <w:pStyle w:val="BodyText"/>
        <w:jc w:val="both"/>
        <w:rPr>
          <w:lang w:val="sr-Latn-ME"/>
        </w:rPr>
      </w:pPr>
    </w:p>
    <w:p w14:paraId="6CD2F113" w14:textId="77777777" w:rsidR="008C7DED" w:rsidRPr="0047585D" w:rsidRDefault="008C7DED" w:rsidP="00A56A66">
      <w:pPr>
        <w:pStyle w:val="BodyText"/>
        <w:jc w:val="both"/>
        <w:rPr>
          <w:lang w:val="sr-Latn-ME"/>
        </w:rPr>
      </w:pPr>
      <w:r w:rsidRPr="0047585D">
        <w:rPr>
          <w:u w:val="single"/>
          <w:lang w:val="sr-Latn-ME"/>
        </w:rPr>
        <w:t>Plodnost</w:t>
      </w:r>
    </w:p>
    <w:p w14:paraId="73776919" w14:textId="30D66D75" w:rsidR="008C7DED" w:rsidRPr="0047585D" w:rsidRDefault="008C7DED" w:rsidP="00A56A66">
      <w:pPr>
        <w:pStyle w:val="BodyText"/>
        <w:jc w:val="both"/>
        <w:rPr>
          <w:lang w:val="sr-Latn-ME"/>
        </w:rPr>
      </w:pPr>
      <w:r w:rsidRPr="0047585D">
        <w:rPr>
          <w:lang w:val="sr-Latn-ME"/>
        </w:rPr>
        <w:t xml:space="preserve">Nema podataka o uticaju azacitidina na plodnost kod ljudi. Zabilježeni su neželjeni efekti primjene azacitidina na plodnost mužjaka kod životinja (vidjeti dio 5.3). Muškarce treba upozoriti da ne bi smjeli začeti dijete tokom liječenja i da za vrijeme liječenja i do 3 mjeseca nakon njega moraju primjenjivati efikasnu kontracepciju. Prije početka liječenja, pacijente treba upozoriti da potraže savjet o deponovanju sperme. </w:t>
      </w:r>
    </w:p>
    <w:p w14:paraId="2D31FF3E" w14:textId="77777777" w:rsidR="00D54FD0" w:rsidRPr="0047585D" w:rsidRDefault="00D54FD0" w:rsidP="00A56A66">
      <w:pPr>
        <w:pStyle w:val="BodyText"/>
        <w:jc w:val="both"/>
        <w:rPr>
          <w:lang w:val="sr-Latn-ME"/>
        </w:rPr>
      </w:pPr>
    </w:p>
    <w:p w14:paraId="4707E662" w14:textId="77777777" w:rsidR="0084478E" w:rsidRPr="0047585D" w:rsidRDefault="00200D97" w:rsidP="00A56A66">
      <w:pPr>
        <w:pStyle w:val="BodyText"/>
        <w:jc w:val="both"/>
        <w:rPr>
          <w:lang w:val="sr-Latn-ME"/>
        </w:rPr>
      </w:pPr>
      <w:r w:rsidRPr="0047585D">
        <w:rPr>
          <w:u w:val="single"/>
          <w:lang w:val="sr-Latn-ME"/>
        </w:rPr>
        <w:t>Trudnoća</w:t>
      </w:r>
    </w:p>
    <w:p w14:paraId="151E12A6" w14:textId="1A87F218" w:rsidR="0084478E" w:rsidRPr="0047585D" w:rsidRDefault="00200D97" w:rsidP="00A56A66">
      <w:pPr>
        <w:pStyle w:val="BodyText"/>
        <w:jc w:val="both"/>
        <w:rPr>
          <w:lang w:val="sr-Latn-ME"/>
        </w:rPr>
      </w:pPr>
      <w:r w:rsidRPr="0047585D">
        <w:rPr>
          <w:lang w:val="sr-Latn-ME"/>
        </w:rPr>
        <w:t xml:space="preserve">Nema odgovarajućih podataka o primjeni azacitidina </w:t>
      </w:r>
      <w:r w:rsidR="005D04EB" w:rsidRPr="0047585D">
        <w:rPr>
          <w:lang w:val="sr-Latn-ME"/>
        </w:rPr>
        <w:t>kod</w:t>
      </w:r>
      <w:r w:rsidRPr="0047585D">
        <w:rPr>
          <w:lang w:val="sr-Latn-ME"/>
        </w:rPr>
        <w:t xml:space="preserve"> trudnica. Ispitivanja na miševima pokazala su reproduktivnu toksičnost (vidjeti dio 5.3). Mogući rizik za ljude je nepoznat. Na </w:t>
      </w:r>
      <w:r w:rsidR="005D04EB" w:rsidRPr="0047585D">
        <w:rPr>
          <w:lang w:val="sr-Latn-ME"/>
        </w:rPr>
        <w:t>osnov</w:t>
      </w:r>
      <w:r w:rsidRPr="0047585D">
        <w:rPr>
          <w:lang w:val="sr-Latn-ME"/>
        </w:rPr>
        <w:t>u rezultata</w:t>
      </w:r>
      <w:r w:rsidR="007E439D" w:rsidRPr="0047585D">
        <w:rPr>
          <w:lang w:val="sr-Latn-ME"/>
        </w:rPr>
        <w:t xml:space="preserve"> </w:t>
      </w:r>
      <w:r w:rsidRPr="0047585D">
        <w:rPr>
          <w:lang w:val="sr-Latn-ME"/>
        </w:rPr>
        <w:t>ispitivanja na životinjama i mehanizma djelovanja, azacitidin se ne bi smio primjenjivati t</w:t>
      </w:r>
      <w:r w:rsidR="005D04EB" w:rsidRPr="0047585D">
        <w:rPr>
          <w:lang w:val="sr-Latn-ME"/>
        </w:rPr>
        <w:t>o</w:t>
      </w:r>
      <w:r w:rsidRPr="0047585D">
        <w:rPr>
          <w:lang w:val="sr-Latn-ME"/>
        </w:rPr>
        <w:t xml:space="preserve">kom trudnoće, </w:t>
      </w:r>
      <w:r w:rsidR="005D04EB" w:rsidRPr="0047585D">
        <w:rPr>
          <w:lang w:val="sr-Latn-ME"/>
        </w:rPr>
        <w:t>posebno to</w:t>
      </w:r>
      <w:r w:rsidRPr="0047585D">
        <w:rPr>
          <w:lang w:val="sr-Latn-ME"/>
        </w:rPr>
        <w:t>kom prvog tromjesečja, osim ako je to</w:t>
      </w:r>
      <w:r w:rsidR="0022161C" w:rsidRPr="0047585D">
        <w:rPr>
          <w:lang w:val="sr-Latn-ME"/>
        </w:rPr>
        <w:t xml:space="preserve"> neophodno</w:t>
      </w:r>
      <w:r w:rsidRPr="0047585D">
        <w:rPr>
          <w:lang w:val="sr-Latn-ME"/>
        </w:rPr>
        <w:t>. Prednosti liječenja treba uporediti s mogućim rizikom za fetus u svakom pojedinačnom slučaju.</w:t>
      </w:r>
    </w:p>
    <w:p w14:paraId="3CBB91B9" w14:textId="77777777" w:rsidR="00D54FD0" w:rsidRPr="0047585D" w:rsidRDefault="00D54FD0" w:rsidP="00A56A66">
      <w:pPr>
        <w:pStyle w:val="BodyText"/>
        <w:jc w:val="both"/>
        <w:rPr>
          <w:lang w:val="sr-Latn-ME"/>
        </w:rPr>
      </w:pPr>
    </w:p>
    <w:p w14:paraId="3DBE2400" w14:textId="77777777" w:rsidR="0084478E" w:rsidRPr="0047585D" w:rsidRDefault="00200D97" w:rsidP="00A56A66">
      <w:pPr>
        <w:pStyle w:val="BodyText"/>
        <w:jc w:val="both"/>
        <w:rPr>
          <w:lang w:val="sr-Latn-ME"/>
        </w:rPr>
      </w:pPr>
      <w:r w:rsidRPr="0047585D">
        <w:rPr>
          <w:u w:val="single"/>
          <w:lang w:val="sr-Latn-ME"/>
        </w:rPr>
        <w:t>Dojenje</w:t>
      </w:r>
    </w:p>
    <w:p w14:paraId="4277E898" w14:textId="19552F74" w:rsidR="0084478E" w:rsidRPr="0047585D" w:rsidRDefault="00200D97" w:rsidP="00A56A66">
      <w:pPr>
        <w:pStyle w:val="BodyText"/>
        <w:jc w:val="both"/>
        <w:rPr>
          <w:lang w:val="sr-Latn-ME"/>
        </w:rPr>
      </w:pPr>
      <w:r w:rsidRPr="0047585D">
        <w:rPr>
          <w:lang w:val="sr-Latn-ME"/>
        </w:rPr>
        <w:t>Nije poznato</w:t>
      </w:r>
      <w:r w:rsidR="007B2C96" w:rsidRPr="0047585D">
        <w:rPr>
          <w:lang w:val="sr-Latn-ME"/>
        </w:rPr>
        <w:t xml:space="preserve"> da li se </w:t>
      </w:r>
      <w:r w:rsidRPr="0047585D">
        <w:rPr>
          <w:lang w:val="sr-Latn-ME"/>
        </w:rPr>
        <w:t xml:space="preserve">azacitidin ili njegovi </w:t>
      </w:r>
      <w:r w:rsidR="007B2C96" w:rsidRPr="0047585D">
        <w:rPr>
          <w:lang w:val="sr-Latn-ME"/>
        </w:rPr>
        <w:t>metabolit</w:t>
      </w:r>
      <w:r w:rsidR="0022161C" w:rsidRPr="0047585D">
        <w:rPr>
          <w:lang w:val="sr-Latn-ME"/>
        </w:rPr>
        <w:t>i</w:t>
      </w:r>
      <w:r w:rsidR="007B2C96" w:rsidRPr="0047585D">
        <w:rPr>
          <w:lang w:val="sr-Latn-ME"/>
        </w:rPr>
        <w:t xml:space="preserve"> izlučuju</w:t>
      </w:r>
      <w:r w:rsidRPr="0047585D">
        <w:rPr>
          <w:lang w:val="sr-Latn-ME"/>
        </w:rPr>
        <w:t xml:space="preserve"> u majčino mlijeko. Dojenje je kontraindi</w:t>
      </w:r>
      <w:r w:rsidR="005D04EB" w:rsidRPr="0047585D">
        <w:rPr>
          <w:lang w:val="sr-Latn-ME"/>
        </w:rPr>
        <w:t>kovano to</w:t>
      </w:r>
      <w:r w:rsidRPr="0047585D">
        <w:rPr>
          <w:lang w:val="sr-Latn-ME"/>
        </w:rPr>
        <w:t>kom liječenja azacitidinom zbog mogućih ozbiljnih n</w:t>
      </w:r>
      <w:r w:rsidR="005D04EB" w:rsidRPr="0047585D">
        <w:rPr>
          <w:lang w:val="sr-Latn-ME"/>
        </w:rPr>
        <w:t>eželjenih dejstav</w:t>
      </w:r>
      <w:r w:rsidRPr="0047585D">
        <w:rPr>
          <w:lang w:val="sr-Latn-ME"/>
        </w:rPr>
        <w:t>a kod djeteta koje se doji.</w:t>
      </w:r>
    </w:p>
    <w:p w14:paraId="740A2458" w14:textId="77777777" w:rsidR="00D54FD0" w:rsidRPr="0047585D" w:rsidRDefault="00D54FD0" w:rsidP="00A56A66">
      <w:pPr>
        <w:pStyle w:val="BodyText"/>
        <w:jc w:val="both"/>
        <w:rPr>
          <w:lang w:val="sr-Latn-ME"/>
        </w:rPr>
      </w:pPr>
    </w:p>
    <w:p w14:paraId="0D22EBD5" w14:textId="26EBCEDE" w:rsidR="0084478E" w:rsidRPr="0047585D" w:rsidRDefault="00200D97" w:rsidP="00A56A66">
      <w:pPr>
        <w:widowControl/>
        <w:numPr>
          <w:ilvl w:val="1"/>
          <w:numId w:val="11"/>
        </w:numPr>
        <w:tabs>
          <w:tab w:val="left" w:pos="540"/>
          <w:tab w:val="left" w:pos="569"/>
        </w:tabs>
        <w:autoSpaceDE/>
        <w:autoSpaceDN/>
        <w:ind w:left="539" w:hanging="539"/>
        <w:rPr>
          <w:b/>
          <w:bCs/>
          <w:lang w:val="sr-Latn-ME"/>
        </w:rPr>
      </w:pPr>
      <w:r w:rsidRPr="0047585D">
        <w:rPr>
          <w:b/>
          <w:bCs/>
          <w:lang w:val="sr-Latn-ME"/>
        </w:rPr>
        <w:t xml:space="preserve">Uticaj na sposobnost upravljanja vozilima </w:t>
      </w:r>
      <w:r w:rsidR="001D4FE5" w:rsidRPr="0047585D">
        <w:rPr>
          <w:b/>
          <w:bCs/>
          <w:lang w:val="sr-Latn-ME"/>
        </w:rPr>
        <w:t>i</w:t>
      </w:r>
      <w:r w:rsidRPr="0047585D">
        <w:rPr>
          <w:b/>
          <w:bCs/>
          <w:lang w:val="sr-Latn-ME"/>
        </w:rPr>
        <w:t xml:space="preserve"> rukovanje mašinama</w:t>
      </w:r>
    </w:p>
    <w:p w14:paraId="3F6BF011" w14:textId="77777777" w:rsidR="00D54FD0" w:rsidRPr="0047585D" w:rsidRDefault="00D54FD0" w:rsidP="00A56A66">
      <w:pPr>
        <w:widowControl/>
        <w:tabs>
          <w:tab w:val="left" w:pos="540"/>
          <w:tab w:val="left" w:pos="569"/>
        </w:tabs>
        <w:autoSpaceDE/>
        <w:autoSpaceDN/>
        <w:ind w:left="539"/>
        <w:rPr>
          <w:b/>
          <w:bCs/>
          <w:lang w:val="sr-Latn-ME"/>
        </w:rPr>
      </w:pPr>
    </w:p>
    <w:p w14:paraId="0FBE1157" w14:textId="0DCABBCA" w:rsidR="0084478E" w:rsidRPr="0047585D" w:rsidRDefault="00200D97" w:rsidP="00A56A66">
      <w:pPr>
        <w:pStyle w:val="BodyText"/>
        <w:jc w:val="both"/>
        <w:rPr>
          <w:lang w:val="sr-Latn-ME"/>
        </w:rPr>
      </w:pPr>
      <w:r w:rsidRPr="0047585D">
        <w:rPr>
          <w:lang w:val="sr-Latn-ME"/>
        </w:rPr>
        <w:t>Azacitidin malo ili umjereno ut</w:t>
      </w:r>
      <w:r w:rsidR="005D04EB" w:rsidRPr="0047585D">
        <w:rPr>
          <w:lang w:val="sr-Latn-ME"/>
        </w:rPr>
        <w:t>i</w:t>
      </w:r>
      <w:r w:rsidRPr="0047585D">
        <w:rPr>
          <w:lang w:val="sr-Latn-ME"/>
        </w:rPr>
        <w:t xml:space="preserve">če na sposobnost upravljanja vozilima i rada sa </w:t>
      </w:r>
      <w:r w:rsidR="005D04EB" w:rsidRPr="0047585D">
        <w:rPr>
          <w:lang w:val="sr-Latn-ME"/>
        </w:rPr>
        <w:t>mašinam</w:t>
      </w:r>
      <w:r w:rsidRPr="0047585D">
        <w:rPr>
          <w:lang w:val="sr-Latn-ME"/>
        </w:rPr>
        <w:t>a.</w:t>
      </w:r>
      <w:r w:rsidR="0022161C" w:rsidRPr="0047585D">
        <w:rPr>
          <w:lang w:val="sr-Latn-ME"/>
        </w:rPr>
        <w:t xml:space="preserve"> Pri</w:t>
      </w:r>
      <w:r w:rsidRPr="0047585D">
        <w:rPr>
          <w:lang w:val="sr-Latn-ME"/>
        </w:rPr>
        <w:t xml:space="preserve"> primjen</w:t>
      </w:r>
      <w:r w:rsidR="0022161C" w:rsidRPr="0047585D">
        <w:rPr>
          <w:lang w:val="sr-Latn-ME"/>
        </w:rPr>
        <w:t>i</w:t>
      </w:r>
      <w:r w:rsidRPr="0047585D">
        <w:rPr>
          <w:lang w:val="sr-Latn-ME"/>
        </w:rPr>
        <w:t xml:space="preserve"> azacitidina zabilježen je umor. </w:t>
      </w:r>
      <w:r w:rsidR="00CB2B30" w:rsidRPr="0047585D">
        <w:rPr>
          <w:lang w:val="sr-Latn-ME"/>
        </w:rPr>
        <w:t xml:space="preserve">Zato </w:t>
      </w:r>
      <w:r w:rsidRPr="0047585D">
        <w:rPr>
          <w:lang w:val="sr-Latn-ME"/>
        </w:rPr>
        <w:t xml:space="preserve">se preporučuje oprez pri upravljanju vozilima ili radu sa </w:t>
      </w:r>
      <w:r w:rsidR="00CB2B30" w:rsidRPr="0047585D">
        <w:rPr>
          <w:lang w:val="sr-Latn-ME"/>
        </w:rPr>
        <w:t>mašinam</w:t>
      </w:r>
      <w:r w:rsidRPr="0047585D">
        <w:rPr>
          <w:lang w:val="sr-Latn-ME"/>
        </w:rPr>
        <w:t>a.</w:t>
      </w:r>
    </w:p>
    <w:p w14:paraId="3592FC64" w14:textId="77777777" w:rsidR="00D54FD0" w:rsidRPr="0047585D" w:rsidRDefault="00D54FD0" w:rsidP="00A56A66">
      <w:pPr>
        <w:pStyle w:val="BodyText"/>
        <w:jc w:val="both"/>
        <w:rPr>
          <w:lang w:val="sr-Latn-ME"/>
        </w:rPr>
      </w:pPr>
    </w:p>
    <w:p w14:paraId="09ABEA9C" w14:textId="0ED10065" w:rsidR="0084478E" w:rsidRPr="0047585D" w:rsidRDefault="00200D97" w:rsidP="00A56A66">
      <w:pPr>
        <w:widowControl/>
        <w:numPr>
          <w:ilvl w:val="1"/>
          <w:numId w:val="11"/>
        </w:numPr>
        <w:tabs>
          <w:tab w:val="left" w:pos="540"/>
          <w:tab w:val="left" w:pos="569"/>
        </w:tabs>
        <w:autoSpaceDE/>
        <w:autoSpaceDN/>
        <w:ind w:left="539" w:hanging="539"/>
        <w:rPr>
          <w:b/>
          <w:bCs/>
          <w:lang w:val="sr-Latn-ME"/>
        </w:rPr>
      </w:pPr>
      <w:r w:rsidRPr="0047585D">
        <w:rPr>
          <w:b/>
          <w:bCs/>
          <w:lang w:val="sr-Latn-ME"/>
        </w:rPr>
        <w:t>Neželjena dejstva</w:t>
      </w:r>
    </w:p>
    <w:p w14:paraId="0308E5D5" w14:textId="77777777" w:rsidR="00D54FD0" w:rsidRPr="0047585D" w:rsidRDefault="00D54FD0" w:rsidP="00A56A66">
      <w:pPr>
        <w:widowControl/>
        <w:tabs>
          <w:tab w:val="left" w:pos="540"/>
          <w:tab w:val="left" w:pos="569"/>
        </w:tabs>
        <w:autoSpaceDE/>
        <w:autoSpaceDN/>
        <w:ind w:left="539"/>
        <w:rPr>
          <w:b/>
          <w:bCs/>
          <w:lang w:val="sr-Latn-ME"/>
        </w:rPr>
      </w:pPr>
    </w:p>
    <w:p w14:paraId="23541866" w14:textId="77777777" w:rsidR="0084478E" w:rsidRPr="0047585D" w:rsidRDefault="00200D97" w:rsidP="00A56A66">
      <w:pPr>
        <w:pStyle w:val="BodyText"/>
        <w:jc w:val="both"/>
        <w:rPr>
          <w:lang w:val="sr-Latn-ME"/>
        </w:rPr>
      </w:pPr>
      <w:r w:rsidRPr="0047585D">
        <w:rPr>
          <w:u w:val="single"/>
          <w:lang w:val="sr-Latn-ME"/>
        </w:rPr>
        <w:t xml:space="preserve">Sažetak </w:t>
      </w:r>
      <w:r w:rsidR="00A24CDC" w:rsidRPr="0047585D">
        <w:rPr>
          <w:u w:val="single"/>
          <w:lang w:val="sr-Latn-ME"/>
        </w:rPr>
        <w:t>bezbjednosnog</w:t>
      </w:r>
      <w:r w:rsidRPr="0047585D">
        <w:rPr>
          <w:u w:val="single"/>
          <w:lang w:val="sr-Latn-ME"/>
        </w:rPr>
        <w:t xml:space="preserve"> profila</w:t>
      </w:r>
    </w:p>
    <w:p w14:paraId="394E84B2" w14:textId="1DD3F523" w:rsidR="00D54FD0" w:rsidRPr="0047585D" w:rsidRDefault="00200D97" w:rsidP="00A56A66">
      <w:pPr>
        <w:jc w:val="both"/>
        <w:rPr>
          <w:i/>
          <w:lang w:val="sr-Latn-ME"/>
        </w:rPr>
      </w:pPr>
      <w:r w:rsidRPr="0047585D">
        <w:rPr>
          <w:i/>
          <w:lang w:val="sr-Latn-ME"/>
        </w:rPr>
        <w:t xml:space="preserve">Odrasla populacija s MDS-om, </w:t>
      </w:r>
      <w:r w:rsidR="00633527" w:rsidRPr="0047585D">
        <w:rPr>
          <w:i/>
          <w:lang w:val="sr-Latn-ME"/>
        </w:rPr>
        <w:t>CMML</w:t>
      </w:r>
      <w:r w:rsidRPr="0047585D">
        <w:rPr>
          <w:i/>
          <w:lang w:val="sr-Latn-ME"/>
        </w:rPr>
        <w:t>-om i AML-om (20-30 % blasta u koštanoj srži)</w:t>
      </w:r>
    </w:p>
    <w:p w14:paraId="57CE676E" w14:textId="77777777" w:rsidR="0084478E" w:rsidRPr="0047585D" w:rsidRDefault="00200D97" w:rsidP="00A56A66">
      <w:pPr>
        <w:jc w:val="both"/>
        <w:rPr>
          <w:lang w:val="sr-Latn-ME"/>
        </w:rPr>
      </w:pPr>
      <w:r w:rsidRPr="0047585D">
        <w:rPr>
          <w:lang w:val="sr-Latn-ME"/>
        </w:rPr>
        <w:t>Ne</w:t>
      </w:r>
      <w:r w:rsidR="00CB2B30" w:rsidRPr="0047585D">
        <w:rPr>
          <w:lang w:val="sr-Latn-ME"/>
        </w:rPr>
        <w:t>željena dejstva</w:t>
      </w:r>
      <w:r w:rsidRPr="0047585D">
        <w:rPr>
          <w:lang w:val="sr-Latn-ME"/>
        </w:rPr>
        <w:t xml:space="preserve"> za koj</w:t>
      </w:r>
      <w:r w:rsidR="00CB2B30" w:rsidRPr="0047585D">
        <w:rPr>
          <w:lang w:val="sr-Latn-ME"/>
        </w:rPr>
        <w:t>a</w:t>
      </w:r>
      <w:r w:rsidRPr="0047585D">
        <w:rPr>
          <w:lang w:val="sr-Latn-ME"/>
        </w:rPr>
        <w:t xml:space="preserve"> se smatra da su možda ili vjero</w:t>
      </w:r>
      <w:r w:rsidR="00CB2B30" w:rsidRPr="0047585D">
        <w:rPr>
          <w:lang w:val="sr-Latn-ME"/>
        </w:rPr>
        <w:t>v</w:t>
      </w:r>
      <w:r w:rsidRPr="0047585D">
        <w:rPr>
          <w:lang w:val="sr-Latn-ME"/>
        </w:rPr>
        <w:t>atno povezan</w:t>
      </w:r>
      <w:r w:rsidR="00CB2B30" w:rsidRPr="0047585D">
        <w:rPr>
          <w:lang w:val="sr-Latn-ME"/>
        </w:rPr>
        <w:t>a</w:t>
      </w:r>
      <w:r w:rsidRPr="0047585D">
        <w:rPr>
          <w:lang w:val="sr-Latn-ME"/>
        </w:rPr>
        <w:t xml:space="preserve"> s primjenom azacitidina pojavil</w:t>
      </w:r>
      <w:r w:rsidR="00CB2B30" w:rsidRPr="0047585D">
        <w:rPr>
          <w:lang w:val="sr-Latn-ME"/>
        </w:rPr>
        <w:t>a</w:t>
      </w:r>
      <w:r w:rsidRPr="0047585D">
        <w:rPr>
          <w:lang w:val="sr-Latn-ME"/>
        </w:rPr>
        <w:t xml:space="preserve"> su se kod 97% </w:t>
      </w:r>
      <w:r w:rsidR="00862A19" w:rsidRPr="0047585D">
        <w:rPr>
          <w:lang w:val="sr-Latn-ME"/>
        </w:rPr>
        <w:t>pacijen</w:t>
      </w:r>
      <w:r w:rsidR="00CB2B30" w:rsidRPr="0047585D">
        <w:rPr>
          <w:lang w:val="sr-Latn-ME"/>
        </w:rPr>
        <w:t>a</w:t>
      </w:r>
      <w:r w:rsidR="00862A19" w:rsidRPr="0047585D">
        <w:rPr>
          <w:lang w:val="sr-Latn-ME"/>
        </w:rPr>
        <w:t>t</w:t>
      </w:r>
      <w:r w:rsidRPr="0047585D">
        <w:rPr>
          <w:lang w:val="sr-Latn-ME"/>
        </w:rPr>
        <w:t>a.</w:t>
      </w:r>
    </w:p>
    <w:p w14:paraId="2462C081" w14:textId="4036E5C1" w:rsidR="0084478E" w:rsidRPr="0047585D" w:rsidRDefault="00200D97" w:rsidP="00A56A66">
      <w:pPr>
        <w:pStyle w:val="BodyText"/>
        <w:jc w:val="both"/>
        <w:rPr>
          <w:lang w:val="sr-Latn-ME"/>
        </w:rPr>
      </w:pPr>
      <w:r w:rsidRPr="0047585D">
        <w:rPr>
          <w:lang w:val="sr-Latn-ME"/>
        </w:rPr>
        <w:t>Najčešć</w:t>
      </w:r>
      <w:r w:rsidR="00CB2B30" w:rsidRPr="0047585D">
        <w:rPr>
          <w:lang w:val="sr-Latn-ME"/>
        </w:rPr>
        <w:t>a</w:t>
      </w:r>
      <w:r w:rsidRPr="0047585D">
        <w:rPr>
          <w:lang w:val="sr-Latn-ME"/>
        </w:rPr>
        <w:t xml:space="preserve"> ozbiljn</w:t>
      </w:r>
      <w:r w:rsidR="00CB2B30" w:rsidRPr="0047585D">
        <w:rPr>
          <w:lang w:val="sr-Latn-ME"/>
        </w:rPr>
        <w:t>a</w:t>
      </w:r>
      <w:r w:rsidRPr="0047585D">
        <w:rPr>
          <w:lang w:val="sr-Latn-ME"/>
        </w:rPr>
        <w:t xml:space="preserve"> </w:t>
      </w:r>
      <w:r w:rsidR="00CB2B30" w:rsidRPr="0047585D">
        <w:rPr>
          <w:lang w:val="sr-Latn-ME"/>
        </w:rPr>
        <w:t>neželjena dejstva</w:t>
      </w:r>
      <w:r w:rsidRPr="0047585D">
        <w:rPr>
          <w:lang w:val="sr-Latn-ME"/>
        </w:rPr>
        <w:t xml:space="preserve"> zabilježen</w:t>
      </w:r>
      <w:r w:rsidR="00CB2B30" w:rsidRPr="0047585D">
        <w:rPr>
          <w:lang w:val="sr-Latn-ME"/>
        </w:rPr>
        <w:t>a</w:t>
      </w:r>
      <w:r w:rsidRPr="0047585D">
        <w:rPr>
          <w:lang w:val="sr-Latn-ME"/>
        </w:rPr>
        <w:t xml:space="preserve"> u pivotalnom ispitivanju (AZA PH GL 2003 CL 001) uključival</w:t>
      </w:r>
      <w:r w:rsidR="00CB2B30" w:rsidRPr="0047585D">
        <w:rPr>
          <w:lang w:val="sr-Latn-ME"/>
        </w:rPr>
        <w:t>a</w:t>
      </w:r>
      <w:r w:rsidRPr="0047585D">
        <w:rPr>
          <w:lang w:val="sr-Latn-ME"/>
        </w:rPr>
        <w:t xml:space="preserve"> su febrilnu neutropeniju (8,0 %) i anemiju (2,3 %), koje su takođe bile prijavljene u potpornim ispitivanjima (CALGB 9221 i CALGB 8921). Drug</w:t>
      </w:r>
      <w:r w:rsidR="00CB2B30" w:rsidRPr="0047585D">
        <w:rPr>
          <w:lang w:val="sr-Latn-ME"/>
        </w:rPr>
        <w:t>a</w:t>
      </w:r>
      <w:r w:rsidRPr="0047585D">
        <w:rPr>
          <w:lang w:val="sr-Latn-ME"/>
        </w:rPr>
        <w:t xml:space="preserve"> ozbiljn</w:t>
      </w:r>
      <w:r w:rsidR="00CB2B30" w:rsidRPr="0047585D">
        <w:rPr>
          <w:lang w:val="sr-Latn-ME"/>
        </w:rPr>
        <w:t>a</w:t>
      </w:r>
      <w:r w:rsidRPr="0047585D">
        <w:rPr>
          <w:lang w:val="sr-Latn-ME"/>
        </w:rPr>
        <w:t xml:space="preserve"> n</w:t>
      </w:r>
      <w:r w:rsidR="00CB2B30" w:rsidRPr="0047585D">
        <w:rPr>
          <w:lang w:val="sr-Latn-ME"/>
        </w:rPr>
        <w:t>eželjena dejstva</w:t>
      </w:r>
      <w:r w:rsidRPr="0047585D">
        <w:rPr>
          <w:lang w:val="sr-Latn-ME"/>
        </w:rPr>
        <w:t xml:space="preserve"> iz ta 3 ispitivanja uključival</w:t>
      </w:r>
      <w:r w:rsidR="00CB2B30" w:rsidRPr="0047585D">
        <w:rPr>
          <w:lang w:val="sr-Latn-ME"/>
        </w:rPr>
        <w:t>a</w:t>
      </w:r>
      <w:r w:rsidRPr="0047585D">
        <w:rPr>
          <w:lang w:val="sr-Latn-ME"/>
        </w:rPr>
        <w:t xml:space="preserve"> su infekcije kao što su neutropenijska sepsa (0,8 %) i pneumonija (2,5 %) (neke sa smrtnim ishodom), trombocitopeniju (3,5 %), reakcije preosjetljivosti (0,25 %) i hemoragijske događaje (npr. moždano krvarenje [0,5 %], gastrointestinalno krvarenje [0,8 %] i intrakranijalno krvarenje [0,5 %]).</w:t>
      </w:r>
    </w:p>
    <w:p w14:paraId="1518F036" w14:textId="77777777" w:rsidR="00D54FD0" w:rsidRPr="0047585D" w:rsidRDefault="00D54FD0" w:rsidP="00A56A66">
      <w:pPr>
        <w:pStyle w:val="BodyText"/>
        <w:jc w:val="both"/>
        <w:rPr>
          <w:lang w:val="sr-Latn-ME"/>
        </w:rPr>
      </w:pPr>
    </w:p>
    <w:p w14:paraId="7B7FCAA9" w14:textId="01781163" w:rsidR="0084478E" w:rsidRPr="0047585D" w:rsidRDefault="00200D97" w:rsidP="00A56A66">
      <w:pPr>
        <w:pStyle w:val="BodyText"/>
        <w:jc w:val="both"/>
        <w:rPr>
          <w:lang w:val="sr-Latn-ME"/>
        </w:rPr>
      </w:pPr>
      <w:r w:rsidRPr="0047585D">
        <w:rPr>
          <w:lang w:val="sr-Latn-ME"/>
        </w:rPr>
        <w:t>Najčešće prijavljen</w:t>
      </w:r>
      <w:r w:rsidR="00CB2B30" w:rsidRPr="0047585D">
        <w:rPr>
          <w:lang w:val="sr-Latn-ME"/>
        </w:rPr>
        <w:t>a</w:t>
      </w:r>
      <w:r w:rsidRPr="0047585D">
        <w:rPr>
          <w:lang w:val="sr-Latn-ME"/>
        </w:rPr>
        <w:t xml:space="preserve"> n</w:t>
      </w:r>
      <w:r w:rsidR="00CB2B30" w:rsidRPr="0047585D">
        <w:rPr>
          <w:lang w:val="sr-Latn-ME"/>
        </w:rPr>
        <w:t>eželjena dejstva</w:t>
      </w:r>
      <w:r w:rsidRPr="0047585D">
        <w:rPr>
          <w:lang w:val="sr-Latn-ME"/>
        </w:rPr>
        <w:t xml:space="preserve"> kod liječenja azacitidinom bil</w:t>
      </w:r>
      <w:r w:rsidR="00CB2B30" w:rsidRPr="0047585D">
        <w:rPr>
          <w:lang w:val="sr-Latn-ME"/>
        </w:rPr>
        <w:t>a</w:t>
      </w:r>
      <w:r w:rsidRPr="0047585D">
        <w:rPr>
          <w:lang w:val="sr-Latn-ME"/>
        </w:rPr>
        <w:t xml:space="preserve"> su hematološke reakcije (71,4 %), uključujući trombocitopeniju, neutropeniju i leukopeniju (najčešće 3.-4. </w:t>
      </w:r>
      <w:r w:rsidR="00862A19" w:rsidRPr="0047585D">
        <w:rPr>
          <w:lang w:val="sr-Latn-ME"/>
        </w:rPr>
        <w:t>stepena</w:t>
      </w:r>
      <w:r w:rsidRPr="0047585D">
        <w:rPr>
          <w:lang w:val="sr-Latn-ME"/>
        </w:rPr>
        <w:t xml:space="preserve">), gastrointestinalni događaji (60,6 %) uključujući mučninu, povraćanje (najčešće 1.-2. </w:t>
      </w:r>
      <w:r w:rsidR="00862A19" w:rsidRPr="0047585D">
        <w:rPr>
          <w:lang w:val="sr-Latn-ME"/>
        </w:rPr>
        <w:t>stepena</w:t>
      </w:r>
      <w:r w:rsidRPr="0047585D">
        <w:rPr>
          <w:lang w:val="sr-Latn-ME"/>
        </w:rPr>
        <w:t xml:space="preserve">) ili reakcije na mjestu primjene (77,1 %; najčešće 1.-2. </w:t>
      </w:r>
      <w:r w:rsidR="00862A19" w:rsidRPr="0047585D">
        <w:rPr>
          <w:lang w:val="sr-Latn-ME"/>
        </w:rPr>
        <w:t>stepena</w:t>
      </w:r>
      <w:r w:rsidRPr="0047585D">
        <w:rPr>
          <w:lang w:val="sr-Latn-ME"/>
        </w:rPr>
        <w:t>).</w:t>
      </w:r>
    </w:p>
    <w:p w14:paraId="763FB1CB" w14:textId="77777777" w:rsidR="00D54FD0" w:rsidRPr="0047585D" w:rsidRDefault="00D54FD0" w:rsidP="00A56A66">
      <w:pPr>
        <w:pStyle w:val="BodyText"/>
        <w:jc w:val="both"/>
        <w:rPr>
          <w:lang w:val="sr-Latn-ME"/>
        </w:rPr>
      </w:pPr>
    </w:p>
    <w:p w14:paraId="708E9F44" w14:textId="77777777" w:rsidR="0084478E" w:rsidRPr="0047585D" w:rsidRDefault="00200D97" w:rsidP="00A56A66">
      <w:pPr>
        <w:jc w:val="both"/>
        <w:rPr>
          <w:i/>
          <w:lang w:val="sr-Latn-ME"/>
        </w:rPr>
      </w:pPr>
      <w:r w:rsidRPr="0047585D">
        <w:rPr>
          <w:i/>
          <w:lang w:val="sr-Latn-ME"/>
        </w:rPr>
        <w:lastRenderedPageBreak/>
        <w:t xml:space="preserve">Odrasla populacija </w:t>
      </w:r>
      <w:r w:rsidR="00862A19" w:rsidRPr="0047585D">
        <w:rPr>
          <w:i/>
          <w:lang w:val="sr-Latn-ME"/>
        </w:rPr>
        <w:t>uzrasta</w:t>
      </w:r>
      <w:r w:rsidRPr="0047585D">
        <w:rPr>
          <w:i/>
          <w:lang w:val="sr-Latn-ME"/>
        </w:rPr>
        <w:t xml:space="preserve"> od 65 ili više godina s AML-om s &gt; 30 % blasta u koštanoj srži</w:t>
      </w:r>
    </w:p>
    <w:p w14:paraId="2A80E6DF" w14:textId="58E423F9" w:rsidR="0084478E" w:rsidRPr="0047585D" w:rsidRDefault="00200D97" w:rsidP="00A56A66">
      <w:pPr>
        <w:pStyle w:val="BodyText"/>
        <w:jc w:val="both"/>
        <w:rPr>
          <w:lang w:val="sr-Latn-ME"/>
        </w:rPr>
      </w:pPr>
      <w:r w:rsidRPr="0047585D">
        <w:rPr>
          <w:lang w:val="sr-Latn-ME"/>
        </w:rPr>
        <w:t>Najčešć</w:t>
      </w:r>
      <w:r w:rsidR="00CB2B30" w:rsidRPr="0047585D">
        <w:rPr>
          <w:lang w:val="sr-Latn-ME"/>
        </w:rPr>
        <w:t>a</w:t>
      </w:r>
      <w:r w:rsidRPr="0047585D">
        <w:rPr>
          <w:lang w:val="sr-Latn-ME"/>
        </w:rPr>
        <w:t xml:space="preserve"> ozbiljn</w:t>
      </w:r>
      <w:r w:rsidR="00CB2B30" w:rsidRPr="0047585D">
        <w:rPr>
          <w:lang w:val="sr-Latn-ME"/>
        </w:rPr>
        <w:t>a</w:t>
      </w:r>
      <w:r w:rsidRPr="0047585D">
        <w:rPr>
          <w:lang w:val="sr-Latn-ME"/>
        </w:rPr>
        <w:t xml:space="preserve"> n</w:t>
      </w:r>
      <w:r w:rsidR="00CB2B30" w:rsidRPr="0047585D">
        <w:rPr>
          <w:lang w:val="sr-Latn-ME"/>
        </w:rPr>
        <w:t>eželjena dejstva</w:t>
      </w:r>
      <w:r w:rsidRPr="0047585D">
        <w:rPr>
          <w:lang w:val="sr-Latn-ME"/>
        </w:rPr>
        <w:t xml:space="preserve"> (≥ 10 %) zabilježen</w:t>
      </w:r>
      <w:r w:rsidR="00CB2B30" w:rsidRPr="0047585D">
        <w:rPr>
          <w:lang w:val="sr-Latn-ME"/>
        </w:rPr>
        <w:t>a</w:t>
      </w:r>
      <w:r w:rsidRPr="0047585D">
        <w:rPr>
          <w:lang w:val="sr-Latn-ME"/>
        </w:rPr>
        <w:t xml:space="preserve"> u ispitivanju AZA-AML-001 u </w:t>
      </w:r>
      <w:r w:rsidR="00CB2B30" w:rsidRPr="0047585D">
        <w:rPr>
          <w:lang w:val="sr-Latn-ME"/>
        </w:rPr>
        <w:t>grup</w:t>
      </w:r>
      <w:r w:rsidRPr="0047585D">
        <w:rPr>
          <w:lang w:val="sr-Latn-ME"/>
        </w:rPr>
        <w:t>i liječenoj azacitidinom uključival</w:t>
      </w:r>
      <w:r w:rsidR="00CB2B30" w:rsidRPr="0047585D">
        <w:rPr>
          <w:lang w:val="sr-Latn-ME"/>
        </w:rPr>
        <w:t>a</w:t>
      </w:r>
      <w:r w:rsidRPr="0047585D">
        <w:rPr>
          <w:lang w:val="sr-Latn-ME"/>
        </w:rPr>
        <w:t xml:space="preserve"> su febrilnu neutropeniju (25,0 %), pneumoniju (20,3 %) i pireksiju (10,6 %). Drug</w:t>
      </w:r>
      <w:r w:rsidR="00CB2B30" w:rsidRPr="0047585D">
        <w:rPr>
          <w:lang w:val="sr-Latn-ME"/>
        </w:rPr>
        <w:t>a</w:t>
      </w:r>
      <w:r w:rsidRPr="0047585D">
        <w:rPr>
          <w:lang w:val="sr-Latn-ME"/>
        </w:rPr>
        <w:t xml:space="preserve"> </w:t>
      </w:r>
      <w:r w:rsidR="00734EDA" w:rsidRPr="0047585D">
        <w:rPr>
          <w:lang w:val="sr-Latn-ME"/>
        </w:rPr>
        <w:t>povremeno</w:t>
      </w:r>
      <w:r w:rsidRPr="0047585D">
        <w:rPr>
          <w:lang w:val="sr-Latn-ME"/>
        </w:rPr>
        <w:t xml:space="preserve"> zabilježen</w:t>
      </w:r>
      <w:r w:rsidR="00CB2B30" w:rsidRPr="0047585D">
        <w:rPr>
          <w:lang w:val="sr-Latn-ME"/>
        </w:rPr>
        <w:t>a</w:t>
      </w:r>
      <w:r w:rsidRPr="0047585D">
        <w:rPr>
          <w:lang w:val="sr-Latn-ME"/>
        </w:rPr>
        <w:t xml:space="preserve"> ozbiljn</w:t>
      </w:r>
      <w:r w:rsidR="00CB2B30" w:rsidRPr="0047585D">
        <w:rPr>
          <w:lang w:val="sr-Latn-ME"/>
        </w:rPr>
        <w:t xml:space="preserve">a </w:t>
      </w:r>
      <w:r w:rsidRPr="0047585D">
        <w:rPr>
          <w:lang w:val="sr-Latn-ME"/>
        </w:rPr>
        <w:t>n</w:t>
      </w:r>
      <w:r w:rsidR="00CB2B30" w:rsidRPr="0047585D">
        <w:rPr>
          <w:lang w:val="sr-Latn-ME"/>
        </w:rPr>
        <w:t>eželjena dejstva</w:t>
      </w:r>
      <w:r w:rsidRPr="0047585D">
        <w:rPr>
          <w:lang w:val="sr-Latn-ME"/>
        </w:rPr>
        <w:t xml:space="preserve"> u </w:t>
      </w:r>
      <w:r w:rsidR="00CB2B30" w:rsidRPr="0047585D">
        <w:rPr>
          <w:lang w:val="sr-Latn-ME"/>
        </w:rPr>
        <w:t>grup</w:t>
      </w:r>
      <w:r w:rsidRPr="0047585D">
        <w:rPr>
          <w:lang w:val="sr-Latn-ME"/>
        </w:rPr>
        <w:t>i liječenoj azacitidinom uključival</w:t>
      </w:r>
      <w:r w:rsidR="00CB2B30" w:rsidRPr="0047585D">
        <w:rPr>
          <w:lang w:val="sr-Latn-ME"/>
        </w:rPr>
        <w:t xml:space="preserve">a </w:t>
      </w:r>
      <w:r w:rsidRPr="0047585D">
        <w:rPr>
          <w:lang w:val="sr-Latn-ME"/>
        </w:rPr>
        <w:t>su sepsu (5,1 %), anemiju (4,2 %), neutropenijsku sepsu (3,0 %), infekciju mokraćnog s</w:t>
      </w:r>
      <w:r w:rsidR="00CB2B30" w:rsidRPr="0047585D">
        <w:rPr>
          <w:lang w:val="sr-Latn-ME"/>
        </w:rPr>
        <w:t>istem</w:t>
      </w:r>
      <w:r w:rsidRPr="0047585D">
        <w:rPr>
          <w:lang w:val="sr-Latn-ME"/>
        </w:rPr>
        <w:t xml:space="preserve">a (3,0 %), trombocitopeniju (2,5 %), neutropeniju (2,1 %), celulitis (2,1 %), </w:t>
      </w:r>
      <w:r w:rsidR="00CB2B30" w:rsidRPr="0047585D">
        <w:rPr>
          <w:lang w:val="sr-Latn-ME"/>
        </w:rPr>
        <w:t>vrtoglavic</w:t>
      </w:r>
      <w:r w:rsidRPr="0047585D">
        <w:rPr>
          <w:lang w:val="sr-Latn-ME"/>
        </w:rPr>
        <w:t>u (2,1 %) i dispneju (2,1 %).</w:t>
      </w:r>
    </w:p>
    <w:p w14:paraId="4344EFD5" w14:textId="77777777" w:rsidR="00D54FD0" w:rsidRPr="0047585D" w:rsidRDefault="00D54FD0" w:rsidP="00A56A66">
      <w:pPr>
        <w:pStyle w:val="BodyText"/>
        <w:jc w:val="both"/>
        <w:rPr>
          <w:lang w:val="sr-Latn-ME"/>
        </w:rPr>
      </w:pPr>
    </w:p>
    <w:p w14:paraId="2E25B388" w14:textId="4A854953" w:rsidR="0084478E" w:rsidRPr="0047585D" w:rsidRDefault="00200D97" w:rsidP="00A56A66">
      <w:pPr>
        <w:pStyle w:val="BodyText"/>
        <w:jc w:val="both"/>
        <w:rPr>
          <w:lang w:val="sr-Latn-ME"/>
        </w:rPr>
      </w:pPr>
      <w:r w:rsidRPr="0047585D">
        <w:rPr>
          <w:lang w:val="sr-Latn-ME"/>
        </w:rPr>
        <w:t>Najčešće zabilježen</w:t>
      </w:r>
      <w:r w:rsidR="00CB2B30" w:rsidRPr="0047585D">
        <w:rPr>
          <w:lang w:val="sr-Latn-ME"/>
        </w:rPr>
        <w:t xml:space="preserve">a </w:t>
      </w:r>
      <w:r w:rsidRPr="0047585D">
        <w:rPr>
          <w:lang w:val="sr-Latn-ME"/>
        </w:rPr>
        <w:t xml:space="preserve">(≥ 30 %) </w:t>
      </w:r>
      <w:r w:rsidR="00CB2B30" w:rsidRPr="0047585D">
        <w:rPr>
          <w:lang w:val="sr-Latn-ME"/>
        </w:rPr>
        <w:t>neželjena dejstva</w:t>
      </w:r>
      <w:r w:rsidR="00FD6B74" w:rsidRPr="0047585D">
        <w:rPr>
          <w:lang w:val="sr-Latn-ME"/>
        </w:rPr>
        <w:t xml:space="preserve"> povezana sa </w:t>
      </w:r>
      <w:r w:rsidRPr="0047585D">
        <w:rPr>
          <w:lang w:val="sr-Latn-ME"/>
        </w:rPr>
        <w:t>liječenje</w:t>
      </w:r>
      <w:r w:rsidR="00FD6B74" w:rsidRPr="0047585D">
        <w:rPr>
          <w:lang w:val="sr-Latn-ME"/>
        </w:rPr>
        <w:t>m</w:t>
      </w:r>
      <w:r w:rsidRPr="0047585D">
        <w:rPr>
          <w:lang w:val="sr-Latn-ME"/>
        </w:rPr>
        <w:t xml:space="preserve"> azacitidinom bil</w:t>
      </w:r>
      <w:r w:rsidR="00CB2B30" w:rsidRPr="0047585D">
        <w:rPr>
          <w:lang w:val="sr-Latn-ME"/>
        </w:rPr>
        <w:t>a</w:t>
      </w:r>
      <w:r w:rsidRPr="0047585D">
        <w:rPr>
          <w:lang w:val="sr-Latn-ME"/>
        </w:rPr>
        <w:t xml:space="preserve"> su gastrointestinalni događaji, uključujući konstipaciju (41,9 %), mučninu (39,8 %) i </w:t>
      </w:r>
      <w:r w:rsidR="00CB2B30" w:rsidRPr="0047585D">
        <w:rPr>
          <w:lang w:val="sr-Latn-ME"/>
        </w:rPr>
        <w:t>dijareju</w:t>
      </w:r>
      <w:r w:rsidRPr="0047585D">
        <w:rPr>
          <w:lang w:val="sr-Latn-ME"/>
        </w:rPr>
        <w:t xml:space="preserve"> (36,9 %), (obično 1.-2. </w:t>
      </w:r>
      <w:r w:rsidR="00862A19" w:rsidRPr="0047585D">
        <w:rPr>
          <w:lang w:val="sr-Latn-ME"/>
        </w:rPr>
        <w:t>stepena</w:t>
      </w:r>
      <w:r w:rsidRPr="0047585D">
        <w:rPr>
          <w:lang w:val="sr-Latn-ME"/>
        </w:rPr>
        <w:t>), op</w:t>
      </w:r>
      <w:r w:rsidR="00CB2B30" w:rsidRPr="0047585D">
        <w:rPr>
          <w:lang w:val="sr-Latn-ME"/>
        </w:rPr>
        <w:t>št</w:t>
      </w:r>
      <w:r w:rsidRPr="0047585D">
        <w:rPr>
          <w:lang w:val="sr-Latn-ME"/>
        </w:rPr>
        <w:t xml:space="preserve">e poremećaje i reakcije na mjestu primjene uključujući pireksiju (37,7 %; obično 1.-2. </w:t>
      </w:r>
      <w:r w:rsidR="00862A19" w:rsidRPr="0047585D">
        <w:rPr>
          <w:lang w:val="sr-Latn-ME"/>
        </w:rPr>
        <w:t>stepena</w:t>
      </w:r>
      <w:r w:rsidRPr="0047585D">
        <w:rPr>
          <w:lang w:val="sr-Latn-ME"/>
        </w:rPr>
        <w:t xml:space="preserve">) i hematološke događaje, koji su uključivali febrilnu neutropeniju (32,2 %) i neutropeniju (30,1 %), (obično 3.-4. </w:t>
      </w:r>
      <w:r w:rsidR="00862A19" w:rsidRPr="0047585D">
        <w:rPr>
          <w:lang w:val="sr-Latn-ME"/>
        </w:rPr>
        <w:t>stepena</w:t>
      </w:r>
      <w:r w:rsidRPr="0047585D">
        <w:rPr>
          <w:lang w:val="sr-Latn-ME"/>
        </w:rPr>
        <w:t>).</w:t>
      </w:r>
    </w:p>
    <w:p w14:paraId="765ADC2D" w14:textId="77777777" w:rsidR="00D54FD0" w:rsidRPr="0047585D" w:rsidRDefault="00D54FD0" w:rsidP="00A56A66">
      <w:pPr>
        <w:pStyle w:val="BodyText"/>
        <w:jc w:val="both"/>
        <w:rPr>
          <w:lang w:val="sr-Latn-ME"/>
        </w:rPr>
      </w:pPr>
    </w:p>
    <w:p w14:paraId="77653CEC" w14:textId="77777777" w:rsidR="0084478E" w:rsidRPr="0047585D" w:rsidRDefault="00200D97" w:rsidP="00A56A66">
      <w:pPr>
        <w:pStyle w:val="BodyText"/>
        <w:jc w:val="both"/>
        <w:rPr>
          <w:lang w:val="sr-Latn-ME"/>
        </w:rPr>
      </w:pPr>
      <w:r w:rsidRPr="0047585D">
        <w:rPr>
          <w:u w:val="single"/>
          <w:lang w:val="sr-Latn-ME"/>
        </w:rPr>
        <w:t>Tab</w:t>
      </w:r>
      <w:r w:rsidR="007B2C96" w:rsidRPr="0047585D">
        <w:rPr>
          <w:u w:val="single"/>
          <w:lang w:val="sr-Latn-ME"/>
        </w:rPr>
        <w:t>elarni</w:t>
      </w:r>
      <w:r w:rsidRPr="0047585D">
        <w:rPr>
          <w:u w:val="single"/>
          <w:lang w:val="sr-Latn-ME"/>
        </w:rPr>
        <w:t xml:space="preserve"> prikaz n</w:t>
      </w:r>
      <w:r w:rsidR="00CB2B30" w:rsidRPr="0047585D">
        <w:rPr>
          <w:u w:val="single"/>
          <w:lang w:val="sr-Latn-ME"/>
        </w:rPr>
        <w:t>eželjenih dejstava</w:t>
      </w:r>
    </w:p>
    <w:p w14:paraId="01DF25BF" w14:textId="09CF0E4C" w:rsidR="0084478E" w:rsidRPr="0047585D" w:rsidRDefault="000E77E9" w:rsidP="00A56A66">
      <w:pPr>
        <w:pStyle w:val="BodyText"/>
        <w:jc w:val="both"/>
        <w:rPr>
          <w:lang w:val="sr-Latn-ME"/>
        </w:rPr>
      </w:pPr>
      <w:r w:rsidRPr="0047585D">
        <w:rPr>
          <w:lang w:val="sr-Latn-ME"/>
        </w:rPr>
        <w:t>T</w:t>
      </w:r>
      <w:r w:rsidR="00200D97" w:rsidRPr="0047585D">
        <w:rPr>
          <w:lang w:val="sr-Latn-ME"/>
        </w:rPr>
        <w:t>ab</w:t>
      </w:r>
      <w:r w:rsidR="00F67055" w:rsidRPr="0047585D">
        <w:rPr>
          <w:lang w:val="sr-Latn-ME"/>
        </w:rPr>
        <w:t>el</w:t>
      </w:r>
      <w:r w:rsidR="00200D97" w:rsidRPr="0047585D">
        <w:rPr>
          <w:lang w:val="sr-Latn-ME"/>
        </w:rPr>
        <w:t>a 1 sadrži n</w:t>
      </w:r>
      <w:r w:rsidR="00CB2B30" w:rsidRPr="0047585D">
        <w:rPr>
          <w:lang w:val="sr-Latn-ME"/>
        </w:rPr>
        <w:t>eželjena dejstva</w:t>
      </w:r>
      <w:r w:rsidR="00200D97" w:rsidRPr="0047585D">
        <w:rPr>
          <w:lang w:val="sr-Latn-ME"/>
        </w:rPr>
        <w:t xml:space="preserve"> povezan</w:t>
      </w:r>
      <w:r w:rsidR="00CB2B30" w:rsidRPr="0047585D">
        <w:rPr>
          <w:lang w:val="sr-Latn-ME"/>
        </w:rPr>
        <w:t>a</w:t>
      </w:r>
      <w:r w:rsidR="00200D97" w:rsidRPr="0047585D">
        <w:rPr>
          <w:lang w:val="sr-Latn-ME"/>
        </w:rPr>
        <w:t xml:space="preserve"> s</w:t>
      </w:r>
      <w:r w:rsidRPr="0047585D">
        <w:rPr>
          <w:lang w:val="sr-Latn-ME"/>
        </w:rPr>
        <w:t>a</w:t>
      </w:r>
      <w:r w:rsidR="00200D97" w:rsidRPr="0047585D">
        <w:rPr>
          <w:lang w:val="sr-Latn-ME"/>
        </w:rPr>
        <w:t xml:space="preserve"> liječenjem azacitidinom, dobi</w:t>
      </w:r>
      <w:r w:rsidR="00CB2B30" w:rsidRPr="0047585D">
        <w:rPr>
          <w:lang w:val="sr-Latn-ME"/>
        </w:rPr>
        <w:t>j</w:t>
      </w:r>
      <w:r w:rsidR="00200D97" w:rsidRPr="0047585D">
        <w:rPr>
          <w:lang w:val="sr-Latn-ME"/>
        </w:rPr>
        <w:t>en</w:t>
      </w:r>
      <w:r w:rsidR="00CB2B30" w:rsidRPr="0047585D">
        <w:rPr>
          <w:lang w:val="sr-Latn-ME"/>
        </w:rPr>
        <w:t>a</w:t>
      </w:r>
      <w:r w:rsidR="00200D97" w:rsidRPr="0047585D">
        <w:rPr>
          <w:lang w:val="sr-Latn-ME"/>
        </w:rPr>
        <w:t xml:space="preserve"> iz glavnih kliničkih ispitivanja MDS-a i AML-a i postmarketinškog praćenja.</w:t>
      </w:r>
    </w:p>
    <w:p w14:paraId="67643B3F" w14:textId="77777777" w:rsidR="00D54FD0" w:rsidRPr="0047585D" w:rsidRDefault="00D54FD0" w:rsidP="00A56A66">
      <w:pPr>
        <w:pStyle w:val="BodyText"/>
        <w:jc w:val="both"/>
        <w:rPr>
          <w:lang w:val="sr-Latn-ME"/>
        </w:rPr>
      </w:pPr>
    </w:p>
    <w:p w14:paraId="68B7B52D" w14:textId="33C3AAA0" w:rsidR="0084478E" w:rsidRPr="0047585D" w:rsidRDefault="00200D97" w:rsidP="00A56A66">
      <w:pPr>
        <w:pStyle w:val="BodyText"/>
        <w:jc w:val="both"/>
        <w:rPr>
          <w:lang w:val="sr-Latn-ME"/>
        </w:rPr>
      </w:pPr>
      <w:r w:rsidRPr="0047585D">
        <w:rPr>
          <w:lang w:val="sr-Latn-ME"/>
        </w:rPr>
        <w:t>Učestalost n</w:t>
      </w:r>
      <w:r w:rsidR="00CB2B30" w:rsidRPr="0047585D">
        <w:rPr>
          <w:lang w:val="sr-Latn-ME"/>
        </w:rPr>
        <w:t>eželjenih dejstava</w:t>
      </w:r>
      <w:r w:rsidRPr="0047585D">
        <w:rPr>
          <w:lang w:val="sr-Latn-ME"/>
        </w:rPr>
        <w:t xml:space="preserve"> defini</w:t>
      </w:r>
      <w:r w:rsidR="00CB2B30" w:rsidRPr="0047585D">
        <w:rPr>
          <w:lang w:val="sr-Latn-ME"/>
        </w:rPr>
        <w:t>s</w:t>
      </w:r>
      <w:r w:rsidRPr="0047585D">
        <w:rPr>
          <w:lang w:val="sr-Latn-ME"/>
        </w:rPr>
        <w:t xml:space="preserve">ana je kao: </w:t>
      </w:r>
      <w:r w:rsidR="00734EDA" w:rsidRPr="0047585D">
        <w:rPr>
          <w:lang w:val="sr-Latn-ME"/>
        </w:rPr>
        <w:t>veoma često</w:t>
      </w:r>
      <w:r w:rsidRPr="0047585D">
        <w:rPr>
          <w:lang w:val="sr-Latn-ME"/>
        </w:rPr>
        <w:t xml:space="preserve"> (≥ 1/10), često (≥ 1/100 i &lt; 1/10), </w:t>
      </w:r>
      <w:r w:rsidR="00734EDA" w:rsidRPr="0047585D">
        <w:rPr>
          <w:lang w:val="sr-Latn-ME"/>
        </w:rPr>
        <w:t>povremeno</w:t>
      </w:r>
      <w:r w:rsidR="00CB2B30" w:rsidRPr="0047585D">
        <w:rPr>
          <w:lang w:val="sr-Latn-ME"/>
        </w:rPr>
        <w:t xml:space="preserve"> </w:t>
      </w:r>
      <w:r w:rsidRPr="0047585D">
        <w:rPr>
          <w:lang w:val="sr-Latn-ME"/>
        </w:rPr>
        <w:t>(≥ 1/1000 i &lt; 1/100), rijetko (≥ 1/10 000 i &lt; 1/1000), v</w:t>
      </w:r>
      <w:r w:rsidR="00FD6B74" w:rsidRPr="0047585D">
        <w:rPr>
          <w:lang w:val="sr-Latn-ME"/>
        </w:rPr>
        <w:t>eoma</w:t>
      </w:r>
      <w:r w:rsidRPr="0047585D">
        <w:rPr>
          <w:lang w:val="sr-Latn-ME"/>
        </w:rPr>
        <w:t xml:space="preserve"> rijetko (&lt; 1/10 000), nepoznato (ne može se procijeniti iz dostupnih podataka). Unutar svake </w:t>
      </w:r>
      <w:r w:rsidR="00CB2B30" w:rsidRPr="0047585D">
        <w:rPr>
          <w:lang w:val="sr-Latn-ME"/>
        </w:rPr>
        <w:t>grup</w:t>
      </w:r>
      <w:r w:rsidRPr="0047585D">
        <w:rPr>
          <w:lang w:val="sr-Latn-ME"/>
        </w:rPr>
        <w:t>e učestalosti n</w:t>
      </w:r>
      <w:r w:rsidR="00CB2B30" w:rsidRPr="0047585D">
        <w:rPr>
          <w:lang w:val="sr-Latn-ME"/>
        </w:rPr>
        <w:t xml:space="preserve">eželjena dejstva </w:t>
      </w:r>
      <w:r w:rsidRPr="0047585D">
        <w:rPr>
          <w:lang w:val="sr-Latn-ME"/>
        </w:rPr>
        <w:t>su naveden</w:t>
      </w:r>
      <w:r w:rsidR="00CB2B30" w:rsidRPr="0047585D">
        <w:rPr>
          <w:lang w:val="sr-Latn-ME"/>
        </w:rPr>
        <w:t>a</w:t>
      </w:r>
      <w:r w:rsidRPr="0047585D">
        <w:rPr>
          <w:lang w:val="sr-Latn-ME"/>
        </w:rPr>
        <w:t xml:space="preserve"> od </w:t>
      </w:r>
      <w:r w:rsidR="00FD6B74" w:rsidRPr="0047585D">
        <w:rPr>
          <w:lang w:val="sr-Latn-ME"/>
        </w:rPr>
        <w:t xml:space="preserve">ozbiljnijih </w:t>
      </w:r>
      <w:r w:rsidRPr="0047585D">
        <w:rPr>
          <w:lang w:val="sr-Latn-ME"/>
        </w:rPr>
        <w:t>prema manje</w:t>
      </w:r>
      <w:r w:rsidR="00FD6B74" w:rsidRPr="0047585D">
        <w:rPr>
          <w:lang w:val="sr-Latn-ME"/>
        </w:rPr>
        <w:t xml:space="preserve"> ozbiljnima</w:t>
      </w:r>
      <w:r w:rsidRPr="0047585D">
        <w:rPr>
          <w:lang w:val="sr-Latn-ME"/>
        </w:rPr>
        <w:t xml:space="preserve">. </w:t>
      </w:r>
      <w:r w:rsidR="00CB2B30" w:rsidRPr="0047585D">
        <w:rPr>
          <w:lang w:val="sr-Latn-ME"/>
        </w:rPr>
        <w:t>N</w:t>
      </w:r>
      <w:r w:rsidRPr="0047585D">
        <w:rPr>
          <w:lang w:val="sr-Latn-ME"/>
        </w:rPr>
        <w:t>e</w:t>
      </w:r>
      <w:r w:rsidR="00CB2B30" w:rsidRPr="0047585D">
        <w:rPr>
          <w:lang w:val="sr-Latn-ME"/>
        </w:rPr>
        <w:t>željena dejstva</w:t>
      </w:r>
      <w:r w:rsidRPr="0047585D">
        <w:rPr>
          <w:lang w:val="sr-Latn-ME"/>
        </w:rPr>
        <w:t xml:space="preserve"> su prikazan</w:t>
      </w:r>
      <w:r w:rsidR="00CB2B30" w:rsidRPr="0047585D">
        <w:rPr>
          <w:lang w:val="sr-Latn-ME"/>
        </w:rPr>
        <w:t xml:space="preserve">a </w:t>
      </w:r>
      <w:r w:rsidRPr="0047585D">
        <w:rPr>
          <w:lang w:val="sr-Latn-ME"/>
        </w:rPr>
        <w:t>u donjoj tab</w:t>
      </w:r>
      <w:r w:rsidR="000E77E9" w:rsidRPr="0047585D">
        <w:rPr>
          <w:lang w:val="sr-Latn-ME"/>
        </w:rPr>
        <w:t>eli</w:t>
      </w:r>
      <w:r w:rsidRPr="0047585D">
        <w:rPr>
          <w:lang w:val="sr-Latn-ME"/>
        </w:rPr>
        <w:t xml:space="preserve"> prema najv</w:t>
      </w:r>
      <w:r w:rsidR="000E77E9" w:rsidRPr="0047585D">
        <w:rPr>
          <w:lang w:val="sr-Latn-ME"/>
        </w:rPr>
        <w:t>ećoj</w:t>
      </w:r>
      <w:r w:rsidRPr="0047585D">
        <w:rPr>
          <w:lang w:val="sr-Latn-ME"/>
        </w:rPr>
        <w:t xml:space="preserve"> učestalosti </w:t>
      </w:r>
      <w:r w:rsidR="00CB2B30" w:rsidRPr="0047585D">
        <w:rPr>
          <w:lang w:val="sr-Latn-ME"/>
        </w:rPr>
        <w:t>za</w:t>
      </w:r>
      <w:r w:rsidRPr="0047585D">
        <w:rPr>
          <w:lang w:val="sr-Latn-ME"/>
        </w:rPr>
        <w:t>paženoj u bilo kojem od glavnih kliničkih ispitivanja.</w:t>
      </w:r>
    </w:p>
    <w:p w14:paraId="74758E65" w14:textId="77777777" w:rsidR="00D54FD0" w:rsidRPr="0047585D" w:rsidRDefault="00D54FD0" w:rsidP="00A56A66">
      <w:pPr>
        <w:pStyle w:val="BodyText"/>
        <w:jc w:val="both"/>
        <w:rPr>
          <w:lang w:val="sr-Latn-ME"/>
        </w:rPr>
      </w:pPr>
    </w:p>
    <w:p w14:paraId="6AAE604E" w14:textId="22C4A66B" w:rsidR="0084478E" w:rsidRPr="0047585D" w:rsidRDefault="00200D97" w:rsidP="00BE5A22">
      <w:pPr>
        <w:pStyle w:val="Heading1"/>
        <w:ind w:left="0"/>
        <w:jc w:val="both"/>
        <w:rPr>
          <w:lang w:val="sr-Latn-ME"/>
        </w:rPr>
      </w:pPr>
      <w:r w:rsidRPr="0047585D">
        <w:rPr>
          <w:lang w:val="sr-Latn-ME"/>
        </w:rPr>
        <w:t>Tab</w:t>
      </w:r>
      <w:r w:rsidR="00F67055" w:rsidRPr="0047585D">
        <w:rPr>
          <w:lang w:val="sr-Latn-ME"/>
        </w:rPr>
        <w:t>el</w:t>
      </w:r>
      <w:r w:rsidRPr="0047585D">
        <w:rPr>
          <w:lang w:val="sr-Latn-ME"/>
        </w:rPr>
        <w:t>a 1: Ne</w:t>
      </w:r>
      <w:r w:rsidR="00CB2B30" w:rsidRPr="0047585D">
        <w:rPr>
          <w:lang w:val="sr-Latn-ME"/>
        </w:rPr>
        <w:t>željena dejstva</w:t>
      </w:r>
      <w:r w:rsidRPr="0047585D">
        <w:rPr>
          <w:lang w:val="sr-Latn-ME"/>
        </w:rPr>
        <w:t xml:space="preserve"> zabilježe</w:t>
      </w:r>
      <w:r w:rsidR="00CB2B30" w:rsidRPr="0047585D">
        <w:rPr>
          <w:lang w:val="sr-Latn-ME"/>
        </w:rPr>
        <w:t>na kod</w:t>
      </w:r>
      <w:r w:rsidRPr="0047585D">
        <w:rPr>
          <w:lang w:val="sr-Latn-ME"/>
        </w:rPr>
        <w:t xml:space="preserve"> </w:t>
      </w:r>
      <w:r w:rsidR="00862A19" w:rsidRPr="0047585D">
        <w:rPr>
          <w:lang w:val="sr-Latn-ME"/>
        </w:rPr>
        <w:t>pacijen</w:t>
      </w:r>
      <w:r w:rsidR="00CB2B30" w:rsidRPr="0047585D">
        <w:rPr>
          <w:lang w:val="sr-Latn-ME"/>
        </w:rPr>
        <w:t>a</w:t>
      </w:r>
      <w:r w:rsidR="00862A19" w:rsidRPr="0047585D">
        <w:rPr>
          <w:lang w:val="sr-Latn-ME"/>
        </w:rPr>
        <w:t>t</w:t>
      </w:r>
      <w:r w:rsidRPr="0047585D">
        <w:rPr>
          <w:lang w:val="sr-Latn-ME"/>
        </w:rPr>
        <w:t>a s MDS-om ili AML-om liječenih azacitidinom (klinička ispitivanja i ispitivanja nakon stavljanja lijeka u promet)</w:t>
      </w:r>
    </w:p>
    <w:p w14:paraId="3EB182D4" w14:textId="77777777" w:rsidR="0084478E" w:rsidRPr="0047585D" w:rsidRDefault="0084478E" w:rsidP="00BE5A22">
      <w:pPr>
        <w:pStyle w:val="BodyText"/>
        <w:spacing w:before="10"/>
        <w:rPr>
          <w:b/>
          <w:lang w:val="sr-Latn-ME"/>
        </w:rPr>
      </w:pPr>
    </w:p>
    <w:tbl>
      <w:tblPr>
        <w:tblW w:w="94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774"/>
        <w:gridCol w:w="1829"/>
        <w:gridCol w:w="1525"/>
        <w:gridCol w:w="1342"/>
        <w:gridCol w:w="1499"/>
      </w:tblGrid>
      <w:tr w:rsidR="0084478E" w:rsidRPr="0047585D" w14:paraId="393CD636" w14:textId="77777777" w:rsidTr="00CD65F7">
        <w:trPr>
          <w:trHeight w:val="758"/>
        </w:trPr>
        <w:tc>
          <w:tcPr>
            <w:tcW w:w="1440" w:type="dxa"/>
          </w:tcPr>
          <w:p w14:paraId="3AF4C779" w14:textId="77777777" w:rsidR="0084478E" w:rsidRPr="0047585D" w:rsidRDefault="00200D97" w:rsidP="00BE5A22">
            <w:pPr>
              <w:pStyle w:val="TableParagraph"/>
              <w:ind w:left="0"/>
              <w:rPr>
                <w:b/>
                <w:lang w:val="sr-Latn-ME"/>
              </w:rPr>
            </w:pPr>
            <w:r w:rsidRPr="0047585D">
              <w:rPr>
                <w:b/>
                <w:lang w:val="sr-Latn-ME"/>
              </w:rPr>
              <w:t>Klasifikacija organskih</w:t>
            </w:r>
          </w:p>
          <w:p w14:paraId="5B95393C" w14:textId="77777777" w:rsidR="0084478E" w:rsidRPr="0047585D" w:rsidRDefault="00200D97" w:rsidP="00BE5A22">
            <w:pPr>
              <w:pStyle w:val="TableParagraph"/>
              <w:spacing w:line="233" w:lineRule="exact"/>
              <w:ind w:left="0"/>
              <w:rPr>
                <w:b/>
                <w:lang w:val="sr-Latn-ME"/>
              </w:rPr>
            </w:pPr>
            <w:r w:rsidRPr="0047585D">
              <w:rPr>
                <w:b/>
                <w:lang w:val="sr-Latn-ME"/>
              </w:rPr>
              <w:t>s</w:t>
            </w:r>
            <w:r w:rsidR="002C11E2" w:rsidRPr="0047585D">
              <w:rPr>
                <w:b/>
                <w:lang w:val="sr-Latn-ME"/>
              </w:rPr>
              <w:t>istem</w:t>
            </w:r>
            <w:r w:rsidRPr="0047585D">
              <w:rPr>
                <w:b/>
                <w:lang w:val="sr-Latn-ME"/>
              </w:rPr>
              <w:t>a</w:t>
            </w:r>
          </w:p>
        </w:tc>
        <w:tc>
          <w:tcPr>
            <w:tcW w:w="1774" w:type="dxa"/>
          </w:tcPr>
          <w:p w14:paraId="06C18931" w14:textId="77777777" w:rsidR="0084478E" w:rsidRPr="0047585D" w:rsidRDefault="00734EDA" w:rsidP="00BE5A22">
            <w:pPr>
              <w:pStyle w:val="TableParagraph"/>
              <w:spacing w:line="251" w:lineRule="exact"/>
              <w:ind w:left="0"/>
              <w:rPr>
                <w:b/>
                <w:lang w:val="sr-Latn-ME"/>
              </w:rPr>
            </w:pPr>
            <w:r w:rsidRPr="0047585D">
              <w:rPr>
                <w:b/>
                <w:lang w:val="sr-Latn-ME"/>
              </w:rPr>
              <w:t>Veoma često</w:t>
            </w:r>
          </w:p>
        </w:tc>
        <w:tc>
          <w:tcPr>
            <w:tcW w:w="1829" w:type="dxa"/>
          </w:tcPr>
          <w:p w14:paraId="49B8E0D6" w14:textId="77777777" w:rsidR="0084478E" w:rsidRPr="0047585D" w:rsidRDefault="00200D97" w:rsidP="00BE5A22">
            <w:pPr>
              <w:pStyle w:val="TableParagraph"/>
              <w:spacing w:line="251" w:lineRule="exact"/>
              <w:ind w:left="0"/>
              <w:rPr>
                <w:b/>
                <w:lang w:val="sr-Latn-ME"/>
              </w:rPr>
            </w:pPr>
            <w:r w:rsidRPr="0047585D">
              <w:rPr>
                <w:b/>
                <w:lang w:val="sr-Latn-ME"/>
              </w:rPr>
              <w:t>Često</w:t>
            </w:r>
          </w:p>
        </w:tc>
        <w:tc>
          <w:tcPr>
            <w:tcW w:w="1525" w:type="dxa"/>
          </w:tcPr>
          <w:p w14:paraId="549648E2" w14:textId="77777777" w:rsidR="0084478E" w:rsidRPr="0047585D" w:rsidRDefault="00734EDA" w:rsidP="00BE5A22">
            <w:pPr>
              <w:pStyle w:val="TableParagraph"/>
              <w:spacing w:line="251" w:lineRule="exact"/>
              <w:ind w:left="0"/>
              <w:rPr>
                <w:b/>
                <w:lang w:val="sr-Latn-ME"/>
              </w:rPr>
            </w:pPr>
            <w:r w:rsidRPr="0047585D">
              <w:rPr>
                <w:b/>
                <w:lang w:val="sr-Latn-ME"/>
              </w:rPr>
              <w:t>Povremeno</w:t>
            </w:r>
          </w:p>
        </w:tc>
        <w:tc>
          <w:tcPr>
            <w:tcW w:w="1342" w:type="dxa"/>
          </w:tcPr>
          <w:p w14:paraId="2476E975" w14:textId="77777777" w:rsidR="0084478E" w:rsidRPr="0047585D" w:rsidRDefault="00200D97" w:rsidP="00BE5A22">
            <w:pPr>
              <w:pStyle w:val="TableParagraph"/>
              <w:spacing w:line="251" w:lineRule="exact"/>
              <w:ind w:left="0"/>
              <w:rPr>
                <w:b/>
                <w:lang w:val="sr-Latn-ME"/>
              </w:rPr>
            </w:pPr>
            <w:r w:rsidRPr="0047585D">
              <w:rPr>
                <w:b/>
                <w:lang w:val="sr-Latn-ME"/>
              </w:rPr>
              <w:t>Rijetko</w:t>
            </w:r>
          </w:p>
        </w:tc>
        <w:tc>
          <w:tcPr>
            <w:tcW w:w="1499" w:type="dxa"/>
          </w:tcPr>
          <w:p w14:paraId="00E701CD" w14:textId="77777777" w:rsidR="0084478E" w:rsidRPr="0047585D" w:rsidRDefault="00200D97" w:rsidP="00BE5A22">
            <w:pPr>
              <w:pStyle w:val="TableParagraph"/>
              <w:spacing w:line="251" w:lineRule="exact"/>
              <w:ind w:left="0"/>
              <w:rPr>
                <w:b/>
                <w:lang w:val="sr-Latn-ME"/>
              </w:rPr>
            </w:pPr>
            <w:r w:rsidRPr="0047585D">
              <w:rPr>
                <w:b/>
                <w:lang w:val="sr-Latn-ME"/>
              </w:rPr>
              <w:t>Nepoznato</w:t>
            </w:r>
          </w:p>
        </w:tc>
      </w:tr>
      <w:tr w:rsidR="0084478E" w:rsidRPr="0047585D" w14:paraId="30552A01" w14:textId="77777777" w:rsidTr="00A56A66">
        <w:trPr>
          <w:trHeight w:val="4322"/>
        </w:trPr>
        <w:tc>
          <w:tcPr>
            <w:tcW w:w="1440" w:type="dxa"/>
          </w:tcPr>
          <w:p w14:paraId="6DF2AD0F" w14:textId="77777777" w:rsidR="0084478E" w:rsidRPr="0047585D" w:rsidRDefault="00200D97" w:rsidP="00157369">
            <w:pPr>
              <w:pStyle w:val="TableParagraph"/>
              <w:tabs>
                <w:tab w:val="left" w:pos="1271"/>
              </w:tabs>
              <w:ind w:left="0"/>
              <w:rPr>
                <w:b/>
                <w:lang w:val="sr-Latn-ME"/>
              </w:rPr>
            </w:pPr>
            <w:r w:rsidRPr="0047585D">
              <w:rPr>
                <w:b/>
                <w:lang w:val="sr-Latn-ME"/>
              </w:rPr>
              <w:t>Infekcije</w:t>
            </w:r>
            <w:r w:rsidRPr="0047585D">
              <w:rPr>
                <w:b/>
                <w:lang w:val="sr-Latn-ME"/>
              </w:rPr>
              <w:tab/>
            </w:r>
            <w:r w:rsidRPr="0047585D">
              <w:rPr>
                <w:b/>
                <w:spacing w:val="-17"/>
                <w:lang w:val="sr-Latn-ME"/>
              </w:rPr>
              <w:t xml:space="preserve">i </w:t>
            </w:r>
            <w:r w:rsidRPr="0047585D">
              <w:rPr>
                <w:b/>
                <w:lang w:val="sr-Latn-ME"/>
              </w:rPr>
              <w:t>infestacije</w:t>
            </w:r>
          </w:p>
        </w:tc>
        <w:tc>
          <w:tcPr>
            <w:tcW w:w="1774" w:type="dxa"/>
          </w:tcPr>
          <w:p w14:paraId="11E5FCC8" w14:textId="77777777" w:rsidR="0084478E" w:rsidRPr="0047585D" w:rsidRDefault="00200D97" w:rsidP="00BE5A22">
            <w:pPr>
              <w:pStyle w:val="TableParagraph"/>
              <w:ind w:left="0"/>
              <w:rPr>
                <w:lang w:val="sr-Latn-ME"/>
              </w:rPr>
            </w:pPr>
            <w:r w:rsidRPr="0047585D">
              <w:rPr>
                <w:lang w:val="sr-Latn-ME"/>
              </w:rPr>
              <w:t>pneumonija* (uključujući bakterijsku, virusnu i gljivičnu), nazofaringitis</w:t>
            </w:r>
          </w:p>
        </w:tc>
        <w:tc>
          <w:tcPr>
            <w:tcW w:w="1829" w:type="dxa"/>
          </w:tcPr>
          <w:p w14:paraId="3F1F4086" w14:textId="77777777" w:rsidR="0084478E" w:rsidRPr="0047585D" w:rsidRDefault="00200D97" w:rsidP="00BE5A22">
            <w:pPr>
              <w:pStyle w:val="TableParagraph"/>
              <w:ind w:left="0"/>
              <w:rPr>
                <w:lang w:val="sr-Latn-ME"/>
              </w:rPr>
            </w:pPr>
            <w:r w:rsidRPr="0047585D">
              <w:rPr>
                <w:lang w:val="sr-Latn-ME"/>
              </w:rPr>
              <w:t>sepsa* (uključujući bakterijsku, virusnu i gljivičnu), neutropenijska sepsa*, infekcija di</w:t>
            </w:r>
            <w:r w:rsidR="002C11E2" w:rsidRPr="0047585D">
              <w:rPr>
                <w:lang w:val="sr-Latn-ME"/>
              </w:rPr>
              <w:t>sajnih</w:t>
            </w:r>
            <w:r w:rsidRPr="0047585D">
              <w:rPr>
                <w:lang w:val="sr-Latn-ME"/>
              </w:rPr>
              <w:t xml:space="preserve"> puteva (uključuje gornje d</w:t>
            </w:r>
            <w:r w:rsidR="002C11E2" w:rsidRPr="0047585D">
              <w:rPr>
                <w:lang w:val="sr-Latn-ME"/>
              </w:rPr>
              <w:t>isajn</w:t>
            </w:r>
            <w:r w:rsidRPr="0047585D">
              <w:rPr>
                <w:lang w:val="sr-Latn-ME"/>
              </w:rPr>
              <w:t>e puteve i bronhitis), infekcija mokraćnih puteva, celulitis, divertikulitis, oralna gljivična infekcija, sinusitis, faringitis, rinitis,</w:t>
            </w:r>
          </w:p>
          <w:p w14:paraId="2CFB338A" w14:textId="77777777" w:rsidR="0084478E" w:rsidRPr="0047585D" w:rsidRDefault="00200D97" w:rsidP="00BE5A22">
            <w:pPr>
              <w:pStyle w:val="TableParagraph"/>
              <w:spacing w:line="252" w:lineRule="exact"/>
              <w:ind w:left="0"/>
              <w:rPr>
                <w:lang w:val="sr-Latn-ME"/>
              </w:rPr>
            </w:pPr>
            <w:r w:rsidRPr="0047585D">
              <w:rPr>
                <w:lang w:val="sr-Latn-ME"/>
              </w:rPr>
              <w:t>herpes simplex, kožna infekcija</w:t>
            </w:r>
          </w:p>
        </w:tc>
        <w:tc>
          <w:tcPr>
            <w:tcW w:w="1525" w:type="dxa"/>
          </w:tcPr>
          <w:p w14:paraId="3BF50D53" w14:textId="77777777" w:rsidR="0084478E" w:rsidRPr="0047585D" w:rsidRDefault="0084478E" w:rsidP="00BE5A22">
            <w:pPr>
              <w:pStyle w:val="TableParagraph"/>
              <w:ind w:left="0"/>
              <w:rPr>
                <w:lang w:val="sr-Latn-ME"/>
              </w:rPr>
            </w:pPr>
          </w:p>
        </w:tc>
        <w:tc>
          <w:tcPr>
            <w:tcW w:w="1342" w:type="dxa"/>
          </w:tcPr>
          <w:p w14:paraId="430CFAF9" w14:textId="77777777" w:rsidR="0084478E" w:rsidRPr="0047585D" w:rsidRDefault="0084478E" w:rsidP="00BE5A22">
            <w:pPr>
              <w:pStyle w:val="TableParagraph"/>
              <w:ind w:left="0"/>
              <w:rPr>
                <w:lang w:val="sr-Latn-ME"/>
              </w:rPr>
            </w:pPr>
          </w:p>
        </w:tc>
        <w:tc>
          <w:tcPr>
            <w:tcW w:w="1499" w:type="dxa"/>
          </w:tcPr>
          <w:p w14:paraId="640509C8" w14:textId="77777777" w:rsidR="0084478E" w:rsidRPr="0047585D" w:rsidRDefault="00200D97" w:rsidP="00BE5A22">
            <w:pPr>
              <w:pStyle w:val="TableParagraph"/>
              <w:spacing w:line="242" w:lineRule="auto"/>
              <w:ind w:left="0"/>
              <w:rPr>
                <w:lang w:val="sr-Latn-ME"/>
              </w:rPr>
            </w:pPr>
            <w:r w:rsidRPr="0047585D">
              <w:rPr>
                <w:lang w:val="sr-Latn-ME"/>
              </w:rPr>
              <w:t>nekrotizirajući fasciitis*</w:t>
            </w:r>
          </w:p>
        </w:tc>
      </w:tr>
      <w:tr w:rsidR="000E77E9" w:rsidRPr="0047585D" w14:paraId="15CB23D5" w14:textId="77777777" w:rsidTr="00CD65F7">
        <w:trPr>
          <w:trHeight w:val="1517"/>
        </w:trPr>
        <w:tc>
          <w:tcPr>
            <w:tcW w:w="1440" w:type="dxa"/>
            <w:tcBorders>
              <w:bottom w:val="single" w:sz="4" w:space="0" w:color="000000"/>
            </w:tcBorders>
          </w:tcPr>
          <w:p w14:paraId="4E3934DD" w14:textId="77777777" w:rsidR="000E77E9" w:rsidRPr="0047585D" w:rsidRDefault="000E77E9" w:rsidP="00BE5A22">
            <w:pPr>
              <w:pStyle w:val="TableParagraph"/>
              <w:tabs>
                <w:tab w:val="left" w:pos="1272"/>
              </w:tabs>
              <w:ind w:left="0"/>
              <w:rPr>
                <w:b/>
                <w:lang w:val="sr-Latn-ME"/>
              </w:rPr>
            </w:pPr>
            <w:r w:rsidRPr="0047585D">
              <w:rPr>
                <w:b/>
                <w:lang w:val="sr-Latn-ME"/>
              </w:rPr>
              <w:t xml:space="preserve">Benigne, maligne i nespecificirane neoplazme (uključujući ciste i polipe) </w:t>
            </w:r>
          </w:p>
        </w:tc>
        <w:tc>
          <w:tcPr>
            <w:tcW w:w="1774" w:type="dxa"/>
            <w:tcBorders>
              <w:bottom w:val="single" w:sz="4" w:space="0" w:color="000000"/>
            </w:tcBorders>
          </w:tcPr>
          <w:p w14:paraId="03ADED96" w14:textId="77777777" w:rsidR="000E77E9" w:rsidRPr="0047585D" w:rsidRDefault="000E77E9" w:rsidP="00BE5A22">
            <w:pPr>
              <w:pStyle w:val="TableParagraph"/>
              <w:ind w:left="0"/>
              <w:rPr>
                <w:lang w:val="sr-Latn-ME"/>
              </w:rPr>
            </w:pPr>
          </w:p>
        </w:tc>
        <w:tc>
          <w:tcPr>
            <w:tcW w:w="1829" w:type="dxa"/>
            <w:tcBorders>
              <w:bottom w:val="single" w:sz="4" w:space="0" w:color="000000"/>
            </w:tcBorders>
          </w:tcPr>
          <w:p w14:paraId="42804B2A" w14:textId="77777777" w:rsidR="000E77E9" w:rsidRPr="0047585D" w:rsidRDefault="000E77E9" w:rsidP="00BE5A22">
            <w:pPr>
              <w:pStyle w:val="TableParagraph"/>
              <w:ind w:left="0"/>
              <w:rPr>
                <w:lang w:val="sr-Latn-ME"/>
              </w:rPr>
            </w:pPr>
          </w:p>
        </w:tc>
        <w:tc>
          <w:tcPr>
            <w:tcW w:w="1525" w:type="dxa"/>
            <w:tcBorders>
              <w:bottom w:val="single" w:sz="4" w:space="0" w:color="000000"/>
            </w:tcBorders>
          </w:tcPr>
          <w:p w14:paraId="4ED06286" w14:textId="77777777" w:rsidR="000E77E9" w:rsidRPr="0047585D" w:rsidRDefault="000E77E9" w:rsidP="00BE5A22">
            <w:pPr>
              <w:pStyle w:val="TableParagraph"/>
              <w:ind w:left="0"/>
              <w:rPr>
                <w:lang w:val="sr-Latn-ME"/>
              </w:rPr>
            </w:pPr>
          </w:p>
        </w:tc>
        <w:tc>
          <w:tcPr>
            <w:tcW w:w="1342" w:type="dxa"/>
            <w:tcBorders>
              <w:bottom w:val="single" w:sz="4" w:space="0" w:color="000000"/>
            </w:tcBorders>
          </w:tcPr>
          <w:p w14:paraId="2B608779" w14:textId="77777777" w:rsidR="000E77E9" w:rsidRPr="0047585D" w:rsidRDefault="000E77E9" w:rsidP="00BE5A22">
            <w:pPr>
              <w:pStyle w:val="TableParagraph"/>
              <w:ind w:left="0"/>
              <w:rPr>
                <w:lang w:val="sr-Latn-ME"/>
              </w:rPr>
            </w:pPr>
          </w:p>
        </w:tc>
        <w:tc>
          <w:tcPr>
            <w:tcW w:w="1499" w:type="dxa"/>
            <w:tcBorders>
              <w:bottom w:val="single" w:sz="4" w:space="0" w:color="000000"/>
            </w:tcBorders>
          </w:tcPr>
          <w:p w14:paraId="3139E9CD" w14:textId="77777777" w:rsidR="000E77E9" w:rsidRPr="0047585D" w:rsidRDefault="000E77E9" w:rsidP="00BE5A22">
            <w:pPr>
              <w:pStyle w:val="TableParagraph"/>
              <w:ind w:left="0"/>
              <w:rPr>
                <w:lang w:val="sr-Latn-ME"/>
              </w:rPr>
            </w:pPr>
            <w:r w:rsidRPr="0047585D">
              <w:rPr>
                <w:lang w:val="sr-Latn-ME"/>
              </w:rPr>
              <w:t>sindrom diferencijacije</w:t>
            </w:r>
            <w:r w:rsidRPr="0047585D">
              <w:rPr>
                <w:vertAlign w:val="superscript"/>
                <w:lang w:val="sr-Latn-ME"/>
              </w:rPr>
              <w:t>*,a</w:t>
            </w:r>
          </w:p>
        </w:tc>
      </w:tr>
      <w:tr w:rsidR="0084478E" w:rsidRPr="0047585D" w14:paraId="3C642B22" w14:textId="77777777" w:rsidTr="00CD65F7">
        <w:trPr>
          <w:trHeight w:val="1517"/>
        </w:trPr>
        <w:tc>
          <w:tcPr>
            <w:tcW w:w="1440" w:type="dxa"/>
          </w:tcPr>
          <w:p w14:paraId="2D2A6B5C" w14:textId="4F89112D" w:rsidR="0084478E" w:rsidRPr="0047585D" w:rsidRDefault="00200D97" w:rsidP="00BE5A22">
            <w:pPr>
              <w:pStyle w:val="TableParagraph"/>
              <w:tabs>
                <w:tab w:val="left" w:pos="1272"/>
              </w:tabs>
              <w:ind w:left="0"/>
              <w:rPr>
                <w:b/>
                <w:lang w:val="sr-Latn-ME"/>
              </w:rPr>
            </w:pPr>
            <w:r w:rsidRPr="0047585D">
              <w:rPr>
                <w:b/>
                <w:lang w:val="sr-Latn-ME"/>
              </w:rPr>
              <w:lastRenderedPageBreak/>
              <w:t>Poremećaji krvi</w:t>
            </w:r>
            <w:r w:rsidR="005F46F2" w:rsidRPr="0047585D">
              <w:rPr>
                <w:b/>
                <w:lang w:val="sr-Latn-ME"/>
              </w:rPr>
              <w:t xml:space="preserve"> </w:t>
            </w:r>
            <w:r w:rsidRPr="0047585D">
              <w:rPr>
                <w:b/>
                <w:spacing w:val="-18"/>
                <w:lang w:val="sr-Latn-ME"/>
              </w:rPr>
              <w:t>i</w:t>
            </w:r>
          </w:p>
          <w:p w14:paraId="4F657F1D" w14:textId="77777777" w:rsidR="0084478E" w:rsidRPr="0047585D" w:rsidRDefault="00200D97" w:rsidP="00BE5A22">
            <w:pPr>
              <w:pStyle w:val="TableParagraph"/>
              <w:ind w:left="0"/>
              <w:rPr>
                <w:b/>
                <w:lang w:val="sr-Latn-ME"/>
              </w:rPr>
            </w:pPr>
            <w:r w:rsidRPr="0047585D">
              <w:rPr>
                <w:b/>
                <w:lang w:val="sr-Latn-ME"/>
              </w:rPr>
              <w:t>limfnog s</w:t>
            </w:r>
            <w:r w:rsidR="002C11E2" w:rsidRPr="0047585D">
              <w:rPr>
                <w:b/>
                <w:lang w:val="sr-Latn-ME"/>
              </w:rPr>
              <w:t>istem</w:t>
            </w:r>
            <w:r w:rsidRPr="0047585D">
              <w:rPr>
                <w:b/>
                <w:lang w:val="sr-Latn-ME"/>
              </w:rPr>
              <w:t>a</w:t>
            </w:r>
          </w:p>
        </w:tc>
        <w:tc>
          <w:tcPr>
            <w:tcW w:w="1774" w:type="dxa"/>
          </w:tcPr>
          <w:p w14:paraId="03CA5B73" w14:textId="77777777" w:rsidR="0084478E" w:rsidRPr="0047585D" w:rsidRDefault="00200D97" w:rsidP="00BE5A22">
            <w:pPr>
              <w:pStyle w:val="TableParagraph"/>
              <w:ind w:left="0"/>
              <w:rPr>
                <w:lang w:val="sr-Latn-ME"/>
              </w:rPr>
            </w:pPr>
            <w:r w:rsidRPr="0047585D">
              <w:rPr>
                <w:lang w:val="sr-Latn-ME"/>
              </w:rPr>
              <w:t>febrilna neutropenija*, neutropenija, leukopenija, trombocitopenija,</w:t>
            </w:r>
          </w:p>
          <w:p w14:paraId="0522EB13" w14:textId="77777777" w:rsidR="0084478E" w:rsidRPr="0047585D" w:rsidRDefault="00200D97" w:rsidP="00BE5A22">
            <w:pPr>
              <w:pStyle w:val="TableParagraph"/>
              <w:spacing w:line="238" w:lineRule="exact"/>
              <w:ind w:left="0"/>
              <w:rPr>
                <w:lang w:val="sr-Latn-ME"/>
              </w:rPr>
            </w:pPr>
            <w:r w:rsidRPr="0047585D">
              <w:rPr>
                <w:lang w:val="sr-Latn-ME"/>
              </w:rPr>
              <w:t>anemija</w:t>
            </w:r>
          </w:p>
        </w:tc>
        <w:tc>
          <w:tcPr>
            <w:tcW w:w="1829" w:type="dxa"/>
          </w:tcPr>
          <w:p w14:paraId="27A0F665" w14:textId="77777777" w:rsidR="0084478E" w:rsidRPr="0047585D" w:rsidRDefault="00200D97" w:rsidP="00BE5A22">
            <w:pPr>
              <w:pStyle w:val="TableParagraph"/>
              <w:ind w:left="0"/>
              <w:rPr>
                <w:lang w:val="sr-Latn-ME"/>
              </w:rPr>
            </w:pPr>
            <w:r w:rsidRPr="0047585D">
              <w:rPr>
                <w:lang w:val="sr-Latn-ME"/>
              </w:rPr>
              <w:t xml:space="preserve">pancitopenija*, </w:t>
            </w:r>
            <w:r w:rsidR="002C11E2" w:rsidRPr="0047585D">
              <w:rPr>
                <w:lang w:val="sr-Latn-ME"/>
              </w:rPr>
              <w:t>insuficijencija</w:t>
            </w:r>
            <w:r w:rsidRPr="0047585D">
              <w:rPr>
                <w:lang w:val="sr-Latn-ME"/>
              </w:rPr>
              <w:t xml:space="preserve"> koštane srži</w:t>
            </w:r>
          </w:p>
        </w:tc>
        <w:tc>
          <w:tcPr>
            <w:tcW w:w="1525" w:type="dxa"/>
          </w:tcPr>
          <w:p w14:paraId="651946E6" w14:textId="77777777" w:rsidR="0084478E" w:rsidRPr="0047585D" w:rsidRDefault="0084478E" w:rsidP="00BE5A22">
            <w:pPr>
              <w:pStyle w:val="TableParagraph"/>
              <w:ind w:left="0"/>
              <w:rPr>
                <w:lang w:val="sr-Latn-ME"/>
              </w:rPr>
            </w:pPr>
          </w:p>
        </w:tc>
        <w:tc>
          <w:tcPr>
            <w:tcW w:w="1342" w:type="dxa"/>
          </w:tcPr>
          <w:p w14:paraId="15C1C6F7" w14:textId="77777777" w:rsidR="0084478E" w:rsidRPr="0047585D" w:rsidRDefault="0084478E" w:rsidP="00BE5A22">
            <w:pPr>
              <w:pStyle w:val="TableParagraph"/>
              <w:ind w:left="0"/>
              <w:rPr>
                <w:lang w:val="sr-Latn-ME"/>
              </w:rPr>
            </w:pPr>
          </w:p>
        </w:tc>
        <w:tc>
          <w:tcPr>
            <w:tcW w:w="1499" w:type="dxa"/>
          </w:tcPr>
          <w:p w14:paraId="45FAAA4D" w14:textId="77777777" w:rsidR="0084478E" w:rsidRPr="0047585D" w:rsidRDefault="0084478E" w:rsidP="00BE5A22">
            <w:pPr>
              <w:pStyle w:val="TableParagraph"/>
              <w:ind w:left="0"/>
              <w:rPr>
                <w:lang w:val="sr-Latn-ME"/>
              </w:rPr>
            </w:pPr>
          </w:p>
        </w:tc>
      </w:tr>
      <w:tr w:rsidR="000241E7" w:rsidRPr="0047585D" w14:paraId="0001C7F6" w14:textId="77777777" w:rsidTr="00CD65F7">
        <w:trPr>
          <w:trHeight w:val="760"/>
        </w:trPr>
        <w:tc>
          <w:tcPr>
            <w:tcW w:w="1440" w:type="dxa"/>
            <w:tcBorders>
              <w:top w:val="nil"/>
            </w:tcBorders>
          </w:tcPr>
          <w:p w14:paraId="69D7850D" w14:textId="77777777" w:rsidR="000241E7" w:rsidRPr="0047585D" w:rsidRDefault="000241E7" w:rsidP="00BE5A22">
            <w:pPr>
              <w:pStyle w:val="TableParagraph"/>
              <w:spacing w:line="251" w:lineRule="exact"/>
              <w:ind w:left="0"/>
              <w:rPr>
                <w:b/>
                <w:lang w:val="sr-Latn-ME"/>
              </w:rPr>
            </w:pPr>
            <w:r w:rsidRPr="0047585D">
              <w:rPr>
                <w:b/>
                <w:lang w:val="sr-Latn-ME"/>
              </w:rPr>
              <w:t>Poremećaji</w:t>
            </w:r>
          </w:p>
          <w:p w14:paraId="0C182B6D" w14:textId="77777777" w:rsidR="000241E7" w:rsidRPr="0047585D" w:rsidRDefault="000241E7" w:rsidP="00BE5A22">
            <w:pPr>
              <w:pStyle w:val="TableParagraph"/>
              <w:spacing w:before="5" w:line="252" w:lineRule="exact"/>
              <w:ind w:left="0"/>
              <w:rPr>
                <w:b/>
                <w:lang w:val="sr-Latn-ME"/>
              </w:rPr>
            </w:pPr>
            <w:r w:rsidRPr="0047585D">
              <w:rPr>
                <w:b/>
                <w:lang w:val="sr-Latn-ME"/>
              </w:rPr>
              <w:t>imunološkog sistema</w:t>
            </w:r>
          </w:p>
        </w:tc>
        <w:tc>
          <w:tcPr>
            <w:tcW w:w="1774" w:type="dxa"/>
            <w:tcBorders>
              <w:top w:val="nil"/>
            </w:tcBorders>
          </w:tcPr>
          <w:p w14:paraId="1646B710" w14:textId="77777777" w:rsidR="000241E7" w:rsidRPr="0047585D" w:rsidRDefault="000241E7" w:rsidP="00BE5A22">
            <w:pPr>
              <w:pStyle w:val="TableParagraph"/>
              <w:ind w:left="0"/>
              <w:rPr>
                <w:lang w:val="sr-Latn-ME"/>
              </w:rPr>
            </w:pPr>
          </w:p>
        </w:tc>
        <w:tc>
          <w:tcPr>
            <w:tcW w:w="1829" w:type="dxa"/>
            <w:tcBorders>
              <w:top w:val="nil"/>
            </w:tcBorders>
          </w:tcPr>
          <w:p w14:paraId="31E998B6" w14:textId="77777777" w:rsidR="000241E7" w:rsidRPr="0047585D" w:rsidRDefault="000241E7" w:rsidP="00BE5A22">
            <w:pPr>
              <w:pStyle w:val="TableParagraph"/>
              <w:ind w:left="0"/>
              <w:rPr>
                <w:lang w:val="sr-Latn-ME"/>
              </w:rPr>
            </w:pPr>
          </w:p>
        </w:tc>
        <w:tc>
          <w:tcPr>
            <w:tcW w:w="1525" w:type="dxa"/>
            <w:tcBorders>
              <w:top w:val="nil"/>
            </w:tcBorders>
          </w:tcPr>
          <w:p w14:paraId="699444EC" w14:textId="77777777" w:rsidR="000241E7" w:rsidRPr="0047585D" w:rsidRDefault="000241E7" w:rsidP="00BE5A22">
            <w:pPr>
              <w:pStyle w:val="TableParagraph"/>
              <w:spacing w:line="242" w:lineRule="auto"/>
              <w:ind w:left="0"/>
              <w:rPr>
                <w:lang w:val="sr-Latn-ME"/>
              </w:rPr>
            </w:pPr>
            <w:r w:rsidRPr="0047585D">
              <w:rPr>
                <w:lang w:val="sr-Latn-ME"/>
              </w:rPr>
              <w:t>reakcije preosjetljivosti</w:t>
            </w:r>
          </w:p>
        </w:tc>
        <w:tc>
          <w:tcPr>
            <w:tcW w:w="1342" w:type="dxa"/>
            <w:tcBorders>
              <w:top w:val="nil"/>
            </w:tcBorders>
          </w:tcPr>
          <w:p w14:paraId="78250485" w14:textId="77777777" w:rsidR="000241E7" w:rsidRPr="0047585D" w:rsidRDefault="000241E7" w:rsidP="00BE5A22">
            <w:pPr>
              <w:pStyle w:val="TableParagraph"/>
              <w:ind w:left="0"/>
              <w:rPr>
                <w:lang w:val="sr-Latn-ME"/>
              </w:rPr>
            </w:pPr>
          </w:p>
        </w:tc>
        <w:tc>
          <w:tcPr>
            <w:tcW w:w="1499" w:type="dxa"/>
            <w:tcBorders>
              <w:top w:val="nil"/>
            </w:tcBorders>
          </w:tcPr>
          <w:p w14:paraId="3F2B6D02" w14:textId="77777777" w:rsidR="000241E7" w:rsidRPr="0047585D" w:rsidRDefault="000241E7" w:rsidP="00BE5A22">
            <w:pPr>
              <w:pStyle w:val="TableParagraph"/>
              <w:ind w:left="0"/>
              <w:rPr>
                <w:lang w:val="sr-Latn-ME"/>
              </w:rPr>
            </w:pPr>
          </w:p>
        </w:tc>
      </w:tr>
      <w:tr w:rsidR="000241E7" w:rsidRPr="0047585D" w14:paraId="0BDA484D" w14:textId="77777777" w:rsidTr="00CD65F7">
        <w:trPr>
          <w:trHeight w:val="757"/>
        </w:trPr>
        <w:tc>
          <w:tcPr>
            <w:tcW w:w="1440" w:type="dxa"/>
          </w:tcPr>
          <w:p w14:paraId="5F60E0DD" w14:textId="77777777" w:rsidR="000241E7" w:rsidRPr="0047585D" w:rsidRDefault="000241E7" w:rsidP="00BE5A22">
            <w:pPr>
              <w:pStyle w:val="TableParagraph"/>
              <w:ind w:left="0"/>
              <w:rPr>
                <w:b/>
                <w:lang w:val="sr-Latn-ME"/>
              </w:rPr>
            </w:pPr>
            <w:r w:rsidRPr="0047585D">
              <w:rPr>
                <w:b/>
                <w:lang w:val="sr-Latn-ME"/>
              </w:rPr>
              <w:t>Poremećaji metabolizma</w:t>
            </w:r>
          </w:p>
          <w:p w14:paraId="229F567B" w14:textId="77777777" w:rsidR="000241E7" w:rsidRPr="0047585D" w:rsidRDefault="000241E7" w:rsidP="00BE5A22">
            <w:pPr>
              <w:pStyle w:val="TableParagraph"/>
              <w:spacing w:line="233" w:lineRule="exact"/>
              <w:ind w:left="0"/>
              <w:rPr>
                <w:b/>
                <w:lang w:val="sr-Latn-ME"/>
              </w:rPr>
            </w:pPr>
            <w:r w:rsidRPr="0047585D">
              <w:rPr>
                <w:b/>
                <w:lang w:val="sr-Latn-ME"/>
              </w:rPr>
              <w:t>i ishrane</w:t>
            </w:r>
          </w:p>
        </w:tc>
        <w:tc>
          <w:tcPr>
            <w:tcW w:w="1774" w:type="dxa"/>
          </w:tcPr>
          <w:p w14:paraId="55C56601" w14:textId="77777777" w:rsidR="000241E7" w:rsidRPr="0047585D" w:rsidRDefault="000241E7" w:rsidP="00BE5A22">
            <w:pPr>
              <w:pStyle w:val="TableParagraph"/>
              <w:ind w:left="0"/>
              <w:rPr>
                <w:lang w:val="sr-Latn-ME"/>
              </w:rPr>
            </w:pPr>
            <w:r w:rsidRPr="0047585D">
              <w:rPr>
                <w:lang w:val="sr-Latn-ME"/>
              </w:rPr>
              <w:t>anoreksija, smanjeni apetit,</w:t>
            </w:r>
          </w:p>
          <w:p w14:paraId="10E70C7B" w14:textId="77777777" w:rsidR="000241E7" w:rsidRPr="0047585D" w:rsidRDefault="000241E7" w:rsidP="00BE5A22">
            <w:pPr>
              <w:pStyle w:val="TableParagraph"/>
              <w:spacing w:line="238" w:lineRule="exact"/>
              <w:ind w:left="0"/>
              <w:rPr>
                <w:lang w:val="sr-Latn-ME"/>
              </w:rPr>
            </w:pPr>
            <w:r w:rsidRPr="0047585D">
              <w:rPr>
                <w:lang w:val="sr-Latn-ME"/>
              </w:rPr>
              <w:t>hipokalijemija</w:t>
            </w:r>
          </w:p>
        </w:tc>
        <w:tc>
          <w:tcPr>
            <w:tcW w:w="1829" w:type="dxa"/>
          </w:tcPr>
          <w:p w14:paraId="0AD6958A" w14:textId="77777777" w:rsidR="000241E7" w:rsidRPr="0047585D" w:rsidRDefault="000241E7" w:rsidP="00BE5A22">
            <w:pPr>
              <w:pStyle w:val="TableParagraph"/>
              <w:spacing w:line="247" w:lineRule="exact"/>
              <w:ind w:left="0"/>
              <w:rPr>
                <w:lang w:val="sr-Latn-ME"/>
              </w:rPr>
            </w:pPr>
            <w:r w:rsidRPr="0047585D">
              <w:rPr>
                <w:lang w:val="sr-Latn-ME"/>
              </w:rPr>
              <w:t>dehidratacija</w:t>
            </w:r>
          </w:p>
        </w:tc>
        <w:tc>
          <w:tcPr>
            <w:tcW w:w="1525" w:type="dxa"/>
          </w:tcPr>
          <w:p w14:paraId="65339437" w14:textId="77777777" w:rsidR="000241E7" w:rsidRPr="0047585D" w:rsidRDefault="000241E7" w:rsidP="00BE5A22">
            <w:pPr>
              <w:pStyle w:val="TableParagraph"/>
              <w:ind w:left="0"/>
              <w:rPr>
                <w:lang w:val="sr-Latn-ME"/>
              </w:rPr>
            </w:pPr>
          </w:p>
        </w:tc>
        <w:tc>
          <w:tcPr>
            <w:tcW w:w="1342" w:type="dxa"/>
          </w:tcPr>
          <w:p w14:paraId="06C9EDF5" w14:textId="77777777" w:rsidR="000241E7" w:rsidRPr="0047585D" w:rsidRDefault="000241E7" w:rsidP="00BE5A22">
            <w:pPr>
              <w:pStyle w:val="TableParagraph"/>
              <w:ind w:left="0"/>
              <w:rPr>
                <w:lang w:val="sr-Latn-ME"/>
              </w:rPr>
            </w:pPr>
            <w:r w:rsidRPr="0047585D">
              <w:rPr>
                <w:lang w:val="sr-Latn-ME"/>
              </w:rPr>
              <w:t>sindrom lize tumora</w:t>
            </w:r>
          </w:p>
        </w:tc>
        <w:tc>
          <w:tcPr>
            <w:tcW w:w="1499" w:type="dxa"/>
          </w:tcPr>
          <w:p w14:paraId="0BBA79AB" w14:textId="77777777" w:rsidR="000241E7" w:rsidRPr="0047585D" w:rsidRDefault="000241E7" w:rsidP="00BE5A22">
            <w:pPr>
              <w:pStyle w:val="TableParagraph"/>
              <w:ind w:left="0"/>
              <w:rPr>
                <w:lang w:val="sr-Latn-ME"/>
              </w:rPr>
            </w:pPr>
          </w:p>
        </w:tc>
      </w:tr>
      <w:tr w:rsidR="000241E7" w:rsidRPr="0047585D" w14:paraId="5080A543" w14:textId="77777777" w:rsidTr="00CD65F7">
        <w:trPr>
          <w:trHeight w:val="254"/>
        </w:trPr>
        <w:tc>
          <w:tcPr>
            <w:tcW w:w="1440" w:type="dxa"/>
          </w:tcPr>
          <w:p w14:paraId="501467C5" w14:textId="77777777" w:rsidR="000241E7" w:rsidRPr="0047585D" w:rsidRDefault="000241E7" w:rsidP="00AC38D1">
            <w:pPr>
              <w:pStyle w:val="TableParagraph"/>
              <w:spacing w:line="234" w:lineRule="exact"/>
              <w:ind w:left="0"/>
              <w:rPr>
                <w:b/>
                <w:lang w:val="sr-Latn-ME"/>
              </w:rPr>
            </w:pPr>
            <w:r w:rsidRPr="0047585D">
              <w:rPr>
                <w:b/>
                <w:lang w:val="sr-Latn-ME"/>
              </w:rPr>
              <w:t>Psihijatrijski poremećaji</w:t>
            </w:r>
          </w:p>
        </w:tc>
        <w:tc>
          <w:tcPr>
            <w:tcW w:w="1774" w:type="dxa"/>
          </w:tcPr>
          <w:p w14:paraId="39DDDA71" w14:textId="77777777" w:rsidR="000241E7" w:rsidRPr="0047585D" w:rsidRDefault="000241E7" w:rsidP="00AC38D1">
            <w:pPr>
              <w:pStyle w:val="TableParagraph"/>
              <w:spacing w:line="234" w:lineRule="exact"/>
              <w:ind w:left="0"/>
              <w:rPr>
                <w:lang w:val="sr-Latn-ME"/>
              </w:rPr>
            </w:pPr>
            <w:r w:rsidRPr="0047585D">
              <w:rPr>
                <w:lang w:val="sr-Latn-ME"/>
              </w:rPr>
              <w:t>nesanica</w:t>
            </w:r>
          </w:p>
        </w:tc>
        <w:tc>
          <w:tcPr>
            <w:tcW w:w="1829" w:type="dxa"/>
          </w:tcPr>
          <w:p w14:paraId="0F11EDC8" w14:textId="77777777" w:rsidR="000241E7" w:rsidRPr="0047585D" w:rsidRDefault="000241E7" w:rsidP="00AC38D1">
            <w:pPr>
              <w:pStyle w:val="TableParagraph"/>
              <w:spacing w:line="234" w:lineRule="exact"/>
              <w:ind w:left="0"/>
              <w:rPr>
                <w:lang w:val="sr-Latn-ME"/>
              </w:rPr>
            </w:pPr>
            <w:r w:rsidRPr="0047585D">
              <w:rPr>
                <w:lang w:val="sr-Latn-ME"/>
              </w:rPr>
              <w:t>konfuzno stanje, anksioznost</w:t>
            </w:r>
          </w:p>
        </w:tc>
        <w:tc>
          <w:tcPr>
            <w:tcW w:w="1525" w:type="dxa"/>
          </w:tcPr>
          <w:p w14:paraId="3DDBC522" w14:textId="77777777" w:rsidR="000241E7" w:rsidRPr="0047585D" w:rsidRDefault="000241E7" w:rsidP="00BE5A22">
            <w:pPr>
              <w:pStyle w:val="TableParagraph"/>
              <w:ind w:left="0"/>
              <w:rPr>
                <w:lang w:val="sr-Latn-ME"/>
              </w:rPr>
            </w:pPr>
          </w:p>
        </w:tc>
        <w:tc>
          <w:tcPr>
            <w:tcW w:w="1342" w:type="dxa"/>
          </w:tcPr>
          <w:p w14:paraId="33267B06" w14:textId="77777777" w:rsidR="000241E7" w:rsidRPr="0047585D" w:rsidRDefault="000241E7" w:rsidP="00BE5A22">
            <w:pPr>
              <w:pStyle w:val="TableParagraph"/>
              <w:ind w:left="0"/>
              <w:rPr>
                <w:lang w:val="sr-Latn-ME"/>
              </w:rPr>
            </w:pPr>
          </w:p>
        </w:tc>
        <w:tc>
          <w:tcPr>
            <w:tcW w:w="1499" w:type="dxa"/>
          </w:tcPr>
          <w:p w14:paraId="664A6E91" w14:textId="77777777" w:rsidR="000241E7" w:rsidRPr="0047585D" w:rsidRDefault="000241E7" w:rsidP="00BE5A22">
            <w:pPr>
              <w:pStyle w:val="TableParagraph"/>
              <w:ind w:left="0"/>
              <w:rPr>
                <w:lang w:val="sr-Latn-ME"/>
              </w:rPr>
            </w:pPr>
          </w:p>
        </w:tc>
      </w:tr>
      <w:tr w:rsidR="00CD65F7" w:rsidRPr="0047585D" w14:paraId="3D2BD64A" w14:textId="77777777" w:rsidTr="00CD65F7">
        <w:trPr>
          <w:trHeight w:val="1264"/>
        </w:trPr>
        <w:tc>
          <w:tcPr>
            <w:tcW w:w="1440" w:type="dxa"/>
          </w:tcPr>
          <w:p w14:paraId="25B26D7C" w14:textId="3E5B1E1A" w:rsidR="00CD65F7" w:rsidRPr="0047585D" w:rsidRDefault="00CD65F7" w:rsidP="00CD65F7">
            <w:pPr>
              <w:pStyle w:val="TableParagraph"/>
              <w:ind w:left="0"/>
              <w:rPr>
                <w:b/>
                <w:lang w:val="sr-Latn-ME"/>
              </w:rPr>
            </w:pPr>
            <w:r w:rsidRPr="0047585D">
              <w:rPr>
                <w:b/>
                <w:lang w:val="sr-Latn-ME"/>
              </w:rPr>
              <w:t>Poremećaji nervnog sistema</w:t>
            </w:r>
          </w:p>
        </w:tc>
        <w:tc>
          <w:tcPr>
            <w:tcW w:w="1774" w:type="dxa"/>
          </w:tcPr>
          <w:p w14:paraId="491EE8B7" w14:textId="7E0FBD5B" w:rsidR="00CD65F7" w:rsidRPr="0047585D" w:rsidRDefault="00CD65F7" w:rsidP="00CD65F7">
            <w:pPr>
              <w:pStyle w:val="TableParagraph"/>
              <w:spacing w:line="238" w:lineRule="exact"/>
              <w:ind w:left="0"/>
              <w:rPr>
                <w:lang w:val="sr-Latn-ME"/>
              </w:rPr>
            </w:pPr>
            <w:r w:rsidRPr="0047585D">
              <w:rPr>
                <w:lang w:val="sr-Latn-ME"/>
              </w:rPr>
              <w:t>vrtoglavica,</w:t>
            </w:r>
          </w:p>
          <w:p w14:paraId="41D296F0" w14:textId="77777777" w:rsidR="00CD65F7" w:rsidRPr="0047585D" w:rsidRDefault="00CD65F7" w:rsidP="00CD65F7">
            <w:pPr>
              <w:pStyle w:val="TableParagraph"/>
              <w:spacing w:line="252" w:lineRule="exact"/>
              <w:ind w:left="0"/>
              <w:rPr>
                <w:lang w:val="sr-Latn-ME"/>
              </w:rPr>
            </w:pPr>
            <w:r w:rsidRPr="0047585D">
              <w:rPr>
                <w:lang w:val="sr-Latn-ME"/>
              </w:rPr>
              <w:t>glavobolja</w:t>
            </w:r>
          </w:p>
        </w:tc>
        <w:tc>
          <w:tcPr>
            <w:tcW w:w="1829" w:type="dxa"/>
          </w:tcPr>
          <w:p w14:paraId="46F54297" w14:textId="18936847" w:rsidR="00CD65F7" w:rsidRPr="0047585D" w:rsidRDefault="00CD65F7" w:rsidP="00CD65F7">
            <w:pPr>
              <w:pStyle w:val="TableParagraph"/>
              <w:spacing w:line="238" w:lineRule="exact"/>
              <w:ind w:left="0"/>
              <w:rPr>
                <w:lang w:val="sr-Latn-ME"/>
              </w:rPr>
            </w:pPr>
            <w:r w:rsidRPr="0047585D">
              <w:rPr>
                <w:lang w:val="sr-Latn-ME"/>
              </w:rPr>
              <w:t>intrakranijalno</w:t>
            </w:r>
          </w:p>
          <w:p w14:paraId="4A0866AF" w14:textId="77777777" w:rsidR="00CD65F7" w:rsidRPr="0047585D" w:rsidRDefault="00CD65F7" w:rsidP="00CD65F7">
            <w:pPr>
              <w:pStyle w:val="TableParagraph"/>
              <w:ind w:left="0"/>
              <w:rPr>
                <w:lang w:val="sr-Latn-ME"/>
              </w:rPr>
            </w:pPr>
            <w:r w:rsidRPr="0047585D">
              <w:rPr>
                <w:lang w:val="sr-Latn-ME"/>
              </w:rPr>
              <w:t>krvarenje*, sinkopa, somnolencija,</w:t>
            </w:r>
          </w:p>
          <w:p w14:paraId="3F581A85" w14:textId="77777777" w:rsidR="00CD65F7" w:rsidRPr="0047585D" w:rsidRDefault="00CD65F7" w:rsidP="00CD65F7">
            <w:pPr>
              <w:pStyle w:val="TableParagraph"/>
              <w:spacing w:before="1" w:line="246" w:lineRule="exact"/>
              <w:ind w:left="0"/>
              <w:rPr>
                <w:lang w:val="sr-Latn-ME"/>
              </w:rPr>
            </w:pPr>
            <w:r w:rsidRPr="0047585D">
              <w:rPr>
                <w:lang w:val="sr-Latn-ME"/>
              </w:rPr>
              <w:t>letargija</w:t>
            </w:r>
          </w:p>
        </w:tc>
        <w:tc>
          <w:tcPr>
            <w:tcW w:w="1525" w:type="dxa"/>
          </w:tcPr>
          <w:p w14:paraId="31FE3D14" w14:textId="7944C9E5" w:rsidR="00CD65F7" w:rsidRPr="0047585D" w:rsidRDefault="00CD65F7" w:rsidP="00CD65F7">
            <w:pPr>
              <w:pStyle w:val="TableParagraph"/>
              <w:ind w:left="0"/>
              <w:rPr>
                <w:lang w:val="sr-Latn-ME"/>
              </w:rPr>
            </w:pPr>
          </w:p>
        </w:tc>
        <w:tc>
          <w:tcPr>
            <w:tcW w:w="1342" w:type="dxa"/>
          </w:tcPr>
          <w:p w14:paraId="0179FD2A" w14:textId="65806879" w:rsidR="00CD65F7" w:rsidRPr="0047585D" w:rsidRDefault="00CD65F7" w:rsidP="00CD65F7">
            <w:pPr>
              <w:pStyle w:val="TableParagraph"/>
              <w:ind w:left="0"/>
              <w:rPr>
                <w:lang w:val="sr-Latn-ME"/>
              </w:rPr>
            </w:pPr>
          </w:p>
        </w:tc>
        <w:tc>
          <w:tcPr>
            <w:tcW w:w="1499" w:type="dxa"/>
          </w:tcPr>
          <w:p w14:paraId="3FF1E004" w14:textId="256277FE" w:rsidR="00CD65F7" w:rsidRPr="0047585D" w:rsidRDefault="00CD65F7" w:rsidP="00CD65F7">
            <w:pPr>
              <w:pStyle w:val="TableParagraph"/>
              <w:ind w:left="0"/>
              <w:rPr>
                <w:lang w:val="sr-Latn-ME"/>
              </w:rPr>
            </w:pPr>
          </w:p>
        </w:tc>
      </w:tr>
      <w:tr w:rsidR="00CD65F7" w:rsidRPr="0047585D" w14:paraId="2E80F7D4" w14:textId="77777777" w:rsidTr="00CD65F7">
        <w:trPr>
          <w:trHeight w:val="758"/>
        </w:trPr>
        <w:tc>
          <w:tcPr>
            <w:tcW w:w="1440" w:type="dxa"/>
          </w:tcPr>
          <w:p w14:paraId="16BF24F9" w14:textId="77777777" w:rsidR="00CD65F7" w:rsidRPr="0047585D" w:rsidRDefault="00CD65F7" w:rsidP="00CD65F7">
            <w:pPr>
              <w:pStyle w:val="TableParagraph"/>
              <w:spacing w:line="242" w:lineRule="auto"/>
              <w:ind w:left="0"/>
              <w:rPr>
                <w:b/>
                <w:lang w:val="sr-Latn-ME"/>
              </w:rPr>
            </w:pPr>
            <w:r w:rsidRPr="0047585D">
              <w:rPr>
                <w:b/>
                <w:lang w:val="sr-Latn-ME"/>
              </w:rPr>
              <w:t>Poremećaji oka</w:t>
            </w:r>
          </w:p>
        </w:tc>
        <w:tc>
          <w:tcPr>
            <w:tcW w:w="1774" w:type="dxa"/>
          </w:tcPr>
          <w:p w14:paraId="3DFA2BF0" w14:textId="77777777" w:rsidR="00CD65F7" w:rsidRPr="0047585D" w:rsidRDefault="00CD65F7" w:rsidP="00CD65F7">
            <w:pPr>
              <w:pStyle w:val="TableParagraph"/>
              <w:ind w:left="0"/>
              <w:rPr>
                <w:lang w:val="sr-Latn-ME"/>
              </w:rPr>
            </w:pPr>
          </w:p>
        </w:tc>
        <w:tc>
          <w:tcPr>
            <w:tcW w:w="1829" w:type="dxa"/>
          </w:tcPr>
          <w:p w14:paraId="41747AF7" w14:textId="77777777" w:rsidR="00CD65F7" w:rsidRPr="0047585D" w:rsidRDefault="00CD65F7" w:rsidP="00CD65F7">
            <w:pPr>
              <w:pStyle w:val="TableParagraph"/>
              <w:spacing w:line="239" w:lineRule="exact"/>
              <w:ind w:left="0"/>
              <w:rPr>
                <w:lang w:val="sr-Latn-ME"/>
              </w:rPr>
            </w:pPr>
            <w:r w:rsidRPr="0047585D">
              <w:rPr>
                <w:lang w:val="sr-Latn-ME"/>
              </w:rPr>
              <w:t>krvarenje u oku,</w:t>
            </w:r>
          </w:p>
          <w:p w14:paraId="2C9E3B56" w14:textId="77777777" w:rsidR="00CD65F7" w:rsidRPr="0047585D" w:rsidRDefault="00CD65F7" w:rsidP="00CD65F7">
            <w:pPr>
              <w:pStyle w:val="TableParagraph"/>
              <w:spacing w:before="5" w:line="252" w:lineRule="exact"/>
              <w:ind w:left="0"/>
              <w:rPr>
                <w:lang w:val="sr-Latn-ME"/>
              </w:rPr>
            </w:pPr>
            <w:r w:rsidRPr="0047585D">
              <w:rPr>
                <w:lang w:val="sr-Latn-ME"/>
              </w:rPr>
              <w:t>krvarenje konjunktive</w:t>
            </w:r>
          </w:p>
        </w:tc>
        <w:tc>
          <w:tcPr>
            <w:tcW w:w="1525" w:type="dxa"/>
          </w:tcPr>
          <w:p w14:paraId="4D571168" w14:textId="77777777" w:rsidR="00CD65F7" w:rsidRPr="0047585D" w:rsidRDefault="00CD65F7" w:rsidP="00CD65F7">
            <w:pPr>
              <w:pStyle w:val="TableParagraph"/>
              <w:ind w:left="0"/>
              <w:rPr>
                <w:lang w:val="sr-Latn-ME"/>
              </w:rPr>
            </w:pPr>
          </w:p>
        </w:tc>
        <w:tc>
          <w:tcPr>
            <w:tcW w:w="1342" w:type="dxa"/>
          </w:tcPr>
          <w:p w14:paraId="2043A158" w14:textId="77777777" w:rsidR="00CD65F7" w:rsidRPr="0047585D" w:rsidRDefault="00CD65F7" w:rsidP="00CD65F7">
            <w:pPr>
              <w:pStyle w:val="TableParagraph"/>
              <w:ind w:left="0"/>
              <w:rPr>
                <w:lang w:val="sr-Latn-ME"/>
              </w:rPr>
            </w:pPr>
          </w:p>
        </w:tc>
        <w:tc>
          <w:tcPr>
            <w:tcW w:w="1499" w:type="dxa"/>
          </w:tcPr>
          <w:p w14:paraId="5D916949" w14:textId="77777777" w:rsidR="00CD65F7" w:rsidRPr="0047585D" w:rsidRDefault="00CD65F7" w:rsidP="00CD65F7">
            <w:pPr>
              <w:pStyle w:val="TableParagraph"/>
              <w:ind w:left="0"/>
              <w:rPr>
                <w:lang w:val="sr-Latn-ME"/>
              </w:rPr>
            </w:pPr>
          </w:p>
        </w:tc>
      </w:tr>
      <w:tr w:rsidR="00CD65F7" w:rsidRPr="0047585D" w14:paraId="0F2DF632" w14:textId="77777777" w:rsidTr="00CD65F7">
        <w:trPr>
          <w:trHeight w:val="506"/>
        </w:trPr>
        <w:tc>
          <w:tcPr>
            <w:tcW w:w="1440" w:type="dxa"/>
          </w:tcPr>
          <w:p w14:paraId="24B03F7B" w14:textId="77777777" w:rsidR="00CD65F7" w:rsidRPr="0047585D" w:rsidRDefault="00CD65F7" w:rsidP="00CD65F7">
            <w:pPr>
              <w:pStyle w:val="TableParagraph"/>
              <w:spacing w:line="245" w:lineRule="exact"/>
              <w:ind w:left="0"/>
              <w:rPr>
                <w:b/>
                <w:lang w:val="sr-Latn-ME"/>
              </w:rPr>
            </w:pPr>
            <w:r w:rsidRPr="0047585D">
              <w:rPr>
                <w:b/>
                <w:lang w:val="sr-Latn-ME"/>
              </w:rPr>
              <w:t>Srčani</w:t>
            </w:r>
          </w:p>
          <w:p w14:paraId="188025C2" w14:textId="77777777" w:rsidR="00CD65F7" w:rsidRPr="0047585D" w:rsidRDefault="00CD65F7" w:rsidP="00CD65F7">
            <w:pPr>
              <w:pStyle w:val="TableParagraph"/>
              <w:spacing w:line="241" w:lineRule="exact"/>
              <w:ind w:left="0"/>
              <w:rPr>
                <w:b/>
                <w:lang w:val="sr-Latn-ME"/>
              </w:rPr>
            </w:pPr>
            <w:r w:rsidRPr="0047585D">
              <w:rPr>
                <w:b/>
                <w:lang w:val="sr-Latn-ME"/>
              </w:rPr>
              <w:t>poremećaji</w:t>
            </w:r>
          </w:p>
        </w:tc>
        <w:tc>
          <w:tcPr>
            <w:tcW w:w="1774" w:type="dxa"/>
          </w:tcPr>
          <w:p w14:paraId="07352F50" w14:textId="77777777" w:rsidR="00CD65F7" w:rsidRPr="0047585D" w:rsidRDefault="00CD65F7" w:rsidP="00CD65F7">
            <w:pPr>
              <w:pStyle w:val="TableParagraph"/>
              <w:ind w:left="0"/>
              <w:rPr>
                <w:lang w:val="sr-Latn-ME"/>
              </w:rPr>
            </w:pPr>
          </w:p>
        </w:tc>
        <w:tc>
          <w:tcPr>
            <w:tcW w:w="1829" w:type="dxa"/>
          </w:tcPr>
          <w:p w14:paraId="1E64CD82" w14:textId="77777777" w:rsidR="00CD65F7" w:rsidRPr="0047585D" w:rsidRDefault="00CD65F7" w:rsidP="00CD65F7">
            <w:pPr>
              <w:pStyle w:val="TableParagraph"/>
              <w:spacing w:line="240" w:lineRule="exact"/>
              <w:ind w:left="0"/>
              <w:rPr>
                <w:lang w:val="sr-Latn-ME"/>
              </w:rPr>
            </w:pPr>
            <w:r w:rsidRPr="0047585D">
              <w:rPr>
                <w:lang w:val="sr-Latn-ME"/>
              </w:rPr>
              <w:t>perikardijalni</w:t>
            </w:r>
          </w:p>
          <w:p w14:paraId="1C2CA59B" w14:textId="77777777" w:rsidR="00CD65F7" w:rsidRPr="0047585D" w:rsidRDefault="00CD65F7" w:rsidP="00CD65F7">
            <w:pPr>
              <w:pStyle w:val="TableParagraph"/>
              <w:spacing w:line="246" w:lineRule="exact"/>
              <w:ind w:left="0"/>
              <w:rPr>
                <w:lang w:val="sr-Latn-ME"/>
              </w:rPr>
            </w:pPr>
            <w:r w:rsidRPr="0047585D">
              <w:rPr>
                <w:lang w:val="sr-Latn-ME"/>
              </w:rPr>
              <w:t>izliv</w:t>
            </w:r>
          </w:p>
        </w:tc>
        <w:tc>
          <w:tcPr>
            <w:tcW w:w="1525" w:type="dxa"/>
          </w:tcPr>
          <w:p w14:paraId="77D9F9AE" w14:textId="77777777" w:rsidR="00CD65F7" w:rsidRPr="0047585D" w:rsidRDefault="00CD65F7" w:rsidP="00CD65F7">
            <w:pPr>
              <w:pStyle w:val="TableParagraph"/>
              <w:spacing w:line="241" w:lineRule="exact"/>
              <w:ind w:left="0"/>
              <w:rPr>
                <w:lang w:val="sr-Latn-ME"/>
              </w:rPr>
            </w:pPr>
            <w:r w:rsidRPr="0047585D">
              <w:rPr>
                <w:lang w:val="sr-Latn-ME"/>
              </w:rPr>
              <w:t>perikarditis</w:t>
            </w:r>
          </w:p>
        </w:tc>
        <w:tc>
          <w:tcPr>
            <w:tcW w:w="1342" w:type="dxa"/>
          </w:tcPr>
          <w:p w14:paraId="004C8845" w14:textId="77777777" w:rsidR="00CD65F7" w:rsidRPr="0047585D" w:rsidRDefault="00CD65F7" w:rsidP="00CD65F7">
            <w:pPr>
              <w:pStyle w:val="TableParagraph"/>
              <w:ind w:left="0"/>
              <w:rPr>
                <w:lang w:val="sr-Latn-ME"/>
              </w:rPr>
            </w:pPr>
          </w:p>
        </w:tc>
        <w:tc>
          <w:tcPr>
            <w:tcW w:w="1499" w:type="dxa"/>
          </w:tcPr>
          <w:p w14:paraId="13145C84" w14:textId="77777777" w:rsidR="00CD65F7" w:rsidRPr="0047585D" w:rsidRDefault="00CD65F7" w:rsidP="00CD65F7">
            <w:pPr>
              <w:pStyle w:val="TableParagraph"/>
              <w:ind w:left="0"/>
              <w:rPr>
                <w:lang w:val="sr-Latn-ME"/>
              </w:rPr>
            </w:pPr>
          </w:p>
        </w:tc>
      </w:tr>
      <w:tr w:rsidR="00CD65F7" w:rsidRPr="0047585D" w14:paraId="67004D81" w14:textId="77777777" w:rsidTr="00CD65F7">
        <w:trPr>
          <w:trHeight w:val="1267"/>
        </w:trPr>
        <w:tc>
          <w:tcPr>
            <w:tcW w:w="1440" w:type="dxa"/>
          </w:tcPr>
          <w:p w14:paraId="714A8D85" w14:textId="77777777" w:rsidR="00CD65F7" w:rsidRPr="0047585D" w:rsidRDefault="00CD65F7" w:rsidP="00CD65F7">
            <w:pPr>
              <w:pStyle w:val="TableParagraph"/>
              <w:ind w:left="0"/>
              <w:rPr>
                <w:b/>
                <w:lang w:val="sr-Latn-ME"/>
              </w:rPr>
            </w:pPr>
            <w:r w:rsidRPr="0047585D">
              <w:rPr>
                <w:b/>
                <w:lang w:val="sr-Latn-ME"/>
              </w:rPr>
              <w:t>Vaskularni poremećaji</w:t>
            </w:r>
          </w:p>
        </w:tc>
        <w:tc>
          <w:tcPr>
            <w:tcW w:w="1774" w:type="dxa"/>
          </w:tcPr>
          <w:p w14:paraId="542423E7" w14:textId="77777777" w:rsidR="00CD65F7" w:rsidRPr="0047585D" w:rsidRDefault="00CD65F7" w:rsidP="00CD65F7">
            <w:pPr>
              <w:pStyle w:val="TableParagraph"/>
              <w:ind w:left="0"/>
              <w:rPr>
                <w:lang w:val="sr-Latn-ME"/>
              </w:rPr>
            </w:pPr>
          </w:p>
        </w:tc>
        <w:tc>
          <w:tcPr>
            <w:tcW w:w="1829" w:type="dxa"/>
          </w:tcPr>
          <w:p w14:paraId="09823940" w14:textId="77777777" w:rsidR="00CD65F7" w:rsidRPr="0047585D" w:rsidRDefault="00CD65F7" w:rsidP="00CD65F7">
            <w:pPr>
              <w:pStyle w:val="TableParagraph"/>
              <w:ind w:left="0"/>
              <w:jc w:val="both"/>
              <w:rPr>
                <w:lang w:val="sr-Latn-ME"/>
              </w:rPr>
            </w:pPr>
            <w:r w:rsidRPr="0047585D">
              <w:rPr>
                <w:lang w:val="sr-Latn-ME"/>
              </w:rPr>
              <w:t>hipotenzija*, hipertenzija, ortostatska</w:t>
            </w:r>
          </w:p>
          <w:p w14:paraId="63DB080A" w14:textId="77777777" w:rsidR="00CD65F7" w:rsidRPr="0047585D" w:rsidRDefault="00CD65F7" w:rsidP="00CD65F7">
            <w:pPr>
              <w:pStyle w:val="TableParagraph"/>
              <w:spacing w:line="252" w:lineRule="exact"/>
              <w:ind w:left="0"/>
              <w:rPr>
                <w:lang w:val="sr-Latn-ME"/>
              </w:rPr>
            </w:pPr>
            <w:r w:rsidRPr="0047585D">
              <w:rPr>
                <w:lang w:val="sr-Latn-ME"/>
              </w:rPr>
              <w:t>hipotenzija, hematom</w:t>
            </w:r>
          </w:p>
        </w:tc>
        <w:tc>
          <w:tcPr>
            <w:tcW w:w="1525" w:type="dxa"/>
          </w:tcPr>
          <w:p w14:paraId="64D065E3" w14:textId="77777777" w:rsidR="00CD65F7" w:rsidRPr="0047585D" w:rsidRDefault="00CD65F7" w:rsidP="00CD65F7">
            <w:pPr>
              <w:pStyle w:val="TableParagraph"/>
              <w:ind w:left="0"/>
              <w:rPr>
                <w:lang w:val="sr-Latn-ME"/>
              </w:rPr>
            </w:pPr>
          </w:p>
        </w:tc>
        <w:tc>
          <w:tcPr>
            <w:tcW w:w="1342" w:type="dxa"/>
          </w:tcPr>
          <w:p w14:paraId="29E191C7" w14:textId="77777777" w:rsidR="00CD65F7" w:rsidRPr="0047585D" w:rsidRDefault="00CD65F7" w:rsidP="00CD65F7">
            <w:pPr>
              <w:pStyle w:val="TableParagraph"/>
              <w:ind w:left="0"/>
              <w:rPr>
                <w:lang w:val="sr-Latn-ME"/>
              </w:rPr>
            </w:pPr>
          </w:p>
        </w:tc>
        <w:tc>
          <w:tcPr>
            <w:tcW w:w="1499" w:type="dxa"/>
          </w:tcPr>
          <w:p w14:paraId="4DA250BD" w14:textId="77777777" w:rsidR="00CD65F7" w:rsidRPr="0047585D" w:rsidRDefault="00CD65F7" w:rsidP="00CD65F7">
            <w:pPr>
              <w:pStyle w:val="TableParagraph"/>
              <w:ind w:left="0"/>
              <w:rPr>
                <w:lang w:val="sr-Latn-ME"/>
              </w:rPr>
            </w:pPr>
          </w:p>
        </w:tc>
      </w:tr>
      <w:tr w:rsidR="00CD65F7" w:rsidRPr="0047585D" w14:paraId="42D1A454" w14:textId="77777777" w:rsidTr="00CD65F7">
        <w:trPr>
          <w:trHeight w:val="1264"/>
        </w:trPr>
        <w:tc>
          <w:tcPr>
            <w:tcW w:w="1440" w:type="dxa"/>
          </w:tcPr>
          <w:p w14:paraId="11AA4ED1" w14:textId="5864C4E3" w:rsidR="00CD65F7" w:rsidRPr="0047585D" w:rsidRDefault="00CD65F7" w:rsidP="00CD65F7">
            <w:pPr>
              <w:pStyle w:val="TableParagraph"/>
              <w:ind w:left="0"/>
              <w:rPr>
                <w:b/>
                <w:lang w:val="sr-Latn-ME"/>
              </w:rPr>
            </w:pPr>
            <w:r w:rsidRPr="0047585D">
              <w:rPr>
                <w:b/>
                <w:lang w:val="sr-Latn-ME"/>
              </w:rPr>
              <w:t xml:space="preserve">Respiratorni, torakalni </w:t>
            </w:r>
            <w:r w:rsidR="008D5A0B" w:rsidRPr="0047585D">
              <w:rPr>
                <w:b/>
                <w:lang w:val="sr-Latn-ME"/>
              </w:rPr>
              <w:t>i</w:t>
            </w:r>
            <w:r w:rsidRPr="0047585D">
              <w:rPr>
                <w:b/>
                <w:lang w:val="sr-Latn-ME"/>
              </w:rPr>
              <w:t xml:space="preserve"> mediastinalni poremećaji</w:t>
            </w:r>
          </w:p>
        </w:tc>
        <w:tc>
          <w:tcPr>
            <w:tcW w:w="1774" w:type="dxa"/>
          </w:tcPr>
          <w:p w14:paraId="4D9E728E" w14:textId="77777777" w:rsidR="00CD65F7" w:rsidRPr="0047585D" w:rsidRDefault="00CD65F7" w:rsidP="00CD65F7">
            <w:pPr>
              <w:pStyle w:val="TableParagraph"/>
              <w:spacing w:line="238" w:lineRule="exact"/>
              <w:ind w:left="0"/>
              <w:rPr>
                <w:lang w:val="sr-Latn-ME"/>
              </w:rPr>
            </w:pPr>
            <w:r w:rsidRPr="0047585D">
              <w:rPr>
                <w:lang w:val="sr-Latn-ME"/>
              </w:rPr>
              <w:t>dispneja,</w:t>
            </w:r>
          </w:p>
          <w:p w14:paraId="529D8821" w14:textId="77777777" w:rsidR="00CD65F7" w:rsidRPr="0047585D" w:rsidRDefault="00CD65F7" w:rsidP="00CD65F7">
            <w:pPr>
              <w:pStyle w:val="TableParagraph"/>
              <w:spacing w:line="252" w:lineRule="exact"/>
              <w:ind w:left="0"/>
              <w:rPr>
                <w:lang w:val="sr-Latn-ME"/>
              </w:rPr>
            </w:pPr>
            <w:r w:rsidRPr="0047585D">
              <w:rPr>
                <w:lang w:val="sr-Latn-ME"/>
              </w:rPr>
              <w:t>epistaksa</w:t>
            </w:r>
          </w:p>
        </w:tc>
        <w:tc>
          <w:tcPr>
            <w:tcW w:w="1829" w:type="dxa"/>
          </w:tcPr>
          <w:p w14:paraId="007C2BF7" w14:textId="77777777" w:rsidR="00CD65F7" w:rsidRPr="0047585D" w:rsidRDefault="00CD65F7" w:rsidP="00CD65F7">
            <w:pPr>
              <w:pStyle w:val="TableParagraph"/>
              <w:spacing w:line="238" w:lineRule="exact"/>
              <w:ind w:left="0"/>
              <w:rPr>
                <w:lang w:val="sr-Latn-ME"/>
              </w:rPr>
            </w:pPr>
            <w:r w:rsidRPr="0047585D">
              <w:rPr>
                <w:lang w:val="sr-Latn-ME"/>
              </w:rPr>
              <w:t>pleuralni izliv,</w:t>
            </w:r>
          </w:p>
          <w:p w14:paraId="36AF4B44" w14:textId="77777777" w:rsidR="00CD65F7" w:rsidRPr="0047585D" w:rsidRDefault="00CD65F7" w:rsidP="00CD65F7">
            <w:pPr>
              <w:pStyle w:val="TableParagraph"/>
              <w:ind w:left="0"/>
              <w:rPr>
                <w:lang w:val="sr-Latn-ME"/>
              </w:rPr>
            </w:pPr>
            <w:r w:rsidRPr="0047585D">
              <w:rPr>
                <w:lang w:val="sr-Latn-ME"/>
              </w:rPr>
              <w:t>dispneja u naporu,</w:t>
            </w:r>
          </w:p>
          <w:p w14:paraId="7DE753CE" w14:textId="77777777" w:rsidR="00CD65F7" w:rsidRPr="0047585D" w:rsidRDefault="00CD65F7" w:rsidP="00CD65F7">
            <w:pPr>
              <w:pStyle w:val="TableParagraph"/>
              <w:spacing w:before="3" w:line="252" w:lineRule="exact"/>
              <w:ind w:left="0"/>
              <w:rPr>
                <w:lang w:val="sr-Latn-ME"/>
              </w:rPr>
            </w:pPr>
            <w:r w:rsidRPr="0047585D">
              <w:rPr>
                <w:lang w:val="sr-Latn-ME"/>
              </w:rPr>
              <w:t>faringolaringealna bol</w:t>
            </w:r>
          </w:p>
        </w:tc>
        <w:tc>
          <w:tcPr>
            <w:tcW w:w="1525" w:type="dxa"/>
          </w:tcPr>
          <w:p w14:paraId="2E8704EA" w14:textId="77777777" w:rsidR="00CD65F7" w:rsidRPr="0047585D" w:rsidRDefault="00CD65F7" w:rsidP="00CD65F7">
            <w:pPr>
              <w:pStyle w:val="TableParagraph"/>
              <w:ind w:left="0"/>
              <w:rPr>
                <w:lang w:val="sr-Latn-ME"/>
              </w:rPr>
            </w:pPr>
          </w:p>
        </w:tc>
        <w:tc>
          <w:tcPr>
            <w:tcW w:w="1342" w:type="dxa"/>
          </w:tcPr>
          <w:p w14:paraId="0CD4613F" w14:textId="77777777" w:rsidR="00CD65F7" w:rsidRPr="0047585D" w:rsidRDefault="00CD65F7" w:rsidP="00CD65F7">
            <w:pPr>
              <w:pStyle w:val="TableParagraph"/>
              <w:spacing w:line="238" w:lineRule="exact"/>
              <w:ind w:left="0"/>
              <w:rPr>
                <w:lang w:val="sr-Latn-ME"/>
              </w:rPr>
            </w:pPr>
            <w:r w:rsidRPr="0047585D">
              <w:rPr>
                <w:lang w:val="sr-Latn-ME"/>
              </w:rPr>
              <w:t>intersticijalna</w:t>
            </w:r>
          </w:p>
          <w:p w14:paraId="4AA3785D" w14:textId="77777777" w:rsidR="00CD65F7" w:rsidRPr="0047585D" w:rsidRDefault="00CD65F7" w:rsidP="00CD65F7">
            <w:pPr>
              <w:pStyle w:val="TableParagraph"/>
              <w:spacing w:line="252" w:lineRule="exact"/>
              <w:ind w:left="0"/>
              <w:rPr>
                <w:lang w:val="sr-Latn-ME"/>
              </w:rPr>
            </w:pPr>
            <w:r w:rsidRPr="0047585D">
              <w:rPr>
                <w:lang w:val="sr-Latn-ME"/>
              </w:rPr>
              <w:t>bolest pluća</w:t>
            </w:r>
          </w:p>
        </w:tc>
        <w:tc>
          <w:tcPr>
            <w:tcW w:w="1499" w:type="dxa"/>
          </w:tcPr>
          <w:p w14:paraId="7C4D76C0" w14:textId="77777777" w:rsidR="00CD65F7" w:rsidRPr="0047585D" w:rsidRDefault="00CD65F7" w:rsidP="00CD65F7">
            <w:pPr>
              <w:pStyle w:val="TableParagraph"/>
              <w:ind w:left="0"/>
              <w:rPr>
                <w:lang w:val="sr-Latn-ME"/>
              </w:rPr>
            </w:pPr>
          </w:p>
        </w:tc>
      </w:tr>
      <w:tr w:rsidR="00CD65F7" w:rsidRPr="0047585D" w14:paraId="4E0D6A97" w14:textId="77777777" w:rsidTr="00CD65F7">
        <w:trPr>
          <w:trHeight w:val="2529"/>
        </w:trPr>
        <w:tc>
          <w:tcPr>
            <w:tcW w:w="1440" w:type="dxa"/>
          </w:tcPr>
          <w:p w14:paraId="7F99F8AA" w14:textId="77777777" w:rsidR="00CD65F7" w:rsidRPr="0047585D" w:rsidRDefault="00CD65F7" w:rsidP="00CD65F7">
            <w:pPr>
              <w:pStyle w:val="TableParagraph"/>
              <w:ind w:left="0"/>
              <w:jc w:val="both"/>
              <w:rPr>
                <w:b/>
                <w:lang w:val="sr-Latn-ME"/>
              </w:rPr>
            </w:pPr>
            <w:r w:rsidRPr="0047585D">
              <w:rPr>
                <w:b/>
                <w:lang w:val="sr-Latn-ME"/>
              </w:rPr>
              <w:t>Poremećaji probavnog sistema</w:t>
            </w:r>
          </w:p>
        </w:tc>
        <w:tc>
          <w:tcPr>
            <w:tcW w:w="1774" w:type="dxa"/>
          </w:tcPr>
          <w:p w14:paraId="50E57CE8" w14:textId="77777777" w:rsidR="00CD65F7" w:rsidRPr="0047585D" w:rsidRDefault="00CD65F7" w:rsidP="00CD65F7">
            <w:pPr>
              <w:pStyle w:val="TableParagraph"/>
              <w:spacing w:line="238" w:lineRule="exact"/>
              <w:ind w:left="0"/>
              <w:rPr>
                <w:lang w:val="sr-Latn-ME"/>
              </w:rPr>
            </w:pPr>
            <w:r w:rsidRPr="0047585D">
              <w:rPr>
                <w:lang w:val="sr-Latn-ME"/>
              </w:rPr>
              <w:t>dijareja,</w:t>
            </w:r>
          </w:p>
          <w:p w14:paraId="0EF5A088" w14:textId="77777777" w:rsidR="00CD65F7" w:rsidRPr="0047585D" w:rsidRDefault="00CD65F7" w:rsidP="00CD65F7">
            <w:pPr>
              <w:pStyle w:val="TableParagraph"/>
              <w:ind w:left="0"/>
              <w:rPr>
                <w:lang w:val="sr-Latn-ME"/>
              </w:rPr>
            </w:pPr>
            <w:r w:rsidRPr="0047585D">
              <w:rPr>
                <w:lang w:val="sr-Latn-ME"/>
              </w:rPr>
              <w:t>povraćanje, konstipacija, mučnina,  abominalni bol (uključuje nelagodu u gornjem dijelu i abdominalnu</w:t>
            </w:r>
          </w:p>
          <w:p w14:paraId="001C497E" w14:textId="77777777" w:rsidR="00CD65F7" w:rsidRPr="0047585D" w:rsidRDefault="00CD65F7" w:rsidP="00CD65F7">
            <w:pPr>
              <w:pStyle w:val="TableParagraph"/>
              <w:spacing w:before="1" w:line="246" w:lineRule="exact"/>
              <w:ind w:left="0"/>
              <w:rPr>
                <w:lang w:val="sr-Latn-ME"/>
              </w:rPr>
            </w:pPr>
            <w:r w:rsidRPr="0047585D">
              <w:rPr>
                <w:lang w:val="sr-Latn-ME"/>
              </w:rPr>
              <w:t>nelagodu)</w:t>
            </w:r>
          </w:p>
        </w:tc>
        <w:tc>
          <w:tcPr>
            <w:tcW w:w="1829" w:type="dxa"/>
          </w:tcPr>
          <w:p w14:paraId="583C1035" w14:textId="77777777" w:rsidR="00CD65F7" w:rsidRPr="0047585D" w:rsidRDefault="00CD65F7" w:rsidP="00CD65F7">
            <w:pPr>
              <w:pStyle w:val="TableParagraph"/>
              <w:spacing w:line="238" w:lineRule="exact"/>
              <w:ind w:left="0"/>
              <w:rPr>
                <w:lang w:val="sr-Latn-ME"/>
              </w:rPr>
            </w:pPr>
            <w:r w:rsidRPr="0047585D">
              <w:rPr>
                <w:lang w:val="sr-Latn-ME"/>
              </w:rPr>
              <w:t>gastrointestinalno</w:t>
            </w:r>
          </w:p>
          <w:p w14:paraId="1346AC42" w14:textId="77777777" w:rsidR="00CD65F7" w:rsidRPr="0047585D" w:rsidRDefault="00CD65F7" w:rsidP="00CD65F7">
            <w:pPr>
              <w:pStyle w:val="TableParagraph"/>
              <w:ind w:left="0"/>
              <w:rPr>
                <w:lang w:val="sr-Latn-ME"/>
              </w:rPr>
            </w:pPr>
            <w:r w:rsidRPr="0047585D">
              <w:rPr>
                <w:lang w:val="sr-Latn-ME"/>
              </w:rPr>
              <w:t>krvarenje* (uključuje krvarenje u ustima), krvarenje iz hemoroida, stomatitis, krvarenje iz gingiva,</w:t>
            </w:r>
          </w:p>
          <w:p w14:paraId="194B0A2A" w14:textId="77777777" w:rsidR="00CD65F7" w:rsidRPr="0047585D" w:rsidRDefault="00CD65F7" w:rsidP="00CD65F7">
            <w:pPr>
              <w:pStyle w:val="TableParagraph"/>
              <w:spacing w:before="1" w:line="246" w:lineRule="exact"/>
              <w:ind w:left="0"/>
              <w:rPr>
                <w:lang w:val="sr-Latn-ME"/>
              </w:rPr>
            </w:pPr>
            <w:r w:rsidRPr="0047585D">
              <w:rPr>
                <w:lang w:val="sr-Latn-ME"/>
              </w:rPr>
              <w:t>dispepsija</w:t>
            </w:r>
          </w:p>
        </w:tc>
        <w:tc>
          <w:tcPr>
            <w:tcW w:w="1525" w:type="dxa"/>
          </w:tcPr>
          <w:p w14:paraId="6ED1AAD9" w14:textId="77777777" w:rsidR="00CD65F7" w:rsidRPr="0047585D" w:rsidRDefault="00CD65F7" w:rsidP="00CD65F7">
            <w:pPr>
              <w:pStyle w:val="TableParagraph"/>
              <w:ind w:left="0"/>
              <w:rPr>
                <w:lang w:val="sr-Latn-ME"/>
              </w:rPr>
            </w:pPr>
          </w:p>
        </w:tc>
        <w:tc>
          <w:tcPr>
            <w:tcW w:w="1342" w:type="dxa"/>
          </w:tcPr>
          <w:p w14:paraId="7C942C82" w14:textId="77777777" w:rsidR="00CD65F7" w:rsidRPr="0047585D" w:rsidRDefault="00CD65F7" w:rsidP="00CD65F7">
            <w:pPr>
              <w:pStyle w:val="TableParagraph"/>
              <w:ind w:left="0"/>
              <w:rPr>
                <w:lang w:val="sr-Latn-ME"/>
              </w:rPr>
            </w:pPr>
          </w:p>
        </w:tc>
        <w:tc>
          <w:tcPr>
            <w:tcW w:w="1499" w:type="dxa"/>
          </w:tcPr>
          <w:p w14:paraId="5B7C63CC" w14:textId="77777777" w:rsidR="00CD65F7" w:rsidRPr="0047585D" w:rsidRDefault="00CD65F7" w:rsidP="00CD65F7">
            <w:pPr>
              <w:pStyle w:val="TableParagraph"/>
              <w:ind w:left="0"/>
              <w:rPr>
                <w:lang w:val="sr-Latn-ME"/>
              </w:rPr>
            </w:pPr>
          </w:p>
        </w:tc>
      </w:tr>
      <w:tr w:rsidR="00CD65F7" w:rsidRPr="0047585D" w14:paraId="6CB2B46E" w14:textId="77777777" w:rsidTr="00CD65F7">
        <w:trPr>
          <w:trHeight w:val="1264"/>
        </w:trPr>
        <w:tc>
          <w:tcPr>
            <w:tcW w:w="1440" w:type="dxa"/>
          </w:tcPr>
          <w:p w14:paraId="73BF08C1" w14:textId="77777777" w:rsidR="00CD65F7" w:rsidRPr="0047585D" w:rsidRDefault="00CD65F7" w:rsidP="00CD65F7">
            <w:pPr>
              <w:pStyle w:val="TableParagraph"/>
              <w:spacing w:line="242" w:lineRule="auto"/>
              <w:ind w:left="0"/>
              <w:rPr>
                <w:b/>
                <w:lang w:val="sr-Latn-ME"/>
              </w:rPr>
            </w:pPr>
            <w:r w:rsidRPr="0047585D">
              <w:rPr>
                <w:b/>
                <w:lang w:val="sr-Latn-ME"/>
              </w:rPr>
              <w:t>Poremećaji jetre i žuči</w:t>
            </w:r>
          </w:p>
        </w:tc>
        <w:tc>
          <w:tcPr>
            <w:tcW w:w="1774" w:type="dxa"/>
          </w:tcPr>
          <w:p w14:paraId="02BFD585" w14:textId="77777777" w:rsidR="00CD65F7" w:rsidRPr="0047585D" w:rsidRDefault="00CD65F7" w:rsidP="00CD65F7">
            <w:pPr>
              <w:pStyle w:val="TableParagraph"/>
              <w:ind w:left="0"/>
              <w:rPr>
                <w:lang w:val="sr-Latn-ME"/>
              </w:rPr>
            </w:pPr>
          </w:p>
        </w:tc>
        <w:tc>
          <w:tcPr>
            <w:tcW w:w="1829" w:type="dxa"/>
          </w:tcPr>
          <w:p w14:paraId="146EF71B" w14:textId="77777777" w:rsidR="00CD65F7" w:rsidRPr="0047585D" w:rsidRDefault="00CD65F7" w:rsidP="00CD65F7">
            <w:pPr>
              <w:pStyle w:val="TableParagraph"/>
              <w:ind w:left="0"/>
              <w:rPr>
                <w:lang w:val="sr-Latn-ME"/>
              </w:rPr>
            </w:pPr>
          </w:p>
        </w:tc>
        <w:tc>
          <w:tcPr>
            <w:tcW w:w="1525" w:type="dxa"/>
          </w:tcPr>
          <w:p w14:paraId="000A8B99" w14:textId="77777777" w:rsidR="00CD65F7" w:rsidRPr="0047585D" w:rsidRDefault="00CD65F7" w:rsidP="00CD65F7">
            <w:pPr>
              <w:pStyle w:val="TableParagraph"/>
              <w:spacing w:line="239" w:lineRule="exact"/>
              <w:ind w:left="0"/>
              <w:rPr>
                <w:lang w:val="sr-Latn-ME"/>
              </w:rPr>
            </w:pPr>
            <w:r w:rsidRPr="0047585D">
              <w:rPr>
                <w:lang w:val="sr-Latn-ME"/>
              </w:rPr>
              <w:t>insuficijencija</w:t>
            </w:r>
          </w:p>
          <w:p w14:paraId="2F9A2D52" w14:textId="77777777" w:rsidR="00CD65F7" w:rsidRPr="0047585D" w:rsidRDefault="00CD65F7" w:rsidP="00CD65F7">
            <w:pPr>
              <w:pStyle w:val="TableParagraph"/>
              <w:spacing w:before="1"/>
              <w:ind w:left="0"/>
              <w:rPr>
                <w:lang w:val="sr-Latn-ME"/>
              </w:rPr>
            </w:pPr>
            <w:r w:rsidRPr="0047585D">
              <w:rPr>
                <w:lang w:val="sr-Latn-ME"/>
              </w:rPr>
              <w:t>jetre*, progresivna hepatička</w:t>
            </w:r>
          </w:p>
          <w:p w14:paraId="48C97A3B" w14:textId="77777777" w:rsidR="00CD65F7" w:rsidRPr="0047585D" w:rsidRDefault="00CD65F7" w:rsidP="00CD65F7">
            <w:pPr>
              <w:pStyle w:val="TableParagraph"/>
              <w:spacing w:line="245" w:lineRule="exact"/>
              <w:ind w:left="0"/>
              <w:rPr>
                <w:lang w:val="sr-Latn-ME"/>
              </w:rPr>
            </w:pPr>
            <w:r w:rsidRPr="0047585D">
              <w:rPr>
                <w:lang w:val="sr-Latn-ME"/>
              </w:rPr>
              <w:t>koma</w:t>
            </w:r>
          </w:p>
        </w:tc>
        <w:tc>
          <w:tcPr>
            <w:tcW w:w="1342" w:type="dxa"/>
          </w:tcPr>
          <w:p w14:paraId="74630FEF" w14:textId="77777777" w:rsidR="00CD65F7" w:rsidRPr="0047585D" w:rsidRDefault="00CD65F7" w:rsidP="00CD65F7">
            <w:pPr>
              <w:pStyle w:val="TableParagraph"/>
              <w:ind w:left="0"/>
              <w:rPr>
                <w:lang w:val="sr-Latn-ME"/>
              </w:rPr>
            </w:pPr>
          </w:p>
        </w:tc>
        <w:tc>
          <w:tcPr>
            <w:tcW w:w="1499" w:type="dxa"/>
          </w:tcPr>
          <w:p w14:paraId="17673040" w14:textId="77777777" w:rsidR="00CD65F7" w:rsidRPr="0047585D" w:rsidRDefault="00CD65F7" w:rsidP="00CD65F7">
            <w:pPr>
              <w:pStyle w:val="TableParagraph"/>
              <w:ind w:left="0"/>
              <w:rPr>
                <w:lang w:val="sr-Latn-ME"/>
              </w:rPr>
            </w:pPr>
          </w:p>
        </w:tc>
      </w:tr>
      <w:tr w:rsidR="00CD65F7" w:rsidRPr="0047585D" w14:paraId="654216AF" w14:textId="77777777" w:rsidTr="00CD65F7">
        <w:trPr>
          <w:trHeight w:val="1519"/>
        </w:trPr>
        <w:tc>
          <w:tcPr>
            <w:tcW w:w="1440" w:type="dxa"/>
          </w:tcPr>
          <w:p w14:paraId="1EC0CE1C" w14:textId="2CE214A1" w:rsidR="00CD65F7" w:rsidRPr="0047585D" w:rsidRDefault="00CD65F7" w:rsidP="00157369">
            <w:pPr>
              <w:pStyle w:val="TableParagraph"/>
              <w:tabs>
                <w:tab w:val="left" w:pos="1269"/>
              </w:tabs>
              <w:spacing w:line="242" w:lineRule="auto"/>
              <w:ind w:left="0"/>
              <w:rPr>
                <w:b/>
                <w:lang w:val="sr-Latn-ME"/>
              </w:rPr>
            </w:pPr>
            <w:r w:rsidRPr="0047585D">
              <w:rPr>
                <w:b/>
                <w:lang w:val="sr-Latn-ME"/>
              </w:rPr>
              <w:t>Poremećaji kože</w:t>
            </w:r>
            <w:r w:rsidR="00DD2F06">
              <w:rPr>
                <w:b/>
                <w:lang w:val="sr-Latn-ME"/>
              </w:rPr>
              <w:t xml:space="preserve"> </w:t>
            </w:r>
            <w:r w:rsidRPr="0047585D">
              <w:rPr>
                <w:b/>
                <w:spacing w:val="-18"/>
                <w:lang w:val="sr-Latn-ME"/>
              </w:rPr>
              <w:t>i</w:t>
            </w:r>
          </w:p>
          <w:p w14:paraId="65AFBC3F" w14:textId="77777777" w:rsidR="00CD65F7" w:rsidRPr="0047585D" w:rsidRDefault="00CD65F7">
            <w:pPr>
              <w:pStyle w:val="TableParagraph"/>
              <w:spacing w:line="242" w:lineRule="auto"/>
              <w:ind w:left="0"/>
              <w:rPr>
                <w:b/>
                <w:lang w:val="sr-Latn-ME"/>
              </w:rPr>
            </w:pPr>
            <w:r w:rsidRPr="0047585D">
              <w:rPr>
                <w:b/>
                <w:lang w:val="sr-Latn-ME"/>
              </w:rPr>
              <w:t>potkožnog tkiva</w:t>
            </w:r>
          </w:p>
        </w:tc>
        <w:tc>
          <w:tcPr>
            <w:tcW w:w="1774" w:type="dxa"/>
          </w:tcPr>
          <w:p w14:paraId="21D59FF2" w14:textId="77777777" w:rsidR="00CD65F7" w:rsidRPr="0047585D" w:rsidRDefault="00CD65F7" w:rsidP="00CD65F7">
            <w:pPr>
              <w:pStyle w:val="TableParagraph"/>
              <w:spacing w:line="239" w:lineRule="exact"/>
              <w:ind w:left="0"/>
              <w:rPr>
                <w:lang w:val="sr-Latn-ME"/>
              </w:rPr>
            </w:pPr>
            <w:r w:rsidRPr="0047585D">
              <w:rPr>
                <w:lang w:val="sr-Latn-ME"/>
              </w:rPr>
              <w:t>petehije, svrab</w:t>
            </w:r>
          </w:p>
          <w:p w14:paraId="1B65BF56" w14:textId="77777777" w:rsidR="00CD65F7" w:rsidRPr="0047585D" w:rsidRDefault="00CD65F7" w:rsidP="00CD65F7">
            <w:pPr>
              <w:pStyle w:val="TableParagraph"/>
              <w:spacing w:before="1"/>
              <w:ind w:left="0"/>
              <w:rPr>
                <w:lang w:val="sr-Latn-ME"/>
              </w:rPr>
            </w:pPr>
            <w:r w:rsidRPr="0047585D">
              <w:rPr>
                <w:lang w:val="sr-Latn-ME"/>
              </w:rPr>
              <w:t>(uključuje generalizirani), osip, ekhimoze</w:t>
            </w:r>
          </w:p>
        </w:tc>
        <w:tc>
          <w:tcPr>
            <w:tcW w:w="1829" w:type="dxa"/>
          </w:tcPr>
          <w:p w14:paraId="296A1777" w14:textId="77777777" w:rsidR="00CD65F7" w:rsidRPr="0047585D" w:rsidRDefault="00CD65F7" w:rsidP="00CD65F7">
            <w:pPr>
              <w:pStyle w:val="TableParagraph"/>
              <w:spacing w:line="239" w:lineRule="exact"/>
              <w:ind w:left="0"/>
              <w:rPr>
                <w:lang w:val="sr-Latn-ME"/>
              </w:rPr>
            </w:pPr>
            <w:r w:rsidRPr="0047585D">
              <w:rPr>
                <w:lang w:val="sr-Latn-ME"/>
              </w:rPr>
              <w:t>purpura,</w:t>
            </w:r>
          </w:p>
          <w:p w14:paraId="6613062C" w14:textId="77777777" w:rsidR="00CD65F7" w:rsidRPr="0047585D" w:rsidRDefault="00CD65F7" w:rsidP="00CD65F7">
            <w:pPr>
              <w:pStyle w:val="TableParagraph"/>
              <w:spacing w:before="1"/>
              <w:ind w:left="0"/>
              <w:rPr>
                <w:lang w:val="sr-Latn-ME"/>
              </w:rPr>
            </w:pPr>
            <w:r w:rsidRPr="0047585D">
              <w:rPr>
                <w:lang w:val="sr-Latn-ME"/>
              </w:rPr>
              <w:t>alopecija, urtikarija, eritem, makularni osip</w:t>
            </w:r>
          </w:p>
        </w:tc>
        <w:tc>
          <w:tcPr>
            <w:tcW w:w="1525" w:type="dxa"/>
          </w:tcPr>
          <w:p w14:paraId="02E0ACF1" w14:textId="77777777" w:rsidR="00CD65F7" w:rsidRPr="0047585D" w:rsidRDefault="00CD65F7" w:rsidP="00CD65F7">
            <w:pPr>
              <w:pStyle w:val="TableParagraph"/>
              <w:spacing w:line="239" w:lineRule="exact"/>
              <w:ind w:left="0"/>
              <w:rPr>
                <w:lang w:val="sr-Latn-ME"/>
              </w:rPr>
            </w:pPr>
            <w:r w:rsidRPr="0047585D">
              <w:rPr>
                <w:lang w:val="sr-Latn-ME"/>
              </w:rPr>
              <w:t>akutna</w:t>
            </w:r>
          </w:p>
          <w:p w14:paraId="00573CB2" w14:textId="77777777" w:rsidR="00CD65F7" w:rsidRPr="0047585D" w:rsidRDefault="00CD65F7" w:rsidP="00CD65F7">
            <w:pPr>
              <w:pStyle w:val="TableParagraph"/>
              <w:spacing w:before="1"/>
              <w:ind w:left="0"/>
              <w:rPr>
                <w:lang w:val="sr-Latn-ME"/>
              </w:rPr>
            </w:pPr>
            <w:r w:rsidRPr="0047585D">
              <w:rPr>
                <w:lang w:val="sr-Latn-ME"/>
              </w:rPr>
              <w:t>febrilna neutrofilna dermatoza, gangrenozna</w:t>
            </w:r>
          </w:p>
          <w:p w14:paraId="2DC03369" w14:textId="77777777" w:rsidR="00CD65F7" w:rsidRPr="0047585D" w:rsidRDefault="00CD65F7" w:rsidP="00CD65F7">
            <w:pPr>
              <w:pStyle w:val="TableParagraph"/>
              <w:spacing w:before="2" w:line="246" w:lineRule="exact"/>
              <w:ind w:left="0"/>
              <w:rPr>
                <w:lang w:val="sr-Latn-ME"/>
              </w:rPr>
            </w:pPr>
            <w:r w:rsidRPr="0047585D">
              <w:rPr>
                <w:lang w:val="sr-Latn-ME"/>
              </w:rPr>
              <w:t>pioderma</w:t>
            </w:r>
          </w:p>
        </w:tc>
        <w:tc>
          <w:tcPr>
            <w:tcW w:w="1342" w:type="dxa"/>
          </w:tcPr>
          <w:p w14:paraId="41811D34" w14:textId="77777777" w:rsidR="00CD65F7" w:rsidRPr="0047585D" w:rsidRDefault="00CD65F7" w:rsidP="00CD65F7">
            <w:pPr>
              <w:pStyle w:val="TableParagraph"/>
              <w:ind w:left="0"/>
              <w:rPr>
                <w:lang w:val="sr-Latn-ME"/>
              </w:rPr>
            </w:pPr>
          </w:p>
        </w:tc>
        <w:tc>
          <w:tcPr>
            <w:tcW w:w="1499" w:type="dxa"/>
          </w:tcPr>
          <w:p w14:paraId="114A2A36" w14:textId="77777777" w:rsidR="00CD65F7" w:rsidRPr="0047585D" w:rsidRDefault="00CD65F7" w:rsidP="00CD65F7">
            <w:pPr>
              <w:pStyle w:val="TableParagraph"/>
              <w:ind w:left="0"/>
              <w:rPr>
                <w:lang w:val="sr-Latn-ME"/>
              </w:rPr>
            </w:pPr>
          </w:p>
        </w:tc>
      </w:tr>
      <w:tr w:rsidR="00CD65F7" w:rsidRPr="0047585D" w14:paraId="2AEE7584" w14:textId="77777777" w:rsidTr="00CD65F7">
        <w:trPr>
          <w:trHeight w:val="1518"/>
        </w:trPr>
        <w:tc>
          <w:tcPr>
            <w:tcW w:w="1440" w:type="dxa"/>
          </w:tcPr>
          <w:p w14:paraId="336D12D7" w14:textId="783E27FF" w:rsidR="00CD65F7" w:rsidRPr="0047585D" w:rsidRDefault="00CD65F7" w:rsidP="00CD65F7">
            <w:pPr>
              <w:pStyle w:val="TableParagraph"/>
              <w:tabs>
                <w:tab w:val="left" w:pos="1271"/>
              </w:tabs>
              <w:ind w:left="0"/>
              <w:rPr>
                <w:b/>
                <w:lang w:val="sr-Latn-ME"/>
              </w:rPr>
            </w:pPr>
            <w:r w:rsidRPr="0047585D">
              <w:rPr>
                <w:b/>
                <w:lang w:val="sr-Latn-ME"/>
              </w:rPr>
              <w:lastRenderedPageBreak/>
              <w:t>Poremećaji mišićno- koštanog sistema</w:t>
            </w:r>
            <w:r w:rsidR="00DD2F06">
              <w:rPr>
                <w:b/>
                <w:lang w:val="sr-Latn-ME"/>
              </w:rPr>
              <w:t xml:space="preserve"> </w:t>
            </w:r>
            <w:r w:rsidRPr="0047585D">
              <w:rPr>
                <w:b/>
                <w:spacing w:val="-17"/>
                <w:lang w:val="sr-Latn-ME"/>
              </w:rPr>
              <w:t xml:space="preserve">i </w:t>
            </w:r>
            <w:r w:rsidRPr="0047585D">
              <w:rPr>
                <w:b/>
                <w:lang w:val="sr-Latn-ME"/>
              </w:rPr>
              <w:t>vezivnog</w:t>
            </w:r>
          </w:p>
          <w:p w14:paraId="7A787EB8" w14:textId="77777777" w:rsidR="00CD65F7" w:rsidRPr="0047585D" w:rsidRDefault="00CD65F7" w:rsidP="00CD65F7">
            <w:pPr>
              <w:pStyle w:val="TableParagraph"/>
              <w:spacing w:line="243" w:lineRule="exact"/>
              <w:ind w:left="0"/>
              <w:rPr>
                <w:b/>
                <w:lang w:val="sr-Latn-ME"/>
              </w:rPr>
            </w:pPr>
            <w:r w:rsidRPr="0047585D">
              <w:rPr>
                <w:b/>
                <w:lang w:val="sr-Latn-ME"/>
              </w:rPr>
              <w:t>tkiva</w:t>
            </w:r>
          </w:p>
        </w:tc>
        <w:tc>
          <w:tcPr>
            <w:tcW w:w="1774" w:type="dxa"/>
          </w:tcPr>
          <w:p w14:paraId="7BA25705" w14:textId="77777777" w:rsidR="00CD65F7" w:rsidRPr="0047585D" w:rsidRDefault="00CD65F7" w:rsidP="00CD65F7">
            <w:pPr>
              <w:pStyle w:val="TableParagraph"/>
              <w:spacing w:line="238" w:lineRule="exact"/>
              <w:ind w:left="0"/>
              <w:rPr>
                <w:lang w:val="sr-Latn-ME"/>
              </w:rPr>
            </w:pPr>
            <w:r w:rsidRPr="0047585D">
              <w:rPr>
                <w:lang w:val="sr-Latn-ME"/>
              </w:rPr>
              <w:t>artralgija,</w:t>
            </w:r>
          </w:p>
          <w:p w14:paraId="1DF15687" w14:textId="77777777" w:rsidR="00CD65F7" w:rsidRPr="0047585D" w:rsidRDefault="00CD65F7" w:rsidP="00CD65F7">
            <w:pPr>
              <w:pStyle w:val="TableParagraph"/>
              <w:ind w:left="0"/>
              <w:rPr>
                <w:lang w:val="sr-Latn-ME"/>
              </w:rPr>
            </w:pPr>
            <w:r w:rsidRPr="0047585D">
              <w:rPr>
                <w:lang w:val="sr-Latn-ME"/>
              </w:rPr>
              <w:t>mišićno-koštani bol (uključuje bol u leđima,</w:t>
            </w:r>
          </w:p>
          <w:p w14:paraId="4E912852" w14:textId="77777777" w:rsidR="00CD65F7" w:rsidRPr="0047585D" w:rsidRDefault="00CD65F7" w:rsidP="00CD65F7">
            <w:pPr>
              <w:pStyle w:val="TableParagraph"/>
              <w:spacing w:before="5" w:line="252" w:lineRule="exact"/>
              <w:ind w:left="0"/>
              <w:rPr>
                <w:lang w:val="sr-Latn-ME"/>
              </w:rPr>
            </w:pPr>
            <w:r w:rsidRPr="0047585D">
              <w:rPr>
                <w:lang w:val="sr-Latn-ME"/>
              </w:rPr>
              <w:t>kostima i udovima)</w:t>
            </w:r>
          </w:p>
        </w:tc>
        <w:tc>
          <w:tcPr>
            <w:tcW w:w="1829" w:type="dxa"/>
          </w:tcPr>
          <w:p w14:paraId="31C4C33B" w14:textId="77777777" w:rsidR="00CD65F7" w:rsidRPr="0047585D" w:rsidRDefault="00CD65F7" w:rsidP="00CD65F7">
            <w:pPr>
              <w:pStyle w:val="TableParagraph"/>
              <w:spacing w:line="238" w:lineRule="exact"/>
              <w:ind w:left="0"/>
              <w:rPr>
                <w:lang w:val="sr-Latn-ME"/>
              </w:rPr>
            </w:pPr>
            <w:r w:rsidRPr="0047585D">
              <w:rPr>
                <w:lang w:val="sr-Latn-ME"/>
              </w:rPr>
              <w:t>spazmi u</w:t>
            </w:r>
          </w:p>
          <w:p w14:paraId="6482886C" w14:textId="77777777" w:rsidR="00CD65F7" w:rsidRPr="0047585D" w:rsidRDefault="00CD65F7" w:rsidP="00CD65F7">
            <w:pPr>
              <w:pStyle w:val="TableParagraph"/>
              <w:ind w:left="0"/>
              <w:rPr>
                <w:lang w:val="sr-Latn-ME"/>
              </w:rPr>
            </w:pPr>
            <w:r w:rsidRPr="0047585D">
              <w:rPr>
                <w:lang w:val="sr-Latn-ME"/>
              </w:rPr>
              <w:t>mišićima, mialgija</w:t>
            </w:r>
          </w:p>
        </w:tc>
        <w:tc>
          <w:tcPr>
            <w:tcW w:w="1525" w:type="dxa"/>
          </w:tcPr>
          <w:p w14:paraId="7EB876D7" w14:textId="77777777" w:rsidR="00CD65F7" w:rsidRPr="0047585D" w:rsidRDefault="00CD65F7" w:rsidP="00CD65F7">
            <w:pPr>
              <w:pStyle w:val="TableParagraph"/>
              <w:ind w:left="0"/>
              <w:rPr>
                <w:lang w:val="sr-Latn-ME"/>
              </w:rPr>
            </w:pPr>
          </w:p>
        </w:tc>
        <w:tc>
          <w:tcPr>
            <w:tcW w:w="1342" w:type="dxa"/>
          </w:tcPr>
          <w:p w14:paraId="05B40D9F" w14:textId="77777777" w:rsidR="00CD65F7" w:rsidRPr="0047585D" w:rsidRDefault="00CD65F7" w:rsidP="00CD65F7">
            <w:pPr>
              <w:pStyle w:val="TableParagraph"/>
              <w:ind w:left="0"/>
              <w:rPr>
                <w:lang w:val="sr-Latn-ME"/>
              </w:rPr>
            </w:pPr>
          </w:p>
        </w:tc>
        <w:tc>
          <w:tcPr>
            <w:tcW w:w="1499" w:type="dxa"/>
          </w:tcPr>
          <w:p w14:paraId="677B3572" w14:textId="77777777" w:rsidR="00CD65F7" w:rsidRPr="0047585D" w:rsidRDefault="00CD65F7" w:rsidP="00CD65F7">
            <w:pPr>
              <w:pStyle w:val="TableParagraph"/>
              <w:ind w:left="0"/>
              <w:rPr>
                <w:lang w:val="sr-Latn-ME"/>
              </w:rPr>
            </w:pPr>
          </w:p>
          <w:p w14:paraId="7CBE4874" w14:textId="77777777" w:rsidR="00CD65F7" w:rsidRPr="0047585D" w:rsidRDefault="00CD65F7" w:rsidP="00CD65F7">
            <w:pPr>
              <w:pStyle w:val="TableParagraph"/>
              <w:ind w:left="0"/>
              <w:rPr>
                <w:lang w:val="sr-Latn-ME"/>
              </w:rPr>
            </w:pPr>
          </w:p>
        </w:tc>
      </w:tr>
      <w:tr w:rsidR="00CD65F7" w:rsidRPr="0047585D" w14:paraId="5F6FA047" w14:textId="77777777" w:rsidTr="00CD65F7">
        <w:trPr>
          <w:trHeight w:val="1264"/>
        </w:trPr>
        <w:tc>
          <w:tcPr>
            <w:tcW w:w="1440" w:type="dxa"/>
          </w:tcPr>
          <w:p w14:paraId="3A30FB47" w14:textId="039154BB" w:rsidR="00CD65F7" w:rsidRPr="0047585D" w:rsidRDefault="00CD65F7" w:rsidP="00157369">
            <w:pPr>
              <w:pStyle w:val="TableParagraph"/>
              <w:tabs>
                <w:tab w:val="left" w:pos="1271"/>
              </w:tabs>
              <w:ind w:left="0"/>
              <w:rPr>
                <w:b/>
                <w:lang w:val="sr-Latn-ME"/>
              </w:rPr>
            </w:pPr>
            <w:r w:rsidRPr="0047585D">
              <w:rPr>
                <w:b/>
                <w:lang w:val="sr-Latn-ME"/>
              </w:rPr>
              <w:t>Poremećaji bubrega</w:t>
            </w:r>
            <w:r w:rsidR="00DD2F06">
              <w:rPr>
                <w:b/>
                <w:lang w:val="sr-Latn-ME"/>
              </w:rPr>
              <w:t xml:space="preserve"> </w:t>
            </w:r>
            <w:r w:rsidRPr="0047585D">
              <w:rPr>
                <w:b/>
                <w:spacing w:val="-17"/>
                <w:lang w:val="sr-Latn-ME"/>
              </w:rPr>
              <w:t xml:space="preserve">i </w:t>
            </w:r>
            <w:r w:rsidRPr="0047585D">
              <w:rPr>
                <w:b/>
                <w:lang w:val="sr-Latn-ME"/>
              </w:rPr>
              <w:t>mokraćnog sistema</w:t>
            </w:r>
          </w:p>
        </w:tc>
        <w:tc>
          <w:tcPr>
            <w:tcW w:w="1774" w:type="dxa"/>
          </w:tcPr>
          <w:p w14:paraId="0424B5B4" w14:textId="77777777" w:rsidR="00CD65F7" w:rsidRPr="0047585D" w:rsidRDefault="00CD65F7" w:rsidP="00CD65F7">
            <w:pPr>
              <w:pStyle w:val="TableParagraph"/>
              <w:ind w:left="0"/>
              <w:rPr>
                <w:lang w:val="sr-Latn-ME"/>
              </w:rPr>
            </w:pPr>
          </w:p>
        </w:tc>
        <w:tc>
          <w:tcPr>
            <w:tcW w:w="1829" w:type="dxa"/>
          </w:tcPr>
          <w:p w14:paraId="0F5B64E1" w14:textId="77777777" w:rsidR="00CD65F7" w:rsidRPr="0047585D" w:rsidRDefault="00CD65F7" w:rsidP="00CD65F7">
            <w:pPr>
              <w:pStyle w:val="TableParagraph"/>
              <w:spacing w:line="238" w:lineRule="exact"/>
              <w:ind w:left="0"/>
              <w:rPr>
                <w:lang w:val="sr-Latn-ME"/>
              </w:rPr>
            </w:pPr>
            <w:r w:rsidRPr="0047585D">
              <w:rPr>
                <w:lang w:val="sr-Latn-ME"/>
              </w:rPr>
              <w:t>insuficijencija</w:t>
            </w:r>
          </w:p>
          <w:p w14:paraId="4039BED7" w14:textId="77777777" w:rsidR="00CD65F7" w:rsidRPr="0047585D" w:rsidRDefault="00CD65F7" w:rsidP="00CD65F7">
            <w:pPr>
              <w:pStyle w:val="TableParagraph"/>
              <w:ind w:left="0"/>
              <w:rPr>
                <w:lang w:val="sr-Latn-ME"/>
              </w:rPr>
            </w:pPr>
            <w:r w:rsidRPr="0047585D">
              <w:rPr>
                <w:lang w:val="sr-Latn-ME"/>
              </w:rPr>
              <w:t>bubrega*, hematurija,</w:t>
            </w:r>
          </w:p>
          <w:p w14:paraId="025B134E" w14:textId="77777777" w:rsidR="00CD65F7" w:rsidRPr="0047585D" w:rsidRDefault="00CD65F7" w:rsidP="00CD65F7">
            <w:pPr>
              <w:pStyle w:val="TableParagraph"/>
              <w:spacing w:before="3" w:line="252" w:lineRule="exact"/>
              <w:ind w:left="0"/>
              <w:rPr>
                <w:lang w:val="sr-Latn-ME"/>
              </w:rPr>
            </w:pPr>
            <w:r w:rsidRPr="0047585D">
              <w:rPr>
                <w:lang w:val="sr-Latn-ME"/>
              </w:rPr>
              <w:t>povišen serumski kreatinin</w:t>
            </w:r>
          </w:p>
        </w:tc>
        <w:tc>
          <w:tcPr>
            <w:tcW w:w="1525" w:type="dxa"/>
          </w:tcPr>
          <w:p w14:paraId="7B00389A" w14:textId="77777777" w:rsidR="00CD65F7" w:rsidRPr="0047585D" w:rsidRDefault="00CD65F7" w:rsidP="00CD65F7">
            <w:pPr>
              <w:pStyle w:val="TableParagraph"/>
              <w:spacing w:line="238" w:lineRule="exact"/>
              <w:ind w:left="0"/>
              <w:rPr>
                <w:lang w:val="sr-Latn-ME"/>
              </w:rPr>
            </w:pPr>
            <w:r w:rsidRPr="0047585D">
              <w:rPr>
                <w:lang w:val="sr-Latn-ME"/>
              </w:rPr>
              <w:t>bubrežna</w:t>
            </w:r>
          </w:p>
          <w:p w14:paraId="52885EA9" w14:textId="77777777" w:rsidR="00CD65F7" w:rsidRPr="0047585D" w:rsidRDefault="00CD65F7" w:rsidP="00CD65F7">
            <w:pPr>
              <w:pStyle w:val="TableParagraph"/>
              <w:ind w:left="0"/>
              <w:rPr>
                <w:lang w:val="sr-Latn-ME"/>
              </w:rPr>
            </w:pPr>
            <w:r w:rsidRPr="0047585D">
              <w:rPr>
                <w:lang w:val="sr-Latn-ME"/>
              </w:rPr>
              <w:t>tubularna acidoza</w:t>
            </w:r>
          </w:p>
        </w:tc>
        <w:tc>
          <w:tcPr>
            <w:tcW w:w="1342" w:type="dxa"/>
          </w:tcPr>
          <w:p w14:paraId="54A46DC2" w14:textId="77777777" w:rsidR="00CD65F7" w:rsidRPr="0047585D" w:rsidRDefault="00CD65F7" w:rsidP="00CD65F7">
            <w:pPr>
              <w:pStyle w:val="TableParagraph"/>
              <w:ind w:left="0"/>
              <w:rPr>
                <w:lang w:val="sr-Latn-ME"/>
              </w:rPr>
            </w:pPr>
          </w:p>
        </w:tc>
        <w:tc>
          <w:tcPr>
            <w:tcW w:w="1499" w:type="dxa"/>
          </w:tcPr>
          <w:p w14:paraId="431388B0" w14:textId="77777777" w:rsidR="00CD65F7" w:rsidRPr="0047585D" w:rsidRDefault="00CD65F7" w:rsidP="00CD65F7">
            <w:pPr>
              <w:pStyle w:val="TableParagraph"/>
              <w:ind w:left="0"/>
              <w:rPr>
                <w:lang w:val="sr-Latn-ME"/>
              </w:rPr>
            </w:pPr>
          </w:p>
        </w:tc>
      </w:tr>
      <w:tr w:rsidR="00CD65F7" w:rsidRPr="0047585D" w14:paraId="00344DB7" w14:textId="77777777" w:rsidTr="00CD65F7">
        <w:trPr>
          <w:trHeight w:val="2780"/>
        </w:trPr>
        <w:tc>
          <w:tcPr>
            <w:tcW w:w="1440" w:type="dxa"/>
            <w:tcBorders>
              <w:bottom w:val="single" w:sz="4" w:space="0" w:color="000000"/>
            </w:tcBorders>
          </w:tcPr>
          <w:p w14:paraId="5864A38D" w14:textId="77777777" w:rsidR="00CD65F7" w:rsidRPr="0047585D" w:rsidRDefault="00CD65F7" w:rsidP="00CD65F7">
            <w:pPr>
              <w:pStyle w:val="TableParagraph"/>
              <w:spacing w:line="228" w:lineRule="exact"/>
              <w:ind w:left="0"/>
              <w:rPr>
                <w:b/>
                <w:lang w:val="sr-Latn-ME"/>
              </w:rPr>
            </w:pPr>
            <w:r w:rsidRPr="0047585D">
              <w:rPr>
                <w:b/>
                <w:lang w:val="sr-Latn-ME"/>
              </w:rPr>
              <w:t>Opšti</w:t>
            </w:r>
          </w:p>
          <w:p w14:paraId="27E3374F" w14:textId="77777777" w:rsidR="00CD65F7" w:rsidRPr="0047585D" w:rsidRDefault="00CD65F7" w:rsidP="00CD65F7">
            <w:pPr>
              <w:pStyle w:val="TableParagraph"/>
              <w:spacing w:line="223" w:lineRule="exact"/>
              <w:ind w:left="0"/>
              <w:rPr>
                <w:b/>
                <w:lang w:val="sr-Latn-ME"/>
              </w:rPr>
            </w:pPr>
            <w:r w:rsidRPr="0047585D">
              <w:rPr>
                <w:b/>
                <w:lang w:val="sr-Latn-ME"/>
              </w:rPr>
              <w:t>poremećaji</w:t>
            </w:r>
            <w:r w:rsidRPr="0047585D">
              <w:rPr>
                <w:b/>
                <w:spacing w:val="53"/>
                <w:lang w:val="sr-Latn-ME"/>
              </w:rPr>
              <w:t xml:space="preserve"> </w:t>
            </w:r>
            <w:r w:rsidRPr="0047585D">
              <w:rPr>
                <w:b/>
                <w:lang w:val="sr-Latn-ME"/>
              </w:rPr>
              <w:t>i</w:t>
            </w:r>
          </w:p>
          <w:p w14:paraId="52CD986E" w14:textId="796C3D68" w:rsidR="00CD65F7" w:rsidRPr="0047585D" w:rsidRDefault="00CD65F7" w:rsidP="00CD65F7">
            <w:pPr>
              <w:pStyle w:val="TableParagraph"/>
              <w:tabs>
                <w:tab w:val="left" w:pos="1100"/>
              </w:tabs>
              <w:spacing w:line="223" w:lineRule="exact"/>
              <w:ind w:left="0"/>
              <w:rPr>
                <w:b/>
                <w:lang w:val="sr-Latn-ME"/>
              </w:rPr>
            </w:pPr>
            <w:r w:rsidRPr="0047585D">
              <w:rPr>
                <w:b/>
                <w:lang w:val="sr-Latn-ME"/>
              </w:rPr>
              <w:t>reakcije</w:t>
            </w:r>
            <w:r w:rsidR="00DD2F06">
              <w:rPr>
                <w:b/>
                <w:lang w:val="sr-Latn-ME"/>
              </w:rPr>
              <w:t xml:space="preserve"> </w:t>
            </w:r>
            <w:r w:rsidRPr="0047585D">
              <w:rPr>
                <w:b/>
                <w:lang w:val="sr-Latn-ME"/>
              </w:rPr>
              <w:t>na</w:t>
            </w:r>
          </w:p>
          <w:p w14:paraId="345D9FC9" w14:textId="77777777" w:rsidR="00CD65F7" w:rsidRPr="0047585D" w:rsidRDefault="00CD65F7" w:rsidP="00CD65F7">
            <w:pPr>
              <w:pStyle w:val="TableParagraph"/>
              <w:spacing w:line="223" w:lineRule="exact"/>
              <w:ind w:left="0"/>
              <w:rPr>
                <w:b/>
                <w:lang w:val="sr-Latn-ME"/>
              </w:rPr>
            </w:pPr>
            <w:r w:rsidRPr="0047585D">
              <w:rPr>
                <w:b/>
                <w:lang w:val="sr-Latn-ME"/>
              </w:rPr>
              <w:t>mjestu</w:t>
            </w:r>
          </w:p>
          <w:p w14:paraId="06C7A41C" w14:textId="77777777" w:rsidR="00CD65F7" w:rsidRPr="0047585D" w:rsidRDefault="00CD65F7" w:rsidP="00CD65F7">
            <w:pPr>
              <w:pStyle w:val="TableParagraph"/>
              <w:spacing w:line="223" w:lineRule="exact"/>
              <w:ind w:left="0"/>
              <w:rPr>
                <w:b/>
                <w:lang w:val="sr-Latn-ME"/>
              </w:rPr>
            </w:pPr>
            <w:r w:rsidRPr="0047585D">
              <w:rPr>
                <w:b/>
                <w:lang w:val="sr-Latn-ME"/>
              </w:rPr>
              <w:t>primjene</w:t>
            </w:r>
          </w:p>
        </w:tc>
        <w:tc>
          <w:tcPr>
            <w:tcW w:w="1774" w:type="dxa"/>
          </w:tcPr>
          <w:p w14:paraId="33EF8197" w14:textId="77777777" w:rsidR="00CD65F7" w:rsidRPr="0047585D" w:rsidRDefault="00CD65F7" w:rsidP="00CD65F7">
            <w:pPr>
              <w:pStyle w:val="TableParagraph"/>
              <w:spacing w:line="228" w:lineRule="exact"/>
              <w:ind w:left="0"/>
              <w:rPr>
                <w:lang w:val="sr-Latn-ME"/>
              </w:rPr>
            </w:pPr>
            <w:r w:rsidRPr="0047585D">
              <w:rPr>
                <w:lang w:val="sr-Latn-ME"/>
              </w:rPr>
              <w:t>pireksija*, umor,</w:t>
            </w:r>
          </w:p>
          <w:p w14:paraId="064B5946" w14:textId="77777777" w:rsidR="00CD65F7" w:rsidRPr="0047585D" w:rsidRDefault="00CD65F7" w:rsidP="00CD65F7">
            <w:pPr>
              <w:pStyle w:val="TableParagraph"/>
              <w:spacing w:line="223" w:lineRule="exact"/>
              <w:ind w:left="0"/>
              <w:rPr>
                <w:lang w:val="sr-Latn-ME"/>
              </w:rPr>
            </w:pPr>
            <w:r w:rsidRPr="0047585D">
              <w:rPr>
                <w:lang w:val="sr-Latn-ME"/>
              </w:rPr>
              <w:t>astenija, bol u</w:t>
            </w:r>
          </w:p>
          <w:p w14:paraId="13AC76A0" w14:textId="77777777" w:rsidR="00CD65F7" w:rsidRPr="0047585D" w:rsidRDefault="00CD65F7" w:rsidP="00CD65F7">
            <w:pPr>
              <w:pStyle w:val="TableParagraph"/>
              <w:spacing w:line="223" w:lineRule="exact"/>
              <w:ind w:left="0"/>
              <w:rPr>
                <w:lang w:val="sr-Latn-ME"/>
              </w:rPr>
            </w:pPr>
            <w:r w:rsidRPr="0047585D">
              <w:rPr>
                <w:lang w:val="sr-Latn-ME"/>
              </w:rPr>
              <w:t>grudima, eritem na</w:t>
            </w:r>
          </w:p>
          <w:p w14:paraId="5A4F8156" w14:textId="77777777" w:rsidR="00CD65F7" w:rsidRPr="0047585D" w:rsidRDefault="00CD65F7" w:rsidP="00CD65F7">
            <w:pPr>
              <w:pStyle w:val="TableParagraph"/>
              <w:spacing w:line="223" w:lineRule="exact"/>
              <w:ind w:left="0"/>
              <w:rPr>
                <w:lang w:val="sr-Latn-ME"/>
              </w:rPr>
            </w:pPr>
            <w:r w:rsidRPr="0047585D">
              <w:rPr>
                <w:lang w:val="sr-Latn-ME"/>
              </w:rPr>
              <w:t>mjestu primjene,</w:t>
            </w:r>
          </w:p>
          <w:p w14:paraId="37219656" w14:textId="77777777" w:rsidR="00CD65F7" w:rsidRPr="0047585D" w:rsidRDefault="00CD65F7" w:rsidP="00CD65F7">
            <w:pPr>
              <w:pStyle w:val="TableParagraph"/>
              <w:spacing w:line="223" w:lineRule="exact"/>
              <w:ind w:left="0"/>
              <w:rPr>
                <w:lang w:val="sr-Latn-ME"/>
              </w:rPr>
            </w:pPr>
            <w:r w:rsidRPr="0047585D">
              <w:rPr>
                <w:lang w:val="sr-Latn-ME"/>
              </w:rPr>
              <w:t>bol na mjestu</w:t>
            </w:r>
          </w:p>
          <w:p w14:paraId="1E912FC5" w14:textId="77777777" w:rsidR="00CD65F7" w:rsidRPr="0047585D" w:rsidRDefault="00CD65F7" w:rsidP="00CD65F7">
            <w:pPr>
              <w:pStyle w:val="TableParagraph"/>
              <w:spacing w:line="221" w:lineRule="exact"/>
              <w:ind w:left="0"/>
              <w:rPr>
                <w:lang w:val="sr-Latn-ME"/>
              </w:rPr>
            </w:pPr>
            <w:r w:rsidRPr="0047585D">
              <w:rPr>
                <w:lang w:val="sr-Latn-ME"/>
              </w:rPr>
              <w:t>primjene,</w:t>
            </w:r>
          </w:p>
          <w:p w14:paraId="42E259D4" w14:textId="77777777" w:rsidR="00CD65F7" w:rsidRPr="0047585D" w:rsidRDefault="00CD65F7" w:rsidP="00CD65F7">
            <w:pPr>
              <w:pStyle w:val="TableParagraph"/>
              <w:spacing w:line="223" w:lineRule="exact"/>
              <w:ind w:left="0"/>
              <w:rPr>
                <w:lang w:val="sr-Latn-ME"/>
              </w:rPr>
            </w:pPr>
            <w:r w:rsidRPr="0047585D">
              <w:rPr>
                <w:lang w:val="sr-Latn-ME"/>
              </w:rPr>
              <w:t>reakcija na</w:t>
            </w:r>
          </w:p>
          <w:p w14:paraId="009CFBE0" w14:textId="77777777" w:rsidR="00CD65F7" w:rsidRPr="0047585D" w:rsidRDefault="00CD65F7" w:rsidP="00CD65F7">
            <w:pPr>
              <w:pStyle w:val="TableParagraph"/>
              <w:spacing w:line="222" w:lineRule="exact"/>
              <w:ind w:left="0"/>
              <w:rPr>
                <w:lang w:val="sr-Latn-ME"/>
              </w:rPr>
            </w:pPr>
            <w:r w:rsidRPr="0047585D">
              <w:rPr>
                <w:lang w:val="sr-Latn-ME"/>
              </w:rPr>
              <w:t>mjestu primjene</w:t>
            </w:r>
          </w:p>
          <w:p w14:paraId="21777C65" w14:textId="77777777" w:rsidR="00CD65F7" w:rsidRPr="0047585D" w:rsidRDefault="00CD65F7" w:rsidP="00CD65F7">
            <w:pPr>
              <w:pStyle w:val="TableParagraph"/>
              <w:spacing w:line="223" w:lineRule="exact"/>
              <w:ind w:left="0"/>
              <w:rPr>
                <w:lang w:val="sr-Latn-ME"/>
              </w:rPr>
            </w:pPr>
            <w:r w:rsidRPr="0047585D">
              <w:rPr>
                <w:lang w:val="sr-Latn-ME"/>
              </w:rPr>
              <w:t>(nespecifična)</w:t>
            </w:r>
          </w:p>
        </w:tc>
        <w:tc>
          <w:tcPr>
            <w:tcW w:w="1829" w:type="dxa"/>
            <w:tcBorders>
              <w:bottom w:val="single" w:sz="4" w:space="0" w:color="000000"/>
            </w:tcBorders>
          </w:tcPr>
          <w:p w14:paraId="7FEBF51F" w14:textId="77777777" w:rsidR="00CD65F7" w:rsidRPr="0047585D" w:rsidRDefault="00CD65F7" w:rsidP="00CD65F7">
            <w:pPr>
              <w:pStyle w:val="TableParagraph"/>
              <w:spacing w:line="228" w:lineRule="exact"/>
              <w:ind w:left="0"/>
              <w:rPr>
                <w:lang w:val="sr-Latn-ME"/>
              </w:rPr>
            </w:pPr>
            <w:r w:rsidRPr="0047585D">
              <w:rPr>
                <w:lang w:val="sr-Latn-ME"/>
              </w:rPr>
              <w:t>modrica,</w:t>
            </w:r>
          </w:p>
          <w:p w14:paraId="1A27A814" w14:textId="77777777" w:rsidR="00CD65F7" w:rsidRPr="0047585D" w:rsidRDefault="00CD65F7" w:rsidP="00CD65F7">
            <w:pPr>
              <w:pStyle w:val="TableParagraph"/>
              <w:spacing w:line="223" w:lineRule="exact"/>
              <w:ind w:left="0"/>
              <w:rPr>
                <w:lang w:val="sr-Latn-ME"/>
              </w:rPr>
            </w:pPr>
            <w:r w:rsidRPr="0047585D">
              <w:rPr>
                <w:lang w:val="sr-Latn-ME"/>
              </w:rPr>
              <w:t>hematom,</w:t>
            </w:r>
          </w:p>
          <w:p w14:paraId="7E67C23B" w14:textId="77777777" w:rsidR="00CD65F7" w:rsidRPr="0047585D" w:rsidRDefault="00CD65F7" w:rsidP="00CD65F7">
            <w:pPr>
              <w:pStyle w:val="TableParagraph"/>
              <w:spacing w:line="223" w:lineRule="exact"/>
              <w:ind w:left="0"/>
              <w:rPr>
                <w:lang w:val="sr-Latn-ME"/>
              </w:rPr>
            </w:pPr>
            <w:r w:rsidRPr="0047585D">
              <w:rPr>
                <w:lang w:val="sr-Latn-ME"/>
              </w:rPr>
              <w:t>induracija, osip,</w:t>
            </w:r>
          </w:p>
          <w:p w14:paraId="6D934FC3" w14:textId="77777777" w:rsidR="00CD65F7" w:rsidRPr="0047585D" w:rsidRDefault="00CD65F7" w:rsidP="00CD65F7">
            <w:pPr>
              <w:pStyle w:val="TableParagraph"/>
              <w:spacing w:line="223" w:lineRule="exact"/>
              <w:ind w:left="0"/>
              <w:rPr>
                <w:lang w:val="sr-Latn-ME"/>
              </w:rPr>
            </w:pPr>
            <w:r w:rsidRPr="0047585D">
              <w:rPr>
                <w:lang w:val="sr-Latn-ME"/>
              </w:rPr>
              <w:t>svrab, upala,</w:t>
            </w:r>
          </w:p>
          <w:p w14:paraId="4767CF45" w14:textId="77777777" w:rsidR="00CD65F7" w:rsidRPr="0047585D" w:rsidRDefault="00CD65F7" w:rsidP="00CD65F7">
            <w:pPr>
              <w:pStyle w:val="TableParagraph"/>
              <w:spacing w:line="223" w:lineRule="exact"/>
              <w:ind w:left="0"/>
              <w:rPr>
                <w:lang w:val="sr-Latn-ME"/>
              </w:rPr>
            </w:pPr>
            <w:r w:rsidRPr="0047585D">
              <w:rPr>
                <w:lang w:val="sr-Latn-ME"/>
              </w:rPr>
              <w:t>diskoloracija,</w:t>
            </w:r>
          </w:p>
          <w:p w14:paraId="74876567" w14:textId="77777777" w:rsidR="00CD65F7" w:rsidRPr="0047585D" w:rsidRDefault="00CD65F7" w:rsidP="00CD65F7">
            <w:pPr>
              <w:pStyle w:val="TableParagraph"/>
              <w:spacing w:line="221" w:lineRule="exact"/>
              <w:ind w:left="0"/>
              <w:rPr>
                <w:lang w:val="sr-Latn-ME"/>
              </w:rPr>
            </w:pPr>
            <w:r w:rsidRPr="0047585D">
              <w:rPr>
                <w:lang w:val="sr-Latn-ME"/>
              </w:rPr>
              <w:t>čvorić i krvarenje</w:t>
            </w:r>
          </w:p>
          <w:p w14:paraId="094A0A5F" w14:textId="77777777" w:rsidR="00CD65F7" w:rsidRPr="0047585D" w:rsidRDefault="00CD65F7" w:rsidP="00CD65F7">
            <w:pPr>
              <w:pStyle w:val="TableParagraph"/>
              <w:spacing w:line="223" w:lineRule="exact"/>
              <w:ind w:left="0"/>
              <w:rPr>
                <w:lang w:val="sr-Latn-ME"/>
              </w:rPr>
            </w:pPr>
            <w:r w:rsidRPr="0047585D">
              <w:rPr>
                <w:lang w:val="sr-Latn-ME"/>
              </w:rPr>
              <w:t>(na mjestu</w:t>
            </w:r>
          </w:p>
          <w:p w14:paraId="787C8BFD" w14:textId="77777777" w:rsidR="00CD65F7" w:rsidRPr="0047585D" w:rsidRDefault="00CD65F7" w:rsidP="00CD65F7">
            <w:pPr>
              <w:pStyle w:val="TableParagraph"/>
              <w:spacing w:line="222" w:lineRule="exact"/>
              <w:ind w:left="0"/>
              <w:rPr>
                <w:lang w:val="sr-Latn-ME"/>
              </w:rPr>
            </w:pPr>
            <w:r w:rsidRPr="0047585D">
              <w:rPr>
                <w:lang w:val="sr-Latn-ME"/>
              </w:rPr>
              <w:t>primjene),</w:t>
            </w:r>
          </w:p>
          <w:p w14:paraId="5D1372ED" w14:textId="77777777" w:rsidR="00CD65F7" w:rsidRPr="0047585D" w:rsidRDefault="00CD65F7" w:rsidP="00CD65F7">
            <w:pPr>
              <w:pStyle w:val="TableParagraph"/>
              <w:spacing w:line="223" w:lineRule="exact"/>
              <w:ind w:left="0"/>
              <w:rPr>
                <w:lang w:val="sr-Latn-ME"/>
              </w:rPr>
            </w:pPr>
            <w:r w:rsidRPr="0047585D">
              <w:rPr>
                <w:lang w:val="sr-Latn-ME"/>
              </w:rPr>
              <w:t>malaksalost,</w:t>
            </w:r>
          </w:p>
          <w:p w14:paraId="4E2CDE6A" w14:textId="77777777" w:rsidR="00CD65F7" w:rsidRPr="0047585D" w:rsidRDefault="00CD65F7" w:rsidP="00CD65F7">
            <w:pPr>
              <w:pStyle w:val="TableParagraph"/>
              <w:spacing w:line="223" w:lineRule="exact"/>
              <w:ind w:left="0"/>
              <w:rPr>
                <w:lang w:val="sr-Latn-ME"/>
              </w:rPr>
            </w:pPr>
            <w:r w:rsidRPr="0047585D">
              <w:rPr>
                <w:lang w:val="sr-Latn-ME"/>
              </w:rPr>
              <w:t>jeza, krvarenje</w:t>
            </w:r>
          </w:p>
          <w:p w14:paraId="2A5D6D10" w14:textId="77777777" w:rsidR="00CD65F7" w:rsidRPr="0047585D" w:rsidRDefault="00CD65F7" w:rsidP="00CD65F7">
            <w:pPr>
              <w:pStyle w:val="TableParagraph"/>
              <w:spacing w:line="230" w:lineRule="exact"/>
              <w:ind w:left="0"/>
              <w:rPr>
                <w:lang w:val="sr-Latn-ME"/>
              </w:rPr>
            </w:pPr>
            <w:r w:rsidRPr="0047585D">
              <w:rPr>
                <w:lang w:val="sr-Latn-ME"/>
              </w:rPr>
              <w:t>na mjestu katetera</w:t>
            </w:r>
          </w:p>
        </w:tc>
        <w:tc>
          <w:tcPr>
            <w:tcW w:w="1525" w:type="dxa"/>
            <w:tcBorders>
              <w:bottom w:val="single" w:sz="4" w:space="0" w:color="000000"/>
            </w:tcBorders>
          </w:tcPr>
          <w:p w14:paraId="5D2DCF82" w14:textId="77777777" w:rsidR="00CD65F7" w:rsidRPr="0047585D" w:rsidRDefault="00CD65F7" w:rsidP="00CD65F7">
            <w:pPr>
              <w:pStyle w:val="TableParagraph"/>
              <w:ind w:left="0"/>
              <w:rPr>
                <w:lang w:val="sr-Latn-ME"/>
              </w:rPr>
            </w:pPr>
          </w:p>
        </w:tc>
        <w:tc>
          <w:tcPr>
            <w:tcW w:w="1342" w:type="dxa"/>
            <w:tcBorders>
              <w:bottom w:val="single" w:sz="4" w:space="0" w:color="000000"/>
            </w:tcBorders>
          </w:tcPr>
          <w:p w14:paraId="417EA01E" w14:textId="77777777" w:rsidR="00CD65F7" w:rsidRPr="0047585D" w:rsidRDefault="00CD65F7" w:rsidP="00CD65F7">
            <w:pPr>
              <w:pStyle w:val="TableParagraph"/>
              <w:spacing w:line="228" w:lineRule="exact"/>
              <w:ind w:left="0"/>
              <w:rPr>
                <w:lang w:val="sr-Latn-ME"/>
              </w:rPr>
            </w:pPr>
            <w:r w:rsidRPr="0047585D">
              <w:rPr>
                <w:lang w:val="sr-Latn-ME"/>
              </w:rPr>
              <w:t>nekroza na</w:t>
            </w:r>
          </w:p>
          <w:p w14:paraId="31D17C56" w14:textId="77777777" w:rsidR="00CD65F7" w:rsidRPr="0047585D" w:rsidRDefault="00CD65F7" w:rsidP="00CD65F7">
            <w:pPr>
              <w:pStyle w:val="TableParagraph"/>
              <w:spacing w:line="223" w:lineRule="exact"/>
              <w:ind w:left="0"/>
              <w:rPr>
                <w:lang w:val="sr-Latn-ME"/>
              </w:rPr>
            </w:pPr>
            <w:r w:rsidRPr="0047585D">
              <w:rPr>
                <w:lang w:val="sr-Latn-ME"/>
              </w:rPr>
              <w:t>mjestu</w:t>
            </w:r>
          </w:p>
          <w:p w14:paraId="4C9BB620" w14:textId="77777777" w:rsidR="00CD65F7" w:rsidRPr="0047585D" w:rsidRDefault="00CD65F7" w:rsidP="00CD65F7">
            <w:pPr>
              <w:pStyle w:val="TableParagraph"/>
              <w:spacing w:line="223" w:lineRule="exact"/>
              <w:ind w:left="0"/>
              <w:rPr>
                <w:lang w:val="sr-Latn-ME"/>
              </w:rPr>
            </w:pPr>
            <w:r w:rsidRPr="0047585D">
              <w:rPr>
                <w:lang w:val="sr-Latn-ME"/>
              </w:rPr>
              <w:t xml:space="preserve">primjene </w:t>
            </w:r>
          </w:p>
          <w:p w14:paraId="0CA6BD06" w14:textId="77777777" w:rsidR="00CD65F7" w:rsidRPr="0047585D" w:rsidRDefault="00CD65F7" w:rsidP="00CD65F7">
            <w:pPr>
              <w:pStyle w:val="TableParagraph"/>
              <w:spacing w:line="223" w:lineRule="exact"/>
              <w:ind w:left="0"/>
              <w:rPr>
                <w:lang w:val="sr-Latn-ME"/>
              </w:rPr>
            </w:pPr>
          </w:p>
        </w:tc>
        <w:tc>
          <w:tcPr>
            <w:tcW w:w="1499" w:type="dxa"/>
            <w:tcBorders>
              <w:bottom w:val="single" w:sz="4" w:space="0" w:color="000000"/>
            </w:tcBorders>
          </w:tcPr>
          <w:p w14:paraId="73AE4906" w14:textId="77777777" w:rsidR="00CD65F7" w:rsidRPr="0047585D" w:rsidRDefault="00CD65F7" w:rsidP="00CD65F7">
            <w:pPr>
              <w:pStyle w:val="TableParagraph"/>
              <w:ind w:left="0"/>
              <w:rPr>
                <w:lang w:val="sr-Latn-ME"/>
              </w:rPr>
            </w:pPr>
          </w:p>
        </w:tc>
      </w:tr>
      <w:tr w:rsidR="00CD65F7" w:rsidRPr="0047585D" w14:paraId="45D9E3C5" w14:textId="77777777" w:rsidTr="00CD65F7">
        <w:trPr>
          <w:trHeight w:val="70"/>
        </w:trPr>
        <w:tc>
          <w:tcPr>
            <w:tcW w:w="1440" w:type="dxa"/>
          </w:tcPr>
          <w:p w14:paraId="7196138F" w14:textId="77777777" w:rsidR="00CD65F7" w:rsidRPr="0047585D" w:rsidRDefault="00CD65F7" w:rsidP="00CD65F7">
            <w:pPr>
              <w:pStyle w:val="TableParagraph"/>
              <w:spacing w:line="232" w:lineRule="exact"/>
              <w:ind w:left="0"/>
              <w:rPr>
                <w:b/>
                <w:lang w:val="sr-Latn-ME"/>
              </w:rPr>
            </w:pPr>
            <w:r w:rsidRPr="0047585D">
              <w:rPr>
                <w:b/>
                <w:lang w:val="sr-Latn-ME"/>
              </w:rPr>
              <w:t>Ispitivanja</w:t>
            </w:r>
          </w:p>
        </w:tc>
        <w:tc>
          <w:tcPr>
            <w:tcW w:w="1774" w:type="dxa"/>
          </w:tcPr>
          <w:p w14:paraId="257949FE" w14:textId="77777777" w:rsidR="00CD65F7" w:rsidRPr="0047585D" w:rsidRDefault="00CD65F7" w:rsidP="00CD65F7">
            <w:pPr>
              <w:pStyle w:val="TableParagraph"/>
              <w:spacing w:line="232" w:lineRule="exact"/>
              <w:ind w:left="0"/>
              <w:rPr>
                <w:lang w:val="sr-Latn-ME"/>
              </w:rPr>
            </w:pPr>
            <w:r w:rsidRPr="0047585D">
              <w:rPr>
                <w:lang w:val="sr-Latn-ME"/>
              </w:rPr>
              <w:t>smanjenje težine</w:t>
            </w:r>
          </w:p>
        </w:tc>
        <w:tc>
          <w:tcPr>
            <w:tcW w:w="1829" w:type="dxa"/>
          </w:tcPr>
          <w:p w14:paraId="39184C7F" w14:textId="77777777" w:rsidR="00CD65F7" w:rsidRPr="0047585D" w:rsidRDefault="00CD65F7" w:rsidP="00CD65F7">
            <w:pPr>
              <w:pStyle w:val="TableParagraph"/>
              <w:ind w:left="0"/>
              <w:rPr>
                <w:lang w:val="sr-Latn-ME"/>
              </w:rPr>
            </w:pPr>
          </w:p>
        </w:tc>
        <w:tc>
          <w:tcPr>
            <w:tcW w:w="1525" w:type="dxa"/>
          </w:tcPr>
          <w:p w14:paraId="743B78F4" w14:textId="77777777" w:rsidR="00CD65F7" w:rsidRPr="0047585D" w:rsidRDefault="00CD65F7" w:rsidP="00CD65F7">
            <w:pPr>
              <w:pStyle w:val="TableParagraph"/>
              <w:ind w:left="0"/>
              <w:rPr>
                <w:lang w:val="sr-Latn-ME"/>
              </w:rPr>
            </w:pPr>
          </w:p>
        </w:tc>
        <w:tc>
          <w:tcPr>
            <w:tcW w:w="1342" w:type="dxa"/>
          </w:tcPr>
          <w:p w14:paraId="289C1A29" w14:textId="77777777" w:rsidR="00CD65F7" w:rsidRPr="0047585D" w:rsidRDefault="00CD65F7" w:rsidP="00CD65F7">
            <w:pPr>
              <w:pStyle w:val="TableParagraph"/>
              <w:ind w:left="0"/>
              <w:rPr>
                <w:lang w:val="sr-Latn-ME"/>
              </w:rPr>
            </w:pPr>
          </w:p>
        </w:tc>
        <w:tc>
          <w:tcPr>
            <w:tcW w:w="1499" w:type="dxa"/>
          </w:tcPr>
          <w:p w14:paraId="07A45191" w14:textId="77777777" w:rsidR="00CD65F7" w:rsidRPr="0047585D" w:rsidRDefault="00CD65F7" w:rsidP="00CD65F7">
            <w:pPr>
              <w:pStyle w:val="TableParagraph"/>
              <w:ind w:left="0"/>
              <w:rPr>
                <w:lang w:val="sr-Latn-ME"/>
              </w:rPr>
            </w:pPr>
          </w:p>
        </w:tc>
      </w:tr>
    </w:tbl>
    <w:p w14:paraId="5303C9F7" w14:textId="77777777" w:rsidR="0084478E" w:rsidRPr="0047585D" w:rsidRDefault="00200D97" w:rsidP="007D7964">
      <w:pPr>
        <w:pStyle w:val="BodyText"/>
        <w:spacing w:before="91"/>
        <w:rPr>
          <w:lang w:val="sr-Latn-ME"/>
        </w:rPr>
      </w:pPr>
      <w:r w:rsidRPr="0047585D">
        <w:rPr>
          <w:lang w:val="sr-Latn-ME"/>
        </w:rPr>
        <w:t>*= rijetko su prijavljeni smrtni slučajevi</w:t>
      </w:r>
    </w:p>
    <w:p w14:paraId="5367FAEC" w14:textId="77777777" w:rsidR="00B75BCD" w:rsidRPr="0047585D" w:rsidRDefault="00B75BCD" w:rsidP="007D6BC7">
      <w:pPr>
        <w:pStyle w:val="BodyText"/>
        <w:spacing w:before="91"/>
        <w:rPr>
          <w:lang w:val="sr-Latn-ME"/>
        </w:rPr>
      </w:pPr>
      <w:r w:rsidRPr="0047585D">
        <w:rPr>
          <w:lang w:val="sr-Latn-ME"/>
        </w:rPr>
        <w:t>a = vidjeti dio 4.4</w:t>
      </w:r>
    </w:p>
    <w:p w14:paraId="1499BC22" w14:textId="77777777" w:rsidR="008D5A0B" w:rsidRPr="0047585D" w:rsidRDefault="008D5A0B" w:rsidP="00A56A66">
      <w:pPr>
        <w:pStyle w:val="BodyText"/>
        <w:jc w:val="both"/>
        <w:rPr>
          <w:u w:val="single"/>
          <w:lang w:val="sr-Latn-ME"/>
        </w:rPr>
      </w:pPr>
    </w:p>
    <w:p w14:paraId="571202AE" w14:textId="2DE3BB6B" w:rsidR="0084478E" w:rsidRPr="0047585D" w:rsidRDefault="00200D97" w:rsidP="00A56A66">
      <w:pPr>
        <w:pStyle w:val="BodyText"/>
        <w:jc w:val="both"/>
        <w:rPr>
          <w:lang w:val="sr-Latn-ME"/>
        </w:rPr>
      </w:pPr>
      <w:r w:rsidRPr="0047585D">
        <w:rPr>
          <w:u w:val="single"/>
          <w:lang w:val="sr-Latn-ME"/>
        </w:rPr>
        <w:t>Opis odabranih n</w:t>
      </w:r>
      <w:r w:rsidR="002C11E2" w:rsidRPr="0047585D">
        <w:rPr>
          <w:u w:val="single"/>
          <w:lang w:val="sr-Latn-ME"/>
        </w:rPr>
        <w:t>eželjenih dejstava</w:t>
      </w:r>
    </w:p>
    <w:p w14:paraId="68FDA9F8" w14:textId="77777777" w:rsidR="0084478E" w:rsidRPr="0047585D" w:rsidRDefault="00200D97" w:rsidP="00A56A66">
      <w:pPr>
        <w:jc w:val="both"/>
        <w:rPr>
          <w:i/>
          <w:lang w:val="sr-Latn-ME"/>
        </w:rPr>
      </w:pPr>
      <w:r w:rsidRPr="0047585D">
        <w:rPr>
          <w:i/>
          <w:lang w:val="sr-Latn-ME"/>
        </w:rPr>
        <w:t>Hematološk</w:t>
      </w:r>
      <w:r w:rsidR="002C11E2" w:rsidRPr="0047585D">
        <w:rPr>
          <w:i/>
          <w:lang w:val="sr-Latn-ME"/>
        </w:rPr>
        <w:t>a neželjena dejstva</w:t>
      </w:r>
    </w:p>
    <w:p w14:paraId="666E8A59" w14:textId="1CC9F46E" w:rsidR="0084478E" w:rsidRPr="0047585D" w:rsidRDefault="00200D97" w:rsidP="00A56A66">
      <w:pPr>
        <w:pStyle w:val="BodyText"/>
        <w:jc w:val="both"/>
        <w:rPr>
          <w:lang w:val="sr-Latn-ME"/>
        </w:rPr>
      </w:pPr>
      <w:r w:rsidRPr="0047585D">
        <w:rPr>
          <w:lang w:val="sr-Latn-ME"/>
        </w:rPr>
        <w:t>Najčešće prijavljen</w:t>
      </w:r>
      <w:r w:rsidR="002C11E2" w:rsidRPr="0047585D">
        <w:rPr>
          <w:lang w:val="sr-Latn-ME"/>
        </w:rPr>
        <w:t xml:space="preserve">a </w:t>
      </w:r>
      <w:r w:rsidRPr="0047585D">
        <w:rPr>
          <w:lang w:val="sr-Latn-ME"/>
        </w:rPr>
        <w:t>(≥ 10 %) hematološk</w:t>
      </w:r>
      <w:r w:rsidR="002C11E2" w:rsidRPr="0047585D">
        <w:rPr>
          <w:lang w:val="sr-Latn-ME"/>
        </w:rPr>
        <w:t>a</w:t>
      </w:r>
      <w:r w:rsidRPr="0047585D">
        <w:rPr>
          <w:lang w:val="sr-Latn-ME"/>
        </w:rPr>
        <w:t xml:space="preserve"> n</w:t>
      </w:r>
      <w:r w:rsidR="002C11E2" w:rsidRPr="0047585D">
        <w:rPr>
          <w:lang w:val="sr-Latn-ME"/>
        </w:rPr>
        <w:t>eželjena dejstva</w:t>
      </w:r>
      <w:r w:rsidRPr="0047585D">
        <w:rPr>
          <w:lang w:val="sr-Latn-ME"/>
        </w:rPr>
        <w:t xml:space="preserve"> povezan</w:t>
      </w:r>
      <w:r w:rsidR="002C11E2" w:rsidRPr="0047585D">
        <w:rPr>
          <w:lang w:val="sr-Latn-ME"/>
        </w:rPr>
        <w:t>a</w:t>
      </w:r>
      <w:r w:rsidRPr="0047585D">
        <w:rPr>
          <w:lang w:val="sr-Latn-ME"/>
        </w:rPr>
        <w:t xml:space="preserve"> s liječenjem azacitidinom uključuju anemiju, trombocitopeniju, neutropeniju, febrilnu neutropeniju i leukopeniju</w:t>
      </w:r>
      <w:r w:rsidR="00B75BCD" w:rsidRPr="0047585D">
        <w:rPr>
          <w:lang w:val="sr-Latn-ME"/>
        </w:rPr>
        <w:t xml:space="preserve"> i </w:t>
      </w:r>
      <w:r w:rsidRPr="0047585D">
        <w:rPr>
          <w:lang w:val="sr-Latn-ME"/>
        </w:rPr>
        <w:t>obično</w:t>
      </w:r>
      <w:r w:rsidR="00B75BCD" w:rsidRPr="0047585D">
        <w:rPr>
          <w:lang w:val="sr-Latn-ME"/>
        </w:rPr>
        <w:t xml:space="preserve"> su</w:t>
      </w:r>
      <w:r w:rsidRPr="0047585D">
        <w:rPr>
          <w:lang w:val="sr-Latn-ME"/>
        </w:rPr>
        <w:t xml:space="preserve"> bil</w:t>
      </w:r>
      <w:r w:rsidR="00B75BCD" w:rsidRPr="0047585D">
        <w:rPr>
          <w:lang w:val="sr-Latn-ME"/>
        </w:rPr>
        <w:t>a</w:t>
      </w:r>
      <w:r w:rsidRPr="0047585D">
        <w:rPr>
          <w:lang w:val="sr-Latn-ME"/>
        </w:rPr>
        <w:t xml:space="preserve"> 3. i 4. </w:t>
      </w:r>
      <w:r w:rsidR="00862A19" w:rsidRPr="0047585D">
        <w:rPr>
          <w:lang w:val="sr-Latn-ME"/>
        </w:rPr>
        <w:t>stepena</w:t>
      </w:r>
      <w:r w:rsidRPr="0047585D">
        <w:rPr>
          <w:lang w:val="sr-Latn-ME"/>
        </w:rPr>
        <w:t>. Veći je rizik za pojavu navedenih n</w:t>
      </w:r>
      <w:r w:rsidR="002C11E2" w:rsidRPr="0047585D">
        <w:rPr>
          <w:lang w:val="sr-Latn-ME"/>
        </w:rPr>
        <w:t>eželjenih dejstav</w:t>
      </w:r>
      <w:r w:rsidRPr="0047585D">
        <w:rPr>
          <w:lang w:val="sr-Latn-ME"/>
        </w:rPr>
        <w:t xml:space="preserve">a </w:t>
      </w:r>
      <w:r w:rsidR="005D04EB" w:rsidRPr="0047585D">
        <w:rPr>
          <w:lang w:val="sr-Latn-ME"/>
        </w:rPr>
        <w:t>tokom</w:t>
      </w:r>
      <w:r w:rsidRPr="0047585D">
        <w:rPr>
          <w:lang w:val="sr-Latn-ME"/>
        </w:rPr>
        <w:t xml:space="preserve"> prv</w:t>
      </w:r>
      <w:r w:rsidR="00B75BCD" w:rsidRPr="0047585D">
        <w:rPr>
          <w:lang w:val="sr-Latn-ME"/>
        </w:rPr>
        <w:t>a</w:t>
      </w:r>
      <w:r w:rsidRPr="0047585D">
        <w:rPr>
          <w:lang w:val="sr-Latn-ME"/>
        </w:rPr>
        <w:t xml:space="preserve"> 2 ciklusa, nakon čega se javljaju s manjom učestalošću uz oporavak hematološke funkcije. Većina hematoloških n</w:t>
      </w:r>
      <w:r w:rsidR="002C11E2" w:rsidRPr="0047585D">
        <w:rPr>
          <w:lang w:val="sr-Latn-ME"/>
        </w:rPr>
        <w:t>eželjenih dejstav</w:t>
      </w:r>
      <w:r w:rsidRPr="0047585D">
        <w:rPr>
          <w:lang w:val="sr-Latn-ME"/>
        </w:rPr>
        <w:t>a rješava se rutinskim praćenjem kompletne krvne slike i od</w:t>
      </w:r>
      <w:r w:rsidR="002C11E2" w:rsidRPr="0047585D">
        <w:rPr>
          <w:lang w:val="sr-Latn-ME"/>
        </w:rPr>
        <w:t>laganje</w:t>
      </w:r>
      <w:r w:rsidRPr="0047585D">
        <w:rPr>
          <w:lang w:val="sr-Latn-ME"/>
        </w:rPr>
        <w:t>m sljedećeg ciklusa primjene azacitidina, prema potrebi profilaktičkom primjenom antibiotika i/ili stimul</w:t>
      </w:r>
      <w:r w:rsidR="005664D0" w:rsidRPr="0047585D">
        <w:rPr>
          <w:lang w:val="sr-Latn-ME"/>
        </w:rPr>
        <w:t>išućeg</w:t>
      </w:r>
      <w:r w:rsidRPr="0047585D">
        <w:rPr>
          <w:lang w:val="sr-Latn-ME"/>
        </w:rPr>
        <w:t xml:space="preserve"> </w:t>
      </w:r>
      <w:r w:rsidR="002C11E2" w:rsidRPr="0047585D">
        <w:rPr>
          <w:lang w:val="sr-Latn-ME"/>
        </w:rPr>
        <w:t>faktor</w:t>
      </w:r>
      <w:r w:rsidRPr="0047585D">
        <w:rPr>
          <w:lang w:val="sr-Latn-ME"/>
        </w:rPr>
        <w:t xml:space="preserve">a rasta (npr. G-CSF) kod neutropenije </w:t>
      </w:r>
      <w:r w:rsidR="005664D0" w:rsidRPr="0047585D">
        <w:rPr>
          <w:lang w:val="sr-Latn-ME"/>
        </w:rPr>
        <w:t>i</w:t>
      </w:r>
      <w:r w:rsidRPr="0047585D">
        <w:rPr>
          <w:lang w:val="sr-Latn-ME"/>
        </w:rPr>
        <w:t xml:space="preserve"> transfuzije kod anemije ili trombocitopenije.</w:t>
      </w:r>
    </w:p>
    <w:p w14:paraId="0AB2E1FA" w14:textId="77777777" w:rsidR="007D7964" w:rsidRPr="0047585D" w:rsidRDefault="007D7964" w:rsidP="00A56A66">
      <w:pPr>
        <w:pStyle w:val="BodyText"/>
        <w:jc w:val="both"/>
        <w:rPr>
          <w:lang w:val="sr-Latn-ME"/>
        </w:rPr>
      </w:pPr>
    </w:p>
    <w:p w14:paraId="39BE70D1" w14:textId="77777777" w:rsidR="0084478E" w:rsidRPr="0047585D" w:rsidRDefault="00200D97" w:rsidP="00A56A66">
      <w:pPr>
        <w:jc w:val="both"/>
        <w:rPr>
          <w:i/>
          <w:lang w:val="sr-Latn-ME"/>
        </w:rPr>
      </w:pPr>
      <w:r w:rsidRPr="0047585D">
        <w:rPr>
          <w:i/>
          <w:lang w:val="sr-Latn-ME"/>
        </w:rPr>
        <w:t>Infekcije</w:t>
      </w:r>
    </w:p>
    <w:p w14:paraId="59FADEC3" w14:textId="72BD4024" w:rsidR="0084478E" w:rsidRPr="0047585D" w:rsidRDefault="00200D97" w:rsidP="00A56A66">
      <w:pPr>
        <w:pStyle w:val="BodyText"/>
        <w:jc w:val="both"/>
        <w:rPr>
          <w:lang w:val="sr-Latn-ME"/>
        </w:rPr>
      </w:pPr>
      <w:r w:rsidRPr="0047585D">
        <w:rPr>
          <w:lang w:val="sr-Latn-ME"/>
        </w:rPr>
        <w:t xml:space="preserve">Mijelosupresija može dovesti do neutropenije i povećanog rizika od infekcije. Kod </w:t>
      </w:r>
      <w:r w:rsidR="00862A19" w:rsidRPr="0047585D">
        <w:rPr>
          <w:lang w:val="sr-Latn-ME"/>
        </w:rPr>
        <w:t>pacijen</w:t>
      </w:r>
      <w:r w:rsidR="002C11E2" w:rsidRPr="0047585D">
        <w:rPr>
          <w:lang w:val="sr-Latn-ME"/>
        </w:rPr>
        <w:t>a</w:t>
      </w:r>
      <w:r w:rsidR="00862A19" w:rsidRPr="0047585D">
        <w:rPr>
          <w:lang w:val="sr-Latn-ME"/>
        </w:rPr>
        <w:t>t</w:t>
      </w:r>
      <w:r w:rsidRPr="0047585D">
        <w:rPr>
          <w:lang w:val="sr-Latn-ME"/>
        </w:rPr>
        <w:t>a koji su primali azacitidin prijavljen</w:t>
      </w:r>
      <w:r w:rsidR="002C11E2" w:rsidRPr="0047585D">
        <w:rPr>
          <w:lang w:val="sr-Latn-ME"/>
        </w:rPr>
        <w:t>a</w:t>
      </w:r>
      <w:r w:rsidRPr="0047585D">
        <w:rPr>
          <w:lang w:val="sr-Latn-ME"/>
        </w:rPr>
        <w:t xml:space="preserve"> su ozbiljn</w:t>
      </w:r>
      <w:r w:rsidR="002C11E2" w:rsidRPr="0047585D">
        <w:rPr>
          <w:lang w:val="sr-Latn-ME"/>
        </w:rPr>
        <w:t>a</w:t>
      </w:r>
      <w:r w:rsidRPr="0047585D">
        <w:rPr>
          <w:lang w:val="sr-Latn-ME"/>
        </w:rPr>
        <w:t xml:space="preserve"> n</w:t>
      </w:r>
      <w:r w:rsidR="002C11E2" w:rsidRPr="0047585D">
        <w:rPr>
          <w:lang w:val="sr-Latn-ME"/>
        </w:rPr>
        <w:t>eželjena dejstva</w:t>
      </w:r>
      <w:r w:rsidRPr="0047585D">
        <w:rPr>
          <w:lang w:val="sr-Latn-ME"/>
        </w:rPr>
        <w:t xml:space="preserve"> poput sepse, uključujući neutropenijsku sepsu i pneumoniju, od kojih su neke imale smrtni ishod. Infekcije se mogu suzbiti primjenom antimikrobnih ljekova i stimuli</w:t>
      </w:r>
      <w:r w:rsidR="005664D0" w:rsidRPr="0047585D">
        <w:rPr>
          <w:lang w:val="sr-Latn-ME"/>
        </w:rPr>
        <w:t>šućeg</w:t>
      </w:r>
      <w:r w:rsidRPr="0047585D">
        <w:rPr>
          <w:lang w:val="sr-Latn-ME"/>
        </w:rPr>
        <w:t xml:space="preserve"> </w:t>
      </w:r>
      <w:r w:rsidR="002C11E2" w:rsidRPr="0047585D">
        <w:rPr>
          <w:lang w:val="sr-Latn-ME"/>
        </w:rPr>
        <w:t>faktor</w:t>
      </w:r>
      <w:r w:rsidRPr="0047585D">
        <w:rPr>
          <w:lang w:val="sr-Latn-ME"/>
        </w:rPr>
        <w:t>a rasta (npr. G-CSF) kod neutropenije.</w:t>
      </w:r>
    </w:p>
    <w:p w14:paraId="61529864" w14:textId="77777777" w:rsidR="007D7964" w:rsidRPr="0047585D" w:rsidRDefault="007D7964" w:rsidP="00A56A66">
      <w:pPr>
        <w:pStyle w:val="BodyText"/>
        <w:jc w:val="both"/>
        <w:rPr>
          <w:lang w:val="sr-Latn-ME"/>
        </w:rPr>
      </w:pPr>
    </w:p>
    <w:p w14:paraId="0840BAB5" w14:textId="77777777" w:rsidR="0084478E" w:rsidRPr="0047585D" w:rsidRDefault="00200D97" w:rsidP="00A56A66">
      <w:pPr>
        <w:jc w:val="both"/>
        <w:rPr>
          <w:i/>
          <w:lang w:val="sr-Latn-ME"/>
        </w:rPr>
      </w:pPr>
      <w:r w:rsidRPr="0047585D">
        <w:rPr>
          <w:i/>
          <w:lang w:val="sr-Latn-ME"/>
        </w:rPr>
        <w:t>Krvarenje</w:t>
      </w:r>
    </w:p>
    <w:p w14:paraId="36475964" w14:textId="1F27AEF8" w:rsidR="0084478E" w:rsidRPr="0047585D" w:rsidRDefault="00200D97" w:rsidP="00A56A66">
      <w:pPr>
        <w:pStyle w:val="BodyText"/>
        <w:jc w:val="both"/>
        <w:rPr>
          <w:lang w:val="sr-Latn-ME"/>
        </w:rPr>
      </w:pPr>
      <w:r w:rsidRPr="0047585D">
        <w:rPr>
          <w:lang w:val="sr-Latn-ME"/>
        </w:rPr>
        <w:t xml:space="preserve">Kod </w:t>
      </w:r>
      <w:r w:rsidR="00862A19" w:rsidRPr="0047585D">
        <w:rPr>
          <w:lang w:val="sr-Latn-ME"/>
        </w:rPr>
        <w:t>pacijen</w:t>
      </w:r>
      <w:r w:rsidR="002C11E2" w:rsidRPr="0047585D">
        <w:rPr>
          <w:lang w:val="sr-Latn-ME"/>
        </w:rPr>
        <w:t>a</w:t>
      </w:r>
      <w:r w:rsidR="00862A19" w:rsidRPr="0047585D">
        <w:rPr>
          <w:lang w:val="sr-Latn-ME"/>
        </w:rPr>
        <w:t>t</w:t>
      </w:r>
      <w:r w:rsidRPr="0047585D">
        <w:rPr>
          <w:lang w:val="sr-Latn-ME"/>
        </w:rPr>
        <w:t>a koji primaju azacitidin može se javiti krvarenje. Prijavljen</w:t>
      </w:r>
      <w:r w:rsidR="002C11E2" w:rsidRPr="0047585D">
        <w:rPr>
          <w:lang w:val="sr-Latn-ME"/>
        </w:rPr>
        <w:t>a</w:t>
      </w:r>
      <w:r w:rsidRPr="0047585D">
        <w:rPr>
          <w:lang w:val="sr-Latn-ME"/>
        </w:rPr>
        <w:t xml:space="preserve"> su ozbiljn</w:t>
      </w:r>
      <w:r w:rsidR="002C11E2" w:rsidRPr="0047585D">
        <w:rPr>
          <w:lang w:val="sr-Latn-ME"/>
        </w:rPr>
        <w:t>a</w:t>
      </w:r>
      <w:r w:rsidRPr="0047585D">
        <w:rPr>
          <w:lang w:val="sr-Latn-ME"/>
        </w:rPr>
        <w:t xml:space="preserve"> n</w:t>
      </w:r>
      <w:r w:rsidR="002C11E2" w:rsidRPr="0047585D">
        <w:rPr>
          <w:lang w:val="sr-Latn-ME"/>
        </w:rPr>
        <w:t>eželjena dejstva</w:t>
      </w:r>
      <w:r w:rsidRPr="0047585D">
        <w:rPr>
          <w:lang w:val="sr-Latn-ME"/>
        </w:rPr>
        <w:t xml:space="preserve"> poput gastrointestinalnog krvarenja i intrakranijalnog krvarenja. </w:t>
      </w:r>
      <w:r w:rsidR="00862A19" w:rsidRPr="0047585D">
        <w:rPr>
          <w:lang w:val="sr-Latn-ME"/>
        </w:rPr>
        <w:t>Pacijent</w:t>
      </w:r>
      <w:r w:rsidRPr="0047585D">
        <w:rPr>
          <w:lang w:val="sr-Latn-ME"/>
        </w:rPr>
        <w:t>e treba nadzirati zbog zna</w:t>
      </w:r>
      <w:r w:rsidR="00B75BCD" w:rsidRPr="0047585D">
        <w:rPr>
          <w:lang w:val="sr-Latn-ME"/>
        </w:rPr>
        <w:t>ka</w:t>
      </w:r>
      <w:r w:rsidRPr="0047585D">
        <w:rPr>
          <w:lang w:val="sr-Latn-ME"/>
        </w:rPr>
        <w:t xml:space="preserve"> i simptoma krvarenja, a </w:t>
      </w:r>
      <w:r w:rsidR="002C11E2" w:rsidRPr="0047585D">
        <w:rPr>
          <w:lang w:val="sr-Latn-ME"/>
        </w:rPr>
        <w:t>posebno</w:t>
      </w:r>
      <w:r w:rsidRPr="0047585D">
        <w:rPr>
          <w:lang w:val="sr-Latn-ME"/>
        </w:rPr>
        <w:t xml:space="preserve"> one s prethodno postojećom ili s liječenjem povezanom trombocitopenijom.</w:t>
      </w:r>
    </w:p>
    <w:p w14:paraId="5070300B" w14:textId="77777777" w:rsidR="007D7964" w:rsidRPr="0047585D" w:rsidRDefault="007D7964" w:rsidP="00A56A66">
      <w:pPr>
        <w:pStyle w:val="BodyText"/>
        <w:jc w:val="both"/>
        <w:rPr>
          <w:lang w:val="sr-Latn-ME"/>
        </w:rPr>
      </w:pPr>
    </w:p>
    <w:p w14:paraId="6A3D2E89" w14:textId="77777777" w:rsidR="0084478E" w:rsidRPr="0047585D" w:rsidRDefault="00200D97" w:rsidP="00A56A66">
      <w:pPr>
        <w:jc w:val="both"/>
        <w:rPr>
          <w:i/>
          <w:lang w:val="sr-Latn-ME"/>
        </w:rPr>
      </w:pPr>
      <w:r w:rsidRPr="0047585D">
        <w:rPr>
          <w:i/>
          <w:lang w:val="sr-Latn-ME"/>
        </w:rPr>
        <w:t>Preosjetljivost</w:t>
      </w:r>
    </w:p>
    <w:p w14:paraId="482F3C79" w14:textId="1C65DE2D" w:rsidR="0084478E" w:rsidRPr="0047585D" w:rsidRDefault="00200D97" w:rsidP="00A56A66">
      <w:pPr>
        <w:pStyle w:val="BodyText"/>
        <w:jc w:val="both"/>
        <w:rPr>
          <w:lang w:val="sr-Latn-ME"/>
        </w:rPr>
      </w:pPr>
      <w:r w:rsidRPr="0047585D">
        <w:rPr>
          <w:lang w:val="sr-Latn-ME"/>
        </w:rPr>
        <w:t xml:space="preserve">Kod </w:t>
      </w:r>
      <w:r w:rsidR="00862A19" w:rsidRPr="0047585D">
        <w:rPr>
          <w:lang w:val="sr-Latn-ME"/>
        </w:rPr>
        <w:t>pacijen</w:t>
      </w:r>
      <w:r w:rsidR="002C11E2" w:rsidRPr="0047585D">
        <w:rPr>
          <w:lang w:val="sr-Latn-ME"/>
        </w:rPr>
        <w:t>a</w:t>
      </w:r>
      <w:r w:rsidR="00862A19" w:rsidRPr="0047585D">
        <w:rPr>
          <w:lang w:val="sr-Latn-ME"/>
        </w:rPr>
        <w:t>t</w:t>
      </w:r>
      <w:r w:rsidRPr="0047585D">
        <w:rPr>
          <w:lang w:val="sr-Latn-ME"/>
        </w:rPr>
        <w:t>a liječenih azacitidinom prijavljene su ozbiljne reakcije preosjetljivosti. U slučaju reakcije slične anafilaktoidnoj reakciji, liječenje azacitidinom treba odmah prekinuti i započeti</w:t>
      </w:r>
      <w:r w:rsidR="00B75BCD" w:rsidRPr="0047585D">
        <w:rPr>
          <w:lang w:val="sr-Latn-ME"/>
        </w:rPr>
        <w:t xml:space="preserve"> odgovarajuće</w:t>
      </w:r>
      <w:r w:rsidRPr="0047585D">
        <w:rPr>
          <w:lang w:val="sr-Latn-ME"/>
        </w:rPr>
        <w:t xml:space="preserve"> simptomatsko liječenje.</w:t>
      </w:r>
    </w:p>
    <w:p w14:paraId="0B093593" w14:textId="77777777" w:rsidR="007D7964" w:rsidRPr="0047585D" w:rsidRDefault="007D7964" w:rsidP="00A56A66">
      <w:pPr>
        <w:pStyle w:val="BodyText"/>
        <w:jc w:val="both"/>
        <w:rPr>
          <w:lang w:val="sr-Latn-ME"/>
        </w:rPr>
      </w:pPr>
    </w:p>
    <w:p w14:paraId="572FCDB7" w14:textId="77777777" w:rsidR="0084478E" w:rsidRPr="0047585D" w:rsidRDefault="00200D97" w:rsidP="00A56A66">
      <w:pPr>
        <w:jc w:val="both"/>
        <w:rPr>
          <w:i/>
          <w:lang w:val="sr-Latn-ME"/>
        </w:rPr>
      </w:pPr>
      <w:r w:rsidRPr="0047585D">
        <w:rPr>
          <w:i/>
          <w:lang w:val="sr-Latn-ME"/>
        </w:rPr>
        <w:t>N</w:t>
      </w:r>
      <w:r w:rsidR="002C11E2" w:rsidRPr="0047585D">
        <w:rPr>
          <w:i/>
          <w:lang w:val="sr-Latn-ME"/>
        </w:rPr>
        <w:t>eželjena dejstva</w:t>
      </w:r>
      <w:r w:rsidRPr="0047585D">
        <w:rPr>
          <w:i/>
          <w:lang w:val="sr-Latn-ME"/>
        </w:rPr>
        <w:t xml:space="preserve"> na koži i potkožnom tkivu</w:t>
      </w:r>
    </w:p>
    <w:p w14:paraId="5FF3C490" w14:textId="5ACA80BD" w:rsidR="0084478E" w:rsidRPr="0047585D" w:rsidRDefault="00200D97" w:rsidP="00A56A66">
      <w:pPr>
        <w:pStyle w:val="BodyText"/>
        <w:jc w:val="both"/>
        <w:rPr>
          <w:lang w:val="sr-Latn-ME"/>
        </w:rPr>
      </w:pPr>
      <w:r w:rsidRPr="0047585D">
        <w:rPr>
          <w:lang w:val="sr-Latn-ME"/>
        </w:rPr>
        <w:t xml:space="preserve">Većina </w:t>
      </w:r>
      <w:r w:rsidR="002C11E2" w:rsidRPr="0047585D">
        <w:rPr>
          <w:lang w:val="sr-Latn-ME"/>
        </w:rPr>
        <w:t>neželjenih dejstava</w:t>
      </w:r>
      <w:r w:rsidRPr="0047585D">
        <w:rPr>
          <w:lang w:val="sr-Latn-ME"/>
        </w:rPr>
        <w:t xml:space="preserve"> na koži i potkožnom tkivu povezana je s mjestom primjene. Nijedn</w:t>
      </w:r>
      <w:r w:rsidR="002C11E2" w:rsidRPr="0047585D">
        <w:rPr>
          <w:lang w:val="sr-Latn-ME"/>
        </w:rPr>
        <w:t xml:space="preserve">o </w:t>
      </w:r>
      <w:r w:rsidRPr="0047585D">
        <w:rPr>
          <w:lang w:val="sr-Latn-ME"/>
        </w:rPr>
        <w:t xml:space="preserve">od tih </w:t>
      </w:r>
      <w:r w:rsidR="002C11E2" w:rsidRPr="0047585D">
        <w:rPr>
          <w:lang w:val="sr-Latn-ME"/>
        </w:rPr>
        <w:lastRenderedPageBreak/>
        <w:t>neželjenih dejstava</w:t>
      </w:r>
      <w:r w:rsidRPr="0047585D">
        <w:rPr>
          <w:lang w:val="sr-Latn-ME"/>
        </w:rPr>
        <w:t xml:space="preserve"> nije dovel</w:t>
      </w:r>
      <w:r w:rsidR="002C11E2" w:rsidRPr="0047585D">
        <w:rPr>
          <w:lang w:val="sr-Latn-ME"/>
        </w:rPr>
        <w:t>o</w:t>
      </w:r>
      <w:r w:rsidRPr="0047585D">
        <w:rPr>
          <w:lang w:val="sr-Latn-ME"/>
        </w:rPr>
        <w:t xml:space="preserve"> do prekida </w:t>
      </w:r>
      <w:r w:rsidR="00B75BCD" w:rsidRPr="0047585D">
        <w:rPr>
          <w:lang w:val="sr-Latn-ME"/>
        </w:rPr>
        <w:t xml:space="preserve">liječenja </w:t>
      </w:r>
      <w:r w:rsidRPr="0047585D">
        <w:rPr>
          <w:lang w:val="sr-Latn-ME"/>
        </w:rPr>
        <w:t>azacitidin</w:t>
      </w:r>
      <w:r w:rsidR="00B75BCD" w:rsidRPr="0047585D">
        <w:rPr>
          <w:lang w:val="sr-Latn-ME"/>
        </w:rPr>
        <w:t>om</w:t>
      </w:r>
      <w:r w:rsidRPr="0047585D">
        <w:rPr>
          <w:lang w:val="sr-Latn-ME"/>
        </w:rPr>
        <w:t xml:space="preserve">, niti do smanjenja doza u pivotalnim ispitivanjima. Većina </w:t>
      </w:r>
      <w:r w:rsidR="002C11E2" w:rsidRPr="0047585D">
        <w:rPr>
          <w:lang w:val="sr-Latn-ME"/>
        </w:rPr>
        <w:t>neželjenih dejstava</w:t>
      </w:r>
      <w:r w:rsidRPr="0047585D">
        <w:rPr>
          <w:lang w:val="sr-Latn-ME"/>
        </w:rPr>
        <w:t xml:space="preserve"> pojavila se </w:t>
      </w:r>
      <w:r w:rsidR="005D04EB" w:rsidRPr="0047585D">
        <w:rPr>
          <w:lang w:val="sr-Latn-ME"/>
        </w:rPr>
        <w:t>tokom</w:t>
      </w:r>
      <w:r w:rsidRPr="0047585D">
        <w:rPr>
          <w:lang w:val="sr-Latn-ME"/>
        </w:rPr>
        <w:t xml:space="preserve"> prva 2 ciklusa, s tendencijom smanjenja u sljedećim ciklusima. </w:t>
      </w:r>
      <w:r w:rsidR="002C11E2" w:rsidRPr="0047585D">
        <w:rPr>
          <w:lang w:val="sr-Latn-ME"/>
        </w:rPr>
        <w:t>Neželjena dejstva</w:t>
      </w:r>
      <w:r w:rsidRPr="0047585D">
        <w:rPr>
          <w:lang w:val="sr-Latn-ME"/>
        </w:rPr>
        <w:t xml:space="preserve"> na potkožnom tkivu poput osipa/upale/svr</w:t>
      </w:r>
      <w:r w:rsidR="002C11E2" w:rsidRPr="0047585D">
        <w:rPr>
          <w:lang w:val="sr-Latn-ME"/>
        </w:rPr>
        <w:t>ab</w:t>
      </w:r>
      <w:r w:rsidRPr="0047585D">
        <w:rPr>
          <w:lang w:val="sr-Latn-ME"/>
        </w:rPr>
        <w:t>a na mjestu primjene, osipa, eritema i lezija na koži, mogu zahtijevati isto</w:t>
      </w:r>
      <w:r w:rsidR="002C11E2" w:rsidRPr="0047585D">
        <w:rPr>
          <w:lang w:val="sr-Latn-ME"/>
        </w:rPr>
        <w:t>vremen</w:t>
      </w:r>
      <w:r w:rsidRPr="0047585D">
        <w:rPr>
          <w:lang w:val="sr-Latn-ME"/>
        </w:rPr>
        <w:t xml:space="preserve">u primjenu ljekova poput antihistaminika, kortikosteroida i nesteroidnih </w:t>
      </w:r>
      <w:r w:rsidR="00C24A03" w:rsidRPr="0047585D">
        <w:rPr>
          <w:lang w:val="sr-Latn-ME"/>
        </w:rPr>
        <w:t>anti</w:t>
      </w:r>
      <w:r w:rsidR="009A5076" w:rsidRPr="0047585D">
        <w:rPr>
          <w:lang w:val="sr-Latn-ME"/>
        </w:rPr>
        <w:t>u</w:t>
      </w:r>
      <w:r w:rsidRPr="0047585D">
        <w:rPr>
          <w:lang w:val="sr-Latn-ME"/>
        </w:rPr>
        <w:t>palnih ljekova (engl. NSAID). Te reakcije na koži treba razlikovati od infekcija mekog tkiva kakve</w:t>
      </w:r>
      <w:r w:rsidR="00B75BCD" w:rsidRPr="0047585D">
        <w:rPr>
          <w:lang w:val="sr-Latn-ME"/>
        </w:rPr>
        <w:t xml:space="preserve"> se ponekad </w:t>
      </w:r>
      <w:r w:rsidRPr="0047585D">
        <w:rPr>
          <w:lang w:val="sr-Latn-ME"/>
        </w:rPr>
        <w:t>javljaju na mjestu primjene injekcije. Infekcije mekog tkiva, uključujući celulitis i nekrotizirajući fasciitis koji u rijetkim slučajevima dovodi do smrti, zabilježene su za azacitidin poslije stavljanja lijeka u promet. Za kliničko</w:t>
      </w:r>
      <w:r w:rsidR="005664D0" w:rsidRPr="0047585D">
        <w:rPr>
          <w:lang w:val="sr-Latn-ME"/>
        </w:rPr>
        <w:t xml:space="preserve"> zbrinjavanje</w:t>
      </w:r>
      <w:r w:rsidRPr="0047585D">
        <w:rPr>
          <w:lang w:val="sr-Latn-ME"/>
        </w:rPr>
        <w:t xml:space="preserve"> infekcija nastalih kao </w:t>
      </w:r>
      <w:r w:rsidR="002C11E2" w:rsidRPr="0047585D">
        <w:rPr>
          <w:lang w:val="sr-Latn-ME"/>
        </w:rPr>
        <w:t>neželjena dejstva</w:t>
      </w:r>
      <w:r w:rsidRPr="0047585D">
        <w:rPr>
          <w:lang w:val="sr-Latn-ME"/>
        </w:rPr>
        <w:t>, vidjeti dio 4.8 Infekcije.</w:t>
      </w:r>
    </w:p>
    <w:p w14:paraId="25B9C048" w14:textId="77777777" w:rsidR="007D7964" w:rsidRPr="0047585D" w:rsidRDefault="007D7964" w:rsidP="00A56A66">
      <w:pPr>
        <w:pStyle w:val="BodyText"/>
        <w:jc w:val="both"/>
        <w:rPr>
          <w:lang w:val="sr-Latn-ME"/>
        </w:rPr>
      </w:pPr>
    </w:p>
    <w:p w14:paraId="25C8B569" w14:textId="77777777" w:rsidR="0084478E" w:rsidRPr="0047585D" w:rsidRDefault="00200D97" w:rsidP="00A56A66">
      <w:pPr>
        <w:jc w:val="both"/>
        <w:rPr>
          <w:i/>
          <w:lang w:val="sr-Latn-ME"/>
        </w:rPr>
      </w:pPr>
      <w:r w:rsidRPr="0047585D">
        <w:rPr>
          <w:i/>
          <w:lang w:val="sr-Latn-ME"/>
        </w:rPr>
        <w:t>Gastrointestinaln</w:t>
      </w:r>
      <w:r w:rsidR="002C11E2" w:rsidRPr="0047585D">
        <w:rPr>
          <w:i/>
          <w:lang w:val="sr-Latn-ME"/>
        </w:rPr>
        <w:t>a</w:t>
      </w:r>
      <w:r w:rsidRPr="0047585D">
        <w:rPr>
          <w:i/>
          <w:lang w:val="sr-Latn-ME"/>
        </w:rPr>
        <w:t xml:space="preserve"> </w:t>
      </w:r>
      <w:r w:rsidR="002C11E2" w:rsidRPr="0047585D">
        <w:rPr>
          <w:i/>
          <w:lang w:val="sr-Latn-ME"/>
        </w:rPr>
        <w:t>neželjena dejstva</w:t>
      </w:r>
    </w:p>
    <w:p w14:paraId="1FE4429B" w14:textId="66CC31C8" w:rsidR="0084478E" w:rsidRPr="0047585D" w:rsidRDefault="00200D97" w:rsidP="00A56A66">
      <w:pPr>
        <w:pStyle w:val="BodyText"/>
        <w:jc w:val="both"/>
        <w:rPr>
          <w:lang w:val="sr-Latn-ME"/>
        </w:rPr>
      </w:pPr>
      <w:r w:rsidRPr="0047585D">
        <w:rPr>
          <w:lang w:val="sr-Latn-ME"/>
        </w:rPr>
        <w:t>Najčešće prijavljen</w:t>
      </w:r>
      <w:r w:rsidR="002C11E2" w:rsidRPr="0047585D">
        <w:rPr>
          <w:lang w:val="sr-Latn-ME"/>
        </w:rPr>
        <w:t>a</w:t>
      </w:r>
      <w:r w:rsidRPr="0047585D">
        <w:rPr>
          <w:lang w:val="sr-Latn-ME"/>
        </w:rPr>
        <w:t xml:space="preserve"> gastrointestinaln</w:t>
      </w:r>
      <w:r w:rsidR="002C11E2" w:rsidRPr="0047585D">
        <w:rPr>
          <w:lang w:val="sr-Latn-ME"/>
        </w:rPr>
        <w:t>a</w:t>
      </w:r>
      <w:r w:rsidRPr="0047585D">
        <w:rPr>
          <w:lang w:val="sr-Latn-ME"/>
        </w:rPr>
        <w:t xml:space="preserve"> </w:t>
      </w:r>
      <w:r w:rsidR="002C11E2" w:rsidRPr="0047585D">
        <w:rPr>
          <w:lang w:val="sr-Latn-ME"/>
        </w:rPr>
        <w:t>neželjena dejstva</w:t>
      </w:r>
      <w:r w:rsidRPr="0047585D">
        <w:rPr>
          <w:lang w:val="sr-Latn-ME"/>
        </w:rPr>
        <w:t xml:space="preserve"> povezan</w:t>
      </w:r>
      <w:r w:rsidR="009A5076" w:rsidRPr="0047585D">
        <w:rPr>
          <w:lang w:val="sr-Latn-ME"/>
        </w:rPr>
        <w:t>a</w:t>
      </w:r>
      <w:r w:rsidRPr="0047585D">
        <w:rPr>
          <w:lang w:val="sr-Latn-ME"/>
        </w:rPr>
        <w:t xml:space="preserve"> s primjenom azacitidina su konstipacija</w:t>
      </w:r>
      <w:r w:rsidR="002C11E2" w:rsidRPr="0047585D">
        <w:rPr>
          <w:lang w:val="sr-Latn-ME"/>
        </w:rPr>
        <w:t>, dijareja</w:t>
      </w:r>
      <w:r w:rsidRPr="0047585D">
        <w:rPr>
          <w:lang w:val="sr-Latn-ME"/>
        </w:rPr>
        <w:t xml:space="preserve">, mučnina i povraćanje. </w:t>
      </w:r>
      <w:r w:rsidR="00B75BCD" w:rsidRPr="0047585D">
        <w:rPr>
          <w:lang w:val="sr-Latn-ME"/>
        </w:rPr>
        <w:t>Ova</w:t>
      </w:r>
      <w:r w:rsidRPr="0047585D">
        <w:rPr>
          <w:lang w:val="sr-Latn-ME"/>
        </w:rPr>
        <w:t xml:space="preserve"> </w:t>
      </w:r>
      <w:r w:rsidR="002C11E2" w:rsidRPr="0047585D">
        <w:rPr>
          <w:lang w:val="sr-Latn-ME"/>
        </w:rPr>
        <w:t>neželjena dejstva</w:t>
      </w:r>
      <w:r w:rsidRPr="0047585D">
        <w:rPr>
          <w:lang w:val="sr-Latn-ME"/>
        </w:rPr>
        <w:t xml:space="preserve"> </w:t>
      </w:r>
      <w:r w:rsidR="00B75BCD" w:rsidRPr="0047585D">
        <w:rPr>
          <w:lang w:val="sr-Latn-ME"/>
        </w:rPr>
        <w:t xml:space="preserve">su </w:t>
      </w:r>
      <w:r w:rsidRPr="0047585D">
        <w:rPr>
          <w:lang w:val="sr-Latn-ME"/>
        </w:rPr>
        <w:t>liječen</w:t>
      </w:r>
      <w:r w:rsidR="00001FCF" w:rsidRPr="0047585D">
        <w:rPr>
          <w:lang w:val="sr-Latn-ME"/>
        </w:rPr>
        <w:t>a</w:t>
      </w:r>
      <w:r w:rsidRPr="0047585D">
        <w:rPr>
          <w:lang w:val="sr-Latn-ME"/>
        </w:rPr>
        <w:t xml:space="preserve"> simptomatski, antiemeticima za mučninu i povraćanje; antidijaroicima za </w:t>
      </w:r>
      <w:r w:rsidR="00001FCF" w:rsidRPr="0047585D">
        <w:rPr>
          <w:lang w:val="sr-Latn-ME"/>
        </w:rPr>
        <w:t>dijareju</w:t>
      </w:r>
      <w:r w:rsidRPr="0047585D">
        <w:rPr>
          <w:lang w:val="sr-Latn-ME"/>
        </w:rPr>
        <w:t xml:space="preserve"> i laksativima i/ili</w:t>
      </w:r>
      <w:r w:rsidR="00001FCF" w:rsidRPr="0047585D">
        <w:rPr>
          <w:lang w:val="sr-Latn-ME"/>
        </w:rPr>
        <w:t xml:space="preserve"> supstancam</w:t>
      </w:r>
      <w:r w:rsidRPr="0047585D">
        <w:rPr>
          <w:lang w:val="sr-Latn-ME"/>
        </w:rPr>
        <w:t>a koje omekšavaju stolicu za konstipaciju.</w:t>
      </w:r>
    </w:p>
    <w:p w14:paraId="429EBAB2" w14:textId="77777777" w:rsidR="007D7964" w:rsidRPr="0047585D" w:rsidRDefault="007D7964" w:rsidP="00A56A66">
      <w:pPr>
        <w:pStyle w:val="BodyText"/>
        <w:jc w:val="both"/>
        <w:rPr>
          <w:lang w:val="sr-Latn-ME"/>
        </w:rPr>
      </w:pPr>
    </w:p>
    <w:p w14:paraId="12DBF666" w14:textId="77777777" w:rsidR="0084478E" w:rsidRPr="0047585D" w:rsidRDefault="002C11E2" w:rsidP="00A56A66">
      <w:pPr>
        <w:jc w:val="both"/>
        <w:rPr>
          <w:i/>
          <w:lang w:val="sr-Latn-ME"/>
        </w:rPr>
      </w:pPr>
      <w:r w:rsidRPr="0047585D">
        <w:rPr>
          <w:i/>
          <w:lang w:val="sr-Latn-ME"/>
        </w:rPr>
        <w:t>Neželjena dejstva</w:t>
      </w:r>
      <w:r w:rsidR="00200D97" w:rsidRPr="0047585D">
        <w:rPr>
          <w:i/>
          <w:lang w:val="sr-Latn-ME"/>
        </w:rPr>
        <w:t xml:space="preserve"> povezan</w:t>
      </w:r>
      <w:r w:rsidR="00001FCF" w:rsidRPr="0047585D">
        <w:rPr>
          <w:i/>
          <w:lang w:val="sr-Latn-ME"/>
        </w:rPr>
        <w:t xml:space="preserve">a </w:t>
      </w:r>
      <w:r w:rsidR="00200D97" w:rsidRPr="0047585D">
        <w:rPr>
          <w:i/>
          <w:lang w:val="sr-Latn-ME"/>
        </w:rPr>
        <w:t>s bubrezima</w:t>
      </w:r>
    </w:p>
    <w:p w14:paraId="1B88627A" w14:textId="4C28BA52" w:rsidR="0084478E" w:rsidRPr="0047585D" w:rsidRDefault="00200D97" w:rsidP="00A56A66">
      <w:pPr>
        <w:pStyle w:val="BodyText"/>
        <w:jc w:val="both"/>
        <w:rPr>
          <w:lang w:val="sr-Latn-ME"/>
        </w:rPr>
      </w:pPr>
      <w:r w:rsidRPr="0047585D">
        <w:rPr>
          <w:lang w:val="sr-Latn-ME"/>
        </w:rPr>
        <w:t xml:space="preserve">Kod </w:t>
      </w:r>
      <w:r w:rsidR="00862A19" w:rsidRPr="0047585D">
        <w:rPr>
          <w:lang w:val="sr-Latn-ME"/>
        </w:rPr>
        <w:t>pacijen</w:t>
      </w:r>
      <w:r w:rsidR="00001FCF" w:rsidRPr="0047585D">
        <w:rPr>
          <w:lang w:val="sr-Latn-ME"/>
        </w:rPr>
        <w:t>a</w:t>
      </w:r>
      <w:r w:rsidR="00862A19" w:rsidRPr="0047585D">
        <w:rPr>
          <w:lang w:val="sr-Latn-ME"/>
        </w:rPr>
        <w:t>t</w:t>
      </w:r>
      <w:r w:rsidRPr="0047585D">
        <w:rPr>
          <w:lang w:val="sr-Latn-ME"/>
        </w:rPr>
        <w:t xml:space="preserve">a liječenih azacitidinom, zabilježeni su bubrežni poremećaji u rasponu od povišenog serumskog kreatinina i hematurije do bubrežne tubularne acidoze, </w:t>
      </w:r>
      <w:r w:rsidR="00001FCF" w:rsidRPr="0047585D">
        <w:rPr>
          <w:lang w:val="sr-Latn-ME"/>
        </w:rPr>
        <w:t>insuficijencije</w:t>
      </w:r>
      <w:r w:rsidRPr="0047585D">
        <w:rPr>
          <w:lang w:val="sr-Latn-ME"/>
        </w:rPr>
        <w:t xml:space="preserve"> bubrega i smrti (vidjeti dio 4.4).</w:t>
      </w:r>
    </w:p>
    <w:p w14:paraId="5180BFF8" w14:textId="77777777" w:rsidR="007D7964" w:rsidRPr="0047585D" w:rsidRDefault="007D7964" w:rsidP="00A56A66">
      <w:pPr>
        <w:pStyle w:val="BodyText"/>
        <w:jc w:val="both"/>
        <w:rPr>
          <w:lang w:val="sr-Latn-ME"/>
        </w:rPr>
      </w:pPr>
    </w:p>
    <w:p w14:paraId="5A36975E" w14:textId="77777777" w:rsidR="0084478E" w:rsidRPr="0047585D" w:rsidRDefault="002C11E2" w:rsidP="00A56A66">
      <w:pPr>
        <w:jc w:val="both"/>
        <w:rPr>
          <w:i/>
          <w:lang w:val="sr-Latn-ME"/>
        </w:rPr>
      </w:pPr>
      <w:r w:rsidRPr="0047585D">
        <w:rPr>
          <w:i/>
          <w:lang w:val="sr-Latn-ME"/>
        </w:rPr>
        <w:t>Neželjena dejstva</w:t>
      </w:r>
      <w:r w:rsidR="00200D97" w:rsidRPr="0047585D">
        <w:rPr>
          <w:i/>
          <w:lang w:val="sr-Latn-ME"/>
        </w:rPr>
        <w:t xml:space="preserve"> povezan</w:t>
      </w:r>
      <w:r w:rsidR="00001FCF" w:rsidRPr="0047585D">
        <w:rPr>
          <w:i/>
          <w:lang w:val="sr-Latn-ME"/>
        </w:rPr>
        <w:t>a</w:t>
      </w:r>
      <w:r w:rsidR="00200D97" w:rsidRPr="0047585D">
        <w:rPr>
          <w:i/>
          <w:lang w:val="sr-Latn-ME"/>
        </w:rPr>
        <w:t xml:space="preserve"> s jetrom</w:t>
      </w:r>
    </w:p>
    <w:p w14:paraId="7B59E210" w14:textId="77777777" w:rsidR="0084478E" w:rsidRPr="0047585D" w:rsidRDefault="00200D97" w:rsidP="00A56A66">
      <w:pPr>
        <w:pStyle w:val="BodyText"/>
        <w:jc w:val="both"/>
        <w:rPr>
          <w:lang w:val="sr-Latn-ME"/>
        </w:rPr>
      </w:pPr>
      <w:r w:rsidRPr="0047585D">
        <w:rPr>
          <w:lang w:val="sr-Latn-ME"/>
        </w:rPr>
        <w:t xml:space="preserve">Kod </w:t>
      </w:r>
      <w:r w:rsidR="00862A19" w:rsidRPr="0047585D">
        <w:rPr>
          <w:lang w:val="sr-Latn-ME"/>
        </w:rPr>
        <w:t>pacijen</w:t>
      </w:r>
      <w:r w:rsidR="00001FCF" w:rsidRPr="0047585D">
        <w:rPr>
          <w:lang w:val="sr-Latn-ME"/>
        </w:rPr>
        <w:t>a</w:t>
      </w:r>
      <w:r w:rsidR="00862A19" w:rsidRPr="0047585D">
        <w:rPr>
          <w:lang w:val="sr-Latn-ME"/>
        </w:rPr>
        <w:t>t</w:t>
      </w:r>
      <w:r w:rsidRPr="0047585D">
        <w:rPr>
          <w:lang w:val="sr-Latn-ME"/>
        </w:rPr>
        <w:t>a s opsežnim metastatskim tumorima, prijavljen</w:t>
      </w:r>
      <w:r w:rsidR="00001FCF" w:rsidRPr="0047585D">
        <w:rPr>
          <w:lang w:val="sr-Latn-ME"/>
        </w:rPr>
        <w:t>a je insuficijencija</w:t>
      </w:r>
      <w:r w:rsidRPr="0047585D">
        <w:rPr>
          <w:lang w:val="sr-Latn-ME"/>
        </w:rPr>
        <w:t xml:space="preserve"> jetre, progresivna hepatička koma i smrt </w:t>
      </w:r>
      <w:r w:rsidR="005D04EB" w:rsidRPr="0047585D">
        <w:rPr>
          <w:lang w:val="sr-Latn-ME"/>
        </w:rPr>
        <w:t>tokom</w:t>
      </w:r>
      <w:r w:rsidRPr="0047585D">
        <w:rPr>
          <w:lang w:val="sr-Latn-ME"/>
        </w:rPr>
        <w:t xml:space="preserve"> liječenja azacitidinom (vidjeti dio 4.4).</w:t>
      </w:r>
    </w:p>
    <w:p w14:paraId="424275C0" w14:textId="77777777" w:rsidR="0084478E" w:rsidRPr="0047585D" w:rsidRDefault="00200D97" w:rsidP="00A56A66">
      <w:pPr>
        <w:jc w:val="both"/>
        <w:rPr>
          <w:i/>
          <w:lang w:val="sr-Latn-ME"/>
        </w:rPr>
      </w:pPr>
      <w:r w:rsidRPr="0047585D">
        <w:rPr>
          <w:i/>
          <w:lang w:val="sr-Latn-ME"/>
        </w:rPr>
        <w:t>Srčani događaji</w:t>
      </w:r>
    </w:p>
    <w:p w14:paraId="0AAC1CFF" w14:textId="4EA17882" w:rsidR="0084478E" w:rsidRPr="0047585D" w:rsidRDefault="00200D97" w:rsidP="00A56A66">
      <w:pPr>
        <w:pStyle w:val="BodyText"/>
        <w:jc w:val="both"/>
        <w:rPr>
          <w:lang w:val="sr-Latn-ME"/>
        </w:rPr>
      </w:pPr>
      <w:r w:rsidRPr="0047585D">
        <w:rPr>
          <w:lang w:val="sr-Latn-ME"/>
        </w:rPr>
        <w:t xml:space="preserve">Podaci iz jednog kliničkog ispitivanja koje je dopustilo uključivanje </w:t>
      </w:r>
      <w:r w:rsidR="00862A19" w:rsidRPr="0047585D">
        <w:rPr>
          <w:lang w:val="sr-Latn-ME"/>
        </w:rPr>
        <w:t>pacijen</w:t>
      </w:r>
      <w:r w:rsidR="00001FCF" w:rsidRPr="0047585D">
        <w:rPr>
          <w:lang w:val="sr-Latn-ME"/>
        </w:rPr>
        <w:t>a</w:t>
      </w:r>
      <w:r w:rsidR="00862A19" w:rsidRPr="0047585D">
        <w:rPr>
          <w:lang w:val="sr-Latn-ME"/>
        </w:rPr>
        <w:t>t</w:t>
      </w:r>
      <w:r w:rsidRPr="0047585D">
        <w:rPr>
          <w:lang w:val="sr-Latn-ME"/>
        </w:rPr>
        <w:t>a s kardiovaskularnom ili plućnom bolešću u</w:t>
      </w:r>
      <w:r w:rsidR="00001FCF" w:rsidRPr="0047585D">
        <w:rPr>
          <w:lang w:val="sr-Latn-ME"/>
        </w:rPr>
        <w:t xml:space="preserve"> istorij</w:t>
      </w:r>
      <w:r w:rsidRPr="0047585D">
        <w:rPr>
          <w:lang w:val="sr-Latn-ME"/>
        </w:rPr>
        <w:t xml:space="preserve">i bolesti pokazali su statistički značajno povećanje srčanih događaja </w:t>
      </w:r>
      <w:r w:rsidR="00001FCF" w:rsidRPr="0047585D">
        <w:rPr>
          <w:lang w:val="sr-Latn-ME"/>
        </w:rPr>
        <w:t xml:space="preserve">kod </w:t>
      </w:r>
      <w:r w:rsidR="00862A19" w:rsidRPr="0047585D">
        <w:rPr>
          <w:lang w:val="sr-Latn-ME"/>
        </w:rPr>
        <w:t>pacijen</w:t>
      </w:r>
      <w:r w:rsidR="00001FCF" w:rsidRPr="0047585D">
        <w:rPr>
          <w:lang w:val="sr-Latn-ME"/>
        </w:rPr>
        <w:t>a</w:t>
      </w:r>
      <w:r w:rsidR="00862A19" w:rsidRPr="0047585D">
        <w:rPr>
          <w:lang w:val="sr-Latn-ME"/>
        </w:rPr>
        <w:t>t</w:t>
      </w:r>
      <w:r w:rsidRPr="0047585D">
        <w:rPr>
          <w:lang w:val="sr-Latn-ME"/>
        </w:rPr>
        <w:t>a s novodijagnost</w:t>
      </w:r>
      <w:r w:rsidR="00001FCF" w:rsidRPr="0047585D">
        <w:rPr>
          <w:lang w:val="sr-Latn-ME"/>
        </w:rPr>
        <w:t>ifika</w:t>
      </w:r>
      <w:r w:rsidRPr="0047585D">
        <w:rPr>
          <w:lang w:val="sr-Latn-ME"/>
        </w:rPr>
        <w:t>nom AML koji su bili liječeni azacitidinom (vidjeti dio 4.4).</w:t>
      </w:r>
    </w:p>
    <w:p w14:paraId="2398E31A" w14:textId="77777777" w:rsidR="007D7964" w:rsidRPr="0047585D" w:rsidRDefault="007D7964" w:rsidP="00A56A66">
      <w:pPr>
        <w:pStyle w:val="BodyText"/>
        <w:jc w:val="both"/>
        <w:rPr>
          <w:lang w:val="sr-Latn-ME"/>
        </w:rPr>
      </w:pPr>
    </w:p>
    <w:p w14:paraId="07E118BD" w14:textId="77777777" w:rsidR="0084478E" w:rsidRPr="0047585D" w:rsidRDefault="00200D97" w:rsidP="00A56A66">
      <w:pPr>
        <w:jc w:val="both"/>
        <w:rPr>
          <w:i/>
          <w:lang w:val="sr-Latn-ME"/>
        </w:rPr>
      </w:pPr>
      <w:r w:rsidRPr="0047585D">
        <w:rPr>
          <w:i/>
          <w:lang w:val="sr-Latn-ME"/>
        </w:rPr>
        <w:t>Starija populacija</w:t>
      </w:r>
    </w:p>
    <w:p w14:paraId="617EC3AE" w14:textId="4BDFACD3" w:rsidR="0084478E" w:rsidRPr="0047585D" w:rsidRDefault="00200D97" w:rsidP="00A56A66">
      <w:pPr>
        <w:pStyle w:val="BodyText"/>
        <w:jc w:val="both"/>
        <w:rPr>
          <w:lang w:val="sr-Latn-ME"/>
        </w:rPr>
      </w:pPr>
      <w:r w:rsidRPr="0047585D">
        <w:rPr>
          <w:lang w:val="sr-Latn-ME"/>
        </w:rPr>
        <w:t xml:space="preserve">Dostupni podaci o </w:t>
      </w:r>
      <w:r w:rsidR="00862A19" w:rsidRPr="0047585D">
        <w:rPr>
          <w:lang w:val="sr-Latn-ME"/>
        </w:rPr>
        <w:t>bezbjednost</w:t>
      </w:r>
      <w:r w:rsidRPr="0047585D">
        <w:rPr>
          <w:lang w:val="sr-Latn-ME"/>
        </w:rPr>
        <w:t xml:space="preserve">i primjene azacitidina </w:t>
      </w:r>
      <w:r w:rsidR="00001FCF" w:rsidRPr="0047585D">
        <w:rPr>
          <w:lang w:val="sr-Latn-ME"/>
        </w:rPr>
        <w:t>kod</w:t>
      </w:r>
      <w:r w:rsidRPr="0047585D">
        <w:rPr>
          <w:lang w:val="sr-Latn-ME"/>
        </w:rPr>
        <w:t xml:space="preserve"> </w:t>
      </w:r>
      <w:r w:rsidR="00862A19" w:rsidRPr="0047585D">
        <w:rPr>
          <w:lang w:val="sr-Latn-ME"/>
        </w:rPr>
        <w:t>pacijen</w:t>
      </w:r>
      <w:r w:rsidR="00001FCF" w:rsidRPr="0047585D">
        <w:rPr>
          <w:lang w:val="sr-Latn-ME"/>
        </w:rPr>
        <w:t>a</w:t>
      </w:r>
      <w:r w:rsidR="00862A19" w:rsidRPr="0047585D">
        <w:rPr>
          <w:lang w:val="sr-Latn-ME"/>
        </w:rPr>
        <w:t>t</w:t>
      </w:r>
      <w:r w:rsidRPr="0047585D">
        <w:rPr>
          <w:lang w:val="sr-Latn-ME"/>
        </w:rPr>
        <w:t xml:space="preserve">a </w:t>
      </w:r>
      <w:r w:rsidR="00862A19" w:rsidRPr="0047585D">
        <w:rPr>
          <w:lang w:val="sr-Latn-ME"/>
        </w:rPr>
        <w:t>uzrasta</w:t>
      </w:r>
      <w:r w:rsidRPr="0047585D">
        <w:rPr>
          <w:lang w:val="sr-Latn-ME"/>
        </w:rPr>
        <w:t xml:space="preserve"> od ≥85 godina (s 14 [5,9%] </w:t>
      </w:r>
      <w:r w:rsidR="00862A19" w:rsidRPr="0047585D">
        <w:rPr>
          <w:lang w:val="sr-Latn-ME"/>
        </w:rPr>
        <w:t>pacijent</w:t>
      </w:r>
      <w:r w:rsidRPr="0047585D">
        <w:rPr>
          <w:lang w:val="sr-Latn-ME"/>
        </w:rPr>
        <w:t xml:space="preserve">a </w:t>
      </w:r>
      <w:r w:rsidR="00862A19" w:rsidRPr="0047585D">
        <w:rPr>
          <w:lang w:val="sr-Latn-ME"/>
        </w:rPr>
        <w:t>uzrasta</w:t>
      </w:r>
      <w:r w:rsidRPr="0047585D">
        <w:rPr>
          <w:lang w:val="sr-Latn-ME"/>
        </w:rPr>
        <w:t xml:space="preserve"> od ≥85 godina u ispitivanju AZA-AML-001) su ograničeni.</w:t>
      </w:r>
    </w:p>
    <w:p w14:paraId="5EF60280" w14:textId="77777777" w:rsidR="007D7964" w:rsidRPr="0047585D" w:rsidRDefault="007D7964" w:rsidP="00A56A66">
      <w:pPr>
        <w:pStyle w:val="BodyText"/>
        <w:jc w:val="both"/>
        <w:rPr>
          <w:lang w:val="sr-Latn-ME"/>
        </w:rPr>
      </w:pPr>
    </w:p>
    <w:p w14:paraId="5725CCD1" w14:textId="77777777" w:rsidR="00FF5E29" w:rsidRPr="0047585D" w:rsidRDefault="00FF5E29" w:rsidP="00A56A66">
      <w:pPr>
        <w:pStyle w:val="BodyText"/>
        <w:jc w:val="both"/>
        <w:rPr>
          <w:lang w:val="sr-Latn-ME"/>
        </w:rPr>
      </w:pPr>
      <w:r w:rsidRPr="0047585D">
        <w:rPr>
          <w:i/>
          <w:lang w:val="sr-Latn-ME"/>
        </w:rPr>
        <w:t>Pedijatrijska populacija</w:t>
      </w:r>
      <w:r w:rsidRPr="0047585D">
        <w:rPr>
          <w:lang w:val="sr-Latn-ME"/>
        </w:rPr>
        <w:t xml:space="preserve"> </w:t>
      </w:r>
    </w:p>
    <w:p w14:paraId="602F4943" w14:textId="19E8C6FE" w:rsidR="00FF5E29" w:rsidRPr="0047585D" w:rsidRDefault="00FF5E29" w:rsidP="00A56A66">
      <w:pPr>
        <w:pStyle w:val="BodyText"/>
        <w:jc w:val="both"/>
        <w:rPr>
          <w:lang w:val="sr-Latn-ME"/>
        </w:rPr>
      </w:pPr>
      <w:r w:rsidRPr="0047585D">
        <w:rPr>
          <w:lang w:val="sr-Latn-ME"/>
        </w:rPr>
        <w:t xml:space="preserve">U ispitivanju AZA-JMML-001, kod 28 pedijatrijskih pacijenata (uzrasta od 1 mjeseca do 18 godina) azacitidinom su liječeni MDS (n = 10) ili juvenilna mijelomonocitna leukemija (JMML) (n = 18) (vidjeti dio 5.1). </w:t>
      </w:r>
    </w:p>
    <w:p w14:paraId="1226C921" w14:textId="77777777" w:rsidR="007D7964" w:rsidRPr="0047585D" w:rsidRDefault="007D7964" w:rsidP="00A56A66">
      <w:pPr>
        <w:pStyle w:val="BodyText"/>
        <w:jc w:val="both"/>
        <w:rPr>
          <w:lang w:val="sr-Latn-ME"/>
        </w:rPr>
      </w:pPr>
    </w:p>
    <w:p w14:paraId="111A794B" w14:textId="39C72635" w:rsidR="00FF5E29" w:rsidRPr="0047585D" w:rsidRDefault="00FF5E29" w:rsidP="00A56A66">
      <w:pPr>
        <w:pStyle w:val="BodyText"/>
        <w:jc w:val="both"/>
        <w:rPr>
          <w:lang w:val="sr-Latn-ME"/>
        </w:rPr>
      </w:pPr>
      <w:r w:rsidRPr="0047585D">
        <w:rPr>
          <w:lang w:val="sr-Latn-ME"/>
        </w:rPr>
        <w:t xml:space="preserve">Svih 28 pacijenata doživjelo je najmanje 1 neželjeni događaj, a 17 (60,7 %) doživjelo je najmanje 1 neželjeni događaj povezan s liječenjem. Najčešće prijavljeni neželjeni događaji u ukupnoj pedijatrijskoj populaciji bili su pireksija, hematološki događaji uključujući anemiju, trombocitopeniju i febrilnu neutropeniju i gastrointestinalni događaji uključujući konstipaciju i povraćanje. </w:t>
      </w:r>
    </w:p>
    <w:p w14:paraId="2811A469" w14:textId="77777777" w:rsidR="007D7964" w:rsidRPr="0047585D" w:rsidRDefault="007D7964" w:rsidP="00A56A66">
      <w:pPr>
        <w:pStyle w:val="BodyText"/>
        <w:jc w:val="both"/>
        <w:rPr>
          <w:lang w:val="sr-Latn-ME"/>
        </w:rPr>
      </w:pPr>
    </w:p>
    <w:p w14:paraId="3FABDF94" w14:textId="487CB6D1" w:rsidR="00FF5E29" w:rsidRPr="0047585D" w:rsidRDefault="00FF5E29" w:rsidP="00A56A66">
      <w:pPr>
        <w:pStyle w:val="BodyText"/>
        <w:jc w:val="both"/>
        <w:rPr>
          <w:lang w:val="sr-Latn-ME"/>
        </w:rPr>
      </w:pPr>
      <w:r w:rsidRPr="0047585D">
        <w:rPr>
          <w:lang w:val="sr-Latn-ME"/>
        </w:rPr>
        <w:t xml:space="preserve">Tri (3) ispitanika doživjela su neželjeni događaj nastao tokom liječenja koji je doveo do prekida primjene lijeka (pireksija, napredovanje bolesti </w:t>
      </w:r>
      <w:r w:rsidR="00FD552C" w:rsidRPr="0047585D">
        <w:rPr>
          <w:lang w:val="sr-Latn-ME"/>
        </w:rPr>
        <w:t>i</w:t>
      </w:r>
      <w:r w:rsidRPr="0047585D">
        <w:rPr>
          <w:lang w:val="sr-Latn-ME"/>
        </w:rPr>
        <w:t xml:space="preserve"> abdominalni bol). </w:t>
      </w:r>
    </w:p>
    <w:p w14:paraId="4AE8D5D5" w14:textId="77777777" w:rsidR="007D7964" w:rsidRPr="0047585D" w:rsidRDefault="007D7964" w:rsidP="00A56A66">
      <w:pPr>
        <w:pStyle w:val="BodyText"/>
        <w:jc w:val="both"/>
        <w:rPr>
          <w:lang w:val="sr-Latn-ME"/>
        </w:rPr>
      </w:pPr>
    </w:p>
    <w:p w14:paraId="3FAD067C" w14:textId="7B5A8369" w:rsidR="00FF5E29" w:rsidRPr="0047585D" w:rsidRDefault="00FF5E29" w:rsidP="00A56A66">
      <w:pPr>
        <w:pStyle w:val="BodyText"/>
        <w:jc w:val="both"/>
        <w:rPr>
          <w:lang w:val="sr-Latn-ME"/>
        </w:rPr>
      </w:pPr>
      <w:r w:rsidRPr="0047585D">
        <w:rPr>
          <w:lang w:val="sr-Latn-ME"/>
        </w:rPr>
        <w:t>U ispitivanju AZA-AML-004, kod 7 pedijatrijskih pacijenata (uzrasta od 2 do 12 godina) azacitidinom je liječen</w:t>
      </w:r>
      <w:r w:rsidR="001D5573" w:rsidRPr="0047585D">
        <w:rPr>
          <w:lang w:val="sr-Latn-ME"/>
        </w:rPr>
        <w:t>a</w:t>
      </w:r>
      <w:r w:rsidRPr="0047585D">
        <w:rPr>
          <w:lang w:val="sr-Latn-ME"/>
        </w:rPr>
        <w:t xml:space="preserve"> AML kod molekularnog relapsa nakon prve potpune remisije [CR1] (vidjeti dio 5.1). </w:t>
      </w:r>
    </w:p>
    <w:p w14:paraId="5A703D8B" w14:textId="77777777" w:rsidR="007D7964" w:rsidRPr="0047585D" w:rsidRDefault="007D7964" w:rsidP="00A56A66">
      <w:pPr>
        <w:pStyle w:val="BodyText"/>
        <w:jc w:val="both"/>
        <w:rPr>
          <w:lang w:val="sr-Latn-ME"/>
        </w:rPr>
      </w:pPr>
    </w:p>
    <w:p w14:paraId="6BDE9517" w14:textId="452A49DD" w:rsidR="00FF5E29" w:rsidRPr="0047585D" w:rsidRDefault="00FF5E29" w:rsidP="00A56A66">
      <w:pPr>
        <w:pStyle w:val="BodyText"/>
        <w:jc w:val="both"/>
        <w:rPr>
          <w:lang w:val="sr-Latn-ME"/>
        </w:rPr>
      </w:pPr>
      <w:r w:rsidRPr="0047585D">
        <w:rPr>
          <w:lang w:val="sr-Latn-ME"/>
        </w:rPr>
        <w:t>Svih 7 pacijenata imalo je najmanje 1 neželjeni događaj povezan s liječenjem. Najčešće prijavljeni neželjeni događaji bili su neutropenija, mučnina, leukopenija, trombocitopenija, proliv i povišenje alanin aminotransferaze (ALT). Dva pacijenta su imala neželjeni događaj povezan s liječenjem koji je doveo do prekida davanja lijeka (febrilna neutropenija, neutropenija).</w:t>
      </w:r>
    </w:p>
    <w:p w14:paraId="02607EED" w14:textId="77777777" w:rsidR="007D7964" w:rsidRPr="0047585D" w:rsidRDefault="007D7964" w:rsidP="00A56A66">
      <w:pPr>
        <w:pStyle w:val="BodyText"/>
        <w:jc w:val="both"/>
        <w:rPr>
          <w:lang w:val="sr-Latn-ME"/>
        </w:rPr>
      </w:pPr>
    </w:p>
    <w:p w14:paraId="550A8F96" w14:textId="2F0672C3" w:rsidR="00FF5E29" w:rsidRPr="0047585D" w:rsidRDefault="00FF5E29" w:rsidP="00A56A66">
      <w:pPr>
        <w:pStyle w:val="BodyText"/>
        <w:jc w:val="both"/>
        <w:rPr>
          <w:lang w:val="sr-Latn-ME"/>
        </w:rPr>
      </w:pPr>
      <w:r w:rsidRPr="0047585D">
        <w:rPr>
          <w:lang w:val="sr-Latn-ME"/>
        </w:rPr>
        <w:t>Novi signali vezani za bezbjednost nisu utvrđeni u ograničenom broju pedijatrijskih pacijenata</w:t>
      </w:r>
      <w:r w:rsidR="001D5573" w:rsidRPr="0047585D">
        <w:rPr>
          <w:lang w:val="sr-Latn-ME"/>
        </w:rPr>
        <w:t xml:space="preserve"> liječenih azacitidinom tokom kliničkog ispitivanja. Ukupni bezbjednosni </w:t>
      </w:r>
      <w:r w:rsidRPr="0047585D">
        <w:rPr>
          <w:lang w:val="sr-Latn-ME"/>
        </w:rPr>
        <w:t xml:space="preserve">profil bio je u skladu s ukupnim </w:t>
      </w:r>
      <w:r w:rsidR="001D5573" w:rsidRPr="0047585D">
        <w:rPr>
          <w:lang w:val="sr-Latn-ME"/>
        </w:rPr>
        <w:lastRenderedPageBreak/>
        <w:t xml:space="preserve">bezbjednosnim </w:t>
      </w:r>
      <w:r w:rsidRPr="0047585D">
        <w:rPr>
          <w:lang w:val="sr-Latn-ME"/>
        </w:rPr>
        <w:t>profilom odrasle populacije</w:t>
      </w:r>
      <w:r w:rsidR="001D5573" w:rsidRPr="0047585D">
        <w:rPr>
          <w:lang w:val="sr-Latn-ME"/>
        </w:rPr>
        <w:t>.</w:t>
      </w:r>
    </w:p>
    <w:p w14:paraId="256D6AFF" w14:textId="77777777" w:rsidR="007D7964" w:rsidRPr="0047585D" w:rsidRDefault="007D7964" w:rsidP="00A56A66">
      <w:pPr>
        <w:pStyle w:val="BodyText"/>
        <w:jc w:val="both"/>
        <w:rPr>
          <w:lang w:val="sr-Latn-ME"/>
        </w:rPr>
      </w:pPr>
    </w:p>
    <w:p w14:paraId="11334DA1" w14:textId="77777777" w:rsidR="00C82247" w:rsidRPr="0047585D" w:rsidRDefault="00C82247" w:rsidP="00A56A66">
      <w:pPr>
        <w:widowControl/>
        <w:autoSpaceDE/>
        <w:autoSpaceDN/>
        <w:spacing w:line="276" w:lineRule="auto"/>
        <w:rPr>
          <w:rFonts w:eastAsia="Calibri"/>
          <w:u w:val="single"/>
          <w:lang w:val="sr-Latn-ME"/>
        </w:rPr>
      </w:pPr>
      <w:r w:rsidRPr="0047585D">
        <w:rPr>
          <w:rFonts w:eastAsia="Calibri"/>
          <w:u w:val="single"/>
          <w:lang w:val="sr-Latn-ME"/>
        </w:rPr>
        <w:t>Prijavljivanje sumnji na neželjena dejstva</w:t>
      </w:r>
    </w:p>
    <w:p w14:paraId="7835CEAF" w14:textId="77777777" w:rsidR="00C82247" w:rsidRPr="0047585D" w:rsidRDefault="00C82247" w:rsidP="00A56A66">
      <w:pPr>
        <w:widowControl/>
        <w:autoSpaceDE/>
        <w:autoSpaceDN/>
        <w:jc w:val="both"/>
        <w:rPr>
          <w:rFonts w:eastAsia="Calibri"/>
          <w:lang w:val="sr-Latn-ME"/>
        </w:rPr>
      </w:pPr>
      <w:r w:rsidRPr="0047585D">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D02F38C" w14:textId="77777777" w:rsidR="007D7964" w:rsidRPr="0047585D" w:rsidRDefault="007D7964" w:rsidP="00C82247">
      <w:pPr>
        <w:widowControl/>
        <w:autoSpaceDE/>
        <w:autoSpaceDN/>
        <w:jc w:val="both"/>
        <w:rPr>
          <w:rFonts w:eastAsia="Calibri"/>
          <w:lang w:val="sr-Latn-ME"/>
        </w:rPr>
      </w:pPr>
    </w:p>
    <w:p w14:paraId="43470E6E" w14:textId="5A7170D8" w:rsidR="00C82247" w:rsidRPr="0047585D" w:rsidRDefault="00C82247" w:rsidP="00C82247">
      <w:pPr>
        <w:widowControl/>
        <w:autoSpaceDE/>
        <w:autoSpaceDN/>
        <w:jc w:val="both"/>
        <w:rPr>
          <w:rFonts w:eastAsia="Calibri"/>
          <w:lang w:val="sr-Latn-ME"/>
        </w:rPr>
      </w:pPr>
      <w:r w:rsidRPr="0047585D">
        <w:rPr>
          <w:rFonts w:eastAsia="Calibri"/>
          <w:lang w:val="sr-Latn-ME"/>
        </w:rPr>
        <w:t xml:space="preserve">Institut za ljekove i medicinska sredstva </w:t>
      </w:r>
    </w:p>
    <w:p w14:paraId="1801595F" w14:textId="77777777" w:rsidR="00C82247" w:rsidRPr="0047585D" w:rsidRDefault="00C82247" w:rsidP="00C82247">
      <w:pPr>
        <w:widowControl/>
        <w:autoSpaceDE/>
        <w:autoSpaceDN/>
        <w:jc w:val="both"/>
        <w:rPr>
          <w:rFonts w:eastAsia="Calibri"/>
          <w:lang w:val="sr-Latn-ME"/>
        </w:rPr>
      </w:pPr>
      <w:r w:rsidRPr="0047585D">
        <w:rPr>
          <w:rFonts w:eastAsia="Calibri"/>
          <w:lang w:val="sr-Latn-ME"/>
        </w:rPr>
        <w:t>Odjeljenje za farmakovigilancu</w:t>
      </w:r>
    </w:p>
    <w:p w14:paraId="06CE48F6" w14:textId="77777777" w:rsidR="00C82247" w:rsidRPr="0047585D" w:rsidRDefault="00C82247" w:rsidP="00C82247">
      <w:pPr>
        <w:widowControl/>
        <w:autoSpaceDE/>
        <w:autoSpaceDN/>
        <w:jc w:val="both"/>
        <w:rPr>
          <w:rFonts w:eastAsia="Calibri"/>
          <w:lang w:val="sr-Latn-ME"/>
        </w:rPr>
      </w:pPr>
      <w:r w:rsidRPr="0047585D">
        <w:rPr>
          <w:rFonts w:eastAsia="Calibri"/>
          <w:lang w:val="sr-Latn-ME"/>
        </w:rPr>
        <w:t>Bulevar Ivana Crnojevića 64a, 81000 Podgorica</w:t>
      </w:r>
    </w:p>
    <w:p w14:paraId="32D1C8BB" w14:textId="77777777" w:rsidR="00C82247" w:rsidRPr="0047585D" w:rsidRDefault="00C82247" w:rsidP="00C82247">
      <w:pPr>
        <w:widowControl/>
        <w:autoSpaceDE/>
        <w:autoSpaceDN/>
        <w:rPr>
          <w:rFonts w:eastAsia="Calibri"/>
          <w:lang w:val="sr-Latn-ME"/>
        </w:rPr>
      </w:pPr>
    </w:p>
    <w:p w14:paraId="350E6CB9" w14:textId="77777777" w:rsidR="00C82247" w:rsidRPr="0047585D" w:rsidRDefault="00C82247" w:rsidP="007D6BC7">
      <w:pPr>
        <w:widowControl/>
        <w:autoSpaceDE/>
        <w:autoSpaceDN/>
        <w:jc w:val="both"/>
        <w:rPr>
          <w:rFonts w:eastAsia="Calibri"/>
          <w:lang w:val="sr-Latn-ME"/>
        </w:rPr>
      </w:pPr>
      <w:r w:rsidRPr="0047585D">
        <w:rPr>
          <w:rFonts w:eastAsia="Calibri"/>
          <w:lang w:val="sr-Latn-ME"/>
        </w:rPr>
        <w:t>tel: +382 (0) 20 310 280</w:t>
      </w:r>
    </w:p>
    <w:p w14:paraId="056DD74B" w14:textId="77777777" w:rsidR="00C82247" w:rsidRPr="0047585D" w:rsidRDefault="00C82247" w:rsidP="007D6BC7">
      <w:pPr>
        <w:widowControl/>
        <w:autoSpaceDE/>
        <w:autoSpaceDN/>
        <w:jc w:val="both"/>
        <w:rPr>
          <w:rFonts w:eastAsia="Calibri"/>
          <w:lang w:val="sr-Latn-ME"/>
        </w:rPr>
      </w:pPr>
      <w:r w:rsidRPr="0047585D">
        <w:rPr>
          <w:rFonts w:eastAsia="Calibri"/>
          <w:lang w:val="sr-Latn-ME"/>
        </w:rPr>
        <w:t>fax: +382 (0) 20 310 581</w:t>
      </w:r>
    </w:p>
    <w:p w14:paraId="61E902CE" w14:textId="77777777" w:rsidR="00C82247" w:rsidRPr="0047585D" w:rsidRDefault="00B34483" w:rsidP="00896ED9">
      <w:pPr>
        <w:widowControl/>
        <w:autoSpaceDE/>
        <w:autoSpaceDN/>
        <w:jc w:val="both"/>
        <w:rPr>
          <w:rFonts w:eastAsia="Calibri"/>
          <w:lang w:val="sr-Latn-ME"/>
        </w:rPr>
      </w:pPr>
      <w:hyperlink r:id="rId8" w:history="1">
        <w:r w:rsidR="00C82247" w:rsidRPr="0047585D">
          <w:rPr>
            <w:rFonts w:eastAsia="Calibri"/>
            <w:color w:val="0563C1"/>
            <w:u w:val="single"/>
            <w:lang w:val="sr-Latn-ME"/>
          </w:rPr>
          <w:t>www.cinmed.me</w:t>
        </w:r>
      </w:hyperlink>
    </w:p>
    <w:p w14:paraId="431D7945" w14:textId="77777777" w:rsidR="00C82247" w:rsidRPr="0047585D" w:rsidRDefault="00B34483" w:rsidP="00896ED9">
      <w:pPr>
        <w:widowControl/>
        <w:autoSpaceDE/>
        <w:autoSpaceDN/>
        <w:jc w:val="both"/>
        <w:rPr>
          <w:rFonts w:eastAsia="Calibri"/>
          <w:color w:val="0000FF"/>
          <w:u w:val="single"/>
          <w:lang w:val="sr-Latn-ME"/>
        </w:rPr>
      </w:pPr>
      <w:hyperlink r:id="rId9" w:history="1">
        <w:r w:rsidR="00C82247" w:rsidRPr="0047585D">
          <w:rPr>
            <w:rFonts w:eastAsia="Calibri"/>
            <w:color w:val="0563C1"/>
            <w:u w:val="single"/>
            <w:lang w:val="sr-Latn-ME"/>
          </w:rPr>
          <w:t>nezeljenadejstva@cinmed.me</w:t>
        </w:r>
      </w:hyperlink>
    </w:p>
    <w:p w14:paraId="5CC21D23" w14:textId="3B405014" w:rsidR="00C82247" w:rsidRPr="0047585D" w:rsidRDefault="00C82247" w:rsidP="00A56A66">
      <w:pPr>
        <w:widowControl/>
        <w:autoSpaceDE/>
        <w:autoSpaceDN/>
        <w:jc w:val="both"/>
        <w:rPr>
          <w:rFonts w:eastAsia="Calibri"/>
          <w:lang w:val="sr-Latn-ME"/>
        </w:rPr>
      </w:pPr>
      <w:r w:rsidRPr="0047585D">
        <w:rPr>
          <w:rFonts w:eastAsia="Calibri"/>
          <w:lang w:val="sr-Latn-ME"/>
        </w:rPr>
        <w:t>putem IS zdravstvene zaštite</w:t>
      </w:r>
    </w:p>
    <w:p w14:paraId="2D4CE416" w14:textId="77777777" w:rsidR="007D7964" w:rsidRPr="0047585D" w:rsidRDefault="007D7964" w:rsidP="00A56A66">
      <w:pPr>
        <w:widowControl/>
        <w:autoSpaceDE/>
        <w:autoSpaceDN/>
        <w:jc w:val="both"/>
        <w:rPr>
          <w:rFonts w:eastAsia="Calibri"/>
          <w:lang w:val="sr-Latn-ME"/>
        </w:rPr>
      </w:pPr>
    </w:p>
    <w:p w14:paraId="1DE4B616" w14:textId="1A14D309" w:rsidR="0084478E" w:rsidRPr="0047585D" w:rsidRDefault="00200D97" w:rsidP="00A56A66">
      <w:pPr>
        <w:widowControl/>
        <w:numPr>
          <w:ilvl w:val="1"/>
          <w:numId w:val="11"/>
        </w:numPr>
        <w:tabs>
          <w:tab w:val="left" w:pos="540"/>
          <w:tab w:val="left" w:pos="569"/>
        </w:tabs>
        <w:autoSpaceDE/>
        <w:autoSpaceDN/>
        <w:ind w:left="0" w:firstLine="0"/>
        <w:rPr>
          <w:b/>
          <w:bCs/>
          <w:lang w:val="sr-Latn-ME"/>
        </w:rPr>
      </w:pPr>
      <w:r w:rsidRPr="0047585D">
        <w:rPr>
          <w:b/>
          <w:bCs/>
          <w:lang w:val="sr-Latn-ME"/>
        </w:rPr>
        <w:t>Predoziranje</w:t>
      </w:r>
    </w:p>
    <w:p w14:paraId="2BF0BC10" w14:textId="77777777" w:rsidR="007D7964" w:rsidRPr="0047585D" w:rsidRDefault="007D7964" w:rsidP="00A56A66">
      <w:pPr>
        <w:widowControl/>
        <w:tabs>
          <w:tab w:val="left" w:pos="540"/>
          <w:tab w:val="left" w:pos="569"/>
        </w:tabs>
        <w:autoSpaceDE/>
        <w:autoSpaceDN/>
        <w:rPr>
          <w:b/>
          <w:bCs/>
          <w:lang w:val="sr-Latn-ME"/>
        </w:rPr>
      </w:pPr>
    </w:p>
    <w:p w14:paraId="6A2A32D2" w14:textId="468BA090" w:rsidR="0084478E" w:rsidRPr="0047585D" w:rsidRDefault="005D04EB" w:rsidP="00A56A66">
      <w:pPr>
        <w:pStyle w:val="BodyText"/>
        <w:jc w:val="both"/>
        <w:rPr>
          <w:lang w:val="sr-Latn-ME"/>
        </w:rPr>
      </w:pPr>
      <w:r w:rsidRPr="0047585D">
        <w:rPr>
          <w:lang w:val="sr-Latn-ME"/>
        </w:rPr>
        <w:t>Tokom</w:t>
      </w:r>
      <w:r w:rsidR="00200D97" w:rsidRPr="0047585D">
        <w:rPr>
          <w:lang w:val="sr-Latn-ME"/>
        </w:rPr>
        <w:t xml:space="preserve"> kliničkih ispitivanja prijavljen je jedan slučaj predoziranja azacitidinom. Nakon primjene jedne intravenske doze od približno 290 mg/m</w:t>
      </w:r>
      <w:r w:rsidR="00200D97" w:rsidRPr="0047585D">
        <w:rPr>
          <w:position w:val="8"/>
          <w:lang w:val="sr-Latn-ME"/>
        </w:rPr>
        <w:t>2</w:t>
      </w:r>
      <w:r w:rsidR="00200D97" w:rsidRPr="0047585D">
        <w:rPr>
          <w:lang w:val="sr-Latn-ME"/>
        </w:rPr>
        <w:t xml:space="preserve">, gotovo 4 puta veće od preporučene početne doze, kod </w:t>
      </w:r>
      <w:r w:rsidR="00862A19" w:rsidRPr="0047585D">
        <w:rPr>
          <w:lang w:val="sr-Latn-ME"/>
        </w:rPr>
        <w:t>pacijen</w:t>
      </w:r>
      <w:r w:rsidR="00001FCF" w:rsidRPr="0047585D">
        <w:rPr>
          <w:lang w:val="sr-Latn-ME"/>
        </w:rPr>
        <w:t>a</w:t>
      </w:r>
      <w:r w:rsidR="00862A19" w:rsidRPr="0047585D">
        <w:rPr>
          <w:lang w:val="sr-Latn-ME"/>
        </w:rPr>
        <w:t>t</w:t>
      </w:r>
      <w:r w:rsidR="00200D97" w:rsidRPr="0047585D">
        <w:rPr>
          <w:lang w:val="sr-Latn-ME"/>
        </w:rPr>
        <w:t xml:space="preserve">a su se pojavili </w:t>
      </w:r>
      <w:r w:rsidR="00001FCF" w:rsidRPr="0047585D">
        <w:rPr>
          <w:lang w:val="sr-Latn-ME"/>
        </w:rPr>
        <w:t>dijareja</w:t>
      </w:r>
      <w:r w:rsidR="00200D97" w:rsidRPr="0047585D">
        <w:rPr>
          <w:lang w:val="sr-Latn-ME"/>
        </w:rPr>
        <w:t>, mučnina i povraćanje.</w:t>
      </w:r>
    </w:p>
    <w:p w14:paraId="759B9185" w14:textId="77777777" w:rsidR="007D7964" w:rsidRPr="0047585D" w:rsidRDefault="007D7964" w:rsidP="00A56A66">
      <w:pPr>
        <w:pStyle w:val="BodyText"/>
        <w:jc w:val="both"/>
        <w:rPr>
          <w:lang w:val="sr-Latn-ME"/>
        </w:rPr>
      </w:pPr>
    </w:p>
    <w:p w14:paraId="6FEC9168" w14:textId="5BEA2F57" w:rsidR="0084478E" w:rsidRPr="0047585D" w:rsidRDefault="00200D97" w:rsidP="00A56A66">
      <w:pPr>
        <w:pStyle w:val="BodyText"/>
        <w:jc w:val="both"/>
        <w:rPr>
          <w:lang w:val="sr-Latn-ME"/>
        </w:rPr>
      </w:pPr>
      <w:r w:rsidRPr="0047585D">
        <w:rPr>
          <w:lang w:val="sr-Latn-ME"/>
        </w:rPr>
        <w:t>U slučaju predoziranj</w:t>
      </w:r>
      <w:r w:rsidR="001D5573" w:rsidRPr="0047585D">
        <w:rPr>
          <w:lang w:val="sr-Latn-ME"/>
        </w:rPr>
        <w:t>a, treba pr</w:t>
      </w:r>
      <w:r w:rsidR="005664D0" w:rsidRPr="0047585D">
        <w:rPr>
          <w:lang w:val="sr-Latn-ME"/>
        </w:rPr>
        <w:t>ovjeriti</w:t>
      </w:r>
      <w:r w:rsidR="001D5573" w:rsidRPr="0047585D">
        <w:rPr>
          <w:lang w:val="sr-Latn-ME"/>
        </w:rPr>
        <w:t xml:space="preserve"> </w:t>
      </w:r>
      <w:r w:rsidRPr="0047585D">
        <w:rPr>
          <w:lang w:val="sr-Latn-ME"/>
        </w:rPr>
        <w:t>krvnu sliku</w:t>
      </w:r>
      <w:r w:rsidR="001D5573" w:rsidRPr="0047585D">
        <w:rPr>
          <w:lang w:val="sr-Latn-ME"/>
        </w:rPr>
        <w:t xml:space="preserve"> pacijenta,</w:t>
      </w:r>
      <w:r w:rsidRPr="0047585D">
        <w:rPr>
          <w:lang w:val="sr-Latn-ME"/>
        </w:rPr>
        <w:t xml:space="preserve"> i po potrebi</w:t>
      </w:r>
      <w:r w:rsidR="001D5573" w:rsidRPr="0047585D">
        <w:rPr>
          <w:lang w:val="sr-Latn-ME"/>
        </w:rPr>
        <w:t>,</w:t>
      </w:r>
      <w:r w:rsidRPr="0047585D">
        <w:rPr>
          <w:lang w:val="sr-Latn-ME"/>
        </w:rPr>
        <w:t xml:space="preserve"> primijeniti simptomatsko liječenje. Nema poznatog antidota za predoziranje azacitidinom.</w:t>
      </w:r>
    </w:p>
    <w:p w14:paraId="4227080E" w14:textId="04E55FE7" w:rsidR="007D7964" w:rsidRPr="0047585D" w:rsidRDefault="007D7964" w:rsidP="00A56A66">
      <w:pPr>
        <w:pStyle w:val="BodyText"/>
        <w:jc w:val="both"/>
        <w:rPr>
          <w:lang w:val="sr-Latn-ME"/>
        </w:rPr>
      </w:pPr>
    </w:p>
    <w:p w14:paraId="6E9CE27A" w14:textId="77777777" w:rsidR="007D7964" w:rsidRPr="0047585D" w:rsidRDefault="007D7964" w:rsidP="00A56A66">
      <w:pPr>
        <w:pStyle w:val="BodyText"/>
        <w:jc w:val="both"/>
        <w:rPr>
          <w:lang w:val="sr-Latn-ME"/>
        </w:rPr>
      </w:pPr>
    </w:p>
    <w:p w14:paraId="61932AEE" w14:textId="76E5722F" w:rsidR="0084478E" w:rsidRPr="0047585D" w:rsidRDefault="00200D97" w:rsidP="00A56A66">
      <w:pPr>
        <w:widowControl/>
        <w:numPr>
          <w:ilvl w:val="0"/>
          <w:numId w:val="11"/>
        </w:numPr>
        <w:tabs>
          <w:tab w:val="left" w:pos="540"/>
          <w:tab w:val="left" w:pos="569"/>
        </w:tabs>
        <w:autoSpaceDE/>
        <w:autoSpaceDN/>
        <w:ind w:left="0" w:firstLine="0"/>
        <w:rPr>
          <w:b/>
          <w:bCs/>
          <w:lang w:val="sr-Latn-ME"/>
        </w:rPr>
      </w:pPr>
      <w:r w:rsidRPr="0047585D">
        <w:rPr>
          <w:b/>
          <w:bCs/>
          <w:lang w:val="sr-Latn-ME"/>
        </w:rPr>
        <w:t>FARMAKOLOŠKI PODACI</w:t>
      </w:r>
    </w:p>
    <w:p w14:paraId="5B5A5EA6" w14:textId="77777777" w:rsidR="007D7964" w:rsidRPr="0047585D" w:rsidRDefault="007D7964" w:rsidP="00A56A66">
      <w:pPr>
        <w:widowControl/>
        <w:tabs>
          <w:tab w:val="left" w:pos="540"/>
          <w:tab w:val="left" w:pos="569"/>
        </w:tabs>
        <w:autoSpaceDE/>
        <w:autoSpaceDN/>
        <w:rPr>
          <w:b/>
          <w:bCs/>
          <w:lang w:val="sr-Latn-ME"/>
        </w:rPr>
      </w:pPr>
    </w:p>
    <w:p w14:paraId="65E2D8E1" w14:textId="36BC22CC" w:rsidR="0084478E" w:rsidRPr="0047585D" w:rsidRDefault="00200D97" w:rsidP="00A56A66">
      <w:pPr>
        <w:widowControl/>
        <w:numPr>
          <w:ilvl w:val="1"/>
          <w:numId w:val="11"/>
        </w:numPr>
        <w:tabs>
          <w:tab w:val="left" w:pos="540"/>
          <w:tab w:val="left" w:pos="569"/>
        </w:tabs>
        <w:autoSpaceDE/>
        <w:autoSpaceDN/>
        <w:ind w:left="0" w:firstLine="0"/>
        <w:rPr>
          <w:b/>
          <w:bCs/>
          <w:lang w:val="sr-Latn-ME"/>
        </w:rPr>
      </w:pPr>
      <w:r w:rsidRPr="0047585D">
        <w:rPr>
          <w:b/>
          <w:bCs/>
          <w:lang w:val="sr-Latn-ME"/>
        </w:rPr>
        <w:t>Farmakodinamski podaci</w:t>
      </w:r>
    </w:p>
    <w:p w14:paraId="6A8FBDDB" w14:textId="77777777" w:rsidR="007D7964" w:rsidRPr="0047585D" w:rsidRDefault="007D7964" w:rsidP="00A56A66">
      <w:pPr>
        <w:widowControl/>
        <w:tabs>
          <w:tab w:val="left" w:pos="540"/>
          <w:tab w:val="left" w:pos="569"/>
        </w:tabs>
        <w:autoSpaceDE/>
        <w:autoSpaceDN/>
        <w:rPr>
          <w:b/>
          <w:bCs/>
          <w:lang w:val="sr-Latn-ME"/>
        </w:rPr>
      </w:pPr>
    </w:p>
    <w:p w14:paraId="3D63D1AE" w14:textId="737E4976" w:rsidR="007D7964" w:rsidRPr="0047585D" w:rsidRDefault="00200D97" w:rsidP="00A56A66">
      <w:pPr>
        <w:pStyle w:val="BodyText"/>
        <w:rPr>
          <w:lang w:val="sr-Latn-ME"/>
        </w:rPr>
      </w:pPr>
      <w:r w:rsidRPr="0047585D">
        <w:rPr>
          <w:bCs/>
          <w:lang w:val="sr-Latn-ME"/>
        </w:rPr>
        <w:t>Farmakoterapijska grupa: antineoplastici, analozi pirimidina</w:t>
      </w:r>
      <w:r w:rsidR="00FD552C" w:rsidRPr="0047585D">
        <w:rPr>
          <w:bCs/>
          <w:lang w:val="sr-Latn-ME"/>
        </w:rPr>
        <w:t xml:space="preserve">; </w:t>
      </w:r>
      <w:r w:rsidR="00FD552C" w:rsidRPr="0047585D">
        <w:rPr>
          <w:lang w:val="sr-Latn-ME"/>
        </w:rPr>
        <w:t>ATC kod: L01BC07</w:t>
      </w:r>
    </w:p>
    <w:p w14:paraId="09F2AD38" w14:textId="77777777" w:rsidR="00200D97" w:rsidRPr="0047585D" w:rsidRDefault="00200D97" w:rsidP="00A56A66">
      <w:pPr>
        <w:pStyle w:val="BodyText"/>
        <w:rPr>
          <w:lang w:val="sr-Latn-ME"/>
        </w:rPr>
      </w:pPr>
    </w:p>
    <w:p w14:paraId="2031D213" w14:textId="77777777" w:rsidR="0084478E" w:rsidRPr="0047585D" w:rsidRDefault="00200D97" w:rsidP="00A56A66">
      <w:pPr>
        <w:pStyle w:val="BodyText"/>
        <w:jc w:val="both"/>
        <w:rPr>
          <w:lang w:val="sr-Latn-ME"/>
        </w:rPr>
      </w:pPr>
      <w:r w:rsidRPr="0047585D">
        <w:rPr>
          <w:u w:val="single"/>
          <w:lang w:val="sr-Latn-ME"/>
        </w:rPr>
        <w:t>Mehanizam djelovanja</w:t>
      </w:r>
    </w:p>
    <w:p w14:paraId="3254E717" w14:textId="4ED53664" w:rsidR="001D5573" w:rsidRPr="0047585D" w:rsidRDefault="00200D97" w:rsidP="00A56A66">
      <w:pPr>
        <w:pStyle w:val="BodyText"/>
        <w:jc w:val="both"/>
        <w:rPr>
          <w:lang w:val="sr-Latn-ME"/>
        </w:rPr>
      </w:pPr>
      <w:r w:rsidRPr="0047585D">
        <w:rPr>
          <w:lang w:val="sr-Latn-ME"/>
        </w:rPr>
        <w:t xml:space="preserve">Pretpostavlja se da azacitidin ispoljava </w:t>
      </w:r>
      <w:r w:rsidR="00C24A03" w:rsidRPr="0047585D">
        <w:rPr>
          <w:lang w:val="sr-Latn-ME"/>
        </w:rPr>
        <w:t>anti</w:t>
      </w:r>
      <w:r w:rsidRPr="0047585D">
        <w:rPr>
          <w:lang w:val="sr-Latn-ME"/>
        </w:rPr>
        <w:t>tumorsko djelovanje brojnim mehanizmima koji uključuju</w:t>
      </w:r>
      <w:r w:rsidR="001D5573" w:rsidRPr="0047585D">
        <w:rPr>
          <w:lang w:val="sr-Latn-ME"/>
        </w:rPr>
        <w:t xml:space="preserve"> </w:t>
      </w:r>
      <w:r w:rsidRPr="0047585D">
        <w:rPr>
          <w:lang w:val="sr-Latn-ME"/>
        </w:rPr>
        <w:t xml:space="preserve">citotoksičnost prema abnormalnim hematopoetskim </w:t>
      </w:r>
      <w:r w:rsidR="00001FCF" w:rsidRPr="0047585D">
        <w:rPr>
          <w:lang w:val="sr-Latn-ME"/>
        </w:rPr>
        <w:t>ćelijam</w:t>
      </w:r>
      <w:r w:rsidRPr="0047585D">
        <w:rPr>
          <w:lang w:val="sr-Latn-ME"/>
        </w:rPr>
        <w:t xml:space="preserve">a u koštanoj srži i hipometilaciju DNK. Citotoksična djelovanja azacitidina mogu biti rezultat brojnih mehanizama, uključujući inhibiciju sinteze DNK, RNK i proteina, ugrađivanje u RNK i DNK </w:t>
      </w:r>
      <w:r w:rsidR="001D5573" w:rsidRPr="0047585D">
        <w:rPr>
          <w:lang w:val="sr-Latn-ME"/>
        </w:rPr>
        <w:t>i</w:t>
      </w:r>
      <w:r w:rsidRPr="0047585D">
        <w:rPr>
          <w:lang w:val="sr-Latn-ME"/>
        </w:rPr>
        <w:t xml:space="preserve"> aktivaciju puteva oštećenja DNK</w:t>
      </w:r>
      <w:r w:rsidR="00FD552C" w:rsidRPr="0047585D">
        <w:rPr>
          <w:lang w:val="sr-Latn-ME"/>
        </w:rPr>
        <w:t>.</w:t>
      </w:r>
      <w:r w:rsidRPr="0047585D">
        <w:rPr>
          <w:lang w:val="sr-Latn-ME"/>
        </w:rPr>
        <w:t xml:space="preserve"> Neproliferativne</w:t>
      </w:r>
      <w:r w:rsidR="00001FCF" w:rsidRPr="0047585D">
        <w:rPr>
          <w:lang w:val="sr-Latn-ME"/>
        </w:rPr>
        <w:t xml:space="preserve"> ćelij</w:t>
      </w:r>
      <w:r w:rsidRPr="0047585D">
        <w:rPr>
          <w:lang w:val="sr-Latn-ME"/>
        </w:rPr>
        <w:t>e su relativno neosjetljive na azacitidin. Ugradnjom azacitidina u DNK inaktivira se DNK metiltransferaza, što dovodi do hipometilacije DNK. Hipometilacija DNK aberantno metil</w:t>
      </w:r>
      <w:r w:rsidR="001D5573" w:rsidRPr="0047585D">
        <w:rPr>
          <w:lang w:val="sr-Latn-ME"/>
        </w:rPr>
        <w:t>ovanih</w:t>
      </w:r>
      <w:r w:rsidRPr="0047585D">
        <w:rPr>
          <w:lang w:val="sr-Latn-ME"/>
        </w:rPr>
        <w:t xml:space="preserve"> gena uključenih u regulaciju normalnog </w:t>
      </w:r>
      <w:r w:rsidR="00001FCF" w:rsidRPr="0047585D">
        <w:rPr>
          <w:lang w:val="sr-Latn-ME"/>
        </w:rPr>
        <w:t>ćelijsk</w:t>
      </w:r>
      <w:r w:rsidRPr="0047585D">
        <w:rPr>
          <w:lang w:val="sr-Latn-ME"/>
        </w:rPr>
        <w:t xml:space="preserve">og ciklusa, diferencijaciju i puteve </w:t>
      </w:r>
      <w:r w:rsidR="00001FCF" w:rsidRPr="0047585D">
        <w:rPr>
          <w:lang w:val="sr-Latn-ME"/>
        </w:rPr>
        <w:t>ćelijsk</w:t>
      </w:r>
      <w:r w:rsidRPr="0047585D">
        <w:rPr>
          <w:lang w:val="sr-Latn-ME"/>
        </w:rPr>
        <w:t>e smrti, može rezult</w:t>
      </w:r>
      <w:r w:rsidR="001D5573" w:rsidRPr="0047585D">
        <w:rPr>
          <w:lang w:val="sr-Latn-ME"/>
        </w:rPr>
        <w:t>irati</w:t>
      </w:r>
      <w:r w:rsidRPr="0047585D">
        <w:rPr>
          <w:lang w:val="sr-Latn-ME"/>
        </w:rPr>
        <w:t xml:space="preserve"> ponovnom ekspresijom tumor-supresorskih gena i obnavljanjem njihove funkcije u tumorskim </w:t>
      </w:r>
      <w:r w:rsidR="00001FCF" w:rsidRPr="0047585D">
        <w:rPr>
          <w:lang w:val="sr-Latn-ME"/>
        </w:rPr>
        <w:t>ćelij</w:t>
      </w:r>
      <w:r w:rsidRPr="0047585D">
        <w:rPr>
          <w:lang w:val="sr-Latn-ME"/>
        </w:rPr>
        <w:t xml:space="preserve">ama. Relativna važnost hipometilacije DNK </w:t>
      </w:r>
      <w:r w:rsidR="005664D0" w:rsidRPr="0047585D">
        <w:rPr>
          <w:lang w:val="sr-Latn-ME"/>
        </w:rPr>
        <w:t>u poređenju sa</w:t>
      </w:r>
      <w:r w:rsidRPr="0047585D">
        <w:rPr>
          <w:lang w:val="sr-Latn-ME"/>
        </w:rPr>
        <w:t xml:space="preserve"> citotoksič</w:t>
      </w:r>
      <w:r w:rsidR="00997C1E" w:rsidRPr="0047585D">
        <w:rPr>
          <w:lang w:val="sr-Latn-ME"/>
        </w:rPr>
        <w:t xml:space="preserve">nošću </w:t>
      </w:r>
      <w:r w:rsidRPr="0047585D">
        <w:rPr>
          <w:lang w:val="sr-Latn-ME"/>
        </w:rPr>
        <w:t>ili drugi</w:t>
      </w:r>
      <w:r w:rsidR="00997C1E" w:rsidRPr="0047585D">
        <w:rPr>
          <w:lang w:val="sr-Latn-ME"/>
        </w:rPr>
        <w:t>m</w:t>
      </w:r>
      <w:r w:rsidRPr="0047585D">
        <w:rPr>
          <w:lang w:val="sr-Latn-ME"/>
        </w:rPr>
        <w:t xml:space="preserve"> djelovanj</w:t>
      </w:r>
      <w:r w:rsidR="00997C1E" w:rsidRPr="0047585D">
        <w:rPr>
          <w:lang w:val="sr-Latn-ME"/>
        </w:rPr>
        <w:t xml:space="preserve">ima </w:t>
      </w:r>
      <w:r w:rsidRPr="0047585D">
        <w:rPr>
          <w:lang w:val="sr-Latn-ME"/>
        </w:rPr>
        <w:t>na kliničke ishode azacitidina nije ustanovljena.</w:t>
      </w:r>
      <w:r w:rsidR="001D5573" w:rsidRPr="0047585D">
        <w:rPr>
          <w:lang w:val="sr-Latn-ME"/>
        </w:rPr>
        <w:t xml:space="preserve"> </w:t>
      </w:r>
    </w:p>
    <w:p w14:paraId="0666B76A" w14:textId="77777777" w:rsidR="007D7964" w:rsidRPr="0047585D" w:rsidRDefault="007D7964" w:rsidP="00A56A66">
      <w:pPr>
        <w:pStyle w:val="BodyText"/>
        <w:jc w:val="both"/>
        <w:rPr>
          <w:lang w:val="sr-Latn-ME"/>
        </w:rPr>
      </w:pPr>
    </w:p>
    <w:p w14:paraId="7E321C11" w14:textId="549759A0" w:rsidR="0084478E" w:rsidRPr="0047585D" w:rsidRDefault="00200D97" w:rsidP="00A56A66">
      <w:pPr>
        <w:pStyle w:val="BodyText"/>
        <w:jc w:val="both"/>
        <w:rPr>
          <w:u w:val="single"/>
          <w:lang w:val="sr-Latn-ME"/>
        </w:rPr>
      </w:pPr>
      <w:r w:rsidRPr="0047585D">
        <w:rPr>
          <w:u w:val="single"/>
          <w:lang w:val="sr-Latn-ME"/>
        </w:rPr>
        <w:t xml:space="preserve">Klinička </w:t>
      </w:r>
      <w:r w:rsidR="00862A19" w:rsidRPr="0047585D">
        <w:rPr>
          <w:u w:val="single"/>
          <w:lang w:val="sr-Latn-ME"/>
        </w:rPr>
        <w:t>efikasnost</w:t>
      </w:r>
      <w:r w:rsidRPr="0047585D">
        <w:rPr>
          <w:u w:val="single"/>
          <w:lang w:val="sr-Latn-ME"/>
        </w:rPr>
        <w:t xml:space="preserve"> i </w:t>
      </w:r>
      <w:r w:rsidR="00862A19" w:rsidRPr="0047585D">
        <w:rPr>
          <w:u w:val="single"/>
          <w:lang w:val="sr-Latn-ME"/>
        </w:rPr>
        <w:t>bezbjednost</w:t>
      </w:r>
    </w:p>
    <w:p w14:paraId="4D5632DB" w14:textId="77777777" w:rsidR="007D7964" w:rsidRPr="0047585D" w:rsidRDefault="007D7964" w:rsidP="00A56A66">
      <w:pPr>
        <w:pStyle w:val="BodyText"/>
        <w:jc w:val="both"/>
        <w:rPr>
          <w:lang w:val="sr-Latn-ME"/>
        </w:rPr>
      </w:pPr>
    </w:p>
    <w:p w14:paraId="636BB9A6" w14:textId="6494845A" w:rsidR="0084478E" w:rsidRPr="0047585D" w:rsidRDefault="00200D97" w:rsidP="00A56A66">
      <w:pPr>
        <w:jc w:val="both"/>
        <w:rPr>
          <w:i/>
          <w:lang w:val="sr-Latn-ME"/>
        </w:rPr>
      </w:pPr>
      <w:r w:rsidRPr="0047585D">
        <w:rPr>
          <w:i/>
          <w:lang w:val="sr-Latn-ME"/>
        </w:rPr>
        <w:t xml:space="preserve">Odrasla populacija (MDS, </w:t>
      </w:r>
      <w:r w:rsidR="00633527" w:rsidRPr="0047585D">
        <w:rPr>
          <w:i/>
          <w:lang w:val="sr-Latn-ME"/>
        </w:rPr>
        <w:t>CMML</w:t>
      </w:r>
      <w:r w:rsidRPr="0047585D">
        <w:rPr>
          <w:i/>
          <w:lang w:val="sr-Latn-ME"/>
        </w:rPr>
        <w:t xml:space="preserve"> i AML [20-30 % blasta u koštanoj srži])</w:t>
      </w:r>
    </w:p>
    <w:p w14:paraId="3493F62D" w14:textId="2F919F4A" w:rsidR="0084478E" w:rsidRPr="0047585D" w:rsidRDefault="00862A19" w:rsidP="00A56A66">
      <w:pPr>
        <w:pStyle w:val="BodyText"/>
        <w:jc w:val="both"/>
        <w:rPr>
          <w:lang w:val="sr-Latn-ME"/>
        </w:rPr>
      </w:pPr>
      <w:r w:rsidRPr="0047585D">
        <w:rPr>
          <w:lang w:val="sr-Latn-ME"/>
        </w:rPr>
        <w:t>Efikasnost</w:t>
      </w:r>
      <w:r w:rsidR="00200D97" w:rsidRPr="0047585D">
        <w:rPr>
          <w:lang w:val="sr-Latn-ME"/>
        </w:rPr>
        <w:t xml:space="preserve"> i </w:t>
      </w:r>
      <w:r w:rsidRPr="0047585D">
        <w:rPr>
          <w:lang w:val="sr-Latn-ME"/>
        </w:rPr>
        <w:t>bezbjednost</w:t>
      </w:r>
      <w:r w:rsidR="00200D97" w:rsidRPr="0047585D">
        <w:rPr>
          <w:lang w:val="sr-Latn-ME"/>
        </w:rPr>
        <w:t xml:space="preserve"> azacitidina ispitivane su u međunarodnom, multicentričnom kontroli</w:t>
      </w:r>
      <w:r w:rsidR="00001FCF" w:rsidRPr="0047585D">
        <w:rPr>
          <w:lang w:val="sr-Latn-ME"/>
        </w:rPr>
        <w:t>s</w:t>
      </w:r>
      <w:r w:rsidR="00200D97" w:rsidRPr="0047585D">
        <w:rPr>
          <w:lang w:val="sr-Latn-ME"/>
        </w:rPr>
        <w:t xml:space="preserve">anom, otvorenom, </w:t>
      </w:r>
      <w:r w:rsidR="00001FCF" w:rsidRPr="0047585D">
        <w:rPr>
          <w:lang w:val="sr-Latn-ME"/>
        </w:rPr>
        <w:t>randomizovanom</w:t>
      </w:r>
      <w:r w:rsidR="00200D97" w:rsidRPr="0047585D">
        <w:rPr>
          <w:lang w:val="sr-Latn-ME"/>
        </w:rPr>
        <w:t xml:space="preserve">, komparativnom ispitivanju faze 3 u paralelnim </w:t>
      </w:r>
      <w:r w:rsidR="00001FCF" w:rsidRPr="0047585D">
        <w:rPr>
          <w:lang w:val="sr-Latn-ME"/>
        </w:rPr>
        <w:t>grupa</w:t>
      </w:r>
      <w:r w:rsidR="00200D97" w:rsidRPr="0047585D">
        <w:rPr>
          <w:lang w:val="sr-Latn-ME"/>
        </w:rPr>
        <w:t>ma</w:t>
      </w:r>
      <w:r w:rsidR="001D5573" w:rsidRPr="0047585D">
        <w:rPr>
          <w:lang w:val="sr-Latn-ME"/>
        </w:rPr>
        <w:t xml:space="preserve"> </w:t>
      </w:r>
      <w:r w:rsidR="00200D97" w:rsidRPr="0047585D">
        <w:rPr>
          <w:lang w:val="sr-Latn-ME"/>
        </w:rPr>
        <w:t xml:space="preserve">(AZA PH GL 2003 CL 001) </w:t>
      </w:r>
      <w:r w:rsidR="00001FCF" w:rsidRPr="0047585D">
        <w:rPr>
          <w:lang w:val="sr-Latn-ME"/>
        </w:rPr>
        <w:t>kod</w:t>
      </w:r>
      <w:r w:rsidR="00200D97" w:rsidRPr="0047585D">
        <w:rPr>
          <w:lang w:val="sr-Latn-ME"/>
        </w:rPr>
        <w:t xml:space="preserve"> odraslih </w:t>
      </w:r>
      <w:r w:rsidRPr="0047585D">
        <w:rPr>
          <w:lang w:val="sr-Latn-ME"/>
        </w:rPr>
        <w:t>pacijen</w:t>
      </w:r>
      <w:r w:rsidR="00001FCF" w:rsidRPr="0047585D">
        <w:rPr>
          <w:lang w:val="sr-Latn-ME"/>
        </w:rPr>
        <w:t>a</w:t>
      </w:r>
      <w:r w:rsidRPr="0047585D">
        <w:rPr>
          <w:lang w:val="sr-Latn-ME"/>
        </w:rPr>
        <w:t>t</w:t>
      </w:r>
      <w:r w:rsidR="00200D97" w:rsidRPr="0047585D">
        <w:rPr>
          <w:lang w:val="sr-Latn-ME"/>
        </w:rPr>
        <w:t>a sa: srednjim 2 i visokim rizikom MDS-a prema međunarodnom prognostičkom numeričkom s</w:t>
      </w:r>
      <w:r w:rsidR="00001FCF" w:rsidRPr="0047585D">
        <w:rPr>
          <w:lang w:val="sr-Latn-ME"/>
        </w:rPr>
        <w:t>istem</w:t>
      </w:r>
      <w:r w:rsidR="00200D97" w:rsidRPr="0047585D">
        <w:rPr>
          <w:lang w:val="sr-Latn-ME"/>
        </w:rPr>
        <w:t>u rangiranja (IPSS), refraktornom anemijom sa viškom blasta (RAEB), refraktornom anemijom sa viškom blasta u transformaciji (RAEB-T) i modi</w:t>
      </w:r>
      <w:r w:rsidR="00001FCF" w:rsidRPr="0047585D">
        <w:rPr>
          <w:lang w:val="sr-Latn-ME"/>
        </w:rPr>
        <w:t>fikov</w:t>
      </w:r>
      <w:r w:rsidR="00200D97" w:rsidRPr="0047585D">
        <w:rPr>
          <w:lang w:val="sr-Latn-ME"/>
        </w:rPr>
        <w:t xml:space="preserve">anom </w:t>
      </w:r>
      <w:r w:rsidR="00001FCF" w:rsidRPr="0047585D">
        <w:rPr>
          <w:lang w:val="sr-Latn-ME"/>
        </w:rPr>
        <w:t>h</w:t>
      </w:r>
      <w:r w:rsidR="00200D97" w:rsidRPr="0047585D">
        <w:rPr>
          <w:lang w:val="sr-Latn-ME"/>
        </w:rPr>
        <w:t>roničnom mijelomonocitnom leukemijom (m</w:t>
      </w:r>
      <w:r w:rsidR="00633527" w:rsidRPr="0047585D">
        <w:rPr>
          <w:lang w:val="sr-Latn-ME"/>
        </w:rPr>
        <w:t>CMML</w:t>
      </w:r>
      <w:r w:rsidR="00200D97" w:rsidRPr="0047585D">
        <w:rPr>
          <w:lang w:val="sr-Latn-ME"/>
        </w:rPr>
        <w:t>) prema</w:t>
      </w:r>
      <w:r w:rsidR="001D5573" w:rsidRPr="0047585D">
        <w:rPr>
          <w:lang w:val="sr-Latn-ME"/>
        </w:rPr>
        <w:t xml:space="preserve"> </w:t>
      </w:r>
      <w:r w:rsidR="00200D97" w:rsidRPr="0047585D">
        <w:rPr>
          <w:lang w:val="sr-Latn-ME"/>
        </w:rPr>
        <w:t>francusko-američko-britanskom (FAB) klasifikac</w:t>
      </w:r>
      <w:r w:rsidR="001D5573" w:rsidRPr="0047585D">
        <w:rPr>
          <w:lang w:val="sr-Latn-ME"/>
        </w:rPr>
        <w:t>ionom</w:t>
      </w:r>
      <w:r w:rsidR="00200D97" w:rsidRPr="0047585D">
        <w:rPr>
          <w:lang w:val="sr-Latn-ME"/>
        </w:rPr>
        <w:t xml:space="preserve"> s</w:t>
      </w:r>
      <w:r w:rsidR="00001FCF" w:rsidRPr="0047585D">
        <w:rPr>
          <w:lang w:val="sr-Latn-ME"/>
        </w:rPr>
        <w:t>istem</w:t>
      </w:r>
      <w:r w:rsidR="00200D97" w:rsidRPr="0047585D">
        <w:rPr>
          <w:lang w:val="sr-Latn-ME"/>
        </w:rPr>
        <w:t xml:space="preserve">u. </w:t>
      </w:r>
      <w:r w:rsidR="00450069" w:rsidRPr="0047585D">
        <w:rPr>
          <w:lang w:val="sr-Latn-ME"/>
        </w:rPr>
        <w:t>Pacijenti</w:t>
      </w:r>
      <w:r w:rsidR="00200D97" w:rsidRPr="0047585D">
        <w:rPr>
          <w:lang w:val="sr-Latn-ME"/>
        </w:rPr>
        <w:t xml:space="preserve"> s RAEB-T (21-30 % blasta) danas se, prema važeć</w:t>
      </w:r>
      <w:r w:rsidR="00E60B69" w:rsidRPr="0047585D">
        <w:rPr>
          <w:lang w:val="sr-Latn-ME"/>
        </w:rPr>
        <w:t>em</w:t>
      </w:r>
      <w:r w:rsidR="00200D97" w:rsidRPr="0047585D">
        <w:rPr>
          <w:lang w:val="sr-Latn-ME"/>
        </w:rPr>
        <w:t xml:space="preserve"> </w:t>
      </w:r>
      <w:r w:rsidR="00200D97" w:rsidRPr="0047585D">
        <w:rPr>
          <w:lang w:val="sr-Latn-ME"/>
        </w:rPr>
        <w:lastRenderedPageBreak/>
        <w:t>klasifikaci</w:t>
      </w:r>
      <w:r w:rsidR="001D5573" w:rsidRPr="0047585D">
        <w:rPr>
          <w:lang w:val="sr-Latn-ME"/>
        </w:rPr>
        <w:t>onom</w:t>
      </w:r>
      <w:r w:rsidR="00200D97" w:rsidRPr="0047585D">
        <w:rPr>
          <w:lang w:val="sr-Latn-ME"/>
        </w:rPr>
        <w:t xml:space="preserve"> </w:t>
      </w:r>
      <w:r w:rsidR="00001FCF" w:rsidRPr="0047585D">
        <w:rPr>
          <w:lang w:val="sr-Latn-ME"/>
        </w:rPr>
        <w:t>sistemu</w:t>
      </w:r>
      <w:r w:rsidR="00200D97" w:rsidRPr="0047585D">
        <w:rPr>
          <w:lang w:val="sr-Latn-ME"/>
        </w:rPr>
        <w:t xml:space="preserve"> SZO-a, smatraju </w:t>
      </w:r>
      <w:r w:rsidRPr="0047585D">
        <w:rPr>
          <w:lang w:val="sr-Latn-ME"/>
        </w:rPr>
        <w:t>pacijentima</w:t>
      </w:r>
      <w:r w:rsidR="00200D97" w:rsidRPr="0047585D">
        <w:rPr>
          <w:lang w:val="sr-Latn-ME"/>
        </w:rPr>
        <w:t xml:space="preserve"> s AML-om. Azacitidin s najboljom potpornom </w:t>
      </w:r>
      <w:r w:rsidR="00001FCF" w:rsidRPr="0047585D">
        <w:rPr>
          <w:lang w:val="sr-Latn-ME"/>
        </w:rPr>
        <w:t>njegom</w:t>
      </w:r>
      <w:r w:rsidR="00200D97" w:rsidRPr="0047585D">
        <w:rPr>
          <w:lang w:val="sr-Latn-ME"/>
        </w:rPr>
        <w:t xml:space="preserve"> (engl. </w:t>
      </w:r>
      <w:r w:rsidR="00200D97" w:rsidRPr="0047585D">
        <w:rPr>
          <w:i/>
          <w:lang w:val="sr-Latn-ME"/>
        </w:rPr>
        <w:t>best supportive care</w:t>
      </w:r>
      <w:r w:rsidR="00200D97" w:rsidRPr="0047585D">
        <w:rPr>
          <w:lang w:val="sr-Latn-ME"/>
        </w:rPr>
        <w:t>, BSC) (n = 179) upoređivan je s režimom konvencionaln</w:t>
      </w:r>
      <w:r w:rsidR="00997C1E" w:rsidRPr="0047585D">
        <w:rPr>
          <w:lang w:val="sr-Latn-ME"/>
        </w:rPr>
        <w:t>e terapije</w:t>
      </w:r>
      <w:r w:rsidR="00200D97" w:rsidRPr="0047585D">
        <w:rPr>
          <w:lang w:val="sr-Latn-ME"/>
        </w:rPr>
        <w:t xml:space="preserve"> (engl. </w:t>
      </w:r>
      <w:r w:rsidR="00200D97" w:rsidRPr="0047585D">
        <w:rPr>
          <w:i/>
          <w:lang w:val="sr-Latn-ME"/>
        </w:rPr>
        <w:t xml:space="preserve">conventional care regimens, </w:t>
      </w:r>
      <w:r w:rsidR="00200D97" w:rsidRPr="0047585D">
        <w:rPr>
          <w:lang w:val="sr-Latn-ME"/>
        </w:rPr>
        <w:t>CCR). CCR se sastojao samo od BSC-a (n = 105), niske doze citarabina s BSC-om (n = 49) ili standardne indukci</w:t>
      </w:r>
      <w:r w:rsidR="001D5573" w:rsidRPr="0047585D">
        <w:rPr>
          <w:lang w:val="sr-Latn-ME"/>
        </w:rPr>
        <w:t>one</w:t>
      </w:r>
      <w:r w:rsidR="00200D97" w:rsidRPr="0047585D">
        <w:rPr>
          <w:lang w:val="sr-Latn-ME"/>
        </w:rPr>
        <w:t xml:space="preserve"> </w:t>
      </w:r>
      <w:r w:rsidR="00001FCF" w:rsidRPr="0047585D">
        <w:rPr>
          <w:lang w:val="sr-Latn-ME"/>
        </w:rPr>
        <w:t>h</w:t>
      </w:r>
      <w:r w:rsidR="00200D97" w:rsidRPr="0047585D">
        <w:rPr>
          <w:lang w:val="sr-Latn-ME"/>
        </w:rPr>
        <w:t>emoterapije s BSC-om (n = 25). Prije randomiz</w:t>
      </w:r>
      <w:r w:rsidR="00001FCF" w:rsidRPr="0047585D">
        <w:rPr>
          <w:lang w:val="sr-Latn-ME"/>
        </w:rPr>
        <w:t>acij</w:t>
      </w:r>
      <w:r w:rsidR="00200D97" w:rsidRPr="0047585D">
        <w:rPr>
          <w:lang w:val="sr-Latn-ME"/>
        </w:rPr>
        <w:t>e, l</w:t>
      </w:r>
      <w:r w:rsidR="00001FCF" w:rsidRPr="0047585D">
        <w:rPr>
          <w:lang w:val="sr-Latn-ME"/>
        </w:rPr>
        <w:t>jekari</w:t>
      </w:r>
      <w:r w:rsidR="00200D97" w:rsidRPr="0047585D">
        <w:rPr>
          <w:lang w:val="sr-Latn-ME"/>
        </w:rPr>
        <w:t xml:space="preserve"> su prethodno izabrali </w:t>
      </w:r>
      <w:r w:rsidRPr="0047585D">
        <w:rPr>
          <w:lang w:val="sr-Latn-ME"/>
        </w:rPr>
        <w:t>pacijent</w:t>
      </w:r>
      <w:r w:rsidR="00200D97" w:rsidRPr="0047585D">
        <w:rPr>
          <w:lang w:val="sr-Latn-ME"/>
        </w:rPr>
        <w:t xml:space="preserve">e za 1 od 3 CCR-a. Ako </w:t>
      </w:r>
      <w:r w:rsidR="00450069" w:rsidRPr="0047585D">
        <w:rPr>
          <w:lang w:val="sr-Latn-ME"/>
        </w:rPr>
        <w:t>pacijenti</w:t>
      </w:r>
      <w:r w:rsidR="00200D97" w:rsidRPr="0047585D">
        <w:rPr>
          <w:lang w:val="sr-Latn-ME"/>
        </w:rPr>
        <w:t xml:space="preserve"> nisu bili randomiz</w:t>
      </w:r>
      <w:r w:rsidR="00001FCF" w:rsidRPr="0047585D">
        <w:rPr>
          <w:lang w:val="sr-Latn-ME"/>
        </w:rPr>
        <w:t>ovani</w:t>
      </w:r>
      <w:r w:rsidR="00200D97" w:rsidRPr="0047585D">
        <w:rPr>
          <w:lang w:val="sr-Latn-ME"/>
        </w:rPr>
        <w:t xml:space="preserve"> na azacitidin, primili bi prethodno odabrani režim. Kao dio kriterij</w:t>
      </w:r>
      <w:r w:rsidR="00001FCF" w:rsidRPr="0047585D">
        <w:rPr>
          <w:lang w:val="sr-Latn-ME"/>
        </w:rPr>
        <w:t>um</w:t>
      </w:r>
      <w:r w:rsidR="00200D97" w:rsidRPr="0047585D">
        <w:rPr>
          <w:lang w:val="sr-Latn-ME"/>
        </w:rPr>
        <w:t xml:space="preserve">a za uključenje, </w:t>
      </w:r>
      <w:r w:rsidR="00450069" w:rsidRPr="0047585D">
        <w:rPr>
          <w:lang w:val="sr-Latn-ME"/>
        </w:rPr>
        <w:t>pacijenti</w:t>
      </w:r>
      <w:r w:rsidR="00200D97" w:rsidRPr="0047585D">
        <w:rPr>
          <w:lang w:val="sr-Latn-ME"/>
        </w:rPr>
        <w:t xml:space="preserve"> su trebali imati indeks stanja zdravlja prema ljestvici Istočne kooperativne onkološke </w:t>
      </w:r>
      <w:r w:rsidR="00001FCF" w:rsidRPr="0047585D">
        <w:rPr>
          <w:lang w:val="sr-Latn-ME"/>
        </w:rPr>
        <w:t>grup</w:t>
      </w:r>
      <w:r w:rsidR="00200D97" w:rsidRPr="0047585D">
        <w:rPr>
          <w:lang w:val="sr-Latn-ME"/>
        </w:rPr>
        <w:t xml:space="preserve">e (ECOG) 0-2. </w:t>
      </w:r>
      <w:r w:rsidR="00450069" w:rsidRPr="0047585D">
        <w:rPr>
          <w:lang w:val="sr-Latn-ME"/>
        </w:rPr>
        <w:t>Pacijenti</w:t>
      </w:r>
      <w:r w:rsidR="00200D97" w:rsidRPr="0047585D">
        <w:rPr>
          <w:lang w:val="sr-Latn-ME"/>
        </w:rPr>
        <w:t xml:space="preserve"> sa sekundarnim MDS-om bili su isključeni iz ispitivanja</w:t>
      </w:r>
      <w:r w:rsidR="00471718" w:rsidRPr="0047585D">
        <w:rPr>
          <w:lang w:val="sr-Latn-ME"/>
        </w:rPr>
        <w:t xml:space="preserve">. </w:t>
      </w:r>
      <w:r w:rsidR="00200D97" w:rsidRPr="0047585D">
        <w:rPr>
          <w:lang w:val="sr-Latn-ME"/>
        </w:rPr>
        <w:t>Primarn</w:t>
      </w:r>
      <w:r w:rsidR="00997C1E" w:rsidRPr="0047585D">
        <w:rPr>
          <w:lang w:val="sr-Latn-ME"/>
        </w:rPr>
        <w:t>i cilj</w:t>
      </w:r>
      <w:r w:rsidR="00200D97" w:rsidRPr="0047585D">
        <w:rPr>
          <w:lang w:val="sr-Latn-ME"/>
        </w:rPr>
        <w:t xml:space="preserve"> ispitivanjabio je sveukupno </w:t>
      </w:r>
      <w:r w:rsidR="001D5573" w:rsidRPr="0047585D">
        <w:rPr>
          <w:lang w:val="sr-Latn-ME"/>
        </w:rPr>
        <w:t>preživljavanj</w:t>
      </w:r>
      <w:r w:rsidR="00200D97" w:rsidRPr="0047585D">
        <w:rPr>
          <w:lang w:val="sr-Latn-ME"/>
        </w:rPr>
        <w:t>e. Azacitidin se primjenjivao su</w:t>
      </w:r>
      <w:r w:rsidR="00D542A4">
        <w:rPr>
          <w:lang w:val="sr-Latn-ME"/>
        </w:rPr>
        <w:t>b</w:t>
      </w:r>
      <w:r w:rsidR="00200D97" w:rsidRPr="0047585D">
        <w:rPr>
          <w:lang w:val="sr-Latn-ME"/>
        </w:rPr>
        <w:t>kutano u dozi od 75 mg/m</w:t>
      </w:r>
      <w:r w:rsidR="00D15ACD" w:rsidRPr="00A56A66">
        <w:rPr>
          <w:vertAlign w:val="superscript"/>
          <w:lang w:val="sr-Latn-ME"/>
        </w:rPr>
        <w:t>2</w:t>
      </w:r>
      <w:r w:rsidR="00200D97" w:rsidRPr="0047585D">
        <w:rPr>
          <w:lang w:val="sr-Latn-ME"/>
        </w:rPr>
        <w:t xml:space="preserve">dnevno </w:t>
      </w:r>
      <w:r w:rsidR="005D04EB" w:rsidRPr="0047585D">
        <w:rPr>
          <w:lang w:val="sr-Latn-ME"/>
        </w:rPr>
        <w:t>tokom</w:t>
      </w:r>
      <w:r w:rsidR="00200D97" w:rsidRPr="0047585D">
        <w:rPr>
          <w:lang w:val="sr-Latn-ME"/>
        </w:rPr>
        <w:t xml:space="preserve"> 7 dana, zatim je slijed</w:t>
      </w:r>
      <w:r w:rsidR="001D5573" w:rsidRPr="0047585D">
        <w:rPr>
          <w:lang w:val="sr-Latn-ME"/>
        </w:rPr>
        <w:t xml:space="preserve">io period </w:t>
      </w:r>
      <w:r w:rsidR="00200D97" w:rsidRPr="0047585D">
        <w:rPr>
          <w:lang w:val="sr-Latn-ME"/>
        </w:rPr>
        <w:t xml:space="preserve">odmora od 21 dana (28-dnevni ciklus liječenja) </w:t>
      </w:r>
      <w:r w:rsidR="004F3CC3" w:rsidRPr="0047585D">
        <w:rPr>
          <w:lang w:val="sr-Latn-ME"/>
        </w:rPr>
        <w:t>s</w:t>
      </w:r>
      <w:r w:rsidR="00200D97" w:rsidRPr="0047585D">
        <w:rPr>
          <w:lang w:val="sr-Latn-ME"/>
        </w:rPr>
        <w:t>a medijan</w:t>
      </w:r>
      <w:r w:rsidR="004F3CC3" w:rsidRPr="0047585D">
        <w:rPr>
          <w:lang w:val="sr-Latn-ME"/>
        </w:rPr>
        <w:t>om</w:t>
      </w:r>
      <w:r w:rsidR="00200D97" w:rsidRPr="0047585D">
        <w:rPr>
          <w:lang w:val="sr-Latn-ME"/>
        </w:rPr>
        <w:t xml:space="preserve"> od 9 ciklusa (raspon = 1-39) i srednju vrijednost od 10,2 ciklusa. Unutar populacije </w:t>
      </w:r>
      <w:r w:rsidR="00A54331" w:rsidRPr="0047585D">
        <w:rPr>
          <w:lang w:val="sr-Latn-ME"/>
        </w:rPr>
        <w:t>koj</w:t>
      </w:r>
      <w:r w:rsidR="002F3E1F" w:rsidRPr="0047585D">
        <w:rPr>
          <w:lang w:val="sr-Latn-ME"/>
        </w:rPr>
        <w:t>u</w:t>
      </w:r>
      <w:r w:rsidR="00A54331" w:rsidRPr="0047585D">
        <w:rPr>
          <w:lang w:val="sr-Latn-ME"/>
        </w:rPr>
        <w:t xml:space="preserve"> </w:t>
      </w:r>
      <w:r w:rsidR="009E5507" w:rsidRPr="0047585D">
        <w:rPr>
          <w:lang w:val="sr-Latn-ME"/>
        </w:rPr>
        <w:t xml:space="preserve">je </w:t>
      </w:r>
      <w:r w:rsidR="002F3E1F" w:rsidRPr="0047585D">
        <w:rPr>
          <w:lang w:val="sr-Latn-ME"/>
        </w:rPr>
        <w:t>trebalo liječiti</w:t>
      </w:r>
      <w:r w:rsidR="00200D97" w:rsidRPr="0047585D">
        <w:rPr>
          <w:lang w:val="sr-Latn-ME"/>
        </w:rPr>
        <w:t xml:space="preserve"> (engl. </w:t>
      </w:r>
      <w:r w:rsidR="00200D97" w:rsidRPr="0047585D">
        <w:rPr>
          <w:i/>
          <w:lang w:val="sr-Latn-ME"/>
        </w:rPr>
        <w:t xml:space="preserve">Intent to Treat, </w:t>
      </w:r>
      <w:r w:rsidR="00200D97" w:rsidRPr="0047585D">
        <w:rPr>
          <w:lang w:val="sr-Latn-ME"/>
        </w:rPr>
        <w:t xml:space="preserve">ITT) prosječna je </w:t>
      </w:r>
      <w:r w:rsidR="00001FCF" w:rsidRPr="0047585D">
        <w:rPr>
          <w:lang w:val="sr-Latn-ME"/>
        </w:rPr>
        <w:t>starost</w:t>
      </w:r>
      <w:r w:rsidR="00200D97" w:rsidRPr="0047585D">
        <w:rPr>
          <w:lang w:val="sr-Latn-ME"/>
        </w:rPr>
        <w:t xml:space="preserve"> bila 69 godina (raspon od 38 do 88 godina).</w:t>
      </w:r>
    </w:p>
    <w:p w14:paraId="039D10EF" w14:textId="77777777" w:rsidR="007D7964" w:rsidRPr="0047585D" w:rsidRDefault="007D7964" w:rsidP="00A56A66">
      <w:pPr>
        <w:pStyle w:val="BodyText"/>
        <w:jc w:val="both"/>
        <w:rPr>
          <w:lang w:val="sr-Latn-ME"/>
        </w:rPr>
      </w:pPr>
    </w:p>
    <w:p w14:paraId="2B57F0F1" w14:textId="77777777" w:rsidR="0084478E" w:rsidRPr="0047585D" w:rsidRDefault="00A34E84" w:rsidP="00A56A66">
      <w:pPr>
        <w:pStyle w:val="BodyText"/>
        <w:jc w:val="both"/>
        <w:rPr>
          <w:lang w:val="sr-Latn-ME"/>
        </w:rPr>
      </w:pPr>
      <w:r w:rsidRPr="0047585D">
        <w:rPr>
          <w:noProof/>
        </w:rPr>
        <mc:AlternateContent>
          <mc:Choice Requires="wps">
            <w:drawing>
              <wp:anchor distT="0" distB="0" distL="114300" distR="114300" simplePos="0" relativeHeight="251664384" behindDoc="0" locked="0" layoutInCell="1" allowOverlap="1" wp14:anchorId="07A1D659" wp14:editId="66A8CD21">
                <wp:simplePos x="0" y="0"/>
                <wp:positionH relativeFrom="page">
                  <wp:posOffset>1013460</wp:posOffset>
                </wp:positionH>
                <wp:positionV relativeFrom="paragraph">
                  <wp:posOffset>2239010</wp:posOffset>
                </wp:positionV>
                <wp:extent cx="153670" cy="864235"/>
                <wp:effectExtent l="0" t="0" r="0" b="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0945" w14:textId="77777777" w:rsidR="00B34483" w:rsidRDefault="00B34483">
                            <w:pPr>
                              <w:spacing w:before="14"/>
                              <w:ind w:left="20"/>
                              <w:rPr>
                                <w:rFonts w:ascii="Arial" w:hAnsi="Arial"/>
                                <w:sz w:val="18"/>
                              </w:rPr>
                            </w:pPr>
                            <w:r>
                              <w:rPr>
                                <w:rFonts w:ascii="Arial" w:hAnsi="Arial"/>
                                <w:color w:val="1F1A17"/>
                                <w:sz w:val="18"/>
                              </w:rPr>
                              <w:t>Udio preživljavanja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1D659" id="_x0000_t202" coordsize="21600,21600" o:spt="202" path="m,l,21600r21600,l21600,xe">
                <v:stroke joinstyle="miter"/>
                <v:path gradientshapeok="t" o:connecttype="rect"/>
              </v:shapetype>
              <v:shape id="Text Box 52" o:spid="_x0000_s1026" type="#_x0000_t202" style="position:absolute;left:0;text-align:left;margin-left:79.8pt;margin-top:176.3pt;width:12.1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" filled="f" stroked="f">
                <v:textbox style="layout-flow:vertical;mso-layout-flow-alt:bottom-to-top" inset="0,0,0,0">
                  <w:txbxContent>
                    <w:p w14:paraId="7EA70945" w14:textId="77777777" w:rsidR="00B34483" w:rsidRDefault="00B34483">
                      <w:pPr>
                        <w:spacing w:before="14"/>
                        <w:ind w:left="20"/>
                        <w:rPr>
                          <w:rFonts w:ascii="Arial" w:hAnsi="Arial"/>
                          <w:sz w:val="18"/>
                        </w:rPr>
                      </w:pPr>
                      <w:r>
                        <w:rPr>
                          <w:rFonts w:ascii="Arial" w:hAnsi="Arial"/>
                          <w:color w:val="1F1A17"/>
                          <w:sz w:val="18"/>
                        </w:rPr>
                        <w:t>Udio preživljavanja</w:t>
                      </w:r>
                    </w:p>
                  </w:txbxContent>
                </v:textbox>
                <w10:wrap anchorx="page"/>
              </v:shape>
            </w:pict>
          </mc:Fallback>
        </mc:AlternateContent>
      </w:r>
      <w:r w:rsidR="00200D97" w:rsidRPr="0047585D">
        <w:rPr>
          <w:lang w:val="sr-Latn-ME"/>
        </w:rPr>
        <w:t xml:space="preserve">U ITT analizi 358 </w:t>
      </w:r>
      <w:r w:rsidR="00862A19" w:rsidRPr="0047585D">
        <w:rPr>
          <w:lang w:val="sr-Latn-ME"/>
        </w:rPr>
        <w:t>pacijen</w:t>
      </w:r>
      <w:r w:rsidR="00001FCF" w:rsidRPr="0047585D">
        <w:rPr>
          <w:lang w:val="sr-Latn-ME"/>
        </w:rPr>
        <w:t>a</w:t>
      </w:r>
      <w:r w:rsidR="00862A19" w:rsidRPr="0047585D">
        <w:rPr>
          <w:lang w:val="sr-Latn-ME"/>
        </w:rPr>
        <w:t>t</w:t>
      </w:r>
      <w:r w:rsidR="00200D97" w:rsidRPr="0047585D">
        <w:rPr>
          <w:lang w:val="sr-Latn-ME"/>
        </w:rPr>
        <w:t xml:space="preserve">a (179 s azacitidinom i 179 s CCR-om) liječenje azacitidinom bilo je povezano s medijanom </w:t>
      </w:r>
      <w:r w:rsidR="001D5573" w:rsidRPr="0047585D">
        <w:rPr>
          <w:lang w:val="sr-Latn-ME"/>
        </w:rPr>
        <w:t>preživljavanj</w:t>
      </w:r>
      <w:r w:rsidR="00200D97" w:rsidRPr="0047585D">
        <w:rPr>
          <w:lang w:val="sr-Latn-ME"/>
        </w:rPr>
        <w:t xml:space="preserve">a od 24,46 mjeseci naspram 15,02 mjeseci kod </w:t>
      </w:r>
      <w:r w:rsidR="00862A19" w:rsidRPr="0047585D">
        <w:rPr>
          <w:lang w:val="sr-Latn-ME"/>
        </w:rPr>
        <w:t>pacijen</w:t>
      </w:r>
      <w:r w:rsidR="00001FCF" w:rsidRPr="0047585D">
        <w:rPr>
          <w:lang w:val="sr-Latn-ME"/>
        </w:rPr>
        <w:t>a</w:t>
      </w:r>
      <w:r w:rsidR="00862A19" w:rsidRPr="0047585D">
        <w:rPr>
          <w:lang w:val="sr-Latn-ME"/>
        </w:rPr>
        <w:t>t</w:t>
      </w:r>
      <w:r w:rsidR="00200D97" w:rsidRPr="0047585D">
        <w:rPr>
          <w:lang w:val="sr-Latn-ME"/>
        </w:rPr>
        <w:t>a liječenih CCR-om, razlika od 9,4 mjeseci sa stratifi</w:t>
      </w:r>
      <w:r w:rsidR="005425ED" w:rsidRPr="0047585D">
        <w:rPr>
          <w:lang w:val="sr-Latn-ME"/>
        </w:rPr>
        <w:t>kovano</w:t>
      </w:r>
      <w:r w:rsidR="00200D97" w:rsidRPr="0047585D">
        <w:rPr>
          <w:lang w:val="sr-Latn-ME"/>
        </w:rPr>
        <w:t>m log-rang p-vrijednošću od 0,0001. O</w:t>
      </w:r>
      <w:r w:rsidR="00001FCF" w:rsidRPr="0047585D">
        <w:rPr>
          <w:lang w:val="sr-Latn-ME"/>
        </w:rPr>
        <w:t>dnos</w:t>
      </w:r>
      <w:r w:rsidR="00200D97" w:rsidRPr="0047585D">
        <w:rPr>
          <w:lang w:val="sr-Latn-ME"/>
        </w:rPr>
        <w:t xml:space="preserve"> hazarda za </w:t>
      </w:r>
      <w:r w:rsidR="00001FCF" w:rsidRPr="0047585D">
        <w:rPr>
          <w:lang w:val="sr-Latn-ME"/>
        </w:rPr>
        <w:t>efekt</w:t>
      </w:r>
      <w:r w:rsidR="00200D97" w:rsidRPr="0047585D">
        <w:rPr>
          <w:lang w:val="sr-Latn-ME"/>
        </w:rPr>
        <w:t xml:space="preserve">e liječenja bio je 0,58 (95 % CI: 0,43, 0,77). Stopa dvogodišnjeg </w:t>
      </w:r>
      <w:r w:rsidR="001D5573" w:rsidRPr="0047585D">
        <w:rPr>
          <w:lang w:val="sr-Latn-ME"/>
        </w:rPr>
        <w:t>preživljavanj</w:t>
      </w:r>
      <w:r w:rsidR="00200D97" w:rsidRPr="0047585D">
        <w:rPr>
          <w:lang w:val="sr-Latn-ME"/>
        </w:rPr>
        <w:t xml:space="preserve">a kod </w:t>
      </w:r>
      <w:r w:rsidR="00862A19" w:rsidRPr="0047585D">
        <w:rPr>
          <w:lang w:val="sr-Latn-ME"/>
        </w:rPr>
        <w:t>pacijen</w:t>
      </w:r>
      <w:r w:rsidR="00001FCF" w:rsidRPr="0047585D">
        <w:rPr>
          <w:lang w:val="sr-Latn-ME"/>
        </w:rPr>
        <w:t>a</w:t>
      </w:r>
      <w:r w:rsidR="00862A19" w:rsidRPr="0047585D">
        <w:rPr>
          <w:lang w:val="sr-Latn-ME"/>
        </w:rPr>
        <w:t>t</w:t>
      </w:r>
      <w:r w:rsidR="00200D97" w:rsidRPr="0047585D">
        <w:rPr>
          <w:lang w:val="sr-Latn-ME"/>
        </w:rPr>
        <w:t xml:space="preserve">a liječenih azacitidinom je bila 50,8 % naspram 26,2 % kod </w:t>
      </w:r>
      <w:r w:rsidR="00862A19" w:rsidRPr="0047585D">
        <w:rPr>
          <w:lang w:val="sr-Latn-ME"/>
        </w:rPr>
        <w:t>pacijen</w:t>
      </w:r>
      <w:r w:rsidR="00001FCF" w:rsidRPr="0047585D">
        <w:rPr>
          <w:lang w:val="sr-Latn-ME"/>
        </w:rPr>
        <w:t>a</w:t>
      </w:r>
      <w:r w:rsidR="00862A19" w:rsidRPr="0047585D">
        <w:rPr>
          <w:lang w:val="sr-Latn-ME"/>
        </w:rPr>
        <w:t>t</w:t>
      </w:r>
      <w:r w:rsidR="00200D97" w:rsidRPr="0047585D">
        <w:rPr>
          <w:lang w:val="sr-Latn-ME"/>
        </w:rPr>
        <w:t>a liječenih CCR-om (p &lt; 0,0001).</w:t>
      </w:r>
    </w:p>
    <w:p w14:paraId="67C32A29" w14:textId="77777777" w:rsidR="0084478E" w:rsidRPr="0047585D" w:rsidRDefault="00A34E84" w:rsidP="00BE5A22">
      <w:pPr>
        <w:pStyle w:val="BodyText"/>
        <w:rPr>
          <w:lang w:val="sr-Latn-ME"/>
        </w:rPr>
      </w:pPr>
      <w:r w:rsidRPr="0047585D">
        <w:rPr>
          <w:noProof/>
        </w:rPr>
        <mc:AlternateContent>
          <mc:Choice Requires="wpg">
            <w:drawing>
              <wp:anchor distT="0" distB="0" distL="114300" distR="114300" simplePos="0" relativeHeight="251663360" behindDoc="0" locked="0" layoutInCell="1" allowOverlap="1" wp14:anchorId="74D24FAE" wp14:editId="598C0ADA">
                <wp:simplePos x="0" y="0"/>
                <wp:positionH relativeFrom="page">
                  <wp:posOffset>1486894</wp:posOffset>
                </wp:positionH>
                <wp:positionV relativeFrom="paragraph">
                  <wp:posOffset>129512</wp:posOffset>
                </wp:positionV>
                <wp:extent cx="4857975" cy="3614420"/>
                <wp:effectExtent l="0" t="0" r="0" b="5080"/>
                <wp:wrapNone/>
                <wp:docPr id="2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975" cy="3614420"/>
                          <a:chOff x="1418" y="1750"/>
                          <a:chExt cx="9209" cy="5692"/>
                        </a:xfrm>
                      </wpg:grpSpPr>
                      <pic:pic xmlns:pic="http://schemas.openxmlformats.org/drawingml/2006/picture">
                        <pic:nvPicPr>
                          <pic:cNvPr id="26"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39" y="1750"/>
                            <a:ext cx="8788" cy="5692"/>
                          </a:xfrm>
                          <a:prstGeom prst="rect">
                            <a:avLst/>
                          </a:prstGeom>
                          <a:noFill/>
                          <a:extLst>
                            <a:ext uri="{909E8E84-426E-40DD-AFC4-6F175D3DCCD1}">
                              <a14:hiddenFill xmlns:a14="http://schemas.microsoft.com/office/drawing/2010/main">
                                <a:solidFill>
                                  <a:srgbClr val="FFFFFF"/>
                                </a:solidFill>
                              </a14:hiddenFill>
                            </a:ext>
                          </a:extLst>
                        </pic:spPr>
                      </pic:pic>
                      <wps:wsp>
                        <wps:cNvPr id="27" name="Rectangle 59"/>
                        <wps:cNvSpPr>
                          <a:spLocks noChangeArrowheads="1"/>
                        </wps:cNvSpPr>
                        <wps:spPr bwMode="auto">
                          <a:xfrm>
                            <a:off x="1418" y="3273"/>
                            <a:ext cx="514" cy="167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58"/>
                        <wps:cNvSpPr txBox="1">
                          <a:spLocks noChangeArrowheads="1"/>
                        </wps:cNvSpPr>
                        <wps:spPr bwMode="auto">
                          <a:xfrm>
                            <a:off x="6723" y="1763"/>
                            <a:ext cx="3317" cy="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1C55" w14:textId="77777777" w:rsidR="00B34483" w:rsidRPr="00A56A66" w:rsidRDefault="00B34483">
                              <w:pPr>
                                <w:spacing w:line="201" w:lineRule="exact"/>
                                <w:ind w:left="7"/>
                                <w:rPr>
                                  <w:sz w:val="18"/>
                                  <w:lang w:val="sr-Latn-ME"/>
                                </w:rPr>
                              </w:pPr>
                              <w:r w:rsidRPr="00A56A66">
                                <w:rPr>
                                  <w:sz w:val="18"/>
                                  <w:lang w:val="sr-Latn-ME"/>
                                </w:rPr>
                                <w:t>Log-rang p = 0,0001</w:t>
                              </w:r>
                            </w:p>
                            <w:p w14:paraId="4D7DC723" w14:textId="77777777" w:rsidR="00B34483" w:rsidRPr="00A56A66" w:rsidRDefault="00B34483">
                              <w:pPr>
                                <w:spacing w:before="45"/>
                                <w:ind w:left="4"/>
                                <w:rPr>
                                  <w:sz w:val="18"/>
                                  <w:lang w:val="sr-Latn-ME"/>
                                </w:rPr>
                              </w:pPr>
                              <w:r w:rsidRPr="00A56A66">
                                <w:rPr>
                                  <w:sz w:val="18"/>
                                  <w:lang w:val="sr-Latn-ME"/>
                                </w:rPr>
                                <w:t>HR = 0,58 [95% CI: 0,43 –</w:t>
                              </w:r>
                              <w:r w:rsidRPr="00A56A66">
                                <w:rPr>
                                  <w:spacing w:val="-10"/>
                                  <w:sz w:val="18"/>
                                  <w:lang w:val="sr-Latn-ME"/>
                                </w:rPr>
                                <w:t xml:space="preserve"> </w:t>
                              </w:r>
                              <w:r w:rsidRPr="00A56A66">
                                <w:rPr>
                                  <w:sz w:val="18"/>
                                  <w:lang w:val="sr-Latn-ME"/>
                                </w:rPr>
                                <w:t>0,77]</w:t>
                              </w:r>
                            </w:p>
                            <w:p w14:paraId="6D4D76E2" w14:textId="77777777" w:rsidR="00B34483" w:rsidRPr="00A56A66" w:rsidRDefault="00B34483">
                              <w:pPr>
                                <w:spacing w:before="57"/>
                                <w:rPr>
                                  <w:sz w:val="18"/>
                                  <w:lang w:val="sr-Latn-ME"/>
                                </w:rPr>
                              </w:pPr>
                              <w:r w:rsidRPr="00A56A66">
                                <w:rPr>
                                  <w:sz w:val="18"/>
                                  <w:lang w:val="sr-Latn-ME"/>
                                </w:rPr>
                                <w:t>Smrtnost: AZA = 82, CCR =</w:t>
                              </w:r>
                              <w:r w:rsidRPr="00A56A66">
                                <w:rPr>
                                  <w:spacing w:val="-9"/>
                                  <w:sz w:val="18"/>
                                  <w:lang w:val="sr-Latn-ME"/>
                                </w:rPr>
                                <w:t xml:space="preserve"> </w:t>
                              </w:r>
                              <w:r w:rsidRPr="00A56A66">
                                <w:rPr>
                                  <w:sz w:val="18"/>
                                  <w:lang w:val="sr-Latn-ME"/>
                                </w:rPr>
                                <w:t>113</w:t>
                              </w:r>
                            </w:p>
                          </w:txbxContent>
                        </wps:txbx>
                        <wps:bodyPr rot="0" vert="horz" wrap="square" lIns="0" tIns="0" rIns="0" bIns="0" anchor="t" anchorCtr="0" upright="1">
                          <a:noAutofit/>
                        </wps:bodyPr>
                      </wps:wsp>
                      <wps:wsp>
                        <wps:cNvPr id="29" name="Text Box 57"/>
                        <wps:cNvSpPr txBox="1">
                          <a:spLocks noChangeArrowheads="1"/>
                        </wps:cNvSpPr>
                        <wps:spPr bwMode="auto">
                          <a:xfrm>
                            <a:off x="7950" y="3894"/>
                            <a:ext cx="9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4527" w14:textId="77777777" w:rsidR="00B34483" w:rsidRDefault="00B34483">
                              <w:pPr>
                                <w:spacing w:line="201" w:lineRule="exact"/>
                                <w:rPr>
                                  <w:rFonts w:ascii="Arial"/>
                                  <w:sz w:val="18"/>
                                </w:rPr>
                              </w:pPr>
                              <w:proofErr w:type="gramStart"/>
                              <w:r>
                                <w:rPr>
                                  <w:rFonts w:ascii="Arial"/>
                                  <w:sz w:val="18"/>
                                </w:rPr>
                                <w:t>mjeseci</w:t>
                              </w:r>
                              <w:proofErr w:type="gramEnd"/>
                            </w:p>
                          </w:txbxContent>
                        </wps:txbx>
                        <wps:bodyPr rot="0" vert="horz" wrap="square" lIns="0" tIns="0" rIns="0" bIns="0" anchor="t" anchorCtr="0" upright="1">
                          <a:noAutofit/>
                        </wps:bodyPr>
                      </wps:wsp>
                      <wps:wsp>
                        <wps:cNvPr id="30" name="Text Box 56"/>
                        <wps:cNvSpPr txBox="1">
                          <a:spLocks noChangeArrowheads="1"/>
                        </wps:cNvSpPr>
                        <wps:spPr bwMode="auto">
                          <a:xfrm>
                            <a:off x="4767" y="4509"/>
                            <a:ext cx="93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9C4FB" w14:textId="631D6571" w:rsidR="00B34483" w:rsidRDefault="00B34483">
                              <w:pPr>
                                <w:spacing w:line="201" w:lineRule="exact"/>
                                <w:rPr>
                                  <w:rFonts w:ascii="Arial"/>
                                  <w:sz w:val="18"/>
                                </w:rPr>
                              </w:pPr>
                              <w:proofErr w:type="gramStart"/>
                              <w:r>
                                <w:rPr>
                                  <w:rFonts w:ascii="Arial"/>
                                  <w:sz w:val="18"/>
                                </w:rPr>
                                <w:t>mjeseci</w:t>
                              </w:r>
                              <w:proofErr w:type="gramEnd"/>
                            </w:p>
                          </w:txbxContent>
                        </wps:txbx>
                        <wps:bodyPr rot="0" vert="horz" wrap="square" lIns="0" tIns="0" rIns="0" bIns="0" anchor="t" anchorCtr="0" upright="1">
                          <a:noAutofit/>
                        </wps:bodyPr>
                      </wps:wsp>
                      <wps:wsp>
                        <wps:cNvPr id="31" name="Text Box 55"/>
                        <wps:cNvSpPr txBox="1">
                          <a:spLocks noChangeArrowheads="1"/>
                        </wps:cNvSpPr>
                        <wps:spPr bwMode="auto">
                          <a:xfrm>
                            <a:off x="5007" y="6648"/>
                            <a:ext cx="2767"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47C9E" w14:textId="77777777" w:rsidR="00B34483" w:rsidRDefault="00B34483">
                              <w:pPr>
                                <w:spacing w:line="201" w:lineRule="exact"/>
                                <w:rPr>
                                  <w:rFonts w:ascii="Arial"/>
                                  <w:sz w:val="18"/>
                                </w:rPr>
                              </w:pPr>
                              <w:r>
                                <w:rPr>
                                  <w:rFonts w:ascii="Arial"/>
                                  <w:sz w:val="18"/>
                                </w:rPr>
                                <w:t xml:space="preserve">Vrijeme (mjeseci) </w:t>
                              </w:r>
                              <w:proofErr w:type="gramStart"/>
                              <w:r>
                                <w:rPr>
                                  <w:rFonts w:ascii="Arial"/>
                                  <w:sz w:val="18"/>
                                </w:rPr>
                                <w:t>od</w:t>
                              </w:r>
                              <w:proofErr w:type="gramEnd"/>
                              <w:r>
                                <w:rPr>
                                  <w:rFonts w:ascii="Arial"/>
                                  <w:sz w:val="18"/>
                                </w:rPr>
                                <w:t xml:space="preserve"> randomizacije</w:t>
                              </w:r>
                            </w:p>
                          </w:txbxContent>
                        </wps:txbx>
                        <wps:bodyPr rot="0" vert="horz" wrap="square" lIns="0" tIns="0" rIns="0" bIns="0" anchor="t" anchorCtr="0" upright="1">
                          <a:noAutofit/>
                        </wps:bodyPr>
                      </wps:wsp>
                      <wps:wsp>
                        <wps:cNvPr id="32" name="Text Box 54"/>
                        <wps:cNvSpPr txBox="1">
                          <a:spLocks noChangeArrowheads="1"/>
                        </wps:cNvSpPr>
                        <wps:spPr bwMode="auto">
                          <a:xfrm>
                            <a:off x="1728" y="6963"/>
                            <a:ext cx="116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C782" w14:textId="77777777" w:rsidR="00B34483" w:rsidRDefault="00B34483">
                              <w:pPr>
                                <w:spacing w:line="179" w:lineRule="exact"/>
                                <w:rPr>
                                  <w:rFonts w:ascii="Arial"/>
                                  <w:sz w:val="16"/>
                                </w:rPr>
                              </w:pPr>
                              <w:r>
                                <w:rPr>
                                  <w:rFonts w:ascii="Arial"/>
                                  <w:sz w:val="16"/>
                                </w:rPr>
                                <w:t>Broj pod rizikom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24FAE" id="Group 53" o:spid="_x0000_s1027" style="position:absolute;margin-left:117.1pt;margin-top:10.2pt;width:382.5pt;height:284.6pt;z-index:251663360;mso-position-horizontal-relative:page" coordorigin="1418,1750" coordsize="9209,5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839;top:1750;width:8788;height:5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">
                  <v:imagedata r:id="rId11" o:title=""/>
                </v:shape>
                <v:rect id="Rectangle 59" o:spid="_x0000_s1029" style="position:absolute;left:1418;top:3273;width:514;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" filled="f" strokecolor="white"/>
                <v:shape id="Text Box 58" o:spid="_x0000_s1030" type="#_x0000_t202" style="position:absolute;left:6723;top:1763;width:3317;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FDA1C55" w14:textId="77777777" w:rsidR="00B34483" w:rsidRPr="00A56A66" w:rsidRDefault="00B34483">
                        <w:pPr>
                          <w:spacing w:line="201" w:lineRule="exact"/>
                          <w:ind w:left="7"/>
                          <w:rPr>
                            <w:sz w:val="18"/>
                            <w:lang w:val="sr-Latn-ME"/>
                          </w:rPr>
                        </w:pPr>
                        <w:r w:rsidRPr="00A56A66">
                          <w:rPr>
                            <w:sz w:val="18"/>
                            <w:lang w:val="sr-Latn-ME"/>
                          </w:rPr>
                          <w:t>Log-rang p = 0,0001</w:t>
                        </w:r>
                      </w:p>
                      <w:p w14:paraId="4D7DC723" w14:textId="77777777" w:rsidR="00B34483" w:rsidRPr="00A56A66" w:rsidRDefault="00B34483">
                        <w:pPr>
                          <w:spacing w:before="45"/>
                          <w:ind w:left="4"/>
                          <w:rPr>
                            <w:sz w:val="18"/>
                            <w:lang w:val="sr-Latn-ME"/>
                          </w:rPr>
                        </w:pPr>
                        <w:r w:rsidRPr="00A56A66">
                          <w:rPr>
                            <w:sz w:val="18"/>
                            <w:lang w:val="sr-Latn-ME"/>
                          </w:rPr>
                          <w:t>HR = 0,58 [95% CI: 0,43 –</w:t>
                        </w:r>
                        <w:r w:rsidRPr="00A56A66">
                          <w:rPr>
                            <w:spacing w:val="-10"/>
                            <w:sz w:val="18"/>
                            <w:lang w:val="sr-Latn-ME"/>
                          </w:rPr>
                          <w:t xml:space="preserve"> </w:t>
                        </w:r>
                        <w:r w:rsidRPr="00A56A66">
                          <w:rPr>
                            <w:sz w:val="18"/>
                            <w:lang w:val="sr-Latn-ME"/>
                          </w:rPr>
                          <w:t>0,77]</w:t>
                        </w:r>
                      </w:p>
                      <w:p w14:paraId="6D4D76E2" w14:textId="77777777" w:rsidR="00B34483" w:rsidRPr="00A56A66" w:rsidRDefault="00B34483">
                        <w:pPr>
                          <w:spacing w:before="57"/>
                          <w:rPr>
                            <w:sz w:val="18"/>
                            <w:lang w:val="sr-Latn-ME"/>
                          </w:rPr>
                        </w:pPr>
                        <w:r w:rsidRPr="00A56A66">
                          <w:rPr>
                            <w:sz w:val="18"/>
                            <w:lang w:val="sr-Latn-ME"/>
                          </w:rPr>
                          <w:t>Smrtnost: AZA = 82, CCR =</w:t>
                        </w:r>
                        <w:r w:rsidRPr="00A56A66">
                          <w:rPr>
                            <w:spacing w:val="-9"/>
                            <w:sz w:val="18"/>
                            <w:lang w:val="sr-Latn-ME"/>
                          </w:rPr>
                          <w:t xml:space="preserve"> </w:t>
                        </w:r>
                        <w:r w:rsidRPr="00A56A66">
                          <w:rPr>
                            <w:sz w:val="18"/>
                            <w:lang w:val="sr-Latn-ME"/>
                          </w:rPr>
                          <w:t>113</w:t>
                        </w:r>
                      </w:p>
                    </w:txbxContent>
                  </v:textbox>
                </v:shape>
                <v:shape id="Text Box 57" o:spid="_x0000_s1031" type="#_x0000_t202" style="position:absolute;left:7950;top:3894;width:96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A004527" w14:textId="77777777" w:rsidR="00B34483" w:rsidRDefault="00B34483">
                        <w:pPr>
                          <w:spacing w:line="201" w:lineRule="exact"/>
                          <w:rPr>
                            <w:rFonts w:ascii="Arial"/>
                            <w:sz w:val="18"/>
                          </w:rPr>
                        </w:pPr>
                        <w:proofErr w:type="gramStart"/>
                        <w:r>
                          <w:rPr>
                            <w:rFonts w:ascii="Arial"/>
                            <w:sz w:val="18"/>
                          </w:rPr>
                          <w:t>mjeseci</w:t>
                        </w:r>
                        <w:proofErr w:type="gramEnd"/>
                      </w:p>
                    </w:txbxContent>
                  </v:textbox>
                </v:shape>
                <v:shape id="Text Box 56" o:spid="_x0000_s1032" type="#_x0000_t202" style="position:absolute;left:4767;top:4509;width:93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669C4FB" w14:textId="631D6571" w:rsidR="00B34483" w:rsidRDefault="00B34483">
                        <w:pPr>
                          <w:spacing w:line="201" w:lineRule="exact"/>
                          <w:rPr>
                            <w:rFonts w:ascii="Arial"/>
                            <w:sz w:val="18"/>
                          </w:rPr>
                        </w:pPr>
                        <w:proofErr w:type="gramStart"/>
                        <w:r>
                          <w:rPr>
                            <w:rFonts w:ascii="Arial"/>
                            <w:sz w:val="18"/>
                          </w:rPr>
                          <w:t>mjeseci</w:t>
                        </w:r>
                        <w:proofErr w:type="gramEnd"/>
                      </w:p>
                    </w:txbxContent>
                  </v:textbox>
                </v:shape>
                <v:shape id="Text Box 55" o:spid="_x0000_s1033" type="#_x0000_t202" style="position:absolute;left:5007;top:6648;width:2767;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1847C9E" w14:textId="77777777" w:rsidR="00B34483" w:rsidRDefault="00B34483">
                        <w:pPr>
                          <w:spacing w:line="201" w:lineRule="exact"/>
                          <w:rPr>
                            <w:rFonts w:ascii="Arial"/>
                            <w:sz w:val="18"/>
                          </w:rPr>
                        </w:pPr>
                        <w:r>
                          <w:rPr>
                            <w:rFonts w:ascii="Arial"/>
                            <w:sz w:val="18"/>
                          </w:rPr>
                          <w:t xml:space="preserve">Vrijeme (mjeseci) </w:t>
                        </w:r>
                        <w:proofErr w:type="gramStart"/>
                        <w:r>
                          <w:rPr>
                            <w:rFonts w:ascii="Arial"/>
                            <w:sz w:val="18"/>
                          </w:rPr>
                          <w:t>od</w:t>
                        </w:r>
                        <w:proofErr w:type="gramEnd"/>
                        <w:r>
                          <w:rPr>
                            <w:rFonts w:ascii="Arial"/>
                            <w:sz w:val="18"/>
                          </w:rPr>
                          <w:t xml:space="preserve"> randomizacije</w:t>
                        </w:r>
                      </w:p>
                    </w:txbxContent>
                  </v:textbox>
                </v:shape>
                <v:shape id="Text Box 54" o:spid="_x0000_s1034" type="#_x0000_t202" style="position:absolute;left:1728;top:6963;width:116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441C782" w14:textId="77777777" w:rsidR="00B34483" w:rsidRDefault="00B34483">
                        <w:pPr>
                          <w:spacing w:line="179" w:lineRule="exact"/>
                          <w:rPr>
                            <w:rFonts w:ascii="Arial"/>
                            <w:sz w:val="16"/>
                          </w:rPr>
                        </w:pPr>
                        <w:r>
                          <w:rPr>
                            <w:rFonts w:ascii="Arial"/>
                            <w:sz w:val="16"/>
                          </w:rPr>
                          <w:t>Broj pod rizikom</w:t>
                        </w:r>
                      </w:p>
                    </w:txbxContent>
                  </v:textbox>
                </v:shape>
                <w10:wrap anchorx="page"/>
              </v:group>
            </w:pict>
          </mc:Fallback>
        </mc:AlternateContent>
      </w:r>
    </w:p>
    <w:p w14:paraId="45355437" w14:textId="77777777" w:rsidR="0084478E" w:rsidRPr="0047585D" w:rsidRDefault="0084478E" w:rsidP="00BE5A22">
      <w:pPr>
        <w:pStyle w:val="BodyText"/>
        <w:rPr>
          <w:lang w:val="sr-Latn-ME"/>
        </w:rPr>
      </w:pPr>
    </w:p>
    <w:p w14:paraId="29EC9C58" w14:textId="77777777" w:rsidR="0084478E" w:rsidRPr="0047585D" w:rsidRDefault="0084478E" w:rsidP="00BE5A22">
      <w:pPr>
        <w:pStyle w:val="BodyText"/>
        <w:rPr>
          <w:lang w:val="sr-Latn-ME"/>
        </w:rPr>
      </w:pPr>
    </w:p>
    <w:p w14:paraId="7536B80D" w14:textId="77777777" w:rsidR="0084478E" w:rsidRPr="0047585D" w:rsidRDefault="0084478E" w:rsidP="00BE5A22">
      <w:pPr>
        <w:pStyle w:val="BodyText"/>
        <w:rPr>
          <w:lang w:val="sr-Latn-ME"/>
        </w:rPr>
      </w:pPr>
    </w:p>
    <w:p w14:paraId="4F3FD3FE" w14:textId="77777777" w:rsidR="0084478E" w:rsidRPr="0047585D" w:rsidRDefault="0084478E" w:rsidP="00BE5A22">
      <w:pPr>
        <w:pStyle w:val="BodyText"/>
        <w:rPr>
          <w:lang w:val="sr-Latn-ME"/>
        </w:rPr>
      </w:pPr>
    </w:p>
    <w:p w14:paraId="5EB4881F" w14:textId="77777777" w:rsidR="0084478E" w:rsidRPr="0047585D" w:rsidRDefault="0084478E" w:rsidP="00BE5A22">
      <w:pPr>
        <w:pStyle w:val="BodyText"/>
        <w:rPr>
          <w:lang w:val="sr-Latn-ME"/>
        </w:rPr>
      </w:pPr>
    </w:p>
    <w:p w14:paraId="4ED6E6BA" w14:textId="77777777" w:rsidR="0084478E" w:rsidRPr="0047585D" w:rsidRDefault="0084478E" w:rsidP="00BE5A22">
      <w:pPr>
        <w:pStyle w:val="BodyText"/>
        <w:rPr>
          <w:lang w:val="sr-Latn-ME"/>
        </w:rPr>
      </w:pPr>
    </w:p>
    <w:p w14:paraId="255E42C4" w14:textId="77777777" w:rsidR="0084478E" w:rsidRPr="0047585D" w:rsidRDefault="0084478E" w:rsidP="00BE5A22">
      <w:pPr>
        <w:pStyle w:val="BodyText"/>
        <w:rPr>
          <w:lang w:val="sr-Latn-ME"/>
        </w:rPr>
      </w:pPr>
    </w:p>
    <w:p w14:paraId="2C3420D6" w14:textId="77777777" w:rsidR="0084478E" w:rsidRPr="0047585D" w:rsidRDefault="0084478E" w:rsidP="00BE5A22">
      <w:pPr>
        <w:pStyle w:val="BodyText"/>
        <w:rPr>
          <w:lang w:val="sr-Latn-ME"/>
        </w:rPr>
      </w:pPr>
    </w:p>
    <w:p w14:paraId="66DC7E18" w14:textId="77777777" w:rsidR="0084478E" w:rsidRPr="0047585D" w:rsidRDefault="0084478E" w:rsidP="00BE5A22">
      <w:pPr>
        <w:pStyle w:val="BodyText"/>
        <w:rPr>
          <w:lang w:val="sr-Latn-ME"/>
        </w:rPr>
      </w:pPr>
    </w:p>
    <w:p w14:paraId="33DE3C15" w14:textId="77777777" w:rsidR="0084478E" w:rsidRPr="0047585D" w:rsidRDefault="0084478E" w:rsidP="00BE5A22">
      <w:pPr>
        <w:pStyle w:val="BodyText"/>
        <w:rPr>
          <w:lang w:val="sr-Latn-ME"/>
        </w:rPr>
      </w:pPr>
    </w:p>
    <w:p w14:paraId="6FB3B18A" w14:textId="77777777" w:rsidR="0084478E" w:rsidRPr="0047585D" w:rsidRDefault="0084478E" w:rsidP="00BE5A22">
      <w:pPr>
        <w:pStyle w:val="BodyText"/>
        <w:rPr>
          <w:lang w:val="sr-Latn-ME"/>
        </w:rPr>
      </w:pPr>
    </w:p>
    <w:p w14:paraId="5BAEF903" w14:textId="77777777" w:rsidR="0084478E" w:rsidRPr="0047585D" w:rsidRDefault="0084478E" w:rsidP="00BE5A22">
      <w:pPr>
        <w:pStyle w:val="BodyText"/>
        <w:rPr>
          <w:lang w:val="sr-Latn-ME"/>
        </w:rPr>
      </w:pPr>
    </w:p>
    <w:p w14:paraId="6293C7EC" w14:textId="77777777" w:rsidR="0084478E" w:rsidRPr="0047585D" w:rsidRDefault="0084478E" w:rsidP="00BE5A22">
      <w:pPr>
        <w:pStyle w:val="BodyText"/>
        <w:rPr>
          <w:lang w:val="sr-Latn-ME"/>
        </w:rPr>
      </w:pPr>
    </w:p>
    <w:p w14:paraId="5A698EC9" w14:textId="77777777" w:rsidR="001D5573" w:rsidRPr="0047585D" w:rsidRDefault="001D5573" w:rsidP="00AC38D1">
      <w:pPr>
        <w:pStyle w:val="BodyText"/>
        <w:jc w:val="both"/>
        <w:rPr>
          <w:lang w:val="sr-Latn-ME"/>
        </w:rPr>
      </w:pPr>
    </w:p>
    <w:p w14:paraId="1E979DFF" w14:textId="77777777" w:rsidR="001D5573" w:rsidRPr="0047585D" w:rsidRDefault="001D5573" w:rsidP="00AC38D1">
      <w:pPr>
        <w:pStyle w:val="BodyText"/>
        <w:jc w:val="both"/>
        <w:rPr>
          <w:lang w:val="sr-Latn-ME"/>
        </w:rPr>
      </w:pPr>
    </w:p>
    <w:p w14:paraId="39950578" w14:textId="77777777" w:rsidR="001D5573" w:rsidRPr="0047585D" w:rsidRDefault="001D5573" w:rsidP="00AC38D1">
      <w:pPr>
        <w:pStyle w:val="BodyText"/>
        <w:jc w:val="both"/>
        <w:rPr>
          <w:lang w:val="sr-Latn-ME"/>
        </w:rPr>
      </w:pPr>
    </w:p>
    <w:p w14:paraId="24FFB186" w14:textId="77777777" w:rsidR="001D5573" w:rsidRPr="0047585D" w:rsidRDefault="001D5573" w:rsidP="00AC38D1">
      <w:pPr>
        <w:pStyle w:val="BodyText"/>
        <w:jc w:val="both"/>
        <w:rPr>
          <w:lang w:val="sr-Latn-ME"/>
        </w:rPr>
      </w:pPr>
    </w:p>
    <w:p w14:paraId="487DFB1A" w14:textId="77777777" w:rsidR="001D5573" w:rsidRPr="0047585D" w:rsidRDefault="001D5573" w:rsidP="00AC38D1">
      <w:pPr>
        <w:pStyle w:val="BodyText"/>
        <w:jc w:val="both"/>
        <w:rPr>
          <w:lang w:val="sr-Latn-ME"/>
        </w:rPr>
      </w:pPr>
    </w:p>
    <w:p w14:paraId="2A5EA333" w14:textId="77777777" w:rsidR="007D7964" w:rsidRPr="0047585D" w:rsidRDefault="007D7964" w:rsidP="004F3CC3">
      <w:pPr>
        <w:pStyle w:val="BodyText"/>
        <w:jc w:val="both"/>
        <w:rPr>
          <w:lang w:val="sr-Latn-ME"/>
        </w:rPr>
      </w:pPr>
    </w:p>
    <w:p w14:paraId="4219B773" w14:textId="77777777" w:rsidR="007D7964" w:rsidRPr="0047585D" w:rsidRDefault="007D7964" w:rsidP="004F3CC3">
      <w:pPr>
        <w:pStyle w:val="BodyText"/>
        <w:jc w:val="both"/>
        <w:rPr>
          <w:lang w:val="sr-Latn-ME"/>
        </w:rPr>
      </w:pPr>
    </w:p>
    <w:p w14:paraId="7D4BCE3B" w14:textId="77777777" w:rsidR="007D7964" w:rsidRPr="0047585D" w:rsidRDefault="007D7964" w:rsidP="004F3CC3">
      <w:pPr>
        <w:pStyle w:val="BodyText"/>
        <w:jc w:val="both"/>
        <w:rPr>
          <w:lang w:val="sr-Latn-ME"/>
        </w:rPr>
      </w:pPr>
    </w:p>
    <w:p w14:paraId="7A0A4F8D" w14:textId="77777777" w:rsidR="007D7964" w:rsidRPr="0047585D" w:rsidRDefault="007D7964" w:rsidP="004F3CC3">
      <w:pPr>
        <w:pStyle w:val="BodyText"/>
        <w:jc w:val="both"/>
        <w:rPr>
          <w:lang w:val="sr-Latn-ME"/>
        </w:rPr>
      </w:pPr>
    </w:p>
    <w:p w14:paraId="19AC397F" w14:textId="77777777" w:rsidR="007D7964" w:rsidRPr="0047585D" w:rsidRDefault="007D7964" w:rsidP="004F3CC3">
      <w:pPr>
        <w:pStyle w:val="BodyText"/>
        <w:jc w:val="both"/>
        <w:rPr>
          <w:lang w:val="sr-Latn-ME"/>
        </w:rPr>
      </w:pPr>
    </w:p>
    <w:p w14:paraId="20D1AD03" w14:textId="77777777" w:rsidR="00DD2F06" w:rsidRDefault="005425ED" w:rsidP="004F3CC3">
      <w:pPr>
        <w:pStyle w:val="BodyText"/>
        <w:jc w:val="both"/>
        <w:rPr>
          <w:lang w:val="sr-Latn-ME"/>
        </w:rPr>
      </w:pPr>
      <w:r w:rsidRPr="0047585D">
        <w:rPr>
          <w:lang w:val="sr-Latn-ME"/>
        </w:rPr>
        <w:t>SKRAĆENICE</w:t>
      </w:r>
      <w:r w:rsidR="00200D97" w:rsidRPr="0047585D">
        <w:rPr>
          <w:lang w:val="sr-Latn-ME"/>
        </w:rPr>
        <w:t xml:space="preserve">: AZA = </w:t>
      </w:r>
      <w:r w:rsidR="00200D97" w:rsidRPr="00A56A66">
        <w:rPr>
          <w:i/>
          <w:lang w:val="sr-Latn-ME"/>
        </w:rPr>
        <w:t>azacitidin</w:t>
      </w:r>
      <w:r w:rsidR="00200D97" w:rsidRPr="0047585D">
        <w:rPr>
          <w:lang w:val="sr-Latn-ME"/>
        </w:rPr>
        <w:t xml:space="preserve">; CCR = </w:t>
      </w:r>
      <w:r w:rsidR="00200D97" w:rsidRPr="00A56A66">
        <w:rPr>
          <w:i/>
          <w:lang w:val="sr-Latn-ME"/>
        </w:rPr>
        <w:t xml:space="preserve">režim konvencionalne </w:t>
      </w:r>
      <w:r w:rsidR="00EE1D99" w:rsidRPr="00A56A66">
        <w:rPr>
          <w:i/>
          <w:lang w:val="sr-Latn-ME"/>
        </w:rPr>
        <w:t>njege</w:t>
      </w:r>
      <w:r w:rsidR="00200D97" w:rsidRPr="0047585D">
        <w:rPr>
          <w:lang w:val="sr-Latn-ME"/>
        </w:rPr>
        <w:t xml:space="preserve">; CI = </w:t>
      </w:r>
      <w:r w:rsidR="00200D97" w:rsidRPr="00A56A66">
        <w:rPr>
          <w:i/>
          <w:lang w:val="sr-Latn-ME"/>
        </w:rPr>
        <w:t>interval pouzdanosti</w:t>
      </w:r>
      <w:r w:rsidR="00200D97" w:rsidRPr="0047585D">
        <w:rPr>
          <w:lang w:val="sr-Latn-ME"/>
        </w:rPr>
        <w:t xml:space="preserve">; </w:t>
      </w:r>
    </w:p>
    <w:p w14:paraId="2416F4CE" w14:textId="0098B526" w:rsidR="0084478E" w:rsidRPr="0047585D" w:rsidRDefault="00200D97" w:rsidP="004F3CC3">
      <w:pPr>
        <w:pStyle w:val="BodyText"/>
        <w:jc w:val="both"/>
        <w:rPr>
          <w:lang w:val="sr-Latn-ME"/>
        </w:rPr>
      </w:pPr>
      <w:r w:rsidRPr="0047585D">
        <w:rPr>
          <w:lang w:val="sr-Latn-ME"/>
        </w:rPr>
        <w:t>HR = o</w:t>
      </w:r>
      <w:r w:rsidR="00EE1D99" w:rsidRPr="0047585D">
        <w:rPr>
          <w:lang w:val="sr-Latn-ME"/>
        </w:rPr>
        <w:t>dnos</w:t>
      </w:r>
      <w:r w:rsidR="007D7964" w:rsidRPr="0047585D">
        <w:rPr>
          <w:lang w:val="sr-Latn-ME"/>
        </w:rPr>
        <w:t xml:space="preserve"> </w:t>
      </w:r>
      <w:r w:rsidRPr="0047585D">
        <w:rPr>
          <w:lang w:val="sr-Latn-ME"/>
        </w:rPr>
        <w:t>hazarda</w:t>
      </w:r>
    </w:p>
    <w:p w14:paraId="00B64D43" w14:textId="77777777" w:rsidR="007D7964" w:rsidRPr="0047585D" w:rsidRDefault="007D7964" w:rsidP="004F3CC3">
      <w:pPr>
        <w:pStyle w:val="BodyText"/>
        <w:jc w:val="both"/>
        <w:rPr>
          <w:lang w:val="sr-Latn-ME"/>
        </w:rPr>
      </w:pPr>
    </w:p>
    <w:p w14:paraId="1FBA4CF1" w14:textId="7DA145A6" w:rsidR="0084478E" w:rsidRPr="0047585D" w:rsidRDefault="00997C1E" w:rsidP="00A56A66">
      <w:pPr>
        <w:pStyle w:val="BodyText"/>
        <w:jc w:val="both"/>
        <w:rPr>
          <w:lang w:val="sr-Latn-ME"/>
        </w:rPr>
      </w:pPr>
      <w:r w:rsidRPr="0047585D">
        <w:rPr>
          <w:lang w:val="sr-Latn-ME"/>
        </w:rPr>
        <w:t>Koristan efekat</w:t>
      </w:r>
      <w:r w:rsidR="00200D97" w:rsidRPr="0047585D">
        <w:rPr>
          <w:lang w:val="sr-Latn-ME"/>
        </w:rPr>
        <w:t xml:space="preserve"> azacitidina za vrijeme </w:t>
      </w:r>
      <w:r w:rsidR="001D5573" w:rsidRPr="0047585D">
        <w:rPr>
          <w:lang w:val="sr-Latn-ME"/>
        </w:rPr>
        <w:t>preživljavanj</w:t>
      </w:r>
      <w:r w:rsidR="00200D97" w:rsidRPr="0047585D">
        <w:rPr>
          <w:lang w:val="sr-Latn-ME"/>
        </w:rPr>
        <w:t>a bi</w:t>
      </w:r>
      <w:r w:rsidRPr="0047585D">
        <w:rPr>
          <w:lang w:val="sr-Latn-ME"/>
        </w:rPr>
        <w:t>o</w:t>
      </w:r>
      <w:r w:rsidR="00200D97" w:rsidRPr="0047585D">
        <w:rPr>
          <w:lang w:val="sr-Latn-ME"/>
        </w:rPr>
        <w:t xml:space="preserve"> je konzisten</w:t>
      </w:r>
      <w:r w:rsidRPr="0047585D">
        <w:rPr>
          <w:lang w:val="sr-Latn-ME"/>
        </w:rPr>
        <w:t>tan</w:t>
      </w:r>
      <w:r w:rsidR="00200D97" w:rsidRPr="0047585D">
        <w:rPr>
          <w:lang w:val="sr-Latn-ME"/>
        </w:rPr>
        <w:t xml:space="preserve"> bez obzira na vrstu liječenja primijenjenu u kontrolnoj </w:t>
      </w:r>
      <w:r w:rsidR="006E3460" w:rsidRPr="0047585D">
        <w:rPr>
          <w:lang w:val="sr-Latn-ME"/>
        </w:rPr>
        <w:t>grup</w:t>
      </w:r>
      <w:r w:rsidR="00200D97" w:rsidRPr="0047585D">
        <w:rPr>
          <w:lang w:val="sr-Latn-ME"/>
        </w:rPr>
        <w:t xml:space="preserve">i </w:t>
      </w:r>
      <w:r w:rsidR="005D04EB" w:rsidRPr="0047585D">
        <w:rPr>
          <w:lang w:val="sr-Latn-ME"/>
        </w:rPr>
        <w:t>tokom</w:t>
      </w:r>
      <w:r w:rsidR="00200D97" w:rsidRPr="0047585D">
        <w:rPr>
          <w:lang w:val="sr-Latn-ME"/>
        </w:rPr>
        <w:t xml:space="preserve"> liječenja CCR-om (samo BSC-om, niske doze citarabina s BSC-om ili standardna indukcijska </w:t>
      </w:r>
      <w:r w:rsidR="006E3460" w:rsidRPr="0047585D">
        <w:rPr>
          <w:lang w:val="sr-Latn-ME"/>
        </w:rPr>
        <w:t>h</w:t>
      </w:r>
      <w:r w:rsidR="00200D97" w:rsidRPr="0047585D">
        <w:rPr>
          <w:lang w:val="sr-Latn-ME"/>
        </w:rPr>
        <w:t>emoterapija s BSC-om).</w:t>
      </w:r>
    </w:p>
    <w:p w14:paraId="2EF9FED8" w14:textId="77777777" w:rsidR="007D7964" w:rsidRPr="0047585D" w:rsidRDefault="007D7964" w:rsidP="00A56A66">
      <w:pPr>
        <w:pStyle w:val="BodyText"/>
        <w:jc w:val="both"/>
        <w:rPr>
          <w:lang w:val="sr-Latn-ME"/>
        </w:rPr>
      </w:pPr>
    </w:p>
    <w:p w14:paraId="492685AD" w14:textId="7D6A2F6B" w:rsidR="0084478E" w:rsidRPr="0047585D" w:rsidRDefault="00200D97" w:rsidP="00A56A66">
      <w:pPr>
        <w:pStyle w:val="BodyText"/>
        <w:jc w:val="both"/>
        <w:rPr>
          <w:lang w:val="sr-Latn-ME"/>
        </w:rPr>
      </w:pPr>
      <w:r w:rsidRPr="0047585D">
        <w:rPr>
          <w:lang w:val="sr-Latn-ME"/>
        </w:rPr>
        <w:t>Analizom citogenet</w:t>
      </w:r>
      <w:r w:rsidR="00997C1E" w:rsidRPr="0047585D">
        <w:rPr>
          <w:lang w:val="sr-Latn-ME"/>
        </w:rPr>
        <w:t>skih</w:t>
      </w:r>
      <w:r w:rsidRPr="0047585D">
        <w:rPr>
          <w:lang w:val="sr-Latn-ME"/>
        </w:rPr>
        <w:t xml:space="preserve"> pod</w:t>
      </w:r>
      <w:r w:rsidR="006E3460" w:rsidRPr="0047585D">
        <w:rPr>
          <w:lang w:val="sr-Latn-ME"/>
        </w:rPr>
        <w:t>grup</w:t>
      </w:r>
      <w:r w:rsidRPr="0047585D">
        <w:rPr>
          <w:lang w:val="sr-Latn-ME"/>
        </w:rPr>
        <w:t xml:space="preserve">a IPSS </w:t>
      </w:r>
      <w:r w:rsidR="006E3460" w:rsidRPr="0047585D">
        <w:rPr>
          <w:lang w:val="sr-Latn-ME"/>
        </w:rPr>
        <w:t>za</w:t>
      </w:r>
      <w:r w:rsidRPr="0047585D">
        <w:rPr>
          <w:lang w:val="sr-Latn-ME"/>
        </w:rPr>
        <w:t xml:space="preserve">paženi su slični rezultati </w:t>
      </w:r>
      <w:r w:rsidR="00E62774" w:rsidRPr="0047585D">
        <w:rPr>
          <w:lang w:val="sr-Latn-ME"/>
        </w:rPr>
        <w:t xml:space="preserve">medijane </w:t>
      </w:r>
      <w:r w:rsidRPr="0047585D">
        <w:rPr>
          <w:lang w:val="sr-Latn-ME"/>
        </w:rPr>
        <w:t xml:space="preserve">sveukupnog </w:t>
      </w:r>
      <w:r w:rsidR="001D5573" w:rsidRPr="0047585D">
        <w:rPr>
          <w:lang w:val="sr-Latn-ME"/>
        </w:rPr>
        <w:t>preživljavanj</w:t>
      </w:r>
      <w:r w:rsidRPr="0047585D">
        <w:rPr>
          <w:lang w:val="sr-Latn-ME"/>
        </w:rPr>
        <w:t xml:space="preserve">a u svim </w:t>
      </w:r>
      <w:r w:rsidR="006E3460" w:rsidRPr="0047585D">
        <w:rPr>
          <w:lang w:val="sr-Latn-ME"/>
        </w:rPr>
        <w:t>grupa</w:t>
      </w:r>
      <w:r w:rsidRPr="0047585D">
        <w:rPr>
          <w:lang w:val="sr-Latn-ME"/>
        </w:rPr>
        <w:t>ma (dobra, srednja, loša citogenetika, uključujući mono</w:t>
      </w:r>
      <w:r w:rsidR="001D5573" w:rsidRPr="0047585D">
        <w:rPr>
          <w:lang w:val="sr-Latn-ME"/>
        </w:rPr>
        <w:t>z</w:t>
      </w:r>
      <w:r w:rsidRPr="0047585D">
        <w:rPr>
          <w:lang w:val="sr-Latn-ME"/>
        </w:rPr>
        <w:t>omiju 7).</w:t>
      </w:r>
    </w:p>
    <w:p w14:paraId="27334881" w14:textId="77777777" w:rsidR="007D7964" w:rsidRPr="0047585D" w:rsidRDefault="007D7964" w:rsidP="00A56A66">
      <w:pPr>
        <w:pStyle w:val="BodyText"/>
        <w:jc w:val="both"/>
        <w:rPr>
          <w:lang w:val="sr-Latn-ME"/>
        </w:rPr>
      </w:pPr>
    </w:p>
    <w:p w14:paraId="65E32CAA" w14:textId="6DAA1A0D" w:rsidR="0084478E" w:rsidRPr="0047585D" w:rsidRDefault="00200D97" w:rsidP="00A56A66">
      <w:pPr>
        <w:pStyle w:val="BodyText"/>
        <w:jc w:val="both"/>
        <w:rPr>
          <w:lang w:val="sr-Latn-ME"/>
        </w:rPr>
      </w:pPr>
      <w:r w:rsidRPr="0047585D">
        <w:rPr>
          <w:lang w:val="sr-Latn-ME"/>
        </w:rPr>
        <w:t>U analizi</w:t>
      </w:r>
      <w:r w:rsidR="001D5573" w:rsidRPr="0047585D">
        <w:rPr>
          <w:lang w:val="sr-Latn-ME"/>
        </w:rPr>
        <w:t xml:space="preserve"> </w:t>
      </w:r>
      <w:r w:rsidR="00997C1E" w:rsidRPr="0047585D">
        <w:rPr>
          <w:lang w:val="sr-Latn-ME"/>
        </w:rPr>
        <w:t>starosnih</w:t>
      </w:r>
      <w:r w:rsidR="001D5573" w:rsidRPr="0047585D">
        <w:rPr>
          <w:lang w:val="sr-Latn-ME"/>
        </w:rPr>
        <w:t xml:space="preserve"> </w:t>
      </w:r>
      <w:r w:rsidRPr="0047585D">
        <w:rPr>
          <w:lang w:val="sr-Latn-ME"/>
        </w:rPr>
        <w:t>pod</w:t>
      </w:r>
      <w:r w:rsidR="006E3460" w:rsidRPr="0047585D">
        <w:rPr>
          <w:lang w:val="sr-Latn-ME"/>
        </w:rPr>
        <w:t>grup</w:t>
      </w:r>
      <w:r w:rsidRPr="0047585D">
        <w:rPr>
          <w:lang w:val="sr-Latn-ME"/>
        </w:rPr>
        <w:t xml:space="preserve">a zabilježeno je povećanje </w:t>
      </w:r>
      <w:r w:rsidR="00E62774" w:rsidRPr="0047585D">
        <w:rPr>
          <w:lang w:val="sr-Latn-ME"/>
        </w:rPr>
        <w:t xml:space="preserve">medijane </w:t>
      </w:r>
      <w:r w:rsidRPr="0047585D">
        <w:rPr>
          <w:lang w:val="sr-Latn-ME"/>
        </w:rPr>
        <w:t xml:space="preserve">sveukupnog </w:t>
      </w:r>
      <w:r w:rsidR="001D5573" w:rsidRPr="0047585D">
        <w:rPr>
          <w:lang w:val="sr-Latn-ME"/>
        </w:rPr>
        <w:t>preživljavanj</w:t>
      </w:r>
      <w:r w:rsidRPr="0047585D">
        <w:rPr>
          <w:lang w:val="sr-Latn-ME"/>
        </w:rPr>
        <w:t xml:space="preserve">a kod svih </w:t>
      </w:r>
      <w:r w:rsidR="006E3460" w:rsidRPr="0047585D">
        <w:rPr>
          <w:lang w:val="sr-Latn-ME"/>
        </w:rPr>
        <w:t>grup</w:t>
      </w:r>
      <w:r w:rsidRPr="0047585D">
        <w:rPr>
          <w:lang w:val="sr-Latn-ME"/>
        </w:rPr>
        <w:t>a (&lt; 65 godina, ≥ 65 godina i ≥ 75 godina).</w:t>
      </w:r>
    </w:p>
    <w:p w14:paraId="2246D734" w14:textId="77777777" w:rsidR="007D7964" w:rsidRPr="0047585D" w:rsidRDefault="007D7964" w:rsidP="00A56A66">
      <w:pPr>
        <w:pStyle w:val="BodyText"/>
        <w:jc w:val="both"/>
        <w:rPr>
          <w:lang w:val="sr-Latn-ME"/>
        </w:rPr>
      </w:pPr>
    </w:p>
    <w:p w14:paraId="57356866" w14:textId="2510C80F" w:rsidR="0084478E" w:rsidRPr="0047585D" w:rsidRDefault="00200D97" w:rsidP="00A56A66">
      <w:pPr>
        <w:pStyle w:val="BodyText"/>
        <w:jc w:val="both"/>
        <w:rPr>
          <w:lang w:val="sr-Latn-ME"/>
        </w:rPr>
      </w:pPr>
      <w:r w:rsidRPr="0047585D">
        <w:rPr>
          <w:lang w:val="sr-Latn-ME"/>
        </w:rPr>
        <w:t xml:space="preserve">Liječenje azacitidinom bilo je povezano s medijanom vremena do smrti ili </w:t>
      </w:r>
      <w:r w:rsidR="006E3460" w:rsidRPr="0047585D">
        <w:rPr>
          <w:lang w:val="sr-Latn-ME"/>
        </w:rPr>
        <w:t>konverzije</w:t>
      </w:r>
      <w:r w:rsidRPr="0047585D">
        <w:rPr>
          <w:lang w:val="sr-Latn-ME"/>
        </w:rPr>
        <w:t xml:space="preserve"> u AML</w:t>
      </w:r>
      <w:r w:rsidR="001D6056" w:rsidRPr="0047585D">
        <w:rPr>
          <w:lang w:val="sr-Latn-ME"/>
        </w:rPr>
        <w:t xml:space="preserve"> </w:t>
      </w:r>
      <w:r w:rsidRPr="0047585D">
        <w:rPr>
          <w:lang w:val="sr-Latn-ME"/>
        </w:rPr>
        <w:t xml:space="preserve">od 13,0 </w:t>
      </w:r>
      <w:r w:rsidRPr="0047585D">
        <w:rPr>
          <w:lang w:val="sr-Latn-ME"/>
        </w:rPr>
        <w:lastRenderedPageBreak/>
        <w:t xml:space="preserve">mjeseci naspram 7,6 mjeseci za </w:t>
      </w:r>
      <w:r w:rsidR="00862A19" w:rsidRPr="0047585D">
        <w:rPr>
          <w:lang w:val="sr-Latn-ME"/>
        </w:rPr>
        <w:t>pacijent</w:t>
      </w:r>
      <w:r w:rsidRPr="0047585D">
        <w:rPr>
          <w:lang w:val="sr-Latn-ME"/>
        </w:rPr>
        <w:t>e liječene CCR-om, što je poboljšanje od 5,4 mjeseci sa stratifi</w:t>
      </w:r>
      <w:r w:rsidR="006E3460" w:rsidRPr="0047585D">
        <w:rPr>
          <w:lang w:val="sr-Latn-ME"/>
        </w:rPr>
        <w:t>kova</w:t>
      </w:r>
      <w:r w:rsidRPr="0047585D">
        <w:rPr>
          <w:lang w:val="sr-Latn-ME"/>
        </w:rPr>
        <w:t>nom log-rang p-vrijednošću od 0,0025.</w:t>
      </w:r>
    </w:p>
    <w:p w14:paraId="0FD7AF29" w14:textId="77777777" w:rsidR="007D7964" w:rsidRPr="0047585D" w:rsidRDefault="007D7964" w:rsidP="00A56A66">
      <w:pPr>
        <w:pStyle w:val="BodyText"/>
        <w:jc w:val="both"/>
        <w:rPr>
          <w:lang w:val="sr-Latn-ME"/>
        </w:rPr>
      </w:pPr>
    </w:p>
    <w:p w14:paraId="36F2E773" w14:textId="31B6459B" w:rsidR="0084478E" w:rsidRPr="0047585D" w:rsidRDefault="00200D97" w:rsidP="00A56A66">
      <w:pPr>
        <w:pStyle w:val="BodyText"/>
        <w:jc w:val="both"/>
        <w:rPr>
          <w:lang w:val="sr-Latn-ME"/>
        </w:rPr>
      </w:pPr>
      <w:r w:rsidRPr="0047585D">
        <w:rPr>
          <w:lang w:val="sr-Latn-ME"/>
        </w:rPr>
        <w:t>Liječenje azacitidinom takođe je bilo povezano sa smanjenjem citopenija i s njima povezani</w:t>
      </w:r>
      <w:r w:rsidR="001D5573" w:rsidRPr="0047585D">
        <w:rPr>
          <w:lang w:val="sr-Latn-ME"/>
        </w:rPr>
        <w:t>h</w:t>
      </w:r>
      <w:r w:rsidRPr="0047585D">
        <w:rPr>
          <w:lang w:val="sr-Latn-ME"/>
        </w:rPr>
        <w:t xml:space="preserve"> simptoma. Liječenje azacitidinom smanjilo je potrebu za transfuzijom crvenih krvnih </w:t>
      </w:r>
      <w:r w:rsidR="006E3460" w:rsidRPr="0047585D">
        <w:rPr>
          <w:lang w:val="sr-Latn-ME"/>
        </w:rPr>
        <w:t>ćelij</w:t>
      </w:r>
      <w:r w:rsidRPr="0047585D">
        <w:rPr>
          <w:lang w:val="sr-Latn-ME"/>
        </w:rPr>
        <w:t xml:space="preserve">a i trombocita. Od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a u</w:t>
      </w:r>
      <w:r w:rsidR="006E3460" w:rsidRPr="0047585D">
        <w:rPr>
          <w:lang w:val="sr-Latn-ME"/>
        </w:rPr>
        <w:t xml:space="preserve"> grup</w:t>
      </w:r>
      <w:r w:rsidRPr="0047585D">
        <w:rPr>
          <w:lang w:val="sr-Latn-ME"/>
        </w:rPr>
        <w:t xml:space="preserve">i liječenoj azacitidinom koji su na početku bili </w:t>
      </w:r>
      <w:r w:rsidR="006E3460" w:rsidRPr="0047585D">
        <w:rPr>
          <w:lang w:val="sr-Latn-ME"/>
        </w:rPr>
        <w:t>za</w:t>
      </w:r>
      <w:r w:rsidRPr="0047585D">
        <w:rPr>
          <w:lang w:val="sr-Latn-ME"/>
        </w:rPr>
        <w:t>visni o</w:t>
      </w:r>
      <w:r w:rsidR="006E3460" w:rsidRPr="0047585D">
        <w:rPr>
          <w:lang w:val="sr-Latn-ME"/>
        </w:rPr>
        <w:t>d</w:t>
      </w:r>
      <w:r w:rsidRPr="0047585D">
        <w:rPr>
          <w:lang w:val="sr-Latn-ME"/>
        </w:rPr>
        <w:t xml:space="preserve"> transfuzij</w:t>
      </w:r>
      <w:r w:rsidR="006E3460" w:rsidRPr="0047585D">
        <w:rPr>
          <w:lang w:val="sr-Latn-ME"/>
        </w:rPr>
        <w:t>e</w:t>
      </w:r>
      <w:r w:rsidRPr="0047585D">
        <w:rPr>
          <w:lang w:val="sr-Latn-ME"/>
        </w:rPr>
        <w:t xml:space="preserve"> eritrocita, </w:t>
      </w:r>
      <w:r w:rsidR="005D04EB" w:rsidRPr="0047585D">
        <w:rPr>
          <w:lang w:val="sr-Latn-ME"/>
        </w:rPr>
        <w:t>tokom</w:t>
      </w:r>
      <w:r w:rsidRPr="0047585D">
        <w:rPr>
          <w:lang w:val="sr-Latn-ME"/>
        </w:rPr>
        <w:t xml:space="preserve"> liječenja ih je 45 % postalo ne</w:t>
      </w:r>
      <w:r w:rsidR="006E3460" w:rsidRPr="0047585D">
        <w:rPr>
          <w:lang w:val="sr-Latn-ME"/>
        </w:rPr>
        <w:t>za</w:t>
      </w:r>
      <w:r w:rsidRPr="0047585D">
        <w:rPr>
          <w:lang w:val="sr-Latn-ME"/>
        </w:rPr>
        <w:t>visno o</w:t>
      </w:r>
      <w:r w:rsidR="006E3460" w:rsidRPr="0047585D">
        <w:rPr>
          <w:lang w:val="sr-Latn-ME"/>
        </w:rPr>
        <w:t>d</w:t>
      </w:r>
      <w:r w:rsidRPr="0047585D">
        <w:rPr>
          <w:lang w:val="sr-Latn-ME"/>
        </w:rPr>
        <w:t xml:space="preserve"> transfuzij</w:t>
      </w:r>
      <w:r w:rsidR="006E3460" w:rsidRPr="0047585D">
        <w:rPr>
          <w:lang w:val="sr-Latn-ME"/>
        </w:rPr>
        <w:t>e</w:t>
      </w:r>
      <w:r w:rsidRPr="0047585D">
        <w:rPr>
          <w:lang w:val="sr-Latn-ME"/>
        </w:rPr>
        <w:t xml:space="preserve"> eritrocita, u </w:t>
      </w:r>
      <w:r w:rsidR="006E3460" w:rsidRPr="0047585D">
        <w:rPr>
          <w:lang w:val="sr-Latn-ME"/>
        </w:rPr>
        <w:t>poređenju</w:t>
      </w:r>
      <w:r w:rsidRPr="0047585D">
        <w:rPr>
          <w:lang w:val="sr-Latn-ME"/>
        </w:rPr>
        <w:t xml:space="preserve"> s 11,4 % </w:t>
      </w:r>
      <w:r w:rsidR="00862A19" w:rsidRPr="0047585D">
        <w:rPr>
          <w:lang w:val="sr-Latn-ME"/>
        </w:rPr>
        <w:t>pacijen</w:t>
      </w:r>
      <w:r w:rsidR="00D400DA" w:rsidRPr="0047585D">
        <w:rPr>
          <w:lang w:val="sr-Latn-ME"/>
        </w:rPr>
        <w:t>a</w:t>
      </w:r>
      <w:r w:rsidR="00862A19" w:rsidRPr="0047585D">
        <w:rPr>
          <w:lang w:val="sr-Latn-ME"/>
        </w:rPr>
        <w:t>t</w:t>
      </w:r>
      <w:r w:rsidRPr="0047585D">
        <w:rPr>
          <w:lang w:val="sr-Latn-ME"/>
        </w:rPr>
        <w:t>a u komb</w:t>
      </w:r>
      <w:r w:rsidR="006E3460" w:rsidRPr="0047585D">
        <w:rPr>
          <w:lang w:val="sr-Latn-ME"/>
        </w:rPr>
        <w:t>inova</w:t>
      </w:r>
      <w:r w:rsidRPr="0047585D">
        <w:rPr>
          <w:lang w:val="sr-Latn-ME"/>
        </w:rPr>
        <w:t xml:space="preserve">nim </w:t>
      </w:r>
      <w:r w:rsidR="006E3460" w:rsidRPr="0047585D">
        <w:rPr>
          <w:lang w:val="sr-Latn-ME"/>
        </w:rPr>
        <w:t>grup</w:t>
      </w:r>
      <w:r w:rsidRPr="0047585D">
        <w:rPr>
          <w:lang w:val="sr-Latn-ME"/>
        </w:rPr>
        <w:t>ama liječenih CCR-om, te je razlika i statistički značajna (p</w:t>
      </w:r>
      <w:r w:rsidR="006E3460" w:rsidRPr="0047585D">
        <w:rPr>
          <w:lang w:val="sr-Latn-ME"/>
        </w:rPr>
        <w:t xml:space="preserve"> </w:t>
      </w:r>
      <w:r w:rsidRPr="0047585D">
        <w:rPr>
          <w:lang w:val="sr-Latn-ME"/>
        </w:rPr>
        <w:t xml:space="preserve">&lt; 0,0001) od 33,6 % (95 % CI: 22,4, 44,6). Kod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a koji su ne</w:t>
      </w:r>
      <w:r w:rsidR="006E3460" w:rsidRPr="0047585D">
        <w:rPr>
          <w:lang w:val="sr-Latn-ME"/>
        </w:rPr>
        <w:t>za</w:t>
      </w:r>
      <w:r w:rsidRPr="0047585D">
        <w:rPr>
          <w:lang w:val="sr-Latn-ME"/>
        </w:rPr>
        <w:t>visni o</w:t>
      </w:r>
      <w:r w:rsidR="006E3460" w:rsidRPr="0047585D">
        <w:rPr>
          <w:lang w:val="sr-Latn-ME"/>
        </w:rPr>
        <w:t>d</w:t>
      </w:r>
      <w:r w:rsidRPr="0047585D">
        <w:rPr>
          <w:lang w:val="sr-Latn-ME"/>
        </w:rPr>
        <w:t xml:space="preserve"> transfuzij</w:t>
      </w:r>
      <w:r w:rsidR="006E3460" w:rsidRPr="0047585D">
        <w:rPr>
          <w:lang w:val="sr-Latn-ME"/>
        </w:rPr>
        <w:t>e</w:t>
      </w:r>
      <w:r w:rsidRPr="0047585D">
        <w:rPr>
          <w:lang w:val="sr-Latn-ME"/>
        </w:rPr>
        <w:t xml:space="preserve"> eritrocita, a bili su </w:t>
      </w:r>
      <w:r w:rsidR="006E3460" w:rsidRPr="0047585D">
        <w:rPr>
          <w:lang w:val="sr-Latn-ME"/>
        </w:rPr>
        <w:t>za</w:t>
      </w:r>
      <w:r w:rsidRPr="0047585D">
        <w:rPr>
          <w:lang w:val="sr-Latn-ME"/>
        </w:rPr>
        <w:t xml:space="preserve">visni na početku liječenja, u </w:t>
      </w:r>
      <w:r w:rsidR="006E3460" w:rsidRPr="0047585D">
        <w:rPr>
          <w:lang w:val="sr-Latn-ME"/>
        </w:rPr>
        <w:t>grup</w:t>
      </w:r>
      <w:r w:rsidRPr="0047585D">
        <w:rPr>
          <w:lang w:val="sr-Latn-ME"/>
        </w:rPr>
        <w:t>i liječenoj azacitidinom medijan</w:t>
      </w:r>
      <w:r w:rsidR="00E62774" w:rsidRPr="0047585D">
        <w:rPr>
          <w:lang w:val="sr-Latn-ME"/>
        </w:rPr>
        <w:t>a</w:t>
      </w:r>
      <w:r w:rsidRPr="0047585D">
        <w:rPr>
          <w:lang w:val="sr-Latn-ME"/>
        </w:rPr>
        <w:t xml:space="preserve"> trajanja ne</w:t>
      </w:r>
      <w:r w:rsidR="006E3460" w:rsidRPr="0047585D">
        <w:rPr>
          <w:lang w:val="sr-Latn-ME"/>
        </w:rPr>
        <w:t>za</w:t>
      </w:r>
      <w:r w:rsidRPr="0047585D">
        <w:rPr>
          <w:lang w:val="sr-Latn-ME"/>
        </w:rPr>
        <w:t>visnosti o</w:t>
      </w:r>
      <w:r w:rsidR="001D5573" w:rsidRPr="0047585D">
        <w:rPr>
          <w:lang w:val="sr-Latn-ME"/>
        </w:rPr>
        <w:t>d</w:t>
      </w:r>
      <w:r w:rsidRPr="0047585D">
        <w:rPr>
          <w:lang w:val="sr-Latn-ME"/>
        </w:rPr>
        <w:t xml:space="preserve"> transfuzij</w:t>
      </w:r>
      <w:r w:rsidR="001D5573" w:rsidRPr="0047585D">
        <w:rPr>
          <w:lang w:val="sr-Latn-ME"/>
        </w:rPr>
        <w:t>e</w:t>
      </w:r>
      <w:r w:rsidRPr="0047585D">
        <w:rPr>
          <w:lang w:val="sr-Latn-ME"/>
        </w:rPr>
        <w:t xml:space="preserve"> eritrocita </w:t>
      </w:r>
      <w:r w:rsidR="00E62774" w:rsidRPr="0047585D">
        <w:rPr>
          <w:lang w:val="sr-Latn-ME"/>
        </w:rPr>
        <w:t xml:space="preserve">bila </w:t>
      </w:r>
      <w:r w:rsidRPr="0047585D">
        <w:rPr>
          <w:lang w:val="sr-Latn-ME"/>
        </w:rPr>
        <w:t>je 13 mjeseci.</w:t>
      </w:r>
    </w:p>
    <w:p w14:paraId="4C997796" w14:textId="77777777" w:rsidR="007D7964" w:rsidRPr="0047585D" w:rsidRDefault="007D7964" w:rsidP="00A56A66">
      <w:pPr>
        <w:pStyle w:val="BodyText"/>
        <w:jc w:val="both"/>
        <w:rPr>
          <w:lang w:val="sr-Latn-ME"/>
        </w:rPr>
      </w:pPr>
    </w:p>
    <w:p w14:paraId="1FA5EAD1" w14:textId="77777777" w:rsidR="0084478E" w:rsidRPr="0047585D" w:rsidRDefault="00200D97" w:rsidP="00A56A66">
      <w:pPr>
        <w:pStyle w:val="BodyText"/>
        <w:jc w:val="both"/>
        <w:rPr>
          <w:lang w:val="sr-Latn-ME"/>
        </w:rPr>
      </w:pPr>
      <w:r w:rsidRPr="0047585D">
        <w:rPr>
          <w:lang w:val="sr-Latn-ME"/>
        </w:rPr>
        <w:t>Odgovor su procjenjivali istraživač ili ne</w:t>
      </w:r>
      <w:r w:rsidR="006E3460" w:rsidRPr="0047585D">
        <w:rPr>
          <w:lang w:val="sr-Latn-ME"/>
        </w:rPr>
        <w:t>za</w:t>
      </w:r>
      <w:r w:rsidRPr="0047585D">
        <w:rPr>
          <w:lang w:val="sr-Latn-ME"/>
        </w:rPr>
        <w:t>visn</w:t>
      </w:r>
      <w:r w:rsidR="001D5573" w:rsidRPr="0047585D">
        <w:rPr>
          <w:lang w:val="sr-Latn-ME"/>
        </w:rPr>
        <w:t>i</w:t>
      </w:r>
      <w:r w:rsidRPr="0047585D">
        <w:rPr>
          <w:lang w:val="sr-Latn-ME"/>
        </w:rPr>
        <w:t xml:space="preserve"> stručn</w:t>
      </w:r>
      <w:r w:rsidR="001D5573" w:rsidRPr="0047585D">
        <w:rPr>
          <w:lang w:val="sr-Latn-ME"/>
        </w:rPr>
        <w:t>i komitet</w:t>
      </w:r>
      <w:r w:rsidRPr="0047585D">
        <w:rPr>
          <w:lang w:val="sr-Latn-ME"/>
        </w:rPr>
        <w:t xml:space="preserve"> (engl. </w:t>
      </w:r>
      <w:r w:rsidRPr="0047585D">
        <w:rPr>
          <w:i/>
          <w:lang w:val="sr-Latn-ME"/>
        </w:rPr>
        <w:t xml:space="preserve">Independent Review Committee, </w:t>
      </w:r>
      <w:r w:rsidRPr="0047585D">
        <w:rPr>
          <w:lang w:val="sr-Latn-ME"/>
        </w:rPr>
        <w:t xml:space="preserve">IRC). Ukupni odgovor (potpuna remisija [engl. </w:t>
      </w:r>
      <w:r w:rsidRPr="0047585D">
        <w:rPr>
          <w:i/>
          <w:lang w:val="sr-Latn-ME"/>
        </w:rPr>
        <w:t>complete remission</w:t>
      </w:r>
      <w:r w:rsidRPr="0047585D">
        <w:rPr>
          <w:lang w:val="sr-Latn-ME"/>
        </w:rPr>
        <w:t>, CR] + djel</w:t>
      </w:r>
      <w:r w:rsidR="006E3460" w:rsidRPr="0047585D">
        <w:rPr>
          <w:lang w:val="sr-Latn-ME"/>
        </w:rPr>
        <w:t>i</w:t>
      </w:r>
      <w:r w:rsidRPr="0047585D">
        <w:rPr>
          <w:lang w:val="sr-Latn-ME"/>
        </w:rPr>
        <w:t xml:space="preserve">mična remisija [engl. </w:t>
      </w:r>
      <w:r w:rsidRPr="0047585D">
        <w:rPr>
          <w:i/>
          <w:lang w:val="sr-Latn-ME"/>
        </w:rPr>
        <w:t xml:space="preserve">partial remission, </w:t>
      </w:r>
      <w:r w:rsidRPr="0047585D">
        <w:rPr>
          <w:lang w:val="sr-Latn-ME"/>
        </w:rPr>
        <w:t xml:space="preserve">PR]) utvrđen od istraživača bio je 29 % u </w:t>
      </w:r>
      <w:r w:rsidR="006E3460" w:rsidRPr="0047585D">
        <w:rPr>
          <w:lang w:val="sr-Latn-ME"/>
        </w:rPr>
        <w:t>grup</w:t>
      </w:r>
      <w:r w:rsidRPr="0047585D">
        <w:rPr>
          <w:lang w:val="sr-Latn-ME"/>
        </w:rPr>
        <w:t>i liječenoj azacitidinom i 12 % u kombin</w:t>
      </w:r>
      <w:r w:rsidR="006E3460" w:rsidRPr="0047585D">
        <w:rPr>
          <w:lang w:val="sr-Latn-ME"/>
        </w:rPr>
        <w:t>ova</w:t>
      </w:r>
      <w:r w:rsidRPr="0047585D">
        <w:rPr>
          <w:lang w:val="sr-Latn-ME"/>
        </w:rPr>
        <w:t xml:space="preserve">nim </w:t>
      </w:r>
      <w:r w:rsidR="006E3460" w:rsidRPr="0047585D">
        <w:rPr>
          <w:lang w:val="sr-Latn-ME"/>
        </w:rPr>
        <w:t>grupam</w:t>
      </w:r>
      <w:r w:rsidRPr="0047585D">
        <w:rPr>
          <w:lang w:val="sr-Latn-ME"/>
        </w:rPr>
        <w:t xml:space="preserve">a liječenim CCR-om (p = 0,0001). Ukupni odgovor (CR + PR) koji je utvrdio IRC u AZA PH GL 2003 CL 001 bio je 7 % (12/179) u </w:t>
      </w:r>
      <w:r w:rsidR="006E3460" w:rsidRPr="0047585D">
        <w:rPr>
          <w:lang w:val="sr-Latn-ME"/>
        </w:rPr>
        <w:t>grup</w:t>
      </w:r>
      <w:r w:rsidRPr="0047585D">
        <w:rPr>
          <w:lang w:val="sr-Latn-ME"/>
        </w:rPr>
        <w:t xml:space="preserve">i liječenoj azacitidinom u </w:t>
      </w:r>
      <w:r w:rsidR="006E3460" w:rsidRPr="0047585D">
        <w:rPr>
          <w:lang w:val="sr-Latn-ME"/>
        </w:rPr>
        <w:t>poređenju</w:t>
      </w:r>
      <w:r w:rsidRPr="0047585D">
        <w:rPr>
          <w:lang w:val="sr-Latn-ME"/>
        </w:rPr>
        <w:t xml:space="preserve"> s 1 % (2/179) u kombin</w:t>
      </w:r>
      <w:r w:rsidR="006E3460" w:rsidRPr="0047585D">
        <w:rPr>
          <w:lang w:val="sr-Latn-ME"/>
        </w:rPr>
        <w:t>ovanoj grup</w:t>
      </w:r>
      <w:r w:rsidRPr="0047585D">
        <w:rPr>
          <w:lang w:val="sr-Latn-ME"/>
        </w:rPr>
        <w:t>i liječenoj CCR-om (p = 0,0113).</w:t>
      </w:r>
    </w:p>
    <w:p w14:paraId="3B2E04B4" w14:textId="77777777" w:rsidR="0084478E" w:rsidRPr="0047585D" w:rsidRDefault="00200D97" w:rsidP="00A56A66">
      <w:pPr>
        <w:pStyle w:val="BodyText"/>
        <w:jc w:val="both"/>
        <w:rPr>
          <w:lang w:val="sr-Latn-ME"/>
        </w:rPr>
      </w:pPr>
      <w:r w:rsidRPr="0047585D">
        <w:rPr>
          <w:lang w:val="sr-Latn-ME"/>
        </w:rPr>
        <w:t>Razlike između procjena odgovora IRC-a i istraživača posljedice su kriterij</w:t>
      </w:r>
      <w:r w:rsidR="006E3460" w:rsidRPr="0047585D">
        <w:rPr>
          <w:lang w:val="sr-Latn-ME"/>
        </w:rPr>
        <w:t>um</w:t>
      </w:r>
      <w:r w:rsidRPr="0047585D">
        <w:rPr>
          <w:lang w:val="sr-Latn-ME"/>
        </w:rPr>
        <w:t xml:space="preserve">a Međunarodne radne </w:t>
      </w:r>
      <w:r w:rsidR="006E3460" w:rsidRPr="0047585D">
        <w:rPr>
          <w:lang w:val="sr-Latn-ME"/>
        </w:rPr>
        <w:t>grup</w:t>
      </w:r>
      <w:r w:rsidRPr="0047585D">
        <w:rPr>
          <w:lang w:val="sr-Latn-ME"/>
        </w:rPr>
        <w:t xml:space="preserve">e (engl. </w:t>
      </w:r>
      <w:r w:rsidRPr="0047585D">
        <w:rPr>
          <w:i/>
          <w:lang w:val="sr-Latn-ME"/>
        </w:rPr>
        <w:t xml:space="preserve">International Working Group, </w:t>
      </w:r>
      <w:r w:rsidRPr="0047585D">
        <w:rPr>
          <w:lang w:val="sr-Latn-ME"/>
        </w:rPr>
        <w:t xml:space="preserve">IWG) koji zahtijevaju poboljšanje periferne krvne slike i održavanje tih poboljšanja </w:t>
      </w:r>
      <w:r w:rsidR="005D04EB" w:rsidRPr="0047585D">
        <w:rPr>
          <w:lang w:val="sr-Latn-ME"/>
        </w:rPr>
        <w:t>tokom</w:t>
      </w:r>
      <w:r w:rsidRPr="0047585D">
        <w:rPr>
          <w:lang w:val="sr-Latn-ME"/>
        </w:rPr>
        <w:t xml:space="preserve"> minimalno 56 dana. Takođe je dokazano poboljšanje </w:t>
      </w:r>
      <w:r w:rsidR="001D5573" w:rsidRPr="0047585D">
        <w:rPr>
          <w:lang w:val="sr-Latn-ME"/>
        </w:rPr>
        <w:t>preživljavanj</w:t>
      </w:r>
      <w:r w:rsidRPr="0047585D">
        <w:rPr>
          <w:lang w:val="sr-Latn-ME"/>
        </w:rPr>
        <w:t xml:space="preserve">a kod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a kod kojih nije postignut potpuni/djel</w:t>
      </w:r>
      <w:r w:rsidR="006E3460" w:rsidRPr="0047585D">
        <w:rPr>
          <w:lang w:val="sr-Latn-ME"/>
        </w:rPr>
        <w:t>i</w:t>
      </w:r>
      <w:r w:rsidRPr="0047585D">
        <w:rPr>
          <w:lang w:val="sr-Latn-ME"/>
        </w:rPr>
        <w:t>mični odgovor nakon liječenja azacitidinom.</w:t>
      </w:r>
    </w:p>
    <w:p w14:paraId="6F7750BE" w14:textId="42010860" w:rsidR="0084478E" w:rsidRPr="0047585D" w:rsidRDefault="00200D97" w:rsidP="00A56A66">
      <w:pPr>
        <w:pStyle w:val="BodyText"/>
        <w:jc w:val="both"/>
        <w:rPr>
          <w:lang w:val="sr-Latn-ME"/>
        </w:rPr>
      </w:pPr>
      <w:r w:rsidRPr="0047585D">
        <w:rPr>
          <w:lang w:val="sr-Latn-ME"/>
        </w:rPr>
        <w:t xml:space="preserve">Hematološko poboljšanje (veće ili manje) koje je ustanovio IRC postignuto je kod 49 %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 xml:space="preserve">a koji su primali azacitidin u odnosu na 29 %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a koji su liječeni kombin</w:t>
      </w:r>
      <w:r w:rsidR="006E3460" w:rsidRPr="0047585D">
        <w:rPr>
          <w:lang w:val="sr-Latn-ME"/>
        </w:rPr>
        <w:t>ov</w:t>
      </w:r>
      <w:r w:rsidRPr="0047585D">
        <w:rPr>
          <w:lang w:val="sr-Latn-ME"/>
        </w:rPr>
        <w:t>ano CCR-om (p &lt; 0,0001).</w:t>
      </w:r>
    </w:p>
    <w:p w14:paraId="3CAB27B6" w14:textId="77777777" w:rsidR="007D7964" w:rsidRPr="0047585D" w:rsidRDefault="007D7964" w:rsidP="00A56A66">
      <w:pPr>
        <w:pStyle w:val="BodyText"/>
        <w:jc w:val="both"/>
        <w:rPr>
          <w:lang w:val="sr-Latn-ME"/>
        </w:rPr>
      </w:pPr>
    </w:p>
    <w:p w14:paraId="4F6183AE" w14:textId="131F9D70" w:rsidR="0084478E" w:rsidRPr="0047585D" w:rsidRDefault="00200D97" w:rsidP="00A56A66">
      <w:pPr>
        <w:pStyle w:val="BodyText"/>
        <w:jc w:val="both"/>
        <w:rPr>
          <w:lang w:val="sr-Latn-ME"/>
        </w:rPr>
      </w:pPr>
      <w:r w:rsidRPr="0047585D">
        <w:rPr>
          <w:lang w:val="sr-Latn-ME"/>
        </w:rPr>
        <w:t xml:space="preserve">Kod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a s jednom ili više citogen</w:t>
      </w:r>
      <w:r w:rsidR="00EC244C" w:rsidRPr="0047585D">
        <w:rPr>
          <w:lang w:val="sr-Latn-ME"/>
        </w:rPr>
        <w:t>etskih</w:t>
      </w:r>
      <w:r w:rsidRPr="0047585D">
        <w:rPr>
          <w:lang w:val="sr-Latn-ME"/>
        </w:rPr>
        <w:t xml:space="preserve"> abnormalnosti na početku liječenja, p</w:t>
      </w:r>
      <w:r w:rsidR="001D5573" w:rsidRPr="0047585D">
        <w:rPr>
          <w:lang w:val="sr-Latn-ME"/>
        </w:rPr>
        <w:t>rocenat</w:t>
      </w:r>
      <w:r w:rsidRPr="0047585D">
        <w:rPr>
          <w:lang w:val="sr-Latn-ME"/>
        </w:rPr>
        <w:t xml:space="preserve"> </w:t>
      </w:r>
      <w:r w:rsidR="00862A19" w:rsidRPr="0047585D">
        <w:rPr>
          <w:lang w:val="sr-Latn-ME"/>
        </w:rPr>
        <w:t>pacijen</w:t>
      </w:r>
      <w:r w:rsidR="006E3460" w:rsidRPr="0047585D">
        <w:rPr>
          <w:lang w:val="sr-Latn-ME"/>
        </w:rPr>
        <w:t>a</w:t>
      </w:r>
      <w:r w:rsidR="00862A19" w:rsidRPr="0047585D">
        <w:rPr>
          <w:lang w:val="sr-Latn-ME"/>
        </w:rPr>
        <w:t>t</w:t>
      </w:r>
      <w:r w:rsidRPr="0047585D">
        <w:rPr>
          <w:lang w:val="sr-Latn-ME"/>
        </w:rPr>
        <w:t>a sa zna</w:t>
      </w:r>
      <w:r w:rsidR="001D5573" w:rsidRPr="0047585D">
        <w:rPr>
          <w:lang w:val="sr-Latn-ME"/>
        </w:rPr>
        <w:t>čajnim</w:t>
      </w:r>
      <w:r w:rsidRPr="0047585D">
        <w:rPr>
          <w:lang w:val="sr-Latn-ME"/>
        </w:rPr>
        <w:t xml:space="preserve"> citogenet</w:t>
      </w:r>
      <w:r w:rsidR="00EC244C" w:rsidRPr="0047585D">
        <w:rPr>
          <w:lang w:val="sr-Latn-ME"/>
        </w:rPr>
        <w:t>skim</w:t>
      </w:r>
      <w:r w:rsidRPr="0047585D">
        <w:rPr>
          <w:lang w:val="sr-Latn-ME"/>
        </w:rPr>
        <w:t xml:space="preserve"> odgovorom bio je sličan u </w:t>
      </w:r>
      <w:r w:rsidR="006E3460" w:rsidRPr="0047585D">
        <w:rPr>
          <w:lang w:val="sr-Latn-ME"/>
        </w:rPr>
        <w:t>grup</w:t>
      </w:r>
      <w:r w:rsidRPr="0047585D">
        <w:rPr>
          <w:lang w:val="sr-Latn-ME"/>
        </w:rPr>
        <w:t>i liječenoj azacitidinom i kombin</w:t>
      </w:r>
      <w:r w:rsidR="006E3460" w:rsidRPr="0047585D">
        <w:rPr>
          <w:lang w:val="sr-Latn-ME"/>
        </w:rPr>
        <w:t>ovanim grupam</w:t>
      </w:r>
      <w:r w:rsidRPr="0047585D">
        <w:rPr>
          <w:lang w:val="sr-Latn-ME"/>
        </w:rPr>
        <w:t xml:space="preserve">a liječenim CCR-om. </w:t>
      </w:r>
      <w:r w:rsidR="00EC244C" w:rsidRPr="0047585D">
        <w:rPr>
          <w:lang w:val="sr-Latn-ME"/>
        </w:rPr>
        <w:t>Slabiji citogenetski</w:t>
      </w:r>
      <w:r w:rsidRPr="0047585D">
        <w:rPr>
          <w:lang w:val="sr-Latn-ME"/>
        </w:rPr>
        <w:t>i odgovor bio je statistički značajno veći</w:t>
      </w:r>
      <w:r w:rsidR="006E3460" w:rsidRPr="0047585D">
        <w:rPr>
          <w:lang w:val="sr-Latn-ME"/>
        </w:rPr>
        <w:t xml:space="preserve"> </w:t>
      </w:r>
      <w:r w:rsidRPr="0047585D">
        <w:rPr>
          <w:lang w:val="sr-Latn-ME"/>
        </w:rPr>
        <w:t xml:space="preserve">(p = 0,0015) u </w:t>
      </w:r>
      <w:r w:rsidR="006E3460" w:rsidRPr="0047585D">
        <w:rPr>
          <w:lang w:val="sr-Latn-ME"/>
        </w:rPr>
        <w:t>grupi</w:t>
      </w:r>
      <w:r w:rsidRPr="0047585D">
        <w:rPr>
          <w:lang w:val="sr-Latn-ME"/>
        </w:rPr>
        <w:t xml:space="preserve"> liječenoj azacitidinom (34 %) u odnosu na kombin</w:t>
      </w:r>
      <w:r w:rsidR="006E3460" w:rsidRPr="0047585D">
        <w:rPr>
          <w:lang w:val="sr-Latn-ME"/>
        </w:rPr>
        <w:t>ovane grup</w:t>
      </w:r>
      <w:r w:rsidRPr="0047585D">
        <w:rPr>
          <w:lang w:val="sr-Latn-ME"/>
        </w:rPr>
        <w:t>e liječene CCR-om (10 %).</w:t>
      </w:r>
    </w:p>
    <w:p w14:paraId="3EE79C04" w14:textId="77777777" w:rsidR="00262B3A" w:rsidRPr="0047585D" w:rsidRDefault="00262B3A" w:rsidP="00A56A66">
      <w:pPr>
        <w:pStyle w:val="BodyText"/>
        <w:jc w:val="both"/>
        <w:rPr>
          <w:lang w:val="sr-Latn-ME"/>
        </w:rPr>
      </w:pPr>
    </w:p>
    <w:p w14:paraId="6B059163" w14:textId="77777777" w:rsidR="006E3460" w:rsidRPr="0047585D" w:rsidRDefault="00200D97" w:rsidP="00A56A66">
      <w:pPr>
        <w:pStyle w:val="BodyText"/>
        <w:jc w:val="both"/>
        <w:rPr>
          <w:i/>
          <w:lang w:val="sr-Latn-ME"/>
        </w:rPr>
      </w:pPr>
      <w:r w:rsidRPr="0047585D">
        <w:rPr>
          <w:i/>
          <w:lang w:val="sr-Latn-ME"/>
        </w:rPr>
        <w:t xml:space="preserve">Odrasla populacija </w:t>
      </w:r>
      <w:r w:rsidR="00862A19" w:rsidRPr="0047585D">
        <w:rPr>
          <w:i/>
          <w:lang w:val="sr-Latn-ME"/>
        </w:rPr>
        <w:t>uzrasta</w:t>
      </w:r>
      <w:r w:rsidRPr="0047585D">
        <w:rPr>
          <w:i/>
          <w:lang w:val="sr-Latn-ME"/>
        </w:rPr>
        <w:t xml:space="preserve"> od 65 ili više godina s AML-om s &gt; 30 % blasta u koštanoj srži </w:t>
      </w:r>
    </w:p>
    <w:p w14:paraId="4FA76160" w14:textId="38991FE7" w:rsidR="0084478E" w:rsidRPr="0047585D" w:rsidRDefault="001D5573" w:rsidP="00A56A66">
      <w:pPr>
        <w:pStyle w:val="BodyText"/>
        <w:jc w:val="both"/>
        <w:rPr>
          <w:lang w:val="sr-Latn-ME"/>
        </w:rPr>
      </w:pPr>
      <w:r w:rsidRPr="0047585D">
        <w:rPr>
          <w:lang w:val="sr-Latn-ME"/>
        </w:rPr>
        <w:t>Ispod</w:t>
      </w:r>
      <w:r w:rsidR="00200D97" w:rsidRPr="0047585D">
        <w:rPr>
          <w:lang w:val="sr-Latn-ME"/>
        </w:rPr>
        <w:t xml:space="preserve"> prikazani podaci odnose se na </w:t>
      </w:r>
      <w:r w:rsidR="004F3CC3" w:rsidRPr="0047585D">
        <w:rPr>
          <w:lang w:val="sr-Latn-ME"/>
        </w:rPr>
        <w:t xml:space="preserve">ITT </w:t>
      </w:r>
      <w:r w:rsidR="00200D97" w:rsidRPr="0047585D">
        <w:rPr>
          <w:lang w:val="sr-Latn-ME"/>
        </w:rPr>
        <w:t>populaciju u ispitivanju AZA-AML-001 (vidjeti dio 4.1 za odobrene indikacije).</w:t>
      </w:r>
    </w:p>
    <w:p w14:paraId="75951F66" w14:textId="77777777" w:rsidR="00262B3A" w:rsidRPr="0047585D" w:rsidRDefault="00262B3A" w:rsidP="00A56A66">
      <w:pPr>
        <w:pStyle w:val="BodyText"/>
        <w:jc w:val="both"/>
        <w:rPr>
          <w:lang w:val="sr-Latn-ME"/>
        </w:rPr>
      </w:pPr>
    </w:p>
    <w:p w14:paraId="634F749E" w14:textId="15A4B727" w:rsidR="0084478E" w:rsidRPr="0047585D" w:rsidRDefault="00862A19" w:rsidP="00A56A66">
      <w:pPr>
        <w:pStyle w:val="BodyText"/>
        <w:jc w:val="both"/>
        <w:rPr>
          <w:lang w:val="sr-Latn-ME"/>
        </w:rPr>
      </w:pPr>
      <w:r w:rsidRPr="0047585D">
        <w:rPr>
          <w:lang w:val="sr-Latn-ME"/>
        </w:rPr>
        <w:t>Efikasnost</w:t>
      </w:r>
      <w:r w:rsidR="00200D97" w:rsidRPr="0047585D">
        <w:rPr>
          <w:lang w:val="sr-Latn-ME"/>
        </w:rPr>
        <w:t xml:space="preserve"> i </w:t>
      </w:r>
      <w:r w:rsidRPr="0047585D">
        <w:rPr>
          <w:lang w:val="sr-Latn-ME"/>
        </w:rPr>
        <w:t>bezbjednost</w:t>
      </w:r>
      <w:r w:rsidR="00200D97" w:rsidRPr="0047585D">
        <w:rPr>
          <w:lang w:val="sr-Latn-ME"/>
        </w:rPr>
        <w:t xml:space="preserve"> azacitidina bila je ispitana u međunarodnom, multicentričnom, kontroli</w:t>
      </w:r>
      <w:r w:rsidR="006E3460" w:rsidRPr="0047585D">
        <w:rPr>
          <w:lang w:val="sr-Latn-ME"/>
        </w:rPr>
        <w:t>s</w:t>
      </w:r>
      <w:r w:rsidR="00200D97" w:rsidRPr="0047585D">
        <w:rPr>
          <w:lang w:val="sr-Latn-ME"/>
        </w:rPr>
        <w:t xml:space="preserve">anom, otvorenom ispitivanju faze 3 na uporednim </w:t>
      </w:r>
      <w:r w:rsidR="006E3460" w:rsidRPr="0047585D">
        <w:rPr>
          <w:lang w:val="sr-Latn-ME"/>
        </w:rPr>
        <w:t>grupa</w:t>
      </w:r>
      <w:r w:rsidR="00200D97" w:rsidRPr="0047585D">
        <w:rPr>
          <w:lang w:val="sr-Latn-ME"/>
        </w:rPr>
        <w:t xml:space="preserve">ma </w:t>
      </w:r>
      <w:r w:rsidRPr="0047585D">
        <w:rPr>
          <w:lang w:val="sr-Latn-ME"/>
        </w:rPr>
        <w:t>pacijen</w:t>
      </w:r>
      <w:r w:rsidR="006E3460" w:rsidRPr="0047585D">
        <w:rPr>
          <w:lang w:val="sr-Latn-ME"/>
        </w:rPr>
        <w:t>a</w:t>
      </w:r>
      <w:r w:rsidRPr="0047585D">
        <w:rPr>
          <w:lang w:val="sr-Latn-ME"/>
        </w:rPr>
        <w:t>t</w:t>
      </w:r>
      <w:r w:rsidR="00200D97" w:rsidRPr="0047585D">
        <w:rPr>
          <w:lang w:val="sr-Latn-ME"/>
        </w:rPr>
        <w:t xml:space="preserve">a </w:t>
      </w:r>
      <w:r w:rsidRPr="0047585D">
        <w:rPr>
          <w:lang w:val="sr-Latn-ME"/>
        </w:rPr>
        <w:t>uzrasta</w:t>
      </w:r>
      <w:r w:rsidR="00200D97" w:rsidRPr="0047585D">
        <w:rPr>
          <w:lang w:val="sr-Latn-ME"/>
        </w:rPr>
        <w:t xml:space="preserve"> od 65 i više godina s novodijagnosti</w:t>
      </w:r>
      <w:r w:rsidR="00DE3206" w:rsidRPr="0047585D">
        <w:rPr>
          <w:lang w:val="sr-Latn-ME"/>
        </w:rPr>
        <w:t>fikova</w:t>
      </w:r>
      <w:r w:rsidR="00200D97" w:rsidRPr="0047585D">
        <w:rPr>
          <w:lang w:val="sr-Latn-ME"/>
        </w:rPr>
        <w:t xml:space="preserve">nom </w:t>
      </w:r>
      <w:r w:rsidR="00200D97" w:rsidRPr="0047585D">
        <w:rPr>
          <w:i/>
          <w:lang w:val="sr-Latn-ME"/>
        </w:rPr>
        <w:t xml:space="preserve">de novo </w:t>
      </w:r>
      <w:r w:rsidR="00200D97" w:rsidRPr="0047585D">
        <w:rPr>
          <w:lang w:val="sr-Latn-ME"/>
        </w:rPr>
        <w:t>ili sekundarnom AML s &gt; 30 % blasta u koštanoj srži prema klasifikaciji SZO-a, koji nisu zadovoljavali kriterij</w:t>
      </w:r>
      <w:r w:rsidR="006E3460" w:rsidRPr="0047585D">
        <w:rPr>
          <w:lang w:val="sr-Latn-ME"/>
        </w:rPr>
        <w:t>um</w:t>
      </w:r>
      <w:r w:rsidR="00200D97" w:rsidRPr="0047585D">
        <w:rPr>
          <w:lang w:val="sr-Latn-ME"/>
        </w:rPr>
        <w:t xml:space="preserve">e za </w:t>
      </w:r>
      <w:r w:rsidR="001314D2" w:rsidRPr="0047585D">
        <w:rPr>
          <w:lang w:val="sr-Latn-ME"/>
        </w:rPr>
        <w:t>HSCT</w:t>
      </w:r>
      <w:r w:rsidR="00200D97" w:rsidRPr="0047585D">
        <w:rPr>
          <w:lang w:val="sr-Latn-ME"/>
        </w:rPr>
        <w:t>. Azacitidin uz BSC (n = 241) bio je upoređen s CCR-om. CCR se sastojao od samo BSC-a (n = 45), niske doze citarabina uz BSC</w:t>
      </w:r>
      <w:r w:rsidR="00DE3206" w:rsidRPr="0047585D">
        <w:rPr>
          <w:lang w:val="sr-Latn-ME"/>
        </w:rPr>
        <w:t xml:space="preserve"> </w:t>
      </w:r>
      <w:r w:rsidR="00200D97" w:rsidRPr="0047585D">
        <w:rPr>
          <w:lang w:val="sr-Latn-ME"/>
        </w:rPr>
        <w:t xml:space="preserve">(n = 158) ili standardne intenzivne </w:t>
      </w:r>
      <w:r w:rsidR="006E3460" w:rsidRPr="0047585D">
        <w:rPr>
          <w:lang w:val="sr-Latn-ME"/>
        </w:rPr>
        <w:t>h</w:t>
      </w:r>
      <w:r w:rsidR="00200D97" w:rsidRPr="0047585D">
        <w:rPr>
          <w:lang w:val="sr-Latn-ME"/>
        </w:rPr>
        <w:t xml:space="preserve">emoterapije citarabinom i antraciklinom uz BSC (n = 44). </w:t>
      </w:r>
      <w:r w:rsidRPr="0047585D">
        <w:rPr>
          <w:lang w:val="sr-Latn-ME"/>
        </w:rPr>
        <w:t>Pacijent</w:t>
      </w:r>
      <w:r w:rsidR="00200D97" w:rsidRPr="0047585D">
        <w:rPr>
          <w:lang w:val="sr-Latn-ME"/>
        </w:rPr>
        <w:t>e je prethodno odabrao njihov l</w:t>
      </w:r>
      <w:r w:rsidR="006E3460" w:rsidRPr="0047585D">
        <w:rPr>
          <w:lang w:val="sr-Latn-ME"/>
        </w:rPr>
        <w:t>jekar</w:t>
      </w:r>
      <w:r w:rsidR="00200D97" w:rsidRPr="0047585D">
        <w:rPr>
          <w:lang w:val="sr-Latn-ME"/>
        </w:rPr>
        <w:t xml:space="preserve"> za 1 od 3 CCR-a prije randomizacije. </w:t>
      </w:r>
      <w:r w:rsidR="00450069" w:rsidRPr="0047585D">
        <w:rPr>
          <w:lang w:val="sr-Latn-ME"/>
        </w:rPr>
        <w:t>Pacijenti</w:t>
      </w:r>
      <w:r w:rsidR="00200D97" w:rsidRPr="0047585D">
        <w:rPr>
          <w:lang w:val="sr-Latn-ME"/>
        </w:rPr>
        <w:t xml:space="preserve"> su primili unaprijed odabrani režim ako nisu bili randomi</w:t>
      </w:r>
      <w:r w:rsidR="006E3460" w:rsidRPr="0047585D">
        <w:rPr>
          <w:lang w:val="sr-Latn-ME"/>
        </w:rPr>
        <w:t>zov</w:t>
      </w:r>
      <w:r w:rsidR="00200D97" w:rsidRPr="0047585D">
        <w:rPr>
          <w:lang w:val="sr-Latn-ME"/>
        </w:rPr>
        <w:t xml:space="preserve">ani u </w:t>
      </w:r>
      <w:r w:rsidR="006E3460" w:rsidRPr="0047585D">
        <w:rPr>
          <w:lang w:val="sr-Latn-ME"/>
        </w:rPr>
        <w:t>grup</w:t>
      </w:r>
      <w:r w:rsidR="000948BF" w:rsidRPr="0047585D">
        <w:rPr>
          <w:lang w:val="sr-Latn-ME"/>
        </w:rPr>
        <w:t>i</w:t>
      </w:r>
      <w:r w:rsidR="00DE3206" w:rsidRPr="0047585D">
        <w:rPr>
          <w:lang w:val="sr-Latn-ME"/>
        </w:rPr>
        <w:t xml:space="preserve"> </w:t>
      </w:r>
      <w:r w:rsidR="00200D97" w:rsidRPr="0047585D">
        <w:rPr>
          <w:lang w:val="sr-Latn-ME"/>
        </w:rPr>
        <w:t>koja prima azacitidin. U sklopu kriterij</w:t>
      </w:r>
      <w:r w:rsidR="006E3460" w:rsidRPr="0047585D">
        <w:rPr>
          <w:lang w:val="sr-Latn-ME"/>
        </w:rPr>
        <w:t>um</w:t>
      </w:r>
      <w:r w:rsidR="00200D97" w:rsidRPr="0047585D">
        <w:rPr>
          <w:lang w:val="sr-Latn-ME"/>
        </w:rPr>
        <w:t xml:space="preserve">a uključenja </w:t>
      </w:r>
      <w:r w:rsidR="00450069" w:rsidRPr="0047585D">
        <w:rPr>
          <w:lang w:val="sr-Latn-ME"/>
        </w:rPr>
        <w:t>pacijenti</w:t>
      </w:r>
      <w:r w:rsidR="00200D97" w:rsidRPr="0047585D">
        <w:rPr>
          <w:lang w:val="sr-Latn-ME"/>
        </w:rPr>
        <w:t xml:space="preserve"> su morali imati ECOG funkcionalni status od 0 </w:t>
      </w:r>
      <w:r w:rsidR="000948BF" w:rsidRPr="0047585D">
        <w:rPr>
          <w:lang w:val="sr-Latn-ME"/>
        </w:rPr>
        <w:t xml:space="preserve">do </w:t>
      </w:r>
      <w:r w:rsidR="00200D97" w:rsidRPr="0047585D">
        <w:rPr>
          <w:lang w:val="sr-Latn-ME"/>
        </w:rPr>
        <w:t xml:space="preserve">2 i citogenetske abnormalnosti srednjeg ili visokog rizika. Primarni ishod ispitivanja bilo je ukupno </w:t>
      </w:r>
      <w:r w:rsidR="001D5573" w:rsidRPr="0047585D">
        <w:rPr>
          <w:lang w:val="sr-Latn-ME"/>
        </w:rPr>
        <w:t>preživljavanj</w:t>
      </w:r>
      <w:r w:rsidR="00200D97" w:rsidRPr="0047585D">
        <w:rPr>
          <w:lang w:val="sr-Latn-ME"/>
        </w:rPr>
        <w:t>e.</w:t>
      </w:r>
    </w:p>
    <w:p w14:paraId="736D6B23" w14:textId="77777777" w:rsidR="00262B3A" w:rsidRPr="0047585D" w:rsidRDefault="00262B3A" w:rsidP="00A56A66">
      <w:pPr>
        <w:pStyle w:val="BodyText"/>
        <w:jc w:val="both"/>
        <w:rPr>
          <w:lang w:val="sr-Latn-ME"/>
        </w:rPr>
      </w:pPr>
    </w:p>
    <w:p w14:paraId="7A39BBF1" w14:textId="18825B7A" w:rsidR="0084478E" w:rsidRPr="0047585D" w:rsidRDefault="00200D97" w:rsidP="00A56A66">
      <w:pPr>
        <w:pStyle w:val="BodyText"/>
        <w:jc w:val="both"/>
        <w:rPr>
          <w:lang w:val="sr-Latn-ME"/>
        </w:rPr>
      </w:pPr>
      <w:r w:rsidRPr="0047585D">
        <w:rPr>
          <w:lang w:val="sr-Latn-ME"/>
        </w:rPr>
        <w:t>Azacitidin se primjenjivao s.c. u dozi od 75 mg/m</w:t>
      </w:r>
      <w:r w:rsidRPr="0047585D">
        <w:rPr>
          <w:position w:val="8"/>
          <w:lang w:val="sr-Latn-ME"/>
        </w:rPr>
        <w:t xml:space="preserve">2 </w:t>
      </w:r>
      <w:r w:rsidRPr="0047585D">
        <w:rPr>
          <w:lang w:val="sr-Latn-ME"/>
        </w:rPr>
        <w:t xml:space="preserve">na dan </w:t>
      </w:r>
      <w:r w:rsidR="005D04EB" w:rsidRPr="0047585D">
        <w:rPr>
          <w:lang w:val="sr-Latn-ME"/>
        </w:rPr>
        <w:t>tokom</w:t>
      </w:r>
      <w:r w:rsidRPr="0047585D">
        <w:rPr>
          <w:lang w:val="sr-Latn-ME"/>
        </w:rPr>
        <w:t xml:space="preserve"> 7 dana, nakon čega je slijedila </w:t>
      </w:r>
      <w:r w:rsidR="00965CE8" w:rsidRPr="0047585D">
        <w:rPr>
          <w:lang w:val="sr-Latn-ME"/>
        </w:rPr>
        <w:t>pauz</w:t>
      </w:r>
      <w:r w:rsidRPr="0047585D">
        <w:rPr>
          <w:lang w:val="sr-Latn-ME"/>
        </w:rPr>
        <w:t xml:space="preserve">a od uzimanja lijeka od 21 dan (ciklus liječenja od 28 dana), </w:t>
      </w:r>
      <w:r w:rsidR="005D04EB" w:rsidRPr="0047585D">
        <w:rPr>
          <w:lang w:val="sr-Latn-ME"/>
        </w:rPr>
        <w:t>tokom</w:t>
      </w:r>
      <w:r w:rsidRPr="0047585D">
        <w:rPr>
          <w:lang w:val="sr-Latn-ME"/>
        </w:rPr>
        <w:t xml:space="preserve"> </w:t>
      </w:r>
      <w:r w:rsidR="00101B93" w:rsidRPr="0047585D">
        <w:rPr>
          <w:lang w:val="sr-Latn-ME"/>
        </w:rPr>
        <w:t xml:space="preserve">medijane </w:t>
      </w:r>
      <w:r w:rsidRPr="0047585D">
        <w:rPr>
          <w:lang w:val="sr-Latn-ME"/>
        </w:rPr>
        <w:t xml:space="preserve">od 6 ciklusa (raspon: od 1 do 28), </w:t>
      </w:r>
      <w:r w:rsidR="00450069" w:rsidRPr="0047585D">
        <w:rPr>
          <w:lang w:val="sr-Latn-ME"/>
        </w:rPr>
        <w:t>pacijenti</w:t>
      </w:r>
      <w:r w:rsidRPr="0047585D">
        <w:rPr>
          <w:lang w:val="sr-Latn-ME"/>
        </w:rPr>
        <w:t xml:space="preserve"> koji su primali samo BSC </w:t>
      </w:r>
      <w:r w:rsidR="005D04EB" w:rsidRPr="0047585D">
        <w:rPr>
          <w:lang w:val="sr-Latn-ME"/>
        </w:rPr>
        <w:t>tokom</w:t>
      </w:r>
      <w:r w:rsidRPr="0047585D">
        <w:rPr>
          <w:lang w:val="sr-Latn-ME"/>
        </w:rPr>
        <w:t xml:space="preserve"> </w:t>
      </w:r>
      <w:r w:rsidR="00E62774" w:rsidRPr="0047585D">
        <w:rPr>
          <w:lang w:val="sr-Latn-ME"/>
        </w:rPr>
        <w:t xml:space="preserve">medijane </w:t>
      </w:r>
      <w:r w:rsidRPr="0047585D">
        <w:rPr>
          <w:lang w:val="sr-Latn-ME"/>
        </w:rPr>
        <w:t xml:space="preserve">od 3 ciklusa (raspon: od 1 do 20), </w:t>
      </w:r>
      <w:r w:rsidR="00450069" w:rsidRPr="0047585D">
        <w:rPr>
          <w:lang w:val="sr-Latn-ME"/>
        </w:rPr>
        <w:t>pacijenti</w:t>
      </w:r>
      <w:r w:rsidRPr="0047585D">
        <w:rPr>
          <w:lang w:val="sr-Latn-ME"/>
        </w:rPr>
        <w:t xml:space="preserve"> koji su primali nisku dozu citarabina </w:t>
      </w:r>
      <w:r w:rsidR="005D04EB" w:rsidRPr="0047585D">
        <w:rPr>
          <w:lang w:val="sr-Latn-ME"/>
        </w:rPr>
        <w:t>tokom</w:t>
      </w:r>
      <w:r w:rsidRPr="0047585D">
        <w:rPr>
          <w:lang w:val="sr-Latn-ME"/>
        </w:rPr>
        <w:t xml:space="preserve"> </w:t>
      </w:r>
      <w:r w:rsidR="00E62774" w:rsidRPr="0047585D">
        <w:rPr>
          <w:lang w:val="sr-Latn-ME"/>
        </w:rPr>
        <w:t xml:space="preserve">medijane </w:t>
      </w:r>
      <w:r w:rsidRPr="0047585D">
        <w:rPr>
          <w:lang w:val="sr-Latn-ME"/>
        </w:rPr>
        <w:t xml:space="preserve">od 4 ciklusa (raspon: od 1 do 25) i </w:t>
      </w:r>
      <w:r w:rsidR="00450069" w:rsidRPr="0047585D">
        <w:rPr>
          <w:lang w:val="sr-Latn-ME"/>
        </w:rPr>
        <w:t>pacijenti</w:t>
      </w:r>
      <w:r w:rsidRPr="0047585D">
        <w:rPr>
          <w:lang w:val="sr-Latn-ME"/>
        </w:rPr>
        <w:t xml:space="preserve"> koji su primali standardnu intenzivnu </w:t>
      </w:r>
      <w:r w:rsidR="00965CE8" w:rsidRPr="0047585D">
        <w:rPr>
          <w:lang w:val="sr-Latn-ME"/>
        </w:rPr>
        <w:t>h</w:t>
      </w:r>
      <w:r w:rsidRPr="0047585D">
        <w:rPr>
          <w:lang w:val="sr-Latn-ME"/>
        </w:rPr>
        <w:t xml:space="preserve">emoterapiju </w:t>
      </w:r>
      <w:r w:rsidR="005D04EB" w:rsidRPr="0047585D">
        <w:rPr>
          <w:lang w:val="sr-Latn-ME"/>
        </w:rPr>
        <w:t>tokom</w:t>
      </w:r>
      <w:r w:rsidRPr="0047585D">
        <w:rPr>
          <w:lang w:val="sr-Latn-ME"/>
        </w:rPr>
        <w:t xml:space="preserve"> </w:t>
      </w:r>
      <w:r w:rsidR="000948BF" w:rsidRPr="0047585D">
        <w:rPr>
          <w:lang w:val="sr-Latn-ME"/>
        </w:rPr>
        <w:t xml:space="preserve">medijane </w:t>
      </w:r>
      <w:r w:rsidRPr="0047585D">
        <w:rPr>
          <w:lang w:val="sr-Latn-ME"/>
        </w:rPr>
        <w:t>od 2 ciklusa (raspon: od 1 do 3, uvodni ciklus plus 1 ili 2 konsolidacijska</w:t>
      </w:r>
      <w:r w:rsidRPr="0047585D">
        <w:rPr>
          <w:spacing w:val="-21"/>
          <w:lang w:val="sr-Latn-ME"/>
        </w:rPr>
        <w:t xml:space="preserve"> </w:t>
      </w:r>
      <w:r w:rsidRPr="0047585D">
        <w:rPr>
          <w:lang w:val="sr-Latn-ME"/>
        </w:rPr>
        <w:t>ciklusa).</w:t>
      </w:r>
    </w:p>
    <w:p w14:paraId="33048AEF" w14:textId="77777777" w:rsidR="00262B3A" w:rsidRPr="0047585D" w:rsidRDefault="00262B3A" w:rsidP="00A56A66">
      <w:pPr>
        <w:pStyle w:val="BodyText"/>
        <w:jc w:val="both"/>
        <w:rPr>
          <w:lang w:val="sr-Latn-ME"/>
        </w:rPr>
      </w:pPr>
    </w:p>
    <w:p w14:paraId="13EC17FF" w14:textId="5BFC1EF3" w:rsidR="0084478E" w:rsidRPr="0047585D" w:rsidRDefault="00200D97" w:rsidP="00A56A66">
      <w:pPr>
        <w:pStyle w:val="BodyText"/>
        <w:jc w:val="both"/>
        <w:rPr>
          <w:lang w:val="sr-Latn-ME"/>
        </w:rPr>
      </w:pPr>
      <w:r w:rsidRPr="0047585D">
        <w:rPr>
          <w:lang w:val="sr-Latn-ME"/>
        </w:rPr>
        <w:t xml:space="preserve">Početni parametri pojedinih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bili su uporedivi između </w:t>
      </w:r>
      <w:r w:rsidR="00965CE8" w:rsidRPr="0047585D">
        <w:rPr>
          <w:lang w:val="sr-Latn-ME"/>
        </w:rPr>
        <w:t>grup</w:t>
      </w:r>
      <w:r w:rsidRPr="0047585D">
        <w:rPr>
          <w:lang w:val="sr-Latn-ME"/>
        </w:rPr>
        <w:t xml:space="preserve">a koje su primale azacitidin i </w:t>
      </w:r>
      <w:r w:rsidR="00965CE8" w:rsidRPr="0047585D">
        <w:rPr>
          <w:lang w:val="sr-Latn-ME"/>
        </w:rPr>
        <w:t>grup</w:t>
      </w:r>
      <w:r w:rsidRPr="0047585D">
        <w:rPr>
          <w:lang w:val="sr-Latn-ME"/>
        </w:rPr>
        <w:t>a koje su primale CCR. Medijan</w:t>
      </w:r>
      <w:r w:rsidR="000948BF" w:rsidRPr="0047585D">
        <w:rPr>
          <w:lang w:val="sr-Latn-ME"/>
        </w:rPr>
        <w:t>a</w:t>
      </w:r>
      <w:r w:rsidRPr="0047585D">
        <w:rPr>
          <w:lang w:val="sr-Latn-ME"/>
        </w:rPr>
        <w:t xml:space="preserve"> </w:t>
      </w:r>
      <w:r w:rsidR="00965CE8" w:rsidRPr="0047585D">
        <w:rPr>
          <w:lang w:val="sr-Latn-ME"/>
        </w:rPr>
        <w:t>starost</w:t>
      </w:r>
      <w:r w:rsidRPr="0047585D">
        <w:rPr>
          <w:lang w:val="sr-Latn-ME"/>
        </w:rPr>
        <w:t xml:space="preserve">i ispitanika </w:t>
      </w:r>
      <w:r w:rsidR="00E62774" w:rsidRPr="0047585D">
        <w:rPr>
          <w:lang w:val="sr-Latn-ME"/>
        </w:rPr>
        <w:t xml:space="preserve">bila </w:t>
      </w:r>
      <w:r w:rsidRPr="0047585D">
        <w:rPr>
          <w:lang w:val="sr-Latn-ME"/>
        </w:rPr>
        <w:t>je 75,0 godina (raspon:</w:t>
      </w:r>
      <w:r w:rsidR="00DE3206" w:rsidRPr="0047585D">
        <w:rPr>
          <w:lang w:val="sr-Latn-ME"/>
        </w:rPr>
        <w:t xml:space="preserve"> </w:t>
      </w:r>
      <w:r w:rsidRPr="0047585D">
        <w:rPr>
          <w:lang w:val="sr-Latn-ME"/>
        </w:rPr>
        <w:t>od 64 do 91 godine), 75,2 % bili su bijelci i 59,0 % bili su muškarci. Na početku je njih 60,7 % bilo kategor</w:t>
      </w:r>
      <w:r w:rsidR="00965CE8" w:rsidRPr="0047585D">
        <w:rPr>
          <w:lang w:val="sr-Latn-ME"/>
        </w:rPr>
        <w:t>isano</w:t>
      </w:r>
      <w:r w:rsidRPr="0047585D">
        <w:rPr>
          <w:lang w:val="sr-Latn-ME"/>
        </w:rPr>
        <w:t xml:space="preserve"> kao AML koja </w:t>
      </w:r>
      <w:r w:rsidRPr="0047585D">
        <w:rPr>
          <w:lang w:val="sr-Latn-ME"/>
        </w:rPr>
        <w:lastRenderedPageBreak/>
        <w:t>nije dodatno klasif</w:t>
      </w:r>
      <w:r w:rsidR="00965CE8" w:rsidRPr="0047585D">
        <w:rPr>
          <w:lang w:val="sr-Latn-ME"/>
        </w:rPr>
        <w:t>ikov</w:t>
      </w:r>
      <w:r w:rsidRPr="0047585D">
        <w:rPr>
          <w:lang w:val="sr-Latn-ME"/>
        </w:rPr>
        <w:t>ana, 32,4 % kao AML s promjena povezanim s mijelodisplazijoma, 4,1 % kao mijeloidne</w:t>
      </w:r>
      <w:r w:rsidR="00BC0AFF" w:rsidRPr="0047585D">
        <w:rPr>
          <w:lang w:val="sr-Latn-ME"/>
        </w:rPr>
        <w:t xml:space="preserve"> neoplazme</w:t>
      </w:r>
      <w:r w:rsidRPr="0047585D">
        <w:rPr>
          <w:lang w:val="sr-Latn-ME"/>
        </w:rPr>
        <w:t xml:space="preserve"> povezane s terapijom te 2,9 % kao AML s recidivirajućim genetskim abnormalnostima prema klasifikaciji SZO-a.</w:t>
      </w:r>
    </w:p>
    <w:p w14:paraId="2C02B41F" w14:textId="77777777" w:rsidR="00262B3A" w:rsidRPr="0047585D" w:rsidRDefault="00262B3A" w:rsidP="00A56A66">
      <w:pPr>
        <w:pStyle w:val="BodyText"/>
        <w:jc w:val="both"/>
        <w:rPr>
          <w:lang w:val="sr-Latn-ME"/>
        </w:rPr>
      </w:pPr>
    </w:p>
    <w:p w14:paraId="3A1931A6" w14:textId="2765926F" w:rsidR="00AA1E5F" w:rsidRPr="0047585D" w:rsidRDefault="00200D97" w:rsidP="00A56A66">
      <w:pPr>
        <w:pStyle w:val="BodyText"/>
        <w:jc w:val="both"/>
        <w:rPr>
          <w:lang w:val="sr-Latn-ME"/>
        </w:rPr>
      </w:pPr>
      <w:r w:rsidRPr="0047585D">
        <w:rPr>
          <w:lang w:val="sr-Latn-ME"/>
        </w:rPr>
        <w:t xml:space="preserve">U ITT analizi 488 </w:t>
      </w:r>
      <w:r w:rsidR="00862A19" w:rsidRPr="0047585D">
        <w:rPr>
          <w:lang w:val="sr-Latn-ME"/>
        </w:rPr>
        <w:t>pacijen</w:t>
      </w:r>
      <w:r w:rsidR="00DE3206" w:rsidRPr="0047585D">
        <w:rPr>
          <w:lang w:val="sr-Latn-ME"/>
        </w:rPr>
        <w:t>a</w:t>
      </w:r>
      <w:r w:rsidR="00862A19" w:rsidRPr="0047585D">
        <w:rPr>
          <w:lang w:val="sr-Latn-ME"/>
        </w:rPr>
        <w:t>t</w:t>
      </w:r>
      <w:r w:rsidRPr="0047585D">
        <w:rPr>
          <w:lang w:val="sr-Latn-ME"/>
        </w:rPr>
        <w:t>a (od kojih je 241 prima</w:t>
      </w:r>
      <w:r w:rsidR="00BC0AFF" w:rsidRPr="0047585D">
        <w:rPr>
          <w:lang w:val="sr-Latn-ME"/>
        </w:rPr>
        <w:t>lo</w:t>
      </w:r>
      <w:r w:rsidRPr="0047585D">
        <w:rPr>
          <w:lang w:val="sr-Latn-ME"/>
        </w:rPr>
        <w:t xml:space="preserve"> azacitidin, a njih 247 primalo je CCR), liječenje azacitidinom bilo je povezano s medijanom </w:t>
      </w:r>
      <w:r w:rsidR="001D5573" w:rsidRPr="0047585D">
        <w:rPr>
          <w:lang w:val="sr-Latn-ME"/>
        </w:rPr>
        <w:t>preživljavanj</w:t>
      </w:r>
      <w:r w:rsidRPr="0047585D">
        <w:rPr>
          <w:lang w:val="sr-Latn-ME"/>
        </w:rPr>
        <w:t>a od 10,4 mjeseca naspram 6,5 mjeseci za one koji su primali liječenje CCR-om, što je razlika od 3,8 mjeseci, uz stratifi</w:t>
      </w:r>
      <w:r w:rsidR="00DE3206" w:rsidRPr="0047585D">
        <w:rPr>
          <w:lang w:val="sr-Latn-ME"/>
        </w:rPr>
        <w:t>kova</w:t>
      </w:r>
      <w:r w:rsidRPr="0047585D">
        <w:rPr>
          <w:lang w:val="sr-Latn-ME"/>
        </w:rPr>
        <w:t xml:space="preserve">nu log-rang p-vrijednost od 0,1009 (dvostrana). </w:t>
      </w:r>
      <w:r w:rsidR="00965CE8" w:rsidRPr="0047585D">
        <w:rPr>
          <w:lang w:val="sr-Latn-ME"/>
        </w:rPr>
        <w:t xml:space="preserve">Odnos </w:t>
      </w:r>
      <w:r w:rsidRPr="0047585D">
        <w:rPr>
          <w:lang w:val="sr-Latn-ME"/>
        </w:rPr>
        <w:t xml:space="preserve">hazarda za </w:t>
      </w:r>
      <w:r w:rsidR="00862A19" w:rsidRPr="0047585D">
        <w:rPr>
          <w:lang w:val="sr-Latn-ME"/>
        </w:rPr>
        <w:t>efekat</w:t>
      </w:r>
      <w:r w:rsidRPr="0047585D">
        <w:rPr>
          <w:lang w:val="sr-Latn-ME"/>
        </w:rPr>
        <w:t xml:space="preserve"> liječenja iznosio je 0,85 (95 % CI = 0,69; 1,03). Stope jednogodišnjeg </w:t>
      </w:r>
      <w:r w:rsidR="001D5573" w:rsidRPr="0047585D">
        <w:rPr>
          <w:lang w:val="sr-Latn-ME"/>
        </w:rPr>
        <w:t>preživljavanj</w:t>
      </w:r>
      <w:r w:rsidRPr="0047585D">
        <w:rPr>
          <w:lang w:val="sr-Latn-ME"/>
        </w:rPr>
        <w:t xml:space="preserve">a iznosile su 46,5 % </w:t>
      </w:r>
      <w:r w:rsidR="00965CE8" w:rsidRPr="0047585D">
        <w:rPr>
          <w:lang w:val="sr-Latn-ME"/>
        </w:rPr>
        <w:t>kod</w:t>
      </w:r>
      <w:r w:rsidRPr="0047585D">
        <w:rPr>
          <w:lang w:val="sr-Latn-ME"/>
        </w:rPr>
        <w:t xml:space="preserve">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koji su primali azacitidin naspram 34,3 % </w:t>
      </w:r>
      <w:r w:rsidR="00965CE8" w:rsidRPr="0047585D">
        <w:rPr>
          <w:lang w:val="sr-Latn-ME"/>
        </w:rPr>
        <w:t>kod</w:t>
      </w:r>
      <w:r w:rsidRPr="0047585D">
        <w:rPr>
          <w:lang w:val="sr-Latn-ME"/>
        </w:rPr>
        <w:t xml:space="preserve">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a koji su primali CCR.</w:t>
      </w:r>
    </w:p>
    <w:p w14:paraId="7EAF70BB" w14:textId="77777777" w:rsidR="00AA1E5F" w:rsidRPr="0047585D" w:rsidRDefault="00AA1E5F" w:rsidP="00A56A66">
      <w:pPr>
        <w:pStyle w:val="BodyText"/>
        <w:jc w:val="both"/>
        <w:rPr>
          <w:lang w:val="sr-Latn-ME"/>
        </w:rPr>
      </w:pPr>
    </w:p>
    <w:p w14:paraId="25D8F8E2" w14:textId="77777777" w:rsidR="0084478E" w:rsidRPr="0047585D" w:rsidRDefault="0084478E" w:rsidP="00BE5A22">
      <w:pPr>
        <w:pStyle w:val="BodyText"/>
        <w:rPr>
          <w:lang w:val="sr-Latn-ME"/>
        </w:rPr>
      </w:pPr>
    </w:p>
    <w:p w14:paraId="0FD0ABAE" w14:textId="77777777" w:rsidR="0084478E" w:rsidRPr="0047585D" w:rsidRDefault="001D6056" w:rsidP="00BE5A22">
      <w:pPr>
        <w:pStyle w:val="BodyText"/>
        <w:rPr>
          <w:lang w:val="sr-Latn-ME"/>
        </w:rPr>
      </w:pPr>
      <w:r w:rsidRPr="0047585D">
        <w:rPr>
          <w:noProof/>
        </w:rPr>
        <mc:AlternateContent>
          <mc:Choice Requires="wpg">
            <w:drawing>
              <wp:anchor distT="0" distB="0" distL="114300" distR="114300" simplePos="0" relativeHeight="251674624" behindDoc="0" locked="0" layoutInCell="1" allowOverlap="1" wp14:anchorId="3201345D" wp14:editId="73428F47">
                <wp:simplePos x="0" y="0"/>
                <wp:positionH relativeFrom="margin">
                  <wp:align>left</wp:align>
                </wp:positionH>
                <wp:positionV relativeFrom="paragraph">
                  <wp:posOffset>15875</wp:posOffset>
                </wp:positionV>
                <wp:extent cx="5469890" cy="3288030"/>
                <wp:effectExtent l="0" t="0" r="0" b="7620"/>
                <wp:wrapNone/>
                <wp:docPr id="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9890" cy="3288030"/>
                          <a:chOff x="1418" y="1921"/>
                          <a:chExt cx="8614" cy="5178"/>
                        </a:xfrm>
                      </wpg:grpSpPr>
                      <pic:pic xmlns:pic="http://schemas.openxmlformats.org/drawingml/2006/picture">
                        <pic:nvPicPr>
                          <pic:cNvPr id="6"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52" y="1921"/>
                            <a:ext cx="8280" cy="5111"/>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76"/>
                        <wps:cNvSpPr>
                          <a:spLocks noChangeArrowheads="1"/>
                        </wps:cNvSpPr>
                        <wps:spPr bwMode="auto">
                          <a:xfrm>
                            <a:off x="1449" y="2946"/>
                            <a:ext cx="672" cy="266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7"/>
                        <wps:cNvSpPr txBox="1">
                          <a:spLocks noChangeArrowheads="1"/>
                        </wps:cNvSpPr>
                        <wps:spPr bwMode="auto">
                          <a:xfrm>
                            <a:off x="4681" y="2013"/>
                            <a:ext cx="53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2D18" w14:textId="77777777" w:rsidR="00B34483" w:rsidRDefault="00B34483" w:rsidP="00BC0AFF">
                              <w:pPr>
                                <w:spacing w:line="154" w:lineRule="exact"/>
                                <w:rPr>
                                  <w:sz w:val="14"/>
                                </w:rPr>
                              </w:pPr>
                              <w:r>
                                <w:rPr>
                                  <w:sz w:val="14"/>
                                </w:rPr>
                                <w:t>Liječenje</w:t>
                              </w:r>
                            </w:p>
                          </w:txbxContent>
                        </wps:txbx>
                        <wps:bodyPr rot="0" vert="horz" wrap="square" lIns="0" tIns="0" rIns="0" bIns="0" anchor="t" anchorCtr="0" upright="1">
                          <a:noAutofit/>
                        </wps:bodyPr>
                      </wps:wsp>
                      <wps:wsp>
                        <wps:cNvPr id="9" name="Text Box 78"/>
                        <wps:cNvSpPr txBox="1">
                          <a:spLocks noChangeArrowheads="1"/>
                        </wps:cNvSpPr>
                        <wps:spPr bwMode="auto">
                          <a:xfrm>
                            <a:off x="6049" y="2021"/>
                            <a:ext cx="60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DC061" w14:textId="77777777" w:rsidR="00B34483" w:rsidRDefault="00B34483" w:rsidP="00BC0AFF">
                              <w:pPr>
                                <w:spacing w:line="154" w:lineRule="exact"/>
                                <w:rPr>
                                  <w:sz w:val="14"/>
                                </w:rPr>
                              </w:pPr>
                              <w:r>
                                <w:rPr>
                                  <w:sz w:val="14"/>
                                </w:rPr>
                                <w:t>Azacitidin</w:t>
                              </w:r>
                            </w:p>
                          </w:txbxContent>
                        </wps:txbx>
                        <wps:bodyPr rot="0" vert="horz" wrap="square" lIns="0" tIns="0" rIns="0" bIns="0" anchor="t" anchorCtr="0" upright="1">
                          <a:noAutofit/>
                        </wps:bodyPr>
                      </wps:wsp>
                      <wps:wsp>
                        <wps:cNvPr id="10" name="Text Box 79"/>
                        <wps:cNvSpPr txBox="1">
                          <a:spLocks noChangeArrowheads="1"/>
                        </wps:cNvSpPr>
                        <wps:spPr bwMode="auto">
                          <a:xfrm>
                            <a:off x="7470" y="2025"/>
                            <a:ext cx="30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62879" w14:textId="77777777" w:rsidR="00B34483" w:rsidRDefault="00B34483" w:rsidP="00BC0AFF">
                              <w:pPr>
                                <w:spacing w:line="154" w:lineRule="exact"/>
                                <w:rPr>
                                  <w:sz w:val="14"/>
                                </w:rPr>
                              </w:pPr>
                              <w:r>
                                <w:rPr>
                                  <w:sz w:val="14"/>
                                </w:rPr>
                                <w:t>CCR</w:t>
                              </w:r>
                            </w:p>
                          </w:txbxContent>
                        </wps:txbx>
                        <wps:bodyPr rot="0" vert="horz" wrap="square" lIns="0" tIns="0" rIns="0" bIns="0" anchor="t" anchorCtr="0" upright="1">
                          <a:noAutofit/>
                        </wps:bodyPr>
                      </wps:wsp>
                      <wps:wsp>
                        <wps:cNvPr id="11" name="Text Box 80"/>
                        <wps:cNvSpPr txBox="1">
                          <a:spLocks noChangeArrowheads="1"/>
                        </wps:cNvSpPr>
                        <wps:spPr bwMode="auto">
                          <a:xfrm>
                            <a:off x="9229" y="2006"/>
                            <a:ext cx="68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35D0" w14:textId="79C990AA" w:rsidR="00B34483" w:rsidRDefault="00B34483" w:rsidP="00BC0AFF">
                              <w:pPr>
                                <w:spacing w:line="154" w:lineRule="exact"/>
                                <w:rPr>
                                  <w:sz w:val="14"/>
                                </w:rPr>
                              </w:pPr>
                              <w:r>
                                <w:rPr>
                                  <w:sz w:val="14"/>
                                </w:rPr>
                                <w:t>Cenzurisani</w:t>
                              </w:r>
                            </w:p>
                          </w:txbxContent>
                        </wps:txbx>
                        <wps:bodyPr rot="0" vert="horz" wrap="square" lIns="0" tIns="0" rIns="0" bIns="0" anchor="t" anchorCtr="0" upright="1">
                          <a:noAutofit/>
                        </wps:bodyPr>
                      </wps:wsp>
                      <wps:wsp>
                        <wps:cNvPr id="12" name="Text Box 81"/>
                        <wps:cNvSpPr txBox="1">
                          <a:spLocks noChangeArrowheads="1"/>
                        </wps:cNvSpPr>
                        <wps:spPr bwMode="auto">
                          <a:xfrm>
                            <a:off x="4664" y="2524"/>
                            <a:ext cx="5240" cy="1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4B434" w14:textId="77777777" w:rsidR="00B34483" w:rsidRPr="00A56A66" w:rsidRDefault="00B34483" w:rsidP="00BC0AFF">
                              <w:pPr>
                                <w:ind w:right="2"/>
                                <w:rPr>
                                  <w:sz w:val="18"/>
                                  <w:lang w:val="sr-Latn-ME"/>
                                </w:rPr>
                              </w:pPr>
                              <w:r w:rsidRPr="00A56A66">
                                <w:rPr>
                                  <w:sz w:val="18"/>
                                  <w:lang w:val="sr-Latn-ME"/>
                                </w:rPr>
                                <w:t>Nestratifikovani log-rang p = 0,0829, stratifikovani log-rang p = 0,1009 Medijana preživljavanja: azacitidin = 10,4 (8,0; 12,7), CCR = 6,5 (5,0 ; 8,6)</w:t>
                              </w:r>
                            </w:p>
                            <w:p w14:paraId="32322820" w14:textId="77777777" w:rsidR="00B34483" w:rsidRPr="00A56A66" w:rsidRDefault="00B34483" w:rsidP="00BC0AFF">
                              <w:pPr>
                                <w:spacing w:line="206" w:lineRule="exact"/>
                                <w:rPr>
                                  <w:sz w:val="18"/>
                                  <w:lang w:val="sr-Latn-ME"/>
                                </w:rPr>
                              </w:pPr>
                              <w:r w:rsidRPr="00A56A66">
                                <w:rPr>
                                  <w:sz w:val="18"/>
                                  <w:lang w:val="sr-Latn-ME"/>
                                </w:rPr>
                                <w:t>Događaji N (%): azacitidin = 193 (80,1), CCR = 201</w:t>
                              </w:r>
                              <w:r w:rsidRPr="00A56A66">
                                <w:rPr>
                                  <w:spacing w:val="-15"/>
                                  <w:sz w:val="18"/>
                                  <w:lang w:val="sr-Latn-ME"/>
                                </w:rPr>
                                <w:t xml:space="preserve"> </w:t>
                              </w:r>
                              <w:r w:rsidRPr="00A56A66">
                                <w:rPr>
                                  <w:sz w:val="18"/>
                                  <w:lang w:val="sr-Latn-ME"/>
                                </w:rPr>
                                <w:t>(81,4)</w:t>
                              </w:r>
                            </w:p>
                            <w:p w14:paraId="493A296B" w14:textId="77777777" w:rsidR="00B34483" w:rsidRPr="00A56A66" w:rsidRDefault="00B34483" w:rsidP="00BC0AFF">
                              <w:pPr>
                                <w:spacing w:line="207" w:lineRule="exact"/>
                                <w:rPr>
                                  <w:sz w:val="18"/>
                                  <w:lang w:val="sr-Latn-ME"/>
                                </w:rPr>
                              </w:pPr>
                              <w:r w:rsidRPr="00A56A66">
                                <w:rPr>
                                  <w:sz w:val="18"/>
                                  <w:lang w:val="sr-Latn-ME"/>
                                </w:rPr>
                                <w:t>Cenzurisani N (%): azacitidin = 48 (19,9), CCR = 46</w:t>
                              </w:r>
                              <w:r w:rsidRPr="00A56A66">
                                <w:rPr>
                                  <w:spacing w:val="-11"/>
                                  <w:sz w:val="18"/>
                                  <w:lang w:val="sr-Latn-ME"/>
                                </w:rPr>
                                <w:t xml:space="preserve"> </w:t>
                              </w:r>
                              <w:r w:rsidRPr="00A56A66">
                                <w:rPr>
                                  <w:sz w:val="18"/>
                                  <w:lang w:val="sr-Latn-ME"/>
                                </w:rPr>
                                <w:t>(18,6)</w:t>
                              </w:r>
                            </w:p>
                            <w:p w14:paraId="5753C6E3" w14:textId="77777777" w:rsidR="00B34483" w:rsidRPr="00A56A66" w:rsidRDefault="00B34483" w:rsidP="00BC0AFF">
                              <w:pPr>
                                <w:spacing w:line="207" w:lineRule="exact"/>
                                <w:rPr>
                                  <w:sz w:val="18"/>
                                  <w:lang w:val="sr-Latn-ME"/>
                                </w:rPr>
                              </w:pPr>
                              <w:r w:rsidRPr="00A56A66">
                                <w:rPr>
                                  <w:sz w:val="18"/>
                                  <w:lang w:val="sr-Latn-ME"/>
                                </w:rPr>
                                <w:t>Nestratifikovani HR = 0,84 [95% CI: 0,69 – 1,02], stratifikovani</w:t>
                              </w:r>
                            </w:p>
                            <w:p w14:paraId="4401C436" w14:textId="77777777" w:rsidR="00B34483" w:rsidRPr="00A56A66" w:rsidRDefault="00B34483" w:rsidP="00BC0AFF">
                              <w:pPr>
                                <w:spacing w:line="207" w:lineRule="exact"/>
                                <w:rPr>
                                  <w:sz w:val="18"/>
                                  <w:lang w:val="sr-Latn-ME"/>
                                </w:rPr>
                              </w:pPr>
                              <w:r w:rsidRPr="00A56A66">
                                <w:rPr>
                                  <w:sz w:val="18"/>
                                  <w:lang w:val="sr-Latn-ME"/>
                                </w:rPr>
                                <w:t>HR = 0,85 [95% CI: 0,69 – 1,03]</w:t>
                              </w:r>
                            </w:p>
                          </w:txbxContent>
                        </wps:txbx>
                        <wps:bodyPr rot="0" vert="horz" wrap="square" lIns="0" tIns="0" rIns="0" bIns="0" anchor="t" anchorCtr="0" upright="1">
                          <a:noAutofit/>
                        </wps:bodyPr>
                      </wps:wsp>
                      <wps:wsp>
                        <wps:cNvPr id="13" name="Text Box 82"/>
                        <wps:cNvSpPr txBox="1">
                          <a:spLocks noChangeArrowheads="1"/>
                        </wps:cNvSpPr>
                        <wps:spPr bwMode="auto">
                          <a:xfrm>
                            <a:off x="1418" y="6412"/>
                            <a:ext cx="1429"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0DFEC" w14:textId="77777777" w:rsidR="00B34483" w:rsidRDefault="00B34483" w:rsidP="00BC0AFF">
                              <w:pPr>
                                <w:spacing w:line="221" w:lineRule="exact"/>
                                <w:ind w:left="31"/>
                                <w:rPr>
                                  <w:sz w:val="20"/>
                                </w:rPr>
                              </w:pPr>
                              <w:r>
                                <w:rPr>
                                  <w:sz w:val="20"/>
                                </w:rPr>
                                <w:t>Broj pod rizikom</w:t>
                              </w:r>
                            </w:p>
                            <w:p w14:paraId="39EB533A" w14:textId="77777777" w:rsidR="00B34483" w:rsidRDefault="00B34483" w:rsidP="00BC0AFF">
                              <w:pPr>
                                <w:spacing w:before="43"/>
                                <w:ind w:left="328"/>
                                <w:rPr>
                                  <w:sz w:val="18"/>
                                </w:rPr>
                              </w:pPr>
                              <w:r>
                                <w:rPr>
                                  <w:sz w:val="18"/>
                                </w:rPr>
                                <w:t>CCR</w:t>
                              </w:r>
                            </w:p>
                            <w:p w14:paraId="13E4A087" w14:textId="77777777" w:rsidR="00B34483" w:rsidRDefault="00B34483" w:rsidP="00BC0AFF">
                              <w:pPr>
                                <w:spacing w:before="9"/>
                                <w:rPr>
                                  <w:sz w:val="18"/>
                                </w:rPr>
                              </w:pPr>
                              <w:r>
                                <w:rPr>
                                  <w:sz w:val="18"/>
                                </w:rPr>
                                <w:t>Azacitidin</w:t>
                              </w:r>
                            </w:p>
                          </w:txbxContent>
                        </wps:txbx>
                        <wps:bodyPr rot="0" vert="horz" wrap="square" lIns="0" tIns="0" rIns="0" bIns="0" anchor="t" anchorCtr="0" upright="1">
                          <a:noAutofit/>
                        </wps:bodyPr>
                      </wps:wsp>
                      <wps:wsp>
                        <wps:cNvPr id="14" name="Text Box 83"/>
                        <wps:cNvSpPr txBox="1">
                          <a:spLocks noChangeArrowheads="1"/>
                        </wps:cNvSpPr>
                        <wps:spPr bwMode="auto">
                          <a:xfrm>
                            <a:off x="4887" y="6273"/>
                            <a:ext cx="29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44B2F" w14:textId="77777777" w:rsidR="00B34483" w:rsidRDefault="00B34483" w:rsidP="00BC0AFF">
                              <w:pPr>
                                <w:spacing w:line="221" w:lineRule="exact"/>
                                <w:rPr>
                                  <w:sz w:val="20"/>
                                </w:rPr>
                              </w:pPr>
                              <w:r>
                                <w:rPr>
                                  <w:sz w:val="20"/>
                                </w:rPr>
                                <w:t xml:space="preserve">Vrijeme (mjeseci) </w:t>
                              </w:r>
                              <w:proofErr w:type="gramStart"/>
                              <w:r>
                                <w:rPr>
                                  <w:sz w:val="20"/>
                                </w:rPr>
                                <w:t>od</w:t>
                              </w:r>
                              <w:proofErr w:type="gramEnd"/>
                              <w:r>
                                <w:rPr>
                                  <w:sz w:val="20"/>
                                </w:rPr>
                                <w:t xml:space="preserve"> randomizacije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1345D" id="Group 74" o:spid="_x0000_s1035" style="position:absolute;margin-left:0;margin-top:1.25pt;width:430.7pt;height:258.9pt;z-index:251674624;mso-position-horizontal:left;mso-position-horizontal-relative:margin" coordorigin="1418,1921" coordsize="8614,5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">
                <v:shape id="Picture 75" o:spid="_x0000_s1036" type="#_x0000_t75" style="position:absolute;left:1752;top:1921;width:8280;height:5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">
                  <v:imagedata r:id="rId13" o:title=""/>
                </v:shape>
                <v:rect id="Rectangle 76" o:spid="_x0000_s1037" style="position:absolute;left:1449;top:2946;width:6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" filled="f" strokecolor="white"/>
                <v:shape id="Text Box 77" o:spid="_x0000_s1038" type="#_x0000_t202" style="position:absolute;left:4681;top:2013;width:53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7382D18" w14:textId="77777777" w:rsidR="00B34483" w:rsidRDefault="00B34483" w:rsidP="00BC0AFF">
                        <w:pPr>
                          <w:spacing w:line="154" w:lineRule="exact"/>
                          <w:rPr>
                            <w:sz w:val="14"/>
                          </w:rPr>
                        </w:pPr>
                        <w:r>
                          <w:rPr>
                            <w:sz w:val="14"/>
                          </w:rPr>
                          <w:t>Liječenje</w:t>
                        </w:r>
                      </w:p>
                    </w:txbxContent>
                  </v:textbox>
                </v:shape>
                <v:shape id="Text Box 78" o:spid="_x0000_s1039" type="#_x0000_t202" style="position:absolute;left:6049;top:2021;width:60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56DC061" w14:textId="77777777" w:rsidR="00B34483" w:rsidRDefault="00B34483" w:rsidP="00BC0AFF">
                        <w:pPr>
                          <w:spacing w:line="154" w:lineRule="exact"/>
                          <w:rPr>
                            <w:sz w:val="14"/>
                          </w:rPr>
                        </w:pPr>
                        <w:r>
                          <w:rPr>
                            <w:sz w:val="14"/>
                          </w:rPr>
                          <w:t>Azacitidin</w:t>
                        </w:r>
                      </w:p>
                    </w:txbxContent>
                  </v:textbox>
                </v:shape>
                <v:shape id="Text Box 79" o:spid="_x0000_s1040" type="#_x0000_t202" style="position:absolute;left:7470;top:2025;width:30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9062879" w14:textId="77777777" w:rsidR="00B34483" w:rsidRDefault="00B34483" w:rsidP="00BC0AFF">
                        <w:pPr>
                          <w:spacing w:line="154" w:lineRule="exact"/>
                          <w:rPr>
                            <w:sz w:val="14"/>
                          </w:rPr>
                        </w:pPr>
                        <w:r>
                          <w:rPr>
                            <w:sz w:val="14"/>
                          </w:rPr>
                          <w:t>CCR</w:t>
                        </w:r>
                      </w:p>
                    </w:txbxContent>
                  </v:textbox>
                </v:shape>
                <v:shape id="Text Box 80" o:spid="_x0000_s1041" type="#_x0000_t202" style="position:absolute;left:9229;top:2006;width:68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5B335D0" w14:textId="79C990AA" w:rsidR="00B34483" w:rsidRDefault="00B34483" w:rsidP="00BC0AFF">
                        <w:pPr>
                          <w:spacing w:line="154" w:lineRule="exact"/>
                          <w:rPr>
                            <w:sz w:val="14"/>
                          </w:rPr>
                        </w:pPr>
                        <w:r>
                          <w:rPr>
                            <w:sz w:val="14"/>
                          </w:rPr>
                          <w:t>Cenzurisani</w:t>
                        </w:r>
                      </w:p>
                    </w:txbxContent>
                  </v:textbox>
                </v:shape>
                <v:shape id="Text Box 81" o:spid="_x0000_s1042" type="#_x0000_t202" style="position:absolute;left:4664;top:2524;width:5240;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274B434" w14:textId="77777777" w:rsidR="00B34483" w:rsidRPr="00A56A66" w:rsidRDefault="00B34483" w:rsidP="00BC0AFF">
                        <w:pPr>
                          <w:ind w:right="2"/>
                          <w:rPr>
                            <w:sz w:val="18"/>
                            <w:lang w:val="sr-Latn-ME"/>
                          </w:rPr>
                        </w:pPr>
                        <w:r w:rsidRPr="00A56A66">
                          <w:rPr>
                            <w:sz w:val="18"/>
                            <w:lang w:val="sr-Latn-ME"/>
                          </w:rPr>
                          <w:t>Nestratifikovani log-rang p = 0,0829, stratifikovani log-rang p = 0,1009 Medijana preživljavanja: azacitidin = 10,4 (8,0; 12,7), CCR = 6,5 (5,0 ; 8,6)</w:t>
                        </w:r>
                      </w:p>
                      <w:p w14:paraId="32322820" w14:textId="77777777" w:rsidR="00B34483" w:rsidRPr="00A56A66" w:rsidRDefault="00B34483" w:rsidP="00BC0AFF">
                        <w:pPr>
                          <w:spacing w:line="206" w:lineRule="exact"/>
                          <w:rPr>
                            <w:sz w:val="18"/>
                            <w:lang w:val="sr-Latn-ME"/>
                          </w:rPr>
                        </w:pPr>
                        <w:r w:rsidRPr="00A56A66">
                          <w:rPr>
                            <w:sz w:val="18"/>
                            <w:lang w:val="sr-Latn-ME"/>
                          </w:rPr>
                          <w:t>Događaji N (%): azacitidin = 193 (80,1), CCR = 201</w:t>
                        </w:r>
                        <w:r w:rsidRPr="00A56A66">
                          <w:rPr>
                            <w:spacing w:val="-15"/>
                            <w:sz w:val="18"/>
                            <w:lang w:val="sr-Latn-ME"/>
                          </w:rPr>
                          <w:t xml:space="preserve"> </w:t>
                        </w:r>
                        <w:r w:rsidRPr="00A56A66">
                          <w:rPr>
                            <w:sz w:val="18"/>
                            <w:lang w:val="sr-Latn-ME"/>
                          </w:rPr>
                          <w:t>(81,4)</w:t>
                        </w:r>
                      </w:p>
                      <w:p w14:paraId="493A296B" w14:textId="77777777" w:rsidR="00B34483" w:rsidRPr="00A56A66" w:rsidRDefault="00B34483" w:rsidP="00BC0AFF">
                        <w:pPr>
                          <w:spacing w:line="207" w:lineRule="exact"/>
                          <w:rPr>
                            <w:sz w:val="18"/>
                            <w:lang w:val="sr-Latn-ME"/>
                          </w:rPr>
                        </w:pPr>
                        <w:r w:rsidRPr="00A56A66">
                          <w:rPr>
                            <w:sz w:val="18"/>
                            <w:lang w:val="sr-Latn-ME"/>
                          </w:rPr>
                          <w:t>Cenzurisani N (%): azacitidin = 48 (19,9), CCR = 46</w:t>
                        </w:r>
                        <w:r w:rsidRPr="00A56A66">
                          <w:rPr>
                            <w:spacing w:val="-11"/>
                            <w:sz w:val="18"/>
                            <w:lang w:val="sr-Latn-ME"/>
                          </w:rPr>
                          <w:t xml:space="preserve"> </w:t>
                        </w:r>
                        <w:r w:rsidRPr="00A56A66">
                          <w:rPr>
                            <w:sz w:val="18"/>
                            <w:lang w:val="sr-Latn-ME"/>
                          </w:rPr>
                          <w:t>(18,6)</w:t>
                        </w:r>
                      </w:p>
                      <w:p w14:paraId="5753C6E3" w14:textId="77777777" w:rsidR="00B34483" w:rsidRPr="00A56A66" w:rsidRDefault="00B34483" w:rsidP="00BC0AFF">
                        <w:pPr>
                          <w:spacing w:line="207" w:lineRule="exact"/>
                          <w:rPr>
                            <w:sz w:val="18"/>
                            <w:lang w:val="sr-Latn-ME"/>
                          </w:rPr>
                        </w:pPr>
                        <w:r w:rsidRPr="00A56A66">
                          <w:rPr>
                            <w:sz w:val="18"/>
                            <w:lang w:val="sr-Latn-ME"/>
                          </w:rPr>
                          <w:t>Nestratifikovani HR = 0,84 [95% CI: 0,69 – 1,02], stratifikovani</w:t>
                        </w:r>
                      </w:p>
                      <w:p w14:paraId="4401C436" w14:textId="77777777" w:rsidR="00B34483" w:rsidRPr="00A56A66" w:rsidRDefault="00B34483" w:rsidP="00BC0AFF">
                        <w:pPr>
                          <w:spacing w:line="207" w:lineRule="exact"/>
                          <w:rPr>
                            <w:sz w:val="18"/>
                            <w:lang w:val="sr-Latn-ME"/>
                          </w:rPr>
                        </w:pPr>
                        <w:r w:rsidRPr="00A56A66">
                          <w:rPr>
                            <w:sz w:val="18"/>
                            <w:lang w:val="sr-Latn-ME"/>
                          </w:rPr>
                          <w:t>HR = 0,85 [95% CI: 0,69 – 1,03]</w:t>
                        </w:r>
                      </w:p>
                    </w:txbxContent>
                  </v:textbox>
                </v:shape>
                <v:shape id="Text Box 82" o:spid="_x0000_s1043" type="#_x0000_t202" style="position:absolute;left:1418;top:6412;width:1429;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D90DFEC" w14:textId="77777777" w:rsidR="00B34483" w:rsidRDefault="00B34483" w:rsidP="00BC0AFF">
                        <w:pPr>
                          <w:spacing w:line="221" w:lineRule="exact"/>
                          <w:ind w:left="31"/>
                          <w:rPr>
                            <w:sz w:val="20"/>
                          </w:rPr>
                        </w:pPr>
                        <w:r>
                          <w:rPr>
                            <w:sz w:val="20"/>
                          </w:rPr>
                          <w:t>Broj pod rizikom</w:t>
                        </w:r>
                      </w:p>
                      <w:p w14:paraId="39EB533A" w14:textId="77777777" w:rsidR="00B34483" w:rsidRDefault="00B34483" w:rsidP="00BC0AFF">
                        <w:pPr>
                          <w:spacing w:before="43"/>
                          <w:ind w:left="328"/>
                          <w:rPr>
                            <w:sz w:val="18"/>
                          </w:rPr>
                        </w:pPr>
                        <w:r>
                          <w:rPr>
                            <w:sz w:val="18"/>
                          </w:rPr>
                          <w:t>CCR</w:t>
                        </w:r>
                      </w:p>
                      <w:p w14:paraId="13E4A087" w14:textId="77777777" w:rsidR="00B34483" w:rsidRDefault="00B34483" w:rsidP="00BC0AFF">
                        <w:pPr>
                          <w:spacing w:before="9"/>
                          <w:rPr>
                            <w:sz w:val="18"/>
                          </w:rPr>
                        </w:pPr>
                        <w:r>
                          <w:rPr>
                            <w:sz w:val="18"/>
                          </w:rPr>
                          <w:t>Azacitidin</w:t>
                        </w:r>
                      </w:p>
                    </w:txbxContent>
                  </v:textbox>
                </v:shape>
                <v:shape id="Text Box 83" o:spid="_x0000_s1044" type="#_x0000_t202" style="position:absolute;left:4887;top:6273;width:29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5C44B2F" w14:textId="77777777" w:rsidR="00B34483" w:rsidRDefault="00B34483" w:rsidP="00BC0AFF">
                        <w:pPr>
                          <w:spacing w:line="221" w:lineRule="exact"/>
                          <w:rPr>
                            <w:sz w:val="20"/>
                          </w:rPr>
                        </w:pPr>
                        <w:r>
                          <w:rPr>
                            <w:sz w:val="20"/>
                          </w:rPr>
                          <w:t xml:space="preserve">Vrijeme (mjeseci) </w:t>
                        </w:r>
                        <w:proofErr w:type="gramStart"/>
                        <w:r>
                          <w:rPr>
                            <w:sz w:val="20"/>
                          </w:rPr>
                          <w:t>od</w:t>
                        </w:r>
                        <w:proofErr w:type="gramEnd"/>
                        <w:r>
                          <w:rPr>
                            <w:sz w:val="20"/>
                          </w:rPr>
                          <w:t xml:space="preserve"> randomizacije</w:t>
                        </w:r>
                      </w:p>
                    </w:txbxContent>
                  </v:textbox>
                </v:shape>
                <w10:wrap anchorx="margin"/>
              </v:group>
            </w:pict>
          </mc:Fallback>
        </mc:AlternateContent>
      </w:r>
    </w:p>
    <w:p w14:paraId="5356E0D1" w14:textId="77777777" w:rsidR="0084478E" w:rsidRPr="0047585D" w:rsidRDefault="0084478E" w:rsidP="00BE5A22">
      <w:pPr>
        <w:pStyle w:val="BodyText"/>
        <w:rPr>
          <w:lang w:val="sr-Latn-ME"/>
        </w:rPr>
      </w:pPr>
    </w:p>
    <w:p w14:paraId="46FB8B04" w14:textId="77777777" w:rsidR="0084478E" w:rsidRPr="0047585D" w:rsidRDefault="0084478E" w:rsidP="00BE5A22">
      <w:pPr>
        <w:pStyle w:val="BodyText"/>
        <w:rPr>
          <w:lang w:val="sr-Latn-ME"/>
        </w:rPr>
      </w:pPr>
    </w:p>
    <w:p w14:paraId="3B10F12B" w14:textId="77777777" w:rsidR="0084478E" w:rsidRPr="0047585D" w:rsidRDefault="00A4764C" w:rsidP="00BE5A22">
      <w:pPr>
        <w:pStyle w:val="BodyText"/>
        <w:rPr>
          <w:lang w:val="sr-Latn-ME"/>
        </w:rPr>
      </w:pPr>
      <w:r w:rsidRPr="0047585D">
        <w:rPr>
          <w:noProof/>
        </w:rPr>
        <mc:AlternateContent>
          <mc:Choice Requires="wps">
            <w:drawing>
              <wp:anchor distT="45720" distB="45720" distL="114300" distR="114300" simplePos="0" relativeHeight="251676672" behindDoc="0" locked="0" layoutInCell="1" allowOverlap="1" wp14:anchorId="5B7F792C" wp14:editId="31BF208B">
                <wp:simplePos x="0" y="0"/>
                <wp:positionH relativeFrom="column">
                  <wp:posOffset>10408</wp:posOffset>
                </wp:positionH>
                <wp:positionV relativeFrom="paragraph">
                  <wp:posOffset>6323</wp:posOffset>
                </wp:positionV>
                <wp:extent cx="3505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04620"/>
                        </a:xfrm>
                        <a:prstGeom prst="rect">
                          <a:avLst/>
                        </a:prstGeom>
                        <a:solidFill>
                          <a:srgbClr val="FFFFFF"/>
                        </a:solidFill>
                        <a:ln w="9525">
                          <a:noFill/>
                          <a:miter lim="800000"/>
                          <a:headEnd/>
                          <a:tailEnd/>
                        </a:ln>
                      </wps:spPr>
                      <wps:txbx>
                        <w:txbxContent>
                          <w:p w14:paraId="697B1F50" w14:textId="77777777" w:rsidR="00B34483" w:rsidRPr="00F95631" w:rsidRDefault="00B34483" w:rsidP="00A4764C">
                            <w:pPr>
                              <w:pStyle w:val="BodyText"/>
                              <w:ind w:left="218"/>
                              <w:jc w:val="both"/>
                              <w:rPr>
                                <w:sz w:val="20"/>
                                <w:szCs w:val="20"/>
                              </w:rPr>
                            </w:pPr>
                            <w:r w:rsidRPr="00F95631">
                              <w:rPr>
                                <w:sz w:val="20"/>
                                <w:szCs w:val="20"/>
                              </w:rPr>
                              <w:t>Vrijednost</w:t>
                            </w:r>
                            <w:r>
                              <w:rPr>
                                <w:sz w:val="20"/>
                                <w:szCs w:val="20"/>
                              </w:rPr>
                              <w:t xml:space="preserve"> </w:t>
                            </w:r>
                            <w:r w:rsidRPr="00F95631">
                              <w:rPr>
                                <w:sz w:val="20"/>
                                <w:szCs w:val="20"/>
                              </w:rPr>
                              <w:t>preživljavanja</w:t>
                            </w:r>
                          </w:p>
                          <w:p w14:paraId="336D237E" w14:textId="77777777" w:rsidR="00B34483" w:rsidRDefault="00B34483"/>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5B7F792C" id="Text Box 2" o:spid="_x0000_s1045" type="#_x0000_t202" style="position:absolute;margin-left:.8pt;margin-top:.5pt;width:27.6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" stroked="f">
                <v:textbox style="layout-flow:vertical;mso-layout-flow-alt:bottom-to-top">
                  <w:txbxContent>
                    <w:p w14:paraId="697B1F50" w14:textId="77777777" w:rsidR="00B34483" w:rsidRPr="00F95631" w:rsidRDefault="00B34483" w:rsidP="00A4764C">
                      <w:pPr>
                        <w:pStyle w:val="BodyText"/>
                        <w:ind w:left="218"/>
                        <w:jc w:val="both"/>
                        <w:rPr>
                          <w:sz w:val="20"/>
                          <w:szCs w:val="20"/>
                        </w:rPr>
                      </w:pPr>
                      <w:r w:rsidRPr="00F95631">
                        <w:rPr>
                          <w:sz w:val="20"/>
                          <w:szCs w:val="20"/>
                        </w:rPr>
                        <w:t>Vrijednost</w:t>
                      </w:r>
                      <w:r>
                        <w:rPr>
                          <w:sz w:val="20"/>
                          <w:szCs w:val="20"/>
                        </w:rPr>
                        <w:t xml:space="preserve"> </w:t>
                      </w:r>
                      <w:r w:rsidRPr="00F95631">
                        <w:rPr>
                          <w:sz w:val="20"/>
                          <w:szCs w:val="20"/>
                        </w:rPr>
                        <w:t>preživljavanja</w:t>
                      </w:r>
                    </w:p>
                    <w:p w14:paraId="336D237E" w14:textId="77777777" w:rsidR="00B34483" w:rsidRDefault="00B34483"/>
                  </w:txbxContent>
                </v:textbox>
                <w10:wrap type="square"/>
              </v:shape>
            </w:pict>
          </mc:Fallback>
        </mc:AlternateContent>
      </w:r>
      <w:r w:rsidR="00A34E84" w:rsidRPr="0047585D">
        <w:rPr>
          <w:noProof/>
        </w:rPr>
        <mc:AlternateContent>
          <mc:Choice Requires="wps">
            <w:drawing>
              <wp:anchor distT="0" distB="0" distL="114300" distR="114300" simplePos="0" relativeHeight="251673600" behindDoc="0" locked="0" layoutInCell="1" allowOverlap="1" wp14:anchorId="11479D7B" wp14:editId="03711FC6">
                <wp:simplePos x="0" y="0"/>
                <wp:positionH relativeFrom="page">
                  <wp:posOffset>1292225</wp:posOffset>
                </wp:positionH>
                <wp:positionV relativeFrom="paragraph">
                  <wp:posOffset>-212090</wp:posOffset>
                </wp:positionV>
                <wp:extent cx="152400" cy="1158875"/>
                <wp:effectExtent l="0" t="0" r="0" b="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6040" w14:textId="77777777" w:rsidR="00B34483" w:rsidRDefault="00B34483">
                            <w:pPr>
                              <w:spacing w:before="12"/>
                              <w:ind w:left="20"/>
                              <w:rPr>
                                <w:sz w:val="1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79D7B" id="Text Box 41" o:spid="_x0000_s1046" type="#_x0000_t202" style="position:absolute;margin-left:101.75pt;margin-top:-16.7pt;width:12pt;height:91.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" filled="f" stroked="f">
                <v:textbox style="layout-flow:vertical;mso-layout-flow-alt:bottom-to-top" inset="0,0,0,0">
                  <w:txbxContent>
                    <w:p w14:paraId="3C2B6040" w14:textId="77777777" w:rsidR="00B34483" w:rsidRDefault="00B34483">
                      <w:pPr>
                        <w:spacing w:before="12"/>
                        <w:ind w:left="20"/>
                        <w:rPr>
                          <w:sz w:val="18"/>
                        </w:rPr>
                      </w:pPr>
                    </w:p>
                  </w:txbxContent>
                </v:textbox>
                <w10:wrap anchorx="page"/>
              </v:shape>
            </w:pict>
          </mc:Fallback>
        </mc:AlternateContent>
      </w:r>
    </w:p>
    <w:p w14:paraId="1400DADC" w14:textId="77777777" w:rsidR="0084478E" w:rsidRPr="0047585D" w:rsidRDefault="0084478E" w:rsidP="00BE5A22">
      <w:pPr>
        <w:pStyle w:val="BodyText"/>
        <w:rPr>
          <w:lang w:val="sr-Latn-ME"/>
        </w:rPr>
      </w:pPr>
    </w:p>
    <w:p w14:paraId="7FD8F466" w14:textId="77777777" w:rsidR="0084478E" w:rsidRPr="0047585D" w:rsidRDefault="0084478E" w:rsidP="00BE5A22">
      <w:pPr>
        <w:pStyle w:val="BodyText"/>
        <w:rPr>
          <w:lang w:val="sr-Latn-ME"/>
        </w:rPr>
      </w:pPr>
    </w:p>
    <w:p w14:paraId="4124DC06" w14:textId="77777777" w:rsidR="0084478E" w:rsidRPr="0047585D" w:rsidRDefault="0084478E" w:rsidP="00BE5A22">
      <w:pPr>
        <w:pStyle w:val="BodyText"/>
        <w:spacing w:before="1"/>
        <w:rPr>
          <w:lang w:val="sr-Latn-ME"/>
        </w:rPr>
      </w:pPr>
    </w:p>
    <w:p w14:paraId="3E19AC78" w14:textId="77777777" w:rsidR="00BC0AFF" w:rsidRPr="0047585D" w:rsidRDefault="00BC0AFF" w:rsidP="00BE5A22">
      <w:pPr>
        <w:pStyle w:val="BodyText"/>
        <w:jc w:val="both"/>
        <w:rPr>
          <w:lang w:val="sr-Latn-ME"/>
        </w:rPr>
      </w:pPr>
    </w:p>
    <w:p w14:paraId="79FA4CB6" w14:textId="77777777" w:rsidR="00BC0AFF" w:rsidRPr="0047585D" w:rsidRDefault="00BC0AFF" w:rsidP="00BE5A22">
      <w:pPr>
        <w:pStyle w:val="BodyText"/>
        <w:jc w:val="both"/>
        <w:rPr>
          <w:lang w:val="sr-Latn-ME"/>
        </w:rPr>
      </w:pPr>
    </w:p>
    <w:p w14:paraId="125DC926" w14:textId="77777777" w:rsidR="00BC0AFF" w:rsidRPr="0047585D" w:rsidRDefault="00BC0AFF" w:rsidP="00AC38D1">
      <w:pPr>
        <w:pStyle w:val="BodyText"/>
        <w:jc w:val="both"/>
        <w:rPr>
          <w:lang w:val="sr-Latn-ME"/>
        </w:rPr>
      </w:pPr>
    </w:p>
    <w:p w14:paraId="32FA60FE" w14:textId="77777777" w:rsidR="00BC0AFF" w:rsidRPr="0047585D" w:rsidRDefault="00BC0AFF" w:rsidP="00AC38D1">
      <w:pPr>
        <w:pStyle w:val="BodyText"/>
        <w:jc w:val="both"/>
        <w:rPr>
          <w:lang w:val="sr-Latn-ME"/>
        </w:rPr>
      </w:pPr>
    </w:p>
    <w:p w14:paraId="4A67ADDD" w14:textId="77777777" w:rsidR="00BC0AFF" w:rsidRPr="0047585D" w:rsidRDefault="00BC0AFF" w:rsidP="00AC38D1">
      <w:pPr>
        <w:pStyle w:val="BodyText"/>
        <w:jc w:val="both"/>
        <w:rPr>
          <w:lang w:val="sr-Latn-ME"/>
        </w:rPr>
      </w:pPr>
    </w:p>
    <w:p w14:paraId="0685DCF7" w14:textId="77777777" w:rsidR="00BC0AFF" w:rsidRPr="0047585D" w:rsidRDefault="00BC0AFF" w:rsidP="00AC38D1">
      <w:pPr>
        <w:pStyle w:val="BodyText"/>
        <w:jc w:val="both"/>
        <w:rPr>
          <w:lang w:val="sr-Latn-ME"/>
        </w:rPr>
      </w:pPr>
    </w:p>
    <w:p w14:paraId="587AB5DD" w14:textId="77777777" w:rsidR="00BC0AFF" w:rsidRPr="0047585D" w:rsidRDefault="00BC0AFF" w:rsidP="00AC38D1">
      <w:pPr>
        <w:pStyle w:val="BodyText"/>
        <w:jc w:val="both"/>
        <w:rPr>
          <w:lang w:val="sr-Latn-ME"/>
        </w:rPr>
      </w:pPr>
    </w:p>
    <w:p w14:paraId="769FB9B8" w14:textId="77777777" w:rsidR="00BC0AFF" w:rsidRPr="0047585D" w:rsidRDefault="00BC0AFF" w:rsidP="00AC38D1">
      <w:pPr>
        <w:pStyle w:val="BodyText"/>
        <w:jc w:val="both"/>
        <w:rPr>
          <w:lang w:val="sr-Latn-ME"/>
        </w:rPr>
      </w:pPr>
    </w:p>
    <w:p w14:paraId="68A4D143" w14:textId="77777777" w:rsidR="00BC0AFF" w:rsidRPr="0047585D" w:rsidRDefault="00BC0AFF" w:rsidP="00AC38D1">
      <w:pPr>
        <w:pStyle w:val="BodyText"/>
        <w:jc w:val="both"/>
        <w:rPr>
          <w:lang w:val="sr-Latn-ME"/>
        </w:rPr>
      </w:pPr>
    </w:p>
    <w:p w14:paraId="15FCD647" w14:textId="77777777" w:rsidR="00BC0AFF" w:rsidRPr="0047585D" w:rsidRDefault="00BC0AFF" w:rsidP="00AC38D1">
      <w:pPr>
        <w:pStyle w:val="BodyText"/>
        <w:jc w:val="both"/>
        <w:rPr>
          <w:lang w:val="sr-Latn-ME"/>
        </w:rPr>
      </w:pPr>
    </w:p>
    <w:p w14:paraId="1FB51A97" w14:textId="77777777" w:rsidR="00BC0AFF" w:rsidRPr="0047585D" w:rsidRDefault="00BC0AFF" w:rsidP="00AC38D1">
      <w:pPr>
        <w:pStyle w:val="BodyText"/>
        <w:jc w:val="both"/>
        <w:rPr>
          <w:lang w:val="sr-Latn-ME"/>
        </w:rPr>
      </w:pPr>
    </w:p>
    <w:p w14:paraId="6D73938B" w14:textId="4E99FA1A" w:rsidR="00262B3A" w:rsidRPr="0047585D" w:rsidRDefault="00262B3A" w:rsidP="00AC38D1">
      <w:pPr>
        <w:pStyle w:val="BodyText"/>
        <w:jc w:val="both"/>
        <w:rPr>
          <w:lang w:val="sr-Latn-ME"/>
        </w:rPr>
      </w:pPr>
    </w:p>
    <w:p w14:paraId="041C9D34" w14:textId="141816DD" w:rsidR="00262B3A" w:rsidRPr="0047585D" w:rsidRDefault="00262B3A" w:rsidP="00AC38D1">
      <w:pPr>
        <w:pStyle w:val="BodyText"/>
        <w:jc w:val="both"/>
        <w:rPr>
          <w:lang w:val="sr-Latn-ME"/>
        </w:rPr>
      </w:pPr>
    </w:p>
    <w:p w14:paraId="7BFD4CFB" w14:textId="38022C20" w:rsidR="00262B3A" w:rsidRPr="0047585D" w:rsidRDefault="00262B3A" w:rsidP="00AC38D1">
      <w:pPr>
        <w:pStyle w:val="BodyText"/>
        <w:jc w:val="both"/>
        <w:rPr>
          <w:lang w:val="sr-Latn-ME"/>
        </w:rPr>
      </w:pPr>
    </w:p>
    <w:p w14:paraId="4554588A" w14:textId="723C42FD" w:rsidR="0084478E" w:rsidRPr="0047585D" w:rsidRDefault="00200D97" w:rsidP="00A56A66">
      <w:pPr>
        <w:pStyle w:val="BodyText"/>
        <w:jc w:val="both"/>
        <w:rPr>
          <w:lang w:val="sr-Latn-ME"/>
        </w:rPr>
      </w:pPr>
      <w:r w:rsidRPr="0047585D">
        <w:rPr>
          <w:lang w:val="sr-Latn-ME"/>
        </w:rPr>
        <w:t>Prema Cox</w:t>
      </w:r>
      <w:r w:rsidR="00D2340C" w:rsidRPr="0047585D">
        <w:rPr>
          <w:lang w:val="sr-Latn-ME"/>
        </w:rPr>
        <w:t>-</w:t>
      </w:r>
      <w:r w:rsidRPr="0047585D">
        <w:rPr>
          <w:lang w:val="sr-Latn-ME"/>
        </w:rPr>
        <w:t>ov</w:t>
      </w:r>
      <w:r w:rsidR="00BC0AFF" w:rsidRPr="0047585D">
        <w:rPr>
          <w:lang w:val="sr-Latn-ME"/>
        </w:rPr>
        <w:t>om</w:t>
      </w:r>
      <w:r w:rsidRPr="0047585D">
        <w:rPr>
          <w:lang w:val="sr-Latn-ME"/>
        </w:rPr>
        <w:t xml:space="preserve"> </w:t>
      </w:r>
      <w:r w:rsidR="00D2340C" w:rsidRPr="0047585D">
        <w:rPr>
          <w:lang w:val="sr-Latn-ME"/>
        </w:rPr>
        <w:t xml:space="preserve">PH </w:t>
      </w:r>
      <w:r w:rsidRPr="0047585D">
        <w:rPr>
          <w:lang w:val="sr-Latn-ME"/>
        </w:rPr>
        <w:t>modelu prilagođenom za prije određene početne prognostičke faktore, određen je o</w:t>
      </w:r>
      <w:r w:rsidR="00965CE8" w:rsidRPr="0047585D">
        <w:rPr>
          <w:lang w:val="sr-Latn-ME"/>
        </w:rPr>
        <w:t>dnos</w:t>
      </w:r>
      <w:r w:rsidRPr="0047585D">
        <w:rPr>
          <w:lang w:val="sr-Latn-ME"/>
        </w:rPr>
        <w:t xml:space="preserve"> hazardaza azacitidin u </w:t>
      </w:r>
      <w:r w:rsidR="00965CE8" w:rsidRPr="0047585D">
        <w:rPr>
          <w:lang w:val="sr-Latn-ME"/>
        </w:rPr>
        <w:t>poređenju</w:t>
      </w:r>
      <w:r w:rsidRPr="0047585D">
        <w:rPr>
          <w:lang w:val="sr-Latn-ME"/>
        </w:rPr>
        <w:t xml:space="preserve"> s CCR-om od 0,80 (95% CI = 0,66; 0,99; p = 0,0355).</w:t>
      </w:r>
    </w:p>
    <w:p w14:paraId="75119BE9" w14:textId="77777777" w:rsidR="00262B3A" w:rsidRPr="0047585D" w:rsidRDefault="00262B3A" w:rsidP="00A56A66">
      <w:pPr>
        <w:pStyle w:val="BodyText"/>
        <w:jc w:val="both"/>
        <w:rPr>
          <w:lang w:val="sr-Latn-ME"/>
        </w:rPr>
      </w:pPr>
    </w:p>
    <w:p w14:paraId="4FD57362" w14:textId="77DD1847" w:rsidR="0084478E" w:rsidRPr="0047585D" w:rsidRDefault="00200D97" w:rsidP="00A56A66">
      <w:pPr>
        <w:pStyle w:val="BodyText"/>
        <w:jc w:val="both"/>
        <w:rPr>
          <w:lang w:val="sr-Latn-ME"/>
        </w:rPr>
      </w:pPr>
      <w:r w:rsidRPr="0047585D">
        <w:rPr>
          <w:lang w:val="sr-Latn-ME"/>
        </w:rPr>
        <w:t xml:space="preserve">Uz to, iako ispitivanje nije imalo dovoljnu snagu da se dokaže statistički značajna razlika između </w:t>
      </w:r>
      <w:r w:rsidR="00965CE8" w:rsidRPr="0047585D">
        <w:rPr>
          <w:lang w:val="sr-Latn-ME"/>
        </w:rPr>
        <w:t>grup</w:t>
      </w:r>
      <w:r w:rsidRPr="0047585D">
        <w:rPr>
          <w:lang w:val="sr-Latn-ME"/>
        </w:rPr>
        <w:t xml:space="preserve">e liječene azacitidinom i </w:t>
      </w:r>
      <w:r w:rsidR="004F3CC3" w:rsidRPr="0047585D">
        <w:rPr>
          <w:lang w:val="sr-Latn-ME"/>
        </w:rPr>
        <w:t xml:space="preserve">prethodno izabrane </w:t>
      </w:r>
      <w:r w:rsidR="00965CE8" w:rsidRPr="0047585D">
        <w:rPr>
          <w:lang w:val="sr-Latn-ME"/>
        </w:rPr>
        <w:t>grup</w:t>
      </w:r>
      <w:r w:rsidRPr="0047585D">
        <w:rPr>
          <w:lang w:val="sr-Latn-ME"/>
        </w:rPr>
        <w:t xml:space="preserve">e liječene CCR-om, </w:t>
      </w:r>
      <w:r w:rsidR="001D5573" w:rsidRPr="0047585D">
        <w:rPr>
          <w:lang w:val="sr-Latn-ME"/>
        </w:rPr>
        <w:t>preživljavanj</w:t>
      </w:r>
      <w:r w:rsidRPr="0047585D">
        <w:rPr>
          <w:lang w:val="sr-Latn-ME"/>
        </w:rPr>
        <w:t xml:space="preserve">e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a liječenih azacitidinom bilo je du</w:t>
      </w:r>
      <w:r w:rsidR="00965CE8" w:rsidRPr="0047585D">
        <w:rPr>
          <w:lang w:val="sr-Latn-ME"/>
        </w:rPr>
        <w:t>ž</w:t>
      </w:r>
      <w:r w:rsidRPr="0047585D">
        <w:rPr>
          <w:lang w:val="sr-Latn-ME"/>
        </w:rPr>
        <w:t xml:space="preserve">e u </w:t>
      </w:r>
      <w:r w:rsidR="00965CE8" w:rsidRPr="0047585D">
        <w:rPr>
          <w:lang w:val="sr-Latn-ME"/>
        </w:rPr>
        <w:t>poređenju</w:t>
      </w:r>
      <w:r w:rsidRPr="0047585D">
        <w:rPr>
          <w:lang w:val="sr-Latn-ME"/>
        </w:rPr>
        <w:t xml:space="preserve"> s mogućnostima liječenja CCR-om samo BSC-om, niskom dozom citarabina uz BSC </w:t>
      </w:r>
      <w:r w:rsidR="00D2340C" w:rsidRPr="0047585D">
        <w:rPr>
          <w:lang w:val="sr-Latn-ME"/>
        </w:rPr>
        <w:t>i</w:t>
      </w:r>
      <w:r w:rsidR="00DF0E92" w:rsidRPr="0047585D">
        <w:rPr>
          <w:lang w:val="sr-Latn-ME"/>
        </w:rPr>
        <w:t xml:space="preserve"> </w:t>
      </w:r>
      <w:r w:rsidRPr="0047585D">
        <w:rPr>
          <w:lang w:val="sr-Latn-ME"/>
        </w:rPr>
        <w:t xml:space="preserve">bilo </w:t>
      </w:r>
      <w:r w:rsidR="00DF0E92" w:rsidRPr="0047585D">
        <w:rPr>
          <w:lang w:val="sr-Latn-ME"/>
        </w:rPr>
        <w:t xml:space="preserve">je </w:t>
      </w:r>
      <w:r w:rsidRPr="0047585D">
        <w:rPr>
          <w:lang w:val="sr-Latn-ME"/>
        </w:rPr>
        <w:t xml:space="preserve">slično kad se uporedilo sa standardnom intenzivnom </w:t>
      </w:r>
      <w:r w:rsidR="00965CE8" w:rsidRPr="0047585D">
        <w:rPr>
          <w:lang w:val="sr-Latn-ME"/>
        </w:rPr>
        <w:t>h</w:t>
      </w:r>
      <w:r w:rsidRPr="0047585D">
        <w:rPr>
          <w:lang w:val="sr-Latn-ME"/>
        </w:rPr>
        <w:t>emoterapijom uz BSC.</w:t>
      </w:r>
    </w:p>
    <w:p w14:paraId="0F518283" w14:textId="77777777" w:rsidR="00262B3A" w:rsidRPr="0047585D" w:rsidRDefault="00262B3A" w:rsidP="00A56A66">
      <w:pPr>
        <w:pStyle w:val="BodyText"/>
        <w:jc w:val="both"/>
        <w:rPr>
          <w:lang w:val="sr-Latn-ME"/>
        </w:rPr>
      </w:pPr>
    </w:p>
    <w:p w14:paraId="4AB85ADB" w14:textId="52F03BE1" w:rsidR="0084478E" w:rsidRPr="0047585D" w:rsidRDefault="00200D97" w:rsidP="00A56A66">
      <w:pPr>
        <w:pStyle w:val="BodyText"/>
        <w:jc w:val="both"/>
        <w:rPr>
          <w:lang w:val="sr-Latn-ME"/>
        </w:rPr>
      </w:pPr>
      <w:r w:rsidRPr="0047585D">
        <w:rPr>
          <w:lang w:val="sr-Latn-ME"/>
        </w:rPr>
        <w:t xml:space="preserve">Trend koristi za ukupno </w:t>
      </w:r>
      <w:r w:rsidR="001D5573" w:rsidRPr="0047585D">
        <w:rPr>
          <w:lang w:val="sr-Latn-ME"/>
        </w:rPr>
        <w:t>preživljavanj</w:t>
      </w:r>
      <w:r w:rsidRPr="0047585D">
        <w:rPr>
          <w:lang w:val="sr-Latn-ME"/>
        </w:rPr>
        <w:t>e išao je u prilog azacitidinu u svim unaprijed određenim pod</w:t>
      </w:r>
      <w:r w:rsidR="00965CE8" w:rsidRPr="0047585D">
        <w:rPr>
          <w:lang w:val="sr-Latn-ME"/>
        </w:rPr>
        <w:t>grup</w:t>
      </w:r>
      <w:r w:rsidRPr="0047585D">
        <w:rPr>
          <w:lang w:val="sr-Latn-ME"/>
        </w:rPr>
        <w:t xml:space="preserve">ama po </w:t>
      </w:r>
      <w:r w:rsidR="00965CE8" w:rsidRPr="0047585D">
        <w:rPr>
          <w:lang w:val="sr-Latn-ME"/>
        </w:rPr>
        <w:t xml:space="preserve">uzrastu </w:t>
      </w:r>
      <w:r w:rsidRPr="0047585D">
        <w:rPr>
          <w:lang w:val="sr-Latn-ME"/>
        </w:rPr>
        <w:t>[(&lt; 75 godina i ≥ 75 godina), polu, rasi, ECOG funkcionalnom</w:t>
      </w:r>
      <w:r w:rsidRPr="0047585D">
        <w:rPr>
          <w:spacing w:val="-18"/>
          <w:lang w:val="sr-Latn-ME"/>
        </w:rPr>
        <w:t xml:space="preserve"> </w:t>
      </w:r>
      <w:r w:rsidR="001D6056" w:rsidRPr="0047585D">
        <w:rPr>
          <w:lang w:val="sr-Latn-ME"/>
        </w:rPr>
        <w:t xml:space="preserve">status </w:t>
      </w:r>
      <w:r w:rsidRPr="0047585D">
        <w:rPr>
          <w:lang w:val="sr-Latn-ME"/>
        </w:rPr>
        <w:t xml:space="preserve">(0 ili 1 i 2) , početnom citogenetskom riziku (srednji i visoki), geografskoj regiji, klasifikaciji AML-a prema SZO-u (uključujući AML s promjenama povezanim s mijelodisplazijom), početnom broju bijelih krvnih </w:t>
      </w:r>
      <w:r w:rsidR="00965CE8" w:rsidRPr="0047585D">
        <w:rPr>
          <w:lang w:val="sr-Latn-ME"/>
        </w:rPr>
        <w:t>ćelij</w:t>
      </w:r>
      <w:r w:rsidRPr="0047585D">
        <w:rPr>
          <w:lang w:val="sr-Latn-ME"/>
        </w:rPr>
        <w:t>a (≤ 5 x 10</w:t>
      </w:r>
      <w:r w:rsidRPr="0047585D">
        <w:rPr>
          <w:position w:val="8"/>
          <w:lang w:val="sr-Latn-ME"/>
        </w:rPr>
        <w:t>9</w:t>
      </w:r>
      <w:r w:rsidRPr="0047585D">
        <w:rPr>
          <w:lang w:val="sr-Latn-ME"/>
        </w:rPr>
        <w:t>/l i &gt;5 x 10</w:t>
      </w:r>
      <w:r w:rsidRPr="0047585D">
        <w:rPr>
          <w:position w:val="8"/>
          <w:lang w:val="sr-Latn-ME"/>
        </w:rPr>
        <w:t>9</w:t>
      </w:r>
      <w:r w:rsidRPr="0047585D">
        <w:rPr>
          <w:lang w:val="sr-Latn-ME"/>
        </w:rPr>
        <w:t>/l), blastima u koštanoj srži na početku (≤ 50 % i &gt; 50 %) i prethodnom MDS-u u anamnezi]. O</w:t>
      </w:r>
      <w:r w:rsidR="00965CE8" w:rsidRPr="0047585D">
        <w:rPr>
          <w:lang w:val="sr-Latn-ME"/>
        </w:rPr>
        <w:t>dnos</w:t>
      </w:r>
      <w:r w:rsidRPr="0047585D">
        <w:rPr>
          <w:lang w:val="sr-Latn-ME"/>
        </w:rPr>
        <w:t xml:space="preserve"> hazarda ukupnog </w:t>
      </w:r>
      <w:r w:rsidR="001D5573" w:rsidRPr="0047585D">
        <w:rPr>
          <w:lang w:val="sr-Latn-ME"/>
        </w:rPr>
        <w:t>preživljavanj</w:t>
      </w:r>
      <w:r w:rsidRPr="0047585D">
        <w:rPr>
          <w:lang w:val="sr-Latn-ME"/>
        </w:rPr>
        <w:t>a dostigao je statističku značajnost u nekoliko unaprijed određenih po</w:t>
      </w:r>
      <w:r w:rsidR="00965CE8" w:rsidRPr="0047585D">
        <w:rPr>
          <w:lang w:val="sr-Latn-ME"/>
        </w:rPr>
        <w:t>dgrup</w:t>
      </w:r>
      <w:r w:rsidRPr="0047585D">
        <w:rPr>
          <w:lang w:val="sr-Latn-ME"/>
        </w:rPr>
        <w:t xml:space="preserve">a uključujući </w:t>
      </w:r>
      <w:r w:rsidR="00862A19" w:rsidRPr="0047585D">
        <w:rPr>
          <w:lang w:val="sr-Latn-ME"/>
        </w:rPr>
        <w:t>pacijent</w:t>
      </w:r>
      <w:r w:rsidRPr="0047585D">
        <w:rPr>
          <w:lang w:val="sr-Latn-ME"/>
        </w:rPr>
        <w:t xml:space="preserve">e s visokim citogenetskim rizikom, </w:t>
      </w:r>
      <w:r w:rsidR="00862A19" w:rsidRPr="0047585D">
        <w:rPr>
          <w:lang w:val="sr-Latn-ME"/>
        </w:rPr>
        <w:t>pacijent</w:t>
      </w:r>
      <w:r w:rsidRPr="0047585D">
        <w:rPr>
          <w:lang w:val="sr-Latn-ME"/>
        </w:rPr>
        <w:t xml:space="preserve">e s AML-om s promjenama povezanim s mijelodisplazijom, </w:t>
      </w:r>
      <w:r w:rsidR="00862A19" w:rsidRPr="0047585D">
        <w:rPr>
          <w:lang w:val="sr-Latn-ME"/>
        </w:rPr>
        <w:t>pacijent</w:t>
      </w:r>
      <w:r w:rsidRPr="0047585D">
        <w:rPr>
          <w:lang w:val="sr-Latn-ME"/>
        </w:rPr>
        <w:t xml:space="preserve">e </w:t>
      </w:r>
      <w:r w:rsidR="00862A19" w:rsidRPr="0047585D">
        <w:rPr>
          <w:lang w:val="sr-Latn-ME"/>
        </w:rPr>
        <w:t>uzrasta</w:t>
      </w:r>
      <w:r w:rsidR="00DF0E92" w:rsidRPr="0047585D">
        <w:rPr>
          <w:lang w:val="sr-Latn-ME"/>
        </w:rPr>
        <w:t xml:space="preserve"> </w:t>
      </w:r>
      <w:r w:rsidRPr="0047585D">
        <w:rPr>
          <w:lang w:val="sr-Latn-ME"/>
        </w:rPr>
        <w:t>&lt; 75 godina, žene i bijelce.</w:t>
      </w:r>
    </w:p>
    <w:p w14:paraId="653608BE" w14:textId="77777777" w:rsidR="00262B3A" w:rsidRPr="0047585D" w:rsidRDefault="00262B3A" w:rsidP="00A56A66">
      <w:pPr>
        <w:pStyle w:val="BodyText"/>
        <w:jc w:val="both"/>
        <w:rPr>
          <w:lang w:val="sr-Latn-ME"/>
        </w:rPr>
      </w:pPr>
    </w:p>
    <w:p w14:paraId="1D825EC0" w14:textId="77F9413E" w:rsidR="0084478E" w:rsidRPr="0047585D" w:rsidRDefault="00200D97" w:rsidP="00A56A66">
      <w:pPr>
        <w:pStyle w:val="BodyText"/>
        <w:jc w:val="both"/>
        <w:rPr>
          <w:lang w:val="sr-Latn-ME"/>
        </w:rPr>
      </w:pPr>
      <w:r w:rsidRPr="0047585D">
        <w:rPr>
          <w:lang w:val="sr-Latn-ME"/>
        </w:rPr>
        <w:t xml:space="preserve">Hematološke i citogenetske odgovore procijenili su ispitivač i IRC sa sličnim rezultatima. Stopa ukupnog odgovora (potpuna remisija [CR] + potpuna remisija s nepotpunim oporavkom krvne slike [CRi]) kako je utvrdio IRC bila je 27,8 % u </w:t>
      </w:r>
      <w:r w:rsidR="00965CE8" w:rsidRPr="0047585D">
        <w:rPr>
          <w:lang w:val="sr-Latn-ME"/>
        </w:rPr>
        <w:t>grup</w:t>
      </w:r>
      <w:r w:rsidRPr="0047585D">
        <w:rPr>
          <w:lang w:val="sr-Latn-ME"/>
        </w:rPr>
        <w:t>i liječenoj azacitidinom i 25,1 % kombin</w:t>
      </w:r>
      <w:r w:rsidR="00965CE8" w:rsidRPr="0047585D">
        <w:rPr>
          <w:lang w:val="sr-Latn-ME"/>
        </w:rPr>
        <w:t>ovan</w:t>
      </w:r>
      <w:r w:rsidRPr="0047585D">
        <w:rPr>
          <w:lang w:val="sr-Latn-ME"/>
        </w:rPr>
        <w:t xml:space="preserve">oj </w:t>
      </w:r>
      <w:r w:rsidR="00965CE8" w:rsidRPr="0047585D">
        <w:rPr>
          <w:lang w:val="sr-Latn-ME"/>
        </w:rPr>
        <w:t>grup</w:t>
      </w:r>
      <w:r w:rsidRPr="0047585D">
        <w:rPr>
          <w:lang w:val="sr-Latn-ME"/>
        </w:rPr>
        <w:t xml:space="preserve">i liječenoj CCR-om (p = 0,5384). </w:t>
      </w:r>
      <w:r w:rsidR="00965CE8" w:rsidRPr="0047585D">
        <w:rPr>
          <w:lang w:val="sr-Latn-ME"/>
        </w:rPr>
        <w:t>Kod</w:t>
      </w:r>
      <w:r w:rsidRPr="0047585D">
        <w:rPr>
          <w:lang w:val="sr-Latn-ME"/>
        </w:rPr>
        <w:t xml:space="preserve">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a koji su postigli potpunu remisiju ili potpunu remisiju s nepotpunim oporavkom krvne slike, medijan</w:t>
      </w:r>
      <w:r w:rsidR="006871DC" w:rsidRPr="0047585D">
        <w:rPr>
          <w:lang w:val="sr-Latn-ME"/>
        </w:rPr>
        <w:t>a</w:t>
      </w:r>
      <w:r w:rsidRPr="0047585D">
        <w:rPr>
          <w:lang w:val="sr-Latn-ME"/>
        </w:rPr>
        <w:t xml:space="preserve"> trajanja remisije </w:t>
      </w:r>
      <w:r w:rsidR="006871DC" w:rsidRPr="0047585D">
        <w:rPr>
          <w:lang w:val="sr-Latn-ME"/>
        </w:rPr>
        <w:t xml:space="preserve">iznosila </w:t>
      </w:r>
      <w:r w:rsidRPr="0047585D">
        <w:rPr>
          <w:lang w:val="sr-Latn-ME"/>
        </w:rPr>
        <w:t xml:space="preserve">je 10,4 mjeseca (95 % CI = 7,2; </w:t>
      </w:r>
      <w:r w:rsidRPr="0047585D">
        <w:rPr>
          <w:lang w:val="sr-Latn-ME"/>
        </w:rPr>
        <w:lastRenderedPageBreak/>
        <w:t xml:space="preserve">15,2) </w:t>
      </w:r>
      <w:r w:rsidR="00965CE8" w:rsidRPr="0047585D">
        <w:rPr>
          <w:lang w:val="sr-Latn-ME"/>
        </w:rPr>
        <w:t>kod</w:t>
      </w:r>
      <w:r w:rsidRPr="0047585D">
        <w:rPr>
          <w:lang w:val="sr-Latn-ME"/>
        </w:rPr>
        <w:t xml:space="preserve"> ispitanika liječenih azacitidinom i 12,3 mjeseca (95 % CI = 9,0; 17,0) </w:t>
      </w:r>
      <w:r w:rsidR="00965CE8" w:rsidRPr="0047585D">
        <w:rPr>
          <w:lang w:val="sr-Latn-ME"/>
        </w:rPr>
        <w:t>kod</w:t>
      </w:r>
      <w:r w:rsidR="00DF0E92" w:rsidRPr="0047585D">
        <w:rPr>
          <w:lang w:val="sr-Latn-ME"/>
        </w:rPr>
        <w:t xml:space="preserve"> </w:t>
      </w:r>
      <w:r w:rsidRPr="0047585D">
        <w:rPr>
          <w:lang w:val="sr-Latn-ME"/>
        </w:rPr>
        <w:t xml:space="preserve">ispitanika liječenih CCR-om. Korist za </w:t>
      </w:r>
      <w:r w:rsidR="001D5573" w:rsidRPr="0047585D">
        <w:rPr>
          <w:lang w:val="sr-Latn-ME"/>
        </w:rPr>
        <w:t>preživljavanj</w:t>
      </w:r>
      <w:r w:rsidRPr="0047585D">
        <w:rPr>
          <w:lang w:val="sr-Latn-ME"/>
        </w:rPr>
        <w:t xml:space="preserve">e takođe je bila dokazana </w:t>
      </w:r>
      <w:r w:rsidR="00965CE8" w:rsidRPr="0047585D">
        <w:rPr>
          <w:lang w:val="sr-Latn-ME"/>
        </w:rPr>
        <w:t>kod</w:t>
      </w:r>
      <w:r w:rsidRPr="0047585D">
        <w:rPr>
          <w:lang w:val="sr-Latn-ME"/>
        </w:rPr>
        <w:t xml:space="preserve">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koji nisu bili postigli potpuni odgovor na azacitidin u </w:t>
      </w:r>
      <w:r w:rsidR="00965CE8" w:rsidRPr="0047585D">
        <w:rPr>
          <w:lang w:val="sr-Latn-ME"/>
        </w:rPr>
        <w:t>poređenju</w:t>
      </w:r>
      <w:r w:rsidRPr="0047585D">
        <w:rPr>
          <w:lang w:val="sr-Latn-ME"/>
        </w:rPr>
        <w:t xml:space="preserve"> s CCR-om.</w:t>
      </w:r>
    </w:p>
    <w:p w14:paraId="53D15C75" w14:textId="77777777" w:rsidR="00262B3A" w:rsidRPr="0047585D" w:rsidRDefault="00262B3A" w:rsidP="00A56A66">
      <w:pPr>
        <w:pStyle w:val="BodyText"/>
        <w:jc w:val="both"/>
        <w:rPr>
          <w:lang w:val="sr-Latn-ME"/>
        </w:rPr>
      </w:pPr>
    </w:p>
    <w:p w14:paraId="2D79A166" w14:textId="7E295C6F" w:rsidR="0084478E" w:rsidRPr="0047585D" w:rsidRDefault="00200D97" w:rsidP="00A56A66">
      <w:pPr>
        <w:pStyle w:val="BodyText"/>
        <w:jc w:val="both"/>
        <w:rPr>
          <w:lang w:val="sr-Latn-ME"/>
        </w:rPr>
      </w:pPr>
      <w:r w:rsidRPr="0047585D">
        <w:rPr>
          <w:lang w:val="sr-Latn-ME"/>
        </w:rPr>
        <w:t xml:space="preserve">Liječenje azacitidinom poboljšalo je perifernu krvnu sliku i dovelo do smanjenja potrebe za transfuzijama eritrocita i trombocita. Smatralo se da je </w:t>
      </w:r>
      <w:r w:rsidR="00862A19" w:rsidRPr="0047585D">
        <w:rPr>
          <w:lang w:val="sr-Latn-ME"/>
        </w:rPr>
        <w:t>pacijent</w:t>
      </w:r>
      <w:r w:rsidRPr="0047585D">
        <w:rPr>
          <w:lang w:val="sr-Latn-ME"/>
        </w:rPr>
        <w:t xml:space="preserve"> </w:t>
      </w:r>
      <w:r w:rsidR="00965CE8" w:rsidRPr="0047585D">
        <w:rPr>
          <w:lang w:val="sr-Latn-ME"/>
        </w:rPr>
        <w:t>za</w:t>
      </w:r>
      <w:r w:rsidRPr="0047585D">
        <w:rPr>
          <w:lang w:val="sr-Latn-ME"/>
        </w:rPr>
        <w:t xml:space="preserve">visan o transfuzijama eritrocita odnosno trombocita na početku ako je taj ispitanik primio jednu ili više transfuzija eritrocita ili trombocita </w:t>
      </w:r>
      <w:r w:rsidR="005D04EB" w:rsidRPr="0047585D">
        <w:rPr>
          <w:lang w:val="sr-Latn-ME"/>
        </w:rPr>
        <w:t>tokom</w:t>
      </w:r>
      <w:r w:rsidRPr="0047585D">
        <w:rPr>
          <w:lang w:val="sr-Latn-ME"/>
        </w:rPr>
        <w:t xml:space="preserve"> 56 dana (8</w:t>
      </w:r>
      <w:r w:rsidR="006D7892" w:rsidRPr="0047585D">
        <w:rPr>
          <w:lang w:val="sr-Latn-ME"/>
        </w:rPr>
        <w:t xml:space="preserve"> nedelja</w:t>
      </w:r>
      <w:r w:rsidRPr="0047585D">
        <w:rPr>
          <w:lang w:val="sr-Latn-ME"/>
        </w:rPr>
        <w:t xml:space="preserve">) prilikom odnosno prije randomizacije. Smatralo se da </w:t>
      </w:r>
      <w:r w:rsidR="00862A19" w:rsidRPr="0047585D">
        <w:rPr>
          <w:lang w:val="sr-Latn-ME"/>
        </w:rPr>
        <w:t>pacijent</w:t>
      </w:r>
      <w:r w:rsidRPr="0047585D">
        <w:rPr>
          <w:lang w:val="sr-Latn-ME"/>
        </w:rPr>
        <w:t xml:space="preserve"> nije </w:t>
      </w:r>
      <w:r w:rsidR="00965CE8" w:rsidRPr="0047585D">
        <w:rPr>
          <w:lang w:val="sr-Latn-ME"/>
        </w:rPr>
        <w:t>za</w:t>
      </w:r>
      <w:r w:rsidRPr="0047585D">
        <w:rPr>
          <w:lang w:val="sr-Latn-ME"/>
        </w:rPr>
        <w:t>visan o</w:t>
      </w:r>
      <w:r w:rsidR="00965CE8" w:rsidRPr="0047585D">
        <w:rPr>
          <w:lang w:val="sr-Latn-ME"/>
        </w:rPr>
        <w:t>d</w:t>
      </w:r>
      <w:r w:rsidRPr="0047585D">
        <w:rPr>
          <w:lang w:val="sr-Latn-ME"/>
        </w:rPr>
        <w:t xml:space="preserve"> transfuzij</w:t>
      </w:r>
      <w:r w:rsidR="00965CE8" w:rsidRPr="0047585D">
        <w:rPr>
          <w:lang w:val="sr-Latn-ME"/>
        </w:rPr>
        <w:t>e</w:t>
      </w:r>
      <w:r w:rsidRPr="0047585D">
        <w:rPr>
          <w:lang w:val="sr-Latn-ME"/>
        </w:rPr>
        <w:t xml:space="preserve"> eritrocita ili trombocita </w:t>
      </w:r>
      <w:r w:rsidR="005D04EB" w:rsidRPr="0047585D">
        <w:rPr>
          <w:lang w:val="sr-Latn-ME"/>
        </w:rPr>
        <w:t>toko</w:t>
      </w:r>
      <w:r w:rsidR="00DF0E92" w:rsidRPr="0047585D">
        <w:rPr>
          <w:lang w:val="sr-Latn-ME"/>
        </w:rPr>
        <w:t>m perioda</w:t>
      </w:r>
      <w:r w:rsidRPr="0047585D">
        <w:rPr>
          <w:lang w:val="sr-Latn-ME"/>
        </w:rPr>
        <w:t xml:space="preserve"> liječenja ako taj ispitanik nije primio transfuziju eritrocita odnosno trombocita </w:t>
      </w:r>
      <w:r w:rsidR="005D04EB" w:rsidRPr="0047585D">
        <w:rPr>
          <w:lang w:val="sr-Latn-ME"/>
        </w:rPr>
        <w:t>tokom</w:t>
      </w:r>
      <w:r w:rsidRPr="0047585D">
        <w:rPr>
          <w:lang w:val="sr-Latn-ME"/>
        </w:rPr>
        <w:t xml:space="preserve"> bilo kojih uzastopnih 56 dana </w:t>
      </w:r>
      <w:r w:rsidR="005D04EB" w:rsidRPr="0047585D">
        <w:rPr>
          <w:lang w:val="sr-Latn-ME"/>
        </w:rPr>
        <w:t>tokom</w:t>
      </w:r>
      <w:r w:rsidRPr="0047585D">
        <w:rPr>
          <w:lang w:val="sr-Latn-ME"/>
        </w:rPr>
        <w:t xml:space="preserve"> </w:t>
      </w:r>
      <w:r w:rsidR="00DF0E92" w:rsidRPr="0047585D">
        <w:rPr>
          <w:lang w:val="sr-Latn-ME"/>
        </w:rPr>
        <w:t>perioda izvještavanja.</w:t>
      </w:r>
    </w:p>
    <w:p w14:paraId="13CC0DEE" w14:textId="77777777" w:rsidR="00262B3A" w:rsidRPr="0047585D" w:rsidRDefault="00262B3A" w:rsidP="00A56A66">
      <w:pPr>
        <w:pStyle w:val="BodyText"/>
        <w:jc w:val="both"/>
        <w:rPr>
          <w:lang w:val="sr-Latn-ME"/>
        </w:rPr>
      </w:pPr>
    </w:p>
    <w:p w14:paraId="2E31A1FE" w14:textId="779E1FEF" w:rsidR="0084478E" w:rsidRPr="0047585D" w:rsidRDefault="00200D97" w:rsidP="00A56A66">
      <w:pPr>
        <w:pStyle w:val="BodyText"/>
        <w:tabs>
          <w:tab w:val="left" w:pos="284"/>
        </w:tabs>
        <w:jc w:val="both"/>
        <w:rPr>
          <w:lang w:val="sr-Latn-ME"/>
        </w:rPr>
      </w:pPr>
      <w:r w:rsidRPr="0047585D">
        <w:rPr>
          <w:lang w:val="sr-Latn-ME"/>
        </w:rPr>
        <w:t xml:space="preserve">Od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u </w:t>
      </w:r>
      <w:r w:rsidR="00965CE8" w:rsidRPr="0047585D">
        <w:rPr>
          <w:lang w:val="sr-Latn-ME"/>
        </w:rPr>
        <w:t>grup</w:t>
      </w:r>
      <w:r w:rsidRPr="0047585D">
        <w:rPr>
          <w:lang w:val="sr-Latn-ME"/>
        </w:rPr>
        <w:t xml:space="preserve">i liječenoj azacitidinom koji su na početku bili </w:t>
      </w:r>
      <w:r w:rsidR="00965CE8" w:rsidRPr="0047585D">
        <w:rPr>
          <w:lang w:val="sr-Latn-ME"/>
        </w:rPr>
        <w:t>za</w:t>
      </w:r>
      <w:r w:rsidRPr="0047585D">
        <w:rPr>
          <w:lang w:val="sr-Latn-ME"/>
        </w:rPr>
        <w:t>visni o</w:t>
      </w:r>
      <w:r w:rsidR="00965CE8" w:rsidRPr="0047585D">
        <w:rPr>
          <w:lang w:val="sr-Latn-ME"/>
        </w:rPr>
        <w:t>d</w:t>
      </w:r>
      <w:r w:rsidRPr="0047585D">
        <w:rPr>
          <w:lang w:val="sr-Latn-ME"/>
        </w:rPr>
        <w:t xml:space="preserve"> transfuzij</w:t>
      </w:r>
      <w:r w:rsidR="00965CE8" w:rsidRPr="0047585D">
        <w:rPr>
          <w:lang w:val="sr-Latn-ME"/>
        </w:rPr>
        <w:t xml:space="preserve">e </w:t>
      </w:r>
      <w:r w:rsidRPr="0047585D">
        <w:rPr>
          <w:lang w:val="sr-Latn-ME"/>
        </w:rPr>
        <w:t>eritrocita, 38,5 % (95 % CI = 31,1; 46,2) postalo je ne</w:t>
      </w:r>
      <w:r w:rsidR="00965CE8" w:rsidRPr="0047585D">
        <w:rPr>
          <w:lang w:val="sr-Latn-ME"/>
        </w:rPr>
        <w:t>za</w:t>
      </w:r>
      <w:r w:rsidRPr="0047585D">
        <w:rPr>
          <w:lang w:val="sr-Latn-ME"/>
        </w:rPr>
        <w:t>visno o</w:t>
      </w:r>
      <w:r w:rsidR="00965CE8" w:rsidRPr="0047585D">
        <w:rPr>
          <w:lang w:val="sr-Latn-ME"/>
        </w:rPr>
        <w:t>d</w:t>
      </w:r>
      <w:r w:rsidRPr="0047585D">
        <w:rPr>
          <w:lang w:val="sr-Latn-ME"/>
        </w:rPr>
        <w:t xml:space="preserve"> transfuzija eritrocita </w:t>
      </w:r>
      <w:r w:rsidR="005D04EB" w:rsidRPr="0047585D">
        <w:rPr>
          <w:lang w:val="sr-Latn-ME"/>
        </w:rPr>
        <w:t>tokom</w:t>
      </w:r>
      <w:r w:rsidR="00BA6C4E" w:rsidRPr="0047585D">
        <w:rPr>
          <w:lang w:val="sr-Latn-ME"/>
        </w:rPr>
        <w:t xml:space="preserve"> perioda </w:t>
      </w:r>
      <w:r w:rsidRPr="0047585D">
        <w:rPr>
          <w:lang w:val="sr-Latn-ME"/>
        </w:rPr>
        <w:t>liječenja u</w:t>
      </w:r>
      <w:r w:rsidR="00965CE8" w:rsidRPr="0047585D">
        <w:rPr>
          <w:lang w:val="sr-Latn-ME"/>
        </w:rPr>
        <w:t xml:space="preserve"> poređenju</w:t>
      </w:r>
      <w:r w:rsidRPr="0047585D">
        <w:rPr>
          <w:lang w:val="sr-Latn-ME"/>
        </w:rPr>
        <w:t xml:space="preserve"> s 27,6 % (95 % CI = 20,9; 35,1)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a u kombin</w:t>
      </w:r>
      <w:r w:rsidR="00965CE8" w:rsidRPr="0047585D">
        <w:rPr>
          <w:lang w:val="sr-Latn-ME"/>
        </w:rPr>
        <w:t>ovanim grupam</w:t>
      </w:r>
      <w:r w:rsidRPr="0047585D">
        <w:rPr>
          <w:lang w:val="sr-Latn-ME"/>
        </w:rPr>
        <w:t xml:space="preserve">a liječenima CCR-om. </w:t>
      </w:r>
      <w:r w:rsidR="00965CE8" w:rsidRPr="0047585D">
        <w:rPr>
          <w:lang w:val="sr-Latn-ME"/>
        </w:rPr>
        <w:t xml:space="preserve">Kod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koji su </w:t>
      </w:r>
      <w:r w:rsidR="00965CE8" w:rsidRPr="0047585D">
        <w:rPr>
          <w:lang w:val="sr-Latn-ME"/>
        </w:rPr>
        <w:t>za</w:t>
      </w:r>
      <w:r w:rsidRPr="0047585D">
        <w:rPr>
          <w:lang w:val="sr-Latn-ME"/>
        </w:rPr>
        <w:t>visili o</w:t>
      </w:r>
      <w:r w:rsidR="00965CE8" w:rsidRPr="0047585D">
        <w:rPr>
          <w:lang w:val="sr-Latn-ME"/>
        </w:rPr>
        <w:t>d</w:t>
      </w:r>
      <w:r w:rsidRPr="0047585D">
        <w:rPr>
          <w:lang w:val="sr-Latn-ME"/>
        </w:rPr>
        <w:t xml:space="preserve"> transfuzi</w:t>
      </w:r>
      <w:r w:rsidR="00965CE8" w:rsidRPr="0047585D">
        <w:rPr>
          <w:lang w:val="sr-Latn-ME"/>
        </w:rPr>
        <w:t>je</w:t>
      </w:r>
      <w:r w:rsidRPr="0047585D">
        <w:rPr>
          <w:lang w:val="sr-Latn-ME"/>
        </w:rPr>
        <w:t xml:space="preserve"> eritrocita na početku i postigli ne</w:t>
      </w:r>
      <w:r w:rsidR="00965CE8" w:rsidRPr="0047585D">
        <w:rPr>
          <w:lang w:val="sr-Latn-ME"/>
        </w:rPr>
        <w:t>za</w:t>
      </w:r>
      <w:r w:rsidRPr="0047585D">
        <w:rPr>
          <w:lang w:val="sr-Latn-ME"/>
        </w:rPr>
        <w:t>visnost o</w:t>
      </w:r>
      <w:r w:rsidR="00965CE8" w:rsidRPr="0047585D">
        <w:rPr>
          <w:lang w:val="sr-Latn-ME"/>
        </w:rPr>
        <w:t>d</w:t>
      </w:r>
      <w:r w:rsidRPr="0047585D">
        <w:rPr>
          <w:lang w:val="sr-Latn-ME"/>
        </w:rPr>
        <w:t xml:space="preserve"> transfuzija uz liječenje, medijan</w:t>
      </w:r>
      <w:r w:rsidR="00ED51AD" w:rsidRPr="0047585D">
        <w:rPr>
          <w:lang w:val="sr-Latn-ME"/>
        </w:rPr>
        <w:t>a</w:t>
      </w:r>
      <w:r w:rsidRPr="0047585D">
        <w:rPr>
          <w:lang w:val="sr-Latn-ME"/>
        </w:rPr>
        <w:t xml:space="preserve"> trajanja ne</w:t>
      </w:r>
      <w:r w:rsidR="00965CE8" w:rsidRPr="0047585D">
        <w:rPr>
          <w:lang w:val="sr-Latn-ME"/>
        </w:rPr>
        <w:t>za</w:t>
      </w:r>
      <w:r w:rsidRPr="0047585D">
        <w:rPr>
          <w:lang w:val="sr-Latn-ME"/>
        </w:rPr>
        <w:t>visnosti o</w:t>
      </w:r>
      <w:r w:rsidR="00965CE8" w:rsidRPr="0047585D">
        <w:rPr>
          <w:lang w:val="sr-Latn-ME"/>
        </w:rPr>
        <w:t>d</w:t>
      </w:r>
      <w:r w:rsidRPr="0047585D">
        <w:rPr>
          <w:lang w:val="sr-Latn-ME"/>
        </w:rPr>
        <w:t xml:space="preserve"> transfuzija eritrocita </w:t>
      </w:r>
      <w:r w:rsidR="00ED51AD" w:rsidRPr="0047585D">
        <w:rPr>
          <w:lang w:val="sr-Latn-ME"/>
        </w:rPr>
        <w:t xml:space="preserve">iznosila </w:t>
      </w:r>
      <w:r w:rsidRPr="0047585D">
        <w:rPr>
          <w:lang w:val="sr-Latn-ME"/>
        </w:rPr>
        <w:t xml:space="preserve">je 13,9 mjeseci u </w:t>
      </w:r>
      <w:r w:rsidR="00965CE8" w:rsidRPr="0047585D">
        <w:rPr>
          <w:lang w:val="sr-Latn-ME"/>
        </w:rPr>
        <w:t>grup</w:t>
      </w:r>
      <w:r w:rsidRPr="0047585D">
        <w:rPr>
          <w:lang w:val="sr-Latn-ME"/>
        </w:rPr>
        <w:t xml:space="preserve">i koja je primala azacitidin i nije </w:t>
      </w:r>
      <w:r w:rsidR="00ED51AD" w:rsidRPr="0047585D">
        <w:rPr>
          <w:lang w:val="sr-Latn-ME"/>
        </w:rPr>
        <w:t xml:space="preserve">bila </w:t>
      </w:r>
      <w:r w:rsidRPr="0047585D">
        <w:rPr>
          <w:lang w:val="sr-Latn-ME"/>
        </w:rPr>
        <w:t>postignut</w:t>
      </w:r>
      <w:r w:rsidR="00ED51AD" w:rsidRPr="0047585D">
        <w:rPr>
          <w:lang w:val="sr-Latn-ME"/>
        </w:rPr>
        <w:t>a</w:t>
      </w:r>
      <w:r w:rsidRPr="0047585D">
        <w:rPr>
          <w:lang w:val="sr-Latn-ME"/>
        </w:rPr>
        <w:t xml:space="preserve"> </w:t>
      </w:r>
      <w:r w:rsidR="00965CE8" w:rsidRPr="0047585D">
        <w:rPr>
          <w:lang w:val="sr-Latn-ME"/>
        </w:rPr>
        <w:t>u grup</w:t>
      </w:r>
      <w:r w:rsidRPr="0047585D">
        <w:rPr>
          <w:lang w:val="sr-Latn-ME"/>
        </w:rPr>
        <w:t>i koja je primala CCR.</w:t>
      </w:r>
    </w:p>
    <w:p w14:paraId="4120623E" w14:textId="083C1AD9" w:rsidR="0084478E" w:rsidRPr="0047585D" w:rsidRDefault="00200D97" w:rsidP="00A56A66">
      <w:pPr>
        <w:jc w:val="both"/>
        <w:rPr>
          <w:lang w:val="sr-Latn-ME"/>
        </w:rPr>
      </w:pPr>
      <w:r w:rsidRPr="0047585D">
        <w:rPr>
          <w:lang w:val="sr-Latn-ME"/>
        </w:rPr>
        <w:t xml:space="preserve">Od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u </w:t>
      </w:r>
      <w:r w:rsidR="00965CE8" w:rsidRPr="0047585D">
        <w:rPr>
          <w:lang w:val="sr-Latn-ME"/>
        </w:rPr>
        <w:t>grup</w:t>
      </w:r>
      <w:r w:rsidRPr="0047585D">
        <w:rPr>
          <w:lang w:val="sr-Latn-ME"/>
        </w:rPr>
        <w:t xml:space="preserve">i liječenoj azacitidinom koji su na početku bili </w:t>
      </w:r>
      <w:r w:rsidR="00965CE8" w:rsidRPr="0047585D">
        <w:rPr>
          <w:lang w:val="sr-Latn-ME"/>
        </w:rPr>
        <w:t>za</w:t>
      </w:r>
      <w:r w:rsidRPr="0047585D">
        <w:rPr>
          <w:lang w:val="sr-Latn-ME"/>
        </w:rPr>
        <w:t>visni o</w:t>
      </w:r>
      <w:r w:rsidR="00965CE8" w:rsidRPr="0047585D">
        <w:rPr>
          <w:lang w:val="sr-Latn-ME"/>
        </w:rPr>
        <w:t>d</w:t>
      </w:r>
      <w:r w:rsidRPr="0047585D">
        <w:rPr>
          <w:lang w:val="sr-Latn-ME"/>
        </w:rPr>
        <w:t xml:space="preserve"> transfuzij</w:t>
      </w:r>
      <w:r w:rsidR="00965CE8" w:rsidRPr="0047585D">
        <w:rPr>
          <w:lang w:val="sr-Latn-ME"/>
        </w:rPr>
        <w:t xml:space="preserve">e </w:t>
      </w:r>
      <w:r w:rsidRPr="0047585D">
        <w:rPr>
          <w:lang w:val="sr-Latn-ME"/>
        </w:rPr>
        <w:t>trombocita, 40,6 % (95 % CI = 30,9; 50,8) postalo je ne</w:t>
      </w:r>
      <w:r w:rsidR="00965CE8" w:rsidRPr="0047585D">
        <w:rPr>
          <w:lang w:val="sr-Latn-ME"/>
        </w:rPr>
        <w:t>za</w:t>
      </w:r>
      <w:r w:rsidRPr="0047585D">
        <w:rPr>
          <w:lang w:val="sr-Latn-ME"/>
        </w:rPr>
        <w:t>visno o</w:t>
      </w:r>
      <w:r w:rsidR="00965CE8" w:rsidRPr="0047585D">
        <w:rPr>
          <w:lang w:val="sr-Latn-ME"/>
        </w:rPr>
        <w:t>d</w:t>
      </w:r>
      <w:r w:rsidRPr="0047585D">
        <w:rPr>
          <w:lang w:val="sr-Latn-ME"/>
        </w:rPr>
        <w:t xml:space="preserve"> transfuzij</w:t>
      </w:r>
      <w:r w:rsidR="00965CE8" w:rsidRPr="0047585D">
        <w:rPr>
          <w:lang w:val="sr-Latn-ME"/>
        </w:rPr>
        <w:t>e</w:t>
      </w:r>
      <w:r w:rsidRPr="0047585D">
        <w:rPr>
          <w:lang w:val="sr-Latn-ME"/>
        </w:rPr>
        <w:t xml:space="preserve"> trombocita </w:t>
      </w:r>
      <w:r w:rsidR="005D04EB" w:rsidRPr="0047585D">
        <w:rPr>
          <w:lang w:val="sr-Latn-ME"/>
        </w:rPr>
        <w:t>tokom</w:t>
      </w:r>
      <w:r w:rsidR="006D7892" w:rsidRPr="0047585D">
        <w:rPr>
          <w:lang w:val="sr-Latn-ME"/>
        </w:rPr>
        <w:t xml:space="preserve"> </w:t>
      </w:r>
      <w:r w:rsidR="00BA6C4E" w:rsidRPr="0047585D">
        <w:rPr>
          <w:lang w:val="sr-Latn-ME"/>
        </w:rPr>
        <w:t>perioda</w:t>
      </w:r>
      <w:r w:rsidRPr="0047585D">
        <w:rPr>
          <w:lang w:val="sr-Latn-ME"/>
        </w:rPr>
        <w:t xml:space="preserve"> liječenja u </w:t>
      </w:r>
      <w:r w:rsidR="00965CE8" w:rsidRPr="0047585D">
        <w:rPr>
          <w:lang w:val="sr-Latn-ME"/>
        </w:rPr>
        <w:t xml:space="preserve">poređenju </w:t>
      </w:r>
      <w:r w:rsidRPr="0047585D">
        <w:rPr>
          <w:lang w:val="sr-Latn-ME"/>
        </w:rPr>
        <w:t xml:space="preserve">s 29,3 % (95 % CI = 19,7, 40,4) </w:t>
      </w:r>
      <w:r w:rsidR="00862A19" w:rsidRPr="0047585D">
        <w:rPr>
          <w:lang w:val="sr-Latn-ME"/>
        </w:rPr>
        <w:t>pacijen</w:t>
      </w:r>
      <w:r w:rsidR="006D7892" w:rsidRPr="0047585D">
        <w:rPr>
          <w:lang w:val="sr-Latn-ME"/>
        </w:rPr>
        <w:t>a</w:t>
      </w:r>
      <w:r w:rsidR="00862A19" w:rsidRPr="0047585D">
        <w:rPr>
          <w:lang w:val="sr-Latn-ME"/>
        </w:rPr>
        <w:t>t</w:t>
      </w:r>
      <w:r w:rsidRPr="0047585D">
        <w:rPr>
          <w:lang w:val="sr-Latn-ME"/>
        </w:rPr>
        <w:t>a u kombin</w:t>
      </w:r>
      <w:r w:rsidR="00965CE8" w:rsidRPr="0047585D">
        <w:rPr>
          <w:lang w:val="sr-Latn-ME"/>
        </w:rPr>
        <w:t>ovanim grupam</w:t>
      </w:r>
      <w:r w:rsidRPr="0047585D">
        <w:rPr>
          <w:lang w:val="sr-Latn-ME"/>
        </w:rPr>
        <w:t xml:space="preserve">a liječenima CCR-om. </w:t>
      </w:r>
      <w:r w:rsidR="00965CE8" w:rsidRPr="0047585D">
        <w:rPr>
          <w:lang w:val="sr-Latn-ME"/>
        </w:rPr>
        <w:t xml:space="preserve">Kod </w:t>
      </w:r>
      <w:r w:rsidR="00862A19" w:rsidRPr="0047585D">
        <w:rPr>
          <w:lang w:val="sr-Latn-ME"/>
        </w:rPr>
        <w:t>pacijen</w:t>
      </w:r>
      <w:r w:rsidR="00965CE8" w:rsidRPr="0047585D">
        <w:rPr>
          <w:lang w:val="sr-Latn-ME"/>
        </w:rPr>
        <w:t>a</w:t>
      </w:r>
      <w:r w:rsidR="00862A19" w:rsidRPr="0047585D">
        <w:rPr>
          <w:lang w:val="sr-Latn-ME"/>
        </w:rPr>
        <w:t>t</w:t>
      </w:r>
      <w:r w:rsidRPr="0047585D">
        <w:rPr>
          <w:lang w:val="sr-Latn-ME"/>
        </w:rPr>
        <w:t xml:space="preserve">a koji su na početku bili </w:t>
      </w:r>
      <w:r w:rsidR="00965CE8" w:rsidRPr="0047585D">
        <w:rPr>
          <w:lang w:val="sr-Latn-ME"/>
        </w:rPr>
        <w:t>za</w:t>
      </w:r>
      <w:r w:rsidRPr="0047585D">
        <w:rPr>
          <w:lang w:val="sr-Latn-ME"/>
        </w:rPr>
        <w:t>visni o</w:t>
      </w:r>
      <w:r w:rsidR="00965CE8" w:rsidRPr="0047585D">
        <w:rPr>
          <w:lang w:val="sr-Latn-ME"/>
        </w:rPr>
        <w:t>d</w:t>
      </w:r>
      <w:r w:rsidRPr="0047585D">
        <w:rPr>
          <w:lang w:val="sr-Latn-ME"/>
        </w:rPr>
        <w:t xml:space="preserve"> transfuzij</w:t>
      </w:r>
      <w:r w:rsidR="00456DBE" w:rsidRPr="0047585D">
        <w:rPr>
          <w:lang w:val="sr-Latn-ME"/>
        </w:rPr>
        <w:t>e</w:t>
      </w:r>
      <w:r w:rsidRPr="0047585D">
        <w:rPr>
          <w:lang w:val="sr-Latn-ME"/>
        </w:rPr>
        <w:t xml:space="preserve"> trombocita i postigli ne</w:t>
      </w:r>
      <w:r w:rsidR="00456DBE" w:rsidRPr="0047585D">
        <w:rPr>
          <w:lang w:val="sr-Latn-ME"/>
        </w:rPr>
        <w:t>za</w:t>
      </w:r>
      <w:r w:rsidRPr="0047585D">
        <w:rPr>
          <w:lang w:val="sr-Latn-ME"/>
        </w:rPr>
        <w:t>visnost o</w:t>
      </w:r>
      <w:r w:rsidR="00456DBE" w:rsidRPr="0047585D">
        <w:rPr>
          <w:lang w:val="sr-Latn-ME"/>
        </w:rPr>
        <w:t>d</w:t>
      </w:r>
      <w:r w:rsidRPr="0047585D">
        <w:rPr>
          <w:lang w:val="sr-Latn-ME"/>
        </w:rPr>
        <w:t xml:space="preserve"> transfuzij</w:t>
      </w:r>
      <w:r w:rsidR="00456DBE" w:rsidRPr="0047585D">
        <w:rPr>
          <w:lang w:val="sr-Latn-ME"/>
        </w:rPr>
        <w:t>e</w:t>
      </w:r>
      <w:r w:rsidRPr="0047585D">
        <w:rPr>
          <w:lang w:val="sr-Latn-ME"/>
        </w:rPr>
        <w:t xml:space="preserve"> uz liječenje, medijan</w:t>
      </w:r>
      <w:r w:rsidR="00ED51AD" w:rsidRPr="0047585D">
        <w:rPr>
          <w:lang w:val="sr-Latn-ME"/>
        </w:rPr>
        <w:t>a</w:t>
      </w:r>
      <w:r w:rsidRPr="0047585D">
        <w:rPr>
          <w:lang w:val="sr-Latn-ME"/>
        </w:rPr>
        <w:t xml:space="preserve"> trajanja ne</w:t>
      </w:r>
      <w:r w:rsidR="00456DBE" w:rsidRPr="0047585D">
        <w:rPr>
          <w:lang w:val="sr-Latn-ME"/>
        </w:rPr>
        <w:t>za</w:t>
      </w:r>
      <w:r w:rsidRPr="0047585D">
        <w:rPr>
          <w:lang w:val="sr-Latn-ME"/>
        </w:rPr>
        <w:t>visnosti o</w:t>
      </w:r>
      <w:r w:rsidR="00456DBE" w:rsidRPr="0047585D">
        <w:rPr>
          <w:lang w:val="sr-Latn-ME"/>
        </w:rPr>
        <w:t>d</w:t>
      </w:r>
      <w:r w:rsidRPr="0047585D">
        <w:rPr>
          <w:lang w:val="sr-Latn-ME"/>
        </w:rPr>
        <w:t xml:space="preserve"> transfuzi</w:t>
      </w:r>
      <w:r w:rsidR="00456DBE" w:rsidRPr="0047585D">
        <w:rPr>
          <w:lang w:val="sr-Latn-ME"/>
        </w:rPr>
        <w:t>je</w:t>
      </w:r>
      <w:r w:rsidRPr="0047585D">
        <w:rPr>
          <w:lang w:val="sr-Latn-ME"/>
        </w:rPr>
        <w:t xml:space="preserve"> trombocita bi</w:t>
      </w:r>
      <w:r w:rsidR="00ED51AD" w:rsidRPr="0047585D">
        <w:rPr>
          <w:lang w:val="sr-Latn-ME"/>
        </w:rPr>
        <w:t>la</w:t>
      </w:r>
      <w:r w:rsidRPr="0047585D">
        <w:rPr>
          <w:lang w:val="sr-Latn-ME"/>
        </w:rPr>
        <w:t xml:space="preserve"> je 10,8 mjeseci u </w:t>
      </w:r>
      <w:r w:rsidR="00456DBE" w:rsidRPr="0047585D">
        <w:rPr>
          <w:lang w:val="sr-Latn-ME"/>
        </w:rPr>
        <w:t>grup</w:t>
      </w:r>
      <w:r w:rsidRPr="0047585D">
        <w:rPr>
          <w:lang w:val="sr-Latn-ME"/>
        </w:rPr>
        <w:t xml:space="preserve">i liječenoj azacitidinom i 19,2 mjeseca u </w:t>
      </w:r>
      <w:r w:rsidR="00456DBE" w:rsidRPr="0047585D">
        <w:rPr>
          <w:lang w:val="sr-Latn-ME"/>
        </w:rPr>
        <w:t>grup</w:t>
      </w:r>
      <w:r w:rsidRPr="0047585D">
        <w:rPr>
          <w:lang w:val="sr-Latn-ME"/>
        </w:rPr>
        <w:t>i liječenoj CCR-om.</w:t>
      </w:r>
    </w:p>
    <w:p w14:paraId="4E463F5C" w14:textId="77777777" w:rsidR="00262B3A" w:rsidRPr="0047585D" w:rsidRDefault="00262B3A" w:rsidP="00A56A66">
      <w:pPr>
        <w:jc w:val="both"/>
        <w:rPr>
          <w:lang w:val="sr-Latn-ME"/>
        </w:rPr>
      </w:pPr>
    </w:p>
    <w:p w14:paraId="1265BD9E" w14:textId="6F0FD529" w:rsidR="0084478E" w:rsidRPr="0047585D" w:rsidRDefault="00200D97" w:rsidP="00A56A66">
      <w:pPr>
        <w:jc w:val="both"/>
        <w:rPr>
          <w:lang w:val="sr-Latn-ME"/>
        </w:rPr>
      </w:pPr>
      <w:r w:rsidRPr="0047585D">
        <w:rPr>
          <w:lang w:val="sr-Latn-ME"/>
        </w:rPr>
        <w:t>Kvalitet života povezan sa zdravljem (</w:t>
      </w:r>
      <w:r w:rsidRPr="0047585D">
        <w:rPr>
          <w:i/>
          <w:lang w:val="sr-Latn-ME"/>
        </w:rPr>
        <w:t>Health-Related Quality of Life</w:t>
      </w:r>
      <w:r w:rsidRPr="0047585D">
        <w:rPr>
          <w:lang w:val="sr-Latn-ME"/>
        </w:rPr>
        <w:t>, HRQoL) bi</w:t>
      </w:r>
      <w:r w:rsidR="006D7892" w:rsidRPr="0047585D">
        <w:rPr>
          <w:lang w:val="sr-Latn-ME"/>
        </w:rPr>
        <w:t xml:space="preserve">o </w:t>
      </w:r>
      <w:r w:rsidRPr="0047585D">
        <w:rPr>
          <w:lang w:val="sr-Latn-ME"/>
        </w:rPr>
        <w:t>je procijenjen pomoću glavnog upitnika o kvalitet</w:t>
      </w:r>
      <w:r w:rsidR="006D7892" w:rsidRPr="0047585D">
        <w:rPr>
          <w:lang w:val="sr-Latn-ME"/>
        </w:rPr>
        <w:t>u</w:t>
      </w:r>
      <w:r w:rsidRPr="0047585D">
        <w:rPr>
          <w:lang w:val="sr-Latn-ME"/>
        </w:rPr>
        <w:t xml:space="preserve"> života E</w:t>
      </w:r>
      <w:r w:rsidR="006D7892" w:rsidRPr="0047585D">
        <w:rPr>
          <w:lang w:val="sr-Latn-ME"/>
        </w:rPr>
        <w:t>v</w:t>
      </w:r>
      <w:r w:rsidRPr="0047585D">
        <w:rPr>
          <w:lang w:val="sr-Latn-ME"/>
        </w:rPr>
        <w:t>ropske organizacije za istraživanje i liječenje</w:t>
      </w:r>
      <w:r w:rsidR="00BA6C4E" w:rsidRPr="0047585D">
        <w:rPr>
          <w:lang w:val="sr-Latn-ME"/>
        </w:rPr>
        <w:t xml:space="preserve"> karcinoma</w:t>
      </w:r>
      <w:r w:rsidRPr="0047585D">
        <w:rPr>
          <w:lang w:val="sr-Latn-ME"/>
        </w:rPr>
        <w:t xml:space="preserve"> (</w:t>
      </w:r>
      <w:r w:rsidRPr="0047585D">
        <w:rPr>
          <w:i/>
          <w:lang w:val="sr-Latn-ME"/>
        </w:rPr>
        <w:t xml:space="preserve">European Organization for Research and Treatment of Cancer Core Quality of Life Questionnaire </w:t>
      </w:r>
      <w:r w:rsidRPr="0047585D">
        <w:rPr>
          <w:lang w:val="sr-Latn-ME"/>
        </w:rPr>
        <w:t>[EORTC QLQ-C30]). Podaci o kvalitet</w:t>
      </w:r>
      <w:r w:rsidR="006D7892" w:rsidRPr="0047585D">
        <w:rPr>
          <w:lang w:val="sr-Latn-ME"/>
        </w:rPr>
        <w:t>u</w:t>
      </w:r>
      <w:r w:rsidRPr="0047585D">
        <w:rPr>
          <w:lang w:val="sr-Latn-ME"/>
        </w:rPr>
        <w:t xml:space="preserve"> života vezano</w:t>
      </w:r>
      <w:r w:rsidR="006D7892" w:rsidRPr="0047585D">
        <w:rPr>
          <w:lang w:val="sr-Latn-ME"/>
        </w:rPr>
        <w:t>g</w:t>
      </w:r>
      <w:r w:rsidRPr="0047585D">
        <w:rPr>
          <w:lang w:val="sr-Latn-ME"/>
        </w:rPr>
        <w:t xml:space="preserve"> za zdravlje (HRQoL) mogli su se analiz</w:t>
      </w:r>
      <w:r w:rsidR="006D7892" w:rsidRPr="0047585D">
        <w:rPr>
          <w:lang w:val="sr-Latn-ME"/>
        </w:rPr>
        <w:t>ira</w:t>
      </w:r>
      <w:r w:rsidRPr="0047585D">
        <w:rPr>
          <w:lang w:val="sr-Latn-ME"/>
        </w:rPr>
        <w:t>ti za jednu pod</w:t>
      </w:r>
      <w:r w:rsidR="00456DBE" w:rsidRPr="0047585D">
        <w:rPr>
          <w:lang w:val="sr-Latn-ME"/>
        </w:rPr>
        <w:t>grup</w:t>
      </w:r>
      <w:r w:rsidRPr="0047585D">
        <w:rPr>
          <w:lang w:val="sr-Latn-ME"/>
        </w:rPr>
        <w:t xml:space="preserve">u cjelokupne ispitivane populacije. Iako su u analizi postojala ograničenja, dostupni podaci pokazuju da </w:t>
      </w:r>
      <w:r w:rsidR="00450069" w:rsidRPr="0047585D">
        <w:rPr>
          <w:lang w:val="sr-Latn-ME"/>
        </w:rPr>
        <w:t>pacijenti</w:t>
      </w:r>
      <w:r w:rsidRPr="0047585D">
        <w:rPr>
          <w:lang w:val="sr-Latn-ME"/>
        </w:rPr>
        <w:t xml:space="preserve"> nemaju značajno pogoršanje kvalitet</w:t>
      </w:r>
      <w:r w:rsidR="006D7892" w:rsidRPr="0047585D">
        <w:rPr>
          <w:lang w:val="sr-Latn-ME"/>
        </w:rPr>
        <w:t>a</w:t>
      </w:r>
      <w:r w:rsidRPr="0047585D">
        <w:rPr>
          <w:lang w:val="sr-Latn-ME"/>
        </w:rPr>
        <w:t xml:space="preserve"> života </w:t>
      </w:r>
      <w:r w:rsidR="005D04EB" w:rsidRPr="0047585D">
        <w:rPr>
          <w:lang w:val="sr-Latn-ME"/>
        </w:rPr>
        <w:t>tokom</w:t>
      </w:r>
      <w:r w:rsidRPr="0047585D">
        <w:rPr>
          <w:lang w:val="sr-Latn-ME"/>
        </w:rPr>
        <w:t xml:space="preserve"> liječenja azacitidinom.</w:t>
      </w:r>
    </w:p>
    <w:p w14:paraId="722BB444" w14:textId="77777777" w:rsidR="00262B3A" w:rsidRPr="0047585D" w:rsidRDefault="00262B3A" w:rsidP="00A56A66">
      <w:pPr>
        <w:jc w:val="both"/>
        <w:rPr>
          <w:lang w:val="sr-Latn-ME"/>
        </w:rPr>
      </w:pPr>
    </w:p>
    <w:p w14:paraId="642808C0" w14:textId="77777777" w:rsidR="00EF13D5" w:rsidRPr="0047585D" w:rsidRDefault="00BA6C4E" w:rsidP="00A56A66">
      <w:pPr>
        <w:jc w:val="both"/>
        <w:rPr>
          <w:lang w:val="sr-Latn-ME"/>
        </w:rPr>
      </w:pPr>
      <w:r w:rsidRPr="0047585D">
        <w:rPr>
          <w:lang w:val="sr-Latn-ME"/>
        </w:rPr>
        <w:t xml:space="preserve">Pedijatrijska populacija </w:t>
      </w:r>
    </w:p>
    <w:p w14:paraId="6EE489FC" w14:textId="4D716DF8" w:rsidR="00EF13D5" w:rsidRPr="0047585D" w:rsidRDefault="00BA6C4E" w:rsidP="00A56A66">
      <w:pPr>
        <w:jc w:val="both"/>
        <w:rPr>
          <w:lang w:val="sr-Latn-ME"/>
        </w:rPr>
      </w:pPr>
      <w:r w:rsidRPr="0047585D">
        <w:rPr>
          <w:lang w:val="sr-Latn-ME"/>
        </w:rPr>
        <w:t>Ispitivanje AZA-JMML-001 bilo je međunarodno, multicentrično, otvoreno ispitivanje faze 2 za procjenu farmakokinet</w:t>
      </w:r>
      <w:r w:rsidR="00EF13D5" w:rsidRPr="0047585D">
        <w:rPr>
          <w:lang w:val="sr-Latn-ME"/>
        </w:rPr>
        <w:t>ike, farmakodinamike, bezbjednosti</w:t>
      </w:r>
      <w:r w:rsidRPr="0047585D">
        <w:rPr>
          <w:lang w:val="sr-Latn-ME"/>
        </w:rPr>
        <w:t xml:space="preserve"> i aktivnosti azacitidina prije </w:t>
      </w:r>
      <w:r w:rsidR="001314D2" w:rsidRPr="0047585D">
        <w:rPr>
          <w:lang w:val="sr-Latn-ME"/>
        </w:rPr>
        <w:t>HSCT</w:t>
      </w:r>
      <w:r w:rsidRPr="0047585D">
        <w:rPr>
          <w:lang w:val="sr-Latn-ME"/>
        </w:rPr>
        <w:t>-a u pedijatrijskoj po</w:t>
      </w:r>
      <w:r w:rsidR="00EF13D5" w:rsidRPr="0047585D">
        <w:rPr>
          <w:lang w:val="sr-Latn-ME"/>
        </w:rPr>
        <w:t>pulaciji s novodijagnostifikovanim</w:t>
      </w:r>
      <w:r w:rsidRPr="0047585D">
        <w:rPr>
          <w:lang w:val="sr-Latn-ME"/>
        </w:rPr>
        <w:t xml:space="preserve"> MDS-om ili JMML-om. Primarni cilj kliničkog ispiti</w:t>
      </w:r>
      <w:r w:rsidR="00EF13D5" w:rsidRPr="0047585D">
        <w:rPr>
          <w:lang w:val="sr-Latn-ME"/>
        </w:rPr>
        <w:t xml:space="preserve">vanja bio je procijeniti efekat </w:t>
      </w:r>
      <w:r w:rsidRPr="0047585D">
        <w:rPr>
          <w:lang w:val="sr-Latn-ME"/>
        </w:rPr>
        <w:t xml:space="preserve">azacitidina na stopu odgovora 28. dana 3. ciklusa. </w:t>
      </w:r>
    </w:p>
    <w:p w14:paraId="4571DAA0" w14:textId="77777777" w:rsidR="00262B3A" w:rsidRPr="0047585D" w:rsidRDefault="00262B3A" w:rsidP="00A56A66">
      <w:pPr>
        <w:jc w:val="both"/>
        <w:rPr>
          <w:lang w:val="sr-Latn-ME"/>
        </w:rPr>
      </w:pPr>
    </w:p>
    <w:p w14:paraId="508E7963" w14:textId="32B766CA" w:rsidR="00EF13D5" w:rsidRPr="0047585D" w:rsidRDefault="00EF13D5" w:rsidP="00A56A66">
      <w:pPr>
        <w:jc w:val="both"/>
        <w:rPr>
          <w:lang w:val="sr-Latn-ME"/>
        </w:rPr>
      </w:pPr>
      <w:r w:rsidRPr="0047585D">
        <w:rPr>
          <w:lang w:val="sr-Latn-ME"/>
        </w:rPr>
        <w:t>Pacijent</w:t>
      </w:r>
      <w:r w:rsidR="00BA6C4E" w:rsidRPr="0047585D">
        <w:rPr>
          <w:lang w:val="sr-Latn-ME"/>
        </w:rPr>
        <w:t>i (MDS, n = 10; JMML, n = 18, od 3 mje</w:t>
      </w:r>
      <w:r w:rsidRPr="0047585D">
        <w:rPr>
          <w:lang w:val="sr-Latn-ME"/>
        </w:rPr>
        <w:t xml:space="preserve">seca do 15 godina; 71 % muškog </w:t>
      </w:r>
      <w:r w:rsidR="00BA6C4E" w:rsidRPr="0047585D">
        <w:rPr>
          <w:lang w:val="sr-Latn-ME"/>
        </w:rPr>
        <w:t>pola) liječeni su intravenski azacitidinom u dozi od 75 mg/m², dnevno od 1. do</w:t>
      </w:r>
      <w:r w:rsidRPr="0047585D">
        <w:rPr>
          <w:lang w:val="sr-Latn-ME"/>
        </w:rPr>
        <w:t xml:space="preserve"> 7. dana 28-dnevnog ciklusa to</w:t>
      </w:r>
      <w:r w:rsidR="00BA6C4E" w:rsidRPr="0047585D">
        <w:rPr>
          <w:lang w:val="sr-Latn-ME"/>
        </w:rPr>
        <w:t xml:space="preserve">kom najmanje 3 ciklusa i najviše 6 ciklusa. </w:t>
      </w:r>
    </w:p>
    <w:p w14:paraId="40EF22E2" w14:textId="77777777" w:rsidR="00262B3A" w:rsidRPr="0047585D" w:rsidRDefault="00262B3A" w:rsidP="00A56A66">
      <w:pPr>
        <w:jc w:val="both"/>
        <w:rPr>
          <w:lang w:val="sr-Latn-ME"/>
        </w:rPr>
      </w:pPr>
    </w:p>
    <w:p w14:paraId="04D3BA16" w14:textId="61E9E2AD" w:rsidR="00EF13D5" w:rsidRPr="0047585D" w:rsidRDefault="00EF13D5" w:rsidP="00A56A66">
      <w:pPr>
        <w:jc w:val="both"/>
        <w:rPr>
          <w:lang w:val="sr-Latn-ME"/>
        </w:rPr>
      </w:pPr>
      <w:r w:rsidRPr="0047585D">
        <w:rPr>
          <w:lang w:val="sr-Latn-ME"/>
        </w:rPr>
        <w:t xml:space="preserve">Uključivanje u grupu </w:t>
      </w:r>
      <w:r w:rsidR="00BA6C4E" w:rsidRPr="0047585D">
        <w:rPr>
          <w:lang w:val="sr-Latn-ME"/>
        </w:rPr>
        <w:t xml:space="preserve">s MDS-om </w:t>
      </w:r>
      <w:r w:rsidRPr="0047585D">
        <w:rPr>
          <w:lang w:val="sr-Latn-ME"/>
        </w:rPr>
        <w:t xml:space="preserve">prekinuto je nakon 10 pacijenata </w:t>
      </w:r>
      <w:r w:rsidR="00BA6C4E" w:rsidRPr="0047585D">
        <w:rPr>
          <w:lang w:val="sr-Latn-ME"/>
        </w:rPr>
        <w:t>s MDS</w:t>
      </w:r>
      <w:r w:rsidRPr="0047585D">
        <w:rPr>
          <w:lang w:val="sr-Latn-ME"/>
        </w:rPr>
        <w:t>-om zbog odsustva efikasnosti</w:t>
      </w:r>
      <w:r w:rsidR="00BA6C4E" w:rsidRPr="0047585D">
        <w:rPr>
          <w:lang w:val="sr-Latn-ME"/>
        </w:rPr>
        <w:t xml:space="preserve">: nisu </w:t>
      </w:r>
      <w:r w:rsidRPr="0047585D">
        <w:rPr>
          <w:lang w:val="sr-Latn-ME"/>
        </w:rPr>
        <w:t>zabilježeni potvrđeni odgovori kod tih 10 pacijenata</w:t>
      </w:r>
      <w:r w:rsidR="00BA6C4E" w:rsidRPr="0047585D">
        <w:rPr>
          <w:lang w:val="sr-Latn-ME"/>
        </w:rPr>
        <w:t xml:space="preserve">. </w:t>
      </w:r>
    </w:p>
    <w:p w14:paraId="64AA010E" w14:textId="77777777" w:rsidR="00262B3A" w:rsidRPr="0047585D" w:rsidRDefault="00262B3A" w:rsidP="00A56A66">
      <w:pPr>
        <w:jc w:val="both"/>
        <w:rPr>
          <w:lang w:val="sr-Latn-ME"/>
        </w:rPr>
      </w:pPr>
    </w:p>
    <w:p w14:paraId="7C4EAA59" w14:textId="490FFA94" w:rsidR="00262B3A" w:rsidRPr="0047585D" w:rsidRDefault="00EF13D5" w:rsidP="00A56A66">
      <w:pPr>
        <w:jc w:val="both"/>
        <w:rPr>
          <w:lang w:val="sr-Latn-ME"/>
        </w:rPr>
      </w:pPr>
      <w:r w:rsidRPr="0047585D">
        <w:rPr>
          <w:lang w:val="sr-Latn-ME"/>
        </w:rPr>
        <w:t>U grup</w:t>
      </w:r>
      <w:r w:rsidR="00BA6C4E" w:rsidRPr="0047585D">
        <w:rPr>
          <w:lang w:val="sr-Latn-ME"/>
        </w:rPr>
        <w:t xml:space="preserve">u s </w:t>
      </w:r>
      <w:r w:rsidRPr="0047585D">
        <w:rPr>
          <w:lang w:val="sr-Latn-ME"/>
        </w:rPr>
        <w:t>JMML-om uključeno je 18 pacijenat</w:t>
      </w:r>
      <w:r w:rsidR="00BA6C4E" w:rsidRPr="0047585D">
        <w:rPr>
          <w:lang w:val="sr-Latn-ME"/>
        </w:rPr>
        <w:t>a (13 s</w:t>
      </w:r>
      <w:r w:rsidR="00ED51AD" w:rsidRPr="0047585D">
        <w:rPr>
          <w:lang w:val="sr-Latn-ME"/>
        </w:rPr>
        <w:t>a</w:t>
      </w:r>
      <w:r w:rsidR="00BA6C4E" w:rsidRPr="0047585D">
        <w:rPr>
          <w:lang w:val="sr-Latn-ME"/>
        </w:rPr>
        <w:t xml:space="preserve"> PTPN11, 3 s</w:t>
      </w:r>
      <w:r w:rsidR="00ED51AD" w:rsidRPr="0047585D">
        <w:rPr>
          <w:lang w:val="sr-Latn-ME"/>
        </w:rPr>
        <w:t>a</w:t>
      </w:r>
      <w:r w:rsidR="00BA6C4E" w:rsidRPr="0047585D">
        <w:rPr>
          <w:lang w:val="sr-Latn-ME"/>
        </w:rPr>
        <w:t xml:space="preserve"> NRAS, 1 s</w:t>
      </w:r>
      <w:r w:rsidR="00ED51AD" w:rsidRPr="0047585D">
        <w:rPr>
          <w:lang w:val="sr-Latn-ME"/>
        </w:rPr>
        <w:t>a</w:t>
      </w:r>
      <w:r w:rsidR="00BA6C4E" w:rsidRPr="0047585D">
        <w:rPr>
          <w:lang w:val="sr-Latn-ME"/>
        </w:rPr>
        <w:t xml:space="preserve"> KRAS somatskim mutacijama i 1 s</w:t>
      </w:r>
      <w:r w:rsidR="00ED51AD" w:rsidRPr="0047585D">
        <w:rPr>
          <w:lang w:val="sr-Latn-ME"/>
        </w:rPr>
        <w:t>a</w:t>
      </w:r>
      <w:r w:rsidR="00BA6C4E" w:rsidRPr="0047585D">
        <w:rPr>
          <w:lang w:val="sr-Latn-ME"/>
        </w:rPr>
        <w:t xml:space="preserve"> kliničkom dijagnozom neurofibromatoze ti</w:t>
      </w:r>
      <w:r w:rsidRPr="0047585D">
        <w:rPr>
          <w:lang w:val="sr-Latn-ME"/>
        </w:rPr>
        <w:t>pa 1 [NF-1]). Šesnaest pacijenata</w:t>
      </w:r>
      <w:r w:rsidR="00BA6C4E" w:rsidRPr="0047585D">
        <w:rPr>
          <w:lang w:val="sr-Latn-ME"/>
        </w:rPr>
        <w:t xml:space="preserve"> završilo je 3 ciklusa liječenja, a od njih je 5 završilo</w:t>
      </w:r>
      <w:r w:rsidRPr="0047585D">
        <w:rPr>
          <w:lang w:val="sr-Latn-ME"/>
        </w:rPr>
        <w:t xml:space="preserve"> 6 ciklusa. Ukupno 11 pacijenata </w:t>
      </w:r>
      <w:r w:rsidR="00BA6C4E" w:rsidRPr="0047585D">
        <w:rPr>
          <w:lang w:val="sr-Latn-ME"/>
        </w:rPr>
        <w:t>s</w:t>
      </w:r>
      <w:r w:rsidR="004C173B" w:rsidRPr="0047585D">
        <w:rPr>
          <w:lang w:val="sr-Latn-ME"/>
        </w:rPr>
        <w:t>a</w:t>
      </w:r>
      <w:r w:rsidR="00BA6C4E" w:rsidRPr="0047585D">
        <w:rPr>
          <w:lang w:val="sr-Latn-ME"/>
        </w:rPr>
        <w:t xml:space="preserve"> JMML-om imalo je klinički odgovor 28. dana 3. ciklusa, od tih 11 ispitanika 9 (50 %) ispitanika imalo je potvrđeni klinički odgovor (3 ispitanika s</w:t>
      </w:r>
      <w:r w:rsidR="004C173B" w:rsidRPr="0047585D">
        <w:rPr>
          <w:lang w:val="sr-Latn-ME"/>
        </w:rPr>
        <w:t>a</w:t>
      </w:r>
      <w:r w:rsidR="00BA6C4E" w:rsidRPr="0047585D">
        <w:rPr>
          <w:lang w:val="sr-Latn-ME"/>
        </w:rPr>
        <w:t xml:space="preserve"> cCR i 6 ispita</w:t>
      </w:r>
      <w:r w:rsidRPr="0047585D">
        <w:rPr>
          <w:lang w:val="sr-Latn-ME"/>
        </w:rPr>
        <w:t>nika s</w:t>
      </w:r>
      <w:r w:rsidR="004C173B" w:rsidRPr="0047585D">
        <w:rPr>
          <w:lang w:val="sr-Latn-ME"/>
        </w:rPr>
        <w:t>a</w:t>
      </w:r>
      <w:r w:rsidRPr="0047585D">
        <w:rPr>
          <w:lang w:val="sr-Latn-ME"/>
        </w:rPr>
        <w:t xml:space="preserve"> cPR). U kohorti pacijenata</w:t>
      </w:r>
      <w:r w:rsidR="00BA6C4E" w:rsidRPr="0047585D">
        <w:rPr>
          <w:lang w:val="sr-Latn-ME"/>
        </w:rPr>
        <w:t xml:space="preserve"> s</w:t>
      </w:r>
      <w:r w:rsidR="004C173B" w:rsidRPr="0047585D">
        <w:rPr>
          <w:lang w:val="sr-Latn-ME"/>
        </w:rPr>
        <w:t>a</w:t>
      </w:r>
      <w:r w:rsidR="00BA6C4E" w:rsidRPr="0047585D">
        <w:rPr>
          <w:lang w:val="sr-Latn-ME"/>
        </w:rPr>
        <w:t xml:space="preserve"> JMML-om liječenih azacitidinom 7 (43,8 %) </w:t>
      </w:r>
      <w:r w:rsidRPr="0047585D">
        <w:rPr>
          <w:lang w:val="sr-Latn-ME"/>
        </w:rPr>
        <w:t xml:space="preserve">pacijenata </w:t>
      </w:r>
      <w:r w:rsidR="00BA6C4E" w:rsidRPr="0047585D">
        <w:rPr>
          <w:lang w:val="sr-Latn-ME"/>
        </w:rPr>
        <w:t>imalo je trajni odgovor tromboc</w:t>
      </w:r>
      <w:r w:rsidRPr="0047585D">
        <w:rPr>
          <w:lang w:val="sr-Latn-ME"/>
        </w:rPr>
        <w:t>ita (brojevi ≥ 100 × 109/l), a kod 7 (43,8 %) pacijenat</w:t>
      </w:r>
      <w:r w:rsidR="00BA6C4E" w:rsidRPr="0047585D">
        <w:rPr>
          <w:lang w:val="sr-Latn-ME"/>
        </w:rPr>
        <w:t>a bila je potrebna transfu</w:t>
      </w:r>
      <w:r w:rsidRPr="0047585D">
        <w:rPr>
          <w:lang w:val="sr-Latn-ME"/>
        </w:rPr>
        <w:t xml:space="preserve">zija kod </w:t>
      </w:r>
      <w:r w:rsidR="001314D2" w:rsidRPr="0047585D">
        <w:rPr>
          <w:lang w:val="sr-Latn-ME"/>
        </w:rPr>
        <w:t>HSCT</w:t>
      </w:r>
      <w:r w:rsidRPr="0047585D">
        <w:rPr>
          <w:lang w:val="sr-Latn-ME"/>
        </w:rPr>
        <w:t>-a. 17/18 pacijenata započelo je</w:t>
      </w:r>
      <w:r w:rsidR="00BA6C4E" w:rsidRPr="0047585D">
        <w:rPr>
          <w:lang w:val="sr-Latn-ME"/>
        </w:rPr>
        <w:t xml:space="preserve"> s </w:t>
      </w:r>
      <w:r w:rsidR="001314D2" w:rsidRPr="0047585D">
        <w:rPr>
          <w:lang w:val="sr-Latn-ME"/>
        </w:rPr>
        <w:t>HSCT</w:t>
      </w:r>
      <w:r w:rsidR="00BA6C4E" w:rsidRPr="0047585D">
        <w:rPr>
          <w:lang w:val="sr-Latn-ME"/>
        </w:rPr>
        <w:t>-om.</w:t>
      </w:r>
    </w:p>
    <w:p w14:paraId="49969FC7" w14:textId="413729E2" w:rsidR="00EF13D5" w:rsidRPr="0047585D" w:rsidRDefault="00BA6C4E" w:rsidP="00A56A66">
      <w:pPr>
        <w:jc w:val="both"/>
        <w:rPr>
          <w:lang w:val="sr-Latn-ME"/>
        </w:rPr>
      </w:pPr>
      <w:r w:rsidRPr="0047585D">
        <w:rPr>
          <w:lang w:val="sr-Latn-ME"/>
        </w:rPr>
        <w:t xml:space="preserve"> </w:t>
      </w:r>
    </w:p>
    <w:p w14:paraId="327C8191" w14:textId="5B94437E" w:rsidR="00EF13D5" w:rsidRPr="0047585D" w:rsidRDefault="00BA6C4E" w:rsidP="00A56A66">
      <w:pPr>
        <w:jc w:val="both"/>
        <w:rPr>
          <w:lang w:val="sr-Latn-ME"/>
        </w:rPr>
      </w:pPr>
      <w:r w:rsidRPr="0047585D">
        <w:rPr>
          <w:lang w:val="sr-Latn-ME"/>
        </w:rPr>
        <w:t xml:space="preserve">Zbog </w:t>
      </w:r>
      <w:r w:rsidR="00262B3A" w:rsidRPr="0047585D">
        <w:rPr>
          <w:lang w:val="sr-Latn-ME"/>
        </w:rPr>
        <w:t xml:space="preserve">dizajna </w:t>
      </w:r>
      <w:r w:rsidR="00EF13D5" w:rsidRPr="0047585D">
        <w:rPr>
          <w:lang w:val="sr-Latn-ME"/>
        </w:rPr>
        <w:t>ispitivanja (mali broj pacijenata i razni zbunjujući činioci</w:t>
      </w:r>
      <w:r w:rsidRPr="0047585D">
        <w:rPr>
          <w:lang w:val="sr-Latn-ME"/>
        </w:rPr>
        <w:t xml:space="preserve">), iz ovog kliničkog ispitivanja nije moguće zaključiti poboljšava li primjena azacitidina prije </w:t>
      </w:r>
      <w:r w:rsidR="001314D2" w:rsidRPr="0047585D">
        <w:rPr>
          <w:lang w:val="sr-Latn-ME"/>
        </w:rPr>
        <w:t>HSCT</w:t>
      </w:r>
      <w:r w:rsidRPr="0047585D">
        <w:rPr>
          <w:lang w:val="sr-Latn-ME"/>
        </w:rPr>
        <w:t>-a isho</w:t>
      </w:r>
      <w:r w:rsidR="00EF13D5" w:rsidRPr="0047585D">
        <w:rPr>
          <w:lang w:val="sr-Latn-ME"/>
        </w:rPr>
        <w:t>d preživljenja kod pacijenata</w:t>
      </w:r>
      <w:r w:rsidRPr="0047585D">
        <w:rPr>
          <w:lang w:val="sr-Latn-ME"/>
        </w:rPr>
        <w:t xml:space="preserve"> s JMML-om. </w:t>
      </w:r>
    </w:p>
    <w:p w14:paraId="0EE16CD3" w14:textId="77777777" w:rsidR="00262B3A" w:rsidRPr="0047585D" w:rsidRDefault="00262B3A" w:rsidP="00A56A66">
      <w:pPr>
        <w:jc w:val="both"/>
        <w:rPr>
          <w:lang w:val="sr-Latn-ME"/>
        </w:rPr>
      </w:pPr>
    </w:p>
    <w:p w14:paraId="6D835D35" w14:textId="61EE25A4" w:rsidR="00EF13D5" w:rsidRPr="0047585D" w:rsidRDefault="00BA6C4E" w:rsidP="00A56A66">
      <w:pPr>
        <w:jc w:val="both"/>
        <w:rPr>
          <w:lang w:val="sr-Latn-ME"/>
        </w:rPr>
      </w:pPr>
      <w:r w:rsidRPr="0047585D">
        <w:rPr>
          <w:lang w:val="sr-Latn-ME"/>
        </w:rPr>
        <w:t>Ispitivanje AZA-AML-004 bilo je multicentrično, otvoreno ispitivanj</w:t>
      </w:r>
      <w:r w:rsidR="00EF13D5" w:rsidRPr="0047585D">
        <w:rPr>
          <w:lang w:val="sr-Latn-ME"/>
        </w:rPr>
        <w:t>e faze 2 za procjenu bezbjednosti,</w:t>
      </w:r>
      <w:r w:rsidRPr="0047585D">
        <w:rPr>
          <w:lang w:val="sr-Latn-ME"/>
        </w:rPr>
        <w:t xml:space="preserve"> </w:t>
      </w:r>
      <w:r w:rsidR="00EF13D5" w:rsidRPr="0047585D">
        <w:rPr>
          <w:lang w:val="sr-Latn-ME"/>
        </w:rPr>
        <w:t>farmakodinamike i efikasnosti azacitidina u poređenju</w:t>
      </w:r>
      <w:r w:rsidRPr="0047585D">
        <w:rPr>
          <w:lang w:val="sr-Latn-ME"/>
        </w:rPr>
        <w:t xml:space="preserve"> s ne</w:t>
      </w:r>
      <w:r w:rsidR="00EF13D5" w:rsidRPr="0047585D">
        <w:rPr>
          <w:lang w:val="sr-Latn-ME"/>
        </w:rPr>
        <w:t xml:space="preserve">primjenom terapije protiv </w:t>
      </w:r>
      <w:r w:rsidR="00EA5154" w:rsidRPr="0047585D">
        <w:rPr>
          <w:lang w:val="sr-Latn-ME"/>
        </w:rPr>
        <w:t>k</w:t>
      </w:r>
      <w:r w:rsidR="00EF13D5" w:rsidRPr="0047585D">
        <w:rPr>
          <w:lang w:val="sr-Latn-ME"/>
        </w:rPr>
        <w:t>arcinoma kod</w:t>
      </w:r>
      <w:r w:rsidRPr="0047585D">
        <w:rPr>
          <w:lang w:val="sr-Latn-ME"/>
        </w:rPr>
        <w:t xml:space="preserve"> djece i mlađih odraslih osoba s AML-om kod mol</w:t>
      </w:r>
      <w:r w:rsidR="00EF13D5" w:rsidRPr="0047585D">
        <w:rPr>
          <w:lang w:val="sr-Latn-ME"/>
        </w:rPr>
        <w:t xml:space="preserve">ekularnog relapsa nakon CR1. </w:t>
      </w:r>
    </w:p>
    <w:p w14:paraId="66BC1861" w14:textId="77777777" w:rsidR="00262B3A" w:rsidRPr="0047585D" w:rsidRDefault="00262B3A" w:rsidP="00A56A66">
      <w:pPr>
        <w:jc w:val="both"/>
        <w:rPr>
          <w:lang w:val="sr-Latn-ME"/>
        </w:rPr>
      </w:pPr>
    </w:p>
    <w:p w14:paraId="639BA9AC" w14:textId="7AD25B5B" w:rsidR="00EF13D5" w:rsidRPr="0047585D" w:rsidRDefault="00EF13D5" w:rsidP="00A56A66">
      <w:pPr>
        <w:jc w:val="both"/>
        <w:rPr>
          <w:lang w:val="sr-Latn-ME"/>
        </w:rPr>
      </w:pPr>
      <w:r w:rsidRPr="0047585D">
        <w:rPr>
          <w:lang w:val="sr-Latn-ME"/>
        </w:rPr>
        <w:t>Sedam pacijenata (medijan</w:t>
      </w:r>
      <w:r w:rsidR="00EA5154" w:rsidRPr="0047585D">
        <w:rPr>
          <w:lang w:val="sr-Latn-ME"/>
        </w:rPr>
        <w:t>a</w:t>
      </w:r>
      <w:r w:rsidRPr="0047585D">
        <w:rPr>
          <w:lang w:val="sr-Latn-ME"/>
        </w:rPr>
        <w:t xml:space="preserve"> uzrasta </w:t>
      </w:r>
      <w:r w:rsidR="00BA6C4E" w:rsidRPr="0047585D">
        <w:rPr>
          <w:lang w:val="sr-Latn-ME"/>
        </w:rPr>
        <w:t>6,7 godina [raspon od 2 do 12 godina]; 71,4 % muških) liječeno je intravenski azacitidinom u dozi od 100 mg/m</w:t>
      </w:r>
      <w:r w:rsidR="00BA6C4E" w:rsidRPr="00A56A66">
        <w:rPr>
          <w:vertAlign w:val="superscript"/>
          <w:lang w:val="sr-Latn-ME"/>
        </w:rPr>
        <w:t>2</w:t>
      </w:r>
      <w:r w:rsidR="00BA6C4E" w:rsidRPr="0047585D">
        <w:rPr>
          <w:lang w:val="sr-Latn-ME"/>
        </w:rPr>
        <w:t>, svakodnevno od 1. do 7. da</w:t>
      </w:r>
      <w:r w:rsidRPr="0047585D">
        <w:rPr>
          <w:lang w:val="sr-Latn-ME"/>
        </w:rPr>
        <w:t>na svakoga 28-dnevnog ciklusa to</w:t>
      </w:r>
      <w:r w:rsidR="00BA6C4E" w:rsidRPr="0047585D">
        <w:rPr>
          <w:lang w:val="sr-Latn-ME"/>
        </w:rPr>
        <w:t xml:space="preserve">kom najviše 3 ciklusa. </w:t>
      </w:r>
    </w:p>
    <w:p w14:paraId="73079AE1" w14:textId="77777777" w:rsidR="00262B3A" w:rsidRPr="0047585D" w:rsidRDefault="00262B3A" w:rsidP="00A56A66">
      <w:pPr>
        <w:jc w:val="both"/>
        <w:rPr>
          <w:lang w:val="sr-Latn-ME"/>
        </w:rPr>
      </w:pPr>
    </w:p>
    <w:p w14:paraId="65C90938" w14:textId="13C52118" w:rsidR="00EF13D5" w:rsidRPr="0047585D" w:rsidRDefault="00EF13D5" w:rsidP="00A56A66">
      <w:pPr>
        <w:jc w:val="both"/>
        <w:rPr>
          <w:lang w:val="sr-Latn-ME"/>
        </w:rPr>
      </w:pPr>
      <w:r w:rsidRPr="0047585D">
        <w:rPr>
          <w:lang w:val="sr-Latn-ME"/>
        </w:rPr>
        <w:t>Za pet pacijenata</w:t>
      </w:r>
      <w:r w:rsidR="00BA6C4E" w:rsidRPr="0047585D">
        <w:rPr>
          <w:lang w:val="sr-Latn-ME"/>
        </w:rPr>
        <w:t xml:space="preserve"> procijenjena je minimalna rezidualna bol</w:t>
      </w:r>
      <w:r w:rsidRPr="0047585D">
        <w:rPr>
          <w:lang w:val="sr-Latn-ME"/>
        </w:rPr>
        <w:t>est (MRD) 84. dan, s 4 pacijenta</w:t>
      </w:r>
      <w:r w:rsidR="00BA6C4E" w:rsidRPr="0047585D">
        <w:rPr>
          <w:lang w:val="sr-Latn-ME"/>
        </w:rPr>
        <w:t xml:space="preserve"> koji su postigli bilo molekularnu stabilizaciju (n = 3) ili molekularno p</w:t>
      </w:r>
      <w:r w:rsidRPr="0047585D">
        <w:rPr>
          <w:lang w:val="sr-Latn-ME"/>
        </w:rPr>
        <w:t>oboljšanje (n = 1), a 1 pacijent</w:t>
      </w:r>
      <w:r w:rsidR="00BA6C4E" w:rsidRPr="0047585D">
        <w:rPr>
          <w:lang w:val="sr-Latn-ME"/>
        </w:rPr>
        <w:t xml:space="preserve"> </w:t>
      </w:r>
      <w:r w:rsidRPr="0047585D">
        <w:rPr>
          <w:lang w:val="sr-Latn-ME"/>
        </w:rPr>
        <w:t>imao je klinički relaps. Šest od sedam pacijenata</w:t>
      </w:r>
      <w:r w:rsidR="00BA6C4E" w:rsidRPr="0047585D">
        <w:rPr>
          <w:lang w:val="sr-Latn-ME"/>
        </w:rPr>
        <w:t xml:space="preserve"> (90 % [95 % CI = 0,4; 1,0] liječeno azacitidinom podvrgnuto je transplantaciji</w:t>
      </w:r>
      <w:r w:rsidRPr="0047585D">
        <w:rPr>
          <w:lang w:val="sr-Latn-ME"/>
        </w:rPr>
        <w:t xml:space="preserve"> hematopoetskih matičnih ćelija</w:t>
      </w:r>
      <w:r w:rsidR="00BA6C4E" w:rsidRPr="0047585D">
        <w:rPr>
          <w:lang w:val="sr-Latn-ME"/>
        </w:rPr>
        <w:t xml:space="preserve"> (HSCT). </w:t>
      </w:r>
    </w:p>
    <w:p w14:paraId="0C93593C" w14:textId="77777777" w:rsidR="00262B3A" w:rsidRPr="0047585D" w:rsidRDefault="00262B3A" w:rsidP="00A56A66">
      <w:pPr>
        <w:jc w:val="both"/>
        <w:rPr>
          <w:lang w:val="sr-Latn-ME"/>
        </w:rPr>
      </w:pPr>
    </w:p>
    <w:p w14:paraId="6C738C19" w14:textId="50047E8E" w:rsidR="00BA6C4E" w:rsidRPr="0047585D" w:rsidRDefault="00BA6C4E" w:rsidP="00A56A66">
      <w:pPr>
        <w:jc w:val="both"/>
        <w:rPr>
          <w:lang w:val="sr-Latn-ME"/>
        </w:rPr>
      </w:pPr>
      <w:r w:rsidRPr="0047585D">
        <w:rPr>
          <w:lang w:val="sr-Latn-ME"/>
        </w:rPr>
        <w:t>Zbog malog uzorka ni</w:t>
      </w:r>
      <w:r w:rsidR="00EF13D5" w:rsidRPr="0047585D">
        <w:rPr>
          <w:lang w:val="sr-Latn-ME"/>
        </w:rPr>
        <w:t>je moguće utvrditi efikasnost</w:t>
      </w:r>
      <w:r w:rsidRPr="0047585D">
        <w:rPr>
          <w:lang w:val="sr-Latn-ME"/>
        </w:rPr>
        <w:t xml:space="preserve"> azacitidina kod pedijatrijskog AML-a. Vidjeti dio 4.8 za informacije</w:t>
      </w:r>
      <w:r w:rsidR="00EF13D5" w:rsidRPr="0047585D">
        <w:rPr>
          <w:lang w:val="sr-Latn-ME"/>
        </w:rPr>
        <w:t xml:space="preserve"> o bezbjednosti.</w:t>
      </w:r>
    </w:p>
    <w:p w14:paraId="5777E70D" w14:textId="77777777" w:rsidR="00262B3A" w:rsidRPr="0047585D" w:rsidRDefault="00262B3A" w:rsidP="00A56A66">
      <w:pPr>
        <w:jc w:val="both"/>
        <w:rPr>
          <w:lang w:val="sr-Latn-ME"/>
        </w:rPr>
      </w:pPr>
    </w:p>
    <w:p w14:paraId="27D2845C" w14:textId="77777777" w:rsidR="0084478E" w:rsidRPr="0047585D" w:rsidRDefault="008C7DED" w:rsidP="007C06AA">
      <w:pPr>
        <w:widowControl/>
        <w:numPr>
          <w:ilvl w:val="1"/>
          <w:numId w:val="11"/>
        </w:numPr>
        <w:tabs>
          <w:tab w:val="left" w:pos="540"/>
          <w:tab w:val="left" w:pos="569"/>
        </w:tabs>
        <w:autoSpaceDE/>
        <w:autoSpaceDN/>
        <w:ind w:left="0" w:firstLine="0"/>
        <w:rPr>
          <w:b/>
          <w:bCs/>
          <w:lang w:val="sr-Latn-ME"/>
        </w:rPr>
      </w:pPr>
      <w:r w:rsidRPr="0047585D">
        <w:rPr>
          <w:b/>
          <w:bCs/>
          <w:lang w:val="sr-Latn-ME"/>
        </w:rPr>
        <w:t>Farmakokinetički</w:t>
      </w:r>
      <w:r w:rsidR="00200D97" w:rsidRPr="0047585D">
        <w:rPr>
          <w:b/>
          <w:bCs/>
          <w:lang w:val="sr-Latn-ME"/>
        </w:rPr>
        <w:t xml:space="preserve"> </w:t>
      </w:r>
      <w:r w:rsidRPr="0047585D">
        <w:rPr>
          <w:b/>
          <w:bCs/>
          <w:lang w:val="sr-Latn-ME"/>
        </w:rPr>
        <w:t>podaci</w:t>
      </w:r>
    </w:p>
    <w:p w14:paraId="522C78D7" w14:textId="77777777" w:rsidR="0084478E" w:rsidRPr="0047585D" w:rsidRDefault="0084478E" w:rsidP="007D6BC7">
      <w:pPr>
        <w:pStyle w:val="BodyText"/>
        <w:spacing w:before="7"/>
        <w:rPr>
          <w:b/>
          <w:lang w:val="sr-Latn-ME"/>
        </w:rPr>
      </w:pPr>
    </w:p>
    <w:p w14:paraId="0F24AB85" w14:textId="77777777" w:rsidR="0084478E" w:rsidRPr="0047585D" w:rsidRDefault="00456DBE" w:rsidP="00A56A66">
      <w:pPr>
        <w:pStyle w:val="BodyText"/>
        <w:rPr>
          <w:lang w:val="sr-Latn-ME"/>
        </w:rPr>
      </w:pPr>
      <w:r w:rsidRPr="0047585D">
        <w:rPr>
          <w:u w:val="single"/>
          <w:lang w:val="sr-Latn-ME"/>
        </w:rPr>
        <w:t>Re</w:t>
      </w:r>
      <w:r w:rsidR="00200D97" w:rsidRPr="0047585D">
        <w:rPr>
          <w:u w:val="single"/>
          <w:lang w:val="sr-Latn-ME"/>
        </w:rPr>
        <w:t>sorpcija</w:t>
      </w:r>
    </w:p>
    <w:p w14:paraId="0CD4D7E0" w14:textId="4AE45B99" w:rsidR="0084478E" w:rsidRPr="0047585D" w:rsidRDefault="00200D97" w:rsidP="00A56A66">
      <w:pPr>
        <w:pStyle w:val="BodyText"/>
        <w:jc w:val="both"/>
        <w:rPr>
          <w:lang w:val="sr-Latn-ME"/>
        </w:rPr>
      </w:pPr>
      <w:r w:rsidRPr="0047585D">
        <w:rPr>
          <w:lang w:val="sr-Latn-ME"/>
        </w:rPr>
        <w:t>Nakon su</w:t>
      </w:r>
      <w:r w:rsidR="00D542A4">
        <w:rPr>
          <w:lang w:val="sr-Latn-ME"/>
        </w:rPr>
        <w:t>b</w:t>
      </w:r>
      <w:r w:rsidRPr="0047585D">
        <w:rPr>
          <w:lang w:val="sr-Latn-ME"/>
        </w:rPr>
        <w:t>kutane primjene jednokratne doze od 75 mg/m</w:t>
      </w:r>
      <w:r w:rsidR="000D6D11" w:rsidRPr="00A56A66">
        <w:rPr>
          <w:vertAlign w:val="superscript"/>
          <w:lang w:val="sr-Latn-ME"/>
        </w:rPr>
        <w:t>2</w:t>
      </w:r>
      <w:r w:rsidRPr="0047585D">
        <w:rPr>
          <w:lang w:val="sr-Latn-ME"/>
        </w:rPr>
        <w:t xml:space="preserve">, azacitidin se brzo </w:t>
      </w:r>
      <w:r w:rsidR="00456DBE" w:rsidRPr="0047585D">
        <w:rPr>
          <w:lang w:val="sr-Latn-ME"/>
        </w:rPr>
        <w:t>resorbov</w:t>
      </w:r>
      <w:r w:rsidRPr="0047585D">
        <w:rPr>
          <w:lang w:val="sr-Latn-ME"/>
        </w:rPr>
        <w:t xml:space="preserve">ao te se </w:t>
      </w:r>
      <w:r w:rsidR="00A24CDC" w:rsidRPr="0047585D">
        <w:rPr>
          <w:lang w:val="sr-Latn-ME"/>
        </w:rPr>
        <w:t>maksimalna</w:t>
      </w:r>
      <w:r w:rsidRPr="0047585D">
        <w:rPr>
          <w:lang w:val="sr-Latn-ME"/>
        </w:rPr>
        <w:t xml:space="preserve"> koncentracija azacitidina u plazmi od 750 ± 403 ng/ml postigla za 0,5 h nakon primjene (prva t</w:t>
      </w:r>
      <w:r w:rsidR="00456DBE" w:rsidRPr="0047585D">
        <w:rPr>
          <w:lang w:val="sr-Latn-ME"/>
        </w:rPr>
        <w:t>a</w:t>
      </w:r>
      <w:r w:rsidRPr="0047585D">
        <w:rPr>
          <w:lang w:val="sr-Latn-ME"/>
        </w:rPr>
        <w:t>čka uzorkovanja). Apsolutna bioraspoloživost azacitidina nakon su</w:t>
      </w:r>
      <w:r w:rsidR="00D542A4">
        <w:rPr>
          <w:lang w:val="sr-Latn-ME"/>
        </w:rPr>
        <w:t>b</w:t>
      </w:r>
      <w:r w:rsidRPr="0047585D">
        <w:rPr>
          <w:lang w:val="sr-Latn-ME"/>
        </w:rPr>
        <w:t>kutane primjene u odnosu na intravensku primjenu (jednokratnih doza od 75 mg/m</w:t>
      </w:r>
      <w:r w:rsidR="000D6D11" w:rsidRPr="00A56A66">
        <w:rPr>
          <w:vertAlign w:val="superscript"/>
          <w:lang w:val="sr-Latn-ME"/>
        </w:rPr>
        <w:t>2</w:t>
      </w:r>
      <w:r w:rsidRPr="0047585D">
        <w:rPr>
          <w:lang w:val="sr-Latn-ME"/>
        </w:rPr>
        <w:t>) bila je približno 89 % na osnovi površine ispod krive (AUC).</w:t>
      </w:r>
    </w:p>
    <w:p w14:paraId="630A2300" w14:textId="77777777" w:rsidR="00C17975" w:rsidRPr="0047585D" w:rsidRDefault="00C17975" w:rsidP="00A56A66">
      <w:pPr>
        <w:pStyle w:val="BodyText"/>
        <w:jc w:val="both"/>
        <w:rPr>
          <w:lang w:val="sr-Latn-ME"/>
        </w:rPr>
      </w:pPr>
    </w:p>
    <w:p w14:paraId="5C6A5596" w14:textId="115A10D0" w:rsidR="0084478E" w:rsidRPr="0047585D" w:rsidRDefault="00200D97" w:rsidP="00A56A66">
      <w:pPr>
        <w:pStyle w:val="BodyText"/>
        <w:jc w:val="both"/>
        <w:rPr>
          <w:position w:val="2"/>
          <w:lang w:val="sr-Latn-ME"/>
        </w:rPr>
      </w:pPr>
      <w:r w:rsidRPr="0047585D">
        <w:rPr>
          <w:lang w:val="sr-Latn-ME"/>
        </w:rPr>
        <w:t>Pri su</w:t>
      </w:r>
      <w:r w:rsidR="00D542A4">
        <w:rPr>
          <w:lang w:val="sr-Latn-ME"/>
        </w:rPr>
        <w:t>b</w:t>
      </w:r>
      <w:r w:rsidRPr="0047585D">
        <w:rPr>
          <w:lang w:val="sr-Latn-ME"/>
        </w:rPr>
        <w:t xml:space="preserve">kutanoj primjeni azacitidina, površina ispod krive i maksimalna koncentracija u plazmi </w:t>
      </w:r>
      <w:r w:rsidR="002547B2" w:rsidRPr="0047585D">
        <w:rPr>
          <w:lang w:val="sr-Latn-ME"/>
        </w:rPr>
        <w:t>(</w:t>
      </w:r>
      <w:r w:rsidRPr="0047585D">
        <w:rPr>
          <w:position w:val="2"/>
          <w:lang w:val="sr-Latn-ME"/>
        </w:rPr>
        <w:t>C</w:t>
      </w:r>
      <w:r w:rsidRPr="00A56A66">
        <w:rPr>
          <w:vertAlign w:val="subscript"/>
          <w:lang w:val="sr-Latn-ME"/>
        </w:rPr>
        <w:t>max</w:t>
      </w:r>
      <w:r w:rsidRPr="0047585D">
        <w:rPr>
          <w:position w:val="2"/>
          <w:lang w:val="sr-Latn-ME"/>
        </w:rPr>
        <w:t>) bile su približno proporcionalne unutar raspona doza od 25 do 100 mg/m</w:t>
      </w:r>
      <w:r w:rsidRPr="0047585D">
        <w:rPr>
          <w:position w:val="2"/>
          <w:vertAlign w:val="superscript"/>
          <w:lang w:val="sr-Latn-ME"/>
        </w:rPr>
        <w:t>2</w:t>
      </w:r>
      <w:r w:rsidRPr="0047585D">
        <w:rPr>
          <w:position w:val="2"/>
          <w:lang w:val="sr-Latn-ME"/>
        </w:rPr>
        <w:t>.</w:t>
      </w:r>
    </w:p>
    <w:p w14:paraId="46288CF1" w14:textId="77777777" w:rsidR="00C17975" w:rsidRPr="0047585D" w:rsidRDefault="00C17975" w:rsidP="00A56A66">
      <w:pPr>
        <w:pStyle w:val="BodyText"/>
        <w:jc w:val="both"/>
        <w:rPr>
          <w:lang w:val="sr-Latn-ME"/>
        </w:rPr>
      </w:pPr>
    </w:p>
    <w:p w14:paraId="76623195" w14:textId="77777777" w:rsidR="0084478E" w:rsidRPr="0047585D" w:rsidRDefault="00200D97" w:rsidP="00A56A66">
      <w:pPr>
        <w:pStyle w:val="BodyText"/>
        <w:jc w:val="both"/>
        <w:rPr>
          <w:lang w:val="sr-Latn-ME"/>
        </w:rPr>
      </w:pPr>
      <w:r w:rsidRPr="0047585D">
        <w:rPr>
          <w:u w:val="single"/>
          <w:lang w:val="sr-Latn-ME"/>
        </w:rPr>
        <w:t>Distribucija</w:t>
      </w:r>
    </w:p>
    <w:p w14:paraId="30151605" w14:textId="0C39F1D1" w:rsidR="0084478E" w:rsidRPr="0047585D" w:rsidRDefault="00200D97" w:rsidP="00A56A66">
      <w:pPr>
        <w:pStyle w:val="BodyText"/>
        <w:jc w:val="both"/>
        <w:rPr>
          <w:lang w:val="sr-Latn-ME"/>
        </w:rPr>
      </w:pPr>
      <w:r w:rsidRPr="0047585D">
        <w:rPr>
          <w:lang w:val="sr-Latn-ME"/>
        </w:rPr>
        <w:t xml:space="preserve">Nakon intravenske primjene srednja vrijednost volumena distribucije bila je 76 ± 26 </w:t>
      </w:r>
      <w:r w:rsidR="0007609D" w:rsidRPr="0047585D">
        <w:rPr>
          <w:lang w:val="sr-Latn-ME"/>
        </w:rPr>
        <w:t>l</w:t>
      </w:r>
      <w:r w:rsidRPr="0047585D">
        <w:rPr>
          <w:lang w:val="sr-Latn-ME"/>
        </w:rPr>
        <w:t xml:space="preserve">, a sistemski klirens 147 ± 47 </w:t>
      </w:r>
      <w:r w:rsidR="0007609D" w:rsidRPr="0047585D">
        <w:rPr>
          <w:lang w:val="sr-Latn-ME"/>
        </w:rPr>
        <w:t>l</w:t>
      </w:r>
      <w:r w:rsidRPr="0047585D">
        <w:rPr>
          <w:lang w:val="sr-Latn-ME"/>
        </w:rPr>
        <w:t>/h.</w:t>
      </w:r>
    </w:p>
    <w:p w14:paraId="0883E5BC" w14:textId="77777777" w:rsidR="00C17975" w:rsidRPr="0047585D" w:rsidRDefault="00C17975" w:rsidP="00A56A66">
      <w:pPr>
        <w:pStyle w:val="BodyText"/>
        <w:jc w:val="both"/>
        <w:rPr>
          <w:lang w:val="sr-Latn-ME"/>
        </w:rPr>
      </w:pPr>
    </w:p>
    <w:p w14:paraId="33FA7F14" w14:textId="77777777" w:rsidR="0084478E" w:rsidRPr="0047585D" w:rsidRDefault="00200D97" w:rsidP="00A56A66">
      <w:pPr>
        <w:pStyle w:val="BodyText"/>
        <w:rPr>
          <w:lang w:val="sr-Latn-ME"/>
        </w:rPr>
      </w:pPr>
      <w:r w:rsidRPr="0047585D">
        <w:rPr>
          <w:u w:val="single"/>
          <w:lang w:val="sr-Latn-ME"/>
        </w:rPr>
        <w:t>Biotransformacija</w:t>
      </w:r>
    </w:p>
    <w:p w14:paraId="2BEA0420" w14:textId="48F0862A" w:rsidR="0084478E" w:rsidRPr="0047585D" w:rsidRDefault="00200D97" w:rsidP="00A56A66">
      <w:pPr>
        <w:pStyle w:val="BodyText"/>
        <w:jc w:val="both"/>
        <w:rPr>
          <w:lang w:val="sr-Latn-ME"/>
        </w:rPr>
      </w:pPr>
      <w:r w:rsidRPr="0047585D">
        <w:rPr>
          <w:lang w:val="sr-Latn-ME"/>
        </w:rPr>
        <w:t xml:space="preserve">Na </w:t>
      </w:r>
      <w:r w:rsidR="006D7892" w:rsidRPr="0047585D">
        <w:rPr>
          <w:lang w:val="sr-Latn-ME"/>
        </w:rPr>
        <w:t>osnovu</w:t>
      </w:r>
      <w:r w:rsidRPr="0047585D">
        <w:rPr>
          <w:lang w:val="sr-Latn-ME"/>
        </w:rPr>
        <w:t xml:space="preserve"> </w:t>
      </w:r>
      <w:r w:rsidRPr="0047585D">
        <w:rPr>
          <w:i/>
          <w:lang w:val="sr-Latn-ME"/>
        </w:rPr>
        <w:t xml:space="preserve">in vitro </w:t>
      </w:r>
      <w:r w:rsidRPr="0047585D">
        <w:rPr>
          <w:lang w:val="sr-Latn-ME"/>
        </w:rPr>
        <w:t>podataka, čini se da metabolizam azacitidina nije posredovan izoenzimima cito</w:t>
      </w:r>
      <w:r w:rsidR="00BA6C4E" w:rsidRPr="0047585D">
        <w:rPr>
          <w:lang w:val="sr-Latn-ME"/>
        </w:rPr>
        <w:t>h</w:t>
      </w:r>
      <w:r w:rsidRPr="0047585D">
        <w:rPr>
          <w:lang w:val="sr-Latn-ME"/>
        </w:rPr>
        <w:t>roma P450 (CYP), UDP-glukuronil transferazama (UGT), sulfotransferazama (SULT) i glutation transferazama (GST).</w:t>
      </w:r>
    </w:p>
    <w:p w14:paraId="4E57E142" w14:textId="77777777" w:rsidR="00C17975" w:rsidRPr="0047585D" w:rsidRDefault="00C17975" w:rsidP="00A56A66">
      <w:pPr>
        <w:pStyle w:val="BodyText"/>
        <w:jc w:val="both"/>
        <w:rPr>
          <w:lang w:val="sr-Latn-ME"/>
        </w:rPr>
      </w:pPr>
    </w:p>
    <w:p w14:paraId="4BACFBA4" w14:textId="77777777" w:rsidR="0084478E" w:rsidRPr="0047585D" w:rsidRDefault="00200D97" w:rsidP="00A56A66">
      <w:pPr>
        <w:pStyle w:val="BodyText"/>
        <w:jc w:val="both"/>
        <w:rPr>
          <w:lang w:val="sr-Latn-ME"/>
        </w:rPr>
      </w:pPr>
      <w:r w:rsidRPr="0047585D">
        <w:rPr>
          <w:lang w:val="sr-Latn-ME"/>
        </w:rPr>
        <w:t>Azacitidin prolazi spontanu hidrolizu i deaminaciju posredovanu citidin deaminazom. U S9 frakcijama ljudske jetre, nastanak metabolita bio je ne</w:t>
      </w:r>
      <w:r w:rsidR="00456DBE" w:rsidRPr="0047585D">
        <w:rPr>
          <w:lang w:val="sr-Latn-ME"/>
        </w:rPr>
        <w:t>za</w:t>
      </w:r>
      <w:r w:rsidRPr="0047585D">
        <w:rPr>
          <w:lang w:val="sr-Latn-ME"/>
        </w:rPr>
        <w:t>visan o</w:t>
      </w:r>
      <w:r w:rsidR="00EC244C" w:rsidRPr="0047585D">
        <w:rPr>
          <w:lang w:val="sr-Latn-ME"/>
        </w:rPr>
        <w:t>d</w:t>
      </w:r>
      <w:r w:rsidRPr="0047585D">
        <w:rPr>
          <w:lang w:val="sr-Latn-ME"/>
        </w:rPr>
        <w:t xml:space="preserve"> NADPH-u, što upućuje na to da metabolizam azacitidina nije posredovan izoenzimima cito</w:t>
      </w:r>
      <w:r w:rsidR="00BA6C4E" w:rsidRPr="0047585D">
        <w:rPr>
          <w:lang w:val="sr-Latn-ME"/>
        </w:rPr>
        <w:t>h</w:t>
      </w:r>
      <w:r w:rsidRPr="0047585D">
        <w:rPr>
          <w:lang w:val="sr-Latn-ME"/>
        </w:rPr>
        <w:t xml:space="preserve">roma P450. </w:t>
      </w:r>
      <w:r w:rsidRPr="0047585D">
        <w:rPr>
          <w:i/>
          <w:lang w:val="sr-Latn-ME"/>
        </w:rPr>
        <w:t xml:space="preserve">In vitro </w:t>
      </w:r>
      <w:r w:rsidRPr="0047585D">
        <w:rPr>
          <w:lang w:val="sr-Latn-ME"/>
        </w:rPr>
        <w:t>ispitivanje azacitidina na kulturi ljudskih hepatocita upućuje na to da azacitidin u koncentracijama od 1,0 µM do 100 µM (t.j. do približno 30 puta veća koncentracija od klinički dosežne) ne indu</w:t>
      </w:r>
      <w:r w:rsidR="00456DBE" w:rsidRPr="0047585D">
        <w:rPr>
          <w:lang w:val="sr-Latn-ME"/>
        </w:rPr>
        <w:t>kuje</w:t>
      </w:r>
      <w:r w:rsidRPr="0047585D">
        <w:rPr>
          <w:lang w:val="sr-Latn-ME"/>
        </w:rPr>
        <w:t xml:space="preserve"> CYP 1A2, 2C19, ili 3A4 ili 3A5.</w:t>
      </w:r>
    </w:p>
    <w:p w14:paraId="463EAF60" w14:textId="3C2ADF57" w:rsidR="0084478E" w:rsidRPr="0047585D" w:rsidRDefault="00200D97" w:rsidP="00A56A66">
      <w:pPr>
        <w:pStyle w:val="BodyText"/>
        <w:jc w:val="both"/>
        <w:rPr>
          <w:lang w:val="sr-Latn-ME"/>
        </w:rPr>
      </w:pPr>
      <w:r w:rsidRPr="0047585D">
        <w:rPr>
          <w:lang w:val="sr-Latn-ME"/>
        </w:rPr>
        <w:t>U ispitivanjima kojima se procjenjivala inhibicija serije P450 izoenzima</w:t>
      </w:r>
      <w:r w:rsidR="006D7892" w:rsidRPr="0047585D">
        <w:rPr>
          <w:lang w:val="sr-Latn-ME"/>
        </w:rPr>
        <w:t xml:space="preserve"> </w:t>
      </w:r>
      <w:r w:rsidRPr="0047585D">
        <w:rPr>
          <w:lang w:val="sr-Latn-ME"/>
        </w:rPr>
        <w:t xml:space="preserve">(CYP 1A2, 2B6, 2C8, 2C9, 2C19, 2D6, 2E1 i 3A4) azacitidin u koncentraciji do 100 µM nije izazvao inhibiciju. </w:t>
      </w:r>
      <w:r w:rsidR="00BA6C4E" w:rsidRPr="0047585D">
        <w:rPr>
          <w:lang w:val="sr-Latn-ME"/>
        </w:rPr>
        <w:t xml:space="preserve">Zato </w:t>
      </w:r>
      <w:r w:rsidRPr="0047585D">
        <w:rPr>
          <w:lang w:val="sr-Latn-ME"/>
        </w:rPr>
        <w:t>indukcija ili inhibicija enzima CYP klinički dosežnim koncentracijama azacitidina u plazmi nije vjero</w:t>
      </w:r>
      <w:r w:rsidR="00456DBE" w:rsidRPr="0047585D">
        <w:rPr>
          <w:lang w:val="sr-Latn-ME"/>
        </w:rPr>
        <w:t>v</w:t>
      </w:r>
      <w:r w:rsidRPr="0047585D">
        <w:rPr>
          <w:lang w:val="sr-Latn-ME"/>
        </w:rPr>
        <w:t>atna.</w:t>
      </w:r>
    </w:p>
    <w:p w14:paraId="53C6E159" w14:textId="77777777" w:rsidR="00C17975" w:rsidRPr="0047585D" w:rsidRDefault="00C17975" w:rsidP="00A56A66">
      <w:pPr>
        <w:pStyle w:val="BodyText"/>
        <w:jc w:val="both"/>
        <w:rPr>
          <w:lang w:val="sr-Latn-ME"/>
        </w:rPr>
      </w:pPr>
    </w:p>
    <w:p w14:paraId="6DDAC5D2" w14:textId="77777777" w:rsidR="0084478E" w:rsidRPr="0047585D" w:rsidRDefault="00200D97" w:rsidP="00A56A66">
      <w:pPr>
        <w:pStyle w:val="BodyText"/>
        <w:jc w:val="both"/>
        <w:rPr>
          <w:lang w:val="sr-Latn-ME"/>
        </w:rPr>
      </w:pPr>
      <w:r w:rsidRPr="0047585D">
        <w:rPr>
          <w:u w:val="single"/>
          <w:lang w:val="sr-Latn-ME"/>
        </w:rPr>
        <w:t>Eliminacija</w:t>
      </w:r>
    </w:p>
    <w:p w14:paraId="7CE40238" w14:textId="141B89A2" w:rsidR="0084478E" w:rsidRPr="0047585D" w:rsidRDefault="00200D97" w:rsidP="00A56A66">
      <w:pPr>
        <w:pStyle w:val="BodyText"/>
        <w:jc w:val="both"/>
        <w:rPr>
          <w:lang w:val="sr-Latn-ME"/>
        </w:rPr>
      </w:pPr>
      <w:r w:rsidRPr="0047585D">
        <w:rPr>
          <w:position w:val="2"/>
          <w:lang w:val="sr-Latn-ME"/>
        </w:rPr>
        <w:t>Azacitidin se brzo uklanja iz plazme sa srednjom vrijednosti poluvremena eliminacije (t</w:t>
      </w:r>
      <w:r w:rsidRPr="0047585D">
        <w:rPr>
          <w:lang w:val="sr-Latn-ME"/>
        </w:rPr>
        <w:t>½</w:t>
      </w:r>
      <w:r w:rsidRPr="0047585D">
        <w:rPr>
          <w:position w:val="2"/>
          <w:lang w:val="sr-Latn-ME"/>
        </w:rPr>
        <w:t xml:space="preserve">) nakon </w:t>
      </w:r>
      <w:r w:rsidRPr="0047585D">
        <w:rPr>
          <w:lang w:val="sr-Latn-ME"/>
        </w:rPr>
        <w:t>su</w:t>
      </w:r>
      <w:r w:rsidR="00D542A4">
        <w:rPr>
          <w:lang w:val="sr-Latn-ME"/>
        </w:rPr>
        <w:t>b</w:t>
      </w:r>
      <w:r w:rsidRPr="0047585D">
        <w:rPr>
          <w:lang w:val="sr-Latn-ME"/>
        </w:rPr>
        <w:t>kutane primjene od 41 ± 8 minuta. Ne dolazi do nakupljanja azacitidina nakon su</w:t>
      </w:r>
      <w:r w:rsidR="00D542A4">
        <w:rPr>
          <w:lang w:val="sr-Latn-ME"/>
        </w:rPr>
        <w:t>b</w:t>
      </w:r>
      <w:r w:rsidRPr="0047585D">
        <w:rPr>
          <w:lang w:val="sr-Latn-ME"/>
        </w:rPr>
        <w:t>kutane primjene 75 mg/m</w:t>
      </w:r>
      <w:r w:rsidRPr="0047585D">
        <w:rPr>
          <w:position w:val="8"/>
          <w:lang w:val="sr-Latn-ME"/>
        </w:rPr>
        <w:t xml:space="preserve">2 </w:t>
      </w:r>
      <w:r w:rsidRPr="0047585D">
        <w:rPr>
          <w:lang w:val="sr-Latn-ME"/>
        </w:rPr>
        <w:t>jed</w:t>
      </w:r>
      <w:r w:rsidR="00456DBE" w:rsidRPr="0047585D">
        <w:rPr>
          <w:lang w:val="sr-Latn-ME"/>
        </w:rPr>
        <w:t>nom</w:t>
      </w:r>
      <w:r w:rsidRPr="0047585D">
        <w:rPr>
          <w:lang w:val="sr-Latn-ME"/>
        </w:rPr>
        <w:t xml:space="preserve"> dnevno </w:t>
      </w:r>
      <w:r w:rsidR="005D04EB" w:rsidRPr="0047585D">
        <w:rPr>
          <w:lang w:val="sr-Latn-ME"/>
        </w:rPr>
        <w:t>tokom</w:t>
      </w:r>
      <w:r w:rsidRPr="0047585D">
        <w:rPr>
          <w:lang w:val="sr-Latn-ME"/>
        </w:rPr>
        <w:t xml:space="preserve"> 7 dana. Izlučivanje urinom glavni je put eliminacije azacitidina i/ili njegovih metabolita. Nakon intravenske i su</w:t>
      </w:r>
      <w:r w:rsidR="00D542A4">
        <w:rPr>
          <w:lang w:val="sr-Latn-ME"/>
        </w:rPr>
        <w:t>b</w:t>
      </w:r>
      <w:r w:rsidRPr="0047585D">
        <w:rPr>
          <w:lang w:val="sr-Latn-ME"/>
        </w:rPr>
        <w:t>kutane</w:t>
      </w:r>
      <w:r w:rsidR="006D7892" w:rsidRPr="0047585D">
        <w:rPr>
          <w:lang w:val="sr-Latn-ME"/>
        </w:rPr>
        <w:t xml:space="preserve"> </w:t>
      </w:r>
      <w:r w:rsidRPr="0047585D">
        <w:rPr>
          <w:lang w:val="sr-Latn-ME"/>
        </w:rPr>
        <w:t xml:space="preserve">primjene </w:t>
      </w:r>
      <w:r w:rsidRPr="0047585D">
        <w:rPr>
          <w:position w:val="8"/>
          <w:lang w:val="sr-Latn-ME"/>
        </w:rPr>
        <w:t>14</w:t>
      </w:r>
      <w:r w:rsidRPr="0047585D">
        <w:rPr>
          <w:lang w:val="sr-Latn-ME"/>
        </w:rPr>
        <w:t>C-azacitidina, 85 i 50 % primijenjene radioaktivnosti nađeno je u urinu, dok je &lt; 1 % nađeno u stolici.</w:t>
      </w:r>
    </w:p>
    <w:p w14:paraId="06D5AD4A" w14:textId="752D68A5" w:rsidR="00C17975" w:rsidRDefault="00C17975" w:rsidP="00A56A66">
      <w:pPr>
        <w:pStyle w:val="BodyText"/>
        <w:jc w:val="both"/>
        <w:rPr>
          <w:lang w:val="sr-Latn-ME"/>
        </w:rPr>
      </w:pPr>
    </w:p>
    <w:p w14:paraId="6A148956" w14:textId="77777777" w:rsidR="00AA6D65" w:rsidRPr="0047585D" w:rsidRDefault="00AA6D65" w:rsidP="00A56A66">
      <w:pPr>
        <w:pStyle w:val="BodyText"/>
        <w:jc w:val="both"/>
        <w:rPr>
          <w:lang w:val="sr-Latn-ME"/>
        </w:rPr>
      </w:pPr>
    </w:p>
    <w:p w14:paraId="52362524" w14:textId="77777777" w:rsidR="0084478E" w:rsidRPr="0047585D" w:rsidRDefault="00200D97" w:rsidP="00A56A66">
      <w:pPr>
        <w:pStyle w:val="BodyText"/>
        <w:jc w:val="both"/>
        <w:rPr>
          <w:lang w:val="sr-Latn-ME"/>
        </w:rPr>
      </w:pPr>
      <w:r w:rsidRPr="0047585D">
        <w:rPr>
          <w:u w:val="single"/>
          <w:lang w:val="sr-Latn-ME"/>
        </w:rPr>
        <w:lastRenderedPageBreak/>
        <w:t>Posebne</w:t>
      </w:r>
      <w:r w:rsidRPr="0047585D">
        <w:rPr>
          <w:spacing w:val="-4"/>
          <w:u w:val="single"/>
          <w:lang w:val="sr-Latn-ME"/>
        </w:rPr>
        <w:t xml:space="preserve"> </w:t>
      </w:r>
      <w:r w:rsidRPr="0047585D">
        <w:rPr>
          <w:u w:val="single"/>
          <w:lang w:val="sr-Latn-ME"/>
        </w:rPr>
        <w:t>populacije</w:t>
      </w:r>
    </w:p>
    <w:p w14:paraId="023BA73B" w14:textId="6DBB333C" w:rsidR="0084478E" w:rsidRPr="0047585D" w:rsidRDefault="005D04EB" w:rsidP="00A56A66">
      <w:pPr>
        <w:pStyle w:val="BodyText"/>
        <w:jc w:val="both"/>
        <w:rPr>
          <w:lang w:val="sr-Latn-ME"/>
        </w:rPr>
      </w:pPr>
      <w:r w:rsidRPr="0047585D">
        <w:rPr>
          <w:lang w:val="sr-Latn-ME"/>
        </w:rPr>
        <w:t>Efekti</w:t>
      </w:r>
      <w:r w:rsidR="00200D97" w:rsidRPr="0047585D">
        <w:rPr>
          <w:lang w:val="sr-Latn-ME"/>
        </w:rPr>
        <w:t xml:space="preserve"> oštećenja jetre (vidjeti dio 4.2), pola, </w:t>
      </w:r>
      <w:r w:rsidR="00456DBE" w:rsidRPr="0047585D">
        <w:rPr>
          <w:lang w:val="sr-Latn-ME"/>
        </w:rPr>
        <w:t>starosti</w:t>
      </w:r>
      <w:r w:rsidR="00200D97" w:rsidRPr="0047585D">
        <w:rPr>
          <w:lang w:val="sr-Latn-ME"/>
        </w:rPr>
        <w:t xml:space="preserve"> ili rase na farmakokinetiku azacitidina nisu </w:t>
      </w:r>
      <w:r w:rsidR="00EC244C" w:rsidRPr="0047585D">
        <w:rPr>
          <w:lang w:val="sr-Latn-ME"/>
        </w:rPr>
        <w:t>zvanično</w:t>
      </w:r>
      <w:r w:rsidR="00200D97" w:rsidRPr="0047585D">
        <w:rPr>
          <w:spacing w:val="-4"/>
          <w:lang w:val="sr-Latn-ME"/>
        </w:rPr>
        <w:t xml:space="preserve"> </w:t>
      </w:r>
      <w:r w:rsidR="00200D97" w:rsidRPr="0047585D">
        <w:rPr>
          <w:lang w:val="sr-Latn-ME"/>
        </w:rPr>
        <w:t>ispitivani.</w:t>
      </w:r>
    </w:p>
    <w:p w14:paraId="41A98872" w14:textId="77777777" w:rsidR="00C17975" w:rsidRPr="0047585D" w:rsidRDefault="00C17975" w:rsidP="00A56A66">
      <w:pPr>
        <w:pStyle w:val="BodyText"/>
        <w:jc w:val="both"/>
        <w:rPr>
          <w:lang w:val="sr-Latn-ME"/>
        </w:rPr>
      </w:pPr>
    </w:p>
    <w:p w14:paraId="458B2B0B" w14:textId="77777777" w:rsidR="00E71E0A" w:rsidRPr="0047585D" w:rsidRDefault="00E71E0A" w:rsidP="00A56A66">
      <w:pPr>
        <w:pStyle w:val="BodyText"/>
        <w:jc w:val="both"/>
        <w:rPr>
          <w:u w:val="single"/>
          <w:lang w:val="sr-Latn-ME"/>
        </w:rPr>
      </w:pPr>
      <w:r w:rsidRPr="0047585D">
        <w:rPr>
          <w:u w:val="single"/>
          <w:lang w:val="sr-Latn-ME"/>
        </w:rPr>
        <w:t>Pedijatrijska populacija</w:t>
      </w:r>
    </w:p>
    <w:p w14:paraId="06FF3013" w14:textId="7F7BB8E1" w:rsidR="00E71E0A" w:rsidRPr="0047585D" w:rsidRDefault="00E71E0A" w:rsidP="00A56A66">
      <w:pPr>
        <w:pStyle w:val="BodyText"/>
        <w:jc w:val="both"/>
        <w:rPr>
          <w:lang w:val="sr-Latn-ME"/>
        </w:rPr>
      </w:pPr>
      <w:r w:rsidRPr="0047585D">
        <w:rPr>
          <w:lang w:val="sr-Latn-ME"/>
        </w:rPr>
        <w:t xml:space="preserve"> U ispitivanju AZA-JMML-001, analiza farmakokinetike određena je iz 10 pedijatrijskih pacijenata s MDS-om i 18 s JMML-om 7. dana 1. ciklusa (vidjeti dio 5.1). Medijan</w:t>
      </w:r>
      <w:r w:rsidR="00E62774" w:rsidRPr="0047585D">
        <w:rPr>
          <w:lang w:val="sr-Latn-ME"/>
        </w:rPr>
        <w:t>a</w:t>
      </w:r>
      <w:r w:rsidRPr="0047585D">
        <w:rPr>
          <w:lang w:val="sr-Latn-ME"/>
        </w:rPr>
        <w:t xml:space="preserve"> uzrasta (raspon) pacijenata s MDS-om </w:t>
      </w:r>
      <w:r w:rsidR="00E62774" w:rsidRPr="0047585D">
        <w:rPr>
          <w:lang w:val="sr-Latn-ME"/>
        </w:rPr>
        <w:t xml:space="preserve">bila </w:t>
      </w:r>
      <w:r w:rsidRPr="0047585D">
        <w:rPr>
          <w:lang w:val="sr-Latn-ME"/>
        </w:rPr>
        <w:t xml:space="preserve">je 13,3 (1,9-15) godina i 2,1 (0,2-6,9) godina za pacijente s JMML-om. </w:t>
      </w:r>
    </w:p>
    <w:p w14:paraId="6B615A60" w14:textId="77777777" w:rsidR="00C17975" w:rsidRPr="0047585D" w:rsidRDefault="00C17975" w:rsidP="00A56A66">
      <w:pPr>
        <w:pStyle w:val="BodyText"/>
        <w:jc w:val="both"/>
        <w:rPr>
          <w:lang w:val="sr-Latn-ME"/>
        </w:rPr>
      </w:pPr>
    </w:p>
    <w:p w14:paraId="06E402AD" w14:textId="1BAFA5D3" w:rsidR="00E71E0A" w:rsidRPr="0047585D" w:rsidRDefault="00E71E0A" w:rsidP="00A56A66">
      <w:pPr>
        <w:pStyle w:val="BodyText"/>
        <w:jc w:val="both"/>
        <w:rPr>
          <w:lang w:val="sr-Latn-ME"/>
        </w:rPr>
      </w:pPr>
      <w:r w:rsidRPr="0047585D">
        <w:rPr>
          <w:lang w:val="sr-Latn-ME"/>
        </w:rPr>
        <w:t>Nakon intravenske primjene doze od 75 mg/m</w:t>
      </w:r>
      <w:r w:rsidRPr="00A56A66">
        <w:rPr>
          <w:vertAlign w:val="superscript"/>
          <w:lang w:val="sr-Latn-ME"/>
        </w:rPr>
        <w:t>2</w:t>
      </w:r>
      <w:r w:rsidRPr="0047585D">
        <w:rPr>
          <w:lang w:val="sr-Latn-ME"/>
        </w:rPr>
        <w:t>, azacitidin je brzo dostigao Cmax u roku od 0,083 sati u obje populacije, s</w:t>
      </w:r>
      <w:r w:rsidR="005C30E3" w:rsidRPr="0047585D">
        <w:rPr>
          <w:lang w:val="sr-Latn-ME"/>
        </w:rPr>
        <w:t>a</w:t>
      </w:r>
      <w:r w:rsidRPr="0047585D">
        <w:rPr>
          <w:lang w:val="sr-Latn-ME"/>
        </w:rPr>
        <w:t xml:space="preserve"> MDS-om i JMML-om. Geometrijske srednje vrijednosti Cmax bile su 1797,5 i 1066,3 ng/ml, a geometrijske srednje vrijednosti AUC0-∞ bile su 606,9 i 240,2 ng∙h/ml za pacijente s</w:t>
      </w:r>
      <w:r w:rsidR="005C30E3" w:rsidRPr="0047585D">
        <w:rPr>
          <w:lang w:val="sr-Latn-ME"/>
        </w:rPr>
        <w:t>a</w:t>
      </w:r>
      <w:r w:rsidRPr="0047585D">
        <w:rPr>
          <w:lang w:val="sr-Latn-ME"/>
        </w:rPr>
        <w:t xml:space="preserve"> MDS-om odnosno s JMML-om. Geometrijske srednje vrijednosti volumena distribucije kod ispitanika s MDS-om i JMML-om bile su 103,9 odnosno 61,1 l. Ispostavilo se da je ukupna izloženost u plazmi azacitidinu bila viša kod ispitanika s MDS-om; umjerena do visoka varijabilnost između bolesnika primijećena je i za AUC i za Cmax. </w:t>
      </w:r>
    </w:p>
    <w:p w14:paraId="3C793E55" w14:textId="77777777" w:rsidR="00C17975" w:rsidRPr="0047585D" w:rsidRDefault="00C17975" w:rsidP="00A56A66">
      <w:pPr>
        <w:pStyle w:val="BodyText"/>
        <w:jc w:val="both"/>
        <w:rPr>
          <w:lang w:val="sr-Latn-ME"/>
        </w:rPr>
      </w:pPr>
    </w:p>
    <w:p w14:paraId="74475C0B" w14:textId="1EB41A6F" w:rsidR="00E71E0A" w:rsidRPr="0047585D" w:rsidRDefault="00E71E0A" w:rsidP="00A56A66">
      <w:pPr>
        <w:pStyle w:val="BodyText"/>
        <w:jc w:val="both"/>
        <w:rPr>
          <w:lang w:val="sr-Latn-ME"/>
        </w:rPr>
      </w:pPr>
      <w:r w:rsidRPr="0047585D">
        <w:rPr>
          <w:lang w:val="sr-Latn-ME"/>
        </w:rPr>
        <w:t xml:space="preserve">Geometrijske srednje vrijednosti t½ bile su 0,4 odnosno 0,3 sata, a geometrijske srednje vrijednosti klirensa bile su 166,4 odnosno 148,3 l/h za MDS odnosno JMML. </w:t>
      </w:r>
    </w:p>
    <w:p w14:paraId="7E66E219" w14:textId="77777777" w:rsidR="00C17975" w:rsidRPr="0047585D" w:rsidRDefault="00C17975" w:rsidP="00A56A66">
      <w:pPr>
        <w:pStyle w:val="BodyText"/>
        <w:jc w:val="both"/>
        <w:rPr>
          <w:lang w:val="sr-Latn-ME"/>
        </w:rPr>
      </w:pPr>
    </w:p>
    <w:p w14:paraId="70A310D9" w14:textId="64C4F714" w:rsidR="00E71E0A" w:rsidRPr="0047585D" w:rsidRDefault="00E71E0A" w:rsidP="00A56A66">
      <w:pPr>
        <w:pStyle w:val="BodyText"/>
        <w:jc w:val="both"/>
        <w:rPr>
          <w:lang w:val="sr-Latn-ME"/>
        </w:rPr>
      </w:pPr>
      <w:r w:rsidRPr="0047585D">
        <w:rPr>
          <w:lang w:val="sr-Latn-ME"/>
        </w:rPr>
        <w:t>Farmakokinetički podaci iz ispitivanja AZA-JMML-001 objedinjeni su i upoređeni s farmakokinetičkim podacima dobijenim od 6 odraslih ispitanika s MDS-om kojima je primijenjena doza od 75 mg/m</w:t>
      </w:r>
      <w:r w:rsidRPr="00A56A66">
        <w:rPr>
          <w:vertAlign w:val="superscript"/>
          <w:lang w:val="sr-Latn-ME"/>
        </w:rPr>
        <w:t>2</w:t>
      </w:r>
      <w:r w:rsidRPr="0047585D">
        <w:rPr>
          <w:lang w:val="sr-Latn-ME"/>
        </w:rPr>
        <w:t xml:space="preserve"> azacitidina intravenski u ispitivanju AZA-2002-BA-002. Srednje vrijednosti C</w:t>
      </w:r>
      <w:r w:rsidRPr="00A56A66">
        <w:rPr>
          <w:vertAlign w:val="subscript"/>
          <w:lang w:val="sr-Latn-ME"/>
        </w:rPr>
        <w:t>max</w:t>
      </w:r>
      <w:r w:rsidRPr="0047585D">
        <w:rPr>
          <w:lang w:val="sr-Latn-ME"/>
        </w:rPr>
        <w:t xml:space="preserve"> i AUC</w:t>
      </w:r>
      <w:r w:rsidRPr="00A56A66">
        <w:rPr>
          <w:vertAlign w:val="subscript"/>
          <w:lang w:val="sr-Latn-ME"/>
        </w:rPr>
        <w:t xml:space="preserve">0-t </w:t>
      </w:r>
      <w:r w:rsidRPr="0047585D">
        <w:rPr>
          <w:lang w:val="sr-Latn-ME"/>
        </w:rPr>
        <w:t xml:space="preserve">azacitidina bile su slične kod odraslih pacijenata i pedijatrijskih pacijenata nakon intravenske primjene (2750 ng/ml naspram 2841 ng/ml odnosno 1025 ng∙h/ml naspram 882,1 ng∙h/ml). </w:t>
      </w:r>
    </w:p>
    <w:p w14:paraId="7347A7E2" w14:textId="77777777" w:rsidR="00C17975" w:rsidRPr="0047585D" w:rsidRDefault="00C17975" w:rsidP="00A56A66">
      <w:pPr>
        <w:pStyle w:val="BodyText"/>
        <w:jc w:val="both"/>
        <w:rPr>
          <w:lang w:val="sr-Latn-ME"/>
        </w:rPr>
      </w:pPr>
    </w:p>
    <w:p w14:paraId="3ACA429A" w14:textId="2243373B" w:rsidR="00E71E0A" w:rsidRPr="0047585D" w:rsidRDefault="00E71E0A" w:rsidP="00A56A66">
      <w:pPr>
        <w:pStyle w:val="BodyText"/>
        <w:jc w:val="both"/>
        <w:rPr>
          <w:lang w:val="sr-Latn-ME"/>
        </w:rPr>
      </w:pPr>
      <w:r w:rsidRPr="0047585D">
        <w:rPr>
          <w:lang w:val="sr-Latn-ME"/>
        </w:rPr>
        <w:t xml:space="preserve">U ispitivanju AZA-AML-004 analiza farmakokinetike određena je </w:t>
      </w:r>
      <w:r w:rsidR="00B41788" w:rsidRPr="0047585D">
        <w:rPr>
          <w:lang w:val="sr-Latn-ME"/>
        </w:rPr>
        <w:t xml:space="preserve">kod </w:t>
      </w:r>
      <w:r w:rsidRPr="0047585D">
        <w:rPr>
          <w:lang w:val="sr-Latn-ME"/>
        </w:rPr>
        <w:t>6 od 7 pedijatrijskih pacijenata, koji su imali najmanje jednu mjerljivu farmakokinetičku koncentraciju nakon primanja doze (vidjeti dio 5.1). Medijan</w:t>
      </w:r>
      <w:r w:rsidR="005C30E3" w:rsidRPr="0047585D">
        <w:rPr>
          <w:lang w:val="sr-Latn-ME"/>
        </w:rPr>
        <w:t>a</w:t>
      </w:r>
      <w:r w:rsidRPr="0047585D">
        <w:rPr>
          <w:lang w:val="sr-Latn-ME"/>
        </w:rPr>
        <w:t xml:space="preserve"> uzrasta(raspon) pacijenata s</w:t>
      </w:r>
      <w:r w:rsidR="005C30E3" w:rsidRPr="0047585D">
        <w:rPr>
          <w:lang w:val="sr-Latn-ME"/>
        </w:rPr>
        <w:t>a</w:t>
      </w:r>
      <w:r w:rsidRPr="0047585D">
        <w:rPr>
          <w:lang w:val="sr-Latn-ME"/>
        </w:rPr>
        <w:t xml:space="preserve"> AML-om bio je 6,7 (2 – 12) godina. </w:t>
      </w:r>
    </w:p>
    <w:p w14:paraId="6E04E47E" w14:textId="77777777" w:rsidR="00C17975" w:rsidRPr="0047585D" w:rsidRDefault="00C17975" w:rsidP="00A56A66">
      <w:pPr>
        <w:pStyle w:val="BodyText"/>
        <w:jc w:val="both"/>
        <w:rPr>
          <w:lang w:val="sr-Latn-ME"/>
        </w:rPr>
      </w:pPr>
    </w:p>
    <w:p w14:paraId="7C69EBD4" w14:textId="739B4AE0" w:rsidR="00E71E0A" w:rsidRPr="0047585D" w:rsidRDefault="00E71E0A" w:rsidP="00A56A66">
      <w:pPr>
        <w:pStyle w:val="BodyText"/>
        <w:jc w:val="both"/>
        <w:rPr>
          <w:lang w:val="sr-Latn-ME"/>
        </w:rPr>
      </w:pPr>
      <w:r w:rsidRPr="0047585D">
        <w:rPr>
          <w:lang w:val="sr-Latn-ME"/>
        </w:rPr>
        <w:t>Nakon višekratnih doza od 100 mg/m2, geometrijska srednja vrijednost za C</w:t>
      </w:r>
      <w:r w:rsidRPr="00A56A66">
        <w:rPr>
          <w:vertAlign w:val="subscript"/>
          <w:lang w:val="sr-Latn-ME"/>
        </w:rPr>
        <w:t>max</w:t>
      </w:r>
      <w:r w:rsidRPr="0047585D">
        <w:rPr>
          <w:lang w:val="sr-Latn-ME"/>
        </w:rPr>
        <w:t xml:space="preserve"> i AUC</w:t>
      </w:r>
      <w:r w:rsidRPr="00A56A66">
        <w:rPr>
          <w:vertAlign w:val="subscript"/>
          <w:lang w:val="sr-Latn-ME"/>
        </w:rPr>
        <w:t xml:space="preserve">0-tau </w:t>
      </w:r>
      <w:r w:rsidRPr="0047585D">
        <w:rPr>
          <w:lang w:val="sr-Latn-ME"/>
        </w:rPr>
        <w:t>7. dan 1. ciklusa bila je 1557 ng/ml, odnosno 899,6 ng∙h/ml, sa zabilježenom visokom varijabilnošću između ispitanika (CV% od 201,6 % i 87,8 %). Azacitidin je brzo dostigao C</w:t>
      </w:r>
      <w:r w:rsidRPr="00A56A66">
        <w:rPr>
          <w:vertAlign w:val="subscript"/>
          <w:lang w:val="sr-Latn-ME"/>
        </w:rPr>
        <w:t>max</w:t>
      </w:r>
      <w:r w:rsidRPr="0047585D">
        <w:rPr>
          <w:lang w:val="sr-Latn-ME"/>
        </w:rPr>
        <w:t>, s medijanom vremena od 0,090 sati nakon intravenske primjene i smanjivao se s</w:t>
      </w:r>
      <w:r w:rsidR="005C30E3" w:rsidRPr="0047585D">
        <w:rPr>
          <w:lang w:val="sr-Latn-ME"/>
        </w:rPr>
        <w:t>a</w:t>
      </w:r>
      <w:r w:rsidRPr="0047585D">
        <w:rPr>
          <w:lang w:val="sr-Latn-ME"/>
        </w:rPr>
        <w:t xml:space="preserve"> geometrijskom srednjom vrijednosti t1/2 od 0,380 sati. Geometrijska srednja vrijednost klirensa i volumena distribucije bila je 127,2 l/h, odnosno 70,2 l. </w:t>
      </w:r>
    </w:p>
    <w:p w14:paraId="27945CBA" w14:textId="77777777" w:rsidR="00C17975" w:rsidRPr="0047585D" w:rsidRDefault="00C17975" w:rsidP="00A56A66">
      <w:pPr>
        <w:pStyle w:val="BodyText"/>
        <w:jc w:val="both"/>
        <w:rPr>
          <w:lang w:val="sr-Latn-ME"/>
        </w:rPr>
      </w:pPr>
    </w:p>
    <w:p w14:paraId="068914B6" w14:textId="502B4BD1" w:rsidR="00E71E0A" w:rsidRPr="0047585D" w:rsidRDefault="00E71E0A" w:rsidP="00A56A66">
      <w:pPr>
        <w:pStyle w:val="BodyText"/>
        <w:jc w:val="both"/>
        <w:rPr>
          <w:lang w:val="sr-Latn-ME"/>
        </w:rPr>
      </w:pPr>
      <w:r w:rsidRPr="0047585D">
        <w:rPr>
          <w:lang w:val="sr-Latn-ME"/>
        </w:rPr>
        <w:t xml:space="preserve">Farmakokinetička izloženost (azacitidin) zabilježena kod djece s AML-om </w:t>
      </w:r>
      <w:r w:rsidR="00B41788" w:rsidRPr="0047585D">
        <w:rPr>
          <w:lang w:val="sr-Latn-ME"/>
        </w:rPr>
        <w:t xml:space="preserve">i molekularnim relapsom </w:t>
      </w:r>
      <w:r w:rsidRPr="0047585D">
        <w:rPr>
          <w:lang w:val="sr-Latn-ME"/>
        </w:rPr>
        <w:t>nakon CR1 bila je uporediva s izloženošću iz zbirnih podataka za desetoro (10) djece s MDS-om i osamnaestoro (18) djece s JMML-om kao i s izloženošću azacitidinu kod odraslih s MDS-om</w:t>
      </w:r>
      <w:r w:rsidR="00C17975" w:rsidRPr="0047585D">
        <w:rPr>
          <w:lang w:val="sr-Latn-ME"/>
        </w:rPr>
        <w:t>.</w:t>
      </w:r>
    </w:p>
    <w:p w14:paraId="680B9D60" w14:textId="77777777" w:rsidR="00C17975" w:rsidRPr="0047585D" w:rsidRDefault="00C17975" w:rsidP="00A56A66">
      <w:pPr>
        <w:pStyle w:val="BodyText"/>
        <w:jc w:val="both"/>
        <w:rPr>
          <w:lang w:val="sr-Latn-ME"/>
        </w:rPr>
      </w:pPr>
    </w:p>
    <w:p w14:paraId="53EC44C9" w14:textId="77777777" w:rsidR="0084478E" w:rsidRPr="0047585D" w:rsidRDefault="00200D97" w:rsidP="00A56A66">
      <w:pPr>
        <w:pStyle w:val="BodyText"/>
        <w:jc w:val="both"/>
        <w:rPr>
          <w:lang w:val="sr-Latn-ME"/>
        </w:rPr>
      </w:pPr>
      <w:r w:rsidRPr="0047585D">
        <w:rPr>
          <w:u w:val="single"/>
          <w:lang w:val="sr-Latn-ME"/>
        </w:rPr>
        <w:t>Oštećenje bubrega</w:t>
      </w:r>
    </w:p>
    <w:p w14:paraId="2A17B57A" w14:textId="65DDB3E8" w:rsidR="0084478E" w:rsidRPr="0047585D" w:rsidRDefault="00200D97" w:rsidP="00A56A66">
      <w:pPr>
        <w:pStyle w:val="BodyText"/>
        <w:jc w:val="both"/>
        <w:rPr>
          <w:lang w:val="sr-Latn-ME"/>
        </w:rPr>
      </w:pPr>
      <w:r w:rsidRPr="0047585D">
        <w:rPr>
          <w:lang w:val="sr-Latn-ME"/>
        </w:rPr>
        <w:t>Oštećenje bubrega nema veliki ut</w:t>
      </w:r>
      <w:r w:rsidR="00456DBE" w:rsidRPr="0047585D">
        <w:rPr>
          <w:lang w:val="sr-Latn-ME"/>
        </w:rPr>
        <w:t>i</w:t>
      </w:r>
      <w:r w:rsidRPr="0047585D">
        <w:rPr>
          <w:lang w:val="sr-Latn-ME"/>
        </w:rPr>
        <w:t>caj na farmakokinetičku izloženost azacitidinu nakon su</w:t>
      </w:r>
      <w:r w:rsidR="00D542A4">
        <w:rPr>
          <w:lang w:val="sr-Latn-ME"/>
        </w:rPr>
        <w:t>b</w:t>
      </w:r>
      <w:r w:rsidRPr="0047585D">
        <w:rPr>
          <w:lang w:val="sr-Latn-ME"/>
        </w:rPr>
        <w:t>kutane primjene jednokratne i višekratnih doza. U</w:t>
      </w:r>
      <w:r w:rsidR="00456DBE" w:rsidRPr="0047585D">
        <w:rPr>
          <w:lang w:val="sr-Latn-ME"/>
        </w:rPr>
        <w:t xml:space="preserve"> poređenju</w:t>
      </w:r>
      <w:r w:rsidRPr="0047585D">
        <w:rPr>
          <w:lang w:val="sr-Latn-ME"/>
        </w:rPr>
        <w:t xml:space="preserve"> s ispitanicima s normalnom funkcijom bubrega, </w:t>
      </w:r>
      <w:r w:rsidRPr="0047585D">
        <w:rPr>
          <w:position w:val="2"/>
          <w:lang w:val="sr-Latn-ME"/>
        </w:rPr>
        <w:t>nakon su</w:t>
      </w:r>
      <w:r w:rsidR="00D542A4">
        <w:rPr>
          <w:position w:val="2"/>
          <w:lang w:val="sr-Latn-ME"/>
        </w:rPr>
        <w:t>b</w:t>
      </w:r>
      <w:r w:rsidRPr="0047585D">
        <w:rPr>
          <w:position w:val="2"/>
          <w:lang w:val="sr-Latn-ME"/>
        </w:rPr>
        <w:t>kutane primjene jednokratne doze od 75 mg/m</w:t>
      </w:r>
      <w:r w:rsidRPr="0047585D">
        <w:rPr>
          <w:position w:val="2"/>
          <w:vertAlign w:val="superscript"/>
          <w:lang w:val="sr-Latn-ME"/>
        </w:rPr>
        <w:t>2</w:t>
      </w:r>
      <w:r w:rsidRPr="0047585D">
        <w:rPr>
          <w:position w:val="2"/>
          <w:lang w:val="sr-Latn-ME"/>
        </w:rPr>
        <w:t>, srednje vrijednosti izloženosti (AUC i C</w:t>
      </w:r>
      <w:r w:rsidRPr="0047585D">
        <w:rPr>
          <w:lang w:val="sr-Latn-ME"/>
        </w:rPr>
        <w:t>max</w:t>
      </w:r>
      <w:r w:rsidRPr="0047585D">
        <w:rPr>
          <w:position w:val="2"/>
          <w:lang w:val="sr-Latn-ME"/>
        </w:rPr>
        <w:t xml:space="preserve">) </w:t>
      </w:r>
      <w:r w:rsidRPr="0047585D">
        <w:rPr>
          <w:lang w:val="sr-Latn-ME"/>
        </w:rPr>
        <w:t xml:space="preserve">bile su povišene </w:t>
      </w:r>
      <w:r w:rsidR="00456DBE" w:rsidRPr="0047585D">
        <w:rPr>
          <w:lang w:val="sr-Latn-ME"/>
        </w:rPr>
        <w:t>kod</w:t>
      </w:r>
      <w:r w:rsidRPr="0047585D">
        <w:rPr>
          <w:lang w:val="sr-Latn-ME"/>
        </w:rPr>
        <w:t xml:space="preserve"> ispitanika s blagim oštećenjem bubrega za 11-21 %, </w:t>
      </w:r>
      <w:r w:rsidR="00456DBE" w:rsidRPr="0047585D">
        <w:rPr>
          <w:lang w:val="sr-Latn-ME"/>
        </w:rPr>
        <w:t>kod</w:t>
      </w:r>
      <w:r w:rsidRPr="0047585D">
        <w:rPr>
          <w:lang w:val="sr-Latn-ME"/>
        </w:rPr>
        <w:t xml:space="preserve"> onih s umjerenim</w:t>
      </w:r>
      <w:r w:rsidR="00DB2F49" w:rsidRPr="0047585D">
        <w:rPr>
          <w:lang w:val="sr-Latn-ME"/>
        </w:rPr>
        <w:t xml:space="preserve"> </w:t>
      </w:r>
      <w:r w:rsidRPr="0047585D">
        <w:rPr>
          <w:lang w:val="sr-Latn-ME"/>
        </w:rPr>
        <w:t xml:space="preserve">oštećenjem za 15-27 %, a </w:t>
      </w:r>
      <w:r w:rsidR="00456DBE" w:rsidRPr="0047585D">
        <w:rPr>
          <w:lang w:val="sr-Latn-ME"/>
        </w:rPr>
        <w:t>kod</w:t>
      </w:r>
      <w:r w:rsidRPr="0047585D">
        <w:rPr>
          <w:lang w:val="sr-Latn-ME"/>
        </w:rPr>
        <w:t xml:space="preserve"> </w:t>
      </w:r>
      <w:r w:rsidR="00862A19" w:rsidRPr="0047585D">
        <w:rPr>
          <w:lang w:val="sr-Latn-ME"/>
        </w:rPr>
        <w:t>pacijen</w:t>
      </w:r>
      <w:r w:rsidR="00456DBE" w:rsidRPr="0047585D">
        <w:rPr>
          <w:lang w:val="sr-Latn-ME"/>
        </w:rPr>
        <w:t>a</w:t>
      </w:r>
      <w:r w:rsidR="00862A19" w:rsidRPr="0047585D">
        <w:rPr>
          <w:lang w:val="sr-Latn-ME"/>
        </w:rPr>
        <w:t>t</w:t>
      </w:r>
      <w:r w:rsidRPr="0047585D">
        <w:rPr>
          <w:lang w:val="sr-Latn-ME"/>
        </w:rPr>
        <w:t>a s teškim oštećenjem bubrega za 41-66 %. Ipak, izloženost je bila unutar istog op</w:t>
      </w:r>
      <w:r w:rsidR="00456DBE" w:rsidRPr="0047585D">
        <w:rPr>
          <w:lang w:val="sr-Latn-ME"/>
        </w:rPr>
        <w:t>št</w:t>
      </w:r>
      <w:r w:rsidRPr="0047585D">
        <w:rPr>
          <w:lang w:val="sr-Latn-ME"/>
        </w:rPr>
        <w:t xml:space="preserve">eg raspona izloženosti kakav je </w:t>
      </w:r>
      <w:r w:rsidR="00456DBE" w:rsidRPr="0047585D">
        <w:rPr>
          <w:lang w:val="sr-Latn-ME"/>
        </w:rPr>
        <w:t>za</w:t>
      </w:r>
      <w:r w:rsidRPr="0047585D">
        <w:rPr>
          <w:lang w:val="sr-Latn-ME"/>
        </w:rPr>
        <w:t xml:space="preserve">pažen </w:t>
      </w:r>
      <w:r w:rsidR="00456DBE" w:rsidRPr="0047585D">
        <w:rPr>
          <w:lang w:val="sr-Latn-ME"/>
        </w:rPr>
        <w:t>kod</w:t>
      </w:r>
      <w:r w:rsidRPr="0047585D">
        <w:rPr>
          <w:lang w:val="sr-Latn-ME"/>
        </w:rPr>
        <w:t xml:space="preserve"> ispitanika s normalnom funkcijom bubrega. Azacitidin se može primjenjivati </w:t>
      </w:r>
      <w:r w:rsidR="00456DBE" w:rsidRPr="0047585D">
        <w:rPr>
          <w:lang w:val="sr-Latn-ME"/>
        </w:rPr>
        <w:t>kod pacijenata</w:t>
      </w:r>
      <w:r w:rsidRPr="0047585D">
        <w:rPr>
          <w:lang w:val="sr-Latn-ME"/>
        </w:rPr>
        <w:t xml:space="preserve"> s oštećenjem bubrega bez pri</w:t>
      </w:r>
      <w:r w:rsidR="00456DBE" w:rsidRPr="0047585D">
        <w:rPr>
          <w:lang w:val="sr-Latn-ME"/>
        </w:rPr>
        <w:t>lagođenja</w:t>
      </w:r>
      <w:r w:rsidRPr="0047585D">
        <w:rPr>
          <w:lang w:val="sr-Latn-ME"/>
        </w:rPr>
        <w:t xml:space="preserve"> početne doze, uz u</w:t>
      </w:r>
      <w:r w:rsidR="00456DBE" w:rsidRPr="0047585D">
        <w:rPr>
          <w:lang w:val="sr-Latn-ME"/>
        </w:rPr>
        <w:t>slov</w:t>
      </w:r>
      <w:r w:rsidRPr="0047585D">
        <w:rPr>
          <w:lang w:val="sr-Latn-ME"/>
        </w:rPr>
        <w:t xml:space="preserve"> da se prati zbog toksičnosti jer se azacitidin i/ili njegovi metaboliti primarno izlučuju putem bubrega.</w:t>
      </w:r>
    </w:p>
    <w:p w14:paraId="3D70045F" w14:textId="77777777" w:rsidR="00C17975" w:rsidRPr="0047585D" w:rsidRDefault="00C17975" w:rsidP="00A56A66">
      <w:pPr>
        <w:pStyle w:val="BodyText"/>
        <w:jc w:val="both"/>
        <w:rPr>
          <w:lang w:val="sr-Latn-ME"/>
        </w:rPr>
      </w:pPr>
    </w:p>
    <w:p w14:paraId="6A99D6B8" w14:textId="77777777" w:rsidR="0084478E" w:rsidRPr="0047585D" w:rsidRDefault="00200D97" w:rsidP="00A56A66">
      <w:pPr>
        <w:pStyle w:val="BodyText"/>
        <w:jc w:val="both"/>
        <w:rPr>
          <w:lang w:val="sr-Latn-ME"/>
        </w:rPr>
      </w:pPr>
      <w:r w:rsidRPr="0047585D">
        <w:rPr>
          <w:u w:val="single"/>
          <w:lang w:val="sr-Latn-ME"/>
        </w:rPr>
        <w:t>Farmakogenomika</w:t>
      </w:r>
    </w:p>
    <w:p w14:paraId="2ACF4309" w14:textId="5174275D" w:rsidR="0084478E" w:rsidRPr="0047585D" w:rsidRDefault="00862A19" w:rsidP="00A56A66">
      <w:pPr>
        <w:pStyle w:val="BodyText"/>
        <w:jc w:val="both"/>
        <w:rPr>
          <w:lang w:val="sr-Latn-ME"/>
        </w:rPr>
      </w:pPr>
      <w:r w:rsidRPr="0047585D">
        <w:rPr>
          <w:lang w:val="sr-Latn-ME"/>
        </w:rPr>
        <w:t>Efekat</w:t>
      </w:r>
      <w:r w:rsidR="00200D97" w:rsidRPr="0047585D">
        <w:rPr>
          <w:lang w:val="sr-Latn-ME"/>
        </w:rPr>
        <w:t xml:space="preserve"> poznatih polimorfizama citidin deaminaze na metabolizam azacitidina nije</w:t>
      </w:r>
      <w:r w:rsidR="00DB2F49" w:rsidRPr="0047585D">
        <w:rPr>
          <w:lang w:val="sr-Latn-ME"/>
        </w:rPr>
        <w:t xml:space="preserve"> zvanično</w:t>
      </w:r>
      <w:r w:rsidR="00200D97" w:rsidRPr="0047585D">
        <w:rPr>
          <w:lang w:val="sr-Latn-ME"/>
        </w:rPr>
        <w:t xml:space="preserve"> ispitivan.</w:t>
      </w:r>
    </w:p>
    <w:p w14:paraId="7016EC02" w14:textId="60643639" w:rsidR="00C17975" w:rsidRDefault="00C17975" w:rsidP="00A56A66">
      <w:pPr>
        <w:pStyle w:val="BodyText"/>
        <w:jc w:val="both"/>
        <w:rPr>
          <w:lang w:val="sr-Latn-ME"/>
        </w:rPr>
      </w:pPr>
    </w:p>
    <w:p w14:paraId="7F8120E3" w14:textId="77777777" w:rsidR="00AA6D65" w:rsidRPr="0047585D" w:rsidRDefault="00AA6D65" w:rsidP="00A56A66">
      <w:pPr>
        <w:pStyle w:val="BodyText"/>
        <w:jc w:val="both"/>
        <w:rPr>
          <w:lang w:val="sr-Latn-ME"/>
        </w:rPr>
      </w:pPr>
    </w:p>
    <w:p w14:paraId="6C4B8336" w14:textId="77777777" w:rsidR="0084478E" w:rsidRPr="0047585D" w:rsidRDefault="00200D97" w:rsidP="007C06AA">
      <w:pPr>
        <w:widowControl/>
        <w:numPr>
          <w:ilvl w:val="1"/>
          <w:numId w:val="11"/>
        </w:numPr>
        <w:tabs>
          <w:tab w:val="left" w:pos="540"/>
          <w:tab w:val="left" w:pos="569"/>
        </w:tabs>
        <w:autoSpaceDE/>
        <w:autoSpaceDN/>
        <w:ind w:left="0" w:firstLine="0"/>
        <w:rPr>
          <w:lang w:val="sr-Latn-ME"/>
        </w:rPr>
      </w:pPr>
      <w:r w:rsidRPr="0047585D">
        <w:rPr>
          <w:b/>
          <w:bCs/>
          <w:lang w:val="sr-Latn-ME"/>
        </w:rPr>
        <w:lastRenderedPageBreak/>
        <w:t>Pretklinički podaci o bezbjednosti</w:t>
      </w:r>
    </w:p>
    <w:p w14:paraId="27F5B1BE" w14:textId="77777777" w:rsidR="0084478E" w:rsidRPr="0047585D" w:rsidRDefault="0084478E" w:rsidP="007D6BC7">
      <w:pPr>
        <w:pStyle w:val="BodyText"/>
        <w:spacing w:before="7"/>
        <w:jc w:val="both"/>
        <w:rPr>
          <w:b/>
          <w:lang w:val="sr-Latn-ME"/>
        </w:rPr>
      </w:pPr>
    </w:p>
    <w:p w14:paraId="17B09B12" w14:textId="054BC5A5" w:rsidR="0084478E" w:rsidRPr="0047585D" w:rsidRDefault="00200D97" w:rsidP="00A56A66">
      <w:pPr>
        <w:pStyle w:val="BodyText"/>
        <w:jc w:val="both"/>
        <w:rPr>
          <w:lang w:val="sr-Latn-ME"/>
        </w:rPr>
      </w:pPr>
      <w:r w:rsidRPr="0047585D">
        <w:rPr>
          <w:i/>
          <w:lang w:val="sr-Latn-ME"/>
        </w:rPr>
        <w:t xml:space="preserve">In vitro </w:t>
      </w:r>
      <w:r w:rsidRPr="0047585D">
        <w:rPr>
          <w:lang w:val="sr-Latn-ME"/>
        </w:rPr>
        <w:t>azacitidin indu</w:t>
      </w:r>
      <w:r w:rsidR="00456DBE" w:rsidRPr="0047585D">
        <w:rPr>
          <w:lang w:val="sr-Latn-ME"/>
        </w:rPr>
        <w:t>kuje</w:t>
      </w:r>
      <w:r w:rsidRPr="0047585D">
        <w:rPr>
          <w:lang w:val="sr-Latn-ME"/>
        </w:rPr>
        <w:t xml:space="preserve"> genske mutacije i </w:t>
      </w:r>
      <w:r w:rsidR="00456DBE" w:rsidRPr="0047585D">
        <w:rPr>
          <w:lang w:val="sr-Latn-ME"/>
        </w:rPr>
        <w:t>h</w:t>
      </w:r>
      <w:r w:rsidRPr="0047585D">
        <w:rPr>
          <w:lang w:val="sr-Latn-ME"/>
        </w:rPr>
        <w:t>romo</w:t>
      </w:r>
      <w:r w:rsidR="006D7892" w:rsidRPr="0047585D">
        <w:rPr>
          <w:lang w:val="sr-Latn-ME"/>
        </w:rPr>
        <w:t>z</w:t>
      </w:r>
      <w:r w:rsidRPr="0047585D">
        <w:rPr>
          <w:lang w:val="sr-Latn-ME"/>
        </w:rPr>
        <w:t xml:space="preserve">omske aberacije u </w:t>
      </w:r>
      <w:r w:rsidR="006D7892" w:rsidRPr="0047585D">
        <w:rPr>
          <w:lang w:val="sr-Latn-ME"/>
        </w:rPr>
        <w:t>ćelijski</w:t>
      </w:r>
      <w:r w:rsidRPr="0047585D">
        <w:rPr>
          <w:lang w:val="sr-Latn-ME"/>
        </w:rPr>
        <w:t xml:space="preserve">m </w:t>
      </w:r>
      <w:r w:rsidR="00001FCF" w:rsidRPr="0047585D">
        <w:rPr>
          <w:lang w:val="sr-Latn-ME"/>
        </w:rPr>
        <w:t>sistem</w:t>
      </w:r>
      <w:r w:rsidRPr="0047585D">
        <w:rPr>
          <w:lang w:val="sr-Latn-ME"/>
        </w:rPr>
        <w:t>ima bakterija i sisa</w:t>
      </w:r>
      <w:r w:rsidR="0088667A" w:rsidRPr="0047585D">
        <w:rPr>
          <w:lang w:val="sr-Latn-ME"/>
        </w:rPr>
        <w:t>r</w:t>
      </w:r>
      <w:r w:rsidRPr="0047585D">
        <w:rPr>
          <w:lang w:val="sr-Latn-ME"/>
        </w:rPr>
        <w:t xml:space="preserve">a. Potencijalna kancerogenost azacitidina procijenjena je na miševima </w:t>
      </w:r>
      <w:r w:rsidR="00E71E0A" w:rsidRPr="0047585D">
        <w:rPr>
          <w:lang w:val="sr-Latn-ME"/>
        </w:rPr>
        <w:t xml:space="preserve">i </w:t>
      </w:r>
      <w:r w:rsidR="00456DBE" w:rsidRPr="0047585D">
        <w:rPr>
          <w:lang w:val="sr-Latn-ME"/>
        </w:rPr>
        <w:t>pacovim</w:t>
      </w:r>
      <w:r w:rsidRPr="0047585D">
        <w:rPr>
          <w:lang w:val="sr-Latn-ME"/>
        </w:rPr>
        <w:t>a. Azacitidin je indu</w:t>
      </w:r>
      <w:r w:rsidR="00456DBE" w:rsidRPr="0047585D">
        <w:rPr>
          <w:lang w:val="sr-Latn-ME"/>
        </w:rPr>
        <w:t>kova</w:t>
      </w:r>
      <w:r w:rsidRPr="0047585D">
        <w:rPr>
          <w:lang w:val="sr-Latn-ME"/>
        </w:rPr>
        <w:t xml:space="preserve">o tumore hematopoetskog </w:t>
      </w:r>
      <w:r w:rsidR="00001FCF" w:rsidRPr="0047585D">
        <w:rPr>
          <w:lang w:val="sr-Latn-ME"/>
        </w:rPr>
        <w:t>sistem</w:t>
      </w:r>
      <w:r w:rsidRPr="0047585D">
        <w:rPr>
          <w:lang w:val="sr-Latn-ME"/>
        </w:rPr>
        <w:t>a kod ženki miševa nakon</w:t>
      </w:r>
      <w:r w:rsidRPr="0047585D">
        <w:rPr>
          <w:spacing w:val="-7"/>
          <w:lang w:val="sr-Latn-ME"/>
        </w:rPr>
        <w:t xml:space="preserve"> </w:t>
      </w:r>
      <w:r w:rsidRPr="0047585D">
        <w:rPr>
          <w:lang w:val="sr-Latn-ME"/>
        </w:rPr>
        <w:t>intraperitone</w:t>
      </w:r>
      <w:r w:rsidR="00E71E0A" w:rsidRPr="0047585D">
        <w:rPr>
          <w:lang w:val="sr-Latn-ME"/>
        </w:rPr>
        <w:t xml:space="preserve">alne </w:t>
      </w:r>
      <w:r w:rsidRPr="0047585D">
        <w:rPr>
          <w:lang w:val="sr-Latn-ME"/>
        </w:rPr>
        <w:t xml:space="preserve">primjene 3 puta </w:t>
      </w:r>
      <w:r w:rsidR="00456DBE" w:rsidRPr="0047585D">
        <w:rPr>
          <w:lang w:val="sr-Latn-ME"/>
        </w:rPr>
        <w:t>ned</w:t>
      </w:r>
      <w:r w:rsidR="00E71E0A" w:rsidRPr="0047585D">
        <w:rPr>
          <w:lang w:val="sr-Latn-ME"/>
        </w:rPr>
        <w:t>j</w:t>
      </w:r>
      <w:r w:rsidR="00456DBE" w:rsidRPr="0047585D">
        <w:rPr>
          <w:lang w:val="sr-Latn-ME"/>
        </w:rPr>
        <w:t>eljn</w:t>
      </w:r>
      <w:r w:rsidRPr="0047585D">
        <w:rPr>
          <w:lang w:val="sr-Latn-ME"/>
        </w:rPr>
        <w:t xml:space="preserve">o </w:t>
      </w:r>
      <w:r w:rsidR="005D04EB" w:rsidRPr="0047585D">
        <w:rPr>
          <w:lang w:val="sr-Latn-ME"/>
        </w:rPr>
        <w:t>tokom</w:t>
      </w:r>
      <w:r w:rsidRPr="0047585D">
        <w:rPr>
          <w:lang w:val="sr-Latn-ME"/>
        </w:rPr>
        <w:t xml:space="preserve"> 52 </w:t>
      </w:r>
      <w:r w:rsidR="00456DBE" w:rsidRPr="0047585D">
        <w:rPr>
          <w:lang w:val="sr-Latn-ME"/>
        </w:rPr>
        <w:t>ned</w:t>
      </w:r>
      <w:r w:rsidR="00E71E0A" w:rsidRPr="0047585D">
        <w:rPr>
          <w:lang w:val="sr-Latn-ME"/>
        </w:rPr>
        <w:t>j</w:t>
      </w:r>
      <w:r w:rsidR="00456DBE" w:rsidRPr="0047585D">
        <w:rPr>
          <w:lang w:val="sr-Latn-ME"/>
        </w:rPr>
        <w:t>elje</w:t>
      </w:r>
      <w:r w:rsidRPr="0047585D">
        <w:rPr>
          <w:lang w:val="sr-Latn-ME"/>
        </w:rPr>
        <w:t xml:space="preserve">. Povećana učestalost tumora limforetikularnog </w:t>
      </w:r>
      <w:r w:rsidR="00001FCF" w:rsidRPr="0047585D">
        <w:rPr>
          <w:lang w:val="sr-Latn-ME"/>
        </w:rPr>
        <w:t>sistem</w:t>
      </w:r>
      <w:r w:rsidRPr="0047585D">
        <w:rPr>
          <w:lang w:val="sr-Latn-ME"/>
        </w:rPr>
        <w:t>a, pluća, mliječnih žlijezda i kože primijećena je kod miševa kojima je azacitidin primjenjivan intraperito</w:t>
      </w:r>
      <w:r w:rsidR="00E71E0A" w:rsidRPr="0047585D">
        <w:rPr>
          <w:lang w:val="sr-Latn-ME"/>
        </w:rPr>
        <w:t>nealno</w:t>
      </w:r>
      <w:r w:rsidRPr="0047585D">
        <w:rPr>
          <w:lang w:val="sr-Latn-ME"/>
        </w:rPr>
        <w:t xml:space="preserve"> </w:t>
      </w:r>
      <w:r w:rsidR="005D04EB" w:rsidRPr="0047585D">
        <w:rPr>
          <w:lang w:val="sr-Latn-ME"/>
        </w:rPr>
        <w:t>tokom</w:t>
      </w:r>
      <w:r w:rsidRPr="0047585D">
        <w:rPr>
          <w:lang w:val="sr-Latn-ME"/>
        </w:rPr>
        <w:t xml:space="preserve"> 50 </w:t>
      </w:r>
      <w:r w:rsidR="00456DBE" w:rsidRPr="0047585D">
        <w:rPr>
          <w:lang w:val="sr-Latn-ME"/>
        </w:rPr>
        <w:t>ned</w:t>
      </w:r>
      <w:r w:rsidR="00E71E0A" w:rsidRPr="0047585D">
        <w:rPr>
          <w:lang w:val="sr-Latn-ME"/>
        </w:rPr>
        <w:t>j</w:t>
      </w:r>
      <w:r w:rsidR="00456DBE" w:rsidRPr="0047585D">
        <w:rPr>
          <w:lang w:val="sr-Latn-ME"/>
        </w:rPr>
        <w:t>elj</w:t>
      </w:r>
      <w:r w:rsidRPr="0047585D">
        <w:rPr>
          <w:lang w:val="sr-Latn-ME"/>
        </w:rPr>
        <w:t xml:space="preserve">a. U ispitivanjima tumorogenosti kod </w:t>
      </w:r>
      <w:r w:rsidR="00456DBE" w:rsidRPr="0047585D">
        <w:rPr>
          <w:lang w:val="sr-Latn-ME"/>
        </w:rPr>
        <w:t>pacova</w:t>
      </w:r>
      <w:r w:rsidRPr="0047585D">
        <w:rPr>
          <w:lang w:val="sr-Latn-ME"/>
        </w:rPr>
        <w:t xml:space="preserve"> zabilježena je</w:t>
      </w:r>
      <w:r w:rsidR="00E71E0A" w:rsidRPr="0047585D">
        <w:rPr>
          <w:lang w:val="sr-Latn-ME"/>
        </w:rPr>
        <w:t xml:space="preserve"> </w:t>
      </w:r>
      <w:r w:rsidRPr="0047585D">
        <w:rPr>
          <w:lang w:val="sr-Latn-ME"/>
        </w:rPr>
        <w:t>povećana učestalost tumora testisa.</w:t>
      </w:r>
    </w:p>
    <w:p w14:paraId="3BC15AB9" w14:textId="77777777" w:rsidR="00C17975" w:rsidRPr="0047585D" w:rsidRDefault="00C17975" w:rsidP="00A56A66">
      <w:pPr>
        <w:pStyle w:val="BodyText"/>
        <w:jc w:val="both"/>
        <w:rPr>
          <w:lang w:val="sr-Latn-ME"/>
        </w:rPr>
      </w:pPr>
    </w:p>
    <w:p w14:paraId="6D39BB3B" w14:textId="46E9EFCE" w:rsidR="0084478E" w:rsidRPr="0047585D" w:rsidRDefault="00200D97" w:rsidP="00A56A66">
      <w:pPr>
        <w:pStyle w:val="BodyText"/>
        <w:jc w:val="both"/>
        <w:rPr>
          <w:lang w:val="sr-Latn-ME"/>
        </w:rPr>
      </w:pPr>
      <w:r w:rsidRPr="0047585D">
        <w:rPr>
          <w:lang w:val="sr-Latn-ME"/>
        </w:rPr>
        <w:t>U ispitivanjima rane embriotoksičnosti kod miševa zabilježena je učestalost intrauterine smrti</w:t>
      </w:r>
      <w:r w:rsidR="00EC244C" w:rsidRPr="0047585D">
        <w:rPr>
          <w:lang w:val="sr-Latn-ME"/>
        </w:rPr>
        <w:t xml:space="preserve"> embriona</w:t>
      </w:r>
      <w:r w:rsidRPr="0047585D">
        <w:rPr>
          <w:lang w:val="sr-Latn-ME"/>
        </w:rPr>
        <w:t xml:space="preserve"> (povećana resorpcija) od 44 % nakon jedne intraperiton</w:t>
      </w:r>
      <w:r w:rsidR="00E71E0A" w:rsidRPr="0047585D">
        <w:rPr>
          <w:lang w:val="sr-Latn-ME"/>
        </w:rPr>
        <w:t>ealne</w:t>
      </w:r>
      <w:r w:rsidRPr="0047585D">
        <w:rPr>
          <w:lang w:val="sr-Latn-ME"/>
        </w:rPr>
        <w:t xml:space="preserve"> injekcije azacitidina za</w:t>
      </w:r>
      <w:r w:rsidR="00E71E0A" w:rsidRPr="0047585D">
        <w:rPr>
          <w:lang w:val="sr-Latn-ME"/>
        </w:rPr>
        <w:t xml:space="preserve"> vrijeme</w:t>
      </w:r>
      <w:r w:rsidRPr="0047585D">
        <w:rPr>
          <w:lang w:val="sr-Latn-ME"/>
        </w:rPr>
        <w:t xml:space="preserve"> organogeneze. Otkrivene su razvojne abnormalnosti mozga kod miševa kod kojih je azacitidin primijenjen prije ili </w:t>
      </w:r>
      <w:r w:rsidR="005D04EB" w:rsidRPr="0047585D">
        <w:rPr>
          <w:lang w:val="sr-Latn-ME"/>
        </w:rPr>
        <w:t>tokom</w:t>
      </w:r>
      <w:r w:rsidRPr="0047585D">
        <w:rPr>
          <w:lang w:val="sr-Latn-ME"/>
        </w:rPr>
        <w:t xml:space="preserve"> zatvaranja tvrdog nepca. Kod </w:t>
      </w:r>
      <w:r w:rsidR="00456DBE" w:rsidRPr="0047585D">
        <w:rPr>
          <w:lang w:val="sr-Latn-ME"/>
        </w:rPr>
        <w:t>pacov</w:t>
      </w:r>
      <w:r w:rsidRPr="0047585D">
        <w:rPr>
          <w:lang w:val="sr-Latn-ME"/>
        </w:rPr>
        <w:t>a, azacitidin primijenjen prije implantacije embr</w:t>
      </w:r>
      <w:r w:rsidR="00E71E0A" w:rsidRPr="0047585D">
        <w:rPr>
          <w:lang w:val="sr-Latn-ME"/>
        </w:rPr>
        <w:t>iona</w:t>
      </w:r>
      <w:r w:rsidRPr="0047585D">
        <w:rPr>
          <w:lang w:val="sr-Latn-ME"/>
        </w:rPr>
        <w:t xml:space="preserve"> nije</w:t>
      </w:r>
      <w:r w:rsidR="00E71E0A" w:rsidRPr="0047585D">
        <w:rPr>
          <w:lang w:val="sr-Latn-ME"/>
        </w:rPr>
        <w:t xml:space="preserve"> izazvao </w:t>
      </w:r>
      <w:r w:rsidR="002C11E2" w:rsidRPr="0047585D">
        <w:rPr>
          <w:lang w:val="sr-Latn-ME"/>
        </w:rPr>
        <w:t>neželjena dejstva</w:t>
      </w:r>
      <w:r w:rsidRPr="0047585D">
        <w:rPr>
          <w:lang w:val="sr-Latn-ME"/>
        </w:rPr>
        <w:t xml:space="preserve"> ali je, primijenjen </w:t>
      </w:r>
      <w:r w:rsidR="005D04EB" w:rsidRPr="0047585D">
        <w:rPr>
          <w:lang w:val="sr-Latn-ME"/>
        </w:rPr>
        <w:t>tokom</w:t>
      </w:r>
      <w:r w:rsidRPr="0047585D">
        <w:rPr>
          <w:lang w:val="sr-Latn-ME"/>
        </w:rPr>
        <w:t xml:space="preserve"> organogeneze, bio</w:t>
      </w:r>
      <w:r w:rsidR="00E71E0A" w:rsidRPr="0047585D">
        <w:rPr>
          <w:lang w:val="sr-Latn-ME"/>
        </w:rPr>
        <w:t xml:space="preserve"> nedvosmisleno</w:t>
      </w:r>
      <w:r w:rsidRPr="0047585D">
        <w:rPr>
          <w:lang w:val="sr-Latn-ME"/>
        </w:rPr>
        <w:t xml:space="preserve"> embriotoksičan. Fetalne abnormalnosti</w:t>
      </w:r>
      <w:r w:rsidR="00E71E0A" w:rsidRPr="0047585D">
        <w:rPr>
          <w:lang w:val="sr-Latn-ME"/>
        </w:rPr>
        <w:t xml:space="preserve"> izazvane </w:t>
      </w:r>
      <w:r w:rsidR="00456DBE" w:rsidRPr="0047585D">
        <w:rPr>
          <w:lang w:val="sr-Latn-ME"/>
        </w:rPr>
        <w:t>kod pacov</w:t>
      </w:r>
      <w:r w:rsidRPr="0047585D">
        <w:rPr>
          <w:lang w:val="sr-Latn-ME"/>
        </w:rPr>
        <w:t xml:space="preserve">a </w:t>
      </w:r>
      <w:r w:rsidR="005D04EB" w:rsidRPr="0047585D">
        <w:rPr>
          <w:lang w:val="sr-Latn-ME"/>
        </w:rPr>
        <w:t>tokom</w:t>
      </w:r>
      <w:r w:rsidRPr="0047585D">
        <w:rPr>
          <w:lang w:val="sr-Latn-ME"/>
        </w:rPr>
        <w:t xml:space="preserve"> organogeneze uključuju: anomalij</w:t>
      </w:r>
      <w:r w:rsidR="001D4FE5" w:rsidRPr="0047585D">
        <w:rPr>
          <w:lang w:val="sr-Latn-ME"/>
        </w:rPr>
        <w:t xml:space="preserve">e centralnog nervnog sistema </w:t>
      </w:r>
      <w:r w:rsidRPr="0047585D">
        <w:rPr>
          <w:lang w:val="sr-Latn-ME"/>
        </w:rPr>
        <w:t>(egzencefalija/encefalokela), anomalije udova (mikromelija, ekvinovarus stopala, sindaktilija, oligodaktilija) i druge (mikrooftalmija, mikrognatija, gastro</w:t>
      </w:r>
      <w:r w:rsidR="0088667A" w:rsidRPr="0047585D">
        <w:rPr>
          <w:lang w:val="sr-Latn-ME"/>
        </w:rPr>
        <w:t>š</w:t>
      </w:r>
      <w:r w:rsidRPr="0047585D">
        <w:rPr>
          <w:lang w:val="sr-Latn-ME"/>
        </w:rPr>
        <w:t>iza, edem i abnormalnosti rebara).</w:t>
      </w:r>
    </w:p>
    <w:p w14:paraId="2254E522" w14:textId="77777777" w:rsidR="00C17975" w:rsidRPr="0047585D" w:rsidRDefault="00C17975" w:rsidP="00A56A66">
      <w:pPr>
        <w:pStyle w:val="BodyText"/>
        <w:jc w:val="both"/>
        <w:rPr>
          <w:lang w:val="sr-Latn-ME"/>
        </w:rPr>
      </w:pPr>
    </w:p>
    <w:p w14:paraId="5AD0C164" w14:textId="4F4BAB58" w:rsidR="0084478E" w:rsidRPr="0047585D" w:rsidRDefault="00200D97" w:rsidP="00A56A66">
      <w:pPr>
        <w:pStyle w:val="BodyText"/>
        <w:jc w:val="both"/>
        <w:rPr>
          <w:lang w:val="sr-Latn-ME"/>
        </w:rPr>
      </w:pPr>
      <w:r w:rsidRPr="0047585D">
        <w:rPr>
          <w:lang w:val="sr-Latn-ME"/>
        </w:rPr>
        <w:t>Primjena azacitidina na mužjacima miševa prije parenja s neliječenim ženkama rezult</w:t>
      </w:r>
      <w:r w:rsidR="00EC244C" w:rsidRPr="0047585D">
        <w:rPr>
          <w:lang w:val="sr-Latn-ME"/>
        </w:rPr>
        <w:t>irala</w:t>
      </w:r>
      <w:r w:rsidRPr="0047585D">
        <w:rPr>
          <w:lang w:val="sr-Latn-ME"/>
        </w:rPr>
        <w:t xml:space="preserve"> je smanjenjem plodnosti i gubitkom poto</w:t>
      </w:r>
      <w:r w:rsidR="00EC244C" w:rsidRPr="0047585D">
        <w:rPr>
          <w:lang w:val="sr-Latn-ME"/>
        </w:rPr>
        <w:t>mstv</w:t>
      </w:r>
      <w:r w:rsidRPr="0047585D">
        <w:rPr>
          <w:lang w:val="sr-Latn-ME"/>
        </w:rPr>
        <w:t xml:space="preserve">a </w:t>
      </w:r>
      <w:r w:rsidR="005D04EB" w:rsidRPr="0047585D">
        <w:rPr>
          <w:lang w:val="sr-Latn-ME"/>
        </w:rPr>
        <w:t>tokom</w:t>
      </w:r>
      <w:r w:rsidRPr="0047585D">
        <w:rPr>
          <w:lang w:val="sr-Latn-ME"/>
        </w:rPr>
        <w:t xml:space="preserve"> dalj</w:t>
      </w:r>
      <w:r w:rsidR="001D4FE5" w:rsidRPr="0047585D">
        <w:rPr>
          <w:lang w:val="sr-Latn-ME"/>
        </w:rPr>
        <w:t>e</w:t>
      </w:r>
      <w:r w:rsidRPr="0047585D">
        <w:rPr>
          <w:lang w:val="sr-Latn-ME"/>
        </w:rPr>
        <w:t>g embri</w:t>
      </w:r>
      <w:r w:rsidR="001D4FE5" w:rsidRPr="0047585D">
        <w:rPr>
          <w:lang w:val="sr-Latn-ME"/>
        </w:rPr>
        <w:t>onalnog</w:t>
      </w:r>
      <w:r w:rsidRPr="0047585D">
        <w:rPr>
          <w:lang w:val="sr-Latn-ME"/>
        </w:rPr>
        <w:t xml:space="preserve"> i postnatalnog razvoja. Liječenje mužjaka </w:t>
      </w:r>
      <w:r w:rsidR="00456DBE" w:rsidRPr="0047585D">
        <w:rPr>
          <w:lang w:val="sr-Latn-ME"/>
        </w:rPr>
        <w:t>pacov</w:t>
      </w:r>
      <w:r w:rsidRPr="0047585D">
        <w:rPr>
          <w:lang w:val="sr-Latn-ME"/>
        </w:rPr>
        <w:t>a rezul</w:t>
      </w:r>
      <w:r w:rsidR="00EC244C" w:rsidRPr="0047585D">
        <w:rPr>
          <w:lang w:val="sr-Latn-ME"/>
        </w:rPr>
        <w:t>tiralo</w:t>
      </w:r>
      <w:r w:rsidRPr="0047585D">
        <w:rPr>
          <w:lang w:val="sr-Latn-ME"/>
        </w:rPr>
        <w:t xml:space="preserve"> je smanjenjem težine testisa i epididimisa, smanjenjem broja sperm</w:t>
      </w:r>
      <w:r w:rsidR="001D4FE5" w:rsidRPr="0047585D">
        <w:rPr>
          <w:lang w:val="sr-Latn-ME"/>
        </w:rPr>
        <w:t>atozoida</w:t>
      </w:r>
      <w:r w:rsidRPr="0047585D">
        <w:rPr>
          <w:lang w:val="sr-Latn-ME"/>
        </w:rPr>
        <w:t>, smanjenjem stopa graviditeta i povećanjem broja abnormalnih embr</w:t>
      </w:r>
      <w:r w:rsidR="001D4FE5" w:rsidRPr="0047585D">
        <w:rPr>
          <w:lang w:val="sr-Latn-ME"/>
        </w:rPr>
        <w:t xml:space="preserve">iona, kao </w:t>
      </w:r>
      <w:r w:rsidR="00EC244C" w:rsidRPr="0047585D">
        <w:rPr>
          <w:lang w:val="sr-Latn-ME"/>
        </w:rPr>
        <w:t>i</w:t>
      </w:r>
      <w:r w:rsidR="001D4FE5" w:rsidRPr="0047585D">
        <w:rPr>
          <w:lang w:val="sr-Latn-ME"/>
        </w:rPr>
        <w:t xml:space="preserve"> </w:t>
      </w:r>
      <w:r w:rsidRPr="0047585D">
        <w:rPr>
          <w:lang w:val="sr-Latn-ME"/>
        </w:rPr>
        <w:t>povećanim gubitkom embr</w:t>
      </w:r>
      <w:r w:rsidR="001D4FE5" w:rsidRPr="0047585D">
        <w:rPr>
          <w:lang w:val="sr-Latn-ME"/>
        </w:rPr>
        <w:t>iona</w:t>
      </w:r>
      <w:r w:rsidRPr="0047585D">
        <w:rPr>
          <w:lang w:val="sr-Latn-ME"/>
        </w:rPr>
        <w:t xml:space="preserve"> </w:t>
      </w:r>
      <w:r w:rsidR="00456DBE" w:rsidRPr="0047585D">
        <w:rPr>
          <w:lang w:val="sr-Latn-ME"/>
        </w:rPr>
        <w:t>kod</w:t>
      </w:r>
      <w:r w:rsidRPr="0047585D">
        <w:rPr>
          <w:lang w:val="sr-Latn-ME"/>
        </w:rPr>
        <w:t xml:space="preserve"> gravidnih ženki (vidjeti dio 4.4).</w:t>
      </w:r>
    </w:p>
    <w:p w14:paraId="24F925AA" w14:textId="0E3D33A9" w:rsidR="00846455" w:rsidRDefault="00846455" w:rsidP="00A56A66">
      <w:pPr>
        <w:pStyle w:val="BodyText"/>
        <w:jc w:val="both"/>
        <w:rPr>
          <w:lang w:val="sr-Latn-ME"/>
        </w:rPr>
      </w:pPr>
    </w:p>
    <w:p w14:paraId="5CF39357" w14:textId="77777777" w:rsidR="0047585D" w:rsidRPr="0047585D" w:rsidRDefault="0047585D" w:rsidP="00A56A66">
      <w:pPr>
        <w:pStyle w:val="BodyText"/>
        <w:jc w:val="both"/>
        <w:rPr>
          <w:lang w:val="sr-Latn-ME"/>
        </w:rPr>
      </w:pPr>
    </w:p>
    <w:p w14:paraId="1597F604" w14:textId="77777777" w:rsidR="0084478E" w:rsidRPr="0047585D" w:rsidRDefault="00200D97" w:rsidP="00277642">
      <w:pPr>
        <w:widowControl/>
        <w:numPr>
          <w:ilvl w:val="0"/>
          <w:numId w:val="11"/>
        </w:numPr>
        <w:tabs>
          <w:tab w:val="left" w:pos="540"/>
          <w:tab w:val="left" w:pos="569"/>
        </w:tabs>
        <w:autoSpaceDE/>
        <w:autoSpaceDN/>
        <w:ind w:left="0" w:firstLine="0"/>
        <w:rPr>
          <w:b/>
          <w:bCs/>
          <w:lang w:val="sr-Latn-ME"/>
        </w:rPr>
      </w:pPr>
      <w:r w:rsidRPr="0047585D">
        <w:rPr>
          <w:b/>
          <w:bCs/>
          <w:lang w:val="sr-Latn-ME"/>
        </w:rPr>
        <w:t>FARMACEUTSKI PODACI</w:t>
      </w:r>
    </w:p>
    <w:p w14:paraId="01C5C562" w14:textId="77777777" w:rsidR="0084478E" w:rsidRPr="0047585D" w:rsidRDefault="0084478E" w:rsidP="00BE5A22">
      <w:pPr>
        <w:pStyle w:val="BodyText"/>
        <w:rPr>
          <w:b/>
          <w:lang w:val="sr-Latn-ME"/>
        </w:rPr>
      </w:pPr>
    </w:p>
    <w:p w14:paraId="1B31F07C" w14:textId="77777777" w:rsidR="0084478E" w:rsidRPr="0047585D" w:rsidRDefault="00200D97" w:rsidP="00277642">
      <w:pPr>
        <w:widowControl/>
        <w:numPr>
          <w:ilvl w:val="1"/>
          <w:numId w:val="11"/>
        </w:numPr>
        <w:tabs>
          <w:tab w:val="left" w:pos="540"/>
          <w:tab w:val="left" w:pos="569"/>
        </w:tabs>
        <w:autoSpaceDE/>
        <w:autoSpaceDN/>
        <w:ind w:left="0" w:firstLine="0"/>
        <w:rPr>
          <w:b/>
          <w:bCs/>
          <w:lang w:val="sr-Latn-ME"/>
        </w:rPr>
      </w:pPr>
      <w:r w:rsidRPr="0047585D">
        <w:rPr>
          <w:b/>
          <w:bCs/>
          <w:lang w:val="sr-Latn-ME"/>
        </w:rPr>
        <w:t>Lista pomoćnih supstanci (ekscipijenasa)</w:t>
      </w:r>
    </w:p>
    <w:p w14:paraId="65E37B25" w14:textId="77777777" w:rsidR="0084478E" w:rsidRPr="0047585D" w:rsidRDefault="0084478E" w:rsidP="00BE5A22">
      <w:pPr>
        <w:pStyle w:val="BodyText"/>
        <w:spacing w:before="7"/>
        <w:rPr>
          <w:b/>
          <w:lang w:val="sr-Latn-ME"/>
        </w:rPr>
      </w:pPr>
    </w:p>
    <w:p w14:paraId="62F830D4" w14:textId="77777777" w:rsidR="0084478E" w:rsidRPr="0047585D" w:rsidRDefault="00200D97" w:rsidP="00BE5A22">
      <w:pPr>
        <w:pStyle w:val="BodyText"/>
        <w:spacing w:before="1"/>
        <w:rPr>
          <w:lang w:val="sr-Latn-ME"/>
        </w:rPr>
      </w:pPr>
      <w:r w:rsidRPr="0047585D">
        <w:rPr>
          <w:lang w:val="sr-Latn-ME"/>
        </w:rPr>
        <w:t>Manitol (E421)</w:t>
      </w:r>
    </w:p>
    <w:p w14:paraId="66760E8E" w14:textId="77777777" w:rsidR="0084478E" w:rsidRPr="0047585D" w:rsidRDefault="0084478E" w:rsidP="00BE5A22">
      <w:pPr>
        <w:pStyle w:val="BodyText"/>
        <w:spacing w:before="5"/>
        <w:rPr>
          <w:b/>
          <w:bCs/>
          <w:lang w:val="sr-Latn-ME"/>
        </w:rPr>
      </w:pPr>
    </w:p>
    <w:p w14:paraId="5A1939BF" w14:textId="77777777" w:rsidR="0084478E" w:rsidRPr="0047585D" w:rsidRDefault="00200D97" w:rsidP="00277642">
      <w:pPr>
        <w:widowControl/>
        <w:numPr>
          <w:ilvl w:val="1"/>
          <w:numId w:val="11"/>
        </w:numPr>
        <w:tabs>
          <w:tab w:val="left" w:pos="540"/>
          <w:tab w:val="left" w:pos="569"/>
        </w:tabs>
        <w:autoSpaceDE/>
        <w:autoSpaceDN/>
        <w:ind w:left="0" w:firstLine="0"/>
        <w:rPr>
          <w:b/>
          <w:bCs/>
          <w:lang w:val="sr-Latn-ME"/>
        </w:rPr>
      </w:pPr>
      <w:r w:rsidRPr="0047585D">
        <w:rPr>
          <w:b/>
          <w:bCs/>
          <w:lang w:val="sr-Latn-ME"/>
        </w:rPr>
        <w:t>Inkompatibilnosti</w:t>
      </w:r>
    </w:p>
    <w:p w14:paraId="14C93E43" w14:textId="77777777" w:rsidR="0084478E" w:rsidRPr="0047585D" w:rsidRDefault="0084478E" w:rsidP="00BE5A22">
      <w:pPr>
        <w:pStyle w:val="BodyText"/>
        <w:spacing w:before="7"/>
        <w:rPr>
          <w:b/>
          <w:lang w:val="sr-Latn-ME"/>
        </w:rPr>
      </w:pPr>
    </w:p>
    <w:p w14:paraId="07665D12" w14:textId="77777777" w:rsidR="0084478E" w:rsidRPr="0047585D" w:rsidRDefault="00200D97" w:rsidP="00BE5A22">
      <w:pPr>
        <w:pStyle w:val="BodyText"/>
        <w:rPr>
          <w:lang w:val="sr-Latn-ME"/>
        </w:rPr>
      </w:pPr>
      <w:r w:rsidRPr="0047585D">
        <w:rPr>
          <w:lang w:val="sr-Latn-ME"/>
        </w:rPr>
        <w:t>Lijek se ne smije miješati s drugim ljekovima osim onih navedenih u dijelu 6.6.</w:t>
      </w:r>
    </w:p>
    <w:p w14:paraId="7D0D2F03" w14:textId="77777777" w:rsidR="0084478E" w:rsidRPr="0047585D" w:rsidRDefault="0084478E" w:rsidP="00BE5A22">
      <w:pPr>
        <w:pStyle w:val="BodyText"/>
        <w:spacing w:before="3"/>
        <w:rPr>
          <w:lang w:val="sr-Latn-ME"/>
        </w:rPr>
      </w:pPr>
    </w:p>
    <w:p w14:paraId="7DD17E1F" w14:textId="77777777" w:rsidR="0084478E" w:rsidRPr="0047585D" w:rsidRDefault="00200D97" w:rsidP="00277642">
      <w:pPr>
        <w:widowControl/>
        <w:numPr>
          <w:ilvl w:val="1"/>
          <w:numId w:val="11"/>
        </w:numPr>
        <w:tabs>
          <w:tab w:val="left" w:pos="540"/>
          <w:tab w:val="left" w:pos="569"/>
        </w:tabs>
        <w:autoSpaceDE/>
        <w:autoSpaceDN/>
        <w:ind w:left="0" w:firstLine="0"/>
        <w:rPr>
          <w:b/>
          <w:bCs/>
          <w:lang w:val="sr-Latn-ME"/>
        </w:rPr>
      </w:pPr>
      <w:r w:rsidRPr="0047585D">
        <w:rPr>
          <w:b/>
          <w:bCs/>
          <w:lang w:val="sr-Latn-ME"/>
        </w:rPr>
        <w:t>Rok upotrebe</w:t>
      </w:r>
    </w:p>
    <w:p w14:paraId="68E06B2A" w14:textId="77777777" w:rsidR="0084478E" w:rsidRPr="0047585D" w:rsidRDefault="0084478E" w:rsidP="00BE5A22">
      <w:pPr>
        <w:pStyle w:val="BodyText"/>
        <w:spacing w:before="7"/>
        <w:rPr>
          <w:b/>
          <w:lang w:val="sr-Latn-ME"/>
        </w:rPr>
      </w:pPr>
    </w:p>
    <w:p w14:paraId="047C0680" w14:textId="77777777" w:rsidR="001D4FE5" w:rsidRPr="0047585D" w:rsidRDefault="00200D97" w:rsidP="00BE5A22">
      <w:pPr>
        <w:pStyle w:val="BodyText"/>
        <w:rPr>
          <w:lang w:val="sr-Latn-ME"/>
        </w:rPr>
      </w:pPr>
      <w:r w:rsidRPr="0047585D">
        <w:rPr>
          <w:u w:val="single"/>
          <w:lang w:val="sr-Latn-ME"/>
        </w:rPr>
        <w:t>Neotvorena bočica praška</w:t>
      </w:r>
      <w:r w:rsidRPr="0047585D">
        <w:rPr>
          <w:lang w:val="sr-Latn-ME"/>
        </w:rPr>
        <w:t xml:space="preserve"> </w:t>
      </w:r>
    </w:p>
    <w:p w14:paraId="2512009E" w14:textId="77777777" w:rsidR="0084478E" w:rsidRPr="0047585D" w:rsidRDefault="00200D97" w:rsidP="00BE5A22">
      <w:pPr>
        <w:pStyle w:val="BodyText"/>
        <w:rPr>
          <w:lang w:val="sr-Latn-ME"/>
        </w:rPr>
      </w:pPr>
      <w:r w:rsidRPr="0047585D">
        <w:rPr>
          <w:lang w:val="sr-Latn-ME"/>
        </w:rPr>
        <w:t>3 godine</w:t>
      </w:r>
    </w:p>
    <w:p w14:paraId="3EAE7601" w14:textId="77777777" w:rsidR="0084478E" w:rsidRPr="0047585D" w:rsidRDefault="0084478E" w:rsidP="00BE5A22">
      <w:pPr>
        <w:pStyle w:val="BodyText"/>
        <w:rPr>
          <w:lang w:val="sr-Latn-ME"/>
        </w:rPr>
      </w:pPr>
    </w:p>
    <w:p w14:paraId="45F1DE94" w14:textId="77777777" w:rsidR="0084478E" w:rsidRPr="0047585D" w:rsidRDefault="00200D97" w:rsidP="00A56A66">
      <w:pPr>
        <w:pStyle w:val="BodyText"/>
        <w:jc w:val="both"/>
        <w:rPr>
          <w:lang w:val="sr-Latn-ME"/>
        </w:rPr>
      </w:pPr>
      <w:r w:rsidRPr="0047585D">
        <w:rPr>
          <w:u w:val="single"/>
          <w:lang w:val="sr-Latn-ME"/>
        </w:rPr>
        <w:t>Nakon rekonstitucije</w:t>
      </w:r>
    </w:p>
    <w:p w14:paraId="6AF4A1EA" w14:textId="77777777" w:rsidR="003418AD" w:rsidRPr="0047585D" w:rsidRDefault="00200D97" w:rsidP="00A56A66">
      <w:pPr>
        <w:pStyle w:val="BodyText"/>
        <w:jc w:val="both"/>
        <w:rPr>
          <w:lang w:val="sr-Latn-ME"/>
        </w:rPr>
      </w:pPr>
      <w:r w:rsidRPr="0047585D">
        <w:rPr>
          <w:lang w:val="sr-Latn-ME"/>
        </w:rPr>
        <w:t>Kada se</w:t>
      </w:r>
      <w:r w:rsidR="00456DBE" w:rsidRPr="0047585D">
        <w:rPr>
          <w:lang w:val="sr-Latn-ME"/>
        </w:rPr>
        <w:t xml:space="preserve"> lijek</w:t>
      </w:r>
      <w:r w:rsidRPr="0047585D">
        <w:rPr>
          <w:lang w:val="sr-Latn-ME"/>
        </w:rPr>
        <w:t xml:space="preserve"> </w:t>
      </w:r>
      <w:r w:rsidR="00D95513" w:rsidRPr="0047585D">
        <w:rPr>
          <w:lang w:val="sr-Latn-ME"/>
        </w:rPr>
        <w:t>Azacitidine Accord</w:t>
      </w:r>
      <w:r w:rsidRPr="0047585D">
        <w:rPr>
          <w:lang w:val="sr-Latn-ME"/>
        </w:rPr>
        <w:t xml:space="preserve"> rekonstitui</w:t>
      </w:r>
      <w:r w:rsidR="00456DBE" w:rsidRPr="0047585D">
        <w:rPr>
          <w:lang w:val="sr-Latn-ME"/>
        </w:rPr>
        <w:t xml:space="preserve">še </w:t>
      </w:r>
      <w:r w:rsidRPr="0047585D">
        <w:rPr>
          <w:lang w:val="sr-Latn-ME"/>
        </w:rPr>
        <w:t xml:space="preserve">vodom za injekcije koja nije bila rashlađena, </w:t>
      </w:r>
      <w:r w:rsidR="00456DBE" w:rsidRPr="0047585D">
        <w:rPr>
          <w:lang w:val="sr-Latn-ME"/>
        </w:rPr>
        <w:t>h</w:t>
      </w:r>
      <w:r w:rsidRPr="0047585D">
        <w:rPr>
          <w:lang w:val="sr-Latn-ME"/>
        </w:rPr>
        <w:t>emijska i fiz</w:t>
      </w:r>
      <w:r w:rsidR="001D4FE5" w:rsidRPr="0047585D">
        <w:rPr>
          <w:lang w:val="sr-Latn-ME"/>
        </w:rPr>
        <w:t>ička</w:t>
      </w:r>
      <w:r w:rsidRPr="0047585D">
        <w:rPr>
          <w:lang w:val="sr-Latn-ME"/>
        </w:rPr>
        <w:t xml:space="preserve"> stabilnost rekonstitui</w:t>
      </w:r>
      <w:r w:rsidR="00F8443B" w:rsidRPr="0047585D">
        <w:rPr>
          <w:lang w:val="sr-Latn-ME"/>
        </w:rPr>
        <w:t>san</w:t>
      </w:r>
      <w:r w:rsidRPr="0047585D">
        <w:rPr>
          <w:lang w:val="sr-Latn-ME"/>
        </w:rPr>
        <w:t xml:space="preserve">og lijeka u primjeni dokazana je pri 25 °C </w:t>
      </w:r>
      <w:r w:rsidR="005D04EB" w:rsidRPr="0047585D">
        <w:rPr>
          <w:lang w:val="sr-Latn-ME"/>
        </w:rPr>
        <w:t>tokom</w:t>
      </w:r>
      <w:r w:rsidRPr="0047585D">
        <w:rPr>
          <w:lang w:val="sr-Latn-ME"/>
        </w:rPr>
        <w:t xml:space="preserve"> 60 minuta i pri 2 °C do 8 °C </w:t>
      </w:r>
      <w:r w:rsidR="005D04EB" w:rsidRPr="0047585D">
        <w:rPr>
          <w:lang w:val="sr-Latn-ME"/>
        </w:rPr>
        <w:t>tokom</w:t>
      </w:r>
      <w:r w:rsidRPr="0047585D">
        <w:rPr>
          <w:lang w:val="sr-Latn-ME"/>
        </w:rPr>
        <w:t xml:space="preserve"> 8 sati.</w:t>
      </w:r>
    </w:p>
    <w:p w14:paraId="45F47928" w14:textId="77777777" w:rsidR="0084478E" w:rsidRPr="0047585D" w:rsidRDefault="00200D97" w:rsidP="00357F8B">
      <w:pPr>
        <w:pStyle w:val="BodyText"/>
        <w:spacing w:after="200"/>
        <w:jc w:val="both"/>
        <w:rPr>
          <w:lang w:val="sr-Latn-ME"/>
        </w:rPr>
      </w:pPr>
      <w:r w:rsidRPr="0047585D">
        <w:rPr>
          <w:lang w:val="sr-Latn-ME"/>
        </w:rPr>
        <w:t xml:space="preserve">Rok </w:t>
      </w:r>
      <w:r w:rsidR="00F8443B" w:rsidRPr="0047585D">
        <w:rPr>
          <w:lang w:val="sr-Latn-ME"/>
        </w:rPr>
        <w:t>upotrebe</w:t>
      </w:r>
      <w:r w:rsidRPr="0047585D">
        <w:rPr>
          <w:lang w:val="sr-Latn-ME"/>
        </w:rPr>
        <w:t xml:space="preserve"> rekonstitui</w:t>
      </w:r>
      <w:r w:rsidR="00F8443B" w:rsidRPr="0047585D">
        <w:rPr>
          <w:lang w:val="sr-Latn-ME"/>
        </w:rPr>
        <w:t>s</w:t>
      </w:r>
      <w:r w:rsidRPr="0047585D">
        <w:rPr>
          <w:lang w:val="sr-Latn-ME"/>
        </w:rPr>
        <w:t>anog lijeka može se produ</w:t>
      </w:r>
      <w:r w:rsidR="00F8443B" w:rsidRPr="0047585D">
        <w:rPr>
          <w:lang w:val="sr-Latn-ME"/>
        </w:rPr>
        <w:t>ž</w:t>
      </w:r>
      <w:r w:rsidRPr="0047585D">
        <w:rPr>
          <w:lang w:val="sr-Latn-ME"/>
        </w:rPr>
        <w:t xml:space="preserve">iti rekonstitucijom rashlađenom vodom za injekcije (2 °C do 8 °C). Kada se </w:t>
      </w:r>
      <w:r w:rsidR="00F8443B" w:rsidRPr="0047585D">
        <w:rPr>
          <w:lang w:val="sr-Latn-ME"/>
        </w:rPr>
        <w:t xml:space="preserve">lijek </w:t>
      </w:r>
      <w:r w:rsidR="00D95513" w:rsidRPr="0047585D">
        <w:rPr>
          <w:lang w:val="sr-Latn-ME"/>
        </w:rPr>
        <w:t>Azacitidine Accord</w:t>
      </w:r>
      <w:r w:rsidRPr="0047585D">
        <w:rPr>
          <w:lang w:val="sr-Latn-ME"/>
        </w:rPr>
        <w:t xml:space="preserve"> rekonstitui</w:t>
      </w:r>
      <w:r w:rsidR="006D7892" w:rsidRPr="0047585D">
        <w:rPr>
          <w:lang w:val="sr-Latn-ME"/>
        </w:rPr>
        <w:t>še</w:t>
      </w:r>
      <w:r w:rsidRPr="0047585D">
        <w:rPr>
          <w:lang w:val="sr-Latn-ME"/>
        </w:rPr>
        <w:t xml:space="preserve"> rashlađenom vodom za injekcije (2 °C do 8 °C), </w:t>
      </w:r>
      <w:r w:rsidR="00F8443B" w:rsidRPr="0047585D">
        <w:rPr>
          <w:lang w:val="sr-Latn-ME"/>
        </w:rPr>
        <w:t>h</w:t>
      </w:r>
      <w:r w:rsidRPr="0047585D">
        <w:rPr>
          <w:lang w:val="sr-Latn-ME"/>
        </w:rPr>
        <w:t>emijska i fizi</w:t>
      </w:r>
      <w:r w:rsidR="001D4FE5" w:rsidRPr="0047585D">
        <w:rPr>
          <w:lang w:val="sr-Latn-ME"/>
        </w:rPr>
        <w:t>čka</w:t>
      </w:r>
      <w:r w:rsidRPr="0047585D">
        <w:rPr>
          <w:lang w:val="sr-Latn-ME"/>
        </w:rPr>
        <w:t xml:space="preserve"> stabilnost rekonstitui</w:t>
      </w:r>
      <w:r w:rsidR="006D7892" w:rsidRPr="0047585D">
        <w:rPr>
          <w:lang w:val="sr-Latn-ME"/>
        </w:rPr>
        <w:t>sano</w:t>
      </w:r>
      <w:r w:rsidRPr="0047585D">
        <w:rPr>
          <w:lang w:val="sr-Latn-ME"/>
        </w:rPr>
        <w:t xml:space="preserve">g lijeka u primjeni dokazana je pri 2 °C do 8 °C </w:t>
      </w:r>
      <w:r w:rsidR="005D04EB" w:rsidRPr="0047585D">
        <w:rPr>
          <w:lang w:val="sr-Latn-ME"/>
        </w:rPr>
        <w:t>tokom</w:t>
      </w:r>
      <w:r w:rsidRPr="0047585D">
        <w:rPr>
          <w:lang w:val="sr-Latn-ME"/>
        </w:rPr>
        <w:t xml:space="preserve"> 22</w:t>
      </w:r>
      <w:r w:rsidRPr="0047585D">
        <w:rPr>
          <w:spacing w:val="-5"/>
          <w:lang w:val="sr-Latn-ME"/>
        </w:rPr>
        <w:t xml:space="preserve"> </w:t>
      </w:r>
      <w:r w:rsidRPr="0047585D">
        <w:rPr>
          <w:lang w:val="sr-Latn-ME"/>
        </w:rPr>
        <w:t>sata.</w:t>
      </w:r>
    </w:p>
    <w:p w14:paraId="4ED8C3C7" w14:textId="17A199C4" w:rsidR="0084478E" w:rsidRPr="0047585D" w:rsidRDefault="00200D97" w:rsidP="00357F8B">
      <w:pPr>
        <w:pStyle w:val="BodyText"/>
        <w:spacing w:after="200"/>
        <w:jc w:val="both"/>
        <w:rPr>
          <w:lang w:val="sr-Latn-ME"/>
        </w:rPr>
      </w:pPr>
      <w:r w:rsidRPr="0047585D">
        <w:rPr>
          <w:lang w:val="sr-Latn-ME"/>
        </w:rPr>
        <w:t>S mikrobiološk</w:t>
      </w:r>
      <w:r w:rsidR="001D4FE5" w:rsidRPr="0047585D">
        <w:rPr>
          <w:lang w:val="sr-Latn-ME"/>
        </w:rPr>
        <w:t>e tačke gledišta</w:t>
      </w:r>
      <w:r w:rsidRPr="0047585D">
        <w:rPr>
          <w:lang w:val="sr-Latn-ME"/>
        </w:rPr>
        <w:t>, rekonstitui</w:t>
      </w:r>
      <w:r w:rsidR="00F8443B" w:rsidRPr="0047585D">
        <w:rPr>
          <w:lang w:val="sr-Latn-ME"/>
        </w:rPr>
        <w:t>s</w:t>
      </w:r>
      <w:r w:rsidRPr="0047585D">
        <w:rPr>
          <w:lang w:val="sr-Latn-ME"/>
        </w:rPr>
        <w:t xml:space="preserve">ani lijek treba odmah upotrijebiti. Ako se ne upotrijebi odmah, za vrijeme i </w:t>
      </w:r>
      <w:r w:rsidR="00F8443B" w:rsidRPr="0047585D">
        <w:rPr>
          <w:lang w:val="sr-Latn-ME"/>
        </w:rPr>
        <w:t>uslov</w:t>
      </w:r>
      <w:r w:rsidRPr="0047585D">
        <w:rPr>
          <w:lang w:val="sr-Latn-ME"/>
        </w:rPr>
        <w:t>e čuvanja prije upo</w:t>
      </w:r>
      <w:r w:rsidR="00F8443B" w:rsidRPr="0047585D">
        <w:rPr>
          <w:lang w:val="sr-Latn-ME"/>
        </w:rPr>
        <w:t>treb</w:t>
      </w:r>
      <w:r w:rsidRPr="0047585D">
        <w:rPr>
          <w:lang w:val="sr-Latn-ME"/>
        </w:rPr>
        <w:t xml:space="preserve">e odgovoran je korisnik, </w:t>
      </w:r>
      <w:r w:rsidR="001D4FE5" w:rsidRPr="0047585D">
        <w:rPr>
          <w:lang w:val="sr-Latn-ME"/>
        </w:rPr>
        <w:t xml:space="preserve">a </w:t>
      </w:r>
      <w:r w:rsidRPr="0047585D">
        <w:rPr>
          <w:lang w:val="sr-Latn-ME"/>
        </w:rPr>
        <w:t>vrijeme čuvanja ne smije biti du</w:t>
      </w:r>
      <w:r w:rsidR="00F8443B" w:rsidRPr="0047585D">
        <w:rPr>
          <w:lang w:val="sr-Latn-ME"/>
        </w:rPr>
        <w:t>ž</w:t>
      </w:r>
      <w:r w:rsidRPr="0047585D">
        <w:rPr>
          <w:lang w:val="sr-Latn-ME"/>
        </w:rPr>
        <w:t>e od 8 sati pri 2 °C do 8 °C kada se za rekonstituciju upotrebljava voda za injekcije koja nije bila rashlađena ili ne du</w:t>
      </w:r>
      <w:r w:rsidR="00F8443B" w:rsidRPr="0047585D">
        <w:rPr>
          <w:lang w:val="sr-Latn-ME"/>
        </w:rPr>
        <w:t>ž</w:t>
      </w:r>
      <w:r w:rsidRPr="0047585D">
        <w:rPr>
          <w:lang w:val="sr-Latn-ME"/>
        </w:rPr>
        <w:t>e od 22 sata kada se za rekonstituciju upotrebljava rashlađena voda za injekcije (2°C do 8 °C).</w:t>
      </w:r>
    </w:p>
    <w:p w14:paraId="6CDB97BC" w14:textId="77777777" w:rsidR="0084478E" w:rsidRPr="0047585D" w:rsidRDefault="00200D97" w:rsidP="00357F8B">
      <w:pPr>
        <w:widowControl/>
        <w:numPr>
          <w:ilvl w:val="1"/>
          <w:numId w:val="11"/>
        </w:numPr>
        <w:tabs>
          <w:tab w:val="left" w:pos="540"/>
          <w:tab w:val="left" w:pos="569"/>
        </w:tabs>
        <w:autoSpaceDE/>
        <w:autoSpaceDN/>
        <w:spacing w:after="200"/>
        <w:ind w:left="0" w:firstLine="0"/>
        <w:rPr>
          <w:b/>
          <w:bCs/>
          <w:lang w:val="sr-Latn-ME"/>
        </w:rPr>
      </w:pPr>
      <w:r w:rsidRPr="0047585D">
        <w:rPr>
          <w:b/>
          <w:bCs/>
          <w:lang w:val="sr-Latn-ME"/>
        </w:rPr>
        <w:lastRenderedPageBreak/>
        <w:t>Posebne mjere upozorenja pri čuvanju lijeka</w:t>
      </w:r>
    </w:p>
    <w:p w14:paraId="3F58FD76" w14:textId="77777777" w:rsidR="0084478E" w:rsidRPr="0047585D" w:rsidRDefault="00200D97" w:rsidP="00A56A66">
      <w:pPr>
        <w:pStyle w:val="BodyText"/>
        <w:rPr>
          <w:lang w:val="sr-Latn-ME"/>
        </w:rPr>
      </w:pPr>
      <w:r w:rsidRPr="0047585D">
        <w:rPr>
          <w:u w:val="single"/>
          <w:lang w:val="sr-Latn-ME"/>
        </w:rPr>
        <w:t>Neotvorene bočice</w:t>
      </w:r>
    </w:p>
    <w:p w14:paraId="54005C93" w14:textId="77777777" w:rsidR="0084478E" w:rsidRPr="0047585D" w:rsidRDefault="00200D97" w:rsidP="00A56A66">
      <w:pPr>
        <w:pStyle w:val="BodyText"/>
        <w:rPr>
          <w:lang w:val="sr-Latn-ME"/>
        </w:rPr>
      </w:pPr>
      <w:r w:rsidRPr="0047585D">
        <w:rPr>
          <w:lang w:val="sr-Latn-ME"/>
        </w:rPr>
        <w:t>Lijek ne zahtijeva posebne u</w:t>
      </w:r>
      <w:r w:rsidR="00F8443B" w:rsidRPr="0047585D">
        <w:rPr>
          <w:lang w:val="sr-Latn-ME"/>
        </w:rPr>
        <w:t>slove</w:t>
      </w:r>
      <w:r w:rsidRPr="0047585D">
        <w:rPr>
          <w:lang w:val="sr-Latn-ME"/>
        </w:rPr>
        <w:t xml:space="preserve"> čuvanja.</w:t>
      </w:r>
    </w:p>
    <w:p w14:paraId="03EAAF0E" w14:textId="77777777" w:rsidR="00AA6D65" w:rsidRDefault="00AA6D65" w:rsidP="00A56A66">
      <w:pPr>
        <w:pStyle w:val="BodyText"/>
        <w:rPr>
          <w:u w:val="single"/>
          <w:lang w:val="sr-Latn-ME"/>
        </w:rPr>
      </w:pPr>
    </w:p>
    <w:p w14:paraId="2CEC62E6" w14:textId="158AABBA" w:rsidR="0084478E" w:rsidRPr="0047585D" w:rsidRDefault="00200D97" w:rsidP="00A56A66">
      <w:pPr>
        <w:pStyle w:val="BodyText"/>
        <w:rPr>
          <w:lang w:val="sr-Latn-ME"/>
        </w:rPr>
      </w:pPr>
      <w:r w:rsidRPr="0047585D">
        <w:rPr>
          <w:u w:val="single"/>
          <w:lang w:val="sr-Latn-ME"/>
        </w:rPr>
        <w:t>Rekonstitui</w:t>
      </w:r>
      <w:r w:rsidR="006D7892" w:rsidRPr="0047585D">
        <w:rPr>
          <w:u w:val="single"/>
          <w:lang w:val="sr-Latn-ME"/>
        </w:rPr>
        <w:t>s</w:t>
      </w:r>
      <w:r w:rsidRPr="0047585D">
        <w:rPr>
          <w:u w:val="single"/>
          <w:lang w:val="sr-Latn-ME"/>
        </w:rPr>
        <w:t>ana suspenzija</w:t>
      </w:r>
    </w:p>
    <w:p w14:paraId="039ACFD3" w14:textId="0AB07041" w:rsidR="0084478E" w:rsidRDefault="00200D97" w:rsidP="00A56A66">
      <w:pPr>
        <w:pStyle w:val="BodyText"/>
        <w:rPr>
          <w:lang w:val="sr-Latn-ME"/>
        </w:rPr>
      </w:pPr>
      <w:r w:rsidRPr="0047585D">
        <w:rPr>
          <w:lang w:val="sr-Latn-ME"/>
        </w:rPr>
        <w:t>U</w:t>
      </w:r>
      <w:r w:rsidR="00F8443B" w:rsidRPr="0047585D">
        <w:rPr>
          <w:lang w:val="sr-Latn-ME"/>
        </w:rPr>
        <w:t>slov</w:t>
      </w:r>
      <w:r w:rsidRPr="0047585D">
        <w:rPr>
          <w:lang w:val="sr-Latn-ME"/>
        </w:rPr>
        <w:t>e čuvanja nakon rekonstitucije lijeka vidjeti u dijelu 6.3.</w:t>
      </w:r>
    </w:p>
    <w:p w14:paraId="2DCF3386" w14:textId="77777777" w:rsidR="00AA6D65" w:rsidRPr="0047585D" w:rsidRDefault="00AA6D65" w:rsidP="00A56A66">
      <w:pPr>
        <w:pStyle w:val="BodyText"/>
        <w:rPr>
          <w:lang w:val="sr-Latn-ME"/>
        </w:rPr>
      </w:pPr>
    </w:p>
    <w:p w14:paraId="652382F4" w14:textId="77777777" w:rsidR="0084478E" w:rsidRPr="0047585D" w:rsidRDefault="00200D97" w:rsidP="00357F8B">
      <w:pPr>
        <w:widowControl/>
        <w:numPr>
          <w:ilvl w:val="1"/>
          <w:numId w:val="11"/>
        </w:numPr>
        <w:tabs>
          <w:tab w:val="left" w:pos="540"/>
          <w:tab w:val="left" w:pos="569"/>
        </w:tabs>
        <w:autoSpaceDE/>
        <w:autoSpaceDN/>
        <w:spacing w:after="200"/>
        <w:ind w:left="0" w:firstLine="0"/>
        <w:rPr>
          <w:b/>
          <w:bCs/>
          <w:lang w:val="sr-Latn-ME"/>
        </w:rPr>
      </w:pPr>
      <w:r w:rsidRPr="0047585D">
        <w:rPr>
          <w:b/>
          <w:bCs/>
          <w:lang w:val="sr-Latn-ME"/>
        </w:rPr>
        <w:t>Vrsta i sadržaj pakovanja</w:t>
      </w:r>
    </w:p>
    <w:p w14:paraId="1E63B86A" w14:textId="77777777" w:rsidR="0084478E" w:rsidRPr="0047585D" w:rsidRDefault="00200D97" w:rsidP="00357F8B">
      <w:pPr>
        <w:pStyle w:val="BodyText"/>
        <w:spacing w:after="200"/>
        <w:rPr>
          <w:lang w:val="sr-Latn-ME"/>
        </w:rPr>
      </w:pPr>
      <w:r w:rsidRPr="0047585D">
        <w:rPr>
          <w:lang w:val="sr-Latn-ME"/>
        </w:rPr>
        <w:t>Bezbojna staklena bočica tip I sa 100 mg azacitidina, zatvorena butilnim gumenim čepom i aluminijskim prstenom s plastičnim</w:t>
      </w:r>
      <w:r w:rsidR="001D4FE5" w:rsidRPr="0047585D">
        <w:rPr>
          <w:lang w:val="sr-Latn-ME"/>
        </w:rPr>
        <w:t xml:space="preserve"> poklopcem.</w:t>
      </w:r>
    </w:p>
    <w:p w14:paraId="72A671F4" w14:textId="77777777" w:rsidR="0084478E" w:rsidRPr="0047585D" w:rsidRDefault="00200D97" w:rsidP="00357F8B">
      <w:pPr>
        <w:pStyle w:val="BodyText"/>
        <w:spacing w:after="200"/>
        <w:rPr>
          <w:lang w:val="sr-Latn-ME"/>
        </w:rPr>
      </w:pPr>
      <w:r w:rsidRPr="0047585D">
        <w:rPr>
          <w:lang w:val="sr-Latn-ME"/>
        </w:rPr>
        <w:t>Veličina pak</w:t>
      </w:r>
      <w:r w:rsidR="00F8443B" w:rsidRPr="0047585D">
        <w:rPr>
          <w:lang w:val="sr-Latn-ME"/>
        </w:rPr>
        <w:t>ovan</w:t>
      </w:r>
      <w:r w:rsidRPr="0047585D">
        <w:rPr>
          <w:lang w:val="sr-Latn-ME"/>
        </w:rPr>
        <w:t>ja: 1 bočica</w:t>
      </w:r>
      <w:r w:rsidR="001D4FE5" w:rsidRPr="0047585D">
        <w:rPr>
          <w:lang w:val="sr-Latn-ME"/>
        </w:rPr>
        <w:t xml:space="preserve"> sa 100 mg azacitidina.</w:t>
      </w:r>
    </w:p>
    <w:p w14:paraId="766E875D" w14:textId="77777777" w:rsidR="00277642" w:rsidRPr="0047585D" w:rsidRDefault="00277642" w:rsidP="00357F8B">
      <w:pPr>
        <w:widowControl/>
        <w:tabs>
          <w:tab w:val="left" w:pos="540"/>
          <w:tab w:val="left" w:pos="569"/>
        </w:tabs>
        <w:autoSpaceDE/>
        <w:autoSpaceDN/>
        <w:spacing w:after="200"/>
        <w:rPr>
          <w:b/>
          <w:bCs/>
          <w:lang w:val="sr-Latn-ME"/>
        </w:rPr>
      </w:pPr>
      <w:r w:rsidRPr="0047585D">
        <w:rPr>
          <w:b/>
          <w:bCs/>
          <w:lang w:val="sr-Latn-ME"/>
        </w:rPr>
        <w:t xml:space="preserve">6.6. </w:t>
      </w:r>
      <w:r w:rsidRPr="0047585D">
        <w:rPr>
          <w:b/>
          <w:bCs/>
          <w:lang w:val="sr-Latn-ME"/>
        </w:rPr>
        <w:tab/>
      </w:r>
      <w:r w:rsidRPr="0047585D">
        <w:rPr>
          <w:b/>
          <w:bCs/>
          <w:color w:val="000000"/>
          <w:lang w:val="sr-Latn-ME"/>
        </w:rPr>
        <w:t>Posebne mjere opreza pri odlaganju materijala koji treba odbaciti nakon primjene lijeka</w:t>
      </w:r>
      <w:r w:rsidRPr="0047585D">
        <w:rPr>
          <w:b/>
          <w:bCs/>
          <w:lang w:val="sr-Latn-ME"/>
        </w:rPr>
        <w:t xml:space="preserve"> (i druga uputstva za rukovanje lijekom) </w:t>
      </w:r>
    </w:p>
    <w:p w14:paraId="094BE004" w14:textId="77777777" w:rsidR="001D4FE5" w:rsidRPr="0047585D" w:rsidRDefault="001D4FE5" w:rsidP="00A56A66">
      <w:pPr>
        <w:pStyle w:val="BodyText"/>
        <w:jc w:val="both"/>
        <w:rPr>
          <w:lang w:val="sr-Latn-ME"/>
        </w:rPr>
      </w:pPr>
      <w:r w:rsidRPr="0047585D">
        <w:rPr>
          <w:u w:val="single"/>
          <w:lang w:val="sr-Latn-ME"/>
        </w:rPr>
        <w:t>Uputstvo za bezbjedno rukovanje</w:t>
      </w:r>
    </w:p>
    <w:p w14:paraId="3EDDBC37" w14:textId="7ED7DBCD" w:rsidR="001D4FE5" w:rsidRPr="0047585D" w:rsidRDefault="001D4FE5" w:rsidP="00A56A66">
      <w:pPr>
        <w:pStyle w:val="BodyText"/>
        <w:jc w:val="both"/>
        <w:rPr>
          <w:lang w:val="sr-Latn-ME"/>
        </w:rPr>
      </w:pPr>
      <w:r w:rsidRPr="0047585D">
        <w:rPr>
          <w:lang w:val="sr-Latn-ME"/>
        </w:rPr>
        <w:t>Lijek Azacitidine Accord je citotoksični lijek pa je, kao i s drugim potencijalno toksičnim supstancama, potreban oprez pri rukovanju i pripremi suspenzija azacitidina. Treba primijeniti postupke za pravilno rukovanje i odlaganje antitumorskih ljekova.</w:t>
      </w:r>
    </w:p>
    <w:p w14:paraId="3A1846DA" w14:textId="77777777" w:rsidR="007D6BC7" w:rsidRPr="0047585D" w:rsidRDefault="007D6BC7" w:rsidP="00A56A66">
      <w:pPr>
        <w:pStyle w:val="BodyText"/>
        <w:jc w:val="both"/>
        <w:rPr>
          <w:lang w:val="sr-Latn-ME"/>
        </w:rPr>
      </w:pPr>
    </w:p>
    <w:p w14:paraId="203389FA" w14:textId="0BB93427" w:rsidR="007D6BC7" w:rsidRPr="0047585D" w:rsidRDefault="001D4FE5" w:rsidP="00A56A66">
      <w:pPr>
        <w:pStyle w:val="BodyText"/>
        <w:jc w:val="both"/>
        <w:rPr>
          <w:lang w:val="sr-Latn-ME"/>
        </w:rPr>
      </w:pPr>
      <w:r w:rsidRPr="0047585D">
        <w:rPr>
          <w:lang w:val="sr-Latn-ME"/>
        </w:rPr>
        <w:t>Ako rekonstituisani azacitidin dođe u dodir s kožom, treba je odmah dobro isprati sapunom i vodom. Ako dođe u dodir sa sluznicama, treba ih dobro isprati vodom.</w:t>
      </w:r>
    </w:p>
    <w:p w14:paraId="198FFB36" w14:textId="3A92B427" w:rsidR="007D6BC7" w:rsidRPr="0047585D" w:rsidRDefault="007D6BC7" w:rsidP="00A56A66">
      <w:pPr>
        <w:pStyle w:val="BodyText"/>
        <w:jc w:val="both"/>
        <w:rPr>
          <w:lang w:val="sr-Latn-ME"/>
        </w:rPr>
      </w:pPr>
    </w:p>
    <w:p w14:paraId="50CDDE47" w14:textId="77777777" w:rsidR="001D4FE5" w:rsidRPr="0047585D" w:rsidRDefault="001D4FE5" w:rsidP="00A56A66">
      <w:pPr>
        <w:pStyle w:val="BodyText"/>
        <w:jc w:val="both"/>
        <w:rPr>
          <w:lang w:val="sr-Latn-ME"/>
        </w:rPr>
      </w:pPr>
      <w:r w:rsidRPr="0047585D">
        <w:rPr>
          <w:u w:val="single"/>
          <w:lang w:val="sr-Latn-ME"/>
        </w:rPr>
        <w:t>Postupak rekonstitucije</w:t>
      </w:r>
    </w:p>
    <w:p w14:paraId="04D52642" w14:textId="2DFB69EA" w:rsidR="001D4FE5" w:rsidRDefault="001D4FE5" w:rsidP="00A56A66">
      <w:pPr>
        <w:pStyle w:val="BodyText"/>
        <w:jc w:val="both"/>
        <w:rPr>
          <w:lang w:val="sr-Latn-ME"/>
        </w:rPr>
      </w:pPr>
      <w:r w:rsidRPr="0047585D">
        <w:rPr>
          <w:lang w:val="sr-Latn-ME"/>
        </w:rPr>
        <w:t>Lijek Azacitidine Accord treba rekonstituisati vodom za injekcije. Rok upotrebe rekonstituisanog lijeka može se produžiti rekonstitucijom rashlađenom vodom za injekcije (2 °C do 8 °C). Pojedinosti o čuvanju rekonstituisanog lijeka navedene su niže.</w:t>
      </w:r>
    </w:p>
    <w:p w14:paraId="211B01D6" w14:textId="77777777" w:rsidR="00E71669" w:rsidRPr="0047585D" w:rsidRDefault="00E71669" w:rsidP="00A56A66">
      <w:pPr>
        <w:pStyle w:val="BodyText"/>
        <w:jc w:val="both"/>
        <w:rPr>
          <w:lang w:val="sr-Latn-ME"/>
        </w:rPr>
      </w:pPr>
    </w:p>
    <w:p w14:paraId="5ABD2C3F" w14:textId="2916041A" w:rsidR="00DD0B9D" w:rsidRDefault="001D4FE5" w:rsidP="00A56A66">
      <w:pPr>
        <w:pStyle w:val="ListParagraph"/>
        <w:numPr>
          <w:ilvl w:val="0"/>
          <w:numId w:val="13"/>
        </w:numPr>
        <w:tabs>
          <w:tab w:val="left" w:pos="426"/>
        </w:tabs>
        <w:ind w:hanging="720"/>
        <w:jc w:val="both"/>
        <w:rPr>
          <w:lang w:val="sr-Latn-ME"/>
        </w:rPr>
      </w:pPr>
      <w:r w:rsidRPr="00DD0B9D">
        <w:rPr>
          <w:lang w:val="sr-Latn-ME"/>
        </w:rPr>
        <w:t>Potrebno je pripremiti sljedeći</w:t>
      </w:r>
      <w:r w:rsidRPr="00DD0B9D">
        <w:rPr>
          <w:spacing w:val="-5"/>
          <w:lang w:val="sr-Latn-ME"/>
        </w:rPr>
        <w:t xml:space="preserve"> </w:t>
      </w:r>
      <w:r w:rsidRPr="00DD0B9D">
        <w:rPr>
          <w:lang w:val="sr-Latn-ME"/>
        </w:rPr>
        <w:t>pribor:</w:t>
      </w:r>
      <w:r w:rsidR="00DD0B9D" w:rsidRPr="00DD0B9D">
        <w:rPr>
          <w:lang w:val="sr-Latn-ME"/>
        </w:rPr>
        <w:t xml:space="preserve"> </w:t>
      </w:r>
    </w:p>
    <w:p w14:paraId="4FFA9B3E" w14:textId="3C671C80" w:rsidR="001D4FE5" w:rsidRPr="00DD0B9D" w:rsidRDefault="001D4FE5" w:rsidP="00E71669">
      <w:pPr>
        <w:pStyle w:val="ListParagraph"/>
        <w:tabs>
          <w:tab w:val="left" w:pos="426"/>
        </w:tabs>
        <w:ind w:left="426" w:firstLine="0"/>
        <w:jc w:val="both"/>
        <w:rPr>
          <w:lang w:val="sr-Latn-ME"/>
        </w:rPr>
      </w:pPr>
      <w:r w:rsidRPr="00DD0B9D">
        <w:rPr>
          <w:lang w:val="sr-Latn-ME"/>
        </w:rPr>
        <w:t>bočicu (bočice) azacitidina; bočicu (bočice) vode za injekcije; nesterilne hirurške rukavice; maramice natopljene alkoholom; špric (špriceve) za injekciju od 5 ml s iglom (iglama).</w:t>
      </w:r>
    </w:p>
    <w:p w14:paraId="36B40456" w14:textId="4CA81B4F" w:rsidR="00DD0B9D" w:rsidRDefault="001D4FE5" w:rsidP="00A56A66">
      <w:pPr>
        <w:pStyle w:val="ListParagraph"/>
        <w:numPr>
          <w:ilvl w:val="0"/>
          <w:numId w:val="13"/>
        </w:numPr>
        <w:tabs>
          <w:tab w:val="left" w:pos="426"/>
        </w:tabs>
        <w:ind w:hanging="720"/>
        <w:jc w:val="both"/>
        <w:rPr>
          <w:lang w:val="sr-Latn-ME"/>
        </w:rPr>
      </w:pPr>
      <w:r w:rsidRPr="0047585D">
        <w:rPr>
          <w:lang w:val="sr-Latn-ME"/>
        </w:rPr>
        <w:t>4 ml vode za injekcije treba uvući u špric, osiguravajući da se istisne sav vazduh iz</w:t>
      </w:r>
      <w:r w:rsidRPr="0047585D">
        <w:rPr>
          <w:spacing w:val="-18"/>
          <w:lang w:val="sr-Latn-ME"/>
        </w:rPr>
        <w:t xml:space="preserve"> </w:t>
      </w:r>
      <w:r w:rsidRPr="0047585D">
        <w:rPr>
          <w:lang w:val="sr-Latn-ME"/>
        </w:rPr>
        <w:t>šprica.</w:t>
      </w:r>
    </w:p>
    <w:p w14:paraId="43336609" w14:textId="682C7293" w:rsidR="00B91E1D" w:rsidRPr="00741040" w:rsidRDefault="001D4FE5" w:rsidP="00A56A66">
      <w:pPr>
        <w:pStyle w:val="ListParagraph"/>
        <w:numPr>
          <w:ilvl w:val="0"/>
          <w:numId w:val="13"/>
        </w:numPr>
        <w:tabs>
          <w:tab w:val="left" w:pos="567"/>
        </w:tabs>
        <w:ind w:left="426" w:hanging="426"/>
        <w:jc w:val="both"/>
        <w:rPr>
          <w:lang w:val="sr-Latn-ME"/>
        </w:rPr>
      </w:pPr>
      <w:r w:rsidRPr="00741040">
        <w:rPr>
          <w:lang w:val="sr-Latn-ME"/>
        </w:rPr>
        <w:t>Iglu šprica s 4 ml vode za injekcije treba ubosti kroz gumeni čep na vrhu bočice azacitidina pa ubrizgati vodu za injekcije u</w:t>
      </w:r>
      <w:r w:rsidRPr="00741040">
        <w:rPr>
          <w:spacing w:val="-2"/>
          <w:lang w:val="sr-Latn-ME"/>
        </w:rPr>
        <w:t xml:space="preserve"> </w:t>
      </w:r>
      <w:r w:rsidRPr="00741040">
        <w:rPr>
          <w:lang w:val="sr-Latn-ME"/>
        </w:rPr>
        <w:t>bočicu.</w:t>
      </w:r>
    </w:p>
    <w:p w14:paraId="28F1AB60" w14:textId="4F4E0324" w:rsidR="00B91E1D" w:rsidRPr="00A56A66" w:rsidRDefault="001D4FE5" w:rsidP="00A56A66">
      <w:pPr>
        <w:pStyle w:val="ListParagraph"/>
        <w:numPr>
          <w:ilvl w:val="0"/>
          <w:numId w:val="13"/>
        </w:numPr>
        <w:tabs>
          <w:tab w:val="left" w:pos="567"/>
        </w:tabs>
        <w:ind w:left="426" w:hanging="426"/>
        <w:jc w:val="both"/>
        <w:rPr>
          <w:u w:val="single"/>
          <w:lang w:val="sr-Latn-ME"/>
        </w:rPr>
      </w:pPr>
      <w:r w:rsidRPr="00741040">
        <w:rPr>
          <w:lang w:val="sr-Latn-ME"/>
        </w:rPr>
        <w:t xml:space="preserve">Nakon uklanjanja šprica i igle, bočicu treba energično protresti dok se ne dobije homogena </w:t>
      </w:r>
      <w:r w:rsidRPr="00157369">
        <w:rPr>
          <w:lang w:val="sr-Latn-ME"/>
        </w:rPr>
        <w:t>mutna suspenzija. Nakon rekonstitucije svaki ml suspenzije sadrži 25 mg</w:t>
      </w:r>
      <w:r w:rsidRPr="00157369">
        <w:rPr>
          <w:spacing w:val="-10"/>
          <w:lang w:val="sr-Latn-ME"/>
        </w:rPr>
        <w:t xml:space="preserve"> </w:t>
      </w:r>
      <w:r w:rsidRPr="00157369">
        <w:rPr>
          <w:lang w:val="sr-Latn-ME"/>
        </w:rPr>
        <w:t>azacitidina</w:t>
      </w:r>
      <w:r w:rsidR="00B91E1D" w:rsidRPr="00157369">
        <w:rPr>
          <w:lang w:val="sr-Latn-ME"/>
        </w:rPr>
        <w:t xml:space="preserve"> </w:t>
      </w:r>
      <w:r w:rsidRPr="00157369">
        <w:rPr>
          <w:lang w:val="sr-Latn-ME"/>
        </w:rPr>
        <w:t xml:space="preserve">(100 mg/4 ml). Rekonstituisani lijek je homogena, mutna suspenzija bez aglomerata. </w:t>
      </w:r>
      <w:r w:rsidRPr="00157369">
        <w:rPr>
          <w:u w:val="single"/>
          <w:lang w:val="sr-Latn-ME"/>
        </w:rPr>
        <w:t>Lijek treba</w:t>
      </w:r>
      <w:r w:rsidRPr="00A56A66">
        <w:rPr>
          <w:u w:val="single"/>
          <w:lang w:val="sr-Latn-ME"/>
        </w:rPr>
        <w:t xml:space="preserve"> </w:t>
      </w:r>
      <w:r w:rsidRPr="00741040">
        <w:rPr>
          <w:u w:val="single"/>
          <w:lang w:val="sr-Latn-ME"/>
        </w:rPr>
        <w:t>baciti ako sadrži velike čestice ili aglomerate. Ne filtrirajte suspenziju nakon rekonstitucije jer to</w:t>
      </w:r>
      <w:r w:rsidRPr="00A56A66">
        <w:rPr>
          <w:u w:val="single"/>
          <w:lang w:val="sr-Latn-ME"/>
        </w:rPr>
        <w:t xml:space="preserve"> </w:t>
      </w:r>
      <w:r w:rsidRPr="00741040">
        <w:rPr>
          <w:u w:val="single"/>
          <w:lang w:val="sr-Latn-ME"/>
        </w:rPr>
        <w:t>može ukloniti aktivnu supstancu. Mora se uzeti u obzir da su filtri prisutni kod nekih nastavaka,</w:t>
      </w:r>
      <w:r w:rsidRPr="00A56A66">
        <w:rPr>
          <w:u w:val="single"/>
          <w:lang w:val="sr-Latn-ME"/>
        </w:rPr>
        <w:t xml:space="preserve"> </w:t>
      </w:r>
      <w:r w:rsidRPr="00741040">
        <w:rPr>
          <w:u w:val="single"/>
          <w:lang w:val="sr-Latn-ME"/>
        </w:rPr>
        <w:t>šiljaka i zatvorenih sistema; stoga se takvi sistemi ne smiju upotrebljavati za primjenu lijeka</w:t>
      </w:r>
      <w:r w:rsidRPr="00A56A66">
        <w:rPr>
          <w:u w:val="single"/>
          <w:lang w:val="sr-Latn-ME"/>
        </w:rPr>
        <w:t xml:space="preserve"> </w:t>
      </w:r>
      <w:r w:rsidRPr="00741040">
        <w:rPr>
          <w:u w:val="single"/>
          <w:lang w:val="sr-Latn-ME"/>
        </w:rPr>
        <w:t>nakon rekonstitucije</w:t>
      </w:r>
      <w:r w:rsidRPr="00A56A66">
        <w:rPr>
          <w:u w:val="single"/>
          <w:lang w:val="sr-Latn-ME"/>
        </w:rPr>
        <w:t>.</w:t>
      </w:r>
    </w:p>
    <w:p w14:paraId="0262B13A" w14:textId="7EDB5637" w:rsidR="00B91E1D" w:rsidRPr="00741040" w:rsidRDefault="001D4FE5" w:rsidP="00A56A66">
      <w:pPr>
        <w:pStyle w:val="ListParagraph"/>
        <w:numPr>
          <w:ilvl w:val="0"/>
          <w:numId w:val="13"/>
        </w:numPr>
        <w:tabs>
          <w:tab w:val="left" w:pos="567"/>
        </w:tabs>
        <w:ind w:left="426" w:hanging="426"/>
        <w:jc w:val="both"/>
        <w:rPr>
          <w:lang w:val="sr-Latn-ME"/>
        </w:rPr>
      </w:pPr>
      <w:r w:rsidRPr="00741040">
        <w:rPr>
          <w:lang w:val="sr-Latn-ME"/>
        </w:rPr>
        <w:t>Gumeni čep treba obrisati i u bočicu umetnuti novi špric s iglom. Bočicu treba okrenuti naopačke, osiguravajući da vrh igle bude ispod nivoa tečnosti. Klip treba povući prema nazad kako bi se u špric povukla količina lijeka potrebna za odgovarajuću dozu, osiguravajući da se istisne sav vaz</w:t>
      </w:r>
      <w:r w:rsidRPr="00157369">
        <w:rPr>
          <w:lang w:val="sr-Latn-ME"/>
        </w:rPr>
        <w:t xml:space="preserve">duh iz šprica. Špric s iglom treba ukloniti iz bočice pa iglu </w:t>
      </w:r>
      <w:r w:rsidRPr="00157369">
        <w:rPr>
          <w:spacing w:val="-31"/>
          <w:lang w:val="sr-Latn-ME"/>
        </w:rPr>
        <w:t xml:space="preserve"> </w:t>
      </w:r>
      <w:r w:rsidRPr="00157369">
        <w:rPr>
          <w:lang w:val="sr-Latn-ME"/>
        </w:rPr>
        <w:t>odložiti.</w:t>
      </w:r>
    </w:p>
    <w:p w14:paraId="60CDAFDD" w14:textId="48E82919" w:rsidR="00741040" w:rsidRPr="00741040" w:rsidRDefault="001D4FE5" w:rsidP="00A56A66">
      <w:pPr>
        <w:pStyle w:val="ListParagraph"/>
        <w:numPr>
          <w:ilvl w:val="0"/>
          <w:numId w:val="13"/>
        </w:numPr>
        <w:tabs>
          <w:tab w:val="left" w:pos="567"/>
        </w:tabs>
        <w:ind w:left="426" w:hanging="426"/>
        <w:jc w:val="both"/>
        <w:rPr>
          <w:lang w:val="sr-Latn-ME"/>
        </w:rPr>
      </w:pPr>
      <w:r w:rsidRPr="00157369">
        <w:rPr>
          <w:lang w:val="sr-Latn-ME"/>
        </w:rPr>
        <w:t>Novu su</w:t>
      </w:r>
      <w:r w:rsidR="00D542A4">
        <w:rPr>
          <w:lang w:val="sr-Latn-ME"/>
        </w:rPr>
        <w:t>b</w:t>
      </w:r>
      <w:r w:rsidRPr="00157369">
        <w:rPr>
          <w:lang w:val="sr-Latn-ME"/>
        </w:rPr>
        <w:t>kutanu iglu (preporučeno od 25 G) treba dobro pričvrstiti na špric. Prije davanja injekcije, iz igle se ne smije ištrcavati sadržaj da bi se izbjegle reakcije na mjestu</w:t>
      </w:r>
      <w:r w:rsidRPr="00157369">
        <w:rPr>
          <w:spacing w:val="-26"/>
          <w:lang w:val="sr-Latn-ME"/>
        </w:rPr>
        <w:t xml:space="preserve"> </w:t>
      </w:r>
      <w:r w:rsidRPr="00157369">
        <w:rPr>
          <w:lang w:val="sr-Latn-ME"/>
        </w:rPr>
        <w:t>primjene.</w:t>
      </w:r>
    </w:p>
    <w:p w14:paraId="78DC0689" w14:textId="0D7D81BF" w:rsidR="00741040" w:rsidRDefault="001D4FE5" w:rsidP="00A56A66">
      <w:pPr>
        <w:pStyle w:val="ListParagraph"/>
        <w:numPr>
          <w:ilvl w:val="0"/>
          <w:numId w:val="13"/>
        </w:numPr>
        <w:ind w:left="426" w:hanging="426"/>
        <w:jc w:val="both"/>
        <w:rPr>
          <w:lang w:val="sr-Latn-ME"/>
        </w:rPr>
      </w:pPr>
      <w:r w:rsidRPr="00157369">
        <w:rPr>
          <w:lang w:val="sr-Latn-ME"/>
        </w:rPr>
        <w:t>Kada je potrebno više od 1 bočice, ponovite sve ranije navedene postupke za pripremu suspenzije. Za doze koje zahtijevaju više od 1 bočice, dozu treba jednako podijeliti, npr. doza 150 mg = 6 ml, 2 šprica s 3 ml u svakom špricu. Zbog zadržavanja u bočici i igli, možda nije izvodljivo izvlačenje cijele količine suspenzije iz</w:t>
      </w:r>
      <w:r w:rsidRPr="00741040">
        <w:rPr>
          <w:spacing w:val="-11"/>
          <w:lang w:val="sr-Latn-ME"/>
        </w:rPr>
        <w:t xml:space="preserve"> </w:t>
      </w:r>
      <w:r w:rsidRPr="00741040">
        <w:rPr>
          <w:lang w:val="sr-Latn-ME"/>
        </w:rPr>
        <w:t>bočice.</w:t>
      </w:r>
    </w:p>
    <w:p w14:paraId="227F8745" w14:textId="25B90B8D" w:rsidR="00741040" w:rsidRPr="00717834" w:rsidRDefault="001D4FE5" w:rsidP="00A56A66">
      <w:pPr>
        <w:pStyle w:val="ListParagraph"/>
        <w:numPr>
          <w:ilvl w:val="0"/>
          <w:numId w:val="13"/>
        </w:numPr>
        <w:tabs>
          <w:tab w:val="left" w:pos="426"/>
        </w:tabs>
        <w:ind w:left="567" w:hanging="567"/>
        <w:jc w:val="both"/>
        <w:rPr>
          <w:lang w:val="sr-Latn-ME"/>
        </w:rPr>
      </w:pPr>
      <w:r w:rsidRPr="00717834">
        <w:rPr>
          <w:lang w:val="sr-Latn-ME"/>
        </w:rPr>
        <w:t xml:space="preserve">Sadržaj šprica za doziranje </w:t>
      </w:r>
      <w:r w:rsidR="00741040" w:rsidRPr="00717834">
        <w:rPr>
          <w:lang w:val="sr-Latn-ME"/>
        </w:rPr>
        <w:t xml:space="preserve">mora se </w:t>
      </w:r>
      <w:r w:rsidRPr="00717834">
        <w:rPr>
          <w:lang w:val="sr-Latn-ME"/>
        </w:rPr>
        <w:t>ponovo resuspendovati neposredno prije primjene.</w:t>
      </w:r>
      <w:r w:rsidR="00741040">
        <w:rPr>
          <w:lang w:val="sr-Latn-ME"/>
        </w:rPr>
        <w:t xml:space="preserve"> </w:t>
      </w:r>
    </w:p>
    <w:p w14:paraId="6D857848" w14:textId="77777777" w:rsidR="00E71669" w:rsidRDefault="00896ED9" w:rsidP="00A56A66">
      <w:pPr>
        <w:pStyle w:val="ListParagraph"/>
        <w:tabs>
          <w:tab w:val="left" w:pos="567"/>
        </w:tabs>
        <w:ind w:left="284" w:firstLine="142"/>
        <w:jc w:val="both"/>
        <w:rPr>
          <w:lang w:val="sr-Latn-ME"/>
        </w:rPr>
      </w:pPr>
      <w:r w:rsidRPr="00157369">
        <w:rPr>
          <w:lang w:val="sr-Latn-ME"/>
        </w:rPr>
        <w:t>Špric napunjen rekonstituisanom suspenzijom treba prije primene ostaviti da odstoji 30 minuta,</w:t>
      </w:r>
    </w:p>
    <w:p w14:paraId="3CF6B4F7" w14:textId="71CA2CB7" w:rsidR="00E71669" w:rsidRDefault="00896ED9" w:rsidP="00A56A66">
      <w:pPr>
        <w:pStyle w:val="ListParagraph"/>
        <w:tabs>
          <w:tab w:val="left" w:pos="567"/>
        </w:tabs>
        <w:ind w:left="284" w:firstLine="142"/>
        <w:jc w:val="both"/>
        <w:rPr>
          <w:lang w:val="sr-Latn-ME"/>
        </w:rPr>
      </w:pPr>
      <w:r w:rsidRPr="00157369">
        <w:rPr>
          <w:lang w:val="sr-Latn-ME"/>
        </w:rPr>
        <w:t>kako bi se dostigla temperatura približna od 20 °C do 25 °C</w:t>
      </w:r>
      <w:r w:rsidR="001D4FE5" w:rsidRPr="00741040">
        <w:rPr>
          <w:lang w:val="sr-Latn-ME"/>
        </w:rPr>
        <w:t xml:space="preserve">. </w:t>
      </w:r>
      <w:r w:rsidRPr="00741040">
        <w:rPr>
          <w:lang w:val="sr-Latn-ME"/>
        </w:rPr>
        <w:t>Ako protekne više od 30 minuta,</w:t>
      </w:r>
    </w:p>
    <w:p w14:paraId="71103ED7" w14:textId="74225C2B" w:rsidR="00E71669" w:rsidRDefault="00896ED9" w:rsidP="00A56A66">
      <w:pPr>
        <w:pStyle w:val="ListParagraph"/>
        <w:tabs>
          <w:tab w:val="left" w:pos="567"/>
        </w:tabs>
        <w:ind w:left="284" w:firstLine="142"/>
        <w:jc w:val="both"/>
        <w:rPr>
          <w:lang w:val="sr-Latn-ME"/>
        </w:rPr>
      </w:pPr>
      <w:r w:rsidRPr="00157369">
        <w:rPr>
          <w:lang w:val="sr-Latn-ME"/>
        </w:rPr>
        <w:lastRenderedPageBreak/>
        <w:t>suspenziju treba na odgovarajući način odbaciti i pripremiti novu dozu. Kako bi se ponovo</w:t>
      </w:r>
    </w:p>
    <w:p w14:paraId="6D64524E" w14:textId="01C3DD9D" w:rsidR="00E71669" w:rsidRDefault="00896ED9" w:rsidP="00A56A66">
      <w:pPr>
        <w:pStyle w:val="ListParagraph"/>
        <w:tabs>
          <w:tab w:val="left" w:pos="567"/>
        </w:tabs>
        <w:ind w:left="284" w:firstLine="142"/>
        <w:jc w:val="both"/>
        <w:rPr>
          <w:lang w:val="sr-Latn-ME"/>
        </w:rPr>
      </w:pPr>
      <w:r w:rsidRPr="00157369">
        <w:rPr>
          <w:lang w:val="sr-Latn-ME"/>
        </w:rPr>
        <w:t>resuspendovao sadržaj šprica</w:t>
      </w:r>
      <w:r w:rsidR="001D4FE5" w:rsidRPr="00157369">
        <w:rPr>
          <w:lang w:val="sr-Latn-ME"/>
        </w:rPr>
        <w:t>, energično rotirajte špric među dlanovima dok se ne dobije homogena</w:t>
      </w:r>
    </w:p>
    <w:p w14:paraId="38ED610B" w14:textId="52198D07" w:rsidR="001D4FE5" w:rsidRPr="00157369" w:rsidRDefault="001D4FE5" w:rsidP="00A56A66">
      <w:pPr>
        <w:pStyle w:val="ListParagraph"/>
        <w:tabs>
          <w:tab w:val="left" w:pos="567"/>
        </w:tabs>
        <w:ind w:left="284" w:firstLine="142"/>
        <w:jc w:val="both"/>
        <w:rPr>
          <w:u w:val="single"/>
          <w:lang w:val="sr-Latn-ME"/>
        </w:rPr>
      </w:pPr>
      <w:r w:rsidRPr="00157369">
        <w:rPr>
          <w:lang w:val="sr-Latn-ME"/>
        </w:rPr>
        <w:t>mutna suspenzija.</w:t>
      </w:r>
      <w:r w:rsidRPr="00A56A66">
        <w:rPr>
          <w:lang w:val="sr-Latn-ME"/>
        </w:rPr>
        <w:t xml:space="preserve"> </w:t>
      </w:r>
      <w:r w:rsidRPr="00157369">
        <w:rPr>
          <w:u w:val="single"/>
          <w:lang w:val="sr-Latn-ME"/>
        </w:rPr>
        <w:t>Lijek treba baciti ako sadrži velike čestice ili aglomerate.</w:t>
      </w:r>
    </w:p>
    <w:p w14:paraId="061DC61D" w14:textId="77777777" w:rsidR="00472DCE" w:rsidRPr="0047585D" w:rsidRDefault="00472DCE" w:rsidP="00A56A66">
      <w:pPr>
        <w:tabs>
          <w:tab w:val="left" w:pos="785"/>
          <w:tab w:val="left" w:pos="786"/>
        </w:tabs>
        <w:jc w:val="both"/>
        <w:rPr>
          <w:lang w:val="sr-Latn-ME"/>
        </w:rPr>
      </w:pPr>
    </w:p>
    <w:p w14:paraId="05B0BF50" w14:textId="77777777" w:rsidR="0084478E" w:rsidRPr="0047585D" w:rsidRDefault="00200D97" w:rsidP="00A56A66">
      <w:pPr>
        <w:pStyle w:val="BodyText"/>
        <w:jc w:val="both"/>
        <w:rPr>
          <w:lang w:val="sr-Latn-ME"/>
        </w:rPr>
      </w:pPr>
      <w:r w:rsidRPr="0047585D">
        <w:rPr>
          <w:u w:val="single"/>
          <w:lang w:val="sr-Latn-ME"/>
        </w:rPr>
        <w:t>Čuvanje rekonstitui</w:t>
      </w:r>
      <w:r w:rsidR="00F8443B" w:rsidRPr="0047585D">
        <w:rPr>
          <w:u w:val="single"/>
          <w:lang w:val="sr-Latn-ME"/>
        </w:rPr>
        <w:t>s</w:t>
      </w:r>
      <w:r w:rsidRPr="0047585D">
        <w:rPr>
          <w:u w:val="single"/>
          <w:lang w:val="sr-Latn-ME"/>
        </w:rPr>
        <w:t>anog lijeka</w:t>
      </w:r>
    </w:p>
    <w:p w14:paraId="68A80B25" w14:textId="37A943C2" w:rsidR="0084478E" w:rsidRPr="0047585D" w:rsidRDefault="00F8443B" w:rsidP="00A56A66">
      <w:pPr>
        <w:pStyle w:val="BodyText"/>
        <w:jc w:val="both"/>
        <w:rPr>
          <w:lang w:val="sr-Latn-ME"/>
        </w:rPr>
      </w:pPr>
      <w:r w:rsidRPr="0047585D">
        <w:rPr>
          <w:lang w:val="sr-Latn-ME"/>
        </w:rPr>
        <w:t>Uslov</w:t>
      </w:r>
      <w:r w:rsidR="00200D97" w:rsidRPr="0047585D">
        <w:rPr>
          <w:lang w:val="sr-Latn-ME"/>
        </w:rPr>
        <w:t>e čuvanja nakon rekonstitucije lijeka vidjeti u dijelu 6.3.</w:t>
      </w:r>
    </w:p>
    <w:p w14:paraId="73993D2B" w14:textId="77777777" w:rsidR="00472DCE" w:rsidRPr="0047585D" w:rsidRDefault="00472DCE" w:rsidP="00A56A66">
      <w:pPr>
        <w:pStyle w:val="BodyText"/>
        <w:jc w:val="both"/>
        <w:rPr>
          <w:lang w:val="sr-Latn-ME"/>
        </w:rPr>
      </w:pPr>
    </w:p>
    <w:p w14:paraId="11C0754B" w14:textId="77777777" w:rsidR="0084478E" w:rsidRPr="0047585D" w:rsidRDefault="001D4FE5" w:rsidP="00A56A66">
      <w:pPr>
        <w:pStyle w:val="BodyText"/>
        <w:jc w:val="both"/>
        <w:rPr>
          <w:lang w:val="sr-Latn-ME"/>
        </w:rPr>
      </w:pPr>
      <w:r w:rsidRPr="0047585D">
        <w:rPr>
          <w:u w:val="single"/>
          <w:lang w:val="sr-Latn-ME"/>
        </w:rPr>
        <w:t>Izračunavanje</w:t>
      </w:r>
      <w:r w:rsidR="00200D97" w:rsidRPr="0047585D">
        <w:rPr>
          <w:u w:val="single"/>
          <w:lang w:val="sr-Latn-ME"/>
        </w:rPr>
        <w:t xml:space="preserve"> pojedinačne doze</w:t>
      </w:r>
    </w:p>
    <w:p w14:paraId="1F607279" w14:textId="053D4E29" w:rsidR="0084478E" w:rsidRPr="0047585D" w:rsidRDefault="00200D97" w:rsidP="00A56A66">
      <w:pPr>
        <w:pStyle w:val="BodyText"/>
        <w:jc w:val="both"/>
        <w:rPr>
          <w:lang w:val="sr-Latn-ME"/>
        </w:rPr>
      </w:pPr>
      <w:r w:rsidRPr="0047585D">
        <w:rPr>
          <w:lang w:val="sr-Latn-ME"/>
        </w:rPr>
        <w:t>Ukupna doza prema površini tijela (PT) računa se kako slijedi:</w:t>
      </w:r>
    </w:p>
    <w:p w14:paraId="1BEC2E99" w14:textId="77777777" w:rsidR="00472DCE" w:rsidRPr="0047585D" w:rsidRDefault="00472DCE" w:rsidP="00A56A66">
      <w:pPr>
        <w:pStyle w:val="BodyText"/>
        <w:jc w:val="both"/>
        <w:rPr>
          <w:lang w:val="sr-Latn-ME"/>
        </w:rPr>
      </w:pPr>
    </w:p>
    <w:p w14:paraId="52145696" w14:textId="04A024DA" w:rsidR="0084478E" w:rsidRPr="0047585D" w:rsidRDefault="00200D97" w:rsidP="00A56A66">
      <w:pPr>
        <w:pStyle w:val="BodyText"/>
        <w:rPr>
          <w:lang w:val="sr-Latn-ME"/>
        </w:rPr>
      </w:pPr>
      <w:r w:rsidRPr="0047585D">
        <w:rPr>
          <w:lang w:val="sr-Latn-ME"/>
        </w:rPr>
        <w:t>Ukupna doza (mg) = doza (mg/m</w:t>
      </w:r>
      <w:r w:rsidR="00717834" w:rsidRPr="00A56A66">
        <w:rPr>
          <w:vertAlign w:val="superscript"/>
          <w:lang w:val="sr-Latn-ME"/>
        </w:rPr>
        <w:t>2</w:t>
      </w:r>
      <w:r w:rsidRPr="0047585D">
        <w:rPr>
          <w:lang w:val="sr-Latn-ME"/>
        </w:rPr>
        <w:t>) x PT (m</w:t>
      </w:r>
      <w:r w:rsidR="00717834" w:rsidRPr="00A56A66">
        <w:rPr>
          <w:vertAlign w:val="superscript"/>
          <w:lang w:val="sr-Latn-ME"/>
        </w:rPr>
        <w:t>2</w:t>
      </w:r>
      <w:r w:rsidRPr="0047585D">
        <w:rPr>
          <w:lang w:val="sr-Latn-ME"/>
        </w:rPr>
        <w:t>)</w:t>
      </w:r>
    </w:p>
    <w:p w14:paraId="78EFF4A5" w14:textId="77777777" w:rsidR="00472DCE" w:rsidRPr="0047585D" w:rsidRDefault="00472DCE" w:rsidP="00A56A66">
      <w:pPr>
        <w:pStyle w:val="BodyText"/>
        <w:rPr>
          <w:lang w:val="sr-Latn-ME"/>
        </w:rPr>
      </w:pPr>
    </w:p>
    <w:p w14:paraId="545E1E3D" w14:textId="2467E9F0" w:rsidR="0084478E" w:rsidRPr="0047585D" w:rsidRDefault="00200D97" w:rsidP="00A56A66">
      <w:pPr>
        <w:pStyle w:val="BodyText"/>
        <w:jc w:val="both"/>
        <w:rPr>
          <w:lang w:val="sr-Latn-ME"/>
        </w:rPr>
      </w:pPr>
      <w:r w:rsidRPr="0047585D">
        <w:rPr>
          <w:lang w:val="sr-Latn-ME"/>
        </w:rPr>
        <w:t>Sljedeća tab</w:t>
      </w:r>
      <w:r w:rsidR="00F67055" w:rsidRPr="0047585D">
        <w:rPr>
          <w:lang w:val="sr-Latn-ME"/>
        </w:rPr>
        <w:t>el</w:t>
      </w:r>
      <w:r w:rsidRPr="0047585D">
        <w:rPr>
          <w:lang w:val="sr-Latn-ME"/>
        </w:rPr>
        <w:t>a služi samo kao primjer kako se računaju pojedinačne doze azacitidina prema prosječnoj vrijednosti PT-a od 1,8 m</w:t>
      </w:r>
      <w:r w:rsidR="001E4BA0" w:rsidRPr="00A56A66">
        <w:rPr>
          <w:vertAlign w:val="superscript"/>
          <w:lang w:val="sr-Latn-ME"/>
        </w:rPr>
        <w:t>2</w:t>
      </w:r>
      <w:r w:rsidRPr="0047585D">
        <w:rPr>
          <w:lang w:val="sr-Latn-ME"/>
        </w:rPr>
        <w:t>.</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2"/>
        <w:gridCol w:w="2283"/>
        <w:gridCol w:w="2112"/>
        <w:gridCol w:w="2362"/>
      </w:tblGrid>
      <w:tr w:rsidR="0084478E" w:rsidRPr="0047585D" w14:paraId="292F34DA" w14:textId="77777777">
        <w:trPr>
          <w:trHeight w:val="757"/>
        </w:trPr>
        <w:tc>
          <w:tcPr>
            <w:tcW w:w="2532" w:type="dxa"/>
          </w:tcPr>
          <w:p w14:paraId="39BAFF93" w14:textId="418669AA" w:rsidR="0084478E" w:rsidRPr="00A56A66" w:rsidRDefault="00200D97" w:rsidP="00BE5A22">
            <w:pPr>
              <w:pStyle w:val="TableParagraph"/>
              <w:spacing w:line="246" w:lineRule="exact"/>
              <w:ind w:left="0"/>
              <w:rPr>
                <w:szCs w:val="20"/>
                <w:u w:val="single"/>
                <w:lang w:val="sr-Latn-ME"/>
              </w:rPr>
            </w:pPr>
            <w:r w:rsidRPr="00A56A66">
              <w:rPr>
                <w:szCs w:val="20"/>
                <w:u w:val="single"/>
                <w:lang w:val="sr-Latn-ME"/>
              </w:rPr>
              <w:t>Doza mg/m</w:t>
            </w:r>
            <w:r w:rsidR="001E4BA0" w:rsidRPr="00A56A66">
              <w:rPr>
                <w:szCs w:val="20"/>
                <w:u w:val="single"/>
                <w:vertAlign w:val="superscript"/>
                <w:lang w:val="sr-Latn-ME"/>
              </w:rPr>
              <w:t>2</w:t>
            </w:r>
          </w:p>
          <w:p w14:paraId="55EB7614" w14:textId="77777777" w:rsidR="0084478E" w:rsidRPr="00A56A66" w:rsidRDefault="00200D97" w:rsidP="00BE5A22">
            <w:pPr>
              <w:pStyle w:val="TableParagraph"/>
              <w:spacing w:before="1" w:line="254" w:lineRule="exact"/>
              <w:ind w:left="0"/>
              <w:rPr>
                <w:i/>
                <w:szCs w:val="20"/>
                <w:lang w:val="sr-Latn-ME"/>
              </w:rPr>
            </w:pPr>
            <w:r w:rsidRPr="00A56A66">
              <w:rPr>
                <w:spacing w:val="-56"/>
                <w:szCs w:val="20"/>
                <w:u w:val="single"/>
                <w:lang w:val="sr-Latn-ME"/>
              </w:rPr>
              <w:t xml:space="preserve"> </w:t>
            </w:r>
            <w:r w:rsidRPr="00A56A66">
              <w:rPr>
                <w:i/>
                <w:szCs w:val="20"/>
                <w:u w:val="single"/>
                <w:lang w:val="sr-Latn-ME"/>
              </w:rPr>
              <w:t xml:space="preserve">(% preporučene </w:t>
            </w:r>
            <w:r w:rsidRPr="00A56A66">
              <w:rPr>
                <w:i/>
                <w:spacing w:val="-3"/>
                <w:szCs w:val="20"/>
                <w:u w:val="single"/>
                <w:lang w:val="sr-Latn-ME"/>
              </w:rPr>
              <w:t>početne</w:t>
            </w:r>
            <w:r w:rsidRPr="00A56A66">
              <w:rPr>
                <w:i/>
                <w:spacing w:val="-3"/>
                <w:szCs w:val="20"/>
                <w:lang w:val="sr-Latn-ME"/>
              </w:rPr>
              <w:t xml:space="preserve"> </w:t>
            </w:r>
            <w:r w:rsidRPr="00A56A66">
              <w:rPr>
                <w:i/>
                <w:szCs w:val="20"/>
                <w:u w:val="single"/>
                <w:lang w:val="sr-Latn-ME"/>
              </w:rPr>
              <w:t>doze)</w:t>
            </w:r>
          </w:p>
        </w:tc>
        <w:tc>
          <w:tcPr>
            <w:tcW w:w="2283" w:type="dxa"/>
          </w:tcPr>
          <w:p w14:paraId="451DC8A3" w14:textId="77777777" w:rsidR="0084478E" w:rsidRPr="00A56A66" w:rsidRDefault="00200D97" w:rsidP="00BE5A22">
            <w:pPr>
              <w:pStyle w:val="TableParagraph"/>
              <w:ind w:left="0"/>
              <w:rPr>
                <w:szCs w:val="20"/>
                <w:lang w:val="sr-Latn-ME"/>
              </w:rPr>
            </w:pPr>
            <w:r w:rsidRPr="00A56A66">
              <w:rPr>
                <w:szCs w:val="20"/>
                <w:u w:val="single"/>
                <w:lang w:val="sr-Latn-ME"/>
              </w:rPr>
              <w:t>Ukupna doza prema</w:t>
            </w:r>
            <w:r w:rsidRPr="00A56A66">
              <w:rPr>
                <w:szCs w:val="20"/>
                <w:lang w:val="sr-Latn-ME"/>
              </w:rPr>
              <w:t xml:space="preserve"> </w:t>
            </w:r>
            <w:r w:rsidRPr="00A56A66">
              <w:rPr>
                <w:szCs w:val="20"/>
                <w:u w:val="single"/>
                <w:lang w:val="sr-Latn-ME"/>
              </w:rPr>
              <w:t>vrijednosti PT-a</w:t>
            </w:r>
          </w:p>
          <w:p w14:paraId="22A6FA38" w14:textId="5C90718D" w:rsidR="0084478E" w:rsidRPr="00A56A66" w:rsidRDefault="00200D97" w:rsidP="00157369">
            <w:pPr>
              <w:pStyle w:val="TableParagraph"/>
              <w:spacing w:line="238" w:lineRule="exact"/>
              <w:ind w:left="0"/>
              <w:rPr>
                <w:szCs w:val="20"/>
                <w:u w:val="single"/>
                <w:lang w:val="sr-Latn-ME"/>
              </w:rPr>
            </w:pPr>
            <w:r w:rsidRPr="00A56A66">
              <w:rPr>
                <w:szCs w:val="20"/>
                <w:u w:val="single"/>
                <w:lang w:val="sr-Latn-ME"/>
              </w:rPr>
              <w:t>od 1,8 m</w:t>
            </w:r>
            <w:r w:rsidR="001E4BA0" w:rsidRPr="00A56A66">
              <w:rPr>
                <w:szCs w:val="20"/>
                <w:u w:val="single"/>
                <w:vertAlign w:val="superscript"/>
                <w:lang w:val="sr-Latn-ME"/>
              </w:rPr>
              <w:t>2</w:t>
            </w:r>
          </w:p>
        </w:tc>
        <w:tc>
          <w:tcPr>
            <w:tcW w:w="2112" w:type="dxa"/>
          </w:tcPr>
          <w:p w14:paraId="7ADA0A7C" w14:textId="77777777" w:rsidR="0084478E" w:rsidRPr="00A56A66" w:rsidRDefault="00200D97" w:rsidP="00BE5A22">
            <w:pPr>
              <w:pStyle w:val="TableParagraph"/>
              <w:ind w:left="0"/>
              <w:rPr>
                <w:szCs w:val="20"/>
                <w:lang w:val="sr-Latn-ME"/>
              </w:rPr>
            </w:pPr>
            <w:r w:rsidRPr="00A56A66">
              <w:rPr>
                <w:szCs w:val="20"/>
                <w:u w:val="single"/>
                <w:lang w:val="sr-Latn-ME"/>
              </w:rPr>
              <w:t>Broj potrebnih</w:t>
            </w:r>
            <w:r w:rsidRPr="00A56A66">
              <w:rPr>
                <w:szCs w:val="20"/>
                <w:lang w:val="sr-Latn-ME"/>
              </w:rPr>
              <w:t xml:space="preserve"> </w:t>
            </w:r>
            <w:r w:rsidRPr="00A56A66">
              <w:rPr>
                <w:szCs w:val="20"/>
                <w:u w:val="single"/>
                <w:lang w:val="sr-Latn-ME"/>
              </w:rPr>
              <w:t>bočica</w:t>
            </w:r>
          </w:p>
        </w:tc>
        <w:tc>
          <w:tcPr>
            <w:tcW w:w="2362" w:type="dxa"/>
          </w:tcPr>
          <w:p w14:paraId="19D13694" w14:textId="77777777" w:rsidR="0084478E" w:rsidRPr="00A56A66" w:rsidRDefault="00200D97" w:rsidP="00BE5A22">
            <w:pPr>
              <w:pStyle w:val="TableParagraph"/>
              <w:ind w:left="0"/>
              <w:rPr>
                <w:szCs w:val="20"/>
                <w:lang w:val="sr-Latn-ME"/>
              </w:rPr>
            </w:pPr>
            <w:r w:rsidRPr="00A56A66">
              <w:rPr>
                <w:szCs w:val="20"/>
                <w:u w:val="single"/>
                <w:lang w:val="sr-Latn-ME"/>
              </w:rPr>
              <w:t>Ukupni volumen</w:t>
            </w:r>
            <w:r w:rsidRPr="00A56A66">
              <w:rPr>
                <w:szCs w:val="20"/>
                <w:lang w:val="sr-Latn-ME"/>
              </w:rPr>
              <w:t xml:space="preserve"> </w:t>
            </w:r>
            <w:r w:rsidRPr="00A56A66">
              <w:rPr>
                <w:szCs w:val="20"/>
                <w:u w:val="single"/>
                <w:lang w:val="sr-Latn-ME"/>
              </w:rPr>
              <w:t>potrebne rekonstitui</w:t>
            </w:r>
            <w:r w:rsidR="004D5F71" w:rsidRPr="00A56A66">
              <w:rPr>
                <w:szCs w:val="20"/>
                <w:u w:val="single"/>
                <w:lang w:val="sr-Latn-ME"/>
              </w:rPr>
              <w:t>s</w:t>
            </w:r>
            <w:r w:rsidRPr="00A56A66">
              <w:rPr>
                <w:szCs w:val="20"/>
                <w:u w:val="single"/>
                <w:lang w:val="sr-Latn-ME"/>
              </w:rPr>
              <w:t>ane</w:t>
            </w:r>
          </w:p>
          <w:p w14:paraId="0A27853D" w14:textId="77777777" w:rsidR="0084478E" w:rsidRPr="00A56A66" w:rsidRDefault="00200D97" w:rsidP="00BE5A22">
            <w:pPr>
              <w:pStyle w:val="TableParagraph"/>
              <w:spacing w:line="238" w:lineRule="exact"/>
              <w:ind w:left="0"/>
              <w:rPr>
                <w:szCs w:val="20"/>
                <w:lang w:val="sr-Latn-ME"/>
              </w:rPr>
            </w:pPr>
            <w:r w:rsidRPr="00A56A66">
              <w:rPr>
                <w:szCs w:val="20"/>
                <w:u w:val="single"/>
                <w:lang w:val="sr-Latn-ME"/>
              </w:rPr>
              <w:t>suspenzije</w:t>
            </w:r>
          </w:p>
        </w:tc>
      </w:tr>
      <w:tr w:rsidR="0084478E" w:rsidRPr="0047585D" w14:paraId="3AC2E1A8" w14:textId="77777777">
        <w:trPr>
          <w:trHeight w:val="254"/>
        </w:trPr>
        <w:tc>
          <w:tcPr>
            <w:tcW w:w="2532" w:type="dxa"/>
          </w:tcPr>
          <w:p w14:paraId="130B51CF" w14:textId="2C612369" w:rsidR="0084478E" w:rsidRPr="00A56A66" w:rsidRDefault="00200D97" w:rsidP="00157369">
            <w:pPr>
              <w:pStyle w:val="TableParagraph"/>
              <w:spacing w:line="234" w:lineRule="exact"/>
              <w:ind w:left="0"/>
              <w:rPr>
                <w:szCs w:val="20"/>
                <w:lang w:val="sr-Latn-ME"/>
              </w:rPr>
            </w:pPr>
            <w:r w:rsidRPr="00A56A66">
              <w:rPr>
                <w:szCs w:val="20"/>
                <w:lang w:val="sr-Latn-ME"/>
              </w:rPr>
              <w:t>75 mg/m</w:t>
            </w:r>
            <w:r w:rsidR="001E4BA0" w:rsidRPr="00A56A66">
              <w:rPr>
                <w:szCs w:val="20"/>
                <w:vertAlign w:val="superscript"/>
                <w:lang w:val="sr-Latn-ME"/>
              </w:rPr>
              <w:t>2</w:t>
            </w:r>
            <w:r w:rsidRPr="00A56A66">
              <w:rPr>
                <w:position w:val="8"/>
                <w:szCs w:val="20"/>
                <w:lang w:val="sr-Latn-ME"/>
              </w:rPr>
              <w:t xml:space="preserve"> </w:t>
            </w:r>
            <w:r w:rsidRPr="00A56A66">
              <w:rPr>
                <w:szCs w:val="20"/>
                <w:lang w:val="sr-Latn-ME"/>
              </w:rPr>
              <w:t>(100 %)</w:t>
            </w:r>
          </w:p>
        </w:tc>
        <w:tc>
          <w:tcPr>
            <w:tcW w:w="2283" w:type="dxa"/>
          </w:tcPr>
          <w:p w14:paraId="344E3809" w14:textId="77777777" w:rsidR="0084478E" w:rsidRPr="00A56A66" w:rsidRDefault="00200D97" w:rsidP="00BE5A22">
            <w:pPr>
              <w:pStyle w:val="TableParagraph"/>
              <w:spacing w:line="234" w:lineRule="exact"/>
              <w:ind w:left="0"/>
              <w:rPr>
                <w:szCs w:val="20"/>
                <w:lang w:val="sr-Latn-ME"/>
              </w:rPr>
            </w:pPr>
            <w:r w:rsidRPr="00A56A66">
              <w:rPr>
                <w:szCs w:val="20"/>
                <w:lang w:val="sr-Latn-ME"/>
              </w:rPr>
              <w:t>135 mg</w:t>
            </w:r>
          </w:p>
        </w:tc>
        <w:tc>
          <w:tcPr>
            <w:tcW w:w="2112" w:type="dxa"/>
          </w:tcPr>
          <w:p w14:paraId="37C86FD6" w14:textId="77777777" w:rsidR="0084478E" w:rsidRPr="00A56A66" w:rsidRDefault="00200D97" w:rsidP="00BE5A22">
            <w:pPr>
              <w:pStyle w:val="TableParagraph"/>
              <w:spacing w:line="234" w:lineRule="exact"/>
              <w:ind w:left="0"/>
              <w:rPr>
                <w:szCs w:val="20"/>
                <w:lang w:val="sr-Latn-ME"/>
              </w:rPr>
            </w:pPr>
            <w:r w:rsidRPr="00A56A66">
              <w:rPr>
                <w:szCs w:val="20"/>
                <w:lang w:val="sr-Latn-ME"/>
              </w:rPr>
              <w:t>2 bočice</w:t>
            </w:r>
          </w:p>
        </w:tc>
        <w:tc>
          <w:tcPr>
            <w:tcW w:w="2362" w:type="dxa"/>
          </w:tcPr>
          <w:p w14:paraId="1F7731EC" w14:textId="77777777" w:rsidR="0084478E" w:rsidRPr="00A56A66" w:rsidRDefault="00200D97" w:rsidP="00BE5A22">
            <w:pPr>
              <w:pStyle w:val="TableParagraph"/>
              <w:spacing w:line="234" w:lineRule="exact"/>
              <w:ind w:left="0"/>
              <w:rPr>
                <w:szCs w:val="20"/>
                <w:lang w:val="sr-Latn-ME"/>
              </w:rPr>
            </w:pPr>
            <w:r w:rsidRPr="00A56A66">
              <w:rPr>
                <w:szCs w:val="20"/>
                <w:lang w:val="sr-Latn-ME"/>
              </w:rPr>
              <w:t>5,4 ml</w:t>
            </w:r>
          </w:p>
        </w:tc>
      </w:tr>
      <w:tr w:rsidR="0084478E" w:rsidRPr="0047585D" w14:paraId="200D1A83" w14:textId="77777777">
        <w:trPr>
          <w:trHeight w:val="251"/>
        </w:trPr>
        <w:tc>
          <w:tcPr>
            <w:tcW w:w="2532" w:type="dxa"/>
          </w:tcPr>
          <w:p w14:paraId="6157C957" w14:textId="25985048" w:rsidR="0084478E" w:rsidRPr="00A56A66" w:rsidRDefault="00200D97" w:rsidP="00157369">
            <w:pPr>
              <w:pStyle w:val="TableParagraph"/>
              <w:spacing w:line="232" w:lineRule="exact"/>
              <w:ind w:left="0"/>
              <w:rPr>
                <w:szCs w:val="20"/>
                <w:lang w:val="sr-Latn-ME"/>
              </w:rPr>
            </w:pPr>
            <w:r w:rsidRPr="00A56A66">
              <w:rPr>
                <w:szCs w:val="20"/>
                <w:lang w:val="sr-Latn-ME"/>
              </w:rPr>
              <w:t>37,5 mg/m</w:t>
            </w:r>
            <w:r w:rsidR="001E4BA0" w:rsidRPr="00A56A66">
              <w:rPr>
                <w:szCs w:val="20"/>
                <w:vertAlign w:val="superscript"/>
                <w:lang w:val="sr-Latn-ME"/>
              </w:rPr>
              <w:t>2</w:t>
            </w:r>
            <w:r w:rsidRPr="00A56A66">
              <w:rPr>
                <w:position w:val="8"/>
                <w:szCs w:val="20"/>
                <w:lang w:val="sr-Latn-ME"/>
              </w:rPr>
              <w:t xml:space="preserve"> </w:t>
            </w:r>
            <w:r w:rsidRPr="00A56A66">
              <w:rPr>
                <w:szCs w:val="20"/>
                <w:lang w:val="sr-Latn-ME"/>
              </w:rPr>
              <w:t>(50 %)</w:t>
            </w:r>
          </w:p>
        </w:tc>
        <w:tc>
          <w:tcPr>
            <w:tcW w:w="2283" w:type="dxa"/>
          </w:tcPr>
          <w:p w14:paraId="7FD3EA3D" w14:textId="77777777" w:rsidR="0084478E" w:rsidRPr="00A56A66" w:rsidRDefault="00200D97" w:rsidP="00BE5A22">
            <w:pPr>
              <w:pStyle w:val="TableParagraph"/>
              <w:spacing w:line="232" w:lineRule="exact"/>
              <w:ind w:left="0"/>
              <w:rPr>
                <w:szCs w:val="20"/>
                <w:lang w:val="sr-Latn-ME"/>
              </w:rPr>
            </w:pPr>
            <w:r w:rsidRPr="00A56A66">
              <w:rPr>
                <w:szCs w:val="20"/>
                <w:lang w:val="sr-Latn-ME"/>
              </w:rPr>
              <w:t>67,5 mg</w:t>
            </w:r>
          </w:p>
        </w:tc>
        <w:tc>
          <w:tcPr>
            <w:tcW w:w="2112" w:type="dxa"/>
          </w:tcPr>
          <w:p w14:paraId="7FCE2BFB" w14:textId="77777777" w:rsidR="0084478E" w:rsidRPr="00A56A66" w:rsidRDefault="00200D97" w:rsidP="00BE5A22">
            <w:pPr>
              <w:pStyle w:val="TableParagraph"/>
              <w:spacing w:line="232" w:lineRule="exact"/>
              <w:ind w:left="0"/>
              <w:rPr>
                <w:szCs w:val="20"/>
                <w:lang w:val="sr-Latn-ME"/>
              </w:rPr>
            </w:pPr>
            <w:r w:rsidRPr="00A56A66">
              <w:rPr>
                <w:szCs w:val="20"/>
                <w:lang w:val="sr-Latn-ME"/>
              </w:rPr>
              <w:t>1 bočica</w:t>
            </w:r>
          </w:p>
        </w:tc>
        <w:tc>
          <w:tcPr>
            <w:tcW w:w="2362" w:type="dxa"/>
          </w:tcPr>
          <w:p w14:paraId="237A25E9" w14:textId="77777777" w:rsidR="0084478E" w:rsidRPr="00A56A66" w:rsidRDefault="00200D97" w:rsidP="00BE5A22">
            <w:pPr>
              <w:pStyle w:val="TableParagraph"/>
              <w:spacing w:line="232" w:lineRule="exact"/>
              <w:ind w:left="0"/>
              <w:rPr>
                <w:szCs w:val="20"/>
                <w:lang w:val="sr-Latn-ME"/>
              </w:rPr>
            </w:pPr>
            <w:r w:rsidRPr="00A56A66">
              <w:rPr>
                <w:szCs w:val="20"/>
                <w:lang w:val="sr-Latn-ME"/>
              </w:rPr>
              <w:t>2,7 ml</w:t>
            </w:r>
          </w:p>
        </w:tc>
      </w:tr>
      <w:tr w:rsidR="0084478E" w:rsidRPr="0047585D" w14:paraId="43577DFC" w14:textId="77777777">
        <w:trPr>
          <w:trHeight w:val="254"/>
        </w:trPr>
        <w:tc>
          <w:tcPr>
            <w:tcW w:w="2532" w:type="dxa"/>
          </w:tcPr>
          <w:p w14:paraId="31BED647" w14:textId="5F4CAB87" w:rsidR="0084478E" w:rsidRPr="00A56A66" w:rsidRDefault="00200D97" w:rsidP="00BE5A22">
            <w:pPr>
              <w:pStyle w:val="TableParagraph"/>
              <w:spacing w:line="234" w:lineRule="exact"/>
              <w:ind w:left="0"/>
              <w:rPr>
                <w:szCs w:val="20"/>
                <w:lang w:val="sr-Latn-ME"/>
              </w:rPr>
            </w:pPr>
            <w:r w:rsidRPr="00A56A66">
              <w:rPr>
                <w:szCs w:val="20"/>
                <w:lang w:val="sr-Latn-ME"/>
              </w:rPr>
              <w:t>25 mg/m</w:t>
            </w:r>
            <w:r w:rsidR="001E4BA0" w:rsidRPr="00A56A66">
              <w:rPr>
                <w:szCs w:val="20"/>
                <w:vertAlign w:val="superscript"/>
                <w:lang w:val="sr-Latn-ME"/>
              </w:rPr>
              <w:t>2</w:t>
            </w:r>
            <w:r w:rsidRPr="00A56A66">
              <w:rPr>
                <w:position w:val="8"/>
                <w:szCs w:val="20"/>
                <w:lang w:val="sr-Latn-ME"/>
              </w:rPr>
              <w:t xml:space="preserve"> </w:t>
            </w:r>
            <w:r w:rsidRPr="00A56A66">
              <w:rPr>
                <w:szCs w:val="20"/>
                <w:lang w:val="sr-Latn-ME"/>
              </w:rPr>
              <w:t>(33 %)</w:t>
            </w:r>
          </w:p>
        </w:tc>
        <w:tc>
          <w:tcPr>
            <w:tcW w:w="2283" w:type="dxa"/>
          </w:tcPr>
          <w:p w14:paraId="012F2E99" w14:textId="77777777" w:rsidR="0084478E" w:rsidRPr="00A56A66" w:rsidRDefault="00200D97" w:rsidP="00BE5A22">
            <w:pPr>
              <w:pStyle w:val="TableParagraph"/>
              <w:spacing w:line="234" w:lineRule="exact"/>
              <w:ind w:left="0"/>
              <w:rPr>
                <w:szCs w:val="20"/>
                <w:lang w:val="sr-Latn-ME"/>
              </w:rPr>
            </w:pPr>
            <w:r w:rsidRPr="00A56A66">
              <w:rPr>
                <w:szCs w:val="20"/>
                <w:lang w:val="sr-Latn-ME"/>
              </w:rPr>
              <w:t>45 mg</w:t>
            </w:r>
          </w:p>
        </w:tc>
        <w:tc>
          <w:tcPr>
            <w:tcW w:w="2112" w:type="dxa"/>
          </w:tcPr>
          <w:p w14:paraId="0A1B5E08" w14:textId="77777777" w:rsidR="0084478E" w:rsidRPr="00A56A66" w:rsidRDefault="00200D97" w:rsidP="00BE5A22">
            <w:pPr>
              <w:pStyle w:val="TableParagraph"/>
              <w:spacing w:line="234" w:lineRule="exact"/>
              <w:ind w:left="0"/>
              <w:rPr>
                <w:szCs w:val="20"/>
                <w:lang w:val="sr-Latn-ME"/>
              </w:rPr>
            </w:pPr>
            <w:r w:rsidRPr="00A56A66">
              <w:rPr>
                <w:szCs w:val="20"/>
                <w:lang w:val="sr-Latn-ME"/>
              </w:rPr>
              <w:t>1 bočica</w:t>
            </w:r>
          </w:p>
        </w:tc>
        <w:tc>
          <w:tcPr>
            <w:tcW w:w="2362" w:type="dxa"/>
          </w:tcPr>
          <w:p w14:paraId="56F30018" w14:textId="77777777" w:rsidR="0084478E" w:rsidRPr="00A56A66" w:rsidRDefault="00200D97" w:rsidP="00BE5A22">
            <w:pPr>
              <w:pStyle w:val="TableParagraph"/>
              <w:spacing w:line="234" w:lineRule="exact"/>
              <w:ind w:left="0"/>
              <w:rPr>
                <w:szCs w:val="20"/>
                <w:lang w:val="sr-Latn-ME"/>
              </w:rPr>
            </w:pPr>
            <w:r w:rsidRPr="00A56A66">
              <w:rPr>
                <w:szCs w:val="20"/>
                <w:lang w:val="sr-Latn-ME"/>
              </w:rPr>
              <w:t>1,8 ml</w:t>
            </w:r>
          </w:p>
        </w:tc>
      </w:tr>
    </w:tbl>
    <w:p w14:paraId="0E8905DD" w14:textId="77777777" w:rsidR="0084478E" w:rsidRPr="0047585D" w:rsidRDefault="0084478E" w:rsidP="00BE5A22">
      <w:pPr>
        <w:pStyle w:val="BodyText"/>
        <w:spacing w:before="4"/>
        <w:rPr>
          <w:lang w:val="sr-Latn-ME"/>
        </w:rPr>
      </w:pPr>
    </w:p>
    <w:p w14:paraId="39B2B68B" w14:textId="77777777" w:rsidR="0084478E" w:rsidRPr="0047585D" w:rsidRDefault="00200D97" w:rsidP="00A56A66">
      <w:pPr>
        <w:pStyle w:val="BodyText"/>
        <w:jc w:val="both"/>
        <w:rPr>
          <w:lang w:val="sr-Latn-ME"/>
        </w:rPr>
      </w:pPr>
      <w:r w:rsidRPr="0047585D">
        <w:rPr>
          <w:u w:val="single"/>
          <w:lang w:val="sr-Latn-ME"/>
        </w:rPr>
        <w:t>Način primjene</w:t>
      </w:r>
    </w:p>
    <w:p w14:paraId="1811C25F" w14:textId="1B5D3DED" w:rsidR="0084478E" w:rsidRPr="0047585D" w:rsidRDefault="00200D97" w:rsidP="00A56A66">
      <w:pPr>
        <w:pStyle w:val="BodyText"/>
        <w:jc w:val="both"/>
        <w:rPr>
          <w:lang w:val="sr-Latn-ME"/>
        </w:rPr>
      </w:pPr>
      <w:r w:rsidRPr="0047585D">
        <w:rPr>
          <w:lang w:val="sr-Latn-ME"/>
        </w:rPr>
        <w:t>Rekonstitui</w:t>
      </w:r>
      <w:r w:rsidR="004D5F71" w:rsidRPr="0047585D">
        <w:rPr>
          <w:lang w:val="sr-Latn-ME"/>
        </w:rPr>
        <w:t>s</w:t>
      </w:r>
      <w:r w:rsidRPr="0047585D">
        <w:rPr>
          <w:lang w:val="sr-Latn-ME"/>
        </w:rPr>
        <w:t xml:space="preserve">ani </w:t>
      </w:r>
      <w:r w:rsidR="004D5F71" w:rsidRPr="0047585D">
        <w:rPr>
          <w:lang w:val="sr-Latn-ME"/>
        </w:rPr>
        <w:t xml:space="preserve">lijek </w:t>
      </w:r>
      <w:r w:rsidR="00D95513" w:rsidRPr="0047585D">
        <w:rPr>
          <w:lang w:val="sr-Latn-ME"/>
        </w:rPr>
        <w:t>Azacitidine Accord</w:t>
      </w:r>
      <w:r w:rsidRPr="0047585D">
        <w:rPr>
          <w:lang w:val="sr-Latn-ME"/>
        </w:rPr>
        <w:t xml:space="preserve"> treba</w:t>
      </w:r>
      <w:r w:rsidR="001D4FE5" w:rsidRPr="0047585D">
        <w:rPr>
          <w:lang w:val="sr-Latn-ME"/>
        </w:rPr>
        <w:t xml:space="preserve"> injicirati</w:t>
      </w:r>
      <w:r w:rsidRPr="0047585D">
        <w:rPr>
          <w:lang w:val="sr-Latn-ME"/>
        </w:rPr>
        <w:t xml:space="preserve"> su</w:t>
      </w:r>
      <w:r w:rsidR="00D542A4">
        <w:rPr>
          <w:lang w:val="sr-Latn-ME"/>
        </w:rPr>
        <w:t>b</w:t>
      </w:r>
      <w:r w:rsidRPr="0047585D">
        <w:rPr>
          <w:lang w:val="sr-Latn-ME"/>
        </w:rPr>
        <w:t>kutano (iglu uvesti pod</w:t>
      </w:r>
      <w:r w:rsidR="001D4FE5" w:rsidRPr="0047585D">
        <w:rPr>
          <w:lang w:val="sr-Latn-ME"/>
        </w:rPr>
        <w:t xml:space="preserve"> uglom</w:t>
      </w:r>
      <w:r w:rsidRPr="0047585D">
        <w:rPr>
          <w:lang w:val="sr-Latn-ME"/>
        </w:rPr>
        <w:t xml:space="preserve"> od 45-90°) koristeći se iglom od 25 G u nadlakticu, b</w:t>
      </w:r>
      <w:r w:rsidR="001D4FE5" w:rsidRPr="0047585D">
        <w:rPr>
          <w:lang w:val="sr-Latn-ME"/>
        </w:rPr>
        <w:t xml:space="preserve">utinu </w:t>
      </w:r>
      <w:r w:rsidRPr="0047585D">
        <w:rPr>
          <w:lang w:val="sr-Latn-ME"/>
        </w:rPr>
        <w:t>ili abdomen.</w:t>
      </w:r>
    </w:p>
    <w:p w14:paraId="30354BA7" w14:textId="77777777" w:rsidR="00472DCE" w:rsidRPr="0047585D" w:rsidRDefault="00472DCE" w:rsidP="00A56A66">
      <w:pPr>
        <w:pStyle w:val="BodyText"/>
        <w:jc w:val="both"/>
        <w:rPr>
          <w:lang w:val="sr-Latn-ME"/>
        </w:rPr>
      </w:pPr>
    </w:p>
    <w:p w14:paraId="7C5A821C" w14:textId="33A890C6" w:rsidR="0084478E" w:rsidRPr="0047585D" w:rsidRDefault="00200D97" w:rsidP="00A56A66">
      <w:pPr>
        <w:pStyle w:val="BodyText"/>
        <w:jc w:val="both"/>
        <w:rPr>
          <w:lang w:val="sr-Latn-ME"/>
        </w:rPr>
      </w:pPr>
      <w:r w:rsidRPr="0047585D">
        <w:rPr>
          <w:lang w:val="sr-Latn-ME"/>
        </w:rPr>
        <w:t>Doze veće od 4 ml treba</w:t>
      </w:r>
      <w:r w:rsidR="001D4FE5" w:rsidRPr="0047585D">
        <w:rPr>
          <w:lang w:val="sr-Latn-ME"/>
        </w:rPr>
        <w:t xml:space="preserve"> injicirati</w:t>
      </w:r>
      <w:r w:rsidRPr="0047585D">
        <w:rPr>
          <w:lang w:val="sr-Latn-ME"/>
        </w:rPr>
        <w:t xml:space="preserve"> na dva različita mjesta.</w:t>
      </w:r>
    </w:p>
    <w:p w14:paraId="64C6D6F7" w14:textId="77777777" w:rsidR="00472DCE" w:rsidRPr="0047585D" w:rsidRDefault="00472DCE" w:rsidP="00A56A66">
      <w:pPr>
        <w:pStyle w:val="BodyText"/>
        <w:jc w:val="both"/>
        <w:rPr>
          <w:lang w:val="sr-Latn-ME"/>
        </w:rPr>
      </w:pPr>
    </w:p>
    <w:p w14:paraId="373E76F1" w14:textId="0F53BA11" w:rsidR="0084478E" w:rsidRPr="0047585D" w:rsidRDefault="00200D97" w:rsidP="00A56A66">
      <w:pPr>
        <w:pStyle w:val="BodyText"/>
        <w:jc w:val="both"/>
        <w:rPr>
          <w:lang w:val="sr-Latn-ME"/>
        </w:rPr>
      </w:pPr>
      <w:r w:rsidRPr="0047585D">
        <w:rPr>
          <w:lang w:val="sr-Latn-ME"/>
        </w:rPr>
        <w:t xml:space="preserve">Mjesto injiciranja treba mijenjati. Nove injekcije treba primijeniti najmanje 2,5 cm od prethodnog mjesta injiciranja i nikada na osjetljivim mjestima, mjestima na kojima su nastale modrice, crvenim ili </w:t>
      </w:r>
      <w:r w:rsidR="001D4FE5" w:rsidRPr="0047585D">
        <w:rPr>
          <w:lang w:val="sr-Latn-ME"/>
        </w:rPr>
        <w:t>tvrdim</w:t>
      </w:r>
      <w:r w:rsidRPr="0047585D">
        <w:rPr>
          <w:lang w:val="sr-Latn-ME"/>
        </w:rPr>
        <w:t xml:space="preserve"> mjestima.</w:t>
      </w:r>
    </w:p>
    <w:p w14:paraId="1A15CB36" w14:textId="77777777" w:rsidR="00472DCE" w:rsidRPr="0047585D" w:rsidRDefault="00472DCE" w:rsidP="00A56A66">
      <w:pPr>
        <w:pStyle w:val="BodyText"/>
        <w:jc w:val="both"/>
        <w:rPr>
          <w:lang w:val="sr-Latn-ME"/>
        </w:rPr>
      </w:pPr>
    </w:p>
    <w:p w14:paraId="7265BE4F" w14:textId="77777777" w:rsidR="0084478E" w:rsidRPr="0047585D" w:rsidRDefault="004D5F71" w:rsidP="00A56A66">
      <w:pPr>
        <w:pStyle w:val="BodyText"/>
        <w:jc w:val="both"/>
        <w:rPr>
          <w:lang w:val="sr-Latn-ME"/>
        </w:rPr>
      </w:pPr>
      <w:r w:rsidRPr="0047585D">
        <w:rPr>
          <w:u w:val="single"/>
          <w:lang w:val="sr-Latn-ME"/>
        </w:rPr>
        <w:t xml:space="preserve">Odlaganje </w:t>
      </w:r>
    </w:p>
    <w:p w14:paraId="4442D6D5" w14:textId="58A071C6" w:rsidR="0084478E" w:rsidRPr="0047585D" w:rsidRDefault="00200D97" w:rsidP="00A56A66">
      <w:pPr>
        <w:pStyle w:val="BodyText"/>
        <w:jc w:val="both"/>
        <w:rPr>
          <w:lang w:val="sr-Latn-ME"/>
        </w:rPr>
      </w:pPr>
      <w:r w:rsidRPr="0047585D">
        <w:rPr>
          <w:lang w:val="sr-Latn-ME"/>
        </w:rPr>
        <w:t>Neiskoriš</w:t>
      </w:r>
      <w:r w:rsidR="004D5F71" w:rsidRPr="0047585D">
        <w:rPr>
          <w:lang w:val="sr-Latn-ME"/>
        </w:rPr>
        <w:t>ć</w:t>
      </w:r>
      <w:r w:rsidRPr="0047585D">
        <w:rPr>
          <w:lang w:val="sr-Latn-ME"/>
        </w:rPr>
        <w:t xml:space="preserve">eni lijek ili otpadni materijal potrebno je </w:t>
      </w:r>
      <w:r w:rsidR="004D5F71" w:rsidRPr="0047585D">
        <w:rPr>
          <w:lang w:val="sr-Latn-ME"/>
        </w:rPr>
        <w:t>odložiti u skladu sa</w:t>
      </w:r>
      <w:r w:rsidR="001D4FE5" w:rsidRPr="0047585D">
        <w:rPr>
          <w:lang w:val="sr-Latn-ME"/>
        </w:rPr>
        <w:t xml:space="preserve"> važećim</w:t>
      </w:r>
      <w:r w:rsidRPr="0047585D">
        <w:rPr>
          <w:lang w:val="sr-Latn-ME"/>
        </w:rPr>
        <w:t xml:space="preserve"> propisima.</w:t>
      </w:r>
    </w:p>
    <w:p w14:paraId="1E39B05E" w14:textId="61E20CC4" w:rsidR="00472DCE" w:rsidRPr="0047585D" w:rsidRDefault="00472DCE" w:rsidP="00A56A66">
      <w:pPr>
        <w:pStyle w:val="BodyText"/>
        <w:jc w:val="both"/>
        <w:rPr>
          <w:lang w:val="sr-Latn-ME"/>
        </w:rPr>
      </w:pPr>
    </w:p>
    <w:p w14:paraId="3810987D" w14:textId="77777777" w:rsidR="00472DCE" w:rsidRPr="0047585D" w:rsidRDefault="00472DCE" w:rsidP="00A56A66">
      <w:pPr>
        <w:pStyle w:val="BodyText"/>
        <w:jc w:val="both"/>
        <w:rPr>
          <w:lang w:val="sr-Latn-ME"/>
        </w:rPr>
      </w:pPr>
    </w:p>
    <w:p w14:paraId="53388637" w14:textId="77777777" w:rsidR="007E716C" w:rsidRPr="0047585D" w:rsidRDefault="00200D97" w:rsidP="003418AD">
      <w:pPr>
        <w:widowControl/>
        <w:numPr>
          <w:ilvl w:val="0"/>
          <w:numId w:val="8"/>
        </w:numPr>
        <w:tabs>
          <w:tab w:val="left" w:pos="540"/>
          <w:tab w:val="left" w:pos="569"/>
        </w:tabs>
        <w:autoSpaceDE/>
        <w:autoSpaceDN/>
        <w:ind w:left="0" w:firstLine="0"/>
        <w:rPr>
          <w:b/>
          <w:bCs/>
          <w:lang w:val="sr-Latn-ME"/>
        </w:rPr>
      </w:pPr>
      <w:r w:rsidRPr="0047585D">
        <w:rPr>
          <w:b/>
          <w:bCs/>
          <w:lang w:val="sr-Latn-ME"/>
        </w:rPr>
        <w:t>NOSI</w:t>
      </w:r>
      <w:r w:rsidR="00BB3974" w:rsidRPr="0047585D">
        <w:rPr>
          <w:b/>
          <w:bCs/>
          <w:lang w:val="sr-Latn-ME"/>
        </w:rPr>
        <w:t>LAC DOZVOLE</w:t>
      </w:r>
    </w:p>
    <w:p w14:paraId="3A81C7D8" w14:textId="77777777" w:rsidR="001D4FE5" w:rsidRPr="0047585D" w:rsidRDefault="001D4FE5" w:rsidP="008F4630">
      <w:pPr>
        <w:pStyle w:val="Heading1"/>
        <w:tabs>
          <w:tab w:val="left" w:pos="785"/>
          <w:tab w:val="left" w:pos="786"/>
        </w:tabs>
        <w:spacing w:before="1"/>
        <w:ind w:left="0"/>
        <w:jc w:val="both"/>
        <w:rPr>
          <w:lang w:val="sr-Latn-ME"/>
        </w:rPr>
      </w:pPr>
    </w:p>
    <w:p w14:paraId="1FDC7779" w14:textId="311B1D14" w:rsidR="007E716C" w:rsidRPr="0047585D" w:rsidRDefault="004866C7" w:rsidP="00BE5A22">
      <w:pPr>
        <w:pStyle w:val="BodyText"/>
        <w:jc w:val="both"/>
        <w:rPr>
          <w:lang w:val="sr-Latn-ME"/>
        </w:rPr>
      </w:pPr>
      <w:r w:rsidRPr="0047585D">
        <w:rPr>
          <w:lang w:val="sr-Latn-ME"/>
        </w:rPr>
        <w:t xml:space="preserve">Evropa Lek Pharma </w:t>
      </w:r>
      <w:r w:rsidR="007E716C" w:rsidRPr="0047585D">
        <w:rPr>
          <w:lang w:val="sr-Latn-ME"/>
        </w:rPr>
        <w:t>d.o.o.</w:t>
      </w:r>
      <w:r w:rsidR="001E4BA0">
        <w:rPr>
          <w:lang w:val="sr-Latn-ME"/>
        </w:rPr>
        <w:t xml:space="preserve"> </w:t>
      </w:r>
      <w:r w:rsidR="007E716C" w:rsidRPr="0047585D">
        <w:rPr>
          <w:lang w:val="sr-Latn-ME"/>
        </w:rPr>
        <w:t>Podgorica</w:t>
      </w:r>
    </w:p>
    <w:p w14:paraId="67E013CD" w14:textId="4E8E4776" w:rsidR="007E716C" w:rsidRDefault="007E716C" w:rsidP="00BE5A22">
      <w:pPr>
        <w:pStyle w:val="BodyText"/>
        <w:jc w:val="both"/>
        <w:rPr>
          <w:lang w:val="sr-Latn-ME"/>
        </w:rPr>
      </w:pPr>
      <w:r w:rsidRPr="0047585D">
        <w:rPr>
          <w:lang w:val="sr-Latn-ME"/>
        </w:rPr>
        <w:t>Kritskog odreda 4/1, Podgorica, Crna Gora</w:t>
      </w:r>
    </w:p>
    <w:p w14:paraId="43584AA4" w14:textId="77777777" w:rsidR="00890F08" w:rsidRPr="0047585D" w:rsidRDefault="00890F08" w:rsidP="00BE5A22">
      <w:pPr>
        <w:pStyle w:val="BodyText"/>
        <w:jc w:val="both"/>
        <w:rPr>
          <w:lang w:val="sr-Latn-ME"/>
        </w:rPr>
      </w:pPr>
    </w:p>
    <w:p w14:paraId="1A649E2E" w14:textId="77777777" w:rsidR="0084478E" w:rsidRPr="0047585D" w:rsidRDefault="0084478E" w:rsidP="00BE5A22">
      <w:pPr>
        <w:pStyle w:val="BodyText"/>
        <w:spacing w:before="7"/>
        <w:jc w:val="both"/>
        <w:rPr>
          <w:b/>
          <w:lang w:val="sr-Latn-ME"/>
        </w:rPr>
      </w:pPr>
    </w:p>
    <w:p w14:paraId="2115041C" w14:textId="77777777" w:rsidR="0084478E" w:rsidRPr="0047585D" w:rsidRDefault="00200D97" w:rsidP="003418AD">
      <w:pPr>
        <w:widowControl/>
        <w:numPr>
          <w:ilvl w:val="0"/>
          <w:numId w:val="8"/>
        </w:numPr>
        <w:tabs>
          <w:tab w:val="left" w:pos="540"/>
          <w:tab w:val="left" w:pos="569"/>
        </w:tabs>
        <w:autoSpaceDE/>
        <w:autoSpaceDN/>
        <w:ind w:left="0" w:firstLine="0"/>
        <w:rPr>
          <w:b/>
          <w:bCs/>
          <w:lang w:val="sr-Latn-ME"/>
        </w:rPr>
      </w:pPr>
      <w:r w:rsidRPr="0047585D">
        <w:rPr>
          <w:b/>
          <w:bCs/>
          <w:lang w:val="sr-Latn-ME"/>
        </w:rPr>
        <w:t>BROJ</w:t>
      </w:r>
      <w:r w:rsidR="00BB3974" w:rsidRPr="0047585D">
        <w:rPr>
          <w:b/>
          <w:bCs/>
          <w:lang w:val="sr-Latn-ME"/>
        </w:rPr>
        <w:t xml:space="preserve"> DOZVOLE ZA STAVLJANJE LIJEKA U PROMET</w:t>
      </w:r>
    </w:p>
    <w:p w14:paraId="3E4B5EE5" w14:textId="1495F0DB" w:rsidR="0084478E" w:rsidRDefault="0084478E" w:rsidP="00BE5A22">
      <w:pPr>
        <w:pStyle w:val="BodyText"/>
        <w:spacing w:before="5"/>
        <w:rPr>
          <w:lang w:val="sr-Latn-ME"/>
        </w:rPr>
      </w:pPr>
    </w:p>
    <w:p w14:paraId="5745C3F2" w14:textId="2082F97F" w:rsidR="001E4BA0" w:rsidRPr="00B34483" w:rsidRDefault="00B97A74" w:rsidP="00BE5A22">
      <w:pPr>
        <w:pStyle w:val="BodyText"/>
        <w:spacing w:before="5"/>
        <w:rPr>
          <w:lang w:val="sr-Latn-ME"/>
        </w:rPr>
      </w:pPr>
      <w:r w:rsidRPr="00B34483">
        <w:rPr>
          <w:lang w:val="sr-Latn-ME"/>
        </w:rPr>
        <w:t>2030/22/3740 - 7028</w:t>
      </w:r>
    </w:p>
    <w:p w14:paraId="6C843DEC" w14:textId="77777777" w:rsidR="00E44133" w:rsidRPr="0047585D" w:rsidRDefault="00E44133" w:rsidP="00BE5A22">
      <w:pPr>
        <w:pStyle w:val="BodyText"/>
        <w:spacing w:before="5"/>
        <w:rPr>
          <w:lang w:val="sr-Latn-ME"/>
        </w:rPr>
      </w:pPr>
    </w:p>
    <w:p w14:paraId="2848728F" w14:textId="77777777" w:rsidR="0084478E" w:rsidRPr="0047585D" w:rsidRDefault="00BB3974" w:rsidP="003418AD">
      <w:pPr>
        <w:widowControl/>
        <w:numPr>
          <w:ilvl w:val="0"/>
          <w:numId w:val="8"/>
        </w:numPr>
        <w:tabs>
          <w:tab w:val="left" w:pos="540"/>
          <w:tab w:val="left" w:pos="569"/>
        </w:tabs>
        <w:autoSpaceDE/>
        <w:autoSpaceDN/>
        <w:ind w:left="0" w:firstLine="0"/>
        <w:rPr>
          <w:b/>
          <w:bCs/>
          <w:lang w:val="sr-Latn-ME"/>
        </w:rPr>
      </w:pPr>
      <w:r w:rsidRPr="0047585D">
        <w:rPr>
          <w:b/>
          <w:bCs/>
          <w:lang w:val="sr-Latn-ME"/>
        </w:rPr>
        <w:t>DATUM PRVE DOZVOLE/OBNOVE DOZVOLE ZA STAVLJANJE LIJEKA U PROMET</w:t>
      </w:r>
      <w:r w:rsidRPr="0047585D" w:rsidDel="00BB3974">
        <w:rPr>
          <w:b/>
          <w:bCs/>
          <w:lang w:val="sr-Latn-ME"/>
        </w:rPr>
        <w:t xml:space="preserve"> </w:t>
      </w:r>
    </w:p>
    <w:p w14:paraId="7E5F9A1C" w14:textId="496EF9F3" w:rsidR="0084478E" w:rsidRDefault="0084478E" w:rsidP="00BE5A22">
      <w:pPr>
        <w:pStyle w:val="BodyText"/>
        <w:spacing w:before="5"/>
        <w:rPr>
          <w:lang w:val="sr-Latn-ME"/>
        </w:rPr>
      </w:pPr>
    </w:p>
    <w:p w14:paraId="4177C807" w14:textId="2289AB7F" w:rsidR="00456DC4" w:rsidRDefault="00B97A74" w:rsidP="00BE5A22">
      <w:pPr>
        <w:pStyle w:val="BodyText"/>
        <w:spacing w:before="5"/>
        <w:rPr>
          <w:lang w:val="sr-Latn-ME"/>
        </w:rPr>
      </w:pPr>
      <w:r>
        <w:rPr>
          <w:lang w:val="sr-Latn-ME"/>
        </w:rPr>
        <w:t>14.12.2022. godine</w:t>
      </w:r>
    </w:p>
    <w:p w14:paraId="34A80CEC" w14:textId="77777777" w:rsidR="00E44133" w:rsidRPr="0047585D" w:rsidRDefault="00E44133" w:rsidP="00BE5A22">
      <w:pPr>
        <w:pStyle w:val="BodyText"/>
        <w:spacing w:before="5"/>
        <w:rPr>
          <w:lang w:val="sr-Latn-ME"/>
        </w:rPr>
      </w:pPr>
    </w:p>
    <w:p w14:paraId="2E04912D" w14:textId="77777777" w:rsidR="003418AD" w:rsidRPr="0047585D" w:rsidRDefault="003418AD" w:rsidP="003418AD">
      <w:pPr>
        <w:widowControl/>
        <w:tabs>
          <w:tab w:val="left" w:pos="540"/>
          <w:tab w:val="left" w:pos="569"/>
        </w:tabs>
        <w:autoSpaceDE/>
        <w:autoSpaceDN/>
        <w:ind w:left="540" w:hanging="540"/>
        <w:rPr>
          <w:bCs/>
          <w:lang w:val="sr-Latn-ME"/>
        </w:rPr>
      </w:pPr>
      <w:bookmarkStart w:id="1" w:name="B._UPUTA_O_LIJEKU"/>
      <w:bookmarkEnd w:id="1"/>
      <w:r w:rsidRPr="0047585D">
        <w:rPr>
          <w:b/>
          <w:bCs/>
          <w:lang w:val="sr-Latn-ME"/>
        </w:rPr>
        <w:t xml:space="preserve">10. </w:t>
      </w:r>
      <w:r w:rsidRPr="0047585D">
        <w:rPr>
          <w:b/>
          <w:bCs/>
          <w:lang w:val="sr-Latn-ME"/>
        </w:rPr>
        <w:tab/>
        <w:t xml:space="preserve">DATUM REVIZIJE TEKSTA </w:t>
      </w:r>
    </w:p>
    <w:p w14:paraId="00424438" w14:textId="780CF668" w:rsidR="0084478E" w:rsidRDefault="0084478E" w:rsidP="003418AD">
      <w:pPr>
        <w:widowControl/>
        <w:tabs>
          <w:tab w:val="left" w:pos="540"/>
          <w:tab w:val="left" w:pos="569"/>
        </w:tabs>
        <w:autoSpaceDE/>
        <w:autoSpaceDN/>
        <w:ind w:left="540" w:hanging="540"/>
        <w:rPr>
          <w:b/>
          <w:bCs/>
          <w:lang w:val="sr-Latn-ME"/>
        </w:rPr>
      </w:pPr>
    </w:p>
    <w:p w14:paraId="2455EE97" w14:textId="267B7072" w:rsidR="00B97A74" w:rsidRPr="00B97A74" w:rsidRDefault="00B97A74" w:rsidP="003418AD">
      <w:pPr>
        <w:widowControl/>
        <w:tabs>
          <w:tab w:val="left" w:pos="540"/>
          <w:tab w:val="left" w:pos="569"/>
        </w:tabs>
        <w:autoSpaceDE/>
        <w:autoSpaceDN/>
        <w:ind w:left="540" w:hanging="540"/>
        <w:rPr>
          <w:bCs/>
          <w:lang w:val="sr-Latn-ME"/>
        </w:rPr>
      </w:pPr>
      <w:bookmarkStart w:id="2" w:name="_GoBack"/>
      <w:r w:rsidRPr="00B97A74">
        <w:rPr>
          <w:bCs/>
          <w:lang w:val="sr-Latn-ME"/>
        </w:rPr>
        <w:t>Decembar, 2022. godine</w:t>
      </w:r>
      <w:bookmarkEnd w:id="2"/>
    </w:p>
    <w:sectPr w:rsidR="00B97A74" w:rsidRPr="00B97A74" w:rsidSect="00A56A66">
      <w:headerReference w:type="default" r:id="rId14"/>
      <w:footerReference w:type="default" r:id="rId15"/>
      <w:pgSz w:w="11910" w:h="16850"/>
      <w:pgMar w:top="1134" w:right="1418" w:bottom="1134" w:left="1418" w:header="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40F09" w14:textId="77777777" w:rsidR="00333A95" w:rsidRDefault="00333A95">
      <w:r>
        <w:separator/>
      </w:r>
    </w:p>
  </w:endnote>
  <w:endnote w:type="continuationSeparator" w:id="0">
    <w:p w14:paraId="247870FF" w14:textId="77777777" w:rsidR="00333A95" w:rsidRDefault="00333A95">
      <w:r>
        <w:continuationSeparator/>
      </w:r>
    </w:p>
  </w:endnote>
  <w:endnote w:type="continuationNotice" w:id="1">
    <w:p w14:paraId="2C96EDA7" w14:textId="77777777" w:rsidR="00333A95" w:rsidRDefault="00333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D619" w14:textId="77777777" w:rsidR="00B34483" w:rsidRDefault="00B34483" w:rsidP="0081455E">
    <w:pPr>
      <w:pStyle w:val="Footer"/>
      <w:jc w:val="center"/>
      <w:rPr>
        <w:sz w:val="20"/>
        <w:szCs w:val="20"/>
      </w:rPr>
    </w:pPr>
  </w:p>
  <w:p w14:paraId="38D55BB8" w14:textId="77777777" w:rsidR="00B34483" w:rsidRDefault="00B34483" w:rsidP="0081455E">
    <w:pPr>
      <w:pStyle w:val="Footer"/>
      <w:jc w:val="center"/>
      <w:rPr>
        <w:sz w:val="20"/>
        <w:szCs w:val="20"/>
      </w:rPr>
    </w:pPr>
  </w:p>
  <w:p w14:paraId="6C2C6521" w14:textId="01CD8D49" w:rsidR="00B34483" w:rsidRPr="0081455E" w:rsidRDefault="00B34483" w:rsidP="0081455E">
    <w:pPr>
      <w:pStyle w:val="Footer"/>
      <w:jc w:val="center"/>
      <w:rPr>
        <w:sz w:val="20"/>
        <w:szCs w:val="20"/>
      </w:rPr>
    </w:pPr>
    <w:r w:rsidRPr="0081455E">
      <w:rPr>
        <w:sz w:val="20"/>
        <w:szCs w:val="20"/>
      </w:rPr>
      <w:fldChar w:fldCharType="begin"/>
    </w:r>
    <w:r w:rsidRPr="0081455E">
      <w:rPr>
        <w:sz w:val="20"/>
        <w:szCs w:val="20"/>
      </w:rPr>
      <w:instrText xml:space="preserve"> PAGE </w:instrText>
    </w:r>
    <w:r w:rsidRPr="0081455E">
      <w:rPr>
        <w:sz w:val="20"/>
        <w:szCs w:val="20"/>
      </w:rPr>
      <w:fldChar w:fldCharType="separate"/>
    </w:r>
    <w:r w:rsidR="00255245">
      <w:rPr>
        <w:noProof/>
        <w:sz w:val="20"/>
        <w:szCs w:val="20"/>
      </w:rPr>
      <w:t>18</w:t>
    </w:r>
    <w:r w:rsidRPr="0081455E">
      <w:rPr>
        <w:sz w:val="20"/>
        <w:szCs w:val="20"/>
      </w:rPr>
      <w:fldChar w:fldCharType="end"/>
    </w:r>
    <w:r w:rsidRPr="0081455E">
      <w:rPr>
        <w:sz w:val="20"/>
        <w:szCs w:val="20"/>
      </w:rPr>
      <w:t xml:space="preserve"> / </w:t>
    </w:r>
    <w:r w:rsidRPr="0081455E">
      <w:rPr>
        <w:sz w:val="20"/>
        <w:szCs w:val="20"/>
      </w:rPr>
      <w:fldChar w:fldCharType="begin"/>
    </w:r>
    <w:r w:rsidRPr="0081455E">
      <w:rPr>
        <w:sz w:val="20"/>
        <w:szCs w:val="20"/>
      </w:rPr>
      <w:instrText xml:space="preserve"> NUMPAGES </w:instrText>
    </w:r>
    <w:r w:rsidRPr="0081455E">
      <w:rPr>
        <w:sz w:val="20"/>
        <w:szCs w:val="20"/>
      </w:rPr>
      <w:fldChar w:fldCharType="separate"/>
    </w:r>
    <w:r w:rsidR="00255245">
      <w:rPr>
        <w:noProof/>
        <w:sz w:val="20"/>
        <w:szCs w:val="20"/>
      </w:rPr>
      <w:t>19</w:t>
    </w:r>
    <w:r w:rsidRPr="0081455E">
      <w:rPr>
        <w:sz w:val="20"/>
        <w:szCs w:val="20"/>
      </w:rPr>
      <w:fldChar w:fldCharType="end"/>
    </w:r>
  </w:p>
  <w:p w14:paraId="7E30812B" w14:textId="77777777" w:rsidR="00B34483" w:rsidRDefault="00B34483">
    <w:pPr>
      <w:pStyle w:val="Footer"/>
    </w:pPr>
  </w:p>
  <w:p w14:paraId="25D85B43" w14:textId="77777777" w:rsidR="00B34483" w:rsidRDefault="00B34483">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E153" w14:textId="77777777" w:rsidR="00333A95" w:rsidRDefault="00333A95">
      <w:r>
        <w:separator/>
      </w:r>
    </w:p>
  </w:footnote>
  <w:footnote w:type="continuationSeparator" w:id="0">
    <w:p w14:paraId="45EF5E93" w14:textId="77777777" w:rsidR="00333A95" w:rsidRDefault="00333A95">
      <w:r>
        <w:continuationSeparator/>
      </w:r>
    </w:p>
  </w:footnote>
  <w:footnote w:type="continuationNotice" w:id="1">
    <w:p w14:paraId="69395347" w14:textId="77777777" w:rsidR="00333A95" w:rsidRDefault="00333A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17F3" w14:textId="77777777" w:rsidR="00B34483" w:rsidRDefault="00B34483">
    <w:pPr>
      <w:pStyle w:val="Header"/>
    </w:pPr>
  </w:p>
  <w:p w14:paraId="799B7D8C" w14:textId="77777777" w:rsidR="00B34483" w:rsidRDefault="00B34483">
    <w:pPr>
      <w:pStyle w:val="Header"/>
    </w:pPr>
  </w:p>
  <w:p w14:paraId="5D2C4D82" w14:textId="77777777" w:rsidR="00B34483" w:rsidRDefault="00B34483">
    <w:pPr>
      <w:pStyle w:val="Header"/>
    </w:pPr>
  </w:p>
  <w:p w14:paraId="07A65291" w14:textId="77777777" w:rsidR="00B34483" w:rsidRDefault="00B34483">
    <w:pPr>
      <w:pStyle w:val="Header"/>
    </w:pPr>
  </w:p>
  <w:p w14:paraId="12BA2C17" w14:textId="77777777" w:rsidR="00B34483" w:rsidRDefault="00B34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514"/>
    <w:multiLevelType w:val="hybridMultilevel"/>
    <w:tmpl w:val="E60AD504"/>
    <w:lvl w:ilvl="0" w:tplc="90D6CE8A">
      <w:start w:val="1"/>
      <w:numFmt w:val="decimal"/>
      <w:lvlText w:val="%1."/>
      <w:lvlJc w:val="left"/>
      <w:pPr>
        <w:ind w:left="567" w:hanging="567"/>
      </w:pPr>
      <w:rPr>
        <w:rFonts w:ascii="Times New Roman" w:eastAsia="Times New Roman" w:hAnsi="Times New Roman" w:cs="Times New Roman" w:hint="default"/>
        <w:w w:val="100"/>
        <w:sz w:val="22"/>
        <w:szCs w:val="22"/>
      </w:rPr>
    </w:lvl>
    <w:lvl w:ilvl="1" w:tplc="178814B6">
      <w:numFmt w:val="bullet"/>
      <w:lvlText w:val="•"/>
      <w:lvlJc w:val="left"/>
      <w:pPr>
        <w:ind w:left="1666" w:hanging="567"/>
      </w:pPr>
      <w:rPr>
        <w:rFonts w:hint="default"/>
      </w:rPr>
    </w:lvl>
    <w:lvl w:ilvl="2" w:tplc="FA5066DC">
      <w:numFmt w:val="bullet"/>
      <w:lvlText w:val="•"/>
      <w:lvlJc w:val="left"/>
      <w:pPr>
        <w:ind w:left="2553" w:hanging="567"/>
      </w:pPr>
      <w:rPr>
        <w:rFonts w:hint="default"/>
      </w:rPr>
    </w:lvl>
    <w:lvl w:ilvl="3" w:tplc="5BC8607A">
      <w:numFmt w:val="bullet"/>
      <w:lvlText w:val="•"/>
      <w:lvlJc w:val="left"/>
      <w:pPr>
        <w:ind w:left="3439" w:hanging="567"/>
      </w:pPr>
      <w:rPr>
        <w:rFonts w:hint="default"/>
      </w:rPr>
    </w:lvl>
    <w:lvl w:ilvl="4" w:tplc="911E9D64">
      <w:numFmt w:val="bullet"/>
      <w:lvlText w:val="•"/>
      <w:lvlJc w:val="left"/>
      <w:pPr>
        <w:ind w:left="4326" w:hanging="567"/>
      </w:pPr>
      <w:rPr>
        <w:rFonts w:hint="default"/>
      </w:rPr>
    </w:lvl>
    <w:lvl w:ilvl="5" w:tplc="8B747118">
      <w:numFmt w:val="bullet"/>
      <w:lvlText w:val="•"/>
      <w:lvlJc w:val="left"/>
      <w:pPr>
        <w:ind w:left="5213" w:hanging="567"/>
      </w:pPr>
      <w:rPr>
        <w:rFonts w:hint="default"/>
      </w:rPr>
    </w:lvl>
    <w:lvl w:ilvl="6" w:tplc="132CF406">
      <w:numFmt w:val="bullet"/>
      <w:lvlText w:val="•"/>
      <w:lvlJc w:val="left"/>
      <w:pPr>
        <w:ind w:left="6099" w:hanging="567"/>
      </w:pPr>
      <w:rPr>
        <w:rFonts w:hint="default"/>
      </w:rPr>
    </w:lvl>
    <w:lvl w:ilvl="7" w:tplc="48149BDE">
      <w:numFmt w:val="bullet"/>
      <w:lvlText w:val="•"/>
      <w:lvlJc w:val="left"/>
      <w:pPr>
        <w:ind w:left="6986" w:hanging="567"/>
      </w:pPr>
      <w:rPr>
        <w:rFonts w:hint="default"/>
      </w:rPr>
    </w:lvl>
    <w:lvl w:ilvl="8" w:tplc="13225BC6">
      <w:numFmt w:val="bullet"/>
      <w:lvlText w:val="•"/>
      <w:lvlJc w:val="left"/>
      <w:pPr>
        <w:ind w:left="7873" w:hanging="567"/>
      </w:pPr>
      <w:rPr>
        <w:rFonts w:hint="default"/>
      </w:rPr>
    </w:lvl>
  </w:abstractNum>
  <w:abstractNum w:abstractNumId="1" w15:restartNumberingAfterBreak="0">
    <w:nsid w:val="0F991AFB"/>
    <w:multiLevelType w:val="hybridMultilevel"/>
    <w:tmpl w:val="AE4E8DEE"/>
    <w:lvl w:ilvl="0" w:tplc="89EA6FF2">
      <w:numFmt w:val="bullet"/>
      <w:lvlText w:val="-"/>
      <w:lvlJc w:val="left"/>
      <w:pPr>
        <w:ind w:left="785" w:hanging="740"/>
      </w:pPr>
      <w:rPr>
        <w:rFonts w:ascii="Courier New" w:eastAsia="Courier New" w:hAnsi="Courier New" w:cs="Courier New" w:hint="default"/>
        <w:w w:val="100"/>
        <w:sz w:val="22"/>
        <w:szCs w:val="22"/>
      </w:rPr>
    </w:lvl>
    <w:lvl w:ilvl="1" w:tplc="2954DB32">
      <w:numFmt w:val="bullet"/>
      <w:lvlText w:val="•"/>
      <w:lvlJc w:val="left"/>
      <w:pPr>
        <w:ind w:left="1666" w:hanging="740"/>
      </w:pPr>
      <w:rPr>
        <w:rFonts w:hint="default"/>
      </w:rPr>
    </w:lvl>
    <w:lvl w:ilvl="2" w:tplc="B1DE449E">
      <w:numFmt w:val="bullet"/>
      <w:lvlText w:val="•"/>
      <w:lvlJc w:val="left"/>
      <w:pPr>
        <w:ind w:left="2553" w:hanging="740"/>
      </w:pPr>
      <w:rPr>
        <w:rFonts w:hint="default"/>
      </w:rPr>
    </w:lvl>
    <w:lvl w:ilvl="3" w:tplc="D20A8320">
      <w:numFmt w:val="bullet"/>
      <w:lvlText w:val="•"/>
      <w:lvlJc w:val="left"/>
      <w:pPr>
        <w:ind w:left="3439" w:hanging="740"/>
      </w:pPr>
      <w:rPr>
        <w:rFonts w:hint="default"/>
      </w:rPr>
    </w:lvl>
    <w:lvl w:ilvl="4" w:tplc="041268D4">
      <w:numFmt w:val="bullet"/>
      <w:lvlText w:val="•"/>
      <w:lvlJc w:val="left"/>
      <w:pPr>
        <w:ind w:left="4326" w:hanging="740"/>
      </w:pPr>
      <w:rPr>
        <w:rFonts w:hint="default"/>
      </w:rPr>
    </w:lvl>
    <w:lvl w:ilvl="5" w:tplc="EC621EE4">
      <w:numFmt w:val="bullet"/>
      <w:lvlText w:val="•"/>
      <w:lvlJc w:val="left"/>
      <w:pPr>
        <w:ind w:left="5213" w:hanging="740"/>
      </w:pPr>
      <w:rPr>
        <w:rFonts w:hint="default"/>
      </w:rPr>
    </w:lvl>
    <w:lvl w:ilvl="6" w:tplc="5E46089E">
      <w:numFmt w:val="bullet"/>
      <w:lvlText w:val="•"/>
      <w:lvlJc w:val="left"/>
      <w:pPr>
        <w:ind w:left="6099" w:hanging="740"/>
      </w:pPr>
      <w:rPr>
        <w:rFonts w:hint="default"/>
      </w:rPr>
    </w:lvl>
    <w:lvl w:ilvl="7" w:tplc="E0F234AA">
      <w:numFmt w:val="bullet"/>
      <w:lvlText w:val="•"/>
      <w:lvlJc w:val="left"/>
      <w:pPr>
        <w:ind w:left="6986" w:hanging="740"/>
      </w:pPr>
      <w:rPr>
        <w:rFonts w:hint="default"/>
      </w:rPr>
    </w:lvl>
    <w:lvl w:ilvl="8" w:tplc="B7A4B49E">
      <w:numFmt w:val="bullet"/>
      <w:lvlText w:val="•"/>
      <w:lvlJc w:val="left"/>
      <w:pPr>
        <w:ind w:left="7873" w:hanging="740"/>
      </w:pPr>
      <w:rPr>
        <w:rFonts w:hint="default"/>
      </w:rPr>
    </w:lvl>
  </w:abstractNum>
  <w:abstractNum w:abstractNumId="2" w15:restartNumberingAfterBreak="0">
    <w:nsid w:val="1FCC1E6A"/>
    <w:multiLevelType w:val="hybridMultilevel"/>
    <w:tmpl w:val="F654BD8A"/>
    <w:lvl w:ilvl="0" w:tplc="E3000C50">
      <w:numFmt w:val="bullet"/>
      <w:lvlText w:val="-"/>
      <w:lvlJc w:val="left"/>
      <w:pPr>
        <w:ind w:left="785" w:hanging="567"/>
      </w:pPr>
      <w:rPr>
        <w:rFonts w:ascii="Times New Roman" w:eastAsia="Times New Roman" w:hAnsi="Times New Roman" w:cs="Times New Roman" w:hint="default"/>
        <w:w w:val="100"/>
        <w:sz w:val="22"/>
        <w:szCs w:val="22"/>
      </w:rPr>
    </w:lvl>
    <w:lvl w:ilvl="1" w:tplc="DB723F96">
      <w:numFmt w:val="bullet"/>
      <w:lvlText w:val="•"/>
      <w:lvlJc w:val="left"/>
      <w:pPr>
        <w:ind w:left="1666" w:hanging="567"/>
      </w:pPr>
      <w:rPr>
        <w:rFonts w:hint="default"/>
      </w:rPr>
    </w:lvl>
    <w:lvl w:ilvl="2" w:tplc="CAE64C7C">
      <w:numFmt w:val="bullet"/>
      <w:lvlText w:val="•"/>
      <w:lvlJc w:val="left"/>
      <w:pPr>
        <w:ind w:left="2553" w:hanging="567"/>
      </w:pPr>
      <w:rPr>
        <w:rFonts w:hint="default"/>
      </w:rPr>
    </w:lvl>
    <w:lvl w:ilvl="3" w:tplc="87A440A4">
      <w:numFmt w:val="bullet"/>
      <w:lvlText w:val="•"/>
      <w:lvlJc w:val="left"/>
      <w:pPr>
        <w:ind w:left="3439" w:hanging="567"/>
      </w:pPr>
      <w:rPr>
        <w:rFonts w:hint="default"/>
      </w:rPr>
    </w:lvl>
    <w:lvl w:ilvl="4" w:tplc="57E6A4A2">
      <w:numFmt w:val="bullet"/>
      <w:lvlText w:val="•"/>
      <w:lvlJc w:val="left"/>
      <w:pPr>
        <w:ind w:left="4326" w:hanging="567"/>
      </w:pPr>
      <w:rPr>
        <w:rFonts w:hint="default"/>
      </w:rPr>
    </w:lvl>
    <w:lvl w:ilvl="5" w:tplc="545CAFE8">
      <w:numFmt w:val="bullet"/>
      <w:lvlText w:val="•"/>
      <w:lvlJc w:val="left"/>
      <w:pPr>
        <w:ind w:left="5213" w:hanging="567"/>
      </w:pPr>
      <w:rPr>
        <w:rFonts w:hint="default"/>
      </w:rPr>
    </w:lvl>
    <w:lvl w:ilvl="6" w:tplc="FEAC93E6">
      <w:numFmt w:val="bullet"/>
      <w:lvlText w:val="•"/>
      <w:lvlJc w:val="left"/>
      <w:pPr>
        <w:ind w:left="6099" w:hanging="567"/>
      </w:pPr>
      <w:rPr>
        <w:rFonts w:hint="default"/>
      </w:rPr>
    </w:lvl>
    <w:lvl w:ilvl="7" w:tplc="44A6F0BA">
      <w:numFmt w:val="bullet"/>
      <w:lvlText w:val="•"/>
      <w:lvlJc w:val="left"/>
      <w:pPr>
        <w:ind w:left="6986" w:hanging="567"/>
      </w:pPr>
      <w:rPr>
        <w:rFonts w:hint="default"/>
      </w:rPr>
    </w:lvl>
    <w:lvl w:ilvl="8" w:tplc="8F701DA0">
      <w:numFmt w:val="bullet"/>
      <w:lvlText w:val="•"/>
      <w:lvlJc w:val="left"/>
      <w:pPr>
        <w:ind w:left="7873" w:hanging="567"/>
      </w:pPr>
      <w:rPr>
        <w:rFonts w:hint="default"/>
      </w:rPr>
    </w:lvl>
  </w:abstractNum>
  <w:abstractNum w:abstractNumId="3" w15:restartNumberingAfterBreak="0">
    <w:nsid w:val="2CF74DF2"/>
    <w:multiLevelType w:val="hybridMultilevel"/>
    <w:tmpl w:val="E0081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33FF0"/>
    <w:multiLevelType w:val="hybridMultilevel"/>
    <w:tmpl w:val="529A723A"/>
    <w:lvl w:ilvl="0" w:tplc="B52C015E">
      <w:start w:val="1"/>
      <w:numFmt w:val="decimal"/>
      <w:lvlText w:val="%1."/>
      <w:lvlJc w:val="left"/>
      <w:pPr>
        <w:ind w:left="785" w:hanging="567"/>
      </w:pPr>
      <w:rPr>
        <w:rFonts w:ascii="Times New Roman" w:eastAsia="Times New Roman" w:hAnsi="Times New Roman" w:cs="Times New Roman" w:hint="default"/>
        <w:w w:val="100"/>
        <w:sz w:val="22"/>
        <w:szCs w:val="22"/>
      </w:rPr>
    </w:lvl>
    <w:lvl w:ilvl="1" w:tplc="F05A74D8">
      <w:numFmt w:val="bullet"/>
      <w:lvlText w:val="•"/>
      <w:lvlJc w:val="left"/>
      <w:pPr>
        <w:ind w:left="1666" w:hanging="567"/>
      </w:pPr>
      <w:rPr>
        <w:rFonts w:hint="default"/>
      </w:rPr>
    </w:lvl>
    <w:lvl w:ilvl="2" w:tplc="256E6C2A">
      <w:numFmt w:val="bullet"/>
      <w:lvlText w:val="•"/>
      <w:lvlJc w:val="left"/>
      <w:pPr>
        <w:ind w:left="2553" w:hanging="567"/>
      </w:pPr>
      <w:rPr>
        <w:rFonts w:hint="default"/>
      </w:rPr>
    </w:lvl>
    <w:lvl w:ilvl="3" w:tplc="F306E146">
      <w:numFmt w:val="bullet"/>
      <w:lvlText w:val="•"/>
      <w:lvlJc w:val="left"/>
      <w:pPr>
        <w:ind w:left="3439" w:hanging="567"/>
      </w:pPr>
      <w:rPr>
        <w:rFonts w:hint="default"/>
      </w:rPr>
    </w:lvl>
    <w:lvl w:ilvl="4" w:tplc="DD36F040">
      <w:numFmt w:val="bullet"/>
      <w:lvlText w:val="•"/>
      <w:lvlJc w:val="left"/>
      <w:pPr>
        <w:ind w:left="4326" w:hanging="567"/>
      </w:pPr>
      <w:rPr>
        <w:rFonts w:hint="default"/>
      </w:rPr>
    </w:lvl>
    <w:lvl w:ilvl="5" w:tplc="5F689BAC">
      <w:numFmt w:val="bullet"/>
      <w:lvlText w:val="•"/>
      <w:lvlJc w:val="left"/>
      <w:pPr>
        <w:ind w:left="5213" w:hanging="567"/>
      </w:pPr>
      <w:rPr>
        <w:rFonts w:hint="default"/>
      </w:rPr>
    </w:lvl>
    <w:lvl w:ilvl="6" w:tplc="920C43AE">
      <w:numFmt w:val="bullet"/>
      <w:lvlText w:val="•"/>
      <w:lvlJc w:val="left"/>
      <w:pPr>
        <w:ind w:left="6099" w:hanging="567"/>
      </w:pPr>
      <w:rPr>
        <w:rFonts w:hint="default"/>
      </w:rPr>
    </w:lvl>
    <w:lvl w:ilvl="7" w:tplc="D960CD6C">
      <w:numFmt w:val="bullet"/>
      <w:lvlText w:val="•"/>
      <w:lvlJc w:val="left"/>
      <w:pPr>
        <w:ind w:left="6986" w:hanging="567"/>
      </w:pPr>
      <w:rPr>
        <w:rFonts w:hint="default"/>
      </w:rPr>
    </w:lvl>
    <w:lvl w:ilvl="8" w:tplc="5E84838E">
      <w:numFmt w:val="bullet"/>
      <w:lvlText w:val="•"/>
      <w:lvlJc w:val="left"/>
      <w:pPr>
        <w:ind w:left="7873" w:hanging="567"/>
      </w:pPr>
      <w:rPr>
        <w:rFont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0049D0"/>
    <w:multiLevelType w:val="hybridMultilevel"/>
    <w:tmpl w:val="0CAC75F2"/>
    <w:lvl w:ilvl="0" w:tplc="39861620">
      <w:numFmt w:val="bullet"/>
      <w:lvlText w:val="-"/>
      <w:lvlJc w:val="left"/>
      <w:pPr>
        <w:ind w:left="938" w:hanging="720"/>
      </w:pPr>
      <w:rPr>
        <w:rFonts w:ascii="Courier New" w:eastAsia="Courier New" w:hAnsi="Courier New" w:cs="Courier New" w:hint="default"/>
        <w:w w:val="100"/>
        <w:sz w:val="22"/>
        <w:szCs w:val="22"/>
      </w:rPr>
    </w:lvl>
    <w:lvl w:ilvl="1" w:tplc="466E5D7C">
      <w:numFmt w:val="bullet"/>
      <w:lvlText w:val="•"/>
      <w:lvlJc w:val="left"/>
      <w:pPr>
        <w:ind w:left="1810" w:hanging="720"/>
      </w:pPr>
      <w:rPr>
        <w:rFonts w:hint="default"/>
      </w:rPr>
    </w:lvl>
    <w:lvl w:ilvl="2" w:tplc="F2009AF2">
      <w:numFmt w:val="bullet"/>
      <w:lvlText w:val="•"/>
      <w:lvlJc w:val="left"/>
      <w:pPr>
        <w:ind w:left="2681" w:hanging="720"/>
      </w:pPr>
      <w:rPr>
        <w:rFonts w:hint="default"/>
      </w:rPr>
    </w:lvl>
    <w:lvl w:ilvl="3" w:tplc="DC9A8EAE">
      <w:numFmt w:val="bullet"/>
      <w:lvlText w:val="•"/>
      <w:lvlJc w:val="left"/>
      <w:pPr>
        <w:ind w:left="3551" w:hanging="720"/>
      </w:pPr>
      <w:rPr>
        <w:rFonts w:hint="default"/>
      </w:rPr>
    </w:lvl>
    <w:lvl w:ilvl="4" w:tplc="1CB83D12">
      <w:numFmt w:val="bullet"/>
      <w:lvlText w:val="•"/>
      <w:lvlJc w:val="left"/>
      <w:pPr>
        <w:ind w:left="4422" w:hanging="720"/>
      </w:pPr>
      <w:rPr>
        <w:rFonts w:hint="default"/>
      </w:rPr>
    </w:lvl>
    <w:lvl w:ilvl="5" w:tplc="44D297EA">
      <w:numFmt w:val="bullet"/>
      <w:lvlText w:val="•"/>
      <w:lvlJc w:val="left"/>
      <w:pPr>
        <w:ind w:left="5293" w:hanging="720"/>
      </w:pPr>
      <w:rPr>
        <w:rFonts w:hint="default"/>
      </w:rPr>
    </w:lvl>
    <w:lvl w:ilvl="6" w:tplc="7B5C0986">
      <w:numFmt w:val="bullet"/>
      <w:lvlText w:val="•"/>
      <w:lvlJc w:val="left"/>
      <w:pPr>
        <w:ind w:left="6163" w:hanging="720"/>
      </w:pPr>
      <w:rPr>
        <w:rFonts w:hint="default"/>
      </w:rPr>
    </w:lvl>
    <w:lvl w:ilvl="7" w:tplc="A66E401C">
      <w:numFmt w:val="bullet"/>
      <w:lvlText w:val="•"/>
      <w:lvlJc w:val="left"/>
      <w:pPr>
        <w:ind w:left="7034" w:hanging="720"/>
      </w:pPr>
      <w:rPr>
        <w:rFonts w:hint="default"/>
      </w:rPr>
    </w:lvl>
    <w:lvl w:ilvl="8" w:tplc="E2B26D12">
      <w:numFmt w:val="bullet"/>
      <w:lvlText w:val="•"/>
      <w:lvlJc w:val="left"/>
      <w:pPr>
        <w:ind w:left="7905" w:hanging="720"/>
      </w:pPr>
      <w:rPr>
        <w:rFonts w:hint="default"/>
      </w:rPr>
    </w:lvl>
  </w:abstractNum>
  <w:abstractNum w:abstractNumId="7" w15:restartNumberingAfterBreak="0">
    <w:nsid w:val="5EAC2EE3"/>
    <w:multiLevelType w:val="hybridMultilevel"/>
    <w:tmpl w:val="057A8AFA"/>
    <w:lvl w:ilvl="0" w:tplc="3C445A60">
      <w:start w:val="1"/>
      <w:numFmt w:val="decimal"/>
      <w:lvlText w:val="%1."/>
      <w:lvlJc w:val="left"/>
      <w:pPr>
        <w:ind w:left="218" w:hanging="567"/>
      </w:pPr>
      <w:rPr>
        <w:rFonts w:ascii="Times New Roman" w:eastAsia="Times New Roman" w:hAnsi="Times New Roman" w:cs="Times New Roman" w:hint="default"/>
        <w:b/>
        <w:bCs/>
        <w:w w:val="100"/>
        <w:sz w:val="22"/>
        <w:szCs w:val="22"/>
      </w:rPr>
    </w:lvl>
    <w:lvl w:ilvl="1" w:tplc="73CCB7BC">
      <w:numFmt w:val="bullet"/>
      <w:lvlText w:val="•"/>
      <w:lvlJc w:val="left"/>
      <w:pPr>
        <w:ind w:left="1162" w:hanging="567"/>
      </w:pPr>
      <w:rPr>
        <w:rFonts w:hint="default"/>
      </w:rPr>
    </w:lvl>
    <w:lvl w:ilvl="2" w:tplc="2A2A0844">
      <w:numFmt w:val="bullet"/>
      <w:lvlText w:val="•"/>
      <w:lvlJc w:val="left"/>
      <w:pPr>
        <w:ind w:left="2105" w:hanging="567"/>
      </w:pPr>
      <w:rPr>
        <w:rFonts w:hint="default"/>
      </w:rPr>
    </w:lvl>
    <w:lvl w:ilvl="3" w:tplc="8CC4DFCA">
      <w:numFmt w:val="bullet"/>
      <w:lvlText w:val="•"/>
      <w:lvlJc w:val="left"/>
      <w:pPr>
        <w:ind w:left="3047" w:hanging="567"/>
      </w:pPr>
      <w:rPr>
        <w:rFonts w:hint="default"/>
      </w:rPr>
    </w:lvl>
    <w:lvl w:ilvl="4" w:tplc="E89E9AB2">
      <w:numFmt w:val="bullet"/>
      <w:lvlText w:val="•"/>
      <w:lvlJc w:val="left"/>
      <w:pPr>
        <w:ind w:left="3990" w:hanging="567"/>
      </w:pPr>
      <w:rPr>
        <w:rFonts w:hint="default"/>
      </w:rPr>
    </w:lvl>
    <w:lvl w:ilvl="5" w:tplc="3B90962E">
      <w:numFmt w:val="bullet"/>
      <w:lvlText w:val="•"/>
      <w:lvlJc w:val="left"/>
      <w:pPr>
        <w:ind w:left="4933" w:hanging="567"/>
      </w:pPr>
      <w:rPr>
        <w:rFonts w:hint="default"/>
      </w:rPr>
    </w:lvl>
    <w:lvl w:ilvl="6" w:tplc="02A61494">
      <w:numFmt w:val="bullet"/>
      <w:lvlText w:val="•"/>
      <w:lvlJc w:val="left"/>
      <w:pPr>
        <w:ind w:left="5875" w:hanging="567"/>
      </w:pPr>
      <w:rPr>
        <w:rFonts w:hint="default"/>
      </w:rPr>
    </w:lvl>
    <w:lvl w:ilvl="7" w:tplc="BCA21490">
      <w:numFmt w:val="bullet"/>
      <w:lvlText w:val="•"/>
      <w:lvlJc w:val="left"/>
      <w:pPr>
        <w:ind w:left="6818" w:hanging="567"/>
      </w:pPr>
      <w:rPr>
        <w:rFonts w:hint="default"/>
      </w:rPr>
    </w:lvl>
    <w:lvl w:ilvl="8" w:tplc="22768546">
      <w:numFmt w:val="bullet"/>
      <w:lvlText w:val="•"/>
      <w:lvlJc w:val="left"/>
      <w:pPr>
        <w:ind w:left="7761" w:hanging="567"/>
      </w:pPr>
      <w:rPr>
        <w:rFonts w:hint="default"/>
      </w:rPr>
    </w:lvl>
  </w:abstractNum>
  <w:abstractNum w:abstractNumId="8" w15:restartNumberingAfterBreak="0">
    <w:nsid w:val="6A50595F"/>
    <w:multiLevelType w:val="hybridMultilevel"/>
    <w:tmpl w:val="D0A6EBE6"/>
    <w:lvl w:ilvl="0" w:tplc="79C284F0">
      <w:start w:val="7"/>
      <w:numFmt w:val="decimal"/>
      <w:lvlText w:val="%1."/>
      <w:lvlJc w:val="left"/>
      <w:pPr>
        <w:ind w:left="785" w:hanging="567"/>
      </w:pPr>
      <w:rPr>
        <w:rFonts w:ascii="Times New Roman" w:eastAsia="Times New Roman" w:hAnsi="Times New Roman" w:cs="Times New Roman" w:hint="default"/>
        <w:b/>
        <w:bCs/>
        <w:w w:val="100"/>
        <w:sz w:val="22"/>
        <w:szCs w:val="22"/>
      </w:rPr>
    </w:lvl>
    <w:lvl w:ilvl="1" w:tplc="4FFA7892">
      <w:start w:val="1"/>
      <w:numFmt w:val="upperLetter"/>
      <w:lvlText w:val="%2."/>
      <w:lvlJc w:val="left"/>
      <w:pPr>
        <w:ind w:left="1920" w:hanging="569"/>
      </w:pPr>
      <w:rPr>
        <w:rFonts w:ascii="Times New Roman" w:eastAsia="Times New Roman" w:hAnsi="Times New Roman" w:cs="Times New Roman" w:hint="default"/>
        <w:b/>
        <w:bCs/>
        <w:spacing w:val="-2"/>
        <w:w w:val="100"/>
        <w:sz w:val="22"/>
        <w:szCs w:val="22"/>
      </w:rPr>
    </w:lvl>
    <w:lvl w:ilvl="2" w:tplc="063CA60C">
      <w:numFmt w:val="bullet"/>
      <w:lvlText w:val="•"/>
      <w:lvlJc w:val="left"/>
      <w:pPr>
        <w:ind w:left="2778" w:hanging="569"/>
      </w:pPr>
      <w:rPr>
        <w:rFonts w:hint="default"/>
      </w:rPr>
    </w:lvl>
    <w:lvl w:ilvl="3" w:tplc="A1B2CD54">
      <w:numFmt w:val="bullet"/>
      <w:lvlText w:val="•"/>
      <w:lvlJc w:val="left"/>
      <w:pPr>
        <w:ind w:left="3636" w:hanging="569"/>
      </w:pPr>
      <w:rPr>
        <w:rFonts w:hint="default"/>
      </w:rPr>
    </w:lvl>
    <w:lvl w:ilvl="4" w:tplc="B5E6E9AC">
      <w:numFmt w:val="bullet"/>
      <w:lvlText w:val="•"/>
      <w:lvlJc w:val="left"/>
      <w:pPr>
        <w:ind w:left="4495" w:hanging="569"/>
      </w:pPr>
      <w:rPr>
        <w:rFonts w:hint="default"/>
      </w:rPr>
    </w:lvl>
    <w:lvl w:ilvl="5" w:tplc="2ECEF444">
      <w:numFmt w:val="bullet"/>
      <w:lvlText w:val="•"/>
      <w:lvlJc w:val="left"/>
      <w:pPr>
        <w:ind w:left="5353" w:hanging="569"/>
      </w:pPr>
      <w:rPr>
        <w:rFonts w:hint="default"/>
      </w:rPr>
    </w:lvl>
    <w:lvl w:ilvl="6" w:tplc="71C2A4B6">
      <w:numFmt w:val="bullet"/>
      <w:lvlText w:val="•"/>
      <w:lvlJc w:val="left"/>
      <w:pPr>
        <w:ind w:left="6212" w:hanging="569"/>
      </w:pPr>
      <w:rPr>
        <w:rFonts w:hint="default"/>
      </w:rPr>
    </w:lvl>
    <w:lvl w:ilvl="7" w:tplc="8676FA3E">
      <w:numFmt w:val="bullet"/>
      <w:lvlText w:val="•"/>
      <w:lvlJc w:val="left"/>
      <w:pPr>
        <w:ind w:left="7070" w:hanging="569"/>
      </w:pPr>
      <w:rPr>
        <w:rFonts w:hint="default"/>
      </w:rPr>
    </w:lvl>
    <w:lvl w:ilvl="8" w:tplc="EA2C1E76">
      <w:numFmt w:val="bullet"/>
      <w:lvlText w:val="•"/>
      <w:lvlJc w:val="left"/>
      <w:pPr>
        <w:ind w:left="7929" w:hanging="569"/>
      </w:pPr>
      <w:rPr>
        <w:rFonts w:hint="default"/>
      </w:rPr>
    </w:lvl>
  </w:abstractNum>
  <w:abstractNum w:abstractNumId="9" w15:restartNumberingAfterBreak="0">
    <w:nsid w:val="6AC302B9"/>
    <w:multiLevelType w:val="multilevel"/>
    <w:tmpl w:val="06322516"/>
    <w:lvl w:ilvl="0">
      <w:start w:val="1"/>
      <w:numFmt w:val="decimal"/>
      <w:lvlText w:val="%1."/>
      <w:lvlJc w:val="left"/>
      <w:pPr>
        <w:ind w:left="785" w:hanging="567"/>
      </w:pPr>
      <w:rPr>
        <w:rFonts w:ascii="Times New Roman" w:eastAsia="Times New Roman" w:hAnsi="Times New Roman" w:cs="Times New Roman" w:hint="default"/>
        <w:b/>
        <w:bCs/>
        <w:w w:val="100"/>
        <w:sz w:val="22"/>
        <w:szCs w:val="22"/>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rPr>
    </w:lvl>
    <w:lvl w:ilvl="2">
      <w:numFmt w:val="bullet"/>
      <w:lvlText w:val="•"/>
      <w:lvlJc w:val="left"/>
      <w:pPr>
        <w:ind w:left="2553" w:hanging="567"/>
      </w:pPr>
      <w:rPr>
        <w:rFonts w:hint="default"/>
      </w:rPr>
    </w:lvl>
    <w:lvl w:ilvl="3">
      <w:numFmt w:val="bullet"/>
      <w:lvlText w:val="•"/>
      <w:lvlJc w:val="left"/>
      <w:pPr>
        <w:ind w:left="3439" w:hanging="567"/>
      </w:pPr>
      <w:rPr>
        <w:rFonts w:hint="default"/>
      </w:rPr>
    </w:lvl>
    <w:lvl w:ilvl="4">
      <w:numFmt w:val="bullet"/>
      <w:lvlText w:val="•"/>
      <w:lvlJc w:val="left"/>
      <w:pPr>
        <w:ind w:left="4326" w:hanging="567"/>
      </w:pPr>
      <w:rPr>
        <w:rFonts w:hint="default"/>
      </w:rPr>
    </w:lvl>
    <w:lvl w:ilvl="5">
      <w:numFmt w:val="bullet"/>
      <w:lvlText w:val="•"/>
      <w:lvlJc w:val="left"/>
      <w:pPr>
        <w:ind w:left="5213" w:hanging="567"/>
      </w:pPr>
      <w:rPr>
        <w:rFonts w:hint="default"/>
      </w:rPr>
    </w:lvl>
    <w:lvl w:ilvl="6">
      <w:numFmt w:val="bullet"/>
      <w:lvlText w:val="•"/>
      <w:lvlJc w:val="left"/>
      <w:pPr>
        <w:ind w:left="6099" w:hanging="567"/>
      </w:pPr>
      <w:rPr>
        <w:rFonts w:hint="default"/>
      </w:rPr>
    </w:lvl>
    <w:lvl w:ilvl="7">
      <w:numFmt w:val="bullet"/>
      <w:lvlText w:val="•"/>
      <w:lvlJc w:val="left"/>
      <w:pPr>
        <w:ind w:left="6986" w:hanging="567"/>
      </w:pPr>
      <w:rPr>
        <w:rFonts w:hint="default"/>
      </w:rPr>
    </w:lvl>
    <w:lvl w:ilvl="8">
      <w:numFmt w:val="bullet"/>
      <w:lvlText w:val="•"/>
      <w:lvlJc w:val="left"/>
      <w:pPr>
        <w:ind w:left="7873" w:hanging="567"/>
      </w:pPr>
      <w:rPr>
        <w:rFonts w:hint="default"/>
      </w:rPr>
    </w:lvl>
  </w:abstractNum>
  <w:abstractNum w:abstractNumId="10" w15:restartNumberingAfterBreak="0">
    <w:nsid w:val="70E96B01"/>
    <w:multiLevelType w:val="hybridMultilevel"/>
    <w:tmpl w:val="CC460E4C"/>
    <w:lvl w:ilvl="0" w:tplc="CF382DEC">
      <w:numFmt w:val="bullet"/>
      <w:lvlText w:val=""/>
      <w:lvlJc w:val="left"/>
      <w:pPr>
        <w:ind w:left="785" w:hanging="567"/>
      </w:pPr>
      <w:rPr>
        <w:rFonts w:ascii="Symbol" w:eastAsia="Symbol" w:hAnsi="Symbol" w:cs="Symbol" w:hint="default"/>
        <w:w w:val="100"/>
        <w:sz w:val="22"/>
        <w:szCs w:val="22"/>
      </w:rPr>
    </w:lvl>
    <w:lvl w:ilvl="1" w:tplc="43662A7E">
      <w:numFmt w:val="bullet"/>
      <w:lvlText w:val="•"/>
      <w:lvlJc w:val="left"/>
      <w:pPr>
        <w:ind w:left="1666" w:hanging="567"/>
      </w:pPr>
      <w:rPr>
        <w:rFonts w:hint="default"/>
      </w:rPr>
    </w:lvl>
    <w:lvl w:ilvl="2" w:tplc="AB625DAE">
      <w:numFmt w:val="bullet"/>
      <w:lvlText w:val="•"/>
      <w:lvlJc w:val="left"/>
      <w:pPr>
        <w:ind w:left="2553" w:hanging="567"/>
      </w:pPr>
      <w:rPr>
        <w:rFonts w:hint="default"/>
      </w:rPr>
    </w:lvl>
    <w:lvl w:ilvl="3" w:tplc="3314F70E">
      <w:numFmt w:val="bullet"/>
      <w:lvlText w:val="•"/>
      <w:lvlJc w:val="left"/>
      <w:pPr>
        <w:ind w:left="3439" w:hanging="567"/>
      </w:pPr>
      <w:rPr>
        <w:rFonts w:hint="default"/>
      </w:rPr>
    </w:lvl>
    <w:lvl w:ilvl="4" w:tplc="713C704C">
      <w:numFmt w:val="bullet"/>
      <w:lvlText w:val="•"/>
      <w:lvlJc w:val="left"/>
      <w:pPr>
        <w:ind w:left="4326" w:hanging="567"/>
      </w:pPr>
      <w:rPr>
        <w:rFonts w:hint="default"/>
      </w:rPr>
    </w:lvl>
    <w:lvl w:ilvl="5" w:tplc="ACF83D58">
      <w:numFmt w:val="bullet"/>
      <w:lvlText w:val="•"/>
      <w:lvlJc w:val="left"/>
      <w:pPr>
        <w:ind w:left="5213" w:hanging="567"/>
      </w:pPr>
      <w:rPr>
        <w:rFonts w:hint="default"/>
      </w:rPr>
    </w:lvl>
    <w:lvl w:ilvl="6" w:tplc="CB0C489E">
      <w:numFmt w:val="bullet"/>
      <w:lvlText w:val="•"/>
      <w:lvlJc w:val="left"/>
      <w:pPr>
        <w:ind w:left="6099" w:hanging="567"/>
      </w:pPr>
      <w:rPr>
        <w:rFonts w:hint="default"/>
      </w:rPr>
    </w:lvl>
    <w:lvl w:ilvl="7" w:tplc="56C8C8D6">
      <w:numFmt w:val="bullet"/>
      <w:lvlText w:val="•"/>
      <w:lvlJc w:val="left"/>
      <w:pPr>
        <w:ind w:left="6986" w:hanging="567"/>
      </w:pPr>
      <w:rPr>
        <w:rFonts w:hint="default"/>
      </w:rPr>
    </w:lvl>
    <w:lvl w:ilvl="8" w:tplc="610A5186">
      <w:numFmt w:val="bullet"/>
      <w:lvlText w:val="•"/>
      <w:lvlJc w:val="left"/>
      <w:pPr>
        <w:ind w:left="7873" w:hanging="567"/>
      </w:pPr>
      <w:rPr>
        <w:rFonts w:hint="default"/>
      </w:rPr>
    </w:lvl>
  </w:abstractNum>
  <w:abstractNum w:abstractNumId="11" w15:restartNumberingAfterBreak="0">
    <w:nsid w:val="739567CE"/>
    <w:multiLevelType w:val="hybridMultilevel"/>
    <w:tmpl w:val="2AAA3FAC"/>
    <w:lvl w:ilvl="0" w:tplc="0B32F3F6">
      <w:start w:val="1"/>
      <w:numFmt w:val="decimal"/>
      <w:lvlText w:val="%1."/>
      <w:lvlJc w:val="left"/>
      <w:pPr>
        <w:ind w:left="785" w:hanging="567"/>
      </w:pPr>
      <w:rPr>
        <w:rFonts w:ascii="Times New Roman" w:eastAsia="Times New Roman" w:hAnsi="Times New Roman" w:cs="Times New Roman" w:hint="default"/>
        <w:w w:val="100"/>
        <w:sz w:val="22"/>
        <w:szCs w:val="22"/>
      </w:rPr>
    </w:lvl>
    <w:lvl w:ilvl="1" w:tplc="EC588120">
      <w:numFmt w:val="bullet"/>
      <w:lvlText w:val="•"/>
      <w:lvlJc w:val="left"/>
      <w:pPr>
        <w:ind w:left="1666" w:hanging="567"/>
      </w:pPr>
      <w:rPr>
        <w:rFonts w:hint="default"/>
      </w:rPr>
    </w:lvl>
    <w:lvl w:ilvl="2" w:tplc="13AE68D8">
      <w:numFmt w:val="bullet"/>
      <w:lvlText w:val="•"/>
      <w:lvlJc w:val="left"/>
      <w:pPr>
        <w:ind w:left="2553" w:hanging="567"/>
      </w:pPr>
      <w:rPr>
        <w:rFonts w:hint="default"/>
      </w:rPr>
    </w:lvl>
    <w:lvl w:ilvl="3" w:tplc="865E469E">
      <w:numFmt w:val="bullet"/>
      <w:lvlText w:val="•"/>
      <w:lvlJc w:val="left"/>
      <w:pPr>
        <w:ind w:left="3439" w:hanging="567"/>
      </w:pPr>
      <w:rPr>
        <w:rFonts w:hint="default"/>
      </w:rPr>
    </w:lvl>
    <w:lvl w:ilvl="4" w:tplc="7D386EDA">
      <w:numFmt w:val="bullet"/>
      <w:lvlText w:val="•"/>
      <w:lvlJc w:val="left"/>
      <w:pPr>
        <w:ind w:left="4326" w:hanging="567"/>
      </w:pPr>
      <w:rPr>
        <w:rFonts w:hint="default"/>
      </w:rPr>
    </w:lvl>
    <w:lvl w:ilvl="5" w:tplc="261201FC">
      <w:numFmt w:val="bullet"/>
      <w:lvlText w:val="•"/>
      <w:lvlJc w:val="left"/>
      <w:pPr>
        <w:ind w:left="5213" w:hanging="567"/>
      </w:pPr>
      <w:rPr>
        <w:rFonts w:hint="default"/>
      </w:rPr>
    </w:lvl>
    <w:lvl w:ilvl="6" w:tplc="A0126F3A">
      <w:numFmt w:val="bullet"/>
      <w:lvlText w:val="•"/>
      <w:lvlJc w:val="left"/>
      <w:pPr>
        <w:ind w:left="6099" w:hanging="567"/>
      </w:pPr>
      <w:rPr>
        <w:rFonts w:hint="default"/>
      </w:rPr>
    </w:lvl>
    <w:lvl w:ilvl="7" w:tplc="A5A8930E">
      <w:numFmt w:val="bullet"/>
      <w:lvlText w:val="•"/>
      <w:lvlJc w:val="left"/>
      <w:pPr>
        <w:ind w:left="6986" w:hanging="567"/>
      </w:pPr>
      <w:rPr>
        <w:rFonts w:hint="default"/>
      </w:rPr>
    </w:lvl>
    <w:lvl w:ilvl="8" w:tplc="E296267A">
      <w:numFmt w:val="bullet"/>
      <w:lvlText w:val="•"/>
      <w:lvlJc w:val="left"/>
      <w:pPr>
        <w:ind w:left="7873" w:hanging="567"/>
      </w:pPr>
      <w:rPr>
        <w:rFonts w:hint="default"/>
      </w:rPr>
    </w:lvl>
  </w:abstractNum>
  <w:abstractNum w:abstractNumId="12" w15:restartNumberingAfterBreak="0">
    <w:nsid w:val="7EC50E9A"/>
    <w:multiLevelType w:val="hybridMultilevel"/>
    <w:tmpl w:val="B2645C42"/>
    <w:lvl w:ilvl="0" w:tplc="A21CBEB0">
      <w:start w:val="1"/>
      <w:numFmt w:val="upperLetter"/>
      <w:lvlText w:val="%1."/>
      <w:lvlJc w:val="left"/>
      <w:pPr>
        <w:ind w:left="785" w:hanging="567"/>
      </w:pPr>
      <w:rPr>
        <w:rFonts w:ascii="Times New Roman" w:eastAsia="Times New Roman" w:hAnsi="Times New Roman" w:cs="Times New Roman" w:hint="default"/>
        <w:b/>
        <w:bCs/>
        <w:spacing w:val="-2"/>
        <w:w w:val="100"/>
        <w:sz w:val="22"/>
        <w:szCs w:val="22"/>
      </w:rPr>
    </w:lvl>
    <w:lvl w:ilvl="1" w:tplc="0ABAF2EC">
      <w:start w:val="1"/>
      <w:numFmt w:val="upperLetter"/>
      <w:lvlText w:val="%2."/>
      <w:lvlJc w:val="left"/>
      <w:pPr>
        <w:ind w:left="4083" w:hanging="269"/>
        <w:jc w:val="right"/>
      </w:pPr>
      <w:rPr>
        <w:rFonts w:ascii="Times New Roman" w:eastAsia="Times New Roman" w:hAnsi="Times New Roman" w:cs="Times New Roman" w:hint="default"/>
        <w:b/>
        <w:bCs/>
        <w:spacing w:val="-2"/>
        <w:w w:val="100"/>
        <w:sz w:val="22"/>
        <w:szCs w:val="22"/>
      </w:rPr>
    </w:lvl>
    <w:lvl w:ilvl="2" w:tplc="FABE05CE">
      <w:numFmt w:val="bullet"/>
      <w:lvlText w:val="•"/>
      <w:lvlJc w:val="left"/>
      <w:pPr>
        <w:ind w:left="4698" w:hanging="269"/>
      </w:pPr>
      <w:rPr>
        <w:rFonts w:hint="default"/>
      </w:rPr>
    </w:lvl>
    <w:lvl w:ilvl="3" w:tplc="05CCD7F4">
      <w:numFmt w:val="bullet"/>
      <w:lvlText w:val="•"/>
      <w:lvlJc w:val="left"/>
      <w:pPr>
        <w:ind w:left="5316" w:hanging="269"/>
      </w:pPr>
      <w:rPr>
        <w:rFonts w:hint="default"/>
      </w:rPr>
    </w:lvl>
    <w:lvl w:ilvl="4" w:tplc="5BE85EA0">
      <w:numFmt w:val="bullet"/>
      <w:lvlText w:val="•"/>
      <w:lvlJc w:val="left"/>
      <w:pPr>
        <w:ind w:left="5935" w:hanging="269"/>
      </w:pPr>
      <w:rPr>
        <w:rFonts w:hint="default"/>
      </w:rPr>
    </w:lvl>
    <w:lvl w:ilvl="5" w:tplc="7CC2C0D4">
      <w:numFmt w:val="bullet"/>
      <w:lvlText w:val="•"/>
      <w:lvlJc w:val="left"/>
      <w:pPr>
        <w:ind w:left="6553" w:hanging="269"/>
      </w:pPr>
      <w:rPr>
        <w:rFonts w:hint="default"/>
      </w:rPr>
    </w:lvl>
    <w:lvl w:ilvl="6" w:tplc="16B226B4">
      <w:numFmt w:val="bullet"/>
      <w:lvlText w:val="•"/>
      <w:lvlJc w:val="left"/>
      <w:pPr>
        <w:ind w:left="7172" w:hanging="269"/>
      </w:pPr>
      <w:rPr>
        <w:rFonts w:hint="default"/>
      </w:rPr>
    </w:lvl>
    <w:lvl w:ilvl="7" w:tplc="14509CB4">
      <w:numFmt w:val="bullet"/>
      <w:lvlText w:val="•"/>
      <w:lvlJc w:val="left"/>
      <w:pPr>
        <w:ind w:left="7790" w:hanging="269"/>
      </w:pPr>
      <w:rPr>
        <w:rFonts w:hint="default"/>
      </w:rPr>
    </w:lvl>
    <w:lvl w:ilvl="8" w:tplc="3C3C154E">
      <w:numFmt w:val="bullet"/>
      <w:lvlText w:val="•"/>
      <w:lvlJc w:val="left"/>
      <w:pPr>
        <w:ind w:left="8409" w:hanging="269"/>
      </w:pPr>
      <w:rPr>
        <w:rFonts w:hint="default"/>
      </w:rPr>
    </w:lvl>
  </w:abstractNum>
  <w:num w:numId="1">
    <w:abstractNumId w:val="0"/>
  </w:num>
  <w:num w:numId="2">
    <w:abstractNumId w:val="1"/>
  </w:num>
  <w:num w:numId="3">
    <w:abstractNumId w:val="7"/>
  </w:num>
  <w:num w:numId="4">
    <w:abstractNumId w:val="4"/>
  </w:num>
  <w:num w:numId="5">
    <w:abstractNumId w:val="2"/>
  </w:num>
  <w:num w:numId="6">
    <w:abstractNumId w:val="10"/>
  </w:num>
  <w:num w:numId="7">
    <w:abstractNumId w:val="12"/>
  </w:num>
  <w:num w:numId="8">
    <w:abstractNumId w:val="8"/>
  </w:num>
  <w:num w:numId="9">
    <w:abstractNumId w:val="11"/>
  </w:num>
  <w:num w:numId="10">
    <w:abstractNumId w:val="6"/>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8E"/>
    <w:rsid w:val="00001FCF"/>
    <w:rsid w:val="00011AEB"/>
    <w:rsid w:val="000241E7"/>
    <w:rsid w:val="000338DF"/>
    <w:rsid w:val="00042F58"/>
    <w:rsid w:val="000448CD"/>
    <w:rsid w:val="000562CF"/>
    <w:rsid w:val="000570D3"/>
    <w:rsid w:val="0006315E"/>
    <w:rsid w:val="00064919"/>
    <w:rsid w:val="00074B7B"/>
    <w:rsid w:val="0007609D"/>
    <w:rsid w:val="00083804"/>
    <w:rsid w:val="000948BF"/>
    <w:rsid w:val="000B7BDC"/>
    <w:rsid w:val="000D6D11"/>
    <w:rsid w:val="000D71AB"/>
    <w:rsid w:val="000E77E9"/>
    <w:rsid w:val="000F17DB"/>
    <w:rsid w:val="00101B93"/>
    <w:rsid w:val="001314D2"/>
    <w:rsid w:val="00150867"/>
    <w:rsid w:val="00157369"/>
    <w:rsid w:val="001A3428"/>
    <w:rsid w:val="001A3F90"/>
    <w:rsid w:val="001D4FE5"/>
    <w:rsid w:val="001D5573"/>
    <w:rsid w:val="001D6056"/>
    <w:rsid w:val="001D6842"/>
    <w:rsid w:val="001E4BA0"/>
    <w:rsid w:val="00200D97"/>
    <w:rsid w:val="002033C6"/>
    <w:rsid w:val="0022161C"/>
    <w:rsid w:val="00224463"/>
    <w:rsid w:val="002547B2"/>
    <w:rsid w:val="00255245"/>
    <w:rsid w:val="00262025"/>
    <w:rsid w:val="00262856"/>
    <w:rsid w:val="00262B3A"/>
    <w:rsid w:val="00277642"/>
    <w:rsid w:val="0028279E"/>
    <w:rsid w:val="002912E2"/>
    <w:rsid w:val="002B20B9"/>
    <w:rsid w:val="002C0C82"/>
    <w:rsid w:val="002C11E2"/>
    <w:rsid w:val="002C14A2"/>
    <w:rsid w:val="002C1DF0"/>
    <w:rsid w:val="002F02C6"/>
    <w:rsid w:val="002F3E1F"/>
    <w:rsid w:val="00303A8B"/>
    <w:rsid w:val="00333A95"/>
    <w:rsid w:val="00334CAB"/>
    <w:rsid w:val="003418AD"/>
    <w:rsid w:val="00356CF9"/>
    <w:rsid w:val="00357F8B"/>
    <w:rsid w:val="003A2DB1"/>
    <w:rsid w:val="003B2314"/>
    <w:rsid w:val="003B79A9"/>
    <w:rsid w:val="003F74B7"/>
    <w:rsid w:val="00404B40"/>
    <w:rsid w:val="00415018"/>
    <w:rsid w:val="00424CA3"/>
    <w:rsid w:val="00433265"/>
    <w:rsid w:val="0043377E"/>
    <w:rsid w:val="004342C4"/>
    <w:rsid w:val="00450069"/>
    <w:rsid w:val="00456DBE"/>
    <w:rsid w:val="00456DC4"/>
    <w:rsid w:val="00470B47"/>
    <w:rsid w:val="00471718"/>
    <w:rsid w:val="00472DCE"/>
    <w:rsid w:val="0047585D"/>
    <w:rsid w:val="0048662B"/>
    <w:rsid w:val="004866C7"/>
    <w:rsid w:val="00486709"/>
    <w:rsid w:val="00486770"/>
    <w:rsid w:val="0048733B"/>
    <w:rsid w:val="004C173B"/>
    <w:rsid w:val="004D0150"/>
    <w:rsid w:val="004D5F71"/>
    <w:rsid w:val="004D7CB9"/>
    <w:rsid w:val="004F3CC3"/>
    <w:rsid w:val="005055AD"/>
    <w:rsid w:val="00532881"/>
    <w:rsid w:val="005425ED"/>
    <w:rsid w:val="00542DE0"/>
    <w:rsid w:val="005523FD"/>
    <w:rsid w:val="00556BF4"/>
    <w:rsid w:val="00564275"/>
    <w:rsid w:val="005664D0"/>
    <w:rsid w:val="00570926"/>
    <w:rsid w:val="005A3391"/>
    <w:rsid w:val="005C30E3"/>
    <w:rsid w:val="005D04EB"/>
    <w:rsid w:val="005D1E0B"/>
    <w:rsid w:val="005F0014"/>
    <w:rsid w:val="005F46F2"/>
    <w:rsid w:val="006034F9"/>
    <w:rsid w:val="00606BD4"/>
    <w:rsid w:val="0061314D"/>
    <w:rsid w:val="00633527"/>
    <w:rsid w:val="006629FA"/>
    <w:rsid w:val="006871DC"/>
    <w:rsid w:val="006C1D06"/>
    <w:rsid w:val="006C7EE2"/>
    <w:rsid w:val="006D1C28"/>
    <w:rsid w:val="006D7892"/>
    <w:rsid w:val="006E3460"/>
    <w:rsid w:val="006E671C"/>
    <w:rsid w:val="0070083A"/>
    <w:rsid w:val="00717834"/>
    <w:rsid w:val="00733C40"/>
    <w:rsid w:val="00734EDA"/>
    <w:rsid w:val="00741040"/>
    <w:rsid w:val="0075533B"/>
    <w:rsid w:val="00764C7D"/>
    <w:rsid w:val="00772DC6"/>
    <w:rsid w:val="007753EF"/>
    <w:rsid w:val="007817C6"/>
    <w:rsid w:val="00781A0B"/>
    <w:rsid w:val="007935DF"/>
    <w:rsid w:val="007A495B"/>
    <w:rsid w:val="007B055C"/>
    <w:rsid w:val="007B2C96"/>
    <w:rsid w:val="007C06AA"/>
    <w:rsid w:val="007D6BC7"/>
    <w:rsid w:val="007D7964"/>
    <w:rsid w:val="007E439D"/>
    <w:rsid w:val="007E716C"/>
    <w:rsid w:val="0081455E"/>
    <w:rsid w:val="008176D0"/>
    <w:rsid w:val="008238BA"/>
    <w:rsid w:val="008340DA"/>
    <w:rsid w:val="0084478E"/>
    <w:rsid w:val="00846455"/>
    <w:rsid w:val="008627ED"/>
    <w:rsid w:val="00862A19"/>
    <w:rsid w:val="00862AF2"/>
    <w:rsid w:val="00873FA1"/>
    <w:rsid w:val="00874E00"/>
    <w:rsid w:val="0088413A"/>
    <w:rsid w:val="0088667A"/>
    <w:rsid w:val="00890F08"/>
    <w:rsid w:val="00896ED9"/>
    <w:rsid w:val="008C578C"/>
    <w:rsid w:val="008C7DED"/>
    <w:rsid w:val="008D5A0B"/>
    <w:rsid w:val="008F4630"/>
    <w:rsid w:val="008F795F"/>
    <w:rsid w:val="00925713"/>
    <w:rsid w:val="009313D4"/>
    <w:rsid w:val="00950D67"/>
    <w:rsid w:val="00965CE8"/>
    <w:rsid w:val="00992AC7"/>
    <w:rsid w:val="00997C1E"/>
    <w:rsid w:val="009A3C73"/>
    <w:rsid w:val="009A5076"/>
    <w:rsid w:val="009C2F1B"/>
    <w:rsid w:val="009E5507"/>
    <w:rsid w:val="00A24CDC"/>
    <w:rsid w:val="00A34E84"/>
    <w:rsid w:val="00A35DAE"/>
    <w:rsid w:val="00A4764C"/>
    <w:rsid w:val="00A54331"/>
    <w:rsid w:val="00A56A66"/>
    <w:rsid w:val="00A605C8"/>
    <w:rsid w:val="00A97662"/>
    <w:rsid w:val="00AA1E5F"/>
    <w:rsid w:val="00AA432C"/>
    <w:rsid w:val="00AA6D65"/>
    <w:rsid w:val="00AB1E99"/>
    <w:rsid w:val="00AB5C2D"/>
    <w:rsid w:val="00AC38D1"/>
    <w:rsid w:val="00AD443E"/>
    <w:rsid w:val="00AE3B9A"/>
    <w:rsid w:val="00B34483"/>
    <w:rsid w:val="00B41788"/>
    <w:rsid w:val="00B41F46"/>
    <w:rsid w:val="00B5128D"/>
    <w:rsid w:val="00B75151"/>
    <w:rsid w:val="00B75BCD"/>
    <w:rsid w:val="00B91E1D"/>
    <w:rsid w:val="00B9203E"/>
    <w:rsid w:val="00B97A74"/>
    <w:rsid w:val="00BA6C4E"/>
    <w:rsid w:val="00BA7C61"/>
    <w:rsid w:val="00BB3974"/>
    <w:rsid w:val="00BC0AFF"/>
    <w:rsid w:val="00BC119C"/>
    <w:rsid w:val="00BE5A22"/>
    <w:rsid w:val="00BF59DC"/>
    <w:rsid w:val="00BF660B"/>
    <w:rsid w:val="00C075D8"/>
    <w:rsid w:val="00C11635"/>
    <w:rsid w:val="00C17975"/>
    <w:rsid w:val="00C240FD"/>
    <w:rsid w:val="00C24A03"/>
    <w:rsid w:val="00C25E43"/>
    <w:rsid w:val="00C416A2"/>
    <w:rsid w:val="00C47554"/>
    <w:rsid w:val="00C81E72"/>
    <w:rsid w:val="00C82247"/>
    <w:rsid w:val="00CB2B30"/>
    <w:rsid w:val="00CC1EE7"/>
    <w:rsid w:val="00CC31E2"/>
    <w:rsid w:val="00CD13FE"/>
    <w:rsid w:val="00CD65F7"/>
    <w:rsid w:val="00CF6A43"/>
    <w:rsid w:val="00D15ACD"/>
    <w:rsid w:val="00D21904"/>
    <w:rsid w:val="00D2340C"/>
    <w:rsid w:val="00D34E19"/>
    <w:rsid w:val="00D400DA"/>
    <w:rsid w:val="00D40383"/>
    <w:rsid w:val="00D542A4"/>
    <w:rsid w:val="00D54FD0"/>
    <w:rsid w:val="00D7346D"/>
    <w:rsid w:val="00D750F7"/>
    <w:rsid w:val="00D95513"/>
    <w:rsid w:val="00DB2F49"/>
    <w:rsid w:val="00DD0B9D"/>
    <w:rsid w:val="00DD2F06"/>
    <w:rsid w:val="00DD376D"/>
    <w:rsid w:val="00DE3206"/>
    <w:rsid w:val="00DF0E92"/>
    <w:rsid w:val="00E01663"/>
    <w:rsid w:val="00E04466"/>
    <w:rsid w:val="00E3222B"/>
    <w:rsid w:val="00E35BF3"/>
    <w:rsid w:val="00E44133"/>
    <w:rsid w:val="00E60B69"/>
    <w:rsid w:val="00E62774"/>
    <w:rsid w:val="00E641E9"/>
    <w:rsid w:val="00E71669"/>
    <w:rsid w:val="00E71E0A"/>
    <w:rsid w:val="00E86097"/>
    <w:rsid w:val="00E904A1"/>
    <w:rsid w:val="00E9236F"/>
    <w:rsid w:val="00E97C43"/>
    <w:rsid w:val="00EA5154"/>
    <w:rsid w:val="00EB5FBF"/>
    <w:rsid w:val="00EC244C"/>
    <w:rsid w:val="00ED51AD"/>
    <w:rsid w:val="00EE1D99"/>
    <w:rsid w:val="00EF13D5"/>
    <w:rsid w:val="00F11D13"/>
    <w:rsid w:val="00F67055"/>
    <w:rsid w:val="00F8443B"/>
    <w:rsid w:val="00F86812"/>
    <w:rsid w:val="00FA0B15"/>
    <w:rsid w:val="00FA43AC"/>
    <w:rsid w:val="00FA45EF"/>
    <w:rsid w:val="00FD552C"/>
    <w:rsid w:val="00FD6B74"/>
    <w:rsid w:val="00FE17E5"/>
    <w:rsid w:val="00FF553C"/>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346B"/>
  <w15:docId w15:val="{FF480A27-3B5F-4E53-8FC1-E5F2213E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5" w:hanging="568"/>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D2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04"/>
    <w:rPr>
      <w:rFonts w:ascii="Segoe UI" w:eastAsia="Times New Roman" w:hAnsi="Segoe UI" w:cs="Segoe UI"/>
      <w:sz w:val="18"/>
      <w:szCs w:val="18"/>
    </w:rPr>
  </w:style>
  <w:style w:type="paragraph" w:styleId="NoSpacing">
    <w:name w:val="No Spacing"/>
    <w:uiPriority w:val="1"/>
    <w:qFormat/>
    <w:rsid w:val="00200D97"/>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rsid w:val="00200D97"/>
    <w:rPr>
      <w:color w:val="0000FF" w:themeColor="hyperlink"/>
      <w:u w:val="single"/>
    </w:rPr>
  </w:style>
  <w:style w:type="character" w:customStyle="1" w:styleId="BodyTextChar">
    <w:name w:val="Body Text Char"/>
    <w:basedOn w:val="DefaultParagraphFont"/>
    <w:link w:val="BodyText"/>
    <w:uiPriority w:val="1"/>
    <w:rsid w:val="007E716C"/>
    <w:rPr>
      <w:rFonts w:ascii="Times New Roman" w:eastAsia="Times New Roman" w:hAnsi="Times New Roman" w:cs="Times New Roman"/>
    </w:rPr>
  </w:style>
  <w:style w:type="paragraph" w:styleId="Header">
    <w:name w:val="header"/>
    <w:basedOn w:val="Normal"/>
    <w:link w:val="HeaderChar"/>
    <w:uiPriority w:val="99"/>
    <w:unhideWhenUsed/>
    <w:rsid w:val="00E04466"/>
    <w:pPr>
      <w:tabs>
        <w:tab w:val="center" w:pos="4680"/>
        <w:tab w:val="right" w:pos="9360"/>
      </w:tabs>
    </w:pPr>
  </w:style>
  <w:style w:type="character" w:customStyle="1" w:styleId="HeaderChar">
    <w:name w:val="Header Char"/>
    <w:basedOn w:val="DefaultParagraphFont"/>
    <w:link w:val="Header"/>
    <w:uiPriority w:val="99"/>
    <w:rsid w:val="00E04466"/>
    <w:rPr>
      <w:rFonts w:ascii="Times New Roman" w:eastAsia="Times New Roman" w:hAnsi="Times New Roman" w:cs="Times New Roman"/>
    </w:rPr>
  </w:style>
  <w:style w:type="paragraph" w:styleId="Revision">
    <w:name w:val="Revision"/>
    <w:hidden/>
    <w:uiPriority w:val="99"/>
    <w:semiHidden/>
    <w:rsid w:val="00E04466"/>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334CAB"/>
    <w:pPr>
      <w:tabs>
        <w:tab w:val="center" w:pos="4680"/>
        <w:tab w:val="right" w:pos="9360"/>
      </w:tabs>
    </w:pPr>
  </w:style>
  <w:style w:type="character" w:customStyle="1" w:styleId="FooterChar">
    <w:name w:val="Footer Char"/>
    <w:basedOn w:val="DefaultParagraphFont"/>
    <w:link w:val="Footer"/>
    <w:uiPriority w:val="99"/>
    <w:rsid w:val="00334CA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A495B"/>
    <w:rPr>
      <w:sz w:val="16"/>
      <w:szCs w:val="16"/>
    </w:rPr>
  </w:style>
  <w:style w:type="paragraph" w:styleId="CommentText">
    <w:name w:val="annotation text"/>
    <w:basedOn w:val="Normal"/>
    <w:link w:val="CommentTextChar"/>
    <w:uiPriority w:val="99"/>
    <w:semiHidden/>
    <w:unhideWhenUsed/>
    <w:rsid w:val="007A495B"/>
    <w:rPr>
      <w:sz w:val="20"/>
      <w:szCs w:val="20"/>
    </w:rPr>
  </w:style>
  <w:style w:type="character" w:customStyle="1" w:styleId="CommentTextChar">
    <w:name w:val="Comment Text Char"/>
    <w:basedOn w:val="DefaultParagraphFont"/>
    <w:link w:val="CommentText"/>
    <w:uiPriority w:val="99"/>
    <w:semiHidden/>
    <w:rsid w:val="007A49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495B"/>
    <w:rPr>
      <w:b/>
      <w:bCs/>
    </w:rPr>
  </w:style>
  <w:style w:type="character" w:customStyle="1" w:styleId="CommentSubjectChar">
    <w:name w:val="Comment Subject Char"/>
    <w:basedOn w:val="CommentTextChar"/>
    <w:link w:val="CommentSubject"/>
    <w:uiPriority w:val="99"/>
    <w:semiHidden/>
    <w:rsid w:val="007A49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8F39-5540-4F31-B1F0-BF8A6900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8722</Words>
  <Characters>49721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Azacitidine Accord, INN-azacitidine</vt:lpstr>
    </vt:vector>
  </TitlesOfParts>
  <Company>PHOENIX Pharma d.o.o.</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Accord, INN-azacitidine</dc:title>
  <dc:subject>EPAR</dc:subject>
  <dc:creator>CHMP</dc:creator>
  <cp:keywords>Azacitidine Accord, INN-azacitidine</cp:keywords>
  <cp:lastModifiedBy>Tatjana Banković</cp:lastModifiedBy>
  <cp:revision>5</cp:revision>
  <cp:lastPrinted>2022-11-29T11:31:00Z</cp:lastPrinted>
  <dcterms:created xsi:type="dcterms:W3CDTF">2022-12-13T14:09:00Z</dcterms:created>
  <dcterms:modified xsi:type="dcterms:W3CDTF">2022-12-14T08:05:00Z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2013</vt:lpwstr>
  </property>
  <property fmtid="{D5CDD505-2E9C-101B-9397-08002B2CF9AE}" pid="4" name="LastSaved">
    <vt:filetime>2021-07-12T00:00:00Z</vt:filetime>
  </property>
</Properties>
</file>