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7B" w:rsidRPr="006921A1" w:rsidRDefault="00F91C7B" w:rsidP="001A5518">
      <w:pPr>
        <w:rPr>
          <w:rFonts w:ascii="Times New Roman" w:hAnsi="Times New Roman" w:cs="Times New Roman"/>
          <w:b/>
          <w:bCs/>
          <w:i/>
          <w:iCs/>
          <w:sz w:val="22"/>
          <w:szCs w:val="22"/>
          <w:u w:val="single"/>
        </w:rPr>
      </w:pPr>
    </w:p>
    <w:p w:rsidR="00E8746A" w:rsidRPr="006921A1" w:rsidRDefault="002510A5" w:rsidP="002510A5">
      <w:pPr>
        <w:jc w:val="center"/>
        <w:rPr>
          <w:rFonts w:ascii="Times New Roman" w:hAnsi="Times New Roman" w:cs="Times New Roman"/>
          <w:b/>
          <w:bCs/>
          <w:iCs/>
          <w:sz w:val="22"/>
          <w:szCs w:val="22"/>
          <w:u w:val="single"/>
        </w:rPr>
      </w:pPr>
      <w:r w:rsidRPr="006921A1">
        <w:rPr>
          <w:rFonts w:ascii="Times New Roman" w:hAnsi="Times New Roman" w:cs="Times New Roman"/>
          <w:b/>
          <w:bCs/>
          <w:iCs/>
          <w:sz w:val="22"/>
          <w:szCs w:val="22"/>
          <w:u w:val="single"/>
        </w:rPr>
        <w:t>SAŽETAK KARAKTERISTIKA LIJEKA</w:t>
      </w:r>
    </w:p>
    <w:p w:rsidR="00C37FD7" w:rsidRPr="006921A1" w:rsidRDefault="00C37FD7" w:rsidP="00B508FF">
      <w:pPr>
        <w:jc w:val="center"/>
        <w:rPr>
          <w:rFonts w:ascii="Times New Roman" w:hAnsi="Times New Roman" w:cs="Times New Roman"/>
          <w:bCs/>
          <w:sz w:val="22"/>
          <w:szCs w:val="22"/>
        </w:rPr>
      </w:pPr>
    </w:p>
    <w:p w:rsidR="00411B4B" w:rsidRPr="006921A1" w:rsidRDefault="00411B4B" w:rsidP="00F5167F">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1.</w:t>
      </w:r>
      <w:r w:rsidR="00F5167F" w:rsidRPr="006921A1">
        <w:rPr>
          <w:rFonts w:ascii="Times New Roman" w:hAnsi="Times New Roman" w:cs="Times New Roman"/>
          <w:b/>
          <w:bCs/>
          <w:sz w:val="22"/>
          <w:szCs w:val="22"/>
        </w:rPr>
        <w:tab/>
      </w:r>
      <w:r w:rsidR="002846DB" w:rsidRPr="006921A1">
        <w:rPr>
          <w:rFonts w:ascii="Times New Roman" w:hAnsi="Times New Roman" w:cs="Times New Roman"/>
          <w:b/>
          <w:bCs/>
          <w:sz w:val="22"/>
          <w:szCs w:val="22"/>
        </w:rPr>
        <w:t xml:space="preserve">NAZIV </w:t>
      </w:r>
      <w:r w:rsidRPr="006921A1">
        <w:rPr>
          <w:rFonts w:ascii="Times New Roman" w:hAnsi="Times New Roman" w:cs="Times New Roman"/>
          <w:b/>
          <w:bCs/>
          <w:sz w:val="22"/>
          <w:szCs w:val="22"/>
        </w:rPr>
        <w:t>LIJEKA</w:t>
      </w:r>
    </w:p>
    <w:p w:rsidR="00EC2532" w:rsidRPr="006921A1" w:rsidRDefault="00EC2532">
      <w:pPr>
        <w:rPr>
          <w:rFonts w:ascii="Times New Roman" w:hAnsi="Times New Roman" w:cs="Times New Roman"/>
          <w:sz w:val="22"/>
          <w:szCs w:val="22"/>
          <w:lang w:val="pl-PL"/>
        </w:rPr>
      </w:pPr>
    </w:p>
    <w:p w:rsidR="00D94769" w:rsidRPr="006921A1" w:rsidRDefault="001B1598" w:rsidP="00D94769">
      <w:pPr>
        <w:autoSpaceDE w:val="0"/>
        <w:autoSpaceDN w:val="0"/>
        <w:adjustRightInd w:val="0"/>
        <w:rPr>
          <w:rFonts w:ascii="Times New Roman" w:hAnsi="Times New Roman" w:cs="Times New Roman"/>
          <w:sz w:val="22"/>
          <w:szCs w:val="22"/>
          <w:lang w:val="sr-Latn-CS"/>
        </w:rPr>
      </w:pPr>
      <w:r w:rsidRPr="006921A1">
        <w:rPr>
          <w:rFonts w:ascii="Times New Roman" w:hAnsi="Times New Roman" w:cs="Times New Roman"/>
          <w:b/>
          <w:sz w:val="22"/>
          <w:szCs w:val="22"/>
          <w:lang w:val="sr-Latn-CS"/>
        </w:rPr>
        <w:t>Inhixa</w:t>
      </w:r>
      <w:r w:rsidR="00271C33" w:rsidRPr="00B508FF">
        <w:rPr>
          <w:rFonts w:ascii="Times New Roman" w:hAnsi="Times New Roman" w:cs="Times New Roman"/>
          <w:sz w:val="22"/>
          <w:szCs w:val="22"/>
          <w:lang w:val="sr-Latn-CS"/>
        </w:rPr>
        <w:t>,</w:t>
      </w:r>
      <w:r w:rsidR="00D94769" w:rsidRPr="006921A1">
        <w:rPr>
          <w:rFonts w:ascii="Times New Roman" w:hAnsi="Times New Roman" w:cs="Times New Roman"/>
          <w:sz w:val="22"/>
          <w:szCs w:val="22"/>
          <w:lang w:val="sr-Latn-CS"/>
        </w:rPr>
        <w:t xml:space="preserve"> 2 000 </w:t>
      </w:r>
      <w:r w:rsidR="008C0837" w:rsidRPr="006921A1">
        <w:rPr>
          <w:rFonts w:ascii="Times New Roman" w:hAnsi="Times New Roman" w:cs="Times New Roman"/>
          <w:sz w:val="22"/>
          <w:szCs w:val="22"/>
          <w:lang w:val="sr-Latn-CS"/>
        </w:rPr>
        <w:t>i.j.</w:t>
      </w:r>
      <w:r w:rsidR="00D94769" w:rsidRPr="006921A1">
        <w:rPr>
          <w:rFonts w:ascii="Times New Roman" w:hAnsi="Times New Roman" w:cs="Times New Roman"/>
          <w:sz w:val="22"/>
          <w:szCs w:val="22"/>
          <w:lang w:val="sr-Latn-CS"/>
        </w:rPr>
        <w:t xml:space="preserve"> (20 mg)/0,2 ml, rastvor za injekciju u napunjenom injekcionom špricu</w:t>
      </w:r>
    </w:p>
    <w:p w:rsidR="00D94769" w:rsidRPr="006921A1" w:rsidRDefault="001B1598" w:rsidP="00D94769">
      <w:pPr>
        <w:autoSpaceDE w:val="0"/>
        <w:autoSpaceDN w:val="0"/>
        <w:adjustRightInd w:val="0"/>
        <w:rPr>
          <w:rFonts w:ascii="Times New Roman" w:hAnsi="Times New Roman" w:cs="Times New Roman"/>
          <w:sz w:val="22"/>
          <w:szCs w:val="22"/>
          <w:lang w:val="sr-Latn-CS"/>
        </w:rPr>
      </w:pPr>
      <w:r w:rsidRPr="006921A1">
        <w:rPr>
          <w:rFonts w:ascii="Times New Roman" w:hAnsi="Times New Roman" w:cs="Times New Roman"/>
          <w:b/>
          <w:sz w:val="22"/>
          <w:szCs w:val="22"/>
          <w:lang w:val="sr-Latn-CS"/>
        </w:rPr>
        <w:t>Inhixa</w:t>
      </w:r>
      <w:r w:rsidR="00271C33" w:rsidRPr="00B508FF">
        <w:rPr>
          <w:rFonts w:ascii="Times New Roman" w:hAnsi="Times New Roman" w:cs="Times New Roman"/>
          <w:sz w:val="22"/>
          <w:szCs w:val="22"/>
          <w:lang w:val="sr-Latn-CS"/>
        </w:rPr>
        <w:t>,</w:t>
      </w:r>
      <w:r w:rsidR="00D94769" w:rsidRPr="006921A1">
        <w:rPr>
          <w:rFonts w:ascii="Times New Roman" w:hAnsi="Times New Roman" w:cs="Times New Roman"/>
          <w:sz w:val="22"/>
          <w:szCs w:val="22"/>
          <w:lang w:val="sr-Latn-CS"/>
        </w:rPr>
        <w:t xml:space="preserve"> 4 000 </w:t>
      </w:r>
      <w:r w:rsidR="008C0837" w:rsidRPr="006921A1">
        <w:rPr>
          <w:rFonts w:ascii="Times New Roman" w:hAnsi="Times New Roman" w:cs="Times New Roman"/>
          <w:sz w:val="22"/>
          <w:szCs w:val="22"/>
          <w:lang w:val="sr-Latn-CS"/>
        </w:rPr>
        <w:t xml:space="preserve">i.j. </w:t>
      </w:r>
      <w:r w:rsidR="00D94769" w:rsidRPr="006921A1">
        <w:rPr>
          <w:rFonts w:ascii="Times New Roman" w:hAnsi="Times New Roman" w:cs="Times New Roman"/>
          <w:sz w:val="22"/>
          <w:szCs w:val="22"/>
          <w:lang w:val="sr-Latn-CS"/>
        </w:rPr>
        <w:t>(40 mg)/0,4 ml, rastvor za injekciju u napunjenom injekcionom špricu</w:t>
      </w:r>
    </w:p>
    <w:p w:rsidR="00D94769" w:rsidRPr="006921A1" w:rsidRDefault="001B1598" w:rsidP="00D94769">
      <w:pPr>
        <w:autoSpaceDE w:val="0"/>
        <w:autoSpaceDN w:val="0"/>
        <w:adjustRightInd w:val="0"/>
        <w:rPr>
          <w:rFonts w:ascii="Times New Roman" w:hAnsi="Times New Roman" w:cs="Times New Roman"/>
          <w:sz w:val="22"/>
          <w:szCs w:val="22"/>
          <w:lang w:val="sr-Latn-CS"/>
        </w:rPr>
      </w:pPr>
      <w:r w:rsidRPr="006921A1">
        <w:rPr>
          <w:rFonts w:ascii="Times New Roman" w:hAnsi="Times New Roman" w:cs="Times New Roman"/>
          <w:b/>
          <w:sz w:val="22"/>
          <w:szCs w:val="22"/>
          <w:lang w:val="sr-Latn-CS"/>
        </w:rPr>
        <w:t>Inhixa</w:t>
      </w:r>
      <w:r w:rsidR="00271C33" w:rsidRPr="00B508FF">
        <w:rPr>
          <w:rFonts w:ascii="Times New Roman" w:hAnsi="Times New Roman" w:cs="Times New Roman"/>
          <w:sz w:val="22"/>
          <w:szCs w:val="22"/>
          <w:lang w:val="sr-Latn-CS"/>
        </w:rPr>
        <w:t>,</w:t>
      </w:r>
      <w:r w:rsidR="00D94769" w:rsidRPr="006921A1">
        <w:rPr>
          <w:rFonts w:ascii="Times New Roman" w:hAnsi="Times New Roman" w:cs="Times New Roman"/>
          <w:sz w:val="22"/>
          <w:szCs w:val="22"/>
          <w:lang w:val="sr-Latn-CS"/>
        </w:rPr>
        <w:t xml:space="preserve"> 6 000 </w:t>
      </w:r>
      <w:r w:rsidR="008C0837" w:rsidRPr="006921A1">
        <w:rPr>
          <w:rFonts w:ascii="Times New Roman" w:hAnsi="Times New Roman" w:cs="Times New Roman"/>
          <w:sz w:val="22"/>
          <w:szCs w:val="22"/>
          <w:lang w:val="sr-Latn-CS"/>
        </w:rPr>
        <w:t>i.j.</w:t>
      </w:r>
      <w:r w:rsidR="00D94769" w:rsidRPr="006921A1">
        <w:rPr>
          <w:rFonts w:ascii="Times New Roman" w:hAnsi="Times New Roman" w:cs="Times New Roman"/>
          <w:sz w:val="22"/>
          <w:szCs w:val="22"/>
          <w:lang w:val="sr-Latn-CS"/>
        </w:rPr>
        <w:t xml:space="preserve"> (60 mg)/0,6 ml, rastvor za injekciju u napunjenom injekcionom špricu</w:t>
      </w:r>
    </w:p>
    <w:p w:rsidR="00D94769" w:rsidRPr="006921A1" w:rsidRDefault="001B1598" w:rsidP="00D94769">
      <w:pPr>
        <w:autoSpaceDE w:val="0"/>
        <w:autoSpaceDN w:val="0"/>
        <w:adjustRightInd w:val="0"/>
        <w:rPr>
          <w:rFonts w:ascii="Times New Roman" w:hAnsi="Times New Roman" w:cs="Times New Roman"/>
          <w:sz w:val="22"/>
          <w:szCs w:val="22"/>
          <w:lang w:val="sr-Latn-CS"/>
        </w:rPr>
      </w:pPr>
      <w:r w:rsidRPr="006921A1">
        <w:rPr>
          <w:rFonts w:ascii="Times New Roman" w:hAnsi="Times New Roman" w:cs="Times New Roman"/>
          <w:b/>
          <w:sz w:val="22"/>
          <w:szCs w:val="22"/>
          <w:lang w:val="sr-Latn-CS"/>
        </w:rPr>
        <w:t>Inhixa</w:t>
      </w:r>
      <w:r w:rsidR="00271C33" w:rsidRPr="00B508FF">
        <w:rPr>
          <w:rFonts w:ascii="Times New Roman" w:hAnsi="Times New Roman" w:cs="Times New Roman"/>
          <w:sz w:val="22"/>
          <w:szCs w:val="22"/>
          <w:lang w:val="sr-Latn-CS"/>
        </w:rPr>
        <w:t>,</w:t>
      </w:r>
      <w:r w:rsidR="00D94769" w:rsidRPr="006921A1">
        <w:rPr>
          <w:rFonts w:ascii="Times New Roman" w:hAnsi="Times New Roman" w:cs="Times New Roman"/>
          <w:sz w:val="22"/>
          <w:szCs w:val="22"/>
          <w:lang w:val="sr-Latn-CS"/>
        </w:rPr>
        <w:t xml:space="preserve"> 8 000 </w:t>
      </w:r>
      <w:r w:rsidR="008C0837" w:rsidRPr="006921A1">
        <w:rPr>
          <w:rFonts w:ascii="Times New Roman" w:hAnsi="Times New Roman" w:cs="Times New Roman"/>
          <w:sz w:val="22"/>
          <w:szCs w:val="22"/>
          <w:lang w:val="sr-Latn-CS"/>
        </w:rPr>
        <w:t xml:space="preserve">i.j. </w:t>
      </w:r>
      <w:r w:rsidR="00D94769" w:rsidRPr="006921A1">
        <w:rPr>
          <w:rFonts w:ascii="Times New Roman" w:hAnsi="Times New Roman" w:cs="Times New Roman"/>
          <w:sz w:val="22"/>
          <w:szCs w:val="22"/>
          <w:lang w:val="sr-Latn-CS"/>
        </w:rPr>
        <w:t>(80 mg)/0,8 ml, rastvor za injekciju u napunjenom injekcionom špricu</w:t>
      </w:r>
    </w:p>
    <w:p w:rsidR="006D20A5" w:rsidRPr="006921A1" w:rsidRDefault="006D20A5" w:rsidP="006D20A5">
      <w:pPr>
        <w:rPr>
          <w:rFonts w:ascii="Times New Roman" w:hAnsi="Times New Roman" w:cs="Times New Roman"/>
          <w:sz w:val="22"/>
          <w:szCs w:val="22"/>
          <w:lang w:val="sr-Latn-CS"/>
        </w:rPr>
      </w:pPr>
      <w:r w:rsidRPr="006921A1">
        <w:rPr>
          <w:rFonts w:ascii="Times New Roman" w:hAnsi="Times New Roman" w:cs="Times New Roman"/>
          <w:sz w:val="22"/>
          <w:szCs w:val="22"/>
          <w:lang w:val="sv-SE"/>
        </w:rPr>
        <w:t>INN:</w:t>
      </w:r>
      <w:r w:rsidR="00D94769" w:rsidRPr="006921A1">
        <w:rPr>
          <w:rFonts w:ascii="Times New Roman" w:hAnsi="Times New Roman" w:cs="Times New Roman"/>
          <w:sz w:val="22"/>
          <w:szCs w:val="22"/>
          <w:lang w:val="sr-Latn-RS"/>
        </w:rPr>
        <w:t xml:space="preserve"> enoksaparin </w:t>
      </w:r>
      <w:r w:rsidR="00AB24B5" w:rsidRPr="006921A1">
        <w:rPr>
          <w:rFonts w:ascii="Times New Roman" w:hAnsi="Times New Roman" w:cs="Times New Roman"/>
          <w:sz w:val="22"/>
          <w:szCs w:val="22"/>
          <w:lang w:val="sr-Latn-RS"/>
        </w:rPr>
        <w:t>natrijum</w:t>
      </w:r>
    </w:p>
    <w:p w:rsidR="00530BD7" w:rsidRPr="006921A1" w:rsidRDefault="00530BD7">
      <w:pPr>
        <w:rPr>
          <w:rFonts w:ascii="Times New Roman" w:hAnsi="Times New Roman" w:cs="Times New Roman"/>
          <w:bCs/>
          <w:sz w:val="22"/>
          <w:szCs w:val="22"/>
          <w:lang w:val="sv-SE"/>
        </w:rPr>
      </w:pPr>
    </w:p>
    <w:p w:rsidR="005A0B2E" w:rsidRPr="006921A1" w:rsidRDefault="00411B4B" w:rsidP="00B508FF">
      <w:pPr>
        <w:tabs>
          <w:tab w:val="left" w:pos="540"/>
          <w:tab w:val="left" w:pos="569"/>
        </w:tabs>
        <w:rPr>
          <w:rFonts w:ascii="Times New Roman" w:hAnsi="Times New Roman" w:cs="Times New Roman"/>
          <w:sz w:val="22"/>
          <w:szCs w:val="22"/>
          <w:lang w:val="sr-Latn-CS"/>
        </w:rPr>
      </w:pPr>
      <w:r w:rsidRPr="006921A1">
        <w:rPr>
          <w:rFonts w:ascii="Times New Roman" w:hAnsi="Times New Roman" w:cs="Times New Roman"/>
          <w:b/>
          <w:bCs/>
          <w:sz w:val="22"/>
          <w:szCs w:val="22"/>
        </w:rPr>
        <w:t xml:space="preserve">2. </w:t>
      </w:r>
      <w:r w:rsidR="00F5167F" w:rsidRPr="006921A1">
        <w:rPr>
          <w:rFonts w:ascii="Times New Roman" w:hAnsi="Times New Roman" w:cs="Times New Roman"/>
          <w:b/>
          <w:bCs/>
          <w:sz w:val="22"/>
          <w:szCs w:val="22"/>
        </w:rPr>
        <w:tab/>
      </w:r>
      <w:r w:rsidRPr="006921A1">
        <w:rPr>
          <w:rFonts w:ascii="Times New Roman" w:hAnsi="Times New Roman" w:cs="Times New Roman"/>
          <w:b/>
          <w:bCs/>
          <w:sz w:val="22"/>
          <w:szCs w:val="22"/>
        </w:rPr>
        <w:t>KVALITATIVNI I KVANTITATIVNI SASTAV</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10000 i.j./m</w:t>
      </w:r>
      <w:r w:rsidR="0037541C">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(100 mg/m</w:t>
      </w:r>
      <w:r w:rsidR="0037541C">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rastvor za injekciju</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Enoksaparin</w:t>
      </w:r>
      <w:r w:rsidR="005F50F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je biološka supstanca dobijena alkalnom depolimerizacijom heparin</w:t>
      </w:r>
      <w:r w:rsidR="00C16575">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benzil estra</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dobijenog iz svinjske intestinalne mukoze.</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i/>
          <w:iCs/>
          <w:sz w:val="22"/>
          <w:szCs w:val="22"/>
          <w:lang w:val="sr-Latn-RS"/>
        </w:rPr>
      </w:pPr>
      <w:r w:rsidRPr="006921A1">
        <w:rPr>
          <w:rFonts w:ascii="Times New Roman" w:eastAsia="TimesNewRoman" w:hAnsi="Times New Roman" w:cs="Times New Roman"/>
          <w:i/>
          <w:iCs/>
          <w:sz w:val="22"/>
          <w:szCs w:val="22"/>
          <w:lang w:val="sr-Latn-RS"/>
        </w:rPr>
        <w:t>Inhixa, 2000 i.j. (20 mg)/0,2 m</w:t>
      </w:r>
      <w:r w:rsidR="0037541C">
        <w:rPr>
          <w:rFonts w:ascii="Times New Roman" w:eastAsia="TimesNewRoman" w:hAnsi="Times New Roman" w:cs="Times New Roman"/>
          <w:i/>
          <w:iCs/>
          <w:sz w:val="22"/>
          <w:szCs w:val="22"/>
          <w:lang w:val="sr-Latn-RS"/>
        </w:rPr>
        <w:t>l</w:t>
      </w:r>
      <w:r w:rsidRPr="006921A1">
        <w:rPr>
          <w:rFonts w:ascii="Times New Roman" w:eastAsia="TimesNewRoman" w:hAnsi="Times New Roman" w:cs="Times New Roman"/>
          <w:i/>
          <w:iCs/>
          <w:sz w:val="22"/>
          <w:szCs w:val="22"/>
          <w:lang w:val="sr-Latn-RS"/>
        </w:rPr>
        <w:t>, rastvor za injekciju u napunjenom injekcionom špricu</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Jedan napunjeni injekcioni špric sadrži 2000 i.j. anti-Xa aktivnosti enoksaparin</w:t>
      </w:r>
      <w:r w:rsidR="005F50F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(što odgovara 20mg) u 0,2 m</w:t>
      </w:r>
      <w:r w:rsidR="0037541C">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vode za injekcije.</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i/>
          <w:iCs/>
          <w:sz w:val="22"/>
          <w:szCs w:val="22"/>
          <w:lang w:val="sr-Latn-RS"/>
        </w:rPr>
      </w:pPr>
      <w:r w:rsidRPr="006921A1">
        <w:rPr>
          <w:rFonts w:ascii="Times New Roman" w:eastAsia="TimesNewRoman" w:hAnsi="Times New Roman" w:cs="Times New Roman"/>
          <w:i/>
          <w:iCs/>
          <w:sz w:val="22"/>
          <w:szCs w:val="22"/>
          <w:lang w:val="sr-Latn-RS"/>
        </w:rPr>
        <w:t>Inhixa, 4000 i.j. (40 mg)/0,4 m</w:t>
      </w:r>
      <w:r w:rsidR="0037541C">
        <w:rPr>
          <w:rFonts w:ascii="Times New Roman" w:eastAsia="TimesNewRoman" w:hAnsi="Times New Roman" w:cs="Times New Roman"/>
          <w:i/>
          <w:iCs/>
          <w:sz w:val="22"/>
          <w:szCs w:val="22"/>
          <w:lang w:val="sr-Latn-RS"/>
        </w:rPr>
        <w:t>l</w:t>
      </w:r>
      <w:r w:rsidRPr="006921A1">
        <w:rPr>
          <w:rFonts w:ascii="Times New Roman" w:eastAsia="TimesNewRoman" w:hAnsi="Times New Roman" w:cs="Times New Roman"/>
          <w:i/>
          <w:iCs/>
          <w:sz w:val="22"/>
          <w:szCs w:val="22"/>
          <w:lang w:val="sr-Latn-RS"/>
        </w:rPr>
        <w:t>, rastvor za injekciju u napunjenom injekcionom špricu</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Jedan napunjeni injekcioni špric sadrži 4000 i.j. anti-Xa aktivnosti enoksaparin</w:t>
      </w:r>
      <w:r w:rsidR="005F50F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(što odgovara 40 mg) u 0,4 m</w:t>
      </w:r>
      <w:r w:rsidR="0037541C">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vode za injekcije.</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i/>
          <w:iCs/>
          <w:sz w:val="22"/>
          <w:szCs w:val="22"/>
          <w:lang w:val="sr-Latn-RS"/>
        </w:rPr>
      </w:pPr>
      <w:r w:rsidRPr="006921A1">
        <w:rPr>
          <w:rFonts w:ascii="Times New Roman" w:eastAsia="TimesNewRoman" w:hAnsi="Times New Roman" w:cs="Times New Roman"/>
          <w:i/>
          <w:iCs/>
          <w:sz w:val="22"/>
          <w:szCs w:val="22"/>
          <w:lang w:val="sr-Latn-RS"/>
        </w:rPr>
        <w:t>Inhixa, 6000 i.j. (60 mg)/0,6 m</w:t>
      </w:r>
      <w:r w:rsidR="0037541C">
        <w:rPr>
          <w:rFonts w:ascii="Times New Roman" w:eastAsia="TimesNewRoman" w:hAnsi="Times New Roman" w:cs="Times New Roman"/>
          <w:i/>
          <w:iCs/>
          <w:sz w:val="22"/>
          <w:szCs w:val="22"/>
          <w:lang w:val="sr-Latn-RS"/>
        </w:rPr>
        <w:t>l</w:t>
      </w:r>
      <w:r w:rsidRPr="006921A1">
        <w:rPr>
          <w:rFonts w:ascii="Times New Roman" w:eastAsia="TimesNewRoman" w:hAnsi="Times New Roman" w:cs="Times New Roman"/>
          <w:i/>
          <w:iCs/>
          <w:sz w:val="22"/>
          <w:szCs w:val="22"/>
          <w:lang w:val="sr-Latn-RS"/>
        </w:rPr>
        <w:t>, rastvor za injekciju u napunjenom injekcionom špricu</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Jedan napunjeni injekcioni špric sadrži 6000 i.j. anti-Xa aktivnosti enoksaparin</w:t>
      </w:r>
      <w:r w:rsidR="005F50F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(što odgovara 60 mg) u 0,6 m</w:t>
      </w:r>
      <w:r w:rsidR="0037541C">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vode za injekcije.</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i/>
          <w:iCs/>
          <w:sz w:val="22"/>
          <w:szCs w:val="22"/>
          <w:lang w:val="sr-Latn-RS"/>
        </w:rPr>
      </w:pPr>
      <w:r w:rsidRPr="006921A1">
        <w:rPr>
          <w:rFonts w:ascii="Times New Roman" w:eastAsia="TimesNewRoman" w:hAnsi="Times New Roman" w:cs="Times New Roman"/>
          <w:i/>
          <w:iCs/>
          <w:sz w:val="22"/>
          <w:szCs w:val="22"/>
          <w:lang w:val="sr-Latn-RS"/>
        </w:rPr>
        <w:t>Inhixa, 8000 i.j. (80 mg)/0,8 m</w:t>
      </w:r>
      <w:r w:rsidR="0037541C">
        <w:rPr>
          <w:rFonts w:ascii="Times New Roman" w:eastAsia="TimesNewRoman" w:hAnsi="Times New Roman" w:cs="Times New Roman"/>
          <w:i/>
          <w:iCs/>
          <w:sz w:val="22"/>
          <w:szCs w:val="22"/>
          <w:lang w:val="sr-Latn-RS"/>
        </w:rPr>
        <w:t>l</w:t>
      </w:r>
      <w:r w:rsidRPr="006921A1">
        <w:rPr>
          <w:rFonts w:ascii="Times New Roman" w:eastAsia="TimesNewRoman" w:hAnsi="Times New Roman" w:cs="Times New Roman"/>
          <w:i/>
          <w:iCs/>
          <w:sz w:val="22"/>
          <w:szCs w:val="22"/>
          <w:lang w:val="sr-Latn-RS"/>
        </w:rPr>
        <w:t>, rastvor za injekciju u napunjenom injekcionom špricu</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Jedan napunjeni injekcioni špric sadrži 8000 i.j. anti-Xa aktivnosti enoksaparin</w:t>
      </w:r>
      <w:r w:rsidR="005F50F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(što odgovara 80 mg) u 0,8 m</w:t>
      </w:r>
      <w:r w:rsidR="0037541C">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vode za injekcije.</w:t>
      </w:r>
    </w:p>
    <w:p w:rsidR="00B92C21" w:rsidRPr="006921A1" w:rsidRDefault="00B92C21" w:rsidP="00B92C21">
      <w:pPr>
        <w:autoSpaceDE w:val="0"/>
        <w:autoSpaceDN w:val="0"/>
        <w:adjustRightInd w:val="0"/>
        <w:spacing w:after="0" w:line="240" w:lineRule="auto"/>
        <w:rPr>
          <w:rFonts w:ascii="Times New Roman" w:eastAsia="TimesNewRoman" w:hAnsi="Times New Roman" w:cs="Times New Roman"/>
          <w:sz w:val="22"/>
          <w:szCs w:val="22"/>
          <w:lang w:val="sr-Latn-RS"/>
        </w:rPr>
      </w:pPr>
    </w:p>
    <w:p w:rsidR="00C37FD7" w:rsidRPr="006921A1" w:rsidRDefault="00B92C21" w:rsidP="00B92C21">
      <w:pPr>
        <w:rPr>
          <w:rFonts w:ascii="Times New Roman" w:hAnsi="Times New Roman" w:cs="Times New Roman"/>
          <w:sz w:val="22"/>
          <w:szCs w:val="22"/>
          <w:lang w:val="sr-Latn-CS"/>
        </w:rPr>
      </w:pPr>
      <w:r w:rsidRPr="006921A1">
        <w:rPr>
          <w:rFonts w:ascii="Times New Roman" w:eastAsia="TimesNewRoman" w:hAnsi="Times New Roman" w:cs="Times New Roman"/>
          <w:sz w:val="22"/>
          <w:szCs w:val="22"/>
          <w:lang w:val="sr-Latn-RS"/>
        </w:rPr>
        <w:t>Za listu svih pomoćnih supstanci, vid</w:t>
      </w:r>
      <w:r w:rsidR="00C16575">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eti odeljak 6.1.</w:t>
      </w:r>
    </w:p>
    <w:p w:rsidR="00A3722B" w:rsidRDefault="00A3722B" w:rsidP="00F5167F">
      <w:pPr>
        <w:tabs>
          <w:tab w:val="left" w:pos="540"/>
          <w:tab w:val="left" w:pos="569"/>
        </w:tabs>
        <w:rPr>
          <w:rFonts w:ascii="Times New Roman" w:hAnsi="Times New Roman" w:cs="Times New Roman"/>
          <w:b/>
          <w:bCs/>
          <w:sz w:val="22"/>
          <w:szCs w:val="22"/>
        </w:rPr>
      </w:pPr>
    </w:p>
    <w:p w:rsidR="00411B4B" w:rsidRPr="006921A1" w:rsidRDefault="00411B4B" w:rsidP="00F5167F">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3. </w:t>
      </w:r>
      <w:r w:rsidR="00F5167F" w:rsidRPr="006921A1">
        <w:rPr>
          <w:rFonts w:ascii="Times New Roman" w:hAnsi="Times New Roman" w:cs="Times New Roman"/>
          <w:b/>
          <w:bCs/>
          <w:sz w:val="22"/>
          <w:szCs w:val="22"/>
        </w:rPr>
        <w:tab/>
      </w:r>
      <w:r w:rsidRPr="006921A1">
        <w:rPr>
          <w:rFonts w:ascii="Times New Roman" w:hAnsi="Times New Roman" w:cs="Times New Roman"/>
          <w:b/>
          <w:bCs/>
          <w:sz w:val="22"/>
          <w:szCs w:val="22"/>
        </w:rPr>
        <w:t>FARMACEUTSKI OBLIK</w:t>
      </w:r>
      <w:r w:rsidR="009F2D23" w:rsidRPr="006921A1">
        <w:rPr>
          <w:rFonts w:ascii="Times New Roman" w:hAnsi="Times New Roman" w:cs="Times New Roman"/>
          <w:b/>
          <w:bCs/>
          <w:sz w:val="22"/>
          <w:szCs w:val="22"/>
        </w:rPr>
        <w:t xml:space="preserve"> </w:t>
      </w:r>
    </w:p>
    <w:p w:rsidR="00B92C21" w:rsidRPr="006921A1" w:rsidRDefault="00691ABC" w:rsidP="00B92C21">
      <w:pPr>
        <w:autoSpaceDE w:val="0"/>
        <w:autoSpaceDN w:val="0"/>
        <w:adjustRightInd w:val="0"/>
        <w:rPr>
          <w:rFonts w:ascii="Times New Roman" w:hAnsi="Times New Roman" w:cs="Times New Roman"/>
          <w:sz w:val="22"/>
          <w:szCs w:val="22"/>
          <w:lang w:val="sr-Latn-CS"/>
        </w:rPr>
      </w:pPr>
      <w:r w:rsidRPr="006921A1">
        <w:rPr>
          <w:rFonts w:ascii="Times New Roman" w:hAnsi="Times New Roman" w:cs="Times New Roman"/>
          <w:sz w:val="22"/>
          <w:szCs w:val="22"/>
          <w:lang w:val="sr-Latn-CS"/>
        </w:rPr>
        <w:t>Rastvor za injekciju u napunjenom injekcionom špricu</w:t>
      </w:r>
      <w:r w:rsidR="00B92C21" w:rsidRPr="006921A1">
        <w:rPr>
          <w:rFonts w:ascii="Times New Roman" w:hAnsi="Times New Roman" w:cs="Times New Roman"/>
          <w:sz w:val="22"/>
          <w:szCs w:val="22"/>
          <w:lang w:val="sr-Latn-CS"/>
        </w:rPr>
        <w:t>.</w:t>
      </w:r>
    </w:p>
    <w:p w:rsidR="00411B4B" w:rsidRPr="006921A1" w:rsidRDefault="00691ABC" w:rsidP="00B92C21">
      <w:pPr>
        <w:autoSpaceDE w:val="0"/>
        <w:autoSpaceDN w:val="0"/>
        <w:adjustRightInd w:val="0"/>
        <w:rPr>
          <w:rFonts w:ascii="Times New Roman" w:hAnsi="Times New Roman" w:cs="Times New Roman"/>
          <w:sz w:val="22"/>
          <w:szCs w:val="22"/>
          <w:lang w:val="sr-Latn-CS"/>
        </w:rPr>
      </w:pPr>
      <w:r w:rsidRPr="006921A1">
        <w:rPr>
          <w:rFonts w:ascii="Times New Roman" w:hAnsi="Times New Roman" w:cs="Times New Roman"/>
          <w:sz w:val="22"/>
          <w:szCs w:val="22"/>
          <w:lang w:val="sr-Latn-CS"/>
        </w:rPr>
        <w:t>Bistar, bezbojan do blijedo žut rastvor.</w:t>
      </w:r>
    </w:p>
    <w:p w:rsidR="00A3722B" w:rsidRPr="006921A1" w:rsidRDefault="00A3722B" w:rsidP="00691ABC">
      <w:pPr>
        <w:pStyle w:val="Header"/>
        <w:tabs>
          <w:tab w:val="left" w:pos="284"/>
        </w:tabs>
        <w:rPr>
          <w:rFonts w:ascii="Times New Roman" w:hAnsi="Times New Roman" w:cs="Times New Roman"/>
          <w:bCs/>
          <w:sz w:val="22"/>
          <w:szCs w:val="22"/>
          <w:lang w:val="sr-Latn-CS"/>
        </w:rPr>
      </w:pPr>
    </w:p>
    <w:p w:rsidR="00411B4B" w:rsidRPr="006921A1" w:rsidRDefault="00411B4B" w:rsidP="00F5167F">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4.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KLINIČKI PODACI</w:t>
      </w:r>
    </w:p>
    <w:p w:rsidR="00411B4B" w:rsidRPr="005A0F56" w:rsidRDefault="00411B4B" w:rsidP="00B508FF">
      <w:pPr>
        <w:tabs>
          <w:tab w:val="left" w:pos="540"/>
          <w:tab w:val="left" w:pos="569"/>
        </w:tabs>
        <w:jc w:val="both"/>
        <w:rPr>
          <w:rFonts w:ascii="Times New Roman" w:hAnsi="Times New Roman" w:cs="Times New Roman"/>
          <w:bCs/>
          <w:sz w:val="22"/>
          <w:szCs w:val="22"/>
        </w:rPr>
      </w:pPr>
      <w:r w:rsidRPr="006921A1">
        <w:rPr>
          <w:rFonts w:ascii="Times New Roman" w:hAnsi="Times New Roman" w:cs="Times New Roman"/>
          <w:b/>
          <w:bCs/>
          <w:sz w:val="22"/>
          <w:szCs w:val="22"/>
        </w:rPr>
        <w:t xml:space="preserve">4.1. </w:t>
      </w:r>
      <w:r w:rsidR="00480FB1" w:rsidRPr="006921A1">
        <w:rPr>
          <w:rFonts w:ascii="Times New Roman" w:hAnsi="Times New Roman" w:cs="Times New Roman"/>
          <w:b/>
          <w:bCs/>
          <w:sz w:val="22"/>
          <w:szCs w:val="22"/>
        </w:rPr>
        <w:tab/>
      </w:r>
      <w:r w:rsidRPr="005A0F56">
        <w:rPr>
          <w:rFonts w:ascii="Times New Roman" w:hAnsi="Times New Roman" w:cs="Times New Roman"/>
          <w:b/>
          <w:bCs/>
          <w:sz w:val="22"/>
          <w:szCs w:val="22"/>
        </w:rPr>
        <w:t>Terapijske indikacije</w:t>
      </w:r>
    </w:p>
    <w:p w:rsidR="00B92C21" w:rsidRPr="005A0F56" w:rsidRDefault="00B92C21"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L</w:t>
      </w:r>
      <w:r w:rsidR="003F7788"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ek Inhixa je kod odraslih osoba indikovan za:</w:t>
      </w:r>
    </w:p>
    <w:p w:rsidR="008C7979" w:rsidRPr="00B508FF" w:rsidRDefault="008C7979" w:rsidP="00B508FF">
      <w:pPr>
        <w:autoSpaceDE w:val="0"/>
        <w:autoSpaceDN w:val="0"/>
        <w:adjustRightInd w:val="0"/>
        <w:spacing w:after="0" w:line="240" w:lineRule="auto"/>
        <w:jc w:val="both"/>
        <w:rPr>
          <w:rFonts w:ascii="Times New Roman" w:hAnsi="Times New Roman" w:cs="Times New Roman"/>
          <w:sz w:val="22"/>
          <w:szCs w:val="22"/>
          <w:lang w:val="sr-Latn-RS"/>
        </w:rPr>
      </w:pPr>
    </w:p>
    <w:p w:rsidR="00B92C21" w:rsidRPr="00B508FF" w:rsidRDefault="00B92C21" w:rsidP="00B508FF">
      <w:pPr>
        <w:pStyle w:val="ListParagraph"/>
        <w:numPr>
          <w:ilvl w:val="0"/>
          <w:numId w:val="23"/>
        </w:numPr>
        <w:autoSpaceDE w:val="0"/>
        <w:autoSpaceDN w:val="0"/>
        <w:adjustRightInd w:val="0"/>
        <w:spacing w:after="0" w:line="240" w:lineRule="auto"/>
        <w:jc w:val="both"/>
        <w:rPr>
          <w:rFonts w:ascii="Times New Roman" w:hAnsi="Times New Roman" w:cs="Times New Roman"/>
          <w:sz w:val="22"/>
          <w:szCs w:val="22"/>
          <w:lang w:val="sr-Latn-RS"/>
        </w:rPr>
      </w:pPr>
      <w:r w:rsidRPr="00B508FF">
        <w:rPr>
          <w:rFonts w:ascii="Times New Roman" w:eastAsia="TimesNewRoman" w:hAnsi="Times New Roman" w:cs="Times New Roman"/>
          <w:sz w:val="22"/>
          <w:szCs w:val="22"/>
          <w:lang w:val="sr-Latn-RS"/>
        </w:rPr>
        <w:t>profilaksu venske tromboembolijske bolesti kod hirurških pacijenata um</w:t>
      </w:r>
      <w:r w:rsidR="003F7788" w:rsidRPr="00B508FF">
        <w:rPr>
          <w:rFonts w:ascii="Times New Roman" w:eastAsia="TimesNewRoman" w:hAnsi="Times New Roman" w:cs="Times New Roman"/>
          <w:sz w:val="22"/>
          <w:szCs w:val="22"/>
          <w:lang w:val="sr-Latn-RS"/>
        </w:rPr>
        <w:t>j</w:t>
      </w:r>
      <w:r w:rsidRPr="00B508FF">
        <w:rPr>
          <w:rFonts w:ascii="Times New Roman" w:eastAsia="TimesNewRoman" w:hAnsi="Times New Roman" w:cs="Times New Roman"/>
          <w:sz w:val="22"/>
          <w:szCs w:val="22"/>
          <w:lang w:val="sr-Latn-RS"/>
        </w:rPr>
        <w:t>erenog i visokog</w:t>
      </w:r>
      <w:r w:rsidR="008C7979" w:rsidRPr="00B508FF">
        <w:rPr>
          <w:rFonts w:ascii="Times New Roman" w:eastAsia="TimesNewRoman" w:hAnsi="Times New Roman" w:cs="Times New Roman"/>
          <w:sz w:val="22"/>
          <w:szCs w:val="22"/>
          <w:lang w:val="sr-Latn-RS"/>
        </w:rPr>
        <w:br/>
      </w:r>
      <w:r w:rsidRPr="00F155F0">
        <w:rPr>
          <w:rFonts w:ascii="Times New Roman" w:eastAsia="TimesNewRoman" w:hAnsi="Times New Roman" w:cs="Times New Roman"/>
          <w:sz w:val="22"/>
          <w:szCs w:val="22"/>
          <w:lang w:val="sr-Latn-RS"/>
        </w:rPr>
        <w:t xml:space="preserve">rizika, posebno onih koji se podvrgavaju ortopedskim ili opštim hirurškim intervencijama, </w:t>
      </w:r>
      <w:r w:rsidR="008C7979" w:rsidRPr="00F155F0">
        <w:rPr>
          <w:rFonts w:ascii="Times New Roman" w:eastAsia="TimesNewRoman" w:hAnsi="Times New Roman" w:cs="Times New Roman"/>
          <w:sz w:val="22"/>
          <w:szCs w:val="22"/>
          <w:lang w:val="sr-Latn-RS"/>
        </w:rPr>
        <w:br/>
      </w:r>
      <w:r w:rsidRPr="00F155F0">
        <w:rPr>
          <w:rFonts w:ascii="Times New Roman" w:eastAsia="TimesNewRoman" w:hAnsi="Times New Roman" w:cs="Times New Roman"/>
          <w:sz w:val="22"/>
          <w:szCs w:val="22"/>
          <w:lang w:val="sr-Latn-RS"/>
        </w:rPr>
        <w:t>uključujući onkološku hirurgiju</w:t>
      </w:r>
    </w:p>
    <w:p w:rsidR="00B92C21" w:rsidRPr="00B508FF" w:rsidRDefault="00B92C21" w:rsidP="00B508FF">
      <w:pPr>
        <w:pStyle w:val="ListParagraph"/>
        <w:numPr>
          <w:ilvl w:val="0"/>
          <w:numId w:val="23"/>
        </w:numPr>
        <w:autoSpaceDE w:val="0"/>
        <w:autoSpaceDN w:val="0"/>
        <w:adjustRightInd w:val="0"/>
        <w:spacing w:after="0" w:line="240" w:lineRule="auto"/>
        <w:jc w:val="both"/>
        <w:rPr>
          <w:rFonts w:ascii="Times New Roman" w:hAnsi="Times New Roman" w:cs="Times New Roman"/>
          <w:sz w:val="22"/>
          <w:szCs w:val="22"/>
          <w:lang w:val="sr-Latn-RS"/>
        </w:rPr>
      </w:pPr>
      <w:r w:rsidRPr="00B508FF">
        <w:rPr>
          <w:rFonts w:ascii="Times New Roman" w:eastAsia="TimesNewRoman" w:hAnsi="Times New Roman" w:cs="Times New Roman"/>
          <w:sz w:val="22"/>
          <w:szCs w:val="22"/>
          <w:lang w:val="sr-Latn-RS"/>
        </w:rPr>
        <w:lastRenderedPageBreak/>
        <w:t>profilaksu venske tromboembolijske bolesti kod pacijenata vezanih za postelju zbog akutnog</w:t>
      </w:r>
      <w:r w:rsidR="008C7979" w:rsidRPr="00B508FF">
        <w:rPr>
          <w:rFonts w:ascii="Times New Roman" w:eastAsia="TimesNewRoman" w:hAnsi="Times New Roman" w:cs="Times New Roman"/>
          <w:sz w:val="22"/>
          <w:szCs w:val="22"/>
          <w:lang w:val="sr-Latn-RS"/>
        </w:rPr>
        <w:br/>
      </w:r>
      <w:r w:rsidRPr="00F155F0">
        <w:rPr>
          <w:rFonts w:ascii="Times New Roman" w:eastAsia="TimesNewRoman" w:hAnsi="Times New Roman" w:cs="Times New Roman"/>
          <w:sz w:val="22"/>
          <w:szCs w:val="22"/>
          <w:lang w:val="sr-Latn-RS"/>
        </w:rPr>
        <w:t>oboljenja (kao što su akutna srčana insuficijencija, respiratorna insuficijencija, teške infekcije</w:t>
      </w:r>
      <w:r w:rsidR="008C7979" w:rsidRPr="00F155F0">
        <w:rPr>
          <w:rFonts w:ascii="Times New Roman" w:eastAsia="TimesNewRoman" w:hAnsi="Times New Roman" w:cs="Times New Roman"/>
          <w:sz w:val="22"/>
          <w:szCs w:val="22"/>
          <w:lang w:val="sr-Latn-RS"/>
        </w:rPr>
        <w:br/>
      </w:r>
      <w:r w:rsidRPr="00F155F0">
        <w:rPr>
          <w:rFonts w:ascii="Times New Roman" w:eastAsia="TimesNewRoman" w:hAnsi="Times New Roman" w:cs="Times New Roman"/>
          <w:sz w:val="22"/>
          <w:szCs w:val="22"/>
          <w:lang w:val="sr-Latn-RS"/>
        </w:rPr>
        <w:t>ili reumatske bolesti) i smanjenom pokretljivošću kod kojih je povećan rizik od venske</w:t>
      </w:r>
      <w:r w:rsidR="008C7979" w:rsidRPr="00F155F0">
        <w:rPr>
          <w:rFonts w:ascii="Times New Roman" w:eastAsia="TimesNewRoman" w:hAnsi="Times New Roman" w:cs="Times New Roman"/>
          <w:sz w:val="22"/>
          <w:szCs w:val="22"/>
          <w:lang w:val="sr-Latn-RS"/>
        </w:rPr>
        <w:br/>
      </w:r>
      <w:r w:rsidRPr="00F155F0">
        <w:rPr>
          <w:rFonts w:ascii="Times New Roman" w:eastAsia="TimesNewRoman" w:hAnsi="Times New Roman" w:cs="Times New Roman"/>
          <w:sz w:val="22"/>
          <w:szCs w:val="22"/>
          <w:lang w:val="sr-Latn-RS"/>
        </w:rPr>
        <w:t>tromboembolije</w:t>
      </w:r>
    </w:p>
    <w:p w:rsidR="00B92C21" w:rsidRPr="00B508FF" w:rsidRDefault="00B92C21" w:rsidP="00B508FF">
      <w:pPr>
        <w:pStyle w:val="ListParagraph"/>
        <w:numPr>
          <w:ilvl w:val="0"/>
          <w:numId w:val="23"/>
        </w:numPr>
        <w:autoSpaceDE w:val="0"/>
        <w:autoSpaceDN w:val="0"/>
        <w:adjustRightInd w:val="0"/>
        <w:spacing w:after="0" w:line="240" w:lineRule="auto"/>
        <w:jc w:val="both"/>
        <w:rPr>
          <w:rFonts w:ascii="Times New Roman" w:hAnsi="Times New Roman" w:cs="Times New Roman"/>
          <w:sz w:val="22"/>
          <w:szCs w:val="22"/>
          <w:lang w:val="sr-Latn-RS"/>
        </w:rPr>
      </w:pPr>
      <w:r w:rsidRPr="00B508FF">
        <w:rPr>
          <w:rFonts w:ascii="Times New Roman" w:eastAsia="TimesNewRoman" w:hAnsi="Times New Roman" w:cs="Times New Roman"/>
          <w:sz w:val="22"/>
          <w:szCs w:val="22"/>
          <w:lang w:val="sr-Latn-RS"/>
        </w:rPr>
        <w:t>terapiju duboke venske tromboze (DVT) i plućne embolije (PE), osim PE koja će v</w:t>
      </w:r>
      <w:r w:rsidR="00110E81" w:rsidRPr="00B508FF">
        <w:rPr>
          <w:rFonts w:ascii="Times New Roman" w:eastAsia="TimesNewRoman" w:hAnsi="Times New Roman" w:cs="Times New Roman"/>
          <w:sz w:val="22"/>
          <w:szCs w:val="22"/>
          <w:lang w:val="sr-Latn-RS"/>
        </w:rPr>
        <w:t>j</w:t>
      </w:r>
      <w:r w:rsidRPr="00B508FF">
        <w:rPr>
          <w:rFonts w:ascii="Times New Roman" w:eastAsia="TimesNewRoman" w:hAnsi="Times New Roman" w:cs="Times New Roman"/>
          <w:sz w:val="22"/>
          <w:szCs w:val="22"/>
          <w:lang w:val="sr-Latn-RS"/>
        </w:rPr>
        <w:t>erovatno</w:t>
      </w:r>
      <w:r w:rsidR="008C7979" w:rsidRPr="00B508FF">
        <w:rPr>
          <w:rFonts w:ascii="Times New Roman" w:eastAsia="TimesNewRoman" w:hAnsi="Times New Roman" w:cs="Times New Roman"/>
          <w:sz w:val="22"/>
          <w:szCs w:val="22"/>
          <w:lang w:val="sr-Latn-RS"/>
        </w:rPr>
        <w:br/>
      </w:r>
      <w:r w:rsidRPr="00F155F0">
        <w:rPr>
          <w:rFonts w:ascii="Times New Roman" w:eastAsia="TimesNewRoman" w:hAnsi="Times New Roman" w:cs="Times New Roman"/>
          <w:sz w:val="22"/>
          <w:szCs w:val="22"/>
          <w:lang w:val="sr-Latn-RS"/>
        </w:rPr>
        <w:t>zah</w:t>
      </w:r>
      <w:r w:rsidR="003F7788" w:rsidRPr="00F155F0">
        <w:rPr>
          <w:rFonts w:ascii="Times New Roman" w:eastAsia="TimesNewRoman" w:hAnsi="Times New Roman" w:cs="Times New Roman"/>
          <w:sz w:val="22"/>
          <w:szCs w:val="22"/>
          <w:lang w:val="sr-Latn-RS"/>
        </w:rPr>
        <w:t>t</w:t>
      </w:r>
      <w:r w:rsidR="00110E81" w:rsidRPr="00F155F0">
        <w:rPr>
          <w:rFonts w:ascii="Times New Roman" w:eastAsia="TimesNewRoman" w:hAnsi="Times New Roman" w:cs="Times New Roman"/>
          <w:sz w:val="22"/>
          <w:szCs w:val="22"/>
          <w:lang w:val="sr-Latn-RS"/>
        </w:rPr>
        <w:t>ij</w:t>
      </w:r>
      <w:r w:rsidRPr="00F155F0">
        <w:rPr>
          <w:rFonts w:ascii="Times New Roman" w:eastAsia="TimesNewRoman" w:hAnsi="Times New Roman" w:cs="Times New Roman"/>
          <w:sz w:val="22"/>
          <w:szCs w:val="22"/>
          <w:lang w:val="sr-Latn-RS"/>
        </w:rPr>
        <w:t>evati trombolitičku terapiju ili operaciju</w:t>
      </w:r>
    </w:p>
    <w:p w:rsidR="00B92C21" w:rsidRPr="00B508FF" w:rsidRDefault="00B92C21" w:rsidP="00B508FF">
      <w:pPr>
        <w:pStyle w:val="ListParagraph"/>
        <w:numPr>
          <w:ilvl w:val="0"/>
          <w:numId w:val="23"/>
        </w:numPr>
        <w:autoSpaceDE w:val="0"/>
        <w:autoSpaceDN w:val="0"/>
        <w:adjustRightInd w:val="0"/>
        <w:spacing w:after="0" w:line="240" w:lineRule="auto"/>
        <w:jc w:val="both"/>
        <w:rPr>
          <w:rFonts w:ascii="Times New Roman" w:hAnsi="Times New Roman" w:cs="Times New Roman"/>
          <w:sz w:val="22"/>
          <w:szCs w:val="22"/>
          <w:lang w:val="sr-Latn-RS"/>
        </w:rPr>
      </w:pPr>
      <w:r w:rsidRPr="00F155F0">
        <w:rPr>
          <w:rFonts w:ascii="Times New Roman" w:eastAsia="TimesNewRoman" w:hAnsi="Times New Roman" w:cs="Times New Roman"/>
          <w:sz w:val="22"/>
          <w:szCs w:val="22"/>
          <w:lang w:val="sr-Latn-RS"/>
        </w:rPr>
        <w:t>produženi tretman duboke venske tromboze (DVT) i plućne embolije (PE) i prevencija nj</w:t>
      </w:r>
      <w:r w:rsidR="00B03417">
        <w:rPr>
          <w:rFonts w:ascii="Times New Roman" w:eastAsia="TimesNewRoman" w:hAnsi="Times New Roman" w:cs="Times New Roman"/>
          <w:sz w:val="22"/>
          <w:szCs w:val="22"/>
          <w:lang w:val="sr-Latn-RS"/>
        </w:rPr>
        <w:t>ihovog</w:t>
      </w:r>
      <w:r w:rsidR="008C7979" w:rsidRPr="00F155F0">
        <w:rPr>
          <w:rFonts w:ascii="Times New Roman" w:eastAsia="TimesNewRoman" w:hAnsi="Times New Roman" w:cs="Times New Roman"/>
          <w:sz w:val="22"/>
          <w:szCs w:val="22"/>
          <w:lang w:val="sr-Latn-RS"/>
        </w:rPr>
        <w:br/>
      </w:r>
      <w:r w:rsidRPr="00F155F0">
        <w:rPr>
          <w:rFonts w:ascii="Times New Roman" w:eastAsia="TimesNewRoman" w:hAnsi="Times New Roman" w:cs="Times New Roman"/>
          <w:sz w:val="22"/>
          <w:szCs w:val="22"/>
          <w:lang w:val="sr-Latn-RS"/>
        </w:rPr>
        <w:t>ponovnog pojavljivanja kod pacijenata sa aktivnim karcinomom.</w:t>
      </w:r>
    </w:p>
    <w:p w:rsidR="00B92C21" w:rsidRPr="00B508FF" w:rsidRDefault="00B92C21" w:rsidP="00B508FF">
      <w:pPr>
        <w:pStyle w:val="ListParagraph"/>
        <w:numPr>
          <w:ilvl w:val="0"/>
          <w:numId w:val="23"/>
        </w:numPr>
        <w:autoSpaceDE w:val="0"/>
        <w:autoSpaceDN w:val="0"/>
        <w:adjustRightInd w:val="0"/>
        <w:spacing w:after="0" w:line="240" w:lineRule="auto"/>
        <w:jc w:val="both"/>
        <w:rPr>
          <w:rFonts w:ascii="Times New Roman" w:hAnsi="Times New Roman" w:cs="Times New Roman"/>
          <w:sz w:val="22"/>
          <w:szCs w:val="22"/>
          <w:lang w:val="sr-Latn-RS"/>
        </w:rPr>
      </w:pPr>
      <w:r w:rsidRPr="00B508FF">
        <w:rPr>
          <w:rFonts w:ascii="Times New Roman" w:eastAsia="TimesNewRoman" w:hAnsi="Times New Roman" w:cs="Times New Roman"/>
          <w:sz w:val="22"/>
          <w:szCs w:val="22"/>
          <w:lang w:val="sr-Latn-RS"/>
        </w:rPr>
        <w:t>prevenciju formiranja ugruška u ekstrakorporalnoj cirkulaciji tokom hemodijalize</w:t>
      </w:r>
    </w:p>
    <w:p w:rsidR="00B92C21" w:rsidRPr="00B508FF" w:rsidRDefault="00B92C21" w:rsidP="00B508FF">
      <w:pPr>
        <w:pStyle w:val="ListParagraph"/>
        <w:numPr>
          <w:ilvl w:val="0"/>
          <w:numId w:val="23"/>
        </w:numPr>
        <w:autoSpaceDE w:val="0"/>
        <w:autoSpaceDN w:val="0"/>
        <w:adjustRightInd w:val="0"/>
        <w:spacing w:after="0" w:line="240" w:lineRule="auto"/>
        <w:jc w:val="both"/>
        <w:rPr>
          <w:rFonts w:ascii="Times New Roman" w:hAnsi="Times New Roman" w:cs="Times New Roman"/>
          <w:sz w:val="22"/>
          <w:szCs w:val="22"/>
          <w:lang w:val="sr-Latn-RS"/>
        </w:rPr>
      </w:pPr>
      <w:r w:rsidRPr="00B508FF">
        <w:rPr>
          <w:rFonts w:ascii="Times New Roman" w:eastAsia="TimesNewRoman" w:hAnsi="Times New Roman" w:cs="Times New Roman"/>
          <w:sz w:val="22"/>
          <w:szCs w:val="22"/>
          <w:lang w:val="sr-Latn-RS"/>
        </w:rPr>
        <w:t>akutni koronarni sindrom:</w:t>
      </w:r>
    </w:p>
    <w:p w:rsidR="00B92C21" w:rsidRPr="00F155F0" w:rsidRDefault="00B92C21" w:rsidP="00B508FF">
      <w:pPr>
        <w:pStyle w:val="ListParagraph"/>
        <w:numPr>
          <w:ilvl w:val="0"/>
          <w:numId w:val="22"/>
        </w:num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 xml:space="preserve">terapija nestabilne angine i infarka miokarda bez elevacije ST segmenta (engl. </w:t>
      </w:r>
      <w:r w:rsidRPr="005A0F56">
        <w:rPr>
          <w:rFonts w:ascii="Times New Roman" w:eastAsia="TimesNewRoman" w:hAnsi="Times New Roman" w:cs="Times New Roman"/>
          <w:i/>
          <w:iCs/>
          <w:sz w:val="22"/>
          <w:szCs w:val="22"/>
          <w:lang w:val="sr-Latn-RS"/>
        </w:rPr>
        <w:t>Non-ST segment Elevation Myocardial Infarction</w:t>
      </w:r>
      <w:r w:rsidRPr="005A0F56">
        <w:rPr>
          <w:rFonts w:ascii="Times New Roman" w:eastAsia="TimesNewRoman" w:hAnsi="Times New Roman" w:cs="Times New Roman"/>
          <w:sz w:val="22"/>
          <w:szCs w:val="22"/>
          <w:lang w:val="sr-Latn-RS"/>
        </w:rPr>
        <w:t>, NSTEMI), u kombinaciji sa oralnom prim</w:t>
      </w:r>
      <w:r w:rsidR="00110E81" w:rsidRPr="00F155F0">
        <w:rPr>
          <w:rFonts w:ascii="Times New Roman" w:eastAsia="TimesNewRoman" w:hAnsi="Times New Roman" w:cs="Times New Roman"/>
          <w:sz w:val="22"/>
          <w:szCs w:val="22"/>
          <w:lang w:val="sr-Latn-RS"/>
        </w:rPr>
        <w:t>j</w:t>
      </w:r>
      <w:r w:rsidRPr="00F155F0">
        <w:rPr>
          <w:rFonts w:ascii="Times New Roman" w:eastAsia="TimesNewRoman" w:hAnsi="Times New Roman" w:cs="Times New Roman"/>
          <w:sz w:val="22"/>
          <w:szCs w:val="22"/>
          <w:lang w:val="sr-Latn-RS"/>
        </w:rPr>
        <w:t>enom acetilsalicilne kiseline</w:t>
      </w:r>
    </w:p>
    <w:p w:rsidR="00691ABC" w:rsidRPr="00BB3DF1" w:rsidRDefault="00B92C21" w:rsidP="00B508FF">
      <w:pPr>
        <w:pStyle w:val="ListParagraph"/>
        <w:numPr>
          <w:ilvl w:val="0"/>
          <w:numId w:val="22"/>
        </w:num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 xml:space="preserve">terapija akutnog infarkta miokarda sa ST elevacijom (engl. </w:t>
      </w:r>
      <w:r w:rsidRPr="005A0F56">
        <w:rPr>
          <w:rFonts w:ascii="Times New Roman" w:eastAsia="TimesNewRoman" w:hAnsi="Times New Roman" w:cs="Times New Roman"/>
          <w:i/>
          <w:iCs/>
          <w:sz w:val="22"/>
          <w:szCs w:val="22"/>
          <w:lang w:val="sr-Latn-RS"/>
        </w:rPr>
        <w:t>ST-segment Elevation</w:t>
      </w:r>
      <w:r w:rsidR="00BB3DF1">
        <w:rPr>
          <w:rFonts w:ascii="Times New Roman" w:eastAsia="TimesNewRoman" w:hAnsi="Times New Roman" w:cs="Times New Roman"/>
          <w:i/>
          <w:iCs/>
          <w:sz w:val="22"/>
          <w:szCs w:val="22"/>
          <w:lang w:val="sr-Latn-RS"/>
        </w:rPr>
        <w:t xml:space="preserve"> </w:t>
      </w:r>
      <w:r w:rsidRPr="00BB3DF1">
        <w:rPr>
          <w:rFonts w:ascii="Times New Roman" w:eastAsia="TimesNewRoman" w:hAnsi="Times New Roman" w:cs="Times New Roman"/>
          <w:i/>
          <w:iCs/>
          <w:sz w:val="22"/>
          <w:szCs w:val="22"/>
          <w:lang w:val="sr-Latn-RS"/>
        </w:rPr>
        <w:t>Myocardial Infarction</w:t>
      </w:r>
      <w:r w:rsidRPr="00BB3DF1">
        <w:rPr>
          <w:rFonts w:ascii="Times New Roman" w:eastAsia="TimesNewRoman" w:hAnsi="Times New Roman" w:cs="Times New Roman"/>
          <w:sz w:val="22"/>
          <w:szCs w:val="22"/>
          <w:lang w:val="sr-Latn-RS"/>
        </w:rPr>
        <w:t>, STEMI), uključujući i pacijente koji će biti l</w:t>
      </w:r>
      <w:r w:rsidR="00110E81" w:rsidRPr="00BB3DF1">
        <w:rPr>
          <w:rFonts w:ascii="Times New Roman" w:eastAsia="TimesNewRoman" w:hAnsi="Times New Roman" w:cs="Times New Roman"/>
          <w:sz w:val="22"/>
          <w:szCs w:val="22"/>
          <w:lang w:val="sr-Latn-RS"/>
        </w:rPr>
        <w:t>ij</w:t>
      </w:r>
      <w:r w:rsidRPr="00BB3DF1">
        <w:rPr>
          <w:rFonts w:ascii="Times New Roman" w:eastAsia="TimesNewRoman" w:hAnsi="Times New Roman" w:cs="Times New Roman"/>
          <w:sz w:val="22"/>
          <w:szCs w:val="22"/>
          <w:lang w:val="sr-Latn-RS"/>
        </w:rPr>
        <w:t>ečeni internistički ili</w:t>
      </w:r>
      <w:r w:rsidR="008C7979" w:rsidRPr="00BB3DF1">
        <w:rPr>
          <w:rFonts w:ascii="Times New Roman" w:eastAsia="TimesNewRoman" w:hAnsi="Times New Roman" w:cs="Times New Roman"/>
          <w:sz w:val="22"/>
          <w:szCs w:val="22"/>
          <w:lang w:val="sr-Latn-RS"/>
        </w:rPr>
        <w:br/>
      </w:r>
      <w:r w:rsidRPr="00BB3DF1">
        <w:rPr>
          <w:rFonts w:ascii="Times New Roman" w:eastAsia="TimesNewRoman" w:hAnsi="Times New Roman" w:cs="Times New Roman"/>
          <w:sz w:val="22"/>
          <w:szCs w:val="22"/>
          <w:lang w:val="sr-Latn-RS"/>
        </w:rPr>
        <w:t xml:space="preserve">će naknadno biti podvrgnuti perkutanoj koronarnoj intervenciji (engl. </w:t>
      </w:r>
      <w:r w:rsidRPr="00BB3DF1">
        <w:rPr>
          <w:rFonts w:ascii="Times New Roman" w:eastAsia="TimesNewRoman" w:hAnsi="Times New Roman" w:cs="Times New Roman"/>
          <w:i/>
          <w:iCs/>
          <w:sz w:val="22"/>
          <w:szCs w:val="22"/>
          <w:lang w:val="sr-Latn-RS"/>
        </w:rPr>
        <w:t xml:space="preserve">Percuatenous </w:t>
      </w:r>
      <w:r w:rsidR="008C7979" w:rsidRPr="00BB3DF1">
        <w:rPr>
          <w:rFonts w:ascii="Times New Roman" w:eastAsia="TimesNewRoman" w:hAnsi="Times New Roman" w:cs="Times New Roman"/>
          <w:i/>
          <w:iCs/>
          <w:sz w:val="22"/>
          <w:szCs w:val="22"/>
          <w:lang w:val="sr-Latn-RS"/>
        </w:rPr>
        <w:br/>
      </w:r>
      <w:r w:rsidRPr="00BB3DF1">
        <w:rPr>
          <w:rFonts w:ascii="Times New Roman" w:eastAsia="TimesNewRoman" w:hAnsi="Times New Roman" w:cs="Times New Roman"/>
          <w:i/>
          <w:iCs/>
          <w:sz w:val="22"/>
          <w:szCs w:val="22"/>
          <w:lang w:val="sr-Latn-RS"/>
        </w:rPr>
        <w:t>Coronary Intervention</w:t>
      </w:r>
      <w:r w:rsidRPr="00BB3DF1">
        <w:rPr>
          <w:rFonts w:ascii="Times New Roman" w:eastAsia="TimesNewRoman" w:hAnsi="Times New Roman" w:cs="Times New Roman"/>
          <w:sz w:val="22"/>
          <w:szCs w:val="22"/>
          <w:lang w:val="sr-Latn-RS"/>
        </w:rPr>
        <w:t>, PCI)</w:t>
      </w:r>
    </w:p>
    <w:p w:rsidR="00B92C21" w:rsidRPr="005A0F56" w:rsidRDefault="00B92C21" w:rsidP="00B508FF">
      <w:pPr>
        <w:autoSpaceDE w:val="0"/>
        <w:autoSpaceDN w:val="0"/>
        <w:adjustRightInd w:val="0"/>
        <w:spacing w:after="0" w:line="240" w:lineRule="auto"/>
        <w:ind w:left="1440"/>
        <w:jc w:val="both"/>
        <w:rPr>
          <w:rFonts w:ascii="Times New Roman" w:hAnsi="Times New Roman" w:cs="Times New Roman"/>
          <w:bCs/>
          <w:sz w:val="22"/>
          <w:szCs w:val="22"/>
        </w:rPr>
      </w:pPr>
    </w:p>
    <w:p w:rsidR="00411B4B" w:rsidRPr="005A0F56" w:rsidRDefault="00411B4B" w:rsidP="00B508FF">
      <w:pPr>
        <w:tabs>
          <w:tab w:val="left" w:pos="540"/>
          <w:tab w:val="left" w:pos="569"/>
        </w:tabs>
        <w:spacing w:after="0"/>
        <w:jc w:val="both"/>
        <w:rPr>
          <w:rFonts w:ascii="Times New Roman" w:hAnsi="Times New Roman" w:cs="Times New Roman"/>
          <w:b/>
          <w:bCs/>
          <w:sz w:val="22"/>
          <w:szCs w:val="22"/>
        </w:rPr>
      </w:pPr>
      <w:r w:rsidRPr="005A0F56">
        <w:rPr>
          <w:rFonts w:ascii="Times New Roman" w:hAnsi="Times New Roman" w:cs="Times New Roman"/>
          <w:b/>
          <w:bCs/>
          <w:sz w:val="22"/>
          <w:szCs w:val="22"/>
        </w:rPr>
        <w:t xml:space="preserve">4.2.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Doziranje i način primjene</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Doziranje</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i/>
          <w:iCs/>
          <w:sz w:val="22"/>
          <w:szCs w:val="22"/>
          <w:u w:val="single"/>
          <w:lang w:val="sr-Latn-RS"/>
        </w:rPr>
      </w:pPr>
      <w:r w:rsidRPr="005A0F56">
        <w:rPr>
          <w:rFonts w:ascii="Times New Roman" w:eastAsia="TimesNewRoman" w:hAnsi="Times New Roman" w:cs="Times New Roman"/>
          <w:i/>
          <w:iCs/>
          <w:sz w:val="22"/>
          <w:szCs w:val="22"/>
          <w:u w:val="single"/>
          <w:lang w:val="sr-Latn-RS"/>
        </w:rPr>
        <w:t>Profilaksa venske tromboembolijske bolesti kod hirurških pacijenata um</w:t>
      </w:r>
      <w:r w:rsidR="00110E81" w:rsidRPr="005A0F56">
        <w:rPr>
          <w:rFonts w:ascii="Times New Roman" w:eastAsia="TimesNewRoman" w:hAnsi="Times New Roman" w:cs="Times New Roman"/>
          <w:i/>
          <w:iCs/>
          <w:sz w:val="22"/>
          <w:szCs w:val="22"/>
          <w:u w:val="single"/>
          <w:lang w:val="sr-Latn-RS"/>
        </w:rPr>
        <w:t>j</w:t>
      </w:r>
      <w:r w:rsidRPr="005A0F56">
        <w:rPr>
          <w:rFonts w:ascii="Times New Roman" w:eastAsia="TimesNewRoman" w:hAnsi="Times New Roman" w:cs="Times New Roman"/>
          <w:i/>
          <w:iCs/>
          <w:sz w:val="22"/>
          <w:szCs w:val="22"/>
          <w:u w:val="single"/>
          <w:lang w:val="sr-Latn-RS"/>
        </w:rPr>
        <w:t>erenog i visokog rizika</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Individualni tromboembolijski rizik za pacijente može biti proc</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 korišćenjem validiranog modela</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stratifikacije rizika.</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sa um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erenim rizikom od nastanka tromboembolije, preporučena doza</w:t>
      </w:r>
      <w:r w:rsidR="0016464D"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enoksaparin</w:t>
      </w:r>
      <w:r w:rsidR="00D3461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je 2000 i.j. (20 mg) jednom dnevno supkutanom injekcijom. Uvođenje</w:t>
      </w:r>
      <w:r w:rsidR="0016464D"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enoksaparin</w:t>
      </w:r>
      <w:r w:rsidR="00D3461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 xml:space="preserve">natrijuma u dozi od 2000 i.j. (20 mg) 2 sata pred operaciju pokazalo se efikasnim i </w:t>
      </w:r>
      <w:r w:rsidR="00D3461D">
        <w:rPr>
          <w:rFonts w:ascii="Times New Roman" w:eastAsia="TimesNewRoman" w:hAnsi="Times New Roman" w:cs="Times New Roman"/>
          <w:sz w:val="22"/>
          <w:szCs w:val="22"/>
          <w:lang w:val="sr-Latn-RS"/>
        </w:rPr>
        <w:t>bezbjednim</w:t>
      </w:r>
      <w:r w:rsidR="00D3461D"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kod um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ereno rizičnih operacija.</w:t>
      </w:r>
    </w:p>
    <w:p w:rsidR="00E9250D" w:rsidRPr="005A0F56" w:rsidRDefault="0088134F" w:rsidP="00B508FF">
      <w:pPr>
        <w:autoSpaceDE w:val="0"/>
        <w:autoSpaceDN w:val="0"/>
        <w:adjustRightInd w:val="0"/>
        <w:spacing w:after="0" w:line="240" w:lineRule="auto"/>
        <w:ind w:firstLine="720"/>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um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erenog rizika, terapija enoksaparin</w:t>
      </w:r>
      <w:r w:rsidR="00D3461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treba da traje minimum 7-</w:t>
      </w:r>
      <w:r w:rsidR="0016464D" w:rsidRPr="005A0F56">
        <w:rPr>
          <w:rFonts w:ascii="Times New Roman" w:eastAsia="TimesNewRoman" w:hAnsi="Times New Roman" w:cs="Times New Roman"/>
          <w:sz w:val="22"/>
          <w:szCs w:val="22"/>
          <w:lang w:val="sr-Latn-RS"/>
        </w:rPr>
        <w:br/>
        <w:t xml:space="preserve">             </w:t>
      </w:r>
      <w:r w:rsidRPr="005A0F56">
        <w:rPr>
          <w:rFonts w:ascii="Times New Roman" w:eastAsia="TimesNewRoman" w:hAnsi="Times New Roman" w:cs="Times New Roman"/>
          <w:sz w:val="22"/>
          <w:szCs w:val="22"/>
          <w:lang w:val="sr-Latn-RS"/>
        </w:rPr>
        <w:t>10 dana, bez obzira na stanje pacijenta (npr. pokretljivosti). Profilaksu treba nastaviti sve dok</w:t>
      </w:r>
      <w:r w:rsidR="0016464D" w:rsidRPr="005A0F56">
        <w:rPr>
          <w:rFonts w:ascii="Times New Roman" w:eastAsia="TimesNewRoman" w:hAnsi="Times New Roman" w:cs="Times New Roman"/>
          <w:sz w:val="22"/>
          <w:szCs w:val="22"/>
          <w:lang w:val="sr-Latn-RS"/>
        </w:rPr>
        <w:br/>
        <w:t xml:space="preserve">            </w:t>
      </w:r>
      <w:r w:rsidRPr="005A0F56">
        <w:rPr>
          <w:rFonts w:ascii="Times New Roman" w:eastAsia="TimesNewRoman" w:hAnsi="Times New Roman" w:cs="Times New Roman"/>
          <w:sz w:val="22"/>
          <w:szCs w:val="22"/>
          <w:lang w:val="sr-Latn-RS"/>
        </w:rPr>
        <w:t xml:space="preserve"> pacijent više nema značajno smanjenu pokretljivost.</w:t>
      </w:r>
      <w:r w:rsidR="00E9250D">
        <w:rPr>
          <w:rFonts w:ascii="Times New Roman" w:eastAsia="TimesNewRoman" w:hAnsi="Times New Roman" w:cs="Times New Roman"/>
          <w:sz w:val="22"/>
          <w:szCs w:val="22"/>
          <w:lang w:val="sr-Latn-RS"/>
        </w:rPr>
        <w:t xml:space="preserve"> </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sa visokim rizikom od nastanka tromboembolije, preporučena doza enoksaparin</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je 4000 i.j. (40 mg) jednom dnevno supkutanom injekcijom, a prim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bi po mogućnosti trebalo započeti 12 sati pr</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operacije. Ukoliko je potrebno započeti profilaktičku prim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enoksaparin</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ranije od 12 sati pr</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operacije (npr. visokorizični pacijent koji čeka na odloženu ortopedsku operaciju), posl</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ednju injekciju treba dati najkasnije 12 sati pr</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operacije i nastaviti sa prim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enom 12 sati nakon operacije.</w:t>
      </w:r>
    </w:p>
    <w:p w:rsidR="0088134F" w:rsidRPr="005A0F56" w:rsidRDefault="0088134F" w:rsidP="00B508FF">
      <w:pPr>
        <w:autoSpaceDE w:val="0"/>
        <w:autoSpaceDN w:val="0"/>
        <w:adjustRightInd w:val="0"/>
        <w:spacing w:after="0" w:line="240" w:lineRule="auto"/>
        <w:ind w:left="1440"/>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o Za pacijente koji se podvrgavaju velikom ortopedskom hirurškom zahvatu,</w:t>
      </w:r>
    </w:p>
    <w:p w:rsidR="0088134F" w:rsidRPr="005A0F56" w:rsidRDefault="0088134F" w:rsidP="00B508FF">
      <w:pPr>
        <w:autoSpaceDE w:val="0"/>
        <w:autoSpaceDN w:val="0"/>
        <w:adjustRightInd w:val="0"/>
        <w:spacing w:after="0" w:line="240" w:lineRule="auto"/>
        <w:ind w:left="1440"/>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preporučuje se produžena tromboprofilaksa u trajanju do 5 ned</w:t>
      </w:r>
      <w:r w:rsidR="003F7788"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w:t>
      </w:r>
    </w:p>
    <w:p w:rsidR="0088134F" w:rsidRPr="005A0F56" w:rsidRDefault="0088134F" w:rsidP="00B508FF">
      <w:pPr>
        <w:autoSpaceDE w:val="0"/>
        <w:autoSpaceDN w:val="0"/>
        <w:adjustRightInd w:val="0"/>
        <w:spacing w:after="0" w:line="240" w:lineRule="auto"/>
        <w:ind w:left="1440"/>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o Za pacijente sa visokim rizikom od nastanka venske tromboembolije (VTE),</w:t>
      </w:r>
    </w:p>
    <w:p w:rsidR="0088134F" w:rsidRPr="005A0F56" w:rsidRDefault="0088134F" w:rsidP="00B508FF">
      <w:pPr>
        <w:autoSpaceDE w:val="0"/>
        <w:autoSpaceDN w:val="0"/>
        <w:adjustRightInd w:val="0"/>
        <w:spacing w:after="0" w:line="240" w:lineRule="auto"/>
        <w:ind w:left="1440"/>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koji se podvrgavaju onkološkim operacijama u pred</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elu abdomena ili karlice,</w:t>
      </w:r>
    </w:p>
    <w:p w:rsidR="0088134F" w:rsidRPr="005A0F56" w:rsidRDefault="0088134F" w:rsidP="00B508FF">
      <w:pPr>
        <w:autoSpaceDE w:val="0"/>
        <w:autoSpaceDN w:val="0"/>
        <w:adjustRightInd w:val="0"/>
        <w:spacing w:after="0" w:line="240" w:lineRule="auto"/>
        <w:ind w:left="1440"/>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preporučuje se produžena tromboprofilaksa do 4 ned</w:t>
      </w:r>
      <w:r w:rsidR="00E9250D">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elje.</w:t>
      </w:r>
    </w:p>
    <w:p w:rsidR="0088134F" w:rsidRPr="005A0F56" w:rsidRDefault="0016464D" w:rsidP="00B508FF">
      <w:pPr>
        <w:autoSpaceDE w:val="0"/>
        <w:autoSpaceDN w:val="0"/>
        <w:adjustRightInd w:val="0"/>
        <w:spacing w:after="0" w:line="240" w:lineRule="auto"/>
        <w:jc w:val="both"/>
        <w:rPr>
          <w:rFonts w:ascii="Times New Roman" w:eastAsia="TimesNewRoman" w:hAnsi="Times New Roman" w:cs="Times New Roman"/>
          <w:i/>
          <w:iCs/>
          <w:sz w:val="22"/>
          <w:szCs w:val="22"/>
          <w:u w:val="single"/>
          <w:lang w:val="sr-Latn-RS"/>
        </w:rPr>
      </w:pPr>
      <w:r w:rsidRPr="005A0F56">
        <w:rPr>
          <w:rFonts w:ascii="Times New Roman" w:eastAsia="TimesNewRoman" w:hAnsi="Times New Roman" w:cs="Times New Roman"/>
          <w:i/>
          <w:iCs/>
          <w:sz w:val="22"/>
          <w:szCs w:val="22"/>
          <w:lang w:val="sr-Latn-RS"/>
        </w:rPr>
        <w:br/>
      </w:r>
      <w:r w:rsidR="0088134F" w:rsidRPr="005A0F56">
        <w:rPr>
          <w:rFonts w:ascii="Times New Roman" w:eastAsia="TimesNewRoman" w:hAnsi="Times New Roman" w:cs="Times New Roman"/>
          <w:i/>
          <w:iCs/>
          <w:sz w:val="22"/>
          <w:szCs w:val="22"/>
          <w:u w:val="single"/>
          <w:lang w:val="sr-Latn-RS"/>
        </w:rPr>
        <w:t>Profilaksa venske tromboembolije kod internističkih pacijenata</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Preporučena doza enoksaparin</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je 4000 i.j. (40 mg) jednom dnevnom supkutanom injekcijom.</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Terapija enoksaparin</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se propisuje u trajanju od najmanje 6 do 14 dana bez obzira na stepen oporavka (npr. pokretljivosti). Nije utvrđena korist od terapije u trajanju dužem od 14 dana.</w:t>
      </w:r>
    </w:p>
    <w:p w:rsidR="0088134F" w:rsidRPr="005A0F56" w:rsidRDefault="0016464D" w:rsidP="00B508FF">
      <w:pPr>
        <w:autoSpaceDE w:val="0"/>
        <w:autoSpaceDN w:val="0"/>
        <w:adjustRightInd w:val="0"/>
        <w:spacing w:after="0" w:line="240" w:lineRule="auto"/>
        <w:jc w:val="both"/>
        <w:rPr>
          <w:rFonts w:ascii="Times New Roman" w:hAnsi="Times New Roman" w:cs="Times New Roman"/>
          <w:i/>
          <w:iCs/>
          <w:sz w:val="22"/>
          <w:szCs w:val="22"/>
          <w:u w:val="single"/>
          <w:lang w:val="sr-Latn-RS"/>
        </w:rPr>
      </w:pPr>
      <w:r w:rsidRPr="005A0F56">
        <w:rPr>
          <w:rFonts w:ascii="Times New Roman" w:hAnsi="Times New Roman" w:cs="Times New Roman"/>
          <w:i/>
          <w:iCs/>
          <w:sz w:val="22"/>
          <w:szCs w:val="22"/>
          <w:lang w:val="sr-Latn-RS"/>
        </w:rPr>
        <w:br/>
      </w:r>
      <w:r w:rsidR="0088134F" w:rsidRPr="005A0F56">
        <w:rPr>
          <w:rFonts w:ascii="Times New Roman" w:hAnsi="Times New Roman" w:cs="Times New Roman"/>
          <w:i/>
          <w:iCs/>
          <w:sz w:val="22"/>
          <w:szCs w:val="22"/>
          <w:u w:val="single"/>
          <w:lang w:val="sr-Latn-RS"/>
        </w:rPr>
        <w:t>Terapija duboke venske tromboze</w:t>
      </w:r>
      <w:r w:rsidR="00E9250D">
        <w:rPr>
          <w:rFonts w:ascii="Times New Roman" w:hAnsi="Times New Roman" w:cs="Times New Roman"/>
          <w:i/>
          <w:iCs/>
          <w:sz w:val="22"/>
          <w:szCs w:val="22"/>
          <w:u w:val="single"/>
          <w:lang w:val="sr-Latn-RS"/>
        </w:rPr>
        <w:t xml:space="preserve"> (DVT)</w:t>
      </w:r>
      <w:r w:rsidR="0088134F" w:rsidRPr="005A0F56">
        <w:rPr>
          <w:rFonts w:ascii="Times New Roman" w:hAnsi="Times New Roman" w:cs="Times New Roman"/>
          <w:i/>
          <w:iCs/>
          <w:sz w:val="22"/>
          <w:szCs w:val="22"/>
          <w:u w:val="single"/>
          <w:lang w:val="sr-Latn-RS"/>
        </w:rPr>
        <w:t xml:space="preserve"> i plućne embolije</w:t>
      </w:r>
      <w:r w:rsidR="00E9250D">
        <w:rPr>
          <w:rFonts w:ascii="Times New Roman" w:hAnsi="Times New Roman" w:cs="Times New Roman"/>
          <w:i/>
          <w:iCs/>
          <w:sz w:val="22"/>
          <w:szCs w:val="22"/>
          <w:u w:val="single"/>
          <w:lang w:val="sr-Latn-RS"/>
        </w:rPr>
        <w:t xml:space="preserve"> (PT)</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se može prim</w:t>
      </w:r>
      <w:r w:rsidR="003F7788" w:rsidRPr="005A0F56">
        <w:rPr>
          <w:rFonts w:ascii="Times New Roman" w:eastAsia="TimesNewRoman" w:hAnsi="Times New Roman" w:cs="Times New Roman"/>
          <w:sz w:val="22"/>
          <w:szCs w:val="22"/>
          <w:lang w:val="sr-Latn-RS"/>
        </w:rPr>
        <w:t>i</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eniti supkutano bilo kao jednokratna injekcija od 150 i.j./kg (1,5 mg/kg) ili dva puta dnevno kao injekcija od 100 i.j./kg (1 mg/kg).</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Režim doziranja treba da bude odabran od strane l</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ekara na osnovu individualne proc</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uključujući proc</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tromboembolijskog rizika i rizika od nastanka krvarenja. Režim doziranja od 150 i.j./kg (1,5 mg/kg) jednom dnevno treba prim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enjivati kod pacij</w:t>
      </w:r>
      <w:r w:rsidR="00110E81" w:rsidRPr="005A0F56">
        <w:rPr>
          <w:rFonts w:ascii="Times New Roman" w:eastAsia="TimesNewRoman" w:hAnsi="Times New Roman" w:cs="Times New Roman"/>
          <w:sz w:val="22"/>
          <w:szCs w:val="22"/>
          <w:lang w:val="sr-Latn-RS"/>
        </w:rPr>
        <w:t>enata bez komplikacija kod kojih</w:t>
      </w:r>
      <w:r w:rsidRPr="005A0F56">
        <w:rPr>
          <w:rFonts w:ascii="Times New Roman" w:eastAsia="TimesNewRoman" w:hAnsi="Times New Roman" w:cs="Times New Roman"/>
          <w:sz w:val="22"/>
          <w:szCs w:val="22"/>
          <w:lang w:val="sr-Latn-RS"/>
        </w:rPr>
        <w:t xml:space="preserve"> je rizik od ponovnog nastanka VTE nizak. Režim doziranja od 100 i.j./kg (1 mg/kg) dva puta dnevno treba prim</w:t>
      </w:r>
      <w:r w:rsidR="003F7788" w:rsidRPr="005A0F56">
        <w:rPr>
          <w:rFonts w:ascii="Times New Roman" w:eastAsia="TimesNewRoman" w:hAnsi="Times New Roman" w:cs="Times New Roman"/>
          <w:sz w:val="22"/>
          <w:szCs w:val="22"/>
          <w:lang w:val="sr-Latn-RS"/>
        </w:rPr>
        <w:t>i</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eniti kod svih ostalih pacijenata, kao što su gojazni pacijenti, pacijenti sa simptomatskom PE, malignitetom, rekuretnom VTE ili proksimalnom trombozom (ilijačne vene).</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Terapija enoksaparin</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se propisuje na pros</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ečan period od 10 dana. Terapiju oralnim antikoagulansima treba započeti kada je to prikladno (vid</w:t>
      </w:r>
      <w:r w:rsidR="00E9250D">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“Prelazak sa enoksaparin</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na oralne antikoagulanse i obratno” na kraju od</w:t>
      </w:r>
      <w:r w:rsidR="003F7788"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eljka 4.2).</w:t>
      </w:r>
    </w:p>
    <w:p w:rsidR="00D31828" w:rsidRPr="005A0F56" w:rsidRDefault="00D31828"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D31828" w:rsidRPr="005A0F56" w:rsidRDefault="00D31828"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 produženom l</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ečenju duboke venske tromboze (DVT) i plućne embolije (PE) i prevenciji njenog ponovnog pojavljivanja kod pacijenata sa aktivnim karcinomom, l</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ekari treba pažljivo da proc</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ene individualne rizike od tromboembolije i krvarenja kod pacijenata.</w:t>
      </w:r>
    </w:p>
    <w:p w:rsidR="00D31828" w:rsidRPr="005A0F56" w:rsidRDefault="00D31828"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Preporučena doza je 100 IU/kg (1 mg/kg) koja se daje dva puta dnevno SC injekcijama tokom 5 do 10 dana, a zatim d 150 i.j./kg (1,5 mg/kg) jednom dnevno SC injekcijom do 6 m</w:t>
      </w:r>
      <w:r w:rsidR="00E9250D">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eseci. Korist od kontinuirane terapije antikoagulansima treba ponovo proc</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eniti nakon 6 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eseci l</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ečenja.</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88134F" w:rsidRPr="005A0F56" w:rsidRDefault="0088134F" w:rsidP="00B508FF">
      <w:pPr>
        <w:autoSpaceDE w:val="0"/>
        <w:autoSpaceDN w:val="0"/>
        <w:adjustRightInd w:val="0"/>
        <w:spacing w:after="0" w:line="240" w:lineRule="auto"/>
        <w:jc w:val="both"/>
        <w:rPr>
          <w:rFonts w:ascii="Times New Roman" w:hAnsi="Times New Roman" w:cs="Times New Roman"/>
          <w:i/>
          <w:iCs/>
          <w:sz w:val="22"/>
          <w:szCs w:val="22"/>
          <w:u w:val="single"/>
          <w:lang w:val="sr-Latn-RS"/>
        </w:rPr>
      </w:pPr>
      <w:r w:rsidRPr="005A0F56">
        <w:rPr>
          <w:rFonts w:ascii="Times New Roman" w:hAnsi="Times New Roman" w:cs="Times New Roman"/>
          <w:i/>
          <w:iCs/>
          <w:sz w:val="22"/>
          <w:szCs w:val="22"/>
          <w:u w:val="single"/>
          <w:lang w:val="sr-Latn-RS"/>
        </w:rPr>
        <w:t>Prevencija formiranja ugruška tokom hemodijalize</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Preporučena doza je 100 i.j./kg (1 mg/kg) enoksaparin</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sa visokim rizikom od krvarenja, dozu treba smanjiti na 50 i.j./kg (0,5 mg/kg) za dvostruki vaskularni pristup ili 75 i.j./kg (0,75 mg/kg) za jednostruki vaskularni pristup.</w:t>
      </w:r>
    </w:p>
    <w:p w:rsidR="0088134F" w:rsidRPr="005A0F56" w:rsidRDefault="0016464D"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br/>
      </w:r>
      <w:r w:rsidR="0088134F" w:rsidRPr="005A0F56">
        <w:rPr>
          <w:rFonts w:ascii="Times New Roman" w:eastAsia="TimesNewRoman" w:hAnsi="Times New Roman" w:cs="Times New Roman"/>
          <w:sz w:val="22"/>
          <w:szCs w:val="22"/>
          <w:lang w:val="sr-Latn-RS"/>
        </w:rPr>
        <w:t>Tokom hemodijalize, enoksaparin</w:t>
      </w:r>
      <w:r w:rsidR="00E9250D">
        <w:rPr>
          <w:rFonts w:ascii="Times New Roman" w:eastAsia="TimesNewRoman" w:hAnsi="Times New Roman" w:cs="Times New Roman"/>
          <w:sz w:val="22"/>
          <w:szCs w:val="22"/>
          <w:lang w:val="sr-Latn-RS"/>
        </w:rPr>
        <w:t xml:space="preserve"> </w:t>
      </w:r>
      <w:r w:rsidR="0088134F" w:rsidRPr="005A0F56">
        <w:rPr>
          <w:rFonts w:ascii="Times New Roman" w:eastAsia="TimesNewRoman" w:hAnsi="Times New Roman" w:cs="Times New Roman"/>
          <w:sz w:val="22"/>
          <w:szCs w:val="22"/>
          <w:lang w:val="sr-Latn-RS"/>
        </w:rPr>
        <w:t>natrijum treba in</w:t>
      </w:r>
      <w:r w:rsidR="00E9250D">
        <w:rPr>
          <w:rFonts w:ascii="Times New Roman" w:eastAsia="TimesNewRoman" w:hAnsi="Times New Roman" w:cs="Times New Roman"/>
          <w:sz w:val="22"/>
          <w:szCs w:val="22"/>
          <w:lang w:val="sr-Latn-RS"/>
        </w:rPr>
        <w:t>j</w:t>
      </w:r>
      <w:r w:rsidR="0088134F" w:rsidRPr="005A0F56">
        <w:rPr>
          <w:rFonts w:ascii="Times New Roman" w:eastAsia="TimesNewRoman" w:hAnsi="Times New Roman" w:cs="Times New Roman"/>
          <w:sz w:val="22"/>
          <w:szCs w:val="22"/>
          <w:lang w:val="sr-Latn-RS"/>
        </w:rPr>
        <w:t>icirati kroz arterijsku liniju sistema za dijalizu na početku postupka dijalize. Efekat te doze obično je dovoljan za 4-satnu dijalizu; međutim, ako se jave fibrinski prstenovi, npr. nakon dijalize koja traje duže nego uobičajeno, može se prim</w:t>
      </w:r>
      <w:r w:rsidR="00110E81" w:rsidRPr="005A0F56">
        <w:rPr>
          <w:rFonts w:ascii="Times New Roman" w:eastAsia="TimesNewRoman" w:hAnsi="Times New Roman" w:cs="Times New Roman"/>
          <w:sz w:val="22"/>
          <w:szCs w:val="22"/>
          <w:lang w:val="sr-Latn-RS"/>
        </w:rPr>
        <w:t>ij</w:t>
      </w:r>
      <w:r w:rsidR="0088134F" w:rsidRPr="005A0F56">
        <w:rPr>
          <w:rFonts w:ascii="Times New Roman" w:eastAsia="TimesNewRoman" w:hAnsi="Times New Roman" w:cs="Times New Roman"/>
          <w:sz w:val="22"/>
          <w:szCs w:val="22"/>
          <w:lang w:val="sr-Latn-RS"/>
        </w:rPr>
        <w:t>eniti dodatna doza od 50 do 100 i.j./kg (0,5 do 1 mg/kg).</w:t>
      </w:r>
    </w:p>
    <w:p w:rsidR="0088134F" w:rsidRPr="005A0F56" w:rsidRDefault="0016464D"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br/>
      </w:r>
      <w:r w:rsidR="0088134F" w:rsidRPr="005A0F56">
        <w:rPr>
          <w:rFonts w:ascii="Times New Roman" w:eastAsia="TimesNewRoman" w:hAnsi="Times New Roman" w:cs="Times New Roman"/>
          <w:sz w:val="22"/>
          <w:szCs w:val="22"/>
          <w:lang w:val="sr-Latn-RS"/>
        </w:rPr>
        <w:t>Nema dostupnih podataka o pacijentima kod kojih se enoksaparin</w:t>
      </w:r>
      <w:r w:rsidR="00E9250D">
        <w:rPr>
          <w:rFonts w:ascii="Times New Roman" w:eastAsia="TimesNewRoman" w:hAnsi="Times New Roman" w:cs="Times New Roman"/>
          <w:sz w:val="22"/>
          <w:szCs w:val="22"/>
          <w:lang w:val="sr-Latn-RS"/>
        </w:rPr>
        <w:t xml:space="preserve"> </w:t>
      </w:r>
      <w:r w:rsidR="0088134F" w:rsidRPr="005A0F56">
        <w:rPr>
          <w:rFonts w:ascii="Times New Roman" w:eastAsia="TimesNewRoman" w:hAnsi="Times New Roman" w:cs="Times New Roman"/>
          <w:sz w:val="22"/>
          <w:szCs w:val="22"/>
          <w:lang w:val="sr-Latn-RS"/>
        </w:rPr>
        <w:t>natrijum prim</w:t>
      </w:r>
      <w:r w:rsidR="00110E81" w:rsidRPr="005A0F56">
        <w:rPr>
          <w:rFonts w:ascii="Times New Roman" w:eastAsia="TimesNewRoman" w:hAnsi="Times New Roman" w:cs="Times New Roman"/>
          <w:sz w:val="22"/>
          <w:szCs w:val="22"/>
          <w:lang w:val="sr-Latn-RS"/>
        </w:rPr>
        <w:t>j</w:t>
      </w:r>
      <w:r w:rsidR="0088134F" w:rsidRPr="005A0F56">
        <w:rPr>
          <w:rFonts w:ascii="Times New Roman" w:eastAsia="TimesNewRoman" w:hAnsi="Times New Roman" w:cs="Times New Roman"/>
          <w:sz w:val="22"/>
          <w:szCs w:val="22"/>
          <w:lang w:val="sr-Latn-RS"/>
        </w:rPr>
        <w:t>enjuje kao profilaksa ili terapija i tokom postupaka hemodijalize.</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88134F" w:rsidRPr="005A0F56" w:rsidRDefault="0088134F" w:rsidP="00B508FF">
      <w:pPr>
        <w:autoSpaceDE w:val="0"/>
        <w:autoSpaceDN w:val="0"/>
        <w:adjustRightInd w:val="0"/>
        <w:spacing w:after="0" w:line="240" w:lineRule="auto"/>
        <w:jc w:val="both"/>
        <w:rPr>
          <w:rFonts w:ascii="Times New Roman" w:hAnsi="Times New Roman" w:cs="Times New Roman"/>
          <w:i/>
          <w:iCs/>
          <w:sz w:val="22"/>
          <w:szCs w:val="22"/>
          <w:u w:val="single"/>
          <w:lang w:val="sr-Latn-RS"/>
        </w:rPr>
      </w:pPr>
      <w:r w:rsidRPr="005A0F56">
        <w:rPr>
          <w:rFonts w:ascii="Times New Roman" w:hAnsi="Times New Roman" w:cs="Times New Roman"/>
          <w:i/>
          <w:iCs/>
          <w:sz w:val="22"/>
          <w:szCs w:val="22"/>
          <w:u w:val="single"/>
          <w:lang w:val="sr-Latn-RS"/>
        </w:rPr>
        <w:t xml:space="preserve">Akutni koronarni sindrom: </w:t>
      </w:r>
      <w:r w:rsidR="00E9250D">
        <w:rPr>
          <w:rFonts w:ascii="Times New Roman" w:hAnsi="Times New Roman" w:cs="Times New Roman"/>
          <w:i/>
          <w:iCs/>
          <w:sz w:val="22"/>
          <w:szCs w:val="22"/>
          <w:u w:val="single"/>
          <w:lang w:val="sr-Latn-RS"/>
        </w:rPr>
        <w:t>t</w:t>
      </w:r>
      <w:r w:rsidRPr="005A0F56">
        <w:rPr>
          <w:rFonts w:ascii="Times New Roman" w:hAnsi="Times New Roman" w:cs="Times New Roman"/>
          <w:i/>
          <w:iCs/>
          <w:sz w:val="22"/>
          <w:szCs w:val="22"/>
          <w:u w:val="single"/>
          <w:lang w:val="sr-Latn-RS"/>
        </w:rPr>
        <w:t>erapija nestabile angine i NSTEMI i terapija akutnog STEMI</w:t>
      </w:r>
    </w:p>
    <w:p w:rsidR="0088134F" w:rsidRPr="005A0F56"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Za l</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ečenje nestabilne angine i NSTEMI, preporučena doza enoksaparin</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je 100 j.j./kg (1 mg/kg) svakih 12 sati supkutanom injekcijom prim</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enjenom u kombinaciji sa</w:t>
      </w:r>
      <w:r w:rsidR="0016464D"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antitromboticnom terapijom. Terapiju treba održavati tokom najmanje 2 dana i nastaviti do</w:t>
      </w:r>
      <w:r w:rsidR="0016464D"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kliničke stabilizacije. Uobičajena dužina terapije je od 2 do 8 dana.</w:t>
      </w:r>
    </w:p>
    <w:p w:rsidR="0088134F" w:rsidRPr="005A0F56" w:rsidRDefault="0088134F" w:rsidP="00B508FF">
      <w:pPr>
        <w:autoSpaceDE w:val="0"/>
        <w:autoSpaceDN w:val="0"/>
        <w:adjustRightInd w:val="0"/>
        <w:spacing w:after="0" w:line="240" w:lineRule="auto"/>
        <w:ind w:left="709" w:firstLine="11"/>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Prim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ena acetilsalicilne kiseline preporučuje se kod svih pacijenata bez kontraindikacija kao</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inicijalna oralna doza od 150-300 mg (kod pacijenata koji prethodno ni</w:t>
      </w:r>
      <w:r w:rsidR="006E35C9">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su bili l</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ečeni</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acetilsalicilnom kiselinom) i doza održavanja od 75-325 mg/dan, bez obzira na terapijsku</w:t>
      </w:r>
      <w:r w:rsidR="00E9250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strategiju.</w:t>
      </w:r>
    </w:p>
    <w:p w:rsidR="0088134F" w:rsidRPr="005A0F56" w:rsidRDefault="0016464D"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br/>
      </w:r>
      <w:r w:rsidR="0088134F" w:rsidRPr="005A0F56">
        <w:rPr>
          <w:rFonts w:ascii="Times New Roman" w:eastAsia="TimesNewRoman" w:hAnsi="Times New Roman" w:cs="Times New Roman"/>
          <w:sz w:val="22"/>
          <w:szCs w:val="22"/>
          <w:lang w:val="sr-Latn-RS"/>
        </w:rPr>
        <w:t>Za l</w:t>
      </w:r>
      <w:r w:rsidR="00110E81" w:rsidRPr="005A0F56">
        <w:rPr>
          <w:rFonts w:ascii="Times New Roman" w:eastAsia="TimesNewRoman" w:hAnsi="Times New Roman" w:cs="Times New Roman"/>
          <w:sz w:val="22"/>
          <w:szCs w:val="22"/>
          <w:lang w:val="sr-Latn-RS"/>
        </w:rPr>
        <w:t>ij</w:t>
      </w:r>
      <w:r w:rsidR="0088134F" w:rsidRPr="005A0F56">
        <w:rPr>
          <w:rFonts w:ascii="Times New Roman" w:eastAsia="TimesNewRoman" w:hAnsi="Times New Roman" w:cs="Times New Roman"/>
          <w:sz w:val="22"/>
          <w:szCs w:val="22"/>
          <w:lang w:val="sr-Latn-RS"/>
        </w:rPr>
        <w:t>ečenje akutnog STEMI, preporučena doza enoksaparin</w:t>
      </w:r>
      <w:r w:rsidR="00600E21">
        <w:rPr>
          <w:rFonts w:ascii="Times New Roman" w:eastAsia="TimesNewRoman" w:hAnsi="Times New Roman" w:cs="Times New Roman"/>
          <w:sz w:val="22"/>
          <w:szCs w:val="22"/>
          <w:lang w:val="sr-Latn-RS"/>
        </w:rPr>
        <w:t xml:space="preserve"> </w:t>
      </w:r>
      <w:r w:rsidR="0088134F" w:rsidRPr="005A0F56">
        <w:rPr>
          <w:rFonts w:ascii="Times New Roman" w:eastAsia="TimesNewRoman" w:hAnsi="Times New Roman" w:cs="Times New Roman"/>
          <w:sz w:val="22"/>
          <w:szCs w:val="22"/>
          <w:lang w:val="sr-Latn-RS"/>
        </w:rPr>
        <w:t>natrijuma je jedna intravenska bolus injekcija od 3000 i.j. (30 mg) plus supkutana doza od 100 i.j./kg (1 mg/kg), nakon koje sl</w:t>
      </w:r>
      <w:r w:rsidR="00110E81" w:rsidRPr="005A0F56">
        <w:rPr>
          <w:rFonts w:ascii="Times New Roman" w:eastAsia="TimesNewRoman" w:hAnsi="Times New Roman" w:cs="Times New Roman"/>
          <w:sz w:val="22"/>
          <w:szCs w:val="22"/>
          <w:lang w:val="sr-Latn-RS"/>
        </w:rPr>
        <w:t>ij</w:t>
      </w:r>
      <w:r w:rsidR="0088134F" w:rsidRPr="005A0F56">
        <w:rPr>
          <w:rFonts w:ascii="Times New Roman" w:eastAsia="TimesNewRoman" w:hAnsi="Times New Roman" w:cs="Times New Roman"/>
          <w:sz w:val="22"/>
          <w:szCs w:val="22"/>
          <w:lang w:val="sr-Latn-RS"/>
        </w:rPr>
        <w:t>edi supkutana prim</w:t>
      </w:r>
      <w:r w:rsidR="003F7788" w:rsidRPr="005A0F56">
        <w:rPr>
          <w:rFonts w:ascii="Times New Roman" w:eastAsia="TimesNewRoman" w:hAnsi="Times New Roman" w:cs="Times New Roman"/>
          <w:sz w:val="22"/>
          <w:szCs w:val="22"/>
          <w:lang w:val="sr-Latn-RS"/>
        </w:rPr>
        <w:t>j</w:t>
      </w:r>
      <w:r w:rsidR="0088134F" w:rsidRPr="005A0F56">
        <w:rPr>
          <w:rFonts w:ascii="Times New Roman" w:eastAsia="TimesNewRoman" w:hAnsi="Times New Roman" w:cs="Times New Roman"/>
          <w:sz w:val="22"/>
          <w:szCs w:val="22"/>
          <w:lang w:val="sr-Latn-RS"/>
        </w:rPr>
        <w:t>ena doze od 100 i.j./kg (1 mg/kg) na svakih 12 sati (najviše 10</w:t>
      </w:r>
      <w:r w:rsidR="00600E21">
        <w:rPr>
          <w:rFonts w:ascii="Times New Roman" w:eastAsia="TimesNewRoman" w:hAnsi="Times New Roman" w:cs="Times New Roman"/>
          <w:sz w:val="22"/>
          <w:szCs w:val="22"/>
          <w:lang w:val="sr-Latn-RS"/>
        </w:rPr>
        <w:t xml:space="preserve"> </w:t>
      </w:r>
      <w:r w:rsidR="0088134F" w:rsidRPr="005A0F56">
        <w:rPr>
          <w:rFonts w:ascii="Times New Roman" w:eastAsia="TimesNewRoman" w:hAnsi="Times New Roman" w:cs="Times New Roman"/>
          <w:sz w:val="22"/>
          <w:szCs w:val="22"/>
          <w:lang w:val="sr-Latn-RS"/>
        </w:rPr>
        <w:t>000 i.j. (100 mg) po dozi za prve dv</w:t>
      </w:r>
      <w:r w:rsidR="003F7788" w:rsidRPr="005A0F56">
        <w:rPr>
          <w:rFonts w:ascii="Times New Roman" w:eastAsia="TimesNewRoman" w:hAnsi="Times New Roman" w:cs="Times New Roman"/>
          <w:sz w:val="22"/>
          <w:szCs w:val="22"/>
          <w:lang w:val="sr-Latn-RS"/>
        </w:rPr>
        <w:t>ij</w:t>
      </w:r>
      <w:r w:rsidR="0088134F" w:rsidRPr="005A0F56">
        <w:rPr>
          <w:rFonts w:ascii="Times New Roman" w:eastAsia="TimesNewRoman" w:hAnsi="Times New Roman" w:cs="Times New Roman"/>
          <w:sz w:val="22"/>
          <w:szCs w:val="22"/>
          <w:lang w:val="sr-Latn-RS"/>
        </w:rPr>
        <w:t>e supkutane doze). Potrebno je istovremeno prim</w:t>
      </w:r>
      <w:r w:rsidR="00110E81" w:rsidRPr="005A0F56">
        <w:rPr>
          <w:rFonts w:ascii="Times New Roman" w:eastAsia="TimesNewRoman" w:hAnsi="Times New Roman" w:cs="Times New Roman"/>
          <w:sz w:val="22"/>
          <w:szCs w:val="22"/>
          <w:lang w:val="sr-Latn-RS"/>
        </w:rPr>
        <w:t>j</w:t>
      </w:r>
      <w:r w:rsidR="0088134F" w:rsidRPr="005A0F56">
        <w:rPr>
          <w:rFonts w:ascii="Times New Roman" w:eastAsia="TimesNewRoman" w:hAnsi="Times New Roman" w:cs="Times New Roman"/>
          <w:sz w:val="22"/>
          <w:szCs w:val="22"/>
          <w:lang w:val="sr-Latn-RS"/>
        </w:rPr>
        <w:t>enjivati i odgovarajuću antitrombocitnu terapiju, kao što je oralna prim</w:t>
      </w:r>
      <w:r w:rsidR="003F7788" w:rsidRPr="005A0F56">
        <w:rPr>
          <w:rFonts w:ascii="Times New Roman" w:eastAsia="TimesNewRoman" w:hAnsi="Times New Roman" w:cs="Times New Roman"/>
          <w:sz w:val="22"/>
          <w:szCs w:val="22"/>
          <w:lang w:val="sr-Latn-RS"/>
        </w:rPr>
        <w:t>j</w:t>
      </w:r>
      <w:r w:rsidR="0088134F" w:rsidRPr="005A0F56">
        <w:rPr>
          <w:rFonts w:ascii="Times New Roman" w:eastAsia="TimesNewRoman" w:hAnsi="Times New Roman" w:cs="Times New Roman"/>
          <w:sz w:val="22"/>
          <w:szCs w:val="22"/>
          <w:lang w:val="sr-Latn-RS"/>
        </w:rPr>
        <w:t>ena acetilsalicnilne kiseline (75 do 325 mg jednom na dan), ako nije kontraindikovano. Preporučeno trajanje terapije je 8 dana ili do otpuštanja iz bolnice, šta god nastupi prvo. Kada se prim</w:t>
      </w:r>
      <w:r w:rsidR="00110E81" w:rsidRPr="005A0F56">
        <w:rPr>
          <w:rFonts w:ascii="Times New Roman" w:eastAsia="TimesNewRoman" w:hAnsi="Times New Roman" w:cs="Times New Roman"/>
          <w:sz w:val="22"/>
          <w:szCs w:val="22"/>
          <w:lang w:val="sr-Latn-RS"/>
        </w:rPr>
        <w:t>j</w:t>
      </w:r>
      <w:r w:rsidR="0088134F" w:rsidRPr="005A0F56">
        <w:rPr>
          <w:rFonts w:ascii="Times New Roman" w:eastAsia="TimesNewRoman" w:hAnsi="Times New Roman" w:cs="Times New Roman"/>
          <w:sz w:val="22"/>
          <w:szCs w:val="22"/>
          <w:lang w:val="sr-Latn-RS"/>
        </w:rPr>
        <w:t>enjuje u kombinaciji sa trombolitikom (fribrin-specifičnim ili fibrin-nespecifičnim), enoksaparin</w:t>
      </w:r>
      <w:r w:rsidR="00600E21">
        <w:rPr>
          <w:rFonts w:ascii="Times New Roman" w:eastAsia="TimesNewRoman" w:hAnsi="Times New Roman" w:cs="Times New Roman"/>
          <w:sz w:val="22"/>
          <w:szCs w:val="22"/>
          <w:lang w:val="sr-Latn-RS"/>
        </w:rPr>
        <w:t xml:space="preserve"> </w:t>
      </w:r>
      <w:r w:rsidR="0088134F" w:rsidRPr="005A0F56">
        <w:rPr>
          <w:rFonts w:ascii="Times New Roman" w:eastAsia="TimesNewRoman" w:hAnsi="Times New Roman" w:cs="Times New Roman"/>
          <w:sz w:val="22"/>
          <w:szCs w:val="22"/>
          <w:lang w:val="sr-Latn-RS"/>
        </w:rPr>
        <w:t>natrijum treba prim</w:t>
      </w:r>
      <w:r w:rsidR="00110E81" w:rsidRPr="005A0F56">
        <w:rPr>
          <w:rFonts w:ascii="Times New Roman" w:eastAsia="TimesNewRoman" w:hAnsi="Times New Roman" w:cs="Times New Roman"/>
          <w:sz w:val="22"/>
          <w:szCs w:val="22"/>
          <w:lang w:val="sr-Latn-RS"/>
        </w:rPr>
        <w:t>ij</w:t>
      </w:r>
      <w:r w:rsidR="0088134F" w:rsidRPr="005A0F56">
        <w:rPr>
          <w:rFonts w:ascii="Times New Roman" w:eastAsia="TimesNewRoman" w:hAnsi="Times New Roman" w:cs="Times New Roman"/>
          <w:sz w:val="22"/>
          <w:szCs w:val="22"/>
          <w:lang w:val="sr-Latn-RS"/>
        </w:rPr>
        <w:t>eniti u periodu</w:t>
      </w:r>
      <w:r w:rsidR="00600E21">
        <w:rPr>
          <w:rFonts w:ascii="Times New Roman" w:eastAsia="TimesNewRoman" w:hAnsi="Times New Roman" w:cs="Times New Roman"/>
          <w:sz w:val="22"/>
          <w:szCs w:val="22"/>
          <w:lang w:val="sr-Latn-RS"/>
        </w:rPr>
        <w:t xml:space="preserve"> od</w:t>
      </w:r>
      <w:r w:rsidR="0088134F" w:rsidRPr="005A0F56">
        <w:rPr>
          <w:rFonts w:ascii="Times New Roman" w:eastAsia="TimesNewRoman" w:hAnsi="Times New Roman" w:cs="Times New Roman"/>
          <w:sz w:val="22"/>
          <w:szCs w:val="22"/>
          <w:lang w:val="sr-Latn-RS"/>
        </w:rPr>
        <w:t xml:space="preserve"> 15 minuta pr</w:t>
      </w:r>
      <w:r w:rsidR="00600E21">
        <w:rPr>
          <w:rFonts w:ascii="Times New Roman" w:eastAsia="TimesNewRoman" w:hAnsi="Times New Roman" w:cs="Times New Roman"/>
          <w:sz w:val="22"/>
          <w:szCs w:val="22"/>
          <w:lang w:val="sr-Latn-RS"/>
        </w:rPr>
        <w:t>ij</w:t>
      </w:r>
      <w:r w:rsidR="0088134F" w:rsidRPr="005A0F56">
        <w:rPr>
          <w:rFonts w:ascii="Times New Roman" w:eastAsia="TimesNewRoman" w:hAnsi="Times New Roman" w:cs="Times New Roman"/>
          <w:sz w:val="22"/>
          <w:szCs w:val="22"/>
          <w:lang w:val="sr-Latn-RS"/>
        </w:rPr>
        <w:t xml:space="preserve">e </w:t>
      </w:r>
      <w:r w:rsidR="00600E21">
        <w:rPr>
          <w:rFonts w:ascii="Times New Roman" w:eastAsia="TimesNewRoman" w:hAnsi="Times New Roman" w:cs="Times New Roman"/>
          <w:sz w:val="22"/>
          <w:szCs w:val="22"/>
          <w:lang w:val="sr-Latn-RS"/>
        </w:rPr>
        <w:t>do</w:t>
      </w:r>
      <w:r w:rsidR="0088134F" w:rsidRPr="005A0F56">
        <w:rPr>
          <w:rFonts w:ascii="Times New Roman" w:eastAsia="TimesNewRoman" w:hAnsi="Times New Roman" w:cs="Times New Roman"/>
          <w:sz w:val="22"/>
          <w:szCs w:val="22"/>
          <w:lang w:val="sr-Latn-RS"/>
        </w:rPr>
        <w:t xml:space="preserve"> 30 minuta posl</w:t>
      </w:r>
      <w:r w:rsidR="00110E81" w:rsidRPr="005A0F56">
        <w:rPr>
          <w:rFonts w:ascii="Times New Roman" w:eastAsia="TimesNewRoman" w:hAnsi="Times New Roman" w:cs="Times New Roman"/>
          <w:sz w:val="22"/>
          <w:szCs w:val="22"/>
          <w:lang w:val="sr-Latn-RS"/>
        </w:rPr>
        <w:t>ij</w:t>
      </w:r>
      <w:r w:rsidR="0088134F" w:rsidRPr="005A0F56">
        <w:rPr>
          <w:rFonts w:ascii="Times New Roman" w:eastAsia="TimesNewRoman" w:hAnsi="Times New Roman" w:cs="Times New Roman"/>
          <w:sz w:val="22"/>
          <w:szCs w:val="22"/>
          <w:lang w:val="sr-Latn-RS"/>
        </w:rPr>
        <w:t>e početka fibrinolitičke terapije.</w:t>
      </w:r>
    </w:p>
    <w:p w:rsidR="0088134F" w:rsidRPr="005A0F56" w:rsidRDefault="0088134F" w:rsidP="00B508FF">
      <w:pPr>
        <w:autoSpaceDE w:val="0"/>
        <w:autoSpaceDN w:val="0"/>
        <w:adjustRightInd w:val="0"/>
        <w:spacing w:after="0" w:line="240" w:lineRule="auto"/>
        <w:ind w:left="144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 xml:space="preserve">o </w:t>
      </w:r>
      <w:r w:rsidRPr="005A0F56">
        <w:rPr>
          <w:rFonts w:ascii="Times New Roman" w:eastAsia="TimesNewRoman" w:hAnsi="Times New Roman" w:cs="Times New Roman"/>
          <w:sz w:val="22"/>
          <w:szCs w:val="22"/>
          <w:lang w:val="sr-Latn-RS"/>
        </w:rPr>
        <w:t>Za doziranje pacijenata</w:t>
      </w:r>
      <w:r w:rsidR="00600E21">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hint="eastAsia"/>
          <w:sz w:val="22"/>
          <w:szCs w:val="22"/>
          <w:lang w:val="sr-Latn-RS"/>
        </w:rPr>
        <w:t xml:space="preserve"> </w:t>
      </w:r>
      <w:r w:rsidRPr="005A0F56">
        <w:rPr>
          <w:rFonts w:ascii="Times New Roman" w:eastAsia="TimesNewRoman" w:hAnsi="Times New Roman" w:cs="Times New Roman" w:hint="eastAsia"/>
          <w:sz w:val="22"/>
          <w:szCs w:val="22"/>
          <w:lang w:val="sr-Latn-RS"/>
        </w:rPr>
        <w:t>≥</w:t>
      </w:r>
      <w:r w:rsidR="00600E21">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75 godine starosti, vid</w:t>
      </w:r>
      <w:r w:rsidR="003F7788"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“Starije osobe”.</w:t>
      </w:r>
    </w:p>
    <w:p w:rsidR="0088134F" w:rsidRPr="006921A1" w:rsidRDefault="0088134F" w:rsidP="00B508FF">
      <w:pPr>
        <w:autoSpaceDE w:val="0"/>
        <w:autoSpaceDN w:val="0"/>
        <w:adjustRightInd w:val="0"/>
        <w:spacing w:after="0" w:line="240" w:lineRule="auto"/>
        <w:ind w:left="144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 xml:space="preserve">o </w:t>
      </w:r>
      <w:r w:rsidRPr="005A0F56">
        <w:rPr>
          <w:rFonts w:ascii="Times New Roman" w:eastAsia="TimesNewRoman" w:hAnsi="Times New Roman" w:cs="Times New Roman"/>
          <w:sz w:val="22"/>
          <w:szCs w:val="22"/>
          <w:lang w:val="sr-Latn-RS"/>
        </w:rPr>
        <w:t>Za pacijente koji se podvrgavaju perkutanoj koronarnoj intervenciji, ako je</w:t>
      </w:r>
      <w:r w:rsidR="00600E21">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posl</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ednja supkutana doza enoksaparin</w:t>
      </w:r>
      <w:r w:rsidR="00600E21">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prim</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enjena manje od 8 sati pr</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w:t>
      </w:r>
      <w:r w:rsidR="00600E21">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balon-dilatacije, nije potrebna prim</w:t>
      </w:r>
      <w:r w:rsidR="00110E81"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ena dodatnih doza. Ako je posl</w:t>
      </w:r>
      <w:r w:rsidR="003F7788"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ednja supkutana</w:t>
      </w:r>
      <w:r w:rsidR="00600E21">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doza prim</w:t>
      </w:r>
      <w:r w:rsidR="003F7788"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enjena više od 8 sati pr</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balon-dilatacije, treba prim</w:t>
      </w:r>
      <w:r w:rsidR="00110E81"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eniti intravensku</w:t>
      </w:r>
      <w:r w:rsidR="00600E2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bolus dozu enoksaparin</w:t>
      </w:r>
      <w:r w:rsidR="00600E2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od 30 i.j./kg (0,3 mg/kg).</w:t>
      </w:r>
    </w:p>
    <w:p w:rsidR="003F336B" w:rsidRPr="006921A1" w:rsidRDefault="003F336B" w:rsidP="00B508FF">
      <w:pPr>
        <w:tabs>
          <w:tab w:val="left" w:pos="540"/>
          <w:tab w:val="left" w:pos="569"/>
        </w:tabs>
        <w:ind w:left="1440"/>
        <w:jc w:val="both"/>
        <w:rPr>
          <w:rFonts w:ascii="Times New Roman" w:hAnsi="Times New Roman" w:cs="Times New Roman"/>
          <w:bCs/>
          <w:sz w:val="22"/>
          <w:szCs w:val="22"/>
          <w:u w:val="single"/>
        </w:rPr>
      </w:pPr>
    </w:p>
    <w:p w:rsidR="0088134F" w:rsidRPr="006921A1" w:rsidRDefault="0088134F" w:rsidP="00B508FF">
      <w:pPr>
        <w:autoSpaceDE w:val="0"/>
        <w:autoSpaceDN w:val="0"/>
        <w:adjustRightInd w:val="0"/>
        <w:spacing w:after="0" w:line="240" w:lineRule="auto"/>
        <w:jc w:val="both"/>
        <w:rPr>
          <w:rFonts w:ascii="Times New Roman" w:hAnsi="Times New Roman" w:cs="Times New Roman"/>
          <w:i/>
          <w:iCs/>
          <w:sz w:val="22"/>
          <w:szCs w:val="22"/>
          <w:u w:val="single"/>
          <w:lang w:val="sr-Latn-RS"/>
        </w:rPr>
      </w:pPr>
      <w:r w:rsidRPr="006921A1">
        <w:rPr>
          <w:rFonts w:ascii="Times New Roman" w:hAnsi="Times New Roman" w:cs="Times New Roman"/>
          <w:i/>
          <w:iCs/>
          <w:sz w:val="22"/>
          <w:szCs w:val="22"/>
          <w:u w:val="single"/>
          <w:lang w:val="sr-Latn-RS"/>
        </w:rPr>
        <w:t>Pedijatrijska populacija</w:t>
      </w:r>
    </w:p>
    <w:p w:rsidR="007E1D75" w:rsidRPr="006921A1" w:rsidRDefault="0088134F" w:rsidP="00B508FF">
      <w:pPr>
        <w:autoSpaceDE w:val="0"/>
        <w:autoSpaceDN w:val="0"/>
        <w:adjustRightInd w:val="0"/>
        <w:spacing w:after="0"/>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Bezb</w:t>
      </w:r>
      <w:r w:rsidR="00110E81"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ednost i efikasnost enoksaparin</w:t>
      </w:r>
      <w:r w:rsidR="00600E2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u pedijatrijskoj populaciji ni</w:t>
      </w:r>
      <w:r w:rsidR="00600E21">
        <w:rPr>
          <w:rFonts w:ascii="Times New Roman" w:eastAsia="TimesNewRoman" w:hAnsi="Times New Roman" w:cs="Times New Roman"/>
          <w:sz w:val="22"/>
          <w:szCs w:val="22"/>
          <w:lang w:val="sr-Latn-RS"/>
        </w:rPr>
        <w:t>je</w:t>
      </w:r>
      <w:r w:rsidRPr="006921A1">
        <w:rPr>
          <w:rFonts w:ascii="Times New Roman" w:eastAsia="TimesNewRoman" w:hAnsi="Times New Roman" w:cs="Times New Roman"/>
          <w:sz w:val="22"/>
          <w:szCs w:val="22"/>
          <w:lang w:val="sr-Latn-RS"/>
        </w:rPr>
        <w:t>su ustanovljene.</w:t>
      </w:r>
    </w:p>
    <w:p w:rsidR="001B23A1" w:rsidRDefault="001B23A1" w:rsidP="00B508FF">
      <w:pPr>
        <w:autoSpaceDE w:val="0"/>
        <w:autoSpaceDN w:val="0"/>
        <w:adjustRightInd w:val="0"/>
        <w:spacing w:after="0" w:line="240" w:lineRule="auto"/>
        <w:jc w:val="both"/>
        <w:rPr>
          <w:rFonts w:ascii="Times New Roman" w:hAnsi="Times New Roman" w:cs="Times New Roman"/>
          <w:i/>
          <w:iCs/>
          <w:sz w:val="22"/>
          <w:szCs w:val="22"/>
          <w:u w:val="single"/>
          <w:lang w:val="sr-Latn-RS"/>
        </w:rPr>
      </w:pPr>
    </w:p>
    <w:p w:rsidR="0088134F" w:rsidRPr="006921A1" w:rsidRDefault="0088134F" w:rsidP="00B508FF">
      <w:pPr>
        <w:autoSpaceDE w:val="0"/>
        <w:autoSpaceDN w:val="0"/>
        <w:adjustRightInd w:val="0"/>
        <w:spacing w:after="0" w:line="240" w:lineRule="auto"/>
        <w:jc w:val="both"/>
        <w:rPr>
          <w:rFonts w:ascii="Times New Roman" w:hAnsi="Times New Roman" w:cs="Times New Roman"/>
          <w:i/>
          <w:iCs/>
          <w:sz w:val="22"/>
          <w:szCs w:val="22"/>
          <w:u w:val="single"/>
          <w:lang w:val="sr-Latn-RS"/>
        </w:rPr>
      </w:pPr>
      <w:r w:rsidRPr="006921A1">
        <w:rPr>
          <w:rFonts w:ascii="Times New Roman" w:hAnsi="Times New Roman" w:cs="Times New Roman"/>
          <w:i/>
          <w:iCs/>
          <w:sz w:val="22"/>
          <w:szCs w:val="22"/>
          <w:u w:val="single"/>
          <w:lang w:val="sr-Latn-RS"/>
        </w:rPr>
        <w:t>Starije osobe</w:t>
      </w:r>
    </w:p>
    <w:p w:rsidR="0088134F" w:rsidRPr="006921A1" w:rsidRDefault="0088134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Za sve indikacije izuzev STEMI, nije potrebno prilagođavanje doze kod starijih osoba, osim u slučaju</w:t>
      </w:r>
    </w:p>
    <w:p w:rsidR="0088134F" w:rsidRPr="006921A1" w:rsidRDefault="0088134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lastRenderedPageBreak/>
        <w:t>oštećenja funkcije bubrega (vid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eti u nastavku “Oštećenje bubrega” i od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eljak 4.4).</w:t>
      </w:r>
    </w:p>
    <w:p w:rsidR="0088134F" w:rsidRPr="006921A1" w:rsidRDefault="0088134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Za terapiju akutnog STEMI kod starijih pacijenata ≥</w:t>
      </w:r>
      <w:r w:rsidR="001B23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75 godina starosti, ne sm</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se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enjivati inicijalna</w:t>
      </w:r>
      <w:r w:rsidR="00E920F4"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intravenska bolus injekcija.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enu treba započeti supkutanom dozom od 75 i.j./kg (0,75 mg/kg) na svakih</w:t>
      </w:r>
      <w:r w:rsidR="00E920F4"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12 sati (najviše 7500 i.j. (75 mg) po dozi samo za prve dv</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supkutane doze, nakon kojih se 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ečenje nastavlja</w:t>
      </w:r>
      <w:r w:rsidR="00E920F4"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 xml:space="preserve">supkutanim dozama od 75 i.j./kg (0,75 </w:t>
      </w:r>
      <w:r w:rsidR="00E920F4" w:rsidRPr="006921A1">
        <w:rPr>
          <w:rFonts w:ascii="Times New Roman" w:eastAsia="TimesNewRoman" w:hAnsi="Times New Roman" w:cs="Times New Roman"/>
          <w:sz w:val="22"/>
          <w:szCs w:val="22"/>
          <w:lang w:val="sr-Latn-RS"/>
        </w:rPr>
        <w:t xml:space="preserve">mg)). Za doziranje kod starijih </w:t>
      </w:r>
      <w:r w:rsidRPr="006921A1">
        <w:rPr>
          <w:rFonts w:ascii="Times New Roman" w:eastAsia="TimesNewRoman" w:hAnsi="Times New Roman" w:cs="Times New Roman"/>
          <w:sz w:val="22"/>
          <w:szCs w:val="22"/>
          <w:lang w:val="sr-Latn-RS"/>
        </w:rPr>
        <w:t>pacijenata sa oštećenom funkcijom</w:t>
      </w:r>
      <w:r w:rsidR="00E920F4"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bubrega, vid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eti u nastavku “Oštećenje funkcije bubrega” i od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eljak 4.4.</w:t>
      </w:r>
    </w:p>
    <w:p w:rsidR="0088134F" w:rsidRPr="006921A1" w:rsidRDefault="0016464D" w:rsidP="00B508FF">
      <w:pPr>
        <w:autoSpaceDE w:val="0"/>
        <w:autoSpaceDN w:val="0"/>
        <w:adjustRightInd w:val="0"/>
        <w:spacing w:after="0" w:line="240" w:lineRule="auto"/>
        <w:jc w:val="both"/>
        <w:rPr>
          <w:rFonts w:ascii="Times New Roman" w:hAnsi="Times New Roman" w:cs="Times New Roman"/>
          <w:i/>
          <w:iCs/>
          <w:sz w:val="22"/>
          <w:szCs w:val="22"/>
          <w:u w:val="single"/>
          <w:lang w:val="sr-Latn-RS"/>
        </w:rPr>
      </w:pPr>
      <w:r w:rsidRPr="006921A1">
        <w:rPr>
          <w:rFonts w:ascii="Times New Roman" w:hAnsi="Times New Roman" w:cs="Times New Roman"/>
          <w:i/>
          <w:iCs/>
          <w:sz w:val="22"/>
          <w:szCs w:val="22"/>
          <w:lang w:val="sr-Latn-RS"/>
        </w:rPr>
        <w:br/>
      </w:r>
      <w:r w:rsidR="0088134F" w:rsidRPr="006921A1">
        <w:rPr>
          <w:rFonts w:ascii="Times New Roman" w:hAnsi="Times New Roman" w:cs="Times New Roman"/>
          <w:i/>
          <w:iCs/>
          <w:sz w:val="22"/>
          <w:szCs w:val="22"/>
          <w:u w:val="single"/>
          <w:lang w:val="sr-Latn-RS"/>
        </w:rPr>
        <w:t>Oštećenje funkcije jetre</w:t>
      </w:r>
    </w:p>
    <w:p w:rsidR="0088134F" w:rsidRPr="006921A1" w:rsidRDefault="0088134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Dostupni su ograničeni podaci o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eni kod pacijenata sa oštećenom funkcijom jetre (vid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eti od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eljak 5.1 i</w:t>
      </w:r>
      <w:r w:rsidR="00E920F4"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5.2) i zbog toga je kod tih pacijenata neophodan oprez (vid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eti od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eljak 4.4).</w:t>
      </w:r>
    </w:p>
    <w:p w:rsidR="00E920F4" w:rsidRPr="006921A1" w:rsidRDefault="00E920F4"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88134F" w:rsidRPr="00B508FF" w:rsidRDefault="0088134F" w:rsidP="00B508FF">
      <w:pPr>
        <w:autoSpaceDE w:val="0"/>
        <w:autoSpaceDN w:val="0"/>
        <w:adjustRightInd w:val="0"/>
        <w:spacing w:after="0" w:line="240" w:lineRule="auto"/>
        <w:jc w:val="both"/>
        <w:rPr>
          <w:rFonts w:ascii="Times New Roman" w:hAnsi="Times New Roman" w:cs="Times New Roman"/>
          <w:i/>
          <w:iCs/>
          <w:sz w:val="22"/>
          <w:szCs w:val="22"/>
          <w:u w:val="single"/>
          <w:lang w:val="sr-Latn-RS"/>
        </w:rPr>
      </w:pPr>
      <w:r w:rsidRPr="00B508FF">
        <w:rPr>
          <w:rFonts w:ascii="Times New Roman" w:hAnsi="Times New Roman" w:cs="Times New Roman"/>
          <w:i/>
          <w:iCs/>
          <w:sz w:val="22"/>
          <w:szCs w:val="22"/>
          <w:u w:val="single"/>
          <w:lang w:val="sr-Latn-RS"/>
        </w:rPr>
        <w:t>Oštećenje funkcije bubrega (vid</w:t>
      </w:r>
      <w:r w:rsidR="00FD786D" w:rsidRPr="00B508FF">
        <w:rPr>
          <w:rFonts w:ascii="Times New Roman" w:hAnsi="Times New Roman" w:cs="Times New Roman"/>
          <w:i/>
          <w:iCs/>
          <w:sz w:val="22"/>
          <w:szCs w:val="22"/>
          <w:u w:val="single"/>
          <w:lang w:val="sr-Latn-RS"/>
        </w:rPr>
        <w:t>j</w:t>
      </w:r>
      <w:r w:rsidRPr="00B508FF">
        <w:rPr>
          <w:rFonts w:ascii="Times New Roman" w:hAnsi="Times New Roman" w:cs="Times New Roman"/>
          <w:i/>
          <w:iCs/>
          <w:sz w:val="22"/>
          <w:szCs w:val="22"/>
          <w:u w:val="single"/>
          <w:lang w:val="sr-Latn-RS"/>
        </w:rPr>
        <w:t>eti od</w:t>
      </w:r>
      <w:r w:rsidR="00FD786D" w:rsidRPr="00B508FF">
        <w:rPr>
          <w:rFonts w:ascii="Times New Roman" w:hAnsi="Times New Roman" w:cs="Times New Roman"/>
          <w:i/>
          <w:iCs/>
          <w:sz w:val="22"/>
          <w:szCs w:val="22"/>
          <w:u w:val="single"/>
          <w:lang w:val="sr-Latn-RS"/>
        </w:rPr>
        <w:t>j</w:t>
      </w:r>
      <w:r w:rsidRPr="00B508FF">
        <w:rPr>
          <w:rFonts w:ascii="Times New Roman" w:hAnsi="Times New Roman" w:cs="Times New Roman"/>
          <w:i/>
          <w:iCs/>
          <w:sz w:val="22"/>
          <w:szCs w:val="22"/>
          <w:u w:val="single"/>
          <w:lang w:val="sr-Latn-RS"/>
        </w:rPr>
        <w:t>eljke 4.4 i 5.2)</w:t>
      </w:r>
    </w:p>
    <w:p w:rsidR="0088134F" w:rsidRPr="00B508FF" w:rsidRDefault="0088134F" w:rsidP="00B508FF">
      <w:pPr>
        <w:autoSpaceDE w:val="0"/>
        <w:autoSpaceDN w:val="0"/>
        <w:adjustRightInd w:val="0"/>
        <w:spacing w:after="0" w:line="240" w:lineRule="auto"/>
        <w:jc w:val="both"/>
        <w:rPr>
          <w:rFonts w:ascii="Times New Roman" w:eastAsia="TimesNewRoman" w:hAnsi="Times New Roman" w:cs="Times New Roman"/>
          <w:i/>
          <w:sz w:val="22"/>
          <w:szCs w:val="22"/>
          <w:lang w:val="sr-Latn-RS"/>
        </w:rPr>
      </w:pPr>
      <w:r w:rsidRPr="00B508FF">
        <w:rPr>
          <w:rFonts w:ascii="Times New Roman" w:eastAsia="TimesNewRoman" w:hAnsi="Times New Roman" w:cs="Times New Roman"/>
          <w:i/>
          <w:sz w:val="22"/>
          <w:szCs w:val="22"/>
          <w:lang w:val="sr-Latn-RS"/>
        </w:rPr>
        <w:t>Teško oštećenje funkcije bubrega</w:t>
      </w:r>
    </w:p>
    <w:p w:rsidR="0088134F" w:rsidRPr="006921A1" w:rsidRDefault="0088134F"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Enoksaparin</w:t>
      </w:r>
      <w:r w:rsidR="001B23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se ne preporučuje kod pacijenata u završnom stadijumu bubrežne bolesti (klirens</w:t>
      </w:r>
      <w:r w:rsidR="00E920F4"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kreatinina &lt;</w:t>
      </w:r>
      <w:r w:rsidR="001B23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15 m</w:t>
      </w:r>
      <w:r w:rsidR="001B23A1">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/min) zbog nedovoljno podataka o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eni u ovoj populaciju kod svih indikacija osim</w:t>
      </w:r>
      <w:r w:rsidR="00E920F4"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prevencije formiranja ugruška u ekstrakorporalnoj cirkulaciji tokom hemodijalize.</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88134F">
      <w:pPr>
        <w:autoSpaceDE w:val="0"/>
        <w:autoSpaceDN w:val="0"/>
        <w:adjustRightInd w:val="0"/>
        <w:jc w:val="both"/>
        <w:rPr>
          <w:rFonts w:ascii="Times New Roman" w:hAnsi="Times New Roman" w:cs="Times New Roman"/>
          <w:sz w:val="22"/>
          <w:szCs w:val="22"/>
          <w:u w:val="single"/>
          <w:lang w:val="sr-Latn-RS"/>
        </w:rPr>
      </w:pPr>
      <w:r w:rsidRPr="006921A1">
        <w:rPr>
          <w:rFonts w:ascii="Times New Roman" w:eastAsia="TimesNewRoman" w:hAnsi="Times New Roman" w:cs="Times New Roman"/>
          <w:sz w:val="22"/>
          <w:szCs w:val="22"/>
          <w:lang w:val="sr-Latn-RS"/>
        </w:rPr>
        <w:t>Tablica doziranja kod pacij</w:t>
      </w:r>
      <w:r w:rsidR="00FD786D" w:rsidRPr="006921A1">
        <w:rPr>
          <w:rFonts w:ascii="Times New Roman" w:eastAsia="TimesNewRoman" w:hAnsi="Times New Roman" w:cs="Times New Roman"/>
          <w:sz w:val="22"/>
          <w:szCs w:val="22"/>
          <w:lang w:val="sr-Latn-RS"/>
        </w:rPr>
        <w:t>enata sa teškim oštećenjem funkc</w:t>
      </w:r>
      <w:r w:rsidRPr="006921A1">
        <w:rPr>
          <w:rFonts w:ascii="Times New Roman" w:eastAsia="TimesNewRoman" w:hAnsi="Times New Roman" w:cs="Times New Roman"/>
          <w:sz w:val="22"/>
          <w:szCs w:val="22"/>
          <w:lang w:val="sr-Latn-RS"/>
        </w:rPr>
        <w:t>ije bubrega (klirens kreatinina [15-30] m</w:t>
      </w:r>
      <w:r w:rsidR="001B23A1">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/min):</w:t>
      </w:r>
    </w:p>
    <w:tbl>
      <w:tblPr>
        <w:tblStyle w:val="TableGrid"/>
        <w:tblW w:w="0" w:type="auto"/>
        <w:tblLook w:val="04A0" w:firstRow="1" w:lastRow="0" w:firstColumn="1" w:lastColumn="0" w:noHBand="0" w:noVBand="1"/>
      </w:tblPr>
      <w:tblGrid>
        <w:gridCol w:w="9063"/>
      </w:tblGrid>
      <w:tr w:rsidR="00F257E6" w:rsidRPr="006921A1" w:rsidTr="00F257E6">
        <w:tc>
          <w:tcPr>
            <w:tcW w:w="9063" w:type="dxa"/>
          </w:tcPr>
          <w:tbl>
            <w:tblPr>
              <w:tblW w:w="0" w:type="auto"/>
              <w:tblBorders>
                <w:top w:val="nil"/>
                <w:left w:val="nil"/>
                <w:bottom w:val="nil"/>
                <w:right w:val="nil"/>
              </w:tblBorders>
              <w:tblLook w:val="0000" w:firstRow="0" w:lastRow="0" w:firstColumn="0" w:lastColumn="0" w:noHBand="0" w:noVBand="0"/>
            </w:tblPr>
            <w:tblGrid>
              <w:gridCol w:w="4202"/>
              <w:gridCol w:w="4202"/>
            </w:tblGrid>
            <w:tr w:rsidR="006921A1" w:rsidRPr="006921A1" w:rsidTr="00F257E6">
              <w:trPr>
                <w:trHeight w:val="90"/>
              </w:trPr>
              <w:tc>
                <w:tcPr>
                  <w:tcW w:w="4202" w:type="dxa"/>
                  <w:tcBorders>
                    <w:bottom w:val="single" w:sz="4" w:space="0" w:color="auto"/>
                    <w:right w:val="single" w:sz="4" w:space="0" w:color="auto"/>
                  </w:tcBorders>
                </w:tcPr>
                <w:p w:rsidR="00F257E6" w:rsidRPr="00B508FF" w:rsidRDefault="00F257E6" w:rsidP="00A3008D">
                  <w:pPr>
                    <w:pStyle w:val="Default"/>
                    <w:jc w:val="both"/>
                    <w:rPr>
                      <w:rFonts w:ascii="Times New Roman" w:hAnsi="Times New Roman" w:cs="Times New Roman"/>
                      <w:color w:val="auto"/>
                      <w:sz w:val="22"/>
                      <w:szCs w:val="22"/>
                      <w:u w:val="single"/>
                    </w:rPr>
                  </w:pPr>
                  <w:r w:rsidRPr="00B508FF">
                    <w:rPr>
                      <w:rFonts w:ascii="Times New Roman" w:hAnsi="Times New Roman" w:cs="Times New Roman"/>
                      <w:color w:val="auto"/>
                      <w:sz w:val="22"/>
                      <w:szCs w:val="22"/>
                      <w:u w:val="single"/>
                    </w:rPr>
                    <w:t xml:space="preserve">Indikacija </w:t>
                  </w:r>
                </w:p>
              </w:tc>
              <w:tc>
                <w:tcPr>
                  <w:tcW w:w="4202" w:type="dxa"/>
                  <w:tcBorders>
                    <w:left w:val="single" w:sz="4" w:space="0" w:color="auto"/>
                    <w:bottom w:val="single" w:sz="4" w:space="0" w:color="auto"/>
                  </w:tcBorders>
                </w:tcPr>
                <w:p w:rsidR="00F257E6" w:rsidRPr="00B508FF" w:rsidRDefault="00F257E6" w:rsidP="00A3008D">
                  <w:pPr>
                    <w:pStyle w:val="Default"/>
                    <w:jc w:val="both"/>
                    <w:rPr>
                      <w:rFonts w:ascii="Times New Roman" w:hAnsi="Times New Roman" w:cs="Times New Roman"/>
                      <w:color w:val="auto"/>
                      <w:sz w:val="22"/>
                      <w:szCs w:val="22"/>
                      <w:u w:val="single"/>
                    </w:rPr>
                  </w:pPr>
                  <w:r w:rsidRPr="00B508FF">
                    <w:rPr>
                      <w:rFonts w:ascii="Times New Roman" w:hAnsi="Times New Roman" w:cs="Times New Roman"/>
                      <w:color w:val="auto"/>
                      <w:sz w:val="22"/>
                      <w:szCs w:val="22"/>
                      <w:u w:val="single"/>
                    </w:rPr>
                    <w:t xml:space="preserve">Režim doziranja </w:t>
                  </w:r>
                </w:p>
              </w:tc>
            </w:tr>
            <w:tr w:rsidR="006921A1" w:rsidRPr="006921A1" w:rsidTr="00F257E6">
              <w:trPr>
                <w:trHeight w:val="90"/>
              </w:trPr>
              <w:tc>
                <w:tcPr>
                  <w:tcW w:w="4202" w:type="dxa"/>
                  <w:tcBorders>
                    <w:top w:val="single" w:sz="4" w:space="0" w:color="auto"/>
                    <w:bottom w:val="single" w:sz="4" w:space="0" w:color="auto"/>
                    <w:right w:val="single" w:sz="4" w:space="0" w:color="auto"/>
                  </w:tcBorders>
                </w:tcPr>
                <w:p w:rsidR="00E920F4" w:rsidRPr="006921A1" w:rsidRDefault="00E920F4" w:rsidP="00C54AE4">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 xml:space="preserve">Profilaksa venske tromboembolijske bolesti </w:t>
                  </w:r>
                </w:p>
                <w:p w:rsidR="00C54AE4" w:rsidRPr="006921A1" w:rsidRDefault="00C54AE4" w:rsidP="00C54AE4">
                  <w:pPr>
                    <w:autoSpaceDE w:val="0"/>
                    <w:autoSpaceDN w:val="0"/>
                    <w:adjustRightInd w:val="0"/>
                    <w:spacing w:after="0" w:line="240" w:lineRule="auto"/>
                    <w:rPr>
                      <w:rFonts w:ascii="Times New Roman" w:eastAsia="TimesNewRoman" w:hAnsi="Times New Roman" w:cs="Times New Roman"/>
                    </w:rPr>
                  </w:pPr>
                </w:p>
              </w:tc>
              <w:tc>
                <w:tcPr>
                  <w:tcW w:w="4202" w:type="dxa"/>
                  <w:tcBorders>
                    <w:top w:val="single" w:sz="4" w:space="0" w:color="auto"/>
                    <w:left w:val="single" w:sz="4" w:space="0" w:color="auto"/>
                    <w:bottom w:val="single" w:sz="4" w:space="0" w:color="auto"/>
                  </w:tcBorders>
                </w:tcPr>
                <w:p w:rsidR="00E920F4" w:rsidRPr="006921A1" w:rsidRDefault="00E920F4" w:rsidP="00E920F4">
                  <w:pPr>
                    <w:autoSpaceDE w:val="0"/>
                    <w:autoSpaceDN w:val="0"/>
                    <w:adjustRightInd w:val="0"/>
                    <w:spacing w:after="0" w:line="240" w:lineRule="auto"/>
                    <w:rPr>
                      <w:rFonts w:ascii="Times New Roman" w:eastAsia="TimesNewRoman" w:hAnsi="Times New Roman" w:cs="Times New Roman"/>
                    </w:rPr>
                  </w:pPr>
                  <w:r w:rsidRPr="006921A1">
                    <w:rPr>
                      <w:rFonts w:ascii="Times New Roman" w:eastAsia="TimesNewRoman" w:hAnsi="Times New Roman" w:cs="Times New Roman"/>
                      <w:sz w:val="22"/>
                      <w:szCs w:val="22"/>
                      <w:lang w:val="sr-Latn-RS"/>
                    </w:rPr>
                    <w:t>2000 i.j. (20 mg) supkutano jednom na dan</w:t>
                  </w:r>
                </w:p>
              </w:tc>
            </w:tr>
            <w:tr w:rsidR="006921A1" w:rsidRPr="006921A1" w:rsidTr="00F257E6">
              <w:trPr>
                <w:trHeight w:val="205"/>
              </w:trPr>
              <w:tc>
                <w:tcPr>
                  <w:tcW w:w="4202" w:type="dxa"/>
                  <w:tcBorders>
                    <w:top w:val="single" w:sz="4" w:space="0" w:color="auto"/>
                    <w:bottom w:val="single" w:sz="4" w:space="0" w:color="auto"/>
                    <w:right w:val="single" w:sz="4" w:space="0" w:color="auto"/>
                  </w:tcBorders>
                </w:tcPr>
                <w:p w:rsidR="00E920F4" w:rsidRPr="006921A1" w:rsidRDefault="00E920F4" w:rsidP="00C54AE4">
                  <w:pPr>
                    <w:autoSpaceDE w:val="0"/>
                    <w:autoSpaceDN w:val="0"/>
                    <w:adjustRightInd w:val="0"/>
                    <w:spacing w:after="0" w:line="240" w:lineRule="auto"/>
                    <w:rPr>
                      <w:rFonts w:ascii="Times New Roman" w:eastAsia="TimesNewRoman" w:hAnsi="Times New Roman" w:cs="Times New Roman"/>
                    </w:rPr>
                  </w:pPr>
                  <w:r w:rsidRPr="006921A1">
                    <w:rPr>
                      <w:rFonts w:ascii="Times New Roman" w:eastAsia="TimesNewRoman" w:hAnsi="Times New Roman" w:cs="Times New Roman"/>
                      <w:sz w:val="22"/>
                      <w:szCs w:val="22"/>
                      <w:lang w:val="sr-Latn-RS"/>
                    </w:rPr>
                    <w:t xml:space="preserve">Terapija DVT i PE </w:t>
                  </w:r>
                </w:p>
              </w:tc>
              <w:tc>
                <w:tcPr>
                  <w:tcW w:w="4202" w:type="dxa"/>
                  <w:tcBorders>
                    <w:top w:val="single" w:sz="4" w:space="0" w:color="auto"/>
                    <w:left w:val="single" w:sz="4" w:space="0" w:color="auto"/>
                    <w:bottom w:val="single" w:sz="4" w:space="0" w:color="auto"/>
                  </w:tcBorders>
                </w:tcPr>
                <w:p w:rsidR="00E920F4" w:rsidRPr="006921A1" w:rsidRDefault="00E920F4" w:rsidP="00E920F4">
                  <w:pPr>
                    <w:autoSpaceDE w:val="0"/>
                    <w:autoSpaceDN w:val="0"/>
                    <w:adjustRightInd w:val="0"/>
                    <w:spacing w:after="0" w:line="240" w:lineRule="auto"/>
                    <w:rPr>
                      <w:rFonts w:ascii="Times New Roman" w:eastAsia="TimesNewRoman" w:hAnsi="Times New Roman" w:cs="Times New Roman"/>
                    </w:rPr>
                  </w:pPr>
                  <w:r w:rsidRPr="006921A1">
                    <w:rPr>
                      <w:rFonts w:ascii="Times New Roman" w:eastAsia="TimesNewRoman" w:hAnsi="Times New Roman" w:cs="Times New Roman"/>
                      <w:sz w:val="22"/>
                      <w:szCs w:val="22"/>
                      <w:lang w:val="sr-Latn-RS"/>
                    </w:rPr>
                    <w:t>100 i.j./kg (1 mg/kg) t</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elesne mase s.c. jednom na dan</w:t>
                  </w:r>
                </w:p>
              </w:tc>
            </w:tr>
            <w:tr w:rsidR="006921A1" w:rsidRPr="006921A1" w:rsidTr="00F257E6">
              <w:trPr>
                <w:trHeight w:val="205"/>
              </w:trPr>
              <w:tc>
                <w:tcPr>
                  <w:tcW w:w="4202" w:type="dxa"/>
                  <w:tcBorders>
                    <w:top w:val="single" w:sz="4" w:space="0" w:color="auto"/>
                    <w:bottom w:val="single" w:sz="4" w:space="0" w:color="auto"/>
                    <w:right w:val="single" w:sz="4" w:space="0" w:color="auto"/>
                  </w:tcBorders>
                </w:tcPr>
                <w:p w:rsidR="00D31828" w:rsidRPr="006921A1" w:rsidRDefault="00D31828" w:rsidP="00E920F4">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Produženi tretman DVT i PE kod pacijenata sa aktivnim karcinomom</w:t>
                  </w:r>
                </w:p>
              </w:tc>
              <w:tc>
                <w:tcPr>
                  <w:tcW w:w="4202" w:type="dxa"/>
                  <w:tcBorders>
                    <w:top w:val="single" w:sz="4" w:space="0" w:color="auto"/>
                    <w:left w:val="single" w:sz="4" w:space="0" w:color="auto"/>
                    <w:bottom w:val="single" w:sz="4" w:space="0" w:color="auto"/>
                  </w:tcBorders>
                </w:tcPr>
                <w:p w:rsidR="00D31828" w:rsidRPr="006921A1" w:rsidRDefault="00D31828" w:rsidP="00E920F4">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100 i.j. /kg (1 mg/kg) t</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 xml:space="preserve">elesne težine </w:t>
                  </w:r>
                  <w:r w:rsidR="001B23A1" w:rsidRPr="006921A1">
                    <w:rPr>
                      <w:rFonts w:ascii="Times New Roman" w:eastAsia="TimesNewRoman" w:hAnsi="Times New Roman" w:cs="Times New Roman"/>
                      <w:sz w:val="22"/>
                      <w:szCs w:val="22"/>
                      <w:lang w:val="sr-Latn-RS"/>
                    </w:rPr>
                    <w:t>s</w:t>
                  </w:r>
                  <w:r w:rsidR="001B23A1">
                    <w:rPr>
                      <w:rFonts w:ascii="Times New Roman" w:eastAsia="TimesNewRoman" w:hAnsi="Times New Roman" w:cs="Times New Roman"/>
                      <w:sz w:val="22"/>
                      <w:szCs w:val="22"/>
                      <w:lang w:val="sr-Latn-RS"/>
                    </w:rPr>
                    <w:t>.</w:t>
                  </w:r>
                  <w:r w:rsidR="001B23A1" w:rsidRPr="006921A1">
                    <w:rPr>
                      <w:rFonts w:ascii="Times New Roman" w:eastAsia="TimesNewRoman" w:hAnsi="Times New Roman" w:cs="Times New Roman"/>
                      <w:sz w:val="22"/>
                      <w:szCs w:val="22"/>
                      <w:lang w:val="sr-Latn-RS"/>
                    </w:rPr>
                    <w:t>c</w:t>
                  </w:r>
                  <w:r w:rsidR="001B23A1">
                    <w:rPr>
                      <w:rFonts w:ascii="Times New Roman" w:eastAsia="TimesNewRoman" w:hAnsi="Times New Roman" w:cs="Times New Roman"/>
                      <w:sz w:val="22"/>
                      <w:szCs w:val="22"/>
                      <w:lang w:val="sr-Latn-RS"/>
                    </w:rPr>
                    <w:t>.</w:t>
                  </w:r>
                  <w:r w:rsidRPr="006921A1">
                    <w:rPr>
                      <w:rFonts w:ascii="Times New Roman" w:eastAsia="TimesNewRoman" w:hAnsi="Times New Roman" w:cs="Times New Roman"/>
                      <w:sz w:val="22"/>
                      <w:szCs w:val="22"/>
                      <w:lang w:val="sr-Latn-RS"/>
                    </w:rPr>
                    <w:t xml:space="preserve"> jednom dnevno</w:t>
                  </w:r>
                </w:p>
              </w:tc>
            </w:tr>
            <w:tr w:rsidR="006921A1" w:rsidRPr="006921A1" w:rsidTr="00F257E6">
              <w:trPr>
                <w:trHeight w:val="205"/>
              </w:trPr>
              <w:tc>
                <w:tcPr>
                  <w:tcW w:w="4202" w:type="dxa"/>
                  <w:tcBorders>
                    <w:top w:val="single" w:sz="4" w:space="0" w:color="auto"/>
                    <w:bottom w:val="single" w:sz="4" w:space="0" w:color="auto"/>
                    <w:right w:val="single" w:sz="4" w:space="0" w:color="auto"/>
                  </w:tcBorders>
                </w:tcPr>
                <w:p w:rsidR="00E920F4" w:rsidRPr="006921A1" w:rsidRDefault="00E920F4" w:rsidP="00C54AE4">
                  <w:pPr>
                    <w:autoSpaceDE w:val="0"/>
                    <w:autoSpaceDN w:val="0"/>
                    <w:adjustRightInd w:val="0"/>
                    <w:spacing w:after="0" w:line="240" w:lineRule="auto"/>
                    <w:rPr>
                      <w:rFonts w:ascii="Times New Roman" w:eastAsia="TimesNewRoman" w:hAnsi="Times New Roman" w:cs="Times New Roman"/>
                    </w:rPr>
                  </w:pPr>
                  <w:r w:rsidRPr="006921A1">
                    <w:rPr>
                      <w:rFonts w:ascii="Times New Roman" w:eastAsia="TimesNewRoman" w:hAnsi="Times New Roman" w:cs="Times New Roman"/>
                      <w:sz w:val="22"/>
                      <w:szCs w:val="22"/>
                      <w:lang w:val="sr-Latn-RS"/>
                    </w:rPr>
                    <w:t xml:space="preserve">Terapija nestabilne angine i NSTEMI </w:t>
                  </w:r>
                </w:p>
              </w:tc>
              <w:tc>
                <w:tcPr>
                  <w:tcW w:w="4202" w:type="dxa"/>
                  <w:tcBorders>
                    <w:top w:val="single" w:sz="4" w:space="0" w:color="auto"/>
                    <w:left w:val="single" w:sz="4" w:space="0" w:color="auto"/>
                    <w:bottom w:val="single" w:sz="4" w:space="0" w:color="auto"/>
                  </w:tcBorders>
                </w:tcPr>
                <w:p w:rsidR="00E920F4" w:rsidRPr="006921A1" w:rsidRDefault="00E920F4" w:rsidP="00E920F4">
                  <w:pPr>
                    <w:autoSpaceDE w:val="0"/>
                    <w:autoSpaceDN w:val="0"/>
                    <w:adjustRightInd w:val="0"/>
                    <w:spacing w:after="0" w:line="240" w:lineRule="auto"/>
                    <w:rPr>
                      <w:rFonts w:ascii="Times New Roman" w:eastAsia="TimesNewRoman" w:hAnsi="Times New Roman" w:cs="Times New Roman"/>
                    </w:rPr>
                  </w:pPr>
                  <w:r w:rsidRPr="006921A1">
                    <w:rPr>
                      <w:rFonts w:ascii="Times New Roman" w:eastAsia="TimesNewRoman" w:hAnsi="Times New Roman" w:cs="Times New Roman"/>
                      <w:sz w:val="22"/>
                      <w:szCs w:val="22"/>
                      <w:lang w:val="sr-Latn-RS"/>
                    </w:rPr>
                    <w:t>100 i.j./kg (1 mg/kg) t</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elesne mase s.c. jednom na dan</w:t>
                  </w:r>
                </w:p>
              </w:tc>
            </w:tr>
            <w:tr w:rsidR="006921A1" w:rsidRPr="006921A1" w:rsidTr="00F257E6">
              <w:trPr>
                <w:trHeight w:val="780"/>
              </w:trPr>
              <w:tc>
                <w:tcPr>
                  <w:tcW w:w="4202" w:type="dxa"/>
                  <w:tcBorders>
                    <w:top w:val="single" w:sz="4" w:space="0" w:color="auto"/>
                    <w:right w:val="single" w:sz="4" w:space="0" w:color="auto"/>
                  </w:tcBorders>
                </w:tcPr>
                <w:p w:rsidR="00E920F4" w:rsidRPr="006921A1" w:rsidRDefault="00E920F4" w:rsidP="00E920F4">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Terapija akutnog STEMI (pacijenti ispod 75)</w:t>
                  </w:r>
                </w:p>
                <w:p w:rsidR="00855146" w:rsidRPr="006921A1" w:rsidRDefault="00855146" w:rsidP="00E920F4">
                  <w:pPr>
                    <w:autoSpaceDE w:val="0"/>
                    <w:autoSpaceDN w:val="0"/>
                    <w:adjustRightInd w:val="0"/>
                    <w:spacing w:after="0" w:line="240" w:lineRule="auto"/>
                    <w:rPr>
                      <w:rFonts w:ascii="Times New Roman" w:eastAsia="TimesNewRoman" w:hAnsi="Times New Roman" w:cs="Times New Roman"/>
                      <w:sz w:val="22"/>
                      <w:szCs w:val="22"/>
                      <w:lang w:val="sr-Latn-RS"/>
                    </w:rPr>
                  </w:pPr>
                </w:p>
                <w:p w:rsidR="00855146" w:rsidRPr="006921A1" w:rsidRDefault="00855146" w:rsidP="00E920F4">
                  <w:pPr>
                    <w:autoSpaceDE w:val="0"/>
                    <w:autoSpaceDN w:val="0"/>
                    <w:adjustRightInd w:val="0"/>
                    <w:spacing w:after="0" w:line="240" w:lineRule="auto"/>
                    <w:rPr>
                      <w:rFonts w:ascii="Times New Roman" w:eastAsia="TimesNewRoman" w:hAnsi="Times New Roman" w:cs="Times New Roman"/>
                      <w:sz w:val="22"/>
                      <w:szCs w:val="22"/>
                      <w:lang w:val="sr-Latn-RS"/>
                    </w:rPr>
                  </w:pPr>
                </w:p>
                <w:p w:rsidR="00855146" w:rsidRPr="006921A1" w:rsidRDefault="00855146" w:rsidP="00E920F4">
                  <w:pPr>
                    <w:autoSpaceDE w:val="0"/>
                    <w:autoSpaceDN w:val="0"/>
                    <w:adjustRightInd w:val="0"/>
                    <w:spacing w:after="0" w:line="240" w:lineRule="auto"/>
                    <w:rPr>
                      <w:rFonts w:ascii="Times New Roman" w:eastAsia="TimesNewRoman" w:hAnsi="Times New Roman" w:cs="Times New Roman"/>
                      <w:sz w:val="22"/>
                      <w:szCs w:val="22"/>
                      <w:lang w:val="sr-Latn-RS"/>
                    </w:rPr>
                  </w:pPr>
                </w:p>
                <w:p w:rsidR="00855146" w:rsidRPr="006921A1" w:rsidRDefault="00855146" w:rsidP="00E920F4">
                  <w:pPr>
                    <w:autoSpaceDE w:val="0"/>
                    <w:autoSpaceDN w:val="0"/>
                    <w:adjustRightInd w:val="0"/>
                    <w:spacing w:after="0" w:line="240" w:lineRule="auto"/>
                    <w:rPr>
                      <w:rFonts w:ascii="Times New Roman" w:eastAsia="TimesNewRoman" w:hAnsi="Times New Roman" w:cs="Times New Roman"/>
                      <w:sz w:val="22"/>
                      <w:szCs w:val="22"/>
                      <w:lang w:val="sr-Latn-RS"/>
                    </w:rPr>
                  </w:pPr>
                </w:p>
                <w:p w:rsidR="00855146" w:rsidRPr="006921A1" w:rsidRDefault="00855146" w:rsidP="00E920F4">
                  <w:pPr>
                    <w:autoSpaceDE w:val="0"/>
                    <w:autoSpaceDN w:val="0"/>
                    <w:adjustRightInd w:val="0"/>
                    <w:spacing w:after="0" w:line="240" w:lineRule="auto"/>
                    <w:rPr>
                      <w:rFonts w:ascii="Times New Roman" w:eastAsia="TimesNewRoman" w:hAnsi="Times New Roman" w:cs="Times New Roman"/>
                    </w:rPr>
                  </w:pPr>
                  <w:r w:rsidRPr="006921A1">
                    <w:rPr>
                      <w:rFonts w:ascii="Times New Roman" w:eastAsia="TimesNewRoman" w:hAnsi="Times New Roman" w:cs="Times New Roman"/>
                      <w:sz w:val="22"/>
                      <w:szCs w:val="22"/>
                      <w:lang w:val="sr-Latn-RS"/>
                    </w:rPr>
                    <w:t>Terapija akutnog STEMI</w:t>
                  </w:r>
                  <w:r w:rsidR="0026754D" w:rsidRPr="006921A1">
                    <w:rPr>
                      <w:rFonts w:ascii="Times New Roman" w:eastAsia="TimesNewRoman" w:hAnsi="Times New Roman" w:cs="Times New Roman"/>
                      <w:sz w:val="22"/>
                      <w:szCs w:val="22"/>
                      <w:lang w:val="sr-Latn-RS"/>
                    </w:rPr>
                    <w:t xml:space="preserve"> (pacijenti stariji od 75 godina)</w:t>
                  </w:r>
                </w:p>
              </w:tc>
              <w:tc>
                <w:tcPr>
                  <w:tcW w:w="4202" w:type="dxa"/>
                  <w:tcBorders>
                    <w:top w:val="single" w:sz="4" w:space="0" w:color="auto"/>
                    <w:left w:val="single" w:sz="4" w:space="0" w:color="auto"/>
                  </w:tcBorders>
                </w:tcPr>
                <w:p w:rsidR="00E920F4" w:rsidRPr="006921A1" w:rsidRDefault="0026754D" w:rsidP="00E920F4">
                  <w:pPr>
                    <w:autoSpaceDE w:val="0"/>
                    <w:autoSpaceDN w:val="0"/>
                    <w:adjustRightInd w:val="0"/>
                    <w:spacing w:after="0" w:line="240" w:lineRule="auto"/>
                    <w:rPr>
                      <w:rFonts w:ascii="Times New Roman" w:hAnsi="Times New Roman" w:cs="Times New Roman"/>
                      <w:sz w:val="22"/>
                      <w:szCs w:val="22"/>
                    </w:rPr>
                  </w:pPr>
                  <w:r w:rsidRPr="006921A1">
                    <w:rPr>
                      <w:rFonts w:ascii="Times New Roman" w:hAnsi="Times New Roman" w:cs="Times New Roman"/>
                      <w:sz w:val="22"/>
                      <w:szCs w:val="22"/>
                    </w:rPr>
                    <w:t>1 x 3000 i.j.</w:t>
                  </w:r>
                  <w:r w:rsidR="00855146" w:rsidRPr="006921A1">
                    <w:rPr>
                      <w:rFonts w:ascii="Times New Roman" w:hAnsi="Times New Roman" w:cs="Times New Roman"/>
                      <w:sz w:val="22"/>
                      <w:szCs w:val="22"/>
                    </w:rPr>
                    <w:t xml:space="preserve"> (30 mg) i.v. bolusom plus 100 IU/kg (1 mg/kg) tjel</w:t>
                  </w:r>
                  <w:r w:rsidRPr="006921A1">
                    <w:rPr>
                      <w:rFonts w:ascii="Times New Roman" w:hAnsi="Times New Roman" w:cs="Times New Roman"/>
                      <w:sz w:val="22"/>
                      <w:szCs w:val="22"/>
                    </w:rPr>
                    <w:t>esne težine s.c., a zatim 100 i.j.</w:t>
                  </w:r>
                  <w:r w:rsidR="00855146" w:rsidRPr="006921A1">
                    <w:rPr>
                      <w:rFonts w:ascii="Times New Roman" w:hAnsi="Times New Roman" w:cs="Times New Roman"/>
                      <w:sz w:val="22"/>
                      <w:szCs w:val="22"/>
                    </w:rPr>
                    <w:t>/kg (1 mg/kg) tjelesne težine s.c. svaka 24 sata</w:t>
                  </w:r>
                </w:p>
                <w:p w:rsidR="0026754D" w:rsidRPr="006921A1" w:rsidRDefault="0026754D" w:rsidP="00E920F4">
                  <w:pPr>
                    <w:autoSpaceDE w:val="0"/>
                    <w:autoSpaceDN w:val="0"/>
                    <w:adjustRightInd w:val="0"/>
                    <w:spacing w:after="0" w:line="240" w:lineRule="auto"/>
                    <w:rPr>
                      <w:rFonts w:ascii="Times New Roman" w:hAnsi="Times New Roman" w:cs="Times New Roman"/>
                      <w:sz w:val="22"/>
                      <w:szCs w:val="22"/>
                    </w:rPr>
                  </w:pPr>
                </w:p>
                <w:p w:rsidR="0026754D" w:rsidRPr="006921A1" w:rsidRDefault="0026754D" w:rsidP="00E920F4">
                  <w:pPr>
                    <w:autoSpaceDE w:val="0"/>
                    <w:autoSpaceDN w:val="0"/>
                    <w:adjustRightInd w:val="0"/>
                    <w:spacing w:after="0" w:line="240" w:lineRule="auto"/>
                    <w:rPr>
                      <w:rFonts w:ascii="Times New Roman" w:eastAsia="TimesNewRoman" w:hAnsi="Times New Roman" w:cs="Times New Roman"/>
                      <w:sz w:val="22"/>
                      <w:szCs w:val="22"/>
                    </w:rPr>
                  </w:pPr>
                  <w:r w:rsidRPr="006921A1">
                    <w:rPr>
                      <w:rFonts w:ascii="Times New Roman" w:hAnsi="Times New Roman" w:cs="Times New Roman"/>
                      <w:sz w:val="22"/>
                      <w:szCs w:val="22"/>
                    </w:rPr>
                    <w:t>Bez početne i.v. bolusne doze, 100 i.j./kg (1 mg/kg) tjelesne težine s.c., a zatim 100 i.j./kg (1 mg/kg) tjelesne težine s.c. svaka 24 sata</w:t>
                  </w:r>
                </w:p>
              </w:tc>
            </w:tr>
          </w:tbl>
          <w:p w:rsidR="00F257E6" w:rsidRPr="006921A1" w:rsidRDefault="00F257E6" w:rsidP="00A3008D">
            <w:pPr>
              <w:autoSpaceDE w:val="0"/>
              <w:autoSpaceDN w:val="0"/>
              <w:adjustRightInd w:val="0"/>
              <w:jc w:val="both"/>
              <w:rPr>
                <w:rFonts w:ascii="Times New Roman" w:hAnsi="Times New Roman" w:cs="Times New Roman"/>
                <w:sz w:val="22"/>
                <w:szCs w:val="22"/>
                <w:lang w:val="sr-Latn-RS"/>
              </w:rPr>
            </w:pPr>
          </w:p>
        </w:tc>
      </w:tr>
    </w:tbl>
    <w:p w:rsidR="00E8746A" w:rsidRPr="006921A1" w:rsidRDefault="00E8746A" w:rsidP="00F257E6">
      <w:pPr>
        <w:autoSpaceDE w:val="0"/>
        <w:autoSpaceDN w:val="0"/>
        <w:adjustRightInd w:val="0"/>
        <w:rPr>
          <w:rFonts w:ascii="Times New Roman" w:hAnsi="Times New Roman" w:cs="Times New Roman"/>
          <w:sz w:val="22"/>
          <w:szCs w:val="22"/>
          <w:lang w:val="sr-Latn-RS"/>
        </w:rPr>
      </w:pPr>
    </w:p>
    <w:p w:rsidR="00E920F4" w:rsidRPr="006921A1" w:rsidRDefault="00E920F4"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Preporučena prilagođavanja doze ne odnose se na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enu kod hemodijalize.</w:t>
      </w:r>
    </w:p>
    <w:p w:rsidR="001B23A1" w:rsidRDefault="00C54AE4"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br/>
      </w:r>
      <w:r w:rsidR="00E920F4" w:rsidRPr="006921A1">
        <w:rPr>
          <w:rFonts w:ascii="Times New Roman" w:eastAsia="TimesNewRoman" w:hAnsi="Times New Roman" w:cs="Times New Roman"/>
          <w:i/>
          <w:sz w:val="22"/>
          <w:szCs w:val="22"/>
          <w:lang w:val="sr-Latn-RS"/>
        </w:rPr>
        <w:t>Um</w:t>
      </w:r>
      <w:r w:rsidR="00FD786D" w:rsidRPr="006921A1">
        <w:rPr>
          <w:rFonts w:ascii="Times New Roman" w:eastAsia="TimesNewRoman" w:hAnsi="Times New Roman" w:cs="Times New Roman"/>
          <w:i/>
          <w:sz w:val="22"/>
          <w:szCs w:val="22"/>
          <w:lang w:val="sr-Latn-RS"/>
        </w:rPr>
        <w:t>j</w:t>
      </w:r>
      <w:r w:rsidRPr="006921A1">
        <w:rPr>
          <w:rFonts w:ascii="Times New Roman" w:eastAsia="TimesNewRoman" w:hAnsi="Times New Roman" w:cs="Times New Roman"/>
          <w:i/>
          <w:sz w:val="22"/>
          <w:szCs w:val="22"/>
          <w:lang w:val="sr-Latn-RS"/>
        </w:rPr>
        <w:t>ereno i blago oštećenje fun</w:t>
      </w:r>
      <w:r w:rsidR="00E920F4" w:rsidRPr="006921A1">
        <w:rPr>
          <w:rFonts w:ascii="Times New Roman" w:eastAsia="TimesNewRoman" w:hAnsi="Times New Roman" w:cs="Times New Roman"/>
          <w:i/>
          <w:sz w:val="22"/>
          <w:szCs w:val="22"/>
          <w:lang w:val="sr-Latn-RS"/>
        </w:rPr>
        <w:t>k</w:t>
      </w:r>
      <w:r w:rsidRPr="006921A1">
        <w:rPr>
          <w:rFonts w:ascii="Times New Roman" w:eastAsia="TimesNewRoman" w:hAnsi="Times New Roman" w:cs="Times New Roman"/>
          <w:i/>
          <w:sz w:val="22"/>
          <w:szCs w:val="22"/>
          <w:lang w:val="sr-Latn-RS"/>
        </w:rPr>
        <w:t>c</w:t>
      </w:r>
      <w:r w:rsidR="00E920F4" w:rsidRPr="006921A1">
        <w:rPr>
          <w:rFonts w:ascii="Times New Roman" w:eastAsia="TimesNewRoman" w:hAnsi="Times New Roman" w:cs="Times New Roman"/>
          <w:i/>
          <w:sz w:val="22"/>
          <w:szCs w:val="22"/>
          <w:lang w:val="sr-Latn-RS"/>
        </w:rPr>
        <w:t>ije bubrega</w:t>
      </w:r>
      <w:r w:rsidR="00E920F4" w:rsidRPr="006921A1">
        <w:rPr>
          <w:rFonts w:ascii="Times New Roman" w:eastAsia="TimesNewRoman" w:hAnsi="Times New Roman" w:cs="Times New Roman"/>
          <w:sz w:val="22"/>
          <w:szCs w:val="22"/>
          <w:lang w:val="sr-Latn-RS"/>
        </w:rPr>
        <w:t xml:space="preserve"> </w:t>
      </w:r>
      <w:r w:rsidR="001B23A1">
        <w:rPr>
          <w:rFonts w:ascii="Times New Roman" w:eastAsia="TimesNewRoman" w:hAnsi="Times New Roman" w:cs="Times New Roman"/>
          <w:sz w:val="22"/>
          <w:szCs w:val="22"/>
          <w:lang w:val="sr-Latn-RS"/>
        </w:rPr>
        <w:t xml:space="preserve"> </w:t>
      </w:r>
    </w:p>
    <w:p w:rsidR="00E920F4" w:rsidRPr="006921A1" w:rsidRDefault="00E920F4"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Iako se ne preporučuje prilagođavanje doze kod pacijenata sa um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erenim (klirens kreatinina 30-50 m</w:t>
      </w:r>
      <w:r w:rsidR="001B23A1">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/min) iblagim (klirens kreatinina 50-80 m</w:t>
      </w:r>
      <w:r w:rsidR="001B23A1">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/min) oštećenjem funkcije bubrega, sav</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etuje se pažljivo kliničko praćenje.</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6921A1">
        <w:rPr>
          <w:rFonts w:ascii="Times New Roman" w:eastAsia="TimesNewRoman" w:hAnsi="Times New Roman" w:cs="Times New Roman"/>
          <w:sz w:val="22"/>
          <w:szCs w:val="22"/>
          <w:u w:val="single"/>
          <w:lang w:val="sr-Latn-RS"/>
        </w:rPr>
        <w:t>Način prim</w:t>
      </w:r>
      <w:r w:rsidR="00FD786D" w:rsidRPr="006921A1">
        <w:rPr>
          <w:rFonts w:ascii="Times New Roman" w:eastAsia="TimesNewRoman" w:hAnsi="Times New Roman" w:cs="Times New Roman"/>
          <w:sz w:val="22"/>
          <w:szCs w:val="22"/>
          <w:u w:val="single"/>
          <w:lang w:val="sr-Latn-RS"/>
        </w:rPr>
        <w:t>j</w:t>
      </w:r>
      <w:r w:rsidRPr="006921A1">
        <w:rPr>
          <w:rFonts w:ascii="Times New Roman" w:eastAsia="TimesNewRoman" w:hAnsi="Times New Roman" w:cs="Times New Roman"/>
          <w:sz w:val="22"/>
          <w:szCs w:val="22"/>
          <w:u w:val="single"/>
          <w:lang w:val="sr-Latn-RS"/>
        </w:rPr>
        <w:t>ene</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 Inhixa se ne sm</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enjivati intramuskularnim putem.</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 xml:space="preserve">Za profilaksu venske tromboembolijske bolesti nakon operacije, terapiju DVT i PE, </w:t>
      </w:r>
      <w:r w:rsidR="00D31828" w:rsidRPr="006921A1">
        <w:rPr>
          <w:rFonts w:ascii="Times New Roman" w:eastAsia="TimesNewRoman" w:hAnsi="Times New Roman" w:cs="Times New Roman"/>
          <w:sz w:val="22"/>
          <w:szCs w:val="22"/>
          <w:lang w:val="sr-Latn-RS"/>
        </w:rPr>
        <w:t>produženo l</w:t>
      </w:r>
      <w:r w:rsidR="00FD786D" w:rsidRPr="006921A1">
        <w:rPr>
          <w:rFonts w:ascii="Times New Roman" w:eastAsia="TimesNewRoman" w:hAnsi="Times New Roman" w:cs="Times New Roman"/>
          <w:sz w:val="22"/>
          <w:szCs w:val="22"/>
          <w:lang w:val="sr-Latn-RS"/>
        </w:rPr>
        <w:t>ij</w:t>
      </w:r>
      <w:r w:rsidR="00D31828" w:rsidRPr="006921A1">
        <w:rPr>
          <w:rFonts w:ascii="Times New Roman" w:eastAsia="TimesNewRoman" w:hAnsi="Times New Roman" w:cs="Times New Roman"/>
          <w:sz w:val="22"/>
          <w:szCs w:val="22"/>
          <w:lang w:val="sr-Latn-RS"/>
        </w:rPr>
        <w:t xml:space="preserve">ečenje DVT i PE kod pacijenata sa aktivnim karcinomom, </w:t>
      </w:r>
      <w:r w:rsidRPr="006921A1">
        <w:rPr>
          <w:rFonts w:ascii="Times New Roman" w:eastAsia="TimesNewRoman" w:hAnsi="Times New Roman" w:cs="Times New Roman"/>
          <w:sz w:val="22"/>
          <w:szCs w:val="22"/>
          <w:lang w:val="sr-Latn-RS"/>
        </w:rPr>
        <w:t>terapiju nestabilne</w:t>
      </w:r>
      <w:r w:rsidR="00D31828"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angine i NSTEMI, enoksaparin</w:t>
      </w:r>
      <w:r w:rsidR="001B23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treba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enjivati supkutanom injekcijom.</w:t>
      </w:r>
    </w:p>
    <w:p w:rsidR="001B23A1"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Kod akutnog STEMI, terapiju treba započeti jednokratnom intravenskom bolus injekcijom, nakon koje se odmah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enjuje supkutana injekcija.</w:t>
      </w:r>
      <w:r w:rsidR="001B23A1">
        <w:rPr>
          <w:rFonts w:ascii="Times New Roman" w:eastAsia="TimesNewRoman" w:hAnsi="Times New Roman" w:cs="Times New Roman"/>
          <w:sz w:val="22"/>
          <w:szCs w:val="22"/>
          <w:lang w:val="sr-Latn-RS"/>
        </w:rPr>
        <w:t xml:space="preserve"> </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Kod prevencije formiranja ugruška u ekstrakorporalnoj cirkulaciji tokom hemodijaze, enoksaparin</w:t>
      </w:r>
      <w:r w:rsidR="0008248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se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enjuje kroz arterijsku liniju sistema za dijalizu.</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lastRenderedPageBreak/>
        <w:t>Napunjeni injekcioni špric za jednokratnu upotrebu je spreman za neposrednu upotrebu.</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082481" w:rsidRDefault="00E920F4" w:rsidP="00B508FF">
      <w:pPr>
        <w:autoSpaceDE w:val="0"/>
        <w:autoSpaceDN w:val="0"/>
        <w:adjustRightInd w:val="0"/>
        <w:spacing w:after="0" w:line="240" w:lineRule="auto"/>
        <w:jc w:val="both"/>
        <w:rPr>
          <w:rFonts w:ascii="Times New Roman" w:eastAsia="TimesNewRoman" w:hAnsi="Times New Roman" w:cs="Times New Roman"/>
          <w:i/>
          <w:sz w:val="22"/>
          <w:szCs w:val="22"/>
          <w:u w:val="single"/>
          <w:lang w:val="sr-Latn-RS"/>
        </w:rPr>
      </w:pPr>
      <w:r w:rsidRPr="006921A1">
        <w:rPr>
          <w:rFonts w:ascii="Times New Roman" w:eastAsia="TimesNewRoman" w:hAnsi="Times New Roman" w:cs="Times New Roman"/>
          <w:sz w:val="22"/>
          <w:szCs w:val="22"/>
          <w:lang w:val="sr-Latn-RS"/>
        </w:rPr>
        <w:t>Kada se koriste ampule ili višedozne bočice, preporučuje se upotreba tuberkulinskog šprica ili njegovog</w:t>
      </w:r>
      <w:r w:rsidR="0026754D"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ekvivalenta, kako bi se osiguralo izvlačenje odgovarajućeg volumena 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eka.</w:t>
      </w:r>
      <w:r w:rsidR="00082481">
        <w:rPr>
          <w:rFonts w:ascii="Times New Roman" w:eastAsia="TimesNewRoman" w:hAnsi="Times New Roman" w:cs="Times New Roman"/>
          <w:i/>
          <w:sz w:val="22"/>
          <w:szCs w:val="22"/>
          <w:u w:val="single"/>
          <w:lang w:val="sr-Latn-RS"/>
        </w:rPr>
        <w:t xml:space="preserve"> </w:t>
      </w:r>
    </w:p>
    <w:p w:rsidR="00E920F4" w:rsidRPr="006921A1" w:rsidRDefault="00E920F4" w:rsidP="00B508FF">
      <w:pPr>
        <w:autoSpaceDE w:val="0"/>
        <w:autoSpaceDN w:val="0"/>
        <w:adjustRightInd w:val="0"/>
        <w:spacing w:after="0" w:line="240" w:lineRule="auto"/>
        <w:jc w:val="both"/>
        <w:rPr>
          <w:rFonts w:ascii="Times New Roman" w:eastAsia="TimesNewRoman" w:hAnsi="Times New Roman" w:cs="Times New Roman"/>
          <w:i/>
          <w:sz w:val="22"/>
          <w:szCs w:val="22"/>
          <w:lang w:val="sr-Latn-RS"/>
        </w:rPr>
      </w:pPr>
      <w:r w:rsidRPr="006921A1">
        <w:rPr>
          <w:rFonts w:ascii="Times New Roman" w:eastAsia="TimesNewRoman" w:hAnsi="Times New Roman" w:cs="Times New Roman"/>
          <w:i/>
          <w:sz w:val="22"/>
          <w:szCs w:val="22"/>
          <w:u w:val="single"/>
          <w:lang w:val="sr-Latn-RS"/>
        </w:rPr>
        <w:t>Metoda supkutane injekcije:</w:t>
      </w:r>
    </w:p>
    <w:p w:rsidR="00E920F4" w:rsidRPr="006921A1" w:rsidRDefault="00E920F4"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Poželjno je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eniti injekciju dok je pacijent u ležećem položaju. Enoksaparin</w:t>
      </w:r>
      <w:r w:rsidR="0008248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se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enjuje</w:t>
      </w:r>
      <w:r w:rsidR="0026754D"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dubokom supkutanom injekcijom.</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Kako ne bi došlo do gubitka 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eka kod upotrebe napunjenih injekcionih špriceva, nemojte izbacivati vazduh iz šprica pr</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davanja injekcije. Kada količinu 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eka koja će se inicirati morate prilagoditi prema t</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elesnoj masi pacijenta, upotrebite gradui</w:t>
      </w:r>
      <w:r w:rsidR="00082481">
        <w:rPr>
          <w:rFonts w:ascii="Times New Roman" w:eastAsia="TimesNewRoman" w:hAnsi="Times New Roman" w:cs="Times New Roman"/>
          <w:sz w:val="22"/>
          <w:szCs w:val="22"/>
          <w:lang w:val="sr-Latn-RS"/>
        </w:rPr>
        <w:t>sani</w:t>
      </w:r>
      <w:r w:rsidRPr="006921A1">
        <w:rPr>
          <w:rFonts w:ascii="Times New Roman" w:eastAsia="TimesNewRoman" w:hAnsi="Times New Roman" w:cs="Times New Roman"/>
          <w:sz w:val="22"/>
          <w:szCs w:val="22"/>
          <w:lang w:val="sr-Latn-RS"/>
        </w:rPr>
        <w:t xml:space="preserve"> napunjeni injekcioni špric i prilagodite volumen izbacivanjem viška pr</w:t>
      </w:r>
      <w:r w:rsidR="0008248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injekcije. Imajte na umu da u nekim slučajevima zbog oznaka na špricu neće biti moguće prilagoditi volumen na tačnu dozu, pa ga u tom slučaju treba zaokružiti na sl</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edeću najbližu oznaku.</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 treba prim</w:t>
      </w:r>
      <w:r w:rsidR="003F7788"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enjivati naizmenično u 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evi i desni anterolateralni ili posterolateral</w:t>
      </w:r>
      <w:r w:rsidR="00FD786D" w:rsidRPr="006921A1">
        <w:rPr>
          <w:rFonts w:ascii="Times New Roman" w:eastAsia="TimesNewRoman" w:hAnsi="Times New Roman" w:cs="Times New Roman"/>
          <w:sz w:val="22"/>
          <w:szCs w:val="22"/>
          <w:lang w:val="sr-Latn-RS"/>
        </w:rPr>
        <w:t>ni di</w:t>
      </w:r>
      <w:r w:rsidRPr="006921A1">
        <w:rPr>
          <w:rFonts w:ascii="Times New Roman" w:eastAsia="TimesNewRoman" w:hAnsi="Times New Roman" w:cs="Times New Roman"/>
          <w:sz w:val="22"/>
          <w:szCs w:val="22"/>
          <w:lang w:val="sr-Latn-RS"/>
        </w:rPr>
        <w:t>o zida abdomena.</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Iglu treba uvesti c</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elom dužinom, vertikalno u nabor kože koji se n</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ežno drži između palca i kažiprsta. Nabor kože ne treba otpustiti sve dok se ne završi davanje injekcije. Ne trljajte 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esto gde je data injekcija nakon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ene.</w:t>
      </w:r>
    </w:p>
    <w:p w:rsidR="004B29DA" w:rsidRPr="006921A1"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Napomena za napunjene injekcione špriceve opremljene automatskim bezb</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edonosnim sistemom:</w:t>
      </w:r>
      <w:r w:rsidR="0008248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Bezb</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edonosni sistem aktivira se na kraju injekcije (vid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eti upustvo u od</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eljku 6.6).</w:t>
      </w:r>
    </w:p>
    <w:p w:rsidR="004B29DA" w:rsidRPr="006921A1"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U slučaju da pacijent samostalno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enjuje l</w:t>
      </w:r>
      <w:r w:rsidR="003F7788"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 treba ga posav</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etovati da prati upustva iz Uputstva za 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koje se nalazi u pakovanju 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eka.</w:t>
      </w:r>
    </w:p>
    <w:p w:rsidR="004B29DA" w:rsidRPr="006921A1"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i/>
          <w:sz w:val="22"/>
          <w:szCs w:val="22"/>
          <w:lang w:val="sr-Latn-RS"/>
        </w:rPr>
      </w:pPr>
      <w:r w:rsidRPr="006921A1">
        <w:rPr>
          <w:rFonts w:ascii="Times New Roman" w:eastAsia="TimesNewRoman" w:hAnsi="Times New Roman" w:cs="Times New Roman"/>
          <w:i/>
          <w:sz w:val="22"/>
          <w:szCs w:val="22"/>
          <w:u w:val="single"/>
          <w:lang w:val="sr-Latn-RS"/>
        </w:rPr>
        <w:t>Intravenska (bolus) injekcija (samo za akutni STEMI):</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Kod akutnog STEMI, terapiju treba započeti sa jednokratnom intravenskom bolus injekcijom, nakon koje se</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odmah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enjuje supkutana injekcija.</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Za intravensku injekciju se može upotrebiti višedozna bočica ili napunjeni injekcioni špric.</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Enoksaparin</w:t>
      </w:r>
      <w:r w:rsidR="0008248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treba prim</w:t>
      </w:r>
      <w:r w:rsidR="003F7788" w:rsidRPr="006921A1">
        <w:rPr>
          <w:rFonts w:ascii="Times New Roman" w:eastAsia="TimesNewRoman" w:hAnsi="Times New Roman" w:cs="Times New Roman"/>
          <w:sz w:val="22"/>
          <w:szCs w:val="22"/>
          <w:lang w:val="sr-Latn-RS"/>
        </w:rPr>
        <w:t>i</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eniti kroz intravensku liniju. Ne treba ga m</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ešati niti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enjivati</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istovremeno sa drugim l</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ekovima. Da bi se izb</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eglo potencijalno m</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ešanje enoksaparin</w:t>
      </w:r>
      <w:r w:rsidR="0008248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sa drugim</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l</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ekovima, odabrani intravenski pristup treba isprati sa dovoljnom količinom fiziološkog rastvora ili rastvora</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dekstroze pr</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i nakon prim</w:t>
      </w:r>
      <w:r w:rsidR="003F7788"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ene intravenskog bolusa enoksaparin</w:t>
      </w:r>
      <w:r w:rsidR="0008248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kako bi se uklonili tragovi l</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ekova</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s otvora intravenske linije (porta). Enoksaparin</w:t>
      </w:r>
      <w:r w:rsidR="0008248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se može bezb</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edno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enjivati sa normalnim</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fiziološkim rastvorom (0,9 %) ili 5%</w:t>
      </w:r>
      <w:r w:rsidR="00082481">
        <w:rPr>
          <w:rFonts w:ascii="Times New Roman" w:eastAsia="TimesNewRoman" w:hAnsi="Times New Roman" w:cs="Times New Roman"/>
          <w:sz w:val="22"/>
          <w:szCs w:val="22"/>
          <w:lang w:val="sr-Latn-RS"/>
        </w:rPr>
        <w:t xml:space="preserve"> vodenim</w:t>
      </w:r>
      <w:r w:rsidRPr="006921A1">
        <w:rPr>
          <w:rFonts w:ascii="Times New Roman" w:eastAsia="TimesNewRoman" w:hAnsi="Times New Roman" w:cs="Times New Roman"/>
          <w:sz w:val="22"/>
          <w:szCs w:val="22"/>
          <w:lang w:val="sr-Latn-RS"/>
        </w:rPr>
        <w:t xml:space="preserve"> rastvorom </w:t>
      </w:r>
      <w:r w:rsidR="00082481">
        <w:rPr>
          <w:rFonts w:ascii="Times New Roman" w:eastAsia="TimesNewRoman" w:hAnsi="Times New Roman" w:cs="Times New Roman"/>
          <w:sz w:val="22"/>
          <w:szCs w:val="22"/>
          <w:lang w:val="sr-Latn-RS"/>
        </w:rPr>
        <w:t>glukoze za injekciju.</w:t>
      </w:r>
    </w:p>
    <w:p w:rsidR="00E920F4" w:rsidRPr="006921A1" w:rsidRDefault="00876BDE">
      <w:pPr>
        <w:autoSpaceDE w:val="0"/>
        <w:autoSpaceDN w:val="0"/>
        <w:adjustRightInd w:val="0"/>
        <w:spacing w:after="0" w:line="240" w:lineRule="auto"/>
        <w:jc w:val="both"/>
        <w:rPr>
          <w:rFonts w:ascii="Times New Roman" w:eastAsia="TimesNewRoman" w:hAnsi="Times New Roman" w:cs="Times New Roman"/>
          <w:i/>
          <w:sz w:val="22"/>
          <w:szCs w:val="22"/>
          <w:lang w:val="sr-Latn-RS"/>
        </w:rPr>
      </w:pPr>
      <w:r w:rsidRPr="006921A1">
        <w:rPr>
          <w:rFonts w:ascii="Times New Roman" w:hAnsi="Times New Roman" w:cs="Times New Roman"/>
          <w:sz w:val="22"/>
          <w:szCs w:val="22"/>
          <w:lang w:val="sr-Latn-RS"/>
        </w:rPr>
        <w:br/>
      </w:r>
      <w:r w:rsidR="00E920F4" w:rsidRPr="006921A1">
        <w:rPr>
          <w:rFonts w:ascii="Times New Roman" w:eastAsia="TimesNewRoman" w:hAnsi="Times New Roman" w:cs="Times New Roman"/>
          <w:i/>
          <w:sz w:val="22"/>
          <w:szCs w:val="22"/>
          <w:lang w:val="sr-Latn-RS"/>
        </w:rPr>
        <w:t>Početna bolus doza od 3000 i.j. (30 mg)</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Za početnu bolus dozu od 3000 i.j. (30 mg), koriščenjem enoksaparin</w:t>
      </w:r>
      <w:r w:rsidR="0008248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u gradui</w:t>
      </w:r>
      <w:r w:rsidR="00082481">
        <w:rPr>
          <w:rFonts w:ascii="Times New Roman" w:eastAsia="TimesNewRoman" w:hAnsi="Times New Roman" w:cs="Times New Roman"/>
          <w:sz w:val="22"/>
          <w:szCs w:val="22"/>
          <w:lang w:val="sr-Latn-RS"/>
        </w:rPr>
        <w:t xml:space="preserve">sanom </w:t>
      </w:r>
      <w:r w:rsidRPr="006921A1">
        <w:rPr>
          <w:rFonts w:ascii="Times New Roman" w:eastAsia="TimesNewRoman" w:hAnsi="Times New Roman" w:cs="Times New Roman"/>
          <w:sz w:val="22"/>
          <w:szCs w:val="22"/>
          <w:lang w:val="sr-Latn-RS"/>
        </w:rPr>
        <w:t>napunjenom injekcionom špricu, izbacite višak volumena tako da u njoj ostane samo 3000 i.j. (30</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mg) 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eka. Doza od 3000 i.j. (30 mg) može se zatim prim</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eniti direktnim ubrizgavanjem u intravensku</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liniju.</w:t>
      </w:r>
    </w:p>
    <w:p w:rsidR="004B29DA" w:rsidRPr="006921A1" w:rsidRDefault="004B29DA">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p>
    <w:p w:rsidR="00876BDE" w:rsidRPr="006921A1" w:rsidRDefault="00E920F4">
      <w:pPr>
        <w:autoSpaceDE w:val="0"/>
        <w:autoSpaceDN w:val="0"/>
        <w:adjustRightInd w:val="0"/>
        <w:spacing w:after="0" w:line="240" w:lineRule="auto"/>
        <w:jc w:val="both"/>
        <w:rPr>
          <w:rFonts w:ascii="Times New Roman" w:eastAsia="TimesNewRoman" w:hAnsi="Times New Roman" w:cs="Times New Roman"/>
          <w:i/>
          <w:sz w:val="22"/>
          <w:szCs w:val="22"/>
          <w:lang w:val="sr-Latn-RS"/>
        </w:rPr>
      </w:pPr>
      <w:r w:rsidRPr="006921A1">
        <w:rPr>
          <w:rFonts w:ascii="Times New Roman" w:eastAsia="TimesNewRoman" w:hAnsi="Times New Roman" w:cs="Times New Roman"/>
          <w:i/>
          <w:sz w:val="22"/>
          <w:szCs w:val="22"/>
          <w:lang w:val="sr-Latn-RS"/>
        </w:rPr>
        <w:t>Dodatna bolus doza za PCI kada je posl</w:t>
      </w:r>
      <w:r w:rsidR="00FD786D" w:rsidRPr="006921A1">
        <w:rPr>
          <w:rFonts w:ascii="Times New Roman" w:eastAsia="TimesNewRoman" w:hAnsi="Times New Roman" w:cs="Times New Roman"/>
          <w:i/>
          <w:sz w:val="22"/>
          <w:szCs w:val="22"/>
          <w:lang w:val="sr-Latn-RS"/>
        </w:rPr>
        <w:t>j</w:t>
      </w:r>
      <w:r w:rsidRPr="006921A1">
        <w:rPr>
          <w:rFonts w:ascii="Times New Roman" w:eastAsia="TimesNewRoman" w:hAnsi="Times New Roman" w:cs="Times New Roman"/>
          <w:i/>
          <w:sz w:val="22"/>
          <w:szCs w:val="22"/>
          <w:lang w:val="sr-Latn-RS"/>
        </w:rPr>
        <w:t>ednja supkutana doza prim</w:t>
      </w:r>
      <w:r w:rsidR="003F7788" w:rsidRPr="006921A1">
        <w:rPr>
          <w:rFonts w:ascii="Times New Roman" w:eastAsia="TimesNewRoman" w:hAnsi="Times New Roman" w:cs="Times New Roman"/>
          <w:i/>
          <w:sz w:val="22"/>
          <w:szCs w:val="22"/>
          <w:lang w:val="sr-Latn-RS"/>
        </w:rPr>
        <w:t>ij</w:t>
      </w:r>
      <w:r w:rsidRPr="006921A1">
        <w:rPr>
          <w:rFonts w:ascii="Times New Roman" w:eastAsia="TimesNewRoman" w:hAnsi="Times New Roman" w:cs="Times New Roman"/>
          <w:i/>
          <w:sz w:val="22"/>
          <w:szCs w:val="22"/>
          <w:lang w:val="sr-Latn-RS"/>
        </w:rPr>
        <w:t>enjena više od 8 sati pr</w:t>
      </w:r>
      <w:r w:rsidR="003F7788" w:rsidRPr="006921A1">
        <w:rPr>
          <w:rFonts w:ascii="Times New Roman" w:eastAsia="TimesNewRoman" w:hAnsi="Times New Roman" w:cs="Times New Roman"/>
          <w:i/>
          <w:sz w:val="22"/>
          <w:szCs w:val="22"/>
          <w:lang w:val="sr-Latn-RS"/>
        </w:rPr>
        <w:t>ij</w:t>
      </w:r>
      <w:r w:rsidRPr="006921A1">
        <w:rPr>
          <w:rFonts w:ascii="Times New Roman" w:eastAsia="TimesNewRoman" w:hAnsi="Times New Roman" w:cs="Times New Roman"/>
          <w:i/>
          <w:sz w:val="22"/>
          <w:szCs w:val="22"/>
          <w:lang w:val="sr-Latn-RS"/>
        </w:rPr>
        <w:t>e balon</w:t>
      </w:r>
      <w:r w:rsidR="00082481">
        <w:rPr>
          <w:rFonts w:ascii="Times New Roman" w:eastAsia="TimesNewRoman" w:hAnsi="Times New Roman" w:cs="Times New Roman"/>
          <w:i/>
          <w:sz w:val="22"/>
          <w:szCs w:val="22"/>
          <w:lang w:val="sr-Latn-RS"/>
        </w:rPr>
        <w:t>-</w:t>
      </w:r>
      <w:r w:rsidRPr="006921A1">
        <w:rPr>
          <w:rFonts w:ascii="Times New Roman" w:eastAsia="TimesNewRoman" w:hAnsi="Times New Roman" w:cs="Times New Roman"/>
          <w:i/>
          <w:sz w:val="22"/>
          <w:szCs w:val="22"/>
          <w:lang w:val="sr-Latn-RS"/>
        </w:rPr>
        <w:t>dilatacije</w:t>
      </w:r>
      <w:r w:rsidR="004B29DA" w:rsidRPr="006921A1">
        <w:rPr>
          <w:rFonts w:ascii="Times New Roman" w:eastAsia="TimesNewRoman" w:hAnsi="Times New Roman" w:cs="Times New Roman"/>
          <w:i/>
          <w:sz w:val="22"/>
          <w:szCs w:val="22"/>
          <w:lang w:val="sr-Latn-RS"/>
        </w:rPr>
        <w:t xml:space="preserve"> </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Kod pacijenata koji se podvrgavaju perkutanoj intervenciji potrebno je prim</w:t>
      </w:r>
      <w:r w:rsidR="003F7788" w:rsidRPr="006921A1">
        <w:rPr>
          <w:rFonts w:ascii="Times New Roman" w:eastAsia="TimesNewRoman" w:hAnsi="Times New Roman" w:cs="Times New Roman"/>
          <w:sz w:val="22"/>
          <w:szCs w:val="22"/>
          <w:lang w:val="sr-Latn-RS"/>
        </w:rPr>
        <w:t>i</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eniti dodatnu</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intravensku bolus dozu od 30 i.j./kg (0,3 mg/kg) ako je posl</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ednja supkutana doza prim</w:t>
      </w:r>
      <w:r w:rsidR="003F7788" w:rsidRPr="006921A1">
        <w:rPr>
          <w:rFonts w:ascii="Times New Roman" w:eastAsia="TimesNewRoman" w:hAnsi="Times New Roman" w:cs="Times New Roman"/>
          <w:sz w:val="22"/>
          <w:szCs w:val="22"/>
          <w:lang w:val="sr-Latn-RS"/>
        </w:rPr>
        <w:t>i</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enjena više</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od 8 sati pr</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balon-dilatacije.</w:t>
      </w:r>
    </w:p>
    <w:p w:rsidR="004B29DA" w:rsidRPr="006921A1"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 xml:space="preserve">Da bi se </w:t>
      </w:r>
      <w:r w:rsidR="00BB5E81" w:rsidRPr="006921A1">
        <w:rPr>
          <w:rFonts w:ascii="Times New Roman" w:eastAsia="TimesNewRoman" w:hAnsi="Times New Roman" w:cs="Times New Roman"/>
          <w:sz w:val="22"/>
          <w:szCs w:val="22"/>
          <w:lang w:val="sr-Latn-RS"/>
        </w:rPr>
        <w:t>o</w:t>
      </w:r>
      <w:r w:rsidR="00BB5E81">
        <w:rPr>
          <w:rFonts w:ascii="Times New Roman" w:eastAsia="TimesNewRoman" w:hAnsi="Times New Roman" w:cs="Times New Roman"/>
          <w:sz w:val="22"/>
          <w:szCs w:val="22"/>
          <w:lang w:val="sr-Latn-RS"/>
        </w:rPr>
        <w:t>bezbjedila</w:t>
      </w:r>
      <w:r w:rsidR="00BB5E81"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tačnost prim</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ene male zapremine koja treba da se ubrizga, preporučuje se da se l</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 rastvori</w:t>
      </w:r>
      <w:r w:rsidR="00FD786D"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do 300 i.j./m</w:t>
      </w:r>
      <w:r w:rsidR="00BB5E81">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(3 mg/m</w:t>
      </w:r>
      <w:r w:rsidR="00BB5E81">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Da bi se dobio rastvor od 300 i.j./m</w:t>
      </w:r>
      <w:r w:rsidR="00BB5E81">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(3 mg/m</w:t>
      </w:r>
      <w:r w:rsidR="00BB5E81">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korišćenjem 6000 i.j. (60 mg) enoksaparin</w:t>
      </w:r>
      <w:r w:rsidR="00BB5E8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u</w:t>
      </w:r>
      <w:r w:rsidR="004B29DA" w:rsidRPr="006921A1">
        <w:rPr>
          <w:rFonts w:ascii="Times New Roman" w:eastAsia="TimesNewRoman" w:hAnsi="Times New Roman" w:cs="Times New Roman"/>
          <w:sz w:val="22"/>
          <w:szCs w:val="22"/>
          <w:lang w:val="sr-Latn-RS"/>
        </w:rPr>
        <w:t xml:space="preserve"> </w:t>
      </w:r>
      <w:r w:rsidR="00FD786D" w:rsidRPr="006921A1">
        <w:rPr>
          <w:rFonts w:ascii="Times New Roman" w:eastAsia="TimesNewRoman" w:hAnsi="Times New Roman" w:cs="Times New Roman"/>
          <w:sz w:val="22"/>
          <w:szCs w:val="22"/>
          <w:lang w:val="sr-Latn-RS"/>
        </w:rPr>
        <w:t>napunjenom inj</w:t>
      </w:r>
      <w:r w:rsidRPr="006921A1">
        <w:rPr>
          <w:rFonts w:ascii="Times New Roman" w:eastAsia="TimesNewRoman" w:hAnsi="Times New Roman" w:cs="Times New Roman"/>
          <w:sz w:val="22"/>
          <w:szCs w:val="22"/>
          <w:lang w:val="sr-Latn-RS"/>
        </w:rPr>
        <w:t>e</w:t>
      </w:r>
      <w:r w:rsidR="00FD786D" w:rsidRPr="006921A1">
        <w:rPr>
          <w:rFonts w:ascii="Times New Roman" w:eastAsia="TimesNewRoman" w:hAnsi="Times New Roman" w:cs="Times New Roman"/>
          <w:sz w:val="22"/>
          <w:szCs w:val="22"/>
          <w:lang w:val="sr-Latn-RS"/>
        </w:rPr>
        <w:t>k</w:t>
      </w:r>
      <w:r w:rsidRPr="006921A1">
        <w:rPr>
          <w:rFonts w:ascii="Times New Roman" w:eastAsia="TimesNewRoman" w:hAnsi="Times New Roman" w:cs="Times New Roman"/>
          <w:sz w:val="22"/>
          <w:szCs w:val="22"/>
          <w:lang w:val="sr-Latn-RS"/>
        </w:rPr>
        <w:t>cionom špricu, preporučuje se upotreba kese za infuziju od 50 m</w:t>
      </w:r>
      <w:r w:rsidR="00BB5E81">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(bilo sa fiziološkim</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 xml:space="preserve">rastvorom (0,9 %) ili 5 % </w:t>
      </w:r>
      <w:r w:rsidR="00BB5E81">
        <w:rPr>
          <w:rFonts w:ascii="Times New Roman" w:eastAsia="TimesNewRoman" w:hAnsi="Times New Roman" w:cs="Times New Roman"/>
          <w:sz w:val="22"/>
          <w:szCs w:val="22"/>
          <w:lang w:val="sr-Latn-RS"/>
        </w:rPr>
        <w:t xml:space="preserve">vodenim </w:t>
      </w:r>
      <w:r w:rsidRPr="006921A1">
        <w:rPr>
          <w:rFonts w:ascii="Times New Roman" w:eastAsia="TimesNewRoman" w:hAnsi="Times New Roman" w:cs="Times New Roman"/>
          <w:sz w:val="22"/>
          <w:szCs w:val="22"/>
          <w:lang w:val="sr-Latn-RS"/>
        </w:rPr>
        <w:t xml:space="preserve">rastvorom </w:t>
      </w:r>
      <w:r w:rsidR="00E64FA6">
        <w:rPr>
          <w:rFonts w:ascii="Times New Roman" w:eastAsia="TimesNewRoman" w:hAnsi="Times New Roman" w:cs="Times New Roman"/>
          <w:sz w:val="22"/>
          <w:szCs w:val="22"/>
          <w:lang w:val="sr-Latn-RS"/>
        </w:rPr>
        <w:t>glukoze za injekciju</w:t>
      </w:r>
      <w:r w:rsidRPr="006921A1">
        <w:rPr>
          <w:rFonts w:ascii="Times New Roman" w:eastAsia="TimesNewRoman" w:hAnsi="Times New Roman" w:cs="Times New Roman"/>
          <w:sz w:val="22"/>
          <w:szCs w:val="22"/>
          <w:lang w:val="sr-Latn-RS"/>
        </w:rPr>
        <w:t>) na sl</w:t>
      </w:r>
      <w:r w:rsidR="00FD786D"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edeći način:</w:t>
      </w: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lastRenderedPageBreak/>
        <w:t>Izvucite 30 m</w:t>
      </w:r>
      <w:r w:rsidR="00E64FA6">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tečnosti iz kese za infuziju pomoću šprica i odbacite tečnost. Ubrizgajte kompletan sadržaj</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napunjenog injekcionog šprica od 6000 i.j. (60 mg) enoksaparin</w:t>
      </w:r>
      <w:r w:rsidR="00E64FA6">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u preostalih 20 m</w:t>
      </w:r>
      <w:r w:rsidR="00E64FA6">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xml:space="preserve"> rastvora u kesi</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za infuziju. Blago prom</w:t>
      </w:r>
      <w:r w:rsidR="00FD786D"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ešajte sadržaj kese. Izvucite potrebnu količinu razblaženog rastvora pomoću šprica za</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prim</w:t>
      </w:r>
      <w:r w:rsidR="00E64FA6">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enu u intravensku liniju.</w:t>
      </w:r>
    </w:p>
    <w:p w:rsidR="004B29DA" w:rsidRPr="006921A1"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920F4" w:rsidRPr="006921A1" w:rsidRDefault="00E920F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Nakon što je razblaživanje završeno, zapremina koju treba ubrizgati se može izračunati korišćenjem sl</w:t>
      </w:r>
      <w:r w:rsidR="006C7D96"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edeće</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formule [zapremina razblaženog rastvora (m</w:t>
      </w:r>
      <w:r w:rsidR="00E64FA6">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 = t</w:t>
      </w:r>
      <w:r w:rsidR="006C7D96"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elesna masa pacijenta (kg) x 0,1] ili upotrebom tabele u</w:t>
      </w:r>
      <w:r w:rsidR="004B29DA"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nastavku. Preporučuje se da se rastvor pripremi neposredno pr</w:t>
      </w:r>
      <w:r w:rsidR="006C7D96"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upotrebe.</w:t>
      </w:r>
    </w:p>
    <w:p w:rsidR="004B29DA" w:rsidRPr="006921A1"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4B29DA" w:rsidRPr="006921A1" w:rsidRDefault="00E920F4">
      <w:pPr>
        <w:autoSpaceDE w:val="0"/>
        <w:autoSpaceDN w:val="0"/>
        <w:adjustRightInd w:val="0"/>
        <w:spacing w:after="0" w:line="240" w:lineRule="auto"/>
        <w:jc w:val="both"/>
        <w:rPr>
          <w:rFonts w:ascii="Times New Roman" w:hAnsi="Times New Roman" w:cs="Times New Roman"/>
          <w:sz w:val="22"/>
          <w:szCs w:val="22"/>
          <w:lang w:val="sr-Latn-RS"/>
        </w:rPr>
      </w:pPr>
      <w:r w:rsidRPr="006921A1">
        <w:rPr>
          <w:rFonts w:ascii="Times New Roman" w:eastAsia="TimesNewRoman" w:hAnsi="Times New Roman" w:cs="Times New Roman"/>
          <w:sz w:val="22"/>
          <w:szCs w:val="22"/>
          <w:lang w:val="sr-Latn-RS"/>
        </w:rPr>
        <w:t>Zapremina koju treba ubrizgati kroz intravensku liniju nakon završetka razblaživanja do koncentracije od 300 i.j. (3 mg)/m</w:t>
      </w:r>
      <w:r w:rsidR="00E64FA6">
        <w:rPr>
          <w:rFonts w:ascii="Times New Roman" w:eastAsia="TimesNewRoman" w:hAnsi="Times New Roman" w:cs="Times New Roman"/>
          <w:sz w:val="22"/>
          <w:szCs w:val="22"/>
          <w:lang w:val="sr-Latn-RS"/>
        </w:rPr>
        <w:t>l</w:t>
      </w:r>
      <w:r w:rsidRPr="006921A1">
        <w:rPr>
          <w:rFonts w:ascii="Times New Roman" w:eastAsia="TimesNewRoman" w:hAnsi="Times New Roman" w:cs="Times New Roman"/>
          <w:sz w:val="22"/>
          <w:szCs w:val="22"/>
          <w:lang w:val="sr-Latn-RS"/>
        </w:rPr>
        <w:t>.</w:t>
      </w:r>
    </w:p>
    <w:p w:rsidR="00AE1358" w:rsidRPr="006921A1" w:rsidRDefault="00AE1358" w:rsidP="00AE1358">
      <w:pPr>
        <w:tabs>
          <w:tab w:val="left" w:pos="540"/>
          <w:tab w:val="left" w:pos="569"/>
        </w:tabs>
        <w:jc w:val="both"/>
        <w:rPr>
          <w:rFonts w:ascii="Times New Roman" w:hAnsi="Times New Roman" w:cs="Times New Roman"/>
          <w:i/>
          <w:iCs/>
          <w:sz w:val="22"/>
          <w:szCs w:val="22"/>
          <w:lang w:val="sr-Latn-R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59"/>
        <w:gridCol w:w="26"/>
        <w:gridCol w:w="1505"/>
        <w:gridCol w:w="1614"/>
        <w:gridCol w:w="2976"/>
      </w:tblGrid>
      <w:tr w:rsidR="006921A1" w:rsidRPr="006921A1" w:rsidTr="00B508FF">
        <w:trPr>
          <w:trHeight w:val="551"/>
        </w:trPr>
        <w:tc>
          <w:tcPr>
            <w:tcW w:w="3059" w:type="dxa"/>
          </w:tcPr>
          <w:p w:rsidR="004B29DA" w:rsidRPr="006921A1" w:rsidRDefault="004B29DA" w:rsidP="004B29DA">
            <w:pPr>
              <w:autoSpaceDE w:val="0"/>
              <w:autoSpaceDN w:val="0"/>
              <w:adjustRightInd w:val="0"/>
              <w:spacing w:after="0" w:line="240" w:lineRule="auto"/>
              <w:rPr>
                <w:rFonts w:ascii="Times New Roman" w:hAnsi="Times New Roman" w:cs="Times New Roman"/>
                <w:b/>
                <w:bCs/>
                <w:sz w:val="22"/>
                <w:szCs w:val="22"/>
                <w:lang w:val="sr-Latn-RS"/>
              </w:rPr>
            </w:pPr>
            <w:r w:rsidRPr="006921A1">
              <w:rPr>
                <w:rFonts w:ascii="Times New Roman" w:hAnsi="Times New Roman" w:cs="Times New Roman"/>
                <w:b/>
                <w:bCs/>
                <w:sz w:val="22"/>
                <w:szCs w:val="22"/>
                <w:lang w:val="sr-Latn-RS"/>
              </w:rPr>
              <w:t>T</w:t>
            </w:r>
            <w:r w:rsidR="006C7D96" w:rsidRPr="006921A1">
              <w:rPr>
                <w:rFonts w:ascii="Times New Roman" w:hAnsi="Times New Roman" w:cs="Times New Roman"/>
                <w:b/>
                <w:bCs/>
                <w:sz w:val="22"/>
                <w:szCs w:val="22"/>
                <w:lang w:val="sr-Latn-RS"/>
              </w:rPr>
              <w:t>j</w:t>
            </w:r>
            <w:r w:rsidRPr="006921A1">
              <w:rPr>
                <w:rFonts w:ascii="Times New Roman" w:hAnsi="Times New Roman" w:cs="Times New Roman"/>
                <w:b/>
                <w:bCs/>
                <w:sz w:val="22"/>
                <w:szCs w:val="22"/>
                <w:lang w:val="sr-Latn-RS"/>
              </w:rPr>
              <w:t>elesna</w:t>
            </w:r>
          </w:p>
          <w:p w:rsidR="00AE1358" w:rsidRPr="006921A1" w:rsidRDefault="004B29DA" w:rsidP="004B29DA">
            <w:pPr>
              <w:pStyle w:val="Default"/>
              <w:jc w:val="both"/>
              <w:rPr>
                <w:rFonts w:ascii="Times New Roman" w:hAnsi="Times New Roman" w:cs="Times New Roman"/>
                <w:color w:val="auto"/>
                <w:sz w:val="22"/>
                <w:szCs w:val="22"/>
              </w:rPr>
            </w:pPr>
            <w:r w:rsidRPr="006921A1">
              <w:rPr>
                <w:rFonts w:ascii="Times New Roman" w:hAnsi="Times New Roman" w:cs="Times New Roman"/>
                <w:b/>
                <w:bCs/>
                <w:color w:val="auto"/>
                <w:sz w:val="22"/>
                <w:szCs w:val="22"/>
              </w:rPr>
              <w:t>masa</w:t>
            </w:r>
          </w:p>
        </w:tc>
        <w:tc>
          <w:tcPr>
            <w:tcW w:w="3145" w:type="dxa"/>
            <w:gridSpan w:val="3"/>
          </w:tcPr>
          <w:p w:rsidR="004B29DA" w:rsidRPr="006921A1" w:rsidRDefault="004B29DA" w:rsidP="004B29DA">
            <w:pPr>
              <w:autoSpaceDE w:val="0"/>
              <w:autoSpaceDN w:val="0"/>
              <w:adjustRightInd w:val="0"/>
              <w:spacing w:after="0" w:line="240" w:lineRule="auto"/>
              <w:rPr>
                <w:rFonts w:ascii="Times New Roman" w:hAnsi="Times New Roman" w:cs="Times New Roman"/>
                <w:b/>
                <w:bCs/>
                <w:sz w:val="22"/>
                <w:szCs w:val="22"/>
                <w:lang w:val="sr-Latn-RS"/>
              </w:rPr>
            </w:pPr>
            <w:r w:rsidRPr="006921A1">
              <w:rPr>
                <w:rFonts w:ascii="Times New Roman" w:hAnsi="Times New Roman" w:cs="Times New Roman"/>
                <w:b/>
                <w:bCs/>
                <w:sz w:val="22"/>
                <w:szCs w:val="22"/>
                <w:lang w:val="sr-Latn-RS"/>
              </w:rPr>
              <w:t>Potrebna doza</w:t>
            </w:r>
          </w:p>
          <w:p w:rsidR="00AE1358" w:rsidRPr="006921A1" w:rsidRDefault="004B29DA" w:rsidP="004B29DA">
            <w:pPr>
              <w:pStyle w:val="Default"/>
              <w:jc w:val="both"/>
              <w:rPr>
                <w:rFonts w:ascii="Times New Roman" w:hAnsi="Times New Roman" w:cs="Times New Roman"/>
                <w:color w:val="auto"/>
                <w:sz w:val="22"/>
                <w:szCs w:val="22"/>
              </w:rPr>
            </w:pPr>
            <w:r w:rsidRPr="006921A1">
              <w:rPr>
                <w:rFonts w:ascii="Times New Roman" w:hAnsi="Times New Roman" w:cs="Times New Roman"/>
                <w:b/>
                <w:bCs/>
                <w:color w:val="auto"/>
                <w:sz w:val="22"/>
                <w:szCs w:val="22"/>
              </w:rPr>
              <w:t>30 i.j./kg (0,3 mg/kg)</w:t>
            </w:r>
          </w:p>
        </w:tc>
        <w:tc>
          <w:tcPr>
            <w:tcW w:w="2976" w:type="dxa"/>
          </w:tcPr>
          <w:p w:rsidR="004B29DA" w:rsidRPr="006921A1" w:rsidRDefault="004B29DA" w:rsidP="004B29DA">
            <w:pPr>
              <w:autoSpaceDE w:val="0"/>
              <w:autoSpaceDN w:val="0"/>
              <w:adjustRightInd w:val="0"/>
              <w:spacing w:after="0" w:line="240" w:lineRule="auto"/>
              <w:rPr>
                <w:rFonts w:ascii="Times New Roman" w:hAnsi="Times New Roman" w:cs="Times New Roman"/>
                <w:b/>
                <w:bCs/>
                <w:sz w:val="22"/>
                <w:szCs w:val="22"/>
                <w:lang w:val="sr-Latn-RS"/>
              </w:rPr>
            </w:pPr>
            <w:r w:rsidRPr="006921A1">
              <w:rPr>
                <w:rFonts w:ascii="Times New Roman" w:hAnsi="Times New Roman" w:cs="Times New Roman"/>
                <w:b/>
                <w:bCs/>
                <w:sz w:val="22"/>
                <w:szCs w:val="22"/>
                <w:lang w:val="sr-Latn-RS"/>
              </w:rPr>
              <w:t>Zapremina koju treba</w:t>
            </w:r>
          </w:p>
          <w:p w:rsidR="004B29DA" w:rsidRPr="006921A1" w:rsidRDefault="004B29DA" w:rsidP="004B29DA">
            <w:pPr>
              <w:autoSpaceDE w:val="0"/>
              <w:autoSpaceDN w:val="0"/>
              <w:adjustRightInd w:val="0"/>
              <w:spacing w:after="0" w:line="240" w:lineRule="auto"/>
              <w:rPr>
                <w:rFonts w:ascii="Times New Roman" w:hAnsi="Times New Roman" w:cs="Times New Roman"/>
                <w:b/>
                <w:bCs/>
                <w:sz w:val="22"/>
                <w:szCs w:val="22"/>
                <w:lang w:val="sr-Latn-RS"/>
              </w:rPr>
            </w:pPr>
            <w:r w:rsidRPr="006921A1">
              <w:rPr>
                <w:rFonts w:ascii="Times New Roman" w:hAnsi="Times New Roman" w:cs="Times New Roman"/>
                <w:b/>
                <w:bCs/>
                <w:sz w:val="22"/>
                <w:szCs w:val="22"/>
                <w:lang w:val="sr-Latn-RS"/>
              </w:rPr>
              <w:t>ubrizgati nakon</w:t>
            </w:r>
          </w:p>
          <w:p w:rsidR="004B29DA" w:rsidRPr="006921A1" w:rsidRDefault="004B29DA" w:rsidP="004B29DA">
            <w:pPr>
              <w:autoSpaceDE w:val="0"/>
              <w:autoSpaceDN w:val="0"/>
              <w:adjustRightInd w:val="0"/>
              <w:spacing w:after="0" w:line="240" w:lineRule="auto"/>
              <w:rPr>
                <w:rFonts w:ascii="Times New Roman" w:hAnsi="Times New Roman" w:cs="Times New Roman"/>
                <w:b/>
                <w:bCs/>
                <w:sz w:val="22"/>
                <w:szCs w:val="22"/>
                <w:lang w:val="sr-Latn-RS"/>
              </w:rPr>
            </w:pPr>
            <w:r w:rsidRPr="006921A1">
              <w:rPr>
                <w:rFonts w:ascii="Times New Roman" w:hAnsi="Times New Roman" w:cs="Times New Roman"/>
                <w:b/>
                <w:bCs/>
                <w:sz w:val="22"/>
                <w:szCs w:val="22"/>
                <w:lang w:val="sr-Latn-RS"/>
              </w:rPr>
              <w:t>razblaživanja do</w:t>
            </w:r>
          </w:p>
          <w:p w:rsidR="004B29DA" w:rsidRPr="006921A1" w:rsidRDefault="004B29DA" w:rsidP="004B29DA">
            <w:pPr>
              <w:autoSpaceDE w:val="0"/>
              <w:autoSpaceDN w:val="0"/>
              <w:adjustRightInd w:val="0"/>
              <w:spacing w:after="0" w:line="240" w:lineRule="auto"/>
              <w:rPr>
                <w:rFonts w:ascii="Times New Roman" w:hAnsi="Times New Roman" w:cs="Times New Roman"/>
                <w:b/>
                <w:bCs/>
                <w:sz w:val="22"/>
                <w:szCs w:val="22"/>
                <w:lang w:val="sr-Latn-RS"/>
              </w:rPr>
            </w:pPr>
            <w:r w:rsidRPr="006921A1">
              <w:rPr>
                <w:rFonts w:ascii="Times New Roman" w:hAnsi="Times New Roman" w:cs="Times New Roman"/>
                <w:b/>
                <w:bCs/>
                <w:sz w:val="22"/>
                <w:szCs w:val="22"/>
                <w:lang w:val="sr-Latn-RS"/>
              </w:rPr>
              <w:t>koncentracije od</w:t>
            </w:r>
          </w:p>
          <w:p w:rsidR="00AE1358" w:rsidRPr="006921A1" w:rsidRDefault="004B29DA" w:rsidP="004B29DA">
            <w:pPr>
              <w:pStyle w:val="Default"/>
              <w:jc w:val="both"/>
              <w:rPr>
                <w:rFonts w:ascii="Times New Roman" w:hAnsi="Times New Roman" w:cs="Times New Roman"/>
                <w:color w:val="auto"/>
                <w:sz w:val="22"/>
                <w:szCs w:val="22"/>
              </w:rPr>
            </w:pPr>
            <w:r w:rsidRPr="006921A1">
              <w:rPr>
                <w:rFonts w:ascii="Times New Roman" w:hAnsi="Times New Roman" w:cs="Times New Roman"/>
                <w:b/>
                <w:bCs/>
                <w:color w:val="auto"/>
                <w:sz w:val="22"/>
                <w:szCs w:val="22"/>
              </w:rPr>
              <w:t>300 i.j. (3 mg) /m</w:t>
            </w:r>
            <w:r w:rsidR="00E64FA6">
              <w:rPr>
                <w:rFonts w:ascii="Times New Roman" w:hAnsi="Times New Roman" w:cs="Times New Roman"/>
                <w:b/>
                <w:bCs/>
                <w:color w:val="auto"/>
                <w:sz w:val="22"/>
                <w:szCs w:val="22"/>
              </w:rPr>
              <w:t>l</w:t>
            </w:r>
          </w:p>
        </w:tc>
      </w:tr>
      <w:tr w:rsidR="006921A1" w:rsidRPr="006921A1" w:rsidTr="00B508FF">
        <w:trPr>
          <w:trHeight w:val="88"/>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[kg] </w:t>
            </w:r>
          </w:p>
        </w:tc>
        <w:tc>
          <w:tcPr>
            <w:tcW w:w="1505" w:type="dxa"/>
          </w:tcPr>
          <w:p w:rsidR="00AE1358" w:rsidRPr="006921A1" w:rsidRDefault="004B29DA" w:rsidP="00AE1358">
            <w:pPr>
              <w:pStyle w:val="Default"/>
              <w:jc w:val="both"/>
              <w:rPr>
                <w:rFonts w:ascii="Times New Roman" w:hAnsi="Times New Roman" w:cs="Times New Roman"/>
                <w:color w:val="auto"/>
                <w:sz w:val="22"/>
                <w:szCs w:val="22"/>
              </w:rPr>
            </w:pPr>
            <w:r w:rsidRPr="006921A1">
              <w:rPr>
                <w:rFonts w:ascii="Times New Roman" w:hAnsi="Times New Roman" w:cs="Times New Roman"/>
                <w:b/>
                <w:bCs/>
                <w:color w:val="auto"/>
                <w:sz w:val="22"/>
                <w:szCs w:val="22"/>
              </w:rPr>
              <w:t>i.j.</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[mg] </w:t>
            </w:r>
          </w:p>
        </w:tc>
        <w:tc>
          <w:tcPr>
            <w:tcW w:w="2976" w:type="dxa"/>
          </w:tcPr>
          <w:p w:rsidR="00AE1358" w:rsidRPr="006921A1" w:rsidRDefault="004B29DA" w:rsidP="00AE1358">
            <w:pPr>
              <w:pStyle w:val="Default"/>
              <w:jc w:val="both"/>
              <w:rPr>
                <w:rFonts w:ascii="Times New Roman" w:hAnsi="Times New Roman" w:cs="Times New Roman"/>
                <w:color w:val="auto"/>
                <w:sz w:val="22"/>
                <w:szCs w:val="22"/>
              </w:rPr>
            </w:pPr>
            <w:r w:rsidRPr="006921A1">
              <w:rPr>
                <w:rFonts w:ascii="Times New Roman" w:hAnsi="Times New Roman" w:cs="Times New Roman"/>
                <w:b/>
                <w:bCs/>
                <w:color w:val="auto"/>
                <w:sz w:val="22"/>
                <w:szCs w:val="22"/>
              </w:rPr>
              <w:t>[m</w:t>
            </w:r>
            <w:r w:rsidR="00E64FA6">
              <w:rPr>
                <w:rFonts w:ascii="Times New Roman" w:hAnsi="Times New Roman" w:cs="Times New Roman"/>
                <w:b/>
                <w:bCs/>
                <w:color w:val="auto"/>
                <w:sz w:val="22"/>
                <w:szCs w:val="22"/>
              </w:rPr>
              <w:t>l</w:t>
            </w:r>
            <w:r w:rsidR="00AE1358" w:rsidRPr="006921A1">
              <w:rPr>
                <w:rFonts w:ascii="Times New Roman" w:hAnsi="Times New Roman" w:cs="Times New Roman"/>
                <w:b/>
                <w:bCs/>
                <w:color w:val="auto"/>
                <w:sz w:val="22"/>
                <w:szCs w:val="22"/>
              </w:rPr>
              <w:t xml:space="preserve">]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1350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13,5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50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1500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55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1650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16,5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5,5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60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1800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18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6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65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1950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19,5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6,5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70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2100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21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7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75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2250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22,5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7,5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80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2400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24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8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85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2550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25,5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8,5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90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2700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27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9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95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2850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28,5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9,5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100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3000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30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10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105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3150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31,5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10,5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110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3300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33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11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115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3450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34,5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11,5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120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3600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36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12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125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3750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37,5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12,5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130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3900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39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13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135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4050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40,5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13,5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140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4200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42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14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145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4350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43,5 </w:t>
            </w:r>
          </w:p>
        </w:tc>
        <w:tc>
          <w:tcPr>
            <w:tcW w:w="2976"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14,5 </w:t>
            </w:r>
          </w:p>
        </w:tc>
      </w:tr>
      <w:tr w:rsidR="006921A1" w:rsidRPr="006921A1" w:rsidTr="00B508FF">
        <w:trPr>
          <w:trHeight w:val="90"/>
        </w:trPr>
        <w:tc>
          <w:tcPr>
            <w:tcW w:w="3085" w:type="dxa"/>
            <w:gridSpan w:val="2"/>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150 </w:t>
            </w:r>
          </w:p>
        </w:tc>
        <w:tc>
          <w:tcPr>
            <w:tcW w:w="1505"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4500 </w:t>
            </w:r>
          </w:p>
        </w:tc>
        <w:tc>
          <w:tcPr>
            <w:tcW w:w="1614" w:type="dxa"/>
          </w:tcPr>
          <w:p w:rsidR="00AE1358" w:rsidRPr="006921A1" w:rsidRDefault="00AE1358" w:rsidP="00AE1358">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45 </w:t>
            </w:r>
          </w:p>
        </w:tc>
        <w:tc>
          <w:tcPr>
            <w:tcW w:w="2976" w:type="dxa"/>
          </w:tcPr>
          <w:p w:rsidR="00AE1358" w:rsidRPr="006921A1" w:rsidRDefault="00AE1358">
            <w:pPr>
              <w:pStyle w:val="Default"/>
              <w:numPr>
                <w:ilvl w:val="0"/>
                <w:numId w:val="21"/>
              </w:numPr>
              <w:jc w:val="both"/>
              <w:rPr>
                <w:rFonts w:ascii="Times New Roman" w:hAnsi="Times New Roman" w:cs="Times New Roman"/>
                <w:color w:val="auto"/>
                <w:sz w:val="22"/>
                <w:szCs w:val="22"/>
              </w:rPr>
            </w:pPr>
          </w:p>
        </w:tc>
      </w:tr>
    </w:tbl>
    <w:p w:rsidR="00876BDE" w:rsidRDefault="00876BDE" w:rsidP="00876BDE">
      <w:pPr>
        <w:autoSpaceDE w:val="0"/>
        <w:autoSpaceDN w:val="0"/>
        <w:adjustRightInd w:val="0"/>
        <w:spacing w:after="0" w:line="240" w:lineRule="auto"/>
        <w:jc w:val="both"/>
        <w:rPr>
          <w:rFonts w:ascii="Times New Roman" w:hAnsi="Times New Roman" w:cs="Times New Roman"/>
          <w:bCs/>
          <w:sz w:val="22"/>
          <w:szCs w:val="22"/>
          <w:u w:val="single"/>
        </w:rPr>
      </w:pPr>
    </w:p>
    <w:p w:rsidR="008327B6" w:rsidRDefault="008327B6" w:rsidP="00876BDE">
      <w:pPr>
        <w:autoSpaceDE w:val="0"/>
        <w:autoSpaceDN w:val="0"/>
        <w:adjustRightInd w:val="0"/>
        <w:spacing w:after="0" w:line="240" w:lineRule="auto"/>
        <w:jc w:val="both"/>
        <w:rPr>
          <w:rFonts w:ascii="Times New Roman" w:hAnsi="Times New Roman" w:cs="Times New Roman"/>
          <w:bCs/>
          <w:sz w:val="22"/>
          <w:szCs w:val="22"/>
          <w:u w:val="single"/>
        </w:rPr>
      </w:pPr>
    </w:p>
    <w:p w:rsidR="008327B6" w:rsidRPr="006921A1" w:rsidRDefault="008327B6" w:rsidP="00876BDE">
      <w:pPr>
        <w:autoSpaceDE w:val="0"/>
        <w:autoSpaceDN w:val="0"/>
        <w:adjustRightInd w:val="0"/>
        <w:spacing w:after="0" w:line="240" w:lineRule="auto"/>
        <w:jc w:val="both"/>
        <w:rPr>
          <w:rFonts w:ascii="Times New Roman" w:hAnsi="Times New Roman" w:cs="Times New Roman"/>
          <w:bCs/>
          <w:sz w:val="22"/>
          <w:szCs w:val="22"/>
          <w:u w:val="single"/>
        </w:rPr>
      </w:pPr>
    </w:p>
    <w:p w:rsidR="004B29DA" w:rsidRPr="005A0F56" w:rsidRDefault="00876BDE"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lastRenderedPageBreak/>
        <w:sym w:font="Symbol" w:char="F0B7"/>
      </w:r>
      <w:r w:rsidRPr="006921A1">
        <w:t xml:space="preserve"> </w:t>
      </w:r>
      <w:r w:rsidRPr="00B508FF">
        <w:rPr>
          <w:rFonts w:ascii="Times New Roman" w:hAnsi="Times New Roman" w:cs="Times New Roman"/>
          <w:sz w:val="22"/>
          <w:szCs w:val="22"/>
        </w:rPr>
        <w:tab/>
      </w:r>
      <w:r w:rsidR="004B29DA" w:rsidRPr="005A0F56">
        <w:rPr>
          <w:rFonts w:ascii="Times New Roman" w:eastAsia="TimesNewRoman" w:hAnsi="Times New Roman" w:cs="Times New Roman"/>
          <w:sz w:val="22"/>
          <w:szCs w:val="22"/>
          <w:lang w:val="sr-Latn-RS"/>
        </w:rPr>
        <w:t>Injekcija u arterijsku liniju</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enjuje se kroz arterijsku liniju sistema za dijalizu radi sprečavanja formiranja ugruška u ekstrakorporalnoj cirkulaciji tokom hemodijalize.</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Prelazak sa enoksaparin</w:t>
      </w:r>
      <w:r w:rsidR="00E64FA6">
        <w:rPr>
          <w:rFonts w:ascii="Times New Roman" w:eastAsia="TimesNewRoman" w:hAnsi="Times New Roman" w:cs="Times New Roman"/>
          <w:sz w:val="22"/>
          <w:szCs w:val="22"/>
          <w:u w:val="single"/>
          <w:lang w:val="sr-Latn-RS"/>
        </w:rPr>
        <w:t xml:space="preserve"> </w:t>
      </w:r>
      <w:r w:rsidRPr="005A0F56">
        <w:rPr>
          <w:rFonts w:ascii="Times New Roman" w:eastAsia="TimesNewRoman" w:hAnsi="Times New Roman" w:cs="Times New Roman"/>
          <w:sz w:val="22"/>
          <w:szCs w:val="22"/>
          <w:u w:val="single"/>
          <w:lang w:val="sr-Latn-RS"/>
        </w:rPr>
        <w:t>natrijuma na oralne antikoagulanse i obratno</w:t>
      </w:r>
    </w:p>
    <w:p w:rsidR="00D37C5C" w:rsidRDefault="00876BDE">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4B29DA" w:rsidRPr="005A0F56">
        <w:rPr>
          <w:rFonts w:ascii="Times New Roman" w:eastAsia="TimesNewRoman" w:hAnsi="Times New Roman" w:cs="Times New Roman"/>
          <w:i/>
          <w:sz w:val="22"/>
          <w:szCs w:val="22"/>
          <w:lang w:val="sr-Latn-RS"/>
        </w:rPr>
        <w:t>Prelazak sa enoksaparin</w:t>
      </w:r>
      <w:r w:rsidR="00E64FA6">
        <w:rPr>
          <w:rFonts w:ascii="Times New Roman" w:eastAsia="TimesNewRoman" w:hAnsi="Times New Roman" w:cs="Times New Roman"/>
          <w:i/>
          <w:sz w:val="22"/>
          <w:szCs w:val="22"/>
          <w:lang w:val="sr-Latn-RS"/>
        </w:rPr>
        <w:t xml:space="preserve"> </w:t>
      </w:r>
      <w:r w:rsidR="004B29DA" w:rsidRPr="005A0F56">
        <w:rPr>
          <w:rFonts w:ascii="Times New Roman" w:eastAsia="TimesNewRoman" w:hAnsi="Times New Roman" w:cs="Times New Roman"/>
          <w:i/>
          <w:sz w:val="22"/>
          <w:szCs w:val="22"/>
          <w:lang w:val="sr-Latn-RS"/>
        </w:rPr>
        <w:t>natrijuma na antagoniste vitamina K (VKA) i obratno</w:t>
      </w:r>
      <w:r w:rsidR="004B29DA" w:rsidRPr="005A0F56">
        <w:rPr>
          <w:rFonts w:ascii="Times New Roman" w:eastAsia="TimesNewRoman" w:hAnsi="Times New Roman" w:cs="Times New Roman"/>
          <w:sz w:val="22"/>
          <w:szCs w:val="22"/>
          <w:lang w:val="sr-Latn-RS"/>
        </w:rPr>
        <w:t xml:space="preserve"> </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Kliničko praćenje i laboratorijski testovi [protrombinsko vr</w:t>
      </w:r>
      <w:r w:rsidR="00D37C5C">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 xml:space="preserve">eme izraženo kao Internacionalni Normalizovani Odnos (engl. </w:t>
      </w:r>
      <w:r w:rsidRPr="005A0F56">
        <w:rPr>
          <w:rFonts w:ascii="Times New Roman" w:eastAsia="TimesNewRoman" w:hAnsi="Times New Roman" w:cs="Times New Roman"/>
          <w:i/>
          <w:iCs/>
          <w:sz w:val="22"/>
          <w:szCs w:val="22"/>
          <w:lang w:val="sr-Latn-RS"/>
        </w:rPr>
        <w:t>International Normalized Ratio</w:t>
      </w:r>
      <w:r w:rsidRPr="005A0F56">
        <w:rPr>
          <w:rFonts w:ascii="Times New Roman" w:eastAsia="TimesNewRoman" w:hAnsi="Times New Roman" w:cs="Times New Roman"/>
          <w:sz w:val="22"/>
          <w:szCs w:val="22"/>
          <w:lang w:val="sr-Latn-RS"/>
        </w:rPr>
        <w:t>, INR)] moraju biti intenzivirani u cilju praćenja efekta antogonista vitamina K.</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Budući da je potrebno određeno vr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eme pr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nego što VKA dostigne maksimalni efekat, terapiju enoksaparin</w:t>
      </w:r>
      <w:r w:rsidR="00D37C5C">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treba nastaviti u konstantnoj dozi onoliko dugo koliko je potrebno, da bi se INR održao unutar poželjnog terapijskog opsega za datu indikaciju u dv</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uzastopne analize.</w:t>
      </w:r>
    </w:p>
    <w:p w:rsidR="00452E9D" w:rsidRPr="005A0F56" w:rsidRDefault="004B29DA">
      <w:pPr>
        <w:autoSpaceDE w:val="0"/>
        <w:autoSpaceDN w:val="0"/>
        <w:adjustRightInd w:val="0"/>
        <w:spacing w:after="0" w:line="240" w:lineRule="auto"/>
        <w:jc w:val="both"/>
        <w:rPr>
          <w:rFonts w:ascii="Times New Roman" w:hAnsi="Times New Roman" w:cs="Times New Roman"/>
          <w:bCs/>
          <w:sz w:val="22"/>
          <w:szCs w:val="22"/>
        </w:rPr>
      </w:pPr>
      <w:r w:rsidRPr="005A0F56">
        <w:rPr>
          <w:rFonts w:ascii="Times New Roman" w:eastAsia="TimesNewRoman" w:hAnsi="Times New Roman" w:cs="Times New Roman"/>
          <w:sz w:val="22"/>
          <w:szCs w:val="22"/>
          <w:lang w:val="sr-Latn-RS"/>
        </w:rPr>
        <w:t>Kod pacijenata koji trenutno primaju VKA, njegovu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treba obustaviti i prvu dozu enoksaparin</w:t>
      </w:r>
      <w:r w:rsidR="00D37C5C">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treba dati kada INR padne ispod terapijskih granica.</w:t>
      </w:r>
    </w:p>
    <w:p w:rsidR="00F35AF4" w:rsidRPr="005A0F56" w:rsidRDefault="00F35AF4" w:rsidP="00B508FF">
      <w:pPr>
        <w:tabs>
          <w:tab w:val="left" w:pos="540"/>
          <w:tab w:val="left" w:pos="569"/>
        </w:tabs>
        <w:spacing w:after="0"/>
        <w:jc w:val="both"/>
        <w:rPr>
          <w:rFonts w:ascii="Times New Roman" w:hAnsi="Times New Roman" w:cs="Times New Roman"/>
          <w:b/>
          <w:bCs/>
          <w:sz w:val="22"/>
          <w:szCs w:val="22"/>
        </w:rPr>
      </w:pPr>
    </w:p>
    <w:p w:rsidR="004B29DA" w:rsidRPr="005A0F56" w:rsidRDefault="00876BDE">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4B29DA" w:rsidRPr="005A0F56">
        <w:rPr>
          <w:rFonts w:ascii="Times New Roman" w:eastAsia="TimesNewRoman" w:hAnsi="Times New Roman" w:cs="Times New Roman"/>
          <w:i/>
          <w:sz w:val="22"/>
          <w:szCs w:val="22"/>
          <w:lang w:val="sr-Latn-RS"/>
        </w:rPr>
        <w:t>Prelazak sa enoksaparin</w:t>
      </w:r>
      <w:r w:rsidR="007A625E">
        <w:rPr>
          <w:rFonts w:ascii="Times New Roman" w:eastAsia="TimesNewRoman" w:hAnsi="Times New Roman" w:cs="Times New Roman"/>
          <w:i/>
          <w:sz w:val="22"/>
          <w:szCs w:val="22"/>
          <w:lang w:val="sr-Latn-RS"/>
        </w:rPr>
        <w:t xml:space="preserve"> </w:t>
      </w:r>
      <w:r w:rsidR="004B29DA" w:rsidRPr="005A0F56">
        <w:rPr>
          <w:rFonts w:ascii="Times New Roman" w:eastAsia="TimesNewRoman" w:hAnsi="Times New Roman" w:cs="Times New Roman"/>
          <w:i/>
          <w:sz w:val="22"/>
          <w:szCs w:val="22"/>
          <w:lang w:val="sr-Latn-RS"/>
        </w:rPr>
        <w:t>natrijuma na direktne oralne antikoagulanse (DOAK) i obratno</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koji trenutno primaju enoksaparin</w:t>
      </w:r>
      <w:r w:rsidR="007A625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obustaviti njegovu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i dati DOAK 0 do 2 sata pr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sl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edeće predviđene doze enoksaparin</w:t>
      </w:r>
      <w:r w:rsidR="007A625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 xml:space="preserve">natrijuma, prema upustvu </w:t>
      </w:r>
      <w:r w:rsidR="007A625E">
        <w:rPr>
          <w:rFonts w:ascii="Times New Roman" w:eastAsia="TimesNewRoman" w:hAnsi="Times New Roman" w:cs="Times New Roman"/>
          <w:sz w:val="22"/>
          <w:szCs w:val="22"/>
          <w:lang w:val="sr-Latn-RS"/>
        </w:rPr>
        <w:t xml:space="preserve">lijeka </w:t>
      </w:r>
      <w:r w:rsidRPr="005A0F56">
        <w:rPr>
          <w:rFonts w:ascii="Times New Roman" w:eastAsia="TimesNewRoman" w:hAnsi="Times New Roman" w:cs="Times New Roman"/>
          <w:sz w:val="22"/>
          <w:szCs w:val="22"/>
          <w:lang w:val="sr-Latn-RS"/>
        </w:rPr>
        <w:t>za DOAK.</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koji trenutno primaju enoksaparin</w:t>
      </w:r>
      <w:r w:rsidR="007A625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prvu dozu enoksaparin</w:t>
      </w:r>
      <w:r w:rsidR="007A625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treba prim</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eniti u vr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eme kada bi trebalo uzeti sl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edeću dozu DOAK.</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7A625E"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Prim</w:t>
      </w:r>
      <w:r w:rsidR="006C7D96" w:rsidRPr="005A0F56">
        <w:rPr>
          <w:rFonts w:ascii="Times New Roman" w:eastAsia="TimesNewRoman" w:hAnsi="Times New Roman" w:cs="Times New Roman"/>
          <w:sz w:val="22"/>
          <w:szCs w:val="22"/>
          <w:u w:val="single"/>
          <w:lang w:val="sr-Latn-RS"/>
        </w:rPr>
        <w:t>j</w:t>
      </w:r>
      <w:r w:rsidRPr="005A0F56">
        <w:rPr>
          <w:rFonts w:ascii="Times New Roman" w:eastAsia="TimesNewRoman" w:hAnsi="Times New Roman" w:cs="Times New Roman"/>
          <w:sz w:val="22"/>
          <w:szCs w:val="22"/>
          <w:u w:val="single"/>
          <w:lang w:val="sr-Latn-RS"/>
        </w:rPr>
        <w:t>ena kod spinalne/epiduralne anestezije ili lumbalne punkcije</w:t>
      </w:r>
      <w:r w:rsidR="007A625E">
        <w:rPr>
          <w:rFonts w:ascii="Times New Roman" w:eastAsia="TimesNewRoman" w:hAnsi="Times New Roman" w:cs="Times New Roman"/>
          <w:sz w:val="22"/>
          <w:szCs w:val="22"/>
          <w:lang w:val="sr-Latn-RS"/>
        </w:rPr>
        <w:t xml:space="preserve"> </w:t>
      </w:r>
    </w:p>
    <w:p w:rsidR="004B29DA"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Ukoliko 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ekar odluči da prim</w:t>
      </w:r>
      <w:r w:rsidR="003F7788" w:rsidRPr="005A0F56">
        <w:rPr>
          <w:rFonts w:ascii="Times New Roman" w:eastAsia="TimesNewRoman" w:hAnsi="Times New Roman" w:cs="Times New Roman"/>
          <w:sz w:val="22"/>
          <w:szCs w:val="22"/>
          <w:lang w:val="sr-Latn-RS"/>
        </w:rPr>
        <w:t>i</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 antikoagulantnu terapiju kod epiduralne ili spinalne anestezije/analgezije ili lumbalne punkcije, preporučuje se pažljivo neurološko praćenje zbog rizika od pojave neuroaksijalnih hematoma (vid</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4.4).</w:t>
      </w:r>
    </w:p>
    <w:p w:rsidR="00A3722B" w:rsidRPr="005A0F56" w:rsidRDefault="00A3722B">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4B29DA" w:rsidRPr="005A0F56" w:rsidRDefault="000A0218">
      <w:pPr>
        <w:autoSpaceDE w:val="0"/>
        <w:autoSpaceDN w:val="0"/>
        <w:adjustRightInd w:val="0"/>
        <w:spacing w:after="0" w:line="240" w:lineRule="auto"/>
        <w:ind w:firstLine="720"/>
        <w:jc w:val="both"/>
        <w:rPr>
          <w:rFonts w:ascii="Times New Roman" w:hAnsi="Times New Roman" w:cs="Times New Roman"/>
          <w:i/>
          <w:iCs/>
          <w:sz w:val="22"/>
          <w:szCs w:val="22"/>
          <w:lang w:val="sr-Latn-RS"/>
        </w:rPr>
      </w:pPr>
      <w:r w:rsidRPr="005A0F56">
        <w:rPr>
          <w:rFonts w:ascii="Times New Roman" w:hAnsi="Times New Roman" w:cs="Times New Roman"/>
          <w:sz w:val="22"/>
          <w:szCs w:val="22"/>
          <w:lang w:val="sr-Latn-RS"/>
        </w:rPr>
        <w:t>-</w:t>
      </w:r>
      <w:r w:rsidR="004B29DA" w:rsidRPr="005A0F56">
        <w:rPr>
          <w:rFonts w:ascii="Times New Roman" w:hAnsi="Times New Roman" w:cs="Times New Roman"/>
          <w:sz w:val="22"/>
          <w:szCs w:val="22"/>
          <w:lang w:val="sr-Latn-RS"/>
        </w:rPr>
        <w:t xml:space="preserve"> </w:t>
      </w:r>
      <w:r w:rsidR="004B29DA" w:rsidRPr="005A0F56">
        <w:rPr>
          <w:rFonts w:ascii="Times New Roman" w:hAnsi="Times New Roman" w:cs="Times New Roman"/>
          <w:i/>
          <w:iCs/>
          <w:sz w:val="22"/>
          <w:szCs w:val="22"/>
          <w:lang w:val="sr-Latn-RS"/>
        </w:rPr>
        <w:t>Pri dozama koje se koriste za profilaksu</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Između posl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ednje injekcije enoksaparin</w:t>
      </w:r>
      <w:r w:rsidR="007A625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u profilaktičkim dozama i postavljanje igle ili katetera treba napraviti interval od najmanje 12 sati bez ikakvih uboda.</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tehnika kontinuirane prim</w:t>
      </w:r>
      <w:r w:rsidR="003F7788"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pr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 xml:space="preserve">e uklanjanja katetera takođe </w:t>
      </w:r>
      <w:r w:rsidR="007A625E">
        <w:rPr>
          <w:rFonts w:ascii="Times New Roman" w:eastAsia="TimesNewRoman" w:hAnsi="Times New Roman" w:cs="Times New Roman"/>
          <w:sz w:val="22"/>
          <w:szCs w:val="22"/>
          <w:lang w:val="sr-Latn-RS"/>
        </w:rPr>
        <w:t>mora</w:t>
      </w:r>
      <w:r w:rsidR="007A625E"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proći najmanje 12</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sati.</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sa klirensom kreatinina između 15-30 m</w:t>
      </w:r>
      <w:r w:rsidR="007A625E">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/min, razmotriti udvostručavanje vremena do</w:t>
      </w:r>
      <w:r w:rsidR="000A0218"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uboda/postavljanje ili uklanjanje katetera na najmanje 24 sata</w:t>
      </w:r>
      <w:r w:rsidR="007A625E">
        <w:rPr>
          <w:rFonts w:ascii="Times New Roman" w:eastAsia="TimesNewRoman" w:hAnsi="Times New Roman" w:cs="Times New Roman"/>
          <w:sz w:val="22"/>
          <w:szCs w:val="22"/>
          <w:lang w:val="sr-Latn-RS"/>
        </w:rPr>
        <w:t xml:space="preserve">. </w:t>
      </w:r>
    </w:p>
    <w:p w:rsidR="004B29DA"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Uvođenje enoksaparin</w:t>
      </w:r>
      <w:r w:rsidR="007A625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u dozi od 2000 i.j. (20 mg) 2 sata pr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operacije nije</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kompatibilno sa</w:t>
      </w:r>
      <w:r w:rsidR="000A0218"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neuroaksijalnom anestezijom.</w:t>
      </w:r>
    </w:p>
    <w:p w:rsidR="00A3722B" w:rsidRPr="005A0F56" w:rsidRDefault="00A3722B">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7A625E" w:rsidRPr="005A0F56" w:rsidRDefault="000A0218">
      <w:pPr>
        <w:autoSpaceDE w:val="0"/>
        <w:autoSpaceDN w:val="0"/>
        <w:adjustRightInd w:val="0"/>
        <w:spacing w:after="0" w:line="240" w:lineRule="auto"/>
        <w:ind w:firstLine="720"/>
        <w:jc w:val="both"/>
        <w:rPr>
          <w:rFonts w:ascii="Times New Roman" w:hAnsi="Times New Roman" w:cs="Times New Roman"/>
          <w:i/>
          <w:iCs/>
          <w:sz w:val="22"/>
          <w:szCs w:val="22"/>
          <w:lang w:val="sr-Latn-RS"/>
        </w:rPr>
      </w:pPr>
      <w:r w:rsidRPr="005A0F56">
        <w:rPr>
          <w:rFonts w:ascii="Times New Roman" w:hAnsi="Times New Roman" w:cs="Times New Roman"/>
          <w:sz w:val="22"/>
          <w:szCs w:val="22"/>
          <w:lang w:val="sr-Latn-RS"/>
        </w:rPr>
        <w:t>-</w:t>
      </w:r>
      <w:r w:rsidR="004B29DA" w:rsidRPr="005A0F56">
        <w:rPr>
          <w:rFonts w:ascii="Times New Roman" w:hAnsi="Times New Roman" w:cs="Times New Roman"/>
          <w:sz w:val="22"/>
          <w:szCs w:val="22"/>
          <w:lang w:val="sr-Latn-RS"/>
        </w:rPr>
        <w:t xml:space="preserve"> </w:t>
      </w:r>
      <w:r w:rsidR="004B29DA" w:rsidRPr="005A0F56">
        <w:rPr>
          <w:rFonts w:ascii="Times New Roman" w:hAnsi="Times New Roman" w:cs="Times New Roman"/>
          <w:i/>
          <w:iCs/>
          <w:sz w:val="22"/>
          <w:szCs w:val="22"/>
          <w:lang w:val="sr-Latn-RS"/>
        </w:rPr>
        <w:t>Pri dozama koje se koriste za terapiju</w:t>
      </w:r>
      <w:r w:rsidR="007A625E">
        <w:rPr>
          <w:rFonts w:ascii="Times New Roman" w:eastAsia="TimesNewRoman" w:hAnsi="Times New Roman" w:cs="Times New Roman"/>
          <w:sz w:val="22"/>
          <w:szCs w:val="22"/>
          <w:lang w:val="sr-Latn-RS"/>
        </w:rPr>
        <w:t xml:space="preserve"> </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Između posl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ednje injekcije enoksaparin</w:t>
      </w:r>
      <w:r w:rsidR="007A625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u terapijskim dozama i postavljanje igle</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ili katetera treba napraviti interval od najmanje 24 sati bez ikakvih uboda (takođe vid</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od</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4.3).</w:t>
      </w:r>
    </w:p>
    <w:p w:rsidR="009A19FC"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tehnika kontinuirane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pr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 xml:space="preserve">e uklanjanje katetera takođe </w:t>
      </w:r>
      <w:r w:rsidR="009A19FC">
        <w:rPr>
          <w:rFonts w:ascii="Times New Roman" w:eastAsia="TimesNewRoman" w:hAnsi="Times New Roman" w:cs="Times New Roman"/>
          <w:sz w:val="22"/>
          <w:szCs w:val="22"/>
          <w:lang w:val="sr-Latn-RS"/>
        </w:rPr>
        <w:t>mora</w:t>
      </w:r>
      <w:r w:rsidR="009A19F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proći najmanje 24</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sata.</w:t>
      </w:r>
      <w:r w:rsidR="009A19FC">
        <w:rPr>
          <w:rFonts w:ascii="Times New Roman" w:eastAsia="TimesNewRoman" w:hAnsi="Times New Roman" w:cs="Times New Roman"/>
          <w:sz w:val="22"/>
          <w:szCs w:val="22"/>
          <w:lang w:val="sr-Latn-RS"/>
        </w:rPr>
        <w:t xml:space="preserve"> </w:t>
      </w:r>
    </w:p>
    <w:p w:rsidR="004B29DA" w:rsidRPr="005A0F56" w:rsidRDefault="000A0218">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sa kliren</w:t>
      </w:r>
      <w:r w:rsidR="004B29DA" w:rsidRPr="005A0F56">
        <w:rPr>
          <w:rFonts w:ascii="Times New Roman" w:eastAsia="TimesNewRoman" w:hAnsi="Times New Roman" w:cs="Times New Roman"/>
          <w:sz w:val="22"/>
          <w:szCs w:val="22"/>
          <w:lang w:val="sr-Latn-RS"/>
        </w:rPr>
        <w:t>som kreatinina između 15-30 m</w:t>
      </w:r>
      <w:r w:rsidR="009A19FC">
        <w:rPr>
          <w:rFonts w:ascii="Times New Roman" w:eastAsia="TimesNewRoman" w:hAnsi="Times New Roman" w:cs="Times New Roman"/>
          <w:sz w:val="22"/>
          <w:szCs w:val="22"/>
          <w:lang w:val="sr-Latn-RS"/>
        </w:rPr>
        <w:t>l</w:t>
      </w:r>
      <w:r w:rsidR="004B29DA" w:rsidRPr="005A0F56">
        <w:rPr>
          <w:rFonts w:ascii="Times New Roman" w:eastAsia="TimesNewRoman" w:hAnsi="Times New Roman" w:cs="Times New Roman"/>
          <w:sz w:val="22"/>
          <w:szCs w:val="22"/>
          <w:lang w:val="sr-Latn-RS"/>
        </w:rPr>
        <w:t>/min, razmotriti udvostručavanje</w:t>
      </w:r>
      <w:r w:rsidR="008A06C0" w:rsidRPr="005A0F56">
        <w:rPr>
          <w:rFonts w:ascii="Times New Roman" w:eastAsia="TimesNewRoman" w:hAnsi="Times New Roman" w:cs="Times New Roman"/>
          <w:sz w:val="22"/>
          <w:szCs w:val="22"/>
          <w:lang w:val="sr-Latn-RS"/>
        </w:rPr>
        <w:br/>
      </w:r>
      <w:r w:rsidR="004B29DA" w:rsidRPr="005A0F56">
        <w:rPr>
          <w:rFonts w:ascii="Times New Roman" w:eastAsia="TimesNewRoman" w:hAnsi="Times New Roman" w:cs="Times New Roman"/>
          <w:sz w:val="22"/>
          <w:szCs w:val="22"/>
          <w:lang w:val="sr-Latn-RS"/>
        </w:rPr>
        <w:t>vr</w:t>
      </w:r>
      <w:r w:rsidR="006C7D96" w:rsidRPr="005A0F56">
        <w:rPr>
          <w:rFonts w:ascii="Times New Roman" w:eastAsia="TimesNewRoman" w:hAnsi="Times New Roman" w:cs="Times New Roman"/>
          <w:sz w:val="22"/>
          <w:szCs w:val="22"/>
          <w:lang w:val="sr-Latn-RS"/>
        </w:rPr>
        <w:t>ij</w:t>
      </w:r>
      <w:r w:rsidR="004B29DA" w:rsidRPr="005A0F56">
        <w:rPr>
          <w:rFonts w:ascii="Times New Roman" w:eastAsia="TimesNewRoman" w:hAnsi="Times New Roman" w:cs="Times New Roman"/>
          <w:sz w:val="22"/>
          <w:szCs w:val="22"/>
          <w:lang w:val="sr-Latn-RS"/>
        </w:rPr>
        <w:t>eme do</w:t>
      </w:r>
      <w:r w:rsidRPr="005A0F56">
        <w:rPr>
          <w:rFonts w:ascii="Times New Roman" w:eastAsia="TimesNewRoman" w:hAnsi="Times New Roman" w:cs="Times New Roman"/>
          <w:sz w:val="22"/>
          <w:szCs w:val="22"/>
          <w:lang w:val="sr-Latn-RS"/>
        </w:rPr>
        <w:t xml:space="preserve"> </w:t>
      </w:r>
      <w:r w:rsidR="004B29DA" w:rsidRPr="005A0F56">
        <w:rPr>
          <w:rFonts w:ascii="Times New Roman" w:eastAsia="TimesNewRoman" w:hAnsi="Times New Roman" w:cs="Times New Roman"/>
          <w:sz w:val="22"/>
          <w:szCs w:val="22"/>
          <w:lang w:val="sr-Latn-RS"/>
        </w:rPr>
        <w:t>uboda/postavljanje ili uklanjanja katetera na najmanje 48 sati.</w:t>
      </w:r>
    </w:p>
    <w:p w:rsidR="009A19FC"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Pacijenti koji primaju dv</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doze na dan (tj. 75 i.j./kg (0,75 mg/kg) dva puta na dan ili 100</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i.j./kg (1 mg/kg)</w:t>
      </w:r>
      <w:r w:rsidR="000A0218"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dva puta na dan) treba da preskoče drugu dozu enoksaparin</w:t>
      </w:r>
      <w:r w:rsidR="009A19FC">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kako</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bi se omogućio dovoljan</w:t>
      </w:r>
      <w:r w:rsidR="000A0218"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vremenski razmak pr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postavljanja ili uklanjanja katetera.</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Nivoi anti-Xa aktivnosti se i dalje mogu detektovati u tim vremenskim tačkama, pa navedeni</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vremenski</w:t>
      </w:r>
      <w:r w:rsidR="000A0218"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razmaci ni</w:t>
      </w:r>
      <w:r w:rsidR="009A19FC">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su garancija da će se spr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ečiti pojava neuroaksijalnih hematoma.</w:t>
      </w:r>
      <w:r w:rsidR="009A19FC">
        <w:rPr>
          <w:rFonts w:ascii="Times New Roman" w:eastAsia="TimesNewRoman" w:hAnsi="Times New Roman" w:cs="Times New Roman"/>
          <w:sz w:val="22"/>
          <w:szCs w:val="22"/>
          <w:lang w:val="sr-Latn-RS"/>
        </w:rPr>
        <w:t xml:space="preserve"> </w:t>
      </w:r>
    </w:p>
    <w:p w:rsidR="004B29DA" w:rsidRPr="005A0F56" w:rsidRDefault="004B29DA">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Isto tako, nemojte razmatrati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enoksaparin</w:t>
      </w:r>
      <w:r w:rsidR="009A19FC">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najmanje 4 sata posl</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w:t>
      </w:r>
      <w:r w:rsidR="008A06C0" w:rsidRPr="005A0F5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spinalne/epiduralne</w:t>
      </w:r>
      <w:r w:rsidR="000A0218"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punkcije ili nakon uklanjanja katetera. Odlaganje mora biti zasnovano na</w:t>
      </w:r>
      <w:r w:rsidR="008327B6">
        <w:rPr>
          <w:rFonts w:ascii="Times New Roman" w:eastAsia="TimesNewRoman" w:hAnsi="Times New Roman" w:cs="Times New Roman"/>
          <w:sz w:val="22"/>
          <w:szCs w:val="22"/>
          <w:lang w:val="sr-Latn-RS"/>
        </w:rPr>
        <w:br/>
      </w:r>
      <w:r w:rsidRPr="005A0F56">
        <w:rPr>
          <w:rFonts w:ascii="Times New Roman" w:eastAsia="TimesNewRoman" w:hAnsi="Times New Roman" w:cs="Times New Roman"/>
          <w:sz w:val="22"/>
          <w:szCs w:val="22"/>
          <w:lang w:val="sr-Latn-RS"/>
        </w:rPr>
        <w:t>proc</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 odnosa koristi i rizika,</w:t>
      </w:r>
      <w:r w:rsidR="000A0218"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uzimajući u obzir i rizik od pojave tromboze i rizik od krvarenja u</w:t>
      </w:r>
      <w:r w:rsidR="008327B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kontekstu prim</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enjene procedure i faktora rizika vezanih za pacijenta.</w:t>
      </w:r>
    </w:p>
    <w:p w:rsidR="004B29DA" w:rsidRDefault="004B29DA" w:rsidP="00B508FF">
      <w:pPr>
        <w:tabs>
          <w:tab w:val="left" w:pos="540"/>
          <w:tab w:val="left" w:pos="569"/>
        </w:tabs>
        <w:spacing w:after="0"/>
        <w:jc w:val="both"/>
        <w:rPr>
          <w:rFonts w:ascii="Times New Roman" w:hAnsi="Times New Roman" w:cs="Times New Roman"/>
          <w:b/>
          <w:bCs/>
          <w:sz w:val="22"/>
          <w:szCs w:val="22"/>
        </w:rPr>
      </w:pPr>
    </w:p>
    <w:p w:rsidR="00E8746A" w:rsidRDefault="00E8746A" w:rsidP="00B508FF">
      <w:pPr>
        <w:tabs>
          <w:tab w:val="left" w:pos="540"/>
          <w:tab w:val="left" w:pos="569"/>
        </w:tabs>
        <w:spacing w:after="0"/>
        <w:jc w:val="both"/>
        <w:rPr>
          <w:rFonts w:ascii="Times New Roman" w:hAnsi="Times New Roman" w:cs="Times New Roman"/>
          <w:b/>
          <w:bCs/>
          <w:sz w:val="22"/>
          <w:szCs w:val="22"/>
        </w:rPr>
      </w:pPr>
    </w:p>
    <w:p w:rsidR="00E8746A" w:rsidRDefault="00E8746A" w:rsidP="00B508FF">
      <w:pPr>
        <w:tabs>
          <w:tab w:val="left" w:pos="540"/>
          <w:tab w:val="left" w:pos="569"/>
        </w:tabs>
        <w:spacing w:after="0"/>
        <w:jc w:val="both"/>
        <w:rPr>
          <w:rFonts w:ascii="Times New Roman" w:hAnsi="Times New Roman" w:cs="Times New Roman"/>
          <w:b/>
          <w:bCs/>
          <w:sz w:val="22"/>
          <w:szCs w:val="22"/>
        </w:rPr>
      </w:pPr>
    </w:p>
    <w:p w:rsidR="00E8746A" w:rsidRPr="005A0F56" w:rsidRDefault="00E8746A" w:rsidP="00B508FF">
      <w:pPr>
        <w:tabs>
          <w:tab w:val="left" w:pos="540"/>
          <w:tab w:val="left" w:pos="569"/>
        </w:tabs>
        <w:spacing w:after="0"/>
        <w:jc w:val="both"/>
        <w:rPr>
          <w:rFonts w:ascii="Times New Roman" w:hAnsi="Times New Roman" w:cs="Times New Roman"/>
          <w:b/>
          <w:bCs/>
          <w:sz w:val="22"/>
          <w:szCs w:val="22"/>
        </w:rPr>
      </w:pPr>
    </w:p>
    <w:p w:rsidR="00411B4B" w:rsidRPr="005A0F56" w:rsidRDefault="00411B4B" w:rsidP="00B508FF">
      <w:pPr>
        <w:tabs>
          <w:tab w:val="left" w:pos="540"/>
          <w:tab w:val="left" w:pos="569"/>
        </w:tabs>
        <w:spacing w:after="0"/>
        <w:jc w:val="both"/>
        <w:rPr>
          <w:rFonts w:ascii="Times New Roman" w:hAnsi="Times New Roman" w:cs="Times New Roman"/>
          <w:b/>
          <w:bCs/>
          <w:sz w:val="22"/>
          <w:szCs w:val="22"/>
        </w:rPr>
      </w:pPr>
      <w:r w:rsidRPr="005A0F56">
        <w:rPr>
          <w:rFonts w:ascii="Times New Roman" w:hAnsi="Times New Roman" w:cs="Times New Roman"/>
          <w:b/>
          <w:bCs/>
          <w:sz w:val="22"/>
          <w:szCs w:val="22"/>
        </w:rPr>
        <w:lastRenderedPageBreak/>
        <w:t xml:space="preserve">4.3.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Kontraindikacije</w:t>
      </w:r>
    </w:p>
    <w:p w:rsidR="004B29DA" w:rsidRPr="005A0F56" w:rsidRDefault="004B29DA"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025F41">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je kontraindikovan kod</w:t>
      </w:r>
      <w:r w:rsidR="005219FF">
        <w:rPr>
          <w:rFonts w:ascii="Times New Roman" w:eastAsia="TimesNewRoman" w:hAnsi="Times New Roman" w:cs="Times New Roman"/>
          <w:sz w:val="22"/>
          <w:szCs w:val="22"/>
          <w:lang w:val="sr-Latn-RS"/>
        </w:rPr>
        <w:t xml:space="preserve"> pacijenata sa</w:t>
      </w:r>
      <w:r w:rsidRPr="005A0F56">
        <w:rPr>
          <w:rFonts w:ascii="Times New Roman" w:eastAsia="TimesNewRoman" w:hAnsi="Times New Roman" w:cs="Times New Roman"/>
          <w:sz w:val="22"/>
          <w:szCs w:val="22"/>
          <w:lang w:val="sr-Latn-RS"/>
        </w:rPr>
        <w:t>:</w:t>
      </w:r>
    </w:p>
    <w:p w:rsidR="004B29DA" w:rsidRPr="005A0F56" w:rsidRDefault="000A0218" w:rsidP="00B508FF">
      <w:pPr>
        <w:autoSpaceDE w:val="0"/>
        <w:autoSpaceDN w:val="0"/>
        <w:adjustRightInd w:val="0"/>
        <w:spacing w:after="0" w:line="240" w:lineRule="auto"/>
        <w:ind w:left="709" w:hanging="709"/>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004B29DA" w:rsidRPr="005A0F56">
        <w:rPr>
          <w:rFonts w:ascii="Times New Roman" w:eastAsia="TimesNewRoman" w:hAnsi="Times New Roman" w:cs="Times New Roman"/>
          <w:sz w:val="22"/>
          <w:szCs w:val="22"/>
          <w:lang w:val="sr-Latn-RS"/>
        </w:rPr>
        <w:t xml:space="preserve"> </w:t>
      </w:r>
      <w:r w:rsidR="008F3379" w:rsidRPr="005A0F56">
        <w:rPr>
          <w:rFonts w:ascii="Times New Roman" w:eastAsia="TimesNewRoman" w:hAnsi="Times New Roman" w:cs="Times New Roman"/>
          <w:sz w:val="22"/>
          <w:szCs w:val="22"/>
          <w:lang w:val="sr-Latn-RS"/>
        </w:rPr>
        <w:tab/>
      </w:r>
      <w:r w:rsidR="005219FF">
        <w:rPr>
          <w:rFonts w:ascii="Times New Roman" w:eastAsia="TimesNewRoman" w:hAnsi="Times New Roman" w:cs="Times New Roman"/>
          <w:sz w:val="22"/>
          <w:szCs w:val="22"/>
          <w:lang w:val="sr-Latn-RS"/>
        </w:rPr>
        <w:t>p</w:t>
      </w:r>
      <w:r w:rsidR="004B29DA" w:rsidRPr="005A0F56">
        <w:rPr>
          <w:rFonts w:ascii="Times New Roman" w:eastAsia="TimesNewRoman" w:hAnsi="Times New Roman" w:cs="Times New Roman"/>
          <w:sz w:val="22"/>
          <w:szCs w:val="22"/>
          <w:lang w:val="sr-Latn-RS"/>
        </w:rPr>
        <w:t>reos</w:t>
      </w:r>
      <w:r w:rsidR="006C7D96" w:rsidRPr="005A0F56">
        <w:rPr>
          <w:rFonts w:ascii="Times New Roman" w:eastAsia="TimesNewRoman" w:hAnsi="Times New Roman" w:cs="Times New Roman"/>
          <w:sz w:val="22"/>
          <w:szCs w:val="22"/>
          <w:lang w:val="sr-Latn-RS"/>
        </w:rPr>
        <w:t>j</w:t>
      </w:r>
      <w:r w:rsidR="004B29DA" w:rsidRPr="005A0F56">
        <w:rPr>
          <w:rFonts w:ascii="Times New Roman" w:eastAsia="TimesNewRoman" w:hAnsi="Times New Roman" w:cs="Times New Roman"/>
          <w:sz w:val="22"/>
          <w:szCs w:val="22"/>
          <w:lang w:val="sr-Latn-RS"/>
        </w:rPr>
        <w:t>etljiv</w:t>
      </w:r>
      <w:r w:rsidR="005219FF">
        <w:rPr>
          <w:rFonts w:ascii="Times New Roman" w:eastAsia="TimesNewRoman" w:hAnsi="Times New Roman" w:cs="Times New Roman"/>
          <w:sz w:val="22"/>
          <w:szCs w:val="22"/>
          <w:lang w:val="sr-Latn-RS"/>
        </w:rPr>
        <w:t>ošću</w:t>
      </w:r>
      <w:r w:rsidR="004B29DA" w:rsidRPr="005A0F56">
        <w:rPr>
          <w:rFonts w:ascii="Times New Roman" w:eastAsia="TimesNewRoman" w:hAnsi="Times New Roman" w:cs="Times New Roman"/>
          <w:sz w:val="22"/>
          <w:szCs w:val="22"/>
          <w:lang w:val="sr-Latn-RS"/>
        </w:rPr>
        <w:t xml:space="preserve"> na aktivnu supstancu, heparin ili njegove derivate, uključujući ostale niskomolekularne heparine (engl. </w:t>
      </w:r>
      <w:r w:rsidR="004B29DA" w:rsidRPr="005A0F56">
        <w:rPr>
          <w:rFonts w:ascii="Times New Roman" w:eastAsia="TimesNewRoman" w:hAnsi="Times New Roman" w:cs="Times New Roman"/>
          <w:i/>
          <w:iCs/>
          <w:sz w:val="22"/>
          <w:szCs w:val="22"/>
          <w:lang w:val="sr-Latn-RS"/>
        </w:rPr>
        <w:t>Low-molecular-weight heparin</w:t>
      </w:r>
      <w:r w:rsidR="004B29DA" w:rsidRPr="005A0F56">
        <w:rPr>
          <w:rFonts w:ascii="Times New Roman" w:eastAsia="TimesNewRoman" w:hAnsi="Times New Roman" w:cs="Times New Roman"/>
          <w:sz w:val="22"/>
          <w:szCs w:val="22"/>
          <w:lang w:val="sr-Latn-RS"/>
        </w:rPr>
        <w:t>, LMWH) ili na bilo koju od</w:t>
      </w:r>
      <w:r w:rsidR="005219FF">
        <w:rPr>
          <w:rFonts w:ascii="Times New Roman" w:eastAsia="TimesNewRoman" w:hAnsi="Times New Roman" w:cs="Times New Roman"/>
          <w:sz w:val="22"/>
          <w:szCs w:val="22"/>
          <w:lang w:val="sr-Latn-RS"/>
        </w:rPr>
        <w:t xml:space="preserve">  </w:t>
      </w:r>
      <w:r w:rsidR="004B29DA" w:rsidRPr="005A0F56">
        <w:rPr>
          <w:rFonts w:ascii="Times New Roman" w:eastAsia="TimesNewRoman" w:hAnsi="Times New Roman" w:cs="Times New Roman"/>
          <w:sz w:val="22"/>
          <w:szCs w:val="22"/>
          <w:lang w:val="sr-Latn-RS"/>
        </w:rPr>
        <w:t>pomoćnih supstanci navedenih u od</w:t>
      </w:r>
      <w:r w:rsidR="006C7D96" w:rsidRPr="005A0F56">
        <w:rPr>
          <w:rFonts w:ascii="Times New Roman" w:eastAsia="TimesNewRoman" w:hAnsi="Times New Roman" w:cs="Times New Roman"/>
          <w:sz w:val="22"/>
          <w:szCs w:val="22"/>
          <w:lang w:val="sr-Latn-RS"/>
        </w:rPr>
        <w:t>j</w:t>
      </w:r>
      <w:r w:rsidR="004B29DA" w:rsidRPr="005A0F56">
        <w:rPr>
          <w:rFonts w:ascii="Times New Roman" w:eastAsia="TimesNewRoman" w:hAnsi="Times New Roman" w:cs="Times New Roman"/>
          <w:sz w:val="22"/>
          <w:szCs w:val="22"/>
          <w:lang w:val="sr-Latn-RS"/>
        </w:rPr>
        <w:t>eljku 6.1;</w:t>
      </w:r>
    </w:p>
    <w:p w:rsidR="004B29DA" w:rsidRPr="005A0F56" w:rsidRDefault="008F3379" w:rsidP="00B508FF">
      <w:pPr>
        <w:autoSpaceDE w:val="0"/>
        <w:autoSpaceDN w:val="0"/>
        <w:adjustRightInd w:val="0"/>
        <w:spacing w:after="0" w:line="240" w:lineRule="auto"/>
        <w:ind w:left="709" w:hanging="709"/>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F8423E">
        <w:rPr>
          <w:rFonts w:ascii="Times New Roman" w:hAnsi="Times New Roman" w:cs="Times New Roman"/>
          <w:sz w:val="22"/>
          <w:szCs w:val="22"/>
        </w:rPr>
        <w:t xml:space="preserve">anamnezom </w:t>
      </w:r>
      <w:r w:rsidR="00F8423E">
        <w:rPr>
          <w:rFonts w:ascii="Times New Roman" w:eastAsia="TimesNewRoman" w:hAnsi="Times New Roman" w:cs="Times New Roman"/>
          <w:sz w:val="22"/>
          <w:szCs w:val="22"/>
          <w:lang w:val="sr-Latn-RS"/>
        </w:rPr>
        <w:t>i</w:t>
      </w:r>
      <w:r w:rsidR="004B29DA" w:rsidRPr="005A0F56">
        <w:rPr>
          <w:rFonts w:ascii="Times New Roman" w:eastAsia="TimesNewRoman" w:hAnsi="Times New Roman" w:cs="Times New Roman"/>
          <w:sz w:val="22"/>
          <w:szCs w:val="22"/>
          <w:lang w:val="sr-Latn-RS"/>
        </w:rPr>
        <w:t>mun</w:t>
      </w:r>
      <w:r w:rsidR="00F8423E">
        <w:rPr>
          <w:rFonts w:ascii="Times New Roman" w:eastAsia="TimesNewRoman" w:hAnsi="Times New Roman" w:cs="Times New Roman"/>
          <w:sz w:val="22"/>
          <w:szCs w:val="22"/>
          <w:lang w:val="sr-Latn-RS"/>
        </w:rPr>
        <w:t>ološki</w:t>
      </w:r>
      <w:r w:rsidR="004B29DA" w:rsidRPr="005A0F56">
        <w:rPr>
          <w:rFonts w:ascii="Times New Roman" w:eastAsia="TimesNewRoman" w:hAnsi="Times New Roman" w:cs="Times New Roman"/>
          <w:sz w:val="22"/>
          <w:szCs w:val="22"/>
          <w:lang w:val="sr-Latn-RS"/>
        </w:rPr>
        <w:t xml:space="preserve"> posredovane heparin</w:t>
      </w:r>
      <w:r w:rsidR="00F8423E">
        <w:rPr>
          <w:rFonts w:ascii="Times New Roman" w:eastAsia="TimesNewRoman" w:hAnsi="Times New Roman" w:cs="Times New Roman"/>
          <w:sz w:val="22"/>
          <w:szCs w:val="22"/>
          <w:lang w:val="sr-Latn-RS"/>
        </w:rPr>
        <w:t xml:space="preserve">om </w:t>
      </w:r>
      <w:r w:rsidR="004B29DA" w:rsidRPr="005A0F56">
        <w:rPr>
          <w:rFonts w:ascii="Times New Roman" w:eastAsia="TimesNewRoman" w:hAnsi="Times New Roman" w:cs="Times New Roman"/>
          <w:sz w:val="22"/>
          <w:szCs w:val="22"/>
          <w:lang w:val="sr-Latn-RS"/>
        </w:rPr>
        <w:t xml:space="preserve">indukovane trombocitopenije (HIT) u u </w:t>
      </w:r>
      <w:r w:rsidR="00F8423E">
        <w:rPr>
          <w:rFonts w:ascii="Times New Roman" w:eastAsia="TimesNewRoman" w:hAnsi="Times New Roman" w:cs="Times New Roman"/>
          <w:sz w:val="22"/>
          <w:szCs w:val="22"/>
          <w:lang w:val="sr-Latn-RS"/>
        </w:rPr>
        <w:t xml:space="preserve">  </w:t>
      </w:r>
      <w:r w:rsidR="004B29DA" w:rsidRPr="005A0F56">
        <w:rPr>
          <w:rFonts w:ascii="Times New Roman" w:eastAsia="TimesNewRoman" w:hAnsi="Times New Roman" w:cs="Times New Roman"/>
          <w:sz w:val="22"/>
          <w:szCs w:val="22"/>
          <w:lang w:val="sr-Latn-RS"/>
        </w:rPr>
        <w:t>p</w:t>
      </w:r>
      <w:r w:rsidR="00F8423E">
        <w:rPr>
          <w:rFonts w:ascii="Times New Roman" w:eastAsia="TimesNewRoman" w:hAnsi="Times New Roman" w:cs="Times New Roman"/>
          <w:sz w:val="22"/>
          <w:szCs w:val="22"/>
          <w:lang w:val="sr-Latn-RS"/>
        </w:rPr>
        <w:t xml:space="preserve">rethodnih </w:t>
      </w:r>
      <w:r w:rsidR="004B29DA" w:rsidRPr="005A0F56">
        <w:rPr>
          <w:rFonts w:ascii="Times New Roman" w:eastAsia="TimesNewRoman" w:hAnsi="Times New Roman" w:cs="Times New Roman"/>
          <w:sz w:val="22"/>
          <w:szCs w:val="22"/>
          <w:lang w:val="sr-Latn-RS"/>
        </w:rPr>
        <w:t>100 dana ili u prisustvu cirkulišućih antit</w:t>
      </w:r>
      <w:r w:rsidR="00F8423E">
        <w:rPr>
          <w:rFonts w:ascii="Times New Roman" w:eastAsia="TimesNewRoman" w:hAnsi="Times New Roman" w:cs="Times New Roman"/>
          <w:sz w:val="22"/>
          <w:szCs w:val="22"/>
          <w:lang w:val="sr-Latn-RS"/>
        </w:rPr>
        <w:t>ij</w:t>
      </w:r>
      <w:r w:rsidR="004B29DA" w:rsidRPr="005A0F56">
        <w:rPr>
          <w:rFonts w:ascii="Times New Roman" w:eastAsia="TimesNewRoman" w:hAnsi="Times New Roman" w:cs="Times New Roman"/>
          <w:sz w:val="22"/>
          <w:szCs w:val="22"/>
          <w:lang w:val="sr-Latn-RS"/>
        </w:rPr>
        <w:t>ela (vid</w:t>
      </w:r>
      <w:r w:rsidR="00F8423E">
        <w:rPr>
          <w:rFonts w:ascii="Times New Roman" w:eastAsia="TimesNewRoman" w:hAnsi="Times New Roman" w:cs="Times New Roman"/>
          <w:sz w:val="22"/>
          <w:szCs w:val="22"/>
          <w:lang w:val="sr-Latn-RS"/>
        </w:rPr>
        <w:t>j</w:t>
      </w:r>
      <w:r w:rsidR="004B29DA" w:rsidRPr="005A0F56">
        <w:rPr>
          <w:rFonts w:ascii="Times New Roman" w:eastAsia="TimesNewRoman" w:hAnsi="Times New Roman" w:cs="Times New Roman"/>
          <w:sz w:val="22"/>
          <w:szCs w:val="22"/>
          <w:lang w:val="sr-Latn-RS"/>
        </w:rPr>
        <w:t>eti od</w:t>
      </w:r>
      <w:r w:rsidR="00F8423E">
        <w:rPr>
          <w:rFonts w:ascii="Times New Roman" w:eastAsia="TimesNewRoman" w:hAnsi="Times New Roman" w:cs="Times New Roman"/>
          <w:sz w:val="22"/>
          <w:szCs w:val="22"/>
          <w:lang w:val="sr-Latn-RS"/>
        </w:rPr>
        <w:t>j</w:t>
      </w:r>
      <w:r w:rsidR="004B29DA" w:rsidRPr="005A0F56">
        <w:rPr>
          <w:rFonts w:ascii="Times New Roman" w:eastAsia="TimesNewRoman" w:hAnsi="Times New Roman" w:cs="Times New Roman"/>
          <w:sz w:val="22"/>
          <w:szCs w:val="22"/>
          <w:lang w:val="sr-Latn-RS"/>
        </w:rPr>
        <w:t>eljak 4.4);</w:t>
      </w:r>
    </w:p>
    <w:p w:rsidR="004B29DA" w:rsidRPr="005A0F56" w:rsidRDefault="008F3379" w:rsidP="00B508FF">
      <w:pPr>
        <w:autoSpaceDE w:val="0"/>
        <w:autoSpaceDN w:val="0"/>
        <w:adjustRightInd w:val="0"/>
        <w:spacing w:after="0" w:line="240" w:lineRule="auto"/>
        <w:ind w:left="709" w:hanging="709"/>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F8423E">
        <w:rPr>
          <w:rFonts w:ascii="Times New Roman" w:eastAsia="TimesNewRoman" w:hAnsi="Times New Roman" w:cs="Times New Roman"/>
          <w:sz w:val="22"/>
          <w:szCs w:val="22"/>
          <w:lang w:val="sr-Latn-RS"/>
        </w:rPr>
        <w:t>a</w:t>
      </w:r>
      <w:r w:rsidR="004B29DA" w:rsidRPr="005A0F56">
        <w:rPr>
          <w:rFonts w:ascii="Times New Roman" w:eastAsia="TimesNewRoman" w:hAnsi="Times New Roman" w:cs="Times New Roman"/>
          <w:sz w:val="22"/>
          <w:szCs w:val="22"/>
          <w:lang w:val="sr-Latn-RS"/>
        </w:rPr>
        <w:t>ktivn</w:t>
      </w:r>
      <w:r w:rsidR="00F8423E">
        <w:rPr>
          <w:rFonts w:ascii="Times New Roman" w:eastAsia="TimesNewRoman" w:hAnsi="Times New Roman" w:cs="Times New Roman"/>
          <w:sz w:val="22"/>
          <w:szCs w:val="22"/>
          <w:lang w:val="sr-Latn-RS"/>
        </w:rPr>
        <w:t>im</w:t>
      </w:r>
      <w:r w:rsidR="004B29DA" w:rsidRPr="005A0F56">
        <w:rPr>
          <w:rFonts w:ascii="Times New Roman" w:eastAsia="TimesNewRoman" w:hAnsi="Times New Roman" w:cs="Times New Roman"/>
          <w:sz w:val="22"/>
          <w:szCs w:val="22"/>
          <w:lang w:val="sr-Latn-RS"/>
        </w:rPr>
        <w:t xml:space="preserve"> klinički značajni</w:t>
      </w:r>
      <w:r w:rsidR="00F8423E">
        <w:rPr>
          <w:rFonts w:ascii="Times New Roman" w:eastAsia="TimesNewRoman" w:hAnsi="Times New Roman" w:cs="Times New Roman"/>
          <w:sz w:val="22"/>
          <w:szCs w:val="22"/>
          <w:lang w:val="sr-Latn-RS"/>
        </w:rPr>
        <w:t>m</w:t>
      </w:r>
      <w:r w:rsidR="004B29DA" w:rsidRPr="005A0F56">
        <w:rPr>
          <w:rFonts w:ascii="Times New Roman" w:eastAsia="TimesNewRoman" w:hAnsi="Times New Roman" w:cs="Times New Roman"/>
          <w:sz w:val="22"/>
          <w:szCs w:val="22"/>
          <w:lang w:val="sr-Latn-RS"/>
        </w:rPr>
        <w:t xml:space="preserve"> krvarenj</w:t>
      </w:r>
      <w:r w:rsidR="00F8423E">
        <w:rPr>
          <w:rFonts w:ascii="Times New Roman" w:eastAsia="TimesNewRoman" w:hAnsi="Times New Roman" w:cs="Times New Roman"/>
          <w:sz w:val="22"/>
          <w:szCs w:val="22"/>
          <w:lang w:val="sr-Latn-RS"/>
        </w:rPr>
        <w:t>em</w:t>
      </w:r>
      <w:r w:rsidR="004B29DA" w:rsidRPr="005A0F56">
        <w:rPr>
          <w:rFonts w:ascii="Times New Roman" w:eastAsia="TimesNewRoman" w:hAnsi="Times New Roman" w:cs="Times New Roman"/>
          <w:sz w:val="22"/>
          <w:szCs w:val="22"/>
          <w:lang w:val="sr-Latn-RS"/>
        </w:rPr>
        <w:t xml:space="preserve"> i stanj</w:t>
      </w:r>
      <w:r w:rsidR="00F8423E">
        <w:rPr>
          <w:rFonts w:ascii="Times New Roman" w:eastAsia="TimesNewRoman" w:hAnsi="Times New Roman" w:cs="Times New Roman"/>
          <w:sz w:val="22"/>
          <w:szCs w:val="22"/>
          <w:lang w:val="sr-Latn-RS"/>
        </w:rPr>
        <w:t>ima</w:t>
      </w:r>
      <w:r w:rsidR="004B29DA" w:rsidRPr="005A0F56">
        <w:rPr>
          <w:rFonts w:ascii="Times New Roman" w:eastAsia="TimesNewRoman" w:hAnsi="Times New Roman" w:cs="Times New Roman"/>
          <w:sz w:val="22"/>
          <w:szCs w:val="22"/>
          <w:lang w:val="sr-Latn-RS"/>
        </w:rPr>
        <w:t xml:space="preserve"> sa povećanim rizikom od krvarenja, uključujući</w:t>
      </w:r>
      <w:r w:rsidR="00F8423E">
        <w:rPr>
          <w:rFonts w:ascii="Times New Roman" w:eastAsia="TimesNewRoman" w:hAnsi="Times New Roman" w:cs="Times New Roman"/>
          <w:sz w:val="22"/>
          <w:szCs w:val="22"/>
          <w:lang w:val="sr-Latn-RS"/>
        </w:rPr>
        <w:t xml:space="preserve"> </w:t>
      </w:r>
      <w:r w:rsidR="004B29DA" w:rsidRPr="005A0F56">
        <w:rPr>
          <w:rFonts w:ascii="Times New Roman" w:eastAsia="TimesNewRoman" w:hAnsi="Times New Roman" w:cs="Times New Roman"/>
          <w:sz w:val="22"/>
          <w:szCs w:val="22"/>
          <w:lang w:val="sr-Latn-RS"/>
        </w:rPr>
        <w:t>nedavni hemoragijski moždani udar, gastrointestinalni ulkus, prisustvo maligne neoplazme sa</w:t>
      </w:r>
      <w:r w:rsidR="00F8423E">
        <w:rPr>
          <w:rFonts w:ascii="Times New Roman" w:eastAsia="TimesNewRoman" w:hAnsi="Times New Roman" w:cs="Times New Roman"/>
          <w:sz w:val="22"/>
          <w:szCs w:val="22"/>
          <w:lang w:val="sr-Latn-RS"/>
        </w:rPr>
        <w:t xml:space="preserve"> </w:t>
      </w:r>
      <w:r w:rsidR="004B29DA" w:rsidRPr="005A0F56">
        <w:rPr>
          <w:rFonts w:ascii="Times New Roman" w:eastAsia="TimesNewRoman" w:hAnsi="Times New Roman" w:cs="Times New Roman"/>
          <w:sz w:val="22"/>
          <w:szCs w:val="22"/>
          <w:lang w:val="sr-Latn-RS"/>
        </w:rPr>
        <w:t>visokim rizikom od krvarenja, nedavne oftamološke operacije i operacije mozga ili kičme, postojeće ili suspektne ezofagealne varikozitete, arterijsko-venske malformacije, vaskularne aneurizme ili velike intraspinalne ili intracerebralne vaskularne abnormalnosti;</w:t>
      </w:r>
    </w:p>
    <w:p w:rsidR="00AB24B5" w:rsidRPr="005A0F56" w:rsidRDefault="008F3379" w:rsidP="00B508FF">
      <w:pPr>
        <w:autoSpaceDE w:val="0"/>
        <w:autoSpaceDN w:val="0"/>
        <w:adjustRightInd w:val="0"/>
        <w:spacing w:after="0" w:line="240" w:lineRule="auto"/>
        <w:ind w:left="709" w:hanging="709"/>
        <w:jc w:val="both"/>
        <w:rPr>
          <w:rFonts w:ascii="Times New Roman" w:hAnsi="Times New Roman" w:cs="Times New Roman"/>
          <w:b/>
          <w:bCs/>
          <w:sz w:val="22"/>
          <w:szCs w:val="22"/>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F8423E">
        <w:rPr>
          <w:rFonts w:ascii="Times New Roman" w:eastAsia="TimesNewRoman" w:hAnsi="Times New Roman" w:cs="Times New Roman"/>
          <w:sz w:val="22"/>
          <w:szCs w:val="22"/>
          <w:lang w:val="sr-Latn-RS"/>
        </w:rPr>
        <w:t>s</w:t>
      </w:r>
      <w:r w:rsidR="004B29DA" w:rsidRPr="005A0F56">
        <w:rPr>
          <w:rFonts w:ascii="Times New Roman" w:eastAsia="TimesNewRoman" w:hAnsi="Times New Roman" w:cs="Times New Roman"/>
          <w:sz w:val="22"/>
          <w:szCs w:val="22"/>
          <w:lang w:val="sr-Latn-RS"/>
        </w:rPr>
        <w:t>pinaln</w:t>
      </w:r>
      <w:r w:rsidR="00F8423E">
        <w:rPr>
          <w:rFonts w:ascii="Times New Roman" w:eastAsia="TimesNewRoman" w:hAnsi="Times New Roman" w:cs="Times New Roman"/>
          <w:sz w:val="22"/>
          <w:szCs w:val="22"/>
          <w:lang w:val="sr-Latn-RS"/>
        </w:rPr>
        <w:t>om</w:t>
      </w:r>
      <w:r w:rsidR="004B29DA" w:rsidRPr="005A0F56">
        <w:rPr>
          <w:rFonts w:ascii="Times New Roman" w:eastAsia="TimesNewRoman" w:hAnsi="Times New Roman" w:cs="Times New Roman"/>
          <w:sz w:val="22"/>
          <w:szCs w:val="22"/>
          <w:lang w:val="sr-Latn-RS"/>
        </w:rPr>
        <w:t xml:space="preserve"> ili epiduraln</w:t>
      </w:r>
      <w:r w:rsidR="00F8423E">
        <w:rPr>
          <w:rFonts w:ascii="Times New Roman" w:eastAsia="TimesNewRoman" w:hAnsi="Times New Roman" w:cs="Times New Roman"/>
          <w:sz w:val="22"/>
          <w:szCs w:val="22"/>
          <w:lang w:val="sr-Latn-RS"/>
        </w:rPr>
        <w:t>om</w:t>
      </w:r>
      <w:r w:rsidR="004B29DA" w:rsidRPr="005A0F56">
        <w:rPr>
          <w:rFonts w:ascii="Times New Roman" w:eastAsia="TimesNewRoman" w:hAnsi="Times New Roman" w:cs="Times New Roman"/>
          <w:sz w:val="22"/>
          <w:szCs w:val="22"/>
          <w:lang w:val="sr-Latn-RS"/>
        </w:rPr>
        <w:t xml:space="preserve"> anestezij</w:t>
      </w:r>
      <w:r w:rsidR="00F8423E">
        <w:rPr>
          <w:rFonts w:ascii="Times New Roman" w:eastAsia="TimesNewRoman" w:hAnsi="Times New Roman" w:cs="Times New Roman"/>
          <w:sz w:val="22"/>
          <w:szCs w:val="22"/>
          <w:lang w:val="sr-Latn-RS"/>
        </w:rPr>
        <w:t>om</w:t>
      </w:r>
      <w:r w:rsidR="004B29DA" w:rsidRPr="005A0F56">
        <w:rPr>
          <w:rFonts w:ascii="Times New Roman" w:eastAsia="TimesNewRoman" w:hAnsi="Times New Roman" w:cs="Times New Roman"/>
          <w:sz w:val="22"/>
          <w:szCs w:val="22"/>
          <w:lang w:val="sr-Latn-RS"/>
        </w:rPr>
        <w:t xml:space="preserve"> ili lokoregionaln</w:t>
      </w:r>
      <w:r w:rsidR="00F8423E">
        <w:rPr>
          <w:rFonts w:ascii="Times New Roman" w:eastAsia="TimesNewRoman" w:hAnsi="Times New Roman" w:cs="Times New Roman"/>
          <w:sz w:val="22"/>
          <w:szCs w:val="22"/>
          <w:lang w:val="sr-Latn-RS"/>
        </w:rPr>
        <w:t>om</w:t>
      </w:r>
      <w:r w:rsidR="004B29DA" w:rsidRPr="005A0F56">
        <w:rPr>
          <w:rFonts w:ascii="Times New Roman" w:eastAsia="TimesNewRoman" w:hAnsi="Times New Roman" w:cs="Times New Roman"/>
          <w:sz w:val="22"/>
          <w:szCs w:val="22"/>
          <w:lang w:val="sr-Latn-RS"/>
        </w:rPr>
        <w:t xml:space="preserve"> anestezij</w:t>
      </w:r>
      <w:r w:rsidR="00F8423E">
        <w:rPr>
          <w:rFonts w:ascii="Times New Roman" w:eastAsia="TimesNewRoman" w:hAnsi="Times New Roman" w:cs="Times New Roman"/>
          <w:sz w:val="22"/>
          <w:szCs w:val="22"/>
          <w:lang w:val="sr-Latn-RS"/>
        </w:rPr>
        <w:t>om</w:t>
      </w:r>
      <w:r w:rsidR="004B29DA" w:rsidRPr="005A0F56">
        <w:rPr>
          <w:rFonts w:ascii="Times New Roman" w:eastAsia="TimesNewRoman" w:hAnsi="Times New Roman" w:cs="Times New Roman"/>
          <w:sz w:val="22"/>
          <w:szCs w:val="22"/>
          <w:lang w:val="sr-Latn-RS"/>
        </w:rPr>
        <w:t xml:space="preserve"> kada je enoksaparin</w:t>
      </w:r>
      <w:r w:rsidR="00F8423E">
        <w:rPr>
          <w:rFonts w:ascii="Times New Roman" w:eastAsia="TimesNewRoman" w:hAnsi="Times New Roman" w:cs="Times New Roman"/>
          <w:sz w:val="22"/>
          <w:szCs w:val="22"/>
          <w:lang w:val="sr-Latn-RS"/>
        </w:rPr>
        <w:t xml:space="preserve"> </w:t>
      </w:r>
      <w:r w:rsidR="004B29DA" w:rsidRPr="005A0F56">
        <w:rPr>
          <w:rFonts w:ascii="Times New Roman" w:eastAsia="TimesNewRoman" w:hAnsi="Times New Roman" w:cs="Times New Roman"/>
          <w:sz w:val="22"/>
          <w:szCs w:val="22"/>
          <w:lang w:val="sr-Latn-RS"/>
        </w:rPr>
        <w:t>natrijum</w:t>
      </w:r>
      <w:r w:rsidR="00F8423E">
        <w:rPr>
          <w:rFonts w:ascii="Times New Roman" w:eastAsia="TimesNewRoman" w:hAnsi="Times New Roman" w:cs="Times New Roman"/>
          <w:sz w:val="22"/>
          <w:szCs w:val="22"/>
          <w:lang w:val="sr-Latn-RS"/>
        </w:rPr>
        <w:t xml:space="preserve"> </w:t>
      </w:r>
      <w:r w:rsidR="004B29DA" w:rsidRPr="005A0F56">
        <w:rPr>
          <w:rFonts w:ascii="Times New Roman" w:eastAsia="TimesNewRoman" w:hAnsi="Times New Roman" w:cs="Times New Roman"/>
          <w:sz w:val="22"/>
          <w:szCs w:val="22"/>
          <w:lang w:val="sr-Latn-RS"/>
        </w:rPr>
        <w:t>korišćen u terapijske svrhe unutar prethodnih 24 sata (vid</w:t>
      </w:r>
      <w:r w:rsidR="006C7D96" w:rsidRPr="005A0F56">
        <w:rPr>
          <w:rFonts w:ascii="Times New Roman" w:eastAsia="TimesNewRoman" w:hAnsi="Times New Roman" w:cs="Times New Roman"/>
          <w:sz w:val="22"/>
          <w:szCs w:val="22"/>
          <w:lang w:val="sr-Latn-RS"/>
        </w:rPr>
        <w:t>j</w:t>
      </w:r>
      <w:r w:rsidR="004B29DA" w:rsidRPr="005A0F56">
        <w:rPr>
          <w:rFonts w:ascii="Times New Roman" w:eastAsia="TimesNewRoman" w:hAnsi="Times New Roman" w:cs="Times New Roman"/>
          <w:sz w:val="22"/>
          <w:szCs w:val="22"/>
          <w:lang w:val="sr-Latn-RS"/>
        </w:rPr>
        <w:t>eti od</w:t>
      </w:r>
      <w:r w:rsidR="006C7D96" w:rsidRPr="005A0F56">
        <w:rPr>
          <w:rFonts w:ascii="Times New Roman" w:eastAsia="TimesNewRoman" w:hAnsi="Times New Roman" w:cs="Times New Roman"/>
          <w:sz w:val="22"/>
          <w:szCs w:val="22"/>
          <w:lang w:val="sr-Latn-RS"/>
        </w:rPr>
        <w:t>j</w:t>
      </w:r>
      <w:r w:rsidR="004B29DA" w:rsidRPr="005A0F56">
        <w:rPr>
          <w:rFonts w:ascii="Times New Roman" w:eastAsia="TimesNewRoman" w:hAnsi="Times New Roman" w:cs="Times New Roman"/>
          <w:sz w:val="22"/>
          <w:szCs w:val="22"/>
          <w:lang w:val="sr-Latn-RS"/>
        </w:rPr>
        <w:t>eljak 4.4).</w:t>
      </w:r>
    </w:p>
    <w:p w:rsidR="004B29DA" w:rsidRPr="005A0F56" w:rsidRDefault="004B29DA" w:rsidP="00B508FF">
      <w:pPr>
        <w:tabs>
          <w:tab w:val="left" w:pos="540"/>
          <w:tab w:val="left" w:pos="569"/>
        </w:tabs>
        <w:spacing w:after="0"/>
        <w:jc w:val="both"/>
        <w:rPr>
          <w:rFonts w:ascii="Times New Roman" w:hAnsi="Times New Roman" w:cs="Times New Roman"/>
          <w:b/>
          <w:bCs/>
          <w:sz w:val="22"/>
          <w:szCs w:val="22"/>
        </w:rPr>
      </w:pPr>
    </w:p>
    <w:p w:rsidR="00411B4B" w:rsidRPr="005A0F56" w:rsidRDefault="00411B4B" w:rsidP="00B508FF">
      <w:pPr>
        <w:tabs>
          <w:tab w:val="left" w:pos="540"/>
          <w:tab w:val="left" w:pos="569"/>
        </w:tabs>
        <w:spacing w:after="0"/>
        <w:jc w:val="both"/>
        <w:rPr>
          <w:rFonts w:ascii="Times New Roman" w:hAnsi="Times New Roman" w:cs="Times New Roman"/>
          <w:b/>
          <w:bCs/>
          <w:sz w:val="22"/>
          <w:szCs w:val="22"/>
        </w:rPr>
      </w:pPr>
      <w:r w:rsidRPr="005A0F56">
        <w:rPr>
          <w:rFonts w:ascii="Times New Roman" w:hAnsi="Times New Roman" w:cs="Times New Roman"/>
          <w:b/>
          <w:bCs/>
          <w:sz w:val="22"/>
          <w:szCs w:val="22"/>
        </w:rPr>
        <w:t xml:space="preserve">4.4.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Posebna upozorenja i mjere opreza pri upotrebi lijeka</w:t>
      </w:r>
    </w:p>
    <w:p w:rsidR="00F37145" w:rsidRDefault="00F37145" w:rsidP="005A0F56">
      <w:pPr>
        <w:autoSpaceDE w:val="0"/>
        <w:autoSpaceDN w:val="0"/>
        <w:adjustRightInd w:val="0"/>
        <w:spacing w:after="0" w:line="240" w:lineRule="auto"/>
        <w:jc w:val="both"/>
        <w:rPr>
          <w:rFonts w:ascii="Times New Roman" w:hAnsi="Times New Roman" w:cs="Times New Roman"/>
          <w:iCs/>
          <w:sz w:val="22"/>
          <w:szCs w:val="22"/>
          <w:u w:val="single"/>
          <w:lang w:val="sr-Latn-RS"/>
        </w:rPr>
      </w:pPr>
    </w:p>
    <w:p w:rsidR="00F37145" w:rsidRDefault="00F37145"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eastAsia="TimesNewRoman" w:hAnsi="Times New Roman" w:cs="Times New Roman"/>
          <w:sz w:val="22"/>
          <w:szCs w:val="22"/>
          <w:u w:val="single"/>
          <w:lang w:val="sr-Latn-RS"/>
        </w:rPr>
        <w:t>Sledljivost</w:t>
      </w:r>
    </w:p>
    <w:p w:rsidR="00F37145" w:rsidRPr="00B508FF" w:rsidRDefault="00F37145"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eastAsia="TimesNewRoman" w:hAnsi="Times New Roman" w:cs="Times New Roman"/>
          <w:sz w:val="22"/>
          <w:szCs w:val="22"/>
          <w:lang w:val="sr-Latn-RS"/>
        </w:rPr>
        <w:br/>
        <w:t xml:space="preserve">Heparini niske molekulske mase </w:t>
      </w:r>
      <w:r>
        <w:rPr>
          <w:rFonts w:ascii="Times New Roman" w:eastAsia="TimesNewRoman" w:hAnsi="Times New Roman" w:cs="Times New Roman"/>
          <w:sz w:val="22"/>
          <w:szCs w:val="22"/>
          <w:lang w:val="sr-Latn-RS"/>
        </w:rPr>
        <w:t>su biološki l</w:t>
      </w:r>
      <w:r w:rsidRPr="00B508FF">
        <w:rPr>
          <w:rFonts w:ascii="Times New Roman" w:eastAsia="TimesNewRoman" w:hAnsi="Times New Roman" w:cs="Times New Roman"/>
          <w:sz w:val="22"/>
          <w:szCs w:val="22"/>
          <w:lang w:val="sr-Latn-RS"/>
        </w:rPr>
        <w:t>j</w:t>
      </w:r>
      <w:r>
        <w:rPr>
          <w:rFonts w:ascii="Times New Roman" w:eastAsia="TimesNewRoman" w:hAnsi="Times New Roman" w:cs="Times New Roman"/>
          <w:sz w:val="22"/>
          <w:szCs w:val="22"/>
          <w:lang w:val="sr-Latn-RS"/>
        </w:rPr>
        <w:t>ekovi. Kako bi se poboljšala sl</w:t>
      </w:r>
      <w:r w:rsidRPr="00B508FF">
        <w:rPr>
          <w:rFonts w:ascii="Times New Roman" w:eastAsia="TimesNewRoman" w:hAnsi="Times New Roman" w:cs="Times New Roman"/>
          <w:sz w:val="22"/>
          <w:szCs w:val="22"/>
          <w:lang w:val="sr-Latn-RS"/>
        </w:rPr>
        <w:t>ed</w:t>
      </w:r>
      <w:r>
        <w:rPr>
          <w:rFonts w:ascii="Times New Roman" w:eastAsia="TimesNewRoman" w:hAnsi="Times New Roman" w:cs="Times New Roman"/>
          <w:sz w:val="22"/>
          <w:szCs w:val="22"/>
          <w:lang w:val="sr-Latn-RS"/>
        </w:rPr>
        <w:t>lj</w:t>
      </w:r>
      <w:r w:rsidRPr="00B508FF">
        <w:rPr>
          <w:rFonts w:ascii="Times New Roman" w:eastAsia="TimesNewRoman" w:hAnsi="Times New Roman" w:cs="Times New Roman"/>
          <w:sz w:val="22"/>
          <w:szCs w:val="22"/>
          <w:lang w:val="sr-Latn-RS"/>
        </w:rPr>
        <w:t>ivost bioloških</w:t>
      </w:r>
      <w:r w:rsidRPr="00B508FF">
        <w:rPr>
          <w:rFonts w:ascii="Times New Roman" w:eastAsia="TimesNewRoman" w:hAnsi="Times New Roman" w:cs="Times New Roman"/>
          <w:sz w:val="22"/>
          <w:szCs w:val="22"/>
          <w:lang w:val="sr-Latn-RS"/>
        </w:rPr>
        <w:br/>
        <w:t>lijekova, naziv i broj serije primijenjenog lijeka potrebno je jasno evidentirati</w:t>
      </w:r>
      <w:r>
        <w:rPr>
          <w:rFonts w:ascii="Times New Roman" w:eastAsia="TimesNewRoman" w:hAnsi="Times New Roman" w:cs="Times New Roman"/>
          <w:sz w:val="22"/>
          <w:szCs w:val="22"/>
          <w:lang w:val="sr-Latn-RS"/>
        </w:rPr>
        <w:t>.</w:t>
      </w:r>
    </w:p>
    <w:p w:rsidR="00F37145" w:rsidRDefault="00F37145" w:rsidP="005A0F56">
      <w:pPr>
        <w:autoSpaceDE w:val="0"/>
        <w:autoSpaceDN w:val="0"/>
        <w:adjustRightInd w:val="0"/>
        <w:spacing w:after="0" w:line="240" w:lineRule="auto"/>
        <w:jc w:val="both"/>
        <w:rPr>
          <w:rFonts w:ascii="Times New Roman" w:hAnsi="Times New Roman" w:cs="Times New Roman"/>
          <w:iCs/>
          <w:sz w:val="22"/>
          <w:szCs w:val="22"/>
          <w:u w:val="single"/>
          <w:lang w:val="sr-Latn-RS"/>
        </w:rPr>
      </w:pPr>
    </w:p>
    <w:p w:rsidR="00990C0C" w:rsidRPr="005A0F56" w:rsidRDefault="00990C0C" w:rsidP="005A0F56">
      <w:pPr>
        <w:autoSpaceDE w:val="0"/>
        <w:autoSpaceDN w:val="0"/>
        <w:adjustRightInd w:val="0"/>
        <w:spacing w:after="0" w:line="240" w:lineRule="auto"/>
        <w:jc w:val="both"/>
        <w:rPr>
          <w:rFonts w:ascii="Times New Roman" w:hAnsi="Times New Roman" w:cs="Times New Roman"/>
          <w:iCs/>
          <w:sz w:val="22"/>
          <w:szCs w:val="22"/>
          <w:lang w:val="sr-Latn-RS"/>
        </w:rPr>
      </w:pPr>
      <w:r w:rsidRPr="005A0F56">
        <w:rPr>
          <w:rFonts w:ascii="Times New Roman" w:hAnsi="Times New Roman" w:cs="Times New Roman"/>
          <w:iCs/>
          <w:sz w:val="22"/>
          <w:szCs w:val="22"/>
          <w:u w:val="single"/>
          <w:lang w:val="sr-Latn-RS"/>
        </w:rPr>
        <w:t>Opšte</w:t>
      </w:r>
      <w:r w:rsidR="008F3379" w:rsidRPr="005A0F56">
        <w:rPr>
          <w:rFonts w:ascii="Times New Roman" w:hAnsi="Times New Roman" w:cs="Times New Roman"/>
          <w:iCs/>
          <w:sz w:val="22"/>
          <w:szCs w:val="22"/>
          <w:u w:val="single"/>
          <w:lang w:val="sr-Latn-RS"/>
        </w:rPr>
        <w:br/>
      </w:r>
    </w:p>
    <w:p w:rsidR="00773844" w:rsidRDefault="00990C0C"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F3714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i drugi niskomolekularni heparini ne mogu se međusobno zam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enjivati (jedinicu za jedinicu). Ovi 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ekovi se razlikuju po svom proizvodnom procesu, molekulskoj masi, specifičnoj anti-Xa i anti-IIa aktivnosti, jedinicama, dozama i kliničkoj efikasnosti i bezb</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ednosti. Ovo ima za rezultat razlike u farmakokinetici i povezanim biološkim aktivnostima (npr. antitrombinska aktivnost, i interakcije trombocita). Zbog toga su neophodni posebna pažnja i pridržavanje uputstva za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koje je specifično za svaki pojedinačni medicinski proizvod.</w:t>
      </w:r>
      <w:r w:rsidR="00773844">
        <w:rPr>
          <w:rFonts w:ascii="Times New Roman" w:hAnsi="Times New Roman" w:cs="Times New Roman"/>
          <w:iCs/>
          <w:sz w:val="22"/>
          <w:szCs w:val="22"/>
          <w:u w:val="single"/>
          <w:lang w:val="sr-Latn-RS"/>
        </w:rPr>
        <w:t xml:space="preserve"> </w:t>
      </w:r>
      <w:r w:rsidRPr="005A0F56">
        <w:rPr>
          <w:rFonts w:ascii="Times New Roman" w:hAnsi="Times New Roman" w:cs="Times New Roman"/>
          <w:iCs/>
          <w:sz w:val="22"/>
          <w:szCs w:val="22"/>
          <w:u w:val="single"/>
          <w:lang w:val="sr-Latn-RS"/>
        </w:rPr>
        <w:t xml:space="preserve">Heparinom izazvana trombocitopenija </w:t>
      </w:r>
      <w:r w:rsidR="00773844">
        <w:rPr>
          <w:rFonts w:ascii="Times New Roman" w:hAnsi="Times New Roman" w:cs="Times New Roman"/>
          <w:iCs/>
          <w:sz w:val="22"/>
          <w:szCs w:val="22"/>
          <w:u w:val="single"/>
          <w:lang w:val="sr-Latn-RS"/>
        </w:rPr>
        <w:t xml:space="preserve">(HIT) </w:t>
      </w:r>
      <w:r w:rsidRPr="005A0F56">
        <w:rPr>
          <w:rFonts w:ascii="Times New Roman" w:hAnsi="Times New Roman" w:cs="Times New Roman"/>
          <w:iCs/>
          <w:sz w:val="22"/>
          <w:szCs w:val="22"/>
          <w:u w:val="single"/>
          <w:lang w:val="sr-Latn-RS"/>
        </w:rPr>
        <w:t>u anamnezi (&gt;</w:t>
      </w:r>
      <w:r w:rsidR="00773844">
        <w:rPr>
          <w:rFonts w:ascii="Times New Roman" w:hAnsi="Times New Roman" w:cs="Times New Roman"/>
          <w:iCs/>
          <w:sz w:val="22"/>
          <w:szCs w:val="22"/>
          <w:u w:val="single"/>
          <w:lang w:val="sr-Latn-RS"/>
        </w:rPr>
        <w:t xml:space="preserve"> </w:t>
      </w:r>
      <w:r w:rsidRPr="005A0F56">
        <w:rPr>
          <w:rFonts w:ascii="Times New Roman" w:hAnsi="Times New Roman" w:cs="Times New Roman"/>
          <w:iCs/>
          <w:sz w:val="22"/>
          <w:szCs w:val="22"/>
          <w:u w:val="single"/>
          <w:lang w:val="sr-Latn-RS"/>
        </w:rPr>
        <w:t>100 dana)</w:t>
      </w:r>
      <w:r w:rsidR="00773844">
        <w:rPr>
          <w:rFonts w:ascii="Times New Roman" w:eastAsia="TimesNewRoman" w:hAnsi="Times New Roman" w:cs="Times New Roman"/>
          <w:sz w:val="22"/>
          <w:szCs w:val="22"/>
          <w:lang w:val="sr-Latn-RS"/>
        </w:rPr>
        <w:t xml:space="preserve"> </w:t>
      </w:r>
    </w:p>
    <w:p w:rsidR="00990C0C" w:rsidRPr="005A0F56" w:rsidRDefault="00990C0C"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Prim</w:t>
      </w:r>
      <w:r w:rsidR="003F7788"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ena enoksaparin</w:t>
      </w:r>
      <w:r w:rsidR="0077384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kod pacijenata sa imun</w:t>
      </w:r>
      <w:r w:rsidR="00773844">
        <w:rPr>
          <w:rFonts w:ascii="Times New Roman" w:eastAsia="TimesNewRoman" w:hAnsi="Times New Roman" w:cs="Times New Roman"/>
          <w:sz w:val="22"/>
          <w:szCs w:val="22"/>
          <w:lang w:val="sr-Latn-RS"/>
        </w:rPr>
        <w:t>ološki</w:t>
      </w:r>
      <w:r w:rsidRPr="005A0F56">
        <w:rPr>
          <w:rFonts w:ascii="Times New Roman" w:eastAsia="TimesNewRoman" w:hAnsi="Times New Roman" w:cs="Times New Roman"/>
          <w:sz w:val="22"/>
          <w:szCs w:val="22"/>
          <w:lang w:val="sr-Latn-RS"/>
        </w:rPr>
        <w:t xml:space="preserve"> posredovanom HIT u anamnezi u posl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ednjih 100 dana ili u prisustvu cirkulišućih antit</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ela je kontraindikovana (vid</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4.3). Cirkulišuća antit</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ela mogu biti prisutna i nekoliko godina.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77384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treba koristiti sa posebnim oprezom kod pacijenata koji u anamnezi (&gt;100 dana) imaju HIT bez cirkulišućih anti</w:t>
      </w:r>
      <w:r w:rsidR="006C7D96" w:rsidRPr="005A0F56">
        <w:rPr>
          <w:rFonts w:ascii="Times New Roman" w:eastAsia="TimesNewRoman" w:hAnsi="Times New Roman" w:cs="Times New Roman"/>
          <w:sz w:val="22"/>
          <w:szCs w:val="22"/>
          <w:lang w:val="sr-Latn-RS"/>
        </w:rPr>
        <w:t>tije</w:t>
      </w:r>
      <w:r w:rsidRPr="005A0F56">
        <w:rPr>
          <w:rFonts w:ascii="Times New Roman" w:eastAsia="TimesNewRoman" w:hAnsi="Times New Roman" w:cs="Times New Roman"/>
          <w:sz w:val="22"/>
          <w:szCs w:val="22"/>
          <w:lang w:val="sr-Latn-RS"/>
        </w:rPr>
        <w:t>la. Odluka o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 enoksaparin</w:t>
      </w:r>
      <w:r w:rsidR="0077384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u takvom slučaju mora se don</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eti tek nakon pažljive proc</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 xml:space="preserve">ene odnosa koristi i rizika i nakon razmatranja drugih mogućih neheparinskih terapija (npr. </w:t>
      </w:r>
      <w:r w:rsidR="00773844" w:rsidRPr="005A0F56">
        <w:rPr>
          <w:rFonts w:ascii="Times New Roman" w:eastAsia="TimesNewRoman" w:hAnsi="Times New Roman" w:cs="Times New Roman"/>
          <w:sz w:val="22"/>
          <w:szCs w:val="22"/>
          <w:lang w:val="sr-Latn-RS"/>
        </w:rPr>
        <w:t>D</w:t>
      </w:r>
      <w:r w:rsidRPr="005A0F56">
        <w:rPr>
          <w:rFonts w:ascii="Times New Roman" w:eastAsia="TimesNewRoman" w:hAnsi="Times New Roman" w:cs="Times New Roman"/>
          <w:sz w:val="22"/>
          <w:szCs w:val="22"/>
          <w:lang w:val="sr-Latn-RS"/>
        </w:rPr>
        <w:t>anaparoid</w:t>
      </w:r>
      <w:r w:rsidR="0077384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ili lepirudina).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990C0C">
      <w:pPr>
        <w:autoSpaceDE w:val="0"/>
        <w:autoSpaceDN w:val="0"/>
        <w:adjustRightInd w:val="0"/>
        <w:spacing w:after="0" w:line="240" w:lineRule="auto"/>
        <w:jc w:val="both"/>
        <w:rPr>
          <w:rFonts w:ascii="Times New Roman" w:hAnsi="Times New Roman" w:cs="Times New Roman"/>
          <w:iCs/>
          <w:sz w:val="22"/>
          <w:szCs w:val="22"/>
          <w:u w:val="single"/>
          <w:lang w:val="sr-Latn-RS"/>
        </w:rPr>
      </w:pPr>
      <w:r w:rsidRPr="005A0F56">
        <w:rPr>
          <w:rFonts w:ascii="Times New Roman" w:hAnsi="Times New Roman" w:cs="Times New Roman"/>
          <w:iCs/>
          <w:sz w:val="22"/>
          <w:szCs w:val="22"/>
          <w:u w:val="single"/>
          <w:lang w:val="sr-Latn-RS"/>
        </w:rPr>
        <w:t>Praćenje broja trombocita</w:t>
      </w:r>
    </w:p>
    <w:p w:rsidR="00D31828" w:rsidRPr="005A0F56" w:rsidRDefault="00D31828">
      <w:pPr>
        <w:pStyle w:val="ListParagraph"/>
        <w:autoSpaceDE w:val="0"/>
        <w:autoSpaceDN w:val="0"/>
        <w:adjustRightInd w:val="0"/>
        <w:spacing w:after="0" w:line="240" w:lineRule="auto"/>
        <w:jc w:val="both"/>
        <w:rPr>
          <w:rFonts w:ascii="Times New Roman" w:hAnsi="Times New Roman" w:cs="Times New Roman"/>
          <w:i/>
          <w:iCs/>
          <w:sz w:val="22"/>
          <w:szCs w:val="22"/>
          <w:lang w:val="sr-Latn-RS"/>
        </w:rPr>
      </w:pPr>
    </w:p>
    <w:p w:rsidR="00D31828" w:rsidRPr="005A0F56" w:rsidRDefault="00D31828">
      <w:pPr>
        <w:autoSpaceDE w:val="0"/>
        <w:autoSpaceDN w:val="0"/>
        <w:adjustRightInd w:val="0"/>
        <w:spacing w:after="0" w:line="240" w:lineRule="auto"/>
        <w:jc w:val="both"/>
        <w:rPr>
          <w:rFonts w:ascii="Times New Roman" w:hAnsi="Times New Roman" w:cs="Times New Roman"/>
          <w:iCs/>
          <w:sz w:val="22"/>
          <w:szCs w:val="22"/>
          <w:lang w:val="sr-Latn-RS"/>
        </w:rPr>
      </w:pPr>
      <w:r w:rsidRPr="005A0F56">
        <w:rPr>
          <w:rFonts w:ascii="Times New Roman" w:hAnsi="Times New Roman" w:cs="Times New Roman"/>
          <w:iCs/>
          <w:sz w:val="22"/>
          <w:szCs w:val="22"/>
          <w:lang w:val="sr-Latn-RS"/>
        </w:rPr>
        <w:t>Kod pacijenata sa ka</w:t>
      </w:r>
      <w:r w:rsidR="00773844">
        <w:rPr>
          <w:rFonts w:ascii="Times New Roman" w:hAnsi="Times New Roman" w:cs="Times New Roman"/>
          <w:iCs/>
          <w:sz w:val="22"/>
          <w:szCs w:val="22"/>
          <w:lang w:val="sr-Latn-RS"/>
        </w:rPr>
        <w:t>rcinomom</w:t>
      </w:r>
      <w:r w:rsidRPr="005A0F56">
        <w:rPr>
          <w:rFonts w:ascii="Times New Roman" w:hAnsi="Times New Roman" w:cs="Times New Roman"/>
          <w:iCs/>
          <w:sz w:val="22"/>
          <w:szCs w:val="22"/>
          <w:lang w:val="sr-Latn-RS"/>
        </w:rPr>
        <w:t xml:space="preserve"> sa brojem trombocita ispod 80 g/</w:t>
      </w:r>
      <w:r w:rsidR="00773844">
        <w:rPr>
          <w:rFonts w:ascii="Times New Roman" w:hAnsi="Times New Roman" w:cs="Times New Roman"/>
          <w:iCs/>
          <w:sz w:val="22"/>
          <w:szCs w:val="22"/>
          <w:lang w:val="sr-Latn-RS"/>
        </w:rPr>
        <w:t>l</w:t>
      </w:r>
      <w:r w:rsidRPr="005A0F56">
        <w:rPr>
          <w:rFonts w:ascii="Times New Roman" w:hAnsi="Times New Roman" w:cs="Times New Roman"/>
          <w:iCs/>
          <w:sz w:val="22"/>
          <w:szCs w:val="22"/>
          <w:lang w:val="sr-Latn-RS"/>
        </w:rPr>
        <w:t>, antikoagulaciona terapija se može razmatrati samo od slučaja do slučaja i preporučuje se pažljivo praćenje.</w:t>
      </w:r>
    </w:p>
    <w:p w:rsidR="00D31828" w:rsidRPr="005A0F56" w:rsidRDefault="00D31828">
      <w:pPr>
        <w:autoSpaceDE w:val="0"/>
        <w:autoSpaceDN w:val="0"/>
        <w:adjustRightInd w:val="0"/>
        <w:spacing w:after="0" w:line="240" w:lineRule="auto"/>
        <w:jc w:val="both"/>
        <w:rPr>
          <w:rFonts w:ascii="Times New Roman" w:hAnsi="Times New Roman" w:cs="Times New Roman"/>
          <w:iCs/>
          <w:sz w:val="22"/>
          <w:szCs w:val="22"/>
          <w:lang w:val="sr-Latn-RS"/>
        </w:rPr>
      </w:pP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Rizik od HIT posredovanog antit</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elima postoji i kod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LMWHs. Ako dođe do trombocitopenije, ona obično nastupa između 5. i 21. dana nakon početka terapije enoksaparin</w:t>
      </w:r>
      <w:r w:rsidR="0077384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Rizik od HIT je veći u postoperativnom periodu i to uglavnom nakon operacije srca i kod pacijenata sa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malignitetima.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Zbog toga se preporučuje da se broj trombocita odredi pr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započinjanja terapije enoksaparin</w:t>
      </w:r>
      <w:r w:rsidR="0077384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i dalje redovno tokom trajanja l</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ečenja.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Ako postoje klinički simptomi koji ukaziju na HIT (bilo koja nova epizoda arterijske i/ili venske</w:t>
      </w:r>
      <w:r w:rsidR="0077384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tromboembolije, bolna kožna lezija na m</w:t>
      </w:r>
      <w:r w:rsidR="003F7788"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estu davanja injekcije te alergijska ili anafilaktoidna reakcija tokom terapije), treba odrediti broj trombocita. Pacijenti treba da budu sv</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esni da može doći do pojave ovih simptoma i da u tom slučaju treba o tome da obav</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este svog 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ekara.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 praksi, ako je potvrđeno da je broj trombocita značajno smanjen (30 do 50% početne vr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ednosti), terapija enoksaparin</w:t>
      </w:r>
      <w:r w:rsidR="0077384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se mora prekinuti odmah i započeti druga terapija koja nije na bazi heparina.</w:t>
      </w:r>
    </w:p>
    <w:p w:rsidR="00990C0C" w:rsidRPr="005A0F56" w:rsidRDefault="00990C0C">
      <w:pPr>
        <w:autoSpaceDE w:val="0"/>
        <w:autoSpaceDN w:val="0"/>
        <w:adjustRightInd w:val="0"/>
        <w:spacing w:after="0" w:line="240" w:lineRule="auto"/>
        <w:jc w:val="both"/>
        <w:rPr>
          <w:rFonts w:ascii="Times New Roman" w:hAnsi="Times New Roman" w:cs="Times New Roman"/>
          <w:iCs/>
          <w:sz w:val="22"/>
          <w:szCs w:val="22"/>
          <w:lang w:val="sr-Latn-RS"/>
        </w:rPr>
      </w:pPr>
      <w:r w:rsidRPr="005A0F56">
        <w:rPr>
          <w:rFonts w:ascii="Times New Roman" w:hAnsi="Times New Roman" w:cs="Times New Roman"/>
          <w:iCs/>
          <w:sz w:val="22"/>
          <w:szCs w:val="22"/>
          <w:u w:val="single"/>
          <w:lang w:val="sr-Latn-RS"/>
        </w:rPr>
        <w:lastRenderedPageBreak/>
        <w:t>Krvarenje</w:t>
      </w:r>
      <w:r w:rsidR="00F947B9" w:rsidRPr="005A0F56">
        <w:rPr>
          <w:rFonts w:ascii="Times New Roman" w:hAnsi="Times New Roman" w:cs="Times New Roman"/>
          <w:iCs/>
          <w:sz w:val="22"/>
          <w:szCs w:val="22"/>
          <w:u w:val="single"/>
          <w:lang w:val="sr-Latn-RS"/>
        </w:rPr>
        <w:br/>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Kao i sa drugim antikoagulansima, krvarenje se može desiti na bilo kojem 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estu. Ako se javi krvarenje,</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treba utvrditi por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eklo krvarenja i uvesti odgovarajuću terapiju.</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77384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kao i bilo koju drugu antikoagulantnu terapiju, treba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enjiv</w:t>
      </w:r>
      <w:r w:rsidR="006C7D96" w:rsidRPr="005A0F56">
        <w:rPr>
          <w:rFonts w:ascii="Times New Roman" w:eastAsia="TimesNewRoman" w:hAnsi="Times New Roman" w:cs="Times New Roman"/>
          <w:sz w:val="22"/>
          <w:szCs w:val="22"/>
          <w:lang w:val="sr-Latn-RS"/>
        </w:rPr>
        <w:t>ati uz oprez u stan</w:t>
      </w:r>
      <w:r w:rsidRPr="005A0F56">
        <w:rPr>
          <w:rFonts w:ascii="Times New Roman" w:eastAsia="TimesNewRoman" w:hAnsi="Times New Roman" w:cs="Times New Roman"/>
          <w:sz w:val="22"/>
          <w:szCs w:val="22"/>
          <w:lang w:val="sr-Latn-RS"/>
        </w:rPr>
        <w:t>jima povećanog rizika od mogućeg krvarenja, kao što su:</w:t>
      </w:r>
    </w:p>
    <w:p w:rsidR="00990C0C" w:rsidRPr="005A0F56" w:rsidRDefault="00F947B9">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 xml:space="preserve">- </w:t>
      </w:r>
      <w:r w:rsidR="00990C0C" w:rsidRPr="005A0F56">
        <w:rPr>
          <w:rFonts w:ascii="Times New Roman" w:hAnsi="Times New Roman" w:cs="Times New Roman"/>
          <w:sz w:val="22"/>
          <w:szCs w:val="22"/>
          <w:lang w:val="sr-Latn-RS"/>
        </w:rPr>
        <w:t xml:space="preserve"> </w:t>
      </w:r>
      <w:r w:rsidR="00773844">
        <w:rPr>
          <w:rFonts w:ascii="Times New Roman" w:eastAsia="TimesNewRoman" w:hAnsi="Times New Roman" w:cs="Times New Roman"/>
          <w:sz w:val="22"/>
          <w:szCs w:val="22"/>
          <w:lang w:val="sr-Latn-RS"/>
        </w:rPr>
        <w:t>poremećaj</w:t>
      </w:r>
      <w:r w:rsidR="00773844" w:rsidRPr="005A0F56">
        <w:rPr>
          <w:rFonts w:ascii="Times New Roman" w:eastAsia="TimesNew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hemostaza</w:t>
      </w:r>
    </w:p>
    <w:p w:rsidR="00990C0C" w:rsidRPr="005A0F56" w:rsidRDefault="00F947B9">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peptični ulkus u anamnezi</w:t>
      </w:r>
    </w:p>
    <w:p w:rsidR="00990C0C" w:rsidRPr="005A0F56" w:rsidRDefault="00F947B9">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nedavni ishemijski moždani udar</w:t>
      </w:r>
    </w:p>
    <w:p w:rsidR="00990C0C" w:rsidRPr="005A0F56" w:rsidRDefault="00F947B9">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teška arterijska hipertenzija</w:t>
      </w:r>
    </w:p>
    <w:p w:rsidR="00990C0C" w:rsidRPr="005A0F56" w:rsidRDefault="00F947B9">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nedavna dijabetička retinopatija</w:t>
      </w:r>
    </w:p>
    <w:p w:rsidR="00990C0C" w:rsidRPr="005A0F56" w:rsidRDefault="00F947B9">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oftalmološk</w:t>
      </w:r>
      <w:r w:rsidR="00773844">
        <w:rPr>
          <w:rFonts w:ascii="Times New Roman" w:eastAsia="TimesNewRoman" w:hAnsi="Times New Roman" w:cs="Times New Roman"/>
          <w:sz w:val="22"/>
          <w:szCs w:val="22"/>
          <w:lang w:val="sr-Latn-RS"/>
        </w:rPr>
        <w:t>i</w:t>
      </w:r>
      <w:r w:rsidR="00990C0C" w:rsidRPr="005A0F56">
        <w:rPr>
          <w:rFonts w:ascii="Times New Roman" w:eastAsia="TimesNewRoman" w:hAnsi="Times New Roman" w:cs="Times New Roman"/>
          <w:sz w:val="22"/>
          <w:szCs w:val="22"/>
          <w:lang w:val="sr-Latn-RS"/>
        </w:rPr>
        <w:t xml:space="preserve"> ili neurohiruršk</w:t>
      </w:r>
      <w:r w:rsidR="00773844">
        <w:rPr>
          <w:rFonts w:ascii="Times New Roman" w:eastAsia="TimesNewRoman" w:hAnsi="Times New Roman" w:cs="Times New Roman"/>
          <w:sz w:val="22"/>
          <w:szCs w:val="22"/>
          <w:lang w:val="sr-Latn-RS"/>
        </w:rPr>
        <w:t>i</w:t>
      </w:r>
      <w:r w:rsidR="00990C0C" w:rsidRPr="005A0F56">
        <w:rPr>
          <w:rFonts w:ascii="Times New Roman" w:eastAsia="TimesNewRoman" w:hAnsi="Times New Roman" w:cs="Times New Roman"/>
          <w:sz w:val="22"/>
          <w:szCs w:val="22"/>
          <w:lang w:val="sr-Latn-RS"/>
        </w:rPr>
        <w:t xml:space="preserve"> </w:t>
      </w:r>
      <w:r w:rsidR="00773844">
        <w:rPr>
          <w:rFonts w:ascii="Times New Roman" w:eastAsia="TimesNewRoman" w:hAnsi="Times New Roman" w:cs="Times New Roman"/>
          <w:sz w:val="22"/>
          <w:szCs w:val="22"/>
          <w:lang w:val="sr-Latn-RS"/>
        </w:rPr>
        <w:t>hiruški zahvat</w:t>
      </w:r>
      <w:r w:rsidR="00990C0C" w:rsidRPr="005A0F56">
        <w:rPr>
          <w:rFonts w:ascii="Times New Roman" w:eastAsia="TimesNewRoman" w:hAnsi="Times New Roman" w:cs="Times New Roman"/>
          <w:sz w:val="22"/>
          <w:szCs w:val="22"/>
          <w:lang w:val="sr-Latn-RS"/>
        </w:rPr>
        <w:t>,</w:t>
      </w:r>
    </w:p>
    <w:p w:rsidR="00990C0C" w:rsidRPr="005A0F56" w:rsidRDefault="00F947B9">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 xml:space="preserve">istovremena </w:t>
      </w:r>
      <w:r w:rsidR="00773844">
        <w:rPr>
          <w:rFonts w:ascii="Times New Roman" w:eastAsia="TimesNewRoman" w:hAnsi="Times New Roman" w:cs="Times New Roman"/>
          <w:sz w:val="22"/>
          <w:szCs w:val="22"/>
          <w:lang w:val="sr-Latn-RS"/>
        </w:rPr>
        <w:t>primjena</w:t>
      </w:r>
      <w:r w:rsidR="00773844" w:rsidRPr="005A0F56">
        <w:rPr>
          <w:rFonts w:ascii="Times New Roman" w:eastAsia="TimesNew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l</w:t>
      </w:r>
      <w:r w:rsidR="006C7D96"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ekova koji utiču na hemostazu (vid</w:t>
      </w:r>
      <w:r w:rsidR="006C7D96"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eti od</w:t>
      </w:r>
      <w:r w:rsidR="006C7D96"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eljak 4.5)</w:t>
      </w:r>
    </w:p>
    <w:p w:rsidR="00990C0C" w:rsidRPr="005A0F56" w:rsidRDefault="00990C0C">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p>
    <w:p w:rsidR="00990C0C" w:rsidRPr="005A0F56" w:rsidRDefault="00F947B9">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Laboratorijski testovi</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 dozama koje se koriste za profilaksu venske tromboembolije,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ne utiče značajno na vr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eme krvarenja i opšte testove koagulacije, niti utiče na agregaciju trombocita ili vezivanje fibrinogena za trombocite.</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 većim dozama, može se javiti produženje aktiviranog parcijalnog tromboplastinskog vremena (engl.</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hAnsi="Times New Roman" w:cs="Times New Roman"/>
          <w:i/>
          <w:iCs/>
          <w:sz w:val="22"/>
          <w:szCs w:val="22"/>
          <w:lang w:val="sr-Latn-RS"/>
        </w:rPr>
        <w:t>Activated Partial Thromboplastin Time</w:t>
      </w:r>
      <w:r w:rsidRPr="005A0F56">
        <w:rPr>
          <w:rFonts w:ascii="Times New Roman" w:eastAsia="TimesNewRoman" w:hAnsi="Times New Roman" w:cs="Times New Roman"/>
          <w:sz w:val="22"/>
          <w:szCs w:val="22"/>
          <w:lang w:val="sr-Latn-RS"/>
        </w:rPr>
        <w:t xml:space="preserve">, aPTT) i aktiviranog vremena zgrušavanja (engl. </w:t>
      </w:r>
      <w:r w:rsidRPr="005A0F56">
        <w:rPr>
          <w:rFonts w:ascii="Times New Roman" w:hAnsi="Times New Roman" w:cs="Times New Roman"/>
          <w:i/>
          <w:iCs/>
          <w:sz w:val="22"/>
          <w:szCs w:val="22"/>
          <w:lang w:val="sr-Latn-RS"/>
        </w:rPr>
        <w:t>Activated Clotting Time</w:t>
      </w:r>
      <w:r w:rsidRPr="005A0F56">
        <w:rPr>
          <w:rFonts w:ascii="Times New Roman" w:eastAsia="TimesNewRoman" w:hAnsi="Times New Roman" w:cs="Times New Roman"/>
          <w:sz w:val="22"/>
          <w:szCs w:val="22"/>
          <w:lang w:val="sr-Latn-RS"/>
        </w:rPr>
        <w:t>, ACT). Budući da produženje aPTT-a i ACT-a nije u linearnoj korelaciji s povećanjem antitrombinske aktivnosti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zbog toga ni</w:t>
      </w:r>
      <w:r w:rsidR="000B4A0B">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su prikladna ni pouzdana za praćenje aktivnosti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w:t>
      </w:r>
    </w:p>
    <w:p w:rsidR="00990C0C" w:rsidRPr="005A0F56" w:rsidRDefault="001B616D">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br/>
      </w:r>
      <w:r w:rsidR="00F947B9" w:rsidRPr="00B508FF">
        <w:rPr>
          <w:rFonts w:ascii="Times New Roman" w:hAnsi="Times New Roman" w:cs="Times New Roman"/>
          <w:sz w:val="22"/>
          <w:szCs w:val="22"/>
        </w:rPr>
        <w:sym w:font="Symbol" w:char="F0B7"/>
      </w:r>
      <w:r w:rsidR="00F947B9" w:rsidRPr="00B508FF">
        <w:rPr>
          <w:rFonts w:ascii="Times New Roman" w:hAnsi="Times New Roman" w:cs="Times New Roman"/>
          <w:sz w:val="22"/>
          <w:szCs w:val="22"/>
        </w:rPr>
        <w:t xml:space="preserve"> </w:t>
      </w:r>
      <w:r w:rsidR="00F947B9"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Spinalna/epiduralna anestezija ili lumbalna punkcija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Spinalna/epiduralna anestezija ili lumbalna punkcija ne sm</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se izvoditi unutar 24 sata od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u terapijskim dozama (vid</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4.3).</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Bilo je slučajeva neuroaksijalnih hematoma prijavljenih tokom istovremene upotrebe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i spinalne/epiduralne anestezije ili postupka spinalne punkcije koji su doveli do dugotrajne ili permanentne paralize. Ovi slučajevi su r</w:t>
      </w:r>
      <w:r w:rsidR="006C7D96"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etki kada se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enjuje u dozama od 4000 i.j. (40 mg) jednom na dan ili nižima. Rizik od tih događaja je veći kod upotrebe postoperativnih trajnih epiduralnih katetera, istovremene prim</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dodatnih 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ekova koji utiču na hemostazu kao što su nesteroidni antiinflamatorni l</w:t>
      </w:r>
      <w:r w:rsidR="006C7D96"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ekovi (NSAIL), kod traumatske ili ponovljene epiduralne ili spinalne punkcije, ili kod pacijenata sa operacijom kičme ili deformitetom kičme u anamnezi.</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Kako bi se smanjio mogući rizik od krvarenja povezanog sa istovremenom upotrebom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i epiduralne ili spinalne anestezije/analgezije ili spinalne punkcije, razmotrite farmakokinetički profil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5.2). Postavljanje ili uklanjanje epiduralnog katetera ili lumbalnu punkciju je najbolje obaviti kada je antikoagulantni efekat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nizak; međutim, tačno vr</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eme za postizanje dovoljno niskog antikoagulantnog efekta kod svakog pacijenta nije utvrđeno. Potrebno je dodatno razmotriti prim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kod pacijenata kod kojih je klirens kreatinina 15-30 m</w:t>
      </w:r>
      <w:r w:rsidR="000B4A0B">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/min, jer je kod njih eliminacija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još više produžena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eljak4.2).</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Ako l</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ekar odluči prim</w:t>
      </w:r>
      <w:r w:rsidR="003F7788"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eniti antikoagulans uz epiduralnu ili spinalnu anesteziju/analgeziju ili lumbalnu</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punkciju, moraju se sprovoditi česte kontrole kako bi se uočili bilo kakvi znaci ili simptomi neurološkog</w:t>
      </w:r>
      <w:r w:rsidR="001B616D"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 xml:space="preserve">oštećenja, kao što su bol u </w:t>
      </w:r>
      <w:r w:rsidR="000B4A0B">
        <w:rPr>
          <w:rFonts w:ascii="Times New Roman" w:eastAsia="TimesNewRoman" w:hAnsi="Times New Roman" w:cs="Times New Roman"/>
          <w:sz w:val="22"/>
          <w:szCs w:val="22"/>
          <w:lang w:val="sr-Latn-RS"/>
        </w:rPr>
        <w:t>cenralnom</w:t>
      </w:r>
      <w:r w:rsidR="000B4A0B"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d</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elu leđa, senzorni i motorički deficiti (utrnulost ili slabost u donjim ekstremitetima), disfunkcija cr</w:t>
      </w:r>
      <w:r w:rsidR="000B4A0B">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eva i/ili mokraćne bešike. Pacijente treba uputiti da prijave odmah pojavu bilo kojeg od gore navedenih znakova ili simptoma. Ukoliko se sumnja na znakove ili simptome spinalnog hematoma, potrebno je hitno postaviti dijagnozu i započeti terapiju, uključujući razmatranje dekomresije kičmene moždine, iako ovaj tip terapije možda ne dovede do sprečavanja ili povlačenja neuroločkih sekvela.</w:t>
      </w:r>
    </w:p>
    <w:p w:rsidR="00990C0C" w:rsidRPr="006921A1" w:rsidRDefault="00990C0C" w:rsidP="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F947B9" w:rsidP="005A0F56">
      <w:pPr>
        <w:autoSpaceDE w:val="0"/>
        <w:autoSpaceDN w:val="0"/>
        <w:adjustRightInd w:val="0"/>
        <w:spacing w:after="0" w:line="240" w:lineRule="auto"/>
        <w:jc w:val="both"/>
        <w:rPr>
          <w:rFonts w:ascii="Times New Roman" w:hAnsi="Times New Roman" w:cs="Times New Roman"/>
          <w:i/>
          <w:iCs/>
          <w:sz w:val="22"/>
          <w:szCs w:val="22"/>
          <w:lang w:val="sr-Latn-RS"/>
        </w:rPr>
      </w:pPr>
      <w:r w:rsidRPr="006921A1">
        <w:sym w:font="Symbol" w:char="F0B7"/>
      </w:r>
      <w:r w:rsidRPr="006921A1">
        <w:t xml:space="preserve"> </w:t>
      </w:r>
      <w:r w:rsidRPr="006921A1">
        <w:tab/>
      </w:r>
      <w:r w:rsidR="00990C0C" w:rsidRPr="005A0F56">
        <w:rPr>
          <w:rFonts w:ascii="Times New Roman" w:hAnsi="Times New Roman" w:cs="Times New Roman"/>
          <w:i/>
          <w:iCs/>
          <w:sz w:val="22"/>
          <w:szCs w:val="22"/>
          <w:lang w:val="sr-Latn-RS"/>
        </w:rPr>
        <w:t>Nekroza kože / kožni vaskulitis</w:t>
      </w:r>
    </w:p>
    <w:p w:rsidR="00990C0C" w:rsidRPr="005A0F56" w:rsidRDefault="00990C0C"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prim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 xml:space="preserve">ene </w:t>
      </w:r>
      <w:r w:rsidR="00E23F82" w:rsidRPr="005A0F56">
        <w:rPr>
          <w:rFonts w:ascii="Times New Roman" w:eastAsia="TimesNewRoman" w:hAnsi="Times New Roman" w:cs="Times New Roman"/>
          <w:sz w:val="22"/>
          <w:szCs w:val="22"/>
          <w:lang w:val="sr-Latn-RS"/>
        </w:rPr>
        <w:t>niskomolekularnih heparina prij</w:t>
      </w:r>
      <w:r w:rsidRPr="005A0F56">
        <w:rPr>
          <w:rFonts w:ascii="Times New Roman" w:eastAsia="TimesNewRoman" w:hAnsi="Times New Roman" w:cs="Times New Roman"/>
          <w:sz w:val="22"/>
          <w:szCs w:val="22"/>
          <w:lang w:val="sr-Latn-RS"/>
        </w:rPr>
        <w:t>a</w:t>
      </w:r>
      <w:r w:rsidR="00E23F82" w:rsidRPr="005A0F56">
        <w:rPr>
          <w:rFonts w:ascii="Times New Roman" w:eastAsia="TimesNewRoman" w:hAnsi="Times New Roman" w:cs="Times New Roman"/>
          <w:sz w:val="22"/>
          <w:szCs w:val="22"/>
          <w:lang w:val="sr-Latn-RS"/>
        </w:rPr>
        <w:t>v</w:t>
      </w:r>
      <w:r w:rsidRPr="005A0F56">
        <w:rPr>
          <w:rFonts w:ascii="Times New Roman" w:eastAsia="TimesNewRoman" w:hAnsi="Times New Roman" w:cs="Times New Roman"/>
          <w:sz w:val="22"/>
          <w:szCs w:val="22"/>
          <w:lang w:val="sr-Latn-RS"/>
        </w:rPr>
        <w:t>ljeni su slučajevi nekroze kože i kožnog vaskulitisa, te</w:t>
      </w:r>
      <w:r w:rsidR="001B616D"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njihova pojava vodi do brzog okončanja terapije.</w:t>
      </w:r>
    </w:p>
    <w:p w:rsidR="00990C0C"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8327B6" w:rsidRPr="005A0F56" w:rsidRDefault="008327B6">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F947B9">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lastRenderedPageBreak/>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Postupci perkutane koronarne intervencije</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Kako bi se smanjio rizik od krvarenja nakon koronarne angioplastike tokom terapije nestabilne angine,</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NSTEMI i akutnog STEMI, treba se tačno pridržavati preporučenih intervala između injekcionih doza</w:t>
      </w:r>
    </w:p>
    <w:p w:rsidR="00990C0C" w:rsidRPr="005A0F56" w:rsidRDefault="000B4A0B">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w:t>
      </w:r>
      <w:r w:rsidR="00990C0C" w:rsidRPr="005A0F56">
        <w:rPr>
          <w:rFonts w:ascii="Times New Roman" w:eastAsia="TimesNewRoman" w:hAnsi="Times New Roman" w:cs="Times New Roman"/>
          <w:sz w:val="22"/>
          <w:szCs w:val="22"/>
          <w:lang w:val="sr-Latn-RS"/>
        </w:rPr>
        <w:t>noksaparin</w:t>
      </w:r>
      <w:r>
        <w:rPr>
          <w:rFonts w:ascii="Times New Roman" w:eastAsia="TimesNew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natrijuma. Važno je postići hemostazu na m</w:t>
      </w:r>
      <w:r w:rsidR="00E23F82"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estu uboda nakon PCI. Ukoliko se koristi vaskularna kopča, ovojnica se može odmah ukloniti. Ukoliko se prim</w:t>
      </w:r>
      <w:r w:rsidR="00E23F82"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enjuje metod ručne kompresije, ovojnicu bi trebalo ukloniti 6 sati nakon posl</w:t>
      </w:r>
      <w:r w:rsidR="00E23F82"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ednje i.v./s.c. injekcije enoksaparin</w:t>
      </w:r>
      <w:r>
        <w:rPr>
          <w:rFonts w:ascii="Times New Roman" w:eastAsia="TimesNew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natrijuma. Ako treba nastaviti terapiju enoksaparin</w:t>
      </w:r>
      <w:r>
        <w:rPr>
          <w:rFonts w:ascii="Times New Roman" w:eastAsia="TimesNew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natrijumom, sl</w:t>
      </w:r>
      <w:r w:rsidR="00E23F82"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edeća doza prema rasporedu treba se prim</w:t>
      </w:r>
      <w:r>
        <w:rPr>
          <w:rFonts w:ascii="Times New Roman" w:eastAsia="TimesNewRoman" w:hAnsi="Times New Roman" w:cs="Times New Roman"/>
          <w:sz w:val="22"/>
          <w:szCs w:val="22"/>
          <w:lang w:val="sr-Latn-RS"/>
        </w:rPr>
        <w:t>ij</w:t>
      </w:r>
      <w:r w:rsidR="00990C0C" w:rsidRPr="005A0F56">
        <w:rPr>
          <w:rFonts w:ascii="Times New Roman" w:eastAsia="TimesNewRoman" w:hAnsi="Times New Roman" w:cs="Times New Roman"/>
          <w:sz w:val="22"/>
          <w:szCs w:val="22"/>
          <w:lang w:val="sr-Latn-RS"/>
        </w:rPr>
        <w:t>eniti tek 6 do 8 sati nakon uklanjanja ovojnice. M</w:t>
      </w:r>
      <w:r w:rsidR="00E23F82"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esto na kojem je sproveden zahvat treba pratiti zbog moguće pojave znakova krvarenja ili nastanka hematoma.</w:t>
      </w:r>
    </w:p>
    <w:p w:rsidR="00990C0C" w:rsidRPr="005A0F56" w:rsidRDefault="001B616D">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br/>
      </w:r>
      <w:r w:rsidR="00F947B9" w:rsidRPr="00B508FF">
        <w:rPr>
          <w:rFonts w:ascii="Times New Roman" w:hAnsi="Times New Roman" w:cs="Times New Roman"/>
          <w:sz w:val="22"/>
          <w:szCs w:val="22"/>
        </w:rPr>
        <w:sym w:font="Symbol" w:char="F0B7"/>
      </w:r>
      <w:r w:rsidR="00F947B9" w:rsidRPr="00B508FF">
        <w:rPr>
          <w:rFonts w:ascii="Times New Roman" w:hAnsi="Times New Roman" w:cs="Times New Roman"/>
          <w:sz w:val="22"/>
          <w:szCs w:val="22"/>
        </w:rPr>
        <w:t xml:space="preserve"> </w:t>
      </w:r>
      <w:r w:rsidR="00F947B9"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Akutni infektivni endokarditis</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Prim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ena heparina obično se ne preporučuje kod pacijenata sa akutnim infektivnim endokarditisom zbog</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rizika od cerebralnog krvarenja. Ako se smatra da je takva prim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ena neophodna, odluka mora biti zasnovana samo nakon pažljive individualne proc</w:t>
      </w:r>
      <w:r w:rsidR="000B4A0B">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odnosa koristi i rizika.</w:t>
      </w:r>
    </w:p>
    <w:p w:rsidR="00990C0C" w:rsidRPr="005A0F56" w:rsidRDefault="001B616D">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br/>
      </w:r>
      <w:r w:rsidR="00F947B9" w:rsidRPr="00B508FF">
        <w:rPr>
          <w:rFonts w:ascii="Times New Roman" w:hAnsi="Times New Roman" w:cs="Times New Roman"/>
          <w:sz w:val="22"/>
          <w:szCs w:val="22"/>
        </w:rPr>
        <w:sym w:font="Symbol" w:char="F0B7"/>
      </w:r>
      <w:r w:rsidR="00F947B9" w:rsidRPr="00B508FF">
        <w:rPr>
          <w:rFonts w:ascii="Times New Roman" w:hAnsi="Times New Roman" w:cs="Times New Roman"/>
          <w:sz w:val="22"/>
          <w:szCs w:val="22"/>
        </w:rPr>
        <w:t xml:space="preserve"> </w:t>
      </w:r>
      <w:r w:rsidR="00F947B9"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Mehanički veštački srčani zalisci</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Prim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ena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za tromboprofilaksu kod pacijenata sa mehaničkim v</w:t>
      </w:r>
      <w:r w:rsidR="000B4A0B">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eštačkim srčanim</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zaliscima nije adekvatno ispitana. Kod pacijenata sa mehaničkim v</w:t>
      </w:r>
      <w:r w:rsidR="000B4A0B">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eštačkim srčanim zaliscima koji su</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primali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za tromboprofilaksu prijavljeni su izolovani slučajevi tromboze v</w:t>
      </w:r>
      <w:r w:rsidR="00E23F82" w:rsidRPr="005A0F56">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štačkog</w:t>
      </w:r>
      <w:r w:rsidR="00E23F8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srčanog zaliska. Doprinoseći faktori, uključujući osnovnu bolest i nedovoljno kliničkih podataka,</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ograničavaju proc</w:t>
      </w:r>
      <w:r w:rsidR="000B4A0B">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ovih slučajeva. Neki od ovih slučajeva zab</w:t>
      </w:r>
      <w:r w:rsidR="00E23F82" w:rsidRPr="005A0F56">
        <w:rPr>
          <w:rFonts w:ascii="Times New Roman" w:eastAsia="TimesNewRoman" w:hAnsi="Times New Roman" w:cs="Times New Roman"/>
          <w:sz w:val="22"/>
          <w:szCs w:val="22"/>
          <w:lang w:val="sr-Latn-RS"/>
        </w:rPr>
        <w:t>i</w:t>
      </w:r>
      <w:r w:rsidRPr="005A0F56">
        <w:rPr>
          <w:rFonts w:ascii="Times New Roman" w:eastAsia="TimesNewRoman" w:hAnsi="Times New Roman" w:cs="Times New Roman"/>
          <w:sz w:val="22"/>
          <w:szCs w:val="22"/>
          <w:lang w:val="sr-Latn-RS"/>
        </w:rPr>
        <w:t>l</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eženi su kod trudnica kod kojih je</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tromboza dovela do smrti majke i ploda.</w:t>
      </w:r>
    </w:p>
    <w:p w:rsidR="00990C0C" w:rsidRPr="005A0F56" w:rsidRDefault="001B616D">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br/>
      </w:r>
      <w:r w:rsidR="00F947B9" w:rsidRPr="00B508FF">
        <w:rPr>
          <w:rFonts w:ascii="Times New Roman" w:hAnsi="Times New Roman" w:cs="Times New Roman"/>
          <w:sz w:val="22"/>
          <w:szCs w:val="22"/>
        </w:rPr>
        <w:sym w:font="Symbol" w:char="F0B7"/>
      </w:r>
      <w:r w:rsidR="00F947B9" w:rsidRPr="00B508FF">
        <w:rPr>
          <w:rFonts w:ascii="Times New Roman" w:hAnsi="Times New Roman" w:cs="Times New Roman"/>
          <w:sz w:val="22"/>
          <w:szCs w:val="22"/>
        </w:rPr>
        <w:t xml:space="preserve"> </w:t>
      </w:r>
      <w:r w:rsidR="00F947B9"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Trudnice sa mehaničkim v</w:t>
      </w:r>
      <w:r w:rsidR="000B4A0B">
        <w:rPr>
          <w:rFonts w:ascii="Times New Roman" w:hAnsi="Times New Roman" w:cs="Times New Roman"/>
          <w:i/>
          <w:iCs/>
          <w:sz w:val="22"/>
          <w:szCs w:val="22"/>
          <w:lang w:val="sr-Latn-RS"/>
        </w:rPr>
        <w:t>j</w:t>
      </w:r>
      <w:r w:rsidR="00990C0C" w:rsidRPr="005A0F56">
        <w:rPr>
          <w:rFonts w:ascii="Times New Roman" w:hAnsi="Times New Roman" w:cs="Times New Roman"/>
          <w:i/>
          <w:iCs/>
          <w:sz w:val="22"/>
          <w:szCs w:val="22"/>
          <w:lang w:val="sr-Latn-RS"/>
        </w:rPr>
        <w:t>eštačkim srčanim zaliscima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Prim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ena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za tromboprofilaksu kod trudnica sa mehaničkim v</w:t>
      </w:r>
      <w:r w:rsidR="003F7788"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eštačkim srčanim</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zaliscima nije adekvatno ispitana. U kliničkoj studiji kod trudnica sa mehaničkim v</w:t>
      </w:r>
      <w:r w:rsidR="003F7788"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eštačkim srčanim</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zaliscima koje su primale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(100 i.j./kg (1 mg/kg) dva puta na dan) u cilju smanjenja</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rizika od tromboembolijskih događaja, kod 2 od 8 žena nastali su krvni ugrušci koji su uzrokovali</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opstrukciju zaliska i tako doveli do smrti majke i ploda. Tokom postmarketinškog praćenja, registrovani su izolovani slučajevi pojave tromboze zaliska kod trudnica sa mehaničkim srčanim zaliscima, koje su primale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za tromboprofilaksu. Trudnice sa mehaničkim srčanim zaliscima mogu imati povećani rizik od pojave tromboembolije.</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F947B9">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Starije osobe</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Nije prim</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ećena povećana sklonost ka krvarenju kod starijih lica koja su primala l</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ek u profilaktičkom rasponu doza. Stariji pacijenti (naročito pacijenti od osamdeset godina i stariji) mogu imati povećani rizik od pojave komplikacija krvarenja kod terapijskog raspona doziranja. Kod pacijenata starijih od 75 godina na terapiji zbog STEMI-ja sav</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etuje se pažljivo kliničko praćenje, a može se razmotriti i smanjenje doze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eljke 4.2 i 5.2).</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F947B9">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Oštećenje funkcije bubrega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sa oštećenom funkcijom bubrega, postoji povećana izloženost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natrijumu što</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povećava rizik od pojave krvarenja. Kod ovih pacijenata sav</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etuje se pažljivo kliničko praćenje, a može se razmotriti i biološko praćenje određivanjem anti-Xa aktivnosti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eljke 4.2 i 5.2).</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se ne preporučuje kod pacijenata u terminalnoj fazi renalne bolesti (klirens kreatinina &lt;</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15 m</w:t>
      </w:r>
      <w:r w:rsidR="000B4A0B">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/min) zbog nedovoljno podataka u ovoj populaciji van prim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u prevenciji tromboze u ekstrakorporalnoj cirkulaciji tokom hemodijalize.</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Kako je izloženost enoksaparin</w:t>
      </w:r>
      <w:r w:rsidR="000B4A0B">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natirjumu značajno povećana kod pacijenata sa teškim oštećenjem funkcije bubrega (klirens kreatinina 15-30 m</w:t>
      </w:r>
      <w:r w:rsidR="000B4A0B">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/min), preporučuje se prilagođavanje doze za terapijske i profilaktičke raspone doza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4.2).</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Ne preporučuje se prilagođavanje doze kod pacijenata sa um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erenim (klirens kreatinina 30-50 m</w:t>
      </w:r>
      <w:r w:rsidR="00E417D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/min) i blagim (klirens kreatinina 50-80 m</w:t>
      </w:r>
      <w:r w:rsidR="00E417D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/min) oštećenjem funkcije bubrega.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F947B9">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Oštećenje funkcije jetre</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Kod pacijenata sa oštećenom funkcijom jetre, enoksaparin</w:t>
      </w:r>
      <w:r w:rsidR="00E417D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treba prim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enjivati oprezno zbog</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povećanog rizika od nastanka krvarenja. Prilgaođavanje doze zasnovano na praćenju nivoa anti-Xa je</w:t>
      </w:r>
    </w:p>
    <w:p w:rsidR="008327B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nepouzdano kod pacijenata sa cirozom jetre, pa se zbog toga ne preporučuje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5.2).</w:t>
      </w:r>
    </w:p>
    <w:p w:rsidR="00990C0C" w:rsidRPr="008327B6" w:rsidRDefault="001B616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lastRenderedPageBreak/>
        <w:br/>
      </w:r>
      <w:r w:rsidR="00F947B9" w:rsidRPr="00B508FF">
        <w:rPr>
          <w:rFonts w:ascii="Times New Roman" w:hAnsi="Times New Roman" w:cs="Times New Roman"/>
          <w:sz w:val="22"/>
          <w:szCs w:val="22"/>
        </w:rPr>
        <w:sym w:font="Symbol" w:char="F0B7"/>
      </w:r>
      <w:r w:rsidR="00F947B9" w:rsidRPr="00B508FF">
        <w:rPr>
          <w:rFonts w:ascii="Times New Roman" w:hAnsi="Times New Roman" w:cs="Times New Roman"/>
          <w:sz w:val="22"/>
          <w:szCs w:val="22"/>
        </w:rPr>
        <w:t xml:space="preserve"> </w:t>
      </w:r>
      <w:r w:rsidR="00F947B9"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Mala t</w:t>
      </w:r>
      <w:r w:rsidR="00014C80" w:rsidRPr="005A0F56">
        <w:rPr>
          <w:rFonts w:ascii="Times New Roman" w:hAnsi="Times New Roman" w:cs="Times New Roman"/>
          <w:i/>
          <w:iCs/>
          <w:sz w:val="22"/>
          <w:szCs w:val="22"/>
          <w:lang w:val="sr-Latn-RS"/>
        </w:rPr>
        <w:t>j</w:t>
      </w:r>
      <w:r w:rsidR="00990C0C" w:rsidRPr="005A0F56">
        <w:rPr>
          <w:rFonts w:ascii="Times New Roman" w:hAnsi="Times New Roman" w:cs="Times New Roman"/>
          <w:i/>
          <w:iCs/>
          <w:sz w:val="22"/>
          <w:szCs w:val="22"/>
          <w:lang w:val="sr-Latn-RS"/>
        </w:rPr>
        <w:t>elesna masa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Prim</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ećeno je povećanje izloženosti enoksaparin</w:t>
      </w:r>
      <w:r w:rsidR="00E417D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natrijumu kod profilaktičkih doza (neprilagođenim prema t</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elesnog masi) kod žena sa manjom t</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elesnom masom (&lt;45 kg) i muškaraca sa manjom t</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elesnom masom (&lt;57 kg), koje može dovesti do povećanog rizika od krvarenja. Zbog toga se sav</w:t>
      </w:r>
      <w:r w:rsidR="00E417D5">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etuje pažljivo kliničko praćenje kod ovih pacijenata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5.2).</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F947B9">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Gojazni pacijenti</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Gojazni pacijenti su pod povećanim rizikom od pojave tromboembolije. Bezb</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ednosti i efikasnost</w:t>
      </w:r>
      <w:r w:rsidR="00E417D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profilaktičkih doza kod gojaznih pacijenata (BMI &gt;30 kg/m</w:t>
      </w:r>
      <w:r w:rsidRPr="00B508FF">
        <w:rPr>
          <w:rFonts w:ascii="Times New Roman" w:eastAsia="TimesNewRoman" w:hAnsi="Times New Roman" w:cs="Times New Roman"/>
          <w:sz w:val="22"/>
          <w:szCs w:val="22"/>
          <w:vertAlign w:val="superscript"/>
          <w:lang w:val="sr-Latn-RS"/>
        </w:rPr>
        <w:t>2</w:t>
      </w:r>
      <w:r w:rsidRPr="005A0F56">
        <w:rPr>
          <w:rFonts w:ascii="Times New Roman" w:eastAsia="TimesNewRoman" w:hAnsi="Times New Roman" w:cs="Times New Roman"/>
          <w:sz w:val="22"/>
          <w:szCs w:val="22"/>
          <w:lang w:val="sr-Latn-RS"/>
        </w:rPr>
        <w:t>) nije ustanovljena u potpunosti i nema</w:t>
      </w:r>
      <w:r w:rsidR="00E417D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koncenzusa oko prilagođavanja doza. Kod ovih pacijenata treba obratiti posebnu pažnju na pojavu znaka i simptoma tromboembolije.</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F947B9">
      <w:pPr>
        <w:autoSpaceDE w:val="0"/>
        <w:autoSpaceDN w:val="0"/>
        <w:adjustRightInd w:val="0"/>
        <w:spacing w:after="0" w:line="240" w:lineRule="auto"/>
        <w:jc w:val="both"/>
        <w:rPr>
          <w:rFonts w:ascii="Times New Roman" w:hAnsi="Times New Roman" w:cs="Times New Roman"/>
          <w:i/>
          <w:iCs/>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990C0C" w:rsidRPr="005A0F56">
        <w:rPr>
          <w:rFonts w:ascii="Times New Roman" w:hAnsi="Times New Roman" w:cs="Times New Roman"/>
          <w:i/>
          <w:iCs/>
          <w:sz w:val="22"/>
          <w:szCs w:val="22"/>
          <w:lang w:val="sr-Latn-RS"/>
        </w:rPr>
        <w:t>Hiperkal</w:t>
      </w:r>
      <w:r w:rsidR="00E417D5">
        <w:rPr>
          <w:rFonts w:ascii="Times New Roman" w:hAnsi="Times New Roman" w:cs="Times New Roman"/>
          <w:i/>
          <w:iCs/>
          <w:sz w:val="22"/>
          <w:szCs w:val="22"/>
          <w:lang w:val="sr-Latn-RS"/>
        </w:rPr>
        <w:t>ij</w:t>
      </w:r>
      <w:r w:rsidR="00990C0C" w:rsidRPr="005A0F56">
        <w:rPr>
          <w:rFonts w:ascii="Times New Roman" w:hAnsi="Times New Roman" w:cs="Times New Roman"/>
          <w:i/>
          <w:iCs/>
          <w:sz w:val="22"/>
          <w:szCs w:val="22"/>
          <w:lang w:val="sr-Latn-RS"/>
        </w:rPr>
        <w:t>emija</w:t>
      </w:r>
    </w:p>
    <w:p w:rsidR="00F947B9"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Heparin može suprimirati lučenje aldosterona iz nadbubrežne žl</w:t>
      </w:r>
      <w:r w:rsidR="00E417D5">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ezde što dovodi do hiperkal</w:t>
      </w:r>
      <w:r w:rsidR="00E417D5">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emije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4.8), naročito kod pacijenata sa dijabetes melitusom, hroničnom bubrežnom insuficijencijom,</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prethodno postojećom metaboličkom acidozom kao i pacijenti koji uzimaju l</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ekove za koje se zna da</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povećavaju koncentraciju kalijuma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4.5). Vr</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ednost kalijuma u plazmi treba određivati</w:t>
      </w:r>
      <w:r w:rsidR="00F947B9"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redovno, naročito kod pacijenata pod rizikom.</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 xml:space="preserve">Sadržaj natrijuma </w:t>
      </w:r>
    </w:p>
    <w:p w:rsidR="00E417D5" w:rsidRDefault="00990C0C">
      <w:pPr>
        <w:autoSpaceDE w:val="0"/>
        <w:autoSpaceDN w:val="0"/>
        <w:adjustRightInd w:val="0"/>
        <w:spacing w:after="0" w:line="240" w:lineRule="auto"/>
        <w:jc w:val="both"/>
        <w:rPr>
          <w:rFonts w:ascii="Times New Roman" w:hAnsi="Times New Roman" w:cs="Times New Roman"/>
          <w:sz w:val="22"/>
          <w:szCs w:val="22"/>
          <w:u w:val="single"/>
        </w:rPr>
      </w:pPr>
      <w:r w:rsidRPr="005A0F56">
        <w:rPr>
          <w:rFonts w:ascii="Times New Roman" w:eastAsia="TimesNewRoman" w:hAnsi="Times New Roman" w:cs="Times New Roman"/>
          <w:sz w:val="22"/>
          <w:szCs w:val="22"/>
          <w:lang w:val="sr-Latn-RS"/>
        </w:rPr>
        <w:t>Ovaj l</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ek sadrži manje od 1 mmol natrijuma (23 mg) po dozi, tj. zanemarljive količine natrijuma.</w:t>
      </w:r>
      <w:r w:rsidR="00E417D5">
        <w:rPr>
          <w:rFonts w:ascii="Times New Roman" w:hAnsi="Times New Roman" w:cs="Times New Roman"/>
          <w:sz w:val="22"/>
          <w:szCs w:val="22"/>
          <w:u w:val="single"/>
        </w:rPr>
        <w:t xml:space="preserve"> </w:t>
      </w:r>
    </w:p>
    <w:p w:rsidR="00E417D5" w:rsidRPr="005A0F56" w:rsidRDefault="00E417D5">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417D5" w:rsidRDefault="00696C6F" w:rsidP="00B508FF">
      <w:pPr>
        <w:autoSpaceDE w:val="0"/>
        <w:autoSpaceDN w:val="0"/>
        <w:adjustRightInd w:val="0"/>
        <w:spacing w:after="0" w:line="240" w:lineRule="auto"/>
        <w:jc w:val="both"/>
        <w:rPr>
          <w:rFonts w:ascii="Times New Roman" w:hAnsi="Times New Roman" w:cs="Times New Roman"/>
          <w:sz w:val="22"/>
          <w:szCs w:val="22"/>
        </w:rPr>
      </w:pPr>
      <w:r w:rsidRPr="005A0F56">
        <w:rPr>
          <w:rFonts w:ascii="Times New Roman" w:hAnsi="Times New Roman" w:cs="Times New Roman"/>
          <w:sz w:val="22"/>
          <w:szCs w:val="22"/>
          <w:u w:val="single"/>
        </w:rPr>
        <w:t>Akutna generalizirana egzantematozna pustuloza</w:t>
      </w:r>
      <w:r w:rsidRPr="005A0F56">
        <w:rPr>
          <w:rFonts w:ascii="Times New Roman" w:hAnsi="Times New Roman" w:cs="Times New Roman"/>
          <w:sz w:val="22"/>
          <w:szCs w:val="22"/>
        </w:rPr>
        <w:t xml:space="preserve"> </w:t>
      </w:r>
    </w:p>
    <w:p w:rsidR="00696C6F" w:rsidRPr="005A0F56" w:rsidRDefault="00696C6F" w:rsidP="00B508F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rPr>
        <w:t>Prijavljena je akutna generalizirana egzantematozna pustuloza (AGEP) nepoznate učestalosti povezana s</w:t>
      </w:r>
      <w:r w:rsidR="00E417D5">
        <w:rPr>
          <w:rFonts w:ascii="Times New Roman" w:hAnsi="Times New Roman" w:cs="Times New Roman"/>
          <w:sz w:val="22"/>
          <w:szCs w:val="22"/>
        </w:rPr>
        <w:t>a</w:t>
      </w:r>
      <w:r w:rsidRPr="005A0F56">
        <w:rPr>
          <w:rFonts w:ascii="Times New Roman" w:hAnsi="Times New Roman" w:cs="Times New Roman"/>
          <w:sz w:val="22"/>
          <w:szCs w:val="22"/>
        </w:rPr>
        <w:t xml:space="preserve"> liječenjem enoksaparinom. U vrijeme propisivanja lijeka potrebno je obavijestiti </w:t>
      </w:r>
      <w:r w:rsidR="00E417D5">
        <w:rPr>
          <w:rFonts w:ascii="Times New Roman" w:hAnsi="Times New Roman" w:cs="Times New Roman"/>
          <w:sz w:val="22"/>
          <w:szCs w:val="22"/>
        </w:rPr>
        <w:t>pacijente</w:t>
      </w:r>
      <w:r w:rsidR="00E417D5" w:rsidRPr="005A0F56">
        <w:rPr>
          <w:rFonts w:ascii="Times New Roman" w:hAnsi="Times New Roman" w:cs="Times New Roman"/>
          <w:sz w:val="22"/>
          <w:szCs w:val="22"/>
        </w:rPr>
        <w:t xml:space="preserve"> </w:t>
      </w:r>
      <w:r w:rsidRPr="005A0F56">
        <w:rPr>
          <w:rFonts w:ascii="Times New Roman" w:hAnsi="Times New Roman" w:cs="Times New Roman"/>
          <w:sz w:val="22"/>
          <w:szCs w:val="22"/>
        </w:rPr>
        <w:t>o znakovima i simptomima te ih pomno pratiti zbog kožnih reakcija. Ako se pojave znakovi i simptomi koji upućuju na te reakcije, potrebno je odmah prekinuti primjenu enoksaparina i razmotriti zamjensko liječenje (sukladno potrebi).</w:t>
      </w:r>
    </w:p>
    <w:p w:rsidR="00990C0C" w:rsidRPr="005A0F56" w:rsidRDefault="00990C0C"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990C0C">
      <w:pPr>
        <w:autoSpaceDE w:val="0"/>
        <w:autoSpaceDN w:val="0"/>
        <w:adjustRightInd w:val="0"/>
        <w:spacing w:after="0" w:line="240" w:lineRule="auto"/>
        <w:jc w:val="both"/>
        <w:rPr>
          <w:rFonts w:ascii="Times New Roman" w:hAnsi="Times New Roman" w:cs="Times New Roman"/>
          <w:b/>
          <w:bCs/>
          <w:sz w:val="22"/>
          <w:szCs w:val="22"/>
          <w:lang w:val="sr-Latn-RS"/>
        </w:rPr>
      </w:pPr>
      <w:r w:rsidRPr="005A0F56">
        <w:rPr>
          <w:rFonts w:ascii="Times New Roman" w:hAnsi="Times New Roman" w:cs="Times New Roman"/>
          <w:b/>
          <w:bCs/>
          <w:sz w:val="22"/>
          <w:szCs w:val="22"/>
          <w:lang w:val="sr-Latn-RS"/>
        </w:rPr>
        <w:t xml:space="preserve">4.5. Interakcije sa drugim </w:t>
      </w:r>
      <w:r w:rsidR="00E23F82" w:rsidRPr="005A0F56">
        <w:rPr>
          <w:rFonts w:ascii="Times New Roman" w:hAnsi="Times New Roman" w:cs="Times New Roman"/>
          <w:b/>
          <w:bCs/>
          <w:sz w:val="22"/>
          <w:szCs w:val="22"/>
          <w:lang w:val="sr-Latn-RS"/>
        </w:rPr>
        <w:t>lj</w:t>
      </w:r>
      <w:r w:rsidRPr="005A0F56">
        <w:rPr>
          <w:rFonts w:ascii="Times New Roman" w:hAnsi="Times New Roman" w:cs="Times New Roman"/>
          <w:b/>
          <w:bCs/>
          <w:sz w:val="22"/>
          <w:szCs w:val="22"/>
          <w:lang w:val="sr-Latn-RS"/>
        </w:rPr>
        <w:t>ekovima i druge vrste interakcija</w:t>
      </w:r>
    </w:p>
    <w:p w:rsidR="001B616D" w:rsidRPr="005A0F56" w:rsidRDefault="001B616D">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Istovremena prim</w:t>
      </w:r>
      <w:r w:rsidR="00B819F9">
        <w:rPr>
          <w:rFonts w:ascii="Times New Roman" w:eastAsia="TimesNewRoman" w:hAnsi="Times New Roman" w:cs="Times New Roman"/>
          <w:sz w:val="22"/>
          <w:szCs w:val="22"/>
          <w:u w:val="single"/>
          <w:lang w:val="sr-Latn-RS"/>
        </w:rPr>
        <w:t>j</w:t>
      </w:r>
      <w:r w:rsidRPr="005A0F56">
        <w:rPr>
          <w:rFonts w:ascii="Times New Roman" w:eastAsia="TimesNewRoman" w:hAnsi="Times New Roman" w:cs="Times New Roman"/>
          <w:sz w:val="22"/>
          <w:szCs w:val="22"/>
          <w:u w:val="single"/>
          <w:lang w:val="sr-Latn-RS"/>
        </w:rPr>
        <w:t>ena se ne preporučuje:</w:t>
      </w:r>
    </w:p>
    <w:p w:rsidR="00990C0C" w:rsidRPr="005A0F56" w:rsidRDefault="00990C0C">
      <w:pPr>
        <w:pStyle w:val="ListParagraph"/>
        <w:numPr>
          <w:ilvl w:val="0"/>
          <w:numId w:val="20"/>
        </w:num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t>L</w:t>
      </w:r>
      <w:r w:rsidR="00E23F82" w:rsidRPr="005A0F56">
        <w:rPr>
          <w:rFonts w:ascii="Times New Roman" w:hAnsi="Times New Roman" w:cs="Times New Roman"/>
          <w:i/>
          <w:iCs/>
          <w:sz w:val="22"/>
          <w:szCs w:val="22"/>
          <w:lang w:val="sr-Latn-RS"/>
        </w:rPr>
        <w:t>j</w:t>
      </w:r>
      <w:r w:rsidRPr="005A0F56">
        <w:rPr>
          <w:rFonts w:ascii="Times New Roman" w:hAnsi="Times New Roman" w:cs="Times New Roman"/>
          <w:i/>
          <w:iCs/>
          <w:sz w:val="22"/>
          <w:szCs w:val="22"/>
          <w:lang w:val="sr-Latn-RS"/>
        </w:rPr>
        <w:t>ekovi koji utiču na hemostazu (vid</w:t>
      </w:r>
      <w:r w:rsidR="00E23F82" w:rsidRPr="005A0F56">
        <w:rPr>
          <w:rFonts w:ascii="Times New Roman" w:hAnsi="Times New Roman" w:cs="Times New Roman"/>
          <w:i/>
          <w:iCs/>
          <w:sz w:val="22"/>
          <w:szCs w:val="22"/>
          <w:lang w:val="sr-Latn-RS"/>
        </w:rPr>
        <w:t>j</w:t>
      </w:r>
      <w:r w:rsidRPr="005A0F56">
        <w:rPr>
          <w:rFonts w:ascii="Times New Roman" w:hAnsi="Times New Roman" w:cs="Times New Roman"/>
          <w:i/>
          <w:iCs/>
          <w:sz w:val="22"/>
          <w:szCs w:val="22"/>
          <w:lang w:val="sr-Latn-RS"/>
        </w:rPr>
        <w:t>eti od</w:t>
      </w:r>
      <w:r w:rsidR="00E23F82" w:rsidRPr="005A0F56">
        <w:rPr>
          <w:rFonts w:ascii="Times New Roman" w:hAnsi="Times New Roman" w:cs="Times New Roman"/>
          <w:i/>
          <w:iCs/>
          <w:sz w:val="22"/>
          <w:szCs w:val="22"/>
          <w:lang w:val="sr-Latn-RS"/>
        </w:rPr>
        <w:t>j</w:t>
      </w:r>
      <w:r w:rsidRPr="005A0F56">
        <w:rPr>
          <w:rFonts w:ascii="Times New Roman" w:hAnsi="Times New Roman" w:cs="Times New Roman"/>
          <w:i/>
          <w:iCs/>
          <w:sz w:val="22"/>
          <w:szCs w:val="22"/>
          <w:lang w:val="sr-Latn-RS"/>
        </w:rPr>
        <w:t>eljak 4.4)</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Preporučuje se da se prim</w:t>
      </w:r>
      <w:r w:rsidR="00B819F9">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ena nekih l</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ekova koji utiču na hemostazu obustavi pr</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terapije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osim ako njihova upotreba nije strogo indikovana. Ako se ova kombinacija ne može izb</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eći,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treba koristiti uz pažljivo kliničko i laboratorijsko praćenje kada je to prikladno.</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Među te l</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ekove ubrajaju se:</w:t>
      </w:r>
    </w:p>
    <w:p w:rsidR="00990C0C" w:rsidRPr="005A0F56" w:rsidRDefault="001B616D">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sistemski salicilati, acetisalicilna kiselina u antiinflamatornim dozama i NSAIL, uključujući i ketorolak,</w:t>
      </w:r>
    </w:p>
    <w:p w:rsidR="00990C0C" w:rsidRPr="005A0F56" w:rsidRDefault="001B616D">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drugi trombolitici (npr. ateplaza, reteplaza, streptokinaza, tenekteplaza, urokinaza) i antikoagulanski (vid</w:t>
      </w:r>
      <w:r w:rsidR="00E23F82"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el</w:t>
      </w:r>
      <w:r w:rsidR="00E23F82" w:rsidRPr="005A0F56">
        <w:rPr>
          <w:rFonts w:ascii="Times New Roman" w:eastAsia="TimesNewRoman" w:hAnsi="Times New Roman" w:cs="Times New Roman"/>
          <w:sz w:val="22"/>
          <w:szCs w:val="22"/>
          <w:lang w:val="sr-Latn-RS"/>
        </w:rPr>
        <w:t>ja</w:t>
      </w:r>
      <w:r w:rsidR="00990C0C" w:rsidRPr="005A0F56">
        <w:rPr>
          <w:rFonts w:ascii="Times New Roman" w:eastAsia="TimesNewRoman" w:hAnsi="Times New Roman" w:cs="Times New Roman"/>
          <w:sz w:val="22"/>
          <w:szCs w:val="22"/>
          <w:lang w:val="sr-Latn-RS"/>
        </w:rPr>
        <w:t>k 4.2)</w:t>
      </w:r>
    </w:p>
    <w:p w:rsidR="00990C0C" w:rsidRPr="005A0F56" w:rsidRDefault="00990C0C">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Istovremena prim</w:t>
      </w:r>
      <w:r w:rsidR="00E23F82" w:rsidRPr="005A0F56">
        <w:rPr>
          <w:rFonts w:ascii="Times New Roman" w:eastAsia="TimesNewRoman" w:hAnsi="Times New Roman" w:cs="Times New Roman"/>
          <w:sz w:val="22"/>
          <w:szCs w:val="22"/>
          <w:u w:val="single"/>
          <w:lang w:val="sr-Latn-RS"/>
        </w:rPr>
        <w:t>j</w:t>
      </w:r>
      <w:r w:rsidRPr="005A0F56">
        <w:rPr>
          <w:rFonts w:ascii="Times New Roman" w:eastAsia="TimesNewRoman" w:hAnsi="Times New Roman" w:cs="Times New Roman"/>
          <w:sz w:val="22"/>
          <w:szCs w:val="22"/>
          <w:u w:val="single"/>
          <w:lang w:val="sr-Latn-RS"/>
        </w:rPr>
        <w:t>ena uz oprez:</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Sl</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edeći l</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ekovi mogu biti prim</w:t>
      </w:r>
      <w:r w:rsidR="00B819F9">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enjeni uz oprez istovremeno sa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w:t>
      </w:r>
    </w:p>
    <w:p w:rsidR="00990C0C" w:rsidRPr="005A0F56" w:rsidRDefault="00990C0C">
      <w:pPr>
        <w:pStyle w:val="ListParagraph"/>
        <w:numPr>
          <w:ilvl w:val="0"/>
          <w:numId w:val="20"/>
        </w:num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t>Ostali l</w:t>
      </w:r>
      <w:r w:rsidR="00E23F82" w:rsidRPr="005A0F56">
        <w:rPr>
          <w:rFonts w:ascii="Times New Roman" w:hAnsi="Times New Roman" w:cs="Times New Roman"/>
          <w:i/>
          <w:iCs/>
          <w:sz w:val="22"/>
          <w:szCs w:val="22"/>
          <w:lang w:val="sr-Latn-RS"/>
        </w:rPr>
        <w:t>j</w:t>
      </w:r>
      <w:r w:rsidRPr="005A0F56">
        <w:rPr>
          <w:rFonts w:ascii="Times New Roman" w:hAnsi="Times New Roman" w:cs="Times New Roman"/>
          <w:i/>
          <w:iCs/>
          <w:sz w:val="22"/>
          <w:szCs w:val="22"/>
          <w:lang w:val="sr-Latn-RS"/>
        </w:rPr>
        <w:t>ekovi koji utiču na hemostazu, kao što su:</w:t>
      </w:r>
    </w:p>
    <w:p w:rsidR="00990C0C" w:rsidRPr="005A0F56" w:rsidRDefault="001B616D">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inhibitori agregacije trombocita uključujući acetilsalicinlnu kiselinu prim</w:t>
      </w:r>
      <w:r w:rsidR="00E23F82" w:rsidRPr="005A0F56">
        <w:rPr>
          <w:rFonts w:ascii="Times New Roman" w:eastAsia="TimesNewRoman" w:hAnsi="Times New Roman" w:cs="Times New Roman"/>
          <w:sz w:val="22"/>
          <w:szCs w:val="22"/>
          <w:lang w:val="sr-Latn-RS"/>
        </w:rPr>
        <w:t>ij</w:t>
      </w:r>
      <w:r w:rsidR="00990C0C" w:rsidRPr="005A0F56">
        <w:rPr>
          <w:rFonts w:ascii="Times New Roman" w:eastAsia="TimesNewRoman" w:hAnsi="Times New Roman" w:cs="Times New Roman"/>
          <w:sz w:val="22"/>
          <w:szCs w:val="22"/>
          <w:lang w:val="sr-Latn-RS"/>
        </w:rPr>
        <w:t>enjenu u antiagregacijskim</w:t>
      </w:r>
      <w:r w:rsidR="002B5EDC" w:rsidRPr="005A0F56">
        <w:rPr>
          <w:rFonts w:ascii="Times New Roman" w:eastAsia="TimesNew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dozama (kardioprotekcija), klopidogrel, tiklopidin, i antagonisti glikoproteina IIb/IIIa indikovani kod</w:t>
      </w:r>
      <w:r w:rsidR="002B5EDC" w:rsidRPr="005A0F56">
        <w:rPr>
          <w:rFonts w:ascii="Times New Roman" w:eastAsia="TimesNew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akutnog koronarnog sindroma zbog rizika od pojave krvarenja,</w:t>
      </w:r>
    </w:p>
    <w:p w:rsidR="00990C0C" w:rsidRPr="005A0F56" w:rsidRDefault="001B616D">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dekstran 40,</w:t>
      </w:r>
    </w:p>
    <w:p w:rsidR="00990C0C" w:rsidRPr="005A0F56" w:rsidRDefault="001B616D">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hAnsi="Times New Roman" w:cs="Times New Roman"/>
          <w:sz w:val="22"/>
          <w:szCs w:val="22"/>
          <w:lang w:val="sr-Latn-RS"/>
        </w:rPr>
        <w:t>-</w:t>
      </w:r>
      <w:r w:rsidR="00990C0C" w:rsidRPr="005A0F56">
        <w:rPr>
          <w:rFonts w:ascii="Times New 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sistemski glukokortikoidi.</w:t>
      </w:r>
    </w:p>
    <w:p w:rsidR="002B5EDC" w:rsidRPr="005A0F56" w:rsidRDefault="002B5EDC">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p>
    <w:p w:rsidR="00990C0C" w:rsidRPr="005A0F56" w:rsidRDefault="00990C0C">
      <w:pPr>
        <w:pStyle w:val="ListParagraph"/>
        <w:numPr>
          <w:ilvl w:val="0"/>
          <w:numId w:val="20"/>
        </w:num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t>L</w:t>
      </w:r>
      <w:r w:rsidR="00E23F82" w:rsidRPr="005A0F56">
        <w:rPr>
          <w:rFonts w:ascii="Times New Roman" w:hAnsi="Times New Roman" w:cs="Times New Roman"/>
          <w:i/>
          <w:iCs/>
          <w:sz w:val="22"/>
          <w:szCs w:val="22"/>
          <w:lang w:val="sr-Latn-RS"/>
        </w:rPr>
        <w:t>j</w:t>
      </w:r>
      <w:r w:rsidRPr="005A0F56">
        <w:rPr>
          <w:rFonts w:ascii="Times New Roman" w:hAnsi="Times New Roman" w:cs="Times New Roman"/>
          <w:i/>
          <w:iCs/>
          <w:sz w:val="22"/>
          <w:szCs w:val="22"/>
          <w:lang w:val="sr-Latn-RS"/>
        </w:rPr>
        <w:t>ekovi koji štede kalijum</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L</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ekovi koji štede kalijum i dovode do povećanja njegovih koncentracija u serumu mogu biti prim</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enjeni</w:t>
      </w:r>
      <w:r w:rsidR="00E23F8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istovremeno sa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uz pažljivo kliničko i laboratorijsko praćenje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eljke 4.4 i</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4.8).</w:t>
      </w:r>
    </w:p>
    <w:p w:rsidR="00990C0C" w:rsidRPr="005A0F56" w:rsidRDefault="00990C0C">
      <w:pPr>
        <w:autoSpaceDE w:val="0"/>
        <w:autoSpaceDN w:val="0"/>
        <w:adjustRightInd w:val="0"/>
        <w:spacing w:after="0" w:line="240" w:lineRule="auto"/>
        <w:jc w:val="both"/>
        <w:rPr>
          <w:rFonts w:ascii="Times New Roman" w:hAnsi="Times New Roman" w:cs="Times New Roman"/>
          <w:b/>
          <w:bCs/>
          <w:sz w:val="22"/>
          <w:szCs w:val="22"/>
          <w:lang w:val="sr-Latn-RS"/>
        </w:rPr>
      </w:pPr>
      <w:r w:rsidRPr="005A0F56">
        <w:rPr>
          <w:rFonts w:ascii="Times New Roman" w:hAnsi="Times New Roman" w:cs="Times New Roman"/>
          <w:b/>
          <w:bCs/>
          <w:sz w:val="22"/>
          <w:szCs w:val="22"/>
          <w:lang w:val="sr-Latn-RS"/>
        </w:rPr>
        <w:lastRenderedPageBreak/>
        <w:t>4.6. Plodnost, trudnoća i dojenje</w:t>
      </w:r>
    </w:p>
    <w:p w:rsidR="00990C0C" w:rsidRPr="005A0F56" w:rsidRDefault="001B616D">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br/>
      </w:r>
      <w:r w:rsidR="00990C0C" w:rsidRPr="005A0F56">
        <w:rPr>
          <w:rFonts w:ascii="Times New Roman" w:eastAsia="TimesNewRoman" w:hAnsi="Times New Roman" w:cs="Times New Roman"/>
          <w:sz w:val="22"/>
          <w:szCs w:val="22"/>
          <w:u w:val="single"/>
          <w:lang w:val="sr-Latn-RS"/>
        </w:rPr>
        <w:t>Trudnoća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Ne postoje dokazi da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prolazi kroz placentalnu barijeru kod ljudi tokom drugog i trećeg</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trimestra trudnoće. Nema dostupnih podataka za prvi trimestar.</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Ispitivanja na životinjama ni</w:t>
      </w:r>
      <w:r w:rsidR="00B819F9">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su dala dokaz da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pos</w:t>
      </w:r>
      <w:r w:rsidR="00B819F9">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eduje fetotoksični i teratogeni</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potencijal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5.3). Podaci dobijeni iz ispitivanja na životinjama pokazali su da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minimalno prolazi kroz placentu.</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treba koristiti tokom trudnoće samo ako l</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ekar ustanovi da postoji jasna potreba.</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Trudnice koje primaju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treba pažljivo pratiti kako bi se uočili mogući znaci krvarenja ili</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prevelike antikoagulacije i trebaju biti upozorene na postojanje rizika od krvarenja. Sveukupno, podaci</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ukazuju da nema dokaza za postojanje povećanog rizika od krvarenja, trombocitopenije ili osteoporoze u</w:t>
      </w:r>
      <w:r w:rsidR="002B5EDC" w:rsidRPr="005A0F56">
        <w:rPr>
          <w:rFonts w:ascii="Times New Roman" w:eastAsia="TimesNewRoman" w:hAnsi="Times New Roman" w:cs="Times New Roman"/>
          <w:sz w:val="22"/>
          <w:szCs w:val="22"/>
          <w:lang w:val="sr-Latn-RS"/>
        </w:rPr>
        <w:t xml:space="preserve"> </w:t>
      </w:r>
      <w:r w:rsidR="00E23F82" w:rsidRPr="005A0F56">
        <w:rPr>
          <w:rFonts w:ascii="Times New Roman" w:eastAsia="TimesNewRoman" w:hAnsi="Times New Roman" w:cs="Times New Roman"/>
          <w:sz w:val="22"/>
          <w:szCs w:val="22"/>
          <w:lang w:val="sr-Latn-RS"/>
        </w:rPr>
        <w:t>odnosu na rizik zabilj</w:t>
      </w:r>
      <w:r w:rsidRPr="005A0F56">
        <w:rPr>
          <w:rFonts w:ascii="Times New Roman" w:eastAsia="TimesNewRoman" w:hAnsi="Times New Roman" w:cs="Times New Roman"/>
          <w:sz w:val="22"/>
          <w:szCs w:val="22"/>
          <w:lang w:val="sr-Latn-RS"/>
        </w:rPr>
        <w:t>ežen kod žena koje ni</w:t>
      </w:r>
      <w:r w:rsidR="00B819F9">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su u drugom stanju, izuzev rizika prim</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ećenog kod trudnica sa</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mehaničkim v</w:t>
      </w:r>
      <w:r w:rsidR="00B819F9">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eštačkim srčanim zaliscima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4.4).</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Ukoliko se planira epiduralna anestezija, preporučuje se prekid terapije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pr</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njene</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prim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(vid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4.4).</w:t>
      </w: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Dojenje</w:t>
      </w:r>
    </w:p>
    <w:p w:rsidR="00990C0C" w:rsidRPr="005A0F56" w:rsidRDefault="00990C0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Nije poznato da li se neprom</w:t>
      </w:r>
      <w:r w:rsidR="00014C8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izlučuje u majčino ml</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eko kod ljudi. Kod pacova u</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laktaciji, koncentracija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ili njegovi metabolita se u maloj m</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eri izlučuje u ml</w:t>
      </w:r>
      <w:r w:rsidR="00E23F82"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eko. Oralna</w:t>
      </w:r>
      <w:r w:rsidR="002B5EDC" w:rsidRPr="005A0F56">
        <w:rPr>
          <w:rFonts w:ascii="Times New Roman" w:eastAsia="TimesNewRoman" w:hAnsi="Times New Roman" w:cs="Times New Roman"/>
          <w:sz w:val="22"/>
          <w:szCs w:val="22"/>
          <w:lang w:val="sr-Latn-RS"/>
        </w:rPr>
        <w:t xml:space="preserve"> </w:t>
      </w:r>
      <w:r w:rsidR="00B819F9">
        <w:rPr>
          <w:rFonts w:ascii="Times New Roman" w:eastAsia="TimesNewRoman" w:hAnsi="Times New Roman" w:cs="Times New Roman"/>
          <w:sz w:val="22"/>
          <w:szCs w:val="22"/>
          <w:lang w:val="sr-Latn-RS"/>
        </w:rPr>
        <w:t>re</w:t>
      </w:r>
      <w:r w:rsidRPr="005A0F56">
        <w:rPr>
          <w:rFonts w:ascii="Times New Roman" w:eastAsia="TimesNewRoman" w:hAnsi="Times New Roman" w:cs="Times New Roman"/>
          <w:sz w:val="22"/>
          <w:szCs w:val="22"/>
          <w:lang w:val="sr-Latn-RS"/>
        </w:rPr>
        <w:t>sorpcija enoksaparin</w:t>
      </w:r>
      <w:r w:rsidR="00B819F9">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je malo v</w:t>
      </w:r>
      <w:r w:rsidR="00E23F82"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 xml:space="preserve">erovatna. </w:t>
      </w:r>
      <w:r w:rsidR="00B819F9">
        <w:rPr>
          <w:rFonts w:ascii="Times New Roman" w:eastAsia="TimesNewRoman" w:hAnsi="Times New Roman" w:cs="Times New Roman"/>
          <w:sz w:val="22"/>
          <w:szCs w:val="22"/>
          <w:lang w:val="sr-Latn-RS"/>
        </w:rPr>
        <w:t xml:space="preserve">Lijek </w:t>
      </w:r>
      <w:r w:rsidRPr="005A0F56">
        <w:rPr>
          <w:rFonts w:ascii="Times New Roman" w:eastAsia="TimesNewRoman" w:hAnsi="Times New Roman" w:cs="Times New Roman"/>
          <w:sz w:val="22"/>
          <w:szCs w:val="22"/>
          <w:lang w:val="sr-Latn-RS"/>
        </w:rPr>
        <w:t>Inhixa se može koristiti tokom dojenja.</w:t>
      </w:r>
    </w:p>
    <w:p w:rsidR="00990C0C" w:rsidRPr="005A0F56" w:rsidRDefault="001B616D">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br/>
      </w:r>
      <w:r w:rsidR="00990C0C" w:rsidRPr="005A0F56">
        <w:rPr>
          <w:rFonts w:ascii="Times New Roman" w:eastAsia="TimesNewRoman" w:hAnsi="Times New Roman" w:cs="Times New Roman"/>
          <w:sz w:val="22"/>
          <w:szCs w:val="22"/>
          <w:u w:val="single"/>
          <w:lang w:val="sr-Latn-RS"/>
        </w:rPr>
        <w:t>Plodnost</w:t>
      </w:r>
    </w:p>
    <w:p w:rsidR="00990C0C" w:rsidRPr="005A0F56" w:rsidRDefault="003E2F52" w:rsidP="00B819F9">
      <w:pPr>
        <w:autoSpaceDE w:val="0"/>
        <w:autoSpaceDN w:val="0"/>
        <w:adjustRightInd w:val="0"/>
        <w:spacing w:after="0" w:line="240" w:lineRule="auto"/>
        <w:jc w:val="both"/>
        <w:rPr>
          <w:rFonts w:ascii="Times New Roman" w:hAnsi="Times New Roman" w:cs="Times New Roman"/>
          <w:b/>
          <w:bCs/>
          <w:sz w:val="22"/>
          <w:szCs w:val="22"/>
        </w:rPr>
      </w:pPr>
      <w:r w:rsidRPr="005A0F56">
        <w:rPr>
          <w:rFonts w:ascii="Times New Roman" w:eastAsia="TimesNewRoman" w:hAnsi="Times New Roman" w:cs="Times New Roman"/>
          <w:sz w:val="22"/>
          <w:szCs w:val="22"/>
          <w:lang w:val="sr-Latn-RS"/>
        </w:rPr>
        <w:t>Nema kliničk</w:t>
      </w:r>
      <w:r w:rsidR="00990C0C" w:rsidRPr="005A0F56">
        <w:rPr>
          <w:rFonts w:ascii="Times New Roman" w:eastAsia="TimesNewRoman" w:hAnsi="Times New Roman" w:cs="Times New Roman"/>
          <w:sz w:val="22"/>
          <w:szCs w:val="22"/>
          <w:lang w:val="sr-Latn-RS"/>
        </w:rPr>
        <w:t>ih podataka o uticaju enoksaparin</w:t>
      </w:r>
      <w:r w:rsidR="00B819F9">
        <w:rPr>
          <w:rFonts w:ascii="Times New Roman" w:eastAsia="TimesNew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natrijuma na plodnost. Ispitivanja na životinjama ni</w:t>
      </w:r>
      <w:r w:rsidR="00B819F9">
        <w:rPr>
          <w:rFonts w:ascii="Times New Roman" w:eastAsia="TimesNewRoman" w:hAnsi="Times New Roman" w:cs="Times New Roman"/>
          <w:sz w:val="22"/>
          <w:szCs w:val="22"/>
          <w:lang w:val="sr-Latn-RS"/>
        </w:rPr>
        <w:t>je</w:t>
      </w:r>
      <w:r w:rsidR="00990C0C" w:rsidRPr="005A0F56">
        <w:rPr>
          <w:rFonts w:ascii="Times New Roman" w:eastAsia="TimesNewRoman" w:hAnsi="Times New Roman" w:cs="Times New Roman"/>
          <w:sz w:val="22"/>
          <w:szCs w:val="22"/>
          <w:lang w:val="sr-Latn-RS"/>
        </w:rPr>
        <w:t>su ukazala</w:t>
      </w:r>
      <w:r w:rsidR="002B5EDC" w:rsidRPr="005A0F56">
        <w:rPr>
          <w:rFonts w:ascii="Times New Roman" w:eastAsia="TimesNewRoman" w:hAnsi="Times New Roman" w:cs="Times New Roman"/>
          <w:sz w:val="22"/>
          <w:szCs w:val="22"/>
          <w:lang w:val="sr-Latn-RS"/>
        </w:rPr>
        <w:t xml:space="preserve"> </w:t>
      </w:r>
      <w:r w:rsidR="00990C0C" w:rsidRPr="005A0F56">
        <w:rPr>
          <w:rFonts w:ascii="Times New Roman" w:eastAsia="TimesNewRoman" w:hAnsi="Times New Roman" w:cs="Times New Roman"/>
          <w:sz w:val="22"/>
          <w:szCs w:val="22"/>
          <w:lang w:val="sr-Latn-RS"/>
        </w:rPr>
        <w:t>ni na kakav uticaj na plodnost (vid</w:t>
      </w:r>
      <w:r w:rsidR="00E23F82"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eti od</w:t>
      </w:r>
      <w:r w:rsidR="00E23F82" w:rsidRPr="005A0F56">
        <w:rPr>
          <w:rFonts w:ascii="Times New Roman" w:eastAsia="TimesNewRoman" w:hAnsi="Times New Roman" w:cs="Times New Roman"/>
          <w:sz w:val="22"/>
          <w:szCs w:val="22"/>
          <w:lang w:val="sr-Latn-RS"/>
        </w:rPr>
        <w:t>j</w:t>
      </w:r>
      <w:r w:rsidR="00990C0C" w:rsidRPr="005A0F56">
        <w:rPr>
          <w:rFonts w:ascii="Times New Roman" w:eastAsia="TimesNewRoman" w:hAnsi="Times New Roman" w:cs="Times New Roman"/>
          <w:sz w:val="22"/>
          <w:szCs w:val="22"/>
          <w:lang w:val="sr-Latn-RS"/>
        </w:rPr>
        <w:t>eljak 5.3).</w:t>
      </w:r>
    </w:p>
    <w:p w:rsidR="00DE6D4E" w:rsidRPr="005A0F56" w:rsidRDefault="00DE6D4E" w:rsidP="00B508FF">
      <w:pPr>
        <w:tabs>
          <w:tab w:val="left" w:pos="540"/>
          <w:tab w:val="left" w:pos="569"/>
        </w:tabs>
        <w:spacing w:after="0"/>
        <w:ind w:left="540" w:hanging="540"/>
        <w:jc w:val="both"/>
        <w:rPr>
          <w:rFonts w:ascii="Times New Roman" w:hAnsi="Times New Roman" w:cs="Times New Roman"/>
          <w:b/>
          <w:bCs/>
          <w:sz w:val="22"/>
          <w:szCs w:val="22"/>
        </w:rPr>
      </w:pPr>
    </w:p>
    <w:p w:rsidR="0072020E" w:rsidRDefault="0072020E" w:rsidP="00B508FF">
      <w:pPr>
        <w:tabs>
          <w:tab w:val="left" w:pos="540"/>
          <w:tab w:val="left" w:pos="569"/>
        </w:tabs>
        <w:spacing w:after="0"/>
        <w:ind w:left="540" w:hanging="540"/>
        <w:jc w:val="both"/>
        <w:rPr>
          <w:rFonts w:ascii="Times New Roman" w:hAnsi="Times New Roman" w:cs="Times New Roman"/>
          <w:b/>
          <w:bCs/>
          <w:sz w:val="22"/>
          <w:szCs w:val="22"/>
        </w:rPr>
      </w:pPr>
      <w:r w:rsidRPr="005A0F56">
        <w:rPr>
          <w:rFonts w:ascii="Times New Roman" w:hAnsi="Times New Roman" w:cs="Times New Roman"/>
          <w:b/>
          <w:bCs/>
          <w:sz w:val="22"/>
          <w:szCs w:val="22"/>
        </w:rPr>
        <w:t xml:space="preserve">4.7.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 xml:space="preserve">Uticaj na </w:t>
      </w:r>
      <w:r w:rsidR="002031B3" w:rsidRPr="005A0F56">
        <w:rPr>
          <w:rFonts w:ascii="Times New Roman" w:hAnsi="Times New Roman" w:cs="Times New Roman"/>
          <w:b/>
          <w:bCs/>
          <w:sz w:val="22"/>
          <w:szCs w:val="22"/>
        </w:rPr>
        <w:t xml:space="preserve">sposobnost </w:t>
      </w:r>
      <w:r w:rsidR="00F34554" w:rsidRPr="005A0F56">
        <w:rPr>
          <w:rFonts w:ascii="Times New Roman" w:hAnsi="Times New Roman" w:cs="Times New Roman"/>
          <w:b/>
          <w:bCs/>
          <w:sz w:val="22"/>
          <w:szCs w:val="22"/>
        </w:rPr>
        <w:t>upravljanja vozili</w:t>
      </w:r>
      <w:r w:rsidRPr="005A0F56">
        <w:rPr>
          <w:rFonts w:ascii="Times New Roman" w:hAnsi="Times New Roman" w:cs="Times New Roman"/>
          <w:b/>
          <w:bCs/>
          <w:sz w:val="22"/>
          <w:szCs w:val="22"/>
        </w:rPr>
        <w:t>m</w:t>
      </w:r>
      <w:r w:rsidR="00F34554" w:rsidRPr="005A0F56">
        <w:rPr>
          <w:rFonts w:ascii="Times New Roman" w:hAnsi="Times New Roman" w:cs="Times New Roman"/>
          <w:b/>
          <w:bCs/>
          <w:sz w:val="22"/>
          <w:szCs w:val="22"/>
        </w:rPr>
        <w:t>a</w:t>
      </w:r>
      <w:r w:rsidRPr="005A0F56">
        <w:rPr>
          <w:rFonts w:ascii="Times New Roman" w:hAnsi="Times New Roman" w:cs="Times New Roman"/>
          <w:b/>
          <w:bCs/>
          <w:sz w:val="22"/>
          <w:szCs w:val="22"/>
        </w:rPr>
        <w:t xml:space="preserve"> i </w:t>
      </w:r>
      <w:r w:rsidR="000D3449" w:rsidRPr="005A0F56">
        <w:rPr>
          <w:rFonts w:ascii="Times New Roman" w:hAnsi="Times New Roman" w:cs="Times New Roman"/>
          <w:b/>
          <w:bCs/>
          <w:sz w:val="22"/>
          <w:szCs w:val="22"/>
        </w:rPr>
        <w:t xml:space="preserve">rukovanje </w:t>
      </w:r>
      <w:r w:rsidRPr="005A0F56">
        <w:rPr>
          <w:rFonts w:ascii="Times New Roman" w:hAnsi="Times New Roman" w:cs="Times New Roman"/>
          <w:b/>
          <w:bCs/>
          <w:sz w:val="22"/>
          <w:szCs w:val="22"/>
        </w:rPr>
        <w:t>mašinama</w:t>
      </w:r>
    </w:p>
    <w:p w:rsidR="00EE2195" w:rsidRPr="005A0F56" w:rsidRDefault="00EE2195" w:rsidP="00B508FF">
      <w:pPr>
        <w:tabs>
          <w:tab w:val="left" w:pos="540"/>
          <w:tab w:val="left" w:pos="569"/>
        </w:tabs>
        <w:spacing w:after="0"/>
        <w:ind w:left="540" w:hanging="540"/>
        <w:jc w:val="both"/>
        <w:rPr>
          <w:rFonts w:ascii="Times New Roman" w:hAnsi="Times New Roman" w:cs="Times New Roman"/>
          <w:b/>
          <w:bCs/>
          <w:sz w:val="22"/>
          <w:szCs w:val="22"/>
        </w:rPr>
      </w:pPr>
    </w:p>
    <w:p w:rsidR="0072020E" w:rsidRDefault="002B5EDC" w:rsidP="00B508FF">
      <w:pPr>
        <w:tabs>
          <w:tab w:val="left" w:pos="540"/>
          <w:tab w:val="left" w:pos="569"/>
        </w:tabs>
        <w:spacing w:after="0"/>
        <w:jc w:val="both"/>
        <w:rPr>
          <w:rFonts w:ascii="Times New Roman" w:hAnsi="Times New Roman" w:cs="Times New Roman"/>
          <w:sz w:val="22"/>
          <w:szCs w:val="22"/>
          <w:lang w:val="sr-Latn-RS"/>
        </w:rPr>
      </w:pPr>
      <w:r w:rsidRPr="005A0F56">
        <w:rPr>
          <w:rFonts w:ascii="Times New Roman" w:hAnsi="Times New Roman" w:cs="Times New Roman"/>
          <w:sz w:val="22"/>
          <w:szCs w:val="22"/>
          <w:lang w:val="sr-Latn-RS"/>
        </w:rPr>
        <w:t>Enoksaparin-natrijum nema ili ima zanemarljiv uticaj na sposobnost upravljanja vozilima i rukovanja mašinama.</w:t>
      </w:r>
    </w:p>
    <w:p w:rsidR="009A497E" w:rsidRPr="005A0F56" w:rsidRDefault="009A497E" w:rsidP="00B508FF">
      <w:pPr>
        <w:tabs>
          <w:tab w:val="left" w:pos="540"/>
          <w:tab w:val="left" w:pos="569"/>
        </w:tabs>
        <w:spacing w:after="0"/>
        <w:jc w:val="both"/>
        <w:rPr>
          <w:rFonts w:ascii="Times New Roman" w:hAnsi="Times New Roman" w:cs="Times New Roman"/>
          <w:b/>
          <w:bCs/>
          <w:sz w:val="22"/>
          <w:szCs w:val="22"/>
        </w:rPr>
      </w:pPr>
    </w:p>
    <w:p w:rsidR="0072020E" w:rsidRPr="005A0F56" w:rsidRDefault="0072020E" w:rsidP="00B508FF">
      <w:pPr>
        <w:tabs>
          <w:tab w:val="left" w:pos="540"/>
          <w:tab w:val="left" w:pos="569"/>
        </w:tabs>
        <w:spacing w:after="0"/>
        <w:jc w:val="both"/>
        <w:rPr>
          <w:rFonts w:ascii="Times New Roman" w:hAnsi="Times New Roman" w:cs="Times New Roman"/>
          <w:b/>
          <w:bCs/>
          <w:sz w:val="22"/>
          <w:szCs w:val="22"/>
        </w:rPr>
      </w:pPr>
      <w:r w:rsidRPr="005A0F56">
        <w:rPr>
          <w:rFonts w:ascii="Times New Roman" w:hAnsi="Times New Roman" w:cs="Times New Roman"/>
          <w:b/>
          <w:bCs/>
          <w:sz w:val="22"/>
          <w:szCs w:val="22"/>
        </w:rPr>
        <w:t xml:space="preserve">4.8.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Neželjena dejstva</w:t>
      </w:r>
    </w:p>
    <w:p w:rsidR="002B5EDC" w:rsidRPr="005A0F56" w:rsidRDefault="002B5EDC" w:rsidP="00B508FF">
      <w:pPr>
        <w:tabs>
          <w:tab w:val="left" w:pos="540"/>
          <w:tab w:val="left" w:pos="569"/>
        </w:tabs>
        <w:spacing w:after="0"/>
        <w:jc w:val="both"/>
        <w:rPr>
          <w:rFonts w:ascii="Times New Roman" w:hAnsi="Times New Roman" w:cs="Times New Roman"/>
          <w:b/>
          <w:bCs/>
          <w:sz w:val="22"/>
          <w:szCs w:val="22"/>
        </w:rPr>
      </w:pPr>
    </w:p>
    <w:p w:rsidR="002B5EDC" w:rsidRPr="005A0F56" w:rsidRDefault="002B5EDC" w:rsidP="00EE2195">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Sažetak bezb</w:t>
      </w:r>
      <w:r w:rsidR="00932BBF" w:rsidRPr="005A0F56">
        <w:rPr>
          <w:rFonts w:ascii="Times New Roman" w:eastAsia="TimesNewRoman" w:hAnsi="Times New Roman" w:cs="Times New Roman"/>
          <w:sz w:val="22"/>
          <w:szCs w:val="22"/>
          <w:u w:val="single"/>
          <w:lang w:val="sr-Latn-RS"/>
        </w:rPr>
        <w:t>j</w:t>
      </w:r>
      <w:r w:rsidRPr="005A0F56">
        <w:rPr>
          <w:rFonts w:ascii="Times New Roman" w:eastAsia="TimesNewRoman" w:hAnsi="Times New Roman" w:cs="Times New Roman"/>
          <w:sz w:val="22"/>
          <w:szCs w:val="22"/>
          <w:u w:val="single"/>
          <w:lang w:val="sr-Latn-RS"/>
        </w:rPr>
        <w:t>edonosnog profila</w:t>
      </w: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EE219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je proc</w:t>
      </w:r>
      <w:r w:rsidR="00EE2195">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enjivan na više od 15000 pacijenata koji su primali enoksaparin</w:t>
      </w:r>
      <w:r w:rsidR="00EE219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u kliničkim ispitivanjima. To je uključivalo 1776 slučajeva profilakse duboke venske tromboze nakon</w:t>
      </w:r>
      <w:r w:rsidR="00EE219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ortopedskog ili abdominalnog hirurškog zahvata kod pacijenata sa rizikom od pojave tromboembolijskih</w:t>
      </w: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komplikacija, 1169 slučajeva profilakse duboke venske tromboze kod akutno obol</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elih internističkih pacijenata sa značajno ograničenom pokretljivošću, 559 slučajeva terapije DVT sa ili bez PE, 1578 slučajeva terapije nestabilne angine i infarkta miokarda bez Q-zupca i 10176 slučajeva terapije akutnog STEMI.</w:t>
      </w: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 xml:space="preserve">Režim </w:t>
      </w:r>
      <w:r w:rsidR="00290BF2">
        <w:rPr>
          <w:rFonts w:ascii="Times New Roman" w:eastAsia="TimesNewRoman" w:hAnsi="Times New Roman" w:cs="Times New Roman"/>
          <w:sz w:val="22"/>
          <w:szCs w:val="22"/>
          <w:lang w:val="sr-Latn-RS"/>
        </w:rPr>
        <w:t>terapije</w:t>
      </w:r>
      <w:r w:rsidR="00290BF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enoksaparin</w:t>
      </w:r>
      <w:r w:rsidR="00290BF2">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prim</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 tokom ovih kliničkih ispitivanja razlikuje se u zavisnosti od indikacije. Doza enoksaparin</w:t>
      </w:r>
      <w:r w:rsidR="00290BF2">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je bila 4000 i.j. (40 mg) s.c. jednom dnevno za profilaksu duboke venske tromboze nakon operacije ili kod akutno obol</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elih medikamentozno l</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ečenih pacijenata sa značajno ograničenom pokretljivošću. U terapiji DVT sa ili bez PE, pacijenti su primali enoksaparin</w:t>
      </w:r>
      <w:r w:rsidR="00290BF2">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u supkutanoj dozi od 100 i.j./kg (1 mg/kg) svakih 12 sati ili u supkutanoj dozi od 150 i.j./kg (1,5 mg/kg) jednom na dan. U kliničkim ispitivanjima vezanim za terapiju nestabilne angine i infarkta miokarda bez Q-zupca, doze su bile 100 i.j./kg (1 mg/kg) s.c. svakih 12 sati, dok je u kliničkim ispitivanjima terapije akutnog STEMI režim doziranja enoksaparin</w:t>
      </w:r>
      <w:r w:rsidR="00290BF2">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natirjuma uključivao prim</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enu intravenske bolus doze od 3000 i.j. (30 mg), nakon koje se prim</w:t>
      </w:r>
      <w:r w:rsidR="00932BBF" w:rsidRPr="005A0F56">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njivala supkutana doza od 100 i.j. (1 mg/kg) svakih 12 sati.</w:t>
      </w: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lastRenderedPageBreak/>
        <w:t>U kliničkim ispitivanjima, krvarenja, trombocitopenija i trombocitoza su bile najčešće prijavljivane reakcije (vid</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4.4 i „Opis odabranih neželjenih de</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stava“ u nastavku).</w:t>
      </w:r>
    </w:p>
    <w:p w:rsidR="00D31828" w:rsidRPr="005A0F56" w:rsidRDefault="00D31828">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D31828" w:rsidRPr="005A0F56" w:rsidRDefault="00D31828">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Bezb</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ednosni profil enoksaparina za produženo l</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ečenje DVT i PE kod pacijenata sa aktivnim kancerom je sličan njegovom bezb</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ednosnom profilu za l</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ečenje DVT i PE.</w:t>
      </w:r>
    </w:p>
    <w:p w:rsidR="00290BF2" w:rsidRDefault="001B616D" w:rsidP="005A0F56">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br/>
      </w:r>
      <w:r w:rsidRPr="005A0F56">
        <w:rPr>
          <w:rFonts w:ascii="Times New Roman" w:hAnsi="Times New Roman" w:cs="Times New Roman"/>
          <w:sz w:val="22"/>
          <w:szCs w:val="22"/>
        </w:rPr>
        <w:t>Prijavljena je akutna generalizirana egzantematozna pustuloza (AGEP) povezana s</w:t>
      </w:r>
      <w:r w:rsidR="00290BF2">
        <w:rPr>
          <w:rFonts w:ascii="Times New Roman" w:hAnsi="Times New Roman" w:cs="Times New Roman"/>
          <w:sz w:val="22"/>
          <w:szCs w:val="22"/>
        </w:rPr>
        <w:t>a</w:t>
      </w:r>
      <w:r w:rsidRPr="005A0F56">
        <w:rPr>
          <w:rFonts w:ascii="Times New Roman" w:hAnsi="Times New Roman" w:cs="Times New Roman"/>
          <w:sz w:val="22"/>
          <w:szCs w:val="22"/>
        </w:rPr>
        <w:t xml:space="preserve"> liječenjem enoksaparinom (vidjeti dio 4.4.).</w:t>
      </w:r>
      <w:r w:rsidR="00290BF2">
        <w:rPr>
          <w:rFonts w:ascii="Times New Roman" w:eastAsia="TimesNewRoman" w:hAnsi="Times New Roman" w:cs="Times New Roman"/>
          <w:sz w:val="22"/>
          <w:szCs w:val="22"/>
          <w:u w:val="single"/>
          <w:lang w:val="sr-Latn-RS"/>
        </w:rPr>
        <w:t xml:space="preserve"> </w:t>
      </w:r>
    </w:p>
    <w:p w:rsidR="00290BF2" w:rsidRDefault="00290BF2" w:rsidP="005A0F56">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p>
    <w:p w:rsidR="002B5EDC" w:rsidRDefault="002B5EDC" w:rsidP="005A0F56">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Tabelarni prikaz neželjenih reakcija</w:t>
      </w:r>
    </w:p>
    <w:p w:rsidR="00290BF2" w:rsidRPr="005A0F56" w:rsidRDefault="00290BF2" w:rsidP="005A0F56">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p>
    <w:p w:rsidR="002B5EDC" w:rsidRPr="00560321" w:rsidRDefault="002B5EDC" w:rsidP="00290BF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 xml:space="preserve">Ostala neželjena dejstva, registrovana tokom kliničkih ispitivanja i prijavljena u postmarketinškom periodu (* označava neželjena </w:t>
      </w:r>
      <w:r w:rsidRPr="00560321">
        <w:rPr>
          <w:rFonts w:ascii="Times New Roman" w:eastAsia="TimesNewRoman" w:hAnsi="Times New Roman" w:cs="Times New Roman"/>
          <w:sz w:val="22"/>
          <w:szCs w:val="22"/>
          <w:lang w:val="sr-Latn-RS"/>
        </w:rPr>
        <w:t>dejstva prijavljena u postmarketinškom periodu), navedena su u nastavku.</w:t>
      </w:r>
    </w:p>
    <w:p w:rsidR="002B5EDC" w:rsidRPr="00D63CF4" w:rsidRDefault="002B5EDC" w:rsidP="00173E6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303915">
        <w:rPr>
          <w:rFonts w:ascii="Times New Roman" w:eastAsia="TimesNewRoman" w:hAnsi="Times New Roman" w:cs="Times New Roman"/>
          <w:sz w:val="22"/>
          <w:szCs w:val="22"/>
          <w:lang w:val="sr-Latn-RS"/>
        </w:rPr>
        <w:t xml:space="preserve">Učestalost pojavljivanja definisana je kao: veoma često </w:t>
      </w:r>
      <w:r w:rsidRPr="00560321">
        <w:rPr>
          <w:rFonts w:ascii="Times New Roman" w:eastAsia="TimesNewRoman" w:hAnsi="Times New Roman" w:cs="Times New Roman"/>
          <w:sz w:val="22"/>
          <w:szCs w:val="22"/>
          <w:lang w:val="sr-Latn-RS"/>
        </w:rPr>
        <w:t>(</w:t>
      </w:r>
      <w:r w:rsidRPr="00560321">
        <w:rPr>
          <w:rFonts w:ascii="Times New Roman" w:eastAsia="TimesNewRoman" w:hAnsi="Times New Roman" w:cs="Times New Roman" w:hint="eastAsia"/>
          <w:sz w:val="22"/>
          <w:szCs w:val="22"/>
          <w:lang w:val="sr-Latn-RS"/>
        </w:rPr>
        <w:t>≥</w:t>
      </w:r>
      <w:r w:rsidRPr="00560321">
        <w:rPr>
          <w:rFonts w:ascii="Times New Roman" w:eastAsia="TimesNewRoman" w:hAnsi="Times New Roman" w:cs="Times New Roman"/>
          <w:sz w:val="22"/>
          <w:szCs w:val="22"/>
          <w:lang w:val="sr-Latn-RS"/>
        </w:rPr>
        <w:t>1/10); često (</w:t>
      </w:r>
      <w:r w:rsidRPr="00560321">
        <w:rPr>
          <w:rFonts w:ascii="Times New Roman" w:eastAsia="TimesNewRoman" w:hAnsi="Times New Roman" w:cs="Times New Roman" w:hint="eastAsia"/>
          <w:sz w:val="22"/>
          <w:szCs w:val="22"/>
          <w:lang w:val="sr-Latn-RS"/>
        </w:rPr>
        <w:t>≥</w:t>
      </w:r>
      <w:r w:rsidRPr="00560321">
        <w:rPr>
          <w:rFonts w:ascii="Times New Roman" w:eastAsia="TimesNewRoman" w:hAnsi="Times New Roman" w:cs="Times New Roman"/>
          <w:sz w:val="22"/>
          <w:szCs w:val="22"/>
          <w:lang w:val="sr-Latn-RS"/>
        </w:rPr>
        <w:t>1/100 do &lt;1/10); povremeno</w:t>
      </w:r>
      <w:r w:rsidR="00173E6F" w:rsidRPr="00560321">
        <w:rPr>
          <w:rFonts w:ascii="Times New Roman" w:eastAsia="TimesNewRoman" w:hAnsi="Times New Roman" w:cs="Times New Roman"/>
          <w:sz w:val="22"/>
          <w:szCs w:val="22"/>
          <w:lang w:val="sr-Latn-RS"/>
        </w:rPr>
        <w:t xml:space="preserve"> </w:t>
      </w:r>
      <w:r w:rsidRPr="00560321">
        <w:rPr>
          <w:rFonts w:ascii="Times New Roman" w:eastAsia="TimesNewRoman" w:hAnsi="Times New Roman" w:cs="Times New Roman"/>
          <w:sz w:val="22"/>
          <w:szCs w:val="22"/>
          <w:lang w:val="sr-Latn-RS"/>
        </w:rPr>
        <w:t>(</w:t>
      </w:r>
      <w:r w:rsidRPr="00560321">
        <w:rPr>
          <w:rFonts w:ascii="Times New Roman" w:eastAsia="TimesNewRoman" w:hAnsi="Times New Roman" w:cs="Times New Roman" w:hint="eastAsia"/>
          <w:sz w:val="22"/>
          <w:szCs w:val="22"/>
          <w:lang w:val="sr-Latn-RS"/>
        </w:rPr>
        <w:t>≥</w:t>
      </w:r>
      <w:r w:rsidRPr="00560321">
        <w:rPr>
          <w:rFonts w:ascii="Times New Roman" w:eastAsia="TimesNewRoman" w:hAnsi="Times New Roman" w:cs="Times New Roman"/>
          <w:sz w:val="22"/>
          <w:szCs w:val="22"/>
          <w:lang w:val="sr-Latn-RS"/>
        </w:rPr>
        <w:t>1/1000 do &lt;1/100); r</w:t>
      </w:r>
      <w:r w:rsidR="00932BBF" w:rsidRPr="00560321">
        <w:rPr>
          <w:rFonts w:ascii="Times New Roman" w:eastAsia="TimesNewRoman" w:hAnsi="Times New Roman" w:cs="Times New Roman"/>
          <w:sz w:val="22"/>
          <w:szCs w:val="22"/>
          <w:lang w:val="sr-Latn-RS"/>
        </w:rPr>
        <w:t>ij</w:t>
      </w:r>
      <w:r w:rsidRPr="00303915">
        <w:rPr>
          <w:rFonts w:ascii="Times New Roman" w:eastAsia="TimesNewRoman" w:hAnsi="Times New Roman" w:cs="Times New Roman"/>
          <w:sz w:val="22"/>
          <w:szCs w:val="22"/>
          <w:lang w:val="sr-Latn-RS"/>
        </w:rPr>
        <w:t xml:space="preserve">etko </w:t>
      </w:r>
      <w:r w:rsidRPr="00560321">
        <w:rPr>
          <w:rFonts w:ascii="Times New Roman" w:eastAsia="TimesNewRoman" w:hAnsi="Times New Roman" w:cs="Times New Roman"/>
          <w:sz w:val="22"/>
          <w:szCs w:val="22"/>
          <w:lang w:val="sr-Latn-RS"/>
        </w:rPr>
        <w:t>(</w:t>
      </w:r>
      <w:r w:rsidRPr="00560321">
        <w:rPr>
          <w:rFonts w:ascii="Times New Roman" w:eastAsia="TimesNewRoman" w:hAnsi="Times New Roman" w:cs="Times New Roman" w:hint="eastAsia"/>
          <w:sz w:val="22"/>
          <w:szCs w:val="22"/>
          <w:lang w:val="sr-Latn-RS"/>
        </w:rPr>
        <w:t>≥</w:t>
      </w:r>
      <w:r w:rsidRPr="00560321">
        <w:rPr>
          <w:rFonts w:ascii="Times New Roman" w:eastAsia="TimesNewRoman" w:hAnsi="Times New Roman" w:cs="Times New Roman"/>
          <w:sz w:val="22"/>
          <w:szCs w:val="22"/>
          <w:lang w:val="sr-Latn-RS"/>
        </w:rPr>
        <w:t>1/10000 do &lt;1/1000); veoma r</w:t>
      </w:r>
      <w:r w:rsidR="00932BBF" w:rsidRPr="00560321">
        <w:rPr>
          <w:rFonts w:ascii="Times New Roman" w:eastAsia="TimesNewRoman" w:hAnsi="Times New Roman" w:cs="Times New Roman"/>
          <w:sz w:val="22"/>
          <w:szCs w:val="22"/>
          <w:lang w:val="sr-Latn-RS"/>
        </w:rPr>
        <w:t>ij</w:t>
      </w:r>
      <w:r w:rsidRPr="00303915">
        <w:rPr>
          <w:rFonts w:ascii="Times New Roman" w:eastAsia="TimesNewRoman" w:hAnsi="Times New Roman" w:cs="Times New Roman"/>
          <w:sz w:val="22"/>
          <w:szCs w:val="22"/>
          <w:lang w:val="sr-Latn-RS"/>
        </w:rPr>
        <w:t>etko (&lt;1/10000), nepoznato (ne može se</w:t>
      </w:r>
      <w:r w:rsidR="001B616D" w:rsidRPr="00303915">
        <w:rPr>
          <w:rFonts w:ascii="Times New Roman" w:eastAsia="TimesNewRoman" w:hAnsi="Times New Roman" w:cs="Times New Roman"/>
          <w:sz w:val="22"/>
          <w:szCs w:val="22"/>
          <w:lang w:val="sr-Latn-RS"/>
        </w:rPr>
        <w:t xml:space="preserve"> </w:t>
      </w:r>
      <w:r w:rsidRPr="00303915">
        <w:rPr>
          <w:rFonts w:ascii="Times New Roman" w:eastAsia="TimesNewRoman" w:hAnsi="Times New Roman" w:cs="Times New Roman"/>
          <w:sz w:val="22"/>
          <w:szCs w:val="22"/>
          <w:lang w:val="sr-Latn-RS"/>
        </w:rPr>
        <w:t>proc</w:t>
      </w:r>
      <w:r w:rsidR="00932BBF" w:rsidRPr="00E44DE8">
        <w:rPr>
          <w:rFonts w:ascii="Times New Roman" w:eastAsia="TimesNewRoman" w:hAnsi="Times New Roman" w:cs="Times New Roman"/>
          <w:sz w:val="22"/>
          <w:szCs w:val="22"/>
          <w:lang w:val="sr-Latn-RS"/>
        </w:rPr>
        <w:t>ij</w:t>
      </w:r>
      <w:r w:rsidRPr="00D63CF4">
        <w:rPr>
          <w:rFonts w:ascii="Times New Roman" w:eastAsia="TimesNewRoman" w:hAnsi="Times New Roman" w:cs="Times New Roman"/>
          <w:sz w:val="22"/>
          <w:szCs w:val="22"/>
          <w:lang w:val="sr-Latn-RS"/>
        </w:rPr>
        <w:t>eniti na osnovu dostupnih podataka). Unutar svake klase sistema organa neželjena dejstva su prikazana sa opadajućom ozbiljnošću.</w:t>
      </w:r>
    </w:p>
    <w:p w:rsidR="002B5EDC" w:rsidRPr="006834E8" w:rsidRDefault="002B5EDC" w:rsidP="0034534E">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Poremećaji krvi i limfnog sistema</w:t>
      </w:r>
    </w:p>
    <w:p w:rsidR="002B5EDC" w:rsidRPr="005A0F56" w:rsidRDefault="001B616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009E63AD" w:rsidRPr="00B508FF">
        <w:rPr>
          <w:rFonts w:ascii="Times New Roman" w:hAnsi="Times New Roman" w:cs="Times New Roman"/>
          <w:sz w:val="22"/>
          <w:szCs w:val="22"/>
        </w:rPr>
        <w:tab/>
      </w:r>
      <w:r w:rsidR="002B5EDC" w:rsidRPr="005A0F56">
        <w:rPr>
          <w:rFonts w:ascii="Times New Roman" w:eastAsia="TimesNewRoman" w:hAnsi="Times New Roman" w:cs="Times New Roman"/>
          <w:sz w:val="22"/>
          <w:szCs w:val="22"/>
          <w:lang w:val="sr-Latn-RS"/>
        </w:rPr>
        <w:t>Često: krvarenja, hemoragijska anemija*, trombocitopenija, trombocitoza</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ab/>
      </w:r>
      <w:r w:rsidR="002B5EDC" w:rsidRPr="005A0F56">
        <w:rPr>
          <w:rFonts w:ascii="Times New Roman" w:eastAsia="TimesNewRoman" w:hAnsi="Times New Roman" w:cs="Times New Roman"/>
          <w:sz w:val="22"/>
          <w:szCs w:val="22"/>
          <w:lang w:val="sr-Latn-RS"/>
        </w:rPr>
        <w:t>Retko: eozinofilija*</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2B5EDC" w:rsidRPr="005A0F56">
        <w:rPr>
          <w:rFonts w:ascii="Times New Roman" w:eastAsia="TimesNewRoman" w:hAnsi="Times New Roman" w:cs="Times New Roman"/>
          <w:sz w:val="22"/>
          <w:szCs w:val="22"/>
          <w:lang w:val="sr-Latn-RS"/>
        </w:rPr>
        <w:t>R</w:t>
      </w:r>
      <w:r w:rsidR="00932BBF" w:rsidRPr="005A0F56">
        <w:rPr>
          <w:rFonts w:ascii="Times New Roman" w:eastAsia="TimesNewRoman" w:hAnsi="Times New Roman" w:cs="Times New Roman"/>
          <w:sz w:val="22"/>
          <w:szCs w:val="22"/>
          <w:lang w:val="sr-Latn-RS"/>
        </w:rPr>
        <w:t>ij</w:t>
      </w:r>
      <w:r w:rsidR="002B5EDC" w:rsidRPr="005A0F56">
        <w:rPr>
          <w:rFonts w:ascii="Times New Roman" w:eastAsia="TimesNewRoman" w:hAnsi="Times New Roman" w:cs="Times New Roman"/>
          <w:sz w:val="22"/>
          <w:szCs w:val="22"/>
          <w:lang w:val="sr-Latn-RS"/>
        </w:rPr>
        <w:t xml:space="preserve">etko: slučajevi imuno-alergijske trombocitopenije sa trombozom; u nekim </w:t>
      </w:r>
      <w:r w:rsidR="00173E6F">
        <w:rPr>
          <w:rFonts w:ascii="Times New Roman" w:eastAsia="TimesNewRoman" w:hAnsi="Times New Roman" w:cs="Times New Roman"/>
          <w:sz w:val="22"/>
          <w:szCs w:val="22"/>
          <w:lang w:val="sr-Latn-RS"/>
        </w:rPr>
        <w:t xml:space="preserve">od tih </w:t>
      </w:r>
      <w:r w:rsidR="002B5EDC" w:rsidRPr="005A0F56">
        <w:rPr>
          <w:rFonts w:ascii="Times New Roman" w:eastAsia="TimesNewRoman" w:hAnsi="Times New Roman" w:cs="Times New Roman"/>
          <w:sz w:val="22"/>
          <w:szCs w:val="22"/>
          <w:lang w:val="sr-Latn-RS"/>
        </w:rPr>
        <w:t xml:space="preserve">slučajevima </w:t>
      </w:r>
      <w:r w:rsidRPr="005A0F56">
        <w:rPr>
          <w:rFonts w:ascii="Times New Roman" w:eastAsia="TimesNewRoman" w:hAnsi="Times New Roman" w:cs="Times New Roman"/>
          <w:sz w:val="22"/>
          <w:szCs w:val="22"/>
          <w:lang w:val="sr-Latn-RS"/>
        </w:rPr>
        <w:br/>
        <w:t xml:space="preserve">             </w:t>
      </w:r>
      <w:r w:rsidR="002B5EDC" w:rsidRPr="005A0F56">
        <w:rPr>
          <w:rFonts w:ascii="Times New Roman" w:eastAsia="TimesNewRoman" w:hAnsi="Times New Roman" w:cs="Times New Roman"/>
          <w:sz w:val="22"/>
          <w:szCs w:val="22"/>
          <w:lang w:val="sr-Latn-RS"/>
        </w:rPr>
        <w:t xml:space="preserve">tromboza je </w:t>
      </w:r>
      <w:r w:rsidR="00173E6F">
        <w:rPr>
          <w:rFonts w:ascii="Times New Roman" w:eastAsia="TimesNewRoman" w:hAnsi="Times New Roman" w:cs="Times New Roman"/>
          <w:sz w:val="22"/>
          <w:szCs w:val="22"/>
          <w:lang w:val="sr-Latn-RS"/>
        </w:rPr>
        <w:t>dovela do</w:t>
      </w:r>
      <w:r w:rsidR="00173E6F" w:rsidRPr="005A0F56">
        <w:rPr>
          <w:rFonts w:ascii="Times New Roman" w:eastAsia="TimesNewRoman" w:hAnsi="Times New Roman" w:cs="Times New Roman"/>
          <w:sz w:val="22"/>
          <w:szCs w:val="22"/>
          <w:lang w:val="sr-Latn-RS"/>
        </w:rPr>
        <w:t xml:space="preserve"> </w:t>
      </w:r>
      <w:r w:rsidR="002B5EDC" w:rsidRPr="005A0F56">
        <w:rPr>
          <w:rFonts w:ascii="Times New Roman" w:eastAsia="TimesNewRoman" w:hAnsi="Times New Roman" w:cs="Times New Roman"/>
          <w:sz w:val="22"/>
          <w:szCs w:val="22"/>
          <w:lang w:val="sr-Latn-RS"/>
        </w:rPr>
        <w:t>komplik</w:t>
      </w:r>
      <w:r w:rsidR="00173E6F">
        <w:rPr>
          <w:rFonts w:ascii="Times New Roman" w:eastAsia="TimesNewRoman" w:hAnsi="Times New Roman" w:cs="Times New Roman"/>
          <w:sz w:val="22"/>
          <w:szCs w:val="22"/>
          <w:lang w:val="sr-Latn-RS"/>
        </w:rPr>
        <w:t>acija</w:t>
      </w:r>
      <w:r w:rsidR="002B5EDC" w:rsidRPr="005A0F56">
        <w:rPr>
          <w:rFonts w:ascii="Times New Roman" w:eastAsia="TimesNewRoman" w:hAnsi="Times New Roman" w:cs="Times New Roman"/>
          <w:sz w:val="22"/>
          <w:szCs w:val="22"/>
          <w:lang w:val="sr-Latn-RS"/>
        </w:rPr>
        <w:t xml:space="preserve"> infarkt</w:t>
      </w:r>
      <w:r w:rsidR="00173E6F">
        <w:rPr>
          <w:rFonts w:ascii="Times New Roman" w:eastAsia="TimesNewRoman" w:hAnsi="Times New Roman" w:cs="Times New Roman"/>
          <w:sz w:val="22"/>
          <w:szCs w:val="22"/>
          <w:lang w:val="sr-Latn-RS"/>
        </w:rPr>
        <w:t>a</w:t>
      </w:r>
      <w:r w:rsidR="002B5EDC" w:rsidRPr="005A0F56">
        <w:rPr>
          <w:rFonts w:ascii="Times New Roman" w:eastAsia="TimesNewRoman" w:hAnsi="Times New Roman" w:cs="Times New Roman"/>
          <w:sz w:val="22"/>
          <w:szCs w:val="22"/>
          <w:lang w:val="sr-Latn-RS"/>
        </w:rPr>
        <w:t xml:space="preserve"> </w:t>
      </w:r>
      <w:r w:rsidR="00173E6F">
        <w:rPr>
          <w:rFonts w:ascii="Times New Roman" w:eastAsia="TimesNewRoman" w:hAnsi="Times New Roman" w:cs="Times New Roman"/>
          <w:sz w:val="22"/>
          <w:szCs w:val="22"/>
          <w:lang w:val="sr-Latn-RS"/>
        </w:rPr>
        <w:t>organa</w:t>
      </w:r>
      <w:r w:rsidR="00173E6F" w:rsidRPr="005A0F56">
        <w:rPr>
          <w:rFonts w:ascii="Times New Roman" w:eastAsia="TimesNewRoman" w:hAnsi="Times New Roman" w:cs="Times New Roman"/>
          <w:sz w:val="22"/>
          <w:szCs w:val="22"/>
          <w:lang w:val="sr-Latn-RS"/>
        </w:rPr>
        <w:t xml:space="preserve"> </w:t>
      </w:r>
      <w:r w:rsidR="002B5EDC" w:rsidRPr="005A0F56">
        <w:rPr>
          <w:rFonts w:ascii="Times New Roman" w:eastAsia="TimesNewRoman" w:hAnsi="Times New Roman" w:cs="Times New Roman"/>
          <w:sz w:val="22"/>
          <w:szCs w:val="22"/>
          <w:lang w:val="sr-Latn-RS"/>
        </w:rPr>
        <w:t>ili ishemij</w:t>
      </w:r>
      <w:r w:rsidR="00173E6F">
        <w:rPr>
          <w:rFonts w:ascii="Times New Roman" w:eastAsia="TimesNewRoman" w:hAnsi="Times New Roman" w:cs="Times New Roman"/>
          <w:sz w:val="22"/>
          <w:szCs w:val="22"/>
          <w:lang w:val="sr-Latn-RS"/>
        </w:rPr>
        <w:t>e</w:t>
      </w:r>
      <w:r w:rsidR="002B5EDC" w:rsidRPr="005A0F56">
        <w:rPr>
          <w:rFonts w:ascii="Times New Roman" w:eastAsia="TimesNewRoman" w:hAnsi="Times New Roman" w:cs="Times New Roman"/>
          <w:sz w:val="22"/>
          <w:szCs w:val="22"/>
          <w:lang w:val="sr-Latn-RS"/>
        </w:rPr>
        <w:t xml:space="preserve"> ekstremiteta (vid</w:t>
      </w:r>
      <w:r w:rsidR="00932BBF" w:rsidRPr="005A0F56">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eti od</w:t>
      </w:r>
      <w:r w:rsidR="00932BBF" w:rsidRPr="005A0F56">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eljak</w:t>
      </w:r>
      <w:r w:rsidRPr="005A0F56">
        <w:rPr>
          <w:rFonts w:ascii="Times New Roman" w:eastAsia="TimesNewRoman" w:hAnsi="Times New Roman" w:cs="Times New Roman"/>
          <w:sz w:val="22"/>
          <w:szCs w:val="22"/>
          <w:lang w:val="sr-Latn-RS"/>
        </w:rPr>
        <w:br/>
        <w:t xml:space="preserve">            </w:t>
      </w:r>
      <w:r w:rsidR="002B5EDC" w:rsidRPr="005A0F56">
        <w:rPr>
          <w:rFonts w:ascii="Times New Roman" w:eastAsia="TimesNewRoman" w:hAnsi="Times New Roman" w:cs="Times New Roman"/>
          <w:sz w:val="22"/>
          <w:szCs w:val="22"/>
          <w:lang w:val="sr-Latn-RS"/>
        </w:rPr>
        <w:t xml:space="preserve"> 4.4).</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br/>
      </w:r>
      <w:r w:rsidR="002B5EDC" w:rsidRPr="005A0F56">
        <w:rPr>
          <w:rFonts w:ascii="Times New Roman" w:eastAsia="TimesNewRoman" w:hAnsi="Times New Roman" w:cs="Times New Roman"/>
          <w:i/>
          <w:iCs/>
          <w:sz w:val="22"/>
          <w:szCs w:val="22"/>
          <w:lang w:val="sr-Latn-RS"/>
        </w:rPr>
        <w:t>Poremećaji imunskog sistema</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2B5EDC" w:rsidRPr="005A0F56">
        <w:rPr>
          <w:rFonts w:ascii="Times New Roman" w:eastAsia="TimesNewRoman" w:hAnsi="Times New Roman" w:cs="Times New Roman"/>
          <w:sz w:val="22"/>
          <w:szCs w:val="22"/>
          <w:lang w:val="sr-Latn-RS"/>
        </w:rPr>
        <w:t>Često: alergijske reakcije</w:t>
      </w:r>
    </w:p>
    <w:p w:rsidR="002B5EDC" w:rsidRPr="005A0F56" w:rsidRDefault="009E63AD" w:rsidP="00173E6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2B5EDC" w:rsidRPr="005A0F56">
        <w:rPr>
          <w:rFonts w:ascii="Times New Roman" w:eastAsia="TimesNewRoman" w:hAnsi="Times New Roman" w:cs="Times New Roman"/>
          <w:sz w:val="22"/>
          <w:szCs w:val="22"/>
          <w:lang w:val="sr-Latn-RS"/>
        </w:rPr>
        <w:t>R</w:t>
      </w:r>
      <w:r w:rsidR="00932BBF" w:rsidRPr="005A0F56">
        <w:rPr>
          <w:rFonts w:ascii="Times New Roman" w:eastAsia="TimesNewRoman" w:hAnsi="Times New Roman" w:cs="Times New Roman"/>
          <w:sz w:val="22"/>
          <w:szCs w:val="22"/>
          <w:lang w:val="sr-Latn-RS"/>
        </w:rPr>
        <w:t>ij</w:t>
      </w:r>
      <w:r w:rsidR="002B5EDC" w:rsidRPr="005A0F56">
        <w:rPr>
          <w:rFonts w:ascii="Times New Roman" w:eastAsia="TimesNewRoman" w:hAnsi="Times New Roman" w:cs="Times New Roman"/>
          <w:sz w:val="22"/>
          <w:szCs w:val="22"/>
          <w:lang w:val="sr-Latn-RS"/>
        </w:rPr>
        <w:t>etko: anafilaktičke/anafilaktoidne reakcije uključujući šok*</w:t>
      </w:r>
    </w:p>
    <w:p w:rsidR="009E63AD" w:rsidRPr="005A0F56" w:rsidRDefault="009E63AD" w:rsidP="0034534E">
      <w:pPr>
        <w:autoSpaceDE w:val="0"/>
        <w:autoSpaceDN w:val="0"/>
        <w:adjustRightInd w:val="0"/>
        <w:spacing w:after="0" w:line="240" w:lineRule="auto"/>
        <w:ind w:left="720"/>
        <w:jc w:val="both"/>
        <w:rPr>
          <w:rFonts w:ascii="Times New Roman" w:eastAsia="TimesNewRoman" w:hAnsi="Times New Roman" w:cs="Times New Roman"/>
          <w:i/>
          <w:iCs/>
          <w:sz w:val="22"/>
          <w:szCs w:val="22"/>
          <w:lang w:val="sr-Latn-RS"/>
        </w:rPr>
      </w:pPr>
    </w:p>
    <w:p w:rsidR="002B5EDC" w:rsidRPr="005A0F56" w:rsidRDefault="002B5EDC" w:rsidP="006834E8">
      <w:pPr>
        <w:autoSpaceDE w:val="0"/>
        <w:autoSpaceDN w:val="0"/>
        <w:adjustRightInd w:val="0"/>
        <w:spacing w:after="0" w:line="240" w:lineRule="auto"/>
        <w:ind w:left="720"/>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Poremećaji nervnog sistema</w:t>
      </w:r>
    </w:p>
    <w:p w:rsidR="002B5EDC" w:rsidRPr="005A0F56" w:rsidRDefault="009E63AD" w:rsidP="00B508FF">
      <w:pPr>
        <w:tabs>
          <w:tab w:val="left" w:pos="540"/>
          <w:tab w:val="left" w:pos="569"/>
        </w:tabs>
        <w:spacing w:after="0"/>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2B5EDC" w:rsidRPr="005A0F56">
        <w:rPr>
          <w:rFonts w:ascii="Times New Roman" w:eastAsia="TimesNewRoman" w:hAnsi="Times New Roman" w:cs="Times New Roman"/>
          <w:sz w:val="22"/>
          <w:szCs w:val="22"/>
          <w:lang w:val="sr-Latn-RS"/>
        </w:rPr>
        <w:t>Često: glavobolja*</w:t>
      </w:r>
    </w:p>
    <w:p w:rsidR="0034534E" w:rsidRDefault="0034534E">
      <w:pPr>
        <w:autoSpaceDE w:val="0"/>
        <w:autoSpaceDN w:val="0"/>
        <w:adjustRightInd w:val="0"/>
        <w:spacing w:after="0" w:line="240" w:lineRule="auto"/>
        <w:jc w:val="both"/>
        <w:rPr>
          <w:rFonts w:ascii="Times New Roman" w:hAnsi="Times New Roman" w:cs="Times New Roman"/>
          <w:i/>
          <w:iCs/>
          <w:sz w:val="22"/>
          <w:szCs w:val="22"/>
          <w:lang w:val="sr-Latn-RS"/>
        </w:rPr>
      </w:pPr>
    </w:p>
    <w:p w:rsidR="002B5EDC" w:rsidRPr="005A0F56" w:rsidRDefault="002B5EDC">
      <w:p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t>Vaskularni poremećaji</w:t>
      </w:r>
    </w:p>
    <w:p w:rsidR="002B5EDC" w:rsidRPr="005A0F56" w:rsidRDefault="009E63AD" w:rsidP="00B508FF">
      <w:pPr>
        <w:autoSpaceDE w:val="0"/>
        <w:autoSpaceDN w:val="0"/>
        <w:adjustRightInd w:val="0"/>
        <w:spacing w:after="0" w:line="240" w:lineRule="auto"/>
        <w:ind w:left="709" w:hanging="709"/>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2B5EDC" w:rsidRPr="005A0F56">
        <w:rPr>
          <w:rFonts w:ascii="Times New Roman" w:eastAsia="TimesNewRoman" w:hAnsi="Times New Roman" w:cs="Times New Roman"/>
          <w:sz w:val="22"/>
          <w:szCs w:val="22"/>
          <w:lang w:val="sr-Latn-RS"/>
        </w:rPr>
        <w:t>R</w:t>
      </w:r>
      <w:r w:rsidR="00932BBF" w:rsidRPr="005A0F56">
        <w:rPr>
          <w:rFonts w:ascii="Times New Roman" w:eastAsia="TimesNewRoman" w:hAnsi="Times New Roman" w:cs="Times New Roman"/>
          <w:sz w:val="22"/>
          <w:szCs w:val="22"/>
          <w:lang w:val="sr-Latn-RS"/>
        </w:rPr>
        <w:t>ij</w:t>
      </w:r>
      <w:r w:rsidR="002B5EDC" w:rsidRPr="005A0F56">
        <w:rPr>
          <w:rFonts w:ascii="Times New Roman" w:eastAsia="TimesNewRoman" w:hAnsi="Times New Roman" w:cs="Times New Roman"/>
          <w:sz w:val="22"/>
          <w:szCs w:val="22"/>
          <w:lang w:val="sr-Latn-RS"/>
        </w:rPr>
        <w:t>etko: spinalni hematom* (ili neuroaksijalni hematom). Ove reakcije su imale za posl</w:t>
      </w:r>
      <w:r w:rsidR="00932BBF" w:rsidRPr="005A0F56">
        <w:rPr>
          <w:rFonts w:ascii="Times New Roman" w:eastAsia="TimesNewRoman" w:hAnsi="Times New Roman" w:cs="Times New Roman"/>
          <w:sz w:val="22"/>
          <w:szCs w:val="22"/>
          <w:lang w:val="sr-Latn-RS"/>
        </w:rPr>
        <w:t>j</w:t>
      </w:r>
      <w:r w:rsidR="002B5EDC" w:rsidRPr="00F155F0">
        <w:rPr>
          <w:rFonts w:ascii="Times New Roman" w:eastAsia="TimesNewRoman" w:hAnsi="Times New Roman" w:cs="Times New Roman"/>
          <w:sz w:val="22"/>
          <w:szCs w:val="22"/>
          <w:lang w:val="sr-Latn-RS"/>
        </w:rPr>
        <w:t>edicu</w:t>
      </w:r>
      <w:r w:rsidR="0034534E">
        <w:rPr>
          <w:rFonts w:ascii="Times New Roman" w:eastAsia="TimesNewRoman" w:hAnsi="Times New Roman" w:cs="Times New Roman"/>
          <w:sz w:val="22"/>
          <w:szCs w:val="22"/>
          <w:lang w:val="sr-Latn-RS"/>
        </w:rPr>
        <w:t xml:space="preserve"> </w:t>
      </w:r>
      <w:r w:rsidR="002B5EDC" w:rsidRPr="005A0F56">
        <w:rPr>
          <w:rFonts w:ascii="Times New Roman" w:eastAsia="TimesNewRoman" w:hAnsi="Times New Roman" w:cs="Times New Roman"/>
          <w:sz w:val="22"/>
          <w:szCs w:val="22"/>
          <w:lang w:val="sr-Latn-RS"/>
        </w:rPr>
        <w:t>neurološke povrede različitog stepena, uključujući dugotrajnu ili permanentnu paralizu (vid</w:t>
      </w:r>
      <w:r w:rsidR="00932BBF" w:rsidRPr="005A0F56">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eti</w:t>
      </w:r>
    </w:p>
    <w:p w:rsidR="002B5EDC" w:rsidRPr="005A0F56" w:rsidRDefault="002B5EDC">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od</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4.4)</w:t>
      </w:r>
    </w:p>
    <w:p w:rsidR="002B5EDC" w:rsidRPr="005A0F56" w:rsidRDefault="002B5EDC">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p>
    <w:p w:rsidR="002B5EDC" w:rsidRPr="005A0F56" w:rsidRDefault="002B5EDC">
      <w:p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t>Hepatobilijarni poremećaji</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2B5EDC" w:rsidRPr="005A0F56">
        <w:rPr>
          <w:rFonts w:ascii="Times New Roman" w:eastAsia="TimesNewRoman" w:hAnsi="Times New Roman" w:cs="Times New Roman"/>
          <w:sz w:val="22"/>
          <w:szCs w:val="22"/>
          <w:lang w:val="sr-Latn-RS"/>
        </w:rPr>
        <w:t>Veoma često: povećane vr</w:t>
      </w:r>
      <w:r w:rsidR="00932BBF" w:rsidRPr="005A0F56">
        <w:rPr>
          <w:rFonts w:ascii="Times New Roman" w:eastAsia="TimesNewRoman" w:hAnsi="Times New Roman" w:cs="Times New Roman"/>
          <w:sz w:val="22"/>
          <w:szCs w:val="22"/>
          <w:lang w:val="sr-Latn-RS"/>
        </w:rPr>
        <w:t>ij</w:t>
      </w:r>
      <w:r w:rsidR="002B5EDC" w:rsidRPr="005A0F56">
        <w:rPr>
          <w:rFonts w:ascii="Times New Roman" w:eastAsia="TimesNewRoman" w:hAnsi="Times New Roman" w:cs="Times New Roman"/>
          <w:sz w:val="22"/>
          <w:szCs w:val="22"/>
          <w:lang w:val="sr-Latn-RS"/>
        </w:rPr>
        <w:t xml:space="preserve">ednosti enzima jetre (naročito transaminaze &gt; 3 puta iznad gornje </w:t>
      </w:r>
      <w:r w:rsidRPr="005A0F56">
        <w:rPr>
          <w:rFonts w:ascii="Times New Roman" w:eastAsia="TimesNewRoman" w:hAnsi="Times New Roman" w:cs="Times New Roman"/>
          <w:sz w:val="22"/>
          <w:szCs w:val="22"/>
          <w:lang w:val="sr-Latn-RS"/>
        </w:rPr>
        <w:br/>
        <w:t xml:space="preserve">              </w:t>
      </w:r>
      <w:r w:rsidR="002B5EDC" w:rsidRPr="005A0F56">
        <w:rPr>
          <w:rFonts w:ascii="Times New Roman" w:eastAsia="TimesNewRoman" w:hAnsi="Times New Roman" w:cs="Times New Roman"/>
          <w:sz w:val="22"/>
          <w:szCs w:val="22"/>
          <w:lang w:val="sr-Latn-RS"/>
        </w:rPr>
        <w:t>granice)</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2B5EDC" w:rsidRPr="005A0F56">
        <w:rPr>
          <w:rFonts w:ascii="Times New Roman" w:hAnsi="Times New Roman" w:cs="Times New Roman"/>
          <w:sz w:val="22"/>
          <w:szCs w:val="22"/>
          <w:lang w:val="sr-Latn-RS"/>
        </w:rPr>
        <w:t xml:space="preserve"> </w:t>
      </w:r>
      <w:r w:rsidR="002B5EDC" w:rsidRPr="005A0F56">
        <w:rPr>
          <w:rFonts w:ascii="Times New Roman" w:eastAsia="TimesNewRoman" w:hAnsi="Times New Roman" w:cs="Times New Roman"/>
          <w:sz w:val="22"/>
          <w:szCs w:val="22"/>
          <w:lang w:val="sr-Latn-RS"/>
        </w:rPr>
        <w:t>Povremeno: hepatocelularno oštećenje jetre*</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002B5EDC" w:rsidRPr="005A0F56">
        <w:rPr>
          <w:rFonts w:ascii="Times New Roman" w:hAnsi="Times New Roman" w:cs="Times New Roman"/>
          <w:sz w:val="22"/>
          <w:szCs w:val="22"/>
          <w:lang w:val="sr-Latn-RS"/>
        </w:rPr>
        <w:t xml:space="preserve"> </w:t>
      </w:r>
      <w:r w:rsidRPr="005A0F56">
        <w:rPr>
          <w:rFonts w:ascii="Times New Roman" w:hAnsi="Times New Roman" w:cs="Times New Roman"/>
          <w:sz w:val="22"/>
          <w:szCs w:val="22"/>
          <w:lang w:val="sr-Latn-RS"/>
        </w:rPr>
        <w:tab/>
        <w:t xml:space="preserve"> </w:t>
      </w:r>
      <w:r w:rsidR="002B5EDC" w:rsidRPr="005A0F56">
        <w:rPr>
          <w:rFonts w:ascii="Times New Roman" w:eastAsia="TimesNewRoman" w:hAnsi="Times New Roman" w:cs="Times New Roman"/>
          <w:sz w:val="22"/>
          <w:szCs w:val="22"/>
          <w:lang w:val="sr-Latn-RS"/>
        </w:rPr>
        <w:t>R</w:t>
      </w:r>
      <w:r w:rsidR="00932BBF" w:rsidRPr="005A0F56">
        <w:rPr>
          <w:rFonts w:ascii="Times New Roman" w:eastAsia="TimesNewRoman" w:hAnsi="Times New Roman" w:cs="Times New Roman"/>
          <w:sz w:val="22"/>
          <w:szCs w:val="22"/>
          <w:lang w:val="sr-Latn-RS"/>
        </w:rPr>
        <w:t>ij</w:t>
      </w:r>
      <w:r w:rsidR="002B5EDC" w:rsidRPr="005A0F56">
        <w:rPr>
          <w:rFonts w:ascii="Times New Roman" w:eastAsia="TimesNewRoman" w:hAnsi="Times New Roman" w:cs="Times New Roman"/>
          <w:sz w:val="22"/>
          <w:szCs w:val="22"/>
          <w:lang w:val="sr-Latn-RS"/>
        </w:rPr>
        <w:t>etko: holestatsko oštećenje jetre*</w:t>
      </w:r>
    </w:p>
    <w:p w:rsidR="002B5EDC" w:rsidRPr="005A0F56" w:rsidRDefault="002B5EDC">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p>
    <w:p w:rsidR="00577A64" w:rsidRDefault="00577A64">
      <w:pPr>
        <w:autoSpaceDE w:val="0"/>
        <w:autoSpaceDN w:val="0"/>
        <w:adjustRightInd w:val="0"/>
        <w:spacing w:after="0" w:line="240" w:lineRule="auto"/>
        <w:jc w:val="both"/>
        <w:rPr>
          <w:rFonts w:ascii="Times New Roman" w:hAnsi="Times New Roman" w:cs="Times New Roman"/>
          <w:i/>
          <w:iCs/>
          <w:sz w:val="22"/>
          <w:szCs w:val="22"/>
          <w:lang w:val="sr-Latn-RS"/>
        </w:rPr>
      </w:pPr>
    </w:p>
    <w:p w:rsidR="002B5EDC" w:rsidRPr="005A0F56" w:rsidRDefault="002B5EDC">
      <w:p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t>Poremećaji kože i potkožnog tkiva</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t xml:space="preserve"> </w:t>
      </w:r>
      <w:r w:rsidR="002B5EDC" w:rsidRPr="005A0F56">
        <w:rPr>
          <w:rFonts w:ascii="Times New Roman" w:eastAsia="TimesNewRoman" w:hAnsi="Times New Roman" w:cs="Times New Roman"/>
          <w:sz w:val="22"/>
          <w:szCs w:val="22"/>
          <w:lang w:val="sr-Latn-RS"/>
        </w:rPr>
        <w:t>Često: urtikarija, svrab, eritem</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t xml:space="preserve"> </w:t>
      </w:r>
      <w:r w:rsidR="002B5EDC" w:rsidRPr="005A0F56">
        <w:rPr>
          <w:rFonts w:ascii="Times New Roman" w:eastAsia="TimesNewRoman" w:hAnsi="Times New Roman" w:cs="Times New Roman"/>
          <w:sz w:val="22"/>
          <w:szCs w:val="22"/>
          <w:lang w:val="sr-Latn-RS"/>
        </w:rPr>
        <w:t>Povremeno: bulozni dermatitis</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r>
      <w:r w:rsidR="002B5EDC" w:rsidRPr="005A0F56">
        <w:rPr>
          <w:rFonts w:ascii="Times New Roman" w:hAnsi="Times New Roman" w:cs="Times New Roman"/>
          <w:sz w:val="22"/>
          <w:szCs w:val="22"/>
          <w:lang w:val="sr-Latn-RS"/>
        </w:rPr>
        <w:t xml:space="preserve"> </w:t>
      </w:r>
      <w:r w:rsidR="002B5EDC" w:rsidRPr="005A0F56">
        <w:rPr>
          <w:rFonts w:ascii="Times New Roman" w:eastAsia="TimesNewRoman" w:hAnsi="Times New Roman" w:cs="Times New Roman"/>
          <w:sz w:val="22"/>
          <w:szCs w:val="22"/>
          <w:lang w:val="sr-Latn-RS"/>
        </w:rPr>
        <w:t>R</w:t>
      </w:r>
      <w:r w:rsidR="00932BBF" w:rsidRPr="005A0F56">
        <w:rPr>
          <w:rFonts w:ascii="Times New Roman" w:eastAsia="TimesNewRoman" w:hAnsi="Times New Roman" w:cs="Times New Roman"/>
          <w:sz w:val="22"/>
          <w:szCs w:val="22"/>
          <w:lang w:val="sr-Latn-RS"/>
        </w:rPr>
        <w:t>ij</w:t>
      </w:r>
      <w:r w:rsidR="002B5EDC" w:rsidRPr="005A0F56">
        <w:rPr>
          <w:rFonts w:ascii="Times New Roman" w:eastAsia="TimesNewRoman" w:hAnsi="Times New Roman" w:cs="Times New Roman"/>
          <w:sz w:val="22"/>
          <w:szCs w:val="22"/>
          <w:lang w:val="sr-Latn-RS"/>
        </w:rPr>
        <w:t>etko: alopecija*</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t xml:space="preserve"> </w:t>
      </w:r>
      <w:r w:rsidR="002B5EDC" w:rsidRPr="005A0F56">
        <w:rPr>
          <w:rFonts w:ascii="Times New Roman" w:eastAsia="TimesNewRoman" w:hAnsi="Times New Roman" w:cs="Times New Roman"/>
          <w:sz w:val="22"/>
          <w:szCs w:val="22"/>
          <w:lang w:val="sr-Latn-RS"/>
        </w:rPr>
        <w:t>R</w:t>
      </w:r>
      <w:r w:rsidR="00932BBF" w:rsidRPr="005A0F56">
        <w:rPr>
          <w:rFonts w:ascii="Times New Roman" w:eastAsia="TimesNewRoman" w:hAnsi="Times New Roman" w:cs="Times New Roman"/>
          <w:sz w:val="22"/>
          <w:szCs w:val="22"/>
          <w:lang w:val="sr-Latn-RS"/>
        </w:rPr>
        <w:t>ij</w:t>
      </w:r>
      <w:r w:rsidR="002B5EDC" w:rsidRPr="005A0F56">
        <w:rPr>
          <w:rFonts w:ascii="Times New Roman" w:eastAsia="TimesNewRoman" w:hAnsi="Times New Roman" w:cs="Times New Roman"/>
          <w:sz w:val="22"/>
          <w:szCs w:val="22"/>
          <w:lang w:val="sr-Latn-RS"/>
        </w:rPr>
        <w:t>etko: kutani vaskulitis*, nekroza kože* koja se obično javlja na m</w:t>
      </w:r>
      <w:r w:rsidR="00A168D7">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estu davanja injekcije</w:t>
      </w:r>
      <w:r w:rsidRPr="00F155F0">
        <w:rPr>
          <w:rFonts w:ascii="Times New Roman" w:eastAsia="TimesNewRoman" w:hAnsi="Times New Roman" w:cs="Times New Roman"/>
          <w:sz w:val="22"/>
          <w:szCs w:val="22"/>
          <w:lang w:val="sr-Latn-RS"/>
        </w:rPr>
        <w:br/>
        <w:t xml:space="preserve">            </w:t>
      </w:r>
      <w:r w:rsidR="002B5EDC"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 xml:space="preserve"> </w:t>
      </w:r>
      <w:r w:rsidR="002B5EDC" w:rsidRPr="005A0F56">
        <w:rPr>
          <w:rFonts w:ascii="Times New Roman" w:eastAsia="TimesNewRoman" w:hAnsi="Times New Roman" w:cs="Times New Roman"/>
          <w:sz w:val="22"/>
          <w:szCs w:val="22"/>
          <w:lang w:val="sr-Latn-RS"/>
        </w:rPr>
        <w:t xml:space="preserve">(ovom fenomenu obično prethode pojava purpure ili eritematoznih plakova, infiltriranih i </w:t>
      </w:r>
      <w:r w:rsidRPr="005A0F56">
        <w:rPr>
          <w:rFonts w:ascii="Times New Roman" w:eastAsia="TimesNewRoman" w:hAnsi="Times New Roman" w:cs="Times New Roman"/>
          <w:sz w:val="22"/>
          <w:szCs w:val="22"/>
          <w:lang w:val="sr-Latn-RS"/>
        </w:rPr>
        <w:br/>
        <w:t xml:space="preserve">              </w:t>
      </w:r>
      <w:r w:rsidR="002B5EDC" w:rsidRPr="005A0F56">
        <w:rPr>
          <w:rFonts w:ascii="Times New Roman" w:eastAsia="TimesNewRoman" w:hAnsi="Times New Roman" w:cs="Times New Roman"/>
          <w:sz w:val="22"/>
          <w:szCs w:val="22"/>
          <w:lang w:val="sr-Latn-RS"/>
        </w:rPr>
        <w:t>bolnih). Noduli na m</w:t>
      </w:r>
      <w:r w:rsidR="00A168D7">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estu davanja injekcije* (</w:t>
      </w:r>
      <w:r w:rsidR="00932BBF" w:rsidRPr="005A0F56">
        <w:rPr>
          <w:rFonts w:ascii="Times New Roman" w:eastAsia="TimesNewRoman" w:hAnsi="Times New Roman" w:cs="Times New Roman"/>
          <w:sz w:val="22"/>
          <w:szCs w:val="22"/>
          <w:lang w:val="sr-Latn-RS"/>
        </w:rPr>
        <w:t>inflamatorni noduli koji ne pred</w:t>
      </w:r>
      <w:r w:rsidR="002B5EDC" w:rsidRPr="005A0F56">
        <w:rPr>
          <w:rFonts w:ascii="Times New Roman" w:eastAsia="TimesNewRoman" w:hAnsi="Times New Roman" w:cs="Times New Roman"/>
          <w:sz w:val="22"/>
          <w:szCs w:val="22"/>
          <w:lang w:val="sr-Latn-RS"/>
        </w:rPr>
        <w:t>stavljaju cistično</w:t>
      </w:r>
      <w:r w:rsidRPr="005A0F56">
        <w:rPr>
          <w:rFonts w:ascii="Times New Roman" w:eastAsia="TimesNewRoman" w:hAnsi="Times New Roman" w:cs="Times New Roman"/>
          <w:sz w:val="22"/>
          <w:szCs w:val="22"/>
          <w:lang w:val="sr-Latn-RS"/>
        </w:rPr>
        <w:br/>
        <w:t xml:space="preserve">             </w:t>
      </w:r>
      <w:r w:rsidR="002B5EDC" w:rsidRPr="005A0F56">
        <w:rPr>
          <w:rFonts w:ascii="Times New Roman" w:eastAsia="TimesNewRoman" w:hAnsi="Times New Roman" w:cs="Times New Roman"/>
          <w:sz w:val="22"/>
          <w:szCs w:val="22"/>
          <w:lang w:val="sr-Latn-RS"/>
        </w:rPr>
        <w:t xml:space="preserve"> nakupljanje enoksaparina). Povlače se nakon nekoliko dana i ne bi trebali dovesti do prekida</w:t>
      </w:r>
      <w:r w:rsidRPr="005A0F56">
        <w:rPr>
          <w:rFonts w:ascii="Times New Roman" w:eastAsia="TimesNewRoman" w:hAnsi="Times New Roman" w:cs="Times New Roman"/>
          <w:sz w:val="22"/>
          <w:szCs w:val="22"/>
          <w:lang w:val="sr-Latn-RS"/>
        </w:rPr>
        <w:br/>
        <w:t xml:space="preserve">             </w:t>
      </w:r>
      <w:r w:rsidR="002B5EDC" w:rsidRPr="005A0F56">
        <w:rPr>
          <w:rFonts w:ascii="Times New Roman" w:eastAsia="TimesNewRoman" w:hAnsi="Times New Roman" w:cs="Times New Roman"/>
          <w:sz w:val="22"/>
          <w:szCs w:val="22"/>
          <w:lang w:val="sr-Latn-RS"/>
        </w:rPr>
        <w:t xml:space="preserve"> terapije.</w:t>
      </w:r>
      <w:r w:rsidRPr="005A0F56">
        <w:rPr>
          <w:rFonts w:ascii="Times New Roman" w:eastAsia="TimesNewRoman" w:hAnsi="Times New Roman" w:cs="Times New Roman"/>
          <w:sz w:val="22"/>
          <w:szCs w:val="22"/>
          <w:lang w:val="sr-Latn-RS"/>
        </w:rPr>
        <w:br/>
      </w:r>
    </w:p>
    <w:p w:rsidR="00E8746A" w:rsidRDefault="00E8746A">
      <w:pPr>
        <w:autoSpaceDE w:val="0"/>
        <w:autoSpaceDN w:val="0"/>
        <w:adjustRightInd w:val="0"/>
        <w:spacing w:after="0" w:line="240" w:lineRule="auto"/>
        <w:jc w:val="both"/>
        <w:rPr>
          <w:rFonts w:ascii="Times New Roman" w:hAnsi="Times New Roman" w:cs="Times New Roman"/>
          <w:i/>
          <w:iCs/>
          <w:sz w:val="22"/>
          <w:szCs w:val="22"/>
          <w:lang w:val="sr-Latn-RS"/>
        </w:rPr>
      </w:pPr>
    </w:p>
    <w:p w:rsidR="002B5EDC" w:rsidRPr="005A0F56" w:rsidRDefault="002B5EDC">
      <w:p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lastRenderedPageBreak/>
        <w:t>Poremećaji mišićno-koštanog sistema i vezivnog tkiva</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t xml:space="preserve"> </w:t>
      </w:r>
      <w:r w:rsidR="002B5EDC" w:rsidRPr="005A0F56">
        <w:rPr>
          <w:rFonts w:ascii="Times New Roman" w:eastAsia="TimesNewRoman" w:hAnsi="Times New Roman" w:cs="Times New Roman"/>
          <w:sz w:val="22"/>
          <w:szCs w:val="22"/>
          <w:lang w:val="sr-Latn-RS"/>
        </w:rPr>
        <w:t>R</w:t>
      </w:r>
      <w:r w:rsidR="00932BBF" w:rsidRPr="005A0F56">
        <w:rPr>
          <w:rFonts w:ascii="Times New Roman" w:eastAsia="TimesNewRoman" w:hAnsi="Times New Roman" w:cs="Times New Roman"/>
          <w:sz w:val="22"/>
          <w:szCs w:val="22"/>
          <w:lang w:val="sr-Latn-RS"/>
        </w:rPr>
        <w:t>ij</w:t>
      </w:r>
      <w:r w:rsidR="002B5EDC" w:rsidRPr="005A0F56">
        <w:rPr>
          <w:rFonts w:ascii="Times New Roman" w:eastAsia="TimesNewRoman" w:hAnsi="Times New Roman" w:cs="Times New Roman"/>
          <w:sz w:val="22"/>
          <w:szCs w:val="22"/>
          <w:lang w:val="sr-Latn-RS"/>
        </w:rPr>
        <w:t>etko: osteoporoza* nakon dugotrajne terapije (duže od 3 m</w:t>
      </w:r>
      <w:r w:rsidR="00A168D7">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eseca)</w:t>
      </w:r>
    </w:p>
    <w:p w:rsidR="002B5EDC" w:rsidRPr="005A0F56" w:rsidRDefault="009E63AD">
      <w:p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br/>
      </w:r>
      <w:r w:rsidR="002B5EDC" w:rsidRPr="005A0F56">
        <w:rPr>
          <w:rFonts w:ascii="Times New Roman" w:hAnsi="Times New Roman" w:cs="Times New Roman"/>
          <w:i/>
          <w:iCs/>
          <w:sz w:val="22"/>
          <w:szCs w:val="22"/>
          <w:lang w:val="sr-Latn-RS"/>
        </w:rPr>
        <w:t>Opšti poremećaji i reakcije na m</w:t>
      </w:r>
      <w:r w:rsidR="00A168D7">
        <w:rPr>
          <w:rFonts w:ascii="Times New Roman" w:hAnsi="Times New Roman" w:cs="Times New Roman"/>
          <w:i/>
          <w:iCs/>
          <w:sz w:val="22"/>
          <w:szCs w:val="22"/>
          <w:lang w:val="sr-Latn-RS"/>
        </w:rPr>
        <w:t>j</w:t>
      </w:r>
      <w:r w:rsidR="002B5EDC" w:rsidRPr="005A0F56">
        <w:rPr>
          <w:rFonts w:ascii="Times New Roman" w:hAnsi="Times New Roman" w:cs="Times New Roman"/>
          <w:i/>
          <w:iCs/>
          <w:sz w:val="22"/>
          <w:szCs w:val="22"/>
          <w:lang w:val="sr-Latn-RS"/>
        </w:rPr>
        <w:t>estu prim</w:t>
      </w:r>
      <w:r w:rsidR="00932BBF" w:rsidRPr="005A0F56">
        <w:rPr>
          <w:rFonts w:ascii="Times New Roman" w:hAnsi="Times New Roman" w:cs="Times New Roman"/>
          <w:i/>
          <w:iCs/>
          <w:sz w:val="22"/>
          <w:szCs w:val="22"/>
          <w:lang w:val="sr-Latn-RS"/>
        </w:rPr>
        <w:t>j</w:t>
      </w:r>
      <w:r w:rsidR="002B5EDC" w:rsidRPr="005A0F56">
        <w:rPr>
          <w:rFonts w:ascii="Times New Roman" w:hAnsi="Times New Roman" w:cs="Times New Roman"/>
          <w:i/>
          <w:iCs/>
          <w:sz w:val="22"/>
          <w:szCs w:val="22"/>
          <w:lang w:val="sr-Latn-RS"/>
        </w:rPr>
        <w:t>ene</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t xml:space="preserve"> </w:t>
      </w:r>
      <w:r w:rsidR="002B5EDC" w:rsidRPr="005A0F56">
        <w:rPr>
          <w:rFonts w:ascii="Times New Roman" w:eastAsia="TimesNewRoman" w:hAnsi="Times New Roman" w:cs="Times New Roman"/>
          <w:sz w:val="22"/>
          <w:szCs w:val="22"/>
          <w:lang w:val="sr-Latn-RS"/>
        </w:rPr>
        <w:t>Često: hematom na m</w:t>
      </w:r>
      <w:r w:rsidR="00A168D7">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estu davanja injekcije, bol na m</w:t>
      </w:r>
      <w:r w:rsidR="00A168D7">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estu davanja injekcije, ostale reakcije na</w:t>
      </w:r>
      <w:r w:rsidRPr="005A0F56">
        <w:rPr>
          <w:rFonts w:ascii="Times New Roman" w:eastAsia="TimesNewRoman" w:hAnsi="Times New Roman" w:cs="Times New Roman"/>
          <w:sz w:val="22"/>
          <w:szCs w:val="22"/>
          <w:lang w:val="sr-Latn-RS"/>
        </w:rPr>
        <w:br/>
        <w:t xml:space="preserve">             </w:t>
      </w:r>
      <w:r w:rsidR="002B5EDC" w:rsidRPr="005A0F56">
        <w:rPr>
          <w:rFonts w:ascii="Times New Roman" w:eastAsia="TimesNewRoman" w:hAnsi="Times New Roman" w:cs="Times New Roman"/>
          <w:sz w:val="22"/>
          <w:szCs w:val="22"/>
          <w:lang w:val="sr-Latn-RS"/>
        </w:rPr>
        <w:t xml:space="preserve"> m</w:t>
      </w:r>
      <w:r w:rsidR="00932BBF" w:rsidRPr="005A0F56">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estu davanja injekcije (kao što su edem, krvarenje, preos</w:t>
      </w:r>
      <w:r w:rsidR="00A168D7">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etljivost, zapaljenje, pojava mase,</w:t>
      </w:r>
      <w:r w:rsidRPr="005A0F56">
        <w:rPr>
          <w:rFonts w:ascii="Times New Roman" w:eastAsia="TimesNewRoman" w:hAnsi="Times New Roman" w:cs="Times New Roman"/>
          <w:sz w:val="22"/>
          <w:szCs w:val="22"/>
          <w:lang w:val="sr-Latn-RS"/>
        </w:rPr>
        <w:br/>
        <w:t xml:space="preserve">             </w:t>
      </w:r>
      <w:r w:rsidR="002B5EDC" w:rsidRPr="005A0F56">
        <w:rPr>
          <w:rFonts w:ascii="Times New Roman" w:eastAsia="TimesNewRoman" w:hAnsi="Times New Roman" w:cs="Times New Roman"/>
          <w:sz w:val="22"/>
          <w:szCs w:val="22"/>
          <w:lang w:val="sr-Latn-RS"/>
        </w:rPr>
        <w:t xml:space="preserve"> bol ili reakcija)</w:t>
      </w:r>
    </w:p>
    <w:p w:rsidR="002B5EDC" w:rsidRPr="005A0F56"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t xml:space="preserve"> </w:t>
      </w:r>
      <w:r w:rsidR="002B5EDC" w:rsidRPr="005A0F56">
        <w:rPr>
          <w:rFonts w:ascii="Times New Roman" w:eastAsia="TimesNewRoman" w:hAnsi="Times New Roman" w:cs="Times New Roman"/>
          <w:sz w:val="22"/>
          <w:szCs w:val="22"/>
          <w:lang w:val="sr-Latn-RS"/>
        </w:rPr>
        <w:t>Povremeno: lokalna iritacija, nekroza kože na m</w:t>
      </w:r>
      <w:r w:rsidR="00932BBF" w:rsidRPr="005A0F56">
        <w:rPr>
          <w:rFonts w:ascii="Times New Roman" w:eastAsia="TimesNewRoman" w:hAnsi="Times New Roman" w:cs="Times New Roman"/>
          <w:sz w:val="22"/>
          <w:szCs w:val="22"/>
          <w:lang w:val="sr-Latn-RS"/>
        </w:rPr>
        <w:t>j</w:t>
      </w:r>
      <w:r w:rsidR="002B5EDC" w:rsidRPr="005A0F56">
        <w:rPr>
          <w:rFonts w:ascii="Times New Roman" w:eastAsia="TimesNewRoman" w:hAnsi="Times New Roman" w:cs="Times New Roman"/>
          <w:sz w:val="22"/>
          <w:szCs w:val="22"/>
          <w:lang w:val="sr-Latn-RS"/>
        </w:rPr>
        <w:t>estu davanja injekcije</w:t>
      </w:r>
    </w:p>
    <w:p w:rsidR="002B5EDC" w:rsidRPr="005A0F56" w:rsidRDefault="009E63AD">
      <w:p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br/>
      </w:r>
      <w:r w:rsidR="002B5EDC" w:rsidRPr="005A0F56">
        <w:rPr>
          <w:rFonts w:ascii="Times New Roman" w:hAnsi="Times New Roman" w:cs="Times New Roman"/>
          <w:i/>
          <w:iCs/>
          <w:sz w:val="22"/>
          <w:szCs w:val="22"/>
          <w:lang w:val="sr-Latn-RS"/>
        </w:rPr>
        <w:t>Ispitivanja</w:t>
      </w:r>
    </w:p>
    <w:p w:rsidR="002B5EDC" w:rsidRPr="00F155F0" w:rsidRDefault="009E63A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Pr="00B508FF">
        <w:rPr>
          <w:rFonts w:ascii="Times New Roman" w:hAnsi="Times New Roman" w:cs="Times New Roman"/>
          <w:sz w:val="22"/>
          <w:szCs w:val="22"/>
        </w:rPr>
        <w:tab/>
        <w:t xml:space="preserve"> </w:t>
      </w:r>
      <w:r w:rsidR="002B5EDC" w:rsidRPr="005A0F56">
        <w:rPr>
          <w:rFonts w:ascii="Times New Roman" w:eastAsia="TimesNewRoman" w:hAnsi="Times New Roman" w:cs="Times New Roman"/>
          <w:sz w:val="22"/>
          <w:szCs w:val="22"/>
          <w:lang w:val="sr-Latn-RS"/>
        </w:rPr>
        <w:t>R</w:t>
      </w:r>
      <w:r w:rsidR="00932BBF" w:rsidRPr="005A0F56">
        <w:rPr>
          <w:rFonts w:ascii="Times New Roman" w:eastAsia="TimesNewRoman" w:hAnsi="Times New Roman" w:cs="Times New Roman"/>
          <w:sz w:val="22"/>
          <w:szCs w:val="22"/>
          <w:lang w:val="sr-Latn-RS"/>
        </w:rPr>
        <w:t>ij</w:t>
      </w:r>
      <w:r w:rsidR="002B5EDC" w:rsidRPr="005A0F56">
        <w:rPr>
          <w:rFonts w:ascii="Times New Roman" w:eastAsia="TimesNewRoman" w:hAnsi="Times New Roman" w:cs="Times New Roman"/>
          <w:sz w:val="22"/>
          <w:szCs w:val="22"/>
          <w:lang w:val="sr-Latn-RS"/>
        </w:rPr>
        <w:t>etko: hiperkalijemija* (vi</w:t>
      </w:r>
      <w:r w:rsidR="002B5EDC" w:rsidRPr="00F155F0">
        <w:rPr>
          <w:rFonts w:ascii="Times New Roman" w:eastAsia="TimesNewRoman" w:hAnsi="Times New Roman" w:cs="Times New Roman"/>
          <w:sz w:val="22"/>
          <w:szCs w:val="22"/>
          <w:lang w:val="sr-Latn-RS"/>
        </w:rPr>
        <w:t>deti od</w:t>
      </w:r>
      <w:r w:rsidR="00A168D7">
        <w:rPr>
          <w:rFonts w:ascii="Times New Roman" w:eastAsia="TimesNewRoman" w:hAnsi="Times New Roman" w:cs="Times New Roman"/>
          <w:sz w:val="22"/>
          <w:szCs w:val="22"/>
          <w:lang w:val="sr-Latn-RS"/>
        </w:rPr>
        <w:t>j</w:t>
      </w:r>
      <w:r w:rsidR="002B5EDC" w:rsidRPr="00F155F0">
        <w:rPr>
          <w:rFonts w:ascii="Times New Roman" w:eastAsia="TimesNewRoman" w:hAnsi="Times New Roman" w:cs="Times New Roman"/>
          <w:sz w:val="22"/>
          <w:szCs w:val="22"/>
          <w:lang w:val="sr-Latn-RS"/>
        </w:rPr>
        <w:t>eljke 4.4 i 4.5)</w:t>
      </w:r>
    </w:p>
    <w:p w:rsidR="002B5EDC" w:rsidRPr="005A0F56" w:rsidRDefault="002B5EDC">
      <w:pPr>
        <w:autoSpaceDE w:val="0"/>
        <w:autoSpaceDN w:val="0"/>
        <w:adjustRightInd w:val="0"/>
        <w:spacing w:after="0" w:line="240" w:lineRule="auto"/>
        <w:ind w:left="720"/>
        <w:jc w:val="both"/>
        <w:rPr>
          <w:rFonts w:ascii="Times New Roman" w:eastAsia="TimesNewRoman" w:hAnsi="Times New Roman" w:cs="Times New Roman"/>
          <w:sz w:val="22"/>
          <w:szCs w:val="22"/>
          <w:lang w:val="sr-Latn-RS"/>
        </w:rPr>
      </w:pP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Opis odabranih neželjenih dejstava</w:t>
      </w:r>
    </w:p>
    <w:p w:rsidR="002B5EDC" w:rsidRPr="005A0F56" w:rsidRDefault="002B5EDC">
      <w:p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t>Krvarenja</w:t>
      </w:r>
    </w:p>
    <w:p w:rsidR="00A168D7" w:rsidRPr="00560321" w:rsidRDefault="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 xml:space="preserve">Uključivala su ozbiljna krvarenja, prijavljena u najviše 4,2 % pacijenata (hirurških pacijenata). Neki od </w:t>
      </w:r>
      <w:r w:rsidRPr="00A168D7">
        <w:rPr>
          <w:rFonts w:ascii="Times New Roman" w:eastAsia="TimesNewRoman" w:hAnsi="Times New Roman" w:cs="Times New Roman"/>
          <w:sz w:val="22"/>
          <w:szCs w:val="22"/>
          <w:lang w:val="sr-Latn-RS"/>
        </w:rPr>
        <w:t>ovih slučajeva imali su fatalan ishod. Kod hirurških pacijenata, komplikacije krvarenja su se smatrale ozbiljnim:</w:t>
      </w:r>
      <w:r w:rsidR="00A168D7" w:rsidRPr="00A168D7">
        <w:rPr>
          <w:rFonts w:ascii="Times New Roman" w:eastAsia="TimesNewRoman" w:hAnsi="Times New Roman" w:cs="Times New Roman"/>
          <w:sz w:val="22"/>
          <w:szCs w:val="22"/>
          <w:lang w:val="sr-Latn-RS"/>
        </w:rPr>
        <w:t xml:space="preserve"> </w:t>
      </w:r>
    </w:p>
    <w:p w:rsidR="002B5EDC" w:rsidRPr="005A0F56" w:rsidRDefault="002B5EDC" w:rsidP="00A168D7">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60321">
        <w:rPr>
          <w:rFonts w:ascii="Times New Roman" w:eastAsia="TimesNewRoman" w:hAnsi="Times New Roman" w:cs="Times New Roman"/>
          <w:sz w:val="22"/>
          <w:szCs w:val="22"/>
          <w:lang w:val="sr-Latn-RS"/>
        </w:rPr>
        <w:t>(1) ako je krvarenje uzrokovalo značajan klinički događaj, ili (2) ako je krvarenje bilo praćeno</w:t>
      </w:r>
      <w:r w:rsidR="00A168D7" w:rsidRPr="00303915">
        <w:rPr>
          <w:rFonts w:ascii="Times New Roman" w:eastAsia="TimesNewRoman" w:hAnsi="Times New Roman" w:cs="Times New Roman"/>
          <w:sz w:val="22"/>
          <w:szCs w:val="22"/>
          <w:lang w:val="sr-Latn-RS"/>
        </w:rPr>
        <w:t xml:space="preserve"> padom vrijednosti</w:t>
      </w:r>
      <w:r w:rsidRPr="00303915">
        <w:rPr>
          <w:rFonts w:ascii="Times New Roman" w:eastAsia="TimesNewRoman" w:hAnsi="Times New Roman" w:cs="Times New Roman"/>
          <w:sz w:val="22"/>
          <w:szCs w:val="22"/>
          <w:lang w:val="sr-Latn-RS"/>
        </w:rPr>
        <w:t xml:space="preserve"> hemoglobina</w:t>
      </w:r>
      <w:r w:rsidR="00E44DE8">
        <w:rPr>
          <w:rFonts w:ascii="Times New Roman" w:eastAsia="TimesNewRoman" w:hAnsi="Times New Roman" w:cs="Times New Roman"/>
          <w:sz w:val="22"/>
          <w:szCs w:val="22"/>
          <w:lang w:val="sr-Latn-RS"/>
        </w:rPr>
        <w:t xml:space="preserve"> </w:t>
      </w:r>
      <w:r w:rsidR="00A168D7" w:rsidRPr="00303915">
        <w:rPr>
          <w:rFonts w:ascii="Times New Roman" w:eastAsia="TimesNewRoman" w:hAnsi="Times New Roman" w:cs="Times New Roman"/>
          <w:sz w:val="22"/>
          <w:szCs w:val="22"/>
          <w:lang w:val="sr-Latn-RS"/>
        </w:rPr>
        <w:t xml:space="preserve">za </w:t>
      </w:r>
      <w:r w:rsidRPr="00A168D7">
        <w:rPr>
          <w:rFonts w:ascii="Times New Roman" w:eastAsia="TimesNewRoman" w:hAnsi="Times New Roman" w:cs="Times New Roman" w:hint="eastAsia"/>
          <w:sz w:val="22"/>
          <w:szCs w:val="22"/>
          <w:lang w:val="sr-Latn-RS"/>
        </w:rPr>
        <w:t>≥</w:t>
      </w:r>
      <w:r w:rsidRPr="00A168D7">
        <w:rPr>
          <w:rFonts w:ascii="Times New Roman" w:eastAsia="TimesNewRoman" w:hAnsi="Times New Roman" w:cs="Times New Roman"/>
          <w:sz w:val="22"/>
          <w:szCs w:val="22"/>
          <w:lang w:val="sr-Latn-RS"/>
        </w:rPr>
        <w:t>2 g/d</w:t>
      </w:r>
      <w:r w:rsidR="00A168D7" w:rsidRPr="00A168D7">
        <w:rPr>
          <w:rFonts w:ascii="Times New Roman" w:eastAsia="TimesNewRoman" w:hAnsi="Times New Roman" w:cs="Times New Roman"/>
          <w:sz w:val="22"/>
          <w:szCs w:val="22"/>
          <w:lang w:val="sr-Latn-RS"/>
        </w:rPr>
        <w:t>l</w:t>
      </w:r>
      <w:r w:rsidRPr="00560321">
        <w:rPr>
          <w:rFonts w:ascii="Times New Roman" w:eastAsia="TimesNewRoman" w:hAnsi="Times New Roman" w:cs="Times New Roman"/>
          <w:sz w:val="22"/>
          <w:szCs w:val="22"/>
          <w:lang w:val="sr-Latn-RS"/>
        </w:rPr>
        <w:t xml:space="preserve"> ili transfuzijom 2 ili više jedinica</w:t>
      </w:r>
      <w:r w:rsidRPr="00303915">
        <w:rPr>
          <w:rFonts w:ascii="Times New Roman" w:eastAsia="TimesNewRoman" w:hAnsi="Times New Roman" w:cs="Times New Roman"/>
          <w:sz w:val="22"/>
          <w:szCs w:val="22"/>
          <w:lang w:val="sr-Latn-RS"/>
        </w:rPr>
        <w:t xml:space="preserve"> krv</w:t>
      </w:r>
      <w:r w:rsidR="00A168D7" w:rsidRPr="00303915">
        <w:rPr>
          <w:rFonts w:ascii="Times New Roman" w:eastAsia="TimesNewRoman" w:hAnsi="Times New Roman" w:cs="Times New Roman"/>
          <w:sz w:val="22"/>
          <w:szCs w:val="22"/>
          <w:lang w:val="sr-Latn-RS"/>
        </w:rPr>
        <w:t>nih produkata</w:t>
      </w:r>
      <w:r w:rsidRPr="00303915">
        <w:rPr>
          <w:rFonts w:ascii="Times New Roman" w:eastAsia="TimesNewRoman" w:hAnsi="Times New Roman" w:cs="Times New Roman"/>
          <w:sz w:val="22"/>
          <w:szCs w:val="22"/>
          <w:lang w:val="sr-Latn-RS"/>
        </w:rPr>
        <w:t>. Retroperitonealna i intrakranijalna</w:t>
      </w:r>
      <w:r w:rsidRPr="005A0F56">
        <w:rPr>
          <w:rFonts w:ascii="Times New Roman" w:eastAsia="TimesNewRoman" w:hAnsi="Times New Roman" w:cs="Times New Roman"/>
          <w:sz w:val="22"/>
          <w:szCs w:val="22"/>
          <w:lang w:val="sr-Latn-RS"/>
        </w:rPr>
        <w:t xml:space="preserve"> krvarenja se uv</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ek smatraju ozbiljnim.</w:t>
      </w:r>
    </w:p>
    <w:p w:rsidR="002B5EDC" w:rsidRPr="005A0F56" w:rsidRDefault="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Kao i kod ostalih antikoagulanasa, kravrenje može da se desi u prisustvo udruženih faktora rizika kao što su: organske lezije sklone krvarenju, invazivne procedure ili istovremena prim</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ena l</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ekova koji utiču na hemostazu (vid</w:t>
      </w:r>
      <w:r w:rsidR="00303915">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303915">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eljke 4.4 i 4.5).</w:t>
      </w:r>
    </w:p>
    <w:p w:rsidR="00936B96" w:rsidRPr="006921A1" w:rsidRDefault="00936B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tbl>
      <w:tblPr>
        <w:tblStyle w:val="TableGrid"/>
        <w:tblW w:w="9289" w:type="dxa"/>
        <w:tblLayout w:type="fixed"/>
        <w:tblLook w:val="04A0" w:firstRow="1" w:lastRow="0" w:firstColumn="1" w:lastColumn="0" w:noHBand="0" w:noVBand="1"/>
      </w:tblPr>
      <w:tblGrid>
        <w:gridCol w:w="1008"/>
        <w:gridCol w:w="1255"/>
        <w:gridCol w:w="1356"/>
        <w:gridCol w:w="1506"/>
        <w:gridCol w:w="1504"/>
        <w:gridCol w:w="1446"/>
        <w:gridCol w:w="1214"/>
      </w:tblGrid>
      <w:tr w:rsidR="006921A1" w:rsidRPr="006921A1" w:rsidTr="00B508FF">
        <w:tc>
          <w:tcPr>
            <w:tcW w:w="1008" w:type="dxa"/>
          </w:tcPr>
          <w:p w:rsidR="00936B96" w:rsidRPr="006921A1" w:rsidRDefault="00936B96" w:rsidP="00B508FF">
            <w:pPr>
              <w:autoSpaceDE w:val="0"/>
              <w:autoSpaceDN w:val="0"/>
              <w:adjustRightInd w:val="0"/>
              <w:spacing w:after="0" w:line="240" w:lineRule="auto"/>
              <w:rPr>
                <w:rFonts w:ascii="Times New Roman" w:hAnsi="Times New Roman" w:cs="Times New Roman"/>
                <w:b/>
                <w:sz w:val="22"/>
                <w:szCs w:val="22"/>
              </w:rPr>
            </w:pPr>
            <w:r w:rsidRPr="006921A1">
              <w:rPr>
                <w:rFonts w:ascii="Times New Roman" w:hAnsi="Times New Roman" w:cs="Times New Roman"/>
                <w:b/>
                <w:sz w:val="22"/>
                <w:szCs w:val="22"/>
              </w:rPr>
              <w:t>Organski</w:t>
            </w:r>
          </w:p>
          <w:p w:rsidR="00936B96" w:rsidRPr="006921A1" w:rsidRDefault="00936B96" w:rsidP="00B508FF">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hAnsi="Times New Roman" w:cs="Times New Roman"/>
                <w:b/>
                <w:sz w:val="22"/>
                <w:szCs w:val="22"/>
              </w:rPr>
              <w:t>s</w:t>
            </w:r>
            <w:r w:rsidR="00303915">
              <w:rPr>
                <w:rFonts w:ascii="Times New Roman" w:hAnsi="Times New Roman" w:cs="Times New Roman"/>
                <w:b/>
                <w:sz w:val="22"/>
                <w:szCs w:val="22"/>
              </w:rPr>
              <w:t>istem</w:t>
            </w:r>
          </w:p>
        </w:tc>
        <w:tc>
          <w:tcPr>
            <w:tcW w:w="1255" w:type="dxa"/>
          </w:tcPr>
          <w:p w:rsidR="00936B96" w:rsidRPr="006921A1" w:rsidRDefault="00936B96" w:rsidP="00B508FF">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hAnsi="Times New Roman" w:cs="Times New Roman"/>
                <w:b/>
                <w:sz w:val="22"/>
                <w:szCs w:val="22"/>
              </w:rPr>
              <w:t xml:space="preserve">Profilaksa </w:t>
            </w:r>
            <w:r w:rsidR="00303915">
              <w:rPr>
                <w:rFonts w:ascii="Times New Roman" w:hAnsi="Times New Roman" w:cs="Times New Roman"/>
                <w:b/>
                <w:sz w:val="22"/>
                <w:szCs w:val="22"/>
              </w:rPr>
              <w:t xml:space="preserve">kod </w:t>
            </w:r>
            <w:r w:rsidRPr="006921A1">
              <w:rPr>
                <w:rFonts w:ascii="Times New Roman" w:hAnsi="Times New Roman" w:cs="Times New Roman"/>
                <w:b/>
                <w:sz w:val="22"/>
                <w:szCs w:val="22"/>
              </w:rPr>
              <w:t>hirurških pacijenata</w:t>
            </w:r>
          </w:p>
        </w:tc>
        <w:tc>
          <w:tcPr>
            <w:tcW w:w="1356" w:type="dxa"/>
          </w:tcPr>
          <w:p w:rsidR="00936B96" w:rsidRPr="006921A1" w:rsidRDefault="00936B96" w:rsidP="00B508FF">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hAnsi="Times New Roman" w:cs="Times New Roman"/>
                <w:b/>
                <w:sz w:val="22"/>
                <w:szCs w:val="22"/>
              </w:rPr>
              <w:t xml:space="preserve">Profilaksa </w:t>
            </w:r>
            <w:r w:rsidR="00303915">
              <w:rPr>
                <w:rFonts w:ascii="Times New Roman" w:hAnsi="Times New Roman" w:cs="Times New Roman"/>
                <w:b/>
                <w:sz w:val="22"/>
                <w:szCs w:val="22"/>
              </w:rPr>
              <w:t xml:space="preserve">kod </w:t>
            </w:r>
            <w:r w:rsidRPr="006921A1">
              <w:rPr>
                <w:rFonts w:ascii="Times New Roman" w:hAnsi="Times New Roman" w:cs="Times New Roman"/>
                <w:b/>
                <w:sz w:val="22"/>
                <w:szCs w:val="22"/>
              </w:rPr>
              <w:t>medikamentozno liječenih pacijenata</w:t>
            </w:r>
          </w:p>
        </w:tc>
        <w:tc>
          <w:tcPr>
            <w:tcW w:w="1506" w:type="dxa"/>
          </w:tcPr>
          <w:p w:rsidR="00936B96" w:rsidRPr="006921A1" w:rsidRDefault="00936B96" w:rsidP="00B508FF">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hAnsi="Times New Roman" w:cs="Times New Roman"/>
                <w:b/>
                <w:sz w:val="22"/>
                <w:szCs w:val="22"/>
              </w:rPr>
              <w:t>Liječenje pacijenata s</w:t>
            </w:r>
            <w:r w:rsidR="00303915">
              <w:rPr>
                <w:rFonts w:ascii="Times New Roman" w:hAnsi="Times New Roman" w:cs="Times New Roman"/>
                <w:b/>
                <w:sz w:val="22"/>
                <w:szCs w:val="22"/>
              </w:rPr>
              <w:t>a</w:t>
            </w:r>
            <w:r w:rsidRPr="006921A1">
              <w:rPr>
                <w:rFonts w:ascii="Times New Roman" w:hAnsi="Times New Roman" w:cs="Times New Roman"/>
                <w:b/>
                <w:sz w:val="22"/>
                <w:szCs w:val="22"/>
              </w:rPr>
              <w:t xml:space="preserve"> DVT-om praćenim PE-om ili bez njega</w:t>
            </w:r>
          </w:p>
        </w:tc>
        <w:tc>
          <w:tcPr>
            <w:tcW w:w="1504" w:type="dxa"/>
          </w:tcPr>
          <w:p w:rsidR="00936B96" w:rsidRPr="006921A1" w:rsidRDefault="00936B96" w:rsidP="00B508FF">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hAnsi="Times New Roman" w:cs="Times New Roman"/>
                <w:b/>
                <w:sz w:val="22"/>
                <w:szCs w:val="22"/>
              </w:rPr>
              <w:t>Produženi tretman DVT i PE kod pacijenata sa aktivnim karcinomom</w:t>
            </w:r>
          </w:p>
        </w:tc>
        <w:tc>
          <w:tcPr>
            <w:tcW w:w="1446" w:type="dxa"/>
          </w:tcPr>
          <w:p w:rsidR="00936B96" w:rsidRPr="006921A1" w:rsidRDefault="00936B96" w:rsidP="00B508FF">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hAnsi="Times New Roman" w:cs="Times New Roman"/>
                <w:b/>
                <w:sz w:val="22"/>
                <w:szCs w:val="22"/>
              </w:rPr>
              <w:t>Liječenje pacijenata s</w:t>
            </w:r>
            <w:r w:rsidR="00303915">
              <w:rPr>
                <w:rFonts w:ascii="Times New Roman" w:hAnsi="Times New Roman" w:cs="Times New Roman"/>
                <w:b/>
                <w:sz w:val="22"/>
                <w:szCs w:val="22"/>
              </w:rPr>
              <w:t>a</w:t>
            </w:r>
            <w:r w:rsidRPr="006921A1">
              <w:rPr>
                <w:rFonts w:ascii="Times New Roman" w:hAnsi="Times New Roman" w:cs="Times New Roman"/>
                <w:b/>
                <w:sz w:val="22"/>
                <w:szCs w:val="22"/>
              </w:rPr>
              <w:t xml:space="preserve"> nestabilnom anginom i infarktom miokarda bez Q-zupca</w:t>
            </w:r>
          </w:p>
        </w:tc>
        <w:tc>
          <w:tcPr>
            <w:tcW w:w="1214" w:type="dxa"/>
          </w:tcPr>
          <w:p w:rsidR="00936B96" w:rsidRPr="006921A1" w:rsidRDefault="00936B96" w:rsidP="00B508FF">
            <w:pPr>
              <w:autoSpaceDE w:val="0"/>
              <w:autoSpaceDN w:val="0"/>
              <w:adjustRightInd w:val="0"/>
              <w:spacing w:after="0" w:line="240" w:lineRule="auto"/>
              <w:rPr>
                <w:rFonts w:ascii="Times New Roman" w:eastAsia="TimesNewRoman" w:hAnsi="Times New Roman" w:cs="Times New Roman"/>
                <w:sz w:val="22"/>
                <w:szCs w:val="22"/>
                <w:lang w:val="sr-Latn-RS"/>
              </w:rPr>
            </w:pPr>
            <w:r w:rsidRPr="006921A1">
              <w:rPr>
                <w:rFonts w:ascii="Times New Roman" w:hAnsi="Times New Roman" w:cs="Times New Roman"/>
                <w:b/>
                <w:sz w:val="22"/>
                <w:szCs w:val="22"/>
              </w:rPr>
              <w:t>Liječenje pacijenata s</w:t>
            </w:r>
            <w:r w:rsidR="00303915">
              <w:rPr>
                <w:rFonts w:ascii="Times New Roman" w:hAnsi="Times New Roman" w:cs="Times New Roman"/>
                <w:b/>
                <w:sz w:val="22"/>
                <w:szCs w:val="22"/>
              </w:rPr>
              <w:t>a</w:t>
            </w:r>
            <w:r w:rsidRPr="006921A1">
              <w:rPr>
                <w:rFonts w:ascii="Times New Roman" w:hAnsi="Times New Roman" w:cs="Times New Roman"/>
                <w:b/>
                <w:sz w:val="22"/>
                <w:szCs w:val="22"/>
              </w:rPr>
              <w:t xml:space="preserve"> akutnim STEMI-jem</w:t>
            </w:r>
          </w:p>
        </w:tc>
      </w:tr>
      <w:tr w:rsidR="006921A1" w:rsidRPr="006921A1" w:rsidTr="00B508FF">
        <w:tc>
          <w:tcPr>
            <w:tcW w:w="1008" w:type="dxa"/>
          </w:tcPr>
          <w:p w:rsidR="00936B96" w:rsidRPr="006921A1" w:rsidRDefault="00936B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i/>
                <w:iCs/>
                <w:sz w:val="22"/>
                <w:szCs w:val="22"/>
              </w:rPr>
              <w:t>Poremećaji krvi i limfnog sastava</w:t>
            </w:r>
          </w:p>
        </w:tc>
        <w:tc>
          <w:tcPr>
            <w:tcW w:w="1255" w:type="dxa"/>
          </w:tcPr>
          <w:p w:rsidR="00E44DE8" w:rsidRDefault="00936B96" w:rsidP="00B508FF">
            <w:pPr>
              <w:pStyle w:val="Default"/>
              <w:spacing w:after="0" w:line="240" w:lineRule="auto"/>
              <w:rPr>
                <w:rFonts w:ascii="Times New Roman" w:hAnsi="Times New Roman" w:cs="Times New Roman"/>
                <w:color w:val="auto"/>
                <w:sz w:val="22"/>
                <w:szCs w:val="22"/>
              </w:rPr>
            </w:pPr>
            <w:r w:rsidRPr="006921A1">
              <w:rPr>
                <w:rFonts w:ascii="Times New Roman" w:hAnsi="Times New Roman" w:cs="Times New Roman"/>
                <w:i/>
                <w:iCs/>
                <w:color w:val="auto"/>
                <w:sz w:val="22"/>
                <w:szCs w:val="22"/>
              </w:rPr>
              <w:t>V</w:t>
            </w:r>
            <w:r w:rsidR="00D63CF4">
              <w:rPr>
                <w:rFonts w:ascii="Times New Roman" w:hAnsi="Times New Roman" w:cs="Times New Roman"/>
                <w:i/>
                <w:iCs/>
                <w:color w:val="auto"/>
                <w:sz w:val="22"/>
                <w:szCs w:val="22"/>
              </w:rPr>
              <w:t>eoma</w:t>
            </w:r>
            <w:r w:rsidRPr="006921A1">
              <w:rPr>
                <w:rFonts w:ascii="Times New Roman" w:hAnsi="Times New Roman" w:cs="Times New Roman"/>
                <w:i/>
                <w:iCs/>
                <w:color w:val="auto"/>
                <w:sz w:val="22"/>
                <w:szCs w:val="22"/>
              </w:rPr>
              <w:t xml:space="preserve"> često: </w:t>
            </w:r>
            <w:r w:rsidRPr="006921A1">
              <w:rPr>
                <w:rFonts w:ascii="Times New Roman" w:hAnsi="Times New Roman" w:cs="Times New Roman"/>
                <w:b/>
                <w:bCs/>
                <w:color w:val="auto"/>
                <w:sz w:val="22"/>
                <w:szCs w:val="22"/>
              </w:rPr>
              <w:t>krvarenje</w:t>
            </w:r>
            <w:r w:rsidRPr="006921A1">
              <w:rPr>
                <w:rFonts w:ascii="Times New Roman" w:hAnsi="Times New Roman" w:cs="Times New Roman"/>
                <w:color w:val="auto"/>
                <w:sz w:val="22"/>
                <w:szCs w:val="22"/>
              </w:rPr>
              <w:t>*</w:t>
            </w:r>
          </w:p>
          <w:p w:rsidR="00936B96" w:rsidRPr="006921A1" w:rsidRDefault="00936B96" w:rsidP="00B508FF">
            <w:pPr>
              <w:pStyle w:val="Default"/>
              <w:spacing w:after="0" w:line="240" w:lineRule="auto"/>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 </w:t>
            </w:r>
          </w:p>
          <w:p w:rsidR="00936B96" w:rsidRPr="006921A1" w:rsidRDefault="00936B96" w:rsidP="00FD290B">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i/>
                <w:iCs/>
                <w:sz w:val="22"/>
                <w:szCs w:val="22"/>
              </w:rPr>
              <w:t xml:space="preserve">Rijetko: </w:t>
            </w:r>
            <w:r w:rsidRPr="006921A1">
              <w:rPr>
                <w:rFonts w:ascii="Times New Roman" w:hAnsi="Times New Roman" w:cs="Times New Roman"/>
                <w:b/>
                <w:bCs/>
                <w:sz w:val="22"/>
                <w:szCs w:val="22"/>
              </w:rPr>
              <w:t>retro-peritonejsko krvarenje</w:t>
            </w:r>
          </w:p>
        </w:tc>
        <w:tc>
          <w:tcPr>
            <w:tcW w:w="1356" w:type="dxa"/>
          </w:tcPr>
          <w:p w:rsidR="00936B96" w:rsidRPr="006921A1" w:rsidRDefault="00936B96" w:rsidP="00B508FF">
            <w:pPr>
              <w:pStyle w:val="Default"/>
              <w:spacing w:after="0" w:line="240" w:lineRule="auto"/>
              <w:rPr>
                <w:rFonts w:ascii="Times New Roman" w:hAnsi="Times New Roman" w:cs="Times New Roman"/>
                <w:color w:val="auto"/>
                <w:sz w:val="22"/>
                <w:szCs w:val="22"/>
              </w:rPr>
            </w:pPr>
            <w:r w:rsidRPr="006921A1">
              <w:rPr>
                <w:rFonts w:ascii="Times New Roman" w:hAnsi="Times New Roman" w:cs="Times New Roman"/>
                <w:i/>
                <w:iCs/>
                <w:color w:val="auto"/>
                <w:sz w:val="22"/>
                <w:szCs w:val="22"/>
              </w:rPr>
              <w:t xml:space="preserve">Često: </w:t>
            </w:r>
          </w:p>
          <w:p w:rsidR="00936B96" w:rsidRPr="006921A1" w:rsidRDefault="00936B96" w:rsidP="00303915">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b/>
                <w:bCs/>
                <w:sz w:val="22"/>
                <w:szCs w:val="22"/>
              </w:rPr>
              <w:t>krvarenje</w:t>
            </w:r>
            <w:r w:rsidRPr="006921A1">
              <w:rPr>
                <w:rFonts w:ascii="Times New Roman" w:hAnsi="Times New Roman" w:cs="Times New Roman"/>
                <w:sz w:val="22"/>
                <w:szCs w:val="22"/>
              </w:rPr>
              <w:t>*</w:t>
            </w:r>
          </w:p>
        </w:tc>
        <w:tc>
          <w:tcPr>
            <w:tcW w:w="1506" w:type="dxa"/>
          </w:tcPr>
          <w:p w:rsidR="00936B96" w:rsidRPr="006921A1" w:rsidRDefault="00E44DE8" w:rsidP="00B508FF">
            <w:pPr>
              <w:pStyle w:val="Default"/>
              <w:spacing w:after="0" w:line="240" w:lineRule="auto"/>
              <w:rPr>
                <w:rFonts w:ascii="Times New Roman" w:hAnsi="Times New Roman" w:cs="Times New Roman"/>
                <w:color w:val="auto"/>
                <w:sz w:val="22"/>
                <w:szCs w:val="22"/>
              </w:rPr>
            </w:pPr>
            <w:r>
              <w:rPr>
                <w:rFonts w:ascii="Times New Roman" w:hAnsi="Times New Roman" w:cs="Times New Roman"/>
                <w:i/>
                <w:iCs/>
                <w:color w:val="auto"/>
                <w:sz w:val="22"/>
                <w:szCs w:val="22"/>
              </w:rPr>
              <w:t>Povremeno</w:t>
            </w:r>
            <w:r w:rsidR="00936B96" w:rsidRPr="006921A1">
              <w:rPr>
                <w:rFonts w:ascii="Times New Roman" w:hAnsi="Times New Roman" w:cs="Times New Roman"/>
                <w:i/>
                <w:iCs/>
                <w:color w:val="auto"/>
                <w:sz w:val="22"/>
                <w:szCs w:val="22"/>
              </w:rPr>
              <w:t xml:space="preserve">: </w:t>
            </w:r>
          </w:p>
          <w:p w:rsidR="00936B96" w:rsidRDefault="00936B96" w:rsidP="00B508FF">
            <w:pPr>
              <w:pStyle w:val="Default"/>
              <w:spacing w:after="0" w:line="240" w:lineRule="auto"/>
              <w:rPr>
                <w:rFonts w:ascii="Times New Roman" w:hAnsi="Times New Roman" w:cs="Times New Roman"/>
                <w:color w:val="auto"/>
                <w:sz w:val="22"/>
                <w:szCs w:val="22"/>
              </w:rPr>
            </w:pPr>
            <w:r w:rsidRPr="006921A1">
              <w:rPr>
                <w:rFonts w:ascii="Times New Roman" w:hAnsi="Times New Roman" w:cs="Times New Roman"/>
                <w:b/>
                <w:bCs/>
                <w:color w:val="auto"/>
                <w:sz w:val="22"/>
                <w:szCs w:val="22"/>
              </w:rPr>
              <w:t>krvarenje</w:t>
            </w:r>
            <w:r w:rsidRPr="006921A1">
              <w:rPr>
                <w:rFonts w:ascii="Times New Roman" w:hAnsi="Times New Roman" w:cs="Times New Roman"/>
                <w:color w:val="auto"/>
                <w:sz w:val="22"/>
                <w:szCs w:val="22"/>
              </w:rPr>
              <w:t>*</w:t>
            </w:r>
          </w:p>
          <w:p w:rsidR="00FD290B" w:rsidRPr="006921A1" w:rsidRDefault="00FD290B" w:rsidP="00B508FF">
            <w:pPr>
              <w:pStyle w:val="Default"/>
              <w:spacing w:after="0" w:line="240" w:lineRule="auto"/>
              <w:rPr>
                <w:rFonts w:ascii="Times New Roman" w:hAnsi="Times New Roman" w:cs="Times New Roman"/>
                <w:color w:val="auto"/>
                <w:sz w:val="22"/>
                <w:szCs w:val="22"/>
              </w:rPr>
            </w:pPr>
          </w:p>
          <w:p w:rsidR="00936B96" w:rsidRPr="006921A1" w:rsidRDefault="00936B96" w:rsidP="00B508FF">
            <w:pPr>
              <w:pStyle w:val="Default"/>
              <w:spacing w:after="0" w:line="240" w:lineRule="auto"/>
              <w:rPr>
                <w:rFonts w:ascii="Times New Roman" w:hAnsi="Times New Roman" w:cs="Times New Roman"/>
                <w:color w:val="auto"/>
                <w:sz w:val="22"/>
                <w:szCs w:val="22"/>
              </w:rPr>
            </w:pPr>
            <w:r w:rsidRPr="006921A1">
              <w:rPr>
                <w:rFonts w:ascii="Times New Roman" w:hAnsi="Times New Roman" w:cs="Times New Roman"/>
                <w:i/>
                <w:iCs/>
                <w:color w:val="auto"/>
                <w:sz w:val="22"/>
                <w:szCs w:val="22"/>
              </w:rPr>
              <w:t xml:space="preserve">Manje često: </w:t>
            </w:r>
          </w:p>
          <w:p w:rsidR="00936B96" w:rsidRPr="006921A1" w:rsidRDefault="00936B96" w:rsidP="00303915">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b/>
                <w:bCs/>
                <w:sz w:val="22"/>
                <w:szCs w:val="22"/>
              </w:rPr>
              <w:t>intrakranijalno krvarenje, retroperitonejsko krvarenje</w:t>
            </w:r>
          </w:p>
        </w:tc>
        <w:tc>
          <w:tcPr>
            <w:tcW w:w="1504" w:type="dxa"/>
          </w:tcPr>
          <w:p w:rsidR="00936B96" w:rsidRPr="006921A1" w:rsidRDefault="00E44DE8" w:rsidP="00E44DE8">
            <w:pPr>
              <w:autoSpaceDE w:val="0"/>
              <w:autoSpaceDN w:val="0"/>
              <w:adjustRightInd w:val="0"/>
              <w:spacing w:after="0" w:line="240" w:lineRule="auto"/>
              <w:jc w:val="both"/>
              <w:rPr>
                <w:rFonts w:ascii="Times New Roman" w:eastAsia="TimesNewRoman" w:hAnsi="Times New Roman" w:cs="Times New Roman"/>
                <w:sz w:val="22"/>
                <w:szCs w:val="22"/>
                <w:lang w:val="sr-Latn-RS"/>
              </w:rPr>
            </w:pPr>
            <w:r>
              <w:rPr>
                <w:rFonts w:ascii="Times New Roman" w:hAnsi="Times New Roman" w:cs="Times New Roman"/>
                <w:i/>
                <w:iCs/>
                <w:sz w:val="22"/>
                <w:szCs w:val="22"/>
              </w:rPr>
              <w:t>Često</w:t>
            </w:r>
            <w:r w:rsidR="00936B96" w:rsidRPr="006921A1">
              <w:rPr>
                <w:rFonts w:ascii="Times New Roman" w:hAnsi="Times New Roman" w:cs="Times New Roman"/>
                <w:sz w:val="22"/>
                <w:szCs w:val="22"/>
              </w:rPr>
              <w:t>**</w:t>
            </w:r>
            <w:r w:rsidR="00936B96" w:rsidRPr="006921A1">
              <w:rPr>
                <w:rFonts w:ascii="Times New Roman" w:hAnsi="Times New Roman" w:cs="Times New Roman"/>
                <w:i/>
                <w:iCs/>
                <w:sz w:val="22"/>
                <w:szCs w:val="22"/>
              </w:rPr>
              <w:t xml:space="preserve">: </w:t>
            </w:r>
            <w:r w:rsidR="00936B96" w:rsidRPr="00B508FF">
              <w:rPr>
                <w:rFonts w:ascii="Times New Roman" w:hAnsi="Times New Roman" w:cs="Times New Roman"/>
                <w:b/>
                <w:iCs/>
                <w:sz w:val="22"/>
                <w:szCs w:val="22"/>
              </w:rPr>
              <w:t>krvarenje</w:t>
            </w:r>
          </w:p>
        </w:tc>
        <w:tc>
          <w:tcPr>
            <w:tcW w:w="1446" w:type="dxa"/>
          </w:tcPr>
          <w:p w:rsidR="00936B96" w:rsidRDefault="00936B96" w:rsidP="00B508FF">
            <w:pPr>
              <w:pStyle w:val="Default"/>
              <w:spacing w:after="0" w:line="240" w:lineRule="auto"/>
              <w:rPr>
                <w:rFonts w:ascii="Times New Roman" w:hAnsi="Times New Roman" w:cs="Times New Roman"/>
                <w:b/>
                <w:bCs/>
                <w:color w:val="auto"/>
                <w:sz w:val="22"/>
                <w:szCs w:val="22"/>
              </w:rPr>
            </w:pPr>
            <w:r w:rsidRPr="006921A1">
              <w:rPr>
                <w:rFonts w:ascii="Times New Roman" w:hAnsi="Times New Roman" w:cs="Times New Roman"/>
                <w:i/>
                <w:iCs/>
                <w:color w:val="auto"/>
                <w:sz w:val="22"/>
                <w:szCs w:val="22"/>
              </w:rPr>
              <w:t xml:space="preserve">Često: </w:t>
            </w:r>
            <w:r w:rsidRPr="006921A1">
              <w:rPr>
                <w:rFonts w:ascii="Times New Roman" w:hAnsi="Times New Roman" w:cs="Times New Roman"/>
                <w:b/>
                <w:bCs/>
                <w:color w:val="auto"/>
                <w:sz w:val="22"/>
                <w:szCs w:val="22"/>
              </w:rPr>
              <w:t>krvarenje</w:t>
            </w:r>
            <w:r w:rsidRPr="006921A1">
              <w:rPr>
                <w:rFonts w:ascii="Times New Roman" w:hAnsi="Times New Roman" w:cs="Times New Roman"/>
                <w:color w:val="auto"/>
                <w:sz w:val="22"/>
                <w:szCs w:val="22"/>
              </w:rPr>
              <w:t>*</w:t>
            </w:r>
            <w:r w:rsidRPr="006921A1">
              <w:rPr>
                <w:rFonts w:ascii="Times New Roman" w:hAnsi="Times New Roman" w:cs="Times New Roman"/>
                <w:b/>
                <w:bCs/>
                <w:color w:val="auto"/>
                <w:sz w:val="22"/>
                <w:szCs w:val="22"/>
              </w:rPr>
              <w:t xml:space="preserve"> </w:t>
            </w:r>
          </w:p>
          <w:p w:rsidR="00FD290B" w:rsidRPr="006921A1" w:rsidRDefault="00FD290B" w:rsidP="00B508FF">
            <w:pPr>
              <w:pStyle w:val="Default"/>
              <w:spacing w:after="0" w:line="240" w:lineRule="auto"/>
              <w:rPr>
                <w:rFonts w:ascii="Times New Roman" w:hAnsi="Times New Roman" w:cs="Times New Roman"/>
                <w:color w:val="auto"/>
                <w:sz w:val="22"/>
                <w:szCs w:val="22"/>
              </w:rPr>
            </w:pPr>
          </w:p>
          <w:p w:rsidR="00936B96" w:rsidRPr="006921A1" w:rsidRDefault="00936B96" w:rsidP="00303915">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i/>
                <w:iCs/>
                <w:sz w:val="22"/>
                <w:szCs w:val="22"/>
              </w:rPr>
              <w:t xml:space="preserve">Rijetko: </w:t>
            </w:r>
            <w:r w:rsidRPr="006921A1">
              <w:rPr>
                <w:rFonts w:ascii="Times New Roman" w:hAnsi="Times New Roman" w:cs="Times New Roman"/>
                <w:b/>
                <w:bCs/>
                <w:sz w:val="22"/>
                <w:szCs w:val="22"/>
              </w:rPr>
              <w:t>retroperitone</w:t>
            </w:r>
            <w:r w:rsidR="00E44DE8">
              <w:rPr>
                <w:rFonts w:ascii="Times New Roman" w:hAnsi="Times New Roman" w:cs="Times New Roman"/>
                <w:b/>
                <w:bCs/>
                <w:sz w:val="22"/>
                <w:szCs w:val="22"/>
              </w:rPr>
              <w:t>alno</w:t>
            </w:r>
            <w:r w:rsidRPr="006921A1">
              <w:rPr>
                <w:rFonts w:ascii="Times New Roman" w:hAnsi="Times New Roman" w:cs="Times New Roman"/>
                <w:b/>
                <w:bCs/>
                <w:sz w:val="22"/>
                <w:szCs w:val="22"/>
              </w:rPr>
              <w:t xml:space="preserve"> krvarenje</w:t>
            </w:r>
          </w:p>
        </w:tc>
        <w:tc>
          <w:tcPr>
            <w:tcW w:w="1214" w:type="dxa"/>
          </w:tcPr>
          <w:p w:rsidR="00936B96" w:rsidRPr="006921A1" w:rsidRDefault="00936B96" w:rsidP="00B508FF">
            <w:pPr>
              <w:pStyle w:val="Default"/>
              <w:spacing w:after="0" w:line="240" w:lineRule="auto"/>
              <w:rPr>
                <w:rFonts w:ascii="Times New Roman" w:hAnsi="Times New Roman" w:cs="Times New Roman"/>
                <w:color w:val="auto"/>
                <w:sz w:val="22"/>
                <w:szCs w:val="22"/>
              </w:rPr>
            </w:pPr>
            <w:r w:rsidRPr="006921A1">
              <w:rPr>
                <w:rFonts w:ascii="Times New Roman" w:hAnsi="Times New Roman" w:cs="Times New Roman"/>
                <w:i/>
                <w:iCs/>
                <w:color w:val="auto"/>
                <w:sz w:val="22"/>
                <w:szCs w:val="22"/>
              </w:rPr>
              <w:t xml:space="preserve">Često: </w:t>
            </w:r>
            <w:r w:rsidRPr="006921A1">
              <w:rPr>
                <w:rFonts w:ascii="Times New Roman" w:hAnsi="Times New Roman" w:cs="Times New Roman"/>
                <w:b/>
                <w:bCs/>
                <w:color w:val="auto"/>
                <w:sz w:val="22"/>
                <w:szCs w:val="22"/>
              </w:rPr>
              <w:t>krvarenje</w:t>
            </w:r>
            <w:r w:rsidRPr="006921A1">
              <w:rPr>
                <w:rFonts w:ascii="Times New Roman" w:hAnsi="Times New Roman" w:cs="Times New Roman"/>
                <w:color w:val="auto"/>
                <w:sz w:val="22"/>
                <w:szCs w:val="22"/>
              </w:rPr>
              <w:t>*</w:t>
            </w:r>
            <w:r w:rsidRPr="006921A1">
              <w:rPr>
                <w:rFonts w:ascii="Times New Roman" w:hAnsi="Times New Roman" w:cs="Times New Roman"/>
                <w:b/>
                <w:bCs/>
                <w:color w:val="auto"/>
                <w:sz w:val="22"/>
                <w:szCs w:val="22"/>
              </w:rPr>
              <w:t xml:space="preserve"> </w:t>
            </w:r>
          </w:p>
          <w:p w:rsidR="00936B96" w:rsidRPr="006921A1" w:rsidRDefault="00936B96" w:rsidP="00303915">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i/>
                <w:iCs/>
                <w:sz w:val="22"/>
                <w:szCs w:val="22"/>
              </w:rPr>
              <w:t xml:space="preserve">Manje često: </w:t>
            </w:r>
            <w:r w:rsidRPr="006921A1">
              <w:rPr>
                <w:rFonts w:ascii="Times New Roman" w:hAnsi="Times New Roman" w:cs="Times New Roman"/>
                <w:b/>
                <w:bCs/>
                <w:sz w:val="22"/>
                <w:szCs w:val="22"/>
              </w:rPr>
              <w:t>intrakranijalno krvarenje, retroperitone</w:t>
            </w:r>
            <w:r w:rsidR="00E44DE8">
              <w:rPr>
                <w:rFonts w:ascii="Times New Roman" w:hAnsi="Times New Roman" w:cs="Times New Roman"/>
                <w:b/>
                <w:bCs/>
                <w:sz w:val="22"/>
                <w:szCs w:val="22"/>
              </w:rPr>
              <w:t xml:space="preserve">alno </w:t>
            </w:r>
            <w:r w:rsidRPr="006921A1">
              <w:rPr>
                <w:rFonts w:ascii="Times New Roman" w:hAnsi="Times New Roman" w:cs="Times New Roman"/>
                <w:b/>
                <w:bCs/>
                <w:sz w:val="22"/>
                <w:szCs w:val="22"/>
              </w:rPr>
              <w:t>krvarenje</w:t>
            </w:r>
          </w:p>
        </w:tc>
      </w:tr>
    </w:tbl>
    <w:p w:rsidR="00936B96" w:rsidRPr="006921A1" w:rsidRDefault="00936B96" w:rsidP="00B508FF">
      <w:pPr>
        <w:autoSpaceDE w:val="0"/>
        <w:autoSpaceDN w:val="0"/>
        <w:adjustRightInd w:val="0"/>
        <w:jc w:val="both"/>
        <w:rPr>
          <w:rFonts w:ascii="Times New Roman" w:hAnsi="Times New Roman" w:cs="Times New Roman"/>
          <w:sz w:val="22"/>
          <w:szCs w:val="22"/>
          <w:lang w:val="sr-Latn-RS"/>
        </w:rPr>
      </w:pPr>
      <w:r w:rsidRPr="006921A1">
        <w:rPr>
          <w:rFonts w:ascii="Times New Roman" w:hAnsi="Times New Roman" w:cs="Times New Roman"/>
          <w:sz w:val="22"/>
          <w:szCs w:val="22"/>
          <w:lang w:val="sr-Latn-RS"/>
        </w:rPr>
        <w:t>* kao što je hematom, ekhimoza osim na mjestu primjene, hematom oko rane, hematurija, epistaksa i</w:t>
      </w:r>
      <w:r w:rsidR="00E44DE8">
        <w:rPr>
          <w:rFonts w:ascii="Times New Roman" w:hAnsi="Times New Roman" w:cs="Times New Roman"/>
          <w:sz w:val="22"/>
          <w:szCs w:val="22"/>
          <w:lang w:val="sr-Latn-RS"/>
        </w:rPr>
        <w:t xml:space="preserve"> </w:t>
      </w:r>
      <w:r w:rsidRPr="006921A1">
        <w:rPr>
          <w:rFonts w:ascii="Times New Roman" w:hAnsi="Times New Roman" w:cs="Times New Roman"/>
          <w:sz w:val="22"/>
          <w:szCs w:val="22"/>
          <w:lang w:val="sr-Latn-RS"/>
        </w:rPr>
        <w:t>gastro-intestinalno krvarenje</w:t>
      </w:r>
    </w:p>
    <w:p w:rsidR="00936B96" w:rsidRPr="006921A1" w:rsidRDefault="00936B96" w:rsidP="00936B96">
      <w:pPr>
        <w:tabs>
          <w:tab w:val="left" w:pos="540"/>
          <w:tab w:val="left" w:pos="569"/>
        </w:tabs>
        <w:jc w:val="both"/>
        <w:rPr>
          <w:rFonts w:ascii="Times New Roman" w:hAnsi="Times New Roman" w:cs="Times New Roman"/>
          <w:sz w:val="22"/>
          <w:szCs w:val="22"/>
          <w:lang w:val="sr-Latn-RS"/>
        </w:rPr>
      </w:pPr>
      <w:r w:rsidRPr="006921A1">
        <w:rPr>
          <w:rFonts w:ascii="Times New Roman" w:hAnsi="Times New Roman" w:cs="Times New Roman"/>
          <w:sz w:val="22"/>
          <w:szCs w:val="22"/>
        </w:rPr>
        <w:t>*</w:t>
      </w:r>
      <w:r w:rsidRPr="006921A1">
        <w:rPr>
          <w:rFonts w:ascii="Times New Roman" w:hAnsi="Times New Roman" w:cs="Times New Roman"/>
          <w:i/>
          <w:iCs/>
          <w:sz w:val="22"/>
          <w:szCs w:val="22"/>
        </w:rPr>
        <w:t xml:space="preserve"> </w:t>
      </w:r>
      <w:r w:rsidRPr="006921A1">
        <w:rPr>
          <w:rFonts w:ascii="Times New Roman" w:hAnsi="Times New Roman" w:cs="Times New Roman"/>
          <w:sz w:val="22"/>
          <w:szCs w:val="22"/>
        </w:rPr>
        <w:t>*</w:t>
      </w:r>
      <w:r w:rsidRPr="006921A1">
        <w:t xml:space="preserve"> </w:t>
      </w:r>
      <w:r w:rsidRPr="006921A1">
        <w:rPr>
          <w:rFonts w:ascii="Times New Roman" w:hAnsi="Times New Roman" w:cs="Times New Roman"/>
          <w:sz w:val="22"/>
          <w:szCs w:val="22"/>
        </w:rPr>
        <w:t>učestalost zasnovana na retrospektivnoj studiji na registru koji uključuje 3526 pacijenata (vidjeti odjeljak 5.1)</w:t>
      </w:r>
    </w:p>
    <w:p w:rsidR="00936B96" w:rsidRDefault="00936B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Pr="006921A1" w:rsidRDefault="00E8746A"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936B96" w:rsidRPr="006921A1" w:rsidRDefault="00936B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i/>
          <w:iCs/>
          <w:sz w:val="22"/>
          <w:szCs w:val="22"/>
          <w:lang w:val="sr-Latn-RS"/>
        </w:rPr>
        <w:lastRenderedPageBreak/>
        <w:t>Trombocitopenija i trombocitoza (vidjeti odjeljak 4.4 praćenje broja trombocita)</w:t>
      </w:r>
    </w:p>
    <w:p w:rsidR="00936B96" w:rsidRPr="006921A1" w:rsidRDefault="00936B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p>
    <w:tbl>
      <w:tblPr>
        <w:tblStyle w:val="TableGrid"/>
        <w:tblW w:w="0" w:type="auto"/>
        <w:tblLook w:val="04A0" w:firstRow="1" w:lastRow="0" w:firstColumn="1" w:lastColumn="0" w:noHBand="0" w:noVBand="1"/>
      </w:tblPr>
      <w:tblGrid>
        <w:gridCol w:w="934"/>
        <w:gridCol w:w="1367"/>
        <w:gridCol w:w="1290"/>
        <w:gridCol w:w="1368"/>
        <w:gridCol w:w="1368"/>
        <w:gridCol w:w="1368"/>
        <w:gridCol w:w="1368"/>
      </w:tblGrid>
      <w:tr w:rsidR="006921A1" w:rsidRPr="006921A1" w:rsidTr="00B508FF">
        <w:tc>
          <w:tcPr>
            <w:tcW w:w="1525" w:type="dxa"/>
          </w:tcPr>
          <w:p w:rsidR="00936B96" w:rsidRPr="006921A1" w:rsidRDefault="00936B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sz w:val="22"/>
                <w:szCs w:val="22"/>
              </w:rPr>
              <w:t>Organski s</w:t>
            </w:r>
            <w:r w:rsidR="005017BE">
              <w:rPr>
                <w:rFonts w:ascii="Times New Roman" w:hAnsi="Times New Roman" w:cs="Times New Roman"/>
                <w:sz w:val="22"/>
                <w:szCs w:val="22"/>
              </w:rPr>
              <w:t>istem</w:t>
            </w:r>
          </w:p>
        </w:tc>
        <w:tc>
          <w:tcPr>
            <w:tcW w:w="603" w:type="dxa"/>
          </w:tcPr>
          <w:p w:rsidR="00936B96" w:rsidRPr="006921A1" w:rsidRDefault="00ED0A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sz w:val="22"/>
                <w:szCs w:val="22"/>
              </w:rPr>
              <w:t>Profilaksa hirurških pacijenata</w:t>
            </w:r>
          </w:p>
        </w:tc>
        <w:tc>
          <w:tcPr>
            <w:tcW w:w="1310" w:type="dxa"/>
          </w:tcPr>
          <w:p w:rsidR="00936B96" w:rsidRPr="006921A1" w:rsidRDefault="00ED0A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sz w:val="22"/>
                <w:szCs w:val="22"/>
              </w:rPr>
              <w:t>Profilaksa  medikamentozno liječenih pacijenata</w:t>
            </w:r>
          </w:p>
        </w:tc>
        <w:tc>
          <w:tcPr>
            <w:tcW w:w="1380" w:type="dxa"/>
          </w:tcPr>
          <w:p w:rsidR="00936B96" w:rsidRPr="006921A1" w:rsidRDefault="00ED0A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sz w:val="22"/>
                <w:szCs w:val="22"/>
              </w:rPr>
              <w:t>Liječenje pacijenata s DVT-om praćenim PE-om ili bez njega</w:t>
            </w:r>
          </w:p>
        </w:tc>
        <w:tc>
          <w:tcPr>
            <w:tcW w:w="1485" w:type="dxa"/>
          </w:tcPr>
          <w:p w:rsidR="00936B96" w:rsidRPr="006921A1" w:rsidRDefault="00ED0A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b/>
                <w:sz w:val="22"/>
                <w:szCs w:val="22"/>
              </w:rPr>
              <w:t>Produženi tretman DVT i PE kod pacijenata sa aktivnim karcinomom</w:t>
            </w:r>
          </w:p>
        </w:tc>
        <w:tc>
          <w:tcPr>
            <w:tcW w:w="1380" w:type="dxa"/>
          </w:tcPr>
          <w:p w:rsidR="00936B96" w:rsidRPr="006921A1" w:rsidRDefault="00ED0A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sz w:val="22"/>
                <w:szCs w:val="22"/>
              </w:rPr>
              <w:t>Liječenje pacijenata s nestabilnom anginom i infarktom miokarda bez Q-zupca</w:t>
            </w:r>
          </w:p>
        </w:tc>
        <w:tc>
          <w:tcPr>
            <w:tcW w:w="1380" w:type="dxa"/>
          </w:tcPr>
          <w:p w:rsidR="00936B96" w:rsidRPr="006921A1" w:rsidRDefault="00ED0A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sz w:val="22"/>
                <w:szCs w:val="22"/>
              </w:rPr>
              <w:t>Liječenje  pacijenata s akutnim STEMI-jem</w:t>
            </w:r>
          </w:p>
        </w:tc>
      </w:tr>
      <w:tr w:rsidR="00936B96" w:rsidRPr="006921A1" w:rsidTr="00B508FF">
        <w:tc>
          <w:tcPr>
            <w:tcW w:w="1525" w:type="dxa"/>
          </w:tcPr>
          <w:p w:rsidR="00936B96" w:rsidRPr="006921A1" w:rsidRDefault="00936B96"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i/>
                <w:iCs/>
                <w:sz w:val="22"/>
                <w:szCs w:val="22"/>
              </w:rPr>
              <w:t>Poremećaji krvi i limfnog s</w:t>
            </w:r>
            <w:r w:rsidR="005017BE">
              <w:rPr>
                <w:rFonts w:ascii="Times New Roman" w:hAnsi="Times New Roman" w:cs="Times New Roman"/>
                <w:i/>
                <w:iCs/>
                <w:sz w:val="22"/>
                <w:szCs w:val="22"/>
              </w:rPr>
              <w:t>istema</w:t>
            </w:r>
          </w:p>
        </w:tc>
        <w:tc>
          <w:tcPr>
            <w:tcW w:w="603" w:type="dxa"/>
          </w:tcPr>
          <w:p w:rsidR="00ED0A96" w:rsidRPr="006921A1" w:rsidRDefault="00ED0A96" w:rsidP="00ED0A96">
            <w:pPr>
              <w:pStyle w:val="Default"/>
              <w:rPr>
                <w:rFonts w:ascii="Times New Roman" w:hAnsi="Times New Roman" w:cs="Times New Roman"/>
                <w:color w:val="auto"/>
                <w:sz w:val="22"/>
                <w:szCs w:val="22"/>
              </w:rPr>
            </w:pPr>
            <w:r w:rsidRPr="006921A1">
              <w:rPr>
                <w:rFonts w:ascii="Times New Roman" w:hAnsi="Times New Roman" w:cs="Times New Roman"/>
                <w:i/>
                <w:iCs/>
                <w:color w:val="auto"/>
                <w:sz w:val="22"/>
                <w:szCs w:val="22"/>
              </w:rPr>
              <w:t>V</w:t>
            </w:r>
            <w:r w:rsidR="00D63CF4">
              <w:rPr>
                <w:rFonts w:ascii="Times New Roman" w:hAnsi="Times New Roman" w:cs="Times New Roman"/>
                <w:i/>
                <w:iCs/>
                <w:color w:val="auto"/>
                <w:sz w:val="22"/>
                <w:szCs w:val="22"/>
              </w:rPr>
              <w:t>eoma</w:t>
            </w:r>
            <w:r w:rsidRPr="006921A1">
              <w:rPr>
                <w:rFonts w:ascii="Times New Roman" w:hAnsi="Times New Roman" w:cs="Times New Roman"/>
                <w:i/>
                <w:iCs/>
                <w:color w:val="auto"/>
                <w:sz w:val="22"/>
                <w:szCs w:val="22"/>
              </w:rPr>
              <w:t xml:space="preserve"> često: </w:t>
            </w:r>
            <w:r w:rsidRPr="006921A1">
              <w:rPr>
                <w:rFonts w:ascii="Times New Roman" w:hAnsi="Times New Roman" w:cs="Times New Roman"/>
                <w:b/>
                <w:bCs/>
                <w:color w:val="auto"/>
                <w:sz w:val="22"/>
                <w:szCs w:val="22"/>
              </w:rPr>
              <w:t>trombocitoza</w:t>
            </w:r>
            <w:r w:rsidRPr="006921A1">
              <w:rPr>
                <w:rFonts w:ascii="Times New Roman" w:hAnsi="Times New Roman" w:cs="Times New Roman"/>
                <w:color w:val="auto"/>
                <w:sz w:val="22"/>
                <w:szCs w:val="22"/>
              </w:rPr>
              <w:t>*</w:t>
            </w:r>
            <w:r w:rsidRPr="006921A1">
              <w:rPr>
                <w:rFonts w:ascii="Times New Roman" w:hAnsi="Times New Roman" w:cs="Times New Roman"/>
                <w:b/>
                <w:bCs/>
                <w:color w:val="auto"/>
                <w:sz w:val="22"/>
                <w:szCs w:val="22"/>
              </w:rPr>
              <w:t xml:space="preserve"> </w:t>
            </w:r>
          </w:p>
          <w:p w:rsidR="00936B96" w:rsidRPr="006921A1" w:rsidRDefault="00ED0A96" w:rsidP="00ED0A9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i/>
                <w:iCs/>
                <w:sz w:val="22"/>
                <w:szCs w:val="22"/>
              </w:rPr>
              <w:t xml:space="preserve">Često: </w:t>
            </w:r>
            <w:r w:rsidRPr="006921A1">
              <w:rPr>
                <w:rFonts w:ascii="Times New Roman" w:hAnsi="Times New Roman" w:cs="Times New Roman"/>
                <w:b/>
                <w:bCs/>
                <w:sz w:val="22"/>
                <w:szCs w:val="22"/>
              </w:rPr>
              <w:t>trombocitopenija</w:t>
            </w:r>
          </w:p>
        </w:tc>
        <w:tc>
          <w:tcPr>
            <w:tcW w:w="1310" w:type="dxa"/>
          </w:tcPr>
          <w:p w:rsidR="00936B96" w:rsidRPr="006921A1" w:rsidRDefault="00D63CF4"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Pr>
                <w:rFonts w:ascii="Times New Roman" w:hAnsi="Times New Roman" w:cs="Times New Roman"/>
                <w:i/>
                <w:iCs/>
                <w:sz w:val="22"/>
                <w:szCs w:val="22"/>
              </w:rPr>
              <w:t>Povremeno</w:t>
            </w:r>
            <w:r w:rsidR="00ED0A96" w:rsidRPr="006921A1">
              <w:rPr>
                <w:rFonts w:ascii="Times New Roman" w:hAnsi="Times New Roman" w:cs="Times New Roman"/>
                <w:i/>
                <w:iCs/>
                <w:sz w:val="22"/>
                <w:szCs w:val="22"/>
              </w:rPr>
              <w:t xml:space="preserve">: </w:t>
            </w:r>
            <w:r w:rsidR="00ED0A96" w:rsidRPr="006921A1">
              <w:rPr>
                <w:rFonts w:ascii="Times New Roman" w:hAnsi="Times New Roman" w:cs="Times New Roman"/>
                <w:b/>
                <w:bCs/>
                <w:sz w:val="22"/>
                <w:szCs w:val="22"/>
              </w:rPr>
              <w:t>trombocito-penija</w:t>
            </w:r>
          </w:p>
        </w:tc>
        <w:tc>
          <w:tcPr>
            <w:tcW w:w="1380" w:type="dxa"/>
          </w:tcPr>
          <w:p w:rsidR="00ED0A96" w:rsidRPr="006921A1" w:rsidRDefault="00ED0A96" w:rsidP="00ED0A96">
            <w:pPr>
              <w:pStyle w:val="Default"/>
              <w:rPr>
                <w:rFonts w:ascii="Times New Roman" w:hAnsi="Times New Roman" w:cs="Times New Roman"/>
                <w:color w:val="auto"/>
                <w:sz w:val="22"/>
                <w:szCs w:val="22"/>
              </w:rPr>
            </w:pPr>
            <w:r w:rsidRPr="006921A1">
              <w:rPr>
                <w:rFonts w:ascii="Times New Roman" w:hAnsi="Times New Roman" w:cs="Times New Roman"/>
                <w:i/>
                <w:iCs/>
                <w:color w:val="auto"/>
                <w:sz w:val="22"/>
                <w:szCs w:val="22"/>
              </w:rPr>
              <w:t>V</w:t>
            </w:r>
            <w:r w:rsidR="00D63CF4">
              <w:rPr>
                <w:rFonts w:ascii="Times New Roman" w:hAnsi="Times New Roman" w:cs="Times New Roman"/>
                <w:i/>
                <w:iCs/>
                <w:color w:val="auto"/>
                <w:sz w:val="22"/>
                <w:szCs w:val="22"/>
              </w:rPr>
              <w:t>eoma</w:t>
            </w:r>
            <w:r w:rsidRPr="006921A1">
              <w:rPr>
                <w:rFonts w:ascii="Times New Roman" w:hAnsi="Times New Roman" w:cs="Times New Roman"/>
                <w:i/>
                <w:iCs/>
                <w:color w:val="auto"/>
                <w:sz w:val="22"/>
                <w:szCs w:val="22"/>
              </w:rPr>
              <w:t xml:space="preserve"> često: </w:t>
            </w:r>
            <w:r w:rsidRPr="006921A1">
              <w:rPr>
                <w:rFonts w:ascii="Times New Roman" w:hAnsi="Times New Roman" w:cs="Times New Roman"/>
                <w:b/>
                <w:bCs/>
                <w:color w:val="auto"/>
                <w:sz w:val="22"/>
                <w:szCs w:val="22"/>
              </w:rPr>
              <w:t>trombocitoza</w:t>
            </w:r>
            <w:r w:rsidRPr="006921A1">
              <w:rPr>
                <w:rFonts w:ascii="Times New Roman" w:hAnsi="Times New Roman" w:cs="Times New Roman"/>
                <w:color w:val="auto"/>
                <w:sz w:val="22"/>
                <w:szCs w:val="22"/>
              </w:rPr>
              <w:t>*</w:t>
            </w:r>
            <w:r w:rsidRPr="006921A1">
              <w:rPr>
                <w:rFonts w:ascii="Times New Roman" w:hAnsi="Times New Roman" w:cs="Times New Roman"/>
                <w:b/>
                <w:bCs/>
                <w:color w:val="auto"/>
                <w:sz w:val="22"/>
                <w:szCs w:val="22"/>
              </w:rPr>
              <w:t xml:space="preserve"> </w:t>
            </w:r>
          </w:p>
          <w:p w:rsidR="00936B96" w:rsidRPr="006921A1" w:rsidRDefault="00ED0A96" w:rsidP="00ED0A9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i/>
                <w:iCs/>
                <w:sz w:val="22"/>
                <w:szCs w:val="22"/>
              </w:rPr>
              <w:t xml:space="preserve">Često: </w:t>
            </w:r>
            <w:r w:rsidRPr="006921A1">
              <w:rPr>
                <w:rFonts w:ascii="Times New Roman" w:hAnsi="Times New Roman" w:cs="Times New Roman"/>
                <w:b/>
                <w:bCs/>
                <w:sz w:val="22"/>
                <w:szCs w:val="22"/>
              </w:rPr>
              <w:t>trombocitopenija</w:t>
            </w:r>
          </w:p>
        </w:tc>
        <w:tc>
          <w:tcPr>
            <w:tcW w:w="1485" w:type="dxa"/>
          </w:tcPr>
          <w:p w:rsidR="00ED0A96" w:rsidRPr="006921A1" w:rsidRDefault="00ED0A96" w:rsidP="00ED0A96">
            <w:pPr>
              <w:pStyle w:val="Default"/>
              <w:rPr>
                <w:rFonts w:ascii="Times New Roman" w:hAnsi="Times New Roman" w:cs="Times New Roman"/>
                <w:i/>
                <w:iCs/>
                <w:color w:val="auto"/>
                <w:sz w:val="22"/>
                <w:szCs w:val="22"/>
              </w:rPr>
            </w:pPr>
            <w:r w:rsidRPr="006921A1">
              <w:rPr>
                <w:rFonts w:ascii="Times New Roman" w:hAnsi="Times New Roman" w:cs="Times New Roman"/>
                <w:i/>
                <w:iCs/>
                <w:color w:val="auto"/>
                <w:sz w:val="22"/>
                <w:szCs w:val="22"/>
              </w:rPr>
              <w:t>Nepoznat</w:t>
            </w:r>
            <w:r w:rsidR="00D63CF4">
              <w:rPr>
                <w:rFonts w:ascii="Times New Roman" w:hAnsi="Times New Roman" w:cs="Times New Roman"/>
                <w:i/>
                <w:iCs/>
                <w:color w:val="auto"/>
                <w:sz w:val="22"/>
                <w:szCs w:val="22"/>
              </w:rPr>
              <w:t>o</w:t>
            </w:r>
            <w:r w:rsidRPr="006921A1">
              <w:rPr>
                <w:rFonts w:ascii="Times New Roman" w:hAnsi="Times New Roman" w:cs="Times New Roman"/>
                <w:i/>
                <w:iCs/>
                <w:color w:val="auto"/>
                <w:sz w:val="22"/>
                <w:szCs w:val="22"/>
              </w:rPr>
              <w:t>:</w:t>
            </w:r>
          </w:p>
          <w:p w:rsidR="00936B96" w:rsidRPr="00B508FF" w:rsidRDefault="00D63CF4" w:rsidP="00ED0A96">
            <w:pPr>
              <w:autoSpaceDE w:val="0"/>
              <w:autoSpaceDN w:val="0"/>
              <w:adjustRightInd w:val="0"/>
              <w:spacing w:after="0" w:line="240" w:lineRule="auto"/>
              <w:jc w:val="both"/>
              <w:rPr>
                <w:rFonts w:ascii="Times New Roman" w:eastAsia="TimesNewRoman" w:hAnsi="Times New Roman" w:cs="Times New Roman"/>
                <w:b/>
                <w:sz w:val="22"/>
                <w:szCs w:val="22"/>
                <w:lang w:val="sr-Latn-RS"/>
              </w:rPr>
            </w:pPr>
            <w:r>
              <w:rPr>
                <w:rFonts w:ascii="Times New Roman" w:hAnsi="Times New Roman" w:cs="Times New Roman"/>
                <w:b/>
                <w:iCs/>
                <w:sz w:val="22"/>
                <w:szCs w:val="22"/>
              </w:rPr>
              <w:t>t</w:t>
            </w:r>
            <w:r w:rsidR="00ED0A96" w:rsidRPr="00B508FF">
              <w:rPr>
                <w:rFonts w:ascii="Times New Roman" w:hAnsi="Times New Roman" w:cs="Times New Roman"/>
                <w:b/>
                <w:iCs/>
                <w:sz w:val="22"/>
                <w:szCs w:val="22"/>
              </w:rPr>
              <w:t>rombocitopenija</w:t>
            </w:r>
          </w:p>
        </w:tc>
        <w:tc>
          <w:tcPr>
            <w:tcW w:w="1380" w:type="dxa"/>
          </w:tcPr>
          <w:p w:rsidR="00936B96" w:rsidRPr="006921A1" w:rsidRDefault="00D63CF4" w:rsidP="002B5EDC">
            <w:pPr>
              <w:autoSpaceDE w:val="0"/>
              <w:autoSpaceDN w:val="0"/>
              <w:adjustRightInd w:val="0"/>
              <w:spacing w:after="0" w:line="240" w:lineRule="auto"/>
              <w:jc w:val="both"/>
              <w:rPr>
                <w:rFonts w:ascii="Times New Roman" w:eastAsia="TimesNewRoman" w:hAnsi="Times New Roman" w:cs="Times New Roman"/>
                <w:sz w:val="22"/>
                <w:szCs w:val="22"/>
                <w:lang w:val="sr-Latn-RS"/>
              </w:rPr>
            </w:pPr>
            <w:r>
              <w:rPr>
                <w:rFonts w:ascii="Times New Roman" w:hAnsi="Times New Roman" w:cs="Times New Roman"/>
                <w:i/>
                <w:iCs/>
                <w:sz w:val="22"/>
                <w:szCs w:val="22"/>
              </w:rPr>
              <w:t>Povremeno</w:t>
            </w:r>
            <w:r w:rsidR="00ED0A96" w:rsidRPr="006921A1">
              <w:rPr>
                <w:rFonts w:ascii="Times New Roman" w:hAnsi="Times New Roman" w:cs="Times New Roman"/>
                <w:i/>
                <w:iCs/>
                <w:sz w:val="22"/>
                <w:szCs w:val="22"/>
              </w:rPr>
              <w:t xml:space="preserve">: </w:t>
            </w:r>
            <w:r w:rsidR="00ED0A96" w:rsidRPr="006921A1">
              <w:rPr>
                <w:rFonts w:ascii="Times New Roman" w:hAnsi="Times New Roman" w:cs="Times New Roman"/>
                <w:b/>
                <w:bCs/>
                <w:sz w:val="22"/>
                <w:szCs w:val="22"/>
              </w:rPr>
              <w:t>trombocitopenija</w:t>
            </w:r>
          </w:p>
        </w:tc>
        <w:tc>
          <w:tcPr>
            <w:tcW w:w="1380" w:type="dxa"/>
          </w:tcPr>
          <w:p w:rsidR="00ED0A96" w:rsidRPr="006921A1" w:rsidRDefault="00ED0A96" w:rsidP="00ED0A96">
            <w:pPr>
              <w:pStyle w:val="Default"/>
              <w:rPr>
                <w:rFonts w:ascii="Times New Roman" w:hAnsi="Times New Roman" w:cs="Times New Roman"/>
                <w:color w:val="auto"/>
                <w:sz w:val="22"/>
                <w:szCs w:val="22"/>
              </w:rPr>
            </w:pPr>
            <w:r w:rsidRPr="006921A1">
              <w:rPr>
                <w:rFonts w:ascii="Times New Roman" w:hAnsi="Times New Roman" w:cs="Times New Roman"/>
                <w:i/>
                <w:iCs/>
                <w:color w:val="auto"/>
                <w:sz w:val="22"/>
                <w:szCs w:val="22"/>
              </w:rPr>
              <w:t xml:space="preserve">Često: </w:t>
            </w:r>
            <w:r w:rsidRPr="006921A1">
              <w:rPr>
                <w:rFonts w:ascii="Times New Roman" w:hAnsi="Times New Roman" w:cs="Times New Roman"/>
                <w:b/>
                <w:bCs/>
                <w:color w:val="auto"/>
                <w:sz w:val="22"/>
                <w:szCs w:val="22"/>
              </w:rPr>
              <w:t>trombocitoza</w:t>
            </w:r>
            <w:r w:rsidRPr="006921A1">
              <w:rPr>
                <w:rFonts w:ascii="Times New Roman" w:hAnsi="Times New Roman" w:cs="Times New Roman"/>
                <w:color w:val="auto"/>
                <w:sz w:val="22"/>
                <w:szCs w:val="22"/>
              </w:rPr>
              <w:t>*</w:t>
            </w:r>
            <w:r w:rsidRPr="006921A1">
              <w:rPr>
                <w:rFonts w:ascii="Times New Roman" w:hAnsi="Times New Roman" w:cs="Times New Roman"/>
                <w:b/>
                <w:bCs/>
                <w:color w:val="auto"/>
                <w:sz w:val="22"/>
                <w:szCs w:val="22"/>
              </w:rPr>
              <w:t xml:space="preserve">, trombocitopenija </w:t>
            </w:r>
          </w:p>
          <w:p w:rsidR="00936B96" w:rsidRPr="006921A1" w:rsidRDefault="00ED0A96" w:rsidP="00ED0A9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hAnsi="Times New Roman" w:cs="Times New Roman"/>
                <w:i/>
                <w:iCs/>
                <w:sz w:val="22"/>
                <w:szCs w:val="22"/>
              </w:rPr>
              <w:t>V</w:t>
            </w:r>
            <w:r w:rsidR="00D63CF4">
              <w:rPr>
                <w:rFonts w:ascii="Times New Roman" w:hAnsi="Times New Roman" w:cs="Times New Roman"/>
                <w:i/>
                <w:iCs/>
                <w:sz w:val="22"/>
                <w:szCs w:val="22"/>
              </w:rPr>
              <w:t>eoma</w:t>
            </w:r>
            <w:r w:rsidRPr="006921A1">
              <w:rPr>
                <w:rFonts w:ascii="Times New Roman" w:hAnsi="Times New Roman" w:cs="Times New Roman"/>
                <w:i/>
                <w:iCs/>
                <w:sz w:val="22"/>
                <w:szCs w:val="22"/>
              </w:rPr>
              <w:t xml:space="preserve"> rijetko: </w:t>
            </w:r>
            <w:r w:rsidRPr="006921A1">
              <w:rPr>
                <w:rFonts w:ascii="Times New Roman" w:hAnsi="Times New Roman" w:cs="Times New Roman"/>
                <w:b/>
                <w:bCs/>
                <w:sz w:val="22"/>
                <w:szCs w:val="22"/>
              </w:rPr>
              <w:t>imunoalergijska trombocitopenija</w:t>
            </w:r>
          </w:p>
        </w:tc>
      </w:tr>
    </w:tbl>
    <w:p w:rsidR="00ED0A96" w:rsidRPr="006921A1" w:rsidRDefault="00ED0A96" w:rsidP="00ED0A96">
      <w:pPr>
        <w:tabs>
          <w:tab w:val="left" w:pos="540"/>
          <w:tab w:val="left" w:pos="569"/>
        </w:tabs>
        <w:rPr>
          <w:rFonts w:ascii="Times New Roman" w:hAnsi="Times New Roman" w:cs="Times New Roman"/>
          <w:b/>
          <w:bCs/>
          <w:sz w:val="22"/>
          <w:szCs w:val="22"/>
        </w:rPr>
      </w:pPr>
    </w:p>
    <w:p w:rsidR="00D63CF4" w:rsidRDefault="00ED0A96" w:rsidP="00B508FF">
      <w:pPr>
        <w:autoSpaceDE w:val="0"/>
        <w:autoSpaceDN w:val="0"/>
        <w:adjustRightInd w:val="0"/>
        <w:spacing w:after="0"/>
        <w:jc w:val="both"/>
        <w:rPr>
          <w:rFonts w:ascii="Times New Roman" w:hAnsi="Times New Roman" w:cs="Times New Roman"/>
          <w:sz w:val="22"/>
          <w:szCs w:val="22"/>
          <w:lang w:val="sr-Latn-RS"/>
        </w:rPr>
      </w:pPr>
      <w:r w:rsidRPr="005A0F56">
        <w:rPr>
          <w:rFonts w:ascii="Times New Roman" w:hAnsi="Times New Roman" w:cs="Times New Roman"/>
          <w:sz w:val="22"/>
          <w:szCs w:val="22"/>
          <w:lang w:val="sr-Latn-RS"/>
        </w:rPr>
        <w:t>* Povećan broj trombocita &gt; 400 g/</w:t>
      </w:r>
      <w:r w:rsidR="00D63CF4">
        <w:rPr>
          <w:rFonts w:ascii="Times New Roman" w:hAnsi="Times New Roman" w:cs="Times New Roman"/>
          <w:sz w:val="22"/>
          <w:szCs w:val="22"/>
          <w:lang w:val="sr-Latn-RS"/>
        </w:rPr>
        <w:t>l</w:t>
      </w:r>
    </w:p>
    <w:p w:rsidR="00CA7F0B" w:rsidRPr="005A0F56" w:rsidRDefault="00CA7F0B" w:rsidP="00B508FF">
      <w:pPr>
        <w:autoSpaceDE w:val="0"/>
        <w:autoSpaceDN w:val="0"/>
        <w:adjustRightInd w:val="0"/>
        <w:spacing w:after="0"/>
        <w:jc w:val="both"/>
        <w:rPr>
          <w:rFonts w:ascii="Times New Roman" w:hAnsi="Times New Roman" w:cs="Times New Roman"/>
          <w:sz w:val="22"/>
          <w:szCs w:val="22"/>
          <w:lang w:val="sr-Latn-RS"/>
        </w:rPr>
      </w:pPr>
    </w:p>
    <w:p w:rsidR="004E70AD" w:rsidRPr="005A0F56" w:rsidRDefault="00CA7F0B" w:rsidP="00B508FF">
      <w:pPr>
        <w:tabs>
          <w:tab w:val="left" w:pos="540"/>
          <w:tab w:val="left" w:pos="569"/>
        </w:tabs>
        <w:spacing w:after="0"/>
        <w:jc w:val="both"/>
        <w:rPr>
          <w:rFonts w:ascii="Times New Roman" w:hAnsi="Times New Roman" w:cs="Times New Roman"/>
          <w:b/>
          <w:bCs/>
          <w:sz w:val="22"/>
          <w:szCs w:val="22"/>
          <w:u w:val="single"/>
        </w:rPr>
      </w:pPr>
      <w:r w:rsidRPr="005A0F56">
        <w:rPr>
          <w:rFonts w:ascii="Times New Roman" w:hAnsi="Times New Roman" w:cs="Times New Roman"/>
          <w:sz w:val="22"/>
          <w:szCs w:val="22"/>
          <w:u w:val="single"/>
          <w:lang w:val="sr-Latn-RS"/>
        </w:rPr>
        <w:t>Pedijatrijska populacija</w:t>
      </w:r>
    </w:p>
    <w:p w:rsidR="00D63CF4" w:rsidRPr="005A0F56" w:rsidRDefault="002B5EDC" w:rsidP="00B508FF">
      <w:pPr>
        <w:tabs>
          <w:tab w:val="left" w:pos="540"/>
          <w:tab w:val="left" w:pos="569"/>
        </w:tabs>
        <w:spacing w:after="0"/>
        <w:jc w:val="both"/>
        <w:rPr>
          <w:rFonts w:ascii="Times New Roman" w:hAnsi="Times New Roman" w:cs="Times New Roman"/>
          <w:sz w:val="22"/>
          <w:szCs w:val="22"/>
          <w:lang w:val="sr-Latn-RS"/>
        </w:rPr>
      </w:pPr>
      <w:r w:rsidRPr="005A0F56">
        <w:rPr>
          <w:rFonts w:ascii="Times New Roman" w:eastAsia="TimesNewRoman" w:hAnsi="Times New Roman" w:cs="Times New Roman"/>
          <w:sz w:val="22"/>
          <w:szCs w:val="22"/>
          <w:lang w:val="sr-Latn-RS"/>
        </w:rPr>
        <w:t>Bezb</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ednost i efikasnost enoksaparin</w:t>
      </w:r>
      <w:r w:rsidR="003C3A0C">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kod d</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ece nije utvrđena (vid</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932BBF" w:rsidRPr="005A0F56">
        <w:rPr>
          <w:rFonts w:ascii="Times New Roman" w:eastAsia="TimesNewRoman" w:hAnsi="Times New Roman" w:cs="Times New Roman"/>
          <w:sz w:val="22"/>
          <w:szCs w:val="22"/>
          <w:lang w:val="sr-Latn-RS"/>
        </w:rPr>
        <w:t>jeljak</w:t>
      </w:r>
      <w:r w:rsidRPr="005A0F56">
        <w:rPr>
          <w:rFonts w:ascii="Times New Roman" w:eastAsia="TimesNewRoman" w:hAnsi="Times New Roman" w:cs="Times New Roman"/>
          <w:sz w:val="22"/>
          <w:szCs w:val="22"/>
          <w:lang w:val="sr-Latn-RS"/>
        </w:rPr>
        <w:t xml:space="preserve"> 4.2).</w:t>
      </w:r>
    </w:p>
    <w:p w:rsidR="00CA7F0B" w:rsidRPr="005A0F56" w:rsidRDefault="00CA7F0B" w:rsidP="00B508FF">
      <w:pPr>
        <w:tabs>
          <w:tab w:val="left" w:pos="540"/>
          <w:tab w:val="left" w:pos="569"/>
        </w:tabs>
        <w:spacing w:after="0"/>
        <w:jc w:val="both"/>
        <w:rPr>
          <w:rFonts w:ascii="Times New Roman" w:hAnsi="Times New Roman" w:cs="Times New Roman"/>
          <w:b/>
          <w:bCs/>
          <w:sz w:val="22"/>
          <w:szCs w:val="22"/>
        </w:rPr>
      </w:pPr>
    </w:p>
    <w:p w:rsidR="005A23D2" w:rsidRPr="005A0F56" w:rsidRDefault="005A23D2" w:rsidP="00B508FF">
      <w:pPr>
        <w:spacing w:after="0" w:line="276" w:lineRule="auto"/>
        <w:jc w:val="both"/>
        <w:rPr>
          <w:rFonts w:ascii="Times New Roman" w:eastAsia="Calibri" w:hAnsi="Times New Roman" w:cs="Times New Roman"/>
          <w:b/>
          <w:sz w:val="22"/>
          <w:szCs w:val="22"/>
          <w:u w:val="single"/>
          <w:lang w:val="sr-Latn-RS"/>
        </w:rPr>
      </w:pPr>
      <w:r w:rsidRPr="005A0F56">
        <w:rPr>
          <w:rFonts w:ascii="Times New Roman" w:eastAsia="Calibri" w:hAnsi="Times New Roman" w:cs="Times New Roman"/>
          <w:b/>
          <w:sz w:val="22"/>
          <w:szCs w:val="22"/>
          <w:u w:val="single"/>
          <w:lang w:val="sr-Latn-RS"/>
        </w:rPr>
        <w:t>Prijavljivanje sumnji na neželjena dejstva</w:t>
      </w:r>
    </w:p>
    <w:p w:rsidR="005A23D2" w:rsidRPr="005A0F56" w:rsidRDefault="005A23D2" w:rsidP="005A0F56">
      <w:pPr>
        <w:spacing w:after="200"/>
        <w:jc w:val="both"/>
        <w:rPr>
          <w:rFonts w:ascii="Times New Roman" w:eastAsia="Calibri" w:hAnsi="Times New Roman" w:cs="Times New Roman"/>
          <w:sz w:val="22"/>
          <w:szCs w:val="22"/>
          <w:lang w:val="sr-Latn-RS"/>
        </w:rPr>
      </w:pPr>
      <w:r w:rsidRPr="005A0F56">
        <w:rPr>
          <w:rFonts w:ascii="Times New Roman" w:eastAsia="Calibri" w:hAnsi="Times New Roman" w:cs="Times New Roman"/>
          <w:sz w:val="22"/>
          <w:szCs w:val="22"/>
          <w:lang w:val="sr-Latn-RS"/>
        </w:rPr>
        <w:t>Prijavljivanje neželjenih dejstava nakon dobijanja dozvole je od velikog značaja jer obezbjeđuje kont</w:t>
      </w:r>
      <w:r w:rsidR="00EA5765" w:rsidRPr="005A0F56">
        <w:rPr>
          <w:rFonts w:ascii="Times New Roman" w:eastAsia="Calibri" w:hAnsi="Times New Roman" w:cs="Times New Roman"/>
          <w:sz w:val="22"/>
          <w:szCs w:val="22"/>
          <w:lang w:val="sr-Latn-RS"/>
        </w:rPr>
        <w:t>inuirano praćenje odnosa korist</w:t>
      </w:r>
      <w:r w:rsidRPr="005A0F56">
        <w:rPr>
          <w:rFonts w:ascii="Times New Roman" w:eastAsia="Calibri" w:hAnsi="Times New Roman" w:cs="Times New Roman"/>
          <w:sz w:val="22"/>
          <w:szCs w:val="22"/>
          <w:lang w:val="sr-Latn-RS"/>
        </w:rPr>
        <w:t>/rizik primjene lijeka. Zdravstveni radnici treba da prijave svaku sumnju na neželjeno</w:t>
      </w:r>
      <w:r w:rsidR="009B062A" w:rsidRPr="005A0F56">
        <w:rPr>
          <w:rFonts w:ascii="Times New Roman" w:eastAsia="Calibri" w:hAnsi="Times New Roman" w:cs="Times New Roman"/>
          <w:sz w:val="22"/>
          <w:szCs w:val="22"/>
          <w:lang w:val="sr-Latn-RS"/>
        </w:rPr>
        <w:t xml:space="preserve"> </w:t>
      </w:r>
      <w:r w:rsidRPr="005A0F56">
        <w:rPr>
          <w:rFonts w:ascii="Times New Roman" w:eastAsia="Calibri" w:hAnsi="Times New Roman" w:cs="Times New Roman"/>
          <w:sz w:val="22"/>
          <w:szCs w:val="22"/>
          <w:lang w:val="sr-Latn-RS"/>
        </w:rPr>
        <w:t xml:space="preserve">dejstvo ovog lijeka </w:t>
      </w:r>
      <w:r w:rsidR="004E70AD" w:rsidRPr="005A0F56">
        <w:rPr>
          <w:rFonts w:ascii="Times New Roman" w:eastAsia="Calibri" w:hAnsi="Times New Roman" w:cs="Times New Roman"/>
          <w:sz w:val="22"/>
          <w:szCs w:val="22"/>
          <w:lang w:val="sr-Latn-RS"/>
        </w:rPr>
        <w:t>Institutu</w:t>
      </w:r>
      <w:r w:rsidRPr="005A0F56">
        <w:rPr>
          <w:rFonts w:ascii="Times New Roman" w:eastAsia="Calibri" w:hAnsi="Times New Roman" w:cs="Times New Roman"/>
          <w:sz w:val="22"/>
          <w:szCs w:val="22"/>
          <w:lang w:val="sr-Latn-RS"/>
        </w:rPr>
        <w:t xml:space="preserve"> za ljekove i medicinska sredstva</w:t>
      </w:r>
      <w:r w:rsidR="004E70AD" w:rsidRPr="005A0F56">
        <w:rPr>
          <w:rFonts w:ascii="Times New Roman" w:eastAsia="Calibri" w:hAnsi="Times New Roman" w:cs="Times New Roman"/>
          <w:sz w:val="22"/>
          <w:szCs w:val="22"/>
          <w:lang w:val="sr-Latn-RS"/>
        </w:rPr>
        <w:t xml:space="preserve"> </w:t>
      </w:r>
      <w:r w:rsidRPr="005A0F56">
        <w:rPr>
          <w:rFonts w:ascii="Times New Roman" w:eastAsia="Calibri" w:hAnsi="Times New Roman" w:cs="Times New Roman"/>
          <w:sz w:val="22"/>
          <w:szCs w:val="22"/>
          <w:lang w:val="sr-Latn-RS"/>
        </w:rPr>
        <w:t>(</w:t>
      </w:r>
      <w:r w:rsidR="004E70AD" w:rsidRPr="005A0F56">
        <w:rPr>
          <w:rFonts w:ascii="Times New Roman" w:eastAsia="Calibri" w:hAnsi="Times New Roman" w:cs="Times New Roman"/>
          <w:sz w:val="22"/>
          <w:szCs w:val="22"/>
          <w:lang w:val="sr-Latn-RS"/>
        </w:rPr>
        <w:t>CInMED</w:t>
      </w:r>
      <w:r w:rsidRPr="005A0F56">
        <w:rPr>
          <w:rFonts w:ascii="Times New Roman" w:eastAsia="Calibri" w:hAnsi="Times New Roman" w:cs="Times New Roman"/>
          <w:sz w:val="22"/>
          <w:szCs w:val="22"/>
          <w:lang w:val="sr-Latn-RS"/>
        </w:rPr>
        <w:t>):</w:t>
      </w:r>
    </w:p>
    <w:p w:rsidR="005A23D2" w:rsidRPr="005A0F56" w:rsidRDefault="004E70AD">
      <w:pPr>
        <w:pStyle w:val="NoSpacing"/>
        <w:jc w:val="both"/>
        <w:rPr>
          <w:rFonts w:ascii="Times New Roman" w:eastAsia="Calibri" w:hAnsi="Times New Roman" w:cs="Times New Roman"/>
          <w:sz w:val="22"/>
          <w:szCs w:val="22"/>
          <w:lang w:val="sr-Latn-RS"/>
        </w:rPr>
      </w:pPr>
      <w:r w:rsidRPr="005A0F56">
        <w:rPr>
          <w:rFonts w:ascii="Times New Roman" w:eastAsia="Calibri" w:hAnsi="Times New Roman" w:cs="Times New Roman"/>
          <w:sz w:val="22"/>
          <w:szCs w:val="22"/>
          <w:lang w:val="sr-Latn-RS"/>
        </w:rPr>
        <w:t xml:space="preserve">Institut </w:t>
      </w:r>
      <w:r w:rsidR="005A23D2" w:rsidRPr="005A0F56">
        <w:rPr>
          <w:rFonts w:ascii="Times New Roman" w:eastAsia="Calibri" w:hAnsi="Times New Roman" w:cs="Times New Roman"/>
          <w:sz w:val="22"/>
          <w:szCs w:val="22"/>
          <w:lang w:val="sr-Latn-RS"/>
        </w:rPr>
        <w:t xml:space="preserve">za ljekove i medicinska sredstva </w:t>
      </w:r>
    </w:p>
    <w:p w:rsidR="005A23D2" w:rsidRPr="005A0F56" w:rsidRDefault="005A23D2">
      <w:pPr>
        <w:pStyle w:val="NoSpacing"/>
        <w:jc w:val="both"/>
        <w:rPr>
          <w:rFonts w:ascii="Times New Roman" w:eastAsia="Calibri" w:hAnsi="Times New Roman" w:cs="Times New Roman"/>
          <w:sz w:val="22"/>
          <w:szCs w:val="22"/>
          <w:lang w:val="sr-Latn-RS"/>
        </w:rPr>
      </w:pPr>
      <w:r w:rsidRPr="005A0F56">
        <w:rPr>
          <w:rFonts w:ascii="Times New Roman" w:eastAsia="Calibri" w:hAnsi="Times New Roman" w:cs="Times New Roman"/>
          <w:sz w:val="22"/>
          <w:szCs w:val="22"/>
          <w:lang w:val="sr-Latn-RS"/>
        </w:rPr>
        <w:t>Odjeljenje za farmakovigilancu</w:t>
      </w:r>
    </w:p>
    <w:p w:rsidR="00EA5765" w:rsidRPr="005A0F56" w:rsidRDefault="005A23D2">
      <w:pPr>
        <w:pStyle w:val="NoSpacing"/>
        <w:jc w:val="both"/>
        <w:rPr>
          <w:rFonts w:ascii="Times New Roman" w:eastAsia="Calibri" w:hAnsi="Times New Roman" w:cs="Times New Roman"/>
          <w:sz w:val="22"/>
          <w:szCs w:val="22"/>
          <w:lang w:val="sr-Latn-RS"/>
        </w:rPr>
      </w:pPr>
      <w:r w:rsidRPr="005A0F56">
        <w:rPr>
          <w:rFonts w:ascii="Times New Roman" w:eastAsia="Calibri" w:hAnsi="Times New Roman" w:cs="Times New Roman"/>
          <w:sz w:val="22"/>
          <w:szCs w:val="22"/>
          <w:lang w:val="sr-Latn-RS"/>
        </w:rPr>
        <w:t>Bulevar Ivana Crnojevića 64a, 81000 Podgorica</w:t>
      </w:r>
    </w:p>
    <w:p w:rsidR="00EA5765" w:rsidRPr="005A0F56" w:rsidRDefault="00EA5765" w:rsidP="00B508FF">
      <w:pPr>
        <w:pStyle w:val="NoSpacing"/>
        <w:jc w:val="both"/>
        <w:rPr>
          <w:rFonts w:ascii="Times New Roman" w:eastAsia="Calibri" w:hAnsi="Times New Roman" w:cs="Times New Roman"/>
          <w:sz w:val="22"/>
          <w:szCs w:val="22"/>
          <w:lang w:val="sr-Latn-RS"/>
        </w:rPr>
      </w:pPr>
    </w:p>
    <w:p w:rsidR="005A23D2" w:rsidRPr="005A0F56" w:rsidRDefault="005A23D2" w:rsidP="005A0F56">
      <w:pPr>
        <w:pStyle w:val="NoSpacing"/>
        <w:jc w:val="both"/>
        <w:rPr>
          <w:rFonts w:ascii="Times New Roman" w:eastAsia="Calibri" w:hAnsi="Times New Roman" w:cs="Times New Roman"/>
          <w:sz w:val="22"/>
          <w:szCs w:val="22"/>
          <w:lang w:val="sr-Latn-RS"/>
        </w:rPr>
      </w:pPr>
      <w:r w:rsidRPr="005A0F56">
        <w:rPr>
          <w:rFonts w:ascii="Times New Roman" w:eastAsia="Calibri" w:hAnsi="Times New Roman" w:cs="Times New Roman"/>
          <w:sz w:val="22"/>
          <w:szCs w:val="22"/>
          <w:lang w:val="sr-Latn-RS"/>
        </w:rPr>
        <w:t>tel: +382 (0) 20 310 280</w:t>
      </w:r>
    </w:p>
    <w:p w:rsidR="00EA5765" w:rsidRPr="005A0F56" w:rsidRDefault="005A23D2">
      <w:pPr>
        <w:pStyle w:val="NoSpacing"/>
        <w:jc w:val="both"/>
        <w:rPr>
          <w:rFonts w:ascii="Times New Roman" w:eastAsia="Calibri" w:hAnsi="Times New Roman" w:cs="Times New Roman"/>
          <w:sz w:val="22"/>
          <w:szCs w:val="22"/>
          <w:lang w:val="sr-Latn-RS"/>
        </w:rPr>
      </w:pPr>
      <w:r w:rsidRPr="005A0F56">
        <w:rPr>
          <w:rFonts w:ascii="Times New Roman" w:eastAsia="Calibri" w:hAnsi="Times New Roman" w:cs="Times New Roman"/>
          <w:sz w:val="22"/>
          <w:szCs w:val="22"/>
          <w:lang w:val="sr-Latn-RS"/>
        </w:rPr>
        <w:t>fax:</w:t>
      </w:r>
      <w:r w:rsidR="00EA5765" w:rsidRPr="005A0F56">
        <w:rPr>
          <w:rFonts w:ascii="Times New Roman" w:eastAsia="Calibri" w:hAnsi="Times New Roman" w:cs="Times New Roman"/>
          <w:sz w:val="22"/>
          <w:szCs w:val="22"/>
          <w:lang w:val="sr-Latn-RS"/>
        </w:rPr>
        <w:t xml:space="preserve"> </w:t>
      </w:r>
      <w:r w:rsidRPr="005A0F56">
        <w:rPr>
          <w:rFonts w:ascii="Times New Roman" w:eastAsia="Calibri" w:hAnsi="Times New Roman" w:cs="Times New Roman"/>
          <w:sz w:val="22"/>
          <w:szCs w:val="22"/>
          <w:lang w:val="sr-Latn-RS"/>
        </w:rPr>
        <w:t>+382 (0) 20 310 581</w:t>
      </w:r>
    </w:p>
    <w:p w:rsidR="005A23D2" w:rsidRPr="005A0F56" w:rsidRDefault="008E62D5">
      <w:pPr>
        <w:pStyle w:val="NoSpacing"/>
        <w:jc w:val="both"/>
        <w:rPr>
          <w:rFonts w:ascii="Times New Roman" w:eastAsia="Calibri" w:hAnsi="Times New Roman" w:cs="Times New Roman"/>
          <w:sz w:val="22"/>
          <w:szCs w:val="22"/>
          <w:lang w:val="sr-Latn-RS"/>
        </w:rPr>
      </w:pPr>
      <w:hyperlink r:id="rId8" w:history="1">
        <w:r w:rsidR="004E70AD" w:rsidRPr="005A0F56">
          <w:rPr>
            <w:rStyle w:val="Hyperlink"/>
            <w:rFonts w:ascii="Times New Roman" w:eastAsia="Calibri" w:hAnsi="Times New Roman" w:cs="Times New Roman"/>
            <w:color w:val="auto"/>
            <w:sz w:val="22"/>
            <w:szCs w:val="22"/>
            <w:lang w:val="sr-Latn-RS"/>
          </w:rPr>
          <w:t>www.cinmed.me</w:t>
        </w:r>
      </w:hyperlink>
    </w:p>
    <w:p w:rsidR="00EA5765" w:rsidRPr="005A0F56" w:rsidRDefault="008E62D5">
      <w:pPr>
        <w:pStyle w:val="NoSpacing"/>
        <w:jc w:val="both"/>
        <w:rPr>
          <w:rFonts w:ascii="Times New Roman" w:eastAsia="Calibri" w:hAnsi="Times New Roman" w:cs="Times New Roman"/>
          <w:sz w:val="22"/>
          <w:szCs w:val="22"/>
          <w:u w:val="single"/>
          <w:lang w:val="sr-Latn-RS"/>
        </w:rPr>
      </w:pPr>
      <w:hyperlink r:id="rId9" w:history="1">
        <w:r w:rsidR="004E70AD" w:rsidRPr="005A0F56">
          <w:rPr>
            <w:rStyle w:val="Hyperlink"/>
            <w:rFonts w:ascii="Times New Roman" w:eastAsia="Calibri" w:hAnsi="Times New Roman" w:cs="Times New Roman"/>
            <w:color w:val="auto"/>
            <w:sz w:val="22"/>
            <w:szCs w:val="22"/>
            <w:lang w:val="sr-Latn-RS"/>
          </w:rPr>
          <w:t>nezeljenadejstva@cinmed.me</w:t>
        </w:r>
      </w:hyperlink>
    </w:p>
    <w:p w:rsidR="005A23D2" w:rsidRPr="005A0F56" w:rsidRDefault="005A23D2" w:rsidP="003C3A0C">
      <w:pPr>
        <w:pStyle w:val="NoSpacing"/>
        <w:jc w:val="both"/>
        <w:rPr>
          <w:rFonts w:ascii="Times New Roman" w:eastAsia="Calibri" w:hAnsi="Times New Roman" w:cs="Times New Roman"/>
          <w:sz w:val="22"/>
          <w:szCs w:val="22"/>
          <w:lang w:val="sr-Latn-RS"/>
        </w:rPr>
      </w:pPr>
      <w:r w:rsidRPr="005A0F56">
        <w:rPr>
          <w:rFonts w:ascii="Times New Roman" w:eastAsia="Calibri" w:hAnsi="Times New Roman" w:cs="Times New Roman"/>
          <w:sz w:val="22"/>
          <w:szCs w:val="22"/>
          <w:lang w:val="sr-Latn-RS"/>
        </w:rPr>
        <w:t>putem IS zdravstvene zaštite</w:t>
      </w:r>
    </w:p>
    <w:p w:rsidR="00836B35" w:rsidRPr="005A0F56" w:rsidRDefault="00836B35" w:rsidP="00B508FF">
      <w:pPr>
        <w:tabs>
          <w:tab w:val="left" w:pos="540"/>
          <w:tab w:val="left" w:pos="569"/>
        </w:tabs>
        <w:spacing w:after="0"/>
        <w:jc w:val="both"/>
        <w:rPr>
          <w:rFonts w:ascii="Times New Roman" w:hAnsi="Times New Roman" w:cs="Times New Roman"/>
          <w:b/>
          <w:bCs/>
          <w:sz w:val="22"/>
          <w:szCs w:val="22"/>
        </w:rPr>
      </w:pPr>
    </w:p>
    <w:p w:rsidR="00CD6F02" w:rsidRDefault="0072020E" w:rsidP="00B508FF">
      <w:pPr>
        <w:tabs>
          <w:tab w:val="left" w:pos="540"/>
          <w:tab w:val="left" w:pos="569"/>
        </w:tabs>
        <w:spacing w:after="0"/>
        <w:jc w:val="both"/>
        <w:rPr>
          <w:rFonts w:ascii="Times New Roman" w:hAnsi="Times New Roman" w:cs="Times New Roman"/>
          <w:b/>
          <w:bCs/>
          <w:sz w:val="22"/>
          <w:szCs w:val="22"/>
        </w:rPr>
      </w:pPr>
      <w:r w:rsidRPr="005A0F56">
        <w:rPr>
          <w:rFonts w:ascii="Times New Roman" w:hAnsi="Times New Roman" w:cs="Times New Roman"/>
          <w:b/>
          <w:bCs/>
          <w:sz w:val="22"/>
          <w:szCs w:val="22"/>
        </w:rPr>
        <w:t xml:space="preserve">4.9.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Predoziranje</w:t>
      </w:r>
      <w:r w:rsidR="002846DB" w:rsidRPr="005A0F56">
        <w:rPr>
          <w:rFonts w:ascii="Times New Roman" w:hAnsi="Times New Roman" w:cs="Times New Roman"/>
          <w:b/>
          <w:bCs/>
          <w:sz w:val="22"/>
          <w:szCs w:val="22"/>
        </w:rPr>
        <w:t xml:space="preserve"> </w:t>
      </w:r>
    </w:p>
    <w:p w:rsidR="000013C5" w:rsidRPr="005A0F56" w:rsidRDefault="000013C5" w:rsidP="00B508FF">
      <w:pPr>
        <w:tabs>
          <w:tab w:val="left" w:pos="540"/>
          <w:tab w:val="left" w:pos="569"/>
        </w:tabs>
        <w:spacing w:after="0"/>
        <w:jc w:val="both"/>
        <w:rPr>
          <w:rFonts w:ascii="Times New Roman" w:hAnsi="Times New Roman" w:cs="Times New Roman"/>
          <w:b/>
          <w:bCs/>
          <w:sz w:val="22"/>
          <w:szCs w:val="22"/>
        </w:rPr>
      </w:pPr>
    </w:p>
    <w:p w:rsidR="002D66B2" w:rsidRPr="005A0F56" w:rsidRDefault="002D66B2" w:rsidP="005A0F56">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Znaci i simptomi</w:t>
      </w:r>
    </w:p>
    <w:p w:rsidR="002D66B2" w:rsidRPr="005A0F56" w:rsidRDefault="002D66B2"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Slučajno predoziranje enoksaparin</w:t>
      </w:r>
      <w:r w:rsidR="000013C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nakon i.v., ekstrakorporalne ili s.c. prim</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može dovesti do pojave komplikacija u vidu krvarenja. Nije izgledno da će se enoksaparin</w:t>
      </w:r>
      <w:r w:rsidR="000013C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resorbovati nakon oralne prim</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čak i ako se prim</w:t>
      </w:r>
      <w:r w:rsidR="000013C5">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ene visoke doze.</w:t>
      </w:r>
    </w:p>
    <w:p w:rsidR="002D66B2" w:rsidRPr="005A0F56" w:rsidRDefault="00ED0A96">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br/>
      </w:r>
      <w:r w:rsidR="002D66B2" w:rsidRPr="005A0F56">
        <w:rPr>
          <w:rFonts w:ascii="Times New Roman" w:eastAsia="TimesNewRoman" w:hAnsi="Times New Roman" w:cs="Times New Roman"/>
          <w:sz w:val="22"/>
          <w:szCs w:val="22"/>
          <w:u w:val="single"/>
          <w:lang w:val="sr-Latn-RS"/>
        </w:rPr>
        <w:t>Terapija</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Antikoagulantna dejstva mogu se u velikoj m</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eri neutralisati sporom i.v. injekcijom protamina. Doza protamina zavisi od ubrizgane doze enoksaparin</w:t>
      </w:r>
      <w:r w:rsidR="000013C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1 mg protamina neutrališe antikoagulantno</w:t>
      </w:r>
    </w:p>
    <w:p w:rsidR="000013C5" w:rsidRPr="005A0F56" w:rsidRDefault="002D66B2" w:rsidP="00B508FF">
      <w:pPr>
        <w:tabs>
          <w:tab w:val="left" w:pos="540"/>
          <w:tab w:val="left" w:pos="569"/>
        </w:tabs>
        <w:spacing w:after="0"/>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dejstvo 100 i.j. (1 mg) enoksaparin</w:t>
      </w:r>
      <w:r w:rsidR="000013C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ako je enoksaparin</w:t>
      </w:r>
      <w:r w:rsidR="000013C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bio prim</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 u prethodnih 8 sati.</w:t>
      </w:r>
      <w:r w:rsidR="00ED0A96"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Infuzija 0,5 mg protamina na 100 i.j. (1 mg) enoksaparin</w:t>
      </w:r>
      <w:r w:rsidR="000013C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može se prim</w:t>
      </w:r>
      <w:r w:rsidR="000013C5">
        <w:rPr>
          <w:rFonts w:ascii="Times New Roman" w:eastAsia="TimesNewRoman" w:hAnsi="Times New Roman" w:cs="Times New Roman"/>
          <w:sz w:val="22"/>
          <w:szCs w:val="22"/>
          <w:lang w:val="sr-Latn-RS"/>
        </w:rPr>
        <w:t>i</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 xml:space="preserve">eniti, ako je </w:t>
      </w:r>
      <w:r w:rsidRPr="005A0F56">
        <w:rPr>
          <w:rFonts w:ascii="Times New Roman" w:eastAsia="TimesNewRoman" w:hAnsi="Times New Roman" w:cs="Times New Roman"/>
          <w:sz w:val="22"/>
          <w:szCs w:val="22"/>
          <w:lang w:val="sr-Latn-RS"/>
        </w:rPr>
        <w:lastRenderedPageBreak/>
        <w:t>enoksaparin</w:t>
      </w:r>
      <w:r w:rsidR="000013C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bio prim</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 duže od 8 sati pr</w:t>
      </w:r>
      <w:r w:rsidR="00014C8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prim</w:t>
      </w:r>
      <w:r w:rsidR="00014C8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protamina, ili ako se utvrdi da je druga doza protamina potrebna. Ako je od injekcije enoksaparin</w:t>
      </w:r>
      <w:r w:rsidR="000013C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prošlo više od 12 sati, prim</w:t>
      </w:r>
      <w:r w:rsidR="00932BBF" w:rsidRPr="005A0F56">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na protamina možda ni neće biti potrebna. Međutim, čak i uz visoke doze protamina, anti-Xa aktivnost enoksaparin</w:t>
      </w:r>
      <w:r w:rsidR="000013C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nikada se u potpunosti ne neutrali</w:t>
      </w:r>
      <w:r w:rsidR="000013C5">
        <w:rPr>
          <w:rFonts w:ascii="Times New Roman" w:eastAsia="TimesNewRoman" w:hAnsi="Times New Roman" w:cs="Times New Roman"/>
          <w:sz w:val="22"/>
          <w:szCs w:val="22"/>
          <w:lang w:val="sr-Latn-RS"/>
        </w:rPr>
        <w:t>še</w:t>
      </w:r>
      <w:r w:rsidRPr="005A0F56">
        <w:rPr>
          <w:rFonts w:ascii="Times New Roman" w:eastAsia="TimesNewRoman" w:hAnsi="Times New Roman" w:cs="Times New Roman"/>
          <w:sz w:val="22"/>
          <w:szCs w:val="22"/>
          <w:lang w:val="sr-Latn-RS"/>
        </w:rPr>
        <w:t xml:space="preserve"> (maksimalno oko 60%) (vid</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informacije o propisivanju protaminskih soli).</w:t>
      </w:r>
    </w:p>
    <w:p w:rsidR="00227BDB" w:rsidRPr="005A0F56" w:rsidRDefault="00227BDB" w:rsidP="00B508FF">
      <w:pPr>
        <w:tabs>
          <w:tab w:val="left" w:pos="540"/>
          <w:tab w:val="left" w:pos="569"/>
        </w:tabs>
        <w:spacing w:after="0"/>
        <w:jc w:val="both"/>
        <w:rPr>
          <w:rFonts w:ascii="Times New Roman" w:hAnsi="Times New Roman" w:cs="Times New Roman"/>
          <w:b/>
          <w:bCs/>
          <w:sz w:val="22"/>
          <w:szCs w:val="22"/>
        </w:rPr>
      </w:pPr>
    </w:p>
    <w:p w:rsidR="0072020E" w:rsidRPr="005A0F56" w:rsidRDefault="0072020E" w:rsidP="00B508FF">
      <w:pPr>
        <w:tabs>
          <w:tab w:val="left" w:pos="540"/>
          <w:tab w:val="left" w:pos="569"/>
        </w:tabs>
        <w:spacing w:after="0"/>
        <w:jc w:val="both"/>
        <w:rPr>
          <w:rFonts w:ascii="Times New Roman" w:hAnsi="Times New Roman" w:cs="Times New Roman"/>
          <w:b/>
          <w:bCs/>
          <w:sz w:val="22"/>
          <w:szCs w:val="22"/>
        </w:rPr>
      </w:pPr>
      <w:r w:rsidRPr="005A0F56">
        <w:rPr>
          <w:rFonts w:ascii="Times New Roman" w:hAnsi="Times New Roman" w:cs="Times New Roman"/>
          <w:b/>
          <w:bCs/>
          <w:sz w:val="22"/>
          <w:szCs w:val="22"/>
        </w:rPr>
        <w:t xml:space="preserve">5.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FARMAKOLOŠK</w:t>
      </w:r>
      <w:r w:rsidR="000D425A" w:rsidRPr="005A0F56">
        <w:rPr>
          <w:rFonts w:ascii="Times New Roman" w:hAnsi="Times New Roman" w:cs="Times New Roman"/>
          <w:b/>
          <w:bCs/>
          <w:sz w:val="22"/>
          <w:szCs w:val="22"/>
        </w:rPr>
        <w:t>I</w:t>
      </w:r>
      <w:r w:rsidRPr="005A0F56">
        <w:rPr>
          <w:rFonts w:ascii="Times New Roman" w:hAnsi="Times New Roman" w:cs="Times New Roman"/>
          <w:b/>
          <w:bCs/>
          <w:sz w:val="22"/>
          <w:szCs w:val="22"/>
        </w:rPr>
        <w:t xml:space="preserve"> PODACI</w:t>
      </w:r>
    </w:p>
    <w:p w:rsidR="0072020E" w:rsidRPr="005A0F56" w:rsidRDefault="0072020E" w:rsidP="00B508FF">
      <w:pPr>
        <w:tabs>
          <w:tab w:val="left" w:pos="540"/>
          <w:tab w:val="left" w:pos="569"/>
        </w:tabs>
        <w:spacing w:after="0"/>
        <w:jc w:val="both"/>
        <w:rPr>
          <w:rFonts w:ascii="Times New Roman" w:hAnsi="Times New Roman" w:cs="Times New Roman"/>
          <w:b/>
          <w:bCs/>
          <w:sz w:val="22"/>
          <w:szCs w:val="22"/>
        </w:rPr>
      </w:pPr>
    </w:p>
    <w:p w:rsidR="0072020E" w:rsidRPr="005A0F56" w:rsidRDefault="0072020E" w:rsidP="00B508FF">
      <w:pPr>
        <w:tabs>
          <w:tab w:val="left" w:pos="540"/>
          <w:tab w:val="left" w:pos="569"/>
        </w:tabs>
        <w:spacing w:after="0"/>
        <w:jc w:val="both"/>
        <w:rPr>
          <w:rFonts w:ascii="Times New Roman" w:hAnsi="Times New Roman" w:cs="Times New Roman"/>
          <w:b/>
          <w:bCs/>
          <w:sz w:val="22"/>
          <w:szCs w:val="22"/>
        </w:rPr>
      </w:pPr>
      <w:r w:rsidRPr="005A0F56">
        <w:rPr>
          <w:rFonts w:ascii="Times New Roman" w:hAnsi="Times New Roman" w:cs="Times New Roman"/>
          <w:b/>
          <w:bCs/>
          <w:sz w:val="22"/>
          <w:szCs w:val="22"/>
        </w:rPr>
        <w:t xml:space="preserve">5.1.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Farmakodinamski podaci</w:t>
      </w:r>
      <w:r w:rsidR="003A7059" w:rsidRPr="005A0F56">
        <w:rPr>
          <w:rFonts w:ascii="Times New Roman" w:hAnsi="Times New Roman" w:cs="Times New Roman"/>
          <w:b/>
          <w:bCs/>
          <w:sz w:val="22"/>
          <w:szCs w:val="22"/>
        </w:rPr>
        <w:t xml:space="preserve"> </w:t>
      </w:r>
    </w:p>
    <w:p w:rsidR="00F45F77" w:rsidRPr="005A0F56" w:rsidRDefault="00F45F77" w:rsidP="00B508FF">
      <w:pPr>
        <w:tabs>
          <w:tab w:val="left" w:pos="540"/>
          <w:tab w:val="left" w:pos="569"/>
        </w:tabs>
        <w:spacing w:after="0"/>
        <w:jc w:val="both"/>
        <w:rPr>
          <w:rFonts w:ascii="Times New Roman" w:hAnsi="Times New Roman" w:cs="Times New Roman"/>
          <w:b/>
          <w:bCs/>
          <w:sz w:val="22"/>
          <w:szCs w:val="22"/>
        </w:rPr>
      </w:pPr>
    </w:p>
    <w:p w:rsidR="000013C5" w:rsidRPr="005A0F56" w:rsidRDefault="002D66B2" w:rsidP="000013C5">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hAnsi="Times New Roman" w:cs="Times New Roman"/>
          <w:b/>
          <w:bCs/>
          <w:sz w:val="22"/>
          <w:szCs w:val="22"/>
          <w:lang w:val="sr-Latn-RS"/>
        </w:rPr>
        <w:t xml:space="preserve">Farmakoterapijska grupa: </w:t>
      </w:r>
      <w:r w:rsidRPr="005A0F56">
        <w:rPr>
          <w:rFonts w:ascii="Times New Roman" w:eastAsia="TimesNewRoman" w:hAnsi="Times New Roman" w:cs="Times New Roman"/>
          <w:sz w:val="22"/>
          <w:szCs w:val="22"/>
          <w:lang w:val="sr-Latn-RS"/>
        </w:rPr>
        <w:t>Antitromboti</w:t>
      </w:r>
      <w:r w:rsidR="000013C5">
        <w:rPr>
          <w:rFonts w:ascii="Times New Roman" w:eastAsia="TimesNewRoman" w:hAnsi="Times New Roman" w:cs="Times New Roman"/>
          <w:sz w:val="22"/>
          <w:szCs w:val="22"/>
          <w:lang w:val="sr-Latn-RS"/>
        </w:rPr>
        <w:t>ci</w:t>
      </w:r>
      <w:r w:rsidRPr="005A0F56">
        <w:rPr>
          <w:rFonts w:ascii="Times New Roman" w:eastAsia="TimesNewRoman" w:hAnsi="Times New Roman" w:cs="Times New Roman"/>
          <w:sz w:val="22"/>
          <w:szCs w:val="22"/>
          <w:lang w:val="sr-Latn-RS"/>
        </w:rPr>
        <w:t>; heparinsk</w:t>
      </w:r>
      <w:r w:rsidR="000013C5">
        <w:rPr>
          <w:rFonts w:ascii="Times New Roman" w:eastAsia="TimesNewRoman" w:hAnsi="Times New Roman" w:cs="Times New Roman"/>
          <w:sz w:val="22"/>
          <w:szCs w:val="22"/>
          <w:lang w:val="sr-Latn-RS"/>
        </w:rPr>
        <w:t>a grupa</w:t>
      </w:r>
    </w:p>
    <w:p w:rsidR="002D66B2" w:rsidRDefault="002D66B2" w:rsidP="000013C5">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hAnsi="Times New Roman" w:cs="Times New Roman"/>
          <w:b/>
          <w:bCs/>
          <w:sz w:val="22"/>
          <w:szCs w:val="22"/>
          <w:lang w:val="sr-Latn-RS"/>
        </w:rPr>
        <w:t xml:space="preserve">ATC šifra: </w:t>
      </w:r>
      <w:r w:rsidRPr="005A0F56">
        <w:rPr>
          <w:rFonts w:ascii="Times New Roman" w:eastAsia="TimesNewRoman" w:hAnsi="Times New Roman" w:cs="Times New Roman"/>
          <w:sz w:val="22"/>
          <w:szCs w:val="22"/>
          <w:lang w:val="sr-Latn-RS"/>
        </w:rPr>
        <w:t>B01AB05</w:t>
      </w:r>
    </w:p>
    <w:p w:rsidR="000013C5" w:rsidRPr="005A0F56" w:rsidRDefault="000013C5" w:rsidP="000013C5">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5A0F56" w:rsidRDefault="000013C5" w:rsidP="000013C5">
      <w:pPr>
        <w:autoSpaceDE w:val="0"/>
        <w:autoSpaceDN w:val="0"/>
        <w:adjustRightInd w:val="0"/>
        <w:spacing w:after="0" w:line="240" w:lineRule="auto"/>
        <w:jc w:val="both"/>
        <w:rPr>
          <w:rFonts w:ascii="Times New Roman" w:eastAsia="TimesNewRoman" w:hAnsi="Times New Roman" w:cs="Times New Roman"/>
          <w:sz w:val="22"/>
          <w:szCs w:val="22"/>
          <w:lang w:val="sr-Latn-RS"/>
        </w:rPr>
      </w:pPr>
      <w:r>
        <w:rPr>
          <w:rFonts w:ascii="Times New Roman" w:eastAsia="TimesNewRoman" w:hAnsi="Times New Roman" w:cs="Times New Roman"/>
          <w:sz w:val="22"/>
          <w:szCs w:val="22"/>
          <w:lang w:val="sr-Latn-RS"/>
        </w:rPr>
        <w:t xml:space="preserve">Lijek </w:t>
      </w:r>
      <w:r w:rsidR="002D66B2" w:rsidRPr="005A0F56">
        <w:rPr>
          <w:rFonts w:ascii="Times New Roman" w:eastAsia="TimesNewRoman" w:hAnsi="Times New Roman" w:cs="Times New Roman"/>
          <w:sz w:val="22"/>
          <w:szCs w:val="22"/>
          <w:lang w:val="sr-Latn-RS"/>
        </w:rPr>
        <w:t>Inhixa je biosimilar. Detaljnije informacije su dostupne na internet stranici Evropske agencije za l</w:t>
      </w:r>
      <w:r w:rsidR="00932BBF" w:rsidRPr="005A0F56">
        <w:rPr>
          <w:rFonts w:ascii="Times New Roman" w:eastAsia="TimesNewRoman" w:hAnsi="Times New Roman" w:cs="Times New Roman"/>
          <w:sz w:val="22"/>
          <w:szCs w:val="22"/>
          <w:lang w:val="sr-Latn-RS"/>
        </w:rPr>
        <w:t>j</w:t>
      </w:r>
      <w:r w:rsidR="002D66B2" w:rsidRPr="005A0F56">
        <w:rPr>
          <w:rFonts w:ascii="Times New Roman" w:eastAsia="TimesNewRoman" w:hAnsi="Times New Roman" w:cs="Times New Roman"/>
          <w:sz w:val="22"/>
          <w:szCs w:val="22"/>
          <w:lang w:val="sr-Latn-RS"/>
        </w:rPr>
        <w:t>ekove</w:t>
      </w:r>
      <w:r w:rsidR="00926ED4">
        <w:rPr>
          <w:rFonts w:ascii="Times New Roman" w:hAnsi="Times New Roman" w:cs="Times New Roman"/>
          <w:sz w:val="22"/>
          <w:szCs w:val="22"/>
        </w:rPr>
        <w:t xml:space="preserve"> </w:t>
      </w:r>
      <w:hyperlink r:id="rId10" w:history="1">
        <w:r w:rsidR="002D66B2" w:rsidRPr="005A0F56">
          <w:rPr>
            <w:rStyle w:val="Hyperlink"/>
            <w:rFonts w:ascii="Times New Roman" w:eastAsia="TimesNewRoman" w:hAnsi="Times New Roman" w:cs="Times New Roman"/>
            <w:color w:val="auto"/>
            <w:sz w:val="22"/>
            <w:szCs w:val="22"/>
            <w:lang w:val="sr-Latn-RS"/>
          </w:rPr>
          <w:t>http://www.ema.europa.eu</w:t>
        </w:r>
      </w:hyperlink>
      <w:r w:rsidR="002D66B2" w:rsidRPr="005A0F56">
        <w:rPr>
          <w:rFonts w:ascii="Times New Roman" w:eastAsia="TimesNewRoman" w:hAnsi="Times New Roman" w:cs="Times New Roman"/>
          <w:sz w:val="22"/>
          <w:szCs w:val="22"/>
          <w:lang w:val="sr-Latn-RS"/>
        </w:rPr>
        <w:t>.</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Farmakodinamska dejstva</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 je niskomolekularni heparin, sa srednjom molekulskom masom od oko 4500 daltona, kod koga su antitrombotička i antikoagulantna aktivnost standardnog heparina razdvojene. Aktivna supstanca je natrijumova so.</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 xml:space="preserve">Kod </w:t>
      </w:r>
      <w:r w:rsidRPr="005A0F56">
        <w:rPr>
          <w:rFonts w:ascii="Times New Roman" w:hAnsi="Times New Roman" w:cs="Times New Roman"/>
          <w:i/>
          <w:iCs/>
          <w:sz w:val="22"/>
          <w:szCs w:val="22"/>
          <w:lang w:val="sr-Latn-RS"/>
        </w:rPr>
        <w:t xml:space="preserve">in vitro </w:t>
      </w:r>
      <w:r w:rsidRPr="005A0F56">
        <w:rPr>
          <w:rFonts w:ascii="Times New Roman" w:eastAsia="TimesNewRoman" w:hAnsi="Times New Roman" w:cs="Times New Roman"/>
          <w:sz w:val="22"/>
          <w:szCs w:val="22"/>
          <w:lang w:val="sr-Latn-RS"/>
        </w:rPr>
        <w:t>prečišćenih sistema, enoksaparin</w:t>
      </w:r>
      <w:r w:rsidR="00926ED4">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 xml:space="preserve">natrijum ima visoku anti-Xa aktivnost (oko 100 i.j./mg) i nisku anti-IIa ili antitrombinsku aktivnost (oko 28 i.j./mg), sa odnosom 3,6. </w:t>
      </w:r>
      <w:r w:rsidR="00926ED4">
        <w:rPr>
          <w:rFonts w:ascii="Times New Roman" w:eastAsia="TimesNewRoman" w:hAnsi="Times New Roman" w:cs="Times New Roman"/>
          <w:sz w:val="22"/>
          <w:szCs w:val="22"/>
          <w:lang w:val="sr-Latn-RS"/>
        </w:rPr>
        <w:t xml:space="preserve">U tim </w:t>
      </w:r>
      <w:r w:rsidRPr="005A0F56">
        <w:rPr>
          <w:rFonts w:ascii="Times New Roman" w:eastAsia="TimesNewRoman" w:hAnsi="Times New Roman" w:cs="Times New Roman"/>
          <w:sz w:val="22"/>
          <w:szCs w:val="22"/>
          <w:lang w:val="sr-Latn-RS"/>
        </w:rPr>
        <w:t>antikoagula</w:t>
      </w:r>
      <w:r w:rsidR="00926ED4">
        <w:rPr>
          <w:rFonts w:ascii="Times New Roman" w:eastAsia="TimesNewRoman" w:hAnsi="Times New Roman" w:cs="Times New Roman"/>
          <w:sz w:val="22"/>
          <w:szCs w:val="22"/>
          <w:lang w:val="sr-Latn-RS"/>
        </w:rPr>
        <w:t>cijskim</w:t>
      </w:r>
      <w:r w:rsidRPr="005A0F56">
        <w:rPr>
          <w:rFonts w:ascii="Times New Roman" w:eastAsia="TimesNewRoman" w:hAnsi="Times New Roman" w:cs="Times New Roman"/>
          <w:sz w:val="22"/>
          <w:szCs w:val="22"/>
          <w:lang w:val="sr-Latn-RS"/>
        </w:rPr>
        <w:t xml:space="preserve"> dejstv</w:t>
      </w:r>
      <w:r w:rsidR="00926ED4">
        <w:rPr>
          <w:rFonts w:ascii="Times New Roman" w:eastAsia="TimesNewRoman" w:hAnsi="Times New Roman" w:cs="Times New Roman"/>
          <w:sz w:val="22"/>
          <w:szCs w:val="22"/>
          <w:lang w:val="sr-Latn-RS"/>
        </w:rPr>
        <w:t>ima</w:t>
      </w:r>
      <w:r w:rsidRPr="005A0F56">
        <w:rPr>
          <w:rFonts w:ascii="Times New Roman" w:eastAsia="TimesNewRoman" w:hAnsi="Times New Roman" w:cs="Times New Roman"/>
          <w:sz w:val="22"/>
          <w:szCs w:val="22"/>
          <w:lang w:val="sr-Latn-RS"/>
        </w:rPr>
        <w:t xml:space="preserve"> </w:t>
      </w:r>
      <w:r w:rsidR="00926ED4">
        <w:rPr>
          <w:rFonts w:ascii="Times New Roman" w:eastAsia="TimesNewRoman" w:hAnsi="Times New Roman" w:cs="Times New Roman"/>
          <w:sz w:val="22"/>
          <w:szCs w:val="22"/>
          <w:lang w:val="sr-Latn-RS"/>
        </w:rPr>
        <w:t>posreduje</w:t>
      </w:r>
      <w:r w:rsidRPr="005A0F56">
        <w:rPr>
          <w:rFonts w:ascii="Times New Roman" w:eastAsia="TimesNewRoman" w:hAnsi="Times New Roman" w:cs="Times New Roman"/>
          <w:sz w:val="22"/>
          <w:szCs w:val="22"/>
          <w:lang w:val="sr-Latn-RS"/>
        </w:rPr>
        <w:t xml:space="preserve"> antitrombin III (ATIII) što dovodi do antitrombotičke aktivnosti kod ljudi.</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Pored anti-Xa/IIa aktivnosti, ustanovljena su dodatna antitrombotička i antiinflamatorna svojstva</w:t>
      </w:r>
      <w:r w:rsidR="00834B8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 xml:space="preserve">enoksaparina kako kod zdravih ispitanika i pacijenata tako i na </w:t>
      </w:r>
      <w:r w:rsidR="00834B85">
        <w:rPr>
          <w:rFonts w:ascii="Times New Roman" w:eastAsia="TimesNewRoman" w:hAnsi="Times New Roman" w:cs="Times New Roman"/>
          <w:sz w:val="22"/>
          <w:szCs w:val="22"/>
          <w:lang w:val="sr-Latn-RS"/>
        </w:rPr>
        <w:t>pret</w:t>
      </w:r>
      <w:r w:rsidRPr="005A0F56">
        <w:rPr>
          <w:rFonts w:ascii="Times New Roman" w:eastAsia="TimesNewRoman" w:hAnsi="Times New Roman" w:cs="Times New Roman"/>
          <w:sz w:val="22"/>
          <w:szCs w:val="22"/>
          <w:lang w:val="sr-Latn-RS"/>
        </w:rPr>
        <w:t xml:space="preserve">kliničkim modelima. Ovo uključuje ATIII zavisnu inhibiciju drugih antikoagulantnih fatkora kao što je faktor VIIa, indukciju oslobađanja endogenog inhibitora </w:t>
      </w:r>
      <w:r w:rsidR="00834B85">
        <w:rPr>
          <w:rFonts w:ascii="Times New Roman" w:eastAsia="TimesNewRoman" w:hAnsi="Times New Roman" w:cs="Times New Roman"/>
          <w:sz w:val="22"/>
          <w:szCs w:val="22"/>
          <w:lang w:val="sr-Latn-RS"/>
        </w:rPr>
        <w:t>puta tkivnog faktora</w:t>
      </w:r>
      <w:r w:rsidRPr="005A0F56">
        <w:rPr>
          <w:rFonts w:ascii="Times New Roman" w:eastAsia="TimesNewRoman" w:hAnsi="Times New Roman" w:cs="Times New Roman"/>
          <w:sz w:val="22"/>
          <w:szCs w:val="22"/>
          <w:lang w:val="sr-Latn-RS"/>
        </w:rPr>
        <w:t xml:space="preserve"> (engl. </w:t>
      </w:r>
      <w:r w:rsidRPr="005A0F56">
        <w:rPr>
          <w:rFonts w:ascii="Times New Roman" w:hAnsi="Times New Roman" w:cs="Times New Roman"/>
          <w:i/>
          <w:iCs/>
          <w:sz w:val="22"/>
          <w:szCs w:val="22"/>
          <w:lang w:val="sr-Latn-RS"/>
        </w:rPr>
        <w:t>Tissue Factor Pathway Inhibitor</w:t>
      </w:r>
      <w:r w:rsidRPr="005A0F56">
        <w:rPr>
          <w:rFonts w:ascii="Times New Roman" w:eastAsia="TimesNewRoman" w:hAnsi="Times New Roman" w:cs="Times New Roman"/>
          <w:sz w:val="22"/>
          <w:szCs w:val="22"/>
          <w:lang w:val="sr-Latn-RS"/>
        </w:rPr>
        <w:t>, TFPI) kao i smanjeno oslobađanje von Willebrand faktora (vWF) iz vaskularnog endotela u cirkulaciju. Poznato je da ovi faktori doprinose ukupnom antitrombotičnom dejstvu enoksaparina.</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Kada se koristi u profilaktičkim dozama, enoksaparin</w:t>
      </w:r>
      <w:r w:rsidR="00834B8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ne utiče značajno na aPTT. Kada se</w:t>
      </w:r>
      <w:r w:rsidR="00834B8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upotrebljava kao terapija, aPTT može biti produženo 1,5 do 2,2 puta u odnosu na kontrolne vr</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ednosti pri maksimalnoj aktivnosti.</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Klinička efikasnost i bezb</w:t>
      </w:r>
      <w:r w:rsidR="00932BBF" w:rsidRPr="005A0F56">
        <w:rPr>
          <w:rFonts w:ascii="Times New Roman" w:eastAsia="TimesNewRoman" w:hAnsi="Times New Roman" w:cs="Times New Roman"/>
          <w:sz w:val="22"/>
          <w:szCs w:val="22"/>
          <w:u w:val="single"/>
          <w:lang w:val="sr-Latn-RS"/>
        </w:rPr>
        <w:t>j</w:t>
      </w:r>
      <w:r w:rsidRPr="005A0F56">
        <w:rPr>
          <w:rFonts w:ascii="Times New Roman" w:eastAsia="TimesNewRoman" w:hAnsi="Times New Roman" w:cs="Times New Roman"/>
          <w:sz w:val="22"/>
          <w:szCs w:val="22"/>
          <w:u w:val="single"/>
          <w:lang w:val="sr-Latn-RS"/>
        </w:rPr>
        <w:t>ednost</w:t>
      </w:r>
    </w:p>
    <w:p w:rsidR="002D66B2" w:rsidRPr="005A0F56" w:rsidRDefault="002D66B2">
      <w:pPr>
        <w:autoSpaceDE w:val="0"/>
        <w:autoSpaceDN w:val="0"/>
        <w:adjustRightInd w:val="0"/>
        <w:spacing w:after="0" w:line="240" w:lineRule="auto"/>
        <w:jc w:val="both"/>
        <w:rPr>
          <w:rFonts w:ascii="Times New Roman" w:hAnsi="Times New Roman" w:cs="Times New Roman"/>
          <w:i/>
          <w:iCs/>
          <w:sz w:val="22"/>
          <w:szCs w:val="22"/>
          <w:lang w:val="sr-Latn-RS"/>
        </w:rPr>
      </w:pPr>
    </w:p>
    <w:p w:rsidR="002D66B2" w:rsidRPr="005A0F56" w:rsidRDefault="002D66B2">
      <w:pPr>
        <w:autoSpaceDE w:val="0"/>
        <w:autoSpaceDN w:val="0"/>
        <w:adjustRightInd w:val="0"/>
        <w:spacing w:after="0" w:line="240" w:lineRule="auto"/>
        <w:jc w:val="both"/>
        <w:rPr>
          <w:rFonts w:ascii="Times New Roman" w:hAnsi="Times New Roman" w:cs="Times New Roman"/>
          <w:i/>
          <w:iCs/>
          <w:sz w:val="22"/>
          <w:szCs w:val="22"/>
          <w:lang w:val="sr-Latn-RS"/>
        </w:rPr>
      </w:pPr>
      <w:r w:rsidRPr="005A0F56">
        <w:rPr>
          <w:rFonts w:ascii="Times New Roman" w:hAnsi="Times New Roman" w:cs="Times New Roman"/>
          <w:i/>
          <w:iCs/>
          <w:sz w:val="22"/>
          <w:szCs w:val="22"/>
          <w:lang w:val="sr-Latn-RS"/>
        </w:rPr>
        <w:t>Prevencija venske tromboembolije povezane sa operacijom</w:t>
      </w:r>
    </w:p>
    <w:p w:rsidR="002D66B2" w:rsidRPr="005A0F56" w:rsidRDefault="00D5766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002D66B2" w:rsidRPr="005A0F56">
        <w:rPr>
          <w:rFonts w:ascii="Times New Roman" w:eastAsia="TimesNewRoman" w:hAnsi="Times New Roman" w:cs="Times New Roman"/>
          <w:sz w:val="22"/>
          <w:szCs w:val="22"/>
          <w:lang w:val="sr-Latn-RS"/>
        </w:rPr>
        <w:t>Produžena profilaksa VTE nakon ortopedskog zahvata</w:t>
      </w:r>
    </w:p>
    <w:p w:rsidR="002D66B2"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 dvostruko sl</w:t>
      </w:r>
      <w:r w:rsidR="00014C8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epom ispitivanju produžene profilakse kod pacijenata podvrgnutih operativnoj zam</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 zgloba kuka, 179 pacijenata bez VTE inicijalno je tretirano sa 4000 i.j. (40 mg) enoksaparin</w:t>
      </w:r>
      <w:r w:rsidR="006834E8">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s.c. za vreme trajanja hospitalizacije. Nakon otpusta su randomizirani u dva režima prim</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 grupa koja je dobila enoksaparin</w:t>
      </w:r>
      <w:r w:rsidR="006834E8">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4000 i.j. (40 mg) s.c. jednom dnevno (n=90) i placebo grupa (n=89) tokom 3 ned</w:t>
      </w:r>
      <w:r w:rsidR="006834E8">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elje. Učestalost pojave DVT tokom produžene profilakse bila je značajno niža u grupi koja je primala enoksaparin</w:t>
      </w:r>
      <w:r w:rsidR="006834E8">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u odnosu na placebo grupu. Nije bilo prijavljenih slučajeva PE, niti pojave ozbiljnih krvarenja.</w:t>
      </w:r>
    </w:p>
    <w:p w:rsidR="00A3722B" w:rsidRDefault="00A3722B">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E8746A" w:rsidRPr="005A0F56" w:rsidRDefault="00E8746A">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6A6968" w:rsidRPr="006921A1" w:rsidRDefault="002D66B2" w:rsidP="008010C0">
      <w:pPr>
        <w:tabs>
          <w:tab w:val="left" w:pos="540"/>
          <w:tab w:val="left" w:pos="569"/>
        </w:tabs>
        <w:jc w:val="both"/>
        <w:rPr>
          <w:rFonts w:ascii="Times New Roman" w:hAnsi="Times New Roman" w:cs="Times New Roman"/>
          <w:sz w:val="22"/>
          <w:szCs w:val="22"/>
          <w:lang w:val="sr-Latn-RS"/>
        </w:rPr>
      </w:pPr>
      <w:r w:rsidRPr="005A0F56">
        <w:rPr>
          <w:rFonts w:ascii="Times New Roman" w:eastAsia="TimesNewRoman" w:hAnsi="Times New Roman" w:cs="Times New Roman"/>
          <w:sz w:val="22"/>
          <w:szCs w:val="22"/>
          <w:lang w:val="sr-Latn-RS"/>
        </w:rPr>
        <w:lastRenderedPageBreak/>
        <w:t>Podaci o efikasnosti navedeni su u tabeli u nastavku.</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797"/>
        <w:gridCol w:w="3118"/>
        <w:gridCol w:w="3119"/>
      </w:tblGrid>
      <w:tr w:rsidR="006921A1" w:rsidRPr="006921A1" w:rsidTr="00864CE5">
        <w:trPr>
          <w:trHeight w:val="218"/>
        </w:trPr>
        <w:tc>
          <w:tcPr>
            <w:tcW w:w="2797" w:type="dxa"/>
            <w:tcBorders>
              <w:top w:val="single" w:sz="4" w:space="0" w:color="auto"/>
              <w:left w:val="single" w:sz="4" w:space="0" w:color="auto"/>
              <w:bottom w:val="single" w:sz="4" w:space="0" w:color="auto"/>
              <w:right w:val="single" w:sz="4" w:space="0" w:color="auto"/>
            </w:tcBorders>
          </w:tcPr>
          <w:p w:rsidR="006A6968" w:rsidRPr="006921A1" w:rsidRDefault="006A6968" w:rsidP="008010C0">
            <w:pPr>
              <w:pStyle w:val="Default"/>
              <w:jc w:val="both"/>
              <w:rPr>
                <w:rFonts w:ascii="Times New Roman" w:hAnsi="Times New Roman" w:cs="Times New Roman"/>
                <w:b/>
                <w:bCs/>
                <w:color w:val="auto"/>
                <w:sz w:val="22"/>
                <w:szCs w:val="22"/>
              </w:rPr>
            </w:pPr>
          </w:p>
        </w:tc>
        <w:tc>
          <w:tcPr>
            <w:tcW w:w="3118" w:type="dxa"/>
            <w:tcBorders>
              <w:top w:val="single" w:sz="4" w:space="0" w:color="auto"/>
              <w:left w:val="single" w:sz="4" w:space="0" w:color="auto"/>
              <w:bottom w:val="single" w:sz="4" w:space="0" w:color="auto"/>
              <w:right w:val="single" w:sz="4" w:space="0" w:color="auto"/>
            </w:tcBorders>
          </w:tcPr>
          <w:p w:rsidR="006A6968" w:rsidRPr="006921A1" w:rsidRDefault="006A6968" w:rsidP="00B508FF">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Enoksaparin</w:t>
            </w:r>
            <w:r w:rsidR="00276E67">
              <w:rPr>
                <w:rFonts w:ascii="Times New Roman" w:hAnsi="Times New Roman" w:cs="Times New Roman"/>
                <w:b/>
                <w:bCs/>
                <w:color w:val="auto"/>
                <w:sz w:val="22"/>
                <w:szCs w:val="22"/>
              </w:rPr>
              <w:t xml:space="preserve"> </w:t>
            </w:r>
            <w:r w:rsidRPr="006921A1">
              <w:rPr>
                <w:rFonts w:ascii="Times New Roman" w:hAnsi="Times New Roman" w:cs="Times New Roman"/>
                <w:b/>
                <w:bCs/>
                <w:color w:val="auto"/>
                <w:sz w:val="22"/>
                <w:szCs w:val="22"/>
              </w:rPr>
              <w:t>natrij</w:t>
            </w:r>
            <w:r w:rsidR="008010C0" w:rsidRPr="006921A1">
              <w:rPr>
                <w:rFonts w:ascii="Times New Roman" w:hAnsi="Times New Roman" w:cs="Times New Roman"/>
                <w:b/>
                <w:bCs/>
                <w:color w:val="auto"/>
                <w:sz w:val="22"/>
                <w:szCs w:val="22"/>
              </w:rPr>
              <w:t>um</w:t>
            </w:r>
            <w:r w:rsidRPr="006921A1">
              <w:rPr>
                <w:rFonts w:ascii="Times New Roman" w:hAnsi="Times New Roman" w:cs="Times New Roman"/>
                <w:b/>
                <w:bCs/>
                <w:color w:val="auto"/>
                <w:sz w:val="22"/>
                <w:szCs w:val="22"/>
              </w:rPr>
              <w:t xml:space="preserve"> 4000 </w:t>
            </w:r>
            <w:r w:rsidR="00157FEA" w:rsidRPr="006921A1">
              <w:rPr>
                <w:rFonts w:ascii="Times New Roman" w:hAnsi="Times New Roman" w:cs="Times New Roman"/>
                <w:b/>
                <w:bCs/>
                <w:color w:val="auto"/>
                <w:sz w:val="22"/>
                <w:szCs w:val="22"/>
              </w:rPr>
              <w:t>I.J.</w:t>
            </w:r>
            <w:r w:rsidRPr="006921A1">
              <w:rPr>
                <w:rFonts w:ascii="Times New Roman" w:hAnsi="Times New Roman" w:cs="Times New Roman"/>
                <w:b/>
                <w:bCs/>
                <w:color w:val="auto"/>
                <w:sz w:val="22"/>
                <w:szCs w:val="22"/>
              </w:rPr>
              <w:t xml:space="preserve"> (40 mg) jed</w:t>
            </w:r>
            <w:r w:rsidR="00276E67">
              <w:rPr>
                <w:rFonts w:ascii="Times New Roman" w:hAnsi="Times New Roman" w:cs="Times New Roman"/>
                <w:b/>
                <w:bCs/>
                <w:color w:val="auto"/>
                <w:sz w:val="22"/>
                <w:szCs w:val="22"/>
              </w:rPr>
              <w:t xml:space="preserve">nom dnevno </w:t>
            </w:r>
            <w:r w:rsidRPr="006921A1">
              <w:rPr>
                <w:rFonts w:ascii="Times New Roman" w:hAnsi="Times New Roman" w:cs="Times New Roman"/>
                <w:b/>
                <w:bCs/>
                <w:color w:val="auto"/>
                <w:sz w:val="22"/>
                <w:szCs w:val="22"/>
              </w:rPr>
              <w:t>supkutano n (%)</w:t>
            </w:r>
          </w:p>
        </w:tc>
        <w:tc>
          <w:tcPr>
            <w:tcW w:w="3119" w:type="dxa"/>
            <w:tcBorders>
              <w:top w:val="single" w:sz="4" w:space="0" w:color="auto"/>
              <w:left w:val="single" w:sz="4" w:space="0" w:color="auto"/>
              <w:bottom w:val="single" w:sz="4" w:space="0" w:color="auto"/>
              <w:right w:val="single" w:sz="4" w:space="0" w:color="auto"/>
            </w:tcBorders>
          </w:tcPr>
          <w:p w:rsidR="006A6968" w:rsidRPr="006921A1" w:rsidRDefault="006A6968" w:rsidP="00B508FF">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Placebo jed</w:t>
            </w:r>
            <w:r w:rsidR="00276E67">
              <w:rPr>
                <w:rFonts w:ascii="Times New Roman" w:hAnsi="Times New Roman" w:cs="Times New Roman"/>
                <w:b/>
                <w:bCs/>
                <w:color w:val="auto"/>
                <w:sz w:val="22"/>
                <w:szCs w:val="22"/>
              </w:rPr>
              <w:t xml:space="preserve">nom dnevno </w:t>
            </w:r>
            <w:r w:rsidRPr="006921A1">
              <w:rPr>
                <w:rFonts w:ascii="Times New Roman" w:hAnsi="Times New Roman" w:cs="Times New Roman"/>
                <w:b/>
                <w:bCs/>
                <w:color w:val="auto"/>
                <w:sz w:val="22"/>
                <w:szCs w:val="22"/>
              </w:rPr>
              <w:t>supkutano n (%)</w:t>
            </w:r>
          </w:p>
        </w:tc>
      </w:tr>
      <w:tr w:rsidR="006921A1" w:rsidRPr="006921A1" w:rsidTr="00864CE5">
        <w:trPr>
          <w:trHeight w:val="218"/>
        </w:trPr>
        <w:tc>
          <w:tcPr>
            <w:tcW w:w="2797" w:type="dxa"/>
            <w:tcBorders>
              <w:top w:val="single" w:sz="4" w:space="0" w:color="auto"/>
              <w:left w:val="single" w:sz="4" w:space="0" w:color="auto"/>
              <w:bottom w:val="single" w:sz="4" w:space="0" w:color="auto"/>
              <w:right w:val="single" w:sz="4" w:space="0" w:color="auto"/>
            </w:tcBorders>
          </w:tcPr>
          <w:p w:rsidR="006A6968" w:rsidRPr="006921A1" w:rsidRDefault="006A6968" w:rsidP="00B508FF">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Svi liječeni </w:t>
            </w:r>
            <w:r w:rsidR="008010C0" w:rsidRPr="006921A1">
              <w:rPr>
                <w:rFonts w:ascii="Times New Roman" w:hAnsi="Times New Roman" w:cs="Times New Roman"/>
                <w:b/>
                <w:bCs/>
                <w:color w:val="auto"/>
                <w:sz w:val="22"/>
                <w:szCs w:val="22"/>
              </w:rPr>
              <w:t>pacijenti</w:t>
            </w:r>
            <w:r w:rsidRPr="006921A1">
              <w:rPr>
                <w:rFonts w:ascii="Times New Roman" w:hAnsi="Times New Roman" w:cs="Times New Roman"/>
                <w:b/>
                <w:bCs/>
                <w:color w:val="auto"/>
                <w:sz w:val="22"/>
                <w:szCs w:val="22"/>
              </w:rPr>
              <w:t xml:space="preserve"> koji su primali produ</w:t>
            </w:r>
            <w:r w:rsidR="008010C0" w:rsidRPr="006921A1">
              <w:rPr>
                <w:rFonts w:ascii="Times New Roman" w:hAnsi="Times New Roman" w:cs="Times New Roman"/>
                <w:b/>
                <w:bCs/>
                <w:color w:val="auto"/>
                <w:sz w:val="22"/>
                <w:szCs w:val="22"/>
              </w:rPr>
              <w:t>ž</w:t>
            </w:r>
            <w:r w:rsidRPr="006921A1">
              <w:rPr>
                <w:rFonts w:ascii="Times New Roman" w:hAnsi="Times New Roman" w:cs="Times New Roman"/>
                <w:b/>
                <w:bCs/>
                <w:color w:val="auto"/>
                <w:sz w:val="22"/>
                <w:szCs w:val="22"/>
              </w:rPr>
              <w:t xml:space="preserve">enu profilaksu </w:t>
            </w:r>
          </w:p>
        </w:tc>
        <w:tc>
          <w:tcPr>
            <w:tcW w:w="3118" w:type="dxa"/>
            <w:tcBorders>
              <w:top w:val="single" w:sz="4" w:space="0" w:color="auto"/>
              <w:left w:val="single" w:sz="4" w:space="0" w:color="auto"/>
              <w:bottom w:val="single" w:sz="4" w:space="0" w:color="auto"/>
              <w:right w:val="single" w:sz="4" w:space="0" w:color="auto"/>
            </w:tcBorders>
          </w:tcPr>
          <w:p w:rsidR="006A6968" w:rsidRPr="006921A1" w:rsidRDefault="006A6968"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90 (100)</w:t>
            </w:r>
          </w:p>
        </w:tc>
        <w:tc>
          <w:tcPr>
            <w:tcW w:w="3119" w:type="dxa"/>
            <w:tcBorders>
              <w:top w:val="single" w:sz="4" w:space="0" w:color="auto"/>
              <w:left w:val="single" w:sz="4" w:space="0" w:color="auto"/>
              <w:bottom w:val="single" w:sz="4" w:space="0" w:color="auto"/>
              <w:right w:val="single" w:sz="4" w:space="0" w:color="auto"/>
            </w:tcBorders>
          </w:tcPr>
          <w:p w:rsidR="006A6968" w:rsidRPr="006921A1" w:rsidRDefault="006A6968"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89 (100)</w:t>
            </w:r>
          </w:p>
        </w:tc>
      </w:tr>
      <w:tr w:rsidR="006921A1" w:rsidRPr="006921A1" w:rsidTr="00864CE5">
        <w:trPr>
          <w:trHeight w:val="97"/>
        </w:trPr>
        <w:tc>
          <w:tcPr>
            <w:tcW w:w="2797" w:type="dxa"/>
            <w:tcBorders>
              <w:top w:val="single" w:sz="4" w:space="0" w:color="auto"/>
              <w:left w:val="single" w:sz="4" w:space="0" w:color="auto"/>
              <w:bottom w:val="single" w:sz="4" w:space="0" w:color="auto"/>
              <w:right w:val="single" w:sz="4" w:space="0" w:color="auto"/>
            </w:tcBorders>
          </w:tcPr>
          <w:p w:rsidR="006A6968" w:rsidRPr="006921A1" w:rsidRDefault="006A6968" w:rsidP="00B508FF">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Ukupni VTE </w:t>
            </w:r>
          </w:p>
        </w:tc>
        <w:tc>
          <w:tcPr>
            <w:tcW w:w="3118" w:type="dxa"/>
            <w:tcBorders>
              <w:top w:val="single" w:sz="4" w:space="0" w:color="auto"/>
              <w:left w:val="single" w:sz="4" w:space="0" w:color="auto"/>
              <w:bottom w:val="single" w:sz="4" w:space="0" w:color="auto"/>
              <w:right w:val="single" w:sz="4" w:space="0" w:color="auto"/>
            </w:tcBorders>
          </w:tcPr>
          <w:p w:rsidR="006A6968" w:rsidRPr="006921A1" w:rsidRDefault="006A6968"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6 (6,6)</w:t>
            </w:r>
          </w:p>
        </w:tc>
        <w:tc>
          <w:tcPr>
            <w:tcW w:w="3119" w:type="dxa"/>
            <w:tcBorders>
              <w:top w:val="single" w:sz="4" w:space="0" w:color="auto"/>
              <w:left w:val="single" w:sz="4" w:space="0" w:color="auto"/>
              <w:bottom w:val="single" w:sz="4" w:space="0" w:color="auto"/>
              <w:right w:val="single" w:sz="4" w:space="0" w:color="auto"/>
            </w:tcBorders>
          </w:tcPr>
          <w:p w:rsidR="006A6968" w:rsidRPr="006921A1" w:rsidRDefault="006A6968"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18 (20,2)</w:t>
            </w:r>
          </w:p>
        </w:tc>
      </w:tr>
      <w:tr w:rsidR="006921A1" w:rsidRPr="006921A1" w:rsidTr="00B508FF">
        <w:trPr>
          <w:trHeight w:val="859"/>
        </w:trPr>
        <w:tc>
          <w:tcPr>
            <w:tcW w:w="2797" w:type="dxa"/>
            <w:tcBorders>
              <w:top w:val="single" w:sz="4" w:space="0" w:color="auto"/>
              <w:left w:val="single" w:sz="4" w:space="0" w:color="auto"/>
              <w:right w:val="single" w:sz="4" w:space="0" w:color="auto"/>
            </w:tcBorders>
          </w:tcPr>
          <w:p w:rsidR="006A6968" w:rsidRPr="006921A1" w:rsidRDefault="006A6968" w:rsidP="00B508FF">
            <w:pPr>
              <w:pStyle w:val="Default"/>
              <w:rPr>
                <w:rFonts w:ascii="Times New Roman" w:hAnsi="Times New Roman" w:cs="Times New Roman"/>
                <w:color w:val="auto"/>
                <w:sz w:val="22"/>
                <w:szCs w:val="22"/>
              </w:rPr>
            </w:pPr>
          </w:p>
          <w:p w:rsidR="006A6968" w:rsidRPr="00276E67" w:rsidRDefault="006A6968" w:rsidP="00B508FF">
            <w:pPr>
              <w:pStyle w:val="Default"/>
              <w:numPr>
                <w:ilvl w:val="0"/>
                <w:numId w:val="20"/>
              </w:numPr>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 Ukupni DVT (%) </w:t>
            </w:r>
          </w:p>
        </w:tc>
        <w:tc>
          <w:tcPr>
            <w:tcW w:w="3118" w:type="dxa"/>
            <w:tcBorders>
              <w:top w:val="single" w:sz="4" w:space="0" w:color="auto"/>
              <w:left w:val="single" w:sz="4" w:space="0" w:color="auto"/>
              <w:right w:val="single" w:sz="4" w:space="0" w:color="auto"/>
            </w:tcBorders>
          </w:tcPr>
          <w:p w:rsidR="00276E67" w:rsidRDefault="00276E67" w:rsidP="00B508FF">
            <w:pPr>
              <w:pStyle w:val="Default"/>
              <w:jc w:val="center"/>
              <w:rPr>
                <w:rFonts w:ascii="Times New Roman" w:hAnsi="Times New Roman" w:cs="Times New Roman"/>
                <w:color w:val="auto"/>
                <w:sz w:val="22"/>
                <w:szCs w:val="22"/>
              </w:rPr>
            </w:pPr>
          </w:p>
          <w:p w:rsidR="006A6968" w:rsidRPr="006921A1" w:rsidRDefault="006A6968"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6 (6,6)*</w:t>
            </w:r>
          </w:p>
        </w:tc>
        <w:tc>
          <w:tcPr>
            <w:tcW w:w="3119" w:type="dxa"/>
            <w:tcBorders>
              <w:top w:val="single" w:sz="4" w:space="0" w:color="auto"/>
              <w:left w:val="single" w:sz="4" w:space="0" w:color="auto"/>
              <w:right w:val="single" w:sz="4" w:space="0" w:color="auto"/>
            </w:tcBorders>
          </w:tcPr>
          <w:p w:rsidR="00276E67" w:rsidRDefault="00276E67" w:rsidP="00B508FF">
            <w:pPr>
              <w:pStyle w:val="Default"/>
              <w:jc w:val="center"/>
              <w:rPr>
                <w:rFonts w:ascii="Times New Roman" w:hAnsi="Times New Roman" w:cs="Times New Roman"/>
                <w:color w:val="auto"/>
                <w:sz w:val="22"/>
                <w:szCs w:val="22"/>
              </w:rPr>
            </w:pPr>
          </w:p>
          <w:p w:rsidR="006A6968" w:rsidRPr="006921A1" w:rsidRDefault="006A6968"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18 (20,2)</w:t>
            </w:r>
          </w:p>
        </w:tc>
      </w:tr>
      <w:tr w:rsidR="006921A1" w:rsidRPr="006921A1" w:rsidTr="00864CE5">
        <w:trPr>
          <w:trHeight w:val="120"/>
        </w:trPr>
        <w:tc>
          <w:tcPr>
            <w:tcW w:w="2797" w:type="dxa"/>
            <w:tcBorders>
              <w:top w:val="single" w:sz="4" w:space="0" w:color="auto"/>
              <w:left w:val="single" w:sz="4" w:space="0" w:color="auto"/>
              <w:bottom w:val="single" w:sz="4" w:space="0" w:color="auto"/>
              <w:right w:val="single" w:sz="4" w:space="0" w:color="auto"/>
            </w:tcBorders>
          </w:tcPr>
          <w:p w:rsidR="006A6968" w:rsidRPr="006921A1" w:rsidRDefault="006A6968" w:rsidP="00B508FF">
            <w:pPr>
              <w:pStyle w:val="Default"/>
              <w:rPr>
                <w:rFonts w:ascii="Times New Roman" w:hAnsi="Times New Roman" w:cs="Times New Roman"/>
                <w:color w:val="auto"/>
                <w:sz w:val="22"/>
                <w:szCs w:val="22"/>
              </w:rPr>
            </w:pPr>
          </w:p>
          <w:p w:rsidR="006A6968" w:rsidRPr="00276E67" w:rsidRDefault="006A6968" w:rsidP="00B508FF">
            <w:pPr>
              <w:pStyle w:val="Default"/>
              <w:numPr>
                <w:ilvl w:val="0"/>
                <w:numId w:val="20"/>
              </w:numPr>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Proksimalni DVT (%) </w:t>
            </w:r>
          </w:p>
        </w:tc>
        <w:tc>
          <w:tcPr>
            <w:tcW w:w="3118" w:type="dxa"/>
            <w:tcBorders>
              <w:top w:val="single" w:sz="4" w:space="0" w:color="auto"/>
              <w:left w:val="single" w:sz="4" w:space="0" w:color="auto"/>
              <w:bottom w:val="single" w:sz="4" w:space="0" w:color="auto"/>
              <w:right w:val="single" w:sz="4" w:space="0" w:color="auto"/>
            </w:tcBorders>
          </w:tcPr>
          <w:p w:rsidR="00276E67" w:rsidRDefault="00276E67" w:rsidP="00B508FF">
            <w:pPr>
              <w:pStyle w:val="Default"/>
              <w:jc w:val="center"/>
              <w:rPr>
                <w:rFonts w:ascii="Times New Roman" w:hAnsi="Times New Roman" w:cs="Times New Roman"/>
                <w:color w:val="auto"/>
                <w:sz w:val="22"/>
                <w:szCs w:val="22"/>
              </w:rPr>
            </w:pPr>
          </w:p>
          <w:p w:rsidR="006A6968" w:rsidRPr="006921A1" w:rsidRDefault="006A6968"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5 (5,6)#</w:t>
            </w:r>
          </w:p>
        </w:tc>
        <w:tc>
          <w:tcPr>
            <w:tcW w:w="3119" w:type="dxa"/>
            <w:tcBorders>
              <w:top w:val="single" w:sz="4" w:space="0" w:color="auto"/>
              <w:left w:val="single" w:sz="4" w:space="0" w:color="auto"/>
              <w:bottom w:val="single" w:sz="4" w:space="0" w:color="auto"/>
              <w:right w:val="single" w:sz="4" w:space="0" w:color="auto"/>
            </w:tcBorders>
          </w:tcPr>
          <w:p w:rsidR="00276E67" w:rsidRDefault="00276E67" w:rsidP="00B508FF">
            <w:pPr>
              <w:pStyle w:val="Default"/>
              <w:jc w:val="center"/>
              <w:rPr>
                <w:rFonts w:ascii="Times New Roman" w:hAnsi="Times New Roman" w:cs="Times New Roman"/>
                <w:color w:val="auto"/>
                <w:sz w:val="22"/>
                <w:szCs w:val="22"/>
              </w:rPr>
            </w:pPr>
          </w:p>
          <w:p w:rsidR="006A6968" w:rsidRPr="006921A1" w:rsidRDefault="006A6968"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7 (8,8)</w:t>
            </w:r>
          </w:p>
        </w:tc>
      </w:tr>
      <w:tr w:rsidR="006921A1" w:rsidRPr="006921A1" w:rsidTr="00864CE5">
        <w:trPr>
          <w:trHeight w:val="212"/>
        </w:trPr>
        <w:tc>
          <w:tcPr>
            <w:tcW w:w="9034" w:type="dxa"/>
            <w:gridSpan w:val="3"/>
            <w:tcBorders>
              <w:top w:val="single" w:sz="4" w:space="0" w:color="auto"/>
              <w:left w:val="single" w:sz="4" w:space="0" w:color="auto"/>
              <w:bottom w:val="single" w:sz="4" w:space="0" w:color="auto"/>
              <w:right w:val="single" w:sz="4" w:space="0" w:color="auto"/>
            </w:tcBorders>
          </w:tcPr>
          <w:p w:rsidR="006A6968" w:rsidRPr="006921A1" w:rsidRDefault="006A6968" w:rsidP="008010C0">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*p-vrijednost naspram placeba = 0,008 </w:t>
            </w:r>
          </w:p>
          <w:p w:rsidR="006A6968" w:rsidRPr="006921A1" w:rsidRDefault="006A6968" w:rsidP="008010C0">
            <w:pPr>
              <w:pStyle w:val="Default"/>
              <w:jc w:val="both"/>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#p-vrijednost naspram placeba = 0,537 </w:t>
            </w:r>
          </w:p>
        </w:tc>
      </w:tr>
    </w:tbl>
    <w:p w:rsidR="006A6968" w:rsidRPr="006921A1" w:rsidRDefault="006A6968" w:rsidP="00B508FF">
      <w:pPr>
        <w:tabs>
          <w:tab w:val="left" w:pos="540"/>
          <w:tab w:val="left" w:pos="569"/>
        </w:tabs>
        <w:spacing w:after="0"/>
        <w:jc w:val="both"/>
        <w:rPr>
          <w:rFonts w:ascii="Times New Roman" w:hAnsi="Times New Roman" w:cs="Times New Roman"/>
          <w:sz w:val="22"/>
          <w:szCs w:val="22"/>
          <w:lang w:val="sr-Latn-RS"/>
        </w:rPr>
      </w:pPr>
    </w:p>
    <w:p w:rsidR="002D66B2" w:rsidRPr="005A0F56" w:rsidRDefault="002D66B2" w:rsidP="00827F73">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 drugom dvostruko sl</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epom ispitivanju, 262 pacijenta bez VTE koji su se podvrgnuli operativnoj zam</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w:t>
      </w:r>
      <w:r w:rsidR="00932BBF"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zgloba kuka je inicijalno tretirano sa 4000 i.j. (40 mg) enoksaparin</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s.c. za vr</w:t>
      </w:r>
      <w:r w:rsidR="00932BBF"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eme hospitalizacije.</w:t>
      </w:r>
    </w:p>
    <w:p w:rsidR="002D66B2"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Nakon otpusta su randomizirani u dva režima prim</w:t>
      </w:r>
      <w:r w:rsidR="00932BBF"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 grupa koja je primala enoksaparin</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4000 i.j. (40 mg) s.c. jednom dnevno (n=131) i placebo grupa (n=131) tokom 3 ned</w:t>
      </w:r>
      <w:r w:rsidR="00C744FE">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elje. Slično kao i u prvom ispitivanju, učestalost pojave VTE tokom produžene profilakse je bila značajno niža u grupi koja je primala enoksaparin</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u odnosu na placebo grupu i to kako za ukupni VTE (enoksaparin</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21 (16%) u odnosu na placebo 45 (34,4&amp;); p=0,01) tako i za proksimalni DVT (enoksaparin</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8 (6,1%) u odnosu na placebo 28 (21,4%); p=&lt;0,001). Nije bilo razlike u pojavi ozbiljnih krvarenja između grupe na enoksaparin</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natrijumu i placebo grupe.</w:t>
      </w:r>
    </w:p>
    <w:p w:rsidR="00827F73" w:rsidRPr="005A0F56" w:rsidRDefault="00827F73">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5A0F56" w:rsidRDefault="00D5766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B508FF">
        <w:rPr>
          <w:rFonts w:ascii="Times New Roman" w:hAnsi="Times New Roman" w:cs="Times New Roman"/>
          <w:sz w:val="22"/>
          <w:szCs w:val="22"/>
        </w:rPr>
        <w:sym w:font="Symbol" w:char="F0B7"/>
      </w:r>
      <w:r w:rsidRPr="00B508FF">
        <w:rPr>
          <w:rFonts w:ascii="Times New Roman" w:hAnsi="Times New Roman" w:cs="Times New Roman"/>
          <w:sz w:val="22"/>
          <w:szCs w:val="22"/>
        </w:rPr>
        <w:t xml:space="preserve">       </w:t>
      </w:r>
      <w:r w:rsidR="002D66B2" w:rsidRPr="005A0F56">
        <w:rPr>
          <w:rFonts w:ascii="Times New Roman" w:eastAsia="TimesNewRoman" w:hAnsi="Times New Roman" w:cs="Times New Roman"/>
          <w:sz w:val="22"/>
          <w:szCs w:val="22"/>
          <w:lang w:val="sr-Latn-RS"/>
        </w:rPr>
        <w:t>Produžena profilaksa DVT nakon operacije maligniteta</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Dvostruko sl</w:t>
      </w:r>
      <w:r w:rsidR="00C744FE">
        <w:rPr>
          <w:rFonts w:ascii="Times New Roman" w:eastAsia="TimesNewRoman" w:hAnsi="Times New Roman" w:cs="Times New Roman"/>
          <w:sz w:val="22"/>
          <w:szCs w:val="22"/>
          <w:lang w:val="sr-Latn-RS"/>
        </w:rPr>
        <w:t>ijep</w:t>
      </w:r>
      <w:r w:rsidRPr="005A0F56">
        <w:rPr>
          <w:rFonts w:ascii="Times New Roman" w:eastAsia="TimesNewRoman" w:hAnsi="Times New Roman" w:cs="Times New Roman"/>
          <w:sz w:val="22"/>
          <w:szCs w:val="22"/>
          <w:lang w:val="sr-Latn-RS"/>
        </w:rPr>
        <w:t>a, multicentrična studija poredila je četvoroned</w:t>
      </w:r>
      <w:r w:rsidR="00C744FE">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eljni naspram jednoned</w:t>
      </w:r>
      <w:r w:rsidR="00C744FE">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eljnog režima</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profilaktičke prim</w:t>
      </w:r>
      <w:r w:rsidR="00C744FE">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enoksaparin</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natirjuma u smislu bezb</w:t>
      </w:r>
      <w:r w:rsidR="00014C8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ednosti i efikasnosti kod 332 pacijenta podvrgnuta elektivnoj operaciji maligniteta u abdomenu ili pelvisu. Pacijenti su dobijali enoksaparin</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(4000 i.j. (40 mg) s.c.) dnevno 6 do 10 dana, a potom su randomizovani na enoksaparin</w:t>
      </w:r>
      <w:r w:rsidR="00C744F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natirjum ili placebo tokom još 21 dana. Bilateralna venografija je sprovedena između 25. i 31. dana, ili ranije ukoliko je došlo do pojave simptoma venske tromboembolije. Pacijenti su bili praćeni tokom tri m</w:t>
      </w:r>
      <w:r w:rsidR="00014C8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eseca. Profilaksa enoksaparin</w:t>
      </w:r>
      <w:r w:rsidR="00B5622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u trajanju od 4 ned</w:t>
      </w:r>
      <w:r w:rsidR="00014C8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elje nakon operacije maligniteta u abdomenu ili pelvisu je značajno smanjila učestalost venografskih demonstriranih tromboza u poređenju sa profilaksom enoksaparin</w:t>
      </w:r>
      <w:r w:rsidR="00B5622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u trajanju od jedne ned</w:t>
      </w:r>
      <w:r w:rsidR="00014C8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elje. Stope venskog tromboembolizma na kraju dvostruko sl</w:t>
      </w:r>
      <w:r w:rsidR="006251D4"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epe faze bile su 12% (n=20) u placebo grupi i 4,8% (n=8) u grupi koja je primala enoksaparin</w:t>
      </w:r>
      <w:r w:rsidR="00B5622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p=0,02. Ova razlika se održala i nakon tri m</w:t>
      </w:r>
      <w:r w:rsidR="006251D4"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eseca (13,8% vs 5,5% (n=23 vs 9), p=0,01). Nije bilo razlike u stopi krvarenja ili drugih komplikacija tokom dvostruko sl</w:t>
      </w:r>
      <w:r w:rsidR="006251D4"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epog perioda i perioda praćenja.</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Profilaksa venske tromboembolije kod akutno obolelih internističkih pacijenata kod kojih se očekivala</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smanjena pokretljivost</w:t>
      </w:r>
    </w:p>
    <w:p w:rsidR="002D66B2" w:rsidRPr="001C5165"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 dvostruko sl</w:t>
      </w:r>
      <w:r w:rsidR="006251D4"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epom, multicentričnom ispitivanju pararelnih grupa, enoksaparin</w:t>
      </w:r>
      <w:r w:rsidR="001C516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u dozi od 200 i.j. (20 mg) ili 4000 i.j. (40 mg) jednom dnevno s.c. je poređen sa placebom u profilaksi DVT kod</w:t>
      </w:r>
      <w:r w:rsidR="001C516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medikamentozno l</w:t>
      </w:r>
      <w:r w:rsidR="006251D4"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 xml:space="preserve">ečenih pacijenata </w:t>
      </w:r>
      <w:r w:rsidRPr="00B5622E">
        <w:rPr>
          <w:rFonts w:ascii="Times New Roman" w:eastAsia="TimesNewRoman" w:hAnsi="Times New Roman" w:cs="Times New Roman"/>
          <w:sz w:val="22"/>
          <w:szCs w:val="22"/>
          <w:lang w:val="sr-Latn-RS"/>
        </w:rPr>
        <w:t>sa značajno smanjenom pokretljivošću tokom akutne bolesti (definisana kao distanca hoda &lt;</w:t>
      </w:r>
      <w:r w:rsidR="001C5165">
        <w:rPr>
          <w:rFonts w:ascii="Times New Roman" w:eastAsia="TimesNewRoman" w:hAnsi="Times New Roman" w:cs="Times New Roman"/>
          <w:sz w:val="22"/>
          <w:szCs w:val="22"/>
          <w:lang w:val="sr-Latn-RS"/>
        </w:rPr>
        <w:t xml:space="preserve"> </w:t>
      </w:r>
      <w:r w:rsidRPr="00B5622E">
        <w:rPr>
          <w:rFonts w:ascii="Times New Roman" w:eastAsia="TimesNewRoman" w:hAnsi="Times New Roman" w:cs="Times New Roman"/>
          <w:sz w:val="22"/>
          <w:szCs w:val="22"/>
          <w:lang w:val="sr-Latn-RS"/>
        </w:rPr>
        <w:t xml:space="preserve">10 metara u toku </w:t>
      </w:r>
      <w:r w:rsidRPr="00B5622E">
        <w:rPr>
          <w:rFonts w:ascii="Times New Roman" w:eastAsia="TimesNewRoman" w:hAnsi="Times New Roman" w:cs="Times New Roman" w:hint="eastAsia"/>
          <w:sz w:val="22"/>
          <w:szCs w:val="22"/>
          <w:lang w:val="sr-Latn-RS"/>
        </w:rPr>
        <w:t>≤</w:t>
      </w:r>
      <w:r w:rsidR="001C5165">
        <w:rPr>
          <w:rFonts w:ascii="Times New Roman" w:eastAsia="TimesNewRoman" w:hAnsi="Times New Roman" w:cs="Times New Roman"/>
          <w:sz w:val="22"/>
          <w:szCs w:val="22"/>
          <w:lang w:val="sr-Latn-RS"/>
        </w:rPr>
        <w:t xml:space="preserve"> </w:t>
      </w:r>
      <w:r w:rsidRPr="00B5622E">
        <w:rPr>
          <w:rFonts w:ascii="Times New Roman" w:eastAsia="TimesNewRoman" w:hAnsi="Times New Roman" w:cs="Times New Roman"/>
          <w:sz w:val="22"/>
          <w:szCs w:val="22"/>
          <w:lang w:val="sr-Latn-RS"/>
        </w:rPr>
        <w:t xml:space="preserve">3 dana). Ovo ispitivanje je uključivalo pacijente sa srčanom insuficijencijom (NYHA klasa III ili IV); akutnom respiratornom insuficijencijom ili komplikovanom hroničnom respiratornom insuficijencijom, i akutnom infekcijom ili akutnim </w:t>
      </w:r>
      <w:r w:rsidRPr="00B5622E">
        <w:rPr>
          <w:rFonts w:ascii="Times New Roman" w:eastAsia="TimesNewRoman" w:hAnsi="Times New Roman" w:cs="Times New Roman"/>
          <w:sz w:val="22"/>
          <w:szCs w:val="22"/>
          <w:lang w:val="sr-Latn-RS"/>
        </w:rPr>
        <w:lastRenderedPageBreak/>
        <w:t>reumatizmom; ukoliko je povezano sa najmanje jednim faktorom rizika za VTE (</w:t>
      </w:r>
      <w:r w:rsidR="001C5165">
        <w:rPr>
          <w:rFonts w:ascii="Times New Roman" w:eastAsia="TimesNewRoman" w:hAnsi="Times New Roman" w:cs="Times New Roman"/>
          <w:sz w:val="22"/>
          <w:szCs w:val="22"/>
          <w:lang w:val="sr-Latn-RS"/>
        </w:rPr>
        <w:t xml:space="preserve"> </w:t>
      </w:r>
      <w:r w:rsidRPr="00B5622E">
        <w:rPr>
          <w:rFonts w:ascii="Times New Roman" w:eastAsia="TimesNewRoman" w:hAnsi="Times New Roman" w:cs="Times New Roman" w:hint="eastAsia"/>
          <w:sz w:val="22"/>
          <w:szCs w:val="22"/>
          <w:lang w:val="sr-Latn-RS"/>
        </w:rPr>
        <w:t>≥</w:t>
      </w:r>
      <w:r w:rsidR="001C5165">
        <w:rPr>
          <w:rFonts w:ascii="Times New Roman" w:eastAsia="TimesNewRoman" w:hAnsi="Times New Roman" w:cs="Times New Roman"/>
          <w:sz w:val="22"/>
          <w:szCs w:val="22"/>
          <w:lang w:val="sr-Latn-RS"/>
        </w:rPr>
        <w:t xml:space="preserve"> </w:t>
      </w:r>
      <w:r w:rsidRPr="00B5622E">
        <w:rPr>
          <w:rFonts w:ascii="Times New Roman" w:eastAsia="TimesNewRoman" w:hAnsi="Times New Roman" w:cs="Times New Roman"/>
          <w:sz w:val="22"/>
          <w:szCs w:val="22"/>
          <w:lang w:val="sr-Latn-RS"/>
        </w:rPr>
        <w:t>75 godina starosti, malignitet,</w:t>
      </w:r>
      <w:r w:rsidRPr="001C5165">
        <w:rPr>
          <w:rFonts w:ascii="Times New Roman" w:eastAsia="TimesNewRoman" w:hAnsi="Times New Roman" w:cs="Times New Roman"/>
          <w:sz w:val="22"/>
          <w:szCs w:val="22"/>
          <w:lang w:val="sr-Latn-RS"/>
        </w:rPr>
        <w:t xml:space="preserve"> prethodna VTE, gojaznost, varikozne vene, hormonska terapija, i hronična srčana ili respiratorna insuficijencija).</w:t>
      </w:r>
    </w:p>
    <w:p w:rsidR="00864CE5"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Ukupno 1102 pacijenata je bilo uključeno u ispitivanje, a 1703 pacijenata je bilo l</w:t>
      </w:r>
      <w:r w:rsidR="006251D4"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ečeno. Terapije se trajala 6 do 14 dana (sre</w:t>
      </w:r>
      <w:r w:rsidR="006251D4" w:rsidRPr="005A0F56">
        <w:rPr>
          <w:rFonts w:ascii="Times New Roman" w:eastAsia="TimesNewRoman" w:hAnsi="Times New Roman" w:cs="Times New Roman"/>
          <w:sz w:val="22"/>
          <w:szCs w:val="22"/>
          <w:lang w:val="sr-Latn-RS"/>
        </w:rPr>
        <w:t>d</w:t>
      </w:r>
      <w:r w:rsidRPr="005A0F56">
        <w:rPr>
          <w:rFonts w:ascii="Times New Roman" w:eastAsia="TimesNewRoman" w:hAnsi="Times New Roman" w:cs="Times New Roman"/>
          <w:sz w:val="22"/>
          <w:szCs w:val="22"/>
          <w:lang w:val="sr-Latn-RS"/>
        </w:rPr>
        <w:t>nja dužina trajanja 7 dana). Kada je prim</w:t>
      </w:r>
      <w:r w:rsidR="006251D4"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enjen u dozi od 4000 i.j. (40 mg) jednom dnevno s.c., enok</w:t>
      </w:r>
      <w:r w:rsidR="006251D4" w:rsidRPr="005A0F56">
        <w:rPr>
          <w:rFonts w:ascii="Times New Roman" w:eastAsia="TimesNewRoman" w:hAnsi="Times New Roman" w:cs="Times New Roman"/>
          <w:sz w:val="22"/>
          <w:szCs w:val="22"/>
          <w:lang w:val="sr-Latn-RS"/>
        </w:rPr>
        <w:t>saparin</w:t>
      </w:r>
      <w:r w:rsidR="001C5165">
        <w:rPr>
          <w:rFonts w:ascii="Times New Roman" w:eastAsia="TimesNewRoman" w:hAnsi="Times New Roman" w:cs="Times New Roman"/>
          <w:sz w:val="22"/>
          <w:szCs w:val="22"/>
          <w:lang w:val="sr-Latn-RS"/>
        </w:rPr>
        <w:t xml:space="preserve"> </w:t>
      </w:r>
      <w:r w:rsidR="006251D4" w:rsidRPr="005A0F56">
        <w:rPr>
          <w:rFonts w:ascii="Times New Roman" w:eastAsia="TimesNewRoman" w:hAnsi="Times New Roman" w:cs="Times New Roman"/>
          <w:sz w:val="22"/>
          <w:szCs w:val="22"/>
          <w:lang w:val="sr-Latn-RS"/>
        </w:rPr>
        <w:t>natrijum je značajno sman</w:t>
      </w:r>
      <w:r w:rsidRPr="005A0F56">
        <w:rPr>
          <w:rFonts w:ascii="Times New Roman" w:eastAsia="TimesNewRoman" w:hAnsi="Times New Roman" w:cs="Times New Roman"/>
          <w:sz w:val="22"/>
          <w:szCs w:val="22"/>
          <w:lang w:val="sr-Latn-RS"/>
        </w:rPr>
        <w:t>aio učestalost pojave VTE u poređenju sa placebom. Podaci o efikasnosti navedeni su u tabeli u nastavku.</w:t>
      </w:r>
    </w:p>
    <w:p w:rsidR="002D66B2" w:rsidRPr="006921A1" w:rsidRDefault="002D66B2" w:rsidP="002D66B2">
      <w:pPr>
        <w:autoSpaceDE w:val="0"/>
        <w:autoSpaceDN w:val="0"/>
        <w:adjustRightInd w:val="0"/>
        <w:spacing w:after="0" w:line="240" w:lineRule="auto"/>
        <w:jc w:val="both"/>
        <w:rPr>
          <w:rFonts w:ascii="Times New Roman" w:hAnsi="Times New Roman" w:cs="Times New Roman"/>
          <w:sz w:val="22"/>
          <w:szCs w:val="22"/>
          <w:lang w:val="sr-Latn-RS"/>
        </w:rPr>
      </w:pPr>
    </w:p>
    <w:tbl>
      <w:tblPr>
        <w:tblW w:w="9216" w:type="dxa"/>
        <w:tblInd w:w="-108" w:type="dxa"/>
        <w:tblBorders>
          <w:top w:val="nil"/>
          <w:left w:val="nil"/>
          <w:bottom w:val="nil"/>
          <w:right w:val="nil"/>
        </w:tblBorders>
        <w:tblLayout w:type="fixed"/>
        <w:tblLook w:val="0000" w:firstRow="0" w:lastRow="0" w:firstColumn="0" w:lastColumn="0" w:noHBand="0" w:noVBand="0"/>
      </w:tblPr>
      <w:tblGrid>
        <w:gridCol w:w="2206"/>
        <w:gridCol w:w="2103"/>
        <w:gridCol w:w="2243"/>
        <w:gridCol w:w="2664"/>
      </w:tblGrid>
      <w:tr w:rsidR="006921A1" w:rsidRPr="006921A1" w:rsidTr="00B508FF">
        <w:trPr>
          <w:trHeight w:val="433"/>
        </w:trPr>
        <w:tc>
          <w:tcPr>
            <w:tcW w:w="2206" w:type="dxa"/>
            <w:tcBorders>
              <w:top w:val="single" w:sz="4" w:space="0" w:color="auto"/>
              <w:left w:val="single" w:sz="4" w:space="0" w:color="auto"/>
              <w:bottom w:val="single" w:sz="4" w:space="0" w:color="auto"/>
              <w:right w:val="single" w:sz="4" w:space="0" w:color="auto"/>
            </w:tcBorders>
          </w:tcPr>
          <w:p w:rsidR="00864CE5" w:rsidRPr="006921A1" w:rsidRDefault="00864CE5">
            <w:pPr>
              <w:pStyle w:val="Default"/>
              <w:rPr>
                <w:rFonts w:ascii="Times New Roman" w:hAnsi="Times New Roman" w:cs="Times New Roman"/>
                <w:b/>
                <w:bCs/>
                <w:color w:val="auto"/>
                <w:sz w:val="22"/>
                <w:szCs w:val="22"/>
              </w:rPr>
            </w:pPr>
          </w:p>
        </w:tc>
        <w:tc>
          <w:tcPr>
            <w:tcW w:w="2103" w:type="dxa"/>
            <w:tcBorders>
              <w:top w:val="single" w:sz="4" w:space="0" w:color="auto"/>
              <w:left w:val="single" w:sz="4" w:space="0" w:color="auto"/>
              <w:bottom w:val="single" w:sz="4" w:space="0" w:color="auto"/>
              <w:right w:val="single" w:sz="4" w:space="0" w:color="auto"/>
            </w:tcBorders>
          </w:tcPr>
          <w:p w:rsidR="00864CE5" w:rsidRPr="006921A1" w:rsidRDefault="00864CE5" w:rsidP="001C5165">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Enoksaparin natr</w:t>
            </w:r>
            <w:r w:rsidR="00157FEA" w:rsidRPr="006921A1">
              <w:rPr>
                <w:rFonts w:ascii="Times New Roman" w:hAnsi="Times New Roman" w:cs="Times New Roman"/>
                <w:b/>
                <w:bCs/>
                <w:color w:val="auto"/>
                <w:sz w:val="22"/>
                <w:szCs w:val="22"/>
              </w:rPr>
              <w:t>ij</w:t>
            </w:r>
            <w:r w:rsidR="001C5165">
              <w:rPr>
                <w:rFonts w:ascii="Times New Roman" w:hAnsi="Times New Roman" w:cs="Times New Roman"/>
                <w:b/>
                <w:bCs/>
                <w:color w:val="auto"/>
                <w:sz w:val="22"/>
                <w:szCs w:val="22"/>
              </w:rPr>
              <w:t>u</w:t>
            </w:r>
            <w:r w:rsidRPr="006921A1">
              <w:rPr>
                <w:rFonts w:ascii="Times New Roman" w:hAnsi="Times New Roman" w:cs="Times New Roman"/>
                <w:b/>
                <w:bCs/>
                <w:color w:val="auto"/>
                <w:sz w:val="22"/>
                <w:szCs w:val="22"/>
              </w:rPr>
              <w:t xml:space="preserve">m 2000 </w:t>
            </w:r>
            <w:r w:rsidR="00FE064B">
              <w:rPr>
                <w:rFonts w:ascii="Times New Roman" w:hAnsi="Times New Roman" w:cs="Times New Roman"/>
                <w:b/>
                <w:bCs/>
                <w:color w:val="auto"/>
                <w:sz w:val="22"/>
                <w:szCs w:val="22"/>
              </w:rPr>
              <w:t>i</w:t>
            </w:r>
            <w:r w:rsidR="00157FEA" w:rsidRPr="006921A1">
              <w:rPr>
                <w:rFonts w:ascii="Times New Roman" w:hAnsi="Times New Roman" w:cs="Times New Roman"/>
                <w:b/>
                <w:bCs/>
                <w:color w:val="auto"/>
                <w:sz w:val="22"/>
                <w:szCs w:val="22"/>
              </w:rPr>
              <w:t>.</w:t>
            </w:r>
            <w:r w:rsidR="00FE064B">
              <w:rPr>
                <w:rFonts w:ascii="Times New Roman" w:hAnsi="Times New Roman" w:cs="Times New Roman"/>
                <w:b/>
                <w:bCs/>
                <w:color w:val="auto"/>
                <w:sz w:val="22"/>
                <w:szCs w:val="22"/>
              </w:rPr>
              <w:t>j</w:t>
            </w:r>
            <w:r w:rsidR="00157FEA" w:rsidRPr="006921A1">
              <w:rPr>
                <w:rFonts w:ascii="Times New Roman" w:hAnsi="Times New Roman" w:cs="Times New Roman"/>
                <w:b/>
                <w:bCs/>
                <w:color w:val="auto"/>
                <w:sz w:val="22"/>
                <w:szCs w:val="22"/>
              </w:rPr>
              <w:t>.</w:t>
            </w:r>
            <w:r w:rsidRPr="006921A1">
              <w:rPr>
                <w:rFonts w:ascii="Times New Roman" w:hAnsi="Times New Roman" w:cs="Times New Roman"/>
                <w:b/>
                <w:bCs/>
                <w:color w:val="auto"/>
                <w:sz w:val="22"/>
                <w:szCs w:val="22"/>
              </w:rPr>
              <w:t xml:space="preserve"> (20 mg) jed</w:t>
            </w:r>
            <w:r w:rsidR="001C5165">
              <w:rPr>
                <w:rFonts w:ascii="Times New Roman" w:hAnsi="Times New Roman" w:cs="Times New Roman"/>
                <w:b/>
                <w:bCs/>
                <w:color w:val="auto"/>
                <w:sz w:val="22"/>
                <w:szCs w:val="22"/>
              </w:rPr>
              <w:t xml:space="preserve">nom </w:t>
            </w:r>
            <w:r w:rsidRPr="006921A1">
              <w:rPr>
                <w:rFonts w:ascii="Times New Roman" w:hAnsi="Times New Roman" w:cs="Times New Roman"/>
                <w:b/>
                <w:bCs/>
                <w:color w:val="auto"/>
                <w:sz w:val="22"/>
                <w:szCs w:val="22"/>
              </w:rPr>
              <w:t>d</w:t>
            </w:r>
            <w:r w:rsidR="001C5165">
              <w:rPr>
                <w:rFonts w:ascii="Times New Roman" w:hAnsi="Times New Roman" w:cs="Times New Roman"/>
                <w:b/>
                <w:bCs/>
                <w:color w:val="auto"/>
                <w:sz w:val="22"/>
                <w:szCs w:val="22"/>
              </w:rPr>
              <w:t>nevno</w:t>
            </w:r>
            <w:r w:rsidRPr="006921A1">
              <w:rPr>
                <w:rFonts w:ascii="Times New Roman" w:hAnsi="Times New Roman" w:cs="Times New Roman"/>
                <w:b/>
                <w:bCs/>
                <w:color w:val="auto"/>
                <w:sz w:val="22"/>
                <w:szCs w:val="22"/>
              </w:rPr>
              <w:t xml:space="preserve"> supkutano n (%)</w:t>
            </w:r>
          </w:p>
        </w:tc>
        <w:tc>
          <w:tcPr>
            <w:tcW w:w="2243" w:type="dxa"/>
            <w:tcBorders>
              <w:top w:val="single" w:sz="4" w:space="0" w:color="auto"/>
              <w:left w:val="single" w:sz="4" w:space="0" w:color="auto"/>
              <w:bottom w:val="single" w:sz="4" w:space="0" w:color="auto"/>
              <w:right w:val="single" w:sz="4" w:space="0" w:color="auto"/>
            </w:tcBorders>
          </w:tcPr>
          <w:p w:rsidR="00864CE5" w:rsidRPr="006921A1" w:rsidRDefault="00864CE5" w:rsidP="001C5165">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Enoksaparin natrijum 4000 </w:t>
            </w:r>
            <w:r w:rsidR="00FE064B">
              <w:rPr>
                <w:rFonts w:ascii="Times New Roman" w:hAnsi="Times New Roman" w:cs="Times New Roman"/>
                <w:b/>
                <w:bCs/>
                <w:color w:val="auto"/>
                <w:sz w:val="22"/>
                <w:szCs w:val="22"/>
              </w:rPr>
              <w:t>i</w:t>
            </w:r>
            <w:r w:rsidR="00157FEA" w:rsidRPr="006921A1">
              <w:rPr>
                <w:rFonts w:ascii="Times New Roman" w:hAnsi="Times New Roman" w:cs="Times New Roman"/>
                <w:b/>
                <w:bCs/>
                <w:color w:val="auto"/>
                <w:sz w:val="22"/>
                <w:szCs w:val="22"/>
              </w:rPr>
              <w:t>.</w:t>
            </w:r>
            <w:r w:rsidR="00FE064B">
              <w:rPr>
                <w:rFonts w:ascii="Times New Roman" w:hAnsi="Times New Roman" w:cs="Times New Roman"/>
                <w:b/>
                <w:bCs/>
                <w:color w:val="auto"/>
                <w:sz w:val="22"/>
                <w:szCs w:val="22"/>
              </w:rPr>
              <w:t>j</w:t>
            </w:r>
            <w:r w:rsidR="00157FEA" w:rsidRPr="006921A1">
              <w:rPr>
                <w:rFonts w:ascii="Times New Roman" w:hAnsi="Times New Roman" w:cs="Times New Roman"/>
                <w:b/>
                <w:bCs/>
                <w:color w:val="auto"/>
                <w:sz w:val="22"/>
                <w:szCs w:val="22"/>
              </w:rPr>
              <w:t>.</w:t>
            </w:r>
            <w:r w:rsidRPr="006921A1">
              <w:rPr>
                <w:rFonts w:ascii="Times New Roman" w:hAnsi="Times New Roman" w:cs="Times New Roman"/>
                <w:b/>
                <w:bCs/>
                <w:color w:val="auto"/>
                <w:sz w:val="22"/>
                <w:szCs w:val="22"/>
              </w:rPr>
              <w:t xml:space="preserve"> (40 mg) jed</w:t>
            </w:r>
            <w:r w:rsidR="001C5165">
              <w:rPr>
                <w:rFonts w:ascii="Times New Roman" w:hAnsi="Times New Roman" w:cs="Times New Roman"/>
                <w:b/>
                <w:bCs/>
                <w:color w:val="auto"/>
                <w:sz w:val="22"/>
                <w:szCs w:val="22"/>
              </w:rPr>
              <w:t xml:space="preserve">nom dnevno </w:t>
            </w:r>
            <w:r w:rsidRPr="006921A1">
              <w:rPr>
                <w:rFonts w:ascii="Times New Roman" w:hAnsi="Times New Roman" w:cs="Times New Roman"/>
                <w:b/>
                <w:bCs/>
                <w:color w:val="auto"/>
                <w:sz w:val="22"/>
                <w:szCs w:val="22"/>
              </w:rPr>
              <w:t>supkutano n (%)</w:t>
            </w:r>
          </w:p>
        </w:tc>
        <w:tc>
          <w:tcPr>
            <w:tcW w:w="2664" w:type="dxa"/>
            <w:tcBorders>
              <w:top w:val="single" w:sz="4" w:space="0" w:color="auto"/>
              <w:left w:val="single" w:sz="4" w:space="0" w:color="auto"/>
              <w:bottom w:val="single" w:sz="4" w:space="0" w:color="auto"/>
              <w:right w:val="single" w:sz="4" w:space="0" w:color="auto"/>
            </w:tcBorders>
          </w:tcPr>
          <w:p w:rsidR="00864CE5" w:rsidRPr="006921A1" w:rsidRDefault="00864CE5">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Placebo n (%)</w:t>
            </w:r>
          </w:p>
        </w:tc>
      </w:tr>
      <w:tr w:rsidR="006921A1" w:rsidRPr="006921A1" w:rsidTr="00B508FF">
        <w:trPr>
          <w:trHeight w:val="433"/>
        </w:trPr>
        <w:tc>
          <w:tcPr>
            <w:tcW w:w="2206" w:type="dxa"/>
            <w:tcBorders>
              <w:top w:val="single" w:sz="4" w:space="0" w:color="auto"/>
              <w:left w:val="single" w:sz="4" w:space="0" w:color="auto"/>
              <w:bottom w:val="single" w:sz="4" w:space="0" w:color="auto"/>
              <w:right w:val="single" w:sz="4" w:space="0" w:color="auto"/>
            </w:tcBorders>
          </w:tcPr>
          <w:p w:rsidR="00864CE5" w:rsidRPr="006921A1" w:rsidRDefault="00864CE5" w:rsidP="00864CE5">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Svi medikamentozno liječeni pacijenti koji su primali terapiju tokom akutne bolesti </w:t>
            </w:r>
          </w:p>
        </w:tc>
        <w:tc>
          <w:tcPr>
            <w:tcW w:w="2103"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287 (100)</w:t>
            </w:r>
          </w:p>
        </w:tc>
        <w:tc>
          <w:tcPr>
            <w:tcW w:w="2243"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291 (100)</w:t>
            </w:r>
          </w:p>
        </w:tc>
        <w:tc>
          <w:tcPr>
            <w:tcW w:w="2664"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288 (100)</w:t>
            </w:r>
          </w:p>
        </w:tc>
      </w:tr>
      <w:tr w:rsidR="006921A1" w:rsidRPr="006921A1" w:rsidTr="00B508FF">
        <w:trPr>
          <w:trHeight w:val="91"/>
        </w:trPr>
        <w:tc>
          <w:tcPr>
            <w:tcW w:w="2206" w:type="dxa"/>
            <w:tcBorders>
              <w:top w:val="single" w:sz="4" w:space="0" w:color="auto"/>
              <w:left w:val="single" w:sz="4" w:space="0" w:color="auto"/>
              <w:bottom w:val="single" w:sz="4" w:space="0" w:color="auto"/>
              <w:right w:val="single" w:sz="4" w:space="0" w:color="auto"/>
            </w:tcBorders>
          </w:tcPr>
          <w:p w:rsidR="00864CE5" w:rsidRPr="006921A1" w:rsidRDefault="00864CE5">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Ukupni VTE (%) </w:t>
            </w:r>
          </w:p>
        </w:tc>
        <w:tc>
          <w:tcPr>
            <w:tcW w:w="2103"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43 (15,0)</w:t>
            </w:r>
          </w:p>
        </w:tc>
        <w:tc>
          <w:tcPr>
            <w:tcW w:w="2243"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16 (5,5)*</w:t>
            </w:r>
          </w:p>
        </w:tc>
        <w:tc>
          <w:tcPr>
            <w:tcW w:w="2664"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43 (14,9)</w:t>
            </w:r>
          </w:p>
        </w:tc>
      </w:tr>
      <w:tr w:rsidR="006921A1" w:rsidRPr="006921A1" w:rsidTr="00B508FF">
        <w:trPr>
          <w:trHeight w:val="105"/>
        </w:trPr>
        <w:tc>
          <w:tcPr>
            <w:tcW w:w="2206" w:type="dxa"/>
            <w:tcBorders>
              <w:top w:val="single" w:sz="4" w:space="0" w:color="auto"/>
              <w:left w:val="single" w:sz="4" w:space="0" w:color="auto"/>
              <w:bottom w:val="single" w:sz="4" w:space="0" w:color="auto"/>
              <w:right w:val="single" w:sz="4" w:space="0" w:color="auto"/>
            </w:tcBorders>
          </w:tcPr>
          <w:p w:rsidR="00864CE5" w:rsidRPr="001C5165" w:rsidRDefault="00864CE5" w:rsidP="00B508FF">
            <w:pPr>
              <w:pStyle w:val="Default"/>
              <w:numPr>
                <w:ilvl w:val="0"/>
                <w:numId w:val="24"/>
              </w:numPr>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 Ukupni DVT (%) </w:t>
            </w:r>
          </w:p>
        </w:tc>
        <w:tc>
          <w:tcPr>
            <w:tcW w:w="2103"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43 (15,0)</w:t>
            </w:r>
          </w:p>
        </w:tc>
        <w:tc>
          <w:tcPr>
            <w:tcW w:w="2243"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16 (5,5)</w:t>
            </w:r>
          </w:p>
        </w:tc>
        <w:tc>
          <w:tcPr>
            <w:tcW w:w="2664"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40 (13,9)</w:t>
            </w:r>
          </w:p>
        </w:tc>
      </w:tr>
      <w:tr w:rsidR="006921A1" w:rsidRPr="006921A1" w:rsidTr="00B508FF">
        <w:trPr>
          <w:trHeight w:val="105"/>
        </w:trPr>
        <w:tc>
          <w:tcPr>
            <w:tcW w:w="2206" w:type="dxa"/>
            <w:tcBorders>
              <w:top w:val="single" w:sz="4" w:space="0" w:color="auto"/>
              <w:left w:val="single" w:sz="4" w:space="0" w:color="auto"/>
              <w:bottom w:val="single" w:sz="4" w:space="0" w:color="auto"/>
              <w:right w:val="single" w:sz="4" w:space="0" w:color="auto"/>
            </w:tcBorders>
          </w:tcPr>
          <w:p w:rsidR="00864CE5" w:rsidRPr="001C5165" w:rsidRDefault="00864CE5" w:rsidP="00B508FF">
            <w:pPr>
              <w:pStyle w:val="Default"/>
              <w:numPr>
                <w:ilvl w:val="0"/>
                <w:numId w:val="25"/>
              </w:numPr>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Proksimalni DVT (%) </w:t>
            </w:r>
          </w:p>
        </w:tc>
        <w:tc>
          <w:tcPr>
            <w:tcW w:w="2103"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13 (4,5)</w:t>
            </w:r>
          </w:p>
        </w:tc>
        <w:tc>
          <w:tcPr>
            <w:tcW w:w="2243"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5 (1,7)</w:t>
            </w:r>
          </w:p>
        </w:tc>
        <w:tc>
          <w:tcPr>
            <w:tcW w:w="2664" w:type="dxa"/>
            <w:tcBorders>
              <w:top w:val="single" w:sz="4" w:space="0" w:color="auto"/>
              <w:left w:val="single" w:sz="4" w:space="0" w:color="auto"/>
              <w:bottom w:val="single" w:sz="4" w:space="0" w:color="auto"/>
              <w:right w:val="single" w:sz="4" w:space="0" w:color="auto"/>
            </w:tcBorders>
          </w:tcPr>
          <w:p w:rsidR="00864CE5" w:rsidRPr="006921A1" w:rsidRDefault="00864CE5"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14 (4,9)</w:t>
            </w:r>
          </w:p>
        </w:tc>
      </w:tr>
      <w:tr w:rsidR="006921A1" w:rsidRPr="006921A1" w:rsidTr="00B508FF">
        <w:trPr>
          <w:trHeight w:val="339"/>
        </w:trPr>
        <w:tc>
          <w:tcPr>
            <w:tcW w:w="9216" w:type="dxa"/>
            <w:gridSpan w:val="4"/>
            <w:tcBorders>
              <w:top w:val="single" w:sz="4" w:space="0" w:color="auto"/>
              <w:left w:val="single" w:sz="4" w:space="0" w:color="auto"/>
              <w:bottom w:val="single" w:sz="4" w:space="0" w:color="auto"/>
              <w:right w:val="single" w:sz="4" w:space="0" w:color="auto"/>
            </w:tcBorders>
          </w:tcPr>
          <w:p w:rsidR="00864CE5" w:rsidRPr="00B508FF" w:rsidRDefault="00864CE5" w:rsidP="00B508FF">
            <w:pPr>
              <w:autoSpaceDE w:val="0"/>
              <w:autoSpaceDN w:val="0"/>
              <w:adjustRightInd w:val="0"/>
              <w:spacing w:after="0" w:line="240" w:lineRule="auto"/>
              <w:jc w:val="both"/>
              <w:rPr>
                <w:rFonts w:ascii="Times New Roman" w:eastAsia="TimesNewRoman" w:hAnsi="Times New Roman" w:cs="Times New Roman"/>
                <w:sz w:val="22"/>
                <w:szCs w:val="22"/>
              </w:rPr>
            </w:pPr>
            <w:r w:rsidRPr="00B508FF">
              <w:rPr>
                <w:rFonts w:ascii="Times New Roman" w:eastAsia="TimesNewRoman" w:hAnsi="Times New Roman" w:cs="Times New Roman"/>
                <w:sz w:val="22"/>
                <w:szCs w:val="22"/>
                <w:lang w:val="sr-Latn-RS"/>
              </w:rPr>
              <w:t>VTE = venski tromboembolijski doga</w:t>
            </w:r>
            <w:r w:rsidR="001C5165" w:rsidRPr="00B508FF">
              <w:rPr>
                <w:rFonts w:ascii="Times New Roman" w:eastAsia="TimesNewRoman" w:hAnsi="Times New Roman" w:cs="Times New Roman"/>
                <w:sz w:val="22"/>
                <w:szCs w:val="22"/>
                <w:lang w:val="sr-Latn-RS"/>
              </w:rPr>
              <w:t>đ</w:t>
            </w:r>
            <w:r w:rsidRPr="00B508FF">
              <w:rPr>
                <w:rFonts w:ascii="Times New Roman" w:eastAsia="TimesNewRoman" w:hAnsi="Times New Roman" w:cs="Times New Roman"/>
                <w:sz w:val="22"/>
                <w:szCs w:val="22"/>
                <w:lang w:val="sr-Latn-RS"/>
              </w:rPr>
              <w:t xml:space="preserve">aji koji su uključivali DVT, PE i smrtne slučajeve za koje se smatralo da im je uzrok tromboembolija </w:t>
            </w:r>
          </w:p>
          <w:p w:rsidR="00864CE5" w:rsidRPr="006921A1" w:rsidRDefault="00864CE5" w:rsidP="00B508FF">
            <w:pPr>
              <w:autoSpaceDE w:val="0"/>
              <w:autoSpaceDN w:val="0"/>
              <w:adjustRightInd w:val="0"/>
              <w:spacing w:after="0" w:line="240" w:lineRule="auto"/>
              <w:jc w:val="both"/>
              <w:rPr>
                <w:rFonts w:ascii="Times New Roman" w:hAnsi="Times New Roman" w:cs="Times New Roman"/>
                <w:sz w:val="22"/>
                <w:szCs w:val="22"/>
              </w:rPr>
            </w:pPr>
            <w:r w:rsidRPr="00B508FF">
              <w:rPr>
                <w:rFonts w:ascii="Times New Roman" w:eastAsia="TimesNewRoman" w:hAnsi="Times New Roman" w:cs="Times New Roman"/>
                <w:sz w:val="22"/>
                <w:szCs w:val="22"/>
                <w:lang w:val="sr-Latn-RS"/>
              </w:rPr>
              <w:t>*p-vrijednost u odnosu na placebo = 0,0002</w:t>
            </w:r>
            <w:r w:rsidRPr="006921A1">
              <w:rPr>
                <w:rFonts w:ascii="Times New Roman" w:hAnsi="Times New Roman" w:cs="Times New Roman"/>
                <w:sz w:val="22"/>
                <w:szCs w:val="22"/>
              </w:rPr>
              <w:t xml:space="preserve"> </w:t>
            </w:r>
          </w:p>
        </w:tc>
      </w:tr>
    </w:tbl>
    <w:p w:rsidR="00D33F3D" w:rsidRPr="006921A1" w:rsidRDefault="00D33F3D" w:rsidP="00B508FF">
      <w:pPr>
        <w:autoSpaceDE w:val="0"/>
        <w:autoSpaceDN w:val="0"/>
        <w:adjustRightInd w:val="0"/>
        <w:spacing w:after="0"/>
        <w:jc w:val="both"/>
        <w:rPr>
          <w:rFonts w:ascii="Times New Roman" w:hAnsi="Times New Roman" w:cs="Times New Roman"/>
          <w:bCs/>
          <w:sz w:val="22"/>
          <w:szCs w:val="22"/>
          <w:lang w:val="sr-Latn-RS"/>
        </w:rPr>
      </w:pPr>
    </w:p>
    <w:p w:rsidR="002D66B2" w:rsidRPr="006921A1" w:rsidRDefault="002D66B2" w:rsidP="00C40FB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Približno 3 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eseca nakon uključenja u ispitivanje, učestalost VTE ostala je značajno niža u grupi na</w:t>
      </w:r>
      <w:r w:rsidR="00C40FB4">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enoksaparin</w:t>
      </w:r>
      <w:r w:rsidR="00C40FB4">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natrijumu 4000 i.j. (40 mg) u odnosu na placebo grupu.</w:t>
      </w:r>
    </w:p>
    <w:p w:rsidR="002D66B2" w:rsidRPr="006921A1" w:rsidRDefault="002D66B2" w:rsidP="00CE3C99">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Pojava svih krvarenja i velikih krvarenja iznosila je 8,6% i 1,1% u placebo grupi, odnosno 11,7% i 0,3% u grupi koja je primala enoksaparin</w:t>
      </w:r>
      <w:r w:rsidR="000C189C">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u dozi od 2000 i.j. (20 mg), odnosno 12,6% i 1,7% u grupi koja je primala enoksaparin</w:t>
      </w:r>
      <w:r w:rsidR="000C189C">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u dozi od 4000 i.j. (40 mg).</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6921A1">
        <w:rPr>
          <w:rFonts w:ascii="Times New Roman" w:eastAsia="TimesNewRoman" w:hAnsi="Times New Roman" w:cs="Times New Roman"/>
          <w:i/>
          <w:iCs/>
          <w:sz w:val="22"/>
          <w:szCs w:val="22"/>
          <w:lang w:val="sr-Latn-RS"/>
        </w:rPr>
        <w:t>Terapija duboke venske tromboze sa ili bez plućne embolije</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U multicentričnom ispitivanju paralelnih grupa, 900 pacijenata sa akutnom DVT sa ili bez plućne embolije bilo je randomizirano na hospitalnu terapiju ili sa (i) enoksaparin</w:t>
      </w:r>
      <w:r w:rsidR="000C189C">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natrijumom u dozi od 150 i.j./kg (1,5 mg/kg) jednom dnevno s.c., (ii) enoksaparin</w:t>
      </w:r>
      <w:r w:rsidR="000C189C">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 xml:space="preserve">natrijumom u dozi od 100 i.j./kg (1 mg/kg) svakih 12 sati s.c., ili (iii) intravenskim bolusom heparina (5000 i.j.) </w:t>
      </w:r>
      <w:r w:rsidR="00CA59F7">
        <w:rPr>
          <w:rFonts w:ascii="Times New Roman" w:eastAsia="TimesNewRoman" w:hAnsi="Times New Roman" w:cs="Times New Roman"/>
          <w:sz w:val="22"/>
          <w:szCs w:val="22"/>
          <w:lang w:val="sr-Latn-RS"/>
        </w:rPr>
        <w:t>nakon čega je uslijedila</w:t>
      </w:r>
      <w:r w:rsidR="00CA59F7"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kontinuiran</w:t>
      </w:r>
      <w:r w:rsidR="00CA59F7">
        <w:rPr>
          <w:rFonts w:ascii="Times New Roman" w:eastAsia="TimesNewRoman" w:hAnsi="Times New Roman" w:cs="Times New Roman"/>
          <w:sz w:val="22"/>
          <w:szCs w:val="22"/>
          <w:lang w:val="sr-Latn-RS"/>
        </w:rPr>
        <w:t>a</w:t>
      </w:r>
      <w:r w:rsidRPr="006921A1">
        <w:rPr>
          <w:rFonts w:ascii="Times New Roman" w:eastAsia="TimesNewRoman" w:hAnsi="Times New Roman" w:cs="Times New Roman"/>
          <w:sz w:val="22"/>
          <w:szCs w:val="22"/>
          <w:lang w:val="sr-Latn-RS"/>
        </w:rPr>
        <w:t xml:space="preserve"> infuzij</w:t>
      </w:r>
      <w:r w:rsidR="00CA59F7">
        <w:rPr>
          <w:rFonts w:ascii="Times New Roman" w:eastAsia="TimesNewRoman" w:hAnsi="Times New Roman" w:cs="Times New Roman"/>
          <w:sz w:val="22"/>
          <w:szCs w:val="22"/>
          <w:lang w:val="sr-Latn-RS"/>
        </w:rPr>
        <w:t>a</w:t>
      </w:r>
      <w:r w:rsidRPr="006921A1">
        <w:rPr>
          <w:rFonts w:ascii="Times New Roman" w:eastAsia="TimesNewRoman" w:hAnsi="Times New Roman" w:cs="Times New Roman"/>
          <w:sz w:val="22"/>
          <w:szCs w:val="22"/>
          <w:lang w:val="sr-Latn-RS"/>
        </w:rPr>
        <w:t xml:space="preserve"> (prim</w:t>
      </w:r>
      <w:r w:rsidR="000C189C">
        <w:rPr>
          <w:rFonts w:ascii="Times New Roman" w:eastAsia="TimesNewRoman" w:hAnsi="Times New Roman" w:cs="Times New Roman"/>
          <w:sz w:val="22"/>
          <w:szCs w:val="22"/>
          <w:lang w:val="sr-Latn-RS"/>
        </w:rPr>
        <w:t>i</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enjen</w:t>
      </w:r>
      <w:r w:rsidR="00CA59F7">
        <w:rPr>
          <w:rFonts w:ascii="Times New Roman" w:eastAsia="TimesNewRoman" w:hAnsi="Times New Roman" w:cs="Times New Roman"/>
          <w:sz w:val="22"/>
          <w:szCs w:val="22"/>
          <w:lang w:val="sr-Latn-RS"/>
        </w:rPr>
        <w:t>a</w:t>
      </w:r>
      <w:r w:rsidRPr="006921A1">
        <w:rPr>
          <w:rFonts w:ascii="Times New Roman" w:eastAsia="TimesNewRoman" w:hAnsi="Times New Roman" w:cs="Times New Roman"/>
          <w:sz w:val="22"/>
          <w:szCs w:val="22"/>
          <w:lang w:val="sr-Latn-RS"/>
        </w:rPr>
        <w:t xml:space="preserve"> da se postigne aPTT od 55 do 85 sekundi). Ukupno 900 pacijenata je bilo randomizirano u ispitivanju i svi pacijenti su primili terapiju. Svi pacijenti su takođe primili varfarin</w:t>
      </w:r>
      <w:r w:rsidR="00CA59F7">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(doza prilagođena prema protrombinskom vremenu da bi se postigao INR od 2,0 do 3,0), započet unutar 72 sata od incijalne prim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ene enoksaparin</w:t>
      </w:r>
      <w:r w:rsidR="00CA59F7">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ili standardne terapije heparinom i nastavljen tokom 90 dana. Enoksaparin</w:t>
      </w:r>
      <w:r w:rsidR="00CA59F7">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ili standardna terapija heparinom je prim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enjivana najmanje 5 dana i do postizanja ciljnog INR za varfarin</w:t>
      </w:r>
      <w:r w:rsidR="00CA59F7">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w:t>
      </w:r>
    </w:p>
    <w:p w:rsidR="00D33F3D"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Oba režima prim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ene enoksaparin</w:t>
      </w:r>
      <w:r w:rsidR="00CA59F7">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bila su ekvivalentna standardnoj terapiji heparinom u</w:t>
      </w:r>
      <w:r w:rsidR="00CA59F7">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smanjenju rizika od rekurentne venske tromboembolije (DVT i/ili PE). Podaci o efikasnosti navedeni su u tabeli u nastavku.</w:t>
      </w:r>
    </w:p>
    <w:p w:rsidR="00A3722B" w:rsidRDefault="00A3722B"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CA59F7" w:rsidRPr="006921A1" w:rsidRDefault="00CA59F7" w:rsidP="002D66B2">
      <w:pPr>
        <w:autoSpaceDE w:val="0"/>
        <w:autoSpaceDN w:val="0"/>
        <w:adjustRightInd w:val="0"/>
        <w:spacing w:after="0" w:line="240" w:lineRule="auto"/>
        <w:jc w:val="both"/>
        <w:rPr>
          <w:rFonts w:ascii="Times New Roman" w:hAnsi="Times New Roman" w:cs="Times New Roman"/>
          <w:sz w:val="22"/>
          <w:szCs w:val="22"/>
          <w:lang w:val="sr-Latn-RS"/>
        </w:rPr>
      </w:pPr>
    </w:p>
    <w:tbl>
      <w:tblPr>
        <w:tblW w:w="9072" w:type="dxa"/>
        <w:tblInd w:w="-5" w:type="dxa"/>
        <w:tblBorders>
          <w:top w:val="nil"/>
          <w:left w:val="nil"/>
          <w:bottom w:val="nil"/>
          <w:right w:val="nil"/>
        </w:tblBorders>
        <w:tblLayout w:type="fixed"/>
        <w:tblLook w:val="0000" w:firstRow="0" w:lastRow="0" w:firstColumn="0" w:lastColumn="0" w:noHBand="0" w:noVBand="0"/>
      </w:tblPr>
      <w:tblGrid>
        <w:gridCol w:w="3261"/>
        <w:gridCol w:w="1842"/>
        <w:gridCol w:w="2127"/>
        <w:gridCol w:w="1842"/>
      </w:tblGrid>
      <w:tr w:rsidR="006921A1" w:rsidRPr="006921A1" w:rsidTr="00B508FF">
        <w:trPr>
          <w:trHeight w:val="322"/>
        </w:trPr>
        <w:tc>
          <w:tcPr>
            <w:tcW w:w="3261" w:type="dxa"/>
            <w:tcBorders>
              <w:top w:val="single" w:sz="4" w:space="0" w:color="auto"/>
              <w:left w:val="single" w:sz="4" w:space="0" w:color="auto"/>
              <w:bottom w:val="single" w:sz="4" w:space="0" w:color="auto"/>
              <w:right w:val="single" w:sz="4" w:space="0" w:color="auto"/>
            </w:tcBorders>
          </w:tcPr>
          <w:p w:rsidR="00D33F3D" w:rsidRPr="006921A1" w:rsidRDefault="00D33F3D" w:rsidP="00D33F3D">
            <w:pPr>
              <w:pStyle w:val="Default"/>
              <w:rPr>
                <w:rFonts w:ascii="Times New Roman" w:hAnsi="Times New Roman" w:cs="Times New Roman"/>
                <w:b/>
                <w:bCs/>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CE3C99">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Enoksaparin natrijum 150 </w:t>
            </w:r>
            <w:r w:rsidR="00CE3C99">
              <w:rPr>
                <w:rFonts w:ascii="Times New Roman" w:hAnsi="Times New Roman" w:cs="Times New Roman"/>
                <w:b/>
                <w:bCs/>
                <w:color w:val="auto"/>
                <w:sz w:val="22"/>
                <w:szCs w:val="22"/>
              </w:rPr>
              <w:t>i</w:t>
            </w:r>
            <w:r w:rsidR="00157FEA" w:rsidRPr="006921A1">
              <w:rPr>
                <w:rFonts w:ascii="Times New Roman" w:hAnsi="Times New Roman" w:cs="Times New Roman"/>
                <w:b/>
                <w:bCs/>
                <w:color w:val="auto"/>
                <w:sz w:val="22"/>
                <w:szCs w:val="22"/>
              </w:rPr>
              <w:t>.</w:t>
            </w:r>
            <w:r w:rsidR="00CE3C99">
              <w:rPr>
                <w:rFonts w:ascii="Times New Roman" w:hAnsi="Times New Roman" w:cs="Times New Roman"/>
                <w:b/>
                <w:bCs/>
                <w:color w:val="auto"/>
                <w:sz w:val="22"/>
                <w:szCs w:val="22"/>
              </w:rPr>
              <w:t>j</w:t>
            </w:r>
            <w:r w:rsidR="00157FEA" w:rsidRPr="006921A1">
              <w:rPr>
                <w:rFonts w:ascii="Times New Roman" w:hAnsi="Times New Roman" w:cs="Times New Roman"/>
                <w:b/>
                <w:bCs/>
                <w:color w:val="auto"/>
                <w:sz w:val="22"/>
                <w:szCs w:val="22"/>
              </w:rPr>
              <w:t>.</w:t>
            </w:r>
            <w:r w:rsidRPr="006921A1">
              <w:rPr>
                <w:rFonts w:ascii="Times New Roman" w:hAnsi="Times New Roman" w:cs="Times New Roman"/>
                <w:b/>
                <w:bCs/>
                <w:color w:val="auto"/>
                <w:sz w:val="22"/>
                <w:szCs w:val="22"/>
              </w:rPr>
              <w:t>/kg (1,5 mg/kg) jed</w:t>
            </w:r>
            <w:r w:rsidR="00CE3C99">
              <w:rPr>
                <w:rFonts w:ascii="Times New Roman" w:hAnsi="Times New Roman" w:cs="Times New Roman"/>
                <w:b/>
                <w:bCs/>
                <w:color w:val="auto"/>
                <w:sz w:val="22"/>
                <w:szCs w:val="22"/>
              </w:rPr>
              <w:t xml:space="preserve">nom dnevno </w:t>
            </w:r>
            <w:r w:rsidRPr="006921A1">
              <w:rPr>
                <w:rFonts w:ascii="Times New Roman" w:hAnsi="Times New Roman" w:cs="Times New Roman"/>
                <w:b/>
                <w:bCs/>
                <w:color w:val="auto"/>
                <w:sz w:val="22"/>
                <w:szCs w:val="22"/>
              </w:rPr>
              <w:t xml:space="preserve">supkutano n (%) </w:t>
            </w:r>
          </w:p>
        </w:tc>
        <w:tc>
          <w:tcPr>
            <w:tcW w:w="2127" w:type="dxa"/>
            <w:tcBorders>
              <w:top w:val="single" w:sz="4" w:space="0" w:color="auto"/>
              <w:left w:val="single" w:sz="4" w:space="0" w:color="auto"/>
              <w:bottom w:val="single" w:sz="4" w:space="0" w:color="auto"/>
              <w:right w:val="single" w:sz="4" w:space="0" w:color="auto"/>
            </w:tcBorders>
          </w:tcPr>
          <w:p w:rsidR="00D33F3D" w:rsidRPr="006921A1" w:rsidRDefault="00D33F3D" w:rsidP="00CE3C99">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Enoksaparin natrijum 100 </w:t>
            </w:r>
            <w:r w:rsidR="00CE3C99">
              <w:rPr>
                <w:rFonts w:ascii="Times New Roman" w:hAnsi="Times New Roman" w:cs="Times New Roman"/>
                <w:b/>
                <w:bCs/>
                <w:color w:val="auto"/>
                <w:sz w:val="22"/>
                <w:szCs w:val="22"/>
              </w:rPr>
              <w:t>i</w:t>
            </w:r>
            <w:r w:rsidR="00157FEA" w:rsidRPr="006921A1">
              <w:rPr>
                <w:rFonts w:ascii="Times New Roman" w:hAnsi="Times New Roman" w:cs="Times New Roman"/>
                <w:b/>
                <w:bCs/>
                <w:color w:val="auto"/>
                <w:sz w:val="22"/>
                <w:szCs w:val="22"/>
              </w:rPr>
              <w:t>.</w:t>
            </w:r>
            <w:r w:rsidR="00CE3C99">
              <w:rPr>
                <w:rFonts w:ascii="Times New Roman" w:hAnsi="Times New Roman" w:cs="Times New Roman"/>
                <w:b/>
                <w:bCs/>
                <w:color w:val="auto"/>
                <w:sz w:val="22"/>
                <w:szCs w:val="22"/>
              </w:rPr>
              <w:t>j</w:t>
            </w:r>
            <w:r w:rsidR="00157FEA" w:rsidRPr="006921A1">
              <w:rPr>
                <w:rFonts w:ascii="Times New Roman" w:hAnsi="Times New Roman" w:cs="Times New Roman"/>
                <w:b/>
                <w:bCs/>
                <w:color w:val="auto"/>
                <w:sz w:val="22"/>
                <w:szCs w:val="22"/>
              </w:rPr>
              <w:t>.</w:t>
            </w:r>
            <w:r w:rsidRPr="006921A1">
              <w:rPr>
                <w:rFonts w:ascii="Times New Roman" w:hAnsi="Times New Roman" w:cs="Times New Roman"/>
                <w:b/>
                <w:bCs/>
                <w:color w:val="auto"/>
                <w:sz w:val="22"/>
                <w:szCs w:val="22"/>
              </w:rPr>
              <w:t>/kg (1 mg/kg) dva</w:t>
            </w:r>
            <w:r w:rsidR="00CE3C99">
              <w:rPr>
                <w:rFonts w:ascii="Times New Roman" w:hAnsi="Times New Roman" w:cs="Times New Roman"/>
                <w:b/>
                <w:bCs/>
                <w:color w:val="auto"/>
                <w:sz w:val="22"/>
                <w:szCs w:val="22"/>
              </w:rPr>
              <w:t xml:space="preserve"> </w:t>
            </w:r>
            <w:r w:rsidRPr="006921A1">
              <w:rPr>
                <w:rFonts w:ascii="Times New Roman" w:hAnsi="Times New Roman" w:cs="Times New Roman"/>
                <w:b/>
                <w:bCs/>
                <w:color w:val="auto"/>
                <w:sz w:val="22"/>
                <w:szCs w:val="22"/>
              </w:rPr>
              <w:t>put</w:t>
            </w:r>
            <w:r w:rsidR="00CE3C99">
              <w:rPr>
                <w:rFonts w:ascii="Times New Roman" w:hAnsi="Times New Roman" w:cs="Times New Roman"/>
                <w:b/>
                <w:bCs/>
                <w:color w:val="auto"/>
                <w:sz w:val="22"/>
                <w:szCs w:val="22"/>
              </w:rPr>
              <w:t xml:space="preserve">a dnevno </w:t>
            </w:r>
            <w:r w:rsidRPr="006921A1">
              <w:rPr>
                <w:rFonts w:ascii="Times New Roman" w:hAnsi="Times New Roman" w:cs="Times New Roman"/>
                <w:b/>
                <w:bCs/>
                <w:color w:val="auto"/>
                <w:sz w:val="22"/>
                <w:szCs w:val="22"/>
              </w:rPr>
              <w:t>supkutano n (%)</w:t>
            </w: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D33F3D">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Heparin - intravenska terapija prilago</w:t>
            </w:r>
            <w:r w:rsidR="00CE3C99">
              <w:rPr>
                <w:rFonts w:ascii="Times New Roman" w:hAnsi="Times New Roman" w:cs="Times New Roman"/>
                <w:b/>
                <w:bCs/>
                <w:color w:val="auto"/>
                <w:sz w:val="22"/>
                <w:szCs w:val="22"/>
              </w:rPr>
              <w:t>đ</w:t>
            </w:r>
            <w:r w:rsidRPr="006921A1">
              <w:rPr>
                <w:rFonts w:ascii="Times New Roman" w:hAnsi="Times New Roman" w:cs="Times New Roman"/>
                <w:b/>
                <w:bCs/>
                <w:color w:val="auto"/>
                <w:sz w:val="22"/>
                <w:szCs w:val="22"/>
              </w:rPr>
              <w:t xml:space="preserve">ena prema aPTV-u n (%) </w:t>
            </w:r>
          </w:p>
        </w:tc>
      </w:tr>
      <w:tr w:rsidR="006921A1" w:rsidRPr="006921A1" w:rsidTr="00B508FF">
        <w:trPr>
          <w:trHeight w:val="322"/>
        </w:trPr>
        <w:tc>
          <w:tcPr>
            <w:tcW w:w="3261" w:type="dxa"/>
            <w:tcBorders>
              <w:top w:val="single" w:sz="4" w:space="0" w:color="auto"/>
              <w:left w:val="single" w:sz="4" w:space="0" w:color="auto"/>
              <w:bottom w:val="single" w:sz="4" w:space="0" w:color="auto"/>
              <w:right w:val="single" w:sz="4" w:space="0" w:color="auto"/>
            </w:tcBorders>
          </w:tcPr>
          <w:p w:rsidR="00D33F3D" w:rsidRPr="006921A1" w:rsidRDefault="00D33F3D" w:rsidP="00D33F3D">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Svi liječeni pacijenti s</w:t>
            </w:r>
            <w:r w:rsidR="00CE3C99">
              <w:rPr>
                <w:rFonts w:ascii="Times New Roman" w:hAnsi="Times New Roman" w:cs="Times New Roman"/>
                <w:b/>
                <w:bCs/>
                <w:color w:val="auto"/>
                <w:sz w:val="22"/>
                <w:szCs w:val="22"/>
              </w:rPr>
              <w:t>a</w:t>
            </w:r>
            <w:r w:rsidRPr="006921A1">
              <w:rPr>
                <w:rFonts w:ascii="Times New Roman" w:hAnsi="Times New Roman" w:cs="Times New Roman"/>
                <w:b/>
                <w:bCs/>
                <w:color w:val="auto"/>
                <w:sz w:val="22"/>
                <w:szCs w:val="22"/>
              </w:rPr>
              <w:t xml:space="preserve"> DVT-om praćenim PE-om ili bez njega </w:t>
            </w: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298 (100)</w:t>
            </w:r>
          </w:p>
        </w:tc>
        <w:tc>
          <w:tcPr>
            <w:tcW w:w="2127"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312 (100)</w:t>
            </w: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290 (100)</w:t>
            </w:r>
          </w:p>
        </w:tc>
      </w:tr>
      <w:tr w:rsidR="006921A1" w:rsidRPr="006921A1" w:rsidTr="00B508FF">
        <w:trPr>
          <w:trHeight w:val="92"/>
        </w:trPr>
        <w:tc>
          <w:tcPr>
            <w:tcW w:w="3261" w:type="dxa"/>
            <w:tcBorders>
              <w:top w:val="single" w:sz="4" w:space="0" w:color="auto"/>
              <w:left w:val="single" w:sz="4" w:space="0" w:color="auto"/>
              <w:bottom w:val="single" w:sz="4" w:space="0" w:color="auto"/>
              <w:right w:val="single" w:sz="4" w:space="0" w:color="auto"/>
            </w:tcBorders>
          </w:tcPr>
          <w:p w:rsidR="00D33F3D" w:rsidRPr="006921A1" w:rsidRDefault="00D33F3D" w:rsidP="00D33F3D">
            <w:pPr>
              <w:pStyle w:val="Default"/>
              <w:rPr>
                <w:rFonts w:ascii="Times New Roman" w:hAnsi="Times New Roman" w:cs="Times New Roman"/>
                <w:color w:val="auto"/>
                <w:sz w:val="22"/>
                <w:szCs w:val="22"/>
              </w:rPr>
            </w:pPr>
            <w:r w:rsidRPr="006921A1">
              <w:rPr>
                <w:rFonts w:ascii="Times New Roman" w:hAnsi="Times New Roman" w:cs="Times New Roman"/>
                <w:b/>
                <w:bCs/>
                <w:color w:val="auto"/>
                <w:sz w:val="22"/>
                <w:szCs w:val="22"/>
              </w:rPr>
              <w:t xml:space="preserve">Ukupni VTE (%) </w:t>
            </w: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13 (4,4)*</w:t>
            </w:r>
          </w:p>
        </w:tc>
        <w:tc>
          <w:tcPr>
            <w:tcW w:w="2127"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9 (2,9)*</w:t>
            </w: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12 (4,1)</w:t>
            </w:r>
          </w:p>
        </w:tc>
      </w:tr>
      <w:tr w:rsidR="006921A1" w:rsidRPr="006921A1" w:rsidTr="00B508FF">
        <w:trPr>
          <w:trHeight w:val="97"/>
        </w:trPr>
        <w:tc>
          <w:tcPr>
            <w:tcW w:w="3261" w:type="dxa"/>
            <w:tcBorders>
              <w:top w:val="single" w:sz="4" w:space="0" w:color="auto"/>
              <w:left w:val="single" w:sz="4" w:space="0" w:color="auto"/>
              <w:bottom w:val="single" w:sz="4" w:space="0" w:color="auto"/>
              <w:right w:val="single" w:sz="4" w:space="0" w:color="auto"/>
            </w:tcBorders>
          </w:tcPr>
          <w:p w:rsidR="00D33F3D" w:rsidRPr="006921A1" w:rsidRDefault="00D33F3D" w:rsidP="00D33F3D">
            <w:pPr>
              <w:pStyle w:val="Default"/>
              <w:rPr>
                <w:rFonts w:ascii="Times New Roman" w:hAnsi="Times New Roman" w:cs="Times New Roman"/>
                <w:color w:val="auto"/>
                <w:sz w:val="22"/>
                <w:szCs w:val="22"/>
              </w:rPr>
            </w:pPr>
          </w:p>
          <w:p w:rsidR="00D33F3D" w:rsidRPr="00CE3C99" w:rsidRDefault="00D33F3D" w:rsidP="00B508FF">
            <w:pPr>
              <w:pStyle w:val="Default"/>
              <w:numPr>
                <w:ilvl w:val="0"/>
                <w:numId w:val="28"/>
              </w:numPr>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Samo DVT (%) </w:t>
            </w:r>
          </w:p>
        </w:tc>
        <w:tc>
          <w:tcPr>
            <w:tcW w:w="1842" w:type="dxa"/>
            <w:tcBorders>
              <w:top w:val="single" w:sz="4" w:space="0" w:color="auto"/>
              <w:left w:val="single" w:sz="4" w:space="0" w:color="auto"/>
              <w:bottom w:val="single" w:sz="4" w:space="0" w:color="auto"/>
              <w:right w:val="single" w:sz="4" w:space="0" w:color="auto"/>
            </w:tcBorders>
          </w:tcPr>
          <w:p w:rsidR="00CE3C99" w:rsidRDefault="00CE3C99" w:rsidP="00B508FF">
            <w:pPr>
              <w:pStyle w:val="Default"/>
              <w:jc w:val="center"/>
              <w:rPr>
                <w:rFonts w:ascii="Times New Roman" w:hAnsi="Times New Roman" w:cs="Times New Roman"/>
                <w:color w:val="auto"/>
                <w:sz w:val="22"/>
                <w:szCs w:val="22"/>
              </w:rPr>
            </w:pPr>
          </w:p>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11 (3,7)</w:t>
            </w:r>
          </w:p>
        </w:tc>
        <w:tc>
          <w:tcPr>
            <w:tcW w:w="2127" w:type="dxa"/>
            <w:tcBorders>
              <w:top w:val="single" w:sz="4" w:space="0" w:color="auto"/>
              <w:left w:val="single" w:sz="4" w:space="0" w:color="auto"/>
              <w:bottom w:val="single" w:sz="4" w:space="0" w:color="auto"/>
              <w:right w:val="single" w:sz="4" w:space="0" w:color="auto"/>
            </w:tcBorders>
          </w:tcPr>
          <w:p w:rsidR="00CE3C99" w:rsidRDefault="00CE3C99" w:rsidP="00B508FF">
            <w:pPr>
              <w:pStyle w:val="Default"/>
              <w:jc w:val="center"/>
              <w:rPr>
                <w:rFonts w:ascii="Times New Roman" w:hAnsi="Times New Roman" w:cs="Times New Roman"/>
                <w:color w:val="auto"/>
                <w:sz w:val="22"/>
                <w:szCs w:val="22"/>
              </w:rPr>
            </w:pPr>
          </w:p>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7 (2,2)</w:t>
            </w:r>
          </w:p>
        </w:tc>
        <w:tc>
          <w:tcPr>
            <w:tcW w:w="1842" w:type="dxa"/>
            <w:tcBorders>
              <w:top w:val="single" w:sz="4" w:space="0" w:color="auto"/>
              <w:left w:val="single" w:sz="4" w:space="0" w:color="auto"/>
              <w:bottom w:val="single" w:sz="4" w:space="0" w:color="auto"/>
              <w:right w:val="single" w:sz="4" w:space="0" w:color="auto"/>
            </w:tcBorders>
          </w:tcPr>
          <w:p w:rsidR="00CE3C99" w:rsidRDefault="00CE3C99" w:rsidP="00B508FF">
            <w:pPr>
              <w:pStyle w:val="Default"/>
              <w:jc w:val="center"/>
              <w:rPr>
                <w:rFonts w:ascii="Times New Roman" w:hAnsi="Times New Roman" w:cs="Times New Roman"/>
                <w:color w:val="auto"/>
                <w:sz w:val="22"/>
                <w:szCs w:val="22"/>
              </w:rPr>
            </w:pPr>
          </w:p>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8 (2,8)</w:t>
            </w:r>
          </w:p>
        </w:tc>
      </w:tr>
      <w:tr w:rsidR="006921A1" w:rsidRPr="006921A1" w:rsidTr="00B508FF">
        <w:trPr>
          <w:trHeight w:val="562"/>
        </w:trPr>
        <w:tc>
          <w:tcPr>
            <w:tcW w:w="3261" w:type="dxa"/>
            <w:tcBorders>
              <w:top w:val="single" w:sz="4" w:space="0" w:color="auto"/>
              <w:left w:val="single" w:sz="4" w:space="0" w:color="auto"/>
              <w:bottom w:val="single" w:sz="4" w:space="0" w:color="auto"/>
              <w:right w:val="single" w:sz="4" w:space="0" w:color="auto"/>
            </w:tcBorders>
          </w:tcPr>
          <w:p w:rsidR="00D33F3D" w:rsidRPr="00CE3C99" w:rsidRDefault="00D33F3D" w:rsidP="00B508FF">
            <w:pPr>
              <w:pStyle w:val="Default"/>
              <w:numPr>
                <w:ilvl w:val="0"/>
                <w:numId w:val="27"/>
              </w:numPr>
              <w:rPr>
                <w:rFonts w:ascii="Times New Roman" w:hAnsi="Times New Roman" w:cs="Times New Roman"/>
                <w:color w:val="auto"/>
                <w:sz w:val="22"/>
                <w:szCs w:val="22"/>
              </w:rPr>
            </w:pPr>
            <w:r w:rsidRPr="006921A1">
              <w:rPr>
                <w:rFonts w:ascii="Times New Roman" w:hAnsi="Times New Roman" w:cs="Times New Roman"/>
                <w:color w:val="auto"/>
                <w:sz w:val="22"/>
                <w:szCs w:val="22"/>
              </w:rPr>
              <w:t xml:space="preserve"> Proksimalni DVT (%) </w:t>
            </w: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9 (3,0)</w:t>
            </w:r>
          </w:p>
        </w:tc>
        <w:tc>
          <w:tcPr>
            <w:tcW w:w="2127"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6 (1,9)</w:t>
            </w: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7 (2,4)</w:t>
            </w:r>
          </w:p>
        </w:tc>
      </w:tr>
      <w:tr w:rsidR="006921A1" w:rsidRPr="006921A1" w:rsidTr="00B508FF">
        <w:trPr>
          <w:trHeight w:val="556"/>
        </w:trPr>
        <w:tc>
          <w:tcPr>
            <w:tcW w:w="3261" w:type="dxa"/>
            <w:tcBorders>
              <w:top w:val="single" w:sz="4" w:space="0" w:color="auto"/>
              <w:left w:val="single" w:sz="4" w:space="0" w:color="auto"/>
              <w:bottom w:val="single" w:sz="4" w:space="0" w:color="auto"/>
              <w:right w:val="single" w:sz="4" w:space="0" w:color="auto"/>
            </w:tcBorders>
          </w:tcPr>
          <w:p w:rsidR="00D33F3D" w:rsidRPr="00CE3C99" w:rsidRDefault="00CB621F" w:rsidP="00DC2FD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33F3D" w:rsidRPr="006921A1">
              <w:rPr>
                <w:rFonts w:ascii="Times New Roman" w:hAnsi="Times New Roman" w:cs="Times New Roman"/>
                <w:color w:val="auto"/>
                <w:sz w:val="22"/>
                <w:szCs w:val="22"/>
              </w:rPr>
              <w:t xml:space="preserve">PE (%) </w:t>
            </w: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2 (0,7)</w:t>
            </w:r>
          </w:p>
        </w:tc>
        <w:tc>
          <w:tcPr>
            <w:tcW w:w="2127"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2 (0,6)</w:t>
            </w:r>
          </w:p>
        </w:tc>
        <w:tc>
          <w:tcPr>
            <w:tcW w:w="1842" w:type="dxa"/>
            <w:tcBorders>
              <w:top w:val="single" w:sz="4" w:space="0" w:color="auto"/>
              <w:left w:val="single" w:sz="4" w:space="0" w:color="auto"/>
              <w:bottom w:val="single" w:sz="4" w:space="0" w:color="auto"/>
              <w:right w:val="single" w:sz="4" w:space="0" w:color="auto"/>
            </w:tcBorders>
          </w:tcPr>
          <w:p w:rsidR="00D33F3D" w:rsidRPr="006921A1" w:rsidRDefault="00D33F3D" w:rsidP="00B508FF">
            <w:pPr>
              <w:pStyle w:val="Default"/>
              <w:jc w:val="center"/>
              <w:rPr>
                <w:rFonts w:ascii="Times New Roman" w:hAnsi="Times New Roman" w:cs="Times New Roman"/>
                <w:color w:val="auto"/>
                <w:sz w:val="22"/>
                <w:szCs w:val="22"/>
              </w:rPr>
            </w:pPr>
            <w:r w:rsidRPr="006921A1">
              <w:rPr>
                <w:rFonts w:ascii="Times New Roman" w:hAnsi="Times New Roman" w:cs="Times New Roman"/>
                <w:color w:val="auto"/>
                <w:sz w:val="22"/>
                <w:szCs w:val="22"/>
              </w:rPr>
              <w:t>4 (1,4)</w:t>
            </w:r>
          </w:p>
        </w:tc>
      </w:tr>
      <w:tr w:rsidR="006921A1" w:rsidRPr="006921A1" w:rsidTr="00B508FF">
        <w:trPr>
          <w:trHeight w:val="480"/>
        </w:trPr>
        <w:tc>
          <w:tcPr>
            <w:tcW w:w="9072" w:type="dxa"/>
            <w:gridSpan w:val="4"/>
            <w:tcBorders>
              <w:top w:val="single" w:sz="4" w:space="0" w:color="auto"/>
              <w:left w:val="single" w:sz="4" w:space="0" w:color="auto"/>
              <w:bottom w:val="single" w:sz="4" w:space="0" w:color="auto"/>
              <w:right w:val="single" w:sz="4" w:space="0" w:color="auto"/>
            </w:tcBorders>
          </w:tcPr>
          <w:p w:rsidR="00D33F3D" w:rsidRPr="00B508FF" w:rsidRDefault="00D33F3D" w:rsidP="00B508FF">
            <w:pPr>
              <w:autoSpaceDE w:val="0"/>
              <w:autoSpaceDN w:val="0"/>
              <w:adjustRightInd w:val="0"/>
              <w:spacing w:after="0" w:line="240" w:lineRule="auto"/>
              <w:jc w:val="both"/>
              <w:rPr>
                <w:rFonts w:ascii="Times New Roman" w:eastAsia="TimesNewRoman" w:hAnsi="Times New Roman" w:cs="Times New Roman"/>
                <w:sz w:val="22"/>
                <w:szCs w:val="22"/>
              </w:rPr>
            </w:pPr>
            <w:r w:rsidRPr="00B508FF">
              <w:rPr>
                <w:rFonts w:ascii="Times New Roman" w:eastAsia="TimesNewRoman" w:hAnsi="Times New Roman" w:cs="Times New Roman"/>
                <w:sz w:val="22"/>
                <w:szCs w:val="22"/>
                <w:lang w:val="sr-Latn-RS"/>
              </w:rPr>
              <w:t>VTE = venski tromboembolijski doga</w:t>
            </w:r>
            <w:r w:rsidR="00CB621F" w:rsidRPr="00B508FF">
              <w:rPr>
                <w:rFonts w:ascii="Times New Roman" w:eastAsia="TimesNewRoman" w:hAnsi="Times New Roman" w:cs="Times New Roman"/>
                <w:sz w:val="22"/>
                <w:szCs w:val="22"/>
                <w:lang w:val="sr-Latn-RS"/>
              </w:rPr>
              <w:t>đ</w:t>
            </w:r>
            <w:r w:rsidRPr="00B508FF">
              <w:rPr>
                <w:rFonts w:ascii="Times New Roman" w:eastAsia="TimesNewRoman" w:hAnsi="Times New Roman" w:cs="Times New Roman"/>
                <w:sz w:val="22"/>
                <w:szCs w:val="22"/>
                <w:lang w:val="sr-Latn-RS"/>
              </w:rPr>
              <w:t xml:space="preserve">aj (DVT i/ili PE) </w:t>
            </w:r>
          </w:p>
          <w:p w:rsidR="00D33F3D" w:rsidRPr="00B508FF" w:rsidRDefault="00D33F3D" w:rsidP="00B508FF">
            <w:pPr>
              <w:autoSpaceDE w:val="0"/>
              <w:autoSpaceDN w:val="0"/>
              <w:adjustRightInd w:val="0"/>
              <w:spacing w:after="0" w:line="240" w:lineRule="auto"/>
              <w:jc w:val="both"/>
              <w:rPr>
                <w:rFonts w:ascii="Times New Roman" w:eastAsia="TimesNewRoman" w:hAnsi="Times New Roman" w:cs="Times New Roman"/>
                <w:sz w:val="22"/>
                <w:szCs w:val="22"/>
              </w:rPr>
            </w:pPr>
            <w:r w:rsidRPr="00B508FF">
              <w:rPr>
                <w:rFonts w:ascii="Times New Roman" w:eastAsia="TimesNewRoman" w:hAnsi="Times New Roman" w:cs="Times New Roman"/>
                <w:sz w:val="22"/>
                <w:szCs w:val="22"/>
                <w:lang w:val="sr-Latn-RS"/>
              </w:rPr>
              <w:t xml:space="preserve">*Intervali pouzdanosti od 95% za razlike izmeĎu liječenja za ukupni VTE bili su: </w:t>
            </w:r>
          </w:p>
          <w:p w:rsidR="00D33F3D" w:rsidRPr="00B508FF" w:rsidRDefault="00D33F3D" w:rsidP="00B508FF">
            <w:pPr>
              <w:autoSpaceDE w:val="0"/>
              <w:autoSpaceDN w:val="0"/>
              <w:adjustRightInd w:val="0"/>
              <w:spacing w:after="0" w:line="240" w:lineRule="auto"/>
              <w:jc w:val="both"/>
              <w:rPr>
                <w:rFonts w:ascii="Times New Roman" w:eastAsia="TimesNewRoman" w:hAnsi="Times New Roman" w:cs="Times New Roman"/>
                <w:sz w:val="22"/>
                <w:szCs w:val="22"/>
              </w:rPr>
            </w:pPr>
            <w:r w:rsidRPr="00B508FF">
              <w:rPr>
                <w:rFonts w:ascii="Times New Roman" w:eastAsia="TimesNewRoman" w:hAnsi="Times New Roman" w:cs="Times New Roman"/>
                <w:sz w:val="22"/>
                <w:szCs w:val="22"/>
                <w:lang w:val="sr-Latn-RS"/>
              </w:rPr>
              <w:t>- enoksaparin</w:t>
            </w:r>
            <w:r w:rsidR="00CB621F">
              <w:rPr>
                <w:rFonts w:ascii="Times New Roman" w:eastAsia="TimesNewRoman" w:hAnsi="Times New Roman" w:cs="Times New Roman"/>
                <w:sz w:val="22"/>
                <w:szCs w:val="22"/>
                <w:lang w:val="sr-Latn-RS"/>
              </w:rPr>
              <w:t xml:space="preserve"> </w:t>
            </w:r>
            <w:r w:rsidRPr="00B508FF">
              <w:rPr>
                <w:rFonts w:ascii="Times New Roman" w:eastAsia="TimesNewRoman" w:hAnsi="Times New Roman" w:cs="Times New Roman"/>
                <w:sz w:val="22"/>
                <w:szCs w:val="22"/>
                <w:lang w:val="sr-Latn-RS"/>
              </w:rPr>
              <w:t>natrij</w:t>
            </w:r>
            <w:r w:rsidR="00CB621F">
              <w:rPr>
                <w:rFonts w:ascii="Times New Roman" w:eastAsia="TimesNewRoman" w:hAnsi="Times New Roman" w:cs="Times New Roman"/>
                <w:sz w:val="22"/>
                <w:szCs w:val="22"/>
                <w:lang w:val="sr-Latn-RS"/>
              </w:rPr>
              <w:t>um</w:t>
            </w:r>
            <w:r w:rsidRPr="00B508FF">
              <w:rPr>
                <w:rFonts w:ascii="Times New Roman" w:eastAsia="TimesNewRoman" w:hAnsi="Times New Roman" w:cs="Times New Roman"/>
                <w:sz w:val="22"/>
                <w:szCs w:val="22"/>
                <w:lang w:val="sr-Latn-RS"/>
              </w:rPr>
              <w:t xml:space="preserve"> jed</w:t>
            </w:r>
            <w:r w:rsidR="00CB621F">
              <w:rPr>
                <w:rFonts w:ascii="Times New Roman" w:eastAsia="TimesNewRoman" w:hAnsi="Times New Roman" w:cs="Times New Roman"/>
                <w:sz w:val="22"/>
                <w:szCs w:val="22"/>
                <w:lang w:val="sr-Latn-RS"/>
              </w:rPr>
              <w:t xml:space="preserve">nom dnevno </w:t>
            </w:r>
            <w:r w:rsidRPr="00B508FF">
              <w:rPr>
                <w:rFonts w:ascii="Times New Roman" w:eastAsia="TimesNewRoman" w:hAnsi="Times New Roman" w:cs="Times New Roman"/>
                <w:sz w:val="22"/>
                <w:szCs w:val="22"/>
                <w:lang w:val="sr-Latn-RS"/>
              </w:rPr>
              <w:t xml:space="preserve">naspram heparina (-3,0 do 3,5) </w:t>
            </w:r>
          </w:p>
          <w:p w:rsidR="00D33F3D" w:rsidRPr="006921A1" w:rsidRDefault="00D33F3D" w:rsidP="00B508FF">
            <w:pPr>
              <w:autoSpaceDE w:val="0"/>
              <w:autoSpaceDN w:val="0"/>
              <w:adjustRightInd w:val="0"/>
              <w:spacing w:after="0" w:line="240" w:lineRule="auto"/>
              <w:jc w:val="both"/>
            </w:pPr>
            <w:r w:rsidRPr="00B508FF">
              <w:rPr>
                <w:rFonts w:ascii="Times New Roman" w:eastAsia="TimesNewRoman" w:hAnsi="Times New Roman" w:cs="Times New Roman"/>
                <w:sz w:val="22"/>
                <w:szCs w:val="22"/>
                <w:lang w:val="sr-Latn-RS"/>
              </w:rPr>
              <w:t>- enoksaparin</w:t>
            </w:r>
            <w:r w:rsidR="00CB621F">
              <w:rPr>
                <w:rFonts w:ascii="Times New Roman" w:eastAsia="TimesNewRoman" w:hAnsi="Times New Roman" w:cs="Times New Roman"/>
                <w:sz w:val="22"/>
                <w:szCs w:val="22"/>
                <w:lang w:val="sr-Latn-RS"/>
              </w:rPr>
              <w:t xml:space="preserve"> </w:t>
            </w:r>
            <w:r w:rsidRPr="00B508FF">
              <w:rPr>
                <w:rFonts w:ascii="Times New Roman" w:eastAsia="TimesNewRoman" w:hAnsi="Times New Roman" w:cs="Times New Roman"/>
                <w:sz w:val="22"/>
                <w:szCs w:val="22"/>
                <w:lang w:val="sr-Latn-RS"/>
              </w:rPr>
              <w:t>natrij</w:t>
            </w:r>
            <w:r w:rsidR="00CB621F">
              <w:rPr>
                <w:rFonts w:ascii="Times New Roman" w:eastAsia="TimesNewRoman" w:hAnsi="Times New Roman" w:cs="Times New Roman"/>
                <w:sz w:val="22"/>
                <w:szCs w:val="22"/>
                <w:lang w:val="sr-Latn-RS"/>
              </w:rPr>
              <w:t>um</w:t>
            </w:r>
            <w:r w:rsidRPr="00B508FF">
              <w:rPr>
                <w:rFonts w:ascii="Times New Roman" w:eastAsia="TimesNewRoman" w:hAnsi="Times New Roman" w:cs="Times New Roman"/>
                <w:sz w:val="22"/>
                <w:szCs w:val="22"/>
                <w:lang w:val="sr-Latn-RS"/>
              </w:rPr>
              <w:t xml:space="preserve"> svakih 12 sati naspram heparina (-4,2 do 1,7) </w:t>
            </w:r>
          </w:p>
        </w:tc>
      </w:tr>
    </w:tbl>
    <w:p w:rsidR="00D33F3D" w:rsidRPr="006921A1" w:rsidRDefault="00D33F3D" w:rsidP="00B508FF">
      <w:pPr>
        <w:autoSpaceDE w:val="0"/>
        <w:autoSpaceDN w:val="0"/>
        <w:adjustRightInd w:val="0"/>
        <w:spacing w:after="0"/>
        <w:jc w:val="both"/>
        <w:rPr>
          <w:rFonts w:ascii="Times New Roman" w:hAnsi="Times New Roman" w:cs="Times New Roman"/>
          <w:bCs/>
          <w:sz w:val="22"/>
          <w:szCs w:val="22"/>
        </w:rPr>
      </w:pPr>
    </w:p>
    <w:p w:rsidR="002D66B2" w:rsidRPr="006921A1" w:rsidRDefault="00D57666" w:rsidP="00CB621F">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Stepen pojave velikih krvarenja</w:t>
      </w:r>
      <w:r w:rsidR="002D66B2" w:rsidRPr="006921A1">
        <w:rPr>
          <w:rFonts w:ascii="Times New Roman" w:eastAsia="TimesNewRoman" w:hAnsi="Times New Roman" w:cs="Times New Roman"/>
          <w:sz w:val="22"/>
          <w:szCs w:val="22"/>
          <w:lang w:val="sr-Latn-RS"/>
        </w:rPr>
        <w:t xml:space="preserve"> iznosio je 1,7% u grupi koja je primala enoksaparin</w:t>
      </w:r>
      <w:r w:rsidR="00652604">
        <w:rPr>
          <w:rFonts w:ascii="Times New Roman" w:eastAsia="TimesNewRoman" w:hAnsi="Times New Roman" w:cs="Times New Roman"/>
          <w:sz w:val="22"/>
          <w:szCs w:val="22"/>
          <w:lang w:val="sr-Latn-RS"/>
        </w:rPr>
        <w:t xml:space="preserve"> </w:t>
      </w:r>
      <w:r w:rsidR="002D66B2" w:rsidRPr="006921A1">
        <w:rPr>
          <w:rFonts w:ascii="Times New Roman" w:eastAsia="TimesNewRoman" w:hAnsi="Times New Roman" w:cs="Times New Roman"/>
          <w:sz w:val="22"/>
          <w:szCs w:val="22"/>
          <w:lang w:val="sr-Latn-RS"/>
        </w:rPr>
        <w:t>natrijum u dozi od 150 i.j./kg (1,5 mg/kg) jednom dnevno, 1,3% u grupi koja je primala enoksaparin</w:t>
      </w:r>
      <w:r w:rsidR="00652604">
        <w:rPr>
          <w:rFonts w:ascii="Times New Roman" w:eastAsia="TimesNewRoman" w:hAnsi="Times New Roman" w:cs="Times New Roman"/>
          <w:sz w:val="22"/>
          <w:szCs w:val="22"/>
          <w:lang w:val="sr-Latn-RS"/>
        </w:rPr>
        <w:t xml:space="preserve"> </w:t>
      </w:r>
      <w:r w:rsidR="002D66B2" w:rsidRPr="006921A1">
        <w:rPr>
          <w:rFonts w:ascii="Times New Roman" w:eastAsia="TimesNewRoman" w:hAnsi="Times New Roman" w:cs="Times New Roman"/>
          <w:sz w:val="22"/>
          <w:szCs w:val="22"/>
          <w:lang w:val="sr-Latn-RS"/>
        </w:rPr>
        <w:t>natrijum u dozi od 100 i.j./kg (1 mg/kg) dva puta na dan, i 2,1% u grupi koja je primala heparin.</w:t>
      </w:r>
    </w:p>
    <w:p w:rsidR="006E67E4" w:rsidRPr="006921A1" w:rsidRDefault="006E67E4"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6E67E4" w:rsidRPr="006921A1" w:rsidRDefault="006E67E4" w:rsidP="006E67E4">
      <w:pPr>
        <w:autoSpaceDE w:val="0"/>
        <w:autoSpaceDN w:val="0"/>
        <w:adjustRightInd w:val="0"/>
        <w:spacing w:after="0" w:line="240" w:lineRule="auto"/>
        <w:jc w:val="both"/>
        <w:rPr>
          <w:rFonts w:ascii="Times New Roman" w:eastAsia="TimesNewRoman" w:hAnsi="Times New Roman" w:cs="Times New Roman"/>
          <w:i/>
          <w:sz w:val="22"/>
          <w:szCs w:val="22"/>
          <w:lang w:val="sr-Latn-RS"/>
        </w:rPr>
      </w:pPr>
      <w:r w:rsidRPr="006921A1">
        <w:rPr>
          <w:rFonts w:ascii="Times New Roman" w:eastAsia="TimesNewRoman" w:hAnsi="Times New Roman" w:cs="Times New Roman"/>
          <w:i/>
          <w:sz w:val="22"/>
          <w:szCs w:val="22"/>
          <w:lang w:val="sr-Latn-RS"/>
        </w:rPr>
        <w:t>Produženi tretman duboke venske tromboze (DVT) i plućne embolije (PE) i prevencija njenog ponovnog pojavljivanja kod pacijenata sa aktivnim karcinomom</w:t>
      </w:r>
    </w:p>
    <w:p w:rsidR="006E67E4" w:rsidRPr="006921A1" w:rsidRDefault="006E67E4" w:rsidP="006E67E4">
      <w:pPr>
        <w:autoSpaceDE w:val="0"/>
        <w:autoSpaceDN w:val="0"/>
        <w:adjustRightInd w:val="0"/>
        <w:spacing w:after="0" w:line="240" w:lineRule="auto"/>
        <w:jc w:val="both"/>
        <w:rPr>
          <w:rFonts w:ascii="Times New Roman" w:eastAsia="TimesNewRoman" w:hAnsi="Times New Roman" w:cs="Times New Roman"/>
          <w:i/>
          <w:sz w:val="22"/>
          <w:szCs w:val="22"/>
          <w:lang w:val="sr-Latn-RS"/>
        </w:rPr>
      </w:pPr>
    </w:p>
    <w:p w:rsidR="006E67E4" w:rsidRPr="006921A1" w:rsidRDefault="006E67E4"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U kliničkim ispitivanjima sa ograničenim brojem pacijenata, prijavljene stope rekurentne VTE kod pacijenata l</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ečenih enoksaparinom koji se daje jednom ili dva puta dnevno tokom 3 do 6 m</w:t>
      </w:r>
      <w:r w:rsidR="00014C80"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eseci izgledaju uporedive sa onima sa varfarinom.</w:t>
      </w:r>
    </w:p>
    <w:p w:rsidR="006E67E4" w:rsidRPr="006921A1" w:rsidRDefault="006E67E4"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 xml:space="preserve"> </w:t>
      </w:r>
    </w:p>
    <w:p w:rsidR="006E67E4" w:rsidRPr="006921A1" w:rsidRDefault="006E67E4"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Efikasnost u stvarnom životu je proc</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enjena u kohorti od 4.451 pacijenta sa simptomatskom VTE i aktivnim karcinomom iz multinacionalnog registra RIETE pacijenata sa VTE i drugim trombotičkim stanjima. 3.526 pacijenata je primalo SC enoksaparin do 6 m</w:t>
      </w:r>
      <w:r w:rsidR="00014C80"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eseci, a 925 pacijenata je primalo tinzaparin ili dalteparin SC. Među 3.526 pacijenata koji su primali enoksaparin, 891 pacijent je l</w:t>
      </w:r>
      <w:r w:rsidR="00014C80"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ečen sa 1,5 mg/kg jednom dnevno kao početnom terapijom i produženim tretmanom do 6 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eseci (samo jednom dnevno), 1.854 pacijenta je primalo početni režim od 1,0 mg/kg dva puta dnevno i produženo l</w:t>
      </w:r>
      <w:r w:rsidR="006251D4" w:rsidRPr="006921A1">
        <w:rPr>
          <w:rFonts w:ascii="Times New Roman" w:eastAsia="TimesNewRoman" w:hAnsi="Times New Roman" w:cs="Times New Roman"/>
          <w:sz w:val="22"/>
          <w:szCs w:val="22"/>
          <w:lang w:val="sr-Latn-RS"/>
        </w:rPr>
        <w:t>ije</w:t>
      </w:r>
      <w:r w:rsidRPr="006921A1">
        <w:rPr>
          <w:rFonts w:ascii="Times New Roman" w:eastAsia="TimesNewRoman" w:hAnsi="Times New Roman" w:cs="Times New Roman"/>
          <w:sz w:val="22"/>
          <w:szCs w:val="22"/>
          <w:lang w:val="sr-Latn-RS"/>
        </w:rPr>
        <w:t>čenje do 6 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eseci (samo dva puta dnevno), a 687 pacijenata je primalo 1,0 mg/kg dva puta dnevno kao početni tretman, a zatim 1,5 mg/kg jednom dnevno (dva puta dnevno-jednom dnevno) kao produženi tretman do 6 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eseci. Pros</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ečno i srednje trajanje l</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ečenja do prom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ene režima bilo je 17 dana, odnosno 8 dana. Nije bilo značajne razlike u stopi recidiva VTE između dv</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grupe tretmana (vid</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eti tabelu), pri čemu je enoksaparin ispunjavao unapr</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ed određeni kriterijum za neinferiornost od 1,5 (HR prilagođen relevantnim kovarijantama 0,817, 95% CI: 0,499-1,336). Nije bilo statistički značajne razlike između dv</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tretirane grupe u pogledu relativnih rizika od velikog (fatalnog ili nefatalnog) krvarenja i smrti od svih uzroka (vid</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eti tabelu).</w:t>
      </w:r>
    </w:p>
    <w:p w:rsidR="006E67E4" w:rsidRDefault="006E67E4"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Pr="006921A1" w:rsidRDefault="00A3722B" w:rsidP="006E67E4">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6E67E4" w:rsidRPr="00B508FF" w:rsidRDefault="006E67E4" w:rsidP="00B508FF">
      <w:pPr>
        <w:autoSpaceDE w:val="0"/>
        <w:autoSpaceDN w:val="0"/>
        <w:adjustRightInd w:val="0"/>
        <w:spacing w:after="0" w:line="240" w:lineRule="auto"/>
        <w:jc w:val="center"/>
        <w:rPr>
          <w:rFonts w:ascii="Times New Roman" w:eastAsia="TimesNewRoman" w:hAnsi="Times New Roman" w:cs="Times New Roman"/>
          <w:b/>
          <w:sz w:val="22"/>
          <w:szCs w:val="22"/>
          <w:lang w:val="sr-Latn-RS"/>
        </w:rPr>
      </w:pPr>
      <w:r w:rsidRPr="00B508FF">
        <w:rPr>
          <w:rFonts w:ascii="Times New Roman" w:eastAsia="TimesNewRoman" w:hAnsi="Times New Roman" w:cs="Times New Roman"/>
          <w:b/>
          <w:sz w:val="22"/>
          <w:szCs w:val="22"/>
          <w:lang w:val="sr-Latn-RS"/>
        </w:rPr>
        <w:lastRenderedPageBreak/>
        <w:t>Tabela: Rezultati efikasnosti i bezb</w:t>
      </w:r>
      <w:r w:rsidR="006251D4" w:rsidRPr="00B508FF">
        <w:rPr>
          <w:rFonts w:ascii="Times New Roman" w:eastAsia="TimesNewRoman" w:hAnsi="Times New Roman" w:cs="Times New Roman"/>
          <w:b/>
          <w:sz w:val="22"/>
          <w:szCs w:val="22"/>
          <w:lang w:val="sr-Latn-RS"/>
        </w:rPr>
        <w:t>j</w:t>
      </w:r>
      <w:r w:rsidRPr="00B508FF">
        <w:rPr>
          <w:rFonts w:ascii="Times New Roman" w:eastAsia="TimesNewRoman" w:hAnsi="Times New Roman" w:cs="Times New Roman"/>
          <w:b/>
          <w:sz w:val="22"/>
          <w:szCs w:val="22"/>
          <w:lang w:val="sr-Latn-RS"/>
        </w:rPr>
        <w:t>ednosti u RIETECAT studiji</w:t>
      </w:r>
    </w:p>
    <w:p w:rsidR="006E67E4" w:rsidRPr="006921A1" w:rsidRDefault="006E67E4"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1576"/>
        <w:gridCol w:w="1843"/>
        <w:gridCol w:w="3223"/>
      </w:tblGrid>
      <w:tr w:rsidR="006921A1" w:rsidRPr="006921A1" w:rsidTr="00B508FF">
        <w:trPr>
          <w:trHeight w:val="355"/>
          <w:jc w:val="center"/>
        </w:trPr>
        <w:tc>
          <w:tcPr>
            <w:tcW w:w="2142" w:type="dxa"/>
          </w:tcPr>
          <w:p w:rsidR="00F23F4B" w:rsidRPr="006921A1" w:rsidRDefault="00F23F4B" w:rsidP="00F23F4B">
            <w:pPr>
              <w:rPr>
                <w:rFonts w:ascii="Times New Roman" w:eastAsiaTheme="minorHAnsi" w:hAnsi="Times New Roman" w:cs="Times New Roman"/>
                <w:b/>
                <w:bCs/>
                <w:sz w:val="22"/>
                <w:szCs w:val="22"/>
                <w:lang w:val="en-US"/>
              </w:rPr>
            </w:pPr>
          </w:p>
          <w:p w:rsidR="00F23F4B" w:rsidRPr="006921A1" w:rsidRDefault="00F23F4B" w:rsidP="00F23F4B">
            <w:pPr>
              <w:rPr>
                <w:rFonts w:ascii="Times New Roman" w:hAnsi="Times New Roman" w:cs="Times New Roman"/>
                <w:sz w:val="22"/>
                <w:szCs w:val="22"/>
              </w:rPr>
            </w:pPr>
            <w:r w:rsidRPr="006921A1">
              <w:rPr>
                <w:rFonts w:ascii="Times New Roman" w:eastAsiaTheme="minorHAnsi" w:hAnsi="Times New Roman" w:cs="Times New Roman"/>
                <w:b/>
                <w:bCs/>
                <w:sz w:val="22"/>
                <w:szCs w:val="22"/>
                <w:lang w:val="en-US"/>
              </w:rPr>
              <w:t>Ishod</w:t>
            </w:r>
          </w:p>
        </w:tc>
        <w:tc>
          <w:tcPr>
            <w:tcW w:w="15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b/>
                <w:bCs/>
                <w:sz w:val="22"/>
                <w:szCs w:val="22"/>
                <w:lang w:val="en-US"/>
              </w:rPr>
              <w:t xml:space="preserve">Enoksaparin </w:t>
            </w:r>
            <w:r w:rsidRPr="006921A1">
              <w:rPr>
                <w:rFonts w:ascii="Times New Roman" w:eastAsiaTheme="minorHAnsi" w:hAnsi="Times New Roman" w:cs="Times New Roman"/>
                <w:b/>
                <w:bCs/>
                <w:sz w:val="22"/>
                <w:szCs w:val="22"/>
                <w:lang w:val="en-US"/>
              </w:rPr>
              <w:br/>
              <w:t>n=3526</w:t>
            </w:r>
          </w:p>
        </w:tc>
        <w:tc>
          <w:tcPr>
            <w:tcW w:w="1843"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b/>
                <w:bCs/>
                <w:sz w:val="22"/>
                <w:szCs w:val="22"/>
                <w:lang w:val="en-US"/>
              </w:rPr>
              <w:t>Drugi LMVH</w:t>
            </w:r>
          </w:p>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b/>
                <w:bCs/>
                <w:sz w:val="22"/>
                <w:szCs w:val="22"/>
                <w:lang w:val="en-US"/>
              </w:rPr>
              <w:t>n=925</w:t>
            </w:r>
          </w:p>
        </w:tc>
        <w:tc>
          <w:tcPr>
            <w:tcW w:w="3223" w:type="dxa"/>
            <w:vAlign w:val="center"/>
          </w:tcPr>
          <w:p w:rsidR="00F23F4B" w:rsidRPr="006921A1" w:rsidRDefault="00F23F4B" w:rsidP="00B508FF">
            <w:pPr>
              <w:autoSpaceDE w:val="0"/>
              <w:autoSpaceDN w:val="0"/>
              <w:adjustRightInd w:val="0"/>
              <w:spacing w:after="0"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b/>
                <w:bCs/>
                <w:sz w:val="22"/>
                <w:szCs w:val="22"/>
                <w:lang w:val="en-US"/>
              </w:rPr>
              <w:t>Prilagođeni odnosi rizika enoksaparin/drugi LMVH</w:t>
            </w:r>
          </w:p>
          <w:p w:rsidR="00F23F4B" w:rsidRPr="006921A1" w:rsidRDefault="00F23F4B" w:rsidP="00B508FF">
            <w:pPr>
              <w:autoSpaceDE w:val="0"/>
              <w:autoSpaceDN w:val="0"/>
              <w:adjustRightInd w:val="0"/>
              <w:spacing w:after="0"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b/>
                <w:bCs/>
                <w:sz w:val="22"/>
                <w:szCs w:val="22"/>
                <w:lang w:val="en-US"/>
              </w:rPr>
              <w:t>[95% interval poverenja]</w:t>
            </w:r>
          </w:p>
        </w:tc>
      </w:tr>
      <w:tr w:rsidR="006921A1" w:rsidRPr="006921A1" w:rsidTr="00B508FF">
        <w:trPr>
          <w:trHeight w:val="102"/>
          <w:jc w:val="center"/>
        </w:trPr>
        <w:tc>
          <w:tcPr>
            <w:tcW w:w="2142" w:type="dxa"/>
          </w:tcPr>
          <w:p w:rsidR="00F23F4B" w:rsidRPr="006921A1" w:rsidRDefault="00F23F4B" w:rsidP="00F23F4B">
            <w:pPr>
              <w:rPr>
                <w:rFonts w:ascii="Times New Roman" w:hAnsi="Times New Roman" w:cs="Times New Roman"/>
                <w:sz w:val="22"/>
                <w:szCs w:val="22"/>
              </w:rPr>
            </w:pPr>
            <w:r w:rsidRPr="006921A1">
              <w:rPr>
                <w:rFonts w:ascii="Times New Roman" w:hAnsi="Times New Roman" w:cs="Times New Roman"/>
                <w:sz w:val="22"/>
                <w:szCs w:val="22"/>
              </w:rPr>
              <w:t>Ponavljanje VTE</w:t>
            </w:r>
          </w:p>
        </w:tc>
        <w:tc>
          <w:tcPr>
            <w:tcW w:w="15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sz w:val="22"/>
                <w:szCs w:val="22"/>
                <w:lang w:val="en-US"/>
              </w:rPr>
              <w:t>70 (2.0%)</w:t>
            </w:r>
          </w:p>
        </w:tc>
        <w:tc>
          <w:tcPr>
            <w:tcW w:w="1843"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en-US"/>
              </w:rPr>
              <w:t>23 (2.5</w:t>
            </w:r>
            <w:r w:rsidRPr="006921A1">
              <w:rPr>
                <w:rFonts w:ascii="Times New Roman" w:eastAsiaTheme="minorHAnsi" w:hAnsi="Times New Roman" w:cs="Times New Roman"/>
                <w:sz w:val="22"/>
                <w:szCs w:val="22"/>
                <w:lang w:val="pl-PL"/>
              </w:rPr>
              <w:t>%)</w:t>
            </w:r>
          </w:p>
        </w:tc>
        <w:tc>
          <w:tcPr>
            <w:tcW w:w="3223"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0.817, [ 0.499-1.336]</w:t>
            </w:r>
          </w:p>
        </w:tc>
      </w:tr>
      <w:tr w:rsidR="006921A1" w:rsidRPr="006921A1" w:rsidTr="00B508FF">
        <w:trPr>
          <w:trHeight w:val="102"/>
          <w:jc w:val="center"/>
        </w:trPr>
        <w:tc>
          <w:tcPr>
            <w:tcW w:w="2142" w:type="dxa"/>
          </w:tcPr>
          <w:p w:rsidR="00F23F4B" w:rsidRPr="006921A1" w:rsidRDefault="00F23F4B" w:rsidP="00F23F4B">
            <w:pPr>
              <w:rPr>
                <w:rFonts w:ascii="Times New Roman" w:hAnsi="Times New Roman" w:cs="Times New Roman"/>
                <w:sz w:val="22"/>
                <w:szCs w:val="22"/>
              </w:rPr>
            </w:pPr>
            <w:r w:rsidRPr="006921A1">
              <w:rPr>
                <w:rFonts w:ascii="Times New Roman" w:hAnsi="Times New Roman" w:cs="Times New Roman"/>
                <w:sz w:val="22"/>
                <w:szCs w:val="22"/>
              </w:rPr>
              <w:t>Veliko krvarenje</w:t>
            </w:r>
          </w:p>
        </w:tc>
        <w:tc>
          <w:tcPr>
            <w:tcW w:w="15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111 (3.1%)</w:t>
            </w:r>
          </w:p>
        </w:tc>
        <w:tc>
          <w:tcPr>
            <w:tcW w:w="1843"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18 (1.9%)</w:t>
            </w:r>
          </w:p>
        </w:tc>
        <w:tc>
          <w:tcPr>
            <w:tcW w:w="3223"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1.522, [ 0.899-2.577]</w:t>
            </w:r>
          </w:p>
        </w:tc>
      </w:tr>
      <w:tr w:rsidR="006921A1" w:rsidRPr="006921A1" w:rsidTr="00B508FF">
        <w:trPr>
          <w:trHeight w:val="229"/>
          <w:jc w:val="center"/>
        </w:trPr>
        <w:tc>
          <w:tcPr>
            <w:tcW w:w="2142" w:type="dxa"/>
          </w:tcPr>
          <w:p w:rsidR="00F23F4B" w:rsidRPr="006921A1" w:rsidRDefault="000824B6" w:rsidP="00F23F4B">
            <w:pPr>
              <w:rPr>
                <w:rFonts w:ascii="Times New Roman" w:hAnsi="Times New Roman" w:cs="Times New Roman"/>
                <w:sz w:val="22"/>
                <w:szCs w:val="22"/>
              </w:rPr>
            </w:pPr>
            <w:r>
              <w:rPr>
                <w:rFonts w:ascii="Times New Roman" w:hAnsi="Times New Roman" w:cs="Times New Roman"/>
                <w:sz w:val="22"/>
                <w:szCs w:val="22"/>
              </w:rPr>
              <w:t>Manje</w:t>
            </w:r>
            <w:r w:rsidR="00F23F4B" w:rsidRPr="006921A1">
              <w:rPr>
                <w:rFonts w:ascii="Times New Roman" w:hAnsi="Times New Roman" w:cs="Times New Roman"/>
                <w:sz w:val="22"/>
                <w:szCs w:val="22"/>
              </w:rPr>
              <w:t xml:space="preserve"> krvarenje</w:t>
            </w:r>
          </w:p>
        </w:tc>
        <w:tc>
          <w:tcPr>
            <w:tcW w:w="15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87 (2.5%)</w:t>
            </w:r>
          </w:p>
        </w:tc>
        <w:tc>
          <w:tcPr>
            <w:tcW w:w="1843"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24 (2.6%)</w:t>
            </w:r>
          </w:p>
        </w:tc>
        <w:tc>
          <w:tcPr>
            <w:tcW w:w="3223"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0.881, [0.550-1.410]</w:t>
            </w:r>
          </w:p>
        </w:tc>
      </w:tr>
      <w:tr w:rsidR="00F23F4B" w:rsidRPr="006921A1" w:rsidTr="00B508FF">
        <w:trPr>
          <w:trHeight w:val="102"/>
          <w:jc w:val="center"/>
        </w:trPr>
        <w:tc>
          <w:tcPr>
            <w:tcW w:w="2142" w:type="dxa"/>
          </w:tcPr>
          <w:p w:rsidR="00F23F4B" w:rsidRPr="006921A1" w:rsidRDefault="000824B6" w:rsidP="00F23F4B">
            <w:pPr>
              <w:rPr>
                <w:rFonts w:ascii="Times New Roman" w:hAnsi="Times New Roman" w:cs="Times New Roman"/>
                <w:sz w:val="22"/>
                <w:szCs w:val="22"/>
              </w:rPr>
            </w:pPr>
            <w:r>
              <w:rPr>
                <w:rFonts w:ascii="Times New Roman" w:hAnsi="Times New Roman" w:cs="Times New Roman"/>
                <w:sz w:val="22"/>
                <w:szCs w:val="22"/>
              </w:rPr>
              <w:t>U</w:t>
            </w:r>
            <w:r w:rsidR="00F23F4B" w:rsidRPr="006921A1">
              <w:rPr>
                <w:rFonts w:ascii="Times New Roman" w:hAnsi="Times New Roman" w:cs="Times New Roman"/>
                <w:sz w:val="22"/>
                <w:szCs w:val="22"/>
              </w:rPr>
              <w:t>kupna smrt</w:t>
            </w:r>
          </w:p>
        </w:tc>
        <w:tc>
          <w:tcPr>
            <w:tcW w:w="15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666 (18.9%)</w:t>
            </w:r>
          </w:p>
        </w:tc>
        <w:tc>
          <w:tcPr>
            <w:tcW w:w="1843"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157 (17.0%)</w:t>
            </w:r>
          </w:p>
        </w:tc>
        <w:tc>
          <w:tcPr>
            <w:tcW w:w="3223"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0.974, [ 0.813-1.165]</w:t>
            </w:r>
          </w:p>
        </w:tc>
      </w:tr>
    </w:tbl>
    <w:p w:rsidR="00F23F4B" w:rsidRPr="006921A1" w:rsidRDefault="00F23F4B" w:rsidP="00F23F4B">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F23F4B" w:rsidRPr="006921A1" w:rsidRDefault="00F23F4B" w:rsidP="00F23F4B">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U nastavku je dat pregled ishoda po režimu l</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ečenja koji je korišćen u RIETECAT studiji među onima koji su završili 6 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eseci:</w:t>
      </w:r>
    </w:p>
    <w:p w:rsidR="00F23F4B" w:rsidRPr="006921A1" w:rsidRDefault="00F23F4B" w:rsidP="00F23F4B">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F23F4B" w:rsidRPr="00B508FF" w:rsidRDefault="00F23F4B" w:rsidP="00B508FF">
      <w:pPr>
        <w:autoSpaceDE w:val="0"/>
        <w:autoSpaceDN w:val="0"/>
        <w:adjustRightInd w:val="0"/>
        <w:spacing w:after="0" w:line="240" w:lineRule="auto"/>
        <w:jc w:val="center"/>
        <w:rPr>
          <w:rFonts w:ascii="Times New Roman" w:eastAsia="TimesNewRoman" w:hAnsi="Times New Roman" w:cs="Times New Roman"/>
          <w:b/>
          <w:sz w:val="22"/>
          <w:szCs w:val="22"/>
          <w:lang w:val="sr-Latn-RS"/>
        </w:rPr>
      </w:pPr>
      <w:r w:rsidRPr="00B508FF">
        <w:rPr>
          <w:rFonts w:ascii="Times New Roman" w:eastAsia="TimesNewRoman" w:hAnsi="Times New Roman" w:cs="Times New Roman"/>
          <w:b/>
          <w:sz w:val="22"/>
          <w:szCs w:val="22"/>
          <w:lang w:val="sr-Latn-RS"/>
        </w:rPr>
        <w:t>Tabela: 6-m</w:t>
      </w:r>
      <w:r w:rsidR="006251D4" w:rsidRPr="00B508FF">
        <w:rPr>
          <w:rFonts w:ascii="Times New Roman" w:eastAsia="TimesNewRoman" w:hAnsi="Times New Roman" w:cs="Times New Roman"/>
          <w:b/>
          <w:sz w:val="22"/>
          <w:szCs w:val="22"/>
          <w:lang w:val="sr-Latn-RS"/>
        </w:rPr>
        <w:t>j</w:t>
      </w:r>
      <w:r w:rsidRPr="00B508FF">
        <w:rPr>
          <w:rFonts w:ascii="Times New Roman" w:eastAsia="TimesNewRoman" w:hAnsi="Times New Roman" w:cs="Times New Roman"/>
          <w:b/>
          <w:sz w:val="22"/>
          <w:szCs w:val="22"/>
          <w:lang w:val="sr-Latn-RS"/>
        </w:rPr>
        <w:t>esečni ishodi kod pacijenata koji završavaju 6-m</w:t>
      </w:r>
      <w:r w:rsidR="006251D4" w:rsidRPr="00B508FF">
        <w:rPr>
          <w:rFonts w:ascii="Times New Roman" w:eastAsia="TimesNewRoman" w:hAnsi="Times New Roman" w:cs="Times New Roman"/>
          <w:b/>
          <w:sz w:val="22"/>
          <w:szCs w:val="22"/>
          <w:lang w:val="sr-Latn-RS"/>
        </w:rPr>
        <w:t>je</w:t>
      </w:r>
      <w:r w:rsidRPr="00B508FF">
        <w:rPr>
          <w:rFonts w:ascii="Times New Roman" w:eastAsia="TimesNewRoman" w:hAnsi="Times New Roman" w:cs="Times New Roman"/>
          <w:b/>
          <w:sz w:val="22"/>
          <w:szCs w:val="22"/>
          <w:lang w:val="sr-Latn-RS"/>
        </w:rPr>
        <w:t>sečno l</w:t>
      </w:r>
      <w:r w:rsidR="006251D4" w:rsidRPr="00B508FF">
        <w:rPr>
          <w:rFonts w:ascii="Times New Roman" w:eastAsia="TimesNewRoman" w:hAnsi="Times New Roman" w:cs="Times New Roman"/>
          <w:b/>
          <w:sz w:val="22"/>
          <w:szCs w:val="22"/>
          <w:lang w:val="sr-Latn-RS"/>
        </w:rPr>
        <w:t>ij</w:t>
      </w:r>
      <w:r w:rsidRPr="00B508FF">
        <w:rPr>
          <w:rFonts w:ascii="Times New Roman" w:eastAsia="TimesNewRoman" w:hAnsi="Times New Roman" w:cs="Times New Roman"/>
          <w:b/>
          <w:sz w:val="22"/>
          <w:szCs w:val="22"/>
          <w:lang w:val="sr-Latn-RS"/>
        </w:rPr>
        <w:t>ečenje, po različitim režimima</w:t>
      </w:r>
      <w:r w:rsidR="00726ED6">
        <w:rPr>
          <w:rFonts w:ascii="Times New Roman" w:eastAsia="TimesNewRoman" w:hAnsi="Times New Roman" w:cs="Times New Roman"/>
          <w:b/>
          <w:sz w:val="22"/>
          <w:szCs w:val="22"/>
          <w:lang w:val="sr-Latn-RS"/>
        </w:rPr>
        <w:t xml:space="preserve"> doziranja</w:t>
      </w:r>
    </w:p>
    <w:p w:rsidR="00F23F4B" w:rsidRPr="006921A1" w:rsidRDefault="00F23F4B"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134"/>
        <w:gridCol w:w="1134"/>
        <w:gridCol w:w="1134"/>
        <w:gridCol w:w="1101"/>
        <w:gridCol w:w="1149"/>
        <w:gridCol w:w="1152"/>
        <w:gridCol w:w="1276"/>
      </w:tblGrid>
      <w:tr w:rsidR="006921A1" w:rsidRPr="006921A1" w:rsidTr="00F23F4B">
        <w:trPr>
          <w:trHeight w:val="290"/>
          <w:jc w:val="center"/>
        </w:trPr>
        <w:tc>
          <w:tcPr>
            <w:tcW w:w="1400" w:type="dxa"/>
            <w:vMerge w:val="restart"/>
            <w:vAlign w:val="center"/>
          </w:tcPr>
          <w:p w:rsidR="00F23F4B" w:rsidRPr="006921A1" w:rsidRDefault="00F23F4B" w:rsidP="00B508FF">
            <w:pPr>
              <w:autoSpaceDE w:val="0"/>
              <w:autoSpaceDN w:val="0"/>
              <w:adjustRightInd w:val="0"/>
              <w:spacing w:after="0"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b/>
                <w:bCs/>
                <w:sz w:val="22"/>
                <w:szCs w:val="22"/>
                <w:lang w:val="en-US"/>
              </w:rPr>
              <w:t>Ishod</w:t>
            </w:r>
          </w:p>
          <w:p w:rsidR="00F23F4B" w:rsidRPr="006921A1" w:rsidRDefault="00F23F4B" w:rsidP="00B508FF">
            <w:pPr>
              <w:autoSpaceDE w:val="0"/>
              <w:autoSpaceDN w:val="0"/>
              <w:adjustRightInd w:val="0"/>
              <w:spacing w:after="0" w:line="240" w:lineRule="auto"/>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b/>
                <w:bCs/>
                <w:sz w:val="22"/>
                <w:szCs w:val="22"/>
                <w:lang w:val="en-US"/>
              </w:rPr>
              <w:t>N (%)</w:t>
            </w:r>
          </w:p>
          <w:p w:rsidR="00F23F4B" w:rsidRPr="006921A1" w:rsidRDefault="00F23F4B" w:rsidP="00B508FF">
            <w:pPr>
              <w:autoSpaceDE w:val="0"/>
              <w:autoSpaceDN w:val="0"/>
              <w:adjustRightInd w:val="0"/>
              <w:spacing w:after="0" w:line="240" w:lineRule="auto"/>
              <w:rPr>
                <w:rFonts w:ascii="Times New Roman" w:eastAsiaTheme="minorHAnsi" w:hAnsi="Times New Roman" w:cs="Times New Roman"/>
                <w:sz w:val="22"/>
                <w:szCs w:val="22"/>
                <w:lang w:val="en-US"/>
              </w:rPr>
            </w:pPr>
            <w:r w:rsidRPr="006921A1">
              <w:rPr>
                <w:rFonts w:ascii="Times New Roman" w:eastAsiaTheme="minorHAnsi" w:hAnsi="Times New Roman" w:cs="Times New Roman"/>
                <w:b/>
                <w:bCs/>
                <w:sz w:val="22"/>
                <w:szCs w:val="22"/>
                <w:lang w:val="en-US"/>
              </w:rPr>
              <w:t>(95% CI)</w:t>
            </w:r>
          </w:p>
        </w:tc>
        <w:tc>
          <w:tcPr>
            <w:tcW w:w="1134" w:type="dxa"/>
            <w:vMerge w:val="restart"/>
            <w:vAlign w:val="center"/>
          </w:tcPr>
          <w:p w:rsidR="00F23F4B" w:rsidRPr="006921A1" w:rsidRDefault="00F23F4B" w:rsidP="00B508FF">
            <w:pPr>
              <w:autoSpaceDE w:val="0"/>
              <w:autoSpaceDN w:val="0"/>
              <w:adjustRightInd w:val="0"/>
              <w:spacing w:after="0" w:line="240" w:lineRule="auto"/>
              <w:rPr>
                <w:rFonts w:ascii="Times New Roman" w:eastAsiaTheme="minorHAnsi" w:hAnsi="Times New Roman" w:cs="Times New Roman"/>
                <w:sz w:val="22"/>
                <w:szCs w:val="22"/>
                <w:lang w:val="en-US"/>
              </w:rPr>
            </w:pPr>
            <w:r w:rsidRPr="006921A1">
              <w:rPr>
                <w:rFonts w:ascii="Times New Roman" w:eastAsiaTheme="minorHAnsi" w:hAnsi="Times New Roman" w:cs="Times New Roman"/>
                <w:b/>
                <w:bCs/>
                <w:sz w:val="22"/>
                <w:szCs w:val="22"/>
                <w:lang w:val="en-US"/>
              </w:rPr>
              <w:t>Enoksaparin u svim režimima</w:t>
            </w:r>
          </w:p>
        </w:tc>
        <w:tc>
          <w:tcPr>
            <w:tcW w:w="5670" w:type="dxa"/>
            <w:gridSpan w:val="5"/>
            <w:vAlign w:val="center"/>
          </w:tcPr>
          <w:p w:rsidR="00F23F4B" w:rsidRPr="006921A1" w:rsidRDefault="00F23F4B" w:rsidP="00B508FF">
            <w:pPr>
              <w:autoSpaceDE w:val="0"/>
              <w:autoSpaceDN w:val="0"/>
              <w:adjustRightInd w:val="0"/>
              <w:spacing w:after="0"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b/>
                <w:bCs/>
                <w:sz w:val="22"/>
                <w:szCs w:val="22"/>
                <w:lang w:val="en-US"/>
              </w:rPr>
              <w:t>Enoksaparin u svim režimima</w:t>
            </w:r>
            <w:r w:rsidR="00290C71">
              <w:rPr>
                <w:rFonts w:ascii="Times New Roman" w:eastAsiaTheme="minorHAnsi" w:hAnsi="Times New Roman" w:cs="Times New Roman"/>
                <w:b/>
                <w:bCs/>
                <w:sz w:val="22"/>
                <w:szCs w:val="22"/>
                <w:lang w:val="en-US"/>
              </w:rPr>
              <w:t xml:space="preserve"> doziranja</w:t>
            </w:r>
          </w:p>
        </w:tc>
        <w:tc>
          <w:tcPr>
            <w:tcW w:w="1276" w:type="dxa"/>
            <w:vMerge w:val="restart"/>
            <w:vAlign w:val="center"/>
          </w:tcPr>
          <w:p w:rsidR="00F23F4B" w:rsidRPr="006921A1" w:rsidRDefault="00F23F4B" w:rsidP="00B508FF">
            <w:pPr>
              <w:autoSpaceDE w:val="0"/>
              <w:autoSpaceDN w:val="0"/>
              <w:adjustRightInd w:val="0"/>
              <w:spacing w:after="0" w:line="240" w:lineRule="auto"/>
              <w:rPr>
                <w:rFonts w:ascii="Times New Roman" w:eastAsiaTheme="minorHAnsi" w:hAnsi="Times New Roman" w:cs="Times New Roman"/>
                <w:sz w:val="22"/>
                <w:szCs w:val="22"/>
                <w:lang w:val="en-US"/>
              </w:rPr>
            </w:pPr>
            <w:r w:rsidRPr="006921A1">
              <w:rPr>
                <w:rFonts w:ascii="Times New Roman" w:eastAsiaTheme="minorHAnsi" w:hAnsi="Times New Roman" w:cs="Times New Roman"/>
                <w:b/>
                <w:bCs/>
                <w:sz w:val="22"/>
                <w:szCs w:val="22"/>
                <w:lang w:val="en-US"/>
              </w:rPr>
              <w:t>EU-authorized LMWHs</w:t>
            </w:r>
          </w:p>
        </w:tc>
      </w:tr>
      <w:tr w:rsidR="006921A1" w:rsidRPr="006921A1" w:rsidTr="00F23F4B">
        <w:trPr>
          <w:trHeight w:val="290"/>
          <w:jc w:val="center"/>
        </w:trPr>
        <w:tc>
          <w:tcPr>
            <w:tcW w:w="1400" w:type="dxa"/>
            <w:vMerge/>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p>
        </w:tc>
        <w:tc>
          <w:tcPr>
            <w:tcW w:w="1134" w:type="dxa"/>
            <w:vMerge/>
            <w:vAlign w:val="center"/>
          </w:tcPr>
          <w:p w:rsidR="00F23F4B" w:rsidRPr="006921A1" w:rsidRDefault="00F23F4B" w:rsidP="00B508FF">
            <w:pPr>
              <w:autoSpaceDE w:val="0"/>
              <w:autoSpaceDN w:val="0"/>
              <w:adjustRightInd w:val="0"/>
              <w:spacing w:after="0" w:line="240" w:lineRule="auto"/>
              <w:jc w:val="center"/>
              <w:rPr>
                <w:rFonts w:ascii="Times New Roman" w:eastAsiaTheme="minorHAnsi" w:hAnsi="Times New Roman" w:cs="Times New Roman"/>
                <w:b/>
                <w:bCs/>
                <w:sz w:val="22"/>
                <w:szCs w:val="22"/>
                <w:lang w:val="en-US"/>
              </w:rPr>
            </w:pPr>
          </w:p>
        </w:tc>
        <w:tc>
          <w:tcPr>
            <w:tcW w:w="1134" w:type="dxa"/>
            <w:vAlign w:val="center"/>
          </w:tcPr>
          <w:p w:rsidR="00F23F4B" w:rsidRPr="006921A1" w:rsidRDefault="00F23F4B" w:rsidP="00B508FF">
            <w:pPr>
              <w:autoSpaceDE w:val="0"/>
              <w:autoSpaceDN w:val="0"/>
              <w:adjustRightInd w:val="0"/>
              <w:spacing w:after="0" w:line="240" w:lineRule="auto"/>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b/>
                <w:bCs/>
                <w:sz w:val="22"/>
                <w:szCs w:val="22"/>
                <w:lang w:val="en-US"/>
              </w:rPr>
              <w:t>Enoxaparin OD</w:t>
            </w:r>
          </w:p>
        </w:tc>
        <w:tc>
          <w:tcPr>
            <w:tcW w:w="1134" w:type="dxa"/>
            <w:vAlign w:val="center"/>
          </w:tcPr>
          <w:p w:rsidR="00F23F4B" w:rsidRPr="006921A1" w:rsidRDefault="00F23F4B" w:rsidP="00B508FF">
            <w:pPr>
              <w:autoSpaceDE w:val="0"/>
              <w:autoSpaceDN w:val="0"/>
              <w:adjustRightInd w:val="0"/>
              <w:spacing w:after="0" w:line="240" w:lineRule="auto"/>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b/>
                <w:bCs/>
                <w:sz w:val="22"/>
                <w:szCs w:val="22"/>
                <w:lang w:val="en-US"/>
              </w:rPr>
              <w:t>Enoxaparin BID</w:t>
            </w:r>
          </w:p>
        </w:tc>
        <w:tc>
          <w:tcPr>
            <w:tcW w:w="1101" w:type="dxa"/>
            <w:vAlign w:val="center"/>
          </w:tcPr>
          <w:p w:rsidR="00F23F4B" w:rsidRPr="006921A1" w:rsidRDefault="00F23F4B" w:rsidP="00B508FF">
            <w:pPr>
              <w:autoSpaceDE w:val="0"/>
              <w:autoSpaceDN w:val="0"/>
              <w:adjustRightInd w:val="0"/>
              <w:spacing w:after="0" w:line="240" w:lineRule="auto"/>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b/>
                <w:bCs/>
                <w:sz w:val="22"/>
                <w:szCs w:val="22"/>
                <w:lang w:val="en-US"/>
              </w:rPr>
              <w:t>Enoxaparin BID to OD</w:t>
            </w:r>
          </w:p>
        </w:tc>
        <w:tc>
          <w:tcPr>
            <w:tcW w:w="1149" w:type="dxa"/>
            <w:vAlign w:val="center"/>
          </w:tcPr>
          <w:p w:rsidR="00F23F4B" w:rsidRPr="006921A1" w:rsidRDefault="00F23F4B" w:rsidP="00B508FF">
            <w:pPr>
              <w:autoSpaceDE w:val="0"/>
              <w:autoSpaceDN w:val="0"/>
              <w:adjustRightInd w:val="0"/>
              <w:spacing w:after="0" w:line="240" w:lineRule="auto"/>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b/>
                <w:bCs/>
                <w:sz w:val="22"/>
                <w:szCs w:val="22"/>
                <w:lang w:val="en-US"/>
              </w:rPr>
              <w:t xml:space="preserve">Enoxaparin OD to </w:t>
            </w:r>
            <w:r w:rsidRPr="006921A1">
              <w:rPr>
                <w:rFonts w:ascii="Times New Roman" w:eastAsiaTheme="minorHAnsi" w:hAnsi="Times New Roman" w:cs="Times New Roman"/>
                <w:b/>
                <w:bCs/>
                <w:sz w:val="22"/>
                <w:szCs w:val="22"/>
                <w:lang w:val="pl-PL"/>
              </w:rPr>
              <w:t>BID</w:t>
            </w:r>
          </w:p>
        </w:tc>
        <w:tc>
          <w:tcPr>
            <w:tcW w:w="1152" w:type="dxa"/>
            <w:vAlign w:val="center"/>
          </w:tcPr>
          <w:p w:rsidR="00F23F4B" w:rsidRPr="006921A1" w:rsidRDefault="00F23F4B" w:rsidP="00B508FF">
            <w:pPr>
              <w:autoSpaceDE w:val="0"/>
              <w:autoSpaceDN w:val="0"/>
              <w:adjustRightInd w:val="0"/>
              <w:spacing w:after="0" w:line="240" w:lineRule="auto"/>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b/>
                <w:bCs/>
                <w:sz w:val="22"/>
                <w:szCs w:val="22"/>
                <w:lang w:val="en-US"/>
              </w:rPr>
              <w:t>Enoxaparin More than one switch</w:t>
            </w:r>
          </w:p>
        </w:tc>
        <w:tc>
          <w:tcPr>
            <w:tcW w:w="1276" w:type="dxa"/>
            <w:vMerge/>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p>
        </w:tc>
      </w:tr>
      <w:tr w:rsidR="006921A1" w:rsidRPr="006921A1" w:rsidTr="00F23F4B">
        <w:trPr>
          <w:trHeight w:val="290"/>
          <w:jc w:val="center"/>
        </w:trPr>
        <w:tc>
          <w:tcPr>
            <w:tcW w:w="1400" w:type="dxa"/>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p>
        </w:tc>
        <w:tc>
          <w:tcPr>
            <w:tcW w:w="1134" w:type="dxa"/>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sz w:val="22"/>
                <w:szCs w:val="22"/>
                <w:lang w:val="pl-PL"/>
              </w:rPr>
              <w:t>N=1432</w:t>
            </w:r>
          </w:p>
        </w:tc>
        <w:tc>
          <w:tcPr>
            <w:tcW w:w="1134" w:type="dxa"/>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sz w:val="22"/>
                <w:szCs w:val="22"/>
                <w:lang w:val="pl-PL"/>
              </w:rPr>
              <w:t>N=444</w:t>
            </w:r>
          </w:p>
        </w:tc>
        <w:tc>
          <w:tcPr>
            <w:tcW w:w="1134" w:type="dxa"/>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sz w:val="22"/>
                <w:szCs w:val="22"/>
                <w:lang w:val="pl-PL"/>
              </w:rPr>
              <w:t>N=529</w:t>
            </w:r>
          </w:p>
        </w:tc>
        <w:tc>
          <w:tcPr>
            <w:tcW w:w="1101" w:type="dxa"/>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sz w:val="22"/>
                <w:szCs w:val="22"/>
                <w:lang w:val="pl-PL"/>
              </w:rPr>
              <w:t>N=406</w:t>
            </w:r>
          </w:p>
        </w:tc>
        <w:tc>
          <w:tcPr>
            <w:tcW w:w="1149" w:type="dxa"/>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sz w:val="22"/>
                <w:szCs w:val="22"/>
                <w:lang w:val="pl-PL"/>
              </w:rPr>
              <w:t>N=14</w:t>
            </w:r>
          </w:p>
        </w:tc>
        <w:tc>
          <w:tcPr>
            <w:tcW w:w="1152" w:type="dxa"/>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sz w:val="22"/>
                <w:szCs w:val="22"/>
                <w:lang w:val="pl-PL"/>
              </w:rPr>
              <w:t>N=39</w:t>
            </w:r>
          </w:p>
        </w:tc>
        <w:tc>
          <w:tcPr>
            <w:tcW w:w="1276" w:type="dxa"/>
            <w:vAlign w:val="center"/>
          </w:tcPr>
          <w:p w:rsidR="00F23F4B" w:rsidRPr="006921A1" w:rsidRDefault="00F23F4B" w:rsidP="00110E81">
            <w:pPr>
              <w:autoSpaceDE w:val="0"/>
              <w:autoSpaceDN w:val="0"/>
              <w:adjustRightInd w:val="0"/>
              <w:spacing w:line="240" w:lineRule="auto"/>
              <w:jc w:val="center"/>
              <w:rPr>
                <w:rFonts w:ascii="Times New Roman" w:eastAsiaTheme="minorHAnsi" w:hAnsi="Times New Roman" w:cs="Times New Roman"/>
                <w:b/>
                <w:bCs/>
                <w:sz w:val="22"/>
                <w:szCs w:val="22"/>
                <w:lang w:val="en-US"/>
              </w:rPr>
            </w:pPr>
            <w:r w:rsidRPr="006921A1">
              <w:rPr>
                <w:rFonts w:ascii="Times New Roman" w:eastAsiaTheme="minorHAnsi" w:hAnsi="Times New Roman" w:cs="Times New Roman"/>
                <w:sz w:val="22"/>
                <w:szCs w:val="22"/>
                <w:lang w:val="pl-PL"/>
              </w:rPr>
              <w:t>N=428</w:t>
            </w:r>
          </w:p>
        </w:tc>
      </w:tr>
      <w:tr w:rsidR="006921A1" w:rsidRPr="006921A1" w:rsidTr="00F23F4B">
        <w:trPr>
          <w:trHeight w:val="231"/>
          <w:jc w:val="center"/>
        </w:trPr>
        <w:tc>
          <w:tcPr>
            <w:tcW w:w="1400" w:type="dxa"/>
          </w:tcPr>
          <w:p w:rsidR="00F23F4B" w:rsidRPr="006921A1" w:rsidRDefault="00F23F4B" w:rsidP="00B508FF">
            <w:pPr>
              <w:spacing w:after="0"/>
              <w:rPr>
                <w:rFonts w:ascii="Times New Roman" w:hAnsi="Times New Roman" w:cs="Times New Roman"/>
                <w:sz w:val="22"/>
                <w:szCs w:val="22"/>
              </w:rPr>
            </w:pPr>
            <w:r w:rsidRPr="006921A1">
              <w:rPr>
                <w:rFonts w:ascii="Times New Roman" w:hAnsi="Times New Roman" w:cs="Times New Roman"/>
                <w:sz w:val="22"/>
                <w:szCs w:val="22"/>
              </w:rPr>
              <w:t>Ponavljanje VTE</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70 </w:t>
            </w:r>
            <w:r w:rsidRPr="006921A1">
              <w:rPr>
                <w:rFonts w:ascii="Times New Roman" w:eastAsiaTheme="minorHAnsi" w:hAnsi="Times New Roman" w:cs="Times New Roman"/>
                <w:sz w:val="22"/>
                <w:szCs w:val="22"/>
                <w:lang w:val="pl-PL"/>
              </w:rPr>
              <w:br/>
              <w:t>(4.9%) (3.8%-6.0%)</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33 </w:t>
            </w:r>
            <w:r w:rsidRPr="006921A1">
              <w:rPr>
                <w:rFonts w:ascii="Times New Roman" w:eastAsiaTheme="minorHAnsi" w:hAnsi="Times New Roman" w:cs="Times New Roman"/>
                <w:sz w:val="22"/>
                <w:szCs w:val="22"/>
                <w:lang w:val="pl-PL"/>
              </w:rPr>
              <w:br/>
              <w:t>(7.4%) (5.0%-9.9%)</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sz w:val="22"/>
                <w:szCs w:val="22"/>
                <w:lang w:val="en-US"/>
              </w:rPr>
              <w:t xml:space="preserve">22 </w:t>
            </w:r>
            <w:r w:rsidRPr="006921A1">
              <w:rPr>
                <w:rFonts w:ascii="Times New Roman" w:eastAsiaTheme="minorHAnsi" w:hAnsi="Times New Roman" w:cs="Times New Roman"/>
                <w:sz w:val="22"/>
                <w:szCs w:val="22"/>
                <w:lang w:val="en-US"/>
              </w:rPr>
              <w:br/>
              <w:t>(4.2%) (2.5%-5.9%)</w:t>
            </w:r>
          </w:p>
        </w:tc>
        <w:tc>
          <w:tcPr>
            <w:tcW w:w="1101"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sz w:val="22"/>
                <w:szCs w:val="22"/>
                <w:lang w:val="en-US"/>
              </w:rPr>
              <w:t xml:space="preserve">10 </w:t>
            </w:r>
            <w:r w:rsidRPr="006921A1">
              <w:rPr>
                <w:rFonts w:ascii="Times New Roman" w:eastAsiaTheme="minorHAnsi" w:hAnsi="Times New Roman" w:cs="Times New Roman"/>
                <w:sz w:val="22"/>
                <w:szCs w:val="22"/>
                <w:lang w:val="en-US"/>
              </w:rPr>
              <w:br/>
              <w:t>(2.5%) (0.9%-4.0%)</w:t>
            </w:r>
          </w:p>
        </w:tc>
        <w:tc>
          <w:tcPr>
            <w:tcW w:w="1149"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sz w:val="22"/>
                <w:szCs w:val="22"/>
                <w:lang w:val="en-US"/>
              </w:rPr>
              <w:t xml:space="preserve">1 </w:t>
            </w:r>
            <w:r w:rsidRPr="006921A1">
              <w:rPr>
                <w:rFonts w:ascii="Times New Roman" w:eastAsiaTheme="minorHAnsi" w:hAnsi="Times New Roman" w:cs="Times New Roman"/>
                <w:sz w:val="22"/>
                <w:szCs w:val="22"/>
                <w:lang w:val="en-US"/>
              </w:rPr>
              <w:br/>
              <w:t>(7.1%)</w:t>
            </w:r>
          </w:p>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sz w:val="22"/>
                <w:szCs w:val="22"/>
                <w:lang w:val="en-US"/>
              </w:rPr>
              <w:t>(0%-22.6%)</w:t>
            </w:r>
          </w:p>
        </w:tc>
        <w:tc>
          <w:tcPr>
            <w:tcW w:w="1152"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sz w:val="22"/>
                <w:szCs w:val="22"/>
                <w:lang w:val="en-US"/>
              </w:rPr>
              <w:t xml:space="preserve">4 </w:t>
            </w:r>
            <w:r w:rsidRPr="006921A1">
              <w:rPr>
                <w:rFonts w:ascii="Times New Roman" w:eastAsiaTheme="minorHAnsi" w:hAnsi="Times New Roman" w:cs="Times New Roman"/>
                <w:sz w:val="22"/>
                <w:szCs w:val="22"/>
                <w:lang w:val="en-US"/>
              </w:rPr>
              <w:br/>
              <w:t>(10.3%)</w:t>
            </w:r>
          </w:p>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sz w:val="22"/>
                <w:szCs w:val="22"/>
                <w:lang w:val="en-US"/>
              </w:rPr>
              <w:t>(0.3%-20.2%)</w:t>
            </w:r>
          </w:p>
        </w:tc>
        <w:tc>
          <w:tcPr>
            <w:tcW w:w="12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en-US"/>
              </w:rPr>
            </w:pPr>
            <w:r w:rsidRPr="006921A1">
              <w:rPr>
                <w:rFonts w:ascii="Times New Roman" w:eastAsiaTheme="minorHAnsi" w:hAnsi="Times New Roman" w:cs="Times New Roman"/>
                <w:sz w:val="22"/>
                <w:szCs w:val="22"/>
                <w:lang w:val="en-US"/>
              </w:rPr>
              <w:t xml:space="preserve">23 </w:t>
            </w:r>
            <w:r w:rsidRPr="006921A1">
              <w:rPr>
                <w:rFonts w:ascii="Times New Roman" w:eastAsiaTheme="minorHAnsi" w:hAnsi="Times New Roman" w:cs="Times New Roman"/>
                <w:sz w:val="22"/>
                <w:szCs w:val="22"/>
                <w:lang w:val="en-US"/>
              </w:rPr>
              <w:br/>
              <w:t>(5.4%) (3.2%-7.5%)</w:t>
            </w:r>
          </w:p>
        </w:tc>
      </w:tr>
      <w:tr w:rsidR="006921A1" w:rsidRPr="006921A1" w:rsidTr="00F23F4B">
        <w:trPr>
          <w:trHeight w:val="771"/>
          <w:jc w:val="center"/>
        </w:trPr>
        <w:tc>
          <w:tcPr>
            <w:tcW w:w="1400" w:type="dxa"/>
          </w:tcPr>
          <w:p w:rsidR="00F23F4B" w:rsidRPr="006921A1" w:rsidRDefault="00F23F4B" w:rsidP="00B508FF">
            <w:pPr>
              <w:spacing w:after="0"/>
              <w:rPr>
                <w:rFonts w:ascii="Times New Roman" w:hAnsi="Times New Roman" w:cs="Times New Roman"/>
                <w:sz w:val="22"/>
                <w:szCs w:val="22"/>
              </w:rPr>
            </w:pPr>
            <w:r w:rsidRPr="006921A1">
              <w:rPr>
                <w:rFonts w:ascii="Times New Roman" w:hAnsi="Times New Roman" w:cs="Times New Roman"/>
                <w:sz w:val="22"/>
                <w:szCs w:val="22"/>
              </w:rPr>
              <w:t>Veliko krvarenje</w:t>
            </w:r>
          </w:p>
          <w:p w:rsidR="00F23F4B" w:rsidRPr="006921A1" w:rsidRDefault="00F23F4B" w:rsidP="00B508FF">
            <w:pPr>
              <w:spacing w:after="0"/>
              <w:rPr>
                <w:rFonts w:ascii="Times New Roman" w:hAnsi="Times New Roman" w:cs="Times New Roman"/>
                <w:sz w:val="22"/>
                <w:szCs w:val="22"/>
              </w:rPr>
            </w:pPr>
            <w:r w:rsidRPr="006921A1">
              <w:rPr>
                <w:rFonts w:ascii="Times New Roman" w:hAnsi="Times New Roman" w:cs="Times New Roman"/>
                <w:sz w:val="22"/>
                <w:szCs w:val="22"/>
              </w:rPr>
              <w:t>(fatalno i nefatalno)</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en-US"/>
              </w:rPr>
              <w:t>11</w:t>
            </w:r>
            <w:r w:rsidRPr="006921A1">
              <w:rPr>
                <w:rFonts w:ascii="Times New Roman" w:eastAsiaTheme="minorHAnsi" w:hAnsi="Times New Roman" w:cs="Times New Roman"/>
                <w:sz w:val="22"/>
                <w:szCs w:val="22"/>
                <w:lang w:val="pl-PL"/>
              </w:rPr>
              <w:t>1 (7.8%) (6.4%-9.1%)</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31 </w:t>
            </w:r>
            <w:r w:rsidRPr="006921A1">
              <w:rPr>
                <w:rFonts w:ascii="Times New Roman" w:eastAsiaTheme="minorHAnsi" w:hAnsi="Times New Roman" w:cs="Times New Roman"/>
                <w:sz w:val="22"/>
                <w:szCs w:val="22"/>
                <w:lang w:val="pl-PL"/>
              </w:rPr>
              <w:br/>
              <w:t>(7.0%) (4.6%-9.4%)</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52 </w:t>
            </w:r>
            <w:r w:rsidRPr="006921A1">
              <w:rPr>
                <w:rFonts w:ascii="Times New Roman" w:eastAsiaTheme="minorHAnsi" w:hAnsi="Times New Roman" w:cs="Times New Roman"/>
                <w:sz w:val="22"/>
                <w:szCs w:val="22"/>
                <w:lang w:val="pl-PL"/>
              </w:rPr>
              <w:br/>
              <w:t>(9.8%) (7.3%-12.4%)</w:t>
            </w:r>
          </w:p>
        </w:tc>
        <w:tc>
          <w:tcPr>
            <w:tcW w:w="1101"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21 </w:t>
            </w:r>
            <w:r w:rsidRPr="006921A1">
              <w:rPr>
                <w:rFonts w:ascii="Times New Roman" w:eastAsiaTheme="minorHAnsi" w:hAnsi="Times New Roman" w:cs="Times New Roman"/>
                <w:sz w:val="22"/>
                <w:szCs w:val="22"/>
                <w:lang w:val="pl-PL"/>
              </w:rPr>
              <w:br/>
              <w:t>(5.2%) (3.0%-7.3%)</w:t>
            </w:r>
          </w:p>
        </w:tc>
        <w:tc>
          <w:tcPr>
            <w:tcW w:w="1149"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1 </w:t>
            </w:r>
            <w:r w:rsidRPr="006921A1">
              <w:rPr>
                <w:rFonts w:ascii="Times New Roman" w:eastAsiaTheme="minorHAnsi" w:hAnsi="Times New Roman" w:cs="Times New Roman"/>
                <w:sz w:val="22"/>
                <w:szCs w:val="22"/>
                <w:lang w:val="pl-PL"/>
              </w:rPr>
              <w:br/>
              <w:t>(7.1%)</w:t>
            </w:r>
          </w:p>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(0%-22.6%)</w:t>
            </w:r>
          </w:p>
        </w:tc>
        <w:tc>
          <w:tcPr>
            <w:tcW w:w="1152"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6 </w:t>
            </w:r>
            <w:r w:rsidRPr="006921A1">
              <w:rPr>
                <w:rFonts w:ascii="Times New Roman" w:eastAsiaTheme="minorHAnsi" w:hAnsi="Times New Roman" w:cs="Times New Roman"/>
                <w:sz w:val="22"/>
                <w:szCs w:val="22"/>
                <w:lang w:val="pl-PL"/>
              </w:rPr>
              <w:br/>
              <w:t>(15.4%)</w:t>
            </w:r>
          </w:p>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(3.5%-27.2%)</w:t>
            </w:r>
          </w:p>
        </w:tc>
        <w:tc>
          <w:tcPr>
            <w:tcW w:w="12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18 </w:t>
            </w:r>
            <w:r w:rsidRPr="006921A1">
              <w:rPr>
                <w:rFonts w:ascii="Times New Roman" w:eastAsiaTheme="minorHAnsi" w:hAnsi="Times New Roman" w:cs="Times New Roman"/>
                <w:sz w:val="22"/>
                <w:szCs w:val="22"/>
                <w:lang w:val="pl-PL"/>
              </w:rPr>
              <w:br/>
              <w:t>(4.2%) (2.3%-6.1%)</w:t>
            </w:r>
          </w:p>
        </w:tc>
      </w:tr>
      <w:tr w:rsidR="006921A1" w:rsidRPr="006921A1" w:rsidTr="00F23F4B">
        <w:trPr>
          <w:trHeight w:val="743"/>
          <w:jc w:val="center"/>
        </w:trPr>
        <w:tc>
          <w:tcPr>
            <w:tcW w:w="1400" w:type="dxa"/>
          </w:tcPr>
          <w:p w:rsidR="00F23F4B" w:rsidRPr="006921A1" w:rsidRDefault="00EC10E9" w:rsidP="00B508FF">
            <w:pPr>
              <w:spacing w:after="0"/>
              <w:rPr>
                <w:rFonts w:ascii="Times New Roman" w:hAnsi="Times New Roman" w:cs="Times New Roman"/>
                <w:sz w:val="22"/>
                <w:szCs w:val="22"/>
              </w:rPr>
            </w:pPr>
            <w:r>
              <w:rPr>
                <w:rFonts w:ascii="Times New Roman" w:hAnsi="Times New Roman" w:cs="Times New Roman"/>
                <w:sz w:val="22"/>
                <w:szCs w:val="22"/>
              </w:rPr>
              <w:t>Manja</w:t>
            </w:r>
            <w:r w:rsidRPr="006921A1">
              <w:rPr>
                <w:rFonts w:ascii="Times New Roman" w:hAnsi="Times New Roman" w:cs="Times New Roman"/>
                <w:sz w:val="22"/>
                <w:szCs w:val="22"/>
              </w:rPr>
              <w:t xml:space="preserve"> </w:t>
            </w:r>
            <w:r w:rsidR="00F23F4B" w:rsidRPr="006921A1">
              <w:rPr>
                <w:rFonts w:ascii="Times New Roman" w:hAnsi="Times New Roman" w:cs="Times New Roman"/>
                <w:sz w:val="22"/>
                <w:szCs w:val="22"/>
              </w:rPr>
              <w:t>krvarenja kliničkog značaja</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87 </w:t>
            </w:r>
            <w:r w:rsidRPr="006921A1">
              <w:rPr>
                <w:rFonts w:ascii="Times New Roman" w:eastAsiaTheme="minorHAnsi" w:hAnsi="Times New Roman" w:cs="Times New Roman"/>
                <w:sz w:val="22"/>
                <w:szCs w:val="22"/>
                <w:lang w:val="pl-PL"/>
              </w:rPr>
              <w:br/>
              <w:t>(6.1%) (4.8%-7.3%)</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26 </w:t>
            </w:r>
            <w:r w:rsidRPr="006921A1">
              <w:rPr>
                <w:rFonts w:ascii="Times New Roman" w:eastAsiaTheme="minorHAnsi" w:hAnsi="Times New Roman" w:cs="Times New Roman"/>
                <w:sz w:val="22"/>
                <w:szCs w:val="22"/>
                <w:lang w:val="pl-PL"/>
              </w:rPr>
              <w:br/>
              <w:t>(5.9%) (3.7%-8.0%)</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33 </w:t>
            </w:r>
            <w:r w:rsidRPr="006921A1">
              <w:rPr>
                <w:rFonts w:ascii="Times New Roman" w:eastAsiaTheme="minorHAnsi" w:hAnsi="Times New Roman" w:cs="Times New Roman"/>
                <w:sz w:val="22"/>
                <w:szCs w:val="22"/>
                <w:lang w:val="pl-PL"/>
              </w:rPr>
              <w:br/>
              <w:t>(6.2%) (4.2%-8.3%)</w:t>
            </w:r>
          </w:p>
        </w:tc>
        <w:tc>
          <w:tcPr>
            <w:tcW w:w="1101"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23 </w:t>
            </w:r>
            <w:r w:rsidRPr="006921A1">
              <w:rPr>
                <w:rFonts w:ascii="Times New Roman" w:eastAsiaTheme="minorHAnsi" w:hAnsi="Times New Roman" w:cs="Times New Roman"/>
                <w:sz w:val="22"/>
                <w:szCs w:val="22"/>
                <w:lang w:val="pl-PL"/>
              </w:rPr>
              <w:br/>
              <w:t>(5.7%) (3.4%-7.9%)</w:t>
            </w:r>
          </w:p>
        </w:tc>
        <w:tc>
          <w:tcPr>
            <w:tcW w:w="1149"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1 </w:t>
            </w:r>
            <w:r w:rsidRPr="006921A1">
              <w:rPr>
                <w:rFonts w:ascii="Times New Roman" w:eastAsiaTheme="minorHAnsi" w:hAnsi="Times New Roman" w:cs="Times New Roman"/>
                <w:sz w:val="22"/>
                <w:szCs w:val="22"/>
                <w:lang w:val="pl-PL"/>
              </w:rPr>
              <w:br/>
              <w:t>(7.1%)</w:t>
            </w:r>
          </w:p>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(0%-22.6%)</w:t>
            </w:r>
          </w:p>
        </w:tc>
        <w:tc>
          <w:tcPr>
            <w:tcW w:w="1152"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4 </w:t>
            </w:r>
            <w:r w:rsidRPr="006921A1">
              <w:rPr>
                <w:rFonts w:ascii="Times New Roman" w:eastAsiaTheme="minorHAnsi" w:hAnsi="Times New Roman" w:cs="Times New Roman"/>
                <w:sz w:val="22"/>
                <w:szCs w:val="22"/>
                <w:lang w:val="pl-PL"/>
              </w:rPr>
              <w:br/>
              <w:t>(10.3%)</w:t>
            </w:r>
          </w:p>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(0.3%-20.2%)</w:t>
            </w:r>
          </w:p>
        </w:tc>
        <w:tc>
          <w:tcPr>
            <w:tcW w:w="12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24 </w:t>
            </w:r>
            <w:r w:rsidRPr="006921A1">
              <w:rPr>
                <w:rFonts w:ascii="Times New Roman" w:eastAsiaTheme="minorHAnsi" w:hAnsi="Times New Roman" w:cs="Times New Roman"/>
                <w:sz w:val="22"/>
                <w:szCs w:val="22"/>
                <w:lang w:val="pl-PL"/>
              </w:rPr>
              <w:br/>
              <w:t>(5.6%) (3.4%-7.8%)</w:t>
            </w:r>
          </w:p>
        </w:tc>
      </w:tr>
      <w:tr w:rsidR="006921A1" w:rsidRPr="006921A1" w:rsidTr="00F23F4B">
        <w:trPr>
          <w:trHeight w:val="573"/>
          <w:jc w:val="center"/>
        </w:trPr>
        <w:tc>
          <w:tcPr>
            <w:tcW w:w="1400" w:type="dxa"/>
          </w:tcPr>
          <w:p w:rsidR="00F23F4B" w:rsidRPr="006921A1" w:rsidRDefault="00F23F4B" w:rsidP="00B508FF">
            <w:pPr>
              <w:spacing w:after="0"/>
              <w:rPr>
                <w:rFonts w:ascii="Times New Roman" w:hAnsi="Times New Roman" w:cs="Times New Roman"/>
                <w:sz w:val="22"/>
                <w:szCs w:val="22"/>
              </w:rPr>
            </w:pPr>
            <w:r w:rsidRPr="006921A1">
              <w:rPr>
                <w:rFonts w:ascii="Times New Roman" w:hAnsi="Times New Roman" w:cs="Times New Roman"/>
                <w:sz w:val="22"/>
                <w:szCs w:val="22"/>
              </w:rPr>
              <w:t>Smrt od svih uzroka</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666 </w:t>
            </w:r>
            <w:r w:rsidRPr="006921A1">
              <w:rPr>
                <w:rFonts w:ascii="Times New Roman" w:eastAsiaTheme="minorHAnsi" w:hAnsi="Times New Roman" w:cs="Times New Roman"/>
                <w:sz w:val="22"/>
                <w:szCs w:val="22"/>
                <w:lang w:val="pl-PL"/>
              </w:rPr>
              <w:br/>
              <w:t>(46.5%) (43.9%- 49.1%)</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175 </w:t>
            </w:r>
            <w:r w:rsidRPr="006921A1">
              <w:rPr>
                <w:rFonts w:ascii="Times New Roman" w:eastAsiaTheme="minorHAnsi" w:hAnsi="Times New Roman" w:cs="Times New Roman"/>
                <w:sz w:val="22"/>
                <w:szCs w:val="22"/>
                <w:lang w:val="pl-PL"/>
              </w:rPr>
              <w:br/>
              <w:t>(39.4%) (34.9%-44.0%)</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323 </w:t>
            </w:r>
            <w:r w:rsidRPr="006921A1">
              <w:rPr>
                <w:rFonts w:ascii="Times New Roman" w:eastAsiaTheme="minorHAnsi" w:hAnsi="Times New Roman" w:cs="Times New Roman"/>
                <w:sz w:val="22"/>
                <w:szCs w:val="22"/>
                <w:lang w:val="pl-PL"/>
              </w:rPr>
              <w:br/>
              <w:t>(61.1%) (56.9%-65.2%)</w:t>
            </w:r>
          </w:p>
        </w:tc>
        <w:tc>
          <w:tcPr>
            <w:tcW w:w="1101"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146 </w:t>
            </w:r>
            <w:r w:rsidRPr="006921A1">
              <w:rPr>
                <w:rFonts w:ascii="Times New Roman" w:eastAsiaTheme="minorHAnsi" w:hAnsi="Times New Roman" w:cs="Times New Roman"/>
                <w:sz w:val="22"/>
                <w:szCs w:val="22"/>
                <w:lang w:val="pl-PL"/>
              </w:rPr>
              <w:br/>
              <w:t>(36.0%) (31.3%-40.6%)</w:t>
            </w:r>
          </w:p>
        </w:tc>
        <w:tc>
          <w:tcPr>
            <w:tcW w:w="1149"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6 </w:t>
            </w:r>
            <w:r w:rsidRPr="006921A1">
              <w:rPr>
                <w:rFonts w:ascii="Times New Roman" w:eastAsiaTheme="minorHAnsi" w:hAnsi="Times New Roman" w:cs="Times New Roman"/>
                <w:sz w:val="22"/>
                <w:szCs w:val="22"/>
                <w:lang w:val="pl-PL"/>
              </w:rPr>
              <w:br/>
              <w:t>(42.9%) (13.2%-72.5%)</w:t>
            </w:r>
          </w:p>
        </w:tc>
        <w:tc>
          <w:tcPr>
            <w:tcW w:w="1152"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16 </w:t>
            </w:r>
            <w:r w:rsidRPr="006921A1">
              <w:rPr>
                <w:rFonts w:ascii="Times New Roman" w:eastAsiaTheme="minorHAnsi" w:hAnsi="Times New Roman" w:cs="Times New Roman"/>
                <w:sz w:val="22"/>
                <w:szCs w:val="22"/>
                <w:lang w:val="pl-PL"/>
              </w:rPr>
              <w:br/>
              <w:t>(41.0%)</w:t>
            </w:r>
          </w:p>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(24.9%-57.2%)</w:t>
            </w:r>
          </w:p>
        </w:tc>
        <w:tc>
          <w:tcPr>
            <w:tcW w:w="12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157 </w:t>
            </w:r>
            <w:r w:rsidRPr="006921A1">
              <w:rPr>
                <w:rFonts w:ascii="Times New Roman" w:eastAsiaTheme="minorHAnsi" w:hAnsi="Times New Roman" w:cs="Times New Roman"/>
                <w:sz w:val="22"/>
                <w:szCs w:val="22"/>
                <w:lang w:val="pl-PL"/>
              </w:rPr>
              <w:br/>
              <w:t>(36.7%) (32.1%-41.3%)</w:t>
            </w:r>
          </w:p>
        </w:tc>
      </w:tr>
      <w:tr w:rsidR="006921A1" w:rsidRPr="006921A1" w:rsidTr="00110E81">
        <w:trPr>
          <w:trHeight w:val="673"/>
          <w:jc w:val="center"/>
        </w:trPr>
        <w:tc>
          <w:tcPr>
            <w:tcW w:w="1400" w:type="dxa"/>
          </w:tcPr>
          <w:p w:rsidR="00F23F4B" w:rsidRPr="006921A1" w:rsidRDefault="00F23F4B" w:rsidP="00B508FF">
            <w:pPr>
              <w:spacing w:after="0"/>
              <w:rPr>
                <w:rFonts w:ascii="Times New Roman" w:hAnsi="Times New Roman" w:cs="Times New Roman"/>
                <w:sz w:val="22"/>
                <w:szCs w:val="22"/>
              </w:rPr>
            </w:pPr>
            <w:r w:rsidRPr="006921A1">
              <w:rPr>
                <w:rFonts w:ascii="Times New Roman" w:hAnsi="Times New Roman" w:cs="Times New Roman"/>
                <w:sz w:val="22"/>
                <w:szCs w:val="22"/>
              </w:rPr>
              <w:t>Fatalna PE ili smrt povezana sa krvarenjem</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48 </w:t>
            </w:r>
            <w:r w:rsidRPr="006921A1">
              <w:rPr>
                <w:rFonts w:ascii="Times New Roman" w:eastAsiaTheme="minorHAnsi" w:hAnsi="Times New Roman" w:cs="Times New Roman"/>
                <w:sz w:val="22"/>
                <w:szCs w:val="22"/>
                <w:lang w:val="pl-PL"/>
              </w:rPr>
              <w:br/>
              <w:t>(3.4%) (2.4%-4.3%)</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7 </w:t>
            </w:r>
            <w:r w:rsidRPr="006921A1">
              <w:rPr>
                <w:rFonts w:ascii="Times New Roman" w:eastAsiaTheme="minorHAnsi" w:hAnsi="Times New Roman" w:cs="Times New Roman"/>
                <w:sz w:val="22"/>
                <w:szCs w:val="22"/>
                <w:lang w:val="pl-PL"/>
              </w:rPr>
              <w:br/>
              <w:t>(1.6%) (0.4%-2.7%)</w:t>
            </w:r>
          </w:p>
        </w:tc>
        <w:tc>
          <w:tcPr>
            <w:tcW w:w="1134"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35 </w:t>
            </w:r>
            <w:r w:rsidRPr="006921A1">
              <w:rPr>
                <w:rFonts w:ascii="Times New Roman" w:eastAsiaTheme="minorHAnsi" w:hAnsi="Times New Roman" w:cs="Times New Roman"/>
                <w:sz w:val="22"/>
                <w:szCs w:val="22"/>
                <w:lang w:val="pl-PL"/>
              </w:rPr>
              <w:br/>
              <w:t>(6.6%) (4.5%-8.7%)</w:t>
            </w:r>
          </w:p>
        </w:tc>
        <w:tc>
          <w:tcPr>
            <w:tcW w:w="1101"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5 </w:t>
            </w:r>
            <w:r w:rsidRPr="006921A1">
              <w:rPr>
                <w:rFonts w:ascii="Times New Roman" w:eastAsiaTheme="minorHAnsi" w:hAnsi="Times New Roman" w:cs="Times New Roman"/>
                <w:sz w:val="22"/>
                <w:szCs w:val="22"/>
                <w:lang w:val="pl-PL"/>
              </w:rPr>
              <w:br/>
              <w:t>(1.2%) (0.2%-2.3%)</w:t>
            </w:r>
          </w:p>
        </w:tc>
        <w:tc>
          <w:tcPr>
            <w:tcW w:w="1149"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0 </w:t>
            </w:r>
            <w:r w:rsidRPr="006921A1">
              <w:rPr>
                <w:rFonts w:ascii="Times New Roman" w:eastAsiaTheme="minorHAnsi" w:hAnsi="Times New Roman" w:cs="Times New Roman"/>
                <w:sz w:val="22"/>
                <w:szCs w:val="22"/>
                <w:lang w:val="pl-PL"/>
              </w:rPr>
              <w:br/>
              <w:t>(0%)</w:t>
            </w:r>
          </w:p>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w:t>
            </w:r>
          </w:p>
        </w:tc>
        <w:tc>
          <w:tcPr>
            <w:tcW w:w="1152"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1 </w:t>
            </w:r>
            <w:r w:rsidRPr="006921A1">
              <w:rPr>
                <w:rFonts w:ascii="Times New Roman" w:eastAsiaTheme="minorHAnsi" w:hAnsi="Times New Roman" w:cs="Times New Roman"/>
                <w:sz w:val="22"/>
                <w:szCs w:val="22"/>
                <w:lang w:val="pl-PL"/>
              </w:rPr>
              <w:br/>
              <w:t>(2.6%) (0%-7.8%)</w:t>
            </w:r>
          </w:p>
        </w:tc>
        <w:tc>
          <w:tcPr>
            <w:tcW w:w="1276" w:type="dxa"/>
            <w:vAlign w:val="center"/>
          </w:tcPr>
          <w:p w:rsidR="00F23F4B" w:rsidRPr="006921A1" w:rsidRDefault="00F23F4B" w:rsidP="00F23F4B">
            <w:pPr>
              <w:autoSpaceDE w:val="0"/>
              <w:autoSpaceDN w:val="0"/>
              <w:adjustRightInd w:val="0"/>
              <w:spacing w:line="240" w:lineRule="auto"/>
              <w:jc w:val="center"/>
              <w:rPr>
                <w:rFonts w:ascii="Times New Roman" w:eastAsiaTheme="minorHAnsi" w:hAnsi="Times New Roman" w:cs="Times New Roman"/>
                <w:sz w:val="22"/>
                <w:szCs w:val="22"/>
                <w:lang w:val="pl-PL"/>
              </w:rPr>
            </w:pPr>
            <w:r w:rsidRPr="006921A1">
              <w:rPr>
                <w:rFonts w:ascii="Times New Roman" w:eastAsiaTheme="minorHAnsi" w:hAnsi="Times New Roman" w:cs="Times New Roman"/>
                <w:sz w:val="22"/>
                <w:szCs w:val="22"/>
                <w:lang w:val="pl-PL"/>
              </w:rPr>
              <w:t xml:space="preserve">11 </w:t>
            </w:r>
            <w:r w:rsidRPr="006921A1">
              <w:rPr>
                <w:rFonts w:ascii="Times New Roman" w:eastAsiaTheme="minorHAnsi" w:hAnsi="Times New Roman" w:cs="Times New Roman"/>
                <w:sz w:val="22"/>
                <w:szCs w:val="22"/>
                <w:lang w:val="pl-PL"/>
              </w:rPr>
              <w:br/>
              <w:t>2.6%) (1.1%-4.1%)</w:t>
            </w:r>
          </w:p>
        </w:tc>
      </w:tr>
      <w:tr w:rsidR="00F23F4B" w:rsidRPr="006921A1" w:rsidTr="00F23F4B">
        <w:trPr>
          <w:trHeight w:val="54"/>
          <w:jc w:val="center"/>
        </w:trPr>
        <w:tc>
          <w:tcPr>
            <w:tcW w:w="9480" w:type="dxa"/>
            <w:gridSpan w:val="8"/>
            <w:vAlign w:val="center"/>
          </w:tcPr>
          <w:p w:rsidR="00F23F4B" w:rsidRPr="006921A1" w:rsidRDefault="00F23F4B" w:rsidP="00110E81">
            <w:pPr>
              <w:autoSpaceDE w:val="0"/>
              <w:autoSpaceDN w:val="0"/>
              <w:adjustRightInd w:val="0"/>
              <w:spacing w:line="240" w:lineRule="auto"/>
              <w:rPr>
                <w:rFonts w:ascii="Times New Roman" w:eastAsiaTheme="minorHAnsi" w:hAnsi="Times New Roman" w:cs="Times New Roman"/>
                <w:sz w:val="22"/>
                <w:szCs w:val="22"/>
                <w:lang w:val="pl-PL"/>
              </w:rPr>
            </w:pPr>
            <w:r w:rsidRPr="006921A1">
              <w:rPr>
                <w:rFonts w:ascii="Times New Roman" w:hAnsi="Times New Roman" w:cs="Times New Roman"/>
                <w:sz w:val="22"/>
                <w:szCs w:val="22"/>
              </w:rPr>
              <w:t>*Svi podaci sa 95% CI</w:t>
            </w:r>
          </w:p>
        </w:tc>
      </w:tr>
    </w:tbl>
    <w:p w:rsidR="00F23F4B" w:rsidRPr="006921A1" w:rsidRDefault="00F23F4B"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6921A1">
        <w:rPr>
          <w:rFonts w:ascii="Times New Roman" w:eastAsia="TimesNewRoman" w:hAnsi="Times New Roman" w:cs="Times New Roman"/>
          <w:i/>
          <w:iCs/>
          <w:sz w:val="22"/>
          <w:szCs w:val="22"/>
          <w:lang w:val="sr-Latn-RS"/>
        </w:rPr>
        <w:t>Terapija nestabilne angine i infarkta miokarda bez elevacije ST segmenta</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U velikoj multicentričnoj studiji uključeno je 3171 pacijent u akutnoj fazi nestabilne angine ili infarkta</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miokarda bez Q talasa, koji su randomizovani da dobiju u kombinaciji sa acetisalicilnom kiselinom (100 do 325 mg jednom dnevno) ili enoksaparin</w:t>
      </w:r>
      <w:r w:rsidR="00EC10E9">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100 i.j./kg (1 mg/kg) subkutano na svakih 12 sati ili nefrakcionisani heparin u intravenskoj dozi prilagođenoj prema aPTT-a. Pacijenti su se morali l</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 xml:space="preserve">ečiti </w:t>
      </w:r>
      <w:r w:rsidRPr="006921A1">
        <w:rPr>
          <w:rFonts w:ascii="Times New Roman" w:eastAsia="TimesNewRoman" w:hAnsi="Times New Roman" w:cs="Times New Roman"/>
          <w:sz w:val="22"/>
          <w:szCs w:val="22"/>
          <w:lang w:val="sr-Latn-RS"/>
        </w:rPr>
        <w:lastRenderedPageBreak/>
        <w:t>u bolnici tokom najmanje 2 dana, a najviše 8 dana, do kliničke stabilizacije, revaskularizacione procedure ili otpusta iz bolnice. Pacijente je bilo neophodno pratiti do 30 dana. Enoksaparin</w:t>
      </w:r>
      <w:r w:rsidR="00EC10E9">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je u poređenju sa heparinom značajno smanjio kombinovanu učestalost pojave angine pektoris, infarkta miokarda i smrti, sa smanjenjem rizika sa 19,8 na 16,6% (smanjenje relativnog rizika 16,2%) 14. dana. To sniženje kombinovane učestalosti je bilo održano i nakon 30 dana (sa 23,3 na 19,8%; smanjenje relativnog rizika 15%). Nije bilo značajnih razlika u velikim krvarenjima, iako je krvarenje na m</w:t>
      </w:r>
      <w:r w:rsidR="00EC10E9">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estu prim</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ene s.c. injekcije bilo češće.</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6921A1">
        <w:rPr>
          <w:rFonts w:ascii="Times New Roman" w:eastAsia="TimesNewRoman" w:hAnsi="Times New Roman" w:cs="Times New Roman"/>
          <w:i/>
          <w:iCs/>
          <w:sz w:val="22"/>
          <w:szCs w:val="22"/>
          <w:lang w:val="sr-Latn-RS"/>
        </w:rPr>
        <w:t>Terapija akutnog infarkta miokarda sa elevacijom St segmenta</w:t>
      </w:r>
    </w:p>
    <w:p w:rsidR="00EA4C8E"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U velikoj multicentričnoj studiji 20479 pacijenata sa STEMI koji su bili kandidati za primanje fibrinolitičke terapije, randomizovani su tako da primaju ili enoksaparin</w:t>
      </w:r>
      <w:r w:rsidR="00EC10E9">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kao jednokratnu i.v. bolus injekciju u dozi od 3000 i.j. (30 mg) plus 100 i.j./kg (1 mg/kg) supkutano, nakon čega je na svakih 12 sati s.c. prim</w:t>
      </w:r>
      <w:r w:rsidR="006251D4" w:rsidRPr="006921A1">
        <w:rPr>
          <w:rFonts w:ascii="Times New Roman" w:eastAsia="TimesNewRoman" w:hAnsi="Times New Roman" w:cs="Times New Roman"/>
          <w:sz w:val="22"/>
          <w:szCs w:val="22"/>
          <w:lang w:val="sr-Latn-RS"/>
        </w:rPr>
        <w:t>je</w:t>
      </w:r>
      <w:r w:rsidRPr="006921A1">
        <w:rPr>
          <w:rFonts w:ascii="Times New Roman" w:eastAsia="TimesNewRoman" w:hAnsi="Times New Roman" w:cs="Times New Roman"/>
          <w:sz w:val="22"/>
          <w:szCs w:val="22"/>
          <w:lang w:val="sr-Latn-RS"/>
        </w:rPr>
        <w:t>njivana doza od 100 i.j./kg (1 mg/kg) ili nefrakcionisani heparin intravenski, prilagođen na osnovu aPTT u periodu od 48 sati. Svi pacijenti su primali i acetilsalicilnu kiselinu tokom najmanje 30 dana. Doziranje enoksaparin</w:t>
      </w:r>
      <w:r w:rsidR="00EC10E9">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bilo je prilagođeno za pacijente sa teškim oštećenjem funkcije bubrega i za osobe starije od 75 godina. Supkutane injekcije enoksaparin</w:t>
      </w:r>
      <w:r w:rsidR="00EC10E9">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su prim</w:t>
      </w:r>
      <w:r w:rsidR="00EC10E9">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enjivane do otpusta iz bolnice ili maksimalno u toku osam dana (u zavisnosti koje od ta dva nastupi prvo).</w:t>
      </w:r>
      <w:r w:rsidR="00EA4C8E">
        <w:rPr>
          <w:rFonts w:ascii="Times New Roman" w:eastAsia="TimesNewRoman" w:hAnsi="Times New Roman" w:cs="Times New Roman"/>
          <w:sz w:val="22"/>
          <w:szCs w:val="22"/>
          <w:lang w:val="sr-Latn-RS"/>
        </w:rPr>
        <w:t xml:space="preserve"> </w:t>
      </w:r>
    </w:p>
    <w:p w:rsidR="00BF29D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Tokom studije, 4716 pacijenata je podvrgnuto perkutanoj koronarnoj intervenciji pod antritrombotičkom terapijom korišćenjem studijskih l</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ekova („sl</w:t>
      </w:r>
      <w:r w:rsidR="00EA4C8E">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epa proba“). Zbog toga, za pacijente na enoksaparin</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natrijumu, PCI je trebalo sprovesti na enoksaparin</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natrijumu (bez prom</w:t>
      </w:r>
      <w:r w:rsidR="00EA4C8E">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ene) koristeći režim doziranja ustanovljen u prethodnim studijama, odnosno bez dodatnih doza, ako je posl</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ednja s.c. doza prim</w:t>
      </w:r>
      <w:r w:rsidR="00014C80" w:rsidRPr="006921A1">
        <w:rPr>
          <w:rFonts w:ascii="Times New Roman" w:eastAsia="TimesNewRoman" w:hAnsi="Times New Roman" w:cs="Times New Roman"/>
          <w:sz w:val="22"/>
          <w:szCs w:val="22"/>
          <w:lang w:val="sr-Latn-RS"/>
        </w:rPr>
        <w:t>i</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enjena manje od 8 sati pr</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 balon dilatacije, tj. uz dodatni i.v. bolus od 30 i.j./kg (0,3 mg/kg) enoksaparin</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ako je posl</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ednja s.c. doza prim</w:t>
      </w:r>
      <w:r w:rsidR="00014C80" w:rsidRPr="006921A1">
        <w:rPr>
          <w:rFonts w:ascii="Times New Roman" w:eastAsia="TimesNewRoman" w:hAnsi="Times New Roman" w:cs="Times New Roman"/>
          <w:sz w:val="22"/>
          <w:szCs w:val="22"/>
          <w:lang w:val="sr-Latn-RS"/>
        </w:rPr>
        <w:t>i</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enjena pr</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 xml:space="preserve">e više od 8 sati u odnosu na balon dilataciju. </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Enoksaparin</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je u poređenju sa nefrakcionisanim heparinom značajno smanjio učestalost primarnog parametra praćenja, kao kombinovanog parametra praćenja koji se sastoji od smrti od bilo kog uzroka ili ponovnog javljanja infarkta miokarda u prvih 30 dana nakon randomizacije (9,9% u grupi na enoksaparin</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natrijumu, u poređenju sa 12% u grupi na nefrakcionisanom heparinu) uz smanjenja relativnog rizika od 17%</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(p&lt;0,001).</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Korist terapije enoksaparin</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natrijumom, koja je prim</w:t>
      </w:r>
      <w:r w:rsidR="00EA4C8E">
        <w:rPr>
          <w:rFonts w:ascii="Times New Roman" w:eastAsia="TimesNewRoman" w:hAnsi="Times New Roman" w:cs="Times New Roman"/>
          <w:sz w:val="22"/>
          <w:szCs w:val="22"/>
          <w:lang w:val="sr-Latn-RS"/>
        </w:rPr>
        <w:t>i</w:t>
      </w:r>
      <w:r w:rsidR="006251D4"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ećena na osnovu primarnog parametra praćenja,</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nastupila je nakon 48 sati, kada je zab</w:t>
      </w:r>
      <w:r w:rsidR="00014C80" w:rsidRPr="006921A1">
        <w:rPr>
          <w:rFonts w:ascii="Times New Roman" w:eastAsia="TimesNewRoman" w:hAnsi="Times New Roman" w:cs="Times New Roman"/>
          <w:sz w:val="22"/>
          <w:szCs w:val="22"/>
          <w:lang w:val="sr-Latn-RS"/>
        </w:rPr>
        <w:t>i</w:t>
      </w:r>
      <w:r w:rsidRPr="006921A1">
        <w:rPr>
          <w:rFonts w:ascii="Times New Roman" w:eastAsia="TimesNewRoman" w:hAnsi="Times New Roman" w:cs="Times New Roman"/>
          <w:sz w:val="22"/>
          <w:szCs w:val="22"/>
          <w:lang w:val="sr-Latn-RS"/>
        </w:rPr>
        <w:t>l</w:t>
      </w:r>
      <w:r w:rsidR="00014C80"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eženo smanjenje relativnog rizika od ponovnog infarkta miokarda za</w:t>
      </w:r>
      <w:r w:rsidR="00BF29D2"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35%, u poređenju sa terapijom nefrakcionisanim heparinom (p&lt;0,001).</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Povoljno dejstvo enoksaparin</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na primaran kranji ishod bio je dosl</w:t>
      </w:r>
      <w:r w:rsidR="00014C80" w:rsidRPr="006921A1">
        <w:rPr>
          <w:rFonts w:ascii="Times New Roman" w:eastAsia="TimesNewRoman" w:hAnsi="Times New Roman" w:cs="Times New Roman"/>
          <w:sz w:val="22"/>
          <w:szCs w:val="22"/>
          <w:lang w:val="sr-Latn-RS"/>
        </w:rPr>
        <w:t>je</w:t>
      </w:r>
      <w:r w:rsidRPr="006921A1">
        <w:rPr>
          <w:rFonts w:ascii="Times New Roman" w:eastAsia="TimesNewRoman" w:hAnsi="Times New Roman" w:cs="Times New Roman"/>
          <w:sz w:val="22"/>
          <w:szCs w:val="22"/>
          <w:lang w:val="sr-Latn-RS"/>
        </w:rPr>
        <w:t>dan u ključnim podgrupama,</w:t>
      </w:r>
      <w:r w:rsidR="00BF29D2"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uključujući godine, pol, lokalizaciju infarkta, dijabetes u anamnezi, prethodni infarkt miokarda u anamnezi,</w:t>
      </w:r>
      <w:r w:rsidR="00BF29D2"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tip prim</w:t>
      </w:r>
      <w:r w:rsidR="00EA4C8E">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enjenog fibrinolitika, i vr</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eme do početka terapije sa ispitivanim l</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ekom.</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Postojala je značajna terapijska korist od enoksaparin</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natrijuma, u poređenju sa nefrakcionisanim</w:t>
      </w:r>
      <w:r w:rsidR="00EA4C8E">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heparinom, kod pacijenata koji su podvrgnuti perkutanoj koronarnoj intervenciji tokom 30 dana nakon</w:t>
      </w:r>
    </w:p>
    <w:p w:rsidR="002D66B2" w:rsidRPr="006921A1" w:rsidRDefault="002D66B2" w:rsidP="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randomizacije (23% smanjenja relativnog rizika) ili koji su l</w:t>
      </w:r>
      <w:r w:rsidR="006251D4"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ečeni internistički (15% smanjenja relativnog</w:t>
      </w:r>
      <w:r w:rsidR="00BF29D2" w:rsidRPr="006921A1">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rizika, p=0,27 za interkaciju).</w:t>
      </w:r>
    </w:p>
    <w:p w:rsidR="002D66B2" w:rsidRPr="005A0F56" w:rsidRDefault="002D66B2"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Stopa na nivou 30 dana kombinovanog kranjeg ishoda koji se sastoji od smrti, ponovnog infarkta miokarda</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ili intrakranijalnog krvarenja (m</w:t>
      </w:r>
      <w:r w:rsidR="006251D4"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ere neto kliničke efikasnosti) je bila značajno smanjena (p&lt;0,0001) u grupi</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 enoksaparin</w:t>
      </w:r>
      <w:r w:rsidR="00EA4C8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natrijumu (10,1%) u poređenju sa grupom na heparinu (12,2%), što predstavlja 17%</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smanjenja relativnog rizika u korist l</w:t>
      </w:r>
      <w:r w:rsidR="006251D4"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ečenja enoksaparin</w:t>
      </w:r>
      <w:r w:rsidR="00EA4C8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w:t>
      </w:r>
    </w:p>
    <w:p w:rsidR="002D66B2" w:rsidRPr="005A0F56" w:rsidRDefault="002D66B2"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Učestalost velikih krvarenja nakon 30 dana bila je značajno viša (p&lt;0,0001) u grupi na enoksaparin</w:t>
      </w:r>
      <w:r w:rsidR="00EA4C8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natrijumu</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(2,1%), u odnosu na grupu na heparinu (1,4%). Postojala je veća učestalost gastrointestinalnih</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krvarenja u grupi na enoksaparin</w:t>
      </w:r>
      <w:r w:rsidR="00EA4C8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(0,5%) u poređenju sa grupom na heparinu (0,1%), dok je</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učestalost intrakranijalnih krvarenja bila slična u ob</w:t>
      </w:r>
      <w:r w:rsidR="006251D4"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 grupe (0,8% u grupi na enoksaparin</w:t>
      </w:r>
      <w:r w:rsidR="00EA4C8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natrijumu u</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odnosu na 0,7% u grupi na heparinu).</w:t>
      </w:r>
    </w:p>
    <w:p w:rsidR="002D66B2" w:rsidRPr="005A0F56" w:rsidRDefault="002D66B2"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Koristno dejstvo enoksaparin</w:t>
      </w:r>
      <w:r w:rsidR="00EA4C8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na primarni parametar praćenja, koji je uočen tokom prvih 30 dana,</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održao se tokom 12-m</w:t>
      </w:r>
      <w:r w:rsidR="006251D4"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esečnog perioda praćenja.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Oštećenje funkcije jetre</w:t>
      </w:r>
    </w:p>
    <w:p w:rsidR="002D66B2" w:rsidRPr="005A0F56" w:rsidRDefault="002D66B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Prema podacima iz literature čini se da je upotreba enoksaparin</w:t>
      </w:r>
      <w:r w:rsidR="00EA4C8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u dozi od 4000 i.j. (40 mg) kod</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pacijenata sa cirozom jetre (</w:t>
      </w:r>
      <w:r w:rsidRPr="005A0F56">
        <w:rPr>
          <w:rFonts w:ascii="Times New Roman" w:eastAsia="TimesNewRoman" w:hAnsi="Times New Roman" w:cs="Times New Roman"/>
          <w:i/>
          <w:iCs/>
          <w:sz w:val="22"/>
          <w:szCs w:val="22"/>
          <w:lang w:val="sr-Latn-RS"/>
        </w:rPr>
        <w:t xml:space="preserve">Child-Poughs </w:t>
      </w:r>
      <w:r w:rsidRPr="005A0F56">
        <w:rPr>
          <w:rFonts w:ascii="Times New Roman" w:eastAsia="TimesNewRoman" w:hAnsi="Times New Roman" w:cs="Times New Roman"/>
          <w:sz w:val="22"/>
          <w:szCs w:val="22"/>
          <w:lang w:val="sr-Latn-RS"/>
        </w:rPr>
        <w:t>klasa B-C) bezb</w:t>
      </w:r>
      <w:r w:rsidR="00EA4C8E">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edna i efikasna u prevenciji tromboze portne vene.</w:t>
      </w:r>
    </w:p>
    <w:p w:rsidR="002D66B2" w:rsidRPr="005A0F56" w:rsidRDefault="002D66B2" w:rsidP="00EA4C8E">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lastRenderedPageBreak/>
        <w:t>Treba naglasiti da literaturne studije mogu imati ograničenja. Potreban je oprez kod pacijenata sa oštećenjem</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funkcije jetre, s obzirom na to da ovi pacijenti imaju povećan potencijal za pojavu krvarenja (vid</w:t>
      </w:r>
      <w:r w:rsidR="006251D4"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6251D4"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4.4) i da ni jedno formalno ispitivanje u cilju utvrđivanja doziranja nije sprovedeno kod pacijenata sa</w:t>
      </w:r>
      <w:r w:rsidR="00BF29D2"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cirozom jetre (</w:t>
      </w:r>
      <w:r w:rsidRPr="005A0F56">
        <w:rPr>
          <w:rFonts w:ascii="Times New Roman" w:eastAsia="TimesNewRoman" w:hAnsi="Times New Roman" w:cs="Times New Roman"/>
          <w:i/>
          <w:iCs/>
          <w:sz w:val="22"/>
          <w:szCs w:val="22"/>
          <w:lang w:val="sr-Latn-RS"/>
        </w:rPr>
        <w:t xml:space="preserve">Child-Poughs </w:t>
      </w:r>
      <w:r w:rsidRPr="005A0F56">
        <w:rPr>
          <w:rFonts w:ascii="Times New Roman" w:eastAsia="TimesNewRoman" w:hAnsi="Times New Roman" w:cs="Times New Roman"/>
          <w:sz w:val="22"/>
          <w:szCs w:val="22"/>
          <w:lang w:val="sr-Latn-RS"/>
        </w:rPr>
        <w:t>klasa B-C).</w:t>
      </w:r>
    </w:p>
    <w:p w:rsidR="00D33F3D" w:rsidRPr="005A0F56" w:rsidRDefault="00D33F3D" w:rsidP="00B508FF">
      <w:pPr>
        <w:tabs>
          <w:tab w:val="left" w:pos="540"/>
          <w:tab w:val="left" w:pos="569"/>
        </w:tabs>
        <w:spacing w:after="0"/>
        <w:jc w:val="both"/>
        <w:rPr>
          <w:rFonts w:ascii="Times New Roman" w:hAnsi="Times New Roman" w:cs="Times New Roman"/>
          <w:bCs/>
          <w:sz w:val="22"/>
          <w:szCs w:val="22"/>
        </w:rPr>
      </w:pPr>
    </w:p>
    <w:p w:rsidR="00D33F3D" w:rsidRDefault="0072020E" w:rsidP="00B508FF">
      <w:pPr>
        <w:tabs>
          <w:tab w:val="left" w:pos="540"/>
          <w:tab w:val="left" w:pos="569"/>
        </w:tabs>
        <w:spacing w:after="0"/>
        <w:jc w:val="both"/>
        <w:rPr>
          <w:rFonts w:ascii="Times New Roman" w:hAnsi="Times New Roman" w:cs="Times New Roman"/>
          <w:b/>
          <w:bCs/>
          <w:sz w:val="22"/>
          <w:szCs w:val="22"/>
        </w:rPr>
      </w:pPr>
      <w:r w:rsidRPr="005A0F56">
        <w:rPr>
          <w:rFonts w:ascii="Times New Roman" w:hAnsi="Times New Roman" w:cs="Times New Roman"/>
          <w:b/>
          <w:bCs/>
          <w:sz w:val="22"/>
          <w:szCs w:val="22"/>
        </w:rPr>
        <w:t xml:space="preserve">5.2.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Farmakokinetički podaci</w:t>
      </w:r>
      <w:r w:rsidR="003A7059" w:rsidRPr="005A0F56">
        <w:rPr>
          <w:rFonts w:ascii="Times New Roman" w:hAnsi="Times New Roman" w:cs="Times New Roman"/>
          <w:b/>
          <w:bCs/>
          <w:sz w:val="22"/>
          <w:szCs w:val="22"/>
        </w:rPr>
        <w:t xml:space="preserve"> </w:t>
      </w:r>
    </w:p>
    <w:p w:rsidR="00862125" w:rsidRPr="005A0F56" w:rsidRDefault="00862125" w:rsidP="00B508FF">
      <w:pPr>
        <w:tabs>
          <w:tab w:val="left" w:pos="540"/>
          <w:tab w:val="left" w:pos="569"/>
        </w:tabs>
        <w:spacing w:after="0"/>
        <w:jc w:val="both"/>
        <w:rPr>
          <w:rFonts w:ascii="Times New Roman" w:hAnsi="Times New Roman" w:cs="Times New Roman"/>
          <w:b/>
          <w:bCs/>
          <w:sz w:val="22"/>
          <w:szCs w:val="22"/>
        </w:rPr>
      </w:pPr>
    </w:p>
    <w:p w:rsidR="00BF29D2" w:rsidRPr="005A0F56" w:rsidRDefault="00BF29D2" w:rsidP="00EA4C8E">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Opšte karakteristike</w:t>
      </w:r>
    </w:p>
    <w:p w:rsidR="00BF29D2" w:rsidRPr="005A0F56" w:rsidRDefault="00BF29D2"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Farmakokinetički parametri enoksaparin</w:t>
      </w:r>
      <w:r w:rsidR="0086212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prvenstveno su ispitivani na osnovu vremenskog toka anti-Xa aktivnosti i anti-IIa aktivnosti u plazmi pri prim</w:t>
      </w:r>
      <w:r w:rsidR="00014C8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 preporučenih doza posl</w:t>
      </w:r>
      <w:r w:rsidR="00014C8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 xml:space="preserve">e </w:t>
      </w:r>
      <w:r w:rsidR="00862125">
        <w:rPr>
          <w:rFonts w:ascii="Times New Roman" w:eastAsia="TimesNewRoman" w:hAnsi="Times New Roman" w:cs="Times New Roman"/>
          <w:sz w:val="22"/>
          <w:szCs w:val="22"/>
          <w:lang w:val="sr-Latn-RS"/>
        </w:rPr>
        <w:t>pojedinačne</w:t>
      </w:r>
      <w:r w:rsidR="00862125"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i ponovljene supkutane prim</w:t>
      </w:r>
      <w:r w:rsidR="006251D4"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kao i posl</w:t>
      </w:r>
      <w:r w:rsidR="00862125">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 xml:space="preserve">e </w:t>
      </w:r>
      <w:r w:rsidR="00862125">
        <w:rPr>
          <w:rFonts w:ascii="Times New Roman" w:eastAsia="TimesNewRoman" w:hAnsi="Times New Roman" w:cs="Times New Roman"/>
          <w:sz w:val="22"/>
          <w:szCs w:val="22"/>
          <w:lang w:val="sr-Latn-RS"/>
        </w:rPr>
        <w:t>pojedinačne</w:t>
      </w:r>
      <w:r w:rsidR="00862125"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intravenske prim</w:t>
      </w:r>
      <w:r w:rsidR="00014C8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Kvalitativno određivanje anti-Xa i anti-Iia farmakokinetičke aktivnosti je izvršeno validiranim amidolitičkim metodama.</w:t>
      </w:r>
    </w:p>
    <w:p w:rsidR="00BF29D2" w:rsidRPr="005A0F56" w:rsidRDefault="00BF29D2" w:rsidP="005A0F56">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Resorpcija</w:t>
      </w:r>
    </w:p>
    <w:p w:rsidR="00BF29D2"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Apsolutna bioraspoloživost enoksaparin-natrijuma nakon prim</w:t>
      </w:r>
      <w:r w:rsidR="006251D4"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supkutane injekcije, utvrđena na osnovu anti-Xa aktivnosti, je približno 100%.</w:t>
      </w:r>
    </w:p>
    <w:p w:rsidR="002342B5" w:rsidRPr="005A0F56" w:rsidRDefault="002342B5">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Mogu se koristiti različite doze i formulacije, kao i režimi doziranja.</w:t>
      </w:r>
    </w:p>
    <w:p w:rsidR="002342B5" w:rsidRPr="005A0F56" w:rsidRDefault="002342B5">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Pros</w:t>
      </w:r>
      <w:r w:rsidR="00014C8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ečna maksimalna anti-Xa aktivnost u plazmi je uočena 3 do 5 sati nakon prim</w:t>
      </w:r>
      <w:r w:rsidR="00014C8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s.c. injekcije i dostiže približno 0,2, 0,4, 1,0 i 1,3 anti-Xa i.j./m</w:t>
      </w:r>
      <w:r w:rsidR="0037541C">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 xml:space="preserve"> nakon </w:t>
      </w:r>
      <w:r w:rsidR="00862125">
        <w:rPr>
          <w:rFonts w:ascii="Times New Roman" w:eastAsia="TimesNewRoman" w:hAnsi="Times New Roman" w:cs="Times New Roman"/>
          <w:sz w:val="22"/>
          <w:szCs w:val="22"/>
          <w:lang w:val="sr-Latn-RS"/>
        </w:rPr>
        <w:t>pojedinačne</w:t>
      </w:r>
      <w:r w:rsidR="00862125"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s.c.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doza od 2000 i.j., 4000 i.j., 100 i.j./kg i 150 i.j./kg (20 mg, 40 mg, 1 mg/kg i 1,5 mg/kg), redom.</w:t>
      </w:r>
    </w:p>
    <w:p w:rsidR="002342B5" w:rsidRPr="005A0F56" w:rsidRDefault="002342B5">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2342B5"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Intravenski bolus od 3000 i.j. (30 mg) neposredno praćen sa 100 i.j./kg (1 mg/kg) s.c. svakih 12 sata</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obezb</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edio je inicijalni maksimum nivoa anti-Xa aktivnosti od 1,16 i.j./m</w:t>
      </w:r>
      <w:r w:rsidR="002342B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 xml:space="preserve"> (n=16) i srednju izloženost koja je iznosila 88% nivoa u ravnotežnom stanju. Stanje ravnoteže je postignuto drugog dana terapije.</w:t>
      </w:r>
      <w:r w:rsidR="002342B5">
        <w:rPr>
          <w:rFonts w:ascii="Times New Roman" w:eastAsia="TimesNewRoman" w:hAnsi="Times New Roman" w:cs="Times New Roman"/>
          <w:sz w:val="22"/>
          <w:szCs w:val="22"/>
          <w:lang w:val="sr-Latn-RS"/>
        </w:rPr>
        <w:t xml:space="preserve"> </w:t>
      </w:r>
    </w:p>
    <w:p w:rsidR="002342B5" w:rsidRPr="005A0F56" w:rsidRDefault="002342B5">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Nakon ponovljene supkutane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4000 i.j. (40 mg) jednom dnevno i 150 i.j./kg (1,5 mg/kg) jednom</w:t>
      </w:r>
    </w:p>
    <w:p w:rsidR="00BF29D2"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dnevno, kod zdravih dobrovoljaca, stanje</w:t>
      </w:r>
      <w:r w:rsidR="002342B5">
        <w:rPr>
          <w:rFonts w:ascii="Times New Roman" w:eastAsia="TimesNewRoman" w:hAnsi="Times New Roman" w:cs="Times New Roman"/>
          <w:sz w:val="22"/>
          <w:szCs w:val="22"/>
          <w:lang w:val="sr-Latn-RS"/>
        </w:rPr>
        <w:t xml:space="preserve"> dinamičke</w:t>
      </w:r>
      <w:r w:rsidRPr="005A0F56">
        <w:rPr>
          <w:rFonts w:ascii="Times New Roman" w:eastAsia="TimesNewRoman" w:hAnsi="Times New Roman" w:cs="Times New Roman"/>
          <w:sz w:val="22"/>
          <w:szCs w:val="22"/>
          <w:lang w:val="sr-Latn-RS"/>
        </w:rPr>
        <w:t xml:space="preserve"> ravnoteže se dostiže drugog dana, uz srednji stepen izloženosti</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enoksaparin</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natrijumu koji je za oko 15% veća nego nakon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 xml:space="preserve">ene </w:t>
      </w:r>
      <w:r w:rsidR="00862125">
        <w:rPr>
          <w:rFonts w:ascii="Times New Roman" w:eastAsia="TimesNewRoman" w:hAnsi="Times New Roman" w:cs="Times New Roman"/>
          <w:sz w:val="22"/>
          <w:szCs w:val="22"/>
          <w:lang w:val="sr-Latn-RS"/>
        </w:rPr>
        <w:t xml:space="preserve">pojedinačne </w:t>
      </w:r>
      <w:r w:rsidRPr="005A0F56">
        <w:rPr>
          <w:rFonts w:ascii="Times New Roman" w:eastAsia="TimesNewRoman" w:hAnsi="Times New Roman" w:cs="Times New Roman"/>
          <w:sz w:val="22"/>
          <w:szCs w:val="22"/>
          <w:lang w:val="sr-Latn-RS"/>
        </w:rPr>
        <w:t xml:space="preserve">doze. Nakon ponovljene s.c. primene 100 i.j./kg /1 mg/kg) dvaput dnevno, stanje </w:t>
      </w:r>
      <w:r w:rsidR="002342B5">
        <w:rPr>
          <w:rFonts w:ascii="Times New Roman" w:eastAsia="TimesNewRoman" w:hAnsi="Times New Roman" w:cs="Times New Roman"/>
          <w:sz w:val="22"/>
          <w:szCs w:val="22"/>
          <w:lang w:val="sr-Latn-RS"/>
        </w:rPr>
        <w:t xml:space="preserve">dinamičke </w:t>
      </w:r>
      <w:r w:rsidRPr="005A0F56">
        <w:rPr>
          <w:rFonts w:ascii="Times New Roman" w:eastAsia="TimesNewRoman" w:hAnsi="Times New Roman" w:cs="Times New Roman"/>
          <w:sz w:val="22"/>
          <w:szCs w:val="22"/>
          <w:lang w:val="sr-Latn-RS"/>
        </w:rPr>
        <w:t>ravnoteže se dostiže između 3. i 4. dana, uz srednju izloženost koja je za oko 65% veća nego nakon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 xml:space="preserve">ene </w:t>
      </w:r>
      <w:r w:rsidR="00862125">
        <w:rPr>
          <w:rFonts w:ascii="Times New Roman" w:eastAsia="TimesNewRoman" w:hAnsi="Times New Roman" w:cs="Times New Roman"/>
          <w:sz w:val="22"/>
          <w:szCs w:val="22"/>
          <w:lang w:val="sr-Latn-RS"/>
        </w:rPr>
        <w:t>pojedinačne</w:t>
      </w:r>
      <w:r w:rsidR="00862125"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doze, i sa srednjom vrednošću maksimalne i minimalne anti-Xa aktivnosti od približno 1,2, odnosno 0,52 i.j./m</w:t>
      </w:r>
      <w:r w:rsidR="0086212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w:t>
      </w:r>
    </w:p>
    <w:p w:rsidR="002342B5" w:rsidRPr="005A0F56" w:rsidRDefault="002342B5">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 xml:space="preserve">Volumen injektovanja i koncentracija doze u rasponu </w:t>
      </w:r>
      <w:r w:rsidR="002342B5">
        <w:rPr>
          <w:rFonts w:ascii="Times New Roman" w:eastAsia="TimesNewRoman" w:hAnsi="Times New Roman" w:cs="Times New Roman"/>
          <w:sz w:val="22"/>
          <w:szCs w:val="22"/>
          <w:lang w:val="sr-Latn-RS"/>
        </w:rPr>
        <w:t xml:space="preserve">od </w:t>
      </w:r>
      <w:r w:rsidRPr="005A0F56">
        <w:rPr>
          <w:rFonts w:ascii="Times New Roman" w:eastAsia="TimesNewRoman" w:hAnsi="Times New Roman" w:cs="Times New Roman"/>
          <w:sz w:val="22"/>
          <w:szCs w:val="22"/>
          <w:lang w:val="sr-Latn-RS"/>
        </w:rPr>
        <w:t>100-200 mg/m</w:t>
      </w:r>
      <w:r w:rsidR="002342B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 xml:space="preserve"> ne utiče na farmakokinetičke</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parametre kod zdravih dobrovoljaca.</w:t>
      </w:r>
    </w:p>
    <w:p w:rsidR="00BF29D2"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Čini se da je farmakokinetika enoksaparin</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linearna u svim preporučenim rasponima doza.</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Intraindividualna i interindividualna varijabilnost je niska. Nakon ponovljene supkutane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ne dolazi do akumulacije.</w:t>
      </w:r>
    </w:p>
    <w:p w:rsidR="002342B5" w:rsidRPr="005A0F56" w:rsidRDefault="002342B5">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Posl</w:t>
      </w:r>
      <w:r w:rsidR="002342B5">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 supkutane prim</w:t>
      </w:r>
      <w:r w:rsidR="002342B5">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anti-IIa aktivnost u plazmi je približno 10 puta manja od anti-Xa aktivnosti.</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Srednja maksimalna anti-Xa aktivnost je uočena približno 3 do 4 sata nakon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supkutane injekcije i dostiže 0,13 i.j./m</w:t>
      </w:r>
      <w:r w:rsidR="002342B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 xml:space="preserve"> i 0,19 i.j./m</w:t>
      </w:r>
      <w:r w:rsidR="002342B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 xml:space="preserve"> nakon ponovljene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100 i.j./kg (1 mg/kg) dva</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put</w:t>
      </w:r>
      <w:r w:rsidR="002342B5">
        <w:rPr>
          <w:rFonts w:ascii="Times New Roman" w:eastAsia="TimesNewRoman" w:hAnsi="Times New Roman" w:cs="Times New Roman"/>
          <w:sz w:val="22"/>
          <w:szCs w:val="22"/>
          <w:lang w:val="sr-Latn-RS"/>
        </w:rPr>
        <w:t>a</w:t>
      </w:r>
      <w:r w:rsidRPr="005A0F56">
        <w:rPr>
          <w:rFonts w:ascii="Times New Roman" w:eastAsia="TimesNewRoman" w:hAnsi="Times New Roman" w:cs="Times New Roman"/>
          <w:sz w:val="22"/>
          <w:szCs w:val="22"/>
          <w:lang w:val="sr-Latn-RS"/>
        </w:rPr>
        <w:t xml:space="preserve"> dnevno i 150 i.j./kg(1 ,5 mg/kg) jednom dnevno, redom.</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Distribucija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Volumen distribucije anti-Xa aktivnosti enoksaparin</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je oko 4,3 litre i približan je volumenu krvi.</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Biotransformacija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se primarno metaboliše u jetri desulfacijom i/ili depolimerizacijom na fragmente niže molekulske mase sa znatno redukovanim biološkim potencijalnom.</w:t>
      </w:r>
    </w:p>
    <w:p w:rsidR="00BF29D2"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Default="00A3722B">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A3722B" w:rsidRPr="005A0F56" w:rsidRDefault="00A3722B">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lastRenderedPageBreak/>
        <w:t>Eliminacija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je l</w:t>
      </w:r>
      <w:r w:rsidR="00541E5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ek niskog klirensa sa pros</w:t>
      </w:r>
      <w:r w:rsidR="002342B5">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 xml:space="preserve">ečnim klirensom anti-Xa aktivnosti u plazmi od 0,74 </w:t>
      </w:r>
      <w:r w:rsidR="002342B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/h nakon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150 i.j./kg (1,5 mg/kg) putem intravenske infuzije u trajanju od 6 sati.</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Izgleda da je eliminacija monofazna, a poluvr</w:t>
      </w:r>
      <w:r w:rsidR="00541E5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eme eliminacije se kreće u rasponu od približno 5 sati nakon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pojedinačne s.c. doze do približno 7 sati nakon ponovljenog doziranja.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Renalni klirens aktivnih fragmenata pre</w:t>
      </w:r>
      <w:r w:rsidR="002342B5">
        <w:rPr>
          <w:rFonts w:ascii="Times New Roman" w:eastAsia="TimesNewRoman" w:hAnsi="Times New Roman" w:cs="Times New Roman"/>
          <w:sz w:val="22"/>
          <w:szCs w:val="22"/>
          <w:lang w:val="sr-Latn-RS"/>
        </w:rPr>
        <w:t>d</w:t>
      </w:r>
      <w:r w:rsidRPr="005A0F56">
        <w:rPr>
          <w:rFonts w:ascii="Times New Roman" w:eastAsia="TimesNewRoman" w:hAnsi="Times New Roman" w:cs="Times New Roman"/>
          <w:sz w:val="22"/>
          <w:szCs w:val="22"/>
          <w:lang w:val="sr-Latn-RS"/>
        </w:rPr>
        <w:t>stavlja približno 10% prim</w:t>
      </w:r>
      <w:r w:rsidR="00541E5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enjene doze, a preko bubrega se ukupno izluči, u obliku aktivnih i neaktivnih produkata, 40% doze.</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5A0F56">
        <w:rPr>
          <w:rFonts w:ascii="Times New Roman" w:eastAsia="TimesNewRoman" w:hAnsi="Times New Roman" w:cs="Times New Roman"/>
          <w:sz w:val="22"/>
          <w:szCs w:val="22"/>
          <w:u w:val="single"/>
          <w:lang w:val="sr-Latn-RS"/>
        </w:rPr>
        <w:t>Posebne populacije</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Starije osobe</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Na osnovu rezultata analize farmakokinetike populacije, kinetički profil enoksaparin</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nije drugačiji kod starijih lica u poređenju sa mlažim licima kada je funkcija bubrega normalna. Međutim, kako je poznato da funkcija bubrega postepeno opada u starosti, stariji pacijenti mogu pokazivati smanjenu eliminaciju enoksaparin</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(vid</w:t>
      </w:r>
      <w:r w:rsidR="002342B5">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2342B5">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eljke 4.2 i 4.4).</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Oštećenje funkcije jetre</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 ispitivanju sprovedenom kod pacijenata sa uznapredovalom cirozom jetre l</w:t>
      </w:r>
      <w:r w:rsidR="00541E5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ečenih enoksaparin</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natrijumom 4000 i.j. (40 mg) jednom dnevno, smanjenje u maksimalnoj anti-Xa aktivnosti bilo je u vezi sa povećanjem ozbiljnosti oštećenja funkcije jetre (proc</w:t>
      </w:r>
      <w:r w:rsidR="00014C8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enjeno na osnovu Child-Pugh kategorije). Ovo smanjenje je uglavnom pripisano smanjenju nivoa ATIII sekundarno u odnosu na redukovanu sintezu ATIII kod pacijenata sa oštećenom funkcijom jetre.</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Oštećenje funkcije bubrega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Uočeno je da postoji linearan odnos između klirensa anti-Xa u plazmi i klirensa kreatinina pri ravnotežnom stanju, što ukazuje na smanjen klirens enoksaparin</w:t>
      </w:r>
      <w:r w:rsidR="002342B5">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kod pacijenata sa smanjenom funkcijom bubrega. Anti-Xa izloženost predstavljena putem PIK, u</w:t>
      </w:r>
      <w:r w:rsidR="002342B5">
        <w:rPr>
          <w:rFonts w:ascii="Times New Roman" w:eastAsia="TimesNewRoman" w:hAnsi="Times New Roman" w:cs="Times New Roman"/>
          <w:sz w:val="22"/>
          <w:szCs w:val="22"/>
          <w:lang w:val="sr-Latn-RS"/>
        </w:rPr>
        <w:t xml:space="preserve"> stanju dinamičke</w:t>
      </w:r>
      <w:r w:rsidRPr="005A0F56">
        <w:rPr>
          <w:rFonts w:ascii="Times New Roman" w:eastAsia="TimesNewRoman" w:hAnsi="Times New Roman" w:cs="Times New Roman"/>
          <w:sz w:val="22"/>
          <w:szCs w:val="22"/>
          <w:lang w:val="sr-Latn-RS"/>
        </w:rPr>
        <w:t xml:space="preserve"> ravnote</w:t>
      </w:r>
      <w:r w:rsidR="002342B5">
        <w:rPr>
          <w:rFonts w:ascii="Times New Roman" w:eastAsia="TimesNewRoman" w:hAnsi="Times New Roman" w:cs="Times New Roman"/>
          <w:sz w:val="22"/>
          <w:szCs w:val="22"/>
          <w:lang w:val="sr-Latn-RS"/>
        </w:rPr>
        <w:t>že</w:t>
      </w:r>
      <w:r w:rsidRPr="005A0F56">
        <w:rPr>
          <w:rFonts w:ascii="Times New Roman" w:eastAsia="TimesNewRoman" w:hAnsi="Times New Roman" w:cs="Times New Roman"/>
          <w:sz w:val="22"/>
          <w:szCs w:val="22"/>
          <w:lang w:val="sr-Latn-RS"/>
        </w:rPr>
        <w:t>, je blago povećana kod blagog (klirens kreatinina 50-80 m</w:t>
      </w:r>
      <w:r w:rsidR="002342B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/min) i um</w:t>
      </w:r>
      <w:r w:rsidR="002342B5">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erenog (klirens kreatinina 30-50 m</w:t>
      </w:r>
      <w:r w:rsidR="002342B5">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/min) oštećenja funkcije bubrega nakon ponovljenih supkutanih doza od 4000 i.j. (40 mg) jednom dnevno. Kod pacijenata sa teškim oštećenjem funkcije bubrega (klirens kreatinina &lt;</w:t>
      </w:r>
      <w:r w:rsidR="0023441D">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30 m</w:t>
      </w:r>
      <w:r w:rsidR="0023441D">
        <w:rPr>
          <w:rFonts w:ascii="Times New Roman" w:eastAsia="TimesNewRoman" w:hAnsi="Times New Roman" w:cs="Times New Roman"/>
          <w:sz w:val="22"/>
          <w:szCs w:val="22"/>
          <w:lang w:val="sr-Latn-RS"/>
        </w:rPr>
        <w:t>l</w:t>
      </w:r>
      <w:r w:rsidRPr="005A0F56">
        <w:rPr>
          <w:rFonts w:ascii="Times New Roman" w:eastAsia="TimesNewRoman" w:hAnsi="Times New Roman" w:cs="Times New Roman"/>
          <w:sz w:val="22"/>
          <w:szCs w:val="22"/>
          <w:lang w:val="sr-Latn-RS"/>
        </w:rPr>
        <w:t xml:space="preserve">/min), PIK </w:t>
      </w:r>
      <w:r w:rsidR="0023441D">
        <w:rPr>
          <w:rFonts w:ascii="Times New Roman" w:eastAsia="TimesNewRoman" w:hAnsi="Times New Roman" w:cs="Times New Roman"/>
          <w:sz w:val="22"/>
          <w:szCs w:val="22"/>
          <w:lang w:val="sr-Latn-RS"/>
        </w:rPr>
        <w:t xml:space="preserve">u stnju dinamičke </w:t>
      </w:r>
      <w:r w:rsidRPr="005A0F56">
        <w:rPr>
          <w:rFonts w:ascii="Times New Roman" w:eastAsia="TimesNewRoman" w:hAnsi="Times New Roman" w:cs="Times New Roman"/>
          <w:sz w:val="22"/>
          <w:szCs w:val="22"/>
          <w:lang w:val="sr-Latn-RS"/>
        </w:rPr>
        <w:t>ravnotež</w:t>
      </w:r>
      <w:r w:rsidR="0023441D">
        <w:rPr>
          <w:rFonts w:ascii="Times New Roman" w:eastAsia="TimesNewRoman" w:hAnsi="Times New Roman" w:cs="Times New Roman"/>
          <w:sz w:val="22"/>
          <w:szCs w:val="22"/>
          <w:lang w:val="sr-Latn-RS"/>
        </w:rPr>
        <w:t>e</w:t>
      </w:r>
      <w:r w:rsidRPr="005A0F56">
        <w:rPr>
          <w:rFonts w:ascii="Times New Roman" w:eastAsia="TimesNewRoman" w:hAnsi="Times New Roman" w:cs="Times New Roman"/>
          <w:sz w:val="22"/>
          <w:szCs w:val="22"/>
          <w:lang w:val="sr-Latn-RS"/>
        </w:rPr>
        <w:t xml:space="preserve"> je značajno povećana u pros</w:t>
      </w:r>
      <w:r w:rsidR="00541E50" w:rsidRPr="005A0F56">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ku za 65% nakon ponovljenih supkutanih doza od 4000 i.j. (40 mg) (vid</w:t>
      </w:r>
      <w:r w:rsidR="0023441D">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23441D">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eljke 4.2 i 4.4).</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Hemodijaliza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Nakon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pojedinačne intravenske doze od 25 i.j., 50 i.j. ili 100 i.j./kg (0,25, 0,5 ili 1 mg/kg)</w:t>
      </w:r>
      <w:r w:rsidR="00624FF7">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farmakokinetika enoksaparin</w:t>
      </w:r>
      <w:r w:rsidR="00624FF7">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činila se sličnom onoj u kontrolnoj populaciji. Međutim, PIK je bio dva puta veći nego u kontrolnoj populaciji.</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T</w:t>
      </w:r>
      <w:r w:rsidR="00541E50" w:rsidRPr="005A0F56">
        <w:rPr>
          <w:rFonts w:ascii="Times New Roman" w:eastAsia="TimesNewRoman" w:hAnsi="Times New Roman" w:cs="Times New Roman"/>
          <w:i/>
          <w:iCs/>
          <w:sz w:val="22"/>
          <w:szCs w:val="22"/>
          <w:lang w:val="sr-Latn-RS"/>
        </w:rPr>
        <w:t>j</w:t>
      </w:r>
      <w:r w:rsidRPr="005A0F56">
        <w:rPr>
          <w:rFonts w:ascii="Times New Roman" w:eastAsia="TimesNewRoman" w:hAnsi="Times New Roman" w:cs="Times New Roman"/>
          <w:i/>
          <w:iCs/>
          <w:sz w:val="22"/>
          <w:szCs w:val="22"/>
          <w:lang w:val="sr-Latn-RS"/>
        </w:rPr>
        <w:t>elesna masa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Nakon ponovljene supkutane doze od 150 i.j./kg (1,5 mg/kg) jednom dnevno, srednja vr</w:t>
      </w:r>
      <w:r w:rsidR="00541E5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 xml:space="preserve">ednost PIK anti-Xa aktivnosti je blago povećana </w:t>
      </w:r>
      <w:r w:rsidR="00624FF7">
        <w:rPr>
          <w:rFonts w:ascii="Times New Roman" w:eastAsia="TimesNewRoman" w:hAnsi="Times New Roman" w:cs="Times New Roman"/>
          <w:sz w:val="22"/>
          <w:szCs w:val="22"/>
          <w:lang w:val="sr-Latn-RS"/>
        </w:rPr>
        <w:t>u stanju dinamičke ravnoteže</w:t>
      </w:r>
      <w:r w:rsidRPr="005A0F56">
        <w:rPr>
          <w:rFonts w:ascii="Times New Roman" w:eastAsia="TimesNewRoman" w:hAnsi="Times New Roman" w:cs="Times New Roman"/>
          <w:sz w:val="22"/>
          <w:szCs w:val="22"/>
          <w:lang w:val="sr-Latn-RS"/>
        </w:rPr>
        <w:t xml:space="preserve"> kod gojaznih zdravih dobrovoljaca (BMI 30-48 kg/m</w:t>
      </w:r>
      <w:r w:rsidRPr="00B508FF">
        <w:rPr>
          <w:rFonts w:ascii="Times New Roman" w:eastAsia="TimesNewRoman" w:hAnsi="Times New Roman" w:cs="Times New Roman"/>
          <w:sz w:val="22"/>
          <w:szCs w:val="22"/>
          <w:vertAlign w:val="superscript"/>
          <w:lang w:val="sr-Latn-RS"/>
        </w:rPr>
        <w:t>2</w:t>
      </w:r>
      <w:r w:rsidRPr="005A0F56">
        <w:rPr>
          <w:rFonts w:ascii="Times New Roman" w:eastAsia="TimesNewRoman" w:hAnsi="Times New Roman" w:cs="Times New Roman"/>
          <w:sz w:val="22"/>
          <w:szCs w:val="22"/>
          <w:lang w:val="sr-Latn-RS"/>
        </w:rPr>
        <w:t>) u poređenju sa kontrolnom grupom ispitanika koji ni</w:t>
      </w:r>
      <w:r w:rsidR="00E34DC0">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su gojazni, dok maksimalni nivo anti-Xa aktivnosti u plazmi nije bio povećan. Klirens prilagođen prema t</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elesnoj masi kod gojaznih ispitanika manji je pri supkutanoj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Kada se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enjuje doziranje koje nije prilagođeno prema t</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elesnoj masi, ustanovljeno je da nakon</w:t>
      </w:r>
      <w:r w:rsidR="00E34DC0">
        <w:rPr>
          <w:rFonts w:ascii="Times New Roman" w:eastAsia="TimesNewRoman" w:hAnsi="Times New Roman" w:cs="Times New Roman"/>
          <w:sz w:val="22"/>
          <w:szCs w:val="22"/>
          <w:lang w:val="sr-Latn-RS"/>
        </w:rPr>
        <w:t xml:space="preserve"> </w:t>
      </w:r>
      <w:r w:rsidR="00862125">
        <w:rPr>
          <w:rFonts w:ascii="Times New Roman" w:eastAsia="TimesNewRoman" w:hAnsi="Times New Roman" w:cs="Times New Roman"/>
          <w:sz w:val="22"/>
          <w:szCs w:val="22"/>
          <w:lang w:val="sr-Latn-RS"/>
        </w:rPr>
        <w:t>pojedinačne</w:t>
      </w:r>
      <w:r w:rsidR="00862125"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supkutane doze od 4000 i.j. (40 mg), izloženost anti-Xa aktivnosti je 52% veća kod žena sa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malom t</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elesnom masom (&lt;45 kg) i 27% veća kod muškaraca sa malom t</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elesnom masom (&lt;57 kg) u</w:t>
      </w:r>
      <w:r w:rsidR="00E34DC0">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poređenju sa kontrolnom grupom ispitanika normalne t</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elesne mase (vid</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eti od</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eljak 4.4).</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i/>
          <w:iCs/>
          <w:sz w:val="22"/>
          <w:szCs w:val="22"/>
          <w:lang w:val="sr-Latn-RS"/>
        </w:rPr>
      </w:pPr>
      <w:r w:rsidRPr="005A0F56">
        <w:rPr>
          <w:rFonts w:ascii="Times New Roman" w:eastAsia="TimesNewRoman" w:hAnsi="Times New Roman" w:cs="Times New Roman"/>
          <w:i/>
          <w:iCs/>
          <w:sz w:val="22"/>
          <w:szCs w:val="22"/>
          <w:lang w:val="sr-Latn-RS"/>
        </w:rPr>
        <w:t>Farmakokinetičke interakcije</w:t>
      </w:r>
    </w:p>
    <w:p w:rsidR="00BF29D2" w:rsidRPr="005A0F56" w:rsidRDefault="00BF29D2" w:rsidP="00E34DC0">
      <w:pPr>
        <w:autoSpaceDE w:val="0"/>
        <w:autoSpaceDN w:val="0"/>
        <w:adjustRightInd w:val="0"/>
        <w:spacing w:after="0" w:line="240" w:lineRule="auto"/>
        <w:jc w:val="both"/>
        <w:rPr>
          <w:rFonts w:ascii="Times New Roman" w:hAnsi="Times New Roman" w:cs="Times New Roman"/>
          <w:b/>
          <w:bCs/>
          <w:sz w:val="22"/>
          <w:szCs w:val="22"/>
          <w:u w:val="single"/>
        </w:rPr>
      </w:pPr>
      <w:r w:rsidRPr="005A0F56">
        <w:rPr>
          <w:rFonts w:ascii="Times New Roman" w:eastAsia="TimesNewRoman" w:hAnsi="Times New Roman" w:cs="Times New Roman"/>
          <w:sz w:val="22"/>
          <w:szCs w:val="22"/>
          <w:lang w:val="sr-Latn-RS"/>
        </w:rPr>
        <w:t>Ni</w:t>
      </w:r>
      <w:r w:rsidR="00E34DC0">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su prim</w:t>
      </w:r>
      <w:r w:rsidR="00541E50" w:rsidRPr="005A0F56">
        <w:rPr>
          <w:rFonts w:ascii="Times New Roman" w:eastAsia="TimesNewRoman" w:hAnsi="Times New Roman" w:cs="Times New Roman"/>
          <w:sz w:val="22"/>
          <w:szCs w:val="22"/>
          <w:lang w:val="sr-Latn-RS"/>
        </w:rPr>
        <w:t>ij</w:t>
      </w:r>
      <w:r w:rsidRPr="005A0F56">
        <w:rPr>
          <w:rFonts w:ascii="Times New Roman" w:eastAsia="TimesNewRoman" w:hAnsi="Times New Roman" w:cs="Times New Roman"/>
          <w:sz w:val="22"/>
          <w:szCs w:val="22"/>
          <w:lang w:val="sr-Latn-RS"/>
        </w:rPr>
        <w:t>ećene farmakokinetičke interakcije između enoksaparin</w:t>
      </w:r>
      <w:r w:rsidR="00E34DC0">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i trombolitika pri istovremenoj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w:t>
      </w:r>
    </w:p>
    <w:p w:rsidR="00BF29D2" w:rsidRPr="005A0F56" w:rsidRDefault="00BF29D2" w:rsidP="00B508FF">
      <w:pPr>
        <w:tabs>
          <w:tab w:val="left" w:pos="540"/>
          <w:tab w:val="left" w:pos="569"/>
        </w:tabs>
        <w:spacing w:after="0"/>
        <w:jc w:val="both"/>
        <w:rPr>
          <w:rFonts w:ascii="Times New Roman" w:hAnsi="Times New Roman" w:cs="Times New Roman"/>
          <w:b/>
          <w:bCs/>
          <w:sz w:val="22"/>
          <w:szCs w:val="22"/>
          <w:u w:val="single"/>
        </w:rPr>
      </w:pPr>
    </w:p>
    <w:p w:rsidR="0072020E" w:rsidRPr="005A0F56" w:rsidRDefault="0072020E" w:rsidP="00B508FF">
      <w:pPr>
        <w:tabs>
          <w:tab w:val="left" w:pos="540"/>
          <w:tab w:val="left" w:pos="569"/>
        </w:tabs>
        <w:spacing w:after="0"/>
        <w:jc w:val="both"/>
        <w:rPr>
          <w:rFonts w:ascii="Times New Roman" w:hAnsi="Times New Roman" w:cs="Times New Roman"/>
          <w:b/>
          <w:bCs/>
          <w:sz w:val="22"/>
          <w:szCs w:val="22"/>
        </w:rPr>
      </w:pPr>
      <w:r w:rsidRPr="005A0F56">
        <w:rPr>
          <w:rFonts w:ascii="Times New Roman" w:hAnsi="Times New Roman" w:cs="Times New Roman"/>
          <w:b/>
          <w:bCs/>
          <w:sz w:val="22"/>
          <w:szCs w:val="22"/>
        </w:rPr>
        <w:t xml:space="preserve">5.3. </w:t>
      </w:r>
      <w:r w:rsidR="00480FB1" w:rsidRPr="005A0F56">
        <w:rPr>
          <w:rFonts w:ascii="Times New Roman" w:hAnsi="Times New Roman" w:cs="Times New Roman"/>
          <w:b/>
          <w:bCs/>
          <w:sz w:val="22"/>
          <w:szCs w:val="22"/>
        </w:rPr>
        <w:tab/>
      </w:r>
      <w:r w:rsidRPr="005A0F56">
        <w:rPr>
          <w:rFonts w:ascii="Times New Roman" w:hAnsi="Times New Roman" w:cs="Times New Roman"/>
          <w:b/>
          <w:bCs/>
          <w:sz w:val="22"/>
          <w:szCs w:val="22"/>
        </w:rPr>
        <w:t xml:space="preserve">Pretklinički podaci o bezbjednosti </w:t>
      </w:r>
    </w:p>
    <w:p w:rsidR="00836B35" w:rsidRPr="005A0F56" w:rsidRDefault="00836B35" w:rsidP="00B508FF">
      <w:pPr>
        <w:tabs>
          <w:tab w:val="left" w:pos="540"/>
          <w:tab w:val="left" w:pos="569"/>
        </w:tabs>
        <w:spacing w:after="0"/>
        <w:jc w:val="both"/>
        <w:rPr>
          <w:rFonts w:ascii="Times New Roman" w:hAnsi="Times New Roman" w:cs="Times New Roman"/>
          <w:bCs/>
          <w:sz w:val="22"/>
          <w:szCs w:val="22"/>
        </w:rPr>
      </w:pPr>
    </w:p>
    <w:p w:rsidR="00BF29D2" w:rsidRPr="005A0F56" w:rsidRDefault="00BF29D2" w:rsidP="00E34DC0">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Pored antikoagulantnih dejstava enoksaparin</w:t>
      </w:r>
      <w:r w:rsidR="00467C83">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nije bilo dokaza neželjenih reakcija pri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 15 mg/kg/dan u 13-ned</w:t>
      </w:r>
      <w:r w:rsidR="00467C83">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eljnoj studiji toksičnosti supkutane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ene kod pacova i pasa i pri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 10</w:t>
      </w:r>
    </w:p>
    <w:p w:rsidR="00BF29D2" w:rsidRPr="005A0F56" w:rsidRDefault="00BF29D2"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lastRenderedPageBreak/>
        <w:t>mg/kg/dan u 26-ned</w:t>
      </w:r>
      <w:r w:rsidR="00467C83">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eljnoj s.c. i i.v. studiji toksičnosti kod pacova i majmuna.</w:t>
      </w:r>
    </w:p>
    <w:p w:rsidR="00BF29D2" w:rsidRPr="005A0F56" w:rsidRDefault="00BF29D2" w:rsidP="005A0F56">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Enoksaparin</w:t>
      </w:r>
      <w:r w:rsidR="00467C83">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 xml:space="preserve">natrijum nije pokazao mutagenu aktivnost zasnovano na </w:t>
      </w:r>
      <w:r w:rsidRPr="005A0F56">
        <w:rPr>
          <w:rFonts w:ascii="Times New Roman" w:eastAsia="TimesNewRoman" w:hAnsi="Times New Roman" w:cs="Times New Roman"/>
          <w:i/>
          <w:iCs/>
          <w:sz w:val="22"/>
          <w:szCs w:val="22"/>
          <w:lang w:val="sr-Latn-RS"/>
        </w:rPr>
        <w:t xml:space="preserve">in vitro </w:t>
      </w:r>
      <w:r w:rsidRPr="005A0F56">
        <w:rPr>
          <w:rFonts w:ascii="Times New Roman" w:eastAsia="TimesNewRoman" w:hAnsi="Times New Roman" w:cs="Times New Roman"/>
          <w:sz w:val="22"/>
          <w:szCs w:val="22"/>
          <w:lang w:val="sr-Latn-RS"/>
        </w:rPr>
        <w:t xml:space="preserve">testovima, uključujući Ames test, test mutacije </w:t>
      </w:r>
      <w:r w:rsidR="00467C83">
        <w:rPr>
          <w:rFonts w:ascii="Times New Roman" w:eastAsia="TimesNewRoman" w:hAnsi="Times New Roman" w:cs="Times New Roman"/>
          <w:sz w:val="22"/>
          <w:szCs w:val="22"/>
          <w:lang w:val="sr-Latn-RS"/>
        </w:rPr>
        <w:t xml:space="preserve">na </w:t>
      </w:r>
      <w:r w:rsidRPr="005A0F56">
        <w:rPr>
          <w:rFonts w:ascii="Times New Roman" w:eastAsia="TimesNewRoman" w:hAnsi="Times New Roman" w:cs="Times New Roman"/>
          <w:sz w:val="22"/>
          <w:szCs w:val="22"/>
          <w:lang w:val="sr-Latn-RS"/>
        </w:rPr>
        <w:t>mišj</w:t>
      </w:r>
      <w:r w:rsidR="00467C83">
        <w:rPr>
          <w:rFonts w:ascii="Times New Roman" w:eastAsia="TimesNewRoman" w:hAnsi="Times New Roman" w:cs="Times New Roman"/>
          <w:sz w:val="22"/>
          <w:szCs w:val="22"/>
          <w:lang w:val="sr-Latn-RS"/>
        </w:rPr>
        <w:t>im ćelijama</w:t>
      </w:r>
      <w:r w:rsidRPr="005A0F56">
        <w:rPr>
          <w:rFonts w:ascii="Times New Roman" w:eastAsia="TimesNewRoman" w:hAnsi="Times New Roman" w:cs="Times New Roman"/>
          <w:sz w:val="22"/>
          <w:szCs w:val="22"/>
          <w:lang w:val="sr-Latn-RS"/>
        </w:rPr>
        <w:t xml:space="preserve"> limfoma, i nema klastogenu aktivnost</w:t>
      </w:r>
      <w:r w:rsidR="00467C83">
        <w:rPr>
          <w:rFonts w:ascii="Times New Roman" w:eastAsia="TimesNewRoman" w:hAnsi="Times New Roman" w:cs="Times New Roman"/>
          <w:sz w:val="22"/>
          <w:szCs w:val="22"/>
          <w:lang w:val="sr-Latn-RS"/>
        </w:rPr>
        <w:t xml:space="preserve"> u testu hromozomskih aberacija na </w:t>
      </w:r>
      <w:r w:rsidRPr="005A0F56">
        <w:rPr>
          <w:rFonts w:ascii="Times New Roman" w:eastAsia="TimesNewRoman" w:hAnsi="Times New Roman" w:cs="Times New Roman"/>
          <w:sz w:val="22"/>
          <w:szCs w:val="22"/>
          <w:lang w:val="sr-Latn-RS"/>
        </w:rPr>
        <w:t>human</w:t>
      </w:r>
      <w:r w:rsidR="00467C83">
        <w:rPr>
          <w:rFonts w:ascii="Times New Roman" w:eastAsia="TimesNewRoman" w:hAnsi="Times New Roman" w:cs="Times New Roman"/>
          <w:sz w:val="22"/>
          <w:szCs w:val="22"/>
          <w:lang w:val="sr-Latn-RS"/>
        </w:rPr>
        <w:t>im limfocitima</w:t>
      </w:r>
      <w:r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i/>
          <w:iCs/>
          <w:sz w:val="22"/>
          <w:szCs w:val="22"/>
          <w:lang w:val="sr-Latn-RS"/>
        </w:rPr>
        <w:t xml:space="preserve">in vitro </w:t>
      </w:r>
      <w:r w:rsidR="00467C83">
        <w:rPr>
          <w:rFonts w:ascii="Times New Roman" w:eastAsia="TimesNewRoman" w:hAnsi="Times New Roman" w:cs="Times New Roman"/>
          <w:sz w:val="22"/>
          <w:szCs w:val="22"/>
          <w:lang w:val="sr-Latn-RS"/>
        </w:rPr>
        <w:t xml:space="preserve">i </w:t>
      </w:r>
      <w:r w:rsidRPr="005A0F56">
        <w:rPr>
          <w:rFonts w:ascii="Times New Roman" w:eastAsia="TimesNewRoman" w:hAnsi="Times New Roman" w:cs="Times New Roman"/>
          <w:i/>
          <w:iCs/>
          <w:sz w:val="22"/>
          <w:szCs w:val="22"/>
          <w:lang w:val="sr-Latn-RS"/>
        </w:rPr>
        <w:t xml:space="preserve">in vivo </w:t>
      </w:r>
      <w:r w:rsidRPr="005A0F56">
        <w:rPr>
          <w:rFonts w:ascii="Times New Roman" w:eastAsia="TimesNewRoman" w:hAnsi="Times New Roman" w:cs="Times New Roman"/>
          <w:sz w:val="22"/>
          <w:szCs w:val="22"/>
          <w:lang w:val="sr-Latn-RS"/>
        </w:rPr>
        <w:t>testu hromozomsk</w:t>
      </w:r>
      <w:r w:rsidR="00467C83">
        <w:rPr>
          <w:rFonts w:ascii="Times New Roman" w:eastAsia="TimesNewRoman" w:hAnsi="Times New Roman" w:cs="Times New Roman"/>
          <w:sz w:val="22"/>
          <w:szCs w:val="22"/>
          <w:lang w:val="sr-Latn-RS"/>
        </w:rPr>
        <w:t>ih</w:t>
      </w:r>
      <w:r w:rsidRPr="005A0F56">
        <w:rPr>
          <w:rFonts w:ascii="Times New Roman" w:eastAsia="TimesNewRoman" w:hAnsi="Times New Roman" w:cs="Times New Roman"/>
          <w:sz w:val="22"/>
          <w:szCs w:val="22"/>
          <w:lang w:val="sr-Latn-RS"/>
        </w:rPr>
        <w:t xml:space="preserve"> aberacij</w:t>
      </w:r>
      <w:r w:rsidR="00467C83">
        <w:rPr>
          <w:rFonts w:ascii="Times New Roman" w:eastAsia="TimesNewRoman" w:hAnsi="Times New Roman" w:cs="Times New Roman"/>
          <w:sz w:val="22"/>
          <w:szCs w:val="22"/>
          <w:lang w:val="sr-Latn-RS"/>
        </w:rPr>
        <w:t>a</w:t>
      </w:r>
      <w:r w:rsidRPr="005A0F56">
        <w:rPr>
          <w:rFonts w:ascii="Times New Roman" w:eastAsia="TimesNewRoman" w:hAnsi="Times New Roman" w:cs="Times New Roman"/>
          <w:sz w:val="22"/>
          <w:szCs w:val="22"/>
          <w:lang w:val="sr-Latn-RS"/>
        </w:rPr>
        <w:t xml:space="preserve"> </w:t>
      </w:r>
      <w:r w:rsidR="00467C83">
        <w:rPr>
          <w:rFonts w:ascii="Times New Roman" w:eastAsia="TimesNewRoman" w:hAnsi="Times New Roman" w:cs="Times New Roman"/>
          <w:sz w:val="22"/>
          <w:szCs w:val="22"/>
          <w:lang w:val="sr-Latn-RS"/>
        </w:rPr>
        <w:t xml:space="preserve">na ćelijama </w:t>
      </w:r>
      <w:r w:rsidRPr="005A0F56">
        <w:rPr>
          <w:rFonts w:ascii="Times New Roman" w:eastAsia="TimesNewRoman" w:hAnsi="Times New Roman" w:cs="Times New Roman"/>
          <w:sz w:val="22"/>
          <w:szCs w:val="22"/>
          <w:lang w:val="sr-Latn-RS"/>
        </w:rPr>
        <w:t>koštane srži</w:t>
      </w:r>
      <w:r w:rsidR="00467C83">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pacova.</w:t>
      </w:r>
    </w:p>
    <w:p w:rsidR="00BF29D2" w:rsidRPr="005A0F56"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D33F3D" w:rsidRDefault="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5A0F56">
        <w:rPr>
          <w:rFonts w:ascii="Times New Roman" w:eastAsia="TimesNewRoman" w:hAnsi="Times New Roman" w:cs="Times New Roman"/>
          <w:sz w:val="22"/>
          <w:szCs w:val="22"/>
          <w:lang w:val="sr-Latn-RS"/>
        </w:rPr>
        <w:t xml:space="preserve">Ispitivanja kod </w:t>
      </w:r>
      <w:r w:rsidR="00EF714E">
        <w:rPr>
          <w:rFonts w:ascii="Times New Roman" w:eastAsia="TimesNewRoman" w:hAnsi="Times New Roman" w:cs="Times New Roman"/>
          <w:sz w:val="22"/>
          <w:szCs w:val="22"/>
          <w:lang w:val="sr-Latn-RS"/>
        </w:rPr>
        <w:t>skotnih</w:t>
      </w:r>
      <w:r w:rsidR="00EF714E" w:rsidRPr="005A0F56">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ženki pacova i kunića pri s.c. dozama enoksaparin</w:t>
      </w:r>
      <w:r w:rsidR="00EF714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natrijuma do 30 mg/kg/dan ni</w:t>
      </w:r>
      <w:r w:rsidR="00EF714E">
        <w:rPr>
          <w:rFonts w:ascii="Times New Roman" w:eastAsia="TimesNewRoman" w:hAnsi="Times New Roman" w:cs="Times New Roman"/>
          <w:sz w:val="22"/>
          <w:szCs w:val="22"/>
          <w:lang w:val="sr-Latn-RS"/>
        </w:rPr>
        <w:t>je</w:t>
      </w:r>
      <w:r w:rsidRPr="005A0F56">
        <w:rPr>
          <w:rFonts w:ascii="Times New Roman" w:eastAsia="TimesNewRoman" w:hAnsi="Times New Roman" w:cs="Times New Roman"/>
          <w:sz w:val="22"/>
          <w:szCs w:val="22"/>
          <w:lang w:val="sr-Latn-RS"/>
        </w:rPr>
        <w:t>su ukazala na postojanje teratogenih efekata i fetotoksičnosti. Utvrđeno je da enoksaparin</w:t>
      </w:r>
      <w:r w:rsidR="00EF714E">
        <w:rPr>
          <w:rFonts w:ascii="Times New Roman" w:eastAsia="TimesNewRoman" w:hAnsi="Times New Roman" w:cs="Times New Roman"/>
          <w:sz w:val="22"/>
          <w:szCs w:val="22"/>
          <w:lang w:val="sr-Latn-RS"/>
        </w:rPr>
        <w:t xml:space="preserve"> </w:t>
      </w:r>
      <w:r w:rsidRPr="005A0F56">
        <w:rPr>
          <w:rFonts w:ascii="Times New Roman" w:eastAsia="TimesNewRoman" w:hAnsi="Times New Roman" w:cs="Times New Roman"/>
          <w:sz w:val="22"/>
          <w:szCs w:val="22"/>
          <w:lang w:val="sr-Latn-RS"/>
        </w:rPr>
        <w:t>natrijum nema uticaja na plodnost ili reproduktivnu sposobnost mužjaka i ženki pacova pri prim</w:t>
      </w:r>
      <w:r w:rsidR="00541E50" w:rsidRPr="005A0F56">
        <w:rPr>
          <w:rFonts w:ascii="Times New Roman" w:eastAsia="TimesNewRoman" w:hAnsi="Times New Roman" w:cs="Times New Roman"/>
          <w:sz w:val="22"/>
          <w:szCs w:val="22"/>
          <w:lang w:val="sr-Latn-RS"/>
        </w:rPr>
        <w:t>j</w:t>
      </w:r>
      <w:r w:rsidRPr="005A0F56">
        <w:rPr>
          <w:rFonts w:ascii="Times New Roman" w:eastAsia="TimesNewRoman" w:hAnsi="Times New Roman" w:cs="Times New Roman"/>
          <w:sz w:val="22"/>
          <w:szCs w:val="22"/>
          <w:lang w:val="sr-Latn-RS"/>
        </w:rPr>
        <w:t>eni s.c. doza do 20 mg/kg/dan.</w:t>
      </w:r>
    </w:p>
    <w:p w:rsidR="00EF714E" w:rsidRPr="005A0F56" w:rsidRDefault="00EF714E">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6921A1" w:rsidRDefault="00BF29D2" w:rsidP="00BF29D2">
      <w:pPr>
        <w:autoSpaceDE w:val="0"/>
        <w:autoSpaceDN w:val="0"/>
        <w:adjustRightInd w:val="0"/>
        <w:spacing w:after="0" w:line="240" w:lineRule="auto"/>
        <w:jc w:val="both"/>
        <w:rPr>
          <w:rFonts w:ascii="Times New Roman" w:hAnsi="Times New Roman" w:cs="Times New Roman"/>
          <w:b/>
          <w:bCs/>
          <w:sz w:val="22"/>
          <w:szCs w:val="22"/>
        </w:rPr>
      </w:pPr>
    </w:p>
    <w:p w:rsidR="0072020E"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6.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FARMACEUTSKI PODACI</w:t>
      </w:r>
    </w:p>
    <w:p w:rsidR="00736BC4"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6.1.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Lista pomoćnih supstanci</w:t>
      </w:r>
      <w:r w:rsidR="002E0135" w:rsidRPr="006921A1">
        <w:rPr>
          <w:rFonts w:ascii="Times New Roman" w:hAnsi="Times New Roman" w:cs="Times New Roman"/>
          <w:b/>
          <w:bCs/>
          <w:sz w:val="22"/>
          <w:szCs w:val="22"/>
        </w:rPr>
        <w:t xml:space="preserve"> (ekscipijenasa)</w:t>
      </w:r>
    </w:p>
    <w:p w:rsidR="00A3722B" w:rsidRDefault="00736BC4" w:rsidP="00480FB1">
      <w:pPr>
        <w:tabs>
          <w:tab w:val="left" w:pos="540"/>
          <w:tab w:val="left" w:pos="569"/>
        </w:tabs>
        <w:rPr>
          <w:rFonts w:ascii="Times New Roman" w:hAnsi="Times New Roman" w:cs="Times New Roman"/>
          <w:bCs/>
          <w:sz w:val="22"/>
          <w:szCs w:val="22"/>
        </w:rPr>
      </w:pPr>
      <w:r w:rsidRPr="006921A1">
        <w:rPr>
          <w:rFonts w:ascii="Times New Roman" w:hAnsi="Times New Roman" w:cs="Times New Roman"/>
          <w:sz w:val="22"/>
          <w:szCs w:val="22"/>
          <w:lang w:val="sr-Latn-RS"/>
        </w:rPr>
        <w:t>Voda za injekcij</w:t>
      </w:r>
      <w:r w:rsidR="00BF29D2" w:rsidRPr="006921A1">
        <w:rPr>
          <w:rFonts w:ascii="Times New Roman" w:hAnsi="Times New Roman" w:cs="Times New Roman"/>
          <w:sz w:val="22"/>
          <w:szCs w:val="22"/>
          <w:lang w:val="sr-Latn-RS"/>
        </w:rPr>
        <w:t>e</w:t>
      </w:r>
      <w:r w:rsidRPr="006921A1">
        <w:rPr>
          <w:rFonts w:ascii="Times New Roman" w:hAnsi="Times New Roman" w:cs="Times New Roman"/>
          <w:sz w:val="22"/>
          <w:szCs w:val="22"/>
          <w:lang w:val="sr-Latn-RS"/>
        </w:rPr>
        <w:t>.</w:t>
      </w:r>
    </w:p>
    <w:p w:rsidR="008327B6" w:rsidRPr="008327B6" w:rsidRDefault="008327B6" w:rsidP="008327B6">
      <w:pPr>
        <w:tabs>
          <w:tab w:val="left" w:pos="540"/>
          <w:tab w:val="left" w:pos="569"/>
        </w:tabs>
        <w:spacing w:after="0" w:line="240" w:lineRule="auto"/>
        <w:rPr>
          <w:rFonts w:ascii="Times New Roman" w:hAnsi="Times New Roman" w:cs="Times New Roman"/>
          <w:bCs/>
          <w:sz w:val="22"/>
          <w:szCs w:val="22"/>
        </w:rPr>
      </w:pPr>
    </w:p>
    <w:p w:rsidR="0072020E"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6.2.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Inkompatibilnost</w:t>
      </w:r>
      <w:r w:rsidR="002846DB" w:rsidRPr="006921A1">
        <w:rPr>
          <w:rFonts w:ascii="Times New Roman" w:hAnsi="Times New Roman" w:cs="Times New Roman"/>
          <w:b/>
          <w:bCs/>
          <w:sz w:val="22"/>
          <w:szCs w:val="22"/>
        </w:rPr>
        <w:t>i</w:t>
      </w:r>
    </w:p>
    <w:p w:rsidR="00BF29D2" w:rsidRPr="006921A1" w:rsidRDefault="00BF29D2" w:rsidP="00BF29D2">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6921A1">
        <w:rPr>
          <w:rFonts w:ascii="Times New Roman" w:eastAsia="TimesNewRoman" w:hAnsi="Times New Roman" w:cs="Times New Roman"/>
          <w:sz w:val="22"/>
          <w:szCs w:val="22"/>
          <w:u w:val="single"/>
          <w:lang w:val="sr-Latn-RS"/>
        </w:rPr>
        <w:t>Supkutana injekcija</w:t>
      </w:r>
    </w:p>
    <w:p w:rsidR="00BF29D2" w:rsidRDefault="00BF29D2" w:rsidP="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Ne m</w:t>
      </w:r>
      <w:r w:rsidR="00541E50" w:rsidRPr="006921A1">
        <w:rPr>
          <w:rFonts w:ascii="Times New Roman" w:eastAsia="TimesNewRoman" w:hAnsi="Times New Roman" w:cs="Times New Roman"/>
          <w:sz w:val="22"/>
          <w:szCs w:val="22"/>
          <w:lang w:val="sr-Latn-RS"/>
        </w:rPr>
        <w:t>ij</w:t>
      </w:r>
      <w:r w:rsidRPr="006921A1">
        <w:rPr>
          <w:rFonts w:ascii="Times New Roman" w:eastAsia="TimesNewRoman" w:hAnsi="Times New Roman" w:cs="Times New Roman"/>
          <w:sz w:val="22"/>
          <w:szCs w:val="22"/>
          <w:lang w:val="sr-Latn-RS"/>
        </w:rPr>
        <w:t>ešati sa drugim l</w:t>
      </w:r>
      <w:r w:rsidR="00541E50"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ekovima.</w:t>
      </w:r>
    </w:p>
    <w:p w:rsidR="00AB29BC" w:rsidRPr="006921A1" w:rsidRDefault="00AB29BC" w:rsidP="00BF29D2">
      <w:pPr>
        <w:autoSpaceDE w:val="0"/>
        <w:autoSpaceDN w:val="0"/>
        <w:adjustRightInd w:val="0"/>
        <w:spacing w:after="0" w:line="240" w:lineRule="auto"/>
        <w:jc w:val="both"/>
        <w:rPr>
          <w:rFonts w:ascii="Times New Roman" w:eastAsia="TimesNewRoman" w:hAnsi="Times New Roman" w:cs="Times New Roman"/>
          <w:sz w:val="22"/>
          <w:szCs w:val="22"/>
          <w:lang w:val="sr-Latn-RS"/>
        </w:rPr>
      </w:pPr>
    </w:p>
    <w:p w:rsidR="00BF29D2" w:rsidRPr="006921A1" w:rsidRDefault="00BF29D2" w:rsidP="00BF29D2">
      <w:pPr>
        <w:autoSpaceDE w:val="0"/>
        <w:autoSpaceDN w:val="0"/>
        <w:adjustRightInd w:val="0"/>
        <w:spacing w:after="0" w:line="240" w:lineRule="auto"/>
        <w:jc w:val="both"/>
        <w:rPr>
          <w:rFonts w:ascii="Times New Roman" w:eastAsia="TimesNewRoman" w:hAnsi="Times New Roman" w:cs="Times New Roman"/>
          <w:sz w:val="22"/>
          <w:szCs w:val="22"/>
          <w:u w:val="single"/>
          <w:lang w:val="sr-Latn-RS"/>
        </w:rPr>
      </w:pPr>
      <w:r w:rsidRPr="006921A1">
        <w:rPr>
          <w:rFonts w:ascii="Times New Roman" w:eastAsia="TimesNewRoman" w:hAnsi="Times New Roman" w:cs="Times New Roman"/>
          <w:sz w:val="22"/>
          <w:szCs w:val="22"/>
          <w:u w:val="single"/>
          <w:lang w:val="sr-Latn-RS"/>
        </w:rPr>
        <w:t>Intravenska (bolus) injekcija (samo za akutni STEMI):</w:t>
      </w:r>
    </w:p>
    <w:p w:rsidR="0072020E" w:rsidRPr="006921A1" w:rsidRDefault="00BF29D2" w:rsidP="005B596D">
      <w:pPr>
        <w:autoSpaceDE w:val="0"/>
        <w:autoSpaceDN w:val="0"/>
        <w:adjustRightInd w:val="0"/>
        <w:spacing w:after="0" w:line="240" w:lineRule="auto"/>
        <w:jc w:val="both"/>
        <w:rPr>
          <w:rFonts w:ascii="Times New Roman" w:eastAsia="TimesNewRoman" w:hAnsi="Times New Roman" w:cs="Times New Roman"/>
          <w:sz w:val="22"/>
          <w:szCs w:val="22"/>
          <w:lang w:val="sr-Latn-RS"/>
        </w:rPr>
      </w:pPr>
      <w:r w:rsidRPr="006921A1">
        <w:rPr>
          <w:rFonts w:ascii="Times New Roman" w:eastAsia="TimesNewRoman" w:hAnsi="Times New Roman" w:cs="Times New Roman"/>
          <w:sz w:val="22"/>
          <w:szCs w:val="22"/>
          <w:lang w:val="sr-Latn-RS"/>
        </w:rPr>
        <w:t>Enoksaparin</w:t>
      </w:r>
      <w:r w:rsidR="00AB29BC">
        <w:rPr>
          <w:rFonts w:ascii="Times New Roman" w:eastAsia="TimesNewRoman" w:hAnsi="Times New Roman" w:cs="Times New Roman"/>
          <w:sz w:val="22"/>
          <w:szCs w:val="22"/>
          <w:lang w:val="sr-Latn-RS"/>
        </w:rPr>
        <w:t xml:space="preserve"> </w:t>
      </w:r>
      <w:r w:rsidRPr="006921A1">
        <w:rPr>
          <w:rFonts w:ascii="Times New Roman" w:eastAsia="TimesNewRoman" w:hAnsi="Times New Roman" w:cs="Times New Roman"/>
          <w:sz w:val="22"/>
          <w:szCs w:val="22"/>
          <w:lang w:val="sr-Latn-RS"/>
        </w:rPr>
        <w:t>natrijum se može bezb</w:t>
      </w:r>
      <w:r w:rsidR="00541E50"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edno prim</w:t>
      </w:r>
      <w:r w:rsidR="00541E50" w:rsidRPr="006921A1">
        <w:rPr>
          <w:rFonts w:ascii="Times New Roman" w:eastAsia="TimesNewRoman" w:hAnsi="Times New Roman" w:cs="Times New Roman"/>
          <w:sz w:val="22"/>
          <w:szCs w:val="22"/>
          <w:lang w:val="sr-Latn-RS"/>
        </w:rPr>
        <w:t>ije</w:t>
      </w:r>
      <w:r w:rsidRPr="006921A1">
        <w:rPr>
          <w:rFonts w:ascii="Times New Roman" w:eastAsia="TimesNewRoman" w:hAnsi="Times New Roman" w:cs="Times New Roman"/>
          <w:sz w:val="22"/>
          <w:szCs w:val="22"/>
          <w:lang w:val="sr-Latn-RS"/>
        </w:rPr>
        <w:t xml:space="preserve">niti sa </w:t>
      </w:r>
      <w:r w:rsidR="009B2E19">
        <w:rPr>
          <w:rFonts w:ascii="Times New Roman" w:eastAsia="TimesNewRoman" w:hAnsi="Times New Roman" w:cs="Times New Roman"/>
          <w:sz w:val="22"/>
          <w:szCs w:val="22"/>
          <w:lang w:val="sr-Latn-RS"/>
        </w:rPr>
        <w:t>rastvorom</w:t>
      </w:r>
      <w:r w:rsidRPr="006921A1">
        <w:rPr>
          <w:rFonts w:ascii="Times New Roman" w:eastAsia="TimesNewRoman" w:hAnsi="Times New Roman" w:cs="Times New Roman"/>
          <w:sz w:val="22"/>
          <w:szCs w:val="22"/>
          <w:lang w:val="sr-Latn-RS"/>
        </w:rPr>
        <w:t xml:space="preserve"> </w:t>
      </w:r>
      <w:r w:rsidR="009B2E19">
        <w:rPr>
          <w:rFonts w:ascii="Times New Roman" w:eastAsia="TimesNewRoman" w:hAnsi="Times New Roman" w:cs="Times New Roman"/>
          <w:sz w:val="22"/>
          <w:szCs w:val="22"/>
          <w:lang w:val="sr-Latn-RS"/>
        </w:rPr>
        <w:t>natrijum hlorida od 9 mg/ml</w:t>
      </w:r>
      <w:r w:rsidRPr="006921A1">
        <w:rPr>
          <w:rFonts w:ascii="Times New Roman" w:eastAsia="TimesNewRoman" w:hAnsi="Times New Roman" w:cs="Times New Roman"/>
          <w:sz w:val="22"/>
          <w:szCs w:val="22"/>
          <w:lang w:val="sr-Latn-RS"/>
        </w:rPr>
        <w:t xml:space="preserve"> (0,9%)</w:t>
      </w:r>
      <w:r w:rsidR="009B2E19">
        <w:rPr>
          <w:rFonts w:ascii="Times New Roman" w:eastAsia="TimesNewRoman" w:hAnsi="Times New Roman" w:cs="Times New Roman"/>
          <w:sz w:val="22"/>
          <w:szCs w:val="22"/>
          <w:lang w:val="sr-Latn-RS"/>
        </w:rPr>
        <w:t xml:space="preserve"> za injekciju</w:t>
      </w:r>
      <w:r w:rsidRPr="006921A1">
        <w:rPr>
          <w:rFonts w:ascii="Times New Roman" w:eastAsia="TimesNewRoman" w:hAnsi="Times New Roman" w:cs="Times New Roman"/>
          <w:sz w:val="22"/>
          <w:szCs w:val="22"/>
          <w:lang w:val="sr-Latn-RS"/>
        </w:rPr>
        <w:t xml:space="preserve"> ili 5%</w:t>
      </w:r>
      <w:r w:rsidR="005B596D" w:rsidRPr="006921A1">
        <w:rPr>
          <w:rFonts w:ascii="Times New Roman" w:eastAsia="TimesNewRoman" w:hAnsi="Times New Roman" w:cs="Times New Roman"/>
          <w:sz w:val="22"/>
          <w:szCs w:val="22"/>
          <w:lang w:val="sr-Latn-RS"/>
        </w:rPr>
        <w:t xml:space="preserve"> </w:t>
      </w:r>
      <w:r w:rsidR="009B2E19">
        <w:rPr>
          <w:rFonts w:ascii="Times New Roman" w:eastAsia="TimesNewRoman" w:hAnsi="Times New Roman" w:cs="Times New Roman"/>
          <w:sz w:val="22"/>
          <w:szCs w:val="22"/>
          <w:lang w:val="sr-Latn-RS"/>
        </w:rPr>
        <w:t xml:space="preserve">vodenim </w:t>
      </w:r>
      <w:r w:rsidRPr="006921A1">
        <w:rPr>
          <w:rFonts w:ascii="Times New Roman" w:eastAsia="TimesNewRoman" w:hAnsi="Times New Roman" w:cs="Times New Roman"/>
          <w:sz w:val="22"/>
          <w:szCs w:val="22"/>
          <w:lang w:val="sr-Latn-RS"/>
        </w:rPr>
        <w:t xml:space="preserve">rastvorom </w:t>
      </w:r>
      <w:r w:rsidR="009B2E19">
        <w:rPr>
          <w:rFonts w:ascii="Times New Roman" w:eastAsia="TimesNewRoman" w:hAnsi="Times New Roman" w:cs="Times New Roman"/>
          <w:sz w:val="22"/>
          <w:szCs w:val="22"/>
          <w:lang w:val="sr-Latn-RS"/>
        </w:rPr>
        <w:t>glukoze</w:t>
      </w:r>
      <w:r w:rsidRPr="006921A1">
        <w:rPr>
          <w:rFonts w:ascii="Times New Roman" w:eastAsia="TimesNewRoman" w:hAnsi="Times New Roman" w:cs="Times New Roman"/>
          <w:sz w:val="22"/>
          <w:szCs w:val="22"/>
          <w:lang w:val="sr-Latn-RS"/>
        </w:rPr>
        <w:t xml:space="preserve"> </w:t>
      </w:r>
      <w:r w:rsidR="009B2E19">
        <w:rPr>
          <w:rFonts w:ascii="Times New Roman" w:eastAsia="TimesNewRoman" w:hAnsi="Times New Roman" w:cs="Times New Roman"/>
          <w:sz w:val="22"/>
          <w:szCs w:val="22"/>
          <w:lang w:val="sr-Latn-RS"/>
        </w:rPr>
        <w:t xml:space="preserve">za injekciju </w:t>
      </w:r>
      <w:r w:rsidRPr="006921A1">
        <w:rPr>
          <w:rFonts w:ascii="Times New Roman" w:eastAsia="TimesNewRoman" w:hAnsi="Times New Roman" w:cs="Times New Roman"/>
          <w:sz w:val="22"/>
          <w:szCs w:val="22"/>
          <w:lang w:val="sr-Latn-RS"/>
        </w:rPr>
        <w:t>(vid</w:t>
      </w:r>
      <w:r w:rsidR="00541E50"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eti od</w:t>
      </w:r>
      <w:r w:rsidR="00541E50" w:rsidRPr="006921A1">
        <w:rPr>
          <w:rFonts w:ascii="Times New Roman" w:eastAsia="TimesNewRoman" w:hAnsi="Times New Roman" w:cs="Times New Roman"/>
          <w:sz w:val="22"/>
          <w:szCs w:val="22"/>
          <w:lang w:val="sr-Latn-RS"/>
        </w:rPr>
        <w:t>j</w:t>
      </w:r>
      <w:r w:rsidRPr="006921A1">
        <w:rPr>
          <w:rFonts w:ascii="Times New Roman" w:eastAsia="TimesNewRoman" w:hAnsi="Times New Roman" w:cs="Times New Roman"/>
          <w:sz w:val="22"/>
          <w:szCs w:val="22"/>
          <w:lang w:val="sr-Latn-RS"/>
        </w:rPr>
        <w:t>eljak 4.2).</w:t>
      </w:r>
    </w:p>
    <w:p w:rsidR="00A3722B" w:rsidRDefault="00A3722B" w:rsidP="00480FB1">
      <w:pPr>
        <w:tabs>
          <w:tab w:val="left" w:pos="540"/>
          <w:tab w:val="left" w:pos="569"/>
        </w:tabs>
        <w:rPr>
          <w:rFonts w:ascii="Times New Roman" w:hAnsi="Times New Roman" w:cs="Times New Roman"/>
          <w:b/>
          <w:bCs/>
          <w:sz w:val="22"/>
          <w:szCs w:val="22"/>
        </w:rPr>
      </w:pPr>
    </w:p>
    <w:p w:rsidR="00736BC4"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6.3.</w:t>
      </w:r>
      <w:r w:rsidR="00C05DF8" w:rsidRPr="006921A1">
        <w:rPr>
          <w:rFonts w:ascii="Times New Roman" w:hAnsi="Times New Roman" w:cs="Times New Roman"/>
          <w:b/>
          <w:bCs/>
          <w:sz w:val="22"/>
          <w:szCs w:val="22"/>
        </w:rPr>
        <w:t xml:space="preserve">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Rok upotrebe</w:t>
      </w:r>
    </w:p>
    <w:p w:rsidR="00157FEA" w:rsidRPr="006921A1" w:rsidRDefault="00157FEA" w:rsidP="00157FEA">
      <w:pPr>
        <w:autoSpaceDE w:val="0"/>
        <w:autoSpaceDN w:val="0"/>
        <w:adjustRightInd w:val="0"/>
        <w:spacing w:after="0" w:line="240" w:lineRule="auto"/>
        <w:rPr>
          <w:rFonts w:ascii="Times New Roman" w:hAnsi="Times New Roman" w:cs="Times New Roman"/>
          <w:sz w:val="22"/>
          <w:szCs w:val="22"/>
          <w:u w:val="single"/>
          <w:lang w:val="sr-Latn-RS"/>
        </w:rPr>
      </w:pPr>
      <w:r w:rsidRPr="006921A1">
        <w:rPr>
          <w:rFonts w:ascii="Times New Roman" w:hAnsi="Times New Roman" w:cs="Times New Roman"/>
          <w:sz w:val="22"/>
          <w:szCs w:val="22"/>
          <w:u w:val="single"/>
          <w:lang w:val="sr-Latn-RS"/>
        </w:rPr>
        <w:t xml:space="preserve">Neotvoreni napunjeni injekcioni </w:t>
      </w:r>
      <w:r w:rsidRPr="006921A1">
        <w:rPr>
          <w:rFonts w:ascii="Times New Roman" w:hAnsi="Times New Roman" w:cs="Times New Roman" w:hint="eastAsia"/>
          <w:sz w:val="22"/>
          <w:szCs w:val="22"/>
          <w:u w:val="single"/>
          <w:lang w:val="sr-Latn-RS"/>
        </w:rPr>
        <w:t>š</w:t>
      </w:r>
      <w:r w:rsidRPr="006921A1">
        <w:rPr>
          <w:rFonts w:ascii="Times New Roman" w:hAnsi="Times New Roman" w:cs="Times New Roman"/>
          <w:sz w:val="22"/>
          <w:szCs w:val="22"/>
          <w:u w:val="single"/>
          <w:lang w:val="sr-Latn-RS"/>
        </w:rPr>
        <w:t>pric:</w:t>
      </w:r>
    </w:p>
    <w:p w:rsidR="00157FEA" w:rsidRPr="006921A1" w:rsidRDefault="00157FEA" w:rsidP="00157FEA">
      <w:pPr>
        <w:autoSpaceDE w:val="0"/>
        <w:autoSpaceDN w:val="0"/>
        <w:adjustRightInd w:val="0"/>
        <w:spacing w:after="0" w:line="240" w:lineRule="auto"/>
        <w:rPr>
          <w:rFonts w:ascii="Times New Roman" w:hAnsi="Times New Roman" w:cs="Times New Roman"/>
          <w:sz w:val="22"/>
          <w:szCs w:val="22"/>
          <w:lang w:val="sr-Latn-RS"/>
        </w:rPr>
      </w:pPr>
      <w:r w:rsidRPr="006921A1">
        <w:rPr>
          <w:rFonts w:ascii="Times New Roman" w:hAnsi="Times New Roman" w:cs="Times New Roman"/>
          <w:sz w:val="22"/>
          <w:szCs w:val="22"/>
          <w:lang w:val="sr-Latn-RS"/>
        </w:rPr>
        <w:t>3 godine</w:t>
      </w:r>
    </w:p>
    <w:p w:rsidR="00157FEA" w:rsidRPr="006921A1" w:rsidRDefault="00157FEA" w:rsidP="00157FEA">
      <w:pPr>
        <w:autoSpaceDE w:val="0"/>
        <w:autoSpaceDN w:val="0"/>
        <w:adjustRightInd w:val="0"/>
        <w:spacing w:after="0" w:line="240" w:lineRule="auto"/>
        <w:rPr>
          <w:rFonts w:ascii="Times New Roman" w:hAnsi="Times New Roman" w:cs="Times New Roman"/>
          <w:sz w:val="22"/>
          <w:szCs w:val="22"/>
          <w:lang w:val="sr-Latn-RS"/>
        </w:rPr>
      </w:pPr>
    </w:p>
    <w:p w:rsidR="00157FEA" w:rsidRPr="006921A1" w:rsidRDefault="00157FEA" w:rsidP="00157FEA">
      <w:pPr>
        <w:autoSpaceDE w:val="0"/>
        <w:autoSpaceDN w:val="0"/>
        <w:adjustRightInd w:val="0"/>
        <w:spacing w:after="0" w:line="240" w:lineRule="auto"/>
        <w:rPr>
          <w:rFonts w:ascii="Times New Roman" w:hAnsi="Times New Roman" w:cs="Times New Roman"/>
          <w:sz w:val="22"/>
          <w:szCs w:val="22"/>
          <w:u w:val="single"/>
          <w:lang w:val="sr-Latn-RS"/>
        </w:rPr>
      </w:pPr>
      <w:r w:rsidRPr="006921A1">
        <w:rPr>
          <w:rFonts w:ascii="Times New Roman" w:hAnsi="Times New Roman" w:cs="Times New Roman"/>
          <w:sz w:val="22"/>
          <w:szCs w:val="22"/>
          <w:u w:val="single"/>
          <w:lang w:val="sr-Latn-RS"/>
        </w:rPr>
        <w:t>Lijek razbla</w:t>
      </w:r>
      <w:r w:rsidRPr="006921A1">
        <w:rPr>
          <w:rFonts w:ascii="Times New Roman" w:hAnsi="Times New Roman" w:cs="Times New Roman" w:hint="eastAsia"/>
          <w:sz w:val="22"/>
          <w:szCs w:val="22"/>
          <w:u w:val="single"/>
          <w:lang w:val="sr-Latn-RS"/>
        </w:rPr>
        <w:t>ž</w:t>
      </w:r>
      <w:r w:rsidRPr="006921A1">
        <w:rPr>
          <w:rFonts w:ascii="Times New Roman" w:hAnsi="Times New Roman" w:cs="Times New Roman"/>
          <w:sz w:val="22"/>
          <w:szCs w:val="22"/>
          <w:u w:val="single"/>
          <w:lang w:val="sr-Latn-RS"/>
        </w:rPr>
        <w:t>en sa rastvorom natrijum</w:t>
      </w:r>
      <w:r w:rsidR="00AB29BC">
        <w:rPr>
          <w:rFonts w:ascii="Times New Roman" w:hAnsi="Times New Roman" w:cs="Times New Roman"/>
          <w:sz w:val="22"/>
          <w:szCs w:val="22"/>
          <w:u w:val="single"/>
          <w:lang w:val="sr-Latn-RS"/>
        </w:rPr>
        <w:t xml:space="preserve"> </w:t>
      </w:r>
      <w:r w:rsidRPr="006921A1">
        <w:rPr>
          <w:rFonts w:ascii="Times New Roman" w:hAnsi="Times New Roman" w:cs="Times New Roman"/>
          <w:sz w:val="22"/>
          <w:szCs w:val="22"/>
          <w:u w:val="single"/>
          <w:lang w:val="sr-Latn-RS"/>
        </w:rPr>
        <w:t xml:space="preserve">hlorida </w:t>
      </w:r>
      <w:r w:rsidR="009B2E19">
        <w:rPr>
          <w:rFonts w:ascii="Times New Roman" w:hAnsi="Times New Roman" w:cs="Times New Roman"/>
          <w:sz w:val="22"/>
          <w:szCs w:val="22"/>
          <w:u w:val="single"/>
          <w:lang w:val="sr-Latn-RS"/>
        </w:rPr>
        <w:t xml:space="preserve">od </w:t>
      </w:r>
      <w:r w:rsidRPr="006921A1">
        <w:rPr>
          <w:rFonts w:ascii="Times New Roman" w:hAnsi="Times New Roman" w:cs="Times New Roman"/>
          <w:sz w:val="22"/>
          <w:szCs w:val="22"/>
          <w:u w:val="single"/>
          <w:lang w:val="sr-Latn-RS"/>
        </w:rPr>
        <w:t>9 mg/m</w:t>
      </w:r>
      <w:r w:rsidR="0037541C">
        <w:rPr>
          <w:rFonts w:ascii="Times New Roman" w:hAnsi="Times New Roman" w:cs="Times New Roman"/>
          <w:sz w:val="22"/>
          <w:szCs w:val="22"/>
          <w:u w:val="single"/>
          <w:lang w:val="sr-Latn-RS"/>
        </w:rPr>
        <w:t>l</w:t>
      </w:r>
      <w:r w:rsidRPr="006921A1">
        <w:rPr>
          <w:rFonts w:ascii="Times New Roman" w:hAnsi="Times New Roman" w:cs="Times New Roman"/>
          <w:sz w:val="22"/>
          <w:szCs w:val="22"/>
          <w:u w:val="single"/>
          <w:lang w:val="sr-Latn-RS"/>
        </w:rPr>
        <w:t xml:space="preserve"> (0,9%) za injekciju ili 5%</w:t>
      </w:r>
      <w:r w:rsidR="009B2E19">
        <w:rPr>
          <w:rFonts w:ascii="Times New Roman" w:hAnsi="Times New Roman" w:cs="Times New Roman"/>
          <w:sz w:val="22"/>
          <w:szCs w:val="22"/>
          <w:u w:val="single"/>
          <w:lang w:val="sr-Latn-RS"/>
        </w:rPr>
        <w:t xml:space="preserve">-im rastvorom </w:t>
      </w:r>
      <w:r w:rsidRPr="006921A1">
        <w:rPr>
          <w:rFonts w:ascii="Times New Roman" w:hAnsi="Times New Roman" w:cs="Times New Roman"/>
          <w:sz w:val="22"/>
          <w:szCs w:val="22"/>
          <w:u w:val="single"/>
          <w:lang w:val="sr-Latn-RS"/>
        </w:rPr>
        <w:t>glukoz</w:t>
      </w:r>
      <w:r w:rsidR="009B2E19">
        <w:rPr>
          <w:rFonts w:ascii="Times New Roman" w:hAnsi="Times New Roman" w:cs="Times New Roman"/>
          <w:sz w:val="22"/>
          <w:szCs w:val="22"/>
          <w:u w:val="single"/>
          <w:lang w:val="sr-Latn-RS"/>
        </w:rPr>
        <w:t>e za injekciju</w:t>
      </w:r>
    </w:p>
    <w:p w:rsidR="00A3722B" w:rsidRPr="006921A1" w:rsidRDefault="00157FEA" w:rsidP="00157FEA">
      <w:pPr>
        <w:tabs>
          <w:tab w:val="left" w:pos="540"/>
          <w:tab w:val="left" w:pos="569"/>
        </w:tabs>
        <w:rPr>
          <w:rFonts w:ascii="Times New Roman" w:hAnsi="Times New Roman" w:cs="Times New Roman"/>
          <w:sz w:val="22"/>
          <w:szCs w:val="22"/>
          <w:lang w:val="sr-Latn-RS"/>
        </w:rPr>
      </w:pPr>
      <w:r w:rsidRPr="006921A1">
        <w:rPr>
          <w:rFonts w:ascii="Times New Roman" w:hAnsi="Times New Roman" w:cs="Times New Roman"/>
          <w:sz w:val="22"/>
          <w:szCs w:val="22"/>
          <w:lang w:val="sr-Latn-RS"/>
        </w:rPr>
        <w:t>8 sati</w:t>
      </w:r>
    </w:p>
    <w:p w:rsidR="0072020E"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6.4.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Posebne mjere upozorenja pri čuvanju</w:t>
      </w:r>
      <w:r w:rsidR="00F8570A" w:rsidRPr="006921A1">
        <w:rPr>
          <w:rFonts w:ascii="Times New Roman" w:hAnsi="Times New Roman" w:cs="Times New Roman"/>
          <w:b/>
          <w:bCs/>
          <w:sz w:val="22"/>
          <w:szCs w:val="22"/>
        </w:rPr>
        <w:t xml:space="preserve"> lijeka</w:t>
      </w:r>
    </w:p>
    <w:p w:rsidR="00736BC4" w:rsidRPr="006921A1" w:rsidRDefault="00736BC4" w:rsidP="00736BC4">
      <w:pPr>
        <w:autoSpaceDE w:val="0"/>
        <w:autoSpaceDN w:val="0"/>
        <w:adjustRightInd w:val="0"/>
        <w:rPr>
          <w:rFonts w:ascii="Times New Roman" w:hAnsi="Times New Roman" w:cs="Times New Roman"/>
          <w:sz w:val="22"/>
          <w:szCs w:val="22"/>
          <w:lang w:val="sr-Latn-RS"/>
        </w:rPr>
      </w:pPr>
      <w:r w:rsidRPr="006921A1">
        <w:rPr>
          <w:rFonts w:ascii="Times New Roman" w:hAnsi="Times New Roman" w:cs="Times New Roman"/>
          <w:sz w:val="22"/>
          <w:szCs w:val="22"/>
          <w:lang w:val="sr-Latn-RS"/>
        </w:rPr>
        <w:t>Čuvati na temperaturi do 25°C.</w:t>
      </w:r>
    </w:p>
    <w:p w:rsidR="00736BC4" w:rsidRPr="006921A1" w:rsidRDefault="00157FEA" w:rsidP="00736BC4">
      <w:pPr>
        <w:tabs>
          <w:tab w:val="left" w:pos="540"/>
          <w:tab w:val="left" w:pos="569"/>
        </w:tabs>
        <w:rPr>
          <w:rFonts w:ascii="Times New Roman" w:hAnsi="Times New Roman" w:cs="Times New Roman"/>
          <w:b/>
          <w:bCs/>
          <w:sz w:val="22"/>
          <w:szCs w:val="22"/>
        </w:rPr>
      </w:pPr>
      <w:r w:rsidRPr="006921A1">
        <w:rPr>
          <w:rFonts w:ascii="Times New Roman" w:hAnsi="Times New Roman" w:cs="Times New Roman"/>
          <w:sz w:val="22"/>
          <w:szCs w:val="22"/>
          <w:lang w:val="sr-Latn-RS"/>
        </w:rPr>
        <w:t>Ne zamrzavati</w:t>
      </w:r>
      <w:r w:rsidR="00736BC4" w:rsidRPr="006921A1">
        <w:rPr>
          <w:rFonts w:ascii="Times New Roman" w:hAnsi="Times New Roman" w:cs="Times New Roman"/>
          <w:sz w:val="22"/>
          <w:szCs w:val="22"/>
          <w:lang w:val="sr-Latn-RS"/>
        </w:rPr>
        <w:t>.</w:t>
      </w:r>
    </w:p>
    <w:p w:rsidR="008327B6" w:rsidRDefault="008327B6" w:rsidP="008327B6">
      <w:pPr>
        <w:tabs>
          <w:tab w:val="left" w:pos="540"/>
          <w:tab w:val="left" w:pos="569"/>
        </w:tabs>
        <w:spacing w:after="0" w:line="240" w:lineRule="auto"/>
        <w:rPr>
          <w:rFonts w:ascii="Times New Roman" w:hAnsi="Times New Roman" w:cs="Times New Roman"/>
          <w:b/>
          <w:bCs/>
          <w:sz w:val="22"/>
          <w:szCs w:val="22"/>
        </w:rPr>
      </w:pPr>
    </w:p>
    <w:p w:rsidR="0072020E"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6.5. </w:t>
      </w:r>
      <w:r w:rsidR="00480FB1" w:rsidRPr="006921A1">
        <w:rPr>
          <w:rFonts w:ascii="Times New Roman" w:hAnsi="Times New Roman" w:cs="Times New Roman"/>
          <w:b/>
          <w:bCs/>
          <w:sz w:val="22"/>
          <w:szCs w:val="22"/>
        </w:rPr>
        <w:tab/>
      </w:r>
      <w:r w:rsidR="002846DB" w:rsidRPr="006921A1">
        <w:rPr>
          <w:rFonts w:ascii="Times New Roman" w:hAnsi="Times New Roman" w:cs="Times New Roman"/>
          <w:b/>
          <w:bCs/>
          <w:sz w:val="22"/>
          <w:szCs w:val="22"/>
        </w:rPr>
        <w:t xml:space="preserve">Vrsta i sadržaj </w:t>
      </w:r>
      <w:r w:rsidR="00F8570A" w:rsidRPr="006921A1">
        <w:rPr>
          <w:rFonts w:ascii="Times New Roman" w:hAnsi="Times New Roman" w:cs="Times New Roman"/>
          <w:b/>
          <w:bCs/>
          <w:sz w:val="22"/>
          <w:szCs w:val="22"/>
        </w:rPr>
        <w:t>pakovanja</w:t>
      </w:r>
      <w:r w:rsidR="00C06864" w:rsidRPr="006921A1">
        <w:rPr>
          <w:rFonts w:ascii="Times New Roman" w:hAnsi="Times New Roman" w:cs="Times New Roman"/>
          <w:b/>
          <w:bCs/>
          <w:sz w:val="22"/>
          <w:szCs w:val="22"/>
        </w:rPr>
        <w:t xml:space="preserve"> </w:t>
      </w:r>
    </w:p>
    <w:p w:rsidR="00460AC0" w:rsidRPr="006921A1" w:rsidRDefault="00460AC0" w:rsidP="00480FB1">
      <w:pPr>
        <w:tabs>
          <w:tab w:val="left" w:pos="540"/>
          <w:tab w:val="left" w:pos="569"/>
        </w:tabs>
        <w:rPr>
          <w:rFonts w:ascii="Times New Roman" w:hAnsi="Times New Roman" w:cs="Times New Roman"/>
          <w:sz w:val="22"/>
          <w:szCs w:val="22"/>
        </w:rPr>
      </w:pPr>
      <w:r w:rsidRPr="006921A1">
        <w:rPr>
          <w:rFonts w:ascii="Times New Roman" w:hAnsi="Times New Roman" w:cs="Times New Roman"/>
          <w:sz w:val="22"/>
          <w:szCs w:val="22"/>
        </w:rPr>
        <w:t>Inhixa, 2000 i.j. (20 mg)/0,2 m</w:t>
      </w:r>
      <w:r w:rsidR="0037541C">
        <w:rPr>
          <w:rFonts w:ascii="Times New Roman" w:hAnsi="Times New Roman" w:cs="Times New Roman"/>
          <w:sz w:val="22"/>
          <w:szCs w:val="22"/>
        </w:rPr>
        <w:t>l</w:t>
      </w:r>
      <w:r w:rsidRPr="006921A1">
        <w:rPr>
          <w:rFonts w:ascii="Times New Roman" w:hAnsi="Times New Roman" w:cs="Times New Roman"/>
          <w:sz w:val="22"/>
          <w:szCs w:val="22"/>
        </w:rPr>
        <w:t xml:space="preserve">, rastvor za injekciju u napunjenom injekcionom špricu </w:t>
      </w:r>
    </w:p>
    <w:p w:rsidR="00460AC0" w:rsidRDefault="00460AC0" w:rsidP="00480FB1">
      <w:pPr>
        <w:tabs>
          <w:tab w:val="left" w:pos="540"/>
          <w:tab w:val="left" w:pos="569"/>
        </w:tabs>
        <w:rPr>
          <w:rFonts w:ascii="Times New Roman" w:hAnsi="Times New Roman" w:cs="Times New Roman"/>
          <w:sz w:val="22"/>
          <w:szCs w:val="22"/>
        </w:rPr>
      </w:pPr>
      <w:r w:rsidRPr="006921A1">
        <w:rPr>
          <w:rFonts w:ascii="Times New Roman" w:hAnsi="Times New Roman" w:cs="Times New Roman"/>
          <w:sz w:val="22"/>
          <w:szCs w:val="22"/>
        </w:rPr>
        <w:t>- Unutrašnje pakovanje je špric sa t</w:t>
      </w:r>
      <w:r w:rsidR="00014C80" w:rsidRPr="006921A1">
        <w:rPr>
          <w:rFonts w:ascii="Times New Roman" w:hAnsi="Times New Roman" w:cs="Times New Roman"/>
          <w:sz w:val="22"/>
          <w:szCs w:val="22"/>
        </w:rPr>
        <w:t>ij</w:t>
      </w:r>
      <w:r w:rsidRPr="006921A1">
        <w:rPr>
          <w:rFonts w:ascii="Times New Roman" w:hAnsi="Times New Roman" w:cs="Times New Roman"/>
          <w:sz w:val="22"/>
          <w:szCs w:val="22"/>
        </w:rPr>
        <w:t>elom od prozirnog i bezbojnog stakla (hidrolitičke otpornosti tip I), zatvoren čepom od hlorobutil gume i polipropilenskim klipom plave boje, sa pričvršćenom iglom na kojoj se nalazi poklopac za iglu, u kome se nalazi 0,2 m</w:t>
      </w:r>
      <w:r w:rsidR="0037541C">
        <w:rPr>
          <w:rFonts w:ascii="Times New Roman" w:hAnsi="Times New Roman" w:cs="Times New Roman"/>
          <w:sz w:val="22"/>
          <w:szCs w:val="22"/>
        </w:rPr>
        <w:t>l</w:t>
      </w:r>
      <w:r w:rsidRPr="006921A1">
        <w:rPr>
          <w:rFonts w:ascii="Times New Roman" w:hAnsi="Times New Roman" w:cs="Times New Roman"/>
          <w:sz w:val="22"/>
          <w:szCs w:val="22"/>
        </w:rPr>
        <w:t xml:space="preserve"> rastvora za injekciju. Napunjeni injekcioni špric može dodatno biti opremljen štitnikom za iglu. </w:t>
      </w:r>
      <w:r w:rsidR="00FA5FAA" w:rsidRPr="006921A1">
        <w:rPr>
          <w:rFonts w:ascii="Times New Roman" w:hAnsi="Times New Roman" w:cs="Times New Roman"/>
          <w:sz w:val="22"/>
          <w:szCs w:val="22"/>
        </w:rPr>
        <w:br/>
      </w:r>
      <w:r w:rsidRPr="006921A1">
        <w:rPr>
          <w:rFonts w:ascii="Times New Roman" w:hAnsi="Times New Roman" w:cs="Times New Roman"/>
          <w:sz w:val="22"/>
          <w:szCs w:val="22"/>
        </w:rPr>
        <w:t xml:space="preserve">Spoljašnje pakovanje je složiva kartonska kutija u kojoj se nalaze </w:t>
      </w:r>
      <w:r w:rsidR="00FA5FAA" w:rsidRPr="006921A1">
        <w:rPr>
          <w:rFonts w:ascii="Times New Roman" w:hAnsi="Times New Roman" w:cs="Times New Roman"/>
          <w:sz w:val="22"/>
          <w:szCs w:val="22"/>
        </w:rPr>
        <w:t xml:space="preserve">2 ili </w:t>
      </w:r>
      <w:r w:rsidRPr="006921A1">
        <w:rPr>
          <w:rFonts w:ascii="Times New Roman" w:hAnsi="Times New Roman" w:cs="Times New Roman"/>
          <w:sz w:val="22"/>
          <w:szCs w:val="22"/>
        </w:rPr>
        <w:t>10 napunjenih injekcionih špriceva u zaštitnom pakovanju i Uputstvo za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 xml:space="preserve">ek. </w:t>
      </w:r>
    </w:p>
    <w:p w:rsidR="00942820" w:rsidRPr="006921A1" w:rsidRDefault="00942820" w:rsidP="00BB2758">
      <w:pPr>
        <w:tabs>
          <w:tab w:val="left" w:pos="540"/>
          <w:tab w:val="left" w:pos="569"/>
        </w:tabs>
        <w:spacing w:after="0" w:line="240" w:lineRule="auto"/>
        <w:rPr>
          <w:rFonts w:ascii="Times New Roman" w:hAnsi="Times New Roman" w:cs="Times New Roman"/>
          <w:sz w:val="22"/>
          <w:szCs w:val="22"/>
        </w:rPr>
      </w:pPr>
    </w:p>
    <w:p w:rsidR="00A3722B" w:rsidRPr="006921A1" w:rsidRDefault="00460AC0" w:rsidP="008327B6">
      <w:pPr>
        <w:tabs>
          <w:tab w:val="left" w:pos="540"/>
          <w:tab w:val="left" w:pos="569"/>
        </w:tabs>
        <w:rPr>
          <w:rFonts w:ascii="Times New Roman" w:hAnsi="Times New Roman" w:cs="Times New Roman"/>
          <w:sz w:val="22"/>
          <w:szCs w:val="22"/>
        </w:rPr>
      </w:pPr>
      <w:r w:rsidRPr="006921A1">
        <w:rPr>
          <w:rFonts w:ascii="Times New Roman" w:hAnsi="Times New Roman" w:cs="Times New Roman"/>
          <w:sz w:val="22"/>
          <w:szCs w:val="22"/>
        </w:rPr>
        <w:t>Inhixa, 4000 i.j. (40 mg)/0,4 m</w:t>
      </w:r>
      <w:r w:rsidR="0037541C">
        <w:rPr>
          <w:rFonts w:ascii="Times New Roman" w:hAnsi="Times New Roman" w:cs="Times New Roman"/>
          <w:sz w:val="22"/>
          <w:szCs w:val="22"/>
        </w:rPr>
        <w:t>l</w:t>
      </w:r>
      <w:r w:rsidRPr="006921A1">
        <w:rPr>
          <w:rFonts w:ascii="Times New Roman" w:hAnsi="Times New Roman" w:cs="Times New Roman"/>
          <w:sz w:val="22"/>
          <w:szCs w:val="22"/>
        </w:rPr>
        <w:t xml:space="preserve">, rastvor za injekciju u napunjenom injekcionom špricu </w:t>
      </w:r>
      <w:r w:rsidRPr="006921A1">
        <w:rPr>
          <w:rFonts w:ascii="Times New Roman" w:hAnsi="Times New Roman" w:cs="Times New Roman"/>
          <w:sz w:val="22"/>
          <w:szCs w:val="22"/>
        </w:rPr>
        <w:br/>
        <w:t>- Unutrašnje pakovanje je špric sa t</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elom od prozirnog i bezbojnog stakla (hidrolitičke otpornosti tip I), zatvoren čepom od hlorobutil gume i polipropilenskim klipom žute boje, sa pričvršćenom iglom na kojoj se nalazi poklopac za iglu, u kome se nalazi 0,4 m</w:t>
      </w:r>
      <w:r w:rsidR="0037541C">
        <w:rPr>
          <w:rFonts w:ascii="Times New Roman" w:hAnsi="Times New Roman" w:cs="Times New Roman"/>
          <w:sz w:val="22"/>
          <w:szCs w:val="22"/>
        </w:rPr>
        <w:t>l</w:t>
      </w:r>
      <w:r w:rsidRPr="006921A1">
        <w:rPr>
          <w:rFonts w:ascii="Times New Roman" w:hAnsi="Times New Roman" w:cs="Times New Roman"/>
          <w:sz w:val="22"/>
          <w:szCs w:val="22"/>
        </w:rPr>
        <w:t xml:space="preserve"> rastvora za injekciju. Napunjeni injekcioni </w:t>
      </w:r>
      <w:r w:rsidRPr="006921A1">
        <w:rPr>
          <w:rFonts w:ascii="Times New Roman" w:hAnsi="Times New Roman" w:cs="Times New Roman"/>
          <w:sz w:val="22"/>
          <w:szCs w:val="22"/>
        </w:rPr>
        <w:lastRenderedPageBreak/>
        <w:t xml:space="preserve">špric može dodatno biti opremljen štitnikom za iglu. </w:t>
      </w:r>
      <w:r w:rsidR="00FA5FAA" w:rsidRPr="006921A1">
        <w:rPr>
          <w:rFonts w:ascii="Times New Roman" w:hAnsi="Times New Roman" w:cs="Times New Roman"/>
          <w:sz w:val="22"/>
          <w:szCs w:val="22"/>
        </w:rPr>
        <w:br/>
      </w:r>
      <w:r w:rsidRPr="006921A1">
        <w:rPr>
          <w:rFonts w:ascii="Times New Roman" w:hAnsi="Times New Roman" w:cs="Times New Roman"/>
          <w:sz w:val="22"/>
          <w:szCs w:val="22"/>
        </w:rPr>
        <w:t>Spoljašnje pakovanje je složiva kartonska kutija u kojoj se nalaze</w:t>
      </w:r>
      <w:r w:rsidR="00FA5FAA" w:rsidRPr="006921A1">
        <w:rPr>
          <w:rFonts w:ascii="Times New Roman" w:hAnsi="Times New Roman" w:cs="Times New Roman"/>
          <w:sz w:val="22"/>
          <w:szCs w:val="22"/>
        </w:rPr>
        <w:t xml:space="preserve"> 2 ili</w:t>
      </w:r>
      <w:r w:rsidRPr="006921A1">
        <w:rPr>
          <w:rFonts w:ascii="Times New Roman" w:hAnsi="Times New Roman" w:cs="Times New Roman"/>
          <w:sz w:val="22"/>
          <w:szCs w:val="22"/>
        </w:rPr>
        <w:t xml:space="preserve"> 10 napunjenih injekcionih špriceva u zaštitnom pakovanju i Uputstvo za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 xml:space="preserve">ek. </w:t>
      </w:r>
    </w:p>
    <w:p w:rsidR="00460AC0" w:rsidRPr="006921A1" w:rsidRDefault="00460AC0" w:rsidP="00BB2758">
      <w:pPr>
        <w:tabs>
          <w:tab w:val="left" w:pos="540"/>
          <w:tab w:val="left" w:pos="569"/>
        </w:tabs>
        <w:spacing w:after="0" w:line="240" w:lineRule="auto"/>
        <w:rPr>
          <w:rFonts w:ascii="Times New Roman" w:hAnsi="Times New Roman" w:cs="Times New Roman"/>
          <w:sz w:val="22"/>
          <w:szCs w:val="22"/>
        </w:rPr>
      </w:pPr>
    </w:p>
    <w:p w:rsidR="00572344" w:rsidRPr="006921A1" w:rsidRDefault="00460AC0" w:rsidP="00480FB1">
      <w:pPr>
        <w:tabs>
          <w:tab w:val="left" w:pos="540"/>
          <w:tab w:val="left" w:pos="569"/>
        </w:tabs>
        <w:rPr>
          <w:rFonts w:ascii="Times New Roman" w:hAnsi="Times New Roman" w:cs="Times New Roman"/>
          <w:sz w:val="22"/>
          <w:szCs w:val="22"/>
        </w:rPr>
      </w:pPr>
      <w:r w:rsidRPr="006921A1">
        <w:rPr>
          <w:rFonts w:ascii="Times New Roman" w:hAnsi="Times New Roman" w:cs="Times New Roman"/>
          <w:sz w:val="22"/>
          <w:szCs w:val="22"/>
        </w:rPr>
        <w:t>Inhixa, 6000 i.j. (60 mg)/0,6 m</w:t>
      </w:r>
      <w:r w:rsidR="0037541C">
        <w:rPr>
          <w:rFonts w:ascii="Times New Roman" w:hAnsi="Times New Roman" w:cs="Times New Roman"/>
          <w:sz w:val="22"/>
          <w:szCs w:val="22"/>
        </w:rPr>
        <w:t>l</w:t>
      </w:r>
      <w:r w:rsidRPr="006921A1">
        <w:rPr>
          <w:rFonts w:ascii="Times New Roman" w:hAnsi="Times New Roman" w:cs="Times New Roman"/>
          <w:sz w:val="22"/>
          <w:szCs w:val="22"/>
        </w:rPr>
        <w:t xml:space="preserve">, rastvor za injekciju u napunjenom injekcionom špricu </w:t>
      </w:r>
      <w:r w:rsidRPr="006921A1">
        <w:rPr>
          <w:rFonts w:ascii="Times New Roman" w:hAnsi="Times New Roman" w:cs="Times New Roman"/>
          <w:sz w:val="22"/>
          <w:szCs w:val="22"/>
        </w:rPr>
        <w:br/>
        <w:t>- Unutrašnje pakovanje je špric sa telom od prozirnog i bezbojnog stakla (hidrolitičke otpornosti tip I), zatvoren čepom od hlorobutil gume i polipropilenskim klipom narandžaste boje, sa pričvršćenom iglom na kojoj se nalazi poklopac za iglu, u kome se nalazi 0,6 m</w:t>
      </w:r>
      <w:r w:rsidR="0037541C">
        <w:rPr>
          <w:rFonts w:ascii="Times New Roman" w:hAnsi="Times New Roman" w:cs="Times New Roman"/>
          <w:sz w:val="22"/>
          <w:szCs w:val="22"/>
        </w:rPr>
        <w:t>l</w:t>
      </w:r>
      <w:r w:rsidRPr="006921A1">
        <w:rPr>
          <w:rFonts w:ascii="Times New Roman" w:hAnsi="Times New Roman" w:cs="Times New Roman"/>
          <w:sz w:val="22"/>
          <w:szCs w:val="22"/>
        </w:rPr>
        <w:t xml:space="preserve"> rastvora za injekciju. Napunjeni injekcioni špric može dodatno biti opremljen štitnikom za iglu. </w:t>
      </w:r>
      <w:r w:rsidR="00FA5FAA" w:rsidRPr="006921A1">
        <w:rPr>
          <w:rFonts w:ascii="Times New Roman" w:hAnsi="Times New Roman" w:cs="Times New Roman"/>
          <w:sz w:val="22"/>
          <w:szCs w:val="22"/>
        </w:rPr>
        <w:br/>
      </w:r>
      <w:r w:rsidRPr="006921A1">
        <w:rPr>
          <w:rFonts w:ascii="Times New Roman" w:hAnsi="Times New Roman" w:cs="Times New Roman"/>
          <w:sz w:val="22"/>
          <w:szCs w:val="22"/>
        </w:rPr>
        <w:t>Spoljašnje pakovanje je složiva kartonska kutija u kojoj se nalaze</w:t>
      </w:r>
      <w:r w:rsidR="00FA5FAA" w:rsidRPr="006921A1">
        <w:rPr>
          <w:rFonts w:ascii="Times New Roman" w:hAnsi="Times New Roman" w:cs="Times New Roman"/>
          <w:sz w:val="22"/>
          <w:szCs w:val="22"/>
        </w:rPr>
        <w:t xml:space="preserve"> 2 ili</w:t>
      </w:r>
      <w:r w:rsidRPr="006921A1">
        <w:rPr>
          <w:rFonts w:ascii="Times New Roman" w:hAnsi="Times New Roman" w:cs="Times New Roman"/>
          <w:sz w:val="22"/>
          <w:szCs w:val="22"/>
        </w:rPr>
        <w:t xml:space="preserve"> 10 napunjenih injekcionih špriceva u zaštitnom pakovanju i Uputstvo za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 xml:space="preserve">ek. </w:t>
      </w:r>
    </w:p>
    <w:p w:rsidR="00460AC0" w:rsidRPr="006921A1" w:rsidRDefault="00460AC0" w:rsidP="00BB2758">
      <w:pPr>
        <w:tabs>
          <w:tab w:val="left" w:pos="540"/>
          <w:tab w:val="left" w:pos="569"/>
        </w:tabs>
        <w:spacing w:after="0"/>
        <w:rPr>
          <w:rFonts w:ascii="Times New Roman" w:hAnsi="Times New Roman" w:cs="Times New Roman"/>
          <w:sz w:val="22"/>
          <w:szCs w:val="22"/>
        </w:rPr>
      </w:pPr>
    </w:p>
    <w:p w:rsidR="00736BC4" w:rsidRPr="006921A1" w:rsidRDefault="00460AC0"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sz w:val="22"/>
          <w:szCs w:val="22"/>
        </w:rPr>
        <w:t>Inhixa, 8000 i.j. (80 mg)/0,8 m</w:t>
      </w:r>
      <w:r w:rsidR="0037541C">
        <w:rPr>
          <w:rFonts w:ascii="Times New Roman" w:hAnsi="Times New Roman" w:cs="Times New Roman"/>
          <w:sz w:val="22"/>
          <w:szCs w:val="22"/>
        </w:rPr>
        <w:t>l</w:t>
      </w:r>
      <w:r w:rsidRPr="006921A1">
        <w:rPr>
          <w:rFonts w:ascii="Times New Roman" w:hAnsi="Times New Roman" w:cs="Times New Roman"/>
          <w:sz w:val="22"/>
          <w:szCs w:val="22"/>
        </w:rPr>
        <w:t xml:space="preserve">, rastvor za injekciju u napunjenom injekcionom špricu </w:t>
      </w:r>
      <w:r w:rsidRPr="006921A1">
        <w:rPr>
          <w:rFonts w:ascii="Times New Roman" w:hAnsi="Times New Roman" w:cs="Times New Roman"/>
          <w:sz w:val="22"/>
          <w:szCs w:val="22"/>
        </w:rPr>
        <w:br/>
        <w:t>- Unutrašnje pakovanje je špric sa t</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elom od prozirnog i bezbojnog stakla (hidrolitičke otpornosti tip I), zatvoren čepom od hlorobutil gume i polipropilenskim klipom crvene boje, sa pričvršćenom iglom na kojoj se nalazi poklopac za iglu, u kome se nalazi 0,8 m</w:t>
      </w:r>
      <w:r w:rsidR="0037541C">
        <w:rPr>
          <w:rFonts w:ascii="Times New Roman" w:hAnsi="Times New Roman" w:cs="Times New Roman"/>
          <w:sz w:val="22"/>
          <w:szCs w:val="22"/>
        </w:rPr>
        <w:t>l</w:t>
      </w:r>
      <w:r w:rsidRPr="006921A1">
        <w:rPr>
          <w:rFonts w:ascii="Times New Roman" w:hAnsi="Times New Roman" w:cs="Times New Roman"/>
          <w:sz w:val="22"/>
          <w:szCs w:val="22"/>
        </w:rPr>
        <w:t xml:space="preserve"> rastvora za injekciju. Napunjeni injekcioni špric može dodatno biti opremljen štitnikom za iglu. </w:t>
      </w:r>
      <w:r w:rsidR="00FA5FAA" w:rsidRPr="006921A1">
        <w:rPr>
          <w:rFonts w:ascii="Times New Roman" w:hAnsi="Times New Roman" w:cs="Times New Roman"/>
          <w:sz w:val="22"/>
          <w:szCs w:val="22"/>
        </w:rPr>
        <w:br/>
      </w:r>
      <w:r w:rsidRPr="006921A1">
        <w:rPr>
          <w:rFonts w:ascii="Times New Roman" w:hAnsi="Times New Roman" w:cs="Times New Roman"/>
          <w:sz w:val="22"/>
          <w:szCs w:val="22"/>
        </w:rPr>
        <w:t>Spoljašnje pakovanje je složiva kartonska kutija u kojoj se nalaze</w:t>
      </w:r>
      <w:r w:rsidR="00FA5FAA" w:rsidRPr="006921A1">
        <w:rPr>
          <w:rFonts w:ascii="Times New Roman" w:hAnsi="Times New Roman" w:cs="Times New Roman"/>
          <w:sz w:val="22"/>
          <w:szCs w:val="22"/>
        </w:rPr>
        <w:t xml:space="preserve"> 2 ili</w:t>
      </w:r>
      <w:r w:rsidRPr="006921A1">
        <w:rPr>
          <w:rFonts w:ascii="Times New Roman" w:hAnsi="Times New Roman" w:cs="Times New Roman"/>
          <w:sz w:val="22"/>
          <w:szCs w:val="22"/>
        </w:rPr>
        <w:t xml:space="preserve"> 10 napunjenih injekcionih špriceva u zaštitnom pakovanju i Uputstvo za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ek.</w:t>
      </w:r>
    </w:p>
    <w:p w:rsidR="00CA6E25" w:rsidRPr="006921A1" w:rsidRDefault="00CA6E25" w:rsidP="00BB2758">
      <w:pPr>
        <w:tabs>
          <w:tab w:val="left" w:pos="540"/>
          <w:tab w:val="left" w:pos="569"/>
        </w:tabs>
        <w:spacing w:after="0"/>
        <w:jc w:val="both"/>
        <w:rPr>
          <w:rFonts w:ascii="Times New Roman" w:hAnsi="Times New Roman" w:cs="Times New Roman"/>
          <w:bCs/>
          <w:sz w:val="22"/>
          <w:szCs w:val="22"/>
        </w:rPr>
      </w:pPr>
    </w:p>
    <w:p w:rsidR="002846DB"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6.6.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 xml:space="preserve">Posebne mjere opreza pri odlaganju materijala koji treba odbaciti nakon primjene lijeka </w:t>
      </w:r>
      <w:r w:rsidR="00310F03" w:rsidRPr="006921A1">
        <w:rPr>
          <w:rFonts w:ascii="Times New Roman" w:hAnsi="Times New Roman" w:cs="Times New Roman"/>
          <w:b/>
          <w:bCs/>
          <w:sz w:val="22"/>
          <w:szCs w:val="22"/>
        </w:rPr>
        <w:t>(i druga uputs</w:t>
      </w:r>
      <w:r w:rsidR="004109FA" w:rsidRPr="006921A1">
        <w:rPr>
          <w:rFonts w:ascii="Times New Roman" w:hAnsi="Times New Roman" w:cs="Times New Roman"/>
          <w:b/>
          <w:bCs/>
          <w:sz w:val="22"/>
          <w:szCs w:val="22"/>
        </w:rPr>
        <w:t>t</w:t>
      </w:r>
      <w:r w:rsidR="00310F03" w:rsidRPr="006921A1">
        <w:rPr>
          <w:rFonts w:ascii="Times New Roman" w:hAnsi="Times New Roman" w:cs="Times New Roman"/>
          <w:b/>
          <w:bCs/>
          <w:sz w:val="22"/>
          <w:szCs w:val="22"/>
        </w:rPr>
        <w:t xml:space="preserve">va za rukovanje lijekom) </w:t>
      </w:r>
    </w:p>
    <w:p w:rsidR="005B596D" w:rsidRPr="006921A1" w:rsidRDefault="005B596D" w:rsidP="00B508FF">
      <w:pPr>
        <w:autoSpaceDE w:val="0"/>
        <w:autoSpaceDN w:val="0"/>
        <w:adjustRightInd w:val="0"/>
        <w:spacing w:after="0"/>
        <w:jc w:val="both"/>
        <w:rPr>
          <w:rFonts w:ascii="Times New Roman" w:hAnsi="Times New Roman" w:cs="Times New Roman"/>
          <w:bCs/>
          <w:sz w:val="22"/>
          <w:szCs w:val="22"/>
        </w:rPr>
      </w:pPr>
      <w:r w:rsidRPr="006921A1">
        <w:rPr>
          <w:rFonts w:ascii="Times New Roman" w:hAnsi="Times New Roman" w:cs="Times New Roman"/>
          <w:sz w:val="22"/>
          <w:szCs w:val="22"/>
          <w:lang w:val="sr-Latn-RS"/>
        </w:rPr>
        <w:t>Lijekove nemojte odlagati putem otpadnih voda niti kućnog otpada. O najboljem načinu odlaganja neutrošenih ljekova, informišite se kod Vašeg farmaceuta. Preduzimanje ovakvih mjera od pomoći je u zaštiti životne okoline.</w:t>
      </w:r>
    </w:p>
    <w:p w:rsidR="00A3722B" w:rsidRDefault="00A3722B"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Default="00BB2758" w:rsidP="00B508FF">
      <w:pPr>
        <w:tabs>
          <w:tab w:val="left" w:pos="540"/>
          <w:tab w:val="left" w:pos="569"/>
        </w:tabs>
        <w:spacing w:after="0"/>
        <w:rPr>
          <w:rFonts w:ascii="Times New Roman" w:hAnsi="Times New Roman" w:cs="Times New Roman"/>
          <w:b/>
          <w:bCs/>
          <w:sz w:val="22"/>
          <w:szCs w:val="22"/>
        </w:rPr>
      </w:pPr>
    </w:p>
    <w:p w:rsidR="00BB2758" w:rsidRPr="00DD7028" w:rsidRDefault="00BB2758" w:rsidP="00B508FF">
      <w:pPr>
        <w:tabs>
          <w:tab w:val="left" w:pos="540"/>
          <w:tab w:val="left" w:pos="569"/>
        </w:tabs>
        <w:spacing w:after="0"/>
        <w:rPr>
          <w:rFonts w:ascii="Times New Roman" w:hAnsi="Times New Roman" w:cs="Times New Roman"/>
          <w:b/>
          <w:bCs/>
          <w:sz w:val="22"/>
          <w:szCs w:val="22"/>
        </w:rPr>
      </w:pPr>
    </w:p>
    <w:p w:rsidR="00E97F75" w:rsidRDefault="00E97F75" w:rsidP="00B508FF">
      <w:pPr>
        <w:tabs>
          <w:tab w:val="left" w:pos="540"/>
          <w:tab w:val="left" w:pos="569"/>
        </w:tabs>
        <w:spacing w:after="0"/>
        <w:jc w:val="both"/>
        <w:rPr>
          <w:rFonts w:ascii="Times New Roman" w:hAnsi="Times New Roman" w:cs="Times New Roman"/>
          <w:b/>
          <w:sz w:val="22"/>
          <w:szCs w:val="22"/>
        </w:rPr>
      </w:pPr>
      <w:r w:rsidRPr="00B508FF">
        <w:rPr>
          <w:rFonts w:ascii="Times New Roman" w:hAnsi="Times New Roman" w:cs="Times New Roman"/>
          <w:b/>
          <w:sz w:val="22"/>
          <w:szCs w:val="22"/>
        </w:rPr>
        <w:lastRenderedPageBreak/>
        <w:t xml:space="preserve">INSTRUKCIJE ZA UPOTREBU: NAPUNJENI INJEKCIONI ŠPRIC </w:t>
      </w:r>
    </w:p>
    <w:p w:rsidR="00DD7028" w:rsidRPr="00B508FF" w:rsidRDefault="00DD7028" w:rsidP="00B508FF">
      <w:pPr>
        <w:tabs>
          <w:tab w:val="left" w:pos="540"/>
          <w:tab w:val="left" w:pos="569"/>
        </w:tabs>
        <w:spacing w:after="0"/>
        <w:jc w:val="both"/>
        <w:rPr>
          <w:rFonts w:ascii="Times New Roman" w:hAnsi="Times New Roman" w:cs="Times New Roman"/>
          <w:b/>
          <w:sz w:val="22"/>
          <w:szCs w:val="22"/>
          <w:u w:val="single"/>
        </w:rPr>
      </w:pPr>
    </w:p>
    <w:p w:rsidR="00707DD5" w:rsidRPr="00B508FF" w:rsidRDefault="00E97F75" w:rsidP="00B508FF">
      <w:pPr>
        <w:tabs>
          <w:tab w:val="left" w:pos="540"/>
          <w:tab w:val="left" w:pos="569"/>
        </w:tabs>
        <w:spacing w:after="0"/>
        <w:jc w:val="both"/>
        <w:rPr>
          <w:rFonts w:ascii="Times New Roman" w:hAnsi="Times New Roman" w:cs="Times New Roman"/>
          <w:b/>
          <w:sz w:val="22"/>
          <w:szCs w:val="22"/>
          <w:u w:val="single"/>
        </w:rPr>
      </w:pPr>
      <w:r w:rsidRPr="00B508FF">
        <w:rPr>
          <w:rFonts w:ascii="Times New Roman" w:hAnsi="Times New Roman" w:cs="Times New Roman"/>
          <w:b/>
          <w:sz w:val="22"/>
          <w:szCs w:val="22"/>
          <w:u w:val="single"/>
        </w:rPr>
        <w:t>Kako da sami sebe date injekciju l</w:t>
      </w:r>
      <w:r w:rsidR="002A6CBD" w:rsidRPr="00B508FF">
        <w:rPr>
          <w:rFonts w:ascii="Times New Roman" w:hAnsi="Times New Roman" w:cs="Times New Roman"/>
          <w:b/>
          <w:sz w:val="22"/>
          <w:szCs w:val="22"/>
          <w:u w:val="single"/>
        </w:rPr>
        <w:t>ij</w:t>
      </w:r>
      <w:r w:rsidRPr="00B508FF">
        <w:rPr>
          <w:rFonts w:ascii="Times New Roman" w:hAnsi="Times New Roman" w:cs="Times New Roman"/>
          <w:b/>
          <w:sz w:val="22"/>
          <w:szCs w:val="22"/>
          <w:u w:val="single"/>
        </w:rPr>
        <w:t xml:space="preserve">eka Inhixa </w:t>
      </w:r>
      <w:r w:rsidR="009770DD" w:rsidRPr="00B508FF">
        <w:rPr>
          <w:rFonts w:ascii="Times New Roman" w:hAnsi="Times New Roman" w:cs="Times New Roman"/>
          <w:b/>
          <w:sz w:val="22"/>
          <w:szCs w:val="22"/>
          <w:u w:val="single"/>
        </w:rPr>
        <w:t>sa napunjenim špricem bez štitnika za iglu</w:t>
      </w:r>
    </w:p>
    <w:p w:rsidR="00DD7028" w:rsidRDefault="00E97F75" w:rsidP="00B508FF">
      <w:pPr>
        <w:tabs>
          <w:tab w:val="left" w:pos="540"/>
          <w:tab w:val="left" w:pos="569"/>
        </w:tabs>
        <w:spacing w:after="0"/>
        <w:jc w:val="both"/>
        <w:rPr>
          <w:rFonts w:ascii="Times New Roman" w:hAnsi="Times New Roman" w:cs="Times New Roman"/>
          <w:sz w:val="22"/>
          <w:szCs w:val="22"/>
        </w:rPr>
      </w:pPr>
      <w:r w:rsidRPr="006921A1">
        <w:rPr>
          <w:rFonts w:ascii="Times New Roman" w:hAnsi="Times New Roman" w:cs="Times New Roman"/>
          <w:sz w:val="22"/>
          <w:szCs w:val="22"/>
        </w:rPr>
        <w:t>Ukoliko možete sami sebi da date ovaj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 xml:space="preserve">ek, Vaš </w:t>
      </w:r>
      <w:r w:rsidR="00DD7028">
        <w:rPr>
          <w:rFonts w:ascii="Times New Roman" w:hAnsi="Times New Roman" w:cs="Times New Roman"/>
          <w:sz w:val="22"/>
          <w:szCs w:val="22"/>
        </w:rPr>
        <w:t>ljekar</w:t>
      </w:r>
      <w:r w:rsidR="00DD7028" w:rsidRPr="006921A1">
        <w:rPr>
          <w:rFonts w:ascii="Times New Roman" w:hAnsi="Times New Roman" w:cs="Times New Roman"/>
          <w:sz w:val="22"/>
          <w:szCs w:val="22"/>
        </w:rPr>
        <w:t xml:space="preserve"> </w:t>
      </w:r>
      <w:r w:rsidRPr="006921A1">
        <w:rPr>
          <w:rFonts w:ascii="Times New Roman" w:hAnsi="Times New Roman" w:cs="Times New Roman"/>
          <w:sz w:val="22"/>
          <w:szCs w:val="22"/>
        </w:rPr>
        <w:t>ili medicinska sestra će Vam pokazati kako da to učinite. Nemojte ubrizgavati sami sebi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ek ukoliko ni</w:t>
      </w:r>
      <w:r w:rsidR="00DD7028">
        <w:rPr>
          <w:rFonts w:ascii="Times New Roman" w:hAnsi="Times New Roman" w:cs="Times New Roman"/>
          <w:sz w:val="22"/>
          <w:szCs w:val="22"/>
        </w:rPr>
        <w:t>je</w:t>
      </w:r>
      <w:r w:rsidRPr="006921A1">
        <w:rPr>
          <w:rFonts w:ascii="Times New Roman" w:hAnsi="Times New Roman" w:cs="Times New Roman"/>
          <w:sz w:val="22"/>
          <w:szCs w:val="22"/>
        </w:rPr>
        <w:t>ste dobili obuku za to. Ako ni</w:t>
      </w:r>
      <w:r w:rsidR="00DD7028">
        <w:rPr>
          <w:rFonts w:ascii="Times New Roman" w:hAnsi="Times New Roman" w:cs="Times New Roman"/>
          <w:sz w:val="22"/>
          <w:szCs w:val="22"/>
        </w:rPr>
        <w:t>je</w:t>
      </w:r>
      <w:r w:rsidRPr="006921A1">
        <w:rPr>
          <w:rFonts w:ascii="Times New Roman" w:hAnsi="Times New Roman" w:cs="Times New Roman"/>
          <w:sz w:val="22"/>
          <w:szCs w:val="22"/>
        </w:rPr>
        <w:t>ste sigurni šta da uradite, odmah se obratite Vašem l</w:t>
      </w:r>
      <w:r w:rsidR="00DD7028">
        <w:rPr>
          <w:rFonts w:ascii="Times New Roman" w:hAnsi="Times New Roman" w:cs="Times New Roman"/>
          <w:sz w:val="22"/>
          <w:szCs w:val="22"/>
        </w:rPr>
        <w:t>j</w:t>
      </w:r>
      <w:r w:rsidRPr="006921A1">
        <w:rPr>
          <w:rFonts w:ascii="Times New Roman" w:hAnsi="Times New Roman" w:cs="Times New Roman"/>
          <w:sz w:val="22"/>
          <w:szCs w:val="22"/>
        </w:rPr>
        <w:t>ekaru ili medicinskoj sestri.</w:t>
      </w:r>
    </w:p>
    <w:p w:rsidR="00E97F75" w:rsidRPr="006921A1" w:rsidRDefault="00E97F75" w:rsidP="00B508FF">
      <w:pPr>
        <w:tabs>
          <w:tab w:val="left" w:pos="540"/>
          <w:tab w:val="left" w:pos="569"/>
        </w:tabs>
        <w:spacing w:after="0"/>
        <w:jc w:val="both"/>
        <w:rPr>
          <w:rFonts w:ascii="Times New Roman" w:hAnsi="Times New Roman" w:cs="Times New Roman"/>
          <w:sz w:val="22"/>
          <w:szCs w:val="22"/>
        </w:rPr>
      </w:pPr>
      <w:r w:rsidRPr="006921A1">
        <w:rPr>
          <w:rFonts w:ascii="Times New Roman" w:hAnsi="Times New Roman" w:cs="Times New Roman"/>
          <w:sz w:val="22"/>
          <w:szCs w:val="22"/>
        </w:rPr>
        <w:t xml:space="preserve"> </w:t>
      </w:r>
    </w:p>
    <w:p w:rsidR="00707DD5" w:rsidRDefault="00E97F75" w:rsidP="00B508FF">
      <w:pPr>
        <w:tabs>
          <w:tab w:val="left" w:pos="540"/>
          <w:tab w:val="left" w:pos="569"/>
        </w:tabs>
        <w:spacing w:after="0"/>
        <w:jc w:val="both"/>
        <w:rPr>
          <w:rFonts w:ascii="Times New Roman" w:hAnsi="Times New Roman" w:cs="Times New Roman"/>
          <w:sz w:val="22"/>
          <w:szCs w:val="22"/>
        </w:rPr>
      </w:pPr>
      <w:r w:rsidRPr="006921A1">
        <w:rPr>
          <w:rFonts w:ascii="Times New Roman" w:hAnsi="Times New Roman" w:cs="Times New Roman"/>
          <w:b/>
          <w:i/>
          <w:sz w:val="22"/>
          <w:szCs w:val="22"/>
        </w:rPr>
        <w:t>Pr</w:t>
      </w:r>
      <w:r w:rsidR="002A6CBD" w:rsidRPr="006921A1">
        <w:rPr>
          <w:rFonts w:ascii="Times New Roman" w:hAnsi="Times New Roman" w:cs="Times New Roman"/>
          <w:b/>
          <w:i/>
          <w:sz w:val="22"/>
          <w:szCs w:val="22"/>
        </w:rPr>
        <w:t>ij</w:t>
      </w:r>
      <w:r w:rsidRPr="006921A1">
        <w:rPr>
          <w:rFonts w:ascii="Times New Roman" w:hAnsi="Times New Roman" w:cs="Times New Roman"/>
          <w:b/>
          <w:i/>
          <w:sz w:val="22"/>
          <w:szCs w:val="22"/>
        </w:rPr>
        <w:t>e nego što sami sebi date injekciju l</w:t>
      </w:r>
      <w:r w:rsidR="002A6CBD" w:rsidRPr="006921A1">
        <w:rPr>
          <w:rFonts w:ascii="Times New Roman" w:hAnsi="Times New Roman" w:cs="Times New Roman"/>
          <w:b/>
          <w:i/>
          <w:sz w:val="22"/>
          <w:szCs w:val="22"/>
        </w:rPr>
        <w:t>ij</w:t>
      </w:r>
      <w:r w:rsidRPr="006921A1">
        <w:rPr>
          <w:rFonts w:ascii="Times New Roman" w:hAnsi="Times New Roman" w:cs="Times New Roman"/>
          <w:b/>
          <w:i/>
          <w:sz w:val="22"/>
          <w:szCs w:val="22"/>
        </w:rPr>
        <w:t>eka Inhixa</w:t>
      </w:r>
      <w:r w:rsidRPr="006921A1">
        <w:rPr>
          <w:rFonts w:ascii="Times New Roman" w:hAnsi="Times New Roman" w:cs="Times New Roman"/>
          <w:sz w:val="22"/>
          <w:szCs w:val="22"/>
        </w:rPr>
        <w:t xml:space="preserve"> </w:t>
      </w:r>
    </w:p>
    <w:p w:rsidR="00DD7028" w:rsidRPr="00B508FF" w:rsidRDefault="00E97F75" w:rsidP="00B508FF">
      <w:pPr>
        <w:pStyle w:val="ListParagraph"/>
        <w:numPr>
          <w:ilvl w:val="0"/>
          <w:numId w:val="33"/>
        </w:numPr>
        <w:tabs>
          <w:tab w:val="left" w:pos="540"/>
          <w:tab w:val="left" w:pos="569"/>
        </w:tabs>
        <w:spacing w:after="0"/>
        <w:jc w:val="both"/>
        <w:rPr>
          <w:rFonts w:ascii="Times New Roman" w:hAnsi="Times New Roman" w:cs="Times New Roman"/>
          <w:sz w:val="22"/>
          <w:szCs w:val="22"/>
        </w:rPr>
      </w:pPr>
      <w:r w:rsidRPr="00B508FF">
        <w:rPr>
          <w:rFonts w:ascii="Times New Roman" w:hAnsi="Times New Roman" w:cs="Times New Roman"/>
          <w:sz w:val="22"/>
          <w:szCs w:val="22"/>
        </w:rPr>
        <w:t>Prov</w:t>
      </w:r>
      <w:r w:rsidR="00DD7028">
        <w:rPr>
          <w:rFonts w:ascii="Times New Roman" w:hAnsi="Times New Roman" w:cs="Times New Roman"/>
          <w:sz w:val="22"/>
          <w:szCs w:val="22"/>
        </w:rPr>
        <w:t>j</w:t>
      </w:r>
      <w:r w:rsidRPr="00B508FF">
        <w:rPr>
          <w:rFonts w:ascii="Times New Roman" w:hAnsi="Times New Roman" w:cs="Times New Roman"/>
          <w:sz w:val="22"/>
          <w:szCs w:val="22"/>
        </w:rPr>
        <w:t>erite rok upotrebe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eka. Nemojte upotrebljavati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 xml:space="preserve">ek ako je rok trajanja istekao. </w:t>
      </w:r>
    </w:p>
    <w:p w:rsidR="00DD7028" w:rsidRPr="00B508FF" w:rsidRDefault="00E97F75" w:rsidP="00B508FF">
      <w:pPr>
        <w:pStyle w:val="ListParagraph"/>
        <w:numPr>
          <w:ilvl w:val="0"/>
          <w:numId w:val="33"/>
        </w:numPr>
        <w:tabs>
          <w:tab w:val="left" w:pos="540"/>
          <w:tab w:val="left" w:pos="567"/>
        </w:tabs>
        <w:spacing w:after="0"/>
        <w:ind w:left="567" w:hanging="207"/>
        <w:jc w:val="both"/>
        <w:rPr>
          <w:rFonts w:ascii="Times New Roman" w:hAnsi="Times New Roman" w:cs="Times New Roman"/>
          <w:sz w:val="22"/>
          <w:szCs w:val="22"/>
        </w:rPr>
      </w:pPr>
      <w:r w:rsidRPr="00B508FF">
        <w:rPr>
          <w:rFonts w:ascii="Times New Roman" w:hAnsi="Times New Roman" w:cs="Times New Roman"/>
          <w:sz w:val="22"/>
          <w:szCs w:val="22"/>
        </w:rPr>
        <w:t>Prov</w:t>
      </w:r>
      <w:r w:rsidR="00DD7028">
        <w:rPr>
          <w:rFonts w:ascii="Times New Roman" w:hAnsi="Times New Roman" w:cs="Times New Roman"/>
          <w:sz w:val="22"/>
          <w:szCs w:val="22"/>
        </w:rPr>
        <w:t>j</w:t>
      </w:r>
      <w:r w:rsidRPr="00B508FF">
        <w:rPr>
          <w:rFonts w:ascii="Times New Roman" w:hAnsi="Times New Roman" w:cs="Times New Roman"/>
          <w:sz w:val="22"/>
          <w:szCs w:val="22"/>
        </w:rPr>
        <w:t xml:space="preserve">erite da je špric neoštećen i da je rastvor unutar šprica bistar. Ukoliko nije tako, upotrebite drugi špric. </w:t>
      </w:r>
    </w:p>
    <w:p w:rsidR="00DD7028" w:rsidRPr="00B508FF" w:rsidRDefault="00E97F75" w:rsidP="00B508FF">
      <w:pPr>
        <w:pStyle w:val="ListParagraph"/>
        <w:numPr>
          <w:ilvl w:val="0"/>
          <w:numId w:val="33"/>
        </w:numPr>
        <w:tabs>
          <w:tab w:val="left" w:pos="540"/>
          <w:tab w:val="left" w:pos="569"/>
        </w:tabs>
        <w:spacing w:after="0"/>
        <w:jc w:val="both"/>
        <w:rPr>
          <w:rFonts w:ascii="Times New Roman" w:hAnsi="Times New Roman" w:cs="Times New Roman"/>
          <w:sz w:val="22"/>
          <w:szCs w:val="22"/>
        </w:rPr>
      </w:pPr>
      <w:r w:rsidRPr="00B508FF">
        <w:rPr>
          <w:rFonts w:ascii="Times New Roman" w:hAnsi="Times New Roman" w:cs="Times New Roman"/>
          <w:sz w:val="22"/>
          <w:szCs w:val="22"/>
        </w:rPr>
        <w:t>Nemojte prim</w:t>
      </w:r>
      <w:r w:rsidR="00DD7028">
        <w:rPr>
          <w:rFonts w:ascii="Times New Roman" w:hAnsi="Times New Roman" w:cs="Times New Roman"/>
          <w:sz w:val="22"/>
          <w:szCs w:val="22"/>
        </w:rPr>
        <w:t>j</w:t>
      </w:r>
      <w:r w:rsidRPr="00B508FF">
        <w:rPr>
          <w:rFonts w:ascii="Times New Roman" w:hAnsi="Times New Roman" w:cs="Times New Roman"/>
          <w:sz w:val="22"/>
          <w:szCs w:val="22"/>
        </w:rPr>
        <w:t>enjivati ovaj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 ako prim</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etite bilo kakvu prom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enu u izgledu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eka.</w:t>
      </w:r>
      <w:r w:rsidR="00DD7028">
        <w:t xml:space="preserve"> </w:t>
      </w:r>
    </w:p>
    <w:p w:rsidR="00DD7028" w:rsidRPr="00B508FF" w:rsidRDefault="00E97F75" w:rsidP="00B508FF">
      <w:pPr>
        <w:pStyle w:val="ListParagraph"/>
        <w:numPr>
          <w:ilvl w:val="0"/>
          <w:numId w:val="33"/>
        </w:numPr>
        <w:tabs>
          <w:tab w:val="left" w:pos="540"/>
          <w:tab w:val="left" w:pos="569"/>
        </w:tabs>
        <w:spacing w:after="0"/>
        <w:jc w:val="both"/>
        <w:rPr>
          <w:rFonts w:ascii="Times New Roman" w:hAnsi="Times New Roman" w:cs="Times New Roman"/>
          <w:sz w:val="22"/>
          <w:szCs w:val="22"/>
        </w:rPr>
      </w:pPr>
      <w:r w:rsidRPr="00B508FF">
        <w:rPr>
          <w:rFonts w:ascii="Times New Roman" w:hAnsi="Times New Roman" w:cs="Times New Roman"/>
          <w:sz w:val="22"/>
          <w:szCs w:val="22"/>
        </w:rPr>
        <w:t>Budite sigurni u to koliko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 xml:space="preserve">eka treba da ubrizgate. </w:t>
      </w:r>
    </w:p>
    <w:p w:rsidR="00DD7028" w:rsidRPr="00B508FF" w:rsidRDefault="00E97F75" w:rsidP="00B508FF">
      <w:pPr>
        <w:pStyle w:val="ListParagraph"/>
        <w:numPr>
          <w:ilvl w:val="0"/>
          <w:numId w:val="33"/>
        </w:numPr>
        <w:tabs>
          <w:tab w:val="left" w:pos="540"/>
          <w:tab w:val="left" w:pos="569"/>
        </w:tabs>
        <w:spacing w:after="0"/>
        <w:ind w:left="567" w:hanging="207"/>
        <w:jc w:val="both"/>
        <w:rPr>
          <w:rFonts w:ascii="Times New Roman" w:hAnsi="Times New Roman" w:cs="Times New Roman"/>
          <w:sz w:val="22"/>
          <w:szCs w:val="22"/>
        </w:rPr>
      </w:pPr>
      <w:r w:rsidRPr="00B508FF">
        <w:rPr>
          <w:rFonts w:ascii="Times New Roman" w:hAnsi="Times New Roman" w:cs="Times New Roman"/>
          <w:sz w:val="22"/>
          <w:szCs w:val="22"/>
        </w:rPr>
        <w:t>Pregledajte stomak kako biste prov</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erili da li je posl</w:t>
      </w:r>
      <w:r w:rsidR="00DD7028">
        <w:rPr>
          <w:rFonts w:ascii="Times New Roman" w:hAnsi="Times New Roman" w:cs="Times New Roman"/>
          <w:sz w:val="22"/>
          <w:szCs w:val="22"/>
        </w:rPr>
        <w:t>j</w:t>
      </w:r>
      <w:r w:rsidRPr="00B508FF">
        <w:rPr>
          <w:rFonts w:ascii="Times New Roman" w:hAnsi="Times New Roman" w:cs="Times New Roman"/>
          <w:sz w:val="22"/>
          <w:szCs w:val="22"/>
        </w:rPr>
        <w:t>ednja injekcija izazvala crvenilo, prom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ene u</w:t>
      </w:r>
      <w:r w:rsidR="00DD7028">
        <w:rPr>
          <w:rFonts w:ascii="Times New Roman" w:hAnsi="Times New Roman" w:cs="Times New Roman"/>
          <w:sz w:val="22"/>
          <w:szCs w:val="22"/>
        </w:rPr>
        <w:t xml:space="preserve"> </w:t>
      </w:r>
      <w:r w:rsidRPr="00B508FF">
        <w:rPr>
          <w:rFonts w:ascii="Times New Roman" w:hAnsi="Times New Roman" w:cs="Times New Roman"/>
          <w:sz w:val="22"/>
          <w:szCs w:val="22"/>
        </w:rPr>
        <w:t>boji kože, otok, curenje ili je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uboda i dalje bolno. Ako jeste tako, obratite se svom l</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 xml:space="preserve">ekaru ili medicinskoj sestri. </w:t>
      </w:r>
    </w:p>
    <w:p w:rsidR="00DD7028" w:rsidRPr="00B508FF" w:rsidRDefault="00E97F75" w:rsidP="00B508FF">
      <w:pPr>
        <w:pStyle w:val="ListParagraph"/>
        <w:numPr>
          <w:ilvl w:val="0"/>
          <w:numId w:val="33"/>
        </w:numPr>
        <w:tabs>
          <w:tab w:val="left" w:pos="540"/>
          <w:tab w:val="left" w:pos="569"/>
        </w:tabs>
        <w:spacing w:after="0" w:line="240" w:lineRule="auto"/>
        <w:ind w:left="547" w:hanging="207"/>
        <w:jc w:val="both"/>
        <w:rPr>
          <w:rFonts w:ascii="Times New Roman" w:hAnsi="Times New Roman" w:cs="Times New Roman"/>
          <w:sz w:val="22"/>
          <w:szCs w:val="22"/>
        </w:rPr>
      </w:pPr>
      <w:r w:rsidRPr="00B508FF">
        <w:rPr>
          <w:rFonts w:ascii="Times New Roman" w:hAnsi="Times New Roman" w:cs="Times New Roman"/>
          <w:sz w:val="22"/>
          <w:szCs w:val="22"/>
        </w:rPr>
        <w:t>Odlučite na kom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estu ćete ubrizgati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 Svaki put prom</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enite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uboda injekcije sa desne na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evu stranu stomaka naizm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enično. Ovaj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 treba da se prim</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eni samo ispod kože na stomaku, ali ne previše blizu pupka ili bilo kakvog ožiljka (najmanje na 5 cm udaljenosti).</w:t>
      </w:r>
      <w:r w:rsidR="00DD7028" w:rsidRPr="00B508FF">
        <w:rPr>
          <w:rFonts w:ascii="Times New Roman" w:hAnsi="Times New Roman" w:cs="Times New Roman"/>
          <w:sz w:val="22"/>
          <w:szCs w:val="22"/>
        </w:rPr>
        <w:t xml:space="preserve"> </w:t>
      </w:r>
    </w:p>
    <w:p w:rsidR="00707DD5" w:rsidRPr="00B508FF" w:rsidRDefault="00E97F75" w:rsidP="00B508FF">
      <w:pPr>
        <w:pStyle w:val="ListParagraph"/>
        <w:numPr>
          <w:ilvl w:val="0"/>
          <w:numId w:val="33"/>
        </w:numPr>
        <w:tabs>
          <w:tab w:val="left" w:pos="540"/>
          <w:tab w:val="left" w:pos="569"/>
        </w:tabs>
        <w:spacing w:after="0" w:line="240" w:lineRule="auto"/>
        <w:ind w:left="454"/>
        <w:jc w:val="both"/>
        <w:rPr>
          <w:rFonts w:ascii="Times New Roman" w:hAnsi="Times New Roman" w:cs="Times New Roman"/>
          <w:sz w:val="22"/>
          <w:szCs w:val="22"/>
        </w:rPr>
      </w:pPr>
      <w:r w:rsidRPr="00B508FF">
        <w:rPr>
          <w:rFonts w:ascii="Times New Roman" w:hAnsi="Times New Roman" w:cs="Times New Roman"/>
          <w:sz w:val="22"/>
          <w:szCs w:val="22"/>
        </w:rPr>
        <w:t>Napunjeni injekcioni špric nam</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 xml:space="preserve">enjen je samo za </w:t>
      </w:r>
      <w:r w:rsidR="001E230B">
        <w:rPr>
          <w:rFonts w:ascii="Times New Roman" w:hAnsi="Times New Roman" w:cs="Times New Roman"/>
          <w:sz w:val="22"/>
          <w:szCs w:val="22"/>
        </w:rPr>
        <w:t>pojedinačnu</w:t>
      </w:r>
      <w:r w:rsidR="001E230B" w:rsidRPr="00B508FF">
        <w:rPr>
          <w:rFonts w:ascii="Times New Roman" w:hAnsi="Times New Roman" w:cs="Times New Roman"/>
          <w:sz w:val="22"/>
          <w:szCs w:val="22"/>
        </w:rPr>
        <w:t xml:space="preserve"> </w:t>
      </w:r>
      <w:r w:rsidRPr="00B508FF">
        <w:rPr>
          <w:rFonts w:ascii="Times New Roman" w:hAnsi="Times New Roman" w:cs="Times New Roman"/>
          <w:sz w:val="22"/>
          <w:szCs w:val="22"/>
        </w:rPr>
        <w:t xml:space="preserve">upotrebu. </w:t>
      </w:r>
    </w:p>
    <w:p w:rsidR="00DD7028" w:rsidRPr="00B508FF" w:rsidRDefault="00DD7028" w:rsidP="00B508FF">
      <w:pPr>
        <w:tabs>
          <w:tab w:val="left" w:pos="540"/>
          <w:tab w:val="left" w:pos="569"/>
        </w:tabs>
        <w:spacing w:after="0"/>
        <w:jc w:val="both"/>
        <w:rPr>
          <w:rFonts w:ascii="Times New Roman" w:hAnsi="Times New Roman" w:cs="Times New Roman"/>
          <w:b/>
          <w:i/>
          <w:sz w:val="22"/>
          <w:szCs w:val="22"/>
        </w:rPr>
      </w:pPr>
    </w:p>
    <w:p w:rsidR="00707DD5" w:rsidRDefault="00E97F75" w:rsidP="00B508FF">
      <w:pPr>
        <w:tabs>
          <w:tab w:val="left" w:pos="540"/>
          <w:tab w:val="left" w:pos="569"/>
        </w:tabs>
        <w:spacing w:after="0"/>
        <w:jc w:val="both"/>
        <w:rPr>
          <w:rFonts w:ascii="Times New Roman" w:hAnsi="Times New Roman" w:cs="Times New Roman"/>
          <w:sz w:val="22"/>
          <w:szCs w:val="22"/>
        </w:rPr>
      </w:pPr>
      <w:r w:rsidRPr="00B508FF">
        <w:rPr>
          <w:rFonts w:ascii="Times New Roman" w:hAnsi="Times New Roman" w:cs="Times New Roman"/>
          <w:b/>
          <w:i/>
          <w:sz w:val="22"/>
          <w:szCs w:val="22"/>
        </w:rPr>
        <w:t>Uputstvo za ubrizgavanje l</w:t>
      </w:r>
      <w:r w:rsidR="002A6CBD" w:rsidRPr="00B508FF">
        <w:rPr>
          <w:rFonts w:ascii="Times New Roman" w:hAnsi="Times New Roman" w:cs="Times New Roman"/>
          <w:b/>
          <w:i/>
          <w:sz w:val="22"/>
          <w:szCs w:val="22"/>
        </w:rPr>
        <w:t>ij</w:t>
      </w:r>
      <w:r w:rsidRPr="00B508FF">
        <w:rPr>
          <w:rFonts w:ascii="Times New Roman" w:hAnsi="Times New Roman" w:cs="Times New Roman"/>
          <w:b/>
          <w:i/>
          <w:sz w:val="22"/>
          <w:szCs w:val="22"/>
        </w:rPr>
        <w:t>eka Inhixa</w:t>
      </w:r>
      <w:r w:rsidRPr="00B508FF">
        <w:rPr>
          <w:rFonts w:ascii="Times New Roman" w:hAnsi="Times New Roman" w:cs="Times New Roman"/>
          <w:i/>
          <w:sz w:val="22"/>
          <w:szCs w:val="22"/>
        </w:rPr>
        <w:t xml:space="preserve">: </w:t>
      </w:r>
    </w:p>
    <w:p w:rsidR="00784870" w:rsidRPr="00B508FF" w:rsidRDefault="00E97F75" w:rsidP="00B508FF">
      <w:pPr>
        <w:pStyle w:val="ListParagraph"/>
        <w:numPr>
          <w:ilvl w:val="0"/>
          <w:numId w:val="34"/>
        </w:numPr>
        <w:tabs>
          <w:tab w:val="left" w:pos="540"/>
          <w:tab w:val="left" w:pos="569"/>
        </w:tabs>
        <w:spacing w:after="0"/>
        <w:ind w:left="340"/>
        <w:jc w:val="both"/>
        <w:rPr>
          <w:rFonts w:ascii="Times New Roman" w:hAnsi="Times New Roman" w:cs="Times New Roman"/>
          <w:b/>
          <w:sz w:val="22"/>
          <w:szCs w:val="22"/>
        </w:rPr>
      </w:pPr>
      <w:r w:rsidRPr="00B508FF">
        <w:rPr>
          <w:rFonts w:ascii="Times New Roman" w:hAnsi="Times New Roman" w:cs="Times New Roman"/>
          <w:sz w:val="22"/>
          <w:szCs w:val="22"/>
        </w:rPr>
        <w:t>Vodom i sapunom operite ruke i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gd</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 ćete ubrizgati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 Osušite ih.</w:t>
      </w:r>
    </w:p>
    <w:p w:rsidR="00B918D0" w:rsidRPr="00B508FF" w:rsidRDefault="00E97F75" w:rsidP="00B508FF">
      <w:pPr>
        <w:tabs>
          <w:tab w:val="left" w:pos="540"/>
          <w:tab w:val="left" w:pos="569"/>
        </w:tabs>
        <w:spacing w:after="0"/>
        <w:jc w:val="both"/>
        <w:rPr>
          <w:rFonts w:ascii="Times New Roman" w:hAnsi="Times New Roman" w:cs="Times New Roman"/>
          <w:b/>
          <w:sz w:val="22"/>
          <w:szCs w:val="22"/>
        </w:rPr>
      </w:pPr>
      <w:r w:rsidRPr="00B508FF">
        <w:rPr>
          <w:rFonts w:ascii="Times New Roman" w:hAnsi="Times New Roman" w:cs="Times New Roman"/>
          <w:sz w:val="22"/>
          <w:szCs w:val="22"/>
        </w:rPr>
        <w:t xml:space="preserve"> </w:t>
      </w:r>
    </w:p>
    <w:p w:rsidR="00784870" w:rsidRDefault="00E97F75" w:rsidP="00B508FF">
      <w:pPr>
        <w:pStyle w:val="ListParagraph"/>
        <w:numPr>
          <w:ilvl w:val="0"/>
          <w:numId w:val="34"/>
        </w:numPr>
        <w:tabs>
          <w:tab w:val="left" w:pos="540"/>
          <w:tab w:val="left" w:pos="569"/>
        </w:tabs>
        <w:spacing w:after="0"/>
        <w:ind w:left="340"/>
        <w:jc w:val="both"/>
        <w:rPr>
          <w:rFonts w:ascii="Times New Roman" w:hAnsi="Times New Roman" w:cs="Times New Roman"/>
          <w:sz w:val="22"/>
          <w:szCs w:val="22"/>
        </w:rPr>
      </w:pPr>
      <w:r w:rsidRPr="00B508FF">
        <w:rPr>
          <w:rFonts w:ascii="Times New Roman" w:hAnsi="Times New Roman" w:cs="Times New Roman"/>
          <w:sz w:val="22"/>
          <w:szCs w:val="22"/>
        </w:rPr>
        <w:t>S</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edite ili lezite u udoban položaj tako da budete opušteni. Budite sigurni da možete da vidite</w:t>
      </w:r>
      <w:r w:rsidR="00DC09FC">
        <w:rPr>
          <w:rFonts w:ascii="Times New Roman" w:hAnsi="Times New Roman" w:cs="Times New Roman"/>
          <w:sz w:val="22"/>
          <w:szCs w:val="22"/>
        </w:rPr>
        <w:t xml:space="preserve"> </w:t>
      </w:r>
      <w:r w:rsidRPr="00B508FF">
        <w:rPr>
          <w:rFonts w:ascii="Times New Roman" w:hAnsi="Times New Roman" w:cs="Times New Roman"/>
          <w:sz w:val="22"/>
          <w:szCs w:val="22"/>
        </w:rPr>
        <w:t>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gd</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 ćete ubrizgati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 Fotelja ili stolica sa naslonom za noge, ili krevet poduprt jastucima su ide</w:t>
      </w:r>
    </w:p>
    <w:p w:rsidR="00B918D0" w:rsidRPr="00B508FF" w:rsidRDefault="00B918D0" w:rsidP="00B508FF">
      <w:pPr>
        <w:tabs>
          <w:tab w:val="left" w:pos="540"/>
          <w:tab w:val="left" w:pos="569"/>
        </w:tabs>
        <w:spacing w:after="0"/>
        <w:jc w:val="both"/>
        <w:rPr>
          <w:rFonts w:ascii="Times New Roman" w:hAnsi="Times New Roman" w:cs="Times New Roman"/>
          <w:sz w:val="22"/>
          <w:szCs w:val="22"/>
        </w:rPr>
      </w:pPr>
    </w:p>
    <w:p w:rsidR="00707DD5" w:rsidRPr="00B508FF" w:rsidRDefault="00E97F75" w:rsidP="00B508FF">
      <w:pPr>
        <w:pStyle w:val="ListParagraph"/>
        <w:numPr>
          <w:ilvl w:val="0"/>
          <w:numId w:val="34"/>
        </w:numPr>
        <w:tabs>
          <w:tab w:val="left" w:pos="540"/>
          <w:tab w:val="left" w:pos="569"/>
        </w:tabs>
        <w:spacing w:after="0"/>
        <w:jc w:val="both"/>
        <w:rPr>
          <w:rFonts w:ascii="Times New Roman" w:hAnsi="Times New Roman" w:cs="Times New Roman"/>
          <w:b/>
          <w:sz w:val="22"/>
          <w:szCs w:val="22"/>
        </w:rPr>
      </w:pPr>
      <w:r w:rsidRPr="00B508FF">
        <w:rPr>
          <w:rFonts w:ascii="Times New Roman" w:hAnsi="Times New Roman" w:cs="Times New Roman"/>
          <w:sz w:val="22"/>
          <w:szCs w:val="22"/>
        </w:rPr>
        <w:t>Odaberite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na desnoj ili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evoj strani stomaka.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ubrizgavanja mora biti najmanje 5</w:t>
      </w:r>
      <w:r w:rsidR="00DC09FC" w:rsidRPr="00B508FF">
        <w:rPr>
          <w:rFonts w:ascii="Times New Roman" w:hAnsi="Times New Roman" w:cs="Times New Roman"/>
          <w:sz w:val="22"/>
          <w:szCs w:val="22"/>
        </w:rPr>
        <w:t xml:space="preserve"> </w:t>
      </w:r>
      <w:r w:rsidRPr="00B508FF">
        <w:rPr>
          <w:rFonts w:ascii="Times New Roman" w:hAnsi="Times New Roman" w:cs="Times New Roman"/>
          <w:sz w:val="22"/>
          <w:szCs w:val="22"/>
        </w:rPr>
        <w:t>cm udaljeno od pupka i spolja prema boku.</w:t>
      </w:r>
      <w:r w:rsidR="00707DD5" w:rsidRPr="00B508FF">
        <w:rPr>
          <w:rFonts w:ascii="Times New Roman" w:hAnsi="Times New Roman" w:cs="Times New Roman"/>
          <w:b/>
          <w:sz w:val="22"/>
          <w:szCs w:val="22"/>
        </w:rPr>
        <w:t xml:space="preserve"> </w:t>
      </w:r>
    </w:p>
    <w:p w:rsidR="00DC09FC" w:rsidRPr="00B508FF" w:rsidRDefault="00DC09FC" w:rsidP="00B508FF">
      <w:pPr>
        <w:pStyle w:val="ListParagraph"/>
        <w:tabs>
          <w:tab w:val="left" w:pos="540"/>
          <w:tab w:val="left" w:pos="569"/>
        </w:tabs>
        <w:spacing w:after="0"/>
        <w:ind w:left="340"/>
        <w:jc w:val="both"/>
        <w:rPr>
          <w:rFonts w:ascii="Times New Roman" w:hAnsi="Times New Roman" w:cs="Times New Roman"/>
          <w:b/>
          <w:sz w:val="22"/>
          <w:szCs w:val="22"/>
        </w:rPr>
      </w:pPr>
    </w:p>
    <w:p w:rsidR="00E97F75" w:rsidRDefault="00AF226B" w:rsidP="00B508FF">
      <w:pPr>
        <w:tabs>
          <w:tab w:val="left" w:pos="540"/>
          <w:tab w:val="left" w:pos="569"/>
        </w:tabs>
        <w:spacing w:after="0"/>
        <w:jc w:val="both"/>
        <w:rPr>
          <w:rFonts w:ascii="Times New Roman" w:hAnsi="Times New Roman" w:cs="Times New Roman"/>
          <w:sz w:val="22"/>
          <w:szCs w:val="22"/>
        </w:rPr>
      </w:pPr>
      <w:r w:rsidRPr="006921A1">
        <w:rPr>
          <w:rFonts w:ascii="Times New Roman" w:hAnsi="Times New Roman" w:cs="Times New Roman"/>
          <w:b/>
          <w:sz w:val="22"/>
          <w:szCs w:val="22"/>
        </w:rPr>
        <w:t>Zapamtite:</w:t>
      </w:r>
      <w:r w:rsidRPr="006921A1">
        <w:rPr>
          <w:rFonts w:ascii="Times New Roman" w:hAnsi="Times New Roman" w:cs="Times New Roman"/>
          <w:sz w:val="22"/>
          <w:szCs w:val="22"/>
        </w:rPr>
        <w:t xml:space="preserve"> Nemojte ubrizgavati sebi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ek u krugu od 5 cm od pupka ili oko postojećih ožiljaka ili modrica. M</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enjajte m</w:t>
      </w:r>
      <w:r w:rsidR="002A6CBD" w:rsidRPr="006921A1">
        <w:rPr>
          <w:rFonts w:ascii="Times New Roman" w:hAnsi="Times New Roman" w:cs="Times New Roman"/>
          <w:sz w:val="22"/>
          <w:szCs w:val="22"/>
        </w:rPr>
        <w:t>j</w:t>
      </w:r>
      <w:r w:rsidRPr="006921A1">
        <w:rPr>
          <w:rFonts w:ascii="Times New Roman" w:hAnsi="Times New Roman" w:cs="Times New Roman"/>
          <w:sz w:val="22"/>
          <w:szCs w:val="22"/>
        </w:rPr>
        <w:t>esto uboda između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eve i desne strana stomaka, u zavisnosti od strane na kojoj ste prethodno ubrizgali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ek.</w:t>
      </w:r>
    </w:p>
    <w:p w:rsidR="00673C62" w:rsidRPr="006921A1" w:rsidRDefault="00673C62" w:rsidP="00B508FF">
      <w:pPr>
        <w:tabs>
          <w:tab w:val="left" w:pos="540"/>
          <w:tab w:val="left" w:pos="569"/>
        </w:tabs>
        <w:spacing w:after="0"/>
        <w:jc w:val="both"/>
        <w:rPr>
          <w:rFonts w:ascii="Times New Roman" w:hAnsi="Times New Roman" w:cs="Times New Roman"/>
          <w:sz w:val="22"/>
          <w:szCs w:val="22"/>
        </w:rPr>
      </w:pPr>
    </w:p>
    <w:p w:rsidR="00AF226B" w:rsidRPr="00B508FF" w:rsidRDefault="005F1473" w:rsidP="00B508FF">
      <w:pPr>
        <w:pStyle w:val="ListParagraph"/>
        <w:numPr>
          <w:ilvl w:val="0"/>
          <w:numId w:val="34"/>
        </w:numPr>
        <w:tabs>
          <w:tab w:val="left" w:pos="540"/>
          <w:tab w:val="left" w:pos="569"/>
        </w:tabs>
        <w:spacing w:after="0"/>
        <w:jc w:val="both"/>
        <w:rPr>
          <w:rFonts w:ascii="Times New Roman" w:hAnsi="Times New Roman" w:cs="Times New Roman"/>
          <w:sz w:val="22"/>
          <w:szCs w:val="22"/>
        </w:rPr>
      </w:pPr>
      <w:r>
        <w:rPr>
          <w:rFonts w:ascii="Times New Roman" w:hAnsi="Times New Roman" w:cs="Times New Roman"/>
          <w:sz w:val="22"/>
          <w:szCs w:val="22"/>
        </w:rPr>
        <w:t>Izvadite plastični blister sa napunjenim špricem iz kutije.</w:t>
      </w:r>
      <w:r w:rsidR="00AF226B" w:rsidRPr="00B508FF">
        <w:rPr>
          <w:rFonts w:ascii="Times New Roman" w:hAnsi="Times New Roman" w:cs="Times New Roman"/>
          <w:sz w:val="22"/>
          <w:szCs w:val="22"/>
        </w:rPr>
        <w:t xml:space="preserve"> </w:t>
      </w:r>
      <w:r>
        <w:rPr>
          <w:rFonts w:ascii="Times New Roman" w:hAnsi="Times New Roman" w:cs="Times New Roman"/>
          <w:sz w:val="22"/>
          <w:szCs w:val="22"/>
        </w:rPr>
        <w:t>Otvorite blister</w:t>
      </w:r>
      <w:r w:rsidR="00AF226B" w:rsidRPr="00B508FF">
        <w:rPr>
          <w:rFonts w:ascii="Times New Roman" w:hAnsi="Times New Roman" w:cs="Times New Roman"/>
          <w:sz w:val="22"/>
          <w:szCs w:val="22"/>
        </w:rPr>
        <w:t xml:space="preserve"> </w:t>
      </w:r>
      <w:r>
        <w:rPr>
          <w:rFonts w:ascii="Times New Roman" w:hAnsi="Times New Roman" w:cs="Times New Roman"/>
          <w:sz w:val="22"/>
          <w:szCs w:val="22"/>
        </w:rPr>
        <w:t>i izvadite napunjeni</w:t>
      </w:r>
      <w:r w:rsidRPr="00B508FF">
        <w:rPr>
          <w:rFonts w:ascii="Times New Roman" w:hAnsi="Times New Roman" w:cs="Times New Roman"/>
          <w:sz w:val="22"/>
          <w:szCs w:val="22"/>
        </w:rPr>
        <w:t xml:space="preserve"> </w:t>
      </w:r>
      <w:r w:rsidR="00AF226B" w:rsidRPr="00B508FF">
        <w:rPr>
          <w:rFonts w:ascii="Times New Roman" w:hAnsi="Times New Roman" w:cs="Times New Roman"/>
          <w:sz w:val="22"/>
          <w:szCs w:val="22"/>
        </w:rPr>
        <w:t>špric</w:t>
      </w:r>
      <w:r>
        <w:rPr>
          <w:rFonts w:ascii="Times New Roman" w:hAnsi="Times New Roman" w:cs="Times New Roman"/>
          <w:sz w:val="22"/>
          <w:szCs w:val="22"/>
        </w:rPr>
        <w:t>.</w:t>
      </w:r>
      <w:r w:rsidR="00AF226B" w:rsidRPr="00B508FF">
        <w:rPr>
          <w:rFonts w:ascii="Times New Roman" w:hAnsi="Times New Roman" w:cs="Times New Roman"/>
          <w:sz w:val="22"/>
          <w:szCs w:val="22"/>
        </w:rPr>
        <w:t xml:space="preserve"> </w:t>
      </w:r>
    </w:p>
    <w:p w:rsidR="00673C62" w:rsidRDefault="00673C62" w:rsidP="00B508FF">
      <w:pPr>
        <w:autoSpaceDE w:val="0"/>
        <w:autoSpaceDN w:val="0"/>
        <w:adjustRightInd w:val="0"/>
        <w:jc w:val="both"/>
        <w:rPr>
          <w:rFonts w:ascii="Times New Roman" w:hAnsi="Times New Roman" w:cs="Times New Roman"/>
          <w:sz w:val="22"/>
          <w:szCs w:val="22"/>
        </w:rPr>
      </w:pPr>
    </w:p>
    <w:p w:rsidR="003B4D90" w:rsidRPr="00B508FF" w:rsidRDefault="00C6263E" w:rsidP="00B508FF">
      <w:pPr>
        <w:pStyle w:val="ListParagraph"/>
        <w:numPr>
          <w:ilvl w:val="0"/>
          <w:numId w:val="34"/>
        </w:numPr>
        <w:autoSpaceDE w:val="0"/>
        <w:autoSpaceDN w:val="0"/>
        <w:adjustRightInd w:val="0"/>
        <w:spacing w:after="0"/>
        <w:jc w:val="both"/>
        <w:rPr>
          <w:rStyle w:val="markedcontent"/>
          <w:rFonts w:ascii="Times New Roman" w:hAnsi="Times New Roman" w:cs="Times New Roman"/>
          <w:b/>
          <w:sz w:val="22"/>
          <w:szCs w:val="22"/>
        </w:rPr>
      </w:pPr>
      <w:r w:rsidRPr="00B508FF">
        <w:rPr>
          <w:rStyle w:val="markedcontent"/>
          <w:rFonts w:ascii="Times New Roman" w:hAnsi="Times New Roman" w:cs="Times New Roman"/>
          <w:sz w:val="22"/>
          <w:szCs w:val="22"/>
        </w:rPr>
        <w:t xml:space="preserve">Oprezno povlačenjem skinite </w:t>
      </w:r>
      <w:r w:rsidR="00966A16">
        <w:rPr>
          <w:rStyle w:val="markedcontent"/>
          <w:rFonts w:ascii="Times New Roman" w:hAnsi="Times New Roman" w:cs="Times New Roman"/>
          <w:sz w:val="22"/>
          <w:szCs w:val="22"/>
        </w:rPr>
        <w:t>zaštitnu kapicu</w:t>
      </w:r>
      <w:r w:rsidRPr="00B508FF">
        <w:rPr>
          <w:rStyle w:val="markedcontent"/>
          <w:rFonts w:ascii="Times New Roman" w:hAnsi="Times New Roman" w:cs="Times New Roman"/>
          <w:sz w:val="22"/>
          <w:szCs w:val="22"/>
        </w:rPr>
        <w:t xml:space="preserve"> sa </w:t>
      </w:r>
      <w:r>
        <w:rPr>
          <w:rStyle w:val="markedcontent"/>
          <w:rFonts w:ascii="Times New Roman" w:hAnsi="Times New Roman" w:cs="Times New Roman"/>
          <w:sz w:val="22"/>
          <w:szCs w:val="22"/>
        </w:rPr>
        <w:t>šprica</w:t>
      </w:r>
      <w:r w:rsidRPr="00B508FF">
        <w:rPr>
          <w:rStyle w:val="markedcontent"/>
          <w:rFonts w:ascii="Times New Roman" w:hAnsi="Times New Roman" w:cs="Times New Roman"/>
          <w:sz w:val="22"/>
          <w:szCs w:val="22"/>
        </w:rPr>
        <w:t>.</w:t>
      </w:r>
      <w:r w:rsidRPr="00C6263E">
        <w:rPr>
          <w:rStyle w:val="markedcontent"/>
          <w:rFonts w:ascii="Times New Roman" w:hAnsi="Times New Roman" w:cs="Times New Roman"/>
          <w:sz w:val="22"/>
          <w:szCs w:val="22"/>
        </w:rPr>
        <w:t xml:space="preserve"> </w:t>
      </w:r>
      <w:r w:rsidR="00966A16">
        <w:rPr>
          <w:rStyle w:val="markedcontent"/>
          <w:rFonts w:ascii="Times New Roman" w:hAnsi="Times New Roman" w:cs="Times New Roman"/>
          <w:sz w:val="22"/>
          <w:szCs w:val="22"/>
        </w:rPr>
        <w:t>Zaštitnu kapicu</w:t>
      </w:r>
      <w:r w:rsidRPr="00C6263E">
        <w:rPr>
          <w:rStyle w:val="markedcontent"/>
          <w:rFonts w:ascii="Times New Roman" w:hAnsi="Times New Roman" w:cs="Times New Roman"/>
          <w:sz w:val="22"/>
          <w:szCs w:val="22"/>
        </w:rPr>
        <w:t xml:space="preserve"> bacite. Ovo je napunjen špric</w:t>
      </w:r>
      <w:r w:rsidRPr="00B508FF">
        <w:rPr>
          <w:rFonts w:ascii="Times New Roman" w:hAnsi="Times New Roman" w:cs="Times New Roman"/>
          <w:sz w:val="22"/>
          <w:szCs w:val="22"/>
        </w:rPr>
        <w:br/>
      </w:r>
      <w:r w:rsidRPr="00C6263E">
        <w:rPr>
          <w:rStyle w:val="markedcontent"/>
          <w:rFonts w:ascii="Times New Roman" w:hAnsi="Times New Roman" w:cs="Times New Roman"/>
          <w:sz w:val="22"/>
          <w:szCs w:val="22"/>
        </w:rPr>
        <w:t>i spreman je za upotre</w:t>
      </w:r>
      <w:r w:rsidRPr="00B508FF">
        <w:rPr>
          <w:rStyle w:val="markedcontent"/>
          <w:rFonts w:ascii="Times New Roman" w:hAnsi="Times New Roman" w:cs="Times New Roman"/>
          <w:sz w:val="22"/>
          <w:szCs w:val="22"/>
        </w:rPr>
        <w:t>bu</w:t>
      </w:r>
    </w:p>
    <w:p w:rsidR="000D5CCC" w:rsidRPr="00B508FF" w:rsidRDefault="000D5CCC" w:rsidP="00B508FF">
      <w:pPr>
        <w:pStyle w:val="ListParagraph"/>
        <w:autoSpaceDE w:val="0"/>
        <w:autoSpaceDN w:val="0"/>
        <w:adjustRightInd w:val="0"/>
        <w:spacing w:after="0"/>
        <w:ind w:left="360"/>
        <w:jc w:val="both"/>
        <w:rPr>
          <w:rStyle w:val="markedcontent"/>
          <w:rFonts w:ascii="Times New Roman" w:hAnsi="Times New Roman" w:cs="Times New Roman"/>
          <w:b/>
          <w:sz w:val="22"/>
          <w:szCs w:val="22"/>
        </w:rPr>
      </w:pPr>
    </w:p>
    <w:p w:rsidR="007E54CB" w:rsidRPr="00B508FF" w:rsidRDefault="007E54CB" w:rsidP="00B508FF">
      <w:pPr>
        <w:pStyle w:val="ListParagraph"/>
        <w:autoSpaceDE w:val="0"/>
        <w:autoSpaceDN w:val="0"/>
        <w:adjustRightInd w:val="0"/>
        <w:spacing w:after="0"/>
        <w:ind w:left="360"/>
        <w:jc w:val="both"/>
        <w:rPr>
          <w:rStyle w:val="markedcontent"/>
          <w:rFonts w:ascii="Times New Roman" w:hAnsi="Times New Roman" w:cs="Times New Roman"/>
          <w:b/>
          <w:sz w:val="22"/>
          <w:szCs w:val="22"/>
        </w:rPr>
      </w:pPr>
      <w:r w:rsidRPr="006921A1">
        <w:rPr>
          <w:rFonts w:ascii="Times New Roman" w:hAnsi="Times New Roman" w:cs="Times New Roman"/>
          <w:noProof/>
          <w:sz w:val="22"/>
          <w:szCs w:val="22"/>
          <w:lang w:val="en-US" w:eastAsia="en-US"/>
        </w:rPr>
        <w:drawing>
          <wp:inline distT="0" distB="0" distL="0" distR="0" wp14:anchorId="6D1D4544" wp14:editId="16F740C9">
            <wp:extent cx="1295400" cy="11638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543" cy="1170222"/>
                    </a:xfrm>
                    <a:prstGeom prst="rect">
                      <a:avLst/>
                    </a:prstGeom>
                    <a:noFill/>
                    <a:ln>
                      <a:noFill/>
                    </a:ln>
                  </pic:spPr>
                </pic:pic>
              </a:graphicData>
            </a:graphic>
          </wp:inline>
        </w:drawing>
      </w:r>
    </w:p>
    <w:p w:rsidR="00544149" w:rsidRPr="00B508FF" w:rsidRDefault="00544149" w:rsidP="00B508FF">
      <w:pPr>
        <w:pStyle w:val="ListParagraph"/>
        <w:autoSpaceDE w:val="0"/>
        <w:autoSpaceDN w:val="0"/>
        <w:adjustRightInd w:val="0"/>
        <w:spacing w:after="0"/>
        <w:ind w:left="360"/>
        <w:jc w:val="both"/>
        <w:rPr>
          <w:rFonts w:ascii="Times New Roman" w:hAnsi="Times New Roman" w:cs="Times New Roman"/>
          <w:b/>
          <w:sz w:val="22"/>
          <w:szCs w:val="22"/>
        </w:rPr>
      </w:pPr>
    </w:p>
    <w:p w:rsidR="00544149" w:rsidRDefault="00544149">
      <w:pPr>
        <w:autoSpaceDE w:val="0"/>
        <w:autoSpaceDN w:val="0"/>
        <w:adjustRightInd w:val="0"/>
        <w:spacing w:after="0"/>
        <w:jc w:val="both"/>
        <w:rPr>
          <w:rFonts w:ascii="Times New Roman" w:hAnsi="Times New Roman" w:cs="Times New Roman"/>
          <w:sz w:val="22"/>
          <w:szCs w:val="22"/>
        </w:rPr>
      </w:pPr>
      <w:r w:rsidRPr="006921A1">
        <w:rPr>
          <w:rFonts w:ascii="Times New Roman" w:hAnsi="Times New Roman" w:cs="Times New Roman"/>
          <w:b/>
          <w:sz w:val="22"/>
          <w:szCs w:val="22"/>
        </w:rPr>
        <w:t>Nemojte</w:t>
      </w:r>
      <w:r w:rsidRPr="006921A1">
        <w:rPr>
          <w:rFonts w:ascii="Times New Roman" w:hAnsi="Times New Roman" w:cs="Times New Roman"/>
          <w:sz w:val="22"/>
          <w:szCs w:val="22"/>
        </w:rPr>
        <w:t xml:space="preserve"> da potiskujete klip šprica kako biste izbacili mjehuriće vazduha prije ubrizgavanja injekcije. Ovo može dovesti do prosipanja lijeka. Nakon što ste skinuli štitnik</w:t>
      </w:r>
      <w:r w:rsidR="007E54CB">
        <w:rPr>
          <w:rFonts w:ascii="Times New Roman" w:hAnsi="Times New Roman" w:cs="Times New Roman"/>
          <w:sz w:val="22"/>
          <w:szCs w:val="22"/>
        </w:rPr>
        <w:t xml:space="preserve"> sa igle</w:t>
      </w:r>
      <w:r w:rsidRPr="006921A1">
        <w:rPr>
          <w:rFonts w:ascii="Times New Roman" w:hAnsi="Times New Roman" w:cs="Times New Roman"/>
          <w:sz w:val="22"/>
          <w:szCs w:val="22"/>
        </w:rPr>
        <w:t xml:space="preserve">, pazite da iglom ništa ne dodirujete. Tako ćete biti sigurni da je igla ostala čista (sterilna). </w:t>
      </w:r>
    </w:p>
    <w:p w:rsidR="00784870" w:rsidRPr="00B508FF" w:rsidRDefault="00784870" w:rsidP="00B508FF">
      <w:pPr>
        <w:autoSpaceDE w:val="0"/>
        <w:autoSpaceDN w:val="0"/>
        <w:adjustRightInd w:val="0"/>
        <w:spacing w:after="0"/>
        <w:jc w:val="both"/>
        <w:rPr>
          <w:rFonts w:ascii="Times New Roman" w:hAnsi="Times New Roman" w:cs="Times New Roman"/>
          <w:sz w:val="22"/>
          <w:szCs w:val="22"/>
        </w:rPr>
      </w:pPr>
    </w:p>
    <w:p w:rsidR="00C6263E" w:rsidRDefault="00C6263E">
      <w:pPr>
        <w:pStyle w:val="ListParagraph"/>
        <w:numPr>
          <w:ilvl w:val="0"/>
          <w:numId w:val="34"/>
        </w:numPr>
        <w:autoSpaceDE w:val="0"/>
        <w:autoSpaceDN w:val="0"/>
        <w:adjustRightInd w:val="0"/>
        <w:spacing w:after="0"/>
        <w:jc w:val="both"/>
        <w:rPr>
          <w:rFonts w:ascii="Times New Roman" w:hAnsi="Times New Roman" w:cs="Times New Roman"/>
          <w:sz w:val="22"/>
          <w:szCs w:val="22"/>
        </w:rPr>
      </w:pPr>
      <w:r w:rsidRPr="00C6263E">
        <w:rPr>
          <w:rFonts w:ascii="Times New Roman" w:hAnsi="Times New Roman" w:cs="Times New Roman"/>
          <w:sz w:val="22"/>
          <w:szCs w:val="22"/>
        </w:rPr>
        <w:lastRenderedPageBreak/>
        <w:t>Dok špric</w:t>
      </w:r>
      <w:r w:rsidRPr="00B508FF">
        <w:rPr>
          <w:rFonts w:ascii="Times New Roman" w:hAnsi="Times New Roman" w:cs="Times New Roman"/>
          <w:sz w:val="22"/>
          <w:szCs w:val="22"/>
        </w:rPr>
        <w:t xml:space="preserve"> držite rukom kojom pišete (poput olovke), palcem i kažiprstom druge ruke na</w:t>
      </w:r>
      <w:r w:rsidRPr="00B508FF">
        <w:rPr>
          <w:rFonts w:ascii="Times New Roman" w:hAnsi="Times New Roman" w:cs="Times New Roman"/>
          <w:sz w:val="22"/>
          <w:szCs w:val="22"/>
        </w:rPr>
        <w:br/>
        <w:t>očišćenom dijelu kože trbuha na</w:t>
      </w:r>
      <w:r>
        <w:rPr>
          <w:rFonts w:ascii="Times New Roman" w:hAnsi="Times New Roman" w:cs="Times New Roman"/>
          <w:sz w:val="22"/>
          <w:szCs w:val="22"/>
        </w:rPr>
        <w:t>pravite</w:t>
      </w:r>
      <w:r w:rsidRPr="00B508FF">
        <w:rPr>
          <w:rFonts w:ascii="Times New Roman" w:hAnsi="Times New Roman" w:cs="Times New Roman"/>
          <w:sz w:val="22"/>
          <w:szCs w:val="22"/>
        </w:rPr>
        <w:t xml:space="preserve"> nabor kože.</w:t>
      </w:r>
    </w:p>
    <w:p w:rsidR="00544149" w:rsidRPr="00B508FF" w:rsidRDefault="00544149" w:rsidP="00B508FF">
      <w:pPr>
        <w:autoSpaceDE w:val="0"/>
        <w:autoSpaceDN w:val="0"/>
        <w:adjustRightInd w:val="0"/>
        <w:spacing w:after="0"/>
        <w:jc w:val="both"/>
        <w:rPr>
          <w:rFonts w:ascii="Times New Roman" w:hAnsi="Times New Roman" w:cs="Times New Roman"/>
          <w:sz w:val="22"/>
          <w:szCs w:val="22"/>
        </w:rPr>
      </w:pPr>
    </w:p>
    <w:p w:rsidR="00544149" w:rsidRPr="00B508FF" w:rsidRDefault="00544149" w:rsidP="00B508FF">
      <w:pPr>
        <w:autoSpaceDE w:val="0"/>
        <w:autoSpaceDN w:val="0"/>
        <w:adjustRightInd w:val="0"/>
        <w:spacing w:after="0"/>
        <w:jc w:val="both"/>
        <w:rPr>
          <w:rFonts w:ascii="Times New Roman" w:hAnsi="Times New Roman" w:cs="Times New Roman"/>
          <w:b/>
          <w:sz w:val="22"/>
          <w:szCs w:val="22"/>
        </w:rPr>
      </w:pPr>
      <w:r w:rsidRPr="00B508FF">
        <w:rPr>
          <w:rFonts w:ascii="Times New Roman" w:hAnsi="Times New Roman" w:cs="Times New Roman"/>
          <w:sz w:val="22"/>
          <w:szCs w:val="22"/>
        </w:rPr>
        <w:t xml:space="preserve">Vodite računa da </w:t>
      </w:r>
      <w:r w:rsidRPr="00B508FF">
        <w:rPr>
          <w:rFonts w:ascii="Times New Roman" w:hAnsi="Times New Roman" w:cs="Times New Roman"/>
          <w:b/>
          <w:sz w:val="22"/>
          <w:szCs w:val="22"/>
        </w:rPr>
        <w:t xml:space="preserve">tokom davanja injekcije ne puštate nabor kože. </w:t>
      </w:r>
    </w:p>
    <w:p w:rsidR="0031777A" w:rsidRPr="006921A1" w:rsidRDefault="0031777A" w:rsidP="00AF226B">
      <w:pPr>
        <w:autoSpaceDE w:val="0"/>
        <w:autoSpaceDN w:val="0"/>
        <w:adjustRightInd w:val="0"/>
        <w:rPr>
          <w:rFonts w:ascii="Times New Roman" w:hAnsi="Times New Roman" w:cs="Times New Roman"/>
          <w:sz w:val="22"/>
          <w:szCs w:val="22"/>
          <w:lang w:val="sr-Latn-RS"/>
        </w:rPr>
      </w:pPr>
    </w:p>
    <w:p w:rsidR="00C6263E" w:rsidRDefault="00C6263E" w:rsidP="00B508FF">
      <w:pPr>
        <w:pStyle w:val="ListParagraph"/>
        <w:numPr>
          <w:ilvl w:val="0"/>
          <w:numId w:val="34"/>
        </w:numPr>
        <w:rPr>
          <w:rFonts w:ascii="Times New Roman" w:hAnsi="Times New Roman" w:cs="Times New Roman"/>
          <w:sz w:val="22"/>
          <w:szCs w:val="22"/>
        </w:rPr>
      </w:pPr>
      <w:r w:rsidRPr="00B508FF">
        <w:rPr>
          <w:rFonts w:ascii="Times New Roman" w:hAnsi="Times New Roman" w:cs="Times New Roman"/>
          <w:sz w:val="22"/>
          <w:szCs w:val="22"/>
        </w:rPr>
        <w:t>Špric držite tako da igla bude usmjerena prema dolje (na dolje pod uglom od 90°). Ubodite</w:t>
      </w:r>
      <w:r w:rsidRPr="00B508FF">
        <w:rPr>
          <w:rFonts w:ascii="Times New Roman" w:hAnsi="Times New Roman" w:cs="Times New Roman"/>
          <w:sz w:val="22"/>
          <w:szCs w:val="22"/>
        </w:rPr>
        <w:br/>
        <w:t>iglu cijelom dužinom u kožni nabor.</w:t>
      </w:r>
    </w:p>
    <w:p w:rsidR="003B4D90" w:rsidRDefault="003B4D90" w:rsidP="00B508FF">
      <w:pPr>
        <w:pStyle w:val="ListParagraph"/>
        <w:ind w:left="360"/>
        <w:rPr>
          <w:rFonts w:ascii="Times New Roman" w:hAnsi="Times New Roman" w:cs="Times New Roman"/>
          <w:sz w:val="22"/>
          <w:szCs w:val="22"/>
        </w:rPr>
      </w:pPr>
    </w:p>
    <w:p w:rsidR="003B4D90" w:rsidRPr="00B508FF" w:rsidRDefault="003B4D90" w:rsidP="00B508FF">
      <w:pPr>
        <w:pStyle w:val="ListParagraph"/>
        <w:ind w:left="360"/>
        <w:rPr>
          <w:rFonts w:ascii="Times New Roman" w:hAnsi="Times New Roman" w:cs="Times New Roman"/>
          <w:sz w:val="22"/>
          <w:szCs w:val="22"/>
        </w:rPr>
      </w:pPr>
      <w:r w:rsidRPr="006921A1">
        <w:rPr>
          <w:rFonts w:ascii="Times New Roman" w:hAnsi="Times New Roman" w:cs="Times New Roman"/>
          <w:noProof/>
          <w:sz w:val="22"/>
          <w:szCs w:val="22"/>
          <w:lang w:val="en-US" w:eastAsia="en-US"/>
        </w:rPr>
        <w:drawing>
          <wp:inline distT="0" distB="0" distL="0" distR="0" wp14:anchorId="753E1216" wp14:editId="6948D691">
            <wp:extent cx="1495425" cy="117916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6806" cy="1188135"/>
                    </a:xfrm>
                    <a:prstGeom prst="rect">
                      <a:avLst/>
                    </a:prstGeom>
                    <a:noFill/>
                    <a:ln>
                      <a:noFill/>
                    </a:ln>
                  </pic:spPr>
                </pic:pic>
              </a:graphicData>
            </a:graphic>
          </wp:inline>
        </w:drawing>
      </w:r>
    </w:p>
    <w:p w:rsidR="00866D02" w:rsidRPr="00B508FF" w:rsidRDefault="00866D02" w:rsidP="00B508FF">
      <w:pPr>
        <w:pStyle w:val="ListParagraph"/>
        <w:autoSpaceDE w:val="0"/>
        <w:autoSpaceDN w:val="0"/>
        <w:adjustRightInd w:val="0"/>
        <w:spacing w:after="0"/>
        <w:ind w:left="360"/>
        <w:jc w:val="both"/>
        <w:rPr>
          <w:rFonts w:ascii="Times New Roman" w:hAnsi="Times New Roman" w:cs="Times New Roman"/>
          <w:sz w:val="22"/>
          <w:szCs w:val="22"/>
        </w:rPr>
      </w:pPr>
    </w:p>
    <w:p w:rsidR="00AF226B" w:rsidRPr="00B508FF" w:rsidRDefault="00C6263E" w:rsidP="00B508FF">
      <w:pPr>
        <w:autoSpaceDE w:val="0"/>
        <w:autoSpaceDN w:val="0"/>
        <w:adjustRightInd w:val="0"/>
        <w:spacing w:after="0"/>
        <w:jc w:val="both"/>
        <w:rPr>
          <w:rFonts w:ascii="Times New Roman" w:hAnsi="Times New Roman" w:cs="Times New Roman"/>
          <w:sz w:val="22"/>
          <w:szCs w:val="22"/>
        </w:rPr>
      </w:pPr>
      <w:r>
        <w:rPr>
          <w:rFonts w:ascii="Times New Roman" w:hAnsi="Times New Roman" w:cs="Times New Roman"/>
          <w:sz w:val="22"/>
          <w:szCs w:val="22"/>
        </w:rPr>
        <w:t xml:space="preserve">8)  </w:t>
      </w:r>
      <w:r w:rsidRPr="00B508FF">
        <w:rPr>
          <w:rFonts w:ascii="Times New Roman" w:hAnsi="Times New Roman" w:cs="Times New Roman"/>
          <w:sz w:val="22"/>
          <w:szCs w:val="22"/>
        </w:rPr>
        <w:t>Palcem pritisnite klip prema dolje. Tako će se lijek potisnuti u masno tkivo na trbuhu. Pazite da</w:t>
      </w:r>
      <w:r w:rsidRPr="00B508FF">
        <w:rPr>
          <w:rFonts w:ascii="Times New Roman" w:hAnsi="Times New Roman" w:cs="Times New Roman"/>
          <w:sz w:val="22"/>
          <w:szCs w:val="22"/>
        </w:rPr>
        <w:br/>
        <w:t>nabor kože držite za sve vrijeme injiciranja</w:t>
      </w:r>
      <w:r>
        <w:rPr>
          <w:rFonts w:ascii="Times New Roman" w:hAnsi="Times New Roman" w:cs="Times New Roman"/>
          <w:sz w:val="22"/>
          <w:szCs w:val="22"/>
        </w:rPr>
        <w:t>.</w:t>
      </w:r>
    </w:p>
    <w:p w:rsidR="00AF226B" w:rsidRPr="006921A1" w:rsidRDefault="00AF226B" w:rsidP="00B508FF">
      <w:pPr>
        <w:autoSpaceDE w:val="0"/>
        <w:autoSpaceDN w:val="0"/>
        <w:adjustRightInd w:val="0"/>
        <w:spacing w:after="0"/>
        <w:jc w:val="both"/>
        <w:rPr>
          <w:rFonts w:ascii="Times New Roman" w:hAnsi="Times New Roman" w:cs="Times New Roman"/>
          <w:b/>
          <w:sz w:val="22"/>
          <w:szCs w:val="22"/>
          <w:lang w:val="sr-Latn-RS"/>
        </w:rPr>
      </w:pPr>
    </w:p>
    <w:p w:rsidR="00AF226B" w:rsidRDefault="00AF226B" w:rsidP="00B508FF">
      <w:pPr>
        <w:autoSpaceDE w:val="0"/>
        <w:autoSpaceDN w:val="0"/>
        <w:adjustRightInd w:val="0"/>
        <w:spacing w:after="0"/>
        <w:jc w:val="both"/>
        <w:rPr>
          <w:rFonts w:ascii="Times New Roman" w:hAnsi="Times New Roman" w:cs="Times New Roman"/>
          <w:sz w:val="22"/>
          <w:szCs w:val="22"/>
        </w:rPr>
      </w:pPr>
      <w:r w:rsidRPr="006921A1">
        <w:rPr>
          <w:rFonts w:ascii="Times New Roman" w:hAnsi="Times New Roman" w:cs="Times New Roman"/>
          <w:b/>
          <w:sz w:val="22"/>
          <w:szCs w:val="22"/>
        </w:rPr>
        <w:t>Kako biste izb</w:t>
      </w:r>
      <w:r w:rsidR="002A6CBD" w:rsidRPr="006921A1">
        <w:rPr>
          <w:rFonts w:ascii="Times New Roman" w:hAnsi="Times New Roman" w:cs="Times New Roman"/>
          <w:b/>
          <w:sz w:val="22"/>
          <w:szCs w:val="22"/>
        </w:rPr>
        <w:t>j</w:t>
      </w:r>
      <w:r w:rsidRPr="006921A1">
        <w:rPr>
          <w:rFonts w:ascii="Times New Roman" w:hAnsi="Times New Roman" w:cs="Times New Roman"/>
          <w:b/>
          <w:sz w:val="22"/>
          <w:szCs w:val="22"/>
        </w:rPr>
        <w:t>egli stvaranje modrica, nakon što ubrizgate sebi l</w:t>
      </w:r>
      <w:r w:rsidR="002A6CBD" w:rsidRPr="006921A1">
        <w:rPr>
          <w:rFonts w:ascii="Times New Roman" w:hAnsi="Times New Roman" w:cs="Times New Roman"/>
          <w:b/>
          <w:sz w:val="22"/>
          <w:szCs w:val="22"/>
        </w:rPr>
        <w:t>ij</w:t>
      </w:r>
      <w:r w:rsidRPr="006921A1">
        <w:rPr>
          <w:rFonts w:ascii="Times New Roman" w:hAnsi="Times New Roman" w:cs="Times New Roman"/>
          <w:b/>
          <w:sz w:val="22"/>
          <w:szCs w:val="22"/>
        </w:rPr>
        <w:t>ek nemojte trljati m</w:t>
      </w:r>
      <w:r w:rsidR="002A6CBD" w:rsidRPr="006921A1">
        <w:rPr>
          <w:rFonts w:ascii="Times New Roman" w:hAnsi="Times New Roman" w:cs="Times New Roman"/>
          <w:b/>
          <w:sz w:val="22"/>
          <w:szCs w:val="22"/>
        </w:rPr>
        <w:t>j</w:t>
      </w:r>
      <w:r w:rsidRPr="006921A1">
        <w:rPr>
          <w:rFonts w:ascii="Times New Roman" w:hAnsi="Times New Roman" w:cs="Times New Roman"/>
          <w:b/>
          <w:sz w:val="22"/>
          <w:szCs w:val="22"/>
        </w:rPr>
        <w:t>esto uboda injekcije.</w:t>
      </w:r>
      <w:r w:rsidR="00B4074A" w:rsidRPr="00B4074A">
        <w:rPr>
          <w:rFonts w:ascii="Times New Roman" w:hAnsi="Times New Roman" w:cs="Times New Roman"/>
          <w:sz w:val="22"/>
          <w:szCs w:val="22"/>
        </w:rPr>
        <w:t xml:space="preserve"> </w:t>
      </w:r>
    </w:p>
    <w:p w:rsidR="00D231D3" w:rsidRPr="006921A1" w:rsidRDefault="00D231D3" w:rsidP="00B508FF">
      <w:pPr>
        <w:autoSpaceDE w:val="0"/>
        <w:autoSpaceDN w:val="0"/>
        <w:adjustRightInd w:val="0"/>
        <w:spacing w:after="0"/>
        <w:jc w:val="both"/>
        <w:rPr>
          <w:rFonts w:ascii="Times New Roman" w:hAnsi="Times New Roman" w:cs="Times New Roman"/>
          <w:b/>
          <w:sz w:val="22"/>
          <w:szCs w:val="22"/>
          <w:lang w:val="sr-Latn-RS"/>
        </w:rPr>
      </w:pPr>
    </w:p>
    <w:p w:rsidR="00B4074A" w:rsidRDefault="00B4074A" w:rsidP="00B508FF">
      <w:pPr>
        <w:pStyle w:val="ListParagraph"/>
        <w:numPr>
          <w:ilvl w:val="0"/>
          <w:numId w:val="37"/>
        </w:numPr>
        <w:autoSpaceDE w:val="0"/>
        <w:autoSpaceDN w:val="0"/>
        <w:adjustRightInd w:val="0"/>
        <w:spacing w:after="0"/>
        <w:ind w:left="360"/>
        <w:jc w:val="both"/>
        <w:rPr>
          <w:rFonts w:ascii="Times New Roman" w:hAnsi="Times New Roman" w:cs="Times New Roman"/>
          <w:sz w:val="22"/>
          <w:szCs w:val="22"/>
        </w:rPr>
      </w:pPr>
      <w:r w:rsidRPr="006921A1">
        <w:rPr>
          <w:rFonts w:ascii="Times New Roman" w:hAnsi="Times New Roman" w:cs="Times New Roman"/>
          <w:sz w:val="22"/>
          <w:szCs w:val="22"/>
        </w:rPr>
        <w:t>Izvadite iglu tako što ćete je izvući napolje pod pravim uglom</w:t>
      </w:r>
      <w:r w:rsidRPr="00E96F20">
        <w:rPr>
          <w:rFonts w:ascii="Times New Roman" w:hAnsi="Times New Roman" w:cs="Times New Roman"/>
          <w:sz w:val="22"/>
          <w:szCs w:val="22"/>
        </w:rPr>
        <w:t xml:space="preserve"> </w:t>
      </w:r>
    </w:p>
    <w:p w:rsidR="003B4D90" w:rsidRDefault="003B4D90" w:rsidP="00B508FF">
      <w:pPr>
        <w:pStyle w:val="ListParagraph"/>
        <w:autoSpaceDE w:val="0"/>
        <w:autoSpaceDN w:val="0"/>
        <w:adjustRightInd w:val="0"/>
        <w:spacing w:after="0"/>
        <w:ind w:left="0"/>
        <w:jc w:val="both"/>
        <w:rPr>
          <w:rFonts w:ascii="Times New Roman" w:hAnsi="Times New Roman" w:cs="Times New Roman"/>
          <w:sz w:val="22"/>
          <w:szCs w:val="22"/>
        </w:rPr>
      </w:pPr>
    </w:p>
    <w:p w:rsidR="003B4D90" w:rsidRDefault="003B4D90" w:rsidP="00B508FF">
      <w:pPr>
        <w:pStyle w:val="ListParagraph"/>
        <w:autoSpaceDE w:val="0"/>
        <w:autoSpaceDN w:val="0"/>
        <w:adjustRightInd w:val="0"/>
        <w:jc w:val="both"/>
        <w:rPr>
          <w:rFonts w:ascii="Times New Roman" w:hAnsi="Times New Roman" w:cs="Times New Roman"/>
          <w:sz w:val="22"/>
          <w:szCs w:val="22"/>
        </w:rPr>
      </w:pPr>
      <w:r w:rsidRPr="006921A1">
        <w:rPr>
          <w:rFonts w:ascii="Times New Roman" w:hAnsi="Times New Roman" w:cs="Times New Roman"/>
          <w:noProof/>
          <w:sz w:val="22"/>
          <w:szCs w:val="22"/>
          <w:lang w:val="en-US" w:eastAsia="en-US"/>
        </w:rPr>
        <w:drawing>
          <wp:inline distT="0" distB="0" distL="0" distR="0" wp14:anchorId="3FA40B97" wp14:editId="135D805E">
            <wp:extent cx="1495425" cy="1457567"/>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9397" cy="1461439"/>
                    </a:xfrm>
                    <a:prstGeom prst="rect">
                      <a:avLst/>
                    </a:prstGeom>
                    <a:noFill/>
                    <a:ln>
                      <a:noFill/>
                    </a:ln>
                  </pic:spPr>
                </pic:pic>
              </a:graphicData>
            </a:graphic>
          </wp:inline>
        </w:drawing>
      </w:r>
    </w:p>
    <w:p w:rsidR="003B4D90" w:rsidRPr="00B508FF" w:rsidRDefault="003B4D90">
      <w:pPr>
        <w:autoSpaceDE w:val="0"/>
        <w:autoSpaceDN w:val="0"/>
        <w:adjustRightInd w:val="0"/>
        <w:jc w:val="both"/>
        <w:rPr>
          <w:rFonts w:ascii="Times New Roman" w:hAnsi="Times New Roman" w:cs="Times New Roman"/>
          <w:b/>
          <w:sz w:val="22"/>
          <w:szCs w:val="22"/>
        </w:rPr>
      </w:pPr>
      <w:r w:rsidRPr="00B508FF">
        <w:rPr>
          <w:rFonts w:ascii="Times New Roman" w:hAnsi="Times New Roman" w:cs="Times New Roman"/>
          <w:b/>
          <w:sz w:val="22"/>
          <w:szCs w:val="22"/>
        </w:rPr>
        <w:t>Kako bi se izbjeglo stvaranje modreca, nakon injiciranja lijeka nemojte trljati mjesto injekcije.</w:t>
      </w:r>
    </w:p>
    <w:p w:rsidR="00E96F20" w:rsidRDefault="00E96F20" w:rsidP="00B508FF">
      <w:pPr>
        <w:pStyle w:val="ListParagraph"/>
        <w:numPr>
          <w:ilvl w:val="0"/>
          <w:numId w:val="37"/>
        </w:numPr>
        <w:autoSpaceDE w:val="0"/>
        <w:autoSpaceDN w:val="0"/>
        <w:adjustRightInd w:val="0"/>
        <w:spacing w:after="0"/>
        <w:ind w:left="0"/>
        <w:jc w:val="both"/>
        <w:rPr>
          <w:rFonts w:ascii="Times New Roman" w:hAnsi="Times New Roman" w:cs="Times New Roman"/>
          <w:sz w:val="22"/>
          <w:szCs w:val="22"/>
        </w:rPr>
      </w:pPr>
      <w:r w:rsidRPr="00E96F20">
        <w:rPr>
          <w:rFonts w:ascii="Times New Roman" w:hAnsi="Times New Roman" w:cs="Times New Roman"/>
          <w:sz w:val="22"/>
          <w:szCs w:val="22"/>
        </w:rPr>
        <w:t>Odložite upotrijebljeni špric</w:t>
      </w:r>
      <w:r w:rsidRPr="00B508FF">
        <w:rPr>
          <w:rFonts w:ascii="Times New Roman" w:hAnsi="Times New Roman" w:cs="Times New Roman"/>
          <w:sz w:val="22"/>
          <w:szCs w:val="22"/>
        </w:rPr>
        <w:t xml:space="preserve"> u </w:t>
      </w:r>
      <w:r>
        <w:rPr>
          <w:rFonts w:ascii="Times New Roman" w:hAnsi="Times New Roman" w:cs="Times New Roman"/>
          <w:sz w:val="22"/>
          <w:szCs w:val="22"/>
        </w:rPr>
        <w:t>kontejner</w:t>
      </w:r>
      <w:r w:rsidRPr="00B508FF">
        <w:rPr>
          <w:rFonts w:ascii="Times New Roman" w:hAnsi="Times New Roman" w:cs="Times New Roman"/>
          <w:sz w:val="22"/>
          <w:szCs w:val="22"/>
        </w:rPr>
        <w:t xml:space="preserve"> za oštre predmete. Čvrsto zatvorite </w:t>
      </w:r>
      <w:r>
        <w:rPr>
          <w:rFonts w:ascii="Times New Roman" w:hAnsi="Times New Roman" w:cs="Times New Roman"/>
          <w:sz w:val="22"/>
          <w:szCs w:val="22"/>
        </w:rPr>
        <w:t>kontejner</w:t>
      </w:r>
      <w:r w:rsidRPr="00B508FF">
        <w:rPr>
          <w:rFonts w:ascii="Times New Roman" w:hAnsi="Times New Roman" w:cs="Times New Roman"/>
          <w:sz w:val="22"/>
          <w:szCs w:val="22"/>
        </w:rPr>
        <w:t xml:space="preserve"> i</w:t>
      </w:r>
      <w:r w:rsidRPr="00B508FF">
        <w:rPr>
          <w:rFonts w:ascii="Times New Roman" w:hAnsi="Times New Roman" w:cs="Times New Roman"/>
          <w:sz w:val="22"/>
          <w:szCs w:val="22"/>
        </w:rPr>
        <w:br/>
        <w:t>d</w:t>
      </w:r>
      <w:r>
        <w:rPr>
          <w:rFonts w:ascii="Times New Roman" w:hAnsi="Times New Roman" w:cs="Times New Roman"/>
          <w:sz w:val="22"/>
          <w:szCs w:val="22"/>
        </w:rPr>
        <w:t xml:space="preserve">ržite ga na mjestu </w:t>
      </w:r>
      <w:r w:rsidRPr="00E96F20">
        <w:rPr>
          <w:rFonts w:ascii="Times New Roman" w:hAnsi="Times New Roman" w:cs="Times New Roman"/>
          <w:sz w:val="22"/>
          <w:szCs w:val="22"/>
        </w:rPr>
        <w:t>van domašaja</w:t>
      </w:r>
      <w:r w:rsidRPr="00B508FF">
        <w:rPr>
          <w:rFonts w:ascii="Times New Roman" w:hAnsi="Times New Roman" w:cs="Times New Roman"/>
          <w:sz w:val="22"/>
          <w:szCs w:val="22"/>
        </w:rPr>
        <w:t xml:space="preserve"> djece.</w:t>
      </w:r>
    </w:p>
    <w:p w:rsidR="00C6263E" w:rsidRPr="00B508FF" w:rsidRDefault="00C6263E" w:rsidP="00B508FF">
      <w:pPr>
        <w:pStyle w:val="ListParagraph"/>
        <w:autoSpaceDE w:val="0"/>
        <w:autoSpaceDN w:val="0"/>
        <w:adjustRightInd w:val="0"/>
        <w:spacing w:after="0"/>
        <w:ind w:left="0"/>
        <w:jc w:val="both"/>
        <w:rPr>
          <w:rFonts w:ascii="Times New Roman" w:hAnsi="Times New Roman" w:cs="Times New Roman"/>
          <w:sz w:val="22"/>
          <w:szCs w:val="22"/>
        </w:rPr>
      </w:pPr>
    </w:p>
    <w:p w:rsidR="00D85180" w:rsidRDefault="00AF226B" w:rsidP="00B508FF">
      <w:pPr>
        <w:autoSpaceDE w:val="0"/>
        <w:autoSpaceDN w:val="0"/>
        <w:adjustRightInd w:val="0"/>
        <w:spacing w:after="0"/>
        <w:jc w:val="both"/>
        <w:rPr>
          <w:rFonts w:ascii="Times New Roman" w:hAnsi="Times New Roman" w:cs="Times New Roman"/>
          <w:sz w:val="22"/>
          <w:szCs w:val="22"/>
          <w:u w:val="single"/>
        </w:rPr>
      </w:pPr>
      <w:r w:rsidRPr="006921A1">
        <w:rPr>
          <w:rFonts w:ascii="Times New Roman" w:hAnsi="Times New Roman" w:cs="Times New Roman"/>
          <w:b/>
          <w:sz w:val="22"/>
          <w:szCs w:val="22"/>
        </w:rPr>
        <w:t>Kada se kontejner napuni, odložite ga u skladu sa uputstvima l</w:t>
      </w:r>
      <w:r w:rsidR="002A6CBD" w:rsidRPr="006921A1">
        <w:rPr>
          <w:rFonts w:ascii="Times New Roman" w:hAnsi="Times New Roman" w:cs="Times New Roman"/>
          <w:b/>
          <w:sz w:val="22"/>
          <w:szCs w:val="22"/>
        </w:rPr>
        <w:t>j</w:t>
      </w:r>
      <w:r w:rsidRPr="006921A1">
        <w:rPr>
          <w:rFonts w:ascii="Times New Roman" w:hAnsi="Times New Roman" w:cs="Times New Roman"/>
          <w:b/>
          <w:sz w:val="22"/>
          <w:szCs w:val="22"/>
        </w:rPr>
        <w:t>ekara ili farmaceuta. Nemojte ga odlagati sa kućnim otpadom.</w:t>
      </w:r>
      <w:r w:rsidR="00866D02">
        <w:rPr>
          <w:rFonts w:ascii="Times New Roman" w:hAnsi="Times New Roman" w:cs="Times New Roman"/>
          <w:sz w:val="22"/>
          <w:szCs w:val="22"/>
          <w:u w:val="single"/>
        </w:rPr>
        <w:t xml:space="preserve"> </w:t>
      </w:r>
    </w:p>
    <w:p w:rsidR="00966A16" w:rsidRDefault="00966A16" w:rsidP="00B508FF">
      <w:pPr>
        <w:autoSpaceDE w:val="0"/>
        <w:autoSpaceDN w:val="0"/>
        <w:adjustRightInd w:val="0"/>
        <w:spacing w:after="0"/>
        <w:jc w:val="both"/>
        <w:rPr>
          <w:rFonts w:ascii="Times New Roman" w:hAnsi="Times New Roman" w:cs="Times New Roman"/>
          <w:sz w:val="22"/>
          <w:szCs w:val="22"/>
          <w:u w:val="single"/>
        </w:rPr>
      </w:pPr>
    </w:p>
    <w:p w:rsidR="00866D02" w:rsidRPr="00B508FF" w:rsidRDefault="0061758B" w:rsidP="00B508FF">
      <w:pPr>
        <w:autoSpaceDE w:val="0"/>
        <w:autoSpaceDN w:val="0"/>
        <w:adjustRightInd w:val="0"/>
        <w:spacing w:after="0"/>
        <w:jc w:val="both"/>
        <w:rPr>
          <w:rFonts w:ascii="Times New Roman" w:hAnsi="Times New Roman" w:cs="Times New Roman"/>
          <w:b/>
          <w:sz w:val="22"/>
          <w:szCs w:val="22"/>
        </w:rPr>
      </w:pPr>
      <w:r w:rsidRPr="00B508FF">
        <w:rPr>
          <w:rFonts w:ascii="Times New Roman" w:hAnsi="Times New Roman" w:cs="Times New Roman"/>
          <w:b/>
          <w:sz w:val="22"/>
          <w:szCs w:val="22"/>
          <w:u w:val="single"/>
        </w:rPr>
        <w:t>Kako da sami sebi</w:t>
      </w:r>
      <w:r w:rsidR="00AF226B" w:rsidRPr="00B508FF">
        <w:rPr>
          <w:rFonts w:ascii="Times New Roman" w:hAnsi="Times New Roman" w:cs="Times New Roman"/>
          <w:b/>
          <w:sz w:val="22"/>
          <w:szCs w:val="22"/>
          <w:u w:val="single"/>
        </w:rPr>
        <w:t xml:space="preserve"> date injekciju l</w:t>
      </w:r>
      <w:r w:rsidR="002A6CBD" w:rsidRPr="00B508FF">
        <w:rPr>
          <w:rFonts w:ascii="Times New Roman" w:hAnsi="Times New Roman" w:cs="Times New Roman"/>
          <w:b/>
          <w:sz w:val="22"/>
          <w:szCs w:val="22"/>
          <w:u w:val="single"/>
        </w:rPr>
        <w:t>ij</w:t>
      </w:r>
      <w:r w:rsidR="00AF226B" w:rsidRPr="00B508FF">
        <w:rPr>
          <w:rFonts w:ascii="Times New Roman" w:hAnsi="Times New Roman" w:cs="Times New Roman"/>
          <w:b/>
          <w:sz w:val="22"/>
          <w:szCs w:val="22"/>
          <w:u w:val="single"/>
        </w:rPr>
        <w:t xml:space="preserve">eka Inhixa </w:t>
      </w:r>
      <w:r w:rsidR="00F15040" w:rsidRPr="00B508FF">
        <w:rPr>
          <w:rFonts w:ascii="Times New Roman" w:hAnsi="Times New Roman" w:cs="Times New Roman"/>
          <w:b/>
          <w:sz w:val="22"/>
          <w:szCs w:val="22"/>
          <w:u w:val="single"/>
        </w:rPr>
        <w:t>sa napunjenim špricem sa štitnikom za iglu</w:t>
      </w:r>
      <w:r w:rsidR="00866D02" w:rsidRPr="00B508FF">
        <w:rPr>
          <w:rFonts w:ascii="Times New Roman" w:hAnsi="Times New Roman" w:cs="Times New Roman"/>
          <w:b/>
          <w:sz w:val="22"/>
          <w:szCs w:val="22"/>
        </w:rPr>
        <w:t xml:space="preserve"> </w:t>
      </w:r>
    </w:p>
    <w:p w:rsidR="00866D02" w:rsidRDefault="00AF226B" w:rsidP="00B508FF">
      <w:pPr>
        <w:autoSpaceDE w:val="0"/>
        <w:autoSpaceDN w:val="0"/>
        <w:adjustRightInd w:val="0"/>
        <w:spacing w:after="0"/>
        <w:jc w:val="both"/>
        <w:rPr>
          <w:rFonts w:ascii="Times New Roman" w:hAnsi="Times New Roman" w:cs="Times New Roman"/>
          <w:b/>
          <w:i/>
          <w:sz w:val="22"/>
          <w:szCs w:val="22"/>
        </w:rPr>
      </w:pPr>
      <w:r w:rsidRPr="006921A1">
        <w:rPr>
          <w:rFonts w:ascii="Times New Roman" w:hAnsi="Times New Roman" w:cs="Times New Roman"/>
          <w:sz w:val="22"/>
          <w:szCs w:val="22"/>
        </w:rPr>
        <w:t>Vaš napunjeni špric ima pričvršćenu zaštitnu kapicu radi zaštite od povrede ubodom igle. Ukoliko možete sami sebi da date ovaj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ek, Vaš doktor ili medicinska sestra će Vam pokazati kako da to učinite. Nemojte ubrizgavati sami sebi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ek ukoliko ni</w:t>
      </w:r>
      <w:r w:rsidR="000B70E5">
        <w:rPr>
          <w:rFonts w:ascii="Times New Roman" w:hAnsi="Times New Roman" w:cs="Times New Roman"/>
          <w:sz w:val="22"/>
          <w:szCs w:val="22"/>
        </w:rPr>
        <w:t>je</w:t>
      </w:r>
      <w:r w:rsidRPr="006921A1">
        <w:rPr>
          <w:rFonts w:ascii="Times New Roman" w:hAnsi="Times New Roman" w:cs="Times New Roman"/>
          <w:sz w:val="22"/>
          <w:szCs w:val="22"/>
        </w:rPr>
        <w:t>ste dobili obuku za to. Ako ni</w:t>
      </w:r>
      <w:r w:rsidR="000B70E5">
        <w:rPr>
          <w:rFonts w:ascii="Times New Roman" w:hAnsi="Times New Roman" w:cs="Times New Roman"/>
          <w:sz w:val="22"/>
          <w:szCs w:val="22"/>
        </w:rPr>
        <w:t>je</w:t>
      </w:r>
      <w:r w:rsidRPr="006921A1">
        <w:rPr>
          <w:rFonts w:ascii="Times New Roman" w:hAnsi="Times New Roman" w:cs="Times New Roman"/>
          <w:sz w:val="22"/>
          <w:szCs w:val="22"/>
        </w:rPr>
        <w:t>ste sigurni šta da uradite, odmah se obratite Vašem l</w:t>
      </w:r>
      <w:r w:rsidR="002A6CBD" w:rsidRPr="006921A1">
        <w:rPr>
          <w:rFonts w:ascii="Times New Roman" w:hAnsi="Times New Roman" w:cs="Times New Roman"/>
          <w:sz w:val="22"/>
          <w:szCs w:val="22"/>
        </w:rPr>
        <w:t>j</w:t>
      </w:r>
      <w:r w:rsidRPr="006921A1">
        <w:rPr>
          <w:rFonts w:ascii="Times New Roman" w:hAnsi="Times New Roman" w:cs="Times New Roman"/>
          <w:sz w:val="22"/>
          <w:szCs w:val="22"/>
        </w:rPr>
        <w:t>ekaru ili medicinskoj sestri.</w:t>
      </w:r>
      <w:r w:rsidR="00866D02">
        <w:rPr>
          <w:rFonts w:ascii="Times New Roman" w:hAnsi="Times New Roman" w:cs="Times New Roman"/>
          <w:b/>
          <w:i/>
          <w:sz w:val="22"/>
          <w:szCs w:val="22"/>
        </w:rPr>
        <w:t xml:space="preserve"> </w:t>
      </w:r>
    </w:p>
    <w:p w:rsidR="000B70E5" w:rsidRDefault="000B70E5" w:rsidP="00B508FF">
      <w:pPr>
        <w:autoSpaceDE w:val="0"/>
        <w:autoSpaceDN w:val="0"/>
        <w:adjustRightInd w:val="0"/>
        <w:spacing w:after="0"/>
        <w:jc w:val="both"/>
        <w:rPr>
          <w:rFonts w:ascii="Times New Roman" w:hAnsi="Times New Roman" w:cs="Times New Roman"/>
          <w:b/>
          <w:i/>
          <w:sz w:val="22"/>
          <w:szCs w:val="22"/>
        </w:rPr>
      </w:pPr>
    </w:p>
    <w:p w:rsidR="00866D02" w:rsidRDefault="00AF226B" w:rsidP="00B508FF">
      <w:pPr>
        <w:autoSpaceDE w:val="0"/>
        <w:autoSpaceDN w:val="0"/>
        <w:adjustRightInd w:val="0"/>
        <w:spacing w:after="0"/>
        <w:jc w:val="both"/>
        <w:rPr>
          <w:rFonts w:ascii="Times New Roman" w:hAnsi="Times New Roman" w:cs="Times New Roman"/>
          <w:sz w:val="22"/>
          <w:szCs w:val="22"/>
        </w:rPr>
      </w:pPr>
      <w:r w:rsidRPr="006921A1">
        <w:rPr>
          <w:rFonts w:ascii="Times New Roman" w:hAnsi="Times New Roman" w:cs="Times New Roman"/>
          <w:b/>
          <w:i/>
          <w:sz w:val="22"/>
          <w:szCs w:val="22"/>
        </w:rPr>
        <w:t>Pr</w:t>
      </w:r>
      <w:r w:rsidR="002A6CBD" w:rsidRPr="006921A1">
        <w:rPr>
          <w:rFonts w:ascii="Times New Roman" w:hAnsi="Times New Roman" w:cs="Times New Roman"/>
          <w:b/>
          <w:i/>
          <w:sz w:val="22"/>
          <w:szCs w:val="22"/>
        </w:rPr>
        <w:t>ij</w:t>
      </w:r>
      <w:r w:rsidRPr="006921A1">
        <w:rPr>
          <w:rFonts w:ascii="Times New Roman" w:hAnsi="Times New Roman" w:cs="Times New Roman"/>
          <w:b/>
          <w:i/>
          <w:sz w:val="22"/>
          <w:szCs w:val="22"/>
        </w:rPr>
        <w:t>e nego što sami sebi date injekciju l</w:t>
      </w:r>
      <w:r w:rsidR="002A6CBD" w:rsidRPr="006921A1">
        <w:rPr>
          <w:rFonts w:ascii="Times New Roman" w:hAnsi="Times New Roman" w:cs="Times New Roman"/>
          <w:b/>
          <w:i/>
          <w:sz w:val="22"/>
          <w:szCs w:val="22"/>
        </w:rPr>
        <w:t>ij</w:t>
      </w:r>
      <w:r w:rsidRPr="006921A1">
        <w:rPr>
          <w:rFonts w:ascii="Times New Roman" w:hAnsi="Times New Roman" w:cs="Times New Roman"/>
          <w:b/>
          <w:i/>
          <w:sz w:val="22"/>
          <w:szCs w:val="22"/>
        </w:rPr>
        <w:t>eka Inhixa</w:t>
      </w:r>
      <w:r w:rsidR="00866D02">
        <w:rPr>
          <w:rFonts w:ascii="Times New Roman" w:hAnsi="Times New Roman" w:cs="Times New Roman"/>
          <w:sz w:val="22"/>
          <w:szCs w:val="22"/>
        </w:rPr>
        <w:t xml:space="preserve"> </w:t>
      </w:r>
    </w:p>
    <w:p w:rsidR="007A68DD" w:rsidRPr="00B508FF" w:rsidRDefault="00AF226B" w:rsidP="00B508FF">
      <w:pPr>
        <w:pStyle w:val="ListParagraph"/>
        <w:numPr>
          <w:ilvl w:val="0"/>
          <w:numId w:val="35"/>
        </w:numPr>
        <w:autoSpaceDE w:val="0"/>
        <w:autoSpaceDN w:val="0"/>
        <w:adjustRightInd w:val="0"/>
        <w:jc w:val="both"/>
        <w:rPr>
          <w:rFonts w:ascii="Times New Roman" w:hAnsi="Times New Roman" w:cs="Times New Roman"/>
          <w:sz w:val="22"/>
          <w:szCs w:val="22"/>
        </w:rPr>
      </w:pPr>
      <w:r w:rsidRPr="00B508FF">
        <w:rPr>
          <w:rFonts w:ascii="Times New Roman" w:hAnsi="Times New Roman" w:cs="Times New Roman"/>
          <w:sz w:val="22"/>
          <w:szCs w:val="22"/>
        </w:rPr>
        <w:t>Prov</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erite rok upotrebe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eka. Nemojte upotrebljavati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 xml:space="preserve">ek ako je rok trajanja istekao. </w:t>
      </w:r>
      <w:r w:rsidR="007B7F2B" w:rsidRPr="00B508FF">
        <w:rPr>
          <w:rFonts w:ascii="Times New Roman" w:hAnsi="Times New Roman" w:cs="Times New Roman"/>
          <w:sz w:val="22"/>
          <w:szCs w:val="22"/>
        </w:rPr>
        <w:br/>
      </w:r>
      <w:r w:rsidRPr="00B508FF">
        <w:rPr>
          <w:rFonts w:ascii="Times New Roman" w:hAnsi="Times New Roman" w:cs="Times New Roman"/>
          <w:sz w:val="22"/>
          <w:szCs w:val="22"/>
        </w:rPr>
        <w:t>Prov</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 xml:space="preserve">erite da je špric neoštećen i da je rastvor unutar šprica bistar. Ukoliko nije tako, upotrebite drugi špric. </w:t>
      </w:r>
    </w:p>
    <w:p w:rsidR="00866D02" w:rsidRPr="00B508FF" w:rsidRDefault="00AF226B" w:rsidP="00B508FF">
      <w:pPr>
        <w:pStyle w:val="ListParagraph"/>
        <w:numPr>
          <w:ilvl w:val="0"/>
          <w:numId w:val="35"/>
        </w:numPr>
        <w:autoSpaceDE w:val="0"/>
        <w:autoSpaceDN w:val="0"/>
        <w:adjustRightInd w:val="0"/>
        <w:jc w:val="both"/>
        <w:rPr>
          <w:rFonts w:ascii="Times New Roman" w:hAnsi="Times New Roman" w:cs="Times New Roman"/>
          <w:sz w:val="22"/>
          <w:szCs w:val="22"/>
        </w:rPr>
      </w:pPr>
      <w:r w:rsidRPr="00B508FF">
        <w:rPr>
          <w:rFonts w:ascii="Times New Roman" w:hAnsi="Times New Roman" w:cs="Times New Roman"/>
          <w:sz w:val="22"/>
          <w:szCs w:val="22"/>
        </w:rPr>
        <w:lastRenderedPageBreak/>
        <w:t>Nemojte prim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enjivati ovaj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 ako prim</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etite bilo kakvu prom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enu u izgledu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 xml:space="preserve">eka. </w:t>
      </w:r>
      <w:r w:rsidR="007B7F2B" w:rsidRPr="00B508FF">
        <w:rPr>
          <w:rFonts w:ascii="Times New Roman" w:hAnsi="Times New Roman" w:cs="Times New Roman"/>
          <w:sz w:val="22"/>
          <w:szCs w:val="22"/>
        </w:rPr>
        <w:br/>
      </w:r>
      <w:r w:rsidRPr="00B508FF">
        <w:rPr>
          <w:rFonts w:ascii="Times New Roman" w:hAnsi="Times New Roman" w:cs="Times New Roman"/>
          <w:sz w:val="22"/>
          <w:szCs w:val="22"/>
        </w:rPr>
        <w:t>Budite sigurni u to koliko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 xml:space="preserve">eka treba da ubrizgate. </w:t>
      </w:r>
    </w:p>
    <w:p w:rsidR="00866D02" w:rsidRPr="00B508FF" w:rsidRDefault="00AF226B" w:rsidP="00B508FF">
      <w:pPr>
        <w:pStyle w:val="ListParagraph"/>
        <w:numPr>
          <w:ilvl w:val="0"/>
          <w:numId w:val="35"/>
        </w:numPr>
        <w:autoSpaceDE w:val="0"/>
        <w:autoSpaceDN w:val="0"/>
        <w:adjustRightInd w:val="0"/>
        <w:jc w:val="both"/>
        <w:rPr>
          <w:rFonts w:ascii="Times New Roman" w:hAnsi="Times New Roman" w:cs="Times New Roman"/>
          <w:sz w:val="22"/>
          <w:szCs w:val="22"/>
        </w:rPr>
      </w:pPr>
      <w:r w:rsidRPr="00B508FF">
        <w:rPr>
          <w:rFonts w:ascii="Times New Roman" w:hAnsi="Times New Roman" w:cs="Times New Roman"/>
          <w:sz w:val="22"/>
          <w:szCs w:val="22"/>
        </w:rPr>
        <w:t>Pregledajte stomak kako biste pro</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verili da li je poslednja injekcija izazvala crvenilo, prom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ene u boji kože, otok, curenje ili je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uboda i dalje bolno. Ako jeste tako, obratite se svom l</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 xml:space="preserve">ekaru ili medicinskoj sestri. </w:t>
      </w:r>
    </w:p>
    <w:p w:rsidR="00866D02" w:rsidRPr="00B508FF" w:rsidRDefault="00AF226B" w:rsidP="00B508FF">
      <w:pPr>
        <w:pStyle w:val="ListParagraph"/>
        <w:numPr>
          <w:ilvl w:val="0"/>
          <w:numId w:val="35"/>
        </w:numPr>
        <w:autoSpaceDE w:val="0"/>
        <w:autoSpaceDN w:val="0"/>
        <w:adjustRightInd w:val="0"/>
        <w:jc w:val="both"/>
        <w:rPr>
          <w:rFonts w:ascii="Times New Roman" w:hAnsi="Times New Roman" w:cs="Times New Roman"/>
          <w:sz w:val="22"/>
          <w:szCs w:val="22"/>
        </w:rPr>
      </w:pPr>
      <w:r w:rsidRPr="00B508FF">
        <w:rPr>
          <w:rFonts w:ascii="Times New Roman" w:hAnsi="Times New Roman" w:cs="Times New Roman"/>
          <w:sz w:val="22"/>
          <w:szCs w:val="22"/>
        </w:rPr>
        <w:t>Odlučite na kom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estu ćete ubrizgati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 Svaki put prom</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enite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uboda injekcije sa desne na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evu stranu stomaka naizm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enično. Ovaj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 treba da se prim</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 xml:space="preserve">eni samo ispod kože na stomaku, ali ne previše blizu pupka ili bilo kakvog ožiljka (najmanje na 5 cm udaljenosti). </w:t>
      </w:r>
    </w:p>
    <w:p w:rsidR="007A68DD" w:rsidRPr="00B508FF" w:rsidRDefault="00AF226B" w:rsidP="00B508FF">
      <w:pPr>
        <w:pStyle w:val="ListParagraph"/>
        <w:numPr>
          <w:ilvl w:val="0"/>
          <w:numId w:val="35"/>
        </w:numPr>
        <w:autoSpaceDE w:val="0"/>
        <w:autoSpaceDN w:val="0"/>
        <w:adjustRightInd w:val="0"/>
        <w:spacing w:after="0"/>
        <w:ind w:left="0"/>
        <w:jc w:val="both"/>
        <w:rPr>
          <w:rFonts w:ascii="Times New Roman" w:hAnsi="Times New Roman" w:cs="Times New Roman"/>
          <w:sz w:val="22"/>
          <w:szCs w:val="22"/>
          <w:lang w:val="sr-Latn-RS"/>
        </w:rPr>
      </w:pPr>
      <w:r w:rsidRPr="00B508FF">
        <w:rPr>
          <w:rFonts w:ascii="Times New Roman" w:hAnsi="Times New Roman" w:cs="Times New Roman"/>
          <w:sz w:val="22"/>
          <w:szCs w:val="22"/>
        </w:rPr>
        <w:t>Napunjeni injekcioni špric nam</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 xml:space="preserve">enjen je samo za </w:t>
      </w:r>
      <w:r w:rsidR="007A68DD" w:rsidRPr="00F15040">
        <w:rPr>
          <w:rFonts w:ascii="Times New Roman" w:hAnsi="Times New Roman" w:cs="Times New Roman"/>
          <w:sz w:val="22"/>
          <w:szCs w:val="22"/>
        </w:rPr>
        <w:t>pojedinačnu</w:t>
      </w:r>
      <w:r w:rsidR="007A68DD" w:rsidRPr="00B508FF">
        <w:rPr>
          <w:rFonts w:ascii="Times New Roman" w:hAnsi="Times New Roman" w:cs="Times New Roman"/>
          <w:sz w:val="22"/>
          <w:szCs w:val="22"/>
        </w:rPr>
        <w:t xml:space="preserve"> </w:t>
      </w:r>
      <w:r w:rsidRPr="00B508FF">
        <w:rPr>
          <w:rFonts w:ascii="Times New Roman" w:hAnsi="Times New Roman" w:cs="Times New Roman"/>
          <w:sz w:val="22"/>
          <w:szCs w:val="22"/>
        </w:rPr>
        <w:t>upotrebu.</w:t>
      </w:r>
    </w:p>
    <w:p w:rsidR="00AF226B" w:rsidRPr="00B508FF" w:rsidRDefault="00AF226B" w:rsidP="00B508FF">
      <w:pPr>
        <w:pStyle w:val="ListParagraph"/>
        <w:autoSpaceDE w:val="0"/>
        <w:autoSpaceDN w:val="0"/>
        <w:adjustRightInd w:val="0"/>
        <w:spacing w:after="0"/>
        <w:ind w:left="0"/>
        <w:jc w:val="both"/>
        <w:rPr>
          <w:rFonts w:ascii="Times New Roman" w:hAnsi="Times New Roman" w:cs="Times New Roman"/>
          <w:sz w:val="22"/>
          <w:szCs w:val="22"/>
          <w:lang w:val="sr-Latn-RS"/>
        </w:rPr>
      </w:pPr>
    </w:p>
    <w:p w:rsidR="00866D02" w:rsidRPr="00F15040" w:rsidRDefault="007B7F2B" w:rsidP="00B508FF">
      <w:pPr>
        <w:autoSpaceDE w:val="0"/>
        <w:autoSpaceDN w:val="0"/>
        <w:adjustRightInd w:val="0"/>
        <w:spacing w:after="0"/>
        <w:jc w:val="both"/>
        <w:rPr>
          <w:rFonts w:ascii="Times New Roman" w:hAnsi="Times New Roman" w:cs="Times New Roman"/>
          <w:sz w:val="22"/>
          <w:szCs w:val="22"/>
        </w:rPr>
      </w:pPr>
      <w:r w:rsidRPr="00F15040">
        <w:rPr>
          <w:rFonts w:ascii="Times New Roman" w:hAnsi="Times New Roman" w:cs="Times New Roman"/>
          <w:b/>
          <w:i/>
          <w:sz w:val="22"/>
          <w:szCs w:val="22"/>
        </w:rPr>
        <w:t>Uputstvo za ubrizgavanje l</w:t>
      </w:r>
      <w:r w:rsidR="002A6CBD" w:rsidRPr="00F15040">
        <w:rPr>
          <w:rFonts w:ascii="Times New Roman" w:hAnsi="Times New Roman" w:cs="Times New Roman"/>
          <w:b/>
          <w:i/>
          <w:sz w:val="22"/>
          <w:szCs w:val="22"/>
        </w:rPr>
        <w:t>ij</w:t>
      </w:r>
      <w:r w:rsidRPr="00F15040">
        <w:rPr>
          <w:rFonts w:ascii="Times New Roman" w:hAnsi="Times New Roman" w:cs="Times New Roman"/>
          <w:b/>
          <w:i/>
          <w:sz w:val="22"/>
          <w:szCs w:val="22"/>
        </w:rPr>
        <w:t>eka Inhixa:</w:t>
      </w:r>
      <w:r w:rsidRPr="00F15040">
        <w:rPr>
          <w:rFonts w:ascii="Times New Roman" w:hAnsi="Times New Roman" w:cs="Times New Roman"/>
          <w:sz w:val="22"/>
          <w:szCs w:val="22"/>
        </w:rPr>
        <w:t xml:space="preserve"> </w:t>
      </w:r>
    </w:p>
    <w:p w:rsidR="00866D02" w:rsidRPr="00B508FF" w:rsidRDefault="00866D02" w:rsidP="00B508FF">
      <w:pPr>
        <w:pStyle w:val="ListParagraph"/>
        <w:autoSpaceDE w:val="0"/>
        <w:autoSpaceDN w:val="0"/>
        <w:adjustRightInd w:val="0"/>
        <w:spacing w:after="0"/>
        <w:ind w:left="0"/>
        <w:jc w:val="both"/>
        <w:rPr>
          <w:rFonts w:ascii="Times New Roman" w:hAnsi="Times New Roman" w:cs="Times New Roman"/>
          <w:b/>
          <w:sz w:val="22"/>
          <w:szCs w:val="22"/>
        </w:rPr>
      </w:pPr>
      <w:r w:rsidRPr="00F15040">
        <w:rPr>
          <w:rFonts w:ascii="Times New Roman" w:hAnsi="Times New Roman" w:cs="Times New Roman"/>
          <w:sz w:val="22"/>
          <w:szCs w:val="22"/>
        </w:rPr>
        <w:t>1)</w:t>
      </w:r>
      <w:r w:rsidR="007B7F2B" w:rsidRPr="00B508FF">
        <w:rPr>
          <w:rFonts w:ascii="Times New Roman" w:hAnsi="Times New Roman" w:cs="Times New Roman"/>
          <w:sz w:val="22"/>
          <w:szCs w:val="22"/>
        </w:rPr>
        <w:t>Vodom i sapunom operite ruke i m</w:t>
      </w:r>
      <w:r w:rsidR="002A6CBD" w:rsidRPr="00B508FF">
        <w:rPr>
          <w:rFonts w:ascii="Times New Roman" w:hAnsi="Times New Roman" w:cs="Times New Roman"/>
          <w:sz w:val="22"/>
          <w:szCs w:val="22"/>
        </w:rPr>
        <w:t>j</w:t>
      </w:r>
      <w:r w:rsidR="007B7F2B" w:rsidRPr="00B508FF">
        <w:rPr>
          <w:rFonts w:ascii="Times New Roman" w:hAnsi="Times New Roman" w:cs="Times New Roman"/>
          <w:sz w:val="22"/>
          <w:szCs w:val="22"/>
        </w:rPr>
        <w:t>esto gd</w:t>
      </w:r>
      <w:r w:rsidR="002A6CBD" w:rsidRPr="00B508FF">
        <w:rPr>
          <w:rFonts w:ascii="Times New Roman" w:hAnsi="Times New Roman" w:cs="Times New Roman"/>
          <w:sz w:val="22"/>
          <w:szCs w:val="22"/>
        </w:rPr>
        <w:t>j</w:t>
      </w:r>
      <w:r w:rsidR="007B7F2B" w:rsidRPr="00B508FF">
        <w:rPr>
          <w:rFonts w:ascii="Times New Roman" w:hAnsi="Times New Roman" w:cs="Times New Roman"/>
          <w:sz w:val="22"/>
          <w:szCs w:val="22"/>
        </w:rPr>
        <w:t>e ćete ubrizgati l</w:t>
      </w:r>
      <w:r w:rsidR="002A6CBD" w:rsidRPr="00B508FF">
        <w:rPr>
          <w:rFonts w:ascii="Times New Roman" w:hAnsi="Times New Roman" w:cs="Times New Roman"/>
          <w:sz w:val="22"/>
          <w:szCs w:val="22"/>
        </w:rPr>
        <w:t>ij</w:t>
      </w:r>
      <w:r w:rsidR="007B7F2B" w:rsidRPr="00B508FF">
        <w:rPr>
          <w:rFonts w:ascii="Times New Roman" w:hAnsi="Times New Roman" w:cs="Times New Roman"/>
          <w:sz w:val="22"/>
          <w:szCs w:val="22"/>
        </w:rPr>
        <w:t xml:space="preserve">ek. Osušite ih. </w:t>
      </w:r>
      <w:r w:rsidR="007B7F2B" w:rsidRPr="00B508FF">
        <w:rPr>
          <w:rFonts w:ascii="Times New Roman" w:hAnsi="Times New Roman" w:cs="Times New Roman"/>
          <w:sz w:val="22"/>
          <w:szCs w:val="22"/>
        </w:rPr>
        <w:br/>
        <w:t>2) S</w:t>
      </w:r>
      <w:r w:rsidR="002A6CBD" w:rsidRPr="00B508FF">
        <w:rPr>
          <w:rFonts w:ascii="Times New Roman" w:hAnsi="Times New Roman" w:cs="Times New Roman"/>
          <w:sz w:val="22"/>
          <w:szCs w:val="22"/>
        </w:rPr>
        <w:t>j</w:t>
      </w:r>
      <w:r w:rsidR="007B7F2B" w:rsidRPr="00B508FF">
        <w:rPr>
          <w:rFonts w:ascii="Times New Roman" w:hAnsi="Times New Roman" w:cs="Times New Roman"/>
          <w:sz w:val="22"/>
          <w:szCs w:val="22"/>
        </w:rPr>
        <w:t>edite ili lezite u udoban položaj tako da budete opušteni. Budite sigurni da možete da vidite m</w:t>
      </w:r>
      <w:r w:rsidR="002A6CBD" w:rsidRPr="00B508FF">
        <w:rPr>
          <w:rFonts w:ascii="Times New Roman" w:hAnsi="Times New Roman" w:cs="Times New Roman"/>
          <w:sz w:val="22"/>
          <w:szCs w:val="22"/>
        </w:rPr>
        <w:t>j</w:t>
      </w:r>
      <w:r w:rsidR="007B7F2B" w:rsidRPr="00B508FF">
        <w:rPr>
          <w:rFonts w:ascii="Times New Roman" w:hAnsi="Times New Roman" w:cs="Times New Roman"/>
          <w:sz w:val="22"/>
          <w:szCs w:val="22"/>
        </w:rPr>
        <w:t>esto gd</w:t>
      </w:r>
      <w:r w:rsidR="002A6CBD" w:rsidRPr="00B508FF">
        <w:rPr>
          <w:rFonts w:ascii="Times New Roman" w:hAnsi="Times New Roman" w:cs="Times New Roman"/>
          <w:sz w:val="22"/>
          <w:szCs w:val="22"/>
        </w:rPr>
        <w:t>j</w:t>
      </w:r>
      <w:r w:rsidR="007B7F2B" w:rsidRPr="00B508FF">
        <w:rPr>
          <w:rFonts w:ascii="Times New Roman" w:hAnsi="Times New Roman" w:cs="Times New Roman"/>
          <w:sz w:val="22"/>
          <w:szCs w:val="22"/>
        </w:rPr>
        <w:t>e ćete ubrizgati l</w:t>
      </w:r>
      <w:r w:rsidR="002A6CBD" w:rsidRPr="00B508FF">
        <w:rPr>
          <w:rFonts w:ascii="Times New Roman" w:hAnsi="Times New Roman" w:cs="Times New Roman"/>
          <w:sz w:val="22"/>
          <w:szCs w:val="22"/>
        </w:rPr>
        <w:t>ij</w:t>
      </w:r>
      <w:r w:rsidR="007B7F2B" w:rsidRPr="00B508FF">
        <w:rPr>
          <w:rFonts w:ascii="Times New Roman" w:hAnsi="Times New Roman" w:cs="Times New Roman"/>
          <w:sz w:val="22"/>
          <w:szCs w:val="22"/>
        </w:rPr>
        <w:t xml:space="preserve">ek. Fotelja ili stolica sa naslonom za noge, ili krevet poduprt jastucima su idealni. </w:t>
      </w:r>
    </w:p>
    <w:p w:rsidR="00866D02" w:rsidRDefault="007B7F2B" w:rsidP="00B508FF">
      <w:pPr>
        <w:pStyle w:val="ListParagraph"/>
        <w:autoSpaceDE w:val="0"/>
        <w:autoSpaceDN w:val="0"/>
        <w:adjustRightInd w:val="0"/>
        <w:spacing w:after="0"/>
        <w:ind w:left="0"/>
        <w:jc w:val="both"/>
        <w:rPr>
          <w:rFonts w:ascii="Times New Roman" w:hAnsi="Times New Roman" w:cs="Times New Roman"/>
          <w:sz w:val="22"/>
          <w:szCs w:val="22"/>
        </w:rPr>
      </w:pPr>
      <w:r w:rsidRPr="00B508FF">
        <w:rPr>
          <w:rFonts w:ascii="Times New Roman" w:hAnsi="Times New Roman" w:cs="Times New Roman"/>
          <w:sz w:val="22"/>
          <w:szCs w:val="22"/>
        </w:rPr>
        <w:t>3) Odaberite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na desnoj ili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evoj strani stomaka.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 xml:space="preserve">esto ubrizgavanja mora biti najmanje 5 cm udaljeno od pupka i spolja prema boku. </w:t>
      </w:r>
    </w:p>
    <w:p w:rsidR="00ED0CD4" w:rsidRPr="00B508FF" w:rsidRDefault="00ED0CD4" w:rsidP="00B508FF">
      <w:pPr>
        <w:pStyle w:val="ListParagraph"/>
        <w:autoSpaceDE w:val="0"/>
        <w:autoSpaceDN w:val="0"/>
        <w:adjustRightInd w:val="0"/>
        <w:spacing w:after="0"/>
        <w:ind w:left="0"/>
        <w:jc w:val="both"/>
        <w:rPr>
          <w:rFonts w:ascii="Times New Roman" w:hAnsi="Times New Roman" w:cs="Times New Roman"/>
          <w:b/>
          <w:sz w:val="22"/>
          <w:szCs w:val="22"/>
        </w:rPr>
      </w:pPr>
    </w:p>
    <w:p w:rsidR="00866D02" w:rsidRDefault="007B7F2B" w:rsidP="00B508FF">
      <w:pPr>
        <w:autoSpaceDE w:val="0"/>
        <w:autoSpaceDN w:val="0"/>
        <w:adjustRightInd w:val="0"/>
        <w:spacing w:after="0"/>
        <w:jc w:val="both"/>
        <w:rPr>
          <w:rFonts w:ascii="Times New Roman" w:hAnsi="Times New Roman" w:cs="Times New Roman"/>
          <w:sz w:val="22"/>
          <w:szCs w:val="22"/>
        </w:rPr>
      </w:pPr>
      <w:r w:rsidRPr="00B508FF">
        <w:rPr>
          <w:rFonts w:ascii="Times New Roman" w:hAnsi="Times New Roman" w:cs="Times New Roman"/>
          <w:b/>
          <w:sz w:val="22"/>
          <w:szCs w:val="22"/>
        </w:rPr>
        <w:t>Zapamtite:</w:t>
      </w:r>
      <w:r w:rsidRPr="00B508FF">
        <w:rPr>
          <w:rFonts w:ascii="Times New Roman" w:hAnsi="Times New Roman" w:cs="Times New Roman"/>
          <w:sz w:val="22"/>
          <w:szCs w:val="22"/>
        </w:rPr>
        <w:t xml:space="preserve"> Nemojte ubrizgavati sebi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ek u krugu od 5 cm od pupka ili oko postojećih ožiljaka ili modrica. M</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enjajte m</w:t>
      </w:r>
      <w:r w:rsidR="002A6CBD" w:rsidRPr="00B508FF">
        <w:rPr>
          <w:rFonts w:ascii="Times New Roman" w:hAnsi="Times New Roman" w:cs="Times New Roman"/>
          <w:sz w:val="22"/>
          <w:szCs w:val="22"/>
        </w:rPr>
        <w:t>j</w:t>
      </w:r>
      <w:r w:rsidRPr="00B508FF">
        <w:rPr>
          <w:rFonts w:ascii="Times New Roman" w:hAnsi="Times New Roman" w:cs="Times New Roman"/>
          <w:sz w:val="22"/>
          <w:szCs w:val="22"/>
        </w:rPr>
        <w:t>esto uboda između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eve i desne strana stomaka, u zavisnosti od strane na kojoj ste prethodno ubrizgali l</w:t>
      </w:r>
      <w:r w:rsidR="002A6CBD" w:rsidRPr="00B508FF">
        <w:rPr>
          <w:rFonts w:ascii="Times New Roman" w:hAnsi="Times New Roman" w:cs="Times New Roman"/>
          <w:sz w:val="22"/>
          <w:szCs w:val="22"/>
        </w:rPr>
        <w:t>ij</w:t>
      </w:r>
      <w:r w:rsidRPr="00B508FF">
        <w:rPr>
          <w:rFonts w:ascii="Times New Roman" w:hAnsi="Times New Roman" w:cs="Times New Roman"/>
          <w:sz w:val="22"/>
          <w:szCs w:val="22"/>
        </w:rPr>
        <w:t xml:space="preserve">ek. </w:t>
      </w:r>
    </w:p>
    <w:p w:rsidR="00ED0CD4" w:rsidRDefault="00ED0CD4" w:rsidP="00B508FF">
      <w:pPr>
        <w:autoSpaceDE w:val="0"/>
        <w:autoSpaceDN w:val="0"/>
        <w:adjustRightInd w:val="0"/>
        <w:spacing w:after="0"/>
        <w:jc w:val="both"/>
        <w:rPr>
          <w:rFonts w:ascii="Times New Roman" w:hAnsi="Times New Roman" w:cs="Times New Roman"/>
          <w:sz w:val="22"/>
          <w:szCs w:val="22"/>
        </w:rPr>
      </w:pPr>
    </w:p>
    <w:p w:rsidR="007B7F2B" w:rsidRPr="006921A1" w:rsidRDefault="003B3E29" w:rsidP="00B508FF">
      <w:pPr>
        <w:autoSpaceDE w:val="0"/>
        <w:autoSpaceDN w:val="0"/>
        <w:adjustRightInd w:val="0"/>
        <w:spacing w:after="0"/>
        <w:ind w:hanging="709"/>
        <w:jc w:val="both"/>
        <w:rPr>
          <w:rFonts w:ascii="Times New Roman" w:hAnsi="Times New Roman" w:cs="Times New Roman"/>
          <w:sz w:val="22"/>
          <w:szCs w:val="22"/>
          <w:lang w:val="sr-Latn-RS"/>
        </w:rPr>
      </w:pPr>
      <w:r>
        <w:rPr>
          <w:rFonts w:ascii="Times New Roman" w:hAnsi="Times New Roman" w:cs="Times New Roman"/>
          <w:sz w:val="22"/>
          <w:szCs w:val="22"/>
        </w:rPr>
        <w:t xml:space="preserve">           </w:t>
      </w:r>
      <w:r w:rsidR="007B7F2B" w:rsidRPr="00B508FF">
        <w:rPr>
          <w:rFonts w:ascii="Times New Roman" w:hAnsi="Times New Roman" w:cs="Times New Roman"/>
          <w:sz w:val="22"/>
          <w:szCs w:val="22"/>
        </w:rPr>
        <w:t>4)</w:t>
      </w:r>
      <w:r>
        <w:rPr>
          <w:rFonts w:ascii="Times New Roman" w:hAnsi="Times New Roman" w:cs="Times New Roman"/>
          <w:sz w:val="22"/>
          <w:szCs w:val="22"/>
        </w:rPr>
        <w:t xml:space="preserve"> </w:t>
      </w:r>
      <w:r w:rsidR="008B69E1">
        <w:rPr>
          <w:rFonts w:ascii="Times New Roman" w:hAnsi="Times New Roman" w:cs="Times New Roman"/>
          <w:sz w:val="22"/>
          <w:szCs w:val="22"/>
        </w:rPr>
        <w:t>Izvadite plastični blister sa napunjenim špricem iz kutije.</w:t>
      </w:r>
      <w:r w:rsidR="008B69E1" w:rsidRPr="00625031">
        <w:rPr>
          <w:rFonts w:ascii="Times New Roman" w:hAnsi="Times New Roman" w:cs="Times New Roman"/>
          <w:sz w:val="22"/>
          <w:szCs w:val="22"/>
        </w:rPr>
        <w:t xml:space="preserve"> </w:t>
      </w:r>
      <w:r w:rsidR="008B69E1">
        <w:rPr>
          <w:rFonts w:ascii="Times New Roman" w:hAnsi="Times New Roman" w:cs="Times New Roman"/>
          <w:sz w:val="22"/>
          <w:szCs w:val="22"/>
        </w:rPr>
        <w:t>Otvorite blister</w:t>
      </w:r>
      <w:r w:rsidR="008B69E1" w:rsidRPr="00625031">
        <w:rPr>
          <w:rFonts w:ascii="Times New Roman" w:hAnsi="Times New Roman" w:cs="Times New Roman"/>
          <w:sz w:val="22"/>
          <w:szCs w:val="22"/>
        </w:rPr>
        <w:t xml:space="preserve"> </w:t>
      </w:r>
      <w:r w:rsidR="008B69E1">
        <w:rPr>
          <w:rFonts w:ascii="Times New Roman" w:hAnsi="Times New Roman" w:cs="Times New Roman"/>
          <w:sz w:val="22"/>
          <w:szCs w:val="22"/>
        </w:rPr>
        <w:t>i izvadite napunjeni</w:t>
      </w:r>
      <w:r w:rsidR="008B69E1" w:rsidRPr="008B69E1" w:rsidDel="008B69E1">
        <w:rPr>
          <w:rFonts w:ascii="Times New Roman" w:hAnsi="Times New Roman" w:cs="Times New Roman"/>
          <w:sz w:val="22"/>
          <w:szCs w:val="22"/>
        </w:rPr>
        <w:t xml:space="preserve"> </w:t>
      </w:r>
      <w:r w:rsidR="008B69E1">
        <w:rPr>
          <w:rFonts w:ascii="Times New Roman" w:hAnsi="Times New Roman" w:cs="Times New Roman"/>
          <w:sz w:val="22"/>
          <w:szCs w:val="22"/>
        </w:rPr>
        <w:t>špric</w:t>
      </w:r>
      <w:r w:rsidR="0044038D">
        <w:rPr>
          <w:rFonts w:ascii="Times New Roman" w:hAnsi="Times New Roman" w:cs="Times New Roman"/>
          <w:sz w:val="22"/>
          <w:szCs w:val="22"/>
        </w:rPr>
        <w:t>.</w:t>
      </w:r>
    </w:p>
    <w:p w:rsidR="007B7F2B" w:rsidRPr="006921A1" w:rsidRDefault="007B7F2B" w:rsidP="00B508FF">
      <w:pPr>
        <w:autoSpaceDE w:val="0"/>
        <w:autoSpaceDN w:val="0"/>
        <w:adjustRightInd w:val="0"/>
        <w:spacing w:after="0"/>
        <w:jc w:val="both"/>
        <w:rPr>
          <w:rFonts w:ascii="Times New Roman" w:hAnsi="Times New Roman" w:cs="Times New Roman"/>
          <w:sz w:val="22"/>
          <w:szCs w:val="22"/>
          <w:lang w:val="sr-Latn-RS"/>
        </w:rPr>
      </w:pPr>
    </w:p>
    <w:p w:rsidR="008B69E1" w:rsidRPr="00B508FF" w:rsidRDefault="007B7F2B" w:rsidP="00B508FF">
      <w:pPr>
        <w:pStyle w:val="ListParagraph"/>
        <w:autoSpaceDE w:val="0"/>
        <w:autoSpaceDN w:val="0"/>
        <w:adjustRightInd w:val="0"/>
        <w:spacing w:after="0"/>
        <w:ind w:left="0"/>
        <w:jc w:val="both"/>
        <w:rPr>
          <w:rStyle w:val="markedcontent"/>
          <w:rFonts w:ascii="Times New Roman" w:hAnsi="Times New Roman" w:cs="Times New Roman"/>
          <w:sz w:val="22"/>
          <w:szCs w:val="22"/>
        </w:rPr>
      </w:pPr>
      <w:r w:rsidRPr="006921A1">
        <w:rPr>
          <w:rFonts w:ascii="Times New Roman" w:hAnsi="Times New Roman" w:cs="Times New Roman"/>
          <w:sz w:val="22"/>
          <w:szCs w:val="22"/>
        </w:rPr>
        <w:t xml:space="preserve">5) </w:t>
      </w:r>
      <w:r w:rsidR="008B69E1" w:rsidRPr="008B69E1">
        <w:rPr>
          <w:rStyle w:val="markedcontent"/>
          <w:rFonts w:ascii="Times New Roman" w:hAnsi="Times New Roman" w:cs="Times New Roman"/>
          <w:sz w:val="22"/>
          <w:szCs w:val="22"/>
        </w:rPr>
        <w:t>Oprezno povlačenjem skinite zaštitnu kapicu sa šprica. Zaštitnu kapicu bacite. Ovo je napunjen špric</w:t>
      </w:r>
      <w:r w:rsidR="008B69E1" w:rsidRPr="008B69E1">
        <w:rPr>
          <w:rFonts w:ascii="Times New Roman" w:hAnsi="Times New Roman" w:cs="Times New Roman"/>
          <w:sz w:val="22"/>
          <w:szCs w:val="22"/>
        </w:rPr>
        <w:t xml:space="preserve"> </w:t>
      </w:r>
      <w:r w:rsidR="008B69E1" w:rsidRPr="008B69E1">
        <w:rPr>
          <w:rStyle w:val="markedcontent"/>
          <w:rFonts w:ascii="Times New Roman" w:hAnsi="Times New Roman" w:cs="Times New Roman"/>
          <w:sz w:val="22"/>
          <w:szCs w:val="22"/>
        </w:rPr>
        <w:t>i spreman je za upotrebu</w:t>
      </w:r>
      <w:r w:rsidR="00B11FB3">
        <w:rPr>
          <w:rStyle w:val="markedcontent"/>
          <w:rFonts w:ascii="Times New Roman" w:hAnsi="Times New Roman" w:cs="Times New Roman"/>
          <w:sz w:val="22"/>
          <w:szCs w:val="22"/>
        </w:rPr>
        <w:t>.</w:t>
      </w:r>
    </w:p>
    <w:p w:rsidR="008B69E1" w:rsidRDefault="008B69E1" w:rsidP="00B508FF">
      <w:pPr>
        <w:autoSpaceDE w:val="0"/>
        <w:autoSpaceDN w:val="0"/>
        <w:adjustRightInd w:val="0"/>
        <w:ind w:left="709" w:hanging="652"/>
        <w:jc w:val="both"/>
        <w:rPr>
          <w:rFonts w:ascii="Times New Roman" w:hAnsi="Times New Roman" w:cs="Times New Roman"/>
          <w:sz w:val="22"/>
          <w:szCs w:val="22"/>
        </w:rPr>
      </w:pPr>
    </w:p>
    <w:p w:rsidR="008B69E1" w:rsidRPr="006921A1" w:rsidRDefault="008B69E1" w:rsidP="00B508FF">
      <w:pPr>
        <w:autoSpaceDE w:val="0"/>
        <w:autoSpaceDN w:val="0"/>
        <w:adjustRightInd w:val="0"/>
        <w:ind w:left="709" w:hanging="652"/>
        <w:jc w:val="both"/>
        <w:rPr>
          <w:rFonts w:ascii="Times New Roman" w:hAnsi="Times New Roman" w:cs="Times New Roman"/>
          <w:sz w:val="22"/>
          <w:szCs w:val="22"/>
        </w:rPr>
      </w:pPr>
      <w:r w:rsidRPr="006921A1">
        <w:rPr>
          <w:rFonts w:ascii="Times New Roman" w:hAnsi="Times New Roman" w:cs="Times New Roman"/>
          <w:noProof/>
          <w:sz w:val="22"/>
          <w:szCs w:val="22"/>
          <w:lang w:val="en-US" w:eastAsia="en-US"/>
        </w:rPr>
        <w:drawing>
          <wp:inline distT="0" distB="0" distL="0" distR="0" wp14:anchorId="09518E20" wp14:editId="18C626DD">
            <wp:extent cx="1385610" cy="12763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82" cy="1281022"/>
                    </a:xfrm>
                    <a:prstGeom prst="rect">
                      <a:avLst/>
                    </a:prstGeom>
                    <a:noFill/>
                    <a:ln>
                      <a:noFill/>
                    </a:ln>
                  </pic:spPr>
                </pic:pic>
              </a:graphicData>
            </a:graphic>
          </wp:inline>
        </w:drawing>
      </w:r>
    </w:p>
    <w:p w:rsidR="004F3BAF" w:rsidRDefault="004F3BAF" w:rsidP="00B508FF">
      <w:pPr>
        <w:autoSpaceDE w:val="0"/>
        <w:autoSpaceDN w:val="0"/>
        <w:adjustRightInd w:val="0"/>
        <w:jc w:val="both"/>
        <w:rPr>
          <w:rFonts w:ascii="Times New Roman" w:hAnsi="Times New Roman" w:cs="Times New Roman"/>
          <w:sz w:val="22"/>
          <w:szCs w:val="22"/>
        </w:rPr>
      </w:pPr>
    </w:p>
    <w:p w:rsidR="004F3BAF" w:rsidRDefault="004F3BAF" w:rsidP="00B508FF">
      <w:pPr>
        <w:autoSpaceDE w:val="0"/>
        <w:autoSpaceDN w:val="0"/>
        <w:adjustRightInd w:val="0"/>
        <w:spacing w:after="0"/>
        <w:jc w:val="both"/>
        <w:rPr>
          <w:rFonts w:ascii="Times New Roman" w:hAnsi="Times New Roman" w:cs="Times New Roman"/>
          <w:sz w:val="22"/>
          <w:szCs w:val="22"/>
        </w:rPr>
      </w:pPr>
      <w:r w:rsidRPr="006921A1">
        <w:rPr>
          <w:rFonts w:ascii="Times New Roman" w:hAnsi="Times New Roman" w:cs="Times New Roman"/>
          <w:b/>
          <w:sz w:val="22"/>
          <w:szCs w:val="22"/>
        </w:rPr>
        <w:t>Nemojte</w:t>
      </w:r>
      <w:r w:rsidRPr="006921A1">
        <w:rPr>
          <w:rFonts w:ascii="Times New Roman" w:hAnsi="Times New Roman" w:cs="Times New Roman"/>
          <w:sz w:val="22"/>
          <w:szCs w:val="22"/>
        </w:rPr>
        <w:t xml:space="preserve"> da potiskujete klip šprica kako biste izbacili mjehuriće vazduha prije ubrizgavanja injekcije. Ovo može dovesti do prosipanja lijeka. Nakon što ste skinuli štitnik, pazite da iglom ništa ne dodirujete. Tako ćete biti sigurni da je igla ostala čista (sterilna). </w:t>
      </w:r>
    </w:p>
    <w:p w:rsidR="008B69E1" w:rsidRPr="006921A1" w:rsidRDefault="008B69E1" w:rsidP="00B508FF">
      <w:pPr>
        <w:autoSpaceDE w:val="0"/>
        <w:autoSpaceDN w:val="0"/>
        <w:adjustRightInd w:val="0"/>
        <w:spacing w:after="0"/>
        <w:jc w:val="both"/>
        <w:rPr>
          <w:rFonts w:ascii="Times New Roman" w:hAnsi="Times New Roman" w:cs="Times New Roman"/>
          <w:sz w:val="22"/>
          <w:szCs w:val="22"/>
        </w:rPr>
      </w:pPr>
    </w:p>
    <w:p w:rsidR="008B69E1" w:rsidRDefault="00E33C42" w:rsidP="00B508FF">
      <w:pPr>
        <w:autoSpaceDE w:val="0"/>
        <w:autoSpaceDN w:val="0"/>
        <w:adjustRightInd w:val="0"/>
        <w:spacing w:after="0"/>
        <w:jc w:val="both"/>
        <w:rPr>
          <w:rFonts w:ascii="Arial" w:hAnsi="Arial" w:cs="Arial"/>
          <w:sz w:val="28"/>
          <w:szCs w:val="28"/>
        </w:rPr>
      </w:pPr>
      <w:r w:rsidRPr="00B508FF">
        <w:rPr>
          <w:rFonts w:ascii="Times New Roman" w:hAnsi="Times New Roman" w:cs="Times New Roman"/>
          <w:sz w:val="22"/>
          <w:szCs w:val="22"/>
        </w:rPr>
        <w:t xml:space="preserve"> </w:t>
      </w:r>
      <w:r w:rsidR="007B7F2B" w:rsidRPr="00B508FF">
        <w:rPr>
          <w:rFonts w:ascii="Times New Roman" w:hAnsi="Times New Roman" w:cs="Times New Roman"/>
          <w:sz w:val="22"/>
          <w:szCs w:val="22"/>
        </w:rPr>
        <w:t>6)</w:t>
      </w:r>
      <w:r w:rsidR="003B3E29" w:rsidRPr="00B508FF">
        <w:rPr>
          <w:rFonts w:ascii="Times New Roman" w:hAnsi="Times New Roman" w:cs="Times New Roman"/>
          <w:sz w:val="22"/>
          <w:szCs w:val="22"/>
        </w:rPr>
        <w:t xml:space="preserve"> </w:t>
      </w:r>
      <w:r w:rsidR="008B69E1" w:rsidRPr="00B508FF">
        <w:rPr>
          <w:rFonts w:ascii="Times New Roman" w:hAnsi="Times New Roman" w:cs="Times New Roman"/>
          <w:sz w:val="22"/>
          <w:szCs w:val="22"/>
        </w:rPr>
        <w:t>Dok špric držite rukom kojom pišete (poput olovke), palcem i kažiprstom druge ruke na</w:t>
      </w:r>
      <w:r w:rsidR="008B69E1" w:rsidRPr="00B508FF">
        <w:rPr>
          <w:rFonts w:ascii="Times New Roman" w:hAnsi="Times New Roman" w:cs="Times New Roman"/>
          <w:sz w:val="22"/>
          <w:szCs w:val="22"/>
        </w:rPr>
        <w:br/>
        <w:t>očišćenom dijelu kože trbuha napravite nabor kože.</w:t>
      </w:r>
      <w:r w:rsidR="008B69E1" w:rsidRPr="008B69E1">
        <w:rPr>
          <w:rFonts w:ascii="Arial" w:hAnsi="Arial" w:cs="Arial"/>
          <w:sz w:val="28"/>
          <w:szCs w:val="28"/>
        </w:rPr>
        <w:t xml:space="preserve"> </w:t>
      </w:r>
    </w:p>
    <w:p w:rsidR="0044038D" w:rsidRDefault="0044038D" w:rsidP="00B508FF">
      <w:pPr>
        <w:autoSpaceDE w:val="0"/>
        <w:autoSpaceDN w:val="0"/>
        <w:adjustRightInd w:val="0"/>
        <w:spacing w:after="0"/>
        <w:jc w:val="both"/>
        <w:rPr>
          <w:rFonts w:ascii="Times New Roman" w:hAnsi="Times New Roman" w:cs="Times New Roman"/>
          <w:sz w:val="22"/>
          <w:szCs w:val="22"/>
        </w:rPr>
      </w:pPr>
    </w:p>
    <w:p w:rsidR="008B69E1" w:rsidRDefault="008B69E1" w:rsidP="00B508FF">
      <w:pPr>
        <w:autoSpaceDE w:val="0"/>
        <w:autoSpaceDN w:val="0"/>
        <w:adjustRightInd w:val="0"/>
        <w:spacing w:after="0"/>
        <w:jc w:val="both"/>
        <w:rPr>
          <w:rFonts w:ascii="Times New Roman" w:hAnsi="Times New Roman" w:cs="Times New Roman"/>
          <w:sz w:val="22"/>
          <w:szCs w:val="22"/>
        </w:rPr>
      </w:pPr>
      <w:r w:rsidRPr="00B508FF">
        <w:rPr>
          <w:rFonts w:ascii="Times New Roman" w:hAnsi="Times New Roman" w:cs="Times New Roman"/>
          <w:sz w:val="22"/>
          <w:szCs w:val="22"/>
        </w:rPr>
        <w:t>Pazite da nabor kože držite za sve vrijeme injiciranj</w:t>
      </w:r>
      <w:r>
        <w:rPr>
          <w:rFonts w:ascii="Times New Roman" w:hAnsi="Times New Roman" w:cs="Times New Roman"/>
          <w:sz w:val="22"/>
          <w:szCs w:val="22"/>
        </w:rPr>
        <w:t>a.</w:t>
      </w:r>
    </w:p>
    <w:p w:rsidR="000D0DA3" w:rsidRPr="00B508FF" w:rsidRDefault="000D0DA3" w:rsidP="00B508FF">
      <w:pPr>
        <w:autoSpaceDE w:val="0"/>
        <w:autoSpaceDN w:val="0"/>
        <w:adjustRightInd w:val="0"/>
        <w:spacing w:after="0"/>
        <w:jc w:val="both"/>
        <w:rPr>
          <w:rFonts w:ascii="Times New Roman" w:hAnsi="Times New Roman" w:cs="Times New Roman"/>
          <w:sz w:val="22"/>
          <w:szCs w:val="22"/>
        </w:rPr>
      </w:pPr>
    </w:p>
    <w:p w:rsidR="008B69E1" w:rsidRPr="00B508FF" w:rsidRDefault="000D0DA3" w:rsidP="00B508FF">
      <w:pPr>
        <w:spacing w:after="0"/>
        <w:rPr>
          <w:rFonts w:ascii="Times New Roman" w:hAnsi="Times New Roman" w:cs="Times New Roman"/>
          <w:sz w:val="22"/>
          <w:szCs w:val="22"/>
        </w:rPr>
      </w:pPr>
      <w:r>
        <w:rPr>
          <w:rFonts w:ascii="Times New Roman" w:hAnsi="Times New Roman" w:cs="Times New Roman"/>
          <w:sz w:val="22"/>
          <w:szCs w:val="22"/>
        </w:rPr>
        <w:t xml:space="preserve">7) </w:t>
      </w:r>
      <w:r w:rsidR="008B69E1" w:rsidRPr="00B508FF">
        <w:rPr>
          <w:rFonts w:ascii="Times New Roman" w:hAnsi="Times New Roman" w:cs="Times New Roman"/>
          <w:sz w:val="22"/>
          <w:szCs w:val="22"/>
        </w:rPr>
        <w:t>Špric držite tako da igla bude usmjerena prema dolje (na dolje pod uglom od 90°). Ubodite</w:t>
      </w:r>
      <w:r w:rsidR="008B69E1" w:rsidRPr="00B508FF">
        <w:rPr>
          <w:rFonts w:ascii="Times New Roman" w:hAnsi="Times New Roman" w:cs="Times New Roman"/>
          <w:sz w:val="22"/>
          <w:szCs w:val="22"/>
        </w:rPr>
        <w:br/>
        <w:t>iglu cijelom dužinom u kožni nabor.</w:t>
      </w:r>
    </w:p>
    <w:p w:rsidR="00866D02" w:rsidRPr="00B508FF" w:rsidRDefault="008B69E1" w:rsidP="00B508FF">
      <w:pPr>
        <w:autoSpaceDE w:val="0"/>
        <w:autoSpaceDN w:val="0"/>
        <w:adjustRightInd w:val="0"/>
        <w:jc w:val="both"/>
        <w:rPr>
          <w:rFonts w:ascii="Times New Roman" w:hAnsi="Times New Roman" w:cs="Times New Roman"/>
          <w:sz w:val="22"/>
          <w:szCs w:val="22"/>
        </w:rPr>
      </w:pPr>
      <w:r w:rsidRPr="006921A1">
        <w:rPr>
          <w:rFonts w:ascii="Times New Roman" w:hAnsi="Times New Roman" w:cs="Times New Roman"/>
          <w:noProof/>
          <w:sz w:val="22"/>
          <w:szCs w:val="22"/>
          <w:lang w:val="en-US" w:eastAsia="en-US"/>
        </w:rPr>
        <w:lastRenderedPageBreak/>
        <w:drawing>
          <wp:inline distT="0" distB="0" distL="0" distR="0" wp14:anchorId="3C9C352A" wp14:editId="4FB06160">
            <wp:extent cx="1487905" cy="114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3090" cy="1146983"/>
                    </a:xfrm>
                    <a:prstGeom prst="rect">
                      <a:avLst/>
                    </a:prstGeom>
                    <a:noFill/>
                    <a:ln>
                      <a:noFill/>
                    </a:ln>
                  </pic:spPr>
                </pic:pic>
              </a:graphicData>
            </a:graphic>
          </wp:inline>
        </w:drawing>
      </w:r>
      <w:r w:rsidR="00866D02" w:rsidRPr="00B508FF">
        <w:rPr>
          <w:rFonts w:ascii="Times New Roman" w:hAnsi="Times New Roman" w:cs="Times New Roman"/>
          <w:sz w:val="22"/>
          <w:szCs w:val="22"/>
        </w:rPr>
        <w:t xml:space="preserve"> </w:t>
      </w:r>
    </w:p>
    <w:p w:rsidR="007B7F2B" w:rsidRPr="006921A1" w:rsidRDefault="000D0DA3" w:rsidP="00B508FF">
      <w:pPr>
        <w:autoSpaceDE w:val="0"/>
        <w:autoSpaceDN w:val="0"/>
        <w:adjustRightInd w:val="0"/>
        <w:spacing w:after="0"/>
        <w:jc w:val="both"/>
        <w:rPr>
          <w:rFonts w:ascii="Times New Roman" w:hAnsi="Times New Roman" w:cs="Times New Roman"/>
          <w:sz w:val="22"/>
          <w:szCs w:val="22"/>
          <w:lang w:val="sr-Latn-RS"/>
        </w:rPr>
      </w:pPr>
      <w:r>
        <w:rPr>
          <w:rFonts w:ascii="Times New Roman" w:hAnsi="Times New Roman" w:cs="Times New Roman"/>
          <w:sz w:val="22"/>
          <w:szCs w:val="22"/>
        </w:rPr>
        <w:t xml:space="preserve"> </w:t>
      </w:r>
      <w:r w:rsidR="007B7F2B" w:rsidRPr="006921A1">
        <w:rPr>
          <w:rFonts w:ascii="Times New Roman" w:hAnsi="Times New Roman" w:cs="Times New Roman"/>
          <w:sz w:val="22"/>
          <w:szCs w:val="22"/>
        </w:rPr>
        <w:t>8) Izvadite iglu tako što ćete je izvući napolje pod pravim uglom. Nemojte otpustiti pritisak na klip!</w:t>
      </w:r>
    </w:p>
    <w:p w:rsidR="007B7F2B" w:rsidRPr="006921A1" w:rsidRDefault="007B7F2B" w:rsidP="00B508FF">
      <w:pPr>
        <w:autoSpaceDE w:val="0"/>
        <w:autoSpaceDN w:val="0"/>
        <w:adjustRightInd w:val="0"/>
        <w:spacing w:after="0"/>
        <w:jc w:val="both"/>
        <w:rPr>
          <w:rFonts w:ascii="Times New Roman" w:hAnsi="Times New Roman" w:cs="Times New Roman"/>
          <w:sz w:val="22"/>
          <w:szCs w:val="22"/>
          <w:lang w:val="sr-Latn-RS"/>
        </w:rPr>
      </w:pPr>
    </w:p>
    <w:p w:rsidR="007B7F2B" w:rsidRDefault="007B7F2B" w:rsidP="00B508FF">
      <w:pPr>
        <w:autoSpaceDE w:val="0"/>
        <w:autoSpaceDN w:val="0"/>
        <w:adjustRightInd w:val="0"/>
        <w:spacing w:after="0"/>
        <w:jc w:val="both"/>
        <w:rPr>
          <w:rFonts w:ascii="Times New Roman" w:hAnsi="Times New Roman" w:cs="Times New Roman"/>
          <w:sz w:val="22"/>
          <w:szCs w:val="22"/>
        </w:rPr>
      </w:pPr>
      <w:r w:rsidRPr="006921A1">
        <w:rPr>
          <w:rFonts w:ascii="Times New Roman" w:hAnsi="Times New Roman" w:cs="Times New Roman"/>
          <w:b/>
          <w:sz w:val="22"/>
          <w:szCs w:val="22"/>
        </w:rPr>
        <w:t>Kako biste izb</w:t>
      </w:r>
      <w:r w:rsidR="002A6CBD" w:rsidRPr="006921A1">
        <w:rPr>
          <w:rFonts w:ascii="Times New Roman" w:hAnsi="Times New Roman" w:cs="Times New Roman"/>
          <w:b/>
          <w:sz w:val="22"/>
          <w:szCs w:val="22"/>
        </w:rPr>
        <w:t>j</w:t>
      </w:r>
      <w:r w:rsidRPr="006921A1">
        <w:rPr>
          <w:rFonts w:ascii="Times New Roman" w:hAnsi="Times New Roman" w:cs="Times New Roman"/>
          <w:b/>
          <w:sz w:val="22"/>
          <w:szCs w:val="22"/>
        </w:rPr>
        <w:t>egli stvaranje modrica, nakon što ubrizgate sebi l</w:t>
      </w:r>
      <w:r w:rsidR="002A6CBD" w:rsidRPr="006921A1">
        <w:rPr>
          <w:rFonts w:ascii="Times New Roman" w:hAnsi="Times New Roman" w:cs="Times New Roman"/>
          <w:b/>
          <w:sz w:val="22"/>
          <w:szCs w:val="22"/>
        </w:rPr>
        <w:t>ij</w:t>
      </w:r>
      <w:r w:rsidRPr="006921A1">
        <w:rPr>
          <w:rFonts w:ascii="Times New Roman" w:hAnsi="Times New Roman" w:cs="Times New Roman"/>
          <w:b/>
          <w:sz w:val="22"/>
          <w:szCs w:val="22"/>
        </w:rPr>
        <w:t>ek nemojte trljati m</w:t>
      </w:r>
      <w:r w:rsidR="002A6CBD" w:rsidRPr="006921A1">
        <w:rPr>
          <w:rFonts w:ascii="Times New Roman" w:hAnsi="Times New Roman" w:cs="Times New Roman"/>
          <w:b/>
          <w:sz w:val="22"/>
          <w:szCs w:val="22"/>
        </w:rPr>
        <w:t>j</w:t>
      </w:r>
      <w:r w:rsidRPr="006921A1">
        <w:rPr>
          <w:rFonts w:ascii="Times New Roman" w:hAnsi="Times New Roman" w:cs="Times New Roman"/>
          <w:b/>
          <w:sz w:val="22"/>
          <w:szCs w:val="22"/>
        </w:rPr>
        <w:t>esto uboda injekcije.</w:t>
      </w:r>
      <w:r w:rsidRPr="006921A1">
        <w:rPr>
          <w:rFonts w:ascii="Times New Roman" w:hAnsi="Times New Roman" w:cs="Times New Roman"/>
          <w:sz w:val="22"/>
          <w:szCs w:val="22"/>
        </w:rPr>
        <w:t xml:space="preserve"> </w:t>
      </w:r>
      <w:r w:rsidRPr="006921A1">
        <w:rPr>
          <w:rFonts w:ascii="Times New Roman" w:hAnsi="Times New Roman" w:cs="Times New Roman"/>
          <w:sz w:val="22"/>
          <w:szCs w:val="22"/>
        </w:rPr>
        <w:br/>
      </w:r>
      <w:r w:rsidRPr="006921A1">
        <w:rPr>
          <w:rFonts w:ascii="Times New Roman" w:hAnsi="Times New Roman" w:cs="Times New Roman"/>
          <w:sz w:val="22"/>
          <w:szCs w:val="22"/>
        </w:rPr>
        <w:br/>
      </w:r>
      <w:r w:rsidR="000D0DA3">
        <w:rPr>
          <w:rFonts w:ascii="Times New Roman" w:hAnsi="Times New Roman" w:cs="Times New Roman"/>
          <w:sz w:val="22"/>
          <w:szCs w:val="22"/>
        </w:rPr>
        <w:t xml:space="preserve"> </w:t>
      </w:r>
      <w:r w:rsidRPr="006921A1">
        <w:rPr>
          <w:rFonts w:ascii="Times New Roman" w:hAnsi="Times New Roman" w:cs="Times New Roman"/>
          <w:sz w:val="22"/>
          <w:szCs w:val="22"/>
        </w:rPr>
        <w:t>9) Snažno pritisnite klip. Zaštitna kapica, koja je u obliku plastičnog cilindra, će se automatki aktivirati i u potpunosti će pokriti iglu.</w:t>
      </w:r>
    </w:p>
    <w:p w:rsidR="008B69E1" w:rsidRDefault="008B69E1" w:rsidP="00CA6E25">
      <w:pPr>
        <w:autoSpaceDE w:val="0"/>
        <w:autoSpaceDN w:val="0"/>
        <w:adjustRightInd w:val="0"/>
        <w:jc w:val="both"/>
        <w:rPr>
          <w:rFonts w:ascii="Times New Roman" w:hAnsi="Times New Roman" w:cs="Times New Roman"/>
          <w:sz w:val="22"/>
          <w:szCs w:val="22"/>
        </w:rPr>
      </w:pPr>
      <w:r w:rsidRPr="006921A1">
        <w:rPr>
          <w:rFonts w:ascii="Times New Roman" w:hAnsi="Times New Roman" w:cs="Times New Roman"/>
          <w:noProof/>
          <w:sz w:val="22"/>
          <w:szCs w:val="22"/>
          <w:lang w:val="en-US" w:eastAsia="en-US"/>
        </w:rPr>
        <w:drawing>
          <wp:inline distT="0" distB="0" distL="0" distR="0" wp14:anchorId="37360551" wp14:editId="2E76B7DD">
            <wp:extent cx="1447773" cy="134302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8839" cy="1344014"/>
                    </a:xfrm>
                    <a:prstGeom prst="rect">
                      <a:avLst/>
                    </a:prstGeom>
                    <a:noFill/>
                    <a:ln>
                      <a:noFill/>
                    </a:ln>
                  </pic:spPr>
                </pic:pic>
              </a:graphicData>
            </a:graphic>
          </wp:inline>
        </w:drawing>
      </w:r>
    </w:p>
    <w:p w:rsidR="008B69E1" w:rsidRDefault="008B69E1" w:rsidP="00CA6E25">
      <w:pPr>
        <w:autoSpaceDE w:val="0"/>
        <w:autoSpaceDN w:val="0"/>
        <w:adjustRightInd w:val="0"/>
        <w:jc w:val="both"/>
        <w:rPr>
          <w:rFonts w:ascii="Times New Roman" w:hAnsi="Times New Roman" w:cs="Times New Roman"/>
          <w:sz w:val="22"/>
          <w:szCs w:val="22"/>
        </w:rPr>
      </w:pPr>
    </w:p>
    <w:p w:rsidR="008B69E1" w:rsidRDefault="008B69E1" w:rsidP="00CA6E25">
      <w:pPr>
        <w:autoSpaceDE w:val="0"/>
        <w:autoSpaceDN w:val="0"/>
        <w:adjustRightInd w:val="0"/>
        <w:jc w:val="both"/>
        <w:rPr>
          <w:rFonts w:ascii="Times New Roman" w:hAnsi="Times New Roman" w:cs="Times New Roman"/>
          <w:sz w:val="22"/>
          <w:szCs w:val="22"/>
        </w:rPr>
      </w:pPr>
    </w:p>
    <w:p w:rsidR="008B69E1" w:rsidRPr="00B508FF" w:rsidRDefault="00652BC4" w:rsidP="00B508FF">
      <w:pPr>
        <w:pStyle w:val="ListParagraph"/>
        <w:numPr>
          <w:ilvl w:val="0"/>
          <w:numId w:val="41"/>
        </w:numPr>
        <w:autoSpaceDE w:val="0"/>
        <w:autoSpaceDN w:val="0"/>
        <w:adjustRightInd w:val="0"/>
        <w:spacing w:after="0"/>
        <w:ind w:left="360"/>
        <w:jc w:val="both"/>
        <w:rPr>
          <w:rFonts w:ascii="Times New Roman" w:hAnsi="Times New Roman" w:cs="Times New Roman"/>
          <w:sz w:val="22"/>
          <w:szCs w:val="22"/>
        </w:rPr>
      </w:pPr>
      <w:r w:rsidRPr="00B508FF">
        <w:rPr>
          <w:rFonts w:ascii="Times New Roman" w:hAnsi="Times New Roman" w:cs="Times New Roman"/>
          <w:sz w:val="22"/>
          <w:szCs w:val="22"/>
        </w:rPr>
        <w:t>Snažno potisnite klip. Štitnik za iglu u obliku plastičnog cilindra automatski će biti aktiviran i u</w:t>
      </w:r>
      <w:r w:rsidRPr="00B508FF">
        <w:rPr>
          <w:rFonts w:ascii="Times New Roman" w:hAnsi="Times New Roman" w:cs="Times New Roman"/>
          <w:sz w:val="22"/>
          <w:szCs w:val="22"/>
        </w:rPr>
        <w:br/>
        <w:t>potpunosti će pokriti iglu.</w:t>
      </w:r>
    </w:p>
    <w:p w:rsidR="00652BC4" w:rsidRDefault="00652BC4" w:rsidP="00B508FF">
      <w:pPr>
        <w:pStyle w:val="ListParagraph"/>
        <w:autoSpaceDE w:val="0"/>
        <w:autoSpaceDN w:val="0"/>
        <w:adjustRightInd w:val="0"/>
        <w:jc w:val="both"/>
        <w:rPr>
          <w:rFonts w:ascii="Times New Roman" w:hAnsi="Times New Roman" w:cs="Times New Roman"/>
          <w:noProof/>
          <w:sz w:val="22"/>
          <w:szCs w:val="22"/>
          <w:lang w:val="en-US" w:eastAsia="en-US"/>
        </w:rPr>
      </w:pPr>
    </w:p>
    <w:p w:rsidR="008B69E1" w:rsidRDefault="008B69E1" w:rsidP="00B508FF">
      <w:pPr>
        <w:pStyle w:val="ListParagraph"/>
        <w:autoSpaceDE w:val="0"/>
        <w:autoSpaceDN w:val="0"/>
        <w:adjustRightInd w:val="0"/>
        <w:jc w:val="both"/>
        <w:rPr>
          <w:rFonts w:ascii="Times New Roman" w:hAnsi="Times New Roman" w:cs="Times New Roman"/>
          <w:b/>
          <w:sz w:val="22"/>
          <w:szCs w:val="22"/>
        </w:rPr>
      </w:pPr>
      <w:r w:rsidRPr="006921A1">
        <w:rPr>
          <w:rFonts w:ascii="Times New Roman" w:hAnsi="Times New Roman" w:cs="Times New Roman"/>
          <w:noProof/>
          <w:sz w:val="22"/>
          <w:szCs w:val="22"/>
          <w:lang w:val="en-US" w:eastAsia="en-US"/>
        </w:rPr>
        <w:drawing>
          <wp:inline distT="0" distB="0" distL="0" distR="0" wp14:anchorId="678EB64D" wp14:editId="68F484F5">
            <wp:extent cx="1603755" cy="971550"/>
            <wp:effectExtent l="0" t="0" r="0" b="0"/>
            <wp:docPr id="14" name="Picture 14" descr="C:\Users\Milan Milcic\AppData\Local\Microsoft\Windows\INetCache\Content.Outlook\DWG7YJQ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an Milcic\AppData\Local\Microsoft\Windows\INetCache\Content.Outlook\DWG7YJQ0\0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3755" cy="971550"/>
                    </a:xfrm>
                    <a:prstGeom prst="rect">
                      <a:avLst/>
                    </a:prstGeom>
                    <a:noFill/>
                    <a:ln>
                      <a:noFill/>
                    </a:ln>
                  </pic:spPr>
                </pic:pic>
              </a:graphicData>
            </a:graphic>
          </wp:inline>
        </w:drawing>
      </w:r>
    </w:p>
    <w:p w:rsidR="00652BC4" w:rsidRDefault="00652BC4" w:rsidP="00B508FF">
      <w:pPr>
        <w:pStyle w:val="ListParagraph"/>
        <w:numPr>
          <w:ilvl w:val="0"/>
          <w:numId w:val="41"/>
        </w:numPr>
        <w:autoSpaceDE w:val="0"/>
        <w:autoSpaceDN w:val="0"/>
        <w:adjustRightInd w:val="0"/>
        <w:spacing w:after="0"/>
        <w:ind w:left="0"/>
        <w:jc w:val="both"/>
        <w:rPr>
          <w:rFonts w:ascii="Times New Roman" w:hAnsi="Times New Roman" w:cs="Times New Roman"/>
          <w:sz w:val="22"/>
          <w:szCs w:val="22"/>
        </w:rPr>
      </w:pPr>
      <w:r w:rsidRPr="00B508FF">
        <w:rPr>
          <w:rFonts w:ascii="Times New Roman" w:hAnsi="Times New Roman" w:cs="Times New Roman"/>
          <w:sz w:val="22"/>
          <w:szCs w:val="22"/>
        </w:rPr>
        <w:t>Odložite upotrijebljeni špric ukontejner za oštre predmete. Čvrsto zatvorite kontejner i</w:t>
      </w:r>
      <w:r w:rsidRPr="00B508FF">
        <w:rPr>
          <w:rFonts w:ascii="Times New Roman" w:hAnsi="Times New Roman" w:cs="Times New Roman"/>
          <w:sz w:val="22"/>
          <w:szCs w:val="22"/>
        </w:rPr>
        <w:br/>
        <w:t>držite ga na mjestu van domašaja djece</w:t>
      </w:r>
      <w:r w:rsidR="000F7159">
        <w:rPr>
          <w:rFonts w:ascii="Times New Roman" w:hAnsi="Times New Roman" w:cs="Times New Roman"/>
          <w:sz w:val="22"/>
          <w:szCs w:val="22"/>
        </w:rPr>
        <w:t>.</w:t>
      </w:r>
    </w:p>
    <w:p w:rsidR="000F7159" w:rsidRPr="00B508FF" w:rsidRDefault="000F7159" w:rsidP="00B508FF">
      <w:pPr>
        <w:autoSpaceDE w:val="0"/>
        <w:autoSpaceDN w:val="0"/>
        <w:adjustRightInd w:val="0"/>
        <w:spacing w:after="0"/>
        <w:jc w:val="both"/>
        <w:rPr>
          <w:rFonts w:ascii="Times New Roman" w:hAnsi="Times New Roman" w:cs="Times New Roman"/>
          <w:sz w:val="22"/>
          <w:szCs w:val="22"/>
        </w:rPr>
      </w:pPr>
    </w:p>
    <w:p w:rsidR="007B7F2B" w:rsidRPr="006921A1" w:rsidRDefault="007B7F2B" w:rsidP="00B508FF">
      <w:pPr>
        <w:autoSpaceDE w:val="0"/>
        <w:autoSpaceDN w:val="0"/>
        <w:adjustRightInd w:val="0"/>
        <w:spacing w:after="0"/>
        <w:jc w:val="both"/>
        <w:rPr>
          <w:rFonts w:ascii="Times New Roman" w:hAnsi="Times New Roman" w:cs="Times New Roman"/>
          <w:sz w:val="22"/>
          <w:szCs w:val="22"/>
        </w:rPr>
      </w:pPr>
      <w:r w:rsidRPr="006921A1">
        <w:rPr>
          <w:rFonts w:ascii="Times New Roman" w:hAnsi="Times New Roman" w:cs="Times New Roman"/>
          <w:b/>
          <w:sz w:val="22"/>
          <w:szCs w:val="22"/>
        </w:rPr>
        <w:t>Kada se kontejner napuni, odložite ga u skladu sa uputstvima l</w:t>
      </w:r>
      <w:r w:rsidR="002A6CBD" w:rsidRPr="006921A1">
        <w:rPr>
          <w:rFonts w:ascii="Times New Roman" w:hAnsi="Times New Roman" w:cs="Times New Roman"/>
          <w:b/>
          <w:sz w:val="22"/>
          <w:szCs w:val="22"/>
        </w:rPr>
        <w:t>j</w:t>
      </w:r>
      <w:r w:rsidRPr="006921A1">
        <w:rPr>
          <w:rFonts w:ascii="Times New Roman" w:hAnsi="Times New Roman" w:cs="Times New Roman"/>
          <w:b/>
          <w:sz w:val="22"/>
          <w:szCs w:val="22"/>
        </w:rPr>
        <w:t>ekara ili farmaceuta. Nemojte ga odlagati sa kućnim otpadom.</w:t>
      </w:r>
    </w:p>
    <w:p w:rsidR="007B7F2B" w:rsidRPr="006921A1" w:rsidRDefault="007B7F2B" w:rsidP="00B508FF">
      <w:pPr>
        <w:autoSpaceDE w:val="0"/>
        <w:autoSpaceDN w:val="0"/>
        <w:adjustRightInd w:val="0"/>
        <w:spacing w:after="0"/>
        <w:jc w:val="both"/>
        <w:rPr>
          <w:rFonts w:ascii="Times New Roman" w:hAnsi="Times New Roman" w:cs="Times New Roman"/>
          <w:sz w:val="22"/>
          <w:szCs w:val="22"/>
          <w:lang w:val="sr-Latn-RS"/>
        </w:rPr>
      </w:pPr>
      <w:r w:rsidRPr="006921A1">
        <w:rPr>
          <w:rFonts w:ascii="Times New Roman" w:hAnsi="Times New Roman" w:cs="Times New Roman"/>
          <w:sz w:val="22"/>
          <w:szCs w:val="22"/>
        </w:rPr>
        <w:t>Svu neiskorišćenu količinu l</w:t>
      </w:r>
      <w:r w:rsidR="002A6CBD" w:rsidRPr="006921A1">
        <w:rPr>
          <w:rFonts w:ascii="Times New Roman" w:hAnsi="Times New Roman" w:cs="Times New Roman"/>
          <w:sz w:val="22"/>
          <w:szCs w:val="22"/>
        </w:rPr>
        <w:t>ij</w:t>
      </w:r>
      <w:r w:rsidRPr="006921A1">
        <w:rPr>
          <w:rFonts w:ascii="Times New Roman" w:hAnsi="Times New Roman" w:cs="Times New Roman"/>
          <w:sz w:val="22"/>
          <w:szCs w:val="22"/>
        </w:rPr>
        <w:t>eka ili otpadnog materijala nakon njegove upotrebe treba ukloniti, u skladu sa važećim propisima</w:t>
      </w:r>
    </w:p>
    <w:p w:rsidR="00A3722B" w:rsidRPr="006921A1" w:rsidRDefault="00A3722B" w:rsidP="00480FB1">
      <w:pPr>
        <w:tabs>
          <w:tab w:val="left" w:pos="540"/>
          <w:tab w:val="left" w:pos="569"/>
        </w:tabs>
        <w:rPr>
          <w:rFonts w:ascii="Times New Roman" w:hAnsi="Times New Roman" w:cs="Times New Roman"/>
          <w:bCs/>
          <w:sz w:val="22"/>
          <w:szCs w:val="22"/>
        </w:rPr>
      </w:pPr>
    </w:p>
    <w:p w:rsidR="00F8570A"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7.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NOSILAC DOZVOLE</w:t>
      </w:r>
      <w:r w:rsidR="00483928" w:rsidRPr="006921A1">
        <w:rPr>
          <w:rFonts w:ascii="Times New Roman" w:hAnsi="Times New Roman" w:cs="Times New Roman"/>
          <w:b/>
          <w:bCs/>
          <w:sz w:val="22"/>
          <w:szCs w:val="22"/>
        </w:rPr>
        <w:t xml:space="preserve"> </w:t>
      </w:r>
    </w:p>
    <w:p w:rsidR="00C37FD7" w:rsidRPr="006921A1" w:rsidRDefault="00157FEA" w:rsidP="00480FB1">
      <w:pPr>
        <w:tabs>
          <w:tab w:val="left" w:pos="540"/>
          <w:tab w:val="left" w:pos="569"/>
        </w:tabs>
        <w:rPr>
          <w:rFonts w:ascii="Times New Roman" w:hAnsi="Times New Roman" w:cs="Times New Roman"/>
          <w:sz w:val="22"/>
          <w:szCs w:val="22"/>
          <w:lang w:val="sr-Latn-RS"/>
        </w:rPr>
      </w:pPr>
      <w:r w:rsidRPr="006921A1">
        <w:rPr>
          <w:rFonts w:ascii="Times New Roman" w:hAnsi="Times New Roman" w:cs="Times New Roman"/>
          <w:sz w:val="22"/>
          <w:szCs w:val="22"/>
          <w:lang w:val="sr-Latn-RS"/>
        </w:rPr>
        <w:t>Pharmaline d.o.o.</w:t>
      </w:r>
      <w:r w:rsidR="000443A0">
        <w:rPr>
          <w:rFonts w:ascii="Times New Roman" w:hAnsi="Times New Roman" w:cs="Times New Roman"/>
          <w:sz w:val="22"/>
          <w:szCs w:val="22"/>
          <w:lang w:val="sr-Latn-RS"/>
        </w:rPr>
        <w:t>,</w:t>
      </w:r>
      <w:r w:rsidRPr="006921A1">
        <w:rPr>
          <w:rFonts w:ascii="Times New Roman" w:hAnsi="Times New Roman" w:cs="Times New Roman"/>
          <w:sz w:val="22"/>
          <w:szCs w:val="22"/>
          <w:lang w:val="sr-Latn-RS"/>
        </w:rPr>
        <w:t xml:space="preserve"> ul. Vojina Katnića br.</w:t>
      </w:r>
      <w:r w:rsidR="00D23433">
        <w:rPr>
          <w:rFonts w:ascii="Times New Roman" w:hAnsi="Times New Roman" w:cs="Times New Roman"/>
          <w:sz w:val="22"/>
          <w:szCs w:val="22"/>
          <w:lang w:val="sr-Latn-RS"/>
        </w:rPr>
        <w:t xml:space="preserve"> </w:t>
      </w:r>
      <w:r w:rsidRPr="006921A1">
        <w:rPr>
          <w:rFonts w:ascii="Times New Roman" w:hAnsi="Times New Roman" w:cs="Times New Roman"/>
          <w:sz w:val="22"/>
          <w:szCs w:val="22"/>
          <w:lang w:val="sr-Latn-RS"/>
        </w:rPr>
        <w:t xml:space="preserve">15 Podgorica, Crna Gora  </w:t>
      </w:r>
    </w:p>
    <w:p w:rsidR="00157FEA" w:rsidRDefault="00157FEA" w:rsidP="00480FB1">
      <w:pPr>
        <w:tabs>
          <w:tab w:val="left" w:pos="540"/>
          <w:tab w:val="left" w:pos="569"/>
        </w:tabs>
        <w:rPr>
          <w:rFonts w:ascii="Times New Roman" w:hAnsi="Times New Roman" w:cs="Times New Roman"/>
          <w:bCs/>
          <w:sz w:val="22"/>
          <w:szCs w:val="22"/>
        </w:rPr>
      </w:pPr>
    </w:p>
    <w:p w:rsidR="00BB2758" w:rsidRDefault="00BB2758" w:rsidP="00480FB1">
      <w:pPr>
        <w:tabs>
          <w:tab w:val="left" w:pos="540"/>
          <w:tab w:val="left" w:pos="569"/>
        </w:tabs>
        <w:rPr>
          <w:rFonts w:ascii="Times New Roman" w:hAnsi="Times New Roman" w:cs="Times New Roman"/>
          <w:bCs/>
          <w:sz w:val="22"/>
          <w:szCs w:val="22"/>
        </w:rPr>
      </w:pPr>
    </w:p>
    <w:p w:rsidR="00BB2758" w:rsidRDefault="00BB2758" w:rsidP="00480FB1">
      <w:pPr>
        <w:tabs>
          <w:tab w:val="left" w:pos="540"/>
          <w:tab w:val="left" w:pos="569"/>
        </w:tabs>
        <w:rPr>
          <w:rFonts w:ascii="Times New Roman" w:hAnsi="Times New Roman" w:cs="Times New Roman"/>
          <w:bCs/>
          <w:sz w:val="22"/>
          <w:szCs w:val="22"/>
        </w:rPr>
      </w:pPr>
    </w:p>
    <w:p w:rsidR="00BB2758" w:rsidRDefault="00BB2758" w:rsidP="00480FB1">
      <w:pPr>
        <w:tabs>
          <w:tab w:val="left" w:pos="540"/>
          <w:tab w:val="left" w:pos="569"/>
        </w:tabs>
        <w:rPr>
          <w:rFonts w:ascii="Times New Roman" w:hAnsi="Times New Roman" w:cs="Times New Roman"/>
          <w:bCs/>
          <w:sz w:val="22"/>
          <w:szCs w:val="22"/>
        </w:rPr>
      </w:pPr>
    </w:p>
    <w:p w:rsidR="00BB2758" w:rsidRPr="006921A1" w:rsidRDefault="00BB2758" w:rsidP="00480FB1">
      <w:pPr>
        <w:tabs>
          <w:tab w:val="left" w:pos="540"/>
          <w:tab w:val="left" w:pos="569"/>
        </w:tabs>
        <w:rPr>
          <w:rFonts w:ascii="Times New Roman" w:hAnsi="Times New Roman" w:cs="Times New Roman"/>
          <w:bCs/>
          <w:sz w:val="22"/>
          <w:szCs w:val="22"/>
        </w:rPr>
      </w:pPr>
    </w:p>
    <w:p w:rsidR="0072020E"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lastRenderedPageBreak/>
        <w:t xml:space="preserve">8.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BROJ DOZVOLE</w:t>
      </w:r>
      <w:r w:rsidR="008A6D43" w:rsidRPr="006921A1">
        <w:rPr>
          <w:rFonts w:ascii="Times New Roman" w:hAnsi="Times New Roman" w:cs="Times New Roman"/>
          <w:b/>
          <w:bCs/>
          <w:sz w:val="22"/>
          <w:szCs w:val="22"/>
        </w:rPr>
        <w:t xml:space="preserve"> ZA STAVLJANJE LIJEKA U PROMET</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2 000 i.j. (20 mg)/0,2 ml,</w:t>
      </w:r>
      <w:r>
        <w:rPr>
          <w:rFonts w:ascii="Times New Roman" w:hAnsi="Times New Roman" w:cs="Times New Roman"/>
          <w:sz w:val="22"/>
          <w:szCs w:val="22"/>
          <w:lang w:val="sr-Latn-CS"/>
        </w:rPr>
        <w:t xml:space="preserve"> napunjeni injekcioni špric, 2 x 0,2 ml:</w:t>
      </w:r>
      <w:r w:rsidR="000C5703">
        <w:rPr>
          <w:rFonts w:ascii="Times New Roman" w:hAnsi="Times New Roman" w:cs="Times New Roman"/>
          <w:sz w:val="22"/>
          <w:szCs w:val="22"/>
          <w:lang w:val="sr-Latn-CS"/>
        </w:rPr>
        <w:t xml:space="preserve"> 2030/22/3749-1051</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4 000 i.j. (40 mg)/0,4 ml,</w:t>
      </w:r>
      <w:r>
        <w:rPr>
          <w:rFonts w:ascii="Times New Roman" w:hAnsi="Times New Roman" w:cs="Times New Roman"/>
          <w:sz w:val="22"/>
          <w:szCs w:val="22"/>
          <w:lang w:val="sr-Latn-CS"/>
        </w:rPr>
        <w:t xml:space="preserve"> napunjeni injekcioni špric, 2 x 0,4 ml:</w:t>
      </w:r>
      <w:r w:rsidR="000C5703">
        <w:rPr>
          <w:rFonts w:ascii="Times New Roman" w:hAnsi="Times New Roman" w:cs="Times New Roman"/>
          <w:sz w:val="22"/>
          <w:szCs w:val="22"/>
          <w:lang w:val="sr-Latn-CS"/>
        </w:rPr>
        <w:t xml:space="preserve"> </w:t>
      </w:r>
      <w:r w:rsidR="008E62D5">
        <w:rPr>
          <w:rFonts w:ascii="Times New Roman" w:hAnsi="Times New Roman" w:cs="Times New Roman"/>
          <w:sz w:val="22"/>
          <w:szCs w:val="22"/>
          <w:lang w:val="sr-Latn-CS"/>
        </w:rPr>
        <w:t>2030/22/3752-1052</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6 000 i.j. (60 mg)/0,6 ml,</w:t>
      </w:r>
      <w:r>
        <w:rPr>
          <w:rFonts w:ascii="Times New Roman" w:hAnsi="Times New Roman" w:cs="Times New Roman"/>
          <w:sz w:val="22"/>
          <w:szCs w:val="22"/>
          <w:lang w:val="sr-Latn-CS"/>
        </w:rPr>
        <w:t xml:space="preserve"> napunjeni injekcioni špric, 2 x 0,6 ml:</w:t>
      </w:r>
      <w:r w:rsidR="008E62D5">
        <w:rPr>
          <w:rFonts w:ascii="Times New Roman" w:hAnsi="Times New Roman" w:cs="Times New Roman"/>
          <w:sz w:val="22"/>
          <w:szCs w:val="22"/>
          <w:lang w:val="sr-Latn-CS"/>
        </w:rPr>
        <w:t xml:space="preserve"> 2030/22/3747-1053</w:t>
      </w:r>
    </w:p>
    <w:p w:rsidR="004C245B"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8 000 i.j. (80 mg)/0,8 ml,</w:t>
      </w:r>
      <w:r>
        <w:rPr>
          <w:rFonts w:ascii="Times New Roman" w:hAnsi="Times New Roman" w:cs="Times New Roman"/>
          <w:sz w:val="22"/>
          <w:szCs w:val="22"/>
          <w:lang w:val="sr-Latn-CS"/>
        </w:rPr>
        <w:t xml:space="preserve"> napunjeni injekcioni špric, 2 x 0,8 ml:</w:t>
      </w:r>
      <w:r w:rsidR="008E62D5">
        <w:rPr>
          <w:rFonts w:ascii="Times New Roman" w:hAnsi="Times New Roman" w:cs="Times New Roman"/>
          <w:sz w:val="22"/>
          <w:szCs w:val="22"/>
          <w:lang w:val="sr-Latn-CS"/>
        </w:rPr>
        <w:t xml:space="preserve"> 2030/22/3750-</w:t>
      </w:r>
      <w:r w:rsidR="005D4FC7">
        <w:rPr>
          <w:rFonts w:ascii="Times New Roman" w:hAnsi="Times New Roman" w:cs="Times New Roman"/>
          <w:sz w:val="22"/>
          <w:szCs w:val="22"/>
          <w:lang w:val="sr-Latn-CS"/>
        </w:rPr>
        <w:t>1054</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2 000 i.j. (20 mg)/0,2 ml,</w:t>
      </w:r>
      <w:r>
        <w:rPr>
          <w:rFonts w:ascii="Times New Roman" w:hAnsi="Times New Roman" w:cs="Times New Roman"/>
          <w:sz w:val="22"/>
          <w:szCs w:val="22"/>
          <w:lang w:val="sr-Latn-CS"/>
        </w:rPr>
        <w:t xml:space="preserve"> napunjeni injekcioni špric, 10 x 0,2 ml:</w:t>
      </w:r>
      <w:r w:rsidR="005D4FC7">
        <w:rPr>
          <w:rFonts w:ascii="Times New Roman" w:hAnsi="Times New Roman" w:cs="Times New Roman"/>
          <w:sz w:val="22"/>
          <w:szCs w:val="22"/>
          <w:lang w:val="sr-Latn-CS"/>
        </w:rPr>
        <w:t xml:space="preserve"> 2030/22/3743-563</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4 000 i.j. (40 mg)/0,4 ml,</w:t>
      </w:r>
      <w:r>
        <w:rPr>
          <w:rFonts w:ascii="Times New Roman" w:hAnsi="Times New Roman" w:cs="Times New Roman"/>
          <w:sz w:val="22"/>
          <w:szCs w:val="22"/>
          <w:lang w:val="sr-Latn-CS"/>
        </w:rPr>
        <w:t xml:space="preserve"> napunjeni injekcioni špric, 10 x 0,4 ml:</w:t>
      </w:r>
      <w:r w:rsidR="005D4FC7">
        <w:rPr>
          <w:rFonts w:ascii="Times New Roman" w:hAnsi="Times New Roman" w:cs="Times New Roman"/>
          <w:sz w:val="22"/>
          <w:szCs w:val="22"/>
          <w:lang w:val="sr-Latn-CS"/>
        </w:rPr>
        <w:t xml:space="preserve"> 2030/22/3742-564</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6 000 i.j. (60 mg)/0,6 ml,</w:t>
      </w:r>
      <w:r>
        <w:rPr>
          <w:rFonts w:ascii="Times New Roman" w:hAnsi="Times New Roman" w:cs="Times New Roman"/>
          <w:sz w:val="22"/>
          <w:szCs w:val="22"/>
          <w:lang w:val="sr-Latn-CS"/>
        </w:rPr>
        <w:t xml:space="preserve"> napunjeni injekcioni špric, 10 x 0,6 ml:</w:t>
      </w:r>
      <w:r w:rsidR="005D4FC7">
        <w:rPr>
          <w:rFonts w:ascii="Times New Roman" w:hAnsi="Times New Roman" w:cs="Times New Roman"/>
          <w:sz w:val="22"/>
          <w:szCs w:val="22"/>
          <w:lang w:val="sr-Latn-CS"/>
        </w:rPr>
        <w:t xml:space="preserve"> 2030/22/3745-565</w:t>
      </w:r>
    </w:p>
    <w:p w:rsidR="00F45F77"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8 000 i.j. (80 mg)/0,8 ml,</w:t>
      </w:r>
      <w:r>
        <w:rPr>
          <w:rFonts w:ascii="Times New Roman" w:hAnsi="Times New Roman" w:cs="Times New Roman"/>
          <w:sz w:val="22"/>
          <w:szCs w:val="22"/>
          <w:lang w:val="sr-Latn-CS"/>
        </w:rPr>
        <w:t xml:space="preserve"> napunjeni injekcioni špric, 10 x 0,8 ml:</w:t>
      </w:r>
      <w:r w:rsidR="005D4FC7">
        <w:rPr>
          <w:rFonts w:ascii="Times New Roman" w:hAnsi="Times New Roman" w:cs="Times New Roman"/>
          <w:sz w:val="22"/>
          <w:szCs w:val="22"/>
          <w:lang w:val="sr-Latn-CS"/>
        </w:rPr>
        <w:t xml:space="preserve"> 2030/22/3746-566</w:t>
      </w:r>
      <w:bookmarkStart w:id="0" w:name="_GoBack"/>
      <w:bookmarkEnd w:id="0"/>
    </w:p>
    <w:p w:rsidR="004C245B" w:rsidRPr="004C245B" w:rsidRDefault="004C245B" w:rsidP="004C245B">
      <w:pPr>
        <w:autoSpaceDE w:val="0"/>
        <w:autoSpaceDN w:val="0"/>
        <w:adjustRightInd w:val="0"/>
        <w:rPr>
          <w:rFonts w:ascii="Times New Roman" w:hAnsi="Times New Roman" w:cs="Times New Roman"/>
          <w:sz w:val="22"/>
          <w:szCs w:val="22"/>
          <w:lang w:val="sr-Latn-CS"/>
        </w:rPr>
      </w:pPr>
    </w:p>
    <w:p w:rsidR="0072020E" w:rsidRPr="006921A1" w:rsidRDefault="0072020E" w:rsidP="00480FB1">
      <w:pPr>
        <w:tabs>
          <w:tab w:val="left" w:pos="540"/>
          <w:tab w:val="left" w:pos="569"/>
        </w:tabs>
        <w:rPr>
          <w:rFonts w:ascii="Times New Roman" w:hAnsi="Times New Roman" w:cs="Times New Roman"/>
          <w:b/>
          <w:bCs/>
          <w:sz w:val="22"/>
          <w:szCs w:val="22"/>
        </w:rPr>
      </w:pPr>
      <w:r w:rsidRPr="006921A1">
        <w:rPr>
          <w:rFonts w:ascii="Times New Roman" w:hAnsi="Times New Roman" w:cs="Times New Roman"/>
          <w:b/>
          <w:bCs/>
          <w:sz w:val="22"/>
          <w:szCs w:val="22"/>
        </w:rPr>
        <w:t xml:space="preserve">9. </w:t>
      </w:r>
      <w:r w:rsidR="00480FB1" w:rsidRPr="006921A1">
        <w:rPr>
          <w:rFonts w:ascii="Times New Roman" w:hAnsi="Times New Roman" w:cs="Times New Roman"/>
          <w:b/>
          <w:bCs/>
          <w:sz w:val="22"/>
          <w:szCs w:val="22"/>
        </w:rPr>
        <w:tab/>
      </w:r>
      <w:r w:rsidRPr="006921A1">
        <w:rPr>
          <w:rFonts w:ascii="Times New Roman" w:hAnsi="Times New Roman" w:cs="Times New Roman"/>
          <w:b/>
          <w:bCs/>
          <w:sz w:val="22"/>
          <w:szCs w:val="22"/>
        </w:rPr>
        <w:t xml:space="preserve">DATUM </w:t>
      </w:r>
      <w:r w:rsidR="00C05DF8" w:rsidRPr="006921A1">
        <w:rPr>
          <w:rFonts w:ascii="Times New Roman" w:hAnsi="Times New Roman" w:cs="Times New Roman"/>
          <w:b/>
          <w:bCs/>
          <w:sz w:val="22"/>
          <w:szCs w:val="22"/>
        </w:rPr>
        <w:t xml:space="preserve">PRVE </w:t>
      </w:r>
      <w:r w:rsidR="008A6D43" w:rsidRPr="006921A1">
        <w:rPr>
          <w:rFonts w:ascii="Times New Roman" w:hAnsi="Times New Roman" w:cs="Times New Roman"/>
          <w:b/>
          <w:bCs/>
          <w:sz w:val="22"/>
          <w:szCs w:val="22"/>
        </w:rPr>
        <w:t>DOZVOLE</w:t>
      </w:r>
      <w:r w:rsidR="00C05DF8" w:rsidRPr="006921A1">
        <w:rPr>
          <w:rFonts w:ascii="Times New Roman" w:hAnsi="Times New Roman" w:cs="Times New Roman"/>
          <w:b/>
          <w:bCs/>
          <w:sz w:val="22"/>
          <w:szCs w:val="22"/>
        </w:rPr>
        <w:t>/OBNOVE DOZVOLE</w:t>
      </w:r>
      <w:r w:rsidR="008A6D43" w:rsidRPr="006921A1">
        <w:rPr>
          <w:rFonts w:ascii="Times New Roman" w:hAnsi="Times New Roman" w:cs="Times New Roman"/>
          <w:b/>
          <w:bCs/>
          <w:sz w:val="22"/>
          <w:szCs w:val="22"/>
        </w:rPr>
        <w:t xml:space="preserve"> ZA STAVLJANJE LIJEKA U PROMET</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2 000 i.j. (20 mg)/0,2 ml,</w:t>
      </w:r>
      <w:r>
        <w:rPr>
          <w:rFonts w:ascii="Times New Roman" w:hAnsi="Times New Roman" w:cs="Times New Roman"/>
          <w:sz w:val="22"/>
          <w:szCs w:val="22"/>
          <w:lang w:val="sr-Latn-CS"/>
        </w:rPr>
        <w:t xml:space="preserve"> napunjeni injekcioni špric, 2 x 0,2 ml:</w:t>
      </w:r>
      <w:r w:rsidR="000C5703">
        <w:rPr>
          <w:rFonts w:ascii="Times New Roman" w:hAnsi="Times New Roman" w:cs="Times New Roman"/>
          <w:sz w:val="22"/>
          <w:szCs w:val="22"/>
          <w:lang w:val="sr-Latn-CS"/>
        </w:rPr>
        <w:t xml:space="preserve"> 22.12.2022. godine</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4 000 i.j. (40 mg)/0,4 ml,</w:t>
      </w:r>
      <w:r>
        <w:rPr>
          <w:rFonts w:ascii="Times New Roman" w:hAnsi="Times New Roman" w:cs="Times New Roman"/>
          <w:sz w:val="22"/>
          <w:szCs w:val="22"/>
          <w:lang w:val="sr-Latn-CS"/>
        </w:rPr>
        <w:t xml:space="preserve"> napunjeni injekcioni špric, 2 x 0,4 ml:</w:t>
      </w:r>
      <w:r w:rsidR="000C5703">
        <w:rPr>
          <w:rFonts w:ascii="Times New Roman" w:hAnsi="Times New Roman" w:cs="Times New Roman"/>
          <w:sz w:val="22"/>
          <w:szCs w:val="22"/>
          <w:lang w:val="sr-Latn-CS"/>
        </w:rPr>
        <w:t xml:space="preserve"> 22.12.2022. godine</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6 000 i.j. (60 mg)/0,6 ml,</w:t>
      </w:r>
      <w:r>
        <w:rPr>
          <w:rFonts w:ascii="Times New Roman" w:hAnsi="Times New Roman" w:cs="Times New Roman"/>
          <w:sz w:val="22"/>
          <w:szCs w:val="22"/>
          <w:lang w:val="sr-Latn-CS"/>
        </w:rPr>
        <w:t xml:space="preserve"> napunjeni injekcioni špric, 2 x 0,6 ml:</w:t>
      </w:r>
      <w:r w:rsidR="000C5703">
        <w:rPr>
          <w:rFonts w:ascii="Times New Roman" w:hAnsi="Times New Roman" w:cs="Times New Roman"/>
          <w:sz w:val="22"/>
          <w:szCs w:val="22"/>
          <w:lang w:val="sr-Latn-CS"/>
        </w:rPr>
        <w:t xml:space="preserve"> 22.12.2022. godine</w:t>
      </w:r>
    </w:p>
    <w:p w:rsidR="004C245B"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8 000 i.j. (80 mg)/0,8 ml,</w:t>
      </w:r>
      <w:r>
        <w:rPr>
          <w:rFonts w:ascii="Times New Roman" w:hAnsi="Times New Roman" w:cs="Times New Roman"/>
          <w:sz w:val="22"/>
          <w:szCs w:val="22"/>
          <w:lang w:val="sr-Latn-CS"/>
        </w:rPr>
        <w:t xml:space="preserve"> napunjeni injekcioni špric, 2 x 0,8 ml:</w:t>
      </w:r>
      <w:r w:rsidR="000C5703">
        <w:rPr>
          <w:rFonts w:ascii="Times New Roman" w:hAnsi="Times New Roman" w:cs="Times New Roman"/>
          <w:sz w:val="22"/>
          <w:szCs w:val="22"/>
          <w:lang w:val="sr-Latn-CS"/>
        </w:rPr>
        <w:t xml:space="preserve"> 22.12.2022. godine</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2 000 i.j. (20 mg)/0,2 ml,</w:t>
      </w:r>
      <w:r>
        <w:rPr>
          <w:rFonts w:ascii="Times New Roman" w:hAnsi="Times New Roman" w:cs="Times New Roman"/>
          <w:sz w:val="22"/>
          <w:szCs w:val="22"/>
          <w:lang w:val="sr-Latn-CS"/>
        </w:rPr>
        <w:t xml:space="preserve"> napunjeni injekcioni špric, 10 x 0,2 ml:</w:t>
      </w:r>
      <w:r w:rsidR="000C5703">
        <w:rPr>
          <w:rFonts w:ascii="Times New Roman" w:hAnsi="Times New Roman" w:cs="Times New Roman"/>
          <w:sz w:val="22"/>
          <w:szCs w:val="22"/>
          <w:lang w:val="sr-Latn-CS"/>
        </w:rPr>
        <w:t xml:space="preserve"> 22.12.2022. godine</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4 000 i.j. (40 mg)/0,4 ml,</w:t>
      </w:r>
      <w:r>
        <w:rPr>
          <w:rFonts w:ascii="Times New Roman" w:hAnsi="Times New Roman" w:cs="Times New Roman"/>
          <w:sz w:val="22"/>
          <w:szCs w:val="22"/>
          <w:lang w:val="sr-Latn-CS"/>
        </w:rPr>
        <w:t xml:space="preserve"> napunjeni injekcioni špric, 10 x 0,4 ml:</w:t>
      </w:r>
      <w:r w:rsidR="000C5703">
        <w:rPr>
          <w:rFonts w:ascii="Times New Roman" w:hAnsi="Times New Roman" w:cs="Times New Roman"/>
          <w:sz w:val="22"/>
          <w:szCs w:val="22"/>
          <w:lang w:val="sr-Latn-CS"/>
        </w:rPr>
        <w:t xml:space="preserve"> 22.12.2022. godine</w:t>
      </w:r>
    </w:p>
    <w:p w:rsidR="004C245B" w:rsidRPr="006921A1"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6 000 i.j. (60 mg)/0,6 ml,</w:t>
      </w:r>
      <w:r>
        <w:rPr>
          <w:rFonts w:ascii="Times New Roman" w:hAnsi="Times New Roman" w:cs="Times New Roman"/>
          <w:sz w:val="22"/>
          <w:szCs w:val="22"/>
          <w:lang w:val="sr-Latn-CS"/>
        </w:rPr>
        <w:t xml:space="preserve"> napunjeni injekcioni špric, 10 x 0,6 ml:</w:t>
      </w:r>
      <w:r w:rsidR="000C5703">
        <w:rPr>
          <w:rFonts w:ascii="Times New Roman" w:hAnsi="Times New Roman" w:cs="Times New Roman"/>
          <w:sz w:val="22"/>
          <w:szCs w:val="22"/>
          <w:lang w:val="sr-Latn-CS"/>
        </w:rPr>
        <w:t xml:space="preserve"> 22.12.2022. godine</w:t>
      </w:r>
    </w:p>
    <w:p w:rsidR="00836B35" w:rsidRDefault="004C245B" w:rsidP="004C245B">
      <w:pPr>
        <w:autoSpaceDE w:val="0"/>
        <w:autoSpaceDN w:val="0"/>
        <w:adjustRightInd w:val="0"/>
        <w:rPr>
          <w:rFonts w:ascii="Times New Roman" w:hAnsi="Times New Roman" w:cs="Times New Roman"/>
          <w:sz w:val="22"/>
          <w:szCs w:val="22"/>
          <w:lang w:val="sr-Latn-CS"/>
        </w:rPr>
      </w:pPr>
      <w:r w:rsidRPr="004C245B">
        <w:rPr>
          <w:rFonts w:ascii="Times New Roman" w:hAnsi="Times New Roman" w:cs="Times New Roman"/>
          <w:sz w:val="22"/>
          <w:szCs w:val="22"/>
          <w:lang w:val="sr-Latn-CS"/>
        </w:rPr>
        <w:t>Inhixa,</w:t>
      </w:r>
      <w:r w:rsidRPr="006921A1">
        <w:rPr>
          <w:rFonts w:ascii="Times New Roman" w:hAnsi="Times New Roman" w:cs="Times New Roman"/>
          <w:sz w:val="22"/>
          <w:szCs w:val="22"/>
          <w:lang w:val="sr-Latn-CS"/>
        </w:rPr>
        <w:t xml:space="preserve"> rastvor za injekciju u napunjenom injekcionom špricu</w:t>
      </w:r>
      <w:r>
        <w:rPr>
          <w:rFonts w:ascii="Times New Roman" w:hAnsi="Times New Roman" w:cs="Times New Roman"/>
          <w:sz w:val="22"/>
          <w:szCs w:val="22"/>
          <w:lang w:val="sr-Latn-CS"/>
        </w:rPr>
        <w:t xml:space="preserve">, </w:t>
      </w:r>
      <w:r w:rsidRPr="006921A1">
        <w:rPr>
          <w:rFonts w:ascii="Times New Roman" w:hAnsi="Times New Roman" w:cs="Times New Roman"/>
          <w:sz w:val="22"/>
          <w:szCs w:val="22"/>
          <w:lang w:val="sr-Latn-CS"/>
        </w:rPr>
        <w:t>8 000 i.j. (80 mg)/0,8 ml,</w:t>
      </w:r>
      <w:r>
        <w:rPr>
          <w:rFonts w:ascii="Times New Roman" w:hAnsi="Times New Roman" w:cs="Times New Roman"/>
          <w:sz w:val="22"/>
          <w:szCs w:val="22"/>
          <w:lang w:val="sr-Latn-CS"/>
        </w:rPr>
        <w:t xml:space="preserve"> napunjeni injekcioni špric, 10 x 0,8 ml:</w:t>
      </w:r>
      <w:r w:rsidR="000C5703">
        <w:rPr>
          <w:rFonts w:ascii="Times New Roman" w:hAnsi="Times New Roman" w:cs="Times New Roman"/>
          <w:sz w:val="22"/>
          <w:szCs w:val="22"/>
          <w:lang w:val="sr-Latn-CS"/>
        </w:rPr>
        <w:t xml:space="preserve"> 22.12.2022. godine</w:t>
      </w:r>
    </w:p>
    <w:p w:rsidR="004C245B" w:rsidRPr="006921A1" w:rsidRDefault="004C245B" w:rsidP="004C245B">
      <w:pPr>
        <w:autoSpaceDE w:val="0"/>
        <w:autoSpaceDN w:val="0"/>
        <w:adjustRightInd w:val="0"/>
        <w:rPr>
          <w:rFonts w:ascii="Times New Roman" w:hAnsi="Times New Roman" w:cs="Times New Roman"/>
          <w:bCs/>
          <w:sz w:val="22"/>
          <w:szCs w:val="22"/>
        </w:rPr>
      </w:pPr>
    </w:p>
    <w:p w:rsidR="003F6A59" w:rsidRPr="006921A1" w:rsidRDefault="0072020E" w:rsidP="00C05DF8">
      <w:pPr>
        <w:tabs>
          <w:tab w:val="left" w:pos="540"/>
          <w:tab w:val="left" w:pos="569"/>
        </w:tabs>
        <w:ind w:left="540" w:hanging="540"/>
        <w:rPr>
          <w:rFonts w:ascii="Times New Roman" w:hAnsi="Times New Roman" w:cs="Times New Roman"/>
          <w:bCs/>
          <w:sz w:val="22"/>
          <w:szCs w:val="22"/>
        </w:rPr>
      </w:pPr>
      <w:r w:rsidRPr="006921A1">
        <w:rPr>
          <w:rFonts w:ascii="Times New Roman" w:hAnsi="Times New Roman" w:cs="Times New Roman"/>
          <w:b/>
          <w:bCs/>
          <w:sz w:val="22"/>
          <w:szCs w:val="22"/>
        </w:rPr>
        <w:t xml:space="preserve">10. </w:t>
      </w:r>
      <w:r w:rsidR="00480FB1" w:rsidRPr="006921A1">
        <w:rPr>
          <w:rFonts w:ascii="Times New Roman" w:hAnsi="Times New Roman" w:cs="Times New Roman"/>
          <w:b/>
          <w:bCs/>
          <w:sz w:val="22"/>
          <w:szCs w:val="22"/>
        </w:rPr>
        <w:tab/>
      </w:r>
      <w:r w:rsidR="002846DB" w:rsidRPr="006921A1">
        <w:rPr>
          <w:rFonts w:ascii="Times New Roman" w:hAnsi="Times New Roman" w:cs="Times New Roman"/>
          <w:b/>
          <w:bCs/>
          <w:sz w:val="22"/>
          <w:szCs w:val="22"/>
        </w:rPr>
        <w:t>D</w:t>
      </w:r>
      <w:r w:rsidR="00EC2532" w:rsidRPr="006921A1">
        <w:rPr>
          <w:rFonts w:ascii="Times New Roman" w:hAnsi="Times New Roman" w:cs="Times New Roman"/>
          <w:b/>
          <w:bCs/>
          <w:sz w:val="22"/>
          <w:szCs w:val="22"/>
        </w:rPr>
        <w:t xml:space="preserve">ATUM REVIZIJE TEKSTA </w:t>
      </w:r>
    </w:p>
    <w:p w:rsidR="003F6A59" w:rsidRPr="006921A1" w:rsidRDefault="007264D6" w:rsidP="00480FB1">
      <w:pPr>
        <w:tabs>
          <w:tab w:val="left" w:pos="540"/>
          <w:tab w:val="left" w:pos="569"/>
        </w:tabs>
        <w:rPr>
          <w:rFonts w:ascii="Times New Roman" w:hAnsi="Times New Roman" w:cs="Times New Roman"/>
          <w:bCs/>
          <w:sz w:val="22"/>
          <w:szCs w:val="22"/>
        </w:rPr>
      </w:pPr>
      <w:r>
        <w:rPr>
          <w:rFonts w:ascii="Times New Roman" w:hAnsi="Times New Roman" w:cs="Times New Roman"/>
          <w:bCs/>
          <w:sz w:val="22"/>
          <w:szCs w:val="22"/>
        </w:rPr>
        <w:t>Septembar, 2022. godine</w:t>
      </w:r>
    </w:p>
    <w:p w:rsidR="00CA6E25" w:rsidRPr="006921A1" w:rsidRDefault="00CA6E25" w:rsidP="00480FB1">
      <w:pPr>
        <w:tabs>
          <w:tab w:val="left" w:pos="540"/>
          <w:tab w:val="left" w:pos="569"/>
        </w:tabs>
        <w:rPr>
          <w:rFonts w:ascii="Times New Roman" w:hAnsi="Times New Roman" w:cs="Times New Roman"/>
          <w:bCs/>
          <w:sz w:val="22"/>
          <w:szCs w:val="22"/>
        </w:rPr>
      </w:pPr>
    </w:p>
    <w:sectPr w:rsidR="00CA6E25" w:rsidRPr="006921A1" w:rsidSect="006B5404">
      <w:footerReference w:type="default" r:id="rId18"/>
      <w:pgSz w:w="11909" w:h="16834"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B7" w:rsidRDefault="007C51B7">
      <w:r>
        <w:separator/>
      </w:r>
    </w:p>
  </w:endnote>
  <w:endnote w:type="continuationSeparator" w:id="0">
    <w:p w:rsidR="007C51B7" w:rsidRDefault="007C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algun Gothic"/>
    <w:panose1 w:val="00000000000000000000"/>
    <w:charset w:val="80"/>
    <w:family w:val="auto"/>
    <w:notTrueType/>
    <w:pitch w:val="default"/>
    <w:sig w:usb0="00000005" w:usb1="08070000" w:usb2="00000010" w:usb3="00000000" w:csb0="00020002"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D5" w:rsidRPr="00B508FF" w:rsidRDefault="008E62D5" w:rsidP="00B23F69">
    <w:pPr>
      <w:pStyle w:val="Footer"/>
      <w:jc w:val="center"/>
      <w:rPr>
        <w:rFonts w:ascii="Times New Roman" w:hAnsi="Times New Roman" w:cs="Times New Roman"/>
        <w:sz w:val="22"/>
        <w:szCs w:val="22"/>
      </w:rPr>
    </w:pPr>
    <w:r w:rsidRPr="00B508FF">
      <w:rPr>
        <w:rFonts w:ascii="Times New Roman" w:hAnsi="Times New Roman" w:cs="Times New Roman"/>
        <w:sz w:val="22"/>
        <w:szCs w:val="22"/>
      </w:rPr>
      <w:fldChar w:fldCharType="begin"/>
    </w:r>
    <w:r w:rsidRPr="00B508FF">
      <w:rPr>
        <w:rFonts w:ascii="Times New Roman" w:hAnsi="Times New Roman" w:cs="Times New Roman"/>
        <w:sz w:val="22"/>
        <w:szCs w:val="22"/>
      </w:rPr>
      <w:instrText xml:space="preserve"> PAGE </w:instrText>
    </w:r>
    <w:r w:rsidRPr="00B508FF">
      <w:rPr>
        <w:rFonts w:ascii="Times New Roman" w:hAnsi="Times New Roman" w:cs="Times New Roman"/>
        <w:sz w:val="22"/>
        <w:szCs w:val="22"/>
      </w:rPr>
      <w:fldChar w:fldCharType="separate"/>
    </w:r>
    <w:r w:rsidR="005D4FC7">
      <w:rPr>
        <w:rFonts w:ascii="Times New Roman" w:hAnsi="Times New Roman" w:cs="Times New Roman"/>
        <w:noProof/>
        <w:sz w:val="22"/>
        <w:szCs w:val="22"/>
      </w:rPr>
      <w:t>30</w:t>
    </w:r>
    <w:r w:rsidRPr="00B508FF">
      <w:rPr>
        <w:rFonts w:ascii="Times New Roman" w:hAnsi="Times New Roman" w:cs="Times New Roman"/>
        <w:sz w:val="22"/>
        <w:szCs w:val="22"/>
      </w:rPr>
      <w:fldChar w:fldCharType="end"/>
    </w:r>
    <w:r w:rsidRPr="00B508FF">
      <w:rPr>
        <w:rFonts w:ascii="Times New Roman" w:hAnsi="Times New Roman" w:cs="Times New Roman"/>
        <w:sz w:val="22"/>
        <w:szCs w:val="22"/>
      </w:rPr>
      <w:t xml:space="preserve"> / </w:t>
    </w:r>
    <w:r w:rsidRPr="00B508FF">
      <w:rPr>
        <w:rFonts w:ascii="Times New Roman" w:hAnsi="Times New Roman" w:cs="Times New Roman"/>
        <w:sz w:val="22"/>
        <w:szCs w:val="22"/>
      </w:rPr>
      <w:fldChar w:fldCharType="begin"/>
    </w:r>
    <w:r w:rsidRPr="00B508FF">
      <w:rPr>
        <w:rFonts w:ascii="Times New Roman" w:hAnsi="Times New Roman" w:cs="Times New Roman"/>
        <w:sz w:val="22"/>
        <w:szCs w:val="22"/>
      </w:rPr>
      <w:instrText xml:space="preserve"> NUMPAGES </w:instrText>
    </w:r>
    <w:r w:rsidRPr="00B508FF">
      <w:rPr>
        <w:rFonts w:ascii="Times New Roman" w:hAnsi="Times New Roman" w:cs="Times New Roman"/>
        <w:sz w:val="22"/>
        <w:szCs w:val="22"/>
      </w:rPr>
      <w:fldChar w:fldCharType="separate"/>
    </w:r>
    <w:r w:rsidR="005D4FC7">
      <w:rPr>
        <w:rFonts w:ascii="Times New Roman" w:hAnsi="Times New Roman" w:cs="Times New Roman"/>
        <w:noProof/>
        <w:sz w:val="22"/>
        <w:szCs w:val="22"/>
      </w:rPr>
      <w:t>30</w:t>
    </w:r>
    <w:r w:rsidRPr="00B508FF">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B7" w:rsidRDefault="007C51B7">
      <w:r>
        <w:separator/>
      </w:r>
    </w:p>
  </w:footnote>
  <w:footnote w:type="continuationSeparator" w:id="0">
    <w:p w:rsidR="007C51B7" w:rsidRDefault="007C51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9pt;height:13.55pt;visibility:visible" o:bullet="t">
        <v:imagedata r:id="rId1" o:title="BT_1000x858px"/>
      </v:shape>
    </w:pict>
  </w:numPicBullet>
  <w:abstractNum w:abstractNumId="0" w15:restartNumberingAfterBreak="0">
    <w:nsid w:val="07806001"/>
    <w:multiLevelType w:val="hybridMultilevel"/>
    <w:tmpl w:val="B91040E6"/>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0687C"/>
    <w:multiLevelType w:val="multilevel"/>
    <w:tmpl w:val="0409001F"/>
    <w:styleLink w:val="111111"/>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BE7CCA"/>
    <w:multiLevelType w:val="hybridMultilevel"/>
    <w:tmpl w:val="32F2F8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DF475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BE07B9"/>
    <w:multiLevelType w:val="hybridMultilevel"/>
    <w:tmpl w:val="DF600D3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37BA2"/>
    <w:multiLevelType w:val="hybridMultilevel"/>
    <w:tmpl w:val="2CB698D2"/>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37577"/>
    <w:multiLevelType w:val="hybridMultilevel"/>
    <w:tmpl w:val="433EF38C"/>
    <w:lvl w:ilvl="0" w:tplc="18F27EE8">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E0B4506"/>
    <w:multiLevelType w:val="hybridMultilevel"/>
    <w:tmpl w:val="2D989F1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51291"/>
    <w:multiLevelType w:val="hybridMultilevel"/>
    <w:tmpl w:val="BE8C7C5E"/>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A4D56"/>
    <w:multiLevelType w:val="hybridMultilevel"/>
    <w:tmpl w:val="F3E2CE26"/>
    <w:lvl w:ilvl="0" w:tplc="E3388E84">
      <w:start w:val="1"/>
      <w:numFmt w:val="decimal"/>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7527E"/>
    <w:multiLevelType w:val="hybridMultilevel"/>
    <w:tmpl w:val="8D6E2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A57B4"/>
    <w:multiLevelType w:val="hybridMultilevel"/>
    <w:tmpl w:val="4E9C3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4B31D84"/>
    <w:multiLevelType w:val="hybridMultilevel"/>
    <w:tmpl w:val="194259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4E8136F"/>
    <w:multiLevelType w:val="multilevel"/>
    <w:tmpl w:val="C5B2E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6DB49BF"/>
    <w:multiLevelType w:val="hybridMultilevel"/>
    <w:tmpl w:val="F5D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E09DD"/>
    <w:multiLevelType w:val="multilevel"/>
    <w:tmpl w:val="BBBCBE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DB1182A"/>
    <w:multiLevelType w:val="hybridMultilevel"/>
    <w:tmpl w:val="7EE0C22A"/>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0056E"/>
    <w:multiLevelType w:val="hybridMultilevel"/>
    <w:tmpl w:val="06703320"/>
    <w:lvl w:ilvl="0" w:tplc="889C4E4A">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32B7A"/>
    <w:multiLevelType w:val="hybridMultilevel"/>
    <w:tmpl w:val="5728F188"/>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CD61CA1"/>
    <w:multiLevelType w:val="hybridMultilevel"/>
    <w:tmpl w:val="2A8A74D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D3428"/>
    <w:multiLevelType w:val="hybridMultilevel"/>
    <w:tmpl w:val="2DD6EBE6"/>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D2C0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CEE04A0"/>
    <w:multiLevelType w:val="hybridMultilevel"/>
    <w:tmpl w:val="3F260DF4"/>
    <w:lvl w:ilvl="0" w:tplc="241A0003">
      <w:start w:val="1"/>
      <w:numFmt w:val="bullet"/>
      <w:lvlText w:val="o"/>
      <w:lvlJc w:val="left"/>
      <w:pPr>
        <w:ind w:left="780" w:hanging="360"/>
      </w:pPr>
      <w:rPr>
        <w:rFonts w:ascii="Courier New" w:hAnsi="Courier New" w:cs="Courier New" w:hint="default"/>
      </w:rPr>
    </w:lvl>
    <w:lvl w:ilvl="1" w:tplc="241A0003">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3" w15:restartNumberingAfterBreak="0">
    <w:nsid w:val="4EDB6498"/>
    <w:multiLevelType w:val="hybridMultilevel"/>
    <w:tmpl w:val="E438BC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F5E7C47"/>
    <w:multiLevelType w:val="hybridMultilevel"/>
    <w:tmpl w:val="124C68B8"/>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C43FB"/>
    <w:multiLevelType w:val="hybridMultilevel"/>
    <w:tmpl w:val="E5743780"/>
    <w:lvl w:ilvl="0" w:tplc="889C4E4A">
      <w:numFmt w:val="bullet"/>
      <w:lvlText w:val="-"/>
      <w:lvlJc w:val="left"/>
      <w:pPr>
        <w:ind w:left="1080" w:hanging="360"/>
      </w:pPr>
      <w:rPr>
        <w:rFonts w:ascii="Times New Roman" w:eastAsia="TimesNew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15:restartNumberingAfterBreak="0">
    <w:nsid w:val="5555671D"/>
    <w:multiLevelType w:val="multilevel"/>
    <w:tmpl w:val="0409001F"/>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BD30342"/>
    <w:multiLevelType w:val="hybridMultilevel"/>
    <w:tmpl w:val="3596260C"/>
    <w:lvl w:ilvl="0" w:tplc="83ACBCF2">
      <w:start w:val="15"/>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8" w15:restartNumberingAfterBreak="0">
    <w:nsid w:val="6240776D"/>
    <w:multiLevelType w:val="hybridMultilevel"/>
    <w:tmpl w:val="F2B0FFB2"/>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35404"/>
    <w:multiLevelType w:val="hybridMultilevel"/>
    <w:tmpl w:val="9A285AC4"/>
    <w:lvl w:ilvl="0" w:tplc="43987E60">
      <w:numFmt w:val="bullet"/>
      <w:lvlText w:val=""/>
      <w:lvlJc w:val="left"/>
      <w:pPr>
        <w:ind w:left="1440" w:hanging="360"/>
      </w:pPr>
      <w:rPr>
        <w:rFonts w:ascii="Symbol" w:eastAsia="TimesNewRoman" w:hAnsi="Symbol" w:cs="Times New Roman" w:hint="default"/>
        <w:i w:val="0"/>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0" w15:restartNumberingAfterBreak="0">
    <w:nsid w:val="655B22ED"/>
    <w:multiLevelType w:val="hybridMultilevel"/>
    <w:tmpl w:val="1D6E8CBC"/>
    <w:lvl w:ilvl="0" w:tplc="889C4E4A">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F4586"/>
    <w:multiLevelType w:val="hybridMultilevel"/>
    <w:tmpl w:val="BA001DC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2" w15:restartNumberingAfterBreak="0">
    <w:nsid w:val="66587C79"/>
    <w:multiLevelType w:val="hybridMultilevel"/>
    <w:tmpl w:val="82461A5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A31197F"/>
    <w:multiLevelType w:val="hybridMultilevel"/>
    <w:tmpl w:val="C5B2E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137730"/>
    <w:multiLevelType w:val="hybridMultilevel"/>
    <w:tmpl w:val="83B648E6"/>
    <w:lvl w:ilvl="0" w:tplc="04090011">
      <w:start w:val="10"/>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11FA5"/>
    <w:multiLevelType w:val="hybridMultilevel"/>
    <w:tmpl w:val="8188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2040B"/>
    <w:multiLevelType w:val="hybridMultilevel"/>
    <w:tmpl w:val="B53428AE"/>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A0E81"/>
    <w:multiLevelType w:val="hybridMultilevel"/>
    <w:tmpl w:val="1B421F28"/>
    <w:lvl w:ilvl="0" w:tplc="241A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745F3F90"/>
    <w:multiLevelType w:val="hybridMultilevel"/>
    <w:tmpl w:val="4B80DC58"/>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724F4"/>
    <w:multiLevelType w:val="hybridMultilevel"/>
    <w:tmpl w:val="1386514C"/>
    <w:lvl w:ilvl="0" w:tplc="BF803B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A3071"/>
    <w:multiLevelType w:val="hybridMultilevel"/>
    <w:tmpl w:val="59A6AABA"/>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1"/>
  </w:num>
  <w:num w:numId="4">
    <w:abstractNumId w:val="26"/>
  </w:num>
  <w:num w:numId="5">
    <w:abstractNumId w:val="13"/>
  </w:num>
  <w:num w:numId="6">
    <w:abstractNumId w:val="3"/>
  </w:num>
  <w:num w:numId="7">
    <w:abstractNumId w:val="21"/>
  </w:num>
  <w:num w:numId="8">
    <w:abstractNumId w:val="11"/>
  </w:num>
  <w:num w:numId="9">
    <w:abstractNumId w:val="15"/>
  </w:num>
  <w:num w:numId="10">
    <w:abstractNumId w:val="39"/>
  </w:num>
  <w:num w:numId="11">
    <w:abstractNumId w:val="14"/>
  </w:num>
  <w:num w:numId="12">
    <w:abstractNumId w:val="2"/>
  </w:num>
  <w:num w:numId="13">
    <w:abstractNumId w:val="6"/>
  </w:num>
  <w:num w:numId="14">
    <w:abstractNumId w:val="37"/>
  </w:num>
  <w:num w:numId="15">
    <w:abstractNumId w:val="22"/>
  </w:num>
  <w:num w:numId="16">
    <w:abstractNumId w:val="31"/>
  </w:num>
  <w:num w:numId="17">
    <w:abstractNumId w:val="32"/>
  </w:num>
  <w:num w:numId="18">
    <w:abstractNumId w:val="23"/>
  </w:num>
  <w:num w:numId="19">
    <w:abstractNumId w:val="29"/>
  </w:num>
  <w:num w:numId="20">
    <w:abstractNumId w:val="12"/>
  </w:num>
  <w:num w:numId="21">
    <w:abstractNumId w:val="27"/>
  </w:num>
  <w:num w:numId="22">
    <w:abstractNumId w:val="25"/>
  </w:num>
  <w:num w:numId="23">
    <w:abstractNumId w:val="35"/>
  </w:num>
  <w:num w:numId="24">
    <w:abstractNumId w:val="0"/>
  </w:num>
  <w:num w:numId="25">
    <w:abstractNumId w:val="19"/>
  </w:num>
  <w:num w:numId="26">
    <w:abstractNumId w:val="38"/>
  </w:num>
  <w:num w:numId="27">
    <w:abstractNumId w:val="28"/>
  </w:num>
  <w:num w:numId="28">
    <w:abstractNumId w:val="24"/>
  </w:num>
  <w:num w:numId="29">
    <w:abstractNumId w:val="4"/>
  </w:num>
  <w:num w:numId="30">
    <w:abstractNumId w:val="20"/>
  </w:num>
  <w:num w:numId="31">
    <w:abstractNumId w:val="36"/>
  </w:num>
  <w:num w:numId="32">
    <w:abstractNumId w:val="9"/>
  </w:num>
  <w:num w:numId="33">
    <w:abstractNumId w:val="30"/>
  </w:num>
  <w:num w:numId="34">
    <w:abstractNumId w:val="18"/>
  </w:num>
  <w:num w:numId="35">
    <w:abstractNumId w:val="17"/>
  </w:num>
  <w:num w:numId="36">
    <w:abstractNumId w:val="5"/>
  </w:num>
  <w:num w:numId="37">
    <w:abstractNumId w:val="8"/>
  </w:num>
  <w:num w:numId="38">
    <w:abstractNumId w:val="7"/>
  </w:num>
  <w:num w:numId="39">
    <w:abstractNumId w:val="16"/>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D6"/>
    <w:rsid w:val="00000528"/>
    <w:rsid w:val="000013C5"/>
    <w:rsid w:val="00011AC0"/>
    <w:rsid w:val="00014C80"/>
    <w:rsid w:val="000176CA"/>
    <w:rsid w:val="00025F41"/>
    <w:rsid w:val="00036FA0"/>
    <w:rsid w:val="0003793F"/>
    <w:rsid w:val="000443A0"/>
    <w:rsid w:val="00057E35"/>
    <w:rsid w:val="000653E8"/>
    <w:rsid w:val="00076726"/>
    <w:rsid w:val="00080303"/>
    <w:rsid w:val="00082481"/>
    <w:rsid w:val="000824B6"/>
    <w:rsid w:val="00090940"/>
    <w:rsid w:val="000A0218"/>
    <w:rsid w:val="000A3F58"/>
    <w:rsid w:val="000A4CE1"/>
    <w:rsid w:val="000A7D45"/>
    <w:rsid w:val="000B4A0B"/>
    <w:rsid w:val="000B70E5"/>
    <w:rsid w:val="000C189C"/>
    <w:rsid w:val="000C5703"/>
    <w:rsid w:val="000D0DA3"/>
    <w:rsid w:val="000D2343"/>
    <w:rsid w:val="000D3449"/>
    <w:rsid w:val="000D425A"/>
    <w:rsid w:val="000D5CCC"/>
    <w:rsid w:val="000D60CC"/>
    <w:rsid w:val="000E2084"/>
    <w:rsid w:val="000E6F55"/>
    <w:rsid w:val="000F4515"/>
    <w:rsid w:val="000F7159"/>
    <w:rsid w:val="000F77FA"/>
    <w:rsid w:val="00107BF7"/>
    <w:rsid w:val="00110E81"/>
    <w:rsid w:val="0011633D"/>
    <w:rsid w:val="00126F53"/>
    <w:rsid w:val="0013104C"/>
    <w:rsid w:val="00131F46"/>
    <w:rsid w:val="0014766D"/>
    <w:rsid w:val="0015352A"/>
    <w:rsid w:val="001536CC"/>
    <w:rsid w:val="00157FEA"/>
    <w:rsid w:val="0016464D"/>
    <w:rsid w:val="00173E6F"/>
    <w:rsid w:val="001A3FBA"/>
    <w:rsid w:val="001A5518"/>
    <w:rsid w:val="001B1598"/>
    <w:rsid w:val="001B1C6A"/>
    <w:rsid w:val="001B23A1"/>
    <w:rsid w:val="001B3F68"/>
    <w:rsid w:val="001B616D"/>
    <w:rsid w:val="001C1263"/>
    <w:rsid w:val="001C1417"/>
    <w:rsid w:val="001C5165"/>
    <w:rsid w:val="001C5ABF"/>
    <w:rsid w:val="001C5F1D"/>
    <w:rsid w:val="001E230B"/>
    <w:rsid w:val="001E390B"/>
    <w:rsid w:val="001F42FB"/>
    <w:rsid w:val="001F719A"/>
    <w:rsid w:val="002031B3"/>
    <w:rsid w:val="00215931"/>
    <w:rsid w:val="00220048"/>
    <w:rsid w:val="00224C91"/>
    <w:rsid w:val="00225012"/>
    <w:rsid w:val="00227BDB"/>
    <w:rsid w:val="002342B5"/>
    <w:rsid w:val="0023441D"/>
    <w:rsid w:val="00234CB1"/>
    <w:rsid w:val="002352F8"/>
    <w:rsid w:val="0025063E"/>
    <w:rsid w:val="002510A5"/>
    <w:rsid w:val="00254A0A"/>
    <w:rsid w:val="002657AF"/>
    <w:rsid w:val="00266046"/>
    <w:rsid w:val="0026754D"/>
    <w:rsid w:val="00267CD6"/>
    <w:rsid w:val="00271C33"/>
    <w:rsid w:val="00276714"/>
    <w:rsid w:val="00276E67"/>
    <w:rsid w:val="002846DB"/>
    <w:rsid w:val="00284CCD"/>
    <w:rsid w:val="00290BF2"/>
    <w:rsid w:val="00290C71"/>
    <w:rsid w:val="002A44DB"/>
    <w:rsid w:val="002A6CBD"/>
    <w:rsid w:val="002B5EDC"/>
    <w:rsid w:val="002C6637"/>
    <w:rsid w:val="002D66B2"/>
    <w:rsid w:val="002E0135"/>
    <w:rsid w:val="002E37A5"/>
    <w:rsid w:val="00303915"/>
    <w:rsid w:val="00310F03"/>
    <w:rsid w:val="0031777A"/>
    <w:rsid w:val="003247D2"/>
    <w:rsid w:val="003445C1"/>
    <w:rsid w:val="0034534E"/>
    <w:rsid w:val="0034598E"/>
    <w:rsid w:val="00355B61"/>
    <w:rsid w:val="00362686"/>
    <w:rsid w:val="00371510"/>
    <w:rsid w:val="0037541C"/>
    <w:rsid w:val="003867FA"/>
    <w:rsid w:val="00396DFD"/>
    <w:rsid w:val="003A7059"/>
    <w:rsid w:val="003B3E29"/>
    <w:rsid w:val="003B4D90"/>
    <w:rsid w:val="003B7A36"/>
    <w:rsid w:val="003C17AB"/>
    <w:rsid w:val="003C3A0C"/>
    <w:rsid w:val="003C675C"/>
    <w:rsid w:val="003C7823"/>
    <w:rsid w:val="003E0920"/>
    <w:rsid w:val="003E1DCC"/>
    <w:rsid w:val="003E2F52"/>
    <w:rsid w:val="003F11A1"/>
    <w:rsid w:val="003F336B"/>
    <w:rsid w:val="003F6A59"/>
    <w:rsid w:val="003F6EB5"/>
    <w:rsid w:val="003F7788"/>
    <w:rsid w:val="004065C8"/>
    <w:rsid w:val="004109FA"/>
    <w:rsid w:val="00411B4B"/>
    <w:rsid w:val="00415BEE"/>
    <w:rsid w:val="0042792D"/>
    <w:rsid w:val="00427F85"/>
    <w:rsid w:val="00436F42"/>
    <w:rsid w:val="004378B4"/>
    <w:rsid w:val="0044038D"/>
    <w:rsid w:val="00451314"/>
    <w:rsid w:val="00452E9D"/>
    <w:rsid w:val="004534C7"/>
    <w:rsid w:val="00460759"/>
    <w:rsid w:val="00460AC0"/>
    <w:rsid w:val="004671AA"/>
    <w:rsid w:val="004675E1"/>
    <w:rsid w:val="00467C83"/>
    <w:rsid w:val="00480FB1"/>
    <w:rsid w:val="00483928"/>
    <w:rsid w:val="004B29DA"/>
    <w:rsid w:val="004C245B"/>
    <w:rsid w:val="004C331F"/>
    <w:rsid w:val="004D21E6"/>
    <w:rsid w:val="004D6103"/>
    <w:rsid w:val="004E3BCE"/>
    <w:rsid w:val="004E70AD"/>
    <w:rsid w:val="004F0E97"/>
    <w:rsid w:val="004F3BAF"/>
    <w:rsid w:val="005017BE"/>
    <w:rsid w:val="00501DD1"/>
    <w:rsid w:val="00515C21"/>
    <w:rsid w:val="005219FF"/>
    <w:rsid w:val="00530BD7"/>
    <w:rsid w:val="00541E50"/>
    <w:rsid w:val="00544149"/>
    <w:rsid w:val="00545CD2"/>
    <w:rsid w:val="005476F3"/>
    <w:rsid w:val="00560321"/>
    <w:rsid w:val="00572344"/>
    <w:rsid w:val="00572527"/>
    <w:rsid w:val="00573E40"/>
    <w:rsid w:val="00576348"/>
    <w:rsid w:val="00577A64"/>
    <w:rsid w:val="005A0B2E"/>
    <w:rsid w:val="005A0F56"/>
    <w:rsid w:val="005A1519"/>
    <w:rsid w:val="005A23D2"/>
    <w:rsid w:val="005A36CB"/>
    <w:rsid w:val="005B10C3"/>
    <w:rsid w:val="005B49B8"/>
    <w:rsid w:val="005B596D"/>
    <w:rsid w:val="005C0741"/>
    <w:rsid w:val="005C5EF4"/>
    <w:rsid w:val="005D4FC7"/>
    <w:rsid w:val="005E2180"/>
    <w:rsid w:val="005E2E0B"/>
    <w:rsid w:val="005E7A7D"/>
    <w:rsid w:val="005E7E65"/>
    <w:rsid w:val="005F1473"/>
    <w:rsid w:val="005F50F1"/>
    <w:rsid w:val="005F5FC9"/>
    <w:rsid w:val="005F72A6"/>
    <w:rsid w:val="00600E21"/>
    <w:rsid w:val="00602457"/>
    <w:rsid w:val="0061758B"/>
    <w:rsid w:val="00624FF7"/>
    <w:rsid w:val="006251D4"/>
    <w:rsid w:val="00644FC3"/>
    <w:rsid w:val="00646BD1"/>
    <w:rsid w:val="00652604"/>
    <w:rsid w:val="00652BC4"/>
    <w:rsid w:val="006561C2"/>
    <w:rsid w:val="00671CB3"/>
    <w:rsid w:val="00673C62"/>
    <w:rsid w:val="00674BAF"/>
    <w:rsid w:val="00682200"/>
    <w:rsid w:val="006834E8"/>
    <w:rsid w:val="00691ABC"/>
    <w:rsid w:val="006921A1"/>
    <w:rsid w:val="00692BF6"/>
    <w:rsid w:val="00696C6F"/>
    <w:rsid w:val="006A1497"/>
    <w:rsid w:val="006A6968"/>
    <w:rsid w:val="006B0BD1"/>
    <w:rsid w:val="006B5404"/>
    <w:rsid w:val="006C7D96"/>
    <w:rsid w:val="006D20A5"/>
    <w:rsid w:val="006D37BF"/>
    <w:rsid w:val="006E35C9"/>
    <w:rsid w:val="006E67E4"/>
    <w:rsid w:val="006F6798"/>
    <w:rsid w:val="0070289A"/>
    <w:rsid w:val="00702E22"/>
    <w:rsid w:val="00707763"/>
    <w:rsid w:val="00707DD5"/>
    <w:rsid w:val="0072020E"/>
    <w:rsid w:val="007264D6"/>
    <w:rsid w:val="00726ED6"/>
    <w:rsid w:val="00736BC4"/>
    <w:rsid w:val="00744BFA"/>
    <w:rsid w:val="00744C5E"/>
    <w:rsid w:val="00770E0D"/>
    <w:rsid w:val="00773844"/>
    <w:rsid w:val="00780FA1"/>
    <w:rsid w:val="00784870"/>
    <w:rsid w:val="00786071"/>
    <w:rsid w:val="007A3ECB"/>
    <w:rsid w:val="007A625E"/>
    <w:rsid w:val="007A68DD"/>
    <w:rsid w:val="007B7F2B"/>
    <w:rsid w:val="007C51B7"/>
    <w:rsid w:val="007D7BB3"/>
    <w:rsid w:val="007E1D75"/>
    <w:rsid w:val="007E54CB"/>
    <w:rsid w:val="008010C0"/>
    <w:rsid w:val="00824AB9"/>
    <w:rsid w:val="00827F73"/>
    <w:rsid w:val="008327B6"/>
    <w:rsid w:val="00834B85"/>
    <w:rsid w:val="00836B35"/>
    <w:rsid w:val="00843BDE"/>
    <w:rsid w:val="00855146"/>
    <w:rsid w:val="00862125"/>
    <w:rsid w:val="00864CE5"/>
    <w:rsid w:val="00866D02"/>
    <w:rsid w:val="00872F18"/>
    <w:rsid w:val="0087588C"/>
    <w:rsid w:val="00876BDE"/>
    <w:rsid w:val="0088134F"/>
    <w:rsid w:val="00894122"/>
    <w:rsid w:val="00894439"/>
    <w:rsid w:val="0089705C"/>
    <w:rsid w:val="008A06C0"/>
    <w:rsid w:val="008A6D43"/>
    <w:rsid w:val="008B491E"/>
    <w:rsid w:val="008B69E1"/>
    <w:rsid w:val="008C0837"/>
    <w:rsid w:val="008C1A28"/>
    <w:rsid w:val="008C2E98"/>
    <w:rsid w:val="008C7979"/>
    <w:rsid w:val="008E49BD"/>
    <w:rsid w:val="008E53E9"/>
    <w:rsid w:val="008E5771"/>
    <w:rsid w:val="008E62D5"/>
    <w:rsid w:val="008F3379"/>
    <w:rsid w:val="008F4ACF"/>
    <w:rsid w:val="009074B6"/>
    <w:rsid w:val="009167DC"/>
    <w:rsid w:val="00923302"/>
    <w:rsid w:val="00924166"/>
    <w:rsid w:val="00926ED4"/>
    <w:rsid w:val="00932BBF"/>
    <w:rsid w:val="00936B96"/>
    <w:rsid w:val="009370EF"/>
    <w:rsid w:val="00937AA3"/>
    <w:rsid w:val="00940B9B"/>
    <w:rsid w:val="00942820"/>
    <w:rsid w:val="009449CE"/>
    <w:rsid w:val="0095676E"/>
    <w:rsid w:val="00956983"/>
    <w:rsid w:val="00963CF0"/>
    <w:rsid w:val="00964BB1"/>
    <w:rsid w:val="00966A16"/>
    <w:rsid w:val="00974AEE"/>
    <w:rsid w:val="009770DD"/>
    <w:rsid w:val="009775D9"/>
    <w:rsid w:val="009807D0"/>
    <w:rsid w:val="00987EC4"/>
    <w:rsid w:val="00990C0C"/>
    <w:rsid w:val="00997175"/>
    <w:rsid w:val="009A1847"/>
    <w:rsid w:val="009A19FC"/>
    <w:rsid w:val="009A497E"/>
    <w:rsid w:val="009B062A"/>
    <w:rsid w:val="009B2E19"/>
    <w:rsid w:val="009C54DA"/>
    <w:rsid w:val="009C6C2A"/>
    <w:rsid w:val="009D2FD1"/>
    <w:rsid w:val="009E4691"/>
    <w:rsid w:val="009E5300"/>
    <w:rsid w:val="009E63AD"/>
    <w:rsid w:val="009E7C6F"/>
    <w:rsid w:val="009F0325"/>
    <w:rsid w:val="009F1793"/>
    <w:rsid w:val="009F2D23"/>
    <w:rsid w:val="00A01D69"/>
    <w:rsid w:val="00A02335"/>
    <w:rsid w:val="00A11073"/>
    <w:rsid w:val="00A168D7"/>
    <w:rsid w:val="00A2495D"/>
    <w:rsid w:val="00A3008D"/>
    <w:rsid w:val="00A3722B"/>
    <w:rsid w:val="00A46C9A"/>
    <w:rsid w:val="00A619F3"/>
    <w:rsid w:val="00A62A73"/>
    <w:rsid w:val="00A87FF6"/>
    <w:rsid w:val="00A9575C"/>
    <w:rsid w:val="00AA0A3B"/>
    <w:rsid w:val="00AA2763"/>
    <w:rsid w:val="00AA33B6"/>
    <w:rsid w:val="00AB24B5"/>
    <w:rsid w:val="00AB29BC"/>
    <w:rsid w:val="00AB50CA"/>
    <w:rsid w:val="00AB6D64"/>
    <w:rsid w:val="00AC5124"/>
    <w:rsid w:val="00AC53CE"/>
    <w:rsid w:val="00AD2193"/>
    <w:rsid w:val="00AD5637"/>
    <w:rsid w:val="00AE1358"/>
    <w:rsid w:val="00AF226B"/>
    <w:rsid w:val="00AF2AC7"/>
    <w:rsid w:val="00AF74CE"/>
    <w:rsid w:val="00B03417"/>
    <w:rsid w:val="00B11FB3"/>
    <w:rsid w:val="00B20456"/>
    <w:rsid w:val="00B208DB"/>
    <w:rsid w:val="00B23F69"/>
    <w:rsid w:val="00B4074A"/>
    <w:rsid w:val="00B508FF"/>
    <w:rsid w:val="00B51991"/>
    <w:rsid w:val="00B539E6"/>
    <w:rsid w:val="00B5622E"/>
    <w:rsid w:val="00B60619"/>
    <w:rsid w:val="00B66A70"/>
    <w:rsid w:val="00B67366"/>
    <w:rsid w:val="00B70A57"/>
    <w:rsid w:val="00B80EE1"/>
    <w:rsid w:val="00B819F9"/>
    <w:rsid w:val="00B84135"/>
    <w:rsid w:val="00B87E7B"/>
    <w:rsid w:val="00B918D0"/>
    <w:rsid w:val="00B92C21"/>
    <w:rsid w:val="00BA2B5F"/>
    <w:rsid w:val="00BB2758"/>
    <w:rsid w:val="00BB3DF1"/>
    <w:rsid w:val="00BB5E81"/>
    <w:rsid w:val="00BF29D2"/>
    <w:rsid w:val="00C04D34"/>
    <w:rsid w:val="00C05DF8"/>
    <w:rsid w:val="00C06864"/>
    <w:rsid w:val="00C10F54"/>
    <w:rsid w:val="00C16575"/>
    <w:rsid w:val="00C23D8D"/>
    <w:rsid w:val="00C37AA3"/>
    <w:rsid w:val="00C37FD7"/>
    <w:rsid w:val="00C40FB4"/>
    <w:rsid w:val="00C43419"/>
    <w:rsid w:val="00C44CF3"/>
    <w:rsid w:val="00C47C35"/>
    <w:rsid w:val="00C54AE4"/>
    <w:rsid w:val="00C61BE0"/>
    <w:rsid w:val="00C6263E"/>
    <w:rsid w:val="00C6707E"/>
    <w:rsid w:val="00C70B0E"/>
    <w:rsid w:val="00C744FE"/>
    <w:rsid w:val="00C773CA"/>
    <w:rsid w:val="00C83785"/>
    <w:rsid w:val="00C94C0D"/>
    <w:rsid w:val="00CA1FEB"/>
    <w:rsid w:val="00CA59F7"/>
    <w:rsid w:val="00CA6E25"/>
    <w:rsid w:val="00CA7F0B"/>
    <w:rsid w:val="00CB4427"/>
    <w:rsid w:val="00CB621F"/>
    <w:rsid w:val="00CC3292"/>
    <w:rsid w:val="00CD2926"/>
    <w:rsid w:val="00CD4F85"/>
    <w:rsid w:val="00CD6F02"/>
    <w:rsid w:val="00CE246D"/>
    <w:rsid w:val="00CE3C99"/>
    <w:rsid w:val="00CF07A0"/>
    <w:rsid w:val="00CF3E03"/>
    <w:rsid w:val="00D0082A"/>
    <w:rsid w:val="00D21455"/>
    <w:rsid w:val="00D231D3"/>
    <w:rsid w:val="00D23433"/>
    <w:rsid w:val="00D270A2"/>
    <w:rsid w:val="00D31828"/>
    <w:rsid w:val="00D33F3D"/>
    <w:rsid w:val="00D3461D"/>
    <w:rsid w:val="00D37C5C"/>
    <w:rsid w:val="00D450BA"/>
    <w:rsid w:val="00D47634"/>
    <w:rsid w:val="00D57666"/>
    <w:rsid w:val="00D63CF4"/>
    <w:rsid w:val="00D709B3"/>
    <w:rsid w:val="00D85180"/>
    <w:rsid w:val="00D918FA"/>
    <w:rsid w:val="00D94769"/>
    <w:rsid w:val="00DA2ED6"/>
    <w:rsid w:val="00DB76B8"/>
    <w:rsid w:val="00DC09FC"/>
    <w:rsid w:val="00DC2EA1"/>
    <w:rsid w:val="00DC2FD7"/>
    <w:rsid w:val="00DD4198"/>
    <w:rsid w:val="00DD6AAF"/>
    <w:rsid w:val="00DD7028"/>
    <w:rsid w:val="00DE16A9"/>
    <w:rsid w:val="00DE3F5C"/>
    <w:rsid w:val="00DE6D4E"/>
    <w:rsid w:val="00DF1D20"/>
    <w:rsid w:val="00E05C29"/>
    <w:rsid w:val="00E21324"/>
    <w:rsid w:val="00E23F82"/>
    <w:rsid w:val="00E246B9"/>
    <w:rsid w:val="00E31FEA"/>
    <w:rsid w:val="00E33165"/>
    <w:rsid w:val="00E33C42"/>
    <w:rsid w:val="00E34DC0"/>
    <w:rsid w:val="00E417D5"/>
    <w:rsid w:val="00E44DE8"/>
    <w:rsid w:val="00E45169"/>
    <w:rsid w:val="00E47787"/>
    <w:rsid w:val="00E51C30"/>
    <w:rsid w:val="00E64180"/>
    <w:rsid w:val="00E64FA6"/>
    <w:rsid w:val="00E74AEE"/>
    <w:rsid w:val="00E82C3B"/>
    <w:rsid w:val="00E868E5"/>
    <w:rsid w:val="00E8746A"/>
    <w:rsid w:val="00E920F4"/>
    <w:rsid w:val="00E9237A"/>
    <w:rsid w:val="00E9250D"/>
    <w:rsid w:val="00E939FA"/>
    <w:rsid w:val="00E968E5"/>
    <w:rsid w:val="00E96F20"/>
    <w:rsid w:val="00E97F75"/>
    <w:rsid w:val="00EA0A40"/>
    <w:rsid w:val="00EA4C8E"/>
    <w:rsid w:val="00EA5765"/>
    <w:rsid w:val="00EC10E9"/>
    <w:rsid w:val="00EC2532"/>
    <w:rsid w:val="00EC55D2"/>
    <w:rsid w:val="00ED0A96"/>
    <w:rsid w:val="00ED0CD4"/>
    <w:rsid w:val="00ED7812"/>
    <w:rsid w:val="00EE2195"/>
    <w:rsid w:val="00EF3B86"/>
    <w:rsid w:val="00EF714E"/>
    <w:rsid w:val="00F15040"/>
    <w:rsid w:val="00F155F0"/>
    <w:rsid w:val="00F23F4B"/>
    <w:rsid w:val="00F257E6"/>
    <w:rsid w:val="00F317E9"/>
    <w:rsid w:val="00F34554"/>
    <w:rsid w:val="00F35AF4"/>
    <w:rsid w:val="00F37145"/>
    <w:rsid w:val="00F45F77"/>
    <w:rsid w:val="00F5167F"/>
    <w:rsid w:val="00F52258"/>
    <w:rsid w:val="00F63D64"/>
    <w:rsid w:val="00F74DA0"/>
    <w:rsid w:val="00F8423E"/>
    <w:rsid w:val="00F8570A"/>
    <w:rsid w:val="00F91C7B"/>
    <w:rsid w:val="00F947B9"/>
    <w:rsid w:val="00FA32AB"/>
    <w:rsid w:val="00FA5FAA"/>
    <w:rsid w:val="00FB157A"/>
    <w:rsid w:val="00FD290B"/>
    <w:rsid w:val="00FD786D"/>
    <w:rsid w:val="00FE064B"/>
    <w:rsid w:val="00FF0DDE"/>
    <w:rsid w:val="00FF5F8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90997"/>
  <w15:docId w15:val="{CCD8B6DE-6430-4420-BB10-C5808041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r-Latn-ME" w:eastAsia="sr-Latn-ME"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8FA"/>
  </w:style>
  <w:style w:type="paragraph" w:styleId="Heading1">
    <w:name w:val="heading 1"/>
    <w:basedOn w:val="Normal"/>
    <w:next w:val="Normal"/>
    <w:link w:val="Heading1Char"/>
    <w:uiPriority w:val="9"/>
    <w:qFormat/>
    <w:rsid w:val="00D918F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D918F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D918F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18F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18F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18F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18F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18F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18F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6B9"/>
    <w:pPr>
      <w:tabs>
        <w:tab w:val="center" w:pos="4320"/>
        <w:tab w:val="right" w:pos="8640"/>
      </w:tabs>
    </w:pPr>
  </w:style>
  <w:style w:type="paragraph" w:styleId="Footer">
    <w:name w:val="footer"/>
    <w:basedOn w:val="Normal"/>
    <w:rsid w:val="00E246B9"/>
    <w:pPr>
      <w:tabs>
        <w:tab w:val="center" w:pos="4320"/>
        <w:tab w:val="right" w:pos="8640"/>
      </w:tabs>
    </w:pPr>
  </w:style>
  <w:style w:type="character" w:styleId="PageNumber">
    <w:name w:val="page number"/>
    <w:basedOn w:val="DefaultParagraphFont"/>
    <w:rsid w:val="00E246B9"/>
  </w:style>
  <w:style w:type="numbering" w:styleId="111111">
    <w:name w:val="Outline List 2"/>
    <w:basedOn w:val="NoList"/>
    <w:rsid w:val="00E246B9"/>
    <w:pPr>
      <w:numPr>
        <w:numId w:val="3"/>
      </w:numPr>
    </w:pPr>
  </w:style>
  <w:style w:type="character" w:styleId="CommentReference">
    <w:name w:val="annotation reference"/>
    <w:semiHidden/>
    <w:rsid w:val="005A0B2E"/>
    <w:rPr>
      <w:sz w:val="16"/>
      <w:szCs w:val="16"/>
    </w:rPr>
  </w:style>
  <w:style w:type="paragraph" w:styleId="CommentText">
    <w:name w:val="annotation text"/>
    <w:basedOn w:val="Normal"/>
    <w:link w:val="CommentTextChar"/>
    <w:semiHidden/>
    <w:rsid w:val="005A0B2E"/>
    <w:rPr>
      <w:sz w:val="20"/>
      <w:szCs w:val="20"/>
    </w:rPr>
  </w:style>
  <w:style w:type="paragraph" w:styleId="CommentSubject">
    <w:name w:val="annotation subject"/>
    <w:basedOn w:val="CommentText"/>
    <w:next w:val="CommentText"/>
    <w:semiHidden/>
    <w:rsid w:val="005A0B2E"/>
    <w:rPr>
      <w:b/>
      <w:bCs/>
    </w:rPr>
  </w:style>
  <w:style w:type="paragraph" w:styleId="BalloonText">
    <w:name w:val="Balloon Text"/>
    <w:basedOn w:val="Normal"/>
    <w:semiHidden/>
    <w:rsid w:val="005A0B2E"/>
    <w:rPr>
      <w:rFonts w:ascii="Tahoma" w:hAnsi="Tahoma" w:cs="Tahoma"/>
      <w:sz w:val="16"/>
      <w:szCs w:val="16"/>
    </w:rPr>
  </w:style>
  <w:style w:type="paragraph" w:styleId="NoSpacing">
    <w:name w:val="No Spacing"/>
    <w:uiPriority w:val="1"/>
    <w:qFormat/>
    <w:rsid w:val="00D918FA"/>
    <w:pPr>
      <w:spacing w:after="0" w:line="240" w:lineRule="auto"/>
    </w:pPr>
  </w:style>
  <w:style w:type="character" w:customStyle="1" w:styleId="CommentTextChar">
    <w:name w:val="Comment Text Char"/>
    <w:link w:val="CommentText"/>
    <w:semiHidden/>
    <w:rsid w:val="008A6D43"/>
    <w:rPr>
      <w:lang w:val="en-US" w:eastAsia="en-US"/>
    </w:rPr>
  </w:style>
  <w:style w:type="character" w:styleId="Hyperlink">
    <w:name w:val="Hyperlink"/>
    <w:basedOn w:val="DefaultParagraphFont"/>
    <w:rsid w:val="004E70AD"/>
    <w:rPr>
      <w:color w:val="0563C1" w:themeColor="hyperlink"/>
      <w:u w:val="single"/>
    </w:rPr>
  </w:style>
  <w:style w:type="paragraph" w:customStyle="1" w:styleId="Default">
    <w:name w:val="Default"/>
    <w:rsid w:val="00F257E6"/>
    <w:pPr>
      <w:autoSpaceDE w:val="0"/>
      <w:autoSpaceDN w:val="0"/>
      <w:adjustRightInd w:val="0"/>
    </w:pPr>
    <w:rPr>
      <w:color w:val="000000"/>
      <w:sz w:val="24"/>
      <w:szCs w:val="24"/>
      <w:lang w:val="sr-Latn-RS"/>
    </w:rPr>
  </w:style>
  <w:style w:type="table" w:styleId="TableGrid">
    <w:name w:val="Table Grid"/>
    <w:basedOn w:val="TableNormal"/>
    <w:rsid w:val="00F25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D75"/>
    <w:pPr>
      <w:ind w:left="720"/>
      <w:contextualSpacing/>
    </w:pPr>
  </w:style>
  <w:style w:type="character" w:customStyle="1" w:styleId="Heading1Char">
    <w:name w:val="Heading 1 Char"/>
    <w:basedOn w:val="DefaultParagraphFont"/>
    <w:link w:val="Heading1"/>
    <w:uiPriority w:val="9"/>
    <w:rsid w:val="00D918FA"/>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D918FA"/>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D918F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18F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18F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18F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18F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18F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18F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18F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18F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D918F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D918F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18F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18FA"/>
    <w:rPr>
      <w:b/>
      <w:bCs/>
    </w:rPr>
  </w:style>
  <w:style w:type="character" w:styleId="Emphasis">
    <w:name w:val="Emphasis"/>
    <w:basedOn w:val="DefaultParagraphFont"/>
    <w:uiPriority w:val="20"/>
    <w:qFormat/>
    <w:rsid w:val="00D918FA"/>
    <w:rPr>
      <w:i/>
      <w:iCs/>
    </w:rPr>
  </w:style>
  <w:style w:type="paragraph" w:styleId="Quote">
    <w:name w:val="Quote"/>
    <w:basedOn w:val="Normal"/>
    <w:next w:val="Normal"/>
    <w:link w:val="QuoteChar"/>
    <w:uiPriority w:val="29"/>
    <w:qFormat/>
    <w:rsid w:val="00D918F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18FA"/>
    <w:rPr>
      <w:i/>
      <w:iCs/>
    </w:rPr>
  </w:style>
  <w:style w:type="paragraph" w:styleId="IntenseQuote">
    <w:name w:val="Intense Quote"/>
    <w:basedOn w:val="Normal"/>
    <w:next w:val="Normal"/>
    <w:link w:val="IntenseQuoteChar"/>
    <w:uiPriority w:val="30"/>
    <w:qFormat/>
    <w:rsid w:val="00D918F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918F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918FA"/>
    <w:rPr>
      <w:i/>
      <w:iCs/>
      <w:color w:val="595959" w:themeColor="text1" w:themeTint="A6"/>
    </w:rPr>
  </w:style>
  <w:style w:type="character" w:styleId="IntenseEmphasis">
    <w:name w:val="Intense Emphasis"/>
    <w:basedOn w:val="DefaultParagraphFont"/>
    <w:uiPriority w:val="21"/>
    <w:qFormat/>
    <w:rsid w:val="00D918FA"/>
    <w:rPr>
      <w:b/>
      <w:bCs/>
      <w:i/>
      <w:iCs/>
    </w:rPr>
  </w:style>
  <w:style w:type="character" w:styleId="SubtleReference">
    <w:name w:val="Subtle Reference"/>
    <w:basedOn w:val="DefaultParagraphFont"/>
    <w:uiPriority w:val="31"/>
    <w:qFormat/>
    <w:rsid w:val="00D918FA"/>
    <w:rPr>
      <w:smallCaps/>
      <w:color w:val="404040" w:themeColor="text1" w:themeTint="BF"/>
    </w:rPr>
  </w:style>
  <w:style w:type="character" w:styleId="IntenseReference">
    <w:name w:val="Intense Reference"/>
    <w:basedOn w:val="DefaultParagraphFont"/>
    <w:uiPriority w:val="32"/>
    <w:qFormat/>
    <w:rsid w:val="00D918FA"/>
    <w:rPr>
      <w:b/>
      <w:bCs/>
      <w:smallCaps/>
      <w:u w:val="single"/>
    </w:rPr>
  </w:style>
  <w:style w:type="character" w:styleId="BookTitle">
    <w:name w:val="Book Title"/>
    <w:basedOn w:val="DefaultParagraphFont"/>
    <w:uiPriority w:val="33"/>
    <w:qFormat/>
    <w:rsid w:val="00D918FA"/>
    <w:rPr>
      <w:b/>
      <w:bCs/>
      <w:smallCaps/>
    </w:rPr>
  </w:style>
  <w:style w:type="paragraph" w:styleId="TOCHeading">
    <w:name w:val="TOC Heading"/>
    <w:basedOn w:val="Heading1"/>
    <w:next w:val="Normal"/>
    <w:uiPriority w:val="39"/>
    <w:semiHidden/>
    <w:unhideWhenUsed/>
    <w:qFormat/>
    <w:rsid w:val="00D918FA"/>
    <w:pPr>
      <w:outlineLvl w:val="9"/>
    </w:pPr>
  </w:style>
  <w:style w:type="character" w:customStyle="1" w:styleId="markedcontent">
    <w:name w:val="markedcontent"/>
    <w:basedOn w:val="DefaultParagraphFont"/>
    <w:rsid w:val="00F3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med.me" TargetMode="Externa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zeljenadejstva@cinmed.me"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06FA-C98D-4161-A586-9F2FA767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30</Pages>
  <Words>13166</Words>
  <Characters>75050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Obrazac za SmPC</vt:lpstr>
    </vt:vector>
  </TitlesOfParts>
  <Company>CInMED</Company>
  <LinksUpToDate>false</LinksUpToDate>
  <CharactersWithSpaces>88040</CharactersWithSpaces>
  <SharedDoc>false</SharedDoc>
  <HLinks>
    <vt:vector size="12" baseType="variant">
      <vt:variant>
        <vt:i4>2621465</vt:i4>
      </vt:variant>
      <vt:variant>
        <vt:i4>3</vt:i4>
      </vt:variant>
      <vt:variant>
        <vt:i4>0</vt:i4>
      </vt:variant>
      <vt:variant>
        <vt:i4>5</vt:i4>
      </vt:variant>
      <vt:variant>
        <vt:lpwstr>mailto:nezeljenadejstva@calims.me</vt:lpwstr>
      </vt:variant>
      <vt:variant>
        <vt:lpwstr/>
      </vt:variant>
      <vt:variant>
        <vt:i4>131142</vt:i4>
      </vt:variant>
      <vt:variant>
        <vt:i4>0</vt:i4>
      </vt:variant>
      <vt:variant>
        <vt:i4>0</vt:i4>
      </vt:variant>
      <vt:variant>
        <vt:i4>5</vt:i4>
      </vt:variant>
      <vt:variant>
        <vt:lpwstr>http://www.calims.me/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za SmPC</dc:title>
  <dc:creator>Tatjana Banković</dc:creator>
  <dc:description>Sažetak karakteristika lijeka</dc:description>
  <cp:lastModifiedBy>Tijana Mićović</cp:lastModifiedBy>
  <cp:revision>123</cp:revision>
  <cp:lastPrinted>2021-04-06T22:31:00Z</cp:lastPrinted>
  <dcterms:created xsi:type="dcterms:W3CDTF">2022-11-18T10:53:00Z</dcterms:created>
  <dcterms:modified xsi:type="dcterms:W3CDTF">2022-12-22T06:54:00Z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