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554" w:rsidRPr="003A21B4" w:rsidRDefault="00C47554" w:rsidP="003A21B4">
      <w:pPr>
        <w:widowControl/>
        <w:autoSpaceDE/>
        <w:autoSpaceDN/>
        <w:jc w:val="center"/>
        <w:rPr>
          <w:b/>
          <w:bCs/>
          <w:iCs/>
          <w:u w:val="single"/>
          <w:lang w:val="sr-Latn-ME"/>
        </w:rPr>
      </w:pPr>
      <w:r w:rsidRPr="003A21B4">
        <w:rPr>
          <w:b/>
          <w:bCs/>
          <w:iCs/>
          <w:u w:val="single"/>
          <w:lang w:val="sr-Latn-ME"/>
        </w:rPr>
        <w:t>SAŽETAK KARAKTERISTIKA LIJEKA</w:t>
      </w:r>
    </w:p>
    <w:p w:rsidR="0084478E" w:rsidRPr="003A21B4" w:rsidRDefault="0084478E" w:rsidP="003A21B4">
      <w:pPr>
        <w:widowControl/>
        <w:autoSpaceDE/>
        <w:autoSpaceDN/>
        <w:jc w:val="center"/>
        <w:rPr>
          <w:b/>
          <w:bCs/>
          <w:iCs/>
          <w:u w:val="single"/>
          <w:lang w:val="sr-Latn-ME"/>
        </w:rPr>
      </w:pPr>
    </w:p>
    <w:p w:rsidR="0084478E" w:rsidRPr="003A21B4" w:rsidRDefault="0084478E" w:rsidP="003A21B4">
      <w:pPr>
        <w:pStyle w:val="BodyText"/>
        <w:rPr>
          <w:lang w:val="sr-Latn-ME"/>
        </w:rPr>
      </w:pPr>
    </w:p>
    <w:p w:rsidR="0084478E" w:rsidRPr="003A21B4" w:rsidRDefault="00200D97" w:rsidP="00865DA5">
      <w:pPr>
        <w:widowControl/>
        <w:numPr>
          <w:ilvl w:val="0"/>
          <w:numId w:val="11"/>
        </w:numPr>
        <w:tabs>
          <w:tab w:val="left" w:pos="540"/>
          <w:tab w:val="left" w:pos="569"/>
        </w:tabs>
        <w:autoSpaceDE/>
        <w:autoSpaceDN/>
        <w:ind w:left="0" w:firstLine="0"/>
        <w:jc w:val="both"/>
        <w:rPr>
          <w:b/>
          <w:bCs/>
          <w:lang w:val="sr-Latn-ME"/>
        </w:rPr>
      </w:pPr>
      <w:bookmarkStart w:id="0" w:name="SAŽETAK_OPISA_SVOJSTAVA_LIJEKA"/>
      <w:bookmarkEnd w:id="0"/>
      <w:r w:rsidRPr="003A21B4">
        <w:rPr>
          <w:b/>
          <w:bCs/>
          <w:lang w:val="sr-Latn-ME"/>
        </w:rPr>
        <w:t>NAZIV LIJEKA</w:t>
      </w:r>
    </w:p>
    <w:p w:rsidR="003A21B4" w:rsidRDefault="003A21B4" w:rsidP="003A21B4">
      <w:pPr>
        <w:pStyle w:val="BodyText"/>
        <w:jc w:val="both"/>
        <w:rPr>
          <w:lang w:val="sr-Latn-ME"/>
        </w:rPr>
      </w:pPr>
    </w:p>
    <w:p w:rsidR="00AE0C61" w:rsidRPr="00865DA5" w:rsidRDefault="00AE0C61" w:rsidP="003A21B4">
      <w:pPr>
        <w:pStyle w:val="BodyText"/>
        <w:jc w:val="both"/>
        <w:rPr>
          <w:lang w:val="sr-Latn-ME"/>
        </w:rPr>
      </w:pPr>
      <w:r w:rsidRPr="00865DA5">
        <w:rPr>
          <w:lang w:val="sr-Latn-ME"/>
        </w:rPr>
        <w:t>Cisplatinum Accord, 1 mg/ml, koncentrat za rastvor za infuziju</w:t>
      </w:r>
    </w:p>
    <w:p w:rsidR="003A21B4" w:rsidRDefault="003A21B4" w:rsidP="003A21B4">
      <w:pPr>
        <w:pStyle w:val="BodyText"/>
        <w:jc w:val="both"/>
        <w:rPr>
          <w:lang w:val="sr-Latn-ME"/>
        </w:rPr>
      </w:pPr>
    </w:p>
    <w:p w:rsidR="00D21904" w:rsidRDefault="00D21904" w:rsidP="003A21B4">
      <w:pPr>
        <w:pStyle w:val="BodyText"/>
        <w:jc w:val="both"/>
        <w:rPr>
          <w:lang w:val="sr-Latn-ME"/>
        </w:rPr>
      </w:pPr>
      <w:r w:rsidRPr="003A21B4">
        <w:rPr>
          <w:lang w:val="sr-Latn-ME"/>
        </w:rPr>
        <w:t>INN:</w:t>
      </w:r>
      <w:r w:rsidR="00AE0C61" w:rsidRPr="003A21B4">
        <w:rPr>
          <w:lang w:val="sr-Latn-ME"/>
        </w:rPr>
        <w:t xml:space="preserve">  cisplatin</w:t>
      </w:r>
    </w:p>
    <w:p w:rsidR="003A21B4" w:rsidRDefault="003A21B4" w:rsidP="003A21B4">
      <w:pPr>
        <w:pStyle w:val="BodyText"/>
        <w:jc w:val="both"/>
        <w:rPr>
          <w:lang w:val="sr-Latn-ME"/>
        </w:rPr>
      </w:pPr>
    </w:p>
    <w:p w:rsidR="003A21B4" w:rsidRPr="003A21B4" w:rsidRDefault="003A21B4" w:rsidP="003A21B4">
      <w:pPr>
        <w:pStyle w:val="BodyText"/>
        <w:jc w:val="both"/>
        <w:rPr>
          <w:lang w:val="sr-Latn-ME"/>
        </w:rPr>
      </w:pPr>
    </w:p>
    <w:p w:rsidR="0084478E" w:rsidRPr="003A21B4" w:rsidRDefault="00200D97" w:rsidP="00865DA5">
      <w:pPr>
        <w:widowControl/>
        <w:numPr>
          <w:ilvl w:val="0"/>
          <w:numId w:val="11"/>
        </w:numPr>
        <w:tabs>
          <w:tab w:val="left" w:pos="540"/>
          <w:tab w:val="left" w:pos="569"/>
        </w:tabs>
        <w:autoSpaceDE/>
        <w:autoSpaceDN/>
        <w:ind w:left="0" w:firstLine="0"/>
        <w:jc w:val="both"/>
        <w:rPr>
          <w:b/>
          <w:bCs/>
          <w:lang w:val="sr-Latn-ME"/>
        </w:rPr>
      </w:pPr>
      <w:r w:rsidRPr="003A21B4">
        <w:rPr>
          <w:b/>
          <w:bCs/>
          <w:lang w:val="sr-Latn-ME"/>
        </w:rPr>
        <w:t>KVALITATIVNI I KVANTITATIVNI SASTAV</w:t>
      </w:r>
    </w:p>
    <w:p w:rsidR="003A21B4" w:rsidRDefault="003A21B4" w:rsidP="003A21B4">
      <w:pPr>
        <w:adjustRightInd w:val="0"/>
        <w:ind w:right="425"/>
        <w:jc w:val="both"/>
        <w:rPr>
          <w:rFonts w:eastAsia="TimesNewRoman"/>
          <w:lang w:val="sr-Latn-ME"/>
        </w:rPr>
      </w:pPr>
    </w:p>
    <w:p w:rsidR="00AE0C61" w:rsidRPr="003A21B4" w:rsidRDefault="00AE0C61" w:rsidP="003A21B4">
      <w:pPr>
        <w:adjustRightInd w:val="0"/>
        <w:ind w:right="425"/>
        <w:jc w:val="both"/>
        <w:rPr>
          <w:rFonts w:eastAsia="TimesNewRoman"/>
          <w:lang w:val="sr-Latn-ME"/>
        </w:rPr>
      </w:pPr>
      <w:r w:rsidRPr="003A21B4">
        <w:rPr>
          <w:rFonts w:eastAsia="TimesNewRoman"/>
          <w:lang w:val="sr-Latn-ME"/>
        </w:rPr>
        <w:t>Aktivna supstanca je cisplatin.</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 xml:space="preserve">Jedan ml koncentrata za rastvor za infuziju sadrži 1 mg cisplatina. </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50 ml koncentrata za rastvor za infuziju sadrži 50 mg cisplatina</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Pomoćna supstanca sa potvrđenim dejstvom:</w:t>
      </w:r>
      <w:r w:rsidR="003A21B4">
        <w:rPr>
          <w:rFonts w:eastAsia="TimesNewRoman"/>
          <w:lang w:val="sr-Latn-ME"/>
        </w:rPr>
        <w:t xml:space="preserve"> </w:t>
      </w:r>
      <w:r w:rsidRPr="003A21B4">
        <w:rPr>
          <w:rFonts w:eastAsia="TimesNewRoman"/>
          <w:lang w:val="sr-Latn-ME"/>
        </w:rPr>
        <w:t>1 ml rastvora za infuziju sadrži 3,5 mg natrijuma.</w:t>
      </w:r>
    </w:p>
    <w:p w:rsidR="00AE0C61" w:rsidRPr="003A21B4" w:rsidRDefault="00AE0C61" w:rsidP="003A21B4">
      <w:pPr>
        <w:ind w:right="425"/>
        <w:jc w:val="both"/>
        <w:rPr>
          <w:lang w:val="sr-Latn-ME"/>
        </w:rPr>
      </w:pPr>
      <w:r w:rsidRPr="003A21B4">
        <w:rPr>
          <w:lang w:val="sr-Latn-ME"/>
        </w:rPr>
        <w:t>Za spisak svih ekscipijenasa, pogledati dio 6.1.</w:t>
      </w:r>
    </w:p>
    <w:p w:rsidR="00AE0C61" w:rsidRDefault="00AE0C61" w:rsidP="003A21B4">
      <w:pPr>
        <w:ind w:right="425"/>
        <w:jc w:val="both"/>
        <w:rPr>
          <w:lang w:val="sr-Latn-ME"/>
        </w:rPr>
      </w:pPr>
    </w:p>
    <w:p w:rsidR="003A21B4" w:rsidRPr="003A21B4" w:rsidRDefault="003A21B4" w:rsidP="00865DA5">
      <w:pPr>
        <w:ind w:right="425"/>
        <w:jc w:val="both"/>
        <w:rPr>
          <w:lang w:val="sr-Latn-ME"/>
        </w:rPr>
      </w:pPr>
    </w:p>
    <w:p w:rsidR="002C14A2" w:rsidRPr="003A21B4" w:rsidRDefault="00200D97" w:rsidP="00865DA5">
      <w:pPr>
        <w:widowControl/>
        <w:numPr>
          <w:ilvl w:val="0"/>
          <w:numId w:val="11"/>
        </w:numPr>
        <w:tabs>
          <w:tab w:val="left" w:pos="540"/>
          <w:tab w:val="left" w:pos="569"/>
        </w:tabs>
        <w:autoSpaceDE/>
        <w:autoSpaceDN/>
        <w:ind w:left="0" w:firstLine="0"/>
        <w:jc w:val="both"/>
        <w:rPr>
          <w:lang w:val="sr-Latn-ME"/>
        </w:rPr>
      </w:pPr>
      <w:r w:rsidRPr="003A21B4">
        <w:rPr>
          <w:b/>
          <w:lang w:val="sr-Latn-ME"/>
        </w:rPr>
        <w:t xml:space="preserve">FARMACEUTSKI </w:t>
      </w:r>
      <w:r w:rsidRPr="003A21B4">
        <w:rPr>
          <w:b/>
          <w:spacing w:val="-4"/>
          <w:lang w:val="sr-Latn-ME"/>
        </w:rPr>
        <w:t xml:space="preserve">OBLIK </w:t>
      </w:r>
    </w:p>
    <w:p w:rsidR="003A21B4" w:rsidRDefault="003A21B4" w:rsidP="003A21B4">
      <w:pPr>
        <w:adjustRightInd w:val="0"/>
        <w:ind w:right="425"/>
        <w:jc w:val="both"/>
        <w:rPr>
          <w:rFonts w:eastAsia="TimesNewRoman"/>
          <w:lang w:val="sr-Latn-ME"/>
        </w:rPr>
      </w:pPr>
    </w:p>
    <w:p w:rsidR="00AE0C61" w:rsidRPr="003A21B4" w:rsidRDefault="00AE0C61" w:rsidP="003A21B4">
      <w:pPr>
        <w:adjustRightInd w:val="0"/>
        <w:ind w:right="425"/>
        <w:jc w:val="both"/>
        <w:rPr>
          <w:rFonts w:eastAsia="TimesNewRoman"/>
          <w:lang w:val="sr-Latn-ME"/>
        </w:rPr>
      </w:pPr>
      <w:r w:rsidRPr="003A21B4">
        <w:rPr>
          <w:rFonts w:eastAsia="TimesNewRoman"/>
          <w:lang w:val="sr-Latn-ME"/>
        </w:rPr>
        <w:t>Koncentrat za rastvor za infuziju.</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Bistar, bezbojan do svijetložut rastvor u staklenoj bočici od tamnog stakla, praktično bez čestica.</w:t>
      </w:r>
    </w:p>
    <w:p w:rsidR="00AE0C61" w:rsidRPr="003A21B4" w:rsidRDefault="00AE0C61" w:rsidP="003A21B4">
      <w:pPr>
        <w:adjustRightInd w:val="0"/>
        <w:ind w:right="425"/>
        <w:jc w:val="both"/>
        <w:rPr>
          <w:rFonts w:eastAsia="TimesNewRoman"/>
          <w:lang w:val="sr-Latn-ME"/>
        </w:rPr>
      </w:pPr>
    </w:p>
    <w:p w:rsidR="0084478E" w:rsidRDefault="00200D97" w:rsidP="00865DA5">
      <w:pPr>
        <w:widowControl/>
        <w:numPr>
          <w:ilvl w:val="0"/>
          <w:numId w:val="11"/>
        </w:numPr>
        <w:tabs>
          <w:tab w:val="left" w:pos="540"/>
          <w:tab w:val="left" w:pos="569"/>
        </w:tabs>
        <w:autoSpaceDE/>
        <w:autoSpaceDN/>
        <w:ind w:left="0" w:firstLine="0"/>
        <w:jc w:val="both"/>
        <w:rPr>
          <w:b/>
          <w:bCs/>
          <w:lang w:val="sr-Latn-ME"/>
        </w:rPr>
      </w:pPr>
      <w:r w:rsidRPr="003A21B4">
        <w:rPr>
          <w:b/>
          <w:bCs/>
          <w:lang w:val="sr-Latn-ME"/>
        </w:rPr>
        <w:t>KLINIČKI PODACI</w:t>
      </w:r>
    </w:p>
    <w:p w:rsidR="003A21B4" w:rsidRPr="003A21B4" w:rsidRDefault="003A21B4" w:rsidP="003A21B4">
      <w:pPr>
        <w:widowControl/>
        <w:tabs>
          <w:tab w:val="left" w:pos="540"/>
          <w:tab w:val="left" w:pos="569"/>
        </w:tabs>
        <w:autoSpaceDE/>
        <w:autoSpaceDN/>
        <w:jc w:val="both"/>
        <w:rPr>
          <w:b/>
          <w:bCs/>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Terapijske indikacije</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Lijek Cisplatinum Accord je indikovan u liječenju:</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 uznapredovalog ili metastatskog karcinoma testisa</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 uznapredovalog ili metastatskog karcinoma jajnika</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 uznapredovalog ili metastatskog karcinoma bešike</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 uznapredovalog ili metastatskog karcinoma skvamoznih ćelija glave i vrata</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 uznapredovalog ili metastatskog nemikrocelularnog karcinoma pluća</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 uznapredovalog ili metastatskog mikrocelularnog karcinoma pluća.</w:t>
      </w:r>
    </w:p>
    <w:p w:rsidR="00AE0C61" w:rsidRPr="003A21B4" w:rsidRDefault="00AE0C61" w:rsidP="003A21B4">
      <w:pPr>
        <w:adjustRightInd w:val="0"/>
        <w:ind w:right="425"/>
        <w:jc w:val="both"/>
        <w:rPr>
          <w:rFonts w:eastAsia="TimesNewRoman"/>
          <w:lang w:val="sr-Latn-ME"/>
        </w:rPr>
      </w:pPr>
    </w:p>
    <w:p w:rsidR="00AE0C61" w:rsidRPr="003A21B4" w:rsidRDefault="00AE0C61" w:rsidP="003A21B4">
      <w:pPr>
        <w:adjustRightInd w:val="0"/>
        <w:ind w:right="425"/>
        <w:jc w:val="both"/>
        <w:rPr>
          <w:rFonts w:eastAsia="TimesNewRoman"/>
          <w:lang w:val="sr-Latn-ME"/>
        </w:rPr>
      </w:pPr>
      <w:r w:rsidRPr="003A21B4">
        <w:rPr>
          <w:rFonts w:eastAsia="TimesNewRoman"/>
          <w:lang w:val="sr-Latn-ME"/>
        </w:rPr>
        <w:t>-</w:t>
      </w:r>
      <w:r w:rsidR="001D6188">
        <w:rPr>
          <w:rFonts w:eastAsia="TimesNewRoman"/>
          <w:lang w:val="sr-Latn-ME"/>
        </w:rPr>
        <w:t xml:space="preserve"> </w:t>
      </w:r>
      <w:r w:rsidRPr="003A21B4">
        <w:rPr>
          <w:rFonts w:eastAsia="TimesNewRoman"/>
          <w:lang w:val="sr-Latn-ME"/>
        </w:rPr>
        <w:t>Lijek Cisplatinum Accord je u kombinaciji sa drugom hemioterapijom i sa radioterapijom, indikovan u liječenju karcinoma grlića materice.</w:t>
      </w:r>
    </w:p>
    <w:p w:rsidR="00AE0C61" w:rsidRPr="003A21B4" w:rsidRDefault="00AE0C61" w:rsidP="00865DA5">
      <w:pPr>
        <w:widowControl/>
        <w:tabs>
          <w:tab w:val="left" w:pos="540"/>
          <w:tab w:val="left" w:pos="569"/>
        </w:tabs>
        <w:autoSpaceDE/>
        <w:autoSpaceDN/>
        <w:jc w:val="both"/>
        <w:rPr>
          <w:b/>
          <w:bCs/>
          <w:lang w:val="sr-Latn-ME"/>
        </w:rPr>
      </w:pPr>
      <w:r w:rsidRPr="003A21B4">
        <w:rPr>
          <w:rFonts w:eastAsia="TimesNewRoman"/>
          <w:lang w:val="sr-Latn-ME"/>
        </w:rPr>
        <w:t>-</w:t>
      </w:r>
      <w:r w:rsidR="001D6188">
        <w:rPr>
          <w:rFonts w:eastAsia="TimesNewRoman"/>
          <w:lang w:val="sr-Latn-ME"/>
        </w:rPr>
        <w:t xml:space="preserve"> </w:t>
      </w:r>
      <w:r w:rsidRPr="003A21B4">
        <w:rPr>
          <w:rFonts w:eastAsia="TimesNewRoman"/>
          <w:lang w:val="sr-Latn-ME"/>
        </w:rPr>
        <w:t>Lijek Cisplatinum Accord se može koristiti i u obliku monoterapije i u obliku kombinovane terapije.</w:t>
      </w:r>
    </w:p>
    <w:p w:rsidR="003A21B4" w:rsidRPr="003A21B4" w:rsidRDefault="003A21B4" w:rsidP="003A21B4">
      <w:pPr>
        <w:widowControl/>
        <w:tabs>
          <w:tab w:val="left" w:pos="540"/>
          <w:tab w:val="left" w:pos="569"/>
        </w:tabs>
        <w:autoSpaceDE/>
        <w:autoSpaceDN/>
        <w:jc w:val="both"/>
        <w:rPr>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lang w:val="sr-Latn-ME"/>
        </w:rPr>
      </w:pPr>
      <w:r w:rsidRPr="003A21B4">
        <w:rPr>
          <w:b/>
          <w:bCs/>
          <w:lang w:val="sr-Latn-ME"/>
        </w:rPr>
        <w:t>Doziranje i način primjene</w:t>
      </w:r>
    </w:p>
    <w:p w:rsidR="00AE0C61" w:rsidRPr="003A21B4" w:rsidRDefault="00AE0C61" w:rsidP="003A21B4">
      <w:pPr>
        <w:adjustRightInd w:val="0"/>
        <w:ind w:right="425"/>
        <w:jc w:val="both"/>
        <w:rPr>
          <w:rFonts w:eastAsia="TimesNewRoman"/>
          <w:u w:val="single"/>
          <w:lang w:val="sr-Latn-ME"/>
        </w:rPr>
      </w:pPr>
      <w:r w:rsidRPr="003A21B4">
        <w:rPr>
          <w:rFonts w:eastAsia="TimesNewRoman"/>
          <w:u w:val="single"/>
          <w:lang w:val="sr-Latn-ME"/>
        </w:rPr>
        <w:t>Doziranje</w:t>
      </w:r>
    </w:p>
    <w:p w:rsidR="00AE0C61" w:rsidRPr="003A21B4" w:rsidRDefault="00AE0C61" w:rsidP="003A21B4">
      <w:pPr>
        <w:adjustRightInd w:val="0"/>
        <w:ind w:right="425"/>
        <w:jc w:val="both"/>
        <w:rPr>
          <w:b/>
          <w:lang w:val="sr-Latn-ME"/>
        </w:rPr>
      </w:pPr>
      <w:r w:rsidRPr="003A21B4">
        <w:rPr>
          <w:b/>
          <w:lang w:val="sr-Latn-ME"/>
        </w:rPr>
        <w:t>Primjena kod odraslih i djece:</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Doziranje zavisi od primarne bolesti, od očekivane reakcije pacijenta, kao i od toga da li se cisplatin primjenjuje kao monoterapija ili kao komponenta kombinovane hemioterapije. Uputstva za doziranje se odnose i na odrasle i na djecu.</w:t>
      </w:r>
    </w:p>
    <w:p w:rsidR="00AE0C61" w:rsidRPr="003A21B4" w:rsidRDefault="00AE0C61" w:rsidP="003A21B4">
      <w:pPr>
        <w:adjustRightInd w:val="0"/>
        <w:ind w:right="425"/>
        <w:jc w:val="both"/>
        <w:rPr>
          <w:rFonts w:eastAsia="TimesNewRoman"/>
          <w:lang w:val="sr-Latn-ME"/>
        </w:rPr>
      </w:pPr>
    </w:p>
    <w:p w:rsidR="00AE0C61" w:rsidRPr="003A21B4" w:rsidRDefault="00AE0C61" w:rsidP="003A21B4">
      <w:pPr>
        <w:adjustRightInd w:val="0"/>
        <w:ind w:right="425"/>
        <w:jc w:val="both"/>
        <w:rPr>
          <w:rFonts w:eastAsia="TimesNewRoman"/>
          <w:lang w:val="sr-Latn-ME"/>
        </w:rPr>
      </w:pPr>
      <w:r w:rsidRPr="003A21B4">
        <w:rPr>
          <w:rFonts w:eastAsia="TimesNewRoman"/>
          <w:lang w:val="sr-Latn-ME"/>
        </w:rPr>
        <w:t xml:space="preserve">Kao </w:t>
      </w:r>
      <w:r w:rsidRPr="003A21B4">
        <w:rPr>
          <w:rFonts w:eastAsia="TimesNewRoman"/>
          <w:u w:val="single"/>
          <w:lang w:val="sr-Latn-ME"/>
        </w:rPr>
        <w:t>monoterapija</w:t>
      </w:r>
      <w:r w:rsidRPr="003A21B4">
        <w:rPr>
          <w:rFonts w:eastAsia="TimesNewRoman"/>
          <w:lang w:val="sr-Latn-ME"/>
        </w:rPr>
        <w:t xml:space="preserve"> preporučuje se primjena sljedeća dva dozna režima:</w:t>
      </w:r>
    </w:p>
    <w:p w:rsidR="00AE0C61" w:rsidRPr="003A21B4" w:rsidRDefault="00AE0C61" w:rsidP="003A21B4">
      <w:pPr>
        <w:adjustRightInd w:val="0"/>
        <w:ind w:right="425"/>
        <w:jc w:val="both"/>
        <w:rPr>
          <w:rFonts w:eastAsia="TimesNewRoman"/>
          <w:lang w:val="sr-Latn-ME"/>
        </w:rPr>
      </w:pPr>
    </w:p>
    <w:p w:rsidR="00AE0C61" w:rsidRPr="003A21B4" w:rsidRDefault="00AE0C61" w:rsidP="003A21B4">
      <w:pPr>
        <w:adjustRightInd w:val="0"/>
        <w:ind w:right="425"/>
        <w:jc w:val="both"/>
        <w:rPr>
          <w:rFonts w:eastAsia="TimesNewRoman"/>
          <w:lang w:val="sr-Latn-ME"/>
        </w:rPr>
      </w:pPr>
      <w:r w:rsidRPr="003A21B4">
        <w:rPr>
          <w:lang w:val="sr-Latn-ME"/>
        </w:rPr>
        <w:t xml:space="preserve">- </w:t>
      </w:r>
      <w:r w:rsidRPr="003A21B4">
        <w:rPr>
          <w:rFonts w:eastAsia="TimesNewRoman"/>
          <w:lang w:val="sr-Latn-ME"/>
        </w:rPr>
        <w:t>Pojedinačna doza od 50 do 120 mg/m</w:t>
      </w:r>
      <w:r w:rsidRPr="003A21B4">
        <w:rPr>
          <w:rFonts w:eastAsia="TimesNewRoman"/>
          <w:vertAlign w:val="superscript"/>
          <w:lang w:val="sr-Latn-ME"/>
        </w:rPr>
        <w:t>2</w:t>
      </w:r>
      <w:r w:rsidRPr="003A21B4">
        <w:rPr>
          <w:rFonts w:eastAsia="TimesNewRoman"/>
          <w:lang w:val="sr-Latn-ME"/>
        </w:rPr>
        <w:t xml:space="preserve"> tjelesne površine, svake 3 do 4 nedjelje;</w:t>
      </w:r>
    </w:p>
    <w:p w:rsidR="00AE0C61" w:rsidRPr="003A21B4" w:rsidRDefault="00AE0C61" w:rsidP="003A21B4">
      <w:pPr>
        <w:adjustRightInd w:val="0"/>
        <w:ind w:right="425"/>
        <w:jc w:val="both"/>
        <w:rPr>
          <w:rFonts w:eastAsia="TimesNewRoman"/>
          <w:lang w:val="sr-Latn-ME"/>
        </w:rPr>
      </w:pPr>
      <w:r w:rsidRPr="003A21B4">
        <w:rPr>
          <w:lang w:val="sr-Latn-ME"/>
        </w:rPr>
        <w:t xml:space="preserve">- </w:t>
      </w:r>
      <w:r w:rsidRPr="003A21B4">
        <w:rPr>
          <w:rFonts w:eastAsia="TimesNewRoman"/>
          <w:lang w:val="sr-Latn-ME"/>
        </w:rPr>
        <w:t>Doza od 15 do 20 mg/m</w:t>
      </w:r>
      <w:r w:rsidRPr="003A21B4">
        <w:rPr>
          <w:rFonts w:eastAsia="TimesNewRoman"/>
          <w:vertAlign w:val="superscript"/>
          <w:lang w:val="sr-Latn-ME"/>
        </w:rPr>
        <w:t>2</w:t>
      </w:r>
      <w:r w:rsidRPr="003A21B4">
        <w:rPr>
          <w:rFonts w:eastAsia="TimesNewRoman"/>
          <w:lang w:val="sr-Latn-ME"/>
        </w:rPr>
        <w:t>/dan u trajanju od 5 dana, svake 3 do 4 nedjelje.</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 xml:space="preserve">Ako se cisplatin koristi kao dio </w:t>
      </w:r>
      <w:r w:rsidRPr="003A21B4">
        <w:rPr>
          <w:rFonts w:eastAsia="TimesNewRoman"/>
          <w:u w:val="single"/>
          <w:lang w:val="sr-Latn-ME"/>
        </w:rPr>
        <w:t>kombinovan</w:t>
      </w:r>
      <w:r w:rsidRPr="003A21B4">
        <w:rPr>
          <w:rFonts w:eastAsia="TimesNewRoman"/>
          <w:lang w:val="sr-Latn-ME"/>
        </w:rPr>
        <w:t>e hemioterapije, onda se doza cisplatina mora smanjiti. Uobičajena doza u ovakvim slučajevima iznosi 20 mg/m</w:t>
      </w:r>
      <w:r w:rsidRPr="003A21B4">
        <w:rPr>
          <w:rFonts w:eastAsia="TimesNewRoman"/>
          <w:vertAlign w:val="superscript"/>
          <w:lang w:val="sr-Latn-ME"/>
        </w:rPr>
        <w:t>2</w:t>
      </w:r>
      <w:r w:rsidRPr="003A21B4">
        <w:rPr>
          <w:rFonts w:eastAsia="TimesNewRoman"/>
          <w:lang w:val="sr-Latn-ME"/>
        </w:rPr>
        <w:t xml:space="preserve"> ili više, jednom na svake 3 do 4 nedjelje.</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Za liječenje cervikalnog karcinoma, cisplatin se koristi u kombinaciji sa radioterapijom. Uobičajena doza iznosi 40 mg/m</w:t>
      </w:r>
      <w:r w:rsidRPr="003A21B4">
        <w:rPr>
          <w:rFonts w:eastAsia="TimesNewRoman"/>
          <w:vertAlign w:val="superscript"/>
          <w:lang w:val="sr-Latn-ME"/>
        </w:rPr>
        <w:t>2</w:t>
      </w:r>
      <w:r w:rsidRPr="003A21B4">
        <w:rPr>
          <w:rFonts w:eastAsia="TimesNewRoman"/>
          <w:lang w:val="sr-Latn-ME"/>
        </w:rPr>
        <w:t xml:space="preserve"> nedjeljno, u trajanju od 6 nedjelja.</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Za upozorenja i mjere opreza koje treba imati u vidu prije početka sljedećeg ciklusa terapije, vidjeti dio 4.4.</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lastRenderedPageBreak/>
        <w:t>Kod pacijenata sa poremećajem funkcije bubrega ili depresijom koštane srži, neophodno je na adekvatan način smanjiti dozu ovog lijeka (vidjeti dio 4.3).</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Cisplatin rastvor za infuziju, koji je pripremljen u skladu sa instrukcijama (vidjeti dio 6.6), trebalo bi primijeniti u vidu intravenske infuzije u trajanju od 6 do 8 sati.</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Neophodno je održavati adekvatnu hidrataciju pacijenta u periodu od 2 do 12 sati prije primjene, pa sve do najmanje 6 sati nakon primjene cisplatina. Hidratacija je neophodna da bi se izazvala dovoljna diureza tokom terapije, kao i nakon terapije cisplatinom. Hidratacija se postiže intravenskom infuzijom jednim od sljedećih rastvora:</w:t>
      </w:r>
    </w:p>
    <w:p w:rsidR="00AE0C61" w:rsidRPr="003A21B4" w:rsidRDefault="00AE0C61" w:rsidP="00865DA5">
      <w:pPr>
        <w:adjustRightInd w:val="0"/>
        <w:ind w:right="2"/>
        <w:jc w:val="both"/>
        <w:rPr>
          <w:rFonts w:eastAsia="TimesNewRoman"/>
          <w:lang w:val="sr-Latn-ME"/>
        </w:rPr>
      </w:pPr>
      <w:r w:rsidRPr="003A21B4">
        <w:rPr>
          <w:lang w:val="sr-Latn-ME"/>
        </w:rPr>
        <w:t xml:space="preserve">- </w:t>
      </w:r>
      <w:r w:rsidRPr="003A21B4">
        <w:rPr>
          <w:rFonts w:eastAsia="TimesNewRoman"/>
          <w:lang w:val="sr-Latn-ME"/>
        </w:rPr>
        <w:t xml:space="preserve">0,9% rastvor natrijum hlorida </w:t>
      </w:r>
    </w:p>
    <w:p w:rsidR="00AE0C61" w:rsidRPr="003A21B4" w:rsidRDefault="00AE0C61" w:rsidP="00865DA5">
      <w:pPr>
        <w:adjustRightInd w:val="0"/>
        <w:ind w:right="2"/>
        <w:jc w:val="both"/>
        <w:rPr>
          <w:rFonts w:eastAsia="TimesNewRoman"/>
          <w:lang w:val="sr-Latn-ME"/>
        </w:rPr>
      </w:pPr>
      <w:r w:rsidRPr="003A21B4">
        <w:rPr>
          <w:lang w:val="sr-Latn-ME"/>
        </w:rPr>
        <w:t xml:space="preserve">- </w:t>
      </w:r>
      <w:r w:rsidRPr="003A21B4">
        <w:rPr>
          <w:rFonts w:eastAsia="TimesNewRoman"/>
          <w:lang w:val="sr-Latn-ME"/>
        </w:rPr>
        <w:t>mješavina 0,9% rastvora natrijum hlorida i 5% rastvora glukoze (1:1).</w:t>
      </w:r>
    </w:p>
    <w:p w:rsidR="00AE0C61" w:rsidRPr="003A21B4" w:rsidRDefault="00AE0C61" w:rsidP="003A21B4">
      <w:pPr>
        <w:adjustRightInd w:val="0"/>
        <w:ind w:right="425"/>
        <w:jc w:val="both"/>
        <w:rPr>
          <w:rFonts w:eastAsia="TimesNewRoman"/>
          <w:lang w:val="sr-Latn-ME"/>
        </w:rPr>
      </w:pPr>
    </w:p>
    <w:p w:rsidR="00AE0C61" w:rsidRPr="003A21B4" w:rsidRDefault="00AE0C61" w:rsidP="003A21B4">
      <w:pPr>
        <w:adjustRightInd w:val="0"/>
        <w:ind w:right="425"/>
        <w:jc w:val="both"/>
        <w:rPr>
          <w:rFonts w:eastAsia="TimesNewRoman"/>
          <w:u w:val="single"/>
          <w:lang w:val="sr-Latn-ME"/>
        </w:rPr>
      </w:pPr>
      <w:r w:rsidRPr="003A21B4">
        <w:rPr>
          <w:rFonts w:eastAsia="TimesNewRoman"/>
          <w:u w:val="single"/>
          <w:lang w:val="sr-Latn-ME"/>
        </w:rPr>
        <w:t>Način primjene</w:t>
      </w:r>
    </w:p>
    <w:p w:rsidR="00AE0C61" w:rsidRPr="003A21B4" w:rsidRDefault="00AE0C61" w:rsidP="003A21B4">
      <w:pPr>
        <w:adjustRightInd w:val="0"/>
        <w:ind w:right="425"/>
        <w:jc w:val="both"/>
        <w:rPr>
          <w:rFonts w:eastAsia="TimesNewRoman"/>
          <w:u w:val="single"/>
          <w:lang w:val="sr-Latn-ME"/>
        </w:rPr>
      </w:pP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 xml:space="preserve">Lijek Cisplatinum Accord, 1 mg/ml, koncentrat za rastvor za infuziju prije primjene treba razblažiti. Detaljne instrukcije o razblaženju lijeka prije primjene navedene su u dijelu 6.6. </w:t>
      </w:r>
    </w:p>
    <w:p w:rsidR="00AE0C61" w:rsidRPr="003A21B4" w:rsidRDefault="00AE0C61" w:rsidP="00865DA5">
      <w:pPr>
        <w:tabs>
          <w:tab w:val="left" w:pos="8364"/>
        </w:tabs>
        <w:adjustRightInd w:val="0"/>
        <w:ind w:right="2"/>
        <w:jc w:val="both"/>
        <w:rPr>
          <w:rFonts w:eastAsia="TimesNewRoman"/>
          <w:lang w:val="sr-Latn-ME"/>
        </w:rPr>
      </w:pP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Razblaženi rastvor se mora primjenjivati isključivo intravenski, putem infuzije (pogledati donji tekst).</w:t>
      </w: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Prilikom primjene lijeka, ne smije se koristiti pribor (setovi za intravensku infuziju, igle, kateteri, špricevi) koji sadrži aluminijum, a može doći u kontakt sa lijekom Cisplatinum Accord.</w:t>
      </w:r>
    </w:p>
    <w:p w:rsidR="00AE0C61" w:rsidRPr="003A21B4" w:rsidRDefault="00AE0C61" w:rsidP="00865DA5">
      <w:pPr>
        <w:tabs>
          <w:tab w:val="left" w:pos="8364"/>
        </w:tabs>
        <w:adjustRightInd w:val="0"/>
        <w:ind w:right="2"/>
        <w:jc w:val="both"/>
        <w:rPr>
          <w:rFonts w:eastAsia="TimesNewRoman"/>
          <w:u w:val="single"/>
          <w:lang w:val="sr-Latn-ME"/>
        </w:rPr>
      </w:pP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Hidratacija prije terapije cisplatinom:</w:t>
      </w:r>
    </w:p>
    <w:p w:rsidR="00AE0C61" w:rsidRPr="003A21B4" w:rsidRDefault="00AE0C61" w:rsidP="00865DA5">
      <w:pPr>
        <w:tabs>
          <w:tab w:val="left" w:pos="8364"/>
        </w:tabs>
        <w:adjustRightInd w:val="0"/>
        <w:ind w:right="2"/>
        <w:jc w:val="both"/>
        <w:rPr>
          <w:rFonts w:eastAsia="TimesNewRoman"/>
          <w:lang w:val="sr-Latn-ME"/>
        </w:rPr>
      </w:pP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Intravenska infuzija od 100 do 200 ml/sat tokom 6 do 12 sati, sa ukupnom količinom od najmanje jednog litra.</w:t>
      </w:r>
    </w:p>
    <w:p w:rsidR="00AE0C61" w:rsidRPr="003A21B4" w:rsidRDefault="00AE0C61" w:rsidP="00865DA5">
      <w:pPr>
        <w:tabs>
          <w:tab w:val="left" w:pos="8364"/>
        </w:tabs>
        <w:adjustRightInd w:val="0"/>
        <w:ind w:right="2"/>
        <w:jc w:val="both"/>
        <w:rPr>
          <w:rFonts w:eastAsia="TimesNewRoman"/>
          <w:lang w:val="sr-Latn-ME"/>
        </w:rPr>
      </w:pP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Hidratacija nakon završetka primjene terapije cisplatinom:</w:t>
      </w:r>
    </w:p>
    <w:p w:rsidR="00AE0C61" w:rsidRPr="003A21B4" w:rsidRDefault="00AE0C61" w:rsidP="00865DA5">
      <w:pPr>
        <w:tabs>
          <w:tab w:val="left" w:pos="8364"/>
        </w:tabs>
        <w:adjustRightInd w:val="0"/>
        <w:ind w:right="2"/>
        <w:jc w:val="both"/>
        <w:rPr>
          <w:rFonts w:eastAsia="TimesNewRoman"/>
          <w:lang w:val="sr-Latn-ME"/>
        </w:rPr>
      </w:pP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 xml:space="preserve">Intravenska infuzija sa još dva litra, od 100 do 200 ml/sat, u trajanju od 6 do 12 sati. </w:t>
      </w:r>
    </w:p>
    <w:p w:rsidR="00AE0C61" w:rsidRPr="003A21B4" w:rsidRDefault="00AE0C61" w:rsidP="00865DA5">
      <w:pPr>
        <w:tabs>
          <w:tab w:val="left" w:pos="8364"/>
        </w:tabs>
        <w:adjustRightInd w:val="0"/>
        <w:ind w:right="2"/>
        <w:jc w:val="both"/>
        <w:rPr>
          <w:rFonts w:eastAsia="TimesNewRoman"/>
          <w:lang w:val="sr-Latn-ME"/>
        </w:rPr>
      </w:pP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 xml:space="preserve">Forsirana diureza može biti neophodna ukoliko je izlučivanje urina manje od 100 do 200 ml/sat nakon hidratacije. </w:t>
      </w: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 xml:space="preserve">Forsirana diureza se može postići intravenskom primjenom 37,5 mg manitola u obliku 10% rastvora (375 ml 10% rastvora manitola) ili primjenom diuretika, ukoliko je bubrežna funkcija normalna. </w:t>
      </w:r>
    </w:p>
    <w:p w:rsidR="00AE0C61" w:rsidRPr="003A21B4" w:rsidRDefault="00AE0C61" w:rsidP="00865DA5">
      <w:pPr>
        <w:tabs>
          <w:tab w:val="left" w:pos="8364"/>
        </w:tabs>
        <w:adjustRightInd w:val="0"/>
        <w:ind w:right="2"/>
        <w:jc w:val="both"/>
        <w:rPr>
          <w:rFonts w:eastAsia="TimesNewRoman"/>
          <w:lang w:val="sr-Latn-ME"/>
        </w:rPr>
      </w:pP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Primjena manitola ili diuretika je takođe potrebna u onim slučajevima kada je cisplatin primijenjen u dozi koja je veća od 60 mg/m</w:t>
      </w:r>
      <w:r w:rsidRPr="003A21B4">
        <w:rPr>
          <w:rFonts w:eastAsia="TimesNewRoman"/>
          <w:vertAlign w:val="superscript"/>
          <w:lang w:val="sr-Latn-ME"/>
        </w:rPr>
        <w:t>2</w:t>
      </w:r>
      <w:r w:rsidRPr="003A21B4">
        <w:rPr>
          <w:rFonts w:eastAsia="TimesNewRoman"/>
          <w:lang w:val="sr-Latn-ME"/>
        </w:rPr>
        <w:t xml:space="preserve"> površine tijela. </w:t>
      </w:r>
    </w:p>
    <w:p w:rsidR="00AE0C61" w:rsidRPr="003A21B4" w:rsidRDefault="00AE0C61" w:rsidP="00865DA5">
      <w:pPr>
        <w:tabs>
          <w:tab w:val="left" w:pos="8364"/>
        </w:tabs>
        <w:adjustRightInd w:val="0"/>
        <w:ind w:right="2"/>
        <w:jc w:val="both"/>
        <w:rPr>
          <w:rFonts w:eastAsia="TimesNewRoman"/>
          <w:lang w:val="sr-Latn-ME"/>
        </w:rPr>
      </w:pPr>
    </w:p>
    <w:p w:rsidR="00AE0C61" w:rsidRPr="003A21B4" w:rsidRDefault="00AE0C61" w:rsidP="00865DA5">
      <w:pPr>
        <w:tabs>
          <w:tab w:val="left" w:pos="8364"/>
        </w:tabs>
        <w:adjustRightInd w:val="0"/>
        <w:ind w:right="2"/>
        <w:jc w:val="both"/>
        <w:rPr>
          <w:rFonts w:eastAsia="TimesNewRoman"/>
          <w:lang w:val="sr-Latn-ME"/>
        </w:rPr>
      </w:pPr>
      <w:r w:rsidRPr="003A21B4">
        <w:rPr>
          <w:rFonts w:eastAsia="TimesNewRoman"/>
          <w:lang w:val="sr-Latn-ME"/>
        </w:rPr>
        <w:t>Neophodno je da pacijent pije velike količine tečnosti do 24 sata nakon infuzije cisplatinom kako bi se obezbijedila odgovarajuća diureza.</w:t>
      </w:r>
    </w:p>
    <w:p w:rsidR="00AE0C61" w:rsidRPr="003A21B4" w:rsidRDefault="00AE0C61" w:rsidP="003A21B4">
      <w:pPr>
        <w:adjustRightInd w:val="0"/>
        <w:ind w:right="425"/>
        <w:jc w:val="both"/>
        <w:rPr>
          <w:rFonts w:eastAsia="TimesNewRoman"/>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Kontraindikacije</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Preosjetljivost na aktivnu supstancu ili na bilo koju od pomoćnih supstanci navedenih u dijelu 6.1.</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L</w:t>
      </w:r>
      <w:r w:rsidR="009143E8" w:rsidRPr="003A21B4">
        <w:rPr>
          <w:rFonts w:eastAsia="TimesNewRoman"/>
          <w:lang w:val="sr-Latn-ME"/>
        </w:rPr>
        <w:t>ij</w:t>
      </w:r>
      <w:r w:rsidRPr="003A21B4">
        <w:rPr>
          <w:rFonts w:eastAsia="TimesNewRoman"/>
          <w:lang w:val="sr-Latn-ME"/>
        </w:rPr>
        <w:t>ek Cisplatinum Accord može izazvati alergijske reakcije kod pojedinih pacijenata. Primjena je kontraindikovana kod pacijenata koji u anamnezi imaju alergijske reakcije na cisplatin ili druga jedinjenja koja sadrže platinu ili na bilo koju od pomoćnih supstanci.</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 xml:space="preserve">Cisplatin indukuje nefrotoksičnost koja je kumulativna, pa je iz tog razloga kontraindikovan kod pacijenata sa postojećim oštećenjem funkcije bubrega. </w:t>
      </w:r>
    </w:p>
    <w:p w:rsidR="00AE0C61" w:rsidRPr="003A21B4" w:rsidRDefault="00AE0C61" w:rsidP="00865DA5">
      <w:pPr>
        <w:adjustRightInd w:val="0"/>
        <w:ind w:right="2"/>
        <w:jc w:val="both"/>
        <w:rPr>
          <w:rFonts w:eastAsia="TimesNewRoman"/>
          <w:lang w:val="sr-Latn-ME"/>
        </w:rPr>
      </w:pPr>
      <w:r w:rsidRPr="003A21B4">
        <w:rPr>
          <w:rFonts w:eastAsia="TimesNewRoman"/>
          <w:lang w:val="sr-Latn-ME"/>
        </w:rPr>
        <w:t xml:space="preserve">Cisplatin takođe pokazuje kumulativnu neurotoksičnost (naročito ototoksičnost) i ne smije se primjenjivati kod pacijenata sa postojećim oštećenjem sluha. Cisplatin je takođe kontraindikovan kod pacijenata sa mijelosupresijom i kod pacijenata sa dehidratacijom. </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Pacijentkinje koje su na terapiji cisplatinom ne smiju da doje (vidjeti dio 4.6).</w:t>
      </w:r>
    </w:p>
    <w:p w:rsidR="00AE0C61" w:rsidRPr="003A21B4" w:rsidRDefault="00AE0C61" w:rsidP="003A21B4">
      <w:pPr>
        <w:adjustRightInd w:val="0"/>
        <w:ind w:right="425"/>
        <w:jc w:val="both"/>
        <w:rPr>
          <w:rFonts w:eastAsia="TimesNewRoman"/>
          <w:lang w:val="sr-Latn-ME"/>
        </w:rPr>
      </w:pPr>
      <w:r w:rsidRPr="003A21B4">
        <w:rPr>
          <w:rFonts w:eastAsia="TimesNewRoman"/>
          <w:lang w:val="sr-Latn-ME"/>
        </w:rPr>
        <w:t>Istovremena primjena sa vakcinom protiv žute grozice je kontraindikovana.</w:t>
      </w:r>
    </w:p>
    <w:p w:rsidR="00AE0C61" w:rsidRPr="003A21B4" w:rsidRDefault="00AE0C61" w:rsidP="003A21B4">
      <w:pPr>
        <w:adjustRightInd w:val="0"/>
        <w:ind w:right="425"/>
        <w:jc w:val="both"/>
        <w:rPr>
          <w:rFonts w:eastAsia="TimesNewRoman"/>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Posebna upozorenja i mjere opreza pri upotrebi lijeka</w:t>
      </w:r>
    </w:p>
    <w:p w:rsidR="00902702" w:rsidRPr="003A21B4" w:rsidRDefault="00902702" w:rsidP="00865DA5">
      <w:pPr>
        <w:adjustRightInd w:val="0"/>
        <w:ind w:right="2"/>
        <w:jc w:val="both"/>
        <w:rPr>
          <w:rFonts w:eastAsia="TimesNewRoman"/>
          <w:lang w:val="sr-Latn-ME"/>
        </w:rPr>
      </w:pPr>
      <w:r w:rsidRPr="003A21B4">
        <w:rPr>
          <w:rFonts w:eastAsia="TimesNewRoman"/>
          <w:lang w:val="sr-Latn-ME"/>
        </w:rPr>
        <w:t xml:space="preserve">Lijek Cisplatinum Accord se primjenjuje isključivo pod nadzorom ljekara specijaliste onkologa koji je specijalizovan za primjenu hemoterapije. Odgovarajuća oprema za kontrolu anafilaktičkih reakcija bi </w:t>
      </w:r>
      <w:r w:rsidRPr="003A21B4">
        <w:rPr>
          <w:rFonts w:eastAsia="TimesNewRoman"/>
          <w:lang w:val="sr-Latn-ME"/>
        </w:rPr>
        <w:lastRenderedPageBreak/>
        <w:t>trebalo da bude na raspolaganju.</w:t>
      </w:r>
    </w:p>
    <w:p w:rsidR="00902702" w:rsidRPr="003A21B4" w:rsidRDefault="00902702" w:rsidP="00865DA5">
      <w:pPr>
        <w:adjustRightInd w:val="0"/>
        <w:ind w:right="2"/>
        <w:jc w:val="both"/>
        <w:rPr>
          <w:rFonts w:eastAsia="TimesNewRoman"/>
          <w:lang w:val="sr-Latn-ME"/>
        </w:rPr>
      </w:pPr>
    </w:p>
    <w:p w:rsidR="00902702" w:rsidRPr="003A21B4" w:rsidRDefault="00902702" w:rsidP="00865DA5">
      <w:pPr>
        <w:adjustRightInd w:val="0"/>
        <w:ind w:right="2"/>
        <w:jc w:val="both"/>
        <w:rPr>
          <w:rFonts w:eastAsia="TimesNewRoman"/>
          <w:lang w:val="sr-Latn-ME"/>
        </w:rPr>
      </w:pPr>
      <w:r w:rsidRPr="003A21B4">
        <w:rPr>
          <w:rFonts w:eastAsia="TimesNewRoman"/>
          <w:lang w:val="sr-Latn-ME"/>
        </w:rPr>
        <w:t xml:space="preserve">Cisplatin reaguje sa aluminijumom formirajući crni precipitat platine. Iz tog razloga, za primjenu rastvora cisplatina ne smiju se koristiti infuzioni sistemi, igle, kateteri i špricevi koji sadrže aluminijum. </w:t>
      </w:r>
    </w:p>
    <w:p w:rsidR="00902702" w:rsidRPr="003A21B4" w:rsidRDefault="00902702" w:rsidP="00865DA5">
      <w:pPr>
        <w:adjustRightInd w:val="0"/>
        <w:ind w:right="2"/>
        <w:jc w:val="both"/>
        <w:rPr>
          <w:rFonts w:eastAsia="TimesNewRoman"/>
          <w:lang w:val="sr-Latn-ME"/>
        </w:rPr>
      </w:pPr>
    </w:p>
    <w:p w:rsidR="00902702" w:rsidRPr="003A21B4" w:rsidRDefault="00902702" w:rsidP="00865DA5">
      <w:pPr>
        <w:adjustRightInd w:val="0"/>
        <w:ind w:right="2"/>
        <w:jc w:val="both"/>
        <w:rPr>
          <w:rFonts w:eastAsia="TimesNewRoman"/>
          <w:lang w:val="sr-Latn-ME"/>
        </w:rPr>
      </w:pPr>
      <w:r w:rsidRPr="003A21B4">
        <w:rPr>
          <w:rFonts w:eastAsia="TimesNewRoman"/>
          <w:lang w:val="sr-Latn-ME"/>
        </w:rPr>
        <w:t>Rastvor za infuziju se ne smije se miješati sa drugim ljekovima ili dodacima.</w:t>
      </w:r>
    </w:p>
    <w:p w:rsidR="00902702" w:rsidRPr="003A21B4" w:rsidRDefault="00902702" w:rsidP="00865DA5">
      <w:pPr>
        <w:adjustRightInd w:val="0"/>
        <w:ind w:right="2"/>
        <w:jc w:val="both"/>
        <w:rPr>
          <w:rFonts w:eastAsia="TimesNewRoman"/>
          <w:lang w:val="sr-Latn-ME"/>
        </w:rPr>
      </w:pPr>
    </w:p>
    <w:p w:rsidR="007817C6" w:rsidRPr="003A21B4" w:rsidRDefault="00902702" w:rsidP="00865DA5">
      <w:pPr>
        <w:adjustRightInd w:val="0"/>
        <w:ind w:right="2"/>
        <w:jc w:val="both"/>
        <w:rPr>
          <w:lang w:val="sr-Latn-ME"/>
        </w:rPr>
      </w:pPr>
      <w:r w:rsidRPr="003A21B4">
        <w:rPr>
          <w:lang w:val="sr-Latn-ME"/>
        </w:rPr>
        <w:t>Odgovarajuće praćenje stanja pacijenta i upravljnje terapijom, odnosno liječenjem i eventualnim njegovim komplikcijama, moguće je samo ako je postavljena odgovarajuća dijagnoza i ako su dostupni egzaktni uslovi liječenja.</w:t>
      </w:r>
    </w:p>
    <w:p w:rsidR="00902702" w:rsidRPr="003A21B4" w:rsidRDefault="00902702" w:rsidP="003A21B4">
      <w:pPr>
        <w:adjustRightInd w:val="0"/>
        <w:ind w:right="425"/>
        <w:jc w:val="both"/>
        <w:rPr>
          <w:lang w:val="sr-Latn-ME"/>
        </w:rPr>
      </w:pPr>
    </w:p>
    <w:p w:rsidR="00902702" w:rsidRPr="003A21B4" w:rsidRDefault="00902702" w:rsidP="003A21B4">
      <w:pPr>
        <w:pStyle w:val="BodyText"/>
        <w:jc w:val="both"/>
        <w:rPr>
          <w:lang w:val="sr-Latn-ME"/>
        </w:rPr>
      </w:pPr>
      <w:r w:rsidRPr="003A21B4">
        <w:rPr>
          <w:lang w:val="sr-Latn-ME"/>
        </w:rPr>
        <w:t>1.Nefrotoksičnost</w:t>
      </w:r>
    </w:p>
    <w:p w:rsidR="00902702" w:rsidRPr="003A21B4" w:rsidRDefault="00902702" w:rsidP="003A21B4">
      <w:pPr>
        <w:pStyle w:val="BodyText"/>
        <w:jc w:val="both"/>
        <w:rPr>
          <w:lang w:val="sr-Latn-ME"/>
        </w:rPr>
      </w:pPr>
      <w:r w:rsidRPr="003A21B4">
        <w:rPr>
          <w:lang w:val="sr-Latn-ME"/>
        </w:rPr>
        <w:t>Cisplatin dovodi do teške kumulativne nefrotoksičnosti koja se može pojačati primjenom aminoglikozidnih antibiotika. Prije započinjanja terapije, kao i prije svakog sl</w:t>
      </w:r>
      <w:r w:rsidR="004B7511" w:rsidRPr="003A21B4">
        <w:rPr>
          <w:lang w:val="sr-Latn-ME"/>
        </w:rPr>
        <w:t>j</w:t>
      </w:r>
      <w:r w:rsidRPr="003A21B4">
        <w:rPr>
          <w:lang w:val="sr-Latn-ME"/>
        </w:rPr>
        <w:t>edećeg ciklusa, potrebno je odrediti koncentraciju kreatinina u serumu, koncentraciju uree u plazmi ili klirens kreatinina, kao i koncentracije magnezijuma, natrijuma, kalijuma. Cisplatin se ne smije prim</w:t>
      </w:r>
      <w:r w:rsidR="004B7511" w:rsidRPr="003A21B4">
        <w:rPr>
          <w:lang w:val="sr-Latn-ME"/>
        </w:rPr>
        <w:t>j</w:t>
      </w:r>
      <w:r w:rsidRPr="003A21B4">
        <w:rPr>
          <w:lang w:val="sr-Latn-ME"/>
        </w:rPr>
        <w:t>enjivati češće od jednom na svake 3-4 nedjelje.</w:t>
      </w:r>
    </w:p>
    <w:p w:rsidR="00902702" w:rsidRPr="003A21B4" w:rsidRDefault="00902702" w:rsidP="003A21B4">
      <w:pPr>
        <w:pStyle w:val="BodyText"/>
        <w:jc w:val="both"/>
        <w:rPr>
          <w:lang w:val="sr-Latn-ME"/>
        </w:rPr>
      </w:pPr>
      <w:r w:rsidRPr="003A21B4">
        <w:rPr>
          <w:lang w:val="sr-Latn-ME"/>
        </w:rPr>
        <w:t>Da bi se nefrotoksičnost cisplatina svela na minimum, potrebno je održavati diurezu od 100 m</w:t>
      </w:r>
      <w:r w:rsidR="004B7511" w:rsidRPr="003A21B4">
        <w:rPr>
          <w:lang w:val="sr-Latn-ME"/>
        </w:rPr>
        <w:t>l</w:t>
      </w:r>
      <w:r w:rsidRPr="003A21B4">
        <w:rPr>
          <w:lang w:val="sr-Latn-ME"/>
        </w:rPr>
        <w:t>/h ili veću. To se može postići prethodnom hidratacijom pacijenta sa 2 litra odgovarajućeg rastvora koji se prim</w:t>
      </w:r>
      <w:r w:rsidR="004B7511" w:rsidRPr="003A21B4">
        <w:rPr>
          <w:lang w:val="sr-Latn-ME"/>
        </w:rPr>
        <w:t>j</w:t>
      </w:r>
      <w:r w:rsidRPr="003A21B4">
        <w:rPr>
          <w:lang w:val="sr-Latn-ME"/>
        </w:rPr>
        <w:t>enjuje intravenski i hidratacijom nakon primjene cisplatina (preporučuje se 2500 m</w:t>
      </w:r>
      <w:r w:rsidR="004B7511" w:rsidRPr="003A21B4">
        <w:rPr>
          <w:lang w:val="sr-Latn-ME"/>
        </w:rPr>
        <w:t>l</w:t>
      </w:r>
      <w:r w:rsidRPr="003A21B4">
        <w:rPr>
          <w:lang w:val="sr-Latn-ME"/>
        </w:rPr>
        <w:t>/m</w:t>
      </w:r>
      <w:r w:rsidRPr="003A21B4">
        <w:rPr>
          <w:vertAlign w:val="superscript"/>
          <w:lang w:val="sr-Latn-ME"/>
        </w:rPr>
        <w:t>2</w:t>
      </w:r>
      <w:r w:rsidRPr="003A21B4">
        <w:rPr>
          <w:lang w:val="sr-Latn-ME"/>
        </w:rPr>
        <w:t>/24 sata). Ako obimna hidratacija nije dovoljna za održavanje odgovarajuće diureze, može se primijeniti osmotski diuretik (npr. manitol).</w:t>
      </w:r>
    </w:p>
    <w:p w:rsidR="00902702" w:rsidRPr="003A21B4" w:rsidRDefault="00902702" w:rsidP="003A21B4">
      <w:pPr>
        <w:pStyle w:val="BodyText"/>
        <w:jc w:val="both"/>
        <w:rPr>
          <w:lang w:val="sr-Latn-ME"/>
        </w:rPr>
      </w:pPr>
      <w:r w:rsidRPr="003A21B4">
        <w:rPr>
          <w:lang w:val="sr-Latn-ME"/>
        </w:rPr>
        <w:t>2.Neuropatije</w:t>
      </w:r>
    </w:p>
    <w:p w:rsidR="00902702" w:rsidRPr="003A21B4" w:rsidRDefault="00902702" w:rsidP="003A21B4">
      <w:pPr>
        <w:pStyle w:val="BodyText"/>
        <w:jc w:val="both"/>
        <w:rPr>
          <w:lang w:val="sr-Latn-ME"/>
        </w:rPr>
      </w:pPr>
      <w:r w:rsidRPr="003A21B4">
        <w:rPr>
          <w:lang w:val="sr-Latn-ME"/>
        </w:rPr>
        <w:t>Prijavljeni su slučajevi teške neuropatije.</w:t>
      </w:r>
    </w:p>
    <w:p w:rsidR="00902702" w:rsidRPr="003A21B4" w:rsidRDefault="00902702" w:rsidP="003A21B4">
      <w:pPr>
        <w:pStyle w:val="BodyText"/>
        <w:jc w:val="both"/>
        <w:rPr>
          <w:lang w:val="sr-Latn-ME"/>
        </w:rPr>
      </w:pPr>
      <w:r w:rsidRPr="003A21B4">
        <w:rPr>
          <w:lang w:val="sr-Latn-ME"/>
        </w:rPr>
        <w:t xml:space="preserve">Ove neuropatije mogu biti ireverzibilne i mogu se manifestovati pojavom parestezije, arefleksije i proprioceptivnim gubitkom i osjećajem vibracija. Takođe je prijavljen gubitak motorne funkcije. Potrebno je redovno sprovoditi neurološke preglede. </w:t>
      </w:r>
    </w:p>
    <w:p w:rsidR="00902702" w:rsidRPr="003A21B4" w:rsidRDefault="00902702" w:rsidP="003A21B4">
      <w:pPr>
        <w:pStyle w:val="BodyText"/>
        <w:jc w:val="both"/>
        <w:rPr>
          <w:lang w:val="sr-Latn-ME"/>
        </w:rPr>
      </w:pPr>
      <w:r w:rsidRPr="003A21B4">
        <w:rPr>
          <w:lang w:val="sr-Latn-ME"/>
        </w:rPr>
        <w:t>Pokazano je da je neurotoksičnost kumulativna. Prije svakog ciklusa mora se utvrditi da nema simptoma periferne neuropatije.</w:t>
      </w:r>
    </w:p>
    <w:p w:rsidR="00902702" w:rsidRPr="003A21B4" w:rsidRDefault="00902702" w:rsidP="003A21B4">
      <w:pPr>
        <w:pStyle w:val="BodyText"/>
        <w:jc w:val="both"/>
        <w:rPr>
          <w:lang w:val="sr-Latn-ME"/>
        </w:rPr>
      </w:pPr>
      <w:r w:rsidRPr="003A21B4">
        <w:rPr>
          <w:lang w:val="sr-Latn-ME"/>
        </w:rPr>
        <w:t>3.Ototoksičnost</w:t>
      </w:r>
    </w:p>
    <w:p w:rsidR="00902702" w:rsidRPr="003A21B4" w:rsidRDefault="00902702" w:rsidP="003A21B4">
      <w:pPr>
        <w:pStyle w:val="BodyText"/>
        <w:jc w:val="both"/>
        <w:rPr>
          <w:lang w:val="sr-Latn-ME"/>
        </w:rPr>
      </w:pPr>
      <w:r w:rsidRPr="003A21B4">
        <w:rPr>
          <w:lang w:val="sr-Latn-ME"/>
        </w:rPr>
        <w:t>Ototoksičnost je uočena kod najviše 31% pacijenata koji su primali jednu dozu cisplatina od 50 mg/m², a manifestovala se kao tinitus i/ili gubitak sluha za opseg visokih frekvencija (4000 do 8000 Hz). Povremeno se može javiti smanjena sposobnost da se čuju tonovi čija visina odgovara tonovima uobičajenog razgovora.</w:t>
      </w:r>
    </w:p>
    <w:p w:rsidR="00902702" w:rsidRPr="003A21B4" w:rsidRDefault="00902702" w:rsidP="003A21B4">
      <w:pPr>
        <w:pStyle w:val="BodyText"/>
        <w:jc w:val="both"/>
        <w:rPr>
          <w:lang w:val="sr-Latn-ME"/>
        </w:rPr>
      </w:pPr>
      <w:r w:rsidRPr="003A21B4">
        <w:rPr>
          <w:lang w:val="sr-Latn-ME"/>
        </w:rPr>
        <w:t>Ototoksični efekat može biti izraženiji kod djece koja su na terapiji cisplatinom. Gubitak sluha može biti unilateralan ili bilateralan i ima tendenciju da postane učestaliji i teži pri primjeni ponovljenih doza; međutim, rijetko je prijavljena gluvoća nakon primjene inicijalne doze cisplatina. Ototoksičnost može biti izraženija kod prethodne primjene cisplatina istovremeno sa kranijalnom iradijacijom i može biti povezana sa maksimalnim koncentracijama cisplatina u plazmi. Nije razjašnjeno da li je ototoksičnost uzrokovana cisplatinom reverzibilna. Prije započinjanja terapije cisplatinom, kao i prije svakog narednog ciklusa primjene cisplatina, potrebno je uraditi audiometriju. Takođe je zabilježena i pojava vestibularne toksičnosti (vidjeti dio 4.8).</w:t>
      </w:r>
    </w:p>
    <w:p w:rsidR="00902702" w:rsidRPr="003A21B4" w:rsidRDefault="00902702" w:rsidP="003A21B4">
      <w:pPr>
        <w:pStyle w:val="BodyText"/>
        <w:jc w:val="both"/>
        <w:rPr>
          <w:lang w:val="sr-Latn-ME"/>
        </w:rPr>
      </w:pPr>
      <w:r w:rsidRPr="003A21B4">
        <w:rPr>
          <w:lang w:val="sr-Latn-ME"/>
        </w:rPr>
        <w:t>4.Alergijske reakcije</w:t>
      </w:r>
    </w:p>
    <w:p w:rsidR="00902702" w:rsidRPr="003A21B4" w:rsidRDefault="00902702" w:rsidP="003A21B4">
      <w:pPr>
        <w:pStyle w:val="BodyText"/>
        <w:jc w:val="both"/>
        <w:rPr>
          <w:lang w:val="sr-Latn-ME"/>
        </w:rPr>
      </w:pPr>
      <w:r w:rsidRPr="003A21B4">
        <w:rPr>
          <w:lang w:val="sr-Latn-ME"/>
        </w:rPr>
        <w:t>Tokom primjene cisplatina prijavljene su reakcije slične anafilaktičkim. Ove reakcije su se javljale tokom nekoliko minuta od početka primjene kod pacijenata koji su prethodno bili izloženi cisplatinu, a mogu se kontrolistati primjenom adrenalina, steroida i antihistaminika.</w:t>
      </w:r>
    </w:p>
    <w:p w:rsidR="00902702" w:rsidRPr="003A21B4" w:rsidRDefault="00902702" w:rsidP="003A21B4">
      <w:pPr>
        <w:pStyle w:val="BodyText"/>
        <w:jc w:val="both"/>
        <w:rPr>
          <w:lang w:val="sr-Latn-ME"/>
        </w:rPr>
      </w:pPr>
      <w:r w:rsidRPr="003A21B4">
        <w:rPr>
          <w:lang w:val="sr-Latn-ME"/>
        </w:rPr>
        <w:t>Kao i kod drugih ljekova na bazi platine, reakcije preosjetljivosti  se u većini slučajeva javljaju tokom ubrizgavanja, odnosno perfuzije, što zahtijeva prekid perfuzije i primjenu odgovarajućeg simptomatskog liječenja. U primjeni svih jedinjenja platine, uočene su pojave ukrštenih alergijskih reakcija, koje su ponekad imale fatalan ishod (vidjeti djelove 4.8 i 4.3).</w:t>
      </w:r>
    </w:p>
    <w:p w:rsidR="00902702" w:rsidRPr="003A21B4" w:rsidRDefault="00902702" w:rsidP="003A21B4">
      <w:pPr>
        <w:pStyle w:val="BodyText"/>
        <w:jc w:val="both"/>
        <w:rPr>
          <w:lang w:val="sr-Latn-ME"/>
        </w:rPr>
      </w:pPr>
      <w:r w:rsidRPr="003A21B4">
        <w:rPr>
          <w:lang w:val="sr-Latn-ME"/>
        </w:rPr>
        <w:t>5.Funkcija jetre i krvna slika</w:t>
      </w:r>
    </w:p>
    <w:p w:rsidR="00902702" w:rsidRPr="003A21B4" w:rsidRDefault="00902702" w:rsidP="003A21B4">
      <w:pPr>
        <w:pStyle w:val="BodyText"/>
        <w:jc w:val="both"/>
        <w:rPr>
          <w:lang w:val="sr-Latn-ME"/>
        </w:rPr>
      </w:pPr>
      <w:r w:rsidRPr="003A21B4">
        <w:rPr>
          <w:lang w:val="sr-Latn-ME"/>
        </w:rPr>
        <w:t>Potrebno je pratiti laboratorijske testove krvi i funkciju jetre u redovnim vremenskim intervalima.</w:t>
      </w:r>
    </w:p>
    <w:p w:rsidR="00902702" w:rsidRPr="003A21B4" w:rsidRDefault="00902702" w:rsidP="003A21B4">
      <w:pPr>
        <w:pStyle w:val="BodyText"/>
        <w:jc w:val="both"/>
        <w:rPr>
          <w:lang w:val="sr-Latn-ME"/>
        </w:rPr>
      </w:pPr>
      <w:r w:rsidRPr="003A21B4">
        <w:rPr>
          <w:lang w:val="sr-Latn-ME"/>
        </w:rPr>
        <w:t>6.Karcinogeni potencijal</w:t>
      </w:r>
    </w:p>
    <w:p w:rsidR="00902702" w:rsidRPr="003A21B4" w:rsidRDefault="00902702" w:rsidP="003A21B4">
      <w:pPr>
        <w:pStyle w:val="BodyText"/>
        <w:jc w:val="both"/>
        <w:rPr>
          <w:lang w:val="sr-Latn-ME"/>
        </w:rPr>
      </w:pPr>
      <w:r w:rsidRPr="003A21B4">
        <w:rPr>
          <w:lang w:val="sr-Latn-ME"/>
        </w:rPr>
        <w:t xml:space="preserve">U rijetkim slučajevima kod ljudi je zabilježena akutna leukemija koja se javila istovremeno sa primjenom cisplatina, a koja je generalno bila povezana sa primjenom drugih leukemogenih agenasa. Cisplatin ima mutageno dejstvo kod bakterija i izaziva hromozomske aberacije u ćelijskim kulturama </w:t>
      </w:r>
      <w:r w:rsidRPr="003A21B4">
        <w:rPr>
          <w:lang w:val="sr-Latn-ME"/>
        </w:rPr>
        <w:lastRenderedPageBreak/>
        <w:t>životinja. Karcinogenost je moguća ali nije i dokazana. Cisplatin je teratogen i embriotoksičan kod miševa.</w:t>
      </w:r>
    </w:p>
    <w:p w:rsidR="00902702" w:rsidRPr="003A21B4" w:rsidRDefault="00902702" w:rsidP="003A21B4">
      <w:pPr>
        <w:pStyle w:val="BodyText"/>
        <w:jc w:val="both"/>
        <w:rPr>
          <w:lang w:val="sr-Latn-ME"/>
        </w:rPr>
      </w:pPr>
      <w:r w:rsidRPr="003A21B4">
        <w:rPr>
          <w:lang w:val="sr-Latn-ME"/>
        </w:rPr>
        <w:t>7.Reakcije na mjestu primjene lijeka</w:t>
      </w:r>
    </w:p>
    <w:p w:rsidR="00902702" w:rsidRPr="003A21B4" w:rsidRDefault="00902702" w:rsidP="003A21B4">
      <w:pPr>
        <w:pStyle w:val="BodyText"/>
        <w:jc w:val="both"/>
        <w:rPr>
          <w:lang w:val="sr-Latn-ME"/>
        </w:rPr>
      </w:pPr>
      <w:r w:rsidRPr="003A21B4">
        <w:rPr>
          <w:lang w:val="sr-Latn-ME"/>
        </w:rPr>
        <w:t>Tokom primjene cisplatina mogu se javiti reakcije na mjestu primjene lijeka. Usl</w:t>
      </w:r>
      <w:r w:rsidR="003D7499" w:rsidRPr="003A21B4">
        <w:rPr>
          <w:lang w:val="sr-Latn-ME"/>
        </w:rPr>
        <w:t>j</w:t>
      </w:r>
      <w:r w:rsidRPr="003A21B4">
        <w:rPr>
          <w:lang w:val="sr-Latn-ME"/>
        </w:rPr>
        <w:t>ed rizika od ekstravazacije, preporučuje se pažljivo praćenje mjesta primjene infuzionog rastvora zbog moguće infiltracije tokom primjene lijeka. Za sada nije poznata specifična terapija za reakcije ekstravazacije.</w:t>
      </w:r>
    </w:p>
    <w:p w:rsidR="00902702" w:rsidRPr="003A21B4" w:rsidRDefault="00902702" w:rsidP="003A21B4">
      <w:pPr>
        <w:pStyle w:val="BodyText"/>
        <w:jc w:val="both"/>
        <w:rPr>
          <w:lang w:val="sr-Latn-ME"/>
        </w:rPr>
      </w:pPr>
      <w:r w:rsidRPr="003A21B4">
        <w:rPr>
          <w:lang w:val="sr-Latn-ME"/>
        </w:rPr>
        <w:t>UPOZORENJE</w:t>
      </w:r>
    </w:p>
    <w:p w:rsidR="00902702" w:rsidRPr="003A21B4" w:rsidRDefault="00902702" w:rsidP="003A21B4">
      <w:pPr>
        <w:pStyle w:val="BodyText"/>
        <w:jc w:val="both"/>
        <w:rPr>
          <w:lang w:val="sr-Latn-ME"/>
        </w:rPr>
      </w:pPr>
      <w:r w:rsidRPr="003A21B4">
        <w:rPr>
          <w:lang w:val="sr-Latn-ME"/>
        </w:rPr>
        <w:t xml:space="preserve">Ovaj citostatik ima izraženiju toksičnost nego što je uobičajeno za hemioterapiju antineoplasticima. </w:t>
      </w:r>
    </w:p>
    <w:p w:rsidR="00902702" w:rsidRPr="003A21B4" w:rsidRDefault="00902702" w:rsidP="003A21B4">
      <w:pPr>
        <w:pStyle w:val="BodyText"/>
        <w:jc w:val="both"/>
        <w:rPr>
          <w:lang w:val="sr-Latn-ME"/>
        </w:rPr>
      </w:pPr>
      <w:r w:rsidRPr="003A21B4">
        <w:rPr>
          <w:lang w:val="sr-Latn-ME"/>
        </w:rPr>
        <w:t>Renalna toksičnost, koja je pored svega i kumulativna je teška i zahtjeva posebne mjere opreza tokom primjene lijeka (vidjeti djelove 4.2 i 4.8).</w:t>
      </w:r>
    </w:p>
    <w:p w:rsidR="00902702" w:rsidRPr="003A21B4" w:rsidRDefault="00902702" w:rsidP="003A21B4">
      <w:pPr>
        <w:pStyle w:val="BodyText"/>
        <w:jc w:val="both"/>
        <w:rPr>
          <w:lang w:val="sr-Latn-ME"/>
        </w:rPr>
      </w:pPr>
      <w:r w:rsidRPr="003A21B4">
        <w:rPr>
          <w:lang w:val="sr-Latn-ME"/>
        </w:rPr>
        <w:t xml:space="preserve">Mučnina i povraćanje mogu biti izraženi i zahtjevaju primjenu odgovarajućih antiemetika. </w:t>
      </w:r>
    </w:p>
    <w:p w:rsidR="00902702" w:rsidRPr="003A21B4" w:rsidRDefault="00902702" w:rsidP="003A21B4">
      <w:pPr>
        <w:pStyle w:val="BodyText"/>
        <w:jc w:val="both"/>
        <w:rPr>
          <w:lang w:val="sr-Latn-ME"/>
        </w:rPr>
      </w:pPr>
      <w:r w:rsidRPr="003A21B4">
        <w:rPr>
          <w:lang w:val="sr-Latn-ME"/>
        </w:rPr>
        <w:t>Takođe, mora se sprovoditi pažljivo praćenje koje se tiče ototoksičnosti, mijelosupresije i anafilaktičkih reakcija (vidjeti dio 4.8).</w:t>
      </w:r>
    </w:p>
    <w:p w:rsidR="00902702" w:rsidRPr="003A21B4" w:rsidRDefault="00902702" w:rsidP="003A21B4">
      <w:pPr>
        <w:pStyle w:val="BodyText"/>
        <w:jc w:val="both"/>
        <w:rPr>
          <w:i/>
          <w:lang w:val="sr-Latn-ME"/>
        </w:rPr>
      </w:pPr>
      <w:r w:rsidRPr="003A21B4">
        <w:rPr>
          <w:i/>
          <w:lang w:val="sr-Latn-ME"/>
        </w:rPr>
        <w:t>Upozorenje</w:t>
      </w:r>
    </w:p>
    <w:p w:rsidR="00902702" w:rsidRPr="003A21B4" w:rsidRDefault="00902702" w:rsidP="003A21B4">
      <w:pPr>
        <w:pStyle w:val="BodyText"/>
        <w:jc w:val="both"/>
        <w:rPr>
          <w:lang w:val="sr-Latn-ME"/>
        </w:rPr>
      </w:pPr>
      <w:r w:rsidRPr="003A21B4">
        <w:rPr>
          <w:lang w:val="sr-Latn-ME"/>
        </w:rPr>
        <w:t xml:space="preserve">Kao i kod svih drugih potencijalno toksičnih preparata, potreban je oprez prilikom rukovanja rastvorom cisplatina. Slučajno izlaganje cisplatinu može dovesti do nastanka kožnih lezija, pa se zato savjetuje nošenje zaštitnih rukavica. U slučaju da rastvor cisplatina dođe u kontakt sa kožom ili sluzokožom, potrebno je obilno isprati kožu odnosno sluzokožu sapunom i vodom. </w:t>
      </w:r>
    </w:p>
    <w:p w:rsidR="00902702" w:rsidRPr="003A21B4" w:rsidRDefault="00902702" w:rsidP="003A21B4">
      <w:pPr>
        <w:pStyle w:val="BodyText"/>
        <w:jc w:val="both"/>
        <w:rPr>
          <w:lang w:val="sr-Latn-ME"/>
        </w:rPr>
      </w:pPr>
      <w:r w:rsidRPr="003A21B4">
        <w:rPr>
          <w:lang w:val="sr-Latn-ME"/>
        </w:rPr>
        <w:t>Preporučuje se da osoblje pažljivo slijedi procedure za rukovanje citostaticima i uputstva za njihovo uklanjanje.</w:t>
      </w:r>
    </w:p>
    <w:p w:rsidR="00902702" w:rsidRPr="003A21B4" w:rsidRDefault="00902702" w:rsidP="003A21B4">
      <w:pPr>
        <w:pStyle w:val="BodyText"/>
        <w:jc w:val="both"/>
        <w:rPr>
          <w:lang w:val="sr-Latn-ME"/>
        </w:rPr>
      </w:pPr>
      <w:r w:rsidRPr="003A21B4">
        <w:rPr>
          <w:lang w:val="sr-Latn-ME"/>
        </w:rPr>
        <w:t xml:space="preserve">Prije primjene rastvora pacijentima, potrebno je utvrditi da je rastvor bistar i da ne sadrži čestice. </w:t>
      </w:r>
    </w:p>
    <w:p w:rsidR="0084478E" w:rsidRPr="003A21B4" w:rsidRDefault="00902702" w:rsidP="003A21B4">
      <w:pPr>
        <w:pStyle w:val="BodyText"/>
        <w:jc w:val="both"/>
        <w:rPr>
          <w:lang w:val="sr-Latn-ME"/>
        </w:rPr>
      </w:pPr>
      <w:r w:rsidRPr="003A21B4">
        <w:rPr>
          <w:lang w:val="sr-Latn-ME"/>
        </w:rPr>
        <w:t>Lijek sadrži 3,5 mg natrijuma  po mililitru, što je ekvivalentno 38,3% preporučenog maksimalnog dnevnog unosa od 2 g za odrasle, prema SZO.</w:t>
      </w:r>
    </w:p>
    <w:p w:rsidR="001D6188" w:rsidRDefault="001D6188" w:rsidP="001D6188">
      <w:pPr>
        <w:widowControl/>
        <w:tabs>
          <w:tab w:val="left" w:pos="540"/>
          <w:tab w:val="left" w:pos="569"/>
        </w:tabs>
        <w:autoSpaceDE/>
        <w:autoSpaceDN/>
        <w:jc w:val="both"/>
        <w:rPr>
          <w:b/>
          <w:bCs/>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Interakcije sa drugim ljekovima i druge vrste interakcija</w:t>
      </w:r>
    </w:p>
    <w:p w:rsidR="00902702" w:rsidRPr="003A21B4" w:rsidRDefault="00902702" w:rsidP="003A21B4">
      <w:pPr>
        <w:adjustRightInd w:val="0"/>
        <w:ind w:right="567"/>
        <w:jc w:val="both"/>
        <w:rPr>
          <w:b/>
          <w:bCs/>
          <w:lang w:val="sr-Latn-ME"/>
        </w:rPr>
      </w:pPr>
      <w:r w:rsidRPr="003A21B4">
        <w:rPr>
          <w:b/>
          <w:lang w:val="sr-Latn-ME"/>
        </w:rPr>
        <w:t>Nefrotoksične supstance</w:t>
      </w:r>
      <w:r w:rsidRPr="003A21B4">
        <w:rPr>
          <w:b/>
          <w:bCs/>
          <w:lang w:val="sr-Latn-ME"/>
        </w:rPr>
        <w:t>:</w:t>
      </w:r>
    </w:p>
    <w:p w:rsidR="00902702" w:rsidRPr="003A21B4" w:rsidRDefault="00902702" w:rsidP="00865DA5">
      <w:pPr>
        <w:adjustRightInd w:val="0"/>
        <w:ind w:right="2"/>
        <w:jc w:val="both"/>
        <w:rPr>
          <w:rFonts w:eastAsia="TimesNewRoman"/>
          <w:lang w:val="sr-Latn-ME"/>
        </w:rPr>
      </w:pPr>
      <w:r w:rsidRPr="003A21B4">
        <w:rPr>
          <w:rFonts w:eastAsia="TimesNewRoman"/>
          <w:lang w:val="sr-Latn-ME"/>
        </w:rPr>
        <w:t xml:space="preserve">Istovremena primjena nefrotoksičnih (npr. cefalosporini, aminoglikozidi, amfotericin B ili kontrastna sredstva) ili ototoksičnih ljekova (npr. aminoglikozidi) dovodi do povećanja toksičnog efekta cisplatina na bubrege. Tokom ili nakon terapije cisplatinom savjetuje se oprez prilikom primjene ljekova koji se eliminišu uglavnom putem bubrega, npr. citostatici kao što su bleomicin i metotreksat, zbog mogućeg smanjenja renalne eliminacije. </w:t>
      </w:r>
    </w:p>
    <w:p w:rsidR="00902702" w:rsidRPr="003A21B4" w:rsidRDefault="00902702" w:rsidP="00865DA5">
      <w:pPr>
        <w:adjustRightInd w:val="0"/>
        <w:ind w:right="2"/>
        <w:jc w:val="both"/>
        <w:rPr>
          <w:rFonts w:eastAsia="TimesNewRoman"/>
          <w:lang w:val="sr-Latn-ME"/>
        </w:rPr>
      </w:pPr>
    </w:p>
    <w:p w:rsidR="00902702" w:rsidRPr="003A21B4" w:rsidRDefault="00902702" w:rsidP="00865DA5">
      <w:pPr>
        <w:adjustRightInd w:val="0"/>
        <w:ind w:right="2"/>
        <w:jc w:val="both"/>
        <w:rPr>
          <w:rFonts w:eastAsia="TimesNewRoman"/>
          <w:lang w:val="sr-Latn-ME"/>
        </w:rPr>
      </w:pPr>
      <w:r w:rsidRPr="003A21B4">
        <w:rPr>
          <w:rFonts w:eastAsia="TimesNewRoman"/>
          <w:lang w:val="sr-Latn-ME"/>
        </w:rPr>
        <w:t xml:space="preserve">Renalna toksičnost ifosfamida može biti veća prilikom istovremene ili prethodne primjene cisplatina. </w:t>
      </w:r>
    </w:p>
    <w:p w:rsidR="00902702" w:rsidRPr="003A21B4" w:rsidRDefault="00902702" w:rsidP="00865DA5">
      <w:pPr>
        <w:adjustRightInd w:val="0"/>
        <w:ind w:right="2"/>
        <w:jc w:val="both"/>
        <w:rPr>
          <w:rFonts w:eastAsia="TimesNewRoman"/>
          <w:lang w:val="sr-Latn-ME"/>
        </w:rPr>
      </w:pPr>
    </w:p>
    <w:p w:rsidR="00902702" w:rsidRPr="003A21B4" w:rsidRDefault="00902702" w:rsidP="00865DA5">
      <w:pPr>
        <w:adjustRightInd w:val="0"/>
        <w:ind w:right="2"/>
        <w:jc w:val="both"/>
        <w:rPr>
          <w:rFonts w:eastAsia="TimesNewRoman"/>
          <w:lang w:val="sr-Latn-ME"/>
        </w:rPr>
      </w:pPr>
      <w:r w:rsidRPr="003A21B4">
        <w:rPr>
          <w:rFonts w:eastAsia="TimesNewRoman"/>
          <w:lang w:val="sr-Latn-ME"/>
        </w:rPr>
        <w:t>Smanjenje koncentracije litijuma u krvi zabilježeno je u nekoliko slučajeva nakon terapije cisplatinom u kombinaciji sa bleomicinom i etopozidom. Zbog toga se savjetuje praćenje vrijednosti litijuma.</w:t>
      </w:r>
    </w:p>
    <w:p w:rsidR="00902702" w:rsidRPr="003A21B4" w:rsidRDefault="00902702" w:rsidP="00865DA5">
      <w:pPr>
        <w:adjustRightInd w:val="0"/>
        <w:ind w:right="2"/>
        <w:jc w:val="both"/>
        <w:rPr>
          <w:rFonts w:eastAsia="TimesNewRoman"/>
          <w:color w:val="FF0000"/>
          <w:lang w:val="sr-Latn-ME"/>
        </w:rPr>
      </w:pPr>
    </w:p>
    <w:p w:rsidR="00902702" w:rsidRPr="003A21B4" w:rsidRDefault="00902702" w:rsidP="00865DA5">
      <w:pPr>
        <w:adjustRightInd w:val="0"/>
        <w:ind w:right="2"/>
        <w:jc w:val="both"/>
        <w:rPr>
          <w:b/>
          <w:bCs/>
          <w:lang w:val="sr-Latn-ME"/>
        </w:rPr>
      </w:pPr>
      <w:r w:rsidRPr="003A21B4">
        <w:rPr>
          <w:b/>
          <w:lang w:val="sr-Latn-ME"/>
        </w:rPr>
        <w:t>Ototoksične supstance</w:t>
      </w:r>
      <w:r w:rsidRPr="003A21B4">
        <w:rPr>
          <w:b/>
          <w:bCs/>
          <w:lang w:val="sr-Latn-ME"/>
        </w:rPr>
        <w:t>:</w:t>
      </w:r>
    </w:p>
    <w:p w:rsidR="00902702" w:rsidRPr="003A21B4" w:rsidRDefault="00902702" w:rsidP="00865DA5">
      <w:pPr>
        <w:adjustRightInd w:val="0"/>
        <w:ind w:right="2"/>
        <w:jc w:val="both"/>
        <w:rPr>
          <w:rFonts w:eastAsia="TimesNewRoman"/>
          <w:lang w:val="sr-Latn-ME"/>
        </w:rPr>
      </w:pPr>
      <w:r w:rsidRPr="003A21B4">
        <w:rPr>
          <w:rFonts w:eastAsia="TimesNewRoman"/>
          <w:lang w:val="sr-Latn-ME"/>
        </w:rPr>
        <w:t>Istovremena primjena ototoksičnih ljekova (npr. aminoglikozidi, diuretici Henleove petlje) dovodi do povećanja toksičnog efekta cisplatina na funkciju sluha. Izuzev kod pacijenata koji primaju doze cisplatina veće od 60 mg/m², kod kojih je diureza manja od 1000 ml/24 časa, ne treba izazivati forsiranu diurezu primjenom diuretika Henleove petlje zbog mogućeg oštećenja bubrega i ototoksičnosti.</w:t>
      </w:r>
    </w:p>
    <w:p w:rsidR="00902702" w:rsidRPr="003A21B4" w:rsidRDefault="00902702" w:rsidP="003A21B4">
      <w:pPr>
        <w:adjustRightInd w:val="0"/>
        <w:ind w:right="567"/>
        <w:jc w:val="both"/>
        <w:rPr>
          <w:rFonts w:eastAsia="TimesNewRoman"/>
          <w:lang w:val="sr-Latn-ME"/>
        </w:rPr>
      </w:pPr>
    </w:p>
    <w:p w:rsidR="00902702" w:rsidRPr="003A21B4" w:rsidRDefault="00902702" w:rsidP="003A21B4">
      <w:pPr>
        <w:adjustRightInd w:val="0"/>
        <w:ind w:right="567"/>
        <w:jc w:val="both"/>
        <w:rPr>
          <w:rFonts w:eastAsia="TimesNewRoman"/>
          <w:lang w:val="sr-Latn-ME"/>
        </w:rPr>
      </w:pPr>
      <w:r w:rsidRPr="003A21B4">
        <w:rPr>
          <w:rFonts w:eastAsia="TimesNewRoman"/>
          <w:lang w:val="sr-Latn-ME"/>
        </w:rPr>
        <w:t>Ifosfamid može pojačati gubitak sluha uzrokovan cisplatinom.</w:t>
      </w:r>
    </w:p>
    <w:p w:rsidR="00902702" w:rsidRPr="003A21B4" w:rsidRDefault="00902702" w:rsidP="003A21B4">
      <w:pPr>
        <w:adjustRightInd w:val="0"/>
        <w:ind w:right="567"/>
        <w:jc w:val="both"/>
        <w:rPr>
          <w:rFonts w:eastAsia="TimesNewRoman"/>
          <w:lang w:val="sr-Latn-ME"/>
        </w:rPr>
      </w:pPr>
    </w:p>
    <w:p w:rsidR="00902702" w:rsidRPr="003A21B4" w:rsidRDefault="00902702" w:rsidP="003A21B4">
      <w:pPr>
        <w:adjustRightInd w:val="0"/>
        <w:ind w:right="567"/>
        <w:jc w:val="both"/>
        <w:rPr>
          <w:b/>
          <w:lang w:val="sr-Latn-ME"/>
        </w:rPr>
      </w:pPr>
      <w:r w:rsidRPr="003A21B4">
        <w:rPr>
          <w:b/>
          <w:lang w:val="sr-Latn-ME"/>
        </w:rPr>
        <w:t xml:space="preserve">Atenuisane žive </w:t>
      </w:r>
      <w:r w:rsidR="0080334D" w:rsidRPr="003A21B4">
        <w:rPr>
          <w:b/>
          <w:bCs/>
          <w:lang w:val="sr-Latn-ME"/>
        </w:rPr>
        <w:t>vak</w:t>
      </w:r>
      <w:r w:rsidRPr="003A21B4">
        <w:rPr>
          <w:b/>
          <w:bCs/>
          <w:lang w:val="sr-Latn-ME"/>
        </w:rPr>
        <w:t>cine:</w:t>
      </w:r>
    </w:p>
    <w:p w:rsidR="00902702" w:rsidRPr="003A21B4" w:rsidRDefault="00902702" w:rsidP="00865DA5">
      <w:pPr>
        <w:adjustRightInd w:val="0"/>
        <w:ind w:right="2"/>
        <w:jc w:val="both"/>
        <w:rPr>
          <w:rFonts w:eastAsia="TimesNewRoman"/>
          <w:lang w:val="sr-Latn-ME"/>
        </w:rPr>
      </w:pPr>
      <w:r w:rsidRPr="003A21B4">
        <w:rPr>
          <w:rFonts w:eastAsia="TimesNewRoman"/>
          <w:lang w:val="sr-Latn-ME"/>
        </w:rPr>
        <w:t>Vakcina protiv žute groznice je strogo kontraindikovana zbog rizika od fatalne sistemske bolesti nakon vakcinisanja (vidjeti dio 4.3). Zbog rizika od generalizovane bolesti, savjetuje se primjena inaktivisanih vakcina kad god je to moguće.</w:t>
      </w:r>
    </w:p>
    <w:p w:rsidR="00902702" w:rsidRPr="003A21B4" w:rsidRDefault="00902702" w:rsidP="00865DA5">
      <w:pPr>
        <w:adjustRightInd w:val="0"/>
        <w:ind w:right="2"/>
        <w:jc w:val="both"/>
        <w:rPr>
          <w:rFonts w:eastAsia="TimesNewRoman"/>
          <w:color w:val="FF0000"/>
          <w:lang w:val="sr-Latn-ME"/>
        </w:rPr>
      </w:pPr>
    </w:p>
    <w:p w:rsidR="00902702" w:rsidRPr="003A21B4" w:rsidRDefault="00902702" w:rsidP="00865DA5">
      <w:pPr>
        <w:adjustRightInd w:val="0"/>
        <w:ind w:right="2"/>
        <w:jc w:val="both"/>
        <w:rPr>
          <w:b/>
          <w:lang w:val="sr-Latn-ME"/>
        </w:rPr>
      </w:pPr>
      <w:r w:rsidRPr="003A21B4">
        <w:rPr>
          <w:b/>
          <w:lang w:val="sr-Latn-ME"/>
        </w:rPr>
        <w:t>Oralni antikoagulansi</w:t>
      </w:r>
      <w:r w:rsidRPr="003A21B4">
        <w:rPr>
          <w:b/>
          <w:bCs/>
          <w:lang w:val="sr-Latn-ME"/>
        </w:rPr>
        <w:t>:</w:t>
      </w:r>
    </w:p>
    <w:p w:rsidR="00902702" w:rsidRPr="003A21B4" w:rsidRDefault="00902702" w:rsidP="00865DA5">
      <w:pPr>
        <w:adjustRightInd w:val="0"/>
        <w:ind w:right="2"/>
        <w:jc w:val="both"/>
        <w:rPr>
          <w:rFonts w:eastAsia="TimesNewRoman"/>
          <w:lang w:val="sr-Latn-ME"/>
        </w:rPr>
      </w:pPr>
      <w:r w:rsidRPr="003A21B4">
        <w:rPr>
          <w:rFonts w:eastAsia="TimesNewRoman"/>
          <w:lang w:val="sr-Latn-ME"/>
        </w:rPr>
        <w:t>U slučaju istovremene primjene oralnih antikoagulanasa, savjetuje se redovna kontrola INR vrijednosti.</w:t>
      </w:r>
    </w:p>
    <w:p w:rsidR="002E08E6" w:rsidRPr="003A21B4" w:rsidRDefault="002E08E6" w:rsidP="00865DA5">
      <w:pPr>
        <w:adjustRightInd w:val="0"/>
        <w:ind w:right="2"/>
        <w:jc w:val="both"/>
        <w:rPr>
          <w:rFonts w:eastAsia="TimesNewRoman"/>
          <w:lang w:val="sr-Latn-ME"/>
        </w:rPr>
      </w:pPr>
    </w:p>
    <w:p w:rsidR="00902702" w:rsidRPr="003A21B4" w:rsidRDefault="00902702" w:rsidP="00865DA5">
      <w:pPr>
        <w:adjustRightInd w:val="0"/>
        <w:ind w:right="2"/>
        <w:jc w:val="both"/>
        <w:rPr>
          <w:b/>
          <w:lang w:val="sr-Latn-ME"/>
        </w:rPr>
      </w:pPr>
      <w:r w:rsidRPr="003A21B4">
        <w:rPr>
          <w:b/>
          <w:lang w:val="sr-Latn-ME"/>
        </w:rPr>
        <w:t>Antihistaminici, fenotiazin i ostali</w:t>
      </w:r>
      <w:r w:rsidRPr="003A21B4">
        <w:rPr>
          <w:b/>
          <w:bCs/>
          <w:lang w:val="sr-Latn-ME"/>
        </w:rPr>
        <w:t>:</w:t>
      </w:r>
    </w:p>
    <w:p w:rsidR="00902702" w:rsidRPr="003A21B4" w:rsidRDefault="00902702" w:rsidP="00865DA5">
      <w:pPr>
        <w:adjustRightInd w:val="0"/>
        <w:ind w:right="2"/>
        <w:jc w:val="both"/>
        <w:rPr>
          <w:rFonts w:eastAsia="TimesNewRoman"/>
          <w:lang w:val="sr-Latn-ME"/>
        </w:rPr>
      </w:pPr>
      <w:r w:rsidRPr="003A21B4">
        <w:rPr>
          <w:rFonts w:eastAsia="TimesNewRoman"/>
          <w:lang w:val="sr-Latn-ME"/>
        </w:rPr>
        <w:t xml:space="preserve">Istovremena primjena antihistaminika, bucilizina, ciklizina, loksapina, meklozona, fenotiazina, tioksantena ili trimetobenzamida može maskirati simptome ototoksičnosti (kao što su vrtoglavica i </w:t>
      </w:r>
      <w:r w:rsidRPr="003A21B4">
        <w:rPr>
          <w:rFonts w:eastAsia="TimesNewRoman"/>
          <w:lang w:val="sr-Latn-ME"/>
        </w:rPr>
        <w:lastRenderedPageBreak/>
        <w:t>tinitus).</w:t>
      </w:r>
    </w:p>
    <w:p w:rsidR="00902702" w:rsidRPr="003A21B4" w:rsidRDefault="00902702" w:rsidP="00865DA5">
      <w:pPr>
        <w:adjustRightInd w:val="0"/>
        <w:ind w:right="2"/>
        <w:jc w:val="both"/>
        <w:rPr>
          <w:rFonts w:eastAsia="TimesNewRoman"/>
          <w:lang w:val="sr-Latn-ME"/>
        </w:rPr>
      </w:pPr>
    </w:p>
    <w:p w:rsidR="00902702" w:rsidRPr="003A21B4" w:rsidRDefault="00902702" w:rsidP="00865DA5">
      <w:pPr>
        <w:adjustRightInd w:val="0"/>
        <w:ind w:right="2"/>
        <w:jc w:val="both"/>
        <w:rPr>
          <w:shd w:val="clear" w:color="auto" w:fill="F5F5F5"/>
          <w:lang w:val="sr-Latn-ME"/>
        </w:rPr>
      </w:pPr>
      <w:r w:rsidRPr="003A21B4">
        <w:rPr>
          <w:b/>
          <w:lang w:val="sr-Latn-ME"/>
        </w:rPr>
        <w:t>Antikonvulzivni ljekovi</w:t>
      </w:r>
      <w:r w:rsidRPr="003A21B4">
        <w:rPr>
          <w:b/>
          <w:shd w:val="clear" w:color="auto" w:fill="F5F5F5"/>
          <w:lang w:val="sr-Latn-ME"/>
        </w:rPr>
        <w:t>:</w:t>
      </w:r>
    </w:p>
    <w:p w:rsidR="00902702" w:rsidRPr="003A21B4" w:rsidRDefault="00902702" w:rsidP="00865DA5">
      <w:pPr>
        <w:adjustRightInd w:val="0"/>
        <w:ind w:right="2"/>
        <w:jc w:val="both"/>
        <w:rPr>
          <w:rFonts w:eastAsia="TimesNewRoman"/>
          <w:lang w:val="sr-Latn-ME"/>
        </w:rPr>
      </w:pPr>
      <w:r w:rsidRPr="003A21B4">
        <w:rPr>
          <w:lang w:val="sr-Latn-ME"/>
        </w:rPr>
        <w:t xml:space="preserve">Koncentracije antikonvulzivnih ljekova u toku istovremene primjene sa cisplatinom mogu biti ispod terapijskih koncentracija. </w:t>
      </w:r>
    </w:p>
    <w:p w:rsidR="00902702" w:rsidRPr="003A21B4" w:rsidRDefault="00902702" w:rsidP="00865DA5">
      <w:pPr>
        <w:adjustRightInd w:val="0"/>
        <w:ind w:right="2"/>
        <w:jc w:val="both"/>
        <w:rPr>
          <w:rFonts w:eastAsia="TimesNewRoman"/>
          <w:color w:val="FF0000"/>
          <w:lang w:val="sr-Latn-ME"/>
        </w:rPr>
      </w:pPr>
    </w:p>
    <w:p w:rsidR="00902702" w:rsidRPr="003A21B4" w:rsidRDefault="00902702" w:rsidP="00865DA5">
      <w:pPr>
        <w:adjustRightInd w:val="0"/>
        <w:ind w:right="2"/>
        <w:jc w:val="both"/>
        <w:rPr>
          <w:b/>
          <w:lang w:val="sr-Latn-ME"/>
        </w:rPr>
      </w:pPr>
      <w:r w:rsidRPr="003A21B4">
        <w:rPr>
          <w:b/>
          <w:lang w:val="sr-Latn-ME"/>
        </w:rPr>
        <w:t>Piridoksin + altretamin kombinacija</w:t>
      </w:r>
      <w:r w:rsidRPr="003A21B4">
        <w:rPr>
          <w:b/>
          <w:bCs/>
          <w:lang w:val="sr-Latn-ME"/>
        </w:rPr>
        <w:t>:</w:t>
      </w:r>
    </w:p>
    <w:p w:rsidR="00902702" w:rsidRPr="003A21B4" w:rsidRDefault="00902702" w:rsidP="00865DA5">
      <w:pPr>
        <w:adjustRightInd w:val="0"/>
        <w:ind w:right="2"/>
        <w:jc w:val="both"/>
        <w:rPr>
          <w:rFonts w:eastAsia="TimesNewRoman"/>
          <w:lang w:val="sr-Latn-ME"/>
        </w:rPr>
      </w:pPr>
      <w:r w:rsidRPr="003A21B4">
        <w:rPr>
          <w:lang w:val="sr-Latn-ME"/>
        </w:rPr>
        <w:t>U randomizovanoj studiji u terapiji uznapredovalog karcinoma ovarijuma, trajanje odgovora je bilo promijenjeno kada je piridoksin korišćen sa altretaminom (heksametilmelamin) i cisplatinom.</w:t>
      </w:r>
    </w:p>
    <w:p w:rsidR="002E08E6" w:rsidRPr="003A21B4" w:rsidRDefault="002E08E6" w:rsidP="003A21B4">
      <w:pPr>
        <w:adjustRightInd w:val="0"/>
        <w:ind w:right="567"/>
        <w:jc w:val="both"/>
        <w:rPr>
          <w:rFonts w:eastAsia="TimesNewRoman"/>
          <w:lang w:val="sr-Latn-ME"/>
        </w:rPr>
      </w:pPr>
    </w:p>
    <w:p w:rsidR="00902702" w:rsidRPr="003A21B4" w:rsidRDefault="00902702" w:rsidP="00865DA5">
      <w:pPr>
        <w:adjustRightInd w:val="0"/>
        <w:ind w:right="2"/>
        <w:jc w:val="both"/>
        <w:rPr>
          <w:b/>
          <w:lang w:val="sr-Latn-ME"/>
        </w:rPr>
      </w:pPr>
      <w:r w:rsidRPr="003A21B4">
        <w:rPr>
          <w:b/>
          <w:lang w:val="sr-Latn-ME"/>
        </w:rPr>
        <w:t>Paklitaksel</w:t>
      </w:r>
      <w:r w:rsidRPr="003A21B4">
        <w:rPr>
          <w:b/>
          <w:bCs/>
          <w:lang w:val="sr-Latn-ME"/>
        </w:rPr>
        <w:t>:</w:t>
      </w:r>
    </w:p>
    <w:p w:rsidR="002E08E6" w:rsidRPr="003A21B4" w:rsidRDefault="00902702" w:rsidP="00865DA5">
      <w:pPr>
        <w:adjustRightInd w:val="0"/>
        <w:ind w:right="2"/>
        <w:jc w:val="both"/>
        <w:rPr>
          <w:rFonts w:eastAsia="TimesNewRoman"/>
          <w:lang w:val="sr-Latn-ME"/>
        </w:rPr>
      </w:pPr>
      <w:r w:rsidRPr="003A21B4">
        <w:rPr>
          <w:rFonts w:eastAsia="TimesNewRoman"/>
          <w:lang w:val="sr-Latn-ME"/>
        </w:rPr>
        <w:t>Primjena cisplatina prije infuzije paklitaksela može dovesti do smanjenja klirensa paklitaksela za 33%, čime se pojačava neurotoksičnost.</w:t>
      </w:r>
    </w:p>
    <w:p w:rsidR="002E08E6" w:rsidRPr="003A21B4" w:rsidRDefault="002E08E6" w:rsidP="00865DA5">
      <w:pPr>
        <w:adjustRightInd w:val="0"/>
        <w:ind w:right="567"/>
        <w:jc w:val="both"/>
        <w:rPr>
          <w:rFonts w:eastAsia="TimesNewRoman"/>
          <w:lang w:val="sr-Latn-ME"/>
        </w:rPr>
      </w:pPr>
    </w:p>
    <w:p w:rsidR="002E08E6" w:rsidRPr="00865DA5" w:rsidRDefault="0022667A" w:rsidP="00865DA5">
      <w:pPr>
        <w:adjustRightInd w:val="0"/>
        <w:ind w:right="567"/>
        <w:jc w:val="both"/>
        <w:rPr>
          <w:rFonts w:eastAsia="TimesNewRoman"/>
          <w:b/>
          <w:lang w:val="sr-Latn-ME"/>
        </w:rPr>
      </w:pPr>
      <w:r w:rsidRPr="00865DA5">
        <w:rPr>
          <w:rFonts w:eastAsia="TimesNewRoman"/>
          <w:b/>
          <w:lang w:val="sr-Latn-ME"/>
        </w:rPr>
        <w:t>Antiepileptici:</w:t>
      </w:r>
    </w:p>
    <w:p w:rsidR="002E08E6" w:rsidRPr="003A21B4" w:rsidRDefault="0022667A" w:rsidP="00865DA5">
      <w:pPr>
        <w:adjustRightInd w:val="0"/>
        <w:ind w:right="2"/>
        <w:jc w:val="both"/>
        <w:rPr>
          <w:rFonts w:eastAsia="TimesNewRoman"/>
          <w:lang w:val="sr-Latn-ME"/>
        </w:rPr>
      </w:pPr>
      <w:r w:rsidRPr="003A21B4">
        <w:rPr>
          <w:rFonts w:eastAsia="TimesNewRoman"/>
          <w:lang w:val="sr-Latn-ME"/>
        </w:rPr>
        <w:t>Kod pacijenata koji primaju cisplatin I fenitoin, nivo fenitoina u serumu može biti smanjen, vjerovatno kao posljedica smanjene apsorpcije i/ili povećanog metabolizma. Kod ovih pacijenata treba pratiti nivo fenitoina u plazmi I prilagoditi dozu u skladu sa tim.</w:t>
      </w:r>
    </w:p>
    <w:p w:rsidR="00F11D13" w:rsidRPr="003A21B4" w:rsidRDefault="00F11D13" w:rsidP="00865DA5">
      <w:pPr>
        <w:adjustRightInd w:val="0"/>
        <w:ind w:right="567"/>
        <w:jc w:val="both"/>
        <w:rPr>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Plodnost, trudnoća i dojenje</w:t>
      </w:r>
    </w:p>
    <w:p w:rsidR="00902702" w:rsidRPr="003A21B4" w:rsidRDefault="00902702" w:rsidP="003A21B4">
      <w:pPr>
        <w:adjustRightInd w:val="0"/>
        <w:ind w:right="425"/>
        <w:jc w:val="both"/>
        <w:rPr>
          <w:rFonts w:eastAsia="TimesNewRoman"/>
          <w:u w:val="single"/>
          <w:lang w:val="sr-Latn-ME"/>
        </w:rPr>
      </w:pPr>
      <w:r w:rsidRPr="003A21B4">
        <w:rPr>
          <w:rFonts w:eastAsia="TimesNewRoman"/>
          <w:u w:val="single"/>
          <w:lang w:val="sr-Latn-ME"/>
        </w:rPr>
        <w:t>Trudnoća</w:t>
      </w:r>
    </w:p>
    <w:p w:rsidR="00902702" w:rsidRPr="003A21B4" w:rsidRDefault="00902702" w:rsidP="00865DA5">
      <w:pPr>
        <w:adjustRightInd w:val="0"/>
        <w:ind w:right="2"/>
        <w:jc w:val="both"/>
        <w:rPr>
          <w:rFonts w:eastAsia="TimesNewRoman"/>
          <w:lang w:val="sr-Latn-ME"/>
        </w:rPr>
      </w:pPr>
      <w:r w:rsidRPr="003A21B4">
        <w:rPr>
          <w:rFonts w:eastAsia="TimesNewRoman"/>
          <w:lang w:val="sr-Latn-ME"/>
        </w:rPr>
        <w:t>Cisplatin je fetotoksičan ako se primjenjuje kod trudnica.</w:t>
      </w:r>
      <w:r w:rsidRPr="003A21B4">
        <w:rPr>
          <w:lang w:val="sr-Latn-ME"/>
        </w:rPr>
        <w:t xml:space="preserve"> </w:t>
      </w:r>
      <w:r w:rsidRPr="003A21B4">
        <w:rPr>
          <w:rFonts w:eastAsia="TimesNewRoman"/>
          <w:lang w:val="sr-Latn-ME"/>
        </w:rPr>
        <w:t>Ne smije se primjenjivati tokom trudnoće izuzev ukoliko nadležni ljekar smatra da je, zbog individualnog rizika za pacijentkinju, primjena klinički opravdana.</w:t>
      </w:r>
    </w:p>
    <w:p w:rsidR="00902702" w:rsidRPr="003A21B4" w:rsidRDefault="00902702" w:rsidP="00865DA5">
      <w:pPr>
        <w:tabs>
          <w:tab w:val="left" w:pos="8364"/>
        </w:tabs>
        <w:adjustRightInd w:val="0"/>
        <w:ind w:right="2"/>
        <w:jc w:val="both"/>
        <w:rPr>
          <w:b/>
          <w:lang w:val="sr-Latn-ME"/>
        </w:rPr>
      </w:pPr>
      <w:r w:rsidRPr="003A21B4">
        <w:rPr>
          <w:b/>
          <w:lang w:val="sr-Latn-ME"/>
        </w:rPr>
        <w:t>Pacijenti oba pola moraju da koriste adekvatne metode kontracepcije tokom trajanja terapije i još najmanje 6 mjeseci nakon prestanka terapije cisplatinom.</w:t>
      </w:r>
    </w:p>
    <w:p w:rsidR="00902702" w:rsidRPr="003A21B4" w:rsidRDefault="00902702" w:rsidP="003A21B4">
      <w:pPr>
        <w:adjustRightInd w:val="0"/>
        <w:ind w:right="425"/>
        <w:jc w:val="both"/>
        <w:rPr>
          <w:rFonts w:eastAsia="TimesNewRoman"/>
          <w:lang w:val="sr-Latn-ME"/>
        </w:rPr>
      </w:pPr>
    </w:p>
    <w:p w:rsidR="00902702" w:rsidRPr="003A21B4" w:rsidRDefault="00902702" w:rsidP="003A21B4">
      <w:pPr>
        <w:adjustRightInd w:val="0"/>
        <w:ind w:right="425"/>
        <w:jc w:val="both"/>
        <w:rPr>
          <w:rFonts w:eastAsia="TimesNewRoman"/>
          <w:u w:val="single"/>
          <w:lang w:val="sr-Latn-ME"/>
        </w:rPr>
      </w:pPr>
      <w:r w:rsidRPr="003A21B4">
        <w:rPr>
          <w:rFonts w:eastAsia="TimesNewRoman"/>
          <w:u w:val="single"/>
          <w:lang w:val="sr-Latn-ME"/>
        </w:rPr>
        <w:t>Dojenje</w:t>
      </w:r>
    </w:p>
    <w:p w:rsidR="00902702" w:rsidRPr="003A21B4" w:rsidRDefault="00902702" w:rsidP="00865DA5">
      <w:pPr>
        <w:tabs>
          <w:tab w:val="left" w:pos="8364"/>
        </w:tabs>
        <w:adjustRightInd w:val="0"/>
        <w:ind w:right="2"/>
        <w:jc w:val="both"/>
        <w:rPr>
          <w:rFonts w:eastAsia="TimesNewRoman"/>
          <w:lang w:val="sr-Latn-ME"/>
        </w:rPr>
      </w:pPr>
      <w:r w:rsidRPr="003A21B4">
        <w:rPr>
          <w:rFonts w:eastAsia="TimesNewRoman"/>
          <w:lang w:val="sr-Latn-ME"/>
        </w:rPr>
        <w:t>Lijek cisplatin se izlučuje u majčino mlijeko. Pacijentkinje koje su na terapiji cisplatinom ne smiju da doje.</w:t>
      </w:r>
    </w:p>
    <w:p w:rsidR="00902702" w:rsidRPr="003A21B4" w:rsidRDefault="00902702" w:rsidP="003A21B4">
      <w:pPr>
        <w:adjustRightInd w:val="0"/>
        <w:ind w:right="425"/>
        <w:jc w:val="both"/>
        <w:rPr>
          <w:rFonts w:eastAsia="TimesNewRoman"/>
          <w:lang w:val="sr-Latn-ME"/>
        </w:rPr>
      </w:pPr>
    </w:p>
    <w:p w:rsidR="00902702" w:rsidRPr="003A21B4" w:rsidRDefault="00902702" w:rsidP="003A21B4">
      <w:pPr>
        <w:adjustRightInd w:val="0"/>
        <w:ind w:right="425"/>
        <w:jc w:val="both"/>
        <w:rPr>
          <w:rFonts w:eastAsia="TimesNewRoman"/>
          <w:u w:val="single"/>
          <w:lang w:val="sr-Latn-ME"/>
        </w:rPr>
      </w:pPr>
      <w:r w:rsidRPr="003A21B4">
        <w:rPr>
          <w:rFonts w:eastAsia="TimesNewRoman"/>
          <w:u w:val="single"/>
          <w:lang w:val="sr-Latn-ME"/>
        </w:rPr>
        <w:t>Plodnost</w:t>
      </w:r>
    </w:p>
    <w:p w:rsidR="00902702" w:rsidRPr="003A21B4" w:rsidRDefault="00902702" w:rsidP="00865DA5">
      <w:pPr>
        <w:adjustRightInd w:val="0"/>
        <w:ind w:right="2"/>
        <w:jc w:val="both"/>
        <w:rPr>
          <w:rFonts w:eastAsia="TimesNewRoman"/>
          <w:lang w:val="sr-Latn-ME"/>
        </w:rPr>
      </w:pPr>
      <w:r w:rsidRPr="003A21B4">
        <w:rPr>
          <w:rFonts w:eastAsia="TimesNewRoman"/>
          <w:lang w:val="sr-Latn-ME"/>
        </w:rPr>
        <w:t>Pacijentima koji planiraju potomstvo nakon završetka terapije cisplatinom, preporučuju se konsultacije u genetskom savjetovalištu.</w:t>
      </w:r>
    </w:p>
    <w:p w:rsidR="00902702" w:rsidRPr="003A21B4" w:rsidRDefault="00902702" w:rsidP="003A21B4">
      <w:pPr>
        <w:adjustRightInd w:val="0"/>
        <w:ind w:right="425"/>
        <w:jc w:val="both"/>
        <w:rPr>
          <w:rFonts w:eastAsia="TimesNewRoman"/>
          <w:lang w:val="sr-Latn-ME"/>
        </w:rPr>
      </w:pPr>
    </w:p>
    <w:p w:rsidR="00902702" w:rsidRPr="003A21B4" w:rsidRDefault="00902702" w:rsidP="00865DA5">
      <w:pPr>
        <w:adjustRightInd w:val="0"/>
        <w:ind w:right="2"/>
        <w:jc w:val="both"/>
        <w:rPr>
          <w:rFonts w:eastAsia="TimesNewRoman"/>
          <w:lang w:val="sr-Latn-ME"/>
        </w:rPr>
      </w:pPr>
      <w:r w:rsidRPr="003A21B4">
        <w:rPr>
          <w:rFonts w:eastAsia="TimesNewRoman"/>
          <w:lang w:val="sr-Latn-ME"/>
        </w:rPr>
        <w:t>S obzirom na to da terapija cisplatinom može da izazove ireverzibilnu neplodnost, muškarcima koji žele u budućnosti da postanu očevi, preporučuje se da prije započinjanja terapije potraže savjet u vezi sa zamrzavanjem sperme.</w:t>
      </w:r>
    </w:p>
    <w:p w:rsidR="00902702" w:rsidRPr="003A21B4" w:rsidRDefault="00902702" w:rsidP="003A21B4">
      <w:pPr>
        <w:adjustRightInd w:val="0"/>
        <w:ind w:right="425"/>
        <w:jc w:val="both"/>
        <w:rPr>
          <w:lang w:val="sr-Latn-ME"/>
        </w:rPr>
      </w:pPr>
    </w:p>
    <w:p w:rsidR="00902702" w:rsidRPr="003A21B4" w:rsidRDefault="00902702" w:rsidP="003A21B4">
      <w:pPr>
        <w:adjustRightInd w:val="0"/>
        <w:ind w:right="425"/>
        <w:jc w:val="both"/>
        <w:rPr>
          <w:lang w:val="sr-Latn-ME"/>
        </w:rPr>
      </w:pPr>
      <w:r w:rsidRPr="003A21B4">
        <w:rPr>
          <w:lang w:val="sr-Latn-ME"/>
        </w:rPr>
        <w:t xml:space="preserve">Kontracepcija kod muškaraca i žena </w:t>
      </w:r>
    </w:p>
    <w:p w:rsidR="00902702" w:rsidRPr="003A21B4" w:rsidRDefault="00902702" w:rsidP="003A21B4">
      <w:pPr>
        <w:adjustRightInd w:val="0"/>
        <w:ind w:right="425"/>
        <w:jc w:val="both"/>
        <w:rPr>
          <w:lang w:val="sr-Latn-ME"/>
        </w:rPr>
      </w:pPr>
    </w:p>
    <w:p w:rsidR="00902702" w:rsidRPr="003A21B4" w:rsidRDefault="00902702" w:rsidP="00865DA5">
      <w:pPr>
        <w:tabs>
          <w:tab w:val="left" w:pos="8364"/>
        </w:tabs>
        <w:adjustRightInd w:val="0"/>
        <w:ind w:right="2"/>
        <w:jc w:val="both"/>
        <w:rPr>
          <w:lang w:val="sr-Latn-ME"/>
        </w:rPr>
      </w:pPr>
      <w:r w:rsidRPr="003A21B4">
        <w:rPr>
          <w:lang w:val="sr-Latn-ME"/>
        </w:rPr>
        <w:t>Pacijenti oba pola koji su u reproduktivnom periodu treba da koriste odgovarajuće mjere kontracepcije u toku i šest mjeseci nakon terapije cisplatinom.</w:t>
      </w:r>
    </w:p>
    <w:p w:rsidR="00902702" w:rsidRPr="003A21B4" w:rsidRDefault="00902702" w:rsidP="00865DA5">
      <w:pPr>
        <w:adjustRightInd w:val="0"/>
        <w:ind w:right="425"/>
        <w:jc w:val="both"/>
        <w:rPr>
          <w:rFonts w:eastAsia="TimesNewRoman"/>
          <w:lang w:val="sr-Latn-ME"/>
        </w:rPr>
      </w:pPr>
    </w:p>
    <w:p w:rsidR="0084478E" w:rsidRPr="003A21B4" w:rsidRDefault="00200D97" w:rsidP="00865DA5">
      <w:pPr>
        <w:widowControl/>
        <w:numPr>
          <w:ilvl w:val="1"/>
          <w:numId w:val="11"/>
        </w:numPr>
        <w:tabs>
          <w:tab w:val="left" w:pos="540"/>
          <w:tab w:val="left" w:pos="569"/>
        </w:tabs>
        <w:autoSpaceDE/>
        <w:autoSpaceDN/>
        <w:ind w:left="539" w:hanging="539"/>
        <w:jc w:val="both"/>
        <w:rPr>
          <w:b/>
          <w:bCs/>
          <w:lang w:val="sr-Latn-ME"/>
        </w:rPr>
      </w:pPr>
      <w:r w:rsidRPr="003A21B4">
        <w:rPr>
          <w:b/>
          <w:bCs/>
          <w:lang w:val="sr-Latn-ME"/>
        </w:rPr>
        <w:t xml:space="preserve">Uticaj na sposobnost upravljanja vozilima </w:t>
      </w:r>
      <w:r w:rsidR="001D4FE5" w:rsidRPr="003A21B4">
        <w:rPr>
          <w:b/>
          <w:bCs/>
          <w:lang w:val="sr-Latn-ME"/>
        </w:rPr>
        <w:t>i</w:t>
      </w:r>
      <w:r w:rsidRPr="003A21B4">
        <w:rPr>
          <w:b/>
          <w:bCs/>
          <w:lang w:val="sr-Latn-ME"/>
        </w:rPr>
        <w:t xml:space="preserve"> rukovanje mašinama</w:t>
      </w:r>
    </w:p>
    <w:p w:rsidR="00902702" w:rsidRPr="003A21B4" w:rsidRDefault="00902702" w:rsidP="003A21B4">
      <w:pPr>
        <w:adjustRightInd w:val="0"/>
        <w:ind w:right="2"/>
        <w:jc w:val="both"/>
        <w:rPr>
          <w:rFonts w:eastAsia="TimesNewRoman"/>
          <w:lang w:val="sr-Latn-ME"/>
        </w:rPr>
      </w:pPr>
      <w:r w:rsidRPr="003A21B4">
        <w:rPr>
          <w:rFonts w:eastAsia="TimesNewRoman"/>
          <w:lang w:val="sr-Latn-ME"/>
        </w:rPr>
        <w:t>Ni</w:t>
      </w:r>
      <w:r w:rsidR="00F20DA5" w:rsidRPr="003A21B4">
        <w:rPr>
          <w:rFonts w:eastAsia="TimesNewRoman"/>
          <w:lang w:val="sr-Latn-ME"/>
        </w:rPr>
        <w:t>je</w:t>
      </w:r>
      <w:r w:rsidRPr="003A21B4">
        <w:rPr>
          <w:rFonts w:eastAsia="TimesNewRoman"/>
          <w:lang w:val="sr-Latn-ME"/>
        </w:rPr>
        <w:t xml:space="preserve">su sprovedene studije o uticaju lijeka na sposobnost upravljanja vozilima i rukovanja mašinama. </w:t>
      </w:r>
    </w:p>
    <w:p w:rsidR="00902702" w:rsidRPr="003A21B4" w:rsidRDefault="00902702" w:rsidP="003A21B4">
      <w:pPr>
        <w:adjustRightInd w:val="0"/>
        <w:ind w:right="425"/>
        <w:jc w:val="both"/>
        <w:rPr>
          <w:rFonts w:eastAsia="TimesNewRoman"/>
          <w:lang w:val="sr-Latn-ME"/>
        </w:rPr>
      </w:pPr>
    </w:p>
    <w:p w:rsidR="00902702" w:rsidRPr="003A21B4" w:rsidRDefault="00902702" w:rsidP="00865DA5">
      <w:pPr>
        <w:adjustRightInd w:val="0"/>
        <w:ind w:right="2"/>
        <w:jc w:val="both"/>
        <w:rPr>
          <w:bCs/>
          <w:spacing w:val="-8"/>
          <w:lang w:val="sr-Latn-ME"/>
        </w:rPr>
      </w:pPr>
      <w:r w:rsidRPr="003A21B4">
        <w:rPr>
          <w:rFonts w:eastAsia="TimesNewRoman"/>
          <w:lang w:val="sr-Latn-ME"/>
        </w:rPr>
        <w:t>Ipak, profil neželjenih reakcija (kao što je nefrotoksičnost) može uticati na sposobnost</w:t>
      </w:r>
      <w:r w:rsidRPr="003A21B4">
        <w:rPr>
          <w:b/>
          <w:bCs/>
          <w:spacing w:val="-8"/>
          <w:lang w:val="sr-Latn-ME"/>
        </w:rPr>
        <w:t xml:space="preserve"> </w:t>
      </w:r>
      <w:r w:rsidRPr="003A21B4">
        <w:rPr>
          <w:bCs/>
          <w:spacing w:val="-8"/>
          <w:lang w:val="sr-Latn-ME"/>
        </w:rPr>
        <w:t>upravljanja vozilima i rukovanje mašinama.</w:t>
      </w:r>
    </w:p>
    <w:p w:rsidR="00902702" w:rsidRPr="003A21B4" w:rsidRDefault="00902702" w:rsidP="00865DA5">
      <w:pPr>
        <w:adjustRightInd w:val="0"/>
        <w:ind w:right="425"/>
        <w:jc w:val="both"/>
        <w:rPr>
          <w:bCs/>
          <w:spacing w:val="-8"/>
          <w:lang w:val="sr-Latn-ME"/>
        </w:rPr>
      </w:pPr>
    </w:p>
    <w:p w:rsidR="0084478E" w:rsidRPr="003A21B4" w:rsidRDefault="00200D97" w:rsidP="00865DA5">
      <w:pPr>
        <w:widowControl/>
        <w:numPr>
          <w:ilvl w:val="1"/>
          <w:numId w:val="11"/>
        </w:numPr>
        <w:tabs>
          <w:tab w:val="left" w:pos="540"/>
          <w:tab w:val="left" w:pos="569"/>
        </w:tabs>
        <w:autoSpaceDE/>
        <w:autoSpaceDN/>
        <w:ind w:left="539" w:hanging="539"/>
        <w:jc w:val="both"/>
        <w:rPr>
          <w:b/>
          <w:bCs/>
          <w:lang w:val="sr-Latn-ME"/>
        </w:rPr>
      </w:pPr>
      <w:r w:rsidRPr="003A21B4">
        <w:rPr>
          <w:b/>
          <w:bCs/>
          <w:lang w:val="sr-Latn-ME"/>
        </w:rPr>
        <w:t>Neželjena dejstva</w:t>
      </w:r>
    </w:p>
    <w:p w:rsidR="00902702" w:rsidRPr="003A21B4" w:rsidRDefault="00902702" w:rsidP="003A21B4">
      <w:pPr>
        <w:tabs>
          <w:tab w:val="left" w:pos="8364"/>
        </w:tabs>
        <w:adjustRightInd w:val="0"/>
        <w:ind w:right="2"/>
        <w:jc w:val="both"/>
        <w:rPr>
          <w:rFonts w:eastAsia="TimesNewRoman"/>
          <w:lang w:val="sr-Latn-ME"/>
        </w:rPr>
      </w:pPr>
      <w:r w:rsidRPr="003A21B4">
        <w:rPr>
          <w:rFonts w:eastAsia="TimesNewRoman"/>
          <w:lang w:val="sr-Latn-ME"/>
        </w:rPr>
        <w:t>Najčešće prijavljeni neželjeni događaji (&gt;</w:t>
      </w:r>
      <w:r w:rsidR="00422DFA" w:rsidRPr="003A21B4">
        <w:rPr>
          <w:rFonts w:eastAsia="TimesNewRoman"/>
          <w:lang w:val="sr-Latn-ME"/>
        </w:rPr>
        <w:t xml:space="preserve"> </w:t>
      </w:r>
      <w:r w:rsidRPr="003A21B4">
        <w:rPr>
          <w:rFonts w:eastAsia="TimesNewRoman"/>
          <w:lang w:val="sr-Latn-ME"/>
        </w:rPr>
        <w:t>10%) prilikom primjene cisplatina bili su hematološki (leukopenija, trombocitopenija i anemija), gastrointestinalni (anoreksija, mučnina, povraćanje i dijareja), poremećaji uha (oštećenje sluha), poremećaji bubrega (bubrežna slabost, nefrotoksičnost, hiperurikemija) i groznica.</w:t>
      </w:r>
    </w:p>
    <w:p w:rsidR="00902702" w:rsidRPr="003A21B4" w:rsidRDefault="00902702" w:rsidP="003A21B4">
      <w:pPr>
        <w:adjustRightInd w:val="0"/>
        <w:ind w:right="425"/>
        <w:jc w:val="both"/>
        <w:rPr>
          <w:rFonts w:eastAsia="TimesNewRoman"/>
          <w:lang w:val="sr-Latn-ME"/>
        </w:rPr>
      </w:pPr>
    </w:p>
    <w:p w:rsidR="00902702" w:rsidRPr="003A21B4" w:rsidRDefault="00902702" w:rsidP="00865DA5">
      <w:pPr>
        <w:adjustRightInd w:val="0"/>
        <w:ind w:right="2"/>
        <w:jc w:val="both"/>
        <w:rPr>
          <w:rFonts w:eastAsia="TimesNewRoman"/>
          <w:lang w:val="sr-Latn-ME"/>
        </w:rPr>
      </w:pPr>
      <w:r w:rsidRPr="003A21B4">
        <w:rPr>
          <w:rFonts w:eastAsia="TimesNewRoman"/>
          <w:lang w:val="sr-Latn-ME"/>
        </w:rPr>
        <w:lastRenderedPageBreak/>
        <w:t>Ozbiljni toksični efekti na bubrege, koštanu srž i uši prijavljeni su kod najviše jedne trećine pacijenata koji su primili pojedinačnu dozu cisplatina. Ovi efekti su uglavnom dozno zavisni i kumulativni. Ototoksičnost se može ispoljiti u težem obliku kod djece.</w:t>
      </w:r>
    </w:p>
    <w:p w:rsidR="00902702" w:rsidRPr="003A21B4" w:rsidRDefault="00902702" w:rsidP="003A21B4">
      <w:pPr>
        <w:adjustRightInd w:val="0"/>
        <w:ind w:right="425"/>
        <w:jc w:val="both"/>
        <w:rPr>
          <w:rFonts w:eastAsia="TimesNewRoman"/>
          <w:lang w:val="sr-Latn-ME"/>
        </w:rPr>
      </w:pPr>
    </w:p>
    <w:p w:rsidR="00902702" w:rsidRPr="003A21B4" w:rsidRDefault="00902702" w:rsidP="00865DA5">
      <w:pPr>
        <w:adjustRightInd w:val="0"/>
        <w:ind w:right="2"/>
        <w:jc w:val="both"/>
        <w:rPr>
          <w:rFonts w:eastAsia="TimesNewRoman"/>
          <w:lang w:val="sr-Latn-ME"/>
        </w:rPr>
      </w:pPr>
      <w:r w:rsidRPr="003A21B4">
        <w:rPr>
          <w:rFonts w:eastAsia="TimesNewRoman"/>
          <w:lang w:val="sr-Latn-ME"/>
        </w:rPr>
        <w:t>Učestalost neželjenih dejstava je definisana na sljedeći način: veoma čest</w:t>
      </w:r>
      <w:r w:rsidR="00422DFA" w:rsidRPr="003A21B4">
        <w:rPr>
          <w:rFonts w:eastAsia="TimesNewRoman"/>
          <w:lang w:val="sr-Latn-ME"/>
        </w:rPr>
        <w:t>o</w:t>
      </w:r>
      <w:r w:rsidRPr="003A21B4">
        <w:rPr>
          <w:rFonts w:eastAsia="TimesNewRoman"/>
          <w:lang w:val="sr-Latn-ME"/>
        </w:rPr>
        <w:t xml:space="preserve"> (≥1/10); čest</w:t>
      </w:r>
      <w:r w:rsidR="00422DFA" w:rsidRPr="003A21B4">
        <w:rPr>
          <w:rFonts w:eastAsia="TimesNewRoman"/>
          <w:lang w:val="sr-Latn-ME"/>
        </w:rPr>
        <w:t>o</w:t>
      </w:r>
      <w:r w:rsidRPr="003A21B4">
        <w:rPr>
          <w:rFonts w:eastAsia="TimesNewRoman"/>
          <w:lang w:val="sr-Latn-ME"/>
        </w:rPr>
        <w:t xml:space="preserve"> (≥1/100 do &lt;1/10); povremen</w:t>
      </w:r>
      <w:r w:rsidR="00422DFA" w:rsidRPr="003A21B4">
        <w:rPr>
          <w:rFonts w:eastAsia="TimesNewRoman"/>
          <w:lang w:val="sr-Latn-ME"/>
        </w:rPr>
        <w:t>o</w:t>
      </w:r>
      <w:r w:rsidRPr="003A21B4">
        <w:rPr>
          <w:rFonts w:eastAsia="TimesNewRoman"/>
          <w:lang w:val="sr-Latn-ME"/>
        </w:rPr>
        <w:t xml:space="preserve"> (≥1/1000 do &lt;1/100); rijetk</w:t>
      </w:r>
      <w:r w:rsidR="00422DFA" w:rsidRPr="003A21B4">
        <w:rPr>
          <w:rFonts w:eastAsia="TimesNewRoman"/>
          <w:lang w:val="sr-Latn-ME"/>
        </w:rPr>
        <w:t>o</w:t>
      </w:r>
      <w:r w:rsidRPr="003A21B4">
        <w:rPr>
          <w:rFonts w:eastAsia="TimesNewRoman"/>
          <w:lang w:val="sr-Latn-ME"/>
        </w:rPr>
        <w:t xml:space="preserve"> (≥1/10000 do ≤1/1000); veoma rijetk</w:t>
      </w:r>
      <w:r w:rsidR="00422DFA" w:rsidRPr="003A21B4">
        <w:rPr>
          <w:rFonts w:eastAsia="TimesNewRoman"/>
          <w:lang w:val="sr-Latn-ME"/>
        </w:rPr>
        <w:t>o</w:t>
      </w:r>
      <w:r w:rsidRPr="003A21B4">
        <w:rPr>
          <w:rFonts w:eastAsia="TimesNewRoman"/>
          <w:lang w:val="sr-Latn-ME"/>
        </w:rPr>
        <w:t xml:space="preserve"> (≤1/10000); nepoznat</w:t>
      </w:r>
      <w:r w:rsidR="00422DFA" w:rsidRPr="003A21B4">
        <w:rPr>
          <w:rFonts w:eastAsia="TimesNewRoman"/>
          <w:lang w:val="sr-Latn-ME"/>
        </w:rPr>
        <w:t>o</w:t>
      </w:r>
      <w:r w:rsidRPr="003A21B4">
        <w:rPr>
          <w:rFonts w:eastAsia="TimesNewRoman"/>
          <w:lang w:val="sr-Latn-ME"/>
        </w:rPr>
        <w:t xml:space="preserve"> (ne može se procijeniti na osnovu dostupnih podataka).</w:t>
      </w:r>
    </w:p>
    <w:p w:rsidR="00902702" w:rsidRPr="003A21B4" w:rsidRDefault="00902702" w:rsidP="00865DA5">
      <w:pPr>
        <w:adjustRightInd w:val="0"/>
        <w:ind w:right="425"/>
        <w:jc w:val="both"/>
        <w:rPr>
          <w:rFonts w:eastAsia="TimesNewRoman"/>
          <w:lang w:val="sr-Latn-ME"/>
        </w:rPr>
      </w:pPr>
    </w:p>
    <w:p w:rsidR="00902702" w:rsidRPr="003A21B4" w:rsidRDefault="00902702" w:rsidP="00865DA5">
      <w:pPr>
        <w:adjustRightInd w:val="0"/>
        <w:ind w:right="425"/>
        <w:jc w:val="both"/>
        <w:rPr>
          <w:rFonts w:eastAsia="TimesNewRoman"/>
          <w:b/>
          <w:lang w:val="sr-Latn-ME"/>
        </w:rPr>
      </w:pPr>
      <w:r w:rsidRPr="003A21B4">
        <w:rPr>
          <w:rFonts w:eastAsia="TimesNewRoman"/>
          <w:b/>
          <w:lang w:val="sr-Latn-ME"/>
        </w:rPr>
        <w:t xml:space="preserve">Tabela neželjenih reakcija prijavljenih na osnovu kliničkog i postmarketinškog iskustva (MedDRA terminologija) </w:t>
      </w:r>
    </w:p>
    <w:p w:rsidR="00902702" w:rsidRPr="003A21B4" w:rsidRDefault="00902702" w:rsidP="00865DA5">
      <w:pPr>
        <w:adjustRightInd w:val="0"/>
        <w:ind w:right="425"/>
        <w:jc w:val="both"/>
        <w:rPr>
          <w:rFonts w:eastAsia="TimesNewRoman"/>
          <w:b/>
          <w:lang w:val="sr-Latn-M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1"/>
        <w:gridCol w:w="2903"/>
        <w:gridCol w:w="3085"/>
      </w:tblGrid>
      <w:tr w:rsidR="00902702" w:rsidRPr="003A21B4" w:rsidTr="00865DA5">
        <w:trPr>
          <w:trHeight w:val="324"/>
        </w:trPr>
        <w:tc>
          <w:tcPr>
            <w:tcW w:w="3081" w:type="dxa"/>
          </w:tcPr>
          <w:p w:rsidR="00902702" w:rsidRPr="003A21B4" w:rsidRDefault="00902702" w:rsidP="003A21B4">
            <w:pPr>
              <w:widowControl/>
              <w:adjustRightInd w:val="0"/>
              <w:ind w:right="425"/>
              <w:jc w:val="both"/>
              <w:rPr>
                <w:b/>
                <w:lang w:val="sr-Latn-ME"/>
              </w:rPr>
            </w:pPr>
            <w:r w:rsidRPr="003A21B4">
              <w:rPr>
                <w:b/>
                <w:lang w:val="sr-Latn-ME"/>
              </w:rPr>
              <w:t>Klasa sistema organa</w:t>
            </w:r>
          </w:p>
        </w:tc>
        <w:tc>
          <w:tcPr>
            <w:tcW w:w="2903" w:type="dxa"/>
          </w:tcPr>
          <w:p w:rsidR="00902702" w:rsidRPr="003A21B4" w:rsidRDefault="00902702" w:rsidP="003A21B4">
            <w:pPr>
              <w:widowControl/>
              <w:adjustRightInd w:val="0"/>
              <w:ind w:right="425"/>
              <w:jc w:val="both"/>
              <w:rPr>
                <w:b/>
                <w:lang w:val="sr-Latn-ME"/>
              </w:rPr>
            </w:pPr>
            <w:r w:rsidRPr="003A21B4">
              <w:rPr>
                <w:b/>
                <w:lang w:val="sr-Latn-ME"/>
              </w:rPr>
              <w:t xml:space="preserve">          </w:t>
            </w:r>
            <w:r w:rsidR="00422DFA" w:rsidRPr="003A21B4">
              <w:rPr>
                <w:b/>
                <w:lang w:val="sr-Latn-ME"/>
              </w:rPr>
              <w:t>U</w:t>
            </w:r>
            <w:r w:rsidRPr="003A21B4">
              <w:rPr>
                <w:b/>
                <w:lang w:val="sr-Latn-ME"/>
              </w:rPr>
              <w:t>čestalost</w:t>
            </w:r>
          </w:p>
        </w:tc>
        <w:tc>
          <w:tcPr>
            <w:tcW w:w="3085" w:type="dxa"/>
          </w:tcPr>
          <w:p w:rsidR="00902702" w:rsidRPr="00865DA5" w:rsidRDefault="00902702" w:rsidP="003A21B4">
            <w:pPr>
              <w:widowControl/>
              <w:adjustRightInd w:val="0"/>
              <w:ind w:right="425"/>
              <w:jc w:val="both"/>
              <w:rPr>
                <w:b/>
                <w:lang w:val="sr-Latn-ME"/>
              </w:rPr>
            </w:pPr>
            <w:r w:rsidRPr="00865DA5">
              <w:rPr>
                <w:b/>
                <w:lang w:val="sr-Latn-ME"/>
              </w:rPr>
              <w:t xml:space="preserve"> MedDRA termini</w:t>
            </w:r>
          </w:p>
        </w:tc>
      </w:tr>
      <w:tr w:rsidR="00902702" w:rsidRPr="003A21B4" w:rsidTr="00865DA5">
        <w:trPr>
          <w:trHeight w:val="436"/>
        </w:trPr>
        <w:tc>
          <w:tcPr>
            <w:tcW w:w="3081" w:type="dxa"/>
            <w:vMerge w:val="restart"/>
          </w:tcPr>
          <w:p w:rsidR="00902702" w:rsidRPr="003A21B4" w:rsidRDefault="00902702" w:rsidP="003A21B4">
            <w:pPr>
              <w:widowControl/>
              <w:tabs>
                <w:tab w:val="left" w:pos="284"/>
              </w:tabs>
              <w:adjustRightInd w:val="0"/>
              <w:ind w:right="425"/>
              <w:jc w:val="both"/>
              <w:rPr>
                <w:b/>
                <w:lang w:val="sr-Latn-ME"/>
              </w:rPr>
            </w:pPr>
            <w:r w:rsidRPr="003A21B4">
              <w:rPr>
                <w:lang w:val="sr-Latn-ME"/>
              </w:rPr>
              <w:t>Infekcije i infestacije</w:t>
            </w: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3A21B4">
              <w:rPr>
                <w:rFonts w:eastAsia="TimesNewRoman"/>
                <w:lang w:val="sr-Latn-ME"/>
              </w:rPr>
              <w:t>Nepoznata</w:t>
            </w:r>
          </w:p>
          <w:p w:rsidR="00902702" w:rsidRPr="00865DA5" w:rsidRDefault="00902702" w:rsidP="003A21B4">
            <w:pPr>
              <w:widowControl/>
              <w:tabs>
                <w:tab w:val="left" w:pos="284"/>
              </w:tabs>
              <w:adjustRightInd w:val="0"/>
              <w:ind w:right="425"/>
              <w:jc w:val="both"/>
              <w:rPr>
                <w:b/>
                <w:lang w:val="sr-Latn-ME"/>
              </w:rPr>
            </w:pPr>
          </w:p>
        </w:tc>
        <w:tc>
          <w:tcPr>
            <w:tcW w:w="3085" w:type="dxa"/>
          </w:tcPr>
          <w:p w:rsidR="00902702" w:rsidRPr="00865DA5" w:rsidRDefault="00902702" w:rsidP="001D6188">
            <w:pPr>
              <w:widowControl/>
              <w:tabs>
                <w:tab w:val="left" w:pos="284"/>
              </w:tabs>
              <w:adjustRightInd w:val="0"/>
              <w:ind w:right="425"/>
              <w:rPr>
                <w:rFonts w:eastAsia="TimesNewRoman"/>
                <w:lang w:val="sr-Latn-ME"/>
              </w:rPr>
            </w:pPr>
            <w:r w:rsidRPr="00865DA5">
              <w:rPr>
                <w:rFonts w:eastAsia="TimesNewRoman"/>
                <w:lang w:val="sr-Latn-ME"/>
              </w:rPr>
              <w:t>Infekcija</w:t>
            </w:r>
            <w:r w:rsidRPr="00865DA5">
              <w:rPr>
                <w:rFonts w:eastAsia="TimesNewRoman"/>
                <w:vertAlign w:val="superscript"/>
                <w:lang w:val="sr-Latn-ME"/>
              </w:rPr>
              <w:t>a</w:t>
            </w:r>
            <w:r w:rsidRPr="00865DA5">
              <w:rPr>
                <w:rFonts w:eastAsia="TimesNewRoman"/>
                <w:b/>
                <w:vertAlign w:val="superscript"/>
                <w:lang w:val="sr-Latn-ME"/>
              </w:rPr>
              <w:t xml:space="preserve"> </w:t>
            </w:r>
          </w:p>
          <w:p w:rsidR="00902702" w:rsidRPr="00865DA5" w:rsidRDefault="00902702" w:rsidP="001D6188">
            <w:pPr>
              <w:widowControl/>
              <w:tabs>
                <w:tab w:val="left" w:pos="284"/>
              </w:tabs>
              <w:adjustRightInd w:val="0"/>
              <w:ind w:right="425"/>
              <w:rPr>
                <w:b/>
                <w:lang w:val="sr-Latn-ME"/>
              </w:rPr>
            </w:pPr>
          </w:p>
        </w:tc>
      </w:tr>
      <w:tr w:rsidR="00902702" w:rsidRPr="003A21B4" w:rsidTr="00865DA5">
        <w:trPr>
          <w:trHeight w:val="516"/>
        </w:trPr>
        <w:tc>
          <w:tcPr>
            <w:tcW w:w="3081" w:type="dxa"/>
            <w:vMerge/>
          </w:tcPr>
          <w:p w:rsidR="00902702" w:rsidRPr="00865DA5" w:rsidRDefault="00902702" w:rsidP="003A21B4">
            <w:pPr>
              <w:widowControl/>
              <w:tabs>
                <w:tab w:val="left" w:pos="284"/>
              </w:tabs>
              <w:adjustRightInd w:val="0"/>
              <w:ind w:right="425"/>
              <w:jc w:val="both"/>
              <w:rPr>
                <w:lang w:val="sr-Latn-ME"/>
              </w:rPr>
            </w:pP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Čest</w:t>
            </w:r>
            <w:r w:rsidR="00422DFA" w:rsidRPr="003A21B4">
              <w:rPr>
                <w:rFonts w:eastAsia="TimesNewRoman"/>
                <w:lang w:val="sr-Latn-ME"/>
              </w:rPr>
              <w:t>o</w:t>
            </w:r>
          </w:p>
        </w:tc>
        <w:tc>
          <w:tcPr>
            <w:tcW w:w="3085" w:type="dxa"/>
          </w:tcPr>
          <w:p w:rsidR="00902702" w:rsidRPr="003A21B4" w:rsidRDefault="00902702" w:rsidP="001D6188">
            <w:pPr>
              <w:widowControl/>
              <w:tabs>
                <w:tab w:val="left" w:pos="284"/>
              </w:tabs>
              <w:adjustRightInd w:val="0"/>
              <w:ind w:right="425"/>
              <w:rPr>
                <w:rFonts w:eastAsia="TimesNewRoman"/>
                <w:lang w:val="sr-Latn-ME"/>
              </w:rPr>
            </w:pPr>
            <w:r w:rsidRPr="003A21B4">
              <w:rPr>
                <w:rFonts w:eastAsia="TimesNewRoman"/>
                <w:lang w:val="sr-Latn-ME"/>
              </w:rPr>
              <w:t>Sepsa</w:t>
            </w:r>
          </w:p>
        </w:tc>
      </w:tr>
      <w:tr w:rsidR="00902702" w:rsidRPr="003A21B4" w:rsidTr="00865DA5">
        <w:trPr>
          <w:trHeight w:val="1046"/>
        </w:trPr>
        <w:tc>
          <w:tcPr>
            <w:tcW w:w="3081" w:type="dxa"/>
            <w:vMerge w:val="restart"/>
          </w:tcPr>
          <w:p w:rsidR="00902702" w:rsidRPr="003A21B4" w:rsidRDefault="00902702" w:rsidP="003A21B4">
            <w:pPr>
              <w:widowControl/>
              <w:adjustRightInd w:val="0"/>
              <w:ind w:right="425"/>
              <w:jc w:val="both"/>
              <w:rPr>
                <w:lang w:val="sr-Latn-ME"/>
              </w:rPr>
            </w:pPr>
            <w:r w:rsidRPr="003A21B4">
              <w:rPr>
                <w:lang w:val="sr-Latn-ME"/>
              </w:rPr>
              <w:t>Poremećaji krvi i limfnog</w:t>
            </w:r>
          </w:p>
          <w:p w:rsidR="00902702" w:rsidRPr="003A21B4" w:rsidRDefault="00902702" w:rsidP="003A21B4">
            <w:pPr>
              <w:widowControl/>
              <w:adjustRightInd w:val="0"/>
              <w:ind w:right="425"/>
              <w:jc w:val="both"/>
              <w:rPr>
                <w:lang w:val="sr-Latn-ME"/>
              </w:rPr>
            </w:pPr>
            <w:r w:rsidRPr="003A21B4">
              <w:rPr>
                <w:lang w:val="sr-Latn-ME"/>
              </w:rPr>
              <w:t>sistema</w:t>
            </w:r>
          </w:p>
          <w:p w:rsidR="00902702" w:rsidRPr="00865DA5" w:rsidRDefault="00902702" w:rsidP="003A21B4">
            <w:pPr>
              <w:widowControl/>
              <w:tabs>
                <w:tab w:val="left" w:pos="284"/>
              </w:tabs>
              <w:adjustRightInd w:val="0"/>
              <w:ind w:right="425"/>
              <w:jc w:val="both"/>
              <w:rPr>
                <w:b/>
                <w:lang w:val="sr-Latn-ME"/>
              </w:rPr>
            </w:pP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Veoma čest</w:t>
            </w:r>
            <w:r w:rsidR="00422DFA" w:rsidRPr="003A21B4">
              <w:rPr>
                <w:rFonts w:eastAsia="TimesNewRoman"/>
                <w:lang w:val="sr-Latn-ME"/>
              </w:rPr>
              <w:t>o</w:t>
            </w:r>
          </w:p>
          <w:p w:rsidR="00902702" w:rsidRPr="003A21B4" w:rsidRDefault="00902702" w:rsidP="003A21B4">
            <w:pPr>
              <w:widowControl/>
              <w:tabs>
                <w:tab w:val="left" w:pos="284"/>
              </w:tabs>
              <w:adjustRightInd w:val="0"/>
              <w:ind w:right="425"/>
              <w:jc w:val="both"/>
              <w:rPr>
                <w:rFonts w:eastAsia="TimesNewRoman"/>
                <w:lang w:val="sr-Latn-ME"/>
              </w:rPr>
            </w:pPr>
          </w:p>
          <w:p w:rsidR="00902702" w:rsidRPr="00865DA5" w:rsidRDefault="00902702" w:rsidP="003A21B4">
            <w:pPr>
              <w:widowControl/>
              <w:tabs>
                <w:tab w:val="left" w:pos="284"/>
              </w:tabs>
              <w:adjustRightInd w:val="0"/>
              <w:ind w:right="425"/>
              <w:jc w:val="both"/>
              <w:rPr>
                <w:b/>
                <w:lang w:val="sr-Latn-ME"/>
              </w:rPr>
            </w:pPr>
          </w:p>
        </w:tc>
        <w:tc>
          <w:tcPr>
            <w:tcW w:w="3085" w:type="dxa"/>
          </w:tcPr>
          <w:p w:rsidR="00902702" w:rsidRPr="00865DA5" w:rsidRDefault="00902702" w:rsidP="001D6188">
            <w:pPr>
              <w:widowControl/>
              <w:tabs>
                <w:tab w:val="left" w:pos="284"/>
              </w:tabs>
              <w:adjustRightInd w:val="0"/>
              <w:ind w:right="425"/>
              <w:rPr>
                <w:b/>
                <w:lang w:val="sr-Latn-ME"/>
              </w:rPr>
            </w:pPr>
            <w:r w:rsidRPr="00865DA5">
              <w:rPr>
                <w:rFonts w:eastAsia="TimesNewRoman"/>
                <w:lang w:val="sr-Latn-ME"/>
              </w:rPr>
              <w:t>Insuficijencija koštane srži, trombocitopenija, leukopenija, anemija</w:t>
            </w:r>
          </w:p>
        </w:tc>
      </w:tr>
      <w:tr w:rsidR="00902702" w:rsidRPr="003A21B4" w:rsidTr="00865DA5">
        <w:trPr>
          <w:trHeight w:val="550"/>
        </w:trPr>
        <w:tc>
          <w:tcPr>
            <w:tcW w:w="3081" w:type="dxa"/>
            <w:vMerge/>
          </w:tcPr>
          <w:p w:rsidR="00902702" w:rsidRPr="00865DA5" w:rsidRDefault="00902702" w:rsidP="003A21B4">
            <w:pPr>
              <w:widowControl/>
              <w:adjustRightInd w:val="0"/>
              <w:ind w:right="425"/>
              <w:jc w:val="both"/>
              <w:rPr>
                <w:lang w:val="sr-Latn-ME"/>
              </w:rPr>
            </w:pPr>
          </w:p>
        </w:tc>
        <w:tc>
          <w:tcPr>
            <w:tcW w:w="2903" w:type="dxa"/>
          </w:tcPr>
          <w:p w:rsidR="00902702" w:rsidRPr="00865DA5"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Nepoznata</w:t>
            </w:r>
          </w:p>
        </w:tc>
        <w:tc>
          <w:tcPr>
            <w:tcW w:w="3085" w:type="dxa"/>
          </w:tcPr>
          <w:p w:rsidR="00902702" w:rsidRPr="00865DA5" w:rsidRDefault="00902702" w:rsidP="001D6188">
            <w:pPr>
              <w:widowControl/>
              <w:tabs>
                <w:tab w:val="left" w:pos="284"/>
              </w:tabs>
              <w:adjustRightInd w:val="0"/>
              <w:ind w:right="425"/>
              <w:rPr>
                <w:rFonts w:eastAsia="TimesNewRoman"/>
                <w:lang w:val="sr-Latn-ME"/>
              </w:rPr>
            </w:pPr>
            <w:r w:rsidRPr="00865DA5">
              <w:rPr>
                <w:lang w:val="sr-Latn-ME"/>
              </w:rPr>
              <w:t>Coombs-</w:t>
            </w:r>
            <w:r w:rsidRPr="00865DA5">
              <w:rPr>
                <w:rFonts w:eastAsia="TimesNewRoman"/>
                <w:lang w:val="sr-Latn-ME"/>
              </w:rPr>
              <w:t>pozitivna hemolitička anemija</w:t>
            </w:r>
          </w:p>
        </w:tc>
      </w:tr>
      <w:tr w:rsidR="00902702" w:rsidRPr="003A21B4" w:rsidTr="00865DA5">
        <w:trPr>
          <w:trHeight w:val="391"/>
        </w:trPr>
        <w:tc>
          <w:tcPr>
            <w:tcW w:w="3081" w:type="dxa"/>
          </w:tcPr>
          <w:p w:rsidR="00902702" w:rsidRPr="003A21B4" w:rsidRDefault="00902702" w:rsidP="003A21B4">
            <w:pPr>
              <w:widowControl/>
              <w:adjustRightInd w:val="0"/>
              <w:ind w:right="425"/>
              <w:jc w:val="both"/>
              <w:rPr>
                <w:lang w:val="sr-Latn-ME"/>
              </w:rPr>
            </w:pPr>
            <w:r w:rsidRPr="003A21B4">
              <w:rPr>
                <w:lang w:val="sr-Latn-ME"/>
              </w:rPr>
              <w:t>Neoplazme – benigne,</w:t>
            </w:r>
          </w:p>
          <w:p w:rsidR="00902702" w:rsidRPr="003A21B4" w:rsidRDefault="00902702" w:rsidP="003A21B4">
            <w:pPr>
              <w:widowControl/>
              <w:adjustRightInd w:val="0"/>
              <w:ind w:right="425"/>
              <w:jc w:val="both"/>
              <w:rPr>
                <w:lang w:val="sr-Latn-ME"/>
              </w:rPr>
            </w:pPr>
            <w:r w:rsidRPr="003A21B4">
              <w:rPr>
                <w:lang w:val="sr-Latn-ME"/>
              </w:rPr>
              <w:t>maligne i neodređene</w:t>
            </w:r>
          </w:p>
          <w:p w:rsidR="00902702" w:rsidRPr="00865DA5" w:rsidRDefault="00902702" w:rsidP="003A21B4">
            <w:pPr>
              <w:widowControl/>
              <w:adjustRightInd w:val="0"/>
              <w:ind w:right="425"/>
              <w:jc w:val="both"/>
              <w:rPr>
                <w:lang w:val="sr-Latn-ME"/>
              </w:rPr>
            </w:pPr>
            <w:r w:rsidRPr="00865DA5">
              <w:rPr>
                <w:lang w:val="sr-Latn-ME"/>
              </w:rPr>
              <w:t>(uključujući ciste i polipe)</w:t>
            </w:r>
          </w:p>
          <w:p w:rsidR="00902702" w:rsidRPr="00865DA5" w:rsidRDefault="00902702" w:rsidP="003A21B4">
            <w:pPr>
              <w:widowControl/>
              <w:tabs>
                <w:tab w:val="left" w:pos="284"/>
              </w:tabs>
              <w:adjustRightInd w:val="0"/>
              <w:ind w:right="425"/>
              <w:jc w:val="both"/>
              <w:rPr>
                <w:b/>
                <w:lang w:val="sr-Latn-ME"/>
              </w:rPr>
            </w:pPr>
          </w:p>
        </w:tc>
        <w:tc>
          <w:tcPr>
            <w:tcW w:w="2903" w:type="dxa"/>
          </w:tcPr>
          <w:p w:rsidR="00902702" w:rsidRPr="003A21B4" w:rsidRDefault="00902702" w:rsidP="003A21B4">
            <w:pPr>
              <w:widowControl/>
              <w:tabs>
                <w:tab w:val="left" w:pos="284"/>
              </w:tabs>
              <w:adjustRightInd w:val="0"/>
              <w:ind w:right="425"/>
              <w:jc w:val="both"/>
              <w:rPr>
                <w:b/>
                <w:lang w:val="sr-Latn-ME"/>
              </w:rPr>
            </w:pPr>
            <w:r w:rsidRPr="00865DA5">
              <w:rPr>
                <w:rFonts w:eastAsia="TimesNewRoman"/>
                <w:lang w:val="sr-Latn-ME"/>
              </w:rPr>
              <w:t>Rijetk</w:t>
            </w:r>
            <w:r w:rsidR="00422DFA" w:rsidRPr="003A21B4">
              <w:rPr>
                <w:rFonts w:eastAsia="TimesNewRoman"/>
                <w:lang w:val="sr-Latn-ME"/>
              </w:rPr>
              <w:t>o</w:t>
            </w:r>
          </w:p>
        </w:tc>
        <w:tc>
          <w:tcPr>
            <w:tcW w:w="3085" w:type="dxa"/>
          </w:tcPr>
          <w:p w:rsidR="00902702" w:rsidRPr="003A21B4" w:rsidRDefault="00902702" w:rsidP="001D6188">
            <w:pPr>
              <w:widowControl/>
              <w:tabs>
                <w:tab w:val="left" w:pos="284"/>
              </w:tabs>
              <w:adjustRightInd w:val="0"/>
              <w:ind w:right="425"/>
              <w:rPr>
                <w:b/>
                <w:lang w:val="sr-Latn-ME"/>
              </w:rPr>
            </w:pPr>
            <w:r w:rsidRPr="003A21B4">
              <w:rPr>
                <w:rFonts w:eastAsia="TimesNewRoman"/>
                <w:lang w:val="sr-Latn-ME"/>
              </w:rPr>
              <w:t>Akutna leukemija</w:t>
            </w:r>
          </w:p>
        </w:tc>
      </w:tr>
      <w:tr w:rsidR="00902702" w:rsidRPr="003A21B4" w:rsidTr="00865DA5">
        <w:trPr>
          <w:trHeight w:val="232"/>
        </w:trPr>
        <w:tc>
          <w:tcPr>
            <w:tcW w:w="3081" w:type="dxa"/>
          </w:tcPr>
          <w:p w:rsidR="00902702" w:rsidRPr="003A21B4" w:rsidRDefault="00902702" w:rsidP="003A21B4">
            <w:pPr>
              <w:widowControl/>
              <w:tabs>
                <w:tab w:val="left" w:pos="284"/>
              </w:tabs>
              <w:adjustRightInd w:val="0"/>
              <w:ind w:right="425"/>
              <w:jc w:val="both"/>
              <w:rPr>
                <w:b/>
                <w:lang w:val="sr-Latn-ME"/>
              </w:rPr>
            </w:pPr>
            <w:r w:rsidRPr="003A21B4">
              <w:rPr>
                <w:lang w:val="sr-Latn-ME"/>
              </w:rPr>
              <w:t xml:space="preserve">Poremećaji </w:t>
            </w:r>
            <w:r w:rsidRPr="003A21B4">
              <w:rPr>
                <w:iCs/>
                <w:lang w:val="sr-Latn-ME"/>
              </w:rPr>
              <w:t>imunološkog</w:t>
            </w:r>
            <w:r w:rsidRPr="003A21B4">
              <w:rPr>
                <w:lang w:val="sr-Latn-ME"/>
              </w:rPr>
              <w:t xml:space="preserve"> sistema</w:t>
            </w:r>
          </w:p>
        </w:tc>
        <w:tc>
          <w:tcPr>
            <w:tcW w:w="2903" w:type="dxa"/>
          </w:tcPr>
          <w:p w:rsidR="00902702" w:rsidRPr="003A21B4" w:rsidRDefault="00902702" w:rsidP="003A21B4">
            <w:pPr>
              <w:widowControl/>
              <w:tabs>
                <w:tab w:val="left" w:pos="284"/>
              </w:tabs>
              <w:adjustRightInd w:val="0"/>
              <w:ind w:right="425"/>
              <w:jc w:val="both"/>
              <w:rPr>
                <w:b/>
                <w:lang w:val="sr-Latn-ME"/>
              </w:rPr>
            </w:pPr>
            <w:r w:rsidRPr="003A21B4">
              <w:rPr>
                <w:rFonts w:eastAsia="TimesNewRoman"/>
                <w:lang w:val="sr-Latn-ME"/>
              </w:rPr>
              <w:t>Povremen</w:t>
            </w:r>
            <w:r w:rsidR="00422DFA" w:rsidRPr="003A21B4">
              <w:rPr>
                <w:rFonts w:eastAsia="TimesNewRoman"/>
                <w:lang w:val="sr-Latn-ME"/>
              </w:rPr>
              <w:t>o</w:t>
            </w:r>
          </w:p>
        </w:tc>
        <w:tc>
          <w:tcPr>
            <w:tcW w:w="3085" w:type="dxa"/>
          </w:tcPr>
          <w:p w:rsidR="00902702" w:rsidRPr="00865DA5" w:rsidRDefault="00902702" w:rsidP="001D6188">
            <w:pPr>
              <w:widowControl/>
              <w:adjustRightInd w:val="0"/>
              <w:ind w:right="425"/>
              <w:rPr>
                <w:rFonts w:eastAsia="TimesNewRoman"/>
                <w:lang w:val="sr-Latn-ME"/>
              </w:rPr>
            </w:pPr>
            <w:r w:rsidRPr="003A21B4">
              <w:rPr>
                <w:rFonts w:eastAsia="TimesNewRoman"/>
                <w:lang w:val="sr-Latn-ME"/>
              </w:rPr>
              <w:t>Anafilaktoidna</w:t>
            </w:r>
            <w:r w:rsidRPr="003A21B4">
              <w:rPr>
                <w:b/>
                <w:vertAlign w:val="superscript"/>
                <w:lang w:val="sr-Latn-ME"/>
              </w:rPr>
              <w:t>b</w:t>
            </w:r>
            <w:r w:rsidRPr="003A21B4">
              <w:rPr>
                <w:rFonts w:eastAsia="TimesNewRoman"/>
                <w:lang w:val="sr-Latn-ME"/>
              </w:rPr>
              <w:t xml:space="preserve"> reakcija</w:t>
            </w:r>
          </w:p>
          <w:p w:rsidR="00902702" w:rsidRPr="00865DA5" w:rsidRDefault="00902702" w:rsidP="001D6188">
            <w:pPr>
              <w:widowControl/>
              <w:adjustRightInd w:val="0"/>
              <w:ind w:right="425"/>
              <w:rPr>
                <w:rFonts w:eastAsia="TimesNewRoman"/>
                <w:lang w:val="sr-Latn-ME"/>
              </w:rPr>
            </w:pPr>
            <w:r w:rsidRPr="00865DA5">
              <w:rPr>
                <w:rFonts w:eastAsia="TimesNewRoman"/>
                <w:lang w:val="sr-Latn-ME"/>
              </w:rPr>
              <w:t>Preosjetljivost može da bude kao osip, urtikarija, eritem ili pruritus</w:t>
            </w:r>
          </w:p>
          <w:p w:rsidR="00902702" w:rsidRPr="00865DA5" w:rsidRDefault="00902702" w:rsidP="001D6188">
            <w:pPr>
              <w:widowControl/>
              <w:tabs>
                <w:tab w:val="left" w:pos="284"/>
              </w:tabs>
              <w:adjustRightInd w:val="0"/>
              <w:ind w:right="425"/>
              <w:rPr>
                <w:b/>
                <w:lang w:val="sr-Latn-ME"/>
              </w:rPr>
            </w:pPr>
          </w:p>
        </w:tc>
      </w:tr>
      <w:tr w:rsidR="00902702" w:rsidRPr="003A21B4" w:rsidTr="00865DA5">
        <w:trPr>
          <w:trHeight w:val="393"/>
        </w:trPr>
        <w:tc>
          <w:tcPr>
            <w:tcW w:w="3081" w:type="dxa"/>
          </w:tcPr>
          <w:p w:rsidR="00902702" w:rsidRPr="003A21B4" w:rsidRDefault="00902702" w:rsidP="003A21B4">
            <w:pPr>
              <w:widowControl/>
              <w:tabs>
                <w:tab w:val="left" w:pos="284"/>
              </w:tabs>
              <w:adjustRightInd w:val="0"/>
              <w:ind w:right="425"/>
              <w:jc w:val="both"/>
              <w:rPr>
                <w:b/>
                <w:lang w:val="sr-Latn-ME"/>
              </w:rPr>
            </w:pPr>
            <w:r w:rsidRPr="003A21B4">
              <w:rPr>
                <w:lang w:val="sr-Latn-ME"/>
              </w:rPr>
              <w:t>Endokrini poremećaji</w:t>
            </w:r>
          </w:p>
        </w:tc>
        <w:tc>
          <w:tcPr>
            <w:tcW w:w="2903" w:type="dxa"/>
          </w:tcPr>
          <w:p w:rsidR="00902702" w:rsidRPr="003A21B4" w:rsidRDefault="00902702" w:rsidP="003A21B4">
            <w:pPr>
              <w:widowControl/>
              <w:tabs>
                <w:tab w:val="left" w:pos="284"/>
              </w:tabs>
              <w:adjustRightInd w:val="0"/>
              <w:ind w:right="425"/>
              <w:jc w:val="both"/>
              <w:rPr>
                <w:b/>
                <w:lang w:val="sr-Latn-ME"/>
              </w:rPr>
            </w:pPr>
            <w:r w:rsidRPr="003A21B4">
              <w:rPr>
                <w:rFonts w:eastAsia="TimesNewRoman"/>
                <w:lang w:val="sr-Latn-ME"/>
              </w:rPr>
              <w:t>Nepoznata</w:t>
            </w:r>
          </w:p>
        </w:tc>
        <w:tc>
          <w:tcPr>
            <w:tcW w:w="3085" w:type="dxa"/>
          </w:tcPr>
          <w:p w:rsidR="00902702" w:rsidRPr="00865DA5" w:rsidRDefault="00902702" w:rsidP="001D6188">
            <w:pPr>
              <w:widowControl/>
              <w:adjustRightInd w:val="0"/>
              <w:ind w:right="425"/>
              <w:rPr>
                <w:rFonts w:eastAsia="TimesNewRoman"/>
                <w:lang w:val="sr-Latn-ME"/>
              </w:rPr>
            </w:pPr>
            <w:r w:rsidRPr="00865DA5">
              <w:rPr>
                <w:rFonts w:eastAsia="TimesNewRoman"/>
                <w:lang w:val="sr-Latn-ME"/>
              </w:rPr>
              <w:t>Povećanje amilaze u krvi, neadekvatno lučenje</w:t>
            </w:r>
          </w:p>
          <w:p w:rsidR="00902702" w:rsidRPr="00865DA5" w:rsidRDefault="00902702" w:rsidP="001D6188">
            <w:pPr>
              <w:widowControl/>
              <w:adjustRightInd w:val="0"/>
              <w:ind w:right="425"/>
              <w:rPr>
                <w:rFonts w:eastAsia="TimesNewRoman"/>
                <w:lang w:val="sr-Latn-ME"/>
              </w:rPr>
            </w:pPr>
            <w:r w:rsidRPr="00865DA5">
              <w:rPr>
                <w:rFonts w:eastAsia="TimesNewRoman"/>
                <w:lang w:val="sr-Latn-ME"/>
              </w:rPr>
              <w:t>antidiuretskog hormona</w:t>
            </w:r>
          </w:p>
          <w:p w:rsidR="00902702" w:rsidRPr="00865DA5" w:rsidRDefault="00902702" w:rsidP="001D6188">
            <w:pPr>
              <w:widowControl/>
              <w:tabs>
                <w:tab w:val="left" w:pos="284"/>
              </w:tabs>
              <w:adjustRightInd w:val="0"/>
              <w:ind w:right="425"/>
              <w:rPr>
                <w:b/>
                <w:lang w:val="sr-Latn-ME"/>
              </w:rPr>
            </w:pPr>
          </w:p>
        </w:tc>
      </w:tr>
      <w:tr w:rsidR="005D67BD" w:rsidRPr="003A21B4" w:rsidTr="00865DA5">
        <w:trPr>
          <w:trHeight w:val="1101"/>
        </w:trPr>
        <w:tc>
          <w:tcPr>
            <w:tcW w:w="3081" w:type="dxa"/>
            <w:vMerge w:val="restart"/>
          </w:tcPr>
          <w:p w:rsidR="005D67BD" w:rsidRPr="003A21B4" w:rsidRDefault="005D67BD" w:rsidP="003A21B4">
            <w:pPr>
              <w:widowControl/>
              <w:adjustRightInd w:val="0"/>
              <w:ind w:right="425"/>
              <w:jc w:val="both"/>
              <w:rPr>
                <w:lang w:val="sr-Latn-ME"/>
              </w:rPr>
            </w:pPr>
            <w:r w:rsidRPr="003A21B4">
              <w:rPr>
                <w:lang w:val="sr-Latn-ME"/>
              </w:rPr>
              <w:t>Poremećaji metabolizma i</w:t>
            </w:r>
          </w:p>
          <w:p w:rsidR="005D67BD" w:rsidRPr="003A21B4" w:rsidRDefault="005D67BD" w:rsidP="003A21B4">
            <w:pPr>
              <w:widowControl/>
              <w:adjustRightInd w:val="0"/>
              <w:ind w:right="425"/>
              <w:jc w:val="both"/>
              <w:rPr>
                <w:lang w:val="sr-Latn-ME"/>
              </w:rPr>
            </w:pPr>
            <w:r w:rsidRPr="003A21B4">
              <w:rPr>
                <w:lang w:val="sr-Latn-ME"/>
              </w:rPr>
              <w:t>ishrane</w:t>
            </w:r>
          </w:p>
          <w:p w:rsidR="005D67BD" w:rsidRPr="00865DA5" w:rsidRDefault="005D67BD" w:rsidP="003A21B4">
            <w:pPr>
              <w:widowControl/>
              <w:tabs>
                <w:tab w:val="left" w:pos="284"/>
              </w:tabs>
              <w:adjustRightInd w:val="0"/>
              <w:ind w:right="425"/>
              <w:jc w:val="both"/>
              <w:rPr>
                <w:b/>
                <w:lang w:val="sr-Latn-ME"/>
              </w:rPr>
            </w:pPr>
          </w:p>
        </w:tc>
        <w:tc>
          <w:tcPr>
            <w:tcW w:w="2903" w:type="dxa"/>
          </w:tcPr>
          <w:p w:rsidR="005D67BD" w:rsidRPr="00865DA5" w:rsidRDefault="005D67BD" w:rsidP="003A21B4">
            <w:pPr>
              <w:widowControl/>
              <w:tabs>
                <w:tab w:val="left" w:pos="284"/>
              </w:tabs>
              <w:adjustRightInd w:val="0"/>
              <w:ind w:right="425"/>
              <w:jc w:val="both"/>
              <w:rPr>
                <w:b/>
                <w:lang w:val="sr-Latn-ME"/>
              </w:rPr>
            </w:pPr>
            <w:r w:rsidRPr="00865DA5">
              <w:rPr>
                <w:rFonts w:eastAsia="TimesNewRoman"/>
                <w:lang w:val="sr-Latn-ME"/>
              </w:rPr>
              <w:t>Nepoznata</w:t>
            </w:r>
          </w:p>
        </w:tc>
        <w:tc>
          <w:tcPr>
            <w:tcW w:w="3085" w:type="dxa"/>
          </w:tcPr>
          <w:p w:rsidR="005D67BD" w:rsidRPr="003A21B4" w:rsidRDefault="005D67BD" w:rsidP="001D6188">
            <w:pPr>
              <w:widowControl/>
              <w:adjustRightInd w:val="0"/>
              <w:ind w:right="425"/>
              <w:rPr>
                <w:rFonts w:eastAsia="TimesNewRoman"/>
                <w:lang w:val="sr-Latn-ME"/>
              </w:rPr>
            </w:pPr>
            <w:r w:rsidRPr="00865DA5">
              <w:rPr>
                <w:rFonts w:eastAsia="TimesNewRoman"/>
                <w:lang w:val="sr-Latn-ME"/>
              </w:rPr>
              <w:t xml:space="preserve">Dehidratacija, </w:t>
            </w:r>
            <w:r w:rsidRPr="003A21B4">
              <w:rPr>
                <w:rFonts w:eastAsia="TimesNewRoman"/>
                <w:lang w:val="sr-Latn-ME"/>
              </w:rPr>
              <w:t>hipokalijemija, hipofosfatemija,</w:t>
            </w:r>
          </w:p>
          <w:p w:rsidR="005D67BD" w:rsidRPr="003A21B4" w:rsidRDefault="005D67BD" w:rsidP="001D6188">
            <w:pPr>
              <w:widowControl/>
              <w:adjustRightInd w:val="0"/>
              <w:ind w:right="425"/>
              <w:rPr>
                <w:b/>
                <w:lang w:val="sr-Latn-ME"/>
              </w:rPr>
            </w:pPr>
            <w:r w:rsidRPr="003A21B4">
              <w:rPr>
                <w:rFonts w:eastAsia="TimesNewRoman"/>
                <w:lang w:val="sr-Latn-ME"/>
              </w:rPr>
              <w:t>hiperurikemija, hipokalcijemija, tetanus</w:t>
            </w:r>
          </w:p>
        </w:tc>
      </w:tr>
      <w:tr w:rsidR="005D67BD" w:rsidRPr="003A21B4" w:rsidTr="00865DA5">
        <w:trPr>
          <w:trHeight w:val="190"/>
        </w:trPr>
        <w:tc>
          <w:tcPr>
            <w:tcW w:w="3081" w:type="dxa"/>
            <w:vMerge/>
          </w:tcPr>
          <w:p w:rsidR="005D67BD" w:rsidRPr="00865DA5" w:rsidRDefault="005D67BD" w:rsidP="003A21B4">
            <w:pPr>
              <w:widowControl/>
              <w:adjustRightInd w:val="0"/>
              <w:ind w:right="425"/>
              <w:jc w:val="both"/>
              <w:rPr>
                <w:lang w:val="sr-Latn-ME"/>
              </w:rPr>
            </w:pPr>
          </w:p>
        </w:tc>
        <w:tc>
          <w:tcPr>
            <w:tcW w:w="2903" w:type="dxa"/>
          </w:tcPr>
          <w:p w:rsidR="005D67BD" w:rsidRPr="003A21B4" w:rsidRDefault="005D67BD" w:rsidP="003A21B4">
            <w:pPr>
              <w:widowControl/>
              <w:tabs>
                <w:tab w:val="left" w:pos="284"/>
              </w:tabs>
              <w:adjustRightInd w:val="0"/>
              <w:ind w:right="425"/>
              <w:jc w:val="both"/>
              <w:rPr>
                <w:rFonts w:eastAsia="TimesNewRoman"/>
                <w:lang w:val="sr-Latn-ME"/>
              </w:rPr>
            </w:pPr>
            <w:r w:rsidRPr="00865DA5">
              <w:rPr>
                <w:rFonts w:eastAsia="TimesNewRoman"/>
                <w:lang w:val="sr-Latn-ME"/>
              </w:rPr>
              <w:t>Povremen</w:t>
            </w:r>
            <w:r w:rsidR="007316D8" w:rsidRPr="003A21B4">
              <w:rPr>
                <w:rFonts w:eastAsia="TimesNewRoman"/>
                <w:lang w:val="sr-Latn-ME"/>
              </w:rPr>
              <w:t>o</w:t>
            </w:r>
          </w:p>
        </w:tc>
        <w:tc>
          <w:tcPr>
            <w:tcW w:w="3085" w:type="dxa"/>
          </w:tcPr>
          <w:p w:rsidR="005D67BD" w:rsidRPr="003A21B4" w:rsidRDefault="005D67BD" w:rsidP="001D6188">
            <w:pPr>
              <w:widowControl/>
              <w:tabs>
                <w:tab w:val="left" w:pos="284"/>
              </w:tabs>
              <w:adjustRightInd w:val="0"/>
              <w:ind w:right="425"/>
              <w:rPr>
                <w:rFonts w:eastAsia="TimesNewRoman"/>
                <w:lang w:val="sr-Latn-ME"/>
              </w:rPr>
            </w:pPr>
            <w:r w:rsidRPr="003A21B4">
              <w:rPr>
                <w:rFonts w:eastAsia="TimesNewRoman"/>
                <w:lang w:val="sr-Latn-ME"/>
              </w:rPr>
              <w:t>Hipomagnezijemija</w:t>
            </w:r>
          </w:p>
        </w:tc>
      </w:tr>
      <w:tr w:rsidR="005D67BD" w:rsidRPr="003A21B4" w:rsidTr="00865DA5">
        <w:trPr>
          <w:trHeight w:val="122"/>
        </w:trPr>
        <w:tc>
          <w:tcPr>
            <w:tcW w:w="3081" w:type="dxa"/>
            <w:vMerge/>
          </w:tcPr>
          <w:p w:rsidR="005D67BD" w:rsidRPr="00865DA5" w:rsidRDefault="005D67BD" w:rsidP="003A21B4">
            <w:pPr>
              <w:widowControl/>
              <w:adjustRightInd w:val="0"/>
              <w:ind w:right="425"/>
              <w:jc w:val="both"/>
              <w:rPr>
                <w:lang w:val="sr-Latn-ME"/>
              </w:rPr>
            </w:pPr>
          </w:p>
        </w:tc>
        <w:tc>
          <w:tcPr>
            <w:tcW w:w="2903" w:type="dxa"/>
          </w:tcPr>
          <w:p w:rsidR="005D67BD" w:rsidRPr="003A21B4" w:rsidRDefault="005D67BD" w:rsidP="003A21B4">
            <w:pPr>
              <w:widowControl/>
              <w:tabs>
                <w:tab w:val="left" w:pos="284"/>
              </w:tabs>
              <w:adjustRightInd w:val="0"/>
              <w:ind w:right="425"/>
              <w:jc w:val="both"/>
              <w:rPr>
                <w:rFonts w:eastAsia="TimesNewRoman"/>
                <w:lang w:val="sr-Latn-ME"/>
              </w:rPr>
            </w:pPr>
            <w:r w:rsidRPr="00865DA5">
              <w:rPr>
                <w:rFonts w:eastAsia="TimesNewRoman"/>
                <w:lang w:val="sr-Latn-ME"/>
              </w:rPr>
              <w:t>Veoma čest</w:t>
            </w:r>
            <w:r w:rsidR="007316D8" w:rsidRPr="003A21B4">
              <w:rPr>
                <w:rFonts w:eastAsia="TimesNewRoman"/>
                <w:lang w:val="sr-Latn-ME"/>
              </w:rPr>
              <w:t>o</w:t>
            </w:r>
          </w:p>
        </w:tc>
        <w:tc>
          <w:tcPr>
            <w:tcW w:w="3085" w:type="dxa"/>
          </w:tcPr>
          <w:p w:rsidR="005D67BD" w:rsidRPr="003A21B4" w:rsidRDefault="005D67BD" w:rsidP="001D6188">
            <w:pPr>
              <w:widowControl/>
              <w:tabs>
                <w:tab w:val="left" w:pos="284"/>
              </w:tabs>
              <w:adjustRightInd w:val="0"/>
              <w:ind w:right="425"/>
              <w:rPr>
                <w:rFonts w:eastAsia="TimesNewRoman"/>
                <w:lang w:val="sr-Latn-ME"/>
              </w:rPr>
            </w:pPr>
            <w:r w:rsidRPr="003A21B4">
              <w:rPr>
                <w:rFonts w:eastAsia="TimesNewRoman"/>
                <w:lang w:val="sr-Latn-ME"/>
              </w:rPr>
              <w:t>Hiponatrijemija</w:t>
            </w:r>
          </w:p>
        </w:tc>
      </w:tr>
      <w:tr w:rsidR="005D67BD" w:rsidRPr="003A21B4" w:rsidTr="00865DA5">
        <w:trPr>
          <w:trHeight w:val="339"/>
        </w:trPr>
        <w:tc>
          <w:tcPr>
            <w:tcW w:w="3081" w:type="dxa"/>
            <w:vMerge w:val="restart"/>
          </w:tcPr>
          <w:p w:rsidR="005D67BD" w:rsidRPr="003A21B4" w:rsidRDefault="005D67BD" w:rsidP="003A21B4">
            <w:pPr>
              <w:widowControl/>
              <w:tabs>
                <w:tab w:val="left" w:pos="284"/>
              </w:tabs>
              <w:adjustRightInd w:val="0"/>
              <w:ind w:right="425"/>
              <w:jc w:val="both"/>
              <w:rPr>
                <w:b/>
                <w:lang w:val="sr-Latn-ME"/>
              </w:rPr>
            </w:pPr>
            <w:r w:rsidRPr="003A21B4">
              <w:rPr>
                <w:lang w:val="sr-Latn-ME"/>
              </w:rPr>
              <w:t>Poremećaji nervnog sistema</w:t>
            </w:r>
          </w:p>
        </w:tc>
        <w:tc>
          <w:tcPr>
            <w:tcW w:w="2903" w:type="dxa"/>
          </w:tcPr>
          <w:p w:rsidR="005D67BD" w:rsidRPr="00865DA5" w:rsidRDefault="005D67BD" w:rsidP="003A21B4">
            <w:pPr>
              <w:widowControl/>
              <w:tabs>
                <w:tab w:val="left" w:pos="284"/>
              </w:tabs>
              <w:adjustRightInd w:val="0"/>
              <w:ind w:right="425"/>
              <w:jc w:val="both"/>
              <w:rPr>
                <w:b/>
                <w:lang w:val="sr-Latn-ME"/>
              </w:rPr>
            </w:pPr>
            <w:r w:rsidRPr="00865DA5">
              <w:rPr>
                <w:rFonts w:eastAsia="TimesNewRoman"/>
                <w:lang w:val="sr-Latn-ME"/>
              </w:rPr>
              <w:t>Nepoznata</w:t>
            </w:r>
          </w:p>
        </w:tc>
        <w:tc>
          <w:tcPr>
            <w:tcW w:w="3085" w:type="dxa"/>
          </w:tcPr>
          <w:p w:rsidR="005D67BD" w:rsidRPr="00865DA5" w:rsidRDefault="005D67BD" w:rsidP="001D6188">
            <w:pPr>
              <w:widowControl/>
              <w:adjustRightInd w:val="0"/>
              <w:ind w:right="425"/>
              <w:rPr>
                <w:rFonts w:eastAsia="TimesNewRoman"/>
                <w:lang w:val="sr-Latn-ME"/>
              </w:rPr>
            </w:pPr>
            <w:r w:rsidRPr="00865DA5">
              <w:rPr>
                <w:rFonts w:eastAsia="TimesNewRoman"/>
                <w:lang w:val="sr-Latn-ME"/>
              </w:rPr>
              <w:t xml:space="preserve">Cerebrovaskularni događaj, hemoragijski moždani, ishemijski udar, ageuzija, cerebralni arteritis, </w:t>
            </w:r>
            <w:r w:rsidRPr="00865DA5">
              <w:rPr>
                <w:i/>
                <w:lang w:val="sr-Latn-ME"/>
              </w:rPr>
              <w:t>Lhermitte</w:t>
            </w:r>
            <w:r w:rsidRPr="00865DA5">
              <w:rPr>
                <w:rFonts w:eastAsia="TimesNewRoman"/>
                <w:lang w:val="sr-Latn-ME"/>
              </w:rPr>
              <w:t>-ov znak, mijelopatija,</w:t>
            </w:r>
          </w:p>
          <w:p w:rsidR="005D67BD" w:rsidRPr="00865DA5" w:rsidRDefault="005D67BD" w:rsidP="001D6188">
            <w:pPr>
              <w:widowControl/>
              <w:adjustRightInd w:val="0"/>
              <w:ind w:right="425"/>
              <w:rPr>
                <w:rFonts w:eastAsia="TimesNewRoman"/>
                <w:lang w:val="sr-Latn-ME"/>
              </w:rPr>
            </w:pPr>
            <w:r w:rsidRPr="00865DA5">
              <w:rPr>
                <w:rFonts w:eastAsia="TimesNewRoman"/>
                <w:lang w:val="sr-Latn-ME"/>
              </w:rPr>
              <w:t>autonomna neuropatija</w:t>
            </w:r>
          </w:p>
          <w:p w:rsidR="005D67BD" w:rsidRPr="00865DA5" w:rsidRDefault="005D67BD" w:rsidP="001D6188">
            <w:pPr>
              <w:widowControl/>
              <w:tabs>
                <w:tab w:val="left" w:pos="284"/>
              </w:tabs>
              <w:adjustRightInd w:val="0"/>
              <w:ind w:right="425"/>
              <w:rPr>
                <w:b/>
                <w:lang w:val="sr-Latn-ME"/>
              </w:rPr>
            </w:pPr>
          </w:p>
        </w:tc>
      </w:tr>
      <w:tr w:rsidR="005D67BD" w:rsidRPr="003A21B4" w:rsidTr="00865DA5">
        <w:trPr>
          <w:trHeight w:val="1866"/>
        </w:trPr>
        <w:tc>
          <w:tcPr>
            <w:tcW w:w="3081" w:type="dxa"/>
            <w:vMerge/>
          </w:tcPr>
          <w:p w:rsidR="005D67BD" w:rsidRPr="00865DA5" w:rsidRDefault="005D67BD" w:rsidP="003A21B4">
            <w:pPr>
              <w:widowControl/>
              <w:tabs>
                <w:tab w:val="left" w:pos="284"/>
              </w:tabs>
              <w:adjustRightInd w:val="0"/>
              <w:ind w:right="425"/>
              <w:jc w:val="both"/>
              <w:rPr>
                <w:b/>
                <w:lang w:val="sr-Latn-ME"/>
              </w:rPr>
            </w:pPr>
          </w:p>
        </w:tc>
        <w:tc>
          <w:tcPr>
            <w:tcW w:w="2903" w:type="dxa"/>
          </w:tcPr>
          <w:p w:rsidR="005D67BD" w:rsidRPr="003A21B4" w:rsidRDefault="005D67BD" w:rsidP="003A21B4">
            <w:pPr>
              <w:widowControl/>
              <w:tabs>
                <w:tab w:val="left" w:pos="284"/>
              </w:tabs>
              <w:adjustRightInd w:val="0"/>
              <w:ind w:right="425"/>
              <w:jc w:val="both"/>
              <w:rPr>
                <w:b/>
                <w:lang w:val="sr-Latn-ME"/>
              </w:rPr>
            </w:pPr>
            <w:r w:rsidRPr="00865DA5">
              <w:rPr>
                <w:rFonts w:eastAsia="TimesNewRoman"/>
                <w:lang w:val="sr-Latn-ME"/>
              </w:rPr>
              <w:t>Rijetk</w:t>
            </w:r>
            <w:r w:rsidR="007316D8" w:rsidRPr="003A21B4">
              <w:rPr>
                <w:rFonts w:eastAsia="TimesNewRoman"/>
                <w:lang w:val="sr-Latn-ME"/>
              </w:rPr>
              <w:t>o</w:t>
            </w:r>
          </w:p>
        </w:tc>
        <w:tc>
          <w:tcPr>
            <w:tcW w:w="3085" w:type="dxa"/>
          </w:tcPr>
          <w:p w:rsidR="005D67BD" w:rsidRPr="003A21B4" w:rsidRDefault="005D67BD" w:rsidP="001D6188">
            <w:pPr>
              <w:widowControl/>
              <w:adjustRightInd w:val="0"/>
              <w:ind w:right="425"/>
              <w:rPr>
                <w:rFonts w:eastAsia="TimesNewRoman"/>
                <w:lang w:val="sr-Latn-ME"/>
              </w:rPr>
            </w:pPr>
            <w:r w:rsidRPr="003A21B4">
              <w:rPr>
                <w:rFonts w:eastAsia="TimesNewRoman"/>
                <w:lang w:val="sr-Latn-ME"/>
              </w:rPr>
              <w:t>Konvulzija, periferna neuropatija,</w:t>
            </w:r>
          </w:p>
          <w:p w:rsidR="005D67BD" w:rsidRPr="00865DA5" w:rsidRDefault="005D67BD" w:rsidP="001D6188">
            <w:pPr>
              <w:widowControl/>
              <w:adjustRightInd w:val="0"/>
              <w:ind w:right="425"/>
              <w:rPr>
                <w:rFonts w:eastAsia="TimesNewRoman"/>
                <w:lang w:val="sr-Latn-ME"/>
              </w:rPr>
            </w:pPr>
            <w:r w:rsidRPr="00865DA5">
              <w:rPr>
                <w:rFonts w:eastAsia="TimesNewRoman"/>
                <w:lang w:val="sr-Latn-ME"/>
              </w:rPr>
              <w:t>leukoencefalopatija, reverzibilni posteriorni</w:t>
            </w:r>
          </w:p>
          <w:p w:rsidR="005D67BD" w:rsidRPr="00865DA5" w:rsidRDefault="005D67BD" w:rsidP="001D6188">
            <w:pPr>
              <w:widowControl/>
              <w:adjustRightInd w:val="0"/>
              <w:ind w:right="425"/>
              <w:rPr>
                <w:rFonts w:eastAsia="TimesNewRoman"/>
                <w:lang w:val="sr-Latn-ME"/>
              </w:rPr>
            </w:pPr>
            <w:r w:rsidRPr="00865DA5">
              <w:rPr>
                <w:rFonts w:eastAsia="TimesNewRoman"/>
                <w:lang w:val="sr-Latn-ME"/>
              </w:rPr>
              <w:t>leukoencefalopatski sindrom</w:t>
            </w:r>
          </w:p>
          <w:p w:rsidR="005D67BD" w:rsidRPr="00865DA5" w:rsidRDefault="005D67BD" w:rsidP="001D6188">
            <w:pPr>
              <w:widowControl/>
              <w:tabs>
                <w:tab w:val="left" w:pos="284"/>
              </w:tabs>
              <w:adjustRightInd w:val="0"/>
              <w:ind w:right="425"/>
              <w:rPr>
                <w:b/>
                <w:lang w:val="sr-Latn-ME"/>
              </w:rPr>
            </w:pPr>
          </w:p>
        </w:tc>
      </w:tr>
      <w:tr w:rsidR="00902702" w:rsidRPr="003A21B4" w:rsidTr="00865DA5">
        <w:trPr>
          <w:trHeight w:val="362"/>
        </w:trPr>
        <w:tc>
          <w:tcPr>
            <w:tcW w:w="3081" w:type="dxa"/>
          </w:tcPr>
          <w:p w:rsidR="00902702" w:rsidRPr="003A21B4" w:rsidRDefault="00902702" w:rsidP="003A21B4">
            <w:pPr>
              <w:widowControl/>
              <w:tabs>
                <w:tab w:val="left" w:pos="284"/>
              </w:tabs>
              <w:adjustRightInd w:val="0"/>
              <w:ind w:right="425"/>
              <w:jc w:val="both"/>
              <w:rPr>
                <w:b/>
                <w:lang w:val="sr-Latn-ME"/>
              </w:rPr>
            </w:pPr>
            <w:r w:rsidRPr="003A21B4">
              <w:rPr>
                <w:lang w:val="sr-Latn-ME"/>
              </w:rPr>
              <w:t>Poremećaji oka</w:t>
            </w:r>
          </w:p>
        </w:tc>
        <w:tc>
          <w:tcPr>
            <w:tcW w:w="2903" w:type="dxa"/>
          </w:tcPr>
          <w:p w:rsidR="00902702" w:rsidRPr="003A21B4" w:rsidRDefault="00902702" w:rsidP="003A21B4">
            <w:pPr>
              <w:widowControl/>
              <w:tabs>
                <w:tab w:val="left" w:pos="284"/>
              </w:tabs>
              <w:adjustRightInd w:val="0"/>
              <w:ind w:right="425"/>
              <w:jc w:val="both"/>
              <w:rPr>
                <w:b/>
                <w:lang w:val="sr-Latn-ME"/>
              </w:rPr>
            </w:pPr>
            <w:r w:rsidRPr="003A21B4">
              <w:rPr>
                <w:rFonts w:eastAsia="TimesNewRoman"/>
                <w:lang w:val="sr-Latn-ME"/>
              </w:rPr>
              <w:t>Nepoznata</w:t>
            </w:r>
          </w:p>
        </w:tc>
        <w:tc>
          <w:tcPr>
            <w:tcW w:w="3085" w:type="dxa"/>
          </w:tcPr>
          <w:p w:rsidR="00902702" w:rsidRPr="00865DA5" w:rsidRDefault="00902702" w:rsidP="001D6188">
            <w:pPr>
              <w:widowControl/>
              <w:adjustRightInd w:val="0"/>
              <w:ind w:right="425"/>
              <w:rPr>
                <w:rFonts w:eastAsia="TimesNewRoman"/>
                <w:lang w:val="sr-Latn-ME"/>
              </w:rPr>
            </w:pPr>
            <w:r w:rsidRPr="00865DA5">
              <w:rPr>
                <w:rFonts w:eastAsia="TimesNewRoman"/>
                <w:lang w:val="sr-Latn-ME"/>
              </w:rPr>
              <w:t>Zamućen vid, stečeno sljepilo za boje, kortikalno</w:t>
            </w:r>
          </w:p>
          <w:p w:rsidR="00902702" w:rsidRPr="00865DA5" w:rsidRDefault="00902702" w:rsidP="001D6188">
            <w:pPr>
              <w:widowControl/>
              <w:adjustRightInd w:val="0"/>
              <w:ind w:right="425"/>
              <w:rPr>
                <w:rFonts w:eastAsia="TimesNewRoman"/>
                <w:lang w:val="sr-Latn-ME"/>
              </w:rPr>
            </w:pPr>
            <w:r w:rsidRPr="00865DA5">
              <w:rPr>
                <w:rFonts w:eastAsia="TimesNewRoman"/>
                <w:lang w:val="sr-Latn-ME"/>
              </w:rPr>
              <w:t>sljepilo, optički neuritis, papiloedem, pigmentacija</w:t>
            </w:r>
          </w:p>
          <w:p w:rsidR="00902702" w:rsidRPr="00865DA5" w:rsidRDefault="00902702" w:rsidP="001D6188">
            <w:pPr>
              <w:widowControl/>
              <w:adjustRightInd w:val="0"/>
              <w:ind w:right="425"/>
              <w:rPr>
                <w:rFonts w:eastAsia="TimesNewRoman"/>
                <w:lang w:val="sr-Latn-ME"/>
              </w:rPr>
            </w:pPr>
            <w:r w:rsidRPr="00865DA5">
              <w:rPr>
                <w:rFonts w:eastAsia="TimesNewRoman"/>
                <w:lang w:val="sr-Latn-ME"/>
              </w:rPr>
              <w:t>retine</w:t>
            </w:r>
          </w:p>
          <w:p w:rsidR="00902702" w:rsidRPr="00865DA5" w:rsidRDefault="00902702" w:rsidP="001D6188">
            <w:pPr>
              <w:widowControl/>
              <w:tabs>
                <w:tab w:val="left" w:pos="284"/>
              </w:tabs>
              <w:adjustRightInd w:val="0"/>
              <w:ind w:right="425"/>
              <w:rPr>
                <w:b/>
                <w:lang w:val="sr-Latn-ME"/>
              </w:rPr>
            </w:pPr>
          </w:p>
        </w:tc>
      </w:tr>
      <w:tr w:rsidR="00902702" w:rsidRPr="003A21B4" w:rsidTr="00865DA5">
        <w:trPr>
          <w:trHeight w:val="597"/>
        </w:trPr>
        <w:tc>
          <w:tcPr>
            <w:tcW w:w="3081" w:type="dxa"/>
            <w:vMerge w:val="restart"/>
          </w:tcPr>
          <w:p w:rsidR="00902702" w:rsidRPr="003A21B4" w:rsidRDefault="00902702" w:rsidP="003A21B4">
            <w:pPr>
              <w:widowControl/>
              <w:tabs>
                <w:tab w:val="left" w:pos="284"/>
              </w:tabs>
              <w:adjustRightInd w:val="0"/>
              <w:ind w:right="425"/>
              <w:jc w:val="both"/>
              <w:rPr>
                <w:b/>
                <w:lang w:val="sr-Latn-ME"/>
              </w:rPr>
            </w:pPr>
            <w:r w:rsidRPr="003A21B4">
              <w:rPr>
                <w:lang w:val="sr-Latn-ME"/>
              </w:rPr>
              <w:t>Poremećaji uha i labirinta</w:t>
            </w: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3A21B4">
              <w:rPr>
                <w:rFonts w:eastAsia="TimesNewRoman"/>
                <w:lang w:val="sr-Latn-ME"/>
              </w:rPr>
              <w:t>Povremen</w:t>
            </w:r>
            <w:r w:rsidR="007316D8" w:rsidRPr="003A21B4">
              <w:rPr>
                <w:rFonts w:eastAsia="TimesNewRoman"/>
                <w:lang w:val="sr-Latn-ME"/>
              </w:rPr>
              <w:t>o</w:t>
            </w:r>
          </w:p>
          <w:p w:rsidR="00902702" w:rsidRPr="003A21B4" w:rsidRDefault="00902702" w:rsidP="003A21B4">
            <w:pPr>
              <w:widowControl/>
              <w:tabs>
                <w:tab w:val="left" w:pos="284"/>
              </w:tabs>
              <w:adjustRightInd w:val="0"/>
              <w:ind w:right="425"/>
              <w:jc w:val="both"/>
              <w:rPr>
                <w:b/>
                <w:lang w:val="sr-Latn-ME"/>
              </w:rPr>
            </w:pPr>
          </w:p>
        </w:tc>
        <w:tc>
          <w:tcPr>
            <w:tcW w:w="3085" w:type="dxa"/>
          </w:tcPr>
          <w:p w:rsidR="00902702" w:rsidRPr="00865DA5" w:rsidRDefault="00902702" w:rsidP="001D6188">
            <w:pPr>
              <w:widowControl/>
              <w:tabs>
                <w:tab w:val="left" w:pos="284"/>
              </w:tabs>
              <w:adjustRightInd w:val="0"/>
              <w:ind w:right="425"/>
              <w:rPr>
                <w:b/>
                <w:lang w:val="sr-Latn-ME"/>
              </w:rPr>
            </w:pPr>
            <w:r w:rsidRPr="00865DA5">
              <w:rPr>
                <w:rFonts w:eastAsia="TimesNewRoman"/>
                <w:lang w:val="sr-Latn-ME"/>
              </w:rPr>
              <w:t>Ototoksičnost</w:t>
            </w:r>
          </w:p>
        </w:tc>
      </w:tr>
      <w:tr w:rsidR="00902702" w:rsidRPr="003A21B4" w:rsidTr="00865DA5">
        <w:trPr>
          <w:trHeight w:val="720"/>
        </w:trPr>
        <w:tc>
          <w:tcPr>
            <w:tcW w:w="3081" w:type="dxa"/>
            <w:vMerge/>
          </w:tcPr>
          <w:p w:rsidR="00902702" w:rsidRPr="00865DA5" w:rsidRDefault="00902702" w:rsidP="003A21B4">
            <w:pPr>
              <w:widowControl/>
              <w:tabs>
                <w:tab w:val="left" w:pos="284"/>
              </w:tabs>
              <w:adjustRightInd w:val="0"/>
              <w:ind w:right="425"/>
              <w:jc w:val="both"/>
              <w:rPr>
                <w:lang w:val="sr-Latn-ME"/>
              </w:rPr>
            </w:pPr>
          </w:p>
        </w:tc>
        <w:tc>
          <w:tcPr>
            <w:tcW w:w="2903" w:type="dxa"/>
          </w:tcPr>
          <w:p w:rsidR="00902702" w:rsidRPr="00865DA5"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Nepoznata</w:t>
            </w:r>
          </w:p>
          <w:p w:rsidR="00902702" w:rsidRPr="00865DA5" w:rsidRDefault="00902702" w:rsidP="003A21B4">
            <w:pPr>
              <w:widowControl/>
              <w:tabs>
                <w:tab w:val="left" w:pos="284"/>
              </w:tabs>
              <w:adjustRightInd w:val="0"/>
              <w:ind w:right="425"/>
              <w:jc w:val="both"/>
              <w:rPr>
                <w:rFonts w:eastAsia="TimesNewRoman"/>
                <w:lang w:val="sr-Latn-ME"/>
              </w:rPr>
            </w:pPr>
          </w:p>
        </w:tc>
        <w:tc>
          <w:tcPr>
            <w:tcW w:w="3085" w:type="dxa"/>
          </w:tcPr>
          <w:p w:rsidR="00902702" w:rsidRPr="00865DA5" w:rsidRDefault="00902702" w:rsidP="001D6188">
            <w:pPr>
              <w:widowControl/>
              <w:adjustRightInd w:val="0"/>
              <w:ind w:right="425"/>
              <w:rPr>
                <w:rFonts w:eastAsia="TimesNewRoman"/>
                <w:lang w:val="sr-Latn-ME"/>
              </w:rPr>
            </w:pPr>
            <w:r w:rsidRPr="00865DA5">
              <w:rPr>
                <w:rFonts w:eastAsia="TimesNewRoman"/>
                <w:lang w:val="sr-Latn-ME"/>
              </w:rPr>
              <w:t>Tinitus, gluvoća</w:t>
            </w:r>
          </w:p>
          <w:p w:rsidR="00902702" w:rsidRPr="00865DA5" w:rsidRDefault="00902702" w:rsidP="001D6188">
            <w:pPr>
              <w:widowControl/>
              <w:tabs>
                <w:tab w:val="left" w:pos="284"/>
              </w:tabs>
              <w:adjustRightInd w:val="0"/>
              <w:ind w:right="425"/>
              <w:rPr>
                <w:rFonts w:eastAsia="TimesNewRoman"/>
                <w:lang w:val="sr-Latn-ME"/>
              </w:rPr>
            </w:pPr>
          </w:p>
        </w:tc>
      </w:tr>
      <w:tr w:rsidR="00902702" w:rsidRPr="003A21B4" w:rsidTr="00865DA5">
        <w:trPr>
          <w:trHeight w:val="528"/>
        </w:trPr>
        <w:tc>
          <w:tcPr>
            <w:tcW w:w="3081" w:type="dxa"/>
            <w:vMerge w:val="restart"/>
          </w:tcPr>
          <w:p w:rsidR="00902702" w:rsidRPr="003A21B4" w:rsidRDefault="00902702" w:rsidP="003A21B4">
            <w:pPr>
              <w:widowControl/>
              <w:tabs>
                <w:tab w:val="left" w:pos="284"/>
              </w:tabs>
              <w:adjustRightInd w:val="0"/>
              <w:ind w:right="425"/>
              <w:jc w:val="both"/>
              <w:rPr>
                <w:b/>
                <w:lang w:val="sr-Latn-ME"/>
              </w:rPr>
            </w:pPr>
            <w:r w:rsidRPr="003A21B4">
              <w:rPr>
                <w:lang w:val="sr-Latn-ME"/>
              </w:rPr>
              <w:t>Kardiološki poremećaji</w:t>
            </w: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3A21B4">
              <w:rPr>
                <w:rFonts w:eastAsia="TimesNewRoman"/>
                <w:lang w:val="sr-Latn-ME"/>
              </w:rPr>
              <w:t>Nepoznata</w:t>
            </w:r>
          </w:p>
          <w:p w:rsidR="00902702" w:rsidRPr="00865DA5" w:rsidRDefault="00902702" w:rsidP="003A21B4">
            <w:pPr>
              <w:widowControl/>
              <w:tabs>
                <w:tab w:val="left" w:pos="284"/>
              </w:tabs>
              <w:adjustRightInd w:val="0"/>
              <w:ind w:right="425"/>
              <w:jc w:val="both"/>
              <w:rPr>
                <w:b/>
                <w:lang w:val="sr-Latn-ME"/>
              </w:rPr>
            </w:pPr>
          </w:p>
        </w:tc>
        <w:tc>
          <w:tcPr>
            <w:tcW w:w="3085" w:type="dxa"/>
          </w:tcPr>
          <w:p w:rsidR="00902702" w:rsidRPr="00865DA5" w:rsidRDefault="00902702" w:rsidP="001D6188">
            <w:pPr>
              <w:widowControl/>
              <w:tabs>
                <w:tab w:val="left" w:pos="284"/>
              </w:tabs>
              <w:adjustRightInd w:val="0"/>
              <w:ind w:right="425"/>
              <w:rPr>
                <w:b/>
                <w:lang w:val="sr-Latn-ME"/>
              </w:rPr>
            </w:pPr>
            <w:r w:rsidRPr="00865DA5">
              <w:rPr>
                <w:rFonts w:eastAsia="TimesNewRoman"/>
                <w:lang w:val="sr-Latn-ME"/>
              </w:rPr>
              <w:t>Oboljenje srca</w:t>
            </w:r>
          </w:p>
          <w:p w:rsidR="00902702" w:rsidRPr="00865DA5" w:rsidRDefault="00902702" w:rsidP="001D6188">
            <w:pPr>
              <w:widowControl/>
              <w:tabs>
                <w:tab w:val="left" w:pos="284"/>
              </w:tabs>
              <w:autoSpaceDE/>
              <w:autoSpaceDN/>
              <w:ind w:right="425"/>
              <w:rPr>
                <w:lang w:val="sr-Latn-ME"/>
              </w:rPr>
            </w:pPr>
          </w:p>
        </w:tc>
      </w:tr>
      <w:tr w:rsidR="00902702" w:rsidRPr="003A21B4" w:rsidTr="00865DA5">
        <w:trPr>
          <w:trHeight w:val="625"/>
        </w:trPr>
        <w:tc>
          <w:tcPr>
            <w:tcW w:w="3081" w:type="dxa"/>
            <w:vMerge/>
          </w:tcPr>
          <w:p w:rsidR="00902702" w:rsidRPr="00865DA5" w:rsidRDefault="00902702" w:rsidP="003A21B4">
            <w:pPr>
              <w:widowControl/>
              <w:tabs>
                <w:tab w:val="left" w:pos="284"/>
              </w:tabs>
              <w:adjustRightInd w:val="0"/>
              <w:ind w:right="425"/>
              <w:jc w:val="both"/>
              <w:rPr>
                <w:lang w:val="sr-Latn-ME"/>
              </w:rPr>
            </w:pP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Čest</w:t>
            </w:r>
            <w:r w:rsidR="007316D8" w:rsidRPr="003A21B4">
              <w:rPr>
                <w:rFonts w:eastAsia="TimesNewRoman"/>
                <w:lang w:val="sr-Latn-ME"/>
              </w:rPr>
              <w:t>o</w:t>
            </w:r>
          </w:p>
          <w:p w:rsidR="00902702" w:rsidRPr="003A21B4" w:rsidRDefault="00902702" w:rsidP="003A21B4">
            <w:pPr>
              <w:widowControl/>
              <w:tabs>
                <w:tab w:val="left" w:pos="284"/>
              </w:tabs>
              <w:adjustRightInd w:val="0"/>
              <w:ind w:right="425"/>
              <w:jc w:val="both"/>
              <w:rPr>
                <w:rFonts w:eastAsia="TimesNewRoman"/>
                <w:lang w:val="sr-Latn-ME"/>
              </w:rPr>
            </w:pPr>
          </w:p>
        </w:tc>
        <w:tc>
          <w:tcPr>
            <w:tcW w:w="3085" w:type="dxa"/>
          </w:tcPr>
          <w:p w:rsidR="00902702" w:rsidRPr="00865DA5" w:rsidRDefault="00902702" w:rsidP="001D6188">
            <w:pPr>
              <w:widowControl/>
              <w:tabs>
                <w:tab w:val="left" w:pos="284"/>
              </w:tabs>
              <w:autoSpaceDE/>
              <w:autoSpaceDN/>
              <w:ind w:right="425"/>
              <w:rPr>
                <w:rFonts w:eastAsia="TimesNewRoman"/>
                <w:lang w:val="sr-Latn-ME"/>
              </w:rPr>
            </w:pPr>
            <w:r w:rsidRPr="00865DA5">
              <w:rPr>
                <w:rFonts w:eastAsia="TimesNewRoman"/>
                <w:lang w:val="sr-Latn-ME"/>
              </w:rPr>
              <w:t>Aritmija, bradikardija, tahikardija</w:t>
            </w:r>
          </w:p>
        </w:tc>
      </w:tr>
      <w:tr w:rsidR="00902702" w:rsidRPr="003A21B4" w:rsidTr="00865DA5">
        <w:trPr>
          <w:trHeight w:val="489"/>
        </w:trPr>
        <w:tc>
          <w:tcPr>
            <w:tcW w:w="3081" w:type="dxa"/>
            <w:vMerge/>
          </w:tcPr>
          <w:p w:rsidR="00902702" w:rsidRPr="00865DA5" w:rsidRDefault="00902702" w:rsidP="003A21B4">
            <w:pPr>
              <w:widowControl/>
              <w:tabs>
                <w:tab w:val="left" w:pos="284"/>
              </w:tabs>
              <w:adjustRightInd w:val="0"/>
              <w:ind w:right="425"/>
              <w:jc w:val="both"/>
              <w:rPr>
                <w:lang w:val="sr-Latn-ME"/>
              </w:rPr>
            </w:pP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Rijetk</w:t>
            </w:r>
            <w:r w:rsidR="007316D8" w:rsidRPr="003A21B4">
              <w:rPr>
                <w:rFonts w:eastAsia="TimesNewRoman"/>
                <w:lang w:val="sr-Latn-ME"/>
              </w:rPr>
              <w:t>o</w:t>
            </w:r>
          </w:p>
          <w:p w:rsidR="00902702" w:rsidRPr="003A21B4" w:rsidRDefault="00902702" w:rsidP="003A21B4">
            <w:pPr>
              <w:widowControl/>
              <w:tabs>
                <w:tab w:val="left" w:pos="284"/>
              </w:tabs>
              <w:adjustRightInd w:val="0"/>
              <w:ind w:right="425"/>
              <w:jc w:val="both"/>
              <w:rPr>
                <w:rFonts w:eastAsia="TimesNewRoman"/>
                <w:lang w:val="sr-Latn-ME"/>
              </w:rPr>
            </w:pPr>
          </w:p>
        </w:tc>
        <w:tc>
          <w:tcPr>
            <w:tcW w:w="3085" w:type="dxa"/>
          </w:tcPr>
          <w:p w:rsidR="00902702" w:rsidRPr="00865DA5" w:rsidRDefault="00902702" w:rsidP="001D6188">
            <w:pPr>
              <w:widowControl/>
              <w:tabs>
                <w:tab w:val="left" w:pos="284"/>
              </w:tabs>
              <w:autoSpaceDE/>
              <w:autoSpaceDN/>
              <w:ind w:right="425"/>
              <w:rPr>
                <w:rFonts w:eastAsia="TimesNewRoman"/>
                <w:lang w:val="sr-Latn-ME"/>
              </w:rPr>
            </w:pPr>
            <w:r w:rsidRPr="00865DA5">
              <w:rPr>
                <w:rFonts w:eastAsia="TimesNewRoman"/>
                <w:lang w:val="sr-Latn-ME"/>
              </w:rPr>
              <w:t>Infarkt miokarda</w:t>
            </w:r>
          </w:p>
          <w:p w:rsidR="00902702" w:rsidRPr="00865DA5" w:rsidRDefault="00902702" w:rsidP="001D6188">
            <w:pPr>
              <w:widowControl/>
              <w:tabs>
                <w:tab w:val="left" w:pos="284"/>
              </w:tabs>
              <w:autoSpaceDE/>
              <w:autoSpaceDN/>
              <w:ind w:right="425"/>
              <w:rPr>
                <w:rFonts w:eastAsia="TimesNewRoman"/>
                <w:lang w:val="sr-Latn-ME"/>
              </w:rPr>
            </w:pPr>
          </w:p>
        </w:tc>
      </w:tr>
      <w:tr w:rsidR="00902702" w:rsidRPr="003A21B4" w:rsidTr="00865DA5">
        <w:trPr>
          <w:trHeight w:val="571"/>
        </w:trPr>
        <w:tc>
          <w:tcPr>
            <w:tcW w:w="3081" w:type="dxa"/>
            <w:vMerge/>
          </w:tcPr>
          <w:p w:rsidR="00902702" w:rsidRPr="00865DA5" w:rsidRDefault="00902702" w:rsidP="003A21B4">
            <w:pPr>
              <w:widowControl/>
              <w:tabs>
                <w:tab w:val="left" w:pos="284"/>
              </w:tabs>
              <w:adjustRightInd w:val="0"/>
              <w:ind w:right="425"/>
              <w:jc w:val="both"/>
              <w:rPr>
                <w:lang w:val="sr-Latn-ME"/>
              </w:rPr>
            </w:pP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Veoma rijetk</w:t>
            </w:r>
            <w:r w:rsidR="007316D8" w:rsidRPr="003A21B4">
              <w:rPr>
                <w:rFonts w:eastAsia="TimesNewRoman"/>
                <w:lang w:val="sr-Latn-ME"/>
              </w:rPr>
              <w:t>o</w:t>
            </w:r>
          </w:p>
        </w:tc>
        <w:tc>
          <w:tcPr>
            <w:tcW w:w="3085" w:type="dxa"/>
          </w:tcPr>
          <w:p w:rsidR="00902702" w:rsidRPr="003A21B4" w:rsidRDefault="00902702" w:rsidP="001D6188">
            <w:pPr>
              <w:widowControl/>
              <w:tabs>
                <w:tab w:val="left" w:pos="284"/>
              </w:tabs>
              <w:autoSpaceDE/>
              <w:autoSpaceDN/>
              <w:ind w:right="425"/>
              <w:rPr>
                <w:rFonts w:eastAsia="TimesNewRoman"/>
                <w:lang w:val="sr-Latn-ME"/>
              </w:rPr>
            </w:pPr>
            <w:r w:rsidRPr="003A21B4">
              <w:rPr>
                <w:rFonts w:eastAsia="TimesNewRoman"/>
                <w:lang w:val="sr-Latn-ME"/>
              </w:rPr>
              <w:t>Srčani zastoj</w:t>
            </w:r>
          </w:p>
        </w:tc>
      </w:tr>
      <w:tr w:rsidR="00902702" w:rsidRPr="003A21B4" w:rsidTr="00865DA5">
        <w:trPr>
          <w:trHeight w:val="1575"/>
        </w:trPr>
        <w:tc>
          <w:tcPr>
            <w:tcW w:w="3081" w:type="dxa"/>
            <w:vMerge w:val="restart"/>
          </w:tcPr>
          <w:p w:rsidR="00902702" w:rsidRPr="003A21B4" w:rsidRDefault="00902702" w:rsidP="003A21B4">
            <w:pPr>
              <w:widowControl/>
              <w:tabs>
                <w:tab w:val="left" w:pos="284"/>
              </w:tabs>
              <w:adjustRightInd w:val="0"/>
              <w:ind w:right="425"/>
              <w:jc w:val="both"/>
              <w:rPr>
                <w:b/>
                <w:lang w:val="sr-Latn-ME"/>
              </w:rPr>
            </w:pPr>
            <w:r w:rsidRPr="003A21B4">
              <w:rPr>
                <w:lang w:val="sr-Latn-ME"/>
              </w:rPr>
              <w:t>Vaskularni poremećaji</w:t>
            </w:r>
          </w:p>
        </w:tc>
        <w:tc>
          <w:tcPr>
            <w:tcW w:w="2903" w:type="dxa"/>
          </w:tcPr>
          <w:p w:rsidR="00902702" w:rsidRPr="003A21B4" w:rsidRDefault="00902702" w:rsidP="003A21B4">
            <w:pPr>
              <w:widowControl/>
              <w:tabs>
                <w:tab w:val="left" w:pos="284"/>
              </w:tabs>
              <w:adjustRightInd w:val="0"/>
              <w:ind w:right="425"/>
              <w:jc w:val="both"/>
              <w:rPr>
                <w:b/>
                <w:lang w:val="sr-Latn-ME"/>
              </w:rPr>
            </w:pPr>
            <w:r w:rsidRPr="003A21B4">
              <w:rPr>
                <w:rFonts w:eastAsia="TimesNewRoman"/>
                <w:lang w:val="sr-Latn-ME"/>
              </w:rPr>
              <w:t>Nepoznata</w:t>
            </w:r>
          </w:p>
        </w:tc>
        <w:tc>
          <w:tcPr>
            <w:tcW w:w="3085" w:type="dxa"/>
          </w:tcPr>
          <w:p w:rsidR="00902702" w:rsidRPr="00865DA5" w:rsidRDefault="00902702" w:rsidP="001D6188">
            <w:pPr>
              <w:widowControl/>
              <w:adjustRightInd w:val="0"/>
              <w:ind w:right="425"/>
              <w:rPr>
                <w:rFonts w:eastAsia="TimesNewRoman"/>
                <w:lang w:val="sr-Latn-ME"/>
              </w:rPr>
            </w:pPr>
            <w:r w:rsidRPr="00865DA5">
              <w:rPr>
                <w:rFonts w:eastAsia="TimesNewRoman"/>
                <w:lang w:val="sr-Latn-ME"/>
              </w:rPr>
              <w:t xml:space="preserve">Trombotična mikroangiopatija (hemolitičko uremijski sindrom), </w:t>
            </w:r>
            <w:r w:rsidRPr="00865DA5">
              <w:rPr>
                <w:i/>
                <w:lang w:val="sr-Latn-ME"/>
              </w:rPr>
              <w:t>Raynaud</w:t>
            </w:r>
            <w:r w:rsidRPr="00865DA5">
              <w:rPr>
                <w:rFonts w:eastAsia="TimesNewRoman"/>
                <w:lang w:val="sr-Latn-ME"/>
              </w:rPr>
              <w:t>-ov fenomen</w:t>
            </w:r>
          </w:p>
        </w:tc>
      </w:tr>
      <w:tr w:rsidR="00902702" w:rsidRPr="003A21B4" w:rsidTr="00865DA5">
        <w:trPr>
          <w:trHeight w:val="343"/>
        </w:trPr>
        <w:tc>
          <w:tcPr>
            <w:tcW w:w="3081" w:type="dxa"/>
            <w:vMerge/>
          </w:tcPr>
          <w:p w:rsidR="00902702" w:rsidRPr="00865DA5" w:rsidRDefault="00902702" w:rsidP="003A21B4">
            <w:pPr>
              <w:widowControl/>
              <w:tabs>
                <w:tab w:val="left" w:pos="284"/>
              </w:tabs>
              <w:adjustRightInd w:val="0"/>
              <w:ind w:right="425"/>
              <w:jc w:val="both"/>
              <w:rPr>
                <w:lang w:val="sr-Latn-ME"/>
              </w:rPr>
            </w:pP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Čest</w:t>
            </w:r>
            <w:r w:rsidR="007316D8" w:rsidRPr="003A21B4">
              <w:rPr>
                <w:rFonts w:eastAsia="TimesNewRoman"/>
                <w:lang w:val="sr-Latn-ME"/>
              </w:rPr>
              <w:t>o</w:t>
            </w:r>
          </w:p>
          <w:p w:rsidR="00902702" w:rsidRPr="003A21B4" w:rsidRDefault="00902702" w:rsidP="003A21B4">
            <w:pPr>
              <w:widowControl/>
              <w:tabs>
                <w:tab w:val="left" w:pos="284"/>
              </w:tabs>
              <w:adjustRightInd w:val="0"/>
              <w:ind w:right="425"/>
              <w:jc w:val="both"/>
              <w:rPr>
                <w:rFonts w:eastAsia="TimesNewRoman"/>
                <w:lang w:val="sr-Latn-ME"/>
              </w:rPr>
            </w:pPr>
          </w:p>
        </w:tc>
        <w:tc>
          <w:tcPr>
            <w:tcW w:w="3085" w:type="dxa"/>
          </w:tcPr>
          <w:p w:rsidR="00902702" w:rsidRPr="003A21B4" w:rsidRDefault="00902702" w:rsidP="001D6188">
            <w:pPr>
              <w:widowControl/>
              <w:tabs>
                <w:tab w:val="left" w:pos="284"/>
              </w:tabs>
              <w:adjustRightInd w:val="0"/>
              <w:ind w:right="425"/>
              <w:rPr>
                <w:rFonts w:eastAsia="TimesNewRoman"/>
                <w:lang w:val="sr-Latn-ME"/>
              </w:rPr>
            </w:pPr>
            <w:r w:rsidRPr="003A21B4">
              <w:rPr>
                <w:rFonts w:eastAsia="TimesNewRoman"/>
                <w:lang w:val="sr-Latn-ME"/>
              </w:rPr>
              <w:t>Venska tromboembolija</w:t>
            </w:r>
          </w:p>
        </w:tc>
      </w:tr>
      <w:tr w:rsidR="00902702" w:rsidRPr="003A21B4" w:rsidTr="00865DA5">
        <w:trPr>
          <w:trHeight w:val="760"/>
        </w:trPr>
        <w:tc>
          <w:tcPr>
            <w:tcW w:w="3081" w:type="dxa"/>
            <w:vMerge w:val="restart"/>
          </w:tcPr>
          <w:p w:rsidR="00902702" w:rsidRPr="003A21B4" w:rsidRDefault="00902702" w:rsidP="003A21B4">
            <w:pPr>
              <w:widowControl/>
              <w:tabs>
                <w:tab w:val="left" w:pos="284"/>
              </w:tabs>
              <w:adjustRightInd w:val="0"/>
              <w:ind w:right="425"/>
              <w:jc w:val="both"/>
              <w:rPr>
                <w:b/>
                <w:lang w:val="sr-Latn-ME"/>
              </w:rPr>
            </w:pPr>
            <w:r w:rsidRPr="003A21B4">
              <w:rPr>
                <w:lang w:val="sr-Latn-ME"/>
              </w:rPr>
              <w:t>Gastrointestinalni poremećaji</w:t>
            </w:r>
          </w:p>
        </w:tc>
        <w:tc>
          <w:tcPr>
            <w:tcW w:w="2903" w:type="dxa"/>
          </w:tcPr>
          <w:p w:rsidR="00902702" w:rsidRPr="00865DA5"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Nepoznata</w:t>
            </w:r>
          </w:p>
          <w:p w:rsidR="00902702" w:rsidRPr="00865DA5" w:rsidRDefault="00902702" w:rsidP="003A21B4">
            <w:pPr>
              <w:widowControl/>
              <w:tabs>
                <w:tab w:val="left" w:pos="284"/>
              </w:tabs>
              <w:adjustRightInd w:val="0"/>
              <w:ind w:right="425"/>
              <w:jc w:val="both"/>
              <w:rPr>
                <w:rFonts w:eastAsia="TimesNewRoman"/>
                <w:lang w:val="sr-Latn-ME"/>
              </w:rPr>
            </w:pPr>
          </w:p>
          <w:p w:rsidR="00902702" w:rsidRPr="00865DA5" w:rsidRDefault="00902702" w:rsidP="003A21B4">
            <w:pPr>
              <w:widowControl/>
              <w:tabs>
                <w:tab w:val="left" w:pos="284"/>
              </w:tabs>
              <w:adjustRightInd w:val="0"/>
              <w:ind w:right="425"/>
              <w:jc w:val="both"/>
              <w:rPr>
                <w:b/>
                <w:lang w:val="sr-Latn-ME"/>
              </w:rPr>
            </w:pPr>
          </w:p>
        </w:tc>
        <w:tc>
          <w:tcPr>
            <w:tcW w:w="3085" w:type="dxa"/>
          </w:tcPr>
          <w:p w:rsidR="00902702" w:rsidRPr="00865DA5" w:rsidRDefault="00902702" w:rsidP="001D6188">
            <w:pPr>
              <w:widowControl/>
              <w:adjustRightInd w:val="0"/>
              <w:ind w:right="425"/>
              <w:rPr>
                <w:b/>
                <w:lang w:val="sr-Latn-ME"/>
              </w:rPr>
            </w:pPr>
            <w:r w:rsidRPr="00865DA5">
              <w:rPr>
                <w:rFonts w:eastAsia="TimesNewRoman"/>
                <w:lang w:val="sr-Latn-ME"/>
              </w:rPr>
              <w:t>Povraćanje, mučnina, anoreksija, štucanje, dijareja</w:t>
            </w:r>
          </w:p>
        </w:tc>
      </w:tr>
      <w:tr w:rsidR="00902702" w:rsidRPr="003A21B4" w:rsidTr="00865DA5">
        <w:trPr>
          <w:trHeight w:val="429"/>
        </w:trPr>
        <w:tc>
          <w:tcPr>
            <w:tcW w:w="3081" w:type="dxa"/>
            <w:vMerge/>
          </w:tcPr>
          <w:p w:rsidR="00902702" w:rsidRPr="00865DA5" w:rsidRDefault="00902702" w:rsidP="003A21B4">
            <w:pPr>
              <w:widowControl/>
              <w:tabs>
                <w:tab w:val="left" w:pos="284"/>
              </w:tabs>
              <w:adjustRightInd w:val="0"/>
              <w:ind w:right="425"/>
              <w:jc w:val="both"/>
              <w:rPr>
                <w:lang w:val="sr-Latn-ME"/>
              </w:rPr>
            </w:pPr>
          </w:p>
        </w:tc>
        <w:tc>
          <w:tcPr>
            <w:tcW w:w="2903" w:type="dxa"/>
          </w:tcPr>
          <w:p w:rsidR="00902702" w:rsidRPr="003A21B4"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Rijetk</w:t>
            </w:r>
            <w:r w:rsidR="007316D8" w:rsidRPr="003A21B4">
              <w:rPr>
                <w:rFonts w:eastAsia="TimesNewRoman"/>
                <w:lang w:val="sr-Latn-ME"/>
              </w:rPr>
              <w:t>o</w:t>
            </w:r>
          </w:p>
        </w:tc>
        <w:tc>
          <w:tcPr>
            <w:tcW w:w="3085" w:type="dxa"/>
          </w:tcPr>
          <w:p w:rsidR="00902702" w:rsidRPr="003A21B4" w:rsidRDefault="00902702" w:rsidP="001D6188">
            <w:pPr>
              <w:widowControl/>
              <w:tabs>
                <w:tab w:val="left" w:pos="284"/>
              </w:tabs>
              <w:adjustRightInd w:val="0"/>
              <w:ind w:right="425"/>
              <w:rPr>
                <w:rFonts w:eastAsia="TimesNewRoman"/>
                <w:lang w:val="sr-Latn-ME"/>
              </w:rPr>
            </w:pPr>
            <w:r w:rsidRPr="003A21B4">
              <w:rPr>
                <w:rFonts w:eastAsia="TimesNewRoman"/>
                <w:lang w:val="sr-Latn-ME"/>
              </w:rPr>
              <w:t>Stomatitis</w:t>
            </w:r>
          </w:p>
        </w:tc>
      </w:tr>
      <w:tr w:rsidR="00902702" w:rsidRPr="003A21B4" w:rsidTr="00865DA5">
        <w:trPr>
          <w:trHeight w:val="858"/>
        </w:trPr>
        <w:tc>
          <w:tcPr>
            <w:tcW w:w="3081" w:type="dxa"/>
          </w:tcPr>
          <w:p w:rsidR="00902702" w:rsidRPr="003A21B4" w:rsidRDefault="00902702" w:rsidP="003A21B4">
            <w:pPr>
              <w:widowControl/>
              <w:tabs>
                <w:tab w:val="left" w:pos="284"/>
              </w:tabs>
              <w:adjustRightInd w:val="0"/>
              <w:ind w:right="425"/>
              <w:jc w:val="both"/>
              <w:rPr>
                <w:b/>
                <w:lang w:val="sr-Latn-ME"/>
              </w:rPr>
            </w:pPr>
            <w:r w:rsidRPr="003A21B4">
              <w:rPr>
                <w:lang w:val="sr-Latn-ME"/>
              </w:rPr>
              <w:t>Hepatobilijarni poremećaji</w:t>
            </w:r>
          </w:p>
        </w:tc>
        <w:tc>
          <w:tcPr>
            <w:tcW w:w="2903" w:type="dxa"/>
          </w:tcPr>
          <w:p w:rsidR="00902702" w:rsidRPr="00865DA5"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Nepoznata</w:t>
            </w:r>
          </w:p>
          <w:p w:rsidR="00902702" w:rsidRPr="00865DA5" w:rsidRDefault="00902702" w:rsidP="003A21B4">
            <w:pPr>
              <w:widowControl/>
              <w:tabs>
                <w:tab w:val="left" w:pos="284"/>
              </w:tabs>
              <w:adjustRightInd w:val="0"/>
              <w:ind w:right="425"/>
              <w:jc w:val="both"/>
              <w:rPr>
                <w:rFonts w:eastAsia="TimesNewRoman"/>
                <w:lang w:val="sr-Latn-ME"/>
              </w:rPr>
            </w:pPr>
          </w:p>
          <w:p w:rsidR="00902702" w:rsidRPr="00865DA5" w:rsidRDefault="00902702" w:rsidP="003A21B4">
            <w:pPr>
              <w:widowControl/>
              <w:tabs>
                <w:tab w:val="left" w:pos="284"/>
              </w:tabs>
              <w:adjustRightInd w:val="0"/>
              <w:ind w:right="425"/>
              <w:jc w:val="both"/>
              <w:rPr>
                <w:b/>
                <w:lang w:val="sr-Latn-ME"/>
              </w:rPr>
            </w:pPr>
          </w:p>
        </w:tc>
        <w:tc>
          <w:tcPr>
            <w:tcW w:w="3085" w:type="dxa"/>
          </w:tcPr>
          <w:p w:rsidR="00902702" w:rsidRPr="00865DA5" w:rsidRDefault="00902702" w:rsidP="001D6188">
            <w:pPr>
              <w:widowControl/>
              <w:adjustRightInd w:val="0"/>
              <w:ind w:right="425"/>
              <w:rPr>
                <w:rFonts w:eastAsia="TimesNewRoman"/>
                <w:lang w:val="sr-Latn-ME"/>
              </w:rPr>
            </w:pPr>
            <w:r w:rsidRPr="00865DA5">
              <w:rPr>
                <w:rFonts w:eastAsia="TimesNewRoman"/>
                <w:lang w:val="sr-Latn-ME"/>
              </w:rPr>
              <w:t>Povećanje vrijednosti enzima jetre, povećanje</w:t>
            </w:r>
          </w:p>
          <w:p w:rsidR="00902702" w:rsidRPr="00865DA5" w:rsidRDefault="00902702" w:rsidP="001D6188">
            <w:pPr>
              <w:widowControl/>
              <w:tabs>
                <w:tab w:val="left" w:pos="284"/>
              </w:tabs>
              <w:adjustRightInd w:val="0"/>
              <w:ind w:right="425"/>
              <w:rPr>
                <w:b/>
                <w:lang w:val="sr-Latn-ME"/>
              </w:rPr>
            </w:pPr>
            <w:r w:rsidRPr="00865DA5">
              <w:rPr>
                <w:rFonts w:eastAsia="TimesNewRoman"/>
                <w:lang w:val="sr-Latn-ME"/>
              </w:rPr>
              <w:t>vrijednosti bilirubina u krvi</w:t>
            </w:r>
          </w:p>
        </w:tc>
      </w:tr>
      <w:tr w:rsidR="00902702" w:rsidRPr="003A21B4" w:rsidTr="00865DA5">
        <w:trPr>
          <w:trHeight w:val="688"/>
        </w:trPr>
        <w:tc>
          <w:tcPr>
            <w:tcW w:w="3081" w:type="dxa"/>
          </w:tcPr>
          <w:p w:rsidR="00902702" w:rsidRPr="003A21B4" w:rsidRDefault="00902702" w:rsidP="003A21B4">
            <w:pPr>
              <w:widowControl/>
              <w:adjustRightInd w:val="0"/>
              <w:ind w:right="425"/>
              <w:jc w:val="both"/>
              <w:rPr>
                <w:lang w:val="sr-Latn-ME"/>
              </w:rPr>
            </w:pPr>
            <w:r w:rsidRPr="003A21B4">
              <w:rPr>
                <w:lang w:val="sr-Latn-ME"/>
              </w:rPr>
              <w:t>Respiratorni, torakalni i</w:t>
            </w:r>
          </w:p>
          <w:p w:rsidR="00902702" w:rsidRPr="003A21B4" w:rsidRDefault="00902702" w:rsidP="003A21B4">
            <w:pPr>
              <w:widowControl/>
              <w:adjustRightInd w:val="0"/>
              <w:ind w:right="425"/>
              <w:jc w:val="both"/>
              <w:rPr>
                <w:lang w:val="sr-Latn-ME"/>
              </w:rPr>
            </w:pPr>
            <w:r w:rsidRPr="003A21B4">
              <w:rPr>
                <w:lang w:val="sr-Latn-ME"/>
              </w:rPr>
              <w:t>medijastinalni poremećaji</w:t>
            </w:r>
          </w:p>
          <w:p w:rsidR="00902702" w:rsidRPr="00865DA5" w:rsidRDefault="00902702" w:rsidP="003A21B4">
            <w:pPr>
              <w:widowControl/>
              <w:adjustRightInd w:val="0"/>
              <w:ind w:right="425"/>
              <w:jc w:val="both"/>
              <w:rPr>
                <w:b/>
                <w:lang w:val="sr-Latn-ME"/>
              </w:rPr>
            </w:pPr>
          </w:p>
          <w:p w:rsidR="00902702" w:rsidRPr="00865DA5" w:rsidRDefault="00902702" w:rsidP="003A21B4">
            <w:pPr>
              <w:widowControl/>
              <w:tabs>
                <w:tab w:val="left" w:pos="284"/>
              </w:tabs>
              <w:adjustRightInd w:val="0"/>
              <w:ind w:right="425"/>
              <w:jc w:val="both"/>
              <w:rPr>
                <w:b/>
                <w:lang w:val="sr-Latn-ME"/>
              </w:rPr>
            </w:pPr>
          </w:p>
        </w:tc>
        <w:tc>
          <w:tcPr>
            <w:tcW w:w="2903" w:type="dxa"/>
          </w:tcPr>
          <w:p w:rsidR="00902702" w:rsidRPr="003A21B4" w:rsidRDefault="00902702" w:rsidP="003A21B4">
            <w:pPr>
              <w:widowControl/>
              <w:autoSpaceDE/>
              <w:autoSpaceDN/>
              <w:ind w:right="425"/>
              <w:jc w:val="both"/>
              <w:rPr>
                <w:b/>
                <w:bCs/>
                <w:lang w:val="sr-Latn-ME"/>
              </w:rPr>
            </w:pPr>
            <w:r w:rsidRPr="003A21B4">
              <w:rPr>
                <w:bCs/>
                <w:lang w:val="sr-Latn-ME"/>
              </w:rPr>
              <w:t>Nepoznata</w:t>
            </w:r>
          </w:p>
          <w:p w:rsidR="00902702" w:rsidRPr="003A21B4" w:rsidRDefault="00902702" w:rsidP="003A21B4">
            <w:pPr>
              <w:widowControl/>
              <w:tabs>
                <w:tab w:val="left" w:pos="284"/>
              </w:tabs>
              <w:adjustRightInd w:val="0"/>
              <w:ind w:right="425"/>
              <w:jc w:val="both"/>
              <w:rPr>
                <w:b/>
                <w:lang w:val="sr-Latn-ME"/>
              </w:rPr>
            </w:pPr>
          </w:p>
          <w:p w:rsidR="00902702" w:rsidRPr="003A21B4" w:rsidRDefault="00902702" w:rsidP="003A21B4">
            <w:pPr>
              <w:widowControl/>
              <w:tabs>
                <w:tab w:val="left" w:pos="284"/>
              </w:tabs>
              <w:adjustRightInd w:val="0"/>
              <w:ind w:right="425"/>
              <w:jc w:val="both"/>
              <w:rPr>
                <w:b/>
                <w:lang w:val="sr-Latn-ME"/>
              </w:rPr>
            </w:pPr>
          </w:p>
          <w:p w:rsidR="00902702" w:rsidRPr="00865DA5" w:rsidRDefault="00902702" w:rsidP="003A21B4">
            <w:pPr>
              <w:widowControl/>
              <w:tabs>
                <w:tab w:val="left" w:pos="284"/>
              </w:tabs>
              <w:adjustRightInd w:val="0"/>
              <w:ind w:right="425"/>
              <w:jc w:val="both"/>
              <w:rPr>
                <w:b/>
                <w:lang w:val="sr-Latn-ME"/>
              </w:rPr>
            </w:pPr>
          </w:p>
        </w:tc>
        <w:tc>
          <w:tcPr>
            <w:tcW w:w="3085" w:type="dxa"/>
          </w:tcPr>
          <w:p w:rsidR="00902702" w:rsidRPr="003A21B4" w:rsidRDefault="00902702" w:rsidP="001D6188">
            <w:pPr>
              <w:widowControl/>
              <w:autoSpaceDE/>
              <w:autoSpaceDN/>
              <w:ind w:right="425"/>
              <w:rPr>
                <w:b/>
                <w:bCs/>
                <w:lang w:val="sr-Latn-ME"/>
              </w:rPr>
            </w:pPr>
            <w:r w:rsidRPr="003A21B4">
              <w:rPr>
                <w:bCs/>
                <w:lang w:val="sr-Latn-ME"/>
              </w:rPr>
              <w:t>Plućna embolija</w:t>
            </w:r>
          </w:p>
          <w:p w:rsidR="00902702" w:rsidRPr="003A21B4" w:rsidRDefault="00902702" w:rsidP="001D6188">
            <w:pPr>
              <w:widowControl/>
              <w:tabs>
                <w:tab w:val="left" w:pos="284"/>
              </w:tabs>
              <w:adjustRightInd w:val="0"/>
              <w:ind w:right="425"/>
              <w:rPr>
                <w:b/>
                <w:bCs/>
                <w:lang w:val="sr-Latn-ME"/>
              </w:rPr>
            </w:pPr>
          </w:p>
          <w:p w:rsidR="00902702" w:rsidRPr="003A21B4" w:rsidRDefault="00902702" w:rsidP="001D6188">
            <w:pPr>
              <w:widowControl/>
              <w:tabs>
                <w:tab w:val="left" w:pos="284"/>
              </w:tabs>
              <w:adjustRightInd w:val="0"/>
              <w:ind w:right="425"/>
              <w:rPr>
                <w:b/>
                <w:lang w:val="sr-Latn-ME"/>
              </w:rPr>
            </w:pPr>
          </w:p>
        </w:tc>
      </w:tr>
      <w:tr w:rsidR="00902702" w:rsidRPr="003A21B4" w:rsidTr="00865DA5">
        <w:trPr>
          <w:trHeight w:val="271"/>
        </w:trPr>
        <w:tc>
          <w:tcPr>
            <w:tcW w:w="3081" w:type="dxa"/>
          </w:tcPr>
          <w:p w:rsidR="00902702" w:rsidRPr="003A21B4" w:rsidRDefault="00902702" w:rsidP="003A21B4">
            <w:pPr>
              <w:widowControl/>
              <w:adjustRightInd w:val="0"/>
              <w:ind w:right="425"/>
              <w:jc w:val="both"/>
              <w:rPr>
                <w:lang w:val="sr-Latn-ME"/>
              </w:rPr>
            </w:pPr>
            <w:r w:rsidRPr="003A21B4">
              <w:rPr>
                <w:lang w:val="sr-Latn-ME"/>
              </w:rPr>
              <w:t>Poremećaji kože i potkožnog</w:t>
            </w:r>
          </w:p>
          <w:p w:rsidR="00902702" w:rsidRPr="00865DA5" w:rsidRDefault="00902702" w:rsidP="003A21B4">
            <w:pPr>
              <w:widowControl/>
              <w:adjustRightInd w:val="0"/>
              <w:ind w:right="425"/>
              <w:jc w:val="both"/>
              <w:rPr>
                <w:lang w:val="sr-Latn-ME"/>
              </w:rPr>
            </w:pPr>
            <w:r w:rsidRPr="00865DA5">
              <w:rPr>
                <w:lang w:val="sr-Latn-ME"/>
              </w:rPr>
              <w:t>tkiva</w:t>
            </w:r>
          </w:p>
          <w:p w:rsidR="00902702" w:rsidRPr="00865DA5" w:rsidRDefault="00902702" w:rsidP="003A21B4">
            <w:pPr>
              <w:widowControl/>
              <w:tabs>
                <w:tab w:val="left" w:pos="284"/>
              </w:tabs>
              <w:adjustRightInd w:val="0"/>
              <w:ind w:right="425"/>
              <w:jc w:val="both"/>
              <w:rPr>
                <w:b/>
                <w:lang w:val="sr-Latn-ME"/>
              </w:rPr>
            </w:pPr>
          </w:p>
        </w:tc>
        <w:tc>
          <w:tcPr>
            <w:tcW w:w="2903" w:type="dxa"/>
          </w:tcPr>
          <w:p w:rsidR="00902702" w:rsidRPr="00865DA5" w:rsidRDefault="00902702" w:rsidP="003A21B4">
            <w:pPr>
              <w:widowControl/>
              <w:tabs>
                <w:tab w:val="left" w:pos="284"/>
              </w:tabs>
              <w:adjustRightInd w:val="0"/>
              <w:ind w:right="425"/>
              <w:jc w:val="both"/>
              <w:rPr>
                <w:b/>
                <w:lang w:val="sr-Latn-ME"/>
              </w:rPr>
            </w:pPr>
            <w:r w:rsidRPr="00865DA5">
              <w:rPr>
                <w:rFonts w:eastAsia="TimesNewRoman"/>
                <w:lang w:val="sr-Latn-ME"/>
              </w:rPr>
              <w:t>Nepoznata</w:t>
            </w:r>
          </w:p>
        </w:tc>
        <w:tc>
          <w:tcPr>
            <w:tcW w:w="3085" w:type="dxa"/>
          </w:tcPr>
          <w:p w:rsidR="00902702" w:rsidRPr="00865DA5" w:rsidRDefault="00902702" w:rsidP="001D6188">
            <w:pPr>
              <w:widowControl/>
              <w:tabs>
                <w:tab w:val="left" w:pos="284"/>
              </w:tabs>
              <w:adjustRightInd w:val="0"/>
              <w:ind w:right="425"/>
              <w:rPr>
                <w:b/>
                <w:lang w:val="sr-Latn-ME"/>
              </w:rPr>
            </w:pPr>
            <w:r w:rsidRPr="00865DA5">
              <w:rPr>
                <w:rFonts w:eastAsia="TimesNewRoman"/>
                <w:lang w:val="sr-Latn-ME"/>
              </w:rPr>
              <w:t>Osip, alopecija</w:t>
            </w:r>
          </w:p>
        </w:tc>
      </w:tr>
      <w:tr w:rsidR="00902702" w:rsidRPr="003A21B4" w:rsidTr="00865DA5">
        <w:trPr>
          <w:trHeight w:val="298"/>
        </w:trPr>
        <w:tc>
          <w:tcPr>
            <w:tcW w:w="3081" w:type="dxa"/>
          </w:tcPr>
          <w:p w:rsidR="00902702" w:rsidRPr="003A21B4" w:rsidRDefault="00902702" w:rsidP="003A21B4">
            <w:pPr>
              <w:widowControl/>
              <w:adjustRightInd w:val="0"/>
              <w:ind w:right="425"/>
              <w:jc w:val="both"/>
              <w:rPr>
                <w:lang w:val="sr-Latn-ME"/>
              </w:rPr>
            </w:pPr>
            <w:r w:rsidRPr="003A21B4">
              <w:rPr>
                <w:lang w:val="sr-Latn-ME"/>
              </w:rPr>
              <w:t>Poremećaji mišićno-koštanog</w:t>
            </w:r>
          </w:p>
          <w:p w:rsidR="00902702" w:rsidRPr="00865DA5" w:rsidRDefault="00902702" w:rsidP="003A21B4">
            <w:pPr>
              <w:widowControl/>
              <w:adjustRightInd w:val="0"/>
              <w:ind w:right="425"/>
              <w:jc w:val="both"/>
              <w:rPr>
                <w:lang w:val="sr-Latn-ME"/>
              </w:rPr>
            </w:pPr>
            <w:r w:rsidRPr="00865DA5">
              <w:rPr>
                <w:lang w:val="sr-Latn-ME"/>
              </w:rPr>
              <w:t>sistema i vezivnog tkiva</w:t>
            </w:r>
          </w:p>
          <w:p w:rsidR="00902702" w:rsidRPr="00865DA5" w:rsidRDefault="00902702" w:rsidP="003A21B4">
            <w:pPr>
              <w:widowControl/>
              <w:tabs>
                <w:tab w:val="left" w:pos="284"/>
              </w:tabs>
              <w:adjustRightInd w:val="0"/>
              <w:ind w:right="425"/>
              <w:jc w:val="both"/>
              <w:rPr>
                <w:b/>
                <w:lang w:val="sr-Latn-ME"/>
              </w:rPr>
            </w:pPr>
          </w:p>
        </w:tc>
        <w:tc>
          <w:tcPr>
            <w:tcW w:w="2903" w:type="dxa"/>
          </w:tcPr>
          <w:p w:rsidR="00902702" w:rsidRPr="00865DA5" w:rsidRDefault="00902702" w:rsidP="003A21B4">
            <w:pPr>
              <w:widowControl/>
              <w:tabs>
                <w:tab w:val="left" w:pos="284"/>
              </w:tabs>
              <w:adjustRightInd w:val="0"/>
              <w:ind w:right="425"/>
              <w:jc w:val="both"/>
              <w:rPr>
                <w:b/>
                <w:lang w:val="sr-Latn-ME"/>
              </w:rPr>
            </w:pPr>
            <w:r w:rsidRPr="00865DA5">
              <w:rPr>
                <w:rFonts w:eastAsia="TimesNewRoman"/>
                <w:lang w:val="sr-Latn-ME"/>
              </w:rPr>
              <w:t>Nepoznata</w:t>
            </w:r>
          </w:p>
        </w:tc>
        <w:tc>
          <w:tcPr>
            <w:tcW w:w="3085" w:type="dxa"/>
          </w:tcPr>
          <w:p w:rsidR="00902702" w:rsidRPr="00865DA5" w:rsidRDefault="00902702" w:rsidP="001D6188">
            <w:pPr>
              <w:widowControl/>
              <w:tabs>
                <w:tab w:val="left" w:pos="284"/>
              </w:tabs>
              <w:adjustRightInd w:val="0"/>
              <w:ind w:right="425"/>
              <w:rPr>
                <w:b/>
                <w:lang w:val="sr-Latn-ME"/>
              </w:rPr>
            </w:pPr>
            <w:r w:rsidRPr="00865DA5">
              <w:rPr>
                <w:rFonts w:eastAsia="TimesNewRoman"/>
                <w:lang w:val="sr-Latn-ME"/>
              </w:rPr>
              <w:t>Spazam mišića</w:t>
            </w:r>
          </w:p>
        </w:tc>
      </w:tr>
      <w:tr w:rsidR="00902702" w:rsidRPr="003A21B4" w:rsidTr="00865DA5">
        <w:trPr>
          <w:trHeight w:val="1236"/>
        </w:trPr>
        <w:tc>
          <w:tcPr>
            <w:tcW w:w="3081" w:type="dxa"/>
          </w:tcPr>
          <w:p w:rsidR="00902702" w:rsidRPr="003A21B4" w:rsidRDefault="00902702" w:rsidP="003A21B4">
            <w:pPr>
              <w:widowControl/>
              <w:adjustRightInd w:val="0"/>
              <w:ind w:right="425"/>
              <w:jc w:val="both"/>
              <w:rPr>
                <w:lang w:val="sr-Latn-ME"/>
              </w:rPr>
            </w:pPr>
            <w:r w:rsidRPr="003A21B4">
              <w:rPr>
                <w:lang w:val="sr-Latn-ME"/>
              </w:rPr>
              <w:lastRenderedPageBreak/>
              <w:t>Poremećaji bubrega i</w:t>
            </w:r>
          </w:p>
          <w:p w:rsidR="00902702" w:rsidRPr="003A21B4" w:rsidRDefault="00902702" w:rsidP="003A21B4">
            <w:pPr>
              <w:widowControl/>
              <w:adjustRightInd w:val="0"/>
              <w:ind w:right="425"/>
              <w:jc w:val="both"/>
              <w:rPr>
                <w:lang w:val="sr-Latn-ME"/>
              </w:rPr>
            </w:pPr>
            <w:r w:rsidRPr="003A21B4">
              <w:rPr>
                <w:lang w:val="sr-Latn-ME"/>
              </w:rPr>
              <w:t>urinarnog sistema</w:t>
            </w:r>
          </w:p>
          <w:p w:rsidR="00902702" w:rsidRPr="00865DA5" w:rsidRDefault="00902702" w:rsidP="003A21B4">
            <w:pPr>
              <w:widowControl/>
              <w:tabs>
                <w:tab w:val="left" w:pos="284"/>
              </w:tabs>
              <w:adjustRightInd w:val="0"/>
              <w:ind w:right="425"/>
              <w:jc w:val="both"/>
              <w:rPr>
                <w:b/>
                <w:lang w:val="sr-Latn-ME"/>
              </w:rPr>
            </w:pPr>
          </w:p>
        </w:tc>
        <w:tc>
          <w:tcPr>
            <w:tcW w:w="2903" w:type="dxa"/>
          </w:tcPr>
          <w:p w:rsidR="00902702" w:rsidRPr="00865DA5" w:rsidRDefault="00902702" w:rsidP="003A21B4">
            <w:pPr>
              <w:widowControl/>
              <w:tabs>
                <w:tab w:val="left" w:pos="284"/>
              </w:tabs>
              <w:adjustRightInd w:val="0"/>
              <w:ind w:right="425"/>
              <w:jc w:val="both"/>
              <w:rPr>
                <w:rFonts w:eastAsia="TimesNewRoman"/>
                <w:lang w:val="sr-Latn-ME"/>
              </w:rPr>
            </w:pPr>
            <w:r w:rsidRPr="00865DA5">
              <w:rPr>
                <w:rFonts w:eastAsia="TimesNewRoman"/>
                <w:lang w:val="sr-Latn-ME"/>
              </w:rPr>
              <w:t>Nepoznata</w:t>
            </w:r>
          </w:p>
          <w:p w:rsidR="00902702" w:rsidRPr="00865DA5" w:rsidRDefault="00902702" w:rsidP="003A21B4">
            <w:pPr>
              <w:widowControl/>
              <w:tabs>
                <w:tab w:val="left" w:pos="284"/>
              </w:tabs>
              <w:adjustRightInd w:val="0"/>
              <w:ind w:right="425"/>
              <w:jc w:val="both"/>
              <w:rPr>
                <w:rFonts w:eastAsia="TimesNewRoman"/>
                <w:lang w:val="sr-Latn-ME"/>
              </w:rPr>
            </w:pPr>
          </w:p>
          <w:p w:rsidR="00902702" w:rsidRPr="00865DA5" w:rsidRDefault="00902702" w:rsidP="003A21B4">
            <w:pPr>
              <w:widowControl/>
              <w:tabs>
                <w:tab w:val="left" w:pos="284"/>
              </w:tabs>
              <w:adjustRightInd w:val="0"/>
              <w:ind w:right="425"/>
              <w:jc w:val="both"/>
              <w:rPr>
                <w:rFonts w:eastAsia="TimesNewRoman"/>
                <w:lang w:val="sr-Latn-ME"/>
              </w:rPr>
            </w:pPr>
          </w:p>
          <w:p w:rsidR="00902702" w:rsidRPr="00865DA5" w:rsidRDefault="00902702" w:rsidP="003A21B4">
            <w:pPr>
              <w:widowControl/>
              <w:tabs>
                <w:tab w:val="left" w:pos="284"/>
              </w:tabs>
              <w:adjustRightInd w:val="0"/>
              <w:ind w:right="425"/>
              <w:jc w:val="both"/>
              <w:rPr>
                <w:b/>
                <w:lang w:val="sr-Latn-ME"/>
              </w:rPr>
            </w:pPr>
          </w:p>
        </w:tc>
        <w:tc>
          <w:tcPr>
            <w:tcW w:w="3085" w:type="dxa"/>
          </w:tcPr>
          <w:p w:rsidR="00902702" w:rsidRPr="00865DA5" w:rsidRDefault="00902702" w:rsidP="001D6188">
            <w:pPr>
              <w:widowControl/>
              <w:adjustRightInd w:val="0"/>
              <w:ind w:right="425"/>
              <w:rPr>
                <w:rFonts w:eastAsia="TimesNewRoman"/>
                <w:lang w:val="sr-Latn-ME"/>
              </w:rPr>
            </w:pPr>
            <w:r w:rsidRPr="00865DA5">
              <w:rPr>
                <w:rFonts w:eastAsia="TimesNewRoman"/>
                <w:lang w:val="sr-Latn-ME"/>
              </w:rPr>
              <w:t>Akutna bubrežna insuficijencija, bubrežna</w:t>
            </w:r>
          </w:p>
          <w:p w:rsidR="00902702" w:rsidRPr="00865DA5" w:rsidRDefault="00902702" w:rsidP="001D6188">
            <w:pPr>
              <w:widowControl/>
              <w:tabs>
                <w:tab w:val="left" w:pos="284"/>
              </w:tabs>
              <w:adjustRightInd w:val="0"/>
              <w:ind w:right="425"/>
              <w:rPr>
                <w:b/>
                <w:lang w:val="sr-Latn-ME"/>
              </w:rPr>
            </w:pPr>
            <w:r w:rsidRPr="00865DA5">
              <w:rPr>
                <w:rFonts w:eastAsia="TimesNewRoman"/>
                <w:lang w:val="sr-Latn-ME"/>
              </w:rPr>
              <w:t>insuficijencija, oboljenje renalnih tubula</w:t>
            </w:r>
          </w:p>
        </w:tc>
      </w:tr>
      <w:tr w:rsidR="00902702" w:rsidRPr="003A21B4" w:rsidTr="00865DA5">
        <w:trPr>
          <w:trHeight w:val="312"/>
        </w:trPr>
        <w:tc>
          <w:tcPr>
            <w:tcW w:w="3081" w:type="dxa"/>
          </w:tcPr>
          <w:p w:rsidR="00902702" w:rsidRPr="003A21B4" w:rsidRDefault="00902702" w:rsidP="003A21B4">
            <w:pPr>
              <w:widowControl/>
              <w:adjustRightInd w:val="0"/>
              <w:ind w:right="425"/>
              <w:jc w:val="both"/>
              <w:rPr>
                <w:lang w:val="sr-Latn-ME"/>
              </w:rPr>
            </w:pPr>
            <w:r w:rsidRPr="003A21B4">
              <w:rPr>
                <w:lang w:val="sr-Latn-ME"/>
              </w:rPr>
              <w:t>Poremećaji reproduktivnog</w:t>
            </w:r>
          </w:p>
          <w:p w:rsidR="00902702" w:rsidRPr="003A21B4" w:rsidRDefault="00902702" w:rsidP="003A21B4">
            <w:pPr>
              <w:widowControl/>
              <w:adjustRightInd w:val="0"/>
              <w:ind w:right="425"/>
              <w:jc w:val="both"/>
              <w:rPr>
                <w:lang w:val="sr-Latn-ME"/>
              </w:rPr>
            </w:pPr>
            <w:r w:rsidRPr="003A21B4">
              <w:rPr>
                <w:lang w:val="sr-Latn-ME"/>
              </w:rPr>
              <w:t>sistema i dojki</w:t>
            </w:r>
          </w:p>
          <w:p w:rsidR="00902702" w:rsidRPr="00865DA5" w:rsidRDefault="00902702" w:rsidP="003A21B4">
            <w:pPr>
              <w:widowControl/>
              <w:tabs>
                <w:tab w:val="left" w:pos="284"/>
              </w:tabs>
              <w:adjustRightInd w:val="0"/>
              <w:ind w:right="425"/>
              <w:jc w:val="both"/>
              <w:rPr>
                <w:b/>
                <w:lang w:val="sr-Latn-ME"/>
              </w:rPr>
            </w:pPr>
          </w:p>
        </w:tc>
        <w:tc>
          <w:tcPr>
            <w:tcW w:w="2903" w:type="dxa"/>
          </w:tcPr>
          <w:p w:rsidR="00902702" w:rsidRPr="003A21B4" w:rsidRDefault="00902702" w:rsidP="003A21B4">
            <w:pPr>
              <w:widowControl/>
              <w:tabs>
                <w:tab w:val="left" w:pos="284"/>
              </w:tabs>
              <w:adjustRightInd w:val="0"/>
              <w:ind w:right="425"/>
              <w:jc w:val="both"/>
              <w:rPr>
                <w:b/>
                <w:lang w:val="sr-Latn-ME"/>
              </w:rPr>
            </w:pPr>
            <w:r w:rsidRPr="00865DA5">
              <w:rPr>
                <w:rFonts w:eastAsia="TimesNewRoman"/>
                <w:lang w:val="sr-Latn-ME"/>
              </w:rPr>
              <w:t>Povremen</w:t>
            </w:r>
            <w:r w:rsidR="007316D8" w:rsidRPr="003A21B4">
              <w:rPr>
                <w:rFonts w:eastAsia="TimesNewRoman"/>
                <w:lang w:val="sr-Latn-ME"/>
              </w:rPr>
              <w:t>o</w:t>
            </w:r>
          </w:p>
        </w:tc>
        <w:tc>
          <w:tcPr>
            <w:tcW w:w="3085" w:type="dxa"/>
          </w:tcPr>
          <w:p w:rsidR="00902702" w:rsidRPr="003A21B4" w:rsidRDefault="00902702" w:rsidP="001D6188">
            <w:pPr>
              <w:widowControl/>
              <w:tabs>
                <w:tab w:val="left" w:pos="284"/>
              </w:tabs>
              <w:adjustRightInd w:val="0"/>
              <w:ind w:right="425"/>
              <w:rPr>
                <w:b/>
                <w:lang w:val="sr-Latn-ME"/>
              </w:rPr>
            </w:pPr>
            <w:r w:rsidRPr="003A21B4">
              <w:rPr>
                <w:rFonts w:eastAsia="TimesNewRoman"/>
                <w:lang w:val="sr-Latn-ME"/>
              </w:rPr>
              <w:t>Poremećaj spermatogeneze</w:t>
            </w:r>
          </w:p>
        </w:tc>
      </w:tr>
      <w:tr w:rsidR="00902702" w:rsidRPr="003A21B4" w:rsidTr="00865DA5">
        <w:trPr>
          <w:trHeight w:val="339"/>
        </w:trPr>
        <w:tc>
          <w:tcPr>
            <w:tcW w:w="3081" w:type="dxa"/>
          </w:tcPr>
          <w:p w:rsidR="00902702" w:rsidRPr="003A21B4" w:rsidRDefault="00902702" w:rsidP="003A21B4">
            <w:pPr>
              <w:widowControl/>
              <w:adjustRightInd w:val="0"/>
              <w:ind w:right="425"/>
              <w:jc w:val="both"/>
              <w:rPr>
                <w:lang w:val="sr-Latn-ME"/>
              </w:rPr>
            </w:pPr>
            <w:r w:rsidRPr="003A21B4">
              <w:rPr>
                <w:lang w:val="sr-Latn-ME"/>
              </w:rPr>
              <w:t>Opšti poremećaji i reakcije na mjestu primjene</w:t>
            </w:r>
          </w:p>
          <w:p w:rsidR="00902702" w:rsidRPr="003A21B4" w:rsidRDefault="00902702" w:rsidP="003A21B4">
            <w:pPr>
              <w:widowControl/>
              <w:adjustRightInd w:val="0"/>
              <w:ind w:right="425"/>
              <w:jc w:val="both"/>
              <w:rPr>
                <w:lang w:val="sr-Latn-ME"/>
              </w:rPr>
            </w:pPr>
          </w:p>
          <w:p w:rsidR="00902702" w:rsidRPr="00865DA5" w:rsidRDefault="00902702" w:rsidP="003A21B4">
            <w:pPr>
              <w:widowControl/>
              <w:tabs>
                <w:tab w:val="left" w:pos="284"/>
              </w:tabs>
              <w:adjustRightInd w:val="0"/>
              <w:ind w:right="425"/>
              <w:jc w:val="both"/>
              <w:rPr>
                <w:b/>
                <w:lang w:val="sr-Latn-ME"/>
              </w:rPr>
            </w:pPr>
          </w:p>
        </w:tc>
        <w:tc>
          <w:tcPr>
            <w:tcW w:w="2903" w:type="dxa"/>
          </w:tcPr>
          <w:p w:rsidR="00902702" w:rsidRPr="00865DA5" w:rsidRDefault="00902702" w:rsidP="003A21B4">
            <w:pPr>
              <w:widowControl/>
              <w:tabs>
                <w:tab w:val="left" w:pos="284"/>
              </w:tabs>
              <w:adjustRightInd w:val="0"/>
              <w:ind w:right="425"/>
              <w:jc w:val="both"/>
              <w:rPr>
                <w:b/>
                <w:lang w:val="sr-Latn-ME"/>
              </w:rPr>
            </w:pPr>
            <w:r w:rsidRPr="00865DA5">
              <w:rPr>
                <w:rFonts w:eastAsia="TimesNewRoman"/>
                <w:lang w:val="sr-Latn-ME"/>
              </w:rPr>
              <w:t>Nepoznata</w:t>
            </w:r>
          </w:p>
        </w:tc>
        <w:tc>
          <w:tcPr>
            <w:tcW w:w="3085" w:type="dxa"/>
          </w:tcPr>
          <w:p w:rsidR="00902702" w:rsidRPr="003A21B4" w:rsidRDefault="00902702" w:rsidP="001D6188">
            <w:pPr>
              <w:widowControl/>
              <w:adjustRightInd w:val="0"/>
              <w:ind w:right="425"/>
              <w:rPr>
                <w:rFonts w:eastAsia="TimesNewRoman"/>
                <w:lang w:val="sr-Latn-ME"/>
              </w:rPr>
            </w:pPr>
            <w:r w:rsidRPr="00865DA5">
              <w:rPr>
                <w:rFonts w:eastAsia="TimesNewRoman"/>
                <w:lang w:val="sr-Latn-ME"/>
              </w:rPr>
              <w:t>Pireksija (veoma čest</w:t>
            </w:r>
            <w:r w:rsidR="007316D8" w:rsidRPr="003A21B4">
              <w:rPr>
                <w:rFonts w:eastAsia="TimesNewRoman"/>
                <w:lang w:val="sr-Latn-ME"/>
              </w:rPr>
              <w:t>o</w:t>
            </w:r>
            <w:r w:rsidRPr="003A21B4">
              <w:rPr>
                <w:rFonts w:eastAsia="TimesNewRoman"/>
                <w:lang w:val="sr-Latn-ME"/>
              </w:rPr>
              <w:t>), astenija, slabost,</w:t>
            </w:r>
          </w:p>
          <w:p w:rsidR="00902702" w:rsidRPr="00865DA5" w:rsidRDefault="00902702" w:rsidP="001D6188">
            <w:pPr>
              <w:widowControl/>
              <w:adjustRightInd w:val="0"/>
              <w:ind w:right="425"/>
              <w:rPr>
                <w:rFonts w:eastAsia="TimesNewRoman"/>
                <w:lang w:val="sr-Latn-ME"/>
              </w:rPr>
            </w:pPr>
            <w:r w:rsidRPr="00865DA5">
              <w:rPr>
                <w:rFonts w:eastAsia="TimesNewRoman"/>
                <w:lang w:val="sr-Latn-ME"/>
              </w:rPr>
              <w:t>ekstravazacija na mjestu primjene lijeka</w:t>
            </w:r>
            <w:r w:rsidRPr="00865DA5">
              <w:rPr>
                <w:b/>
                <w:vertAlign w:val="superscript"/>
                <w:lang w:val="sr-Latn-ME"/>
              </w:rPr>
              <w:t>d</w:t>
            </w:r>
          </w:p>
          <w:p w:rsidR="00902702" w:rsidRPr="00865DA5" w:rsidRDefault="00902702" w:rsidP="001D6188">
            <w:pPr>
              <w:widowControl/>
              <w:tabs>
                <w:tab w:val="left" w:pos="284"/>
              </w:tabs>
              <w:adjustRightInd w:val="0"/>
              <w:ind w:right="425"/>
              <w:rPr>
                <w:b/>
                <w:lang w:val="sr-Latn-ME"/>
              </w:rPr>
            </w:pPr>
          </w:p>
        </w:tc>
      </w:tr>
    </w:tbl>
    <w:p w:rsidR="005D67BD" w:rsidRPr="003A21B4" w:rsidRDefault="005D67BD" w:rsidP="003A21B4">
      <w:pPr>
        <w:widowControl/>
        <w:adjustRightInd w:val="0"/>
        <w:ind w:right="425"/>
        <w:jc w:val="both"/>
        <w:rPr>
          <w:rFonts w:eastAsia="TimesNewRoman"/>
          <w:lang w:val="sr-Latn-ME"/>
        </w:rPr>
      </w:pPr>
      <w:r w:rsidRPr="003A21B4">
        <w:rPr>
          <w:rFonts w:eastAsia="TimesNewRoman"/>
          <w:b/>
          <w:lang w:val="sr-Latn-ME"/>
        </w:rPr>
        <w:t xml:space="preserve">a - </w:t>
      </w:r>
      <w:r w:rsidRPr="003A21B4">
        <w:rPr>
          <w:rFonts w:eastAsia="TimesNewRoman"/>
          <w:lang w:val="sr-Latn-ME"/>
        </w:rPr>
        <w:t>Kod nekih pacijenata komplikacije infekcija su dovele do smrtnog ishoda.</w:t>
      </w:r>
    </w:p>
    <w:p w:rsidR="005D67BD" w:rsidRPr="00865DA5" w:rsidRDefault="005D67BD" w:rsidP="003A21B4">
      <w:pPr>
        <w:widowControl/>
        <w:adjustRightInd w:val="0"/>
        <w:ind w:right="425"/>
        <w:jc w:val="both"/>
        <w:rPr>
          <w:rFonts w:eastAsia="TimesNewRoman"/>
          <w:lang w:val="sr-Latn-ME"/>
        </w:rPr>
      </w:pPr>
      <w:r w:rsidRPr="00865DA5">
        <w:rPr>
          <w:rFonts w:eastAsia="TimesNewRoman"/>
          <w:b/>
          <w:lang w:val="sr-Latn-ME"/>
        </w:rPr>
        <w:t xml:space="preserve">b - </w:t>
      </w:r>
      <w:r w:rsidRPr="00865DA5">
        <w:rPr>
          <w:rFonts w:eastAsia="TimesNewRoman"/>
          <w:lang w:val="sr-Latn-ME"/>
        </w:rPr>
        <w:t>Prijavljeni simptomi anafilaktoidne reakcije kao što su edem lica (</w:t>
      </w:r>
      <w:r w:rsidRPr="00865DA5">
        <w:rPr>
          <w:i/>
          <w:lang w:val="sr-Latn-ME"/>
        </w:rPr>
        <w:t>PT – face oedema</w:t>
      </w:r>
      <w:r w:rsidRPr="00865DA5">
        <w:rPr>
          <w:rFonts w:eastAsia="TimesNewRoman"/>
          <w:lang w:val="sr-Latn-ME"/>
        </w:rPr>
        <w:t>), zviždanje u plućima, bronhospazam, tahikardija i hipotenzija biće navedeni u tabeli sa neželjenim reakcijama kod anafilaktoidne reakcije u zagradi.</w:t>
      </w:r>
    </w:p>
    <w:p w:rsidR="005D67BD" w:rsidRPr="00865DA5" w:rsidRDefault="005D67BD" w:rsidP="003A21B4">
      <w:pPr>
        <w:widowControl/>
        <w:adjustRightInd w:val="0"/>
        <w:ind w:right="425"/>
        <w:jc w:val="both"/>
        <w:rPr>
          <w:rFonts w:eastAsia="TimesNewRoman"/>
          <w:lang w:val="sr-Latn-ME"/>
        </w:rPr>
      </w:pPr>
      <w:r w:rsidRPr="00865DA5">
        <w:rPr>
          <w:rFonts w:eastAsia="TimesNewRoman"/>
          <w:b/>
          <w:lang w:val="sr-Latn-ME"/>
        </w:rPr>
        <w:t>c-</w:t>
      </w:r>
      <w:r w:rsidRPr="00865DA5">
        <w:rPr>
          <w:rFonts w:eastAsia="TimesNewRoman"/>
          <w:lang w:val="sr-Latn-ME"/>
        </w:rPr>
        <w:t xml:space="preserve"> Pod bubrežnom insuficijencijom/slabosti se podrazumijeva i povećanje BUN-a (eng</w:t>
      </w:r>
      <w:r w:rsidRPr="00865DA5">
        <w:rPr>
          <w:i/>
          <w:lang w:val="sr-Latn-ME"/>
        </w:rPr>
        <w:t xml:space="preserve">. Blood Urea Nitrogen </w:t>
      </w:r>
      <w:r w:rsidRPr="00865DA5">
        <w:rPr>
          <w:rFonts w:eastAsia="TimesNewRoman"/>
          <w:lang w:val="sr-Latn-ME"/>
        </w:rPr>
        <w:t>– azot u krvi koji potiče iz uree) i kreatinina, mokraćne kiseline u serumu i/ili smanjenje klirensa kreatinina.</w:t>
      </w:r>
    </w:p>
    <w:p w:rsidR="005D67BD" w:rsidRPr="00865DA5" w:rsidRDefault="005D67BD" w:rsidP="003A21B4">
      <w:pPr>
        <w:widowControl/>
        <w:adjustRightInd w:val="0"/>
        <w:ind w:right="425"/>
        <w:jc w:val="both"/>
        <w:rPr>
          <w:rFonts w:eastAsia="TimesNewRoman"/>
          <w:lang w:val="sr-Latn-ME"/>
        </w:rPr>
      </w:pPr>
      <w:r w:rsidRPr="00865DA5">
        <w:rPr>
          <w:rFonts w:eastAsia="TimesNewRoman"/>
          <w:b/>
          <w:lang w:val="sr-Latn-ME"/>
        </w:rPr>
        <w:t xml:space="preserve">d - </w:t>
      </w:r>
      <w:r w:rsidRPr="00865DA5">
        <w:rPr>
          <w:rFonts w:eastAsia="TimesNewRoman"/>
          <w:lang w:val="sr-Latn-ME"/>
        </w:rPr>
        <w:t>Lokalna toksičnost mekih tkiva uključuje celulitis, fibrozu i nekrozu (često), bol (često), edeme (često) i eritem (često) kao posljedice ekstravazacije.</w:t>
      </w:r>
    </w:p>
    <w:p w:rsidR="00902702" w:rsidRPr="003A21B4" w:rsidRDefault="00902702" w:rsidP="00865DA5">
      <w:pPr>
        <w:adjustRightInd w:val="0"/>
        <w:ind w:right="425"/>
        <w:jc w:val="both"/>
        <w:rPr>
          <w:rFonts w:eastAsia="TimesNewRoman"/>
          <w:b/>
          <w:lang w:val="sr-Latn-ME"/>
        </w:rPr>
      </w:pPr>
    </w:p>
    <w:p w:rsidR="00C82247" w:rsidRPr="003A21B4" w:rsidRDefault="00C82247" w:rsidP="00865DA5">
      <w:pPr>
        <w:widowControl/>
        <w:autoSpaceDE/>
        <w:autoSpaceDN/>
        <w:jc w:val="both"/>
        <w:rPr>
          <w:rFonts w:eastAsia="Calibri"/>
          <w:u w:val="single"/>
          <w:lang w:val="sr-Latn-ME"/>
        </w:rPr>
      </w:pPr>
      <w:r w:rsidRPr="003A21B4">
        <w:rPr>
          <w:rFonts w:eastAsia="Calibri"/>
          <w:u w:val="single"/>
          <w:lang w:val="sr-Latn-ME"/>
        </w:rPr>
        <w:t>Prijavljivanje sumnji na neželjena dejstva</w:t>
      </w:r>
    </w:p>
    <w:p w:rsidR="00C82247" w:rsidRPr="003A21B4" w:rsidRDefault="00C82247" w:rsidP="003A21B4">
      <w:pPr>
        <w:widowControl/>
        <w:autoSpaceDE/>
        <w:autoSpaceDN/>
        <w:jc w:val="both"/>
        <w:rPr>
          <w:rFonts w:eastAsia="Calibri"/>
          <w:lang w:val="sr-Latn-ME"/>
        </w:rPr>
      </w:pPr>
      <w:r w:rsidRPr="003A21B4">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C82247" w:rsidRPr="003A21B4" w:rsidRDefault="00C82247" w:rsidP="003A21B4">
      <w:pPr>
        <w:widowControl/>
        <w:autoSpaceDE/>
        <w:autoSpaceDN/>
        <w:jc w:val="both"/>
        <w:rPr>
          <w:rFonts w:eastAsia="Calibri"/>
          <w:lang w:val="sr-Latn-ME"/>
        </w:rPr>
      </w:pPr>
      <w:r w:rsidRPr="003A21B4">
        <w:rPr>
          <w:rFonts w:eastAsia="Calibri"/>
          <w:lang w:val="sr-Latn-ME"/>
        </w:rPr>
        <w:t xml:space="preserve">Institut za ljekove i medicinska sredstva </w:t>
      </w:r>
    </w:p>
    <w:p w:rsidR="00C82247" w:rsidRPr="003A21B4" w:rsidRDefault="00C82247" w:rsidP="003A21B4">
      <w:pPr>
        <w:widowControl/>
        <w:autoSpaceDE/>
        <w:autoSpaceDN/>
        <w:jc w:val="both"/>
        <w:rPr>
          <w:rFonts w:eastAsia="Calibri"/>
          <w:lang w:val="sr-Latn-ME"/>
        </w:rPr>
      </w:pPr>
      <w:r w:rsidRPr="003A21B4">
        <w:rPr>
          <w:rFonts w:eastAsia="Calibri"/>
          <w:lang w:val="sr-Latn-ME"/>
        </w:rPr>
        <w:t>Odjeljenje za farmakovigilancu</w:t>
      </w:r>
    </w:p>
    <w:p w:rsidR="00C82247" w:rsidRPr="003A21B4" w:rsidRDefault="00C82247" w:rsidP="003A21B4">
      <w:pPr>
        <w:widowControl/>
        <w:autoSpaceDE/>
        <w:autoSpaceDN/>
        <w:jc w:val="both"/>
        <w:rPr>
          <w:rFonts w:eastAsia="Calibri"/>
          <w:lang w:val="sr-Latn-ME"/>
        </w:rPr>
      </w:pPr>
      <w:r w:rsidRPr="003A21B4">
        <w:rPr>
          <w:rFonts w:eastAsia="Calibri"/>
          <w:lang w:val="sr-Latn-ME"/>
        </w:rPr>
        <w:t>Bulevar Ivana Crnojevića 64a, 81000 Podgorica</w:t>
      </w:r>
    </w:p>
    <w:p w:rsidR="00C82247" w:rsidRPr="003A21B4" w:rsidRDefault="00C82247" w:rsidP="00865DA5">
      <w:pPr>
        <w:widowControl/>
        <w:autoSpaceDE/>
        <w:autoSpaceDN/>
        <w:jc w:val="both"/>
        <w:rPr>
          <w:rFonts w:eastAsia="Calibri"/>
          <w:lang w:val="sr-Latn-ME"/>
        </w:rPr>
      </w:pPr>
    </w:p>
    <w:p w:rsidR="00C82247" w:rsidRPr="003A21B4" w:rsidRDefault="00C82247" w:rsidP="003A21B4">
      <w:pPr>
        <w:widowControl/>
        <w:autoSpaceDE/>
        <w:autoSpaceDN/>
        <w:jc w:val="both"/>
        <w:rPr>
          <w:rFonts w:eastAsia="Calibri"/>
          <w:lang w:val="sr-Latn-ME"/>
        </w:rPr>
      </w:pPr>
      <w:r w:rsidRPr="003A21B4">
        <w:rPr>
          <w:rFonts w:eastAsia="Calibri"/>
          <w:lang w:val="sr-Latn-ME"/>
        </w:rPr>
        <w:t>tel: +382 (0) 20 310 280</w:t>
      </w:r>
    </w:p>
    <w:p w:rsidR="00C82247" w:rsidRPr="003A21B4" w:rsidRDefault="00C82247" w:rsidP="003A21B4">
      <w:pPr>
        <w:widowControl/>
        <w:autoSpaceDE/>
        <w:autoSpaceDN/>
        <w:jc w:val="both"/>
        <w:rPr>
          <w:rFonts w:eastAsia="Calibri"/>
          <w:lang w:val="sr-Latn-ME"/>
        </w:rPr>
      </w:pPr>
      <w:r w:rsidRPr="003A21B4">
        <w:rPr>
          <w:rFonts w:eastAsia="Calibri"/>
          <w:lang w:val="sr-Latn-ME"/>
        </w:rPr>
        <w:t>fax: +382 (0) 20 310 581</w:t>
      </w:r>
    </w:p>
    <w:p w:rsidR="00C82247" w:rsidRPr="003A21B4" w:rsidRDefault="00886B9E" w:rsidP="003A21B4">
      <w:pPr>
        <w:widowControl/>
        <w:autoSpaceDE/>
        <w:autoSpaceDN/>
        <w:jc w:val="both"/>
        <w:rPr>
          <w:rFonts w:eastAsia="Calibri"/>
          <w:lang w:val="sr-Latn-ME"/>
        </w:rPr>
      </w:pPr>
      <w:hyperlink r:id="rId8" w:history="1">
        <w:r w:rsidR="00C82247" w:rsidRPr="003A21B4">
          <w:rPr>
            <w:rFonts w:eastAsia="Calibri"/>
            <w:color w:val="0563C1"/>
            <w:u w:val="single"/>
            <w:lang w:val="sr-Latn-ME"/>
          </w:rPr>
          <w:t>www.cinmed.me</w:t>
        </w:r>
      </w:hyperlink>
    </w:p>
    <w:p w:rsidR="00C82247" w:rsidRPr="003A21B4" w:rsidRDefault="00886B9E" w:rsidP="003A21B4">
      <w:pPr>
        <w:widowControl/>
        <w:autoSpaceDE/>
        <w:autoSpaceDN/>
        <w:jc w:val="both"/>
        <w:rPr>
          <w:rFonts w:eastAsia="Calibri"/>
          <w:color w:val="0000FF"/>
          <w:u w:val="single"/>
          <w:lang w:val="sr-Latn-ME"/>
        </w:rPr>
      </w:pPr>
      <w:hyperlink r:id="rId9" w:history="1">
        <w:r w:rsidR="00C82247" w:rsidRPr="003A21B4">
          <w:rPr>
            <w:rFonts w:eastAsia="Calibri"/>
            <w:color w:val="0563C1"/>
            <w:u w:val="single"/>
            <w:lang w:val="sr-Latn-ME"/>
          </w:rPr>
          <w:t>nezeljenadejstva@cinmed.me</w:t>
        </w:r>
      </w:hyperlink>
    </w:p>
    <w:p w:rsidR="00C82247" w:rsidRDefault="00C82247" w:rsidP="003A21B4">
      <w:pPr>
        <w:widowControl/>
        <w:autoSpaceDE/>
        <w:autoSpaceDN/>
        <w:jc w:val="both"/>
        <w:rPr>
          <w:rFonts w:eastAsia="Calibri"/>
          <w:lang w:val="sr-Latn-ME"/>
        </w:rPr>
      </w:pPr>
      <w:r w:rsidRPr="003A21B4">
        <w:rPr>
          <w:rFonts w:eastAsia="Calibri"/>
          <w:lang w:val="sr-Latn-ME"/>
        </w:rPr>
        <w:t>putem IS zdravstvene zaštite</w:t>
      </w:r>
    </w:p>
    <w:p w:rsidR="001D6188" w:rsidRPr="003A21B4" w:rsidRDefault="001D6188" w:rsidP="003A21B4">
      <w:pPr>
        <w:widowControl/>
        <w:autoSpaceDE/>
        <w:autoSpaceDN/>
        <w:jc w:val="both"/>
        <w:rPr>
          <w:rFonts w:eastAsia="Calibri"/>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Predoziranje</w:t>
      </w:r>
    </w:p>
    <w:p w:rsidR="005D67BD" w:rsidRPr="003A21B4" w:rsidRDefault="005D67BD" w:rsidP="003A21B4">
      <w:pPr>
        <w:shd w:val="clear" w:color="auto" w:fill="FFFFFF"/>
        <w:ind w:right="425"/>
        <w:jc w:val="both"/>
        <w:rPr>
          <w:b/>
          <w:u w:val="single"/>
          <w:lang w:val="sr-Latn-ME"/>
        </w:rPr>
      </w:pPr>
      <w:r w:rsidRPr="003A21B4">
        <w:rPr>
          <w:b/>
          <w:u w:val="single"/>
          <w:lang w:val="sr-Latn-ME"/>
        </w:rPr>
        <w:t>NEOPHODAN JE OPREZ KAKO BI SE SPRIJEČILO NESMOTRENO PREDOZIRANJE.</w:t>
      </w:r>
    </w:p>
    <w:p w:rsidR="005D67BD" w:rsidRPr="003A21B4" w:rsidRDefault="005D67BD" w:rsidP="003A21B4">
      <w:pPr>
        <w:shd w:val="clear" w:color="auto" w:fill="FFFFFF"/>
        <w:ind w:right="425"/>
        <w:jc w:val="both"/>
        <w:rPr>
          <w:color w:val="FF0000"/>
          <w:lang w:val="sr-Latn-ME"/>
        </w:rPr>
      </w:pPr>
    </w:p>
    <w:p w:rsidR="005D67BD" w:rsidRPr="003A21B4" w:rsidRDefault="005D67BD" w:rsidP="003A21B4">
      <w:pPr>
        <w:adjustRightInd w:val="0"/>
        <w:ind w:right="425"/>
        <w:jc w:val="both"/>
        <w:rPr>
          <w:rFonts w:eastAsia="TimesNewRoman"/>
          <w:lang w:val="sr-Latn-ME"/>
        </w:rPr>
      </w:pPr>
      <w:r w:rsidRPr="003A21B4">
        <w:rPr>
          <w:rFonts w:eastAsia="TimesNewRoman"/>
          <w:lang w:val="sr-Latn-ME"/>
        </w:rPr>
        <w:t>Akutno predoziranje cisplatinom može da dovede do bubrežne insuficijencije, hepatičke insuficijencije, gubitka sluha, okularne toksičnosti (uključujući i odvajanje retine), značajne mijelosupresije, dugotrajne mučnine i povraćanja i/ili neuritisa. Predoziranje može imati i smrtni ishod.</w:t>
      </w:r>
    </w:p>
    <w:p w:rsidR="005D67BD" w:rsidRPr="003A21B4" w:rsidRDefault="005D67BD" w:rsidP="003A21B4">
      <w:pPr>
        <w:adjustRightInd w:val="0"/>
        <w:ind w:right="425"/>
        <w:jc w:val="both"/>
        <w:rPr>
          <w:rFonts w:eastAsia="TimesNewRoman"/>
          <w:lang w:val="sr-Latn-ME"/>
        </w:rPr>
      </w:pPr>
    </w:p>
    <w:p w:rsidR="005D67BD" w:rsidRPr="003A21B4" w:rsidRDefault="005D67BD" w:rsidP="00865DA5">
      <w:pPr>
        <w:adjustRightInd w:val="0"/>
        <w:ind w:right="2"/>
        <w:jc w:val="both"/>
        <w:rPr>
          <w:rFonts w:eastAsia="TimesNewRoman"/>
          <w:lang w:val="sr-Latn-ME"/>
        </w:rPr>
      </w:pPr>
      <w:r w:rsidRPr="003A21B4">
        <w:rPr>
          <w:rFonts w:eastAsia="TimesNewRoman"/>
          <w:lang w:val="sr-Latn-ME"/>
        </w:rPr>
        <w:t>Nema poznatog antidota za predoziranje cisplatinom. Čak i hemodijaliza započeta unutar 4 sata nakon predoziranja, ima mali efekat na eliminaciju cisplatina iz organizma zbog brzog i ekstenzivnog vezivanja cisplatina za proteine plazme.</w:t>
      </w:r>
    </w:p>
    <w:p w:rsidR="005D67BD" w:rsidRPr="003A21B4" w:rsidRDefault="005D67BD" w:rsidP="003A21B4">
      <w:pPr>
        <w:adjustRightInd w:val="0"/>
        <w:ind w:right="425"/>
        <w:jc w:val="both"/>
        <w:rPr>
          <w:rFonts w:eastAsia="TimesNewRoman"/>
          <w:lang w:val="sr-Latn-ME"/>
        </w:rPr>
      </w:pPr>
      <w:r w:rsidRPr="003A21B4">
        <w:rPr>
          <w:rFonts w:eastAsia="TimesNewRoman"/>
          <w:lang w:val="sr-Latn-ME"/>
        </w:rPr>
        <w:t>Terapija u slučaju predoziranja obuhvata opšte suportivne mjere.</w:t>
      </w:r>
    </w:p>
    <w:p w:rsidR="005D67BD" w:rsidRDefault="005D67BD" w:rsidP="00204E2C">
      <w:pPr>
        <w:adjustRightInd w:val="0"/>
        <w:ind w:right="425"/>
        <w:jc w:val="both"/>
        <w:rPr>
          <w:rFonts w:eastAsia="TimesNewRoman"/>
          <w:lang w:val="sr-Latn-ME"/>
        </w:rPr>
      </w:pPr>
    </w:p>
    <w:p w:rsidR="00204E2C" w:rsidRPr="003A21B4" w:rsidRDefault="00204E2C" w:rsidP="00865DA5">
      <w:pPr>
        <w:adjustRightInd w:val="0"/>
        <w:ind w:right="425"/>
        <w:jc w:val="both"/>
        <w:rPr>
          <w:rFonts w:eastAsia="TimesNewRoman"/>
          <w:lang w:val="sr-Latn-ME"/>
        </w:rPr>
      </w:pPr>
    </w:p>
    <w:p w:rsidR="0084478E" w:rsidRPr="003A21B4" w:rsidRDefault="00200D97" w:rsidP="00865DA5">
      <w:pPr>
        <w:widowControl/>
        <w:numPr>
          <w:ilvl w:val="0"/>
          <w:numId w:val="11"/>
        </w:numPr>
        <w:tabs>
          <w:tab w:val="left" w:pos="540"/>
          <w:tab w:val="left" w:pos="569"/>
        </w:tabs>
        <w:autoSpaceDE/>
        <w:autoSpaceDN/>
        <w:ind w:left="0" w:firstLine="0"/>
        <w:jc w:val="both"/>
        <w:rPr>
          <w:b/>
          <w:bCs/>
          <w:lang w:val="sr-Latn-ME"/>
        </w:rPr>
      </w:pPr>
      <w:r w:rsidRPr="003A21B4">
        <w:rPr>
          <w:b/>
          <w:bCs/>
          <w:lang w:val="sr-Latn-ME"/>
        </w:rPr>
        <w:t>FARMAKOLOŠKI PODACI</w:t>
      </w: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Farmakodinamski podaci</w:t>
      </w:r>
    </w:p>
    <w:p w:rsidR="005D67BD" w:rsidRPr="003A21B4" w:rsidRDefault="005D67BD" w:rsidP="003A21B4">
      <w:pPr>
        <w:adjustRightInd w:val="0"/>
        <w:ind w:right="425"/>
        <w:jc w:val="both"/>
        <w:rPr>
          <w:rFonts w:eastAsia="TimesNewRoman"/>
          <w:lang w:val="sr-Latn-ME"/>
        </w:rPr>
      </w:pPr>
      <w:r w:rsidRPr="003A21B4">
        <w:rPr>
          <w:lang w:val="sr-Latn-ME"/>
        </w:rPr>
        <w:t xml:space="preserve">Farmakoterapijska grupa: </w:t>
      </w:r>
      <w:r w:rsidRPr="003A21B4">
        <w:rPr>
          <w:rFonts w:eastAsia="TimesNewRoman"/>
          <w:lang w:val="sr-Latn-ME"/>
        </w:rPr>
        <w:t>Antineoplastici, jedinjenja platine</w:t>
      </w:r>
    </w:p>
    <w:p w:rsidR="005D67BD" w:rsidRPr="003A21B4" w:rsidRDefault="005D67BD" w:rsidP="003A21B4">
      <w:pPr>
        <w:adjustRightInd w:val="0"/>
        <w:ind w:right="425"/>
        <w:jc w:val="both"/>
        <w:rPr>
          <w:rFonts w:eastAsia="TimesNewRoman"/>
          <w:lang w:val="sr-Latn-ME"/>
        </w:rPr>
      </w:pPr>
      <w:r w:rsidRPr="003A21B4">
        <w:rPr>
          <w:lang w:val="sr-Latn-ME"/>
        </w:rPr>
        <w:t xml:space="preserve">ATC kod: </w:t>
      </w:r>
      <w:r w:rsidRPr="003A21B4">
        <w:rPr>
          <w:rFonts w:eastAsia="TimesNewRoman"/>
          <w:lang w:val="sr-Latn-ME"/>
        </w:rPr>
        <w:t>L01XA01</w:t>
      </w:r>
    </w:p>
    <w:p w:rsidR="005D67BD" w:rsidRPr="003A21B4" w:rsidRDefault="005D67BD" w:rsidP="00865DA5">
      <w:pPr>
        <w:pStyle w:val="NASLOV123"/>
        <w:spacing w:before="0" w:after="0"/>
        <w:ind w:right="2"/>
        <w:jc w:val="both"/>
        <w:rPr>
          <w:b w:val="0"/>
          <w:lang w:val="sr-Latn-ME"/>
        </w:rPr>
      </w:pPr>
      <w:r w:rsidRPr="003A21B4">
        <w:rPr>
          <w:rFonts w:eastAsia="TimesNewRoman"/>
          <w:b w:val="0"/>
          <w:lang w:val="sr-Latn-ME"/>
        </w:rPr>
        <w:lastRenderedPageBreak/>
        <w:t>Biohemijske osobine cisplatina slične su osobinama bifunkcionalnih alkilirajućih agenasa</w:t>
      </w:r>
      <w:r w:rsidR="000A78A2" w:rsidRPr="003A21B4">
        <w:rPr>
          <w:rFonts w:eastAsia="TimesNewRoman"/>
          <w:b w:val="0"/>
          <w:lang w:val="sr-Latn-ME"/>
        </w:rPr>
        <w:t>.</w:t>
      </w:r>
      <w:r w:rsidRPr="003A21B4" w:rsidDel="00966B54">
        <w:rPr>
          <w:rFonts w:eastAsia="TimesNewRoman"/>
          <w:lang w:val="sr-Latn-ME"/>
        </w:rPr>
        <w:t xml:space="preserve"> </w:t>
      </w:r>
      <w:r w:rsidRPr="003A21B4">
        <w:rPr>
          <w:b w:val="0"/>
          <w:lang w:val="sr-Latn-ME"/>
        </w:rPr>
        <w:t xml:space="preserve">On inhibira sintezu DNK formiranjem DNK poprečnih veza. Inhibicija proteina i RNK sinteze se takođe odvija, ali u manjoj mjeri. </w:t>
      </w:r>
    </w:p>
    <w:p w:rsidR="005D67BD" w:rsidRDefault="005D67BD" w:rsidP="00865DA5">
      <w:pPr>
        <w:pStyle w:val="NASLOV123"/>
        <w:spacing w:before="0" w:after="0"/>
        <w:ind w:right="2"/>
        <w:jc w:val="both"/>
        <w:rPr>
          <w:b w:val="0"/>
          <w:lang w:val="sr-Latn-ME"/>
        </w:rPr>
      </w:pPr>
      <w:r w:rsidRPr="003A21B4">
        <w:rPr>
          <w:b w:val="0"/>
          <w:lang w:val="sr-Latn-ME"/>
        </w:rPr>
        <w:t xml:space="preserve">Iako njegov najvažniji mehanizam dejstva predstavlja inhibicija DNK sinteze, ostali mehanizmi mogu takođe doprinijeti antineoplstičnoj aktivnosti cisplatina, uključujuči i povećanje tumorske imunogenosti. Cisplatin takođe ima i imunosupresivna, radiosenzitivna i antibakterijska svojstva. Čini se da je cisplatin nespecifičan za određeni dio ćelijskog ciklusa. </w:t>
      </w:r>
    </w:p>
    <w:p w:rsidR="00204E2C" w:rsidRPr="003A21B4" w:rsidRDefault="00204E2C" w:rsidP="00204E2C">
      <w:pPr>
        <w:pStyle w:val="NASLOV123"/>
        <w:spacing w:before="0" w:after="0"/>
        <w:ind w:right="2"/>
        <w:jc w:val="both"/>
        <w:rPr>
          <w:b w:val="0"/>
          <w:lang w:val="sr-Latn-ME"/>
        </w:rPr>
      </w:pPr>
    </w:p>
    <w:p w:rsidR="0084478E" w:rsidRPr="003A21B4" w:rsidRDefault="008C7DED" w:rsidP="00865DA5">
      <w:pPr>
        <w:widowControl/>
        <w:numPr>
          <w:ilvl w:val="1"/>
          <w:numId w:val="11"/>
        </w:numPr>
        <w:tabs>
          <w:tab w:val="left" w:pos="540"/>
          <w:tab w:val="left" w:pos="569"/>
        </w:tabs>
        <w:autoSpaceDE/>
        <w:autoSpaceDN/>
        <w:ind w:left="0" w:right="2" w:firstLine="0"/>
        <w:jc w:val="both"/>
        <w:rPr>
          <w:b/>
          <w:bCs/>
          <w:lang w:val="sr-Latn-ME"/>
        </w:rPr>
      </w:pPr>
      <w:r w:rsidRPr="003A21B4">
        <w:rPr>
          <w:b/>
          <w:bCs/>
          <w:lang w:val="sr-Latn-ME"/>
        </w:rPr>
        <w:t>Farmakokinetički</w:t>
      </w:r>
      <w:r w:rsidR="00200D97" w:rsidRPr="003A21B4">
        <w:rPr>
          <w:b/>
          <w:bCs/>
          <w:lang w:val="sr-Latn-ME"/>
        </w:rPr>
        <w:t xml:space="preserve"> </w:t>
      </w:r>
      <w:r w:rsidRPr="003A21B4">
        <w:rPr>
          <w:b/>
          <w:bCs/>
          <w:lang w:val="sr-Latn-ME"/>
        </w:rPr>
        <w:t>podaci</w:t>
      </w:r>
    </w:p>
    <w:p w:rsidR="005D67BD" w:rsidRPr="003A21B4" w:rsidRDefault="005D67BD" w:rsidP="003A21B4">
      <w:pPr>
        <w:ind w:right="2"/>
        <w:jc w:val="both"/>
        <w:rPr>
          <w:lang w:val="sr-Latn-ME"/>
        </w:rPr>
      </w:pPr>
      <w:r w:rsidRPr="003A21B4">
        <w:rPr>
          <w:lang w:val="sr-Latn-ME"/>
        </w:rPr>
        <w:t>Resorpcija</w:t>
      </w:r>
    </w:p>
    <w:p w:rsidR="005D67BD" w:rsidRPr="003A21B4" w:rsidRDefault="005D67BD" w:rsidP="00865DA5">
      <w:pPr>
        <w:ind w:right="2"/>
        <w:jc w:val="both"/>
        <w:rPr>
          <w:lang w:val="sr-Latn-ME"/>
        </w:rPr>
      </w:pPr>
      <w:r w:rsidRPr="003A21B4">
        <w:rPr>
          <w:lang w:val="sr-Latn-ME"/>
        </w:rPr>
        <w:t>Cisplatin se preuzima od strane bubrega, jetre i crijeva. Više od 90% jedinjenja koja sadrže platinu ostaju u krvi vezana za proteine plazme (vjerovatno irevrezibilno).</w:t>
      </w:r>
    </w:p>
    <w:p w:rsidR="005D67BD" w:rsidRPr="003A21B4" w:rsidRDefault="005D67BD" w:rsidP="00865DA5">
      <w:pPr>
        <w:ind w:right="2"/>
        <w:jc w:val="both"/>
        <w:rPr>
          <w:u w:val="single"/>
          <w:lang w:val="sr-Latn-ME"/>
        </w:rPr>
      </w:pPr>
      <w:r w:rsidRPr="003A21B4">
        <w:rPr>
          <w:lang w:val="sr-Latn-ME"/>
        </w:rPr>
        <w:t>Cisplatin slabo prolazi u cerebrospinalnu tečnost, iako se značajne količine cisplatina mogu detektovati u intrakranijalnim tumorima.</w:t>
      </w:r>
    </w:p>
    <w:p w:rsidR="005D67BD" w:rsidRPr="003A21B4" w:rsidRDefault="005D67BD" w:rsidP="00865DA5">
      <w:pPr>
        <w:ind w:right="2"/>
        <w:jc w:val="both"/>
        <w:rPr>
          <w:u w:val="single"/>
          <w:lang w:val="sr-Latn-ME"/>
        </w:rPr>
      </w:pPr>
    </w:p>
    <w:p w:rsidR="005D67BD" w:rsidRPr="003A21B4" w:rsidRDefault="005D67BD" w:rsidP="00865DA5">
      <w:pPr>
        <w:ind w:right="2"/>
        <w:jc w:val="both"/>
        <w:rPr>
          <w:lang w:val="sr-Latn-ME"/>
        </w:rPr>
      </w:pPr>
      <w:r w:rsidRPr="003A21B4">
        <w:rPr>
          <w:lang w:val="sr-Latn-ME"/>
        </w:rPr>
        <w:t>Distribucija</w:t>
      </w:r>
    </w:p>
    <w:p w:rsidR="005D67BD" w:rsidRPr="003A21B4" w:rsidRDefault="005D67BD" w:rsidP="00865DA5">
      <w:pPr>
        <w:ind w:right="2"/>
        <w:jc w:val="both"/>
        <w:rPr>
          <w:lang w:val="sr-Latn-ME"/>
        </w:rPr>
      </w:pPr>
      <w:r w:rsidRPr="003A21B4">
        <w:rPr>
          <w:lang w:val="sr-Latn-ME"/>
        </w:rPr>
        <w:t>Klirens ukupne platine iz plazme prvih četiri sata nakon intravenske primjene je brz, a zatim se smanjuje usl</w:t>
      </w:r>
      <w:r w:rsidR="000A78A2" w:rsidRPr="003A21B4">
        <w:rPr>
          <w:lang w:val="sr-Latn-ME"/>
        </w:rPr>
        <w:t>j</w:t>
      </w:r>
      <w:r w:rsidRPr="003A21B4">
        <w:rPr>
          <w:lang w:val="sr-Latn-ME"/>
        </w:rPr>
        <w:t>ed kovalentnog vezivanja za proteine u serumu. Koncentracija nevezane platine se smanjuje sa poluvremenom između 20 minuta i jednog sata, u zavisnosti od brzine primjene infuzije.</w:t>
      </w:r>
    </w:p>
    <w:p w:rsidR="005D67BD" w:rsidRPr="003A21B4" w:rsidRDefault="005D67BD" w:rsidP="00865DA5">
      <w:pPr>
        <w:ind w:right="2"/>
        <w:jc w:val="both"/>
        <w:rPr>
          <w:lang w:val="sr-Latn-ME"/>
        </w:rPr>
      </w:pPr>
    </w:p>
    <w:p w:rsidR="005D67BD" w:rsidRPr="003A21B4" w:rsidRDefault="005D67BD" w:rsidP="00865DA5">
      <w:pPr>
        <w:ind w:right="2"/>
        <w:jc w:val="both"/>
        <w:rPr>
          <w:lang w:val="sr-Latn-ME"/>
        </w:rPr>
      </w:pPr>
      <w:r w:rsidRPr="003A21B4">
        <w:rPr>
          <w:lang w:val="sr-Latn-ME"/>
        </w:rPr>
        <w:t>Eliminacija</w:t>
      </w:r>
    </w:p>
    <w:p w:rsidR="005D67BD" w:rsidRPr="003A21B4" w:rsidRDefault="005D67BD" w:rsidP="00865DA5">
      <w:pPr>
        <w:ind w:right="2"/>
        <w:jc w:val="both"/>
        <w:rPr>
          <w:lang w:val="sr-Latn-ME"/>
        </w:rPr>
      </w:pPr>
      <w:r w:rsidRPr="003A21B4">
        <w:rPr>
          <w:lang w:val="sr-Latn-ME"/>
        </w:rPr>
        <w:t>Eliminacija nepromijenjenog l</w:t>
      </w:r>
      <w:r w:rsidR="000A78A2" w:rsidRPr="003A21B4">
        <w:rPr>
          <w:lang w:val="sr-Latn-ME"/>
        </w:rPr>
        <w:t>ij</w:t>
      </w:r>
      <w:r w:rsidRPr="003A21B4">
        <w:rPr>
          <w:lang w:val="sr-Latn-ME"/>
        </w:rPr>
        <w:t>eka, kao i različitih metabolita koji sadrže platinu, odvija se putem urina. Približno 15-25% primijenjene platine se brzo izlučuje u prvih 2-4 sata od primjene cisplatina. U ovoj ranoj fazi cisplatin se pretežno izlučuje u nepromijenjenom obliku. U prva 24 sata nakon primjene izluči se 20-80%, dok ostatak lijeka ostaje vezan za proteine tkiva ili plazme.</w:t>
      </w:r>
    </w:p>
    <w:p w:rsidR="005D67BD" w:rsidRPr="003A21B4" w:rsidRDefault="005D67BD" w:rsidP="00865DA5">
      <w:pPr>
        <w:ind w:right="2"/>
        <w:jc w:val="both"/>
        <w:rPr>
          <w:lang w:val="sr-Latn-ME"/>
        </w:rPr>
      </w:pPr>
    </w:p>
    <w:p w:rsidR="0084478E" w:rsidRPr="003A21B4" w:rsidRDefault="00200D97" w:rsidP="00865DA5">
      <w:pPr>
        <w:widowControl/>
        <w:numPr>
          <w:ilvl w:val="1"/>
          <w:numId w:val="11"/>
        </w:numPr>
        <w:tabs>
          <w:tab w:val="left" w:pos="540"/>
          <w:tab w:val="left" w:pos="569"/>
        </w:tabs>
        <w:autoSpaceDE/>
        <w:autoSpaceDN/>
        <w:ind w:left="0" w:right="2" w:firstLine="0"/>
        <w:jc w:val="both"/>
        <w:rPr>
          <w:lang w:val="sr-Latn-ME"/>
        </w:rPr>
      </w:pPr>
      <w:r w:rsidRPr="003A21B4">
        <w:rPr>
          <w:b/>
          <w:bCs/>
          <w:lang w:val="sr-Latn-ME"/>
        </w:rPr>
        <w:t>Pretklinički podaci o bezbjednosti</w:t>
      </w:r>
    </w:p>
    <w:p w:rsidR="0084478E" w:rsidRPr="003A21B4" w:rsidRDefault="0084478E" w:rsidP="003A21B4">
      <w:pPr>
        <w:pStyle w:val="BodyText"/>
        <w:ind w:right="2"/>
        <w:jc w:val="both"/>
        <w:rPr>
          <w:b/>
          <w:lang w:val="sr-Latn-ME"/>
        </w:rPr>
      </w:pPr>
    </w:p>
    <w:p w:rsidR="005D67BD" w:rsidRPr="003A21B4" w:rsidRDefault="005D67BD" w:rsidP="00865DA5">
      <w:pPr>
        <w:adjustRightInd w:val="0"/>
        <w:ind w:right="2"/>
        <w:jc w:val="both"/>
        <w:rPr>
          <w:rFonts w:eastAsia="TimesNewRoman"/>
          <w:lang w:val="sr-Latn-ME"/>
        </w:rPr>
      </w:pPr>
      <w:r w:rsidRPr="003A21B4">
        <w:rPr>
          <w:rFonts w:eastAsia="TimesNewRoman"/>
          <w:lang w:val="sr-Latn-ME"/>
        </w:rPr>
        <w:t>Za cisplatin je pokazano da ispoljava mutageno dejstvo. Takođe, može da ima negativan uticaj na plodnost. S obzirom na to da je za ostale antineoplastične ljekove pokazano da imaju kancerogeni efekat ovo treba uzeti u obzir pri dugotrajnoj primjeni cisplatina.</w:t>
      </w:r>
    </w:p>
    <w:p w:rsidR="005D67BD" w:rsidRPr="003A21B4" w:rsidRDefault="005D67BD" w:rsidP="003A21B4">
      <w:pPr>
        <w:adjustRightInd w:val="0"/>
        <w:ind w:right="425"/>
        <w:jc w:val="both"/>
        <w:rPr>
          <w:rFonts w:eastAsia="TimesNewRoman"/>
          <w:lang w:val="sr-Latn-ME"/>
        </w:rPr>
      </w:pPr>
    </w:p>
    <w:p w:rsidR="0084478E" w:rsidRPr="003A21B4" w:rsidRDefault="00200D97" w:rsidP="00865DA5">
      <w:pPr>
        <w:widowControl/>
        <w:numPr>
          <w:ilvl w:val="0"/>
          <w:numId w:val="11"/>
        </w:numPr>
        <w:tabs>
          <w:tab w:val="left" w:pos="540"/>
          <w:tab w:val="left" w:pos="569"/>
        </w:tabs>
        <w:autoSpaceDE/>
        <w:autoSpaceDN/>
        <w:ind w:left="0" w:firstLine="0"/>
        <w:jc w:val="both"/>
        <w:rPr>
          <w:b/>
          <w:bCs/>
          <w:lang w:val="sr-Latn-ME"/>
        </w:rPr>
      </w:pPr>
      <w:r w:rsidRPr="003A21B4">
        <w:rPr>
          <w:b/>
          <w:bCs/>
          <w:lang w:val="sr-Latn-ME"/>
        </w:rPr>
        <w:t>FARMACEUTSKI PODACI</w:t>
      </w:r>
    </w:p>
    <w:p w:rsidR="0084478E" w:rsidRPr="003A21B4" w:rsidRDefault="0084478E" w:rsidP="00865DA5">
      <w:pPr>
        <w:pStyle w:val="BodyText"/>
        <w:jc w:val="both"/>
        <w:rPr>
          <w:b/>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Lista pomoćnih supstanci (ekscipijenasa)</w:t>
      </w:r>
    </w:p>
    <w:p w:rsidR="005D67BD" w:rsidRPr="003A21B4" w:rsidRDefault="005D67BD" w:rsidP="00865DA5">
      <w:pPr>
        <w:pStyle w:val="BodyText"/>
        <w:jc w:val="both"/>
        <w:rPr>
          <w:lang w:val="sr-Latn-ME"/>
        </w:rPr>
      </w:pPr>
      <w:r w:rsidRPr="003A21B4">
        <w:rPr>
          <w:lang w:val="sr-Latn-ME"/>
        </w:rPr>
        <w:t>Natrijum hlorid</w:t>
      </w:r>
    </w:p>
    <w:p w:rsidR="005D67BD" w:rsidRPr="003A21B4" w:rsidRDefault="005D67BD" w:rsidP="00865DA5">
      <w:pPr>
        <w:pStyle w:val="BodyText"/>
        <w:jc w:val="both"/>
        <w:rPr>
          <w:lang w:val="sr-Latn-ME"/>
        </w:rPr>
      </w:pPr>
      <w:r w:rsidRPr="003A21B4">
        <w:rPr>
          <w:lang w:val="sr-Latn-ME"/>
        </w:rPr>
        <w:t>Natrijum hidroksid (za podešavanje pH)</w:t>
      </w:r>
    </w:p>
    <w:p w:rsidR="005D67BD" w:rsidRPr="003A21B4" w:rsidRDefault="005D67BD" w:rsidP="00865DA5">
      <w:pPr>
        <w:pStyle w:val="BodyText"/>
        <w:jc w:val="both"/>
        <w:rPr>
          <w:lang w:val="sr-Latn-ME"/>
        </w:rPr>
      </w:pPr>
      <w:r w:rsidRPr="003A21B4">
        <w:rPr>
          <w:lang w:val="sr-Latn-ME"/>
        </w:rPr>
        <w:t>Hlorovodonična kiselina (za podešavanje pH)</w:t>
      </w:r>
    </w:p>
    <w:p w:rsidR="005D67BD" w:rsidRPr="003A21B4" w:rsidRDefault="005D67BD" w:rsidP="00865DA5">
      <w:pPr>
        <w:pStyle w:val="BodyText"/>
        <w:jc w:val="both"/>
        <w:rPr>
          <w:lang w:val="sr-Latn-ME"/>
        </w:rPr>
      </w:pPr>
      <w:r w:rsidRPr="003A21B4">
        <w:rPr>
          <w:lang w:val="sr-Latn-ME"/>
        </w:rPr>
        <w:t>Voda za injekcije</w:t>
      </w:r>
    </w:p>
    <w:p w:rsidR="0084478E" w:rsidRPr="003A21B4" w:rsidRDefault="0084478E" w:rsidP="00865DA5">
      <w:pPr>
        <w:pStyle w:val="BodyText"/>
        <w:jc w:val="both"/>
        <w:rPr>
          <w:b/>
          <w:bCs/>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Inkompatibilnosti</w:t>
      </w:r>
    </w:p>
    <w:p w:rsidR="005D67BD" w:rsidRPr="003A21B4" w:rsidRDefault="005D67BD" w:rsidP="00865DA5">
      <w:pPr>
        <w:pStyle w:val="BodyText"/>
        <w:jc w:val="both"/>
        <w:rPr>
          <w:lang w:val="sr-Latn-ME"/>
        </w:rPr>
      </w:pPr>
      <w:r w:rsidRPr="003A21B4">
        <w:rPr>
          <w:lang w:val="sr-Latn-ME"/>
        </w:rPr>
        <w:t xml:space="preserve">Ovaj lijek ne smije da dođe u kontakt sa aluminijumom. Cisplatin stupa u reakciju sa  aluminijumom, formirajući crni talog platine. Mora se izbjeći upotreba opreme koja sadrži aluminijum (setovi za intravensku primjenu, </w:t>
      </w:r>
      <w:r w:rsidR="00C80994">
        <w:rPr>
          <w:lang w:val="sr-Latn-ME"/>
        </w:rPr>
        <w:t xml:space="preserve">igle, </w:t>
      </w:r>
      <w:r w:rsidRPr="003A21B4">
        <w:rPr>
          <w:lang w:val="sr-Latn-ME"/>
        </w:rPr>
        <w:t>kateteri i špricevi). Cisplatin se razlaže u rastvoru sa niskim sadržajem hlorida. Koncentracija hlorida treba da bude približno ekvivalentna 0,45% natrijum</w:t>
      </w:r>
      <w:r w:rsidR="00C80994">
        <w:rPr>
          <w:lang w:val="sr-Latn-ME"/>
        </w:rPr>
        <w:t xml:space="preserve"> </w:t>
      </w:r>
      <w:r w:rsidRPr="003A21B4">
        <w:rPr>
          <w:lang w:val="sr-Latn-ME"/>
        </w:rPr>
        <w:t xml:space="preserve">hlorida. </w:t>
      </w:r>
    </w:p>
    <w:p w:rsidR="005D67BD" w:rsidRPr="003A21B4" w:rsidRDefault="005D67BD" w:rsidP="00865DA5">
      <w:pPr>
        <w:pStyle w:val="BodyText"/>
        <w:jc w:val="both"/>
        <w:rPr>
          <w:lang w:val="sr-Latn-ME"/>
        </w:rPr>
      </w:pPr>
    </w:p>
    <w:p w:rsidR="005D67BD" w:rsidRPr="003A21B4" w:rsidRDefault="005D67BD" w:rsidP="00865DA5">
      <w:pPr>
        <w:pStyle w:val="BodyText"/>
        <w:jc w:val="both"/>
        <w:rPr>
          <w:lang w:val="sr-Latn-ME"/>
        </w:rPr>
      </w:pPr>
      <w:r w:rsidRPr="003A21B4">
        <w:rPr>
          <w:lang w:val="sr-Latn-ME"/>
        </w:rPr>
        <w:t>U odsustvu studija kompatibilnosti ovaj lijek se ne smije miješati sa drugim ljekovima.</w:t>
      </w:r>
    </w:p>
    <w:p w:rsidR="005D67BD" w:rsidRPr="003A21B4" w:rsidRDefault="005D67BD" w:rsidP="00865DA5">
      <w:pPr>
        <w:pStyle w:val="BodyText"/>
        <w:jc w:val="both"/>
        <w:rPr>
          <w:lang w:val="sr-Latn-ME"/>
        </w:rPr>
      </w:pPr>
      <w:r w:rsidRPr="003A21B4">
        <w:rPr>
          <w:lang w:val="sr-Latn-ME"/>
        </w:rPr>
        <w:t xml:space="preserve">Antioksidansi (kakav je natrijum metabisulfit), bikarbonati (natrijum bikarbonat), sulfati, fluorouracil i paklitaksel mogu inaktivirati cisplatin u infuzionim sistemima. </w:t>
      </w:r>
    </w:p>
    <w:p w:rsidR="005D67BD" w:rsidRPr="003A21B4" w:rsidRDefault="005D67BD" w:rsidP="00865DA5">
      <w:pPr>
        <w:pStyle w:val="BodyText"/>
        <w:jc w:val="both"/>
        <w:rPr>
          <w:lang w:val="sr-Latn-ME"/>
        </w:rPr>
      </w:pPr>
      <w:r w:rsidRPr="003A21B4">
        <w:rPr>
          <w:lang w:val="sr-Latn-ME"/>
        </w:rPr>
        <w:t>Cisplatin treba samo razblaživati sa rastvorima navedenim u dijelu 6.6.</w:t>
      </w:r>
    </w:p>
    <w:p w:rsidR="0084478E" w:rsidRPr="003A21B4" w:rsidRDefault="0084478E" w:rsidP="00865DA5">
      <w:pPr>
        <w:pStyle w:val="BodyText"/>
        <w:jc w:val="both"/>
        <w:rPr>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Rok upotrebe</w:t>
      </w:r>
    </w:p>
    <w:p w:rsidR="0084478E" w:rsidRPr="003A21B4" w:rsidRDefault="0084478E" w:rsidP="003A21B4">
      <w:pPr>
        <w:pStyle w:val="BodyText"/>
        <w:jc w:val="both"/>
        <w:rPr>
          <w:b/>
          <w:lang w:val="sr-Latn-ME"/>
        </w:rPr>
      </w:pPr>
    </w:p>
    <w:p w:rsidR="005D67BD" w:rsidRPr="003A21B4" w:rsidRDefault="005D67BD" w:rsidP="003A21B4">
      <w:pPr>
        <w:adjustRightInd w:val="0"/>
        <w:ind w:right="425"/>
        <w:jc w:val="both"/>
        <w:rPr>
          <w:rFonts w:eastAsia="TimesNewRoman"/>
          <w:i/>
          <w:lang w:val="sr-Latn-ME"/>
        </w:rPr>
      </w:pPr>
      <w:r w:rsidRPr="003A21B4">
        <w:rPr>
          <w:rFonts w:eastAsia="TimesNewRoman"/>
          <w:i/>
          <w:lang w:val="sr-Latn-ME"/>
        </w:rPr>
        <w:t xml:space="preserve">Prije otvaranja </w:t>
      </w:r>
    </w:p>
    <w:p w:rsidR="005D67BD" w:rsidRPr="003A21B4" w:rsidRDefault="005D67BD" w:rsidP="003A21B4">
      <w:pPr>
        <w:adjustRightInd w:val="0"/>
        <w:ind w:right="425"/>
        <w:jc w:val="both"/>
        <w:rPr>
          <w:rFonts w:eastAsia="TimesNewRoman"/>
          <w:lang w:val="sr-Latn-ME"/>
        </w:rPr>
      </w:pPr>
      <w:r w:rsidRPr="003A21B4">
        <w:rPr>
          <w:rFonts w:eastAsia="TimesNewRoman"/>
          <w:lang w:val="sr-Latn-ME"/>
        </w:rPr>
        <w:t>3 godine</w:t>
      </w:r>
    </w:p>
    <w:p w:rsidR="005D67BD" w:rsidRPr="003A21B4" w:rsidRDefault="005D67BD" w:rsidP="003A21B4">
      <w:pPr>
        <w:adjustRightInd w:val="0"/>
        <w:ind w:right="425"/>
        <w:jc w:val="both"/>
        <w:rPr>
          <w:rFonts w:eastAsia="TimesNewRoman"/>
          <w:lang w:val="sr-Latn-ME"/>
        </w:rPr>
      </w:pPr>
    </w:p>
    <w:p w:rsidR="005D67BD" w:rsidRPr="003A21B4" w:rsidRDefault="005D67BD" w:rsidP="003A21B4">
      <w:pPr>
        <w:adjustRightInd w:val="0"/>
        <w:ind w:right="425"/>
        <w:jc w:val="both"/>
        <w:rPr>
          <w:rFonts w:eastAsia="TimesNewRoman"/>
          <w:i/>
          <w:lang w:val="sr-Latn-ME"/>
        </w:rPr>
      </w:pPr>
      <w:r w:rsidRPr="003A21B4">
        <w:rPr>
          <w:rFonts w:eastAsia="TimesNewRoman"/>
          <w:i/>
          <w:lang w:val="sr-Latn-ME"/>
        </w:rPr>
        <w:lastRenderedPageBreak/>
        <w:t>Nakon razblaženja</w:t>
      </w:r>
    </w:p>
    <w:p w:rsidR="005D67BD" w:rsidRPr="003A21B4" w:rsidRDefault="005D67BD" w:rsidP="003A21B4">
      <w:pPr>
        <w:adjustRightInd w:val="0"/>
        <w:ind w:right="425"/>
        <w:jc w:val="both"/>
        <w:rPr>
          <w:lang w:val="sr-Latn-ME"/>
        </w:rPr>
      </w:pPr>
      <w:r w:rsidRPr="003A21B4">
        <w:rPr>
          <w:rFonts w:eastAsia="TimesNewRoman"/>
          <w:lang w:val="sr-Latn-ME"/>
        </w:rPr>
        <w:t>Hemijska i fizička stabilnost rastvora nakon razblaženja sa infuzionim tečnostima opisanim u dijelu 6.6, ukazuje da rastvor ostaje stabilan tokom 24 časa na temperaturi</w:t>
      </w:r>
      <w:r w:rsidRPr="003A21B4">
        <w:rPr>
          <w:lang w:val="sr-Latn-ME"/>
        </w:rPr>
        <w:t xml:space="preserve"> 20 - 25 °C</w:t>
      </w:r>
      <w:r w:rsidR="008F7B1C">
        <w:rPr>
          <w:lang w:val="sr-Latn-ME"/>
        </w:rPr>
        <w:t xml:space="preserve">, </w:t>
      </w:r>
      <w:r w:rsidR="008F7B1C" w:rsidRPr="00A431EA">
        <w:rPr>
          <w:color w:val="000000"/>
          <w:lang w:val="sr-Latn-ME"/>
        </w:rPr>
        <w:t>kada se razblaženje vrši u kontrolisanim i validiranim aseptičnim uslovima</w:t>
      </w:r>
      <w:r w:rsidR="008F7B1C">
        <w:rPr>
          <w:color w:val="000000"/>
          <w:lang w:val="sr-Latn-ME"/>
        </w:rPr>
        <w:t>.</w:t>
      </w:r>
    </w:p>
    <w:p w:rsidR="005D67BD" w:rsidRPr="003A21B4" w:rsidRDefault="005D67BD" w:rsidP="003A21B4">
      <w:pPr>
        <w:adjustRightInd w:val="0"/>
        <w:ind w:right="425"/>
        <w:jc w:val="both"/>
        <w:rPr>
          <w:lang w:val="sr-Latn-ME"/>
        </w:rPr>
      </w:pPr>
      <w:r w:rsidRPr="003A21B4">
        <w:rPr>
          <w:lang w:val="sr-Latn-ME"/>
        </w:rPr>
        <w:t>Razblažen rastvor treba da bude zaštićen od svjetlosti. Ne smije se čuvati u frižideru, ni zamrzivaču.</w:t>
      </w:r>
    </w:p>
    <w:p w:rsidR="005D67BD" w:rsidRPr="003A21B4" w:rsidRDefault="005D67BD" w:rsidP="003A21B4">
      <w:pPr>
        <w:adjustRightInd w:val="0"/>
        <w:ind w:right="425"/>
        <w:jc w:val="both"/>
        <w:rPr>
          <w:lang w:val="sr-Latn-ME"/>
        </w:rPr>
      </w:pPr>
    </w:p>
    <w:p w:rsidR="005D67BD" w:rsidRPr="003A21B4" w:rsidRDefault="005D67BD" w:rsidP="003A21B4">
      <w:pPr>
        <w:ind w:right="425"/>
        <w:jc w:val="both"/>
        <w:rPr>
          <w:lang w:val="sr-Latn-ME"/>
        </w:rPr>
      </w:pPr>
      <w:r w:rsidRPr="003A21B4">
        <w:rPr>
          <w:lang w:val="sr-Latn-ME"/>
        </w:rPr>
        <w:t>Sa mikrobiološke tačke gledišta, razblažen rastvor treba odmah primijeniti nakon pripreme za upotrebu.</w:t>
      </w:r>
      <w:r w:rsidRPr="003A21B4">
        <w:rPr>
          <w:b/>
          <w:lang w:val="sr-Latn-ME"/>
        </w:rPr>
        <w:t xml:space="preserve"> </w:t>
      </w:r>
      <w:r w:rsidRPr="003A21B4">
        <w:rPr>
          <w:lang w:val="sr-Latn-ME"/>
        </w:rPr>
        <w:t>Ako se odmah ne upotrijebi, vrijeme i uslovi čuvanja prije upotrebe su odgovornost korisnika, a razblaženje treba vršiti u kontrolisanim i validiranim aseptičnim uslovima.</w:t>
      </w:r>
    </w:p>
    <w:p w:rsidR="005D67BD" w:rsidRPr="003A21B4" w:rsidRDefault="005D67BD" w:rsidP="00865DA5">
      <w:pPr>
        <w:ind w:right="425"/>
        <w:jc w:val="both"/>
        <w:rPr>
          <w:b/>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Posebne mjere upozorenja pri čuvanju lijeka</w:t>
      </w:r>
    </w:p>
    <w:p w:rsidR="005D67BD" w:rsidRPr="003A21B4" w:rsidRDefault="005D67BD" w:rsidP="003A21B4">
      <w:pPr>
        <w:adjustRightInd w:val="0"/>
        <w:ind w:right="425"/>
        <w:jc w:val="both"/>
        <w:rPr>
          <w:rFonts w:eastAsia="TimesNewRoman"/>
          <w:i/>
          <w:lang w:val="sr-Latn-ME"/>
        </w:rPr>
      </w:pPr>
      <w:r w:rsidRPr="003A21B4">
        <w:rPr>
          <w:rFonts w:eastAsia="TimesNewRoman"/>
          <w:i/>
          <w:lang w:val="sr-Latn-ME"/>
        </w:rPr>
        <w:t>Čuvanje neotvorenog lijeka:</w:t>
      </w:r>
    </w:p>
    <w:p w:rsidR="005D67BD" w:rsidRPr="003A21B4" w:rsidRDefault="005D67BD" w:rsidP="003A21B4">
      <w:pPr>
        <w:adjustRightInd w:val="0"/>
        <w:ind w:right="425"/>
        <w:jc w:val="both"/>
        <w:rPr>
          <w:rFonts w:eastAsia="TimesNewRoman"/>
          <w:lang w:val="sr-Latn-ME"/>
        </w:rPr>
      </w:pPr>
      <w:r w:rsidRPr="003A21B4">
        <w:rPr>
          <w:rFonts w:eastAsia="TimesNewRoman"/>
          <w:lang w:val="sr-Latn-ME"/>
        </w:rPr>
        <w:t xml:space="preserve">Neotvorene bočice lijeka čuvati </w:t>
      </w:r>
      <w:r w:rsidR="00327703">
        <w:rPr>
          <w:rFonts w:eastAsia="TimesNewRoman"/>
          <w:lang w:val="sr-Latn-ME"/>
        </w:rPr>
        <w:t xml:space="preserve">na temperaturi do </w:t>
      </w:r>
      <w:r w:rsidR="00327703" w:rsidRPr="003A21B4">
        <w:rPr>
          <w:lang w:val="sr-Latn-ME"/>
        </w:rPr>
        <w:t>25 °C</w:t>
      </w:r>
      <w:r w:rsidR="00327703" w:rsidRPr="003A21B4">
        <w:rPr>
          <w:rFonts w:eastAsia="TimesNewRoman"/>
          <w:lang w:val="sr-Latn-ME"/>
        </w:rPr>
        <w:t xml:space="preserve"> </w:t>
      </w:r>
      <w:r w:rsidRPr="003A21B4">
        <w:rPr>
          <w:rFonts w:eastAsia="TimesNewRoman"/>
          <w:lang w:val="sr-Latn-ME"/>
        </w:rPr>
        <w:t>u originalnom pakovanju radi zaštite od svjetlosti. Ne čuvati u frižideru i ne zamrzavati.</w:t>
      </w:r>
    </w:p>
    <w:p w:rsidR="005D67BD" w:rsidRPr="003A21B4" w:rsidRDefault="005D67BD" w:rsidP="003A21B4">
      <w:pPr>
        <w:adjustRightInd w:val="0"/>
        <w:ind w:right="425"/>
        <w:jc w:val="both"/>
        <w:rPr>
          <w:rFonts w:eastAsia="TimesNewRoman"/>
          <w:lang w:val="sr-Latn-ME"/>
        </w:rPr>
      </w:pPr>
      <w:r w:rsidRPr="003A21B4">
        <w:rPr>
          <w:rFonts w:eastAsia="TimesNewRoman"/>
          <w:lang w:val="sr-Latn-ME"/>
        </w:rPr>
        <w:t>Kao rezultat izlaganja niskim temperaturama može se formirati kristal ili talog, u slučaju da se primijeti zamućenje rastvora</w:t>
      </w:r>
      <w:r w:rsidR="00327703">
        <w:rPr>
          <w:rFonts w:eastAsia="TimesNewRoman"/>
          <w:lang w:val="sr-Latn-ME"/>
        </w:rPr>
        <w:t xml:space="preserve"> (npr. precipitat ili kristal)</w:t>
      </w:r>
      <w:r w:rsidRPr="003A21B4">
        <w:rPr>
          <w:rFonts w:eastAsia="TimesNewRoman"/>
          <w:lang w:val="sr-Latn-ME"/>
        </w:rPr>
        <w:t xml:space="preserve"> unutar bočice vidjeti dio 6.6.</w:t>
      </w:r>
    </w:p>
    <w:p w:rsidR="005D67BD" w:rsidRPr="003A21B4" w:rsidRDefault="005D67BD" w:rsidP="003A21B4">
      <w:pPr>
        <w:adjustRightInd w:val="0"/>
        <w:ind w:right="425"/>
        <w:jc w:val="both"/>
        <w:rPr>
          <w:rFonts w:eastAsia="TimesNewRoman"/>
          <w:lang w:val="sr-Latn-ME"/>
        </w:rPr>
      </w:pPr>
    </w:p>
    <w:p w:rsidR="005D67BD" w:rsidRPr="003A21B4" w:rsidRDefault="005D67BD" w:rsidP="003A21B4">
      <w:pPr>
        <w:adjustRightInd w:val="0"/>
        <w:ind w:right="425"/>
        <w:jc w:val="both"/>
        <w:rPr>
          <w:rFonts w:eastAsia="TimesNewRoman"/>
          <w:lang w:val="sr-Latn-ME"/>
        </w:rPr>
      </w:pPr>
      <w:r w:rsidRPr="003A21B4">
        <w:rPr>
          <w:rFonts w:eastAsia="TimesNewRoman"/>
          <w:lang w:val="sr-Latn-ME"/>
        </w:rPr>
        <w:t>Za uslove čuvanja razblaženog lijeka, vidjeti dio 6.3.</w:t>
      </w:r>
    </w:p>
    <w:p w:rsidR="005D67BD" w:rsidRPr="003A21B4" w:rsidRDefault="005D67BD" w:rsidP="003A21B4">
      <w:pPr>
        <w:adjustRightInd w:val="0"/>
        <w:ind w:right="425"/>
        <w:jc w:val="both"/>
        <w:rPr>
          <w:rFonts w:eastAsia="TimesNewRoman"/>
          <w:lang w:val="sr-Latn-ME"/>
        </w:rPr>
      </w:pPr>
    </w:p>
    <w:p w:rsidR="0084478E" w:rsidRPr="003A21B4" w:rsidRDefault="00200D97" w:rsidP="00865DA5">
      <w:pPr>
        <w:widowControl/>
        <w:numPr>
          <w:ilvl w:val="1"/>
          <w:numId w:val="11"/>
        </w:numPr>
        <w:tabs>
          <w:tab w:val="left" w:pos="540"/>
          <w:tab w:val="left" w:pos="569"/>
        </w:tabs>
        <w:autoSpaceDE/>
        <w:autoSpaceDN/>
        <w:ind w:left="0" w:firstLine="0"/>
        <w:jc w:val="both"/>
        <w:rPr>
          <w:b/>
          <w:bCs/>
          <w:lang w:val="sr-Latn-ME"/>
        </w:rPr>
      </w:pPr>
      <w:r w:rsidRPr="003A21B4">
        <w:rPr>
          <w:b/>
          <w:bCs/>
          <w:lang w:val="sr-Latn-ME"/>
        </w:rPr>
        <w:t>Vrsta i sadržaj pakovanja</w:t>
      </w:r>
    </w:p>
    <w:p w:rsidR="005D67BD" w:rsidRPr="003A21B4" w:rsidRDefault="005D67BD" w:rsidP="003A21B4">
      <w:pPr>
        <w:adjustRightInd w:val="0"/>
        <w:ind w:right="425"/>
        <w:jc w:val="both"/>
        <w:rPr>
          <w:rFonts w:eastAsia="TimesNewRoman"/>
          <w:lang w:val="sr-Latn-ME"/>
        </w:rPr>
      </w:pPr>
      <w:r w:rsidRPr="003A21B4">
        <w:rPr>
          <w:rFonts w:eastAsia="TimesNewRoman"/>
          <w:lang w:val="sr-Latn-ME"/>
        </w:rPr>
        <w:t>Bočica od 50</w:t>
      </w:r>
      <w:r w:rsidR="00327703">
        <w:rPr>
          <w:rFonts w:eastAsia="TimesNewRoman"/>
          <w:lang w:val="sr-Latn-ME"/>
        </w:rPr>
        <w:t xml:space="preserve"> </w:t>
      </w:r>
      <w:r w:rsidRPr="003A21B4">
        <w:rPr>
          <w:rFonts w:eastAsia="TimesNewRoman"/>
          <w:lang w:val="sr-Latn-ME"/>
        </w:rPr>
        <w:t>ml, od tamnog stakla tip I sa zatvaračem od hlorobutil gume sive boje i aluminijskom kapicom sa „flip-off“ providno bijelim poklopcem / 20</w:t>
      </w:r>
      <w:r w:rsidR="0037373D">
        <w:rPr>
          <w:rFonts w:eastAsia="TimesNewRoman"/>
          <w:lang w:val="sr-Latn-ME"/>
        </w:rPr>
        <w:t xml:space="preserve"> </w:t>
      </w:r>
      <w:r w:rsidRPr="003A21B4">
        <w:rPr>
          <w:rFonts w:eastAsia="TimesNewRoman"/>
          <w:lang w:val="sr-Latn-ME"/>
        </w:rPr>
        <w:t>mm</w:t>
      </w:r>
      <w:r w:rsidR="00C8144A">
        <w:rPr>
          <w:rFonts w:eastAsia="TimesNewRoman"/>
          <w:lang w:val="sr-Latn-ME"/>
        </w:rPr>
        <w:t xml:space="preserve"> </w:t>
      </w:r>
      <w:r w:rsidR="00C8144A" w:rsidRPr="003A21B4">
        <w:rPr>
          <w:rFonts w:eastAsia="TimesNewRoman"/>
          <w:lang w:val="sr-Latn-ME"/>
        </w:rPr>
        <w:t>„flip-off“ providn</w:t>
      </w:r>
      <w:r w:rsidR="00C8144A">
        <w:rPr>
          <w:rFonts w:eastAsia="TimesNewRoman"/>
          <w:lang w:val="sr-Latn-ME"/>
        </w:rPr>
        <w:t>im pečatom</w:t>
      </w:r>
      <w:r w:rsidRPr="003A21B4">
        <w:rPr>
          <w:rFonts w:eastAsia="TimesNewRoman"/>
          <w:lang w:val="sr-Latn-ME"/>
        </w:rPr>
        <w:t>.</w:t>
      </w:r>
    </w:p>
    <w:p w:rsidR="005D67BD" w:rsidRPr="003A21B4" w:rsidRDefault="005D67BD" w:rsidP="00865DA5">
      <w:pPr>
        <w:adjustRightInd w:val="0"/>
        <w:ind w:right="425"/>
        <w:jc w:val="both"/>
        <w:rPr>
          <w:rFonts w:eastAsia="TimesNewRoman"/>
          <w:lang w:val="sr-Latn-ME"/>
        </w:rPr>
      </w:pPr>
    </w:p>
    <w:p w:rsidR="00277642" w:rsidRPr="003A21B4" w:rsidRDefault="00277642" w:rsidP="00865DA5">
      <w:pPr>
        <w:widowControl/>
        <w:tabs>
          <w:tab w:val="left" w:pos="540"/>
          <w:tab w:val="left" w:pos="569"/>
        </w:tabs>
        <w:autoSpaceDE/>
        <w:autoSpaceDN/>
        <w:jc w:val="both"/>
        <w:rPr>
          <w:b/>
          <w:bCs/>
          <w:lang w:val="sr-Latn-ME"/>
        </w:rPr>
      </w:pPr>
      <w:r w:rsidRPr="003A21B4">
        <w:rPr>
          <w:b/>
          <w:bCs/>
          <w:lang w:val="sr-Latn-ME"/>
        </w:rPr>
        <w:t xml:space="preserve">6.6. </w:t>
      </w:r>
      <w:r w:rsidRPr="003A21B4">
        <w:rPr>
          <w:b/>
          <w:bCs/>
          <w:lang w:val="sr-Latn-ME"/>
        </w:rPr>
        <w:tab/>
      </w:r>
      <w:r w:rsidRPr="003A21B4">
        <w:rPr>
          <w:b/>
          <w:bCs/>
          <w:color w:val="000000"/>
          <w:lang w:val="sr-Latn-ME"/>
        </w:rPr>
        <w:t>Posebne mjere opreza pri odlaganju materijala koji treba odbaciti nakon primjene lijeka</w:t>
      </w:r>
      <w:r w:rsidRPr="003A21B4">
        <w:rPr>
          <w:b/>
          <w:bCs/>
          <w:lang w:val="sr-Latn-ME"/>
        </w:rPr>
        <w:t xml:space="preserve"> (i druga uputstva za rukovanje lijekom) </w:t>
      </w:r>
    </w:p>
    <w:p w:rsidR="00C8144A" w:rsidRDefault="005D67BD" w:rsidP="003A21B4">
      <w:pPr>
        <w:adjustRightInd w:val="0"/>
        <w:ind w:right="2"/>
        <w:jc w:val="both"/>
        <w:rPr>
          <w:rFonts w:eastAsia="TimesNewRoman"/>
          <w:lang w:val="sr-Latn-ME"/>
        </w:rPr>
      </w:pPr>
      <w:r w:rsidRPr="003A21B4">
        <w:rPr>
          <w:lang w:val="sr-Latn-ME"/>
        </w:rPr>
        <w:t xml:space="preserve">Kao i sa svim drugim antineoplasticima, tako je i pri pripremi i rukovanju cisplatinom potrebno biti posebno oprezan. </w:t>
      </w:r>
      <w:r w:rsidRPr="003A21B4">
        <w:rPr>
          <w:rFonts w:eastAsia="TimesNewRoman"/>
          <w:lang w:val="sr-Latn-ME"/>
        </w:rPr>
        <w:t xml:space="preserve">Cisplatin prije upotrebe je neophodno </w:t>
      </w:r>
      <w:r w:rsidR="00C8144A">
        <w:rPr>
          <w:rFonts w:eastAsia="TimesNewRoman"/>
          <w:lang w:val="sr-Latn-ME"/>
        </w:rPr>
        <w:t>razblažiti</w:t>
      </w:r>
      <w:r w:rsidRPr="003A21B4">
        <w:rPr>
          <w:rFonts w:eastAsia="TimesNewRoman"/>
          <w:lang w:val="sr-Latn-ME"/>
        </w:rPr>
        <w:t xml:space="preserve">. </w:t>
      </w:r>
    </w:p>
    <w:p w:rsidR="005D67BD" w:rsidRPr="003A21B4" w:rsidRDefault="00C8144A" w:rsidP="003A21B4">
      <w:pPr>
        <w:adjustRightInd w:val="0"/>
        <w:ind w:right="2"/>
        <w:jc w:val="both"/>
        <w:rPr>
          <w:lang w:val="sr-Latn-ME"/>
        </w:rPr>
      </w:pPr>
      <w:r>
        <w:rPr>
          <w:lang w:val="sr-Latn-ME"/>
        </w:rPr>
        <w:t>Razblaživanje</w:t>
      </w:r>
      <w:r w:rsidRPr="003A21B4">
        <w:rPr>
          <w:lang w:val="sr-Latn-ME"/>
        </w:rPr>
        <w:t xml:space="preserve"> </w:t>
      </w:r>
      <w:r w:rsidR="005D67BD" w:rsidRPr="003A21B4">
        <w:rPr>
          <w:lang w:val="sr-Latn-ME"/>
        </w:rPr>
        <w:t xml:space="preserve">bi trebalo, pod aseptičnim uslovima, da izvede posebno obučeno, stručno osoblje u području, odnosno u prostoriji koja je posebno namijenjena za tu svrhu. Prilikom rukovanja cisplatinom obavezno je nošenje zaštitnih rukavica. Treba preduzeti odgovarajuće mjere opreza kako bi se spriječilo da ovaj </w:t>
      </w:r>
      <w:r>
        <w:rPr>
          <w:lang w:val="sr-Latn-ME"/>
        </w:rPr>
        <w:t>lijek</w:t>
      </w:r>
      <w:r w:rsidR="005D67BD" w:rsidRPr="003A21B4">
        <w:rPr>
          <w:lang w:val="sr-Latn-ME"/>
        </w:rPr>
        <w:t xml:space="preserve"> dođe u kontakt sa kožom ili sluzokožom. Ukoliko ipak dođe do kontakta sa kožom, odmah treba izvršiti temeljno ispiranje sapunom i vodom. U slučajevima kada je došlo do kontakta cisplatina sa kožom, uočene su pojave mravinjanja, opekotina i crvenila kože. U slučaju da dođe do kontakta sa sluzokožom, neophodno je odmah izvršiti temeljno ispiranje vodom. Nakon slučajne inhalacije ovog preparata zabilježene su pojave dispneje, bola u grudima, iritacije grla i mučnine.</w:t>
      </w:r>
    </w:p>
    <w:p w:rsidR="005D67BD" w:rsidRPr="003A21B4" w:rsidRDefault="005D67BD" w:rsidP="003A21B4">
      <w:pPr>
        <w:adjustRightInd w:val="0"/>
        <w:ind w:right="425"/>
        <w:jc w:val="both"/>
        <w:rPr>
          <w:lang w:val="sr-Latn-ME"/>
        </w:rPr>
      </w:pPr>
    </w:p>
    <w:p w:rsidR="005D67BD" w:rsidRPr="003A21B4" w:rsidRDefault="005D67BD" w:rsidP="00865DA5">
      <w:pPr>
        <w:adjustRightInd w:val="0"/>
        <w:ind w:right="2"/>
        <w:jc w:val="both"/>
        <w:rPr>
          <w:lang w:val="sr-Latn-ME"/>
        </w:rPr>
      </w:pPr>
      <w:r w:rsidRPr="003A21B4">
        <w:rPr>
          <w:lang w:val="sr-Latn-ME"/>
        </w:rPr>
        <w:t>Trudnice moraju da izbjegavaju kontakt sa citostaticima.</w:t>
      </w:r>
    </w:p>
    <w:p w:rsidR="005D67BD" w:rsidRPr="003A21B4" w:rsidRDefault="005D67BD" w:rsidP="00865DA5">
      <w:pPr>
        <w:adjustRightInd w:val="0"/>
        <w:ind w:right="2"/>
        <w:jc w:val="both"/>
        <w:rPr>
          <w:lang w:val="sr-Latn-ME"/>
        </w:rPr>
      </w:pPr>
    </w:p>
    <w:p w:rsidR="005D67BD" w:rsidRPr="003A21B4" w:rsidRDefault="005D67BD" w:rsidP="00865DA5">
      <w:pPr>
        <w:adjustRightInd w:val="0"/>
        <w:ind w:right="2"/>
        <w:jc w:val="both"/>
        <w:rPr>
          <w:lang w:val="sr-Latn-ME"/>
        </w:rPr>
      </w:pPr>
      <w:r w:rsidRPr="003A21B4">
        <w:rPr>
          <w:lang w:val="sr-Latn-ME"/>
        </w:rPr>
        <w:t xml:space="preserve">Materije koje predstavljaju tjelesni otpad i ispovraćani sadržaj, treba da se uklanjaju sa oprezom. </w:t>
      </w:r>
    </w:p>
    <w:p w:rsidR="005D67BD" w:rsidRPr="003A21B4" w:rsidRDefault="005D67BD" w:rsidP="00865DA5">
      <w:pPr>
        <w:adjustRightInd w:val="0"/>
        <w:ind w:right="2"/>
        <w:jc w:val="both"/>
        <w:rPr>
          <w:lang w:val="sr-Latn-ME"/>
        </w:rPr>
      </w:pPr>
    </w:p>
    <w:p w:rsidR="005D67BD" w:rsidRPr="003A21B4" w:rsidRDefault="005D67BD" w:rsidP="00865DA5">
      <w:pPr>
        <w:adjustRightInd w:val="0"/>
        <w:ind w:right="2"/>
        <w:jc w:val="both"/>
        <w:rPr>
          <w:lang w:val="sr-Latn-ME"/>
        </w:rPr>
      </w:pPr>
      <w:r w:rsidRPr="003A21B4">
        <w:rPr>
          <w:lang w:val="sr-Latn-ME"/>
        </w:rPr>
        <w:t xml:space="preserve">Ukoliko je rastvor </w:t>
      </w:r>
      <w:r w:rsidR="00F36692">
        <w:rPr>
          <w:lang w:val="sr-Latn-ME"/>
        </w:rPr>
        <w:t>lijeka</w:t>
      </w:r>
      <w:r w:rsidR="00F36692" w:rsidRPr="003A21B4">
        <w:rPr>
          <w:lang w:val="sr-Latn-ME"/>
        </w:rPr>
        <w:t xml:space="preserve"> </w:t>
      </w:r>
      <w:r w:rsidRPr="003A21B4">
        <w:rPr>
          <w:lang w:val="sr-Latn-ME"/>
        </w:rPr>
        <w:t>zamućen ili se primjećuje talog koji se ne rastvara, bočicu sa takvim rastvorom treba odbaciti.</w:t>
      </w:r>
    </w:p>
    <w:p w:rsidR="005D67BD" w:rsidRPr="003A21B4" w:rsidRDefault="005D67BD" w:rsidP="00865DA5">
      <w:pPr>
        <w:adjustRightInd w:val="0"/>
        <w:ind w:right="2"/>
        <w:jc w:val="both"/>
        <w:rPr>
          <w:lang w:val="sr-Latn-ME"/>
        </w:rPr>
      </w:pPr>
    </w:p>
    <w:p w:rsidR="005D67BD" w:rsidRPr="003A21B4" w:rsidRDefault="005D67BD" w:rsidP="00865DA5">
      <w:pPr>
        <w:adjustRightInd w:val="0"/>
        <w:ind w:right="2"/>
        <w:jc w:val="both"/>
        <w:rPr>
          <w:lang w:val="sr-Latn-ME"/>
        </w:rPr>
      </w:pPr>
      <w:r w:rsidRPr="003A21B4">
        <w:rPr>
          <w:lang w:val="sr-Latn-ME"/>
        </w:rPr>
        <w:t>Sa oštećenom bočicom treba postupati uz primjenu mjera predostrožnosti za kontaminirani otpad. Kontaminirani otpad se mora skladištiti u posebnim kontejnerima koji su specijalno označeni za čuvanje ove vrste otpada. Vid</w:t>
      </w:r>
      <w:r w:rsidR="00A97301" w:rsidRPr="003A21B4">
        <w:rPr>
          <w:lang w:val="sr-Latn-ME"/>
        </w:rPr>
        <w:t>j</w:t>
      </w:r>
      <w:r w:rsidRPr="003A21B4">
        <w:rPr>
          <w:lang w:val="sr-Latn-ME"/>
        </w:rPr>
        <w:t>eti dio pod naslovom “Odlaganje”.</w:t>
      </w:r>
    </w:p>
    <w:p w:rsidR="005D67BD" w:rsidRPr="003A21B4" w:rsidRDefault="005D67BD" w:rsidP="00865DA5">
      <w:pPr>
        <w:adjustRightInd w:val="0"/>
        <w:ind w:right="2"/>
        <w:jc w:val="both"/>
        <w:rPr>
          <w:lang w:val="sr-Latn-ME"/>
        </w:rPr>
      </w:pPr>
    </w:p>
    <w:p w:rsidR="005D67BD" w:rsidRPr="003A21B4" w:rsidRDefault="005D67BD" w:rsidP="00865DA5">
      <w:pPr>
        <w:adjustRightInd w:val="0"/>
        <w:ind w:right="2"/>
        <w:jc w:val="both"/>
        <w:rPr>
          <w:b/>
          <w:bCs/>
          <w:lang w:val="sr-Latn-ME"/>
        </w:rPr>
      </w:pPr>
      <w:r w:rsidRPr="003A21B4">
        <w:rPr>
          <w:b/>
          <w:lang w:val="sr-Latn-ME"/>
        </w:rPr>
        <w:t>Priprema za intravensku primjenu</w:t>
      </w:r>
    </w:p>
    <w:p w:rsidR="005D67BD" w:rsidRPr="003A21B4" w:rsidRDefault="005D67BD" w:rsidP="00865DA5">
      <w:pPr>
        <w:adjustRightInd w:val="0"/>
        <w:ind w:right="2"/>
        <w:jc w:val="both"/>
        <w:rPr>
          <w:lang w:val="sr-Latn-ME"/>
        </w:rPr>
      </w:pPr>
      <w:r w:rsidRPr="003A21B4">
        <w:rPr>
          <w:lang w:val="sr-Latn-ME"/>
        </w:rPr>
        <w:t>Uzmite onu količinu rastvora iz bočice koja je potrebna i razblažite je sa količinom od najmanje jednog litra nekog od sljedećih rastvora:</w:t>
      </w:r>
    </w:p>
    <w:p w:rsidR="005D67BD" w:rsidRPr="003A21B4" w:rsidRDefault="005D67BD" w:rsidP="00865DA5">
      <w:pPr>
        <w:adjustRightInd w:val="0"/>
        <w:ind w:right="2"/>
        <w:jc w:val="both"/>
        <w:rPr>
          <w:lang w:val="sr-Latn-ME"/>
        </w:rPr>
      </w:pPr>
      <w:r w:rsidRPr="003A21B4">
        <w:rPr>
          <w:lang w:val="sr-Latn-ME"/>
        </w:rPr>
        <w:t xml:space="preserve">- 0,9% natrijum hlorid </w:t>
      </w:r>
    </w:p>
    <w:p w:rsidR="005D67BD" w:rsidRPr="003A21B4" w:rsidRDefault="005D67BD" w:rsidP="00865DA5">
      <w:pPr>
        <w:adjustRightInd w:val="0"/>
        <w:ind w:right="2"/>
        <w:jc w:val="both"/>
        <w:rPr>
          <w:lang w:val="sr-Latn-ME"/>
        </w:rPr>
      </w:pPr>
      <w:r w:rsidRPr="003A21B4">
        <w:rPr>
          <w:lang w:val="sr-Latn-ME"/>
        </w:rPr>
        <w:t xml:space="preserve">- smješa natrijum hlorida 0,9% / glukoza 5% (1:1), (finalna koncetracija: natrijum hlorid 0,45%,   </w:t>
      </w:r>
    </w:p>
    <w:p w:rsidR="005D67BD" w:rsidRPr="003A21B4" w:rsidRDefault="005D67BD" w:rsidP="00865DA5">
      <w:pPr>
        <w:adjustRightInd w:val="0"/>
        <w:ind w:right="2"/>
        <w:jc w:val="both"/>
        <w:rPr>
          <w:lang w:val="sr-Latn-ME"/>
        </w:rPr>
      </w:pPr>
      <w:r w:rsidRPr="003A21B4">
        <w:rPr>
          <w:lang w:val="sr-Latn-ME"/>
        </w:rPr>
        <w:t xml:space="preserve">  glukoza 2,5%)</w:t>
      </w:r>
    </w:p>
    <w:p w:rsidR="005D67BD" w:rsidRPr="003A21B4" w:rsidRDefault="005D67BD" w:rsidP="00865DA5">
      <w:pPr>
        <w:adjustRightInd w:val="0"/>
        <w:ind w:right="2"/>
        <w:jc w:val="both"/>
        <w:rPr>
          <w:lang w:val="sr-Latn-ME"/>
        </w:rPr>
      </w:pPr>
      <w:r w:rsidRPr="003A21B4">
        <w:rPr>
          <w:lang w:val="sr-Latn-ME"/>
        </w:rPr>
        <w:t>- natrijum hlorid 0,9% i 1,875% manitola za injekcije</w:t>
      </w:r>
    </w:p>
    <w:p w:rsidR="005D67BD" w:rsidRPr="003A21B4" w:rsidRDefault="005D67BD" w:rsidP="00865DA5">
      <w:pPr>
        <w:adjustRightInd w:val="0"/>
        <w:ind w:right="2"/>
        <w:jc w:val="both"/>
        <w:rPr>
          <w:lang w:val="sr-Latn-ME"/>
        </w:rPr>
      </w:pPr>
      <w:r w:rsidRPr="003A21B4">
        <w:rPr>
          <w:lang w:val="sr-Latn-ME"/>
        </w:rPr>
        <w:t>- natrijum hlorid 0,45%, glukoza 2,5% i 1,875% manitola za injekcije.</w:t>
      </w:r>
    </w:p>
    <w:p w:rsidR="005D67BD" w:rsidRPr="003A21B4" w:rsidRDefault="005D67BD" w:rsidP="00865DA5">
      <w:pPr>
        <w:adjustRightInd w:val="0"/>
        <w:ind w:right="2"/>
        <w:jc w:val="both"/>
        <w:rPr>
          <w:lang w:val="sr-Latn-ME"/>
        </w:rPr>
      </w:pPr>
    </w:p>
    <w:p w:rsidR="005D67BD" w:rsidRPr="003A21B4" w:rsidRDefault="005D67BD" w:rsidP="00865DA5">
      <w:pPr>
        <w:adjustRightInd w:val="0"/>
        <w:ind w:right="2"/>
        <w:jc w:val="both"/>
        <w:rPr>
          <w:lang w:val="sr-Latn-ME"/>
        </w:rPr>
      </w:pPr>
      <w:r w:rsidRPr="003A21B4">
        <w:rPr>
          <w:lang w:val="sr-Latn-ME"/>
        </w:rPr>
        <w:lastRenderedPageBreak/>
        <w:t>Prije upotrebe obavezno pogledati injekciju. Ako je rastvor mutan ili se formira nerastvorljivi talog, rastvor se ne smije upotrebljavati. Samo bistar rastvor, bez prisutnih čestica se može primijeniti.</w:t>
      </w:r>
    </w:p>
    <w:p w:rsidR="005D67BD" w:rsidRPr="003A21B4" w:rsidRDefault="005D67BD" w:rsidP="00865DA5">
      <w:pPr>
        <w:adjustRightInd w:val="0"/>
        <w:ind w:right="2"/>
        <w:jc w:val="both"/>
        <w:rPr>
          <w:lang w:val="sr-Latn-ME"/>
        </w:rPr>
      </w:pPr>
    </w:p>
    <w:p w:rsidR="005D67BD" w:rsidRPr="003A21B4" w:rsidRDefault="005D67BD" w:rsidP="00865DA5">
      <w:pPr>
        <w:adjustRightInd w:val="0"/>
        <w:ind w:right="2"/>
        <w:jc w:val="both"/>
        <w:rPr>
          <w:lang w:val="sr-Latn-ME"/>
        </w:rPr>
      </w:pPr>
      <w:r w:rsidRPr="003A21B4">
        <w:rPr>
          <w:lang w:val="sr-Latn-ME"/>
        </w:rPr>
        <w:t xml:space="preserve">Ako se u bočici primijeti talog ili kristal, držite bočicu na sobnoj temperaturi (20-25°C) dok se ne dobije bistar rastvor. Neotvorenu bočicu zaštitite od svjetlosti. </w:t>
      </w:r>
      <w:r w:rsidR="00437186">
        <w:rPr>
          <w:lang w:val="sr-Latn-ME"/>
        </w:rPr>
        <w:t>Lijek</w:t>
      </w:r>
      <w:r w:rsidR="00437186" w:rsidRPr="003A21B4">
        <w:rPr>
          <w:lang w:val="sr-Latn-ME"/>
        </w:rPr>
        <w:t xml:space="preserve"> </w:t>
      </w:r>
      <w:r w:rsidRPr="003A21B4">
        <w:rPr>
          <w:lang w:val="sr-Latn-ME"/>
        </w:rPr>
        <w:t>treba odbaciti ako rastvor ne postane bistar nakon snažnog mućkanja.</w:t>
      </w:r>
    </w:p>
    <w:p w:rsidR="005D67BD" w:rsidRPr="003A21B4" w:rsidRDefault="005D67BD" w:rsidP="00865DA5">
      <w:pPr>
        <w:adjustRightInd w:val="0"/>
        <w:ind w:right="2"/>
        <w:jc w:val="both"/>
        <w:rPr>
          <w:lang w:val="sr-Latn-ME"/>
        </w:rPr>
      </w:pPr>
    </w:p>
    <w:p w:rsidR="005D67BD" w:rsidRPr="003A21B4" w:rsidRDefault="005D67BD" w:rsidP="00865DA5">
      <w:pPr>
        <w:adjustRightInd w:val="0"/>
        <w:ind w:right="2"/>
        <w:jc w:val="both"/>
        <w:rPr>
          <w:lang w:val="sr-Latn-ME"/>
        </w:rPr>
      </w:pPr>
      <w:r w:rsidRPr="003A21B4">
        <w:rPr>
          <w:lang w:val="sr-Latn-ME"/>
        </w:rPr>
        <w:t>NE dovoditi u kontakt sa injekcionim materijalom koji sadrži aluminijum.</w:t>
      </w:r>
    </w:p>
    <w:p w:rsidR="005D67BD" w:rsidRPr="003A21B4" w:rsidRDefault="005D67BD" w:rsidP="00865DA5">
      <w:pPr>
        <w:adjustRightInd w:val="0"/>
        <w:ind w:right="2"/>
        <w:jc w:val="both"/>
        <w:rPr>
          <w:lang w:val="sr-Latn-ME"/>
        </w:rPr>
      </w:pPr>
    </w:p>
    <w:p w:rsidR="005D67BD" w:rsidRPr="003A21B4" w:rsidRDefault="005D67BD" w:rsidP="00865DA5">
      <w:pPr>
        <w:adjustRightInd w:val="0"/>
        <w:ind w:right="2"/>
        <w:jc w:val="both"/>
        <w:rPr>
          <w:lang w:val="sr-Latn-ME"/>
        </w:rPr>
      </w:pPr>
      <w:r w:rsidRPr="003A21B4">
        <w:rPr>
          <w:lang w:val="sr-Latn-ME"/>
        </w:rPr>
        <w:t>NE primjenjivati lijek u nerazblaženom obliku.</w:t>
      </w:r>
    </w:p>
    <w:p w:rsidR="005D67BD" w:rsidRPr="003A21B4" w:rsidRDefault="005D67BD" w:rsidP="00865DA5">
      <w:pPr>
        <w:adjustRightInd w:val="0"/>
        <w:ind w:right="2"/>
        <w:jc w:val="both"/>
        <w:rPr>
          <w:lang w:val="sr-Latn-ME"/>
        </w:rPr>
      </w:pPr>
    </w:p>
    <w:p w:rsidR="005D67BD" w:rsidRPr="008F7B1C" w:rsidRDefault="005D67BD" w:rsidP="00865DA5">
      <w:pPr>
        <w:adjustRightInd w:val="0"/>
        <w:ind w:right="2"/>
        <w:jc w:val="both"/>
        <w:rPr>
          <w:lang w:val="sr-Latn-ME"/>
        </w:rPr>
      </w:pPr>
      <w:r w:rsidRPr="003A21B4">
        <w:rPr>
          <w:lang w:val="sr-Latn-ME"/>
        </w:rPr>
        <w:t>Što se tiče mikrobiološke, fizičke i hemijske stabilnosti prilikom primjene nerazblaženih rastvora, vidjeti dio 6.3.</w:t>
      </w:r>
      <w:r w:rsidR="00437186">
        <w:rPr>
          <w:lang w:val="sr-Latn-ME"/>
        </w:rPr>
        <w:t xml:space="preserve"> </w:t>
      </w:r>
      <w:r w:rsidR="00437186" w:rsidRPr="00437186">
        <w:rPr>
          <w:lang w:val="sr-Latn-ME"/>
        </w:rPr>
        <w:t>,,</w:t>
      </w:r>
      <w:r w:rsidR="00437186" w:rsidRPr="008F7B1C">
        <w:rPr>
          <w:lang w:val="sr-Latn-ME"/>
        </w:rPr>
        <w:t>Rok upotrebe“</w:t>
      </w:r>
      <w:r w:rsidR="00437186">
        <w:rPr>
          <w:lang w:val="sr-Latn-ME"/>
        </w:rPr>
        <w:t>.</w:t>
      </w:r>
    </w:p>
    <w:p w:rsidR="005D67BD" w:rsidRPr="003A21B4" w:rsidRDefault="005D67BD" w:rsidP="00865DA5">
      <w:pPr>
        <w:adjustRightInd w:val="0"/>
        <w:ind w:right="2"/>
        <w:jc w:val="both"/>
        <w:rPr>
          <w:lang w:val="sr-Latn-ME"/>
        </w:rPr>
      </w:pPr>
    </w:p>
    <w:p w:rsidR="005D67BD" w:rsidRPr="003A21B4" w:rsidRDefault="005D67BD" w:rsidP="00865DA5">
      <w:pPr>
        <w:adjustRightInd w:val="0"/>
        <w:ind w:right="2"/>
        <w:jc w:val="both"/>
        <w:rPr>
          <w:b/>
          <w:lang w:val="sr-Latn-ME"/>
        </w:rPr>
      </w:pPr>
      <w:r w:rsidRPr="003A21B4">
        <w:rPr>
          <w:b/>
          <w:lang w:val="sr-Latn-ME"/>
        </w:rPr>
        <w:t>Odlaganje</w:t>
      </w:r>
    </w:p>
    <w:p w:rsidR="005D67BD" w:rsidRPr="003A21B4" w:rsidRDefault="005D67BD" w:rsidP="00865DA5">
      <w:pPr>
        <w:adjustRightInd w:val="0"/>
        <w:ind w:right="2"/>
        <w:jc w:val="both"/>
        <w:rPr>
          <w:lang w:val="sr-Latn-ME"/>
        </w:rPr>
      </w:pPr>
      <w:r w:rsidRPr="003A21B4">
        <w:rPr>
          <w:lang w:val="sr-Latn-ME"/>
        </w:rPr>
        <w:t>Svu neiskorišćenu količinu lijeka i svi materijali koji su korišćeni za pripremu i primjenu cisplatina, ili oni materijali koji su bili u kontaktu sa cisplatinom na bilo koji način, moraju se ukloniti u skladu sa važećim smjernicama za uklanjanje citotoksičnog otpada.</w:t>
      </w:r>
      <w:r w:rsidR="00437186">
        <w:rPr>
          <w:lang w:val="sr-Latn-ME"/>
        </w:rPr>
        <w:t xml:space="preserve"> </w:t>
      </w:r>
      <w:r w:rsidR="00437186" w:rsidRPr="00390924">
        <w:rPr>
          <w:lang w:val="sr-Latn-ME" w:eastAsia="hr-HR"/>
        </w:rPr>
        <w:t>Ljekove ne treba bacati u kanalizaciju, niti kućni otpad</w:t>
      </w:r>
      <w:r w:rsidR="00437186">
        <w:rPr>
          <w:lang w:val="sr-Latn-ME" w:eastAsia="hr-HR"/>
        </w:rPr>
        <w:t>.</w:t>
      </w:r>
    </w:p>
    <w:p w:rsidR="005D67BD" w:rsidRDefault="005D67BD" w:rsidP="00865DA5">
      <w:pPr>
        <w:adjustRightInd w:val="0"/>
        <w:ind w:right="2"/>
        <w:jc w:val="both"/>
        <w:rPr>
          <w:lang w:val="sr-Latn-ME"/>
        </w:rPr>
      </w:pPr>
    </w:p>
    <w:p w:rsidR="00437186" w:rsidRPr="003A21B4" w:rsidRDefault="00437186" w:rsidP="00865DA5">
      <w:pPr>
        <w:adjustRightInd w:val="0"/>
        <w:ind w:right="2"/>
        <w:jc w:val="both"/>
        <w:rPr>
          <w:lang w:val="sr-Latn-ME"/>
        </w:rPr>
      </w:pPr>
    </w:p>
    <w:p w:rsidR="007E716C" w:rsidRPr="003A21B4" w:rsidRDefault="00200D97" w:rsidP="00865DA5">
      <w:pPr>
        <w:widowControl/>
        <w:numPr>
          <w:ilvl w:val="0"/>
          <w:numId w:val="8"/>
        </w:numPr>
        <w:tabs>
          <w:tab w:val="left" w:pos="540"/>
          <w:tab w:val="left" w:pos="569"/>
        </w:tabs>
        <w:autoSpaceDE/>
        <w:autoSpaceDN/>
        <w:ind w:left="0" w:firstLine="0"/>
        <w:jc w:val="both"/>
        <w:rPr>
          <w:b/>
          <w:bCs/>
          <w:lang w:val="sr-Latn-ME"/>
        </w:rPr>
      </w:pPr>
      <w:r w:rsidRPr="003A21B4">
        <w:rPr>
          <w:b/>
          <w:bCs/>
          <w:lang w:val="sr-Latn-ME"/>
        </w:rPr>
        <w:t>NOSI</w:t>
      </w:r>
      <w:r w:rsidR="00BB3974" w:rsidRPr="003A21B4">
        <w:rPr>
          <w:b/>
          <w:bCs/>
          <w:lang w:val="sr-Latn-ME"/>
        </w:rPr>
        <w:t>LAC DOZVOLE</w:t>
      </w:r>
    </w:p>
    <w:p w:rsidR="001D4FE5" w:rsidRPr="003A21B4" w:rsidRDefault="001D4FE5" w:rsidP="003A21B4">
      <w:pPr>
        <w:pStyle w:val="Heading1"/>
        <w:tabs>
          <w:tab w:val="left" w:pos="785"/>
          <w:tab w:val="left" w:pos="786"/>
        </w:tabs>
        <w:ind w:left="0"/>
        <w:jc w:val="both"/>
        <w:rPr>
          <w:lang w:val="sr-Latn-ME"/>
        </w:rPr>
      </w:pPr>
    </w:p>
    <w:p w:rsidR="005D67BD" w:rsidRPr="003A21B4" w:rsidRDefault="005D67BD" w:rsidP="00865DA5">
      <w:pPr>
        <w:pStyle w:val="BodyText"/>
        <w:jc w:val="both"/>
        <w:rPr>
          <w:lang w:val="sr-Latn-ME"/>
        </w:rPr>
      </w:pPr>
      <w:r w:rsidRPr="003A21B4">
        <w:rPr>
          <w:lang w:val="sr-Latn-ME"/>
        </w:rPr>
        <w:t>Evropa Lek Pharma d.o.o. Podgorica</w:t>
      </w:r>
    </w:p>
    <w:p w:rsidR="005D67BD" w:rsidRPr="003A21B4" w:rsidRDefault="005D67BD" w:rsidP="00865DA5">
      <w:pPr>
        <w:pStyle w:val="BodyText"/>
        <w:jc w:val="both"/>
        <w:rPr>
          <w:lang w:val="sr-Latn-ME"/>
        </w:rPr>
      </w:pPr>
      <w:r w:rsidRPr="003A21B4">
        <w:rPr>
          <w:lang w:val="sr-Latn-ME"/>
        </w:rPr>
        <w:t>Kritskog odreda 4/1, Podgorica, Crna Gora</w:t>
      </w:r>
    </w:p>
    <w:p w:rsidR="0084478E" w:rsidRDefault="0084478E" w:rsidP="003A21B4">
      <w:pPr>
        <w:pStyle w:val="BodyText"/>
        <w:jc w:val="both"/>
        <w:rPr>
          <w:b/>
          <w:lang w:val="sr-Latn-ME"/>
        </w:rPr>
      </w:pPr>
    </w:p>
    <w:p w:rsidR="00437186" w:rsidRPr="003A21B4" w:rsidRDefault="00437186" w:rsidP="003A21B4">
      <w:pPr>
        <w:pStyle w:val="BodyText"/>
        <w:jc w:val="both"/>
        <w:rPr>
          <w:b/>
          <w:lang w:val="sr-Latn-ME"/>
        </w:rPr>
      </w:pPr>
    </w:p>
    <w:p w:rsidR="0084478E" w:rsidRPr="003A21B4" w:rsidRDefault="00200D97" w:rsidP="00865DA5">
      <w:pPr>
        <w:widowControl/>
        <w:numPr>
          <w:ilvl w:val="0"/>
          <w:numId w:val="8"/>
        </w:numPr>
        <w:tabs>
          <w:tab w:val="left" w:pos="540"/>
          <w:tab w:val="left" w:pos="569"/>
        </w:tabs>
        <w:autoSpaceDE/>
        <w:autoSpaceDN/>
        <w:ind w:left="0" w:firstLine="0"/>
        <w:jc w:val="both"/>
        <w:rPr>
          <w:b/>
          <w:bCs/>
          <w:lang w:val="sr-Latn-ME"/>
        </w:rPr>
      </w:pPr>
      <w:r w:rsidRPr="003A21B4">
        <w:rPr>
          <w:b/>
          <w:bCs/>
          <w:lang w:val="sr-Latn-ME"/>
        </w:rPr>
        <w:t>BROJ</w:t>
      </w:r>
      <w:r w:rsidR="00BB3974" w:rsidRPr="003A21B4">
        <w:rPr>
          <w:b/>
          <w:bCs/>
          <w:lang w:val="sr-Latn-ME"/>
        </w:rPr>
        <w:t xml:space="preserve"> DOZVOLE ZA STAVLJANJE LIJEKA U PROMET</w:t>
      </w:r>
    </w:p>
    <w:p w:rsidR="0084478E" w:rsidRDefault="0084478E" w:rsidP="00865DA5">
      <w:pPr>
        <w:pStyle w:val="BodyText"/>
        <w:jc w:val="both"/>
        <w:rPr>
          <w:lang w:val="sr-Latn-ME"/>
        </w:rPr>
      </w:pPr>
    </w:p>
    <w:p w:rsidR="00437186" w:rsidRPr="003A21B4" w:rsidRDefault="0035528D" w:rsidP="00865DA5">
      <w:pPr>
        <w:pStyle w:val="BodyText"/>
        <w:jc w:val="both"/>
        <w:rPr>
          <w:lang w:val="sr-Latn-ME"/>
        </w:rPr>
      </w:pPr>
      <w:r w:rsidRPr="0035528D">
        <w:rPr>
          <w:lang w:val="sr-Latn-ME"/>
        </w:rPr>
        <w:t>2030/22/3985 - 6981</w:t>
      </w:r>
    </w:p>
    <w:p w:rsidR="00E44133" w:rsidRDefault="00E44133" w:rsidP="00865DA5">
      <w:pPr>
        <w:pStyle w:val="BodyText"/>
        <w:jc w:val="both"/>
        <w:rPr>
          <w:lang w:val="sr-Latn-ME"/>
        </w:rPr>
      </w:pPr>
    </w:p>
    <w:p w:rsidR="00437186" w:rsidRPr="003A21B4" w:rsidRDefault="00437186" w:rsidP="00865DA5">
      <w:pPr>
        <w:pStyle w:val="BodyText"/>
        <w:jc w:val="both"/>
        <w:rPr>
          <w:lang w:val="sr-Latn-ME"/>
        </w:rPr>
      </w:pPr>
    </w:p>
    <w:p w:rsidR="0084478E" w:rsidRPr="003A21B4" w:rsidRDefault="00BB3974" w:rsidP="00865DA5">
      <w:pPr>
        <w:widowControl/>
        <w:numPr>
          <w:ilvl w:val="0"/>
          <w:numId w:val="8"/>
        </w:numPr>
        <w:tabs>
          <w:tab w:val="left" w:pos="540"/>
          <w:tab w:val="left" w:pos="569"/>
        </w:tabs>
        <w:autoSpaceDE/>
        <w:autoSpaceDN/>
        <w:ind w:left="0" w:firstLine="0"/>
        <w:jc w:val="both"/>
        <w:rPr>
          <w:b/>
          <w:bCs/>
          <w:lang w:val="sr-Latn-ME"/>
        </w:rPr>
      </w:pPr>
      <w:r w:rsidRPr="003A21B4">
        <w:rPr>
          <w:b/>
          <w:bCs/>
          <w:lang w:val="sr-Latn-ME"/>
        </w:rPr>
        <w:t>DATUM PRVE DOZVOLE/OBNOVE DOZVOLE ZA STAVLJANJE LIJEKA U PROMET</w:t>
      </w:r>
      <w:r w:rsidRPr="003A21B4" w:rsidDel="00BB3974">
        <w:rPr>
          <w:b/>
          <w:bCs/>
          <w:lang w:val="sr-Latn-ME"/>
        </w:rPr>
        <w:t xml:space="preserve"> </w:t>
      </w:r>
    </w:p>
    <w:p w:rsidR="0084478E" w:rsidRPr="003A21B4" w:rsidRDefault="0084478E" w:rsidP="00865DA5">
      <w:pPr>
        <w:pStyle w:val="BodyText"/>
        <w:jc w:val="both"/>
        <w:rPr>
          <w:lang w:val="sr-Latn-ME"/>
        </w:rPr>
      </w:pPr>
    </w:p>
    <w:p w:rsidR="00E44133" w:rsidRDefault="0035528D" w:rsidP="00865DA5">
      <w:pPr>
        <w:pStyle w:val="BodyText"/>
        <w:jc w:val="both"/>
        <w:rPr>
          <w:lang w:val="sr-Latn-ME"/>
        </w:rPr>
      </w:pPr>
      <w:r w:rsidRPr="0035528D">
        <w:rPr>
          <w:lang w:val="sr-Latn-ME"/>
        </w:rPr>
        <w:t>26.12.2022. godine</w:t>
      </w:r>
    </w:p>
    <w:p w:rsidR="00437186" w:rsidRDefault="00437186" w:rsidP="00865DA5">
      <w:pPr>
        <w:pStyle w:val="BodyText"/>
        <w:jc w:val="both"/>
        <w:rPr>
          <w:lang w:val="sr-Latn-ME"/>
        </w:rPr>
      </w:pPr>
    </w:p>
    <w:p w:rsidR="00E44707" w:rsidRPr="003A21B4" w:rsidRDefault="00E44707" w:rsidP="00865DA5">
      <w:pPr>
        <w:pStyle w:val="BodyText"/>
        <w:jc w:val="both"/>
        <w:rPr>
          <w:lang w:val="sr-Latn-ME"/>
        </w:rPr>
      </w:pPr>
    </w:p>
    <w:p w:rsidR="003418AD" w:rsidRPr="003A21B4" w:rsidRDefault="003418AD" w:rsidP="00865DA5">
      <w:pPr>
        <w:widowControl/>
        <w:tabs>
          <w:tab w:val="left" w:pos="540"/>
          <w:tab w:val="left" w:pos="569"/>
        </w:tabs>
        <w:autoSpaceDE/>
        <w:autoSpaceDN/>
        <w:ind w:left="540" w:hanging="540"/>
        <w:jc w:val="both"/>
        <w:rPr>
          <w:bCs/>
          <w:lang w:val="sr-Latn-ME"/>
        </w:rPr>
      </w:pPr>
      <w:bookmarkStart w:id="1" w:name="B._UPUTA_O_LIJEKU"/>
      <w:bookmarkEnd w:id="1"/>
      <w:r w:rsidRPr="003A21B4">
        <w:rPr>
          <w:b/>
          <w:bCs/>
          <w:lang w:val="sr-Latn-ME"/>
        </w:rPr>
        <w:t xml:space="preserve">10. </w:t>
      </w:r>
      <w:r w:rsidRPr="003A21B4">
        <w:rPr>
          <w:b/>
          <w:bCs/>
          <w:lang w:val="sr-Latn-ME"/>
        </w:rPr>
        <w:tab/>
        <w:t xml:space="preserve">DATUM REVIZIJE TEKSTA </w:t>
      </w:r>
    </w:p>
    <w:p w:rsidR="0084478E" w:rsidRDefault="0084478E" w:rsidP="00865DA5">
      <w:pPr>
        <w:widowControl/>
        <w:tabs>
          <w:tab w:val="left" w:pos="540"/>
          <w:tab w:val="left" w:pos="569"/>
        </w:tabs>
        <w:autoSpaceDE/>
        <w:autoSpaceDN/>
        <w:ind w:left="540" w:hanging="540"/>
        <w:jc w:val="both"/>
        <w:rPr>
          <w:b/>
          <w:bCs/>
          <w:lang w:val="sr-Latn-ME"/>
        </w:rPr>
      </w:pPr>
    </w:p>
    <w:p w:rsidR="0035528D" w:rsidRPr="0035528D" w:rsidRDefault="0035528D" w:rsidP="00865DA5">
      <w:pPr>
        <w:widowControl/>
        <w:tabs>
          <w:tab w:val="left" w:pos="540"/>
          <w:tab w:val="left" w:pos="569"/>
        </w:tabs>
        <w:autoSpaceDE/>
        <w:autoSpaceDN/>
        <w:ind w:left="540" w:hanging="540"/>
        <w:jc w:val="both"/>
        <w:rPr>
          <w:bCs/>
          <w:lang w:val="sr-Latn-ME"/>
        </w:rPr>
      </w:pPr>
      <w:r>
        <w:rPr>
          <w:bCs/>
          <w:lang w:val="sr-Latn-ME"/>
        </w:rPr>
        <w:t>Decemb</w:t>
      </w:r>
      <w:bookmarkStart w:id="2" w:name="_GoBack"/>
      <w:bookmarkEnd w:id="2"/>
      <w:r>
        <w:rPr>
          <w:bCs/>
          <w:lang w:val="sr-Latn-ME"/>
        </w:rPr>
        <w:t xml:space="preserve">ar, </w:t>
      </w:r>
      <w:r w:rsidRPr="0035528D">
        <w:rPr>
          <w:bCs/>
          <w:lang w:val="sr-Latn-ME"/>
        </w:rPr>
        <w:t>2022. godine</w:t>
      </w:r>
    </w:p>
    <w:sectPr w:rsidR="0035528D" w:rsidRPr="0035528D" w:rsidSect="00277642">
      <w:headerReference w:type="default" r:id="rId10"/>
      <w:footerReference w:type="default" r:id="rId11"/>
      <w:pgSz w:w="11910" w:h="16850"/>
      <w:pgMar w:top="1134" w:right="1418" w:bottom="1134" w:left="1418" w:header="0" w:footer="6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B9E" w:rsidRDefault="00886B9E">
      <w:r>
        <w:separator/>
      </w:r>
    </w:p>
  </w:endnote>
  <w:endnote w:type="continuationSeparator" w:id="0">
    <w:p w:rsidR="00886B9E" w:rsidRDefault="00886B9E">
      <w:r>
        <w:continuationSeparator/>
      </w:r>
    </w:p>
  </w:endnote>
  <w:endnote w:type="continuationNotice" w:id="1">
    <w:p w:rsidR="00886B9E" w:rsidRDefault="00886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EE"/>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1C" w:rsidRDefault="008F7B1C" w:rsidP="0081455E">
    <w:pPr>
      <w:pStyle w:val="Footer"/>
      <w:jc w:val="center"/>
      <w:rPr>
        <w:sz w:val="20"/>
        <w:szCs w:val="20"/>
      </w:rPr>
    </w:pPr>
  </w:p>
  <w:p w:rsidR="008F7B1C" w:rsidRPr="0081455E" w:rsidRDefault="008F7B1C" w:rsidP="0081455E">
    <w:pPr>
      <w:pStyle w:val="Footer"/>
      <w:jc w:val="center"/>
      <w:rPr>
        <w:sz w:val="20"/>
        <w:szCs w:val="20"/>
      </w:rPr>
    </w:pPr>
    <w:r w:rsidRPr="0081455E">
      <w:rPr>
        <w:sz w:val="20"/>
        <w:szCs w:val="20"/>
      </w:rPr>
      <w:fldChar w:fldCharType="begin"/>
    </w:r>
    <w:r w:rsidRPr="0081455E">
      <w:rPr>
        <w:sz w:val="20"/>
        <w:szCs w:val="20"/>
      </w:rPr>
      <w:instrText xml:space="preserve"> PAGE </w:instrText>
    </w:r>
    <w:r w:rsidRPr="0081455E">
      <w:rPr>
        <w:sz w:val="20"/>
        <w:szCs w:val="20"/>
      </w:rPr>
      <w:fldChar w:fldCharType="separate"/>
    </w:r>
    <w:r w:rsidR="0035528D">
      <w:rPr>
        <w:noProof/>
        <w:sz w:val="20"/>
        <w:szCs w:val="20"/>
      </w:rPr>
      <w:t>10</w:t>
    </w:r>
    <w:r w:rsidRPr="0081455E">
      <w:rPr>
        <w:sz w:val="20"/>
        <w:szCs w:val="20"/>
      </w:rPr>
      <w:fldChar w:fldCharType="end"/>
    </w:r>
    <w:r w:rsidRPr="0081455E">
      <w:rPr>
        <w:sz w:val="20"/>
        <w:szCs w:val="20"/>
      </w:rPr>
      <w:t xml:space="preserve"> / </w:t>
    </w:r>
    <w:r w:rsidRPr="0081455E">
      <w:rPr>
        <w:sz w:val="20"/>
        <w:szCs w:val="20"/>
      </w:rPr>
      <w:fldChar w:fldCharType="begin"/>
    </w:r>
    <w:r w:rsidRPr="0081455E">
      <w:rPr>
        <w:sz w:val="20"/>
        <w:szCs w:val="20"/>
      </w:rPr>
      <w:instrText xml:space="preserve"> NUMPAGES </w:instrText>
    </w:r>
    <w:r w:rsidRPr="0081455E">
      <w:rPr>
        <w:sz w:val="20"/>
        <w:szCs w:val="20"/>
      </w:rPr>
      <w:fldChar w:fldCharType="separate"/>
    </w:r>
    <w:r w:rsidR="0035528D">
      <w:rPr>
        <w:noProof/>
        <w:sz w:val="20"/>
        <w:szCs w:val="20"/>
      </w:rPr>
      <w:t>11</w:t>
    </w:r>
    <w:r w:rsidRPr="0081455E">
      <w:rPr>
        <w:sz w:val="20"/>
        <w:szCs w:val="20"/>
      </w:rPr>
      <w:fldChar w:fldCharType="end"/>
    </w:r>
  </w:p>
  <w:p w:rsidR="008F7B1C" w:rsidRDefault="008F7B1C">
    <w:pPr>
      <w:pStyle w:val="Footer"/>
    </w:pPr>
  </w:p>
  <w:p w:rsidR="008F7B1C" w:rsidRDefault="008F7B1C">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B9E" w:rsidRDefault="00886B9E">
      <w:r>
        <w:separator/>
      </w:r>
    </w:p>
  </w:footnote>
  <w:footnote w:type="continuationSeparator" w:id="0">
    <w:p w:rsidR="00886B9E" w:rsidRDefault="00886B9E">
      <w:r>
        <w:continuationSeparator/>
      </w:r>
    </w:p>
  </w:footnote>
  <w:footnote w:type="continuationNotice" w:id="1">
    <w:p w:rsidR="00886B9E" w:rsidRDefault="00886B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B1C" w:rsidRDefault="008F7B1C">
    <w:pPr>
      <w:pStyle w:val="Header"/>
    </w:pPr>
  </w:p>
  <w:p w:rsidR="008F7B1C" w:rsidRDefault="008F7B1C">
    <w:pPr>
      <w:pStyle w:val="Header"/>
    </w:pPr>
  </w:p>
  <w:p w:rsidR="008F7B1C" w:rsidRDefault="008F7B1C">
    <w:pPr>
      <w:pStyle w:val="Header"/>
    </w:pPr>
  </w:p>
  <w:p w:rsidR="008F7B1C" w:rsidRDefault="008F7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514"/>
    <w:multiLevelType w:val="hybridMultilevel"/>
    <w:tmpl w:val="E60AD504"/>
    <w:lvl w:ilvl="0" w:tplc="90D6CE8A">
      <w:start w:val="1"/>
      <w:numFmt w:val="decimal"/>
      <w:lvlText w:val="%1."/>
      <w:lvlJc w:val="left"/>
      <w:pPr>
        <w:ind w:left="785" w:hanging="567"/>
      </w:pPr>
      <w:rPr>
        <w:rFonts w:ascii="Times New Roman" w:eastAsia="Times New Roman" w:hAnsi="Times New Roman" w:cs="Times New Roman" w:hint="default"/>
        <w:w w:val="100"/>
        <w:sz w:val="22"/>
        <w:szCs w:val="22"/>
      </w:rPr>
    </w:lvl>
    <w:lvl w:ilvl="1" w:tplc="178814B6">
      <w:numFmt w:val="bullet"/>
      <w:lvlText w:val="•"/>
      <w:lvlJc w:val="left"/>
      <w:pPr>
        <w:ind w:left="1666" w:hanging="567"/>
      </w:pPr>
      <w:rPr>
        <w:rFonts w:hint="default"/>
      </w:rPr>
    </w:lvl>
    <w:lvl w:ilvl="2" w:tplc="FA5066DC">
      <w:numFmt w:val="bullet"/>
      <w:lvlText w:val="•"/>
      <w:lvlJc w:val="left"/>
      <w:pPr>
        <w:ind w:left="2553" w:hanging="567"/>
      </w:pPr>
      <w:rPr>
        <w:rFonts w:hint="default"/>
      </w:rPr>
    </w:lvl>
    <w:lvl w:ilvl="3" w:tplc="5BC8607A">
      <w:numFmt w:val="bullet"/>
      <w:lvlText w:val="•"/>
      <w:lvlJc w:val="left"/>
      <w:pPr>
        <w:ind w:left="3439" w:hanging="567"/>
      </w:pPr>
      <w:rPr>
        <w:rFonts w:hint="default"/>
      </w:rPr>
    </w:lvl>
    <w:lvl w:ilvl="4" w:tplc="911E9D64">
      <w:numFmt w:val="bullet"/>
      <w:lvlText w:val="•"/>
      <w:lvlJc w:val="left"/>
      <w:pPr>
        <w:ind w:left="4326" w:hanging="567"/>
      </w:pPr>
      <w:rPr>
        <w:rFonts w:hint="default"/>
      </w:rPr>
    </w:lvl>
    <w:lvl w:ilvl="5" w:tplc="8B747118">
      <w:numFmt w:val="bullet"/>
      <w:lvlText w:val="•"/>
      <w:lvlJc w:val="left"/>
      <w:pPr>
        <w:ind w:left="5213" w:hanging="567"/>
      </w:pPr>
      <w:rPr>
        <w:rFonts w:hint="default"/>
      </w:rPr>
    </w:lvl>
    <w:lvl w:ilvl="6" w:tplc="132CF406">
      <w:numFmt w:val="bullet"/>
      <w:lvlText w:val="•"/>
      <w:lvlJc w:val="left"/>
      <w:pPr>
        <w:ind w:left="6099" w:hanging="567"/>
      </w:pPr>
      <w:rPr>
        <w:rFonts w:hint="default"/>
      </w:rPr>
    </w:lvl>
    <w:lvl w:ilvl="7" w:tplc="48149BDE">
      <w:numFmt w:val="bullet"/>
      <w:lvlText w:val="•"/>
      <w:lvlJc w:val="left"/>
      <w:pPr>
        <w:ind w:left="6986" w:hanging="567"/>
      </w:pPr>
      <w:rPr>
        <w:rFonts w:hint="default"/>
      </w:rPr>
    </w:lvl>
    <w:lvl w:ilvl="8" w:tplc="13225BC6">
      <w:numFmt w:val="bullet"/>
      <w:lvlText w:val="•"/>
      <w:lvlJc w:val="left"/>
      <w:pPr>
        <w:ind w:left="7873" w:hanging="567"/>
      </w:pPr>
      <w:rPr>
        <w:rFonts w:hint="default"/>
      </w:rPr>
    </w:lvl>
  </w:abstractNum>
  <w:abstractNum w:abstractNumId="1" w15:restartNumberingAfterBreak="0">
    <w:nsid w:val="0F991AFB"/>
    <w:multiLevelType w:val="hybridMultilevel"/>
    <w:tmpl w:val="AE4E8DEE"/>
    <w:lvl w:ilvl="0" w:tplc="89EA6FF2">
      <w:numFmt w:val="bullet"/>
      <w:lvlText w:val="-"/>
      <w:lvlJc w:val="left"/>
      <w:pPr>
        <w:ind w:left="785" w:hanging="740"/>
      </w:pPr>
      <w:rPr>
        <w:rFonts w:ascii="Courier New" w:eastAsia="Courier New" w:hAnsi="Courier New" w:cs="Courier New" w:hint="default"/>
        <w:w w:val="100"/>
        <w:sz w:val="22"/>
        <w:szCs w:val="22"/>
      </w:rPr>
    </w:lvl>
    <w:lvl w:ilvl="1" w:tplc="2954DB32">
      <w:numFmt w:val="bullet"/>
      <w:lvlText w:val="•"/>
      <w:lvlJc w:val="left"/>
      <w:pPr>
        <w:ind w:left="1666" w:hanging="740"/>
      </w:pPr>
      <w:rPr>
        <w:rFonts w:hint="default"/>
      </w:rPr>
    </w:lvl>
    <w:lvl w:ilvl="2" w:tplc="B1DE449E">
      <w:numFmt w:val="bullet"/>
      <w:lvlText w:val="•"/>
      <w:lvlJc w:val="left"/>
      <w:pPr>
        <w:ind w:left="2553" w:hanging="740"/>
      </w:pPr>
      <w:rPr>
        <w:rFonts w:hint="default"/>
      </w:rPr>
    </w:lvl>
    <w:lvl w:ilvl="3" w:tplc="D20A8320">
      <w:numFmt w:val="bullet"/>
      <w:lvlText w:val="•"/>
      <w:lvlJc w:val="left"/>
      <w:pPr>
        <w:ind w:left="3439" w:hanging="740"/>
      </w:pPr>
      <w:rPr>
        <w:rFonts w:hint="default"/>
      </w:rPr>
    </w:lvl>
    <w:lvl w:ilvl="4" w:tplc="041268D4">
      <w:numFmt w:val="bullet"/>
      <w:lvlText w:val="•"/>
      <w:lvlJc w:val="left"/>
      <w:pPr>
        <w:ind w:left="4326" w:hanging="740"/>
      </w:pPr>
      <w:rPr>
        <w:rFonts w:hint="default"/>
      </w:rPr>
    </w:lvl>
    <w:lvl w:ilvl="5" w:tplc="EC621EE4">
      <w:numFmt w:val="bullet"/>
      <w:lvlText w:val="•"/>
      <w:lvlJc w:val="left"/>
      <w:pPr>
        <w:ind w:left="5213" w:hanging="740"/>
      </w:pPr>
      <w:rPr>
        <w:rFonts w:hint="default"/>
      </w:rPr>
    </w:lvl>
    <w:lvl w:ilvl="6" w:tplc="5E46089E">
      <w:numFmt w:val="bullet"/>
      <w:lvlText w:val="•"/>
      <w:lvlJc w:val="left"/>
      <w:pPr>
        <w:ind w:left="6099" w:hanging="740"/>
      </w:pPr>
      <w:rPr>
        <w:rFonts w:hint="default"/>
      </w:rPr>
    </w:lvl>
    <w:lvl w:ilvl="7" w:tplc="E0F234AA">
      <w:numFmt w:val="bullet"/>
      <w:lvlText w:val="•"/>
      <w:lvlJc w:val="left"/>
      <w:pPr>
        <w:ind w:left="6986" w:hanging="740"/>
      </w:pPr>
      <w:rPr>
        <w:rFonts w:hint="default"/>
      </w:rPr>
    </w:lvl>
    <w:lvl w:ilvl="8" w:tplc="B7A4B49E">
      <w:numFmt w:val="bullet"/>
      <w:lvlText w:val="•"/>
      <w:lvlJc w:val="left"/>
      <w:pPr>
        <w:ind w:left="7873" w:hanging="740"/>
      </w:pPr>
      <w:rPr>
        <w:rFonts w:hint="default"/>
      </w:rPr>
    </w:lvl>
  </w:abstractNum>
  <w:abstractNum w:abstractNumId="2" w15:restartNumberingAfterBreak="0">
    <w:nsid w:val="1FCC1E6A"/>
    <w:multiLevelType w:val="hybridMultilevel"/>
    <w:tmpl w:val="F654BD8A"/>
    <w:lvl w:ilvl="0" w:tplc="E3000C50">
      <w:numFmt w:val="bullet"/>
      <w:lvlText w:val="-"/>
      <w:lvlJc w:val="left"/>
      <w:pPr>
        <w:ind w:left="785" w:hanging="567"/>
      </w:pPr>
      <w:rPr>
        <w:rFonts w:ascii="Times New Roman" w:eastAsia="Times New Roman" w:hAnsi="Times New Roman" w:cs="Times New Roman" w:hint="default"/>
        <w:w w:val="100"/>
        <w:sz w:val="22"/>
        <w:szCs w:val="22"/>
      </w:rPr>
    </w:lvl>
    <w:lvl w:ilvl="1" w:tplc="DB723F96">
      <w:numFmt w:val="bullet"/>
      <w:lvlText w:val="•"/>
      <w:lvlJc w:val="left"/>
      <w:pPr>
        <w:ind w:left="1666" w:hanging="567"/>
      </w:pPr>
      <w:rPr>
        <w:rFonts w:hint="default"/>
      </w:rPr>
    </w:lvl>
    <w:lvl w:ilvl="2" w:tplc="CAE64C7C">
      <w:numFmt w:val="bullet"/>
      <w:lvlText w:val="•"/>
      <w:lvlJc w:val="left"/>
      <w:pPr>
        <w:ind w:left="2553" w:hanging="567"/>
      </w:pPr>
      <w:rPr>
        <w:rFonts w:hint="default"/>
      </w:rPr>
    </w:lvl>
    <w:lvl w:ilvl="3" w:tplc="87A440A4">
      <w:numFmt w:val="bullet"/>
      <w:lvlText w:val="•"/>
      <w:lvlJc w:val="left"/>
      <w:pPr>
        <w:ind w:left="3439" w:hanging="567"/>
      </w:pPr>
      <w:rPr>
        <w:rFonts w:hint="default"/>
      </w:rPr>
    </w:lvl>
    <w:lvl w:ilvl="4" w:tplc="57E6A4A2">
      <w:numFmt w:val="bullet"/>
      <w:lvlText w:val="•"/>
      <w:lvlJc w:val="left"/>
      <w:pPr>
        <w:ind w:left="4326" w:hanging="567"/>
      </w:pPr>
      <w:rPr>
        <w:rFonts w:hint="default"/>
      </w:rPr>
    </w:lvl>
    <w:lvl w:ilvl="5" w:tplc="545CAFE8">
      <w:numFmt w:val="bullet"/>
      <w:lvlText w:val="•"/>
      <w:lvlJc w:val="left"/>
      <w:pPr>
        <w:ind w:left="5213" w:hanging="567"/>
      </w:pPr>
      <w:rPr>
        <w:rFonts w:hint="default"/>
      </w:rPr>
    </w:lvl>
    <w:lvl w:ilvl="6" w:tplc="FEAC93E6">
      <w:numFmt w:val="bullet"/>
      <w:lvlText w:val="•"/>
      <w:lvlJc w:val="left"/>
      <w:pPr>
        <w:ind w:left="6099" w:hanging="567"/>
      </w:pPr>
      <w:rPr>
        <w:rFonts w:hint="default"/>
      </w:rPr>
    </w:lvl>
    <w:lvl w:ilvl="7" w:tplc="44A6F0BA">
      <w:numFmt w:val="bullet"/>
      <w:lvlText w:val="•"/>
      <w:lvlJc w:val="left"/>
      <w:pPr>
        <w:ind w:left="6986" w:hanging="567"/>
      </w:pPr>
      <w:rPr>
        <w:rFonts w:hint="default"/>
      </w:rPr>
    </w:lvl>
    <w:lvl w:ilvl="8" w:tplc="8F701DA0">
      <w:numFmt w:val="bullet"/>
      <w:lvlText w:val="•"/>
      <w:lvlJc w:val="left"/>
      <w:pPr>
        <w:ind w:left="7873" w:hanging="567"/>
      </w:pPr>
      <w:rPr>
        <w:rFonts w:hint="default"/>
      </w:rPr>
    </w:lvl>
  </w:abstractNum>
  <w:abstractNum w:abstractNumId="3" w15:restartNumberingAfterBreak="0">
    <w:nsid w:val="3BE33FF0"/>
    <w:multiLevelType w:val="hybridMultilevel"/>
    <w:tmpl w:val="529A723A"/>
    <w:lvl w:ilvl="0" w:tplc="B52C015E">
      <w:start w:val="1"/>
      <w:numFmt w:val="decimal"/>
      <w:lvlText w:val="%1."/>
      <w:lvlJc w:val="left"/>
      <w:pPr>
        <w:ind w:left="785" w:hanging="567"/>
      </w:pPr>
      <w:rPr>
        <w:rFonts w:ascii="Times New Roman" w:eastAsia="Times New Roman" w:hAnsi="Times New Roman" w:cs="Times New Roman" w:hint="default"/>
        <w:w w:val="100"/>
        <w:sz w:val="22"/>
        <w:szCs w:val="22"/>
      </w:rPr>
    </w:lvl>
    <w:lvl w:ilvl="1" w:tplc="F05A74D8">
      <w:numFmt w:val="bullet"/>
      <w:lvlText w:val="•"/>
      <w:lvlJc w:val="left"/>
      <w:pPr>
        <w:ind w:left="1666" w:hanging="567"/>
      </w:pPr>
      <w:rPr>
        <w:rFonts w:hint="default"/>
      </w:rPr>
    </w:lvl>
    <w:lvl w:ilvl="2" w:tplc="256E6C2A">
      <w:numFmt w:val="bullet"/>
      <w:lvlText w:val="•"/>
      <w:lvlJc w:val="left"/>
      <w:pPr>
        <w:ind w:left="2553" w:hanging="567"/>
      </w:pPr>
      <w:rPr>
        <w:rFonts w:hint="default"/>
      </w:rPr>
    </w:lvl>
    <w:lvl w:ilvl="3" w:tplc="F306E146">
      <w:numFmt w:val="bullet"/>
      <w:lvlText w:val="•"/>
      <w:lvlJc w:val="left"/>
      <w:pPr>
        <w:ind w:left="3439" w:hanging="567"/>
      </w:pPr>
      <w:rPr>
        <w:rFonts w:hint="default"/>
      </w:rPr>
    </w:lvl>
    <w:lvl w:ilvl="4" w:tplc="DD36F040">
      <w:numFmt w:val="bullet"/>
      <w:lvlText w:val="•"/>
      <w:lvlJc w:val="left"/>
      <w:pPr>
        <w:ind w:left="4326" w:hanging="567"/>
      </w:pPr>
      <w:rPr>
        <w:rFonts w:hint="default"/>
      </w:rPr>
    </w:lvl>
    <w:lvl w:ilvl="5" w:tplc="5F689BAC">
      <w:numFmt w:val="bullet"/>
      <w:lvlText w:val="•"/>
      <w:lvlJc w:val="left"/>
      <w:pPr>
        <w:ind w:left="5213" w:hanging="567"/>
      </w:pPr>
      <w:rPr>
        <w:rFonts w:hint="default"/>
      </w:rPr>
    </w:lvl>
    <w:lvl w:ilvl="6" w:tplc="920C43AE">
      <w:numFmt w:val="bullet"/>
      <w:lvlText w:val="•"/>
      <w:lvlJc w:val="left"/>
      <w:pPr>
        <w:ind w:left="6099" w:hanging="567"/>
      </w:pPr>
      <w:rPr>
        <w:rFonts w:hint="default"/>
      </w:rPr>
    </w:lvl>
    <w:lvl w:ilvl="7" w:tplc="D960CD6C">
      <w:numFmt w:val="bullet"/>
      <w:lvlText w:val="•"/>
      <w:lvlJc w:val="left"/>
      <w:pPr>
        <w:ind w:left="6986" w:hanging="567"/>
      </w:pPr>
      <w:rPr>
        <w:rFonts w:hint="default"/>
      </w:rPr>
    </w:lvl>
    <w:lvl w:ilvl="8" w:tplc="5E84838E">
      <w:numFmt w:val="bullet"/>
      <w:lvlText w:val="•"/>
      <w:lvlJc w:val="left"/>
      <w:pPr>
        <w:ind w:left="7873" w:hanging="567"/>
      </w:pPr>
      <w:rPr>
        <w:rFont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0049D0"/>
    <w:multiLevelType w:val="hybridMultilevel"/>
    <w:tmpl w:val="0CAC75F2"/>
    <w:lvl w:ilvl="0" w:tplc="39861620">
      <w:numFmt w:val="bullet"/>
      <w:lvlText w:val="-"/>
      <w:lvlJc w:val="left"/>
      <w:pPr>
        <w:ind w:left="938" w:hanging="720"/>
      </w:pPr>
      <w:rPr>
        <w:rFonts w:ascii="Courier New" w:eastAsia="Courier New" w:hAnsi="Courier New" w:cs="Courier New" w:hint="default"/>
        <w:w w:val="100"/>
        <w:sz w:val="22"/>
        <w:szCs w:val="22"/>
      </w:rPr>
    </w:lvl>
    <w:lvl w:ilvl="1" w:tplc="466E5D7C">
      <w:numFmt w:val="bullet"/>
      <w:lvlText w:val="•"/>
      <w:lvlJc w:val="left"/>
      <w:pPr>
        <w:ind w:left="1810" w:hanging="720"/>
      </w:pPr>
      <w:rPr>
        <w:rFonts w:hint="default"/>
      </w:rPr>
    </w:lvl>
    <w:lvl w:ilvl="2" w:tplc="F2009AF2">
      <w:numFmt w:val="bullet"/>
      <w:lvlText w:val="•"/>
      <w:lvlJc w:val="left"/>
      <w:pPr>
        <w:ind w:left="2681" w:hanging="720"/>
      </w:pPr>
      <w:rPr>
        <w:rFonts w:hint="default"/>
      </w:rPr>
    </w:lvl>
    <w:lvl w:ilvl="3" w:tplc="DC9A8EAE">
      <w:numFmt w:val="bullet"/>
      <w:lvlText w:val="•"/>
      <w:lvlJc w:val="left"/>
      <w:pPr>
        <w:ind w:left="3551" w:hanging="720"/>
      </w:pPr>
      <w:rPr>
        <w:rFonts w:hint="default"/>
      </w:rPr>
    </w:lvl>
    <w:lvl w:ilvl="4" w:tplc="1CB83D12">
      <w:numFmt w:val="bullet"/>
      <w:lvlText w:val="•"/>
      <w:lvlJc w:val="left"/>
      <w:pPr>
        <w:ind w:left="4422" w:hanging="720"/>
      </w:pPr>
      <w:rPr>
        <w:rFonts w:hint="default"/>
      </w:rPr>
    </w:lvl>
    <w:lvl w:ilvl="5" w:tplc="44D297EA">
      <w:numFmt w:val="bullet"/>
      <w:lvlText w:val="•"/>
      <w:lvlJc w:val="left"/>
      <w:pPr>
        <w:ind w:left="5293" w:hanging="720"/>
      </w:pPr>
      <w:rPr>
        <w:rFonts w:hint="default"/>
      </w:rPr>
    </w:lvl>
    <w:lvl w:ilvl="6" w:tplc="7B5C0986">
      <w:numFmt w:val="bullet"/>
      <w:lvlText w:val="•"/>
      <w:lvlJc w:val="left"/>
      <w:pPr>
        <w:ind w:left="6163" w:hanging="720"/>
      </w:pPr>
      <w:rPr>
        <w:rFonts w:hint="default"/>
      </w:rPr>
    </w:lvl>
    <w:lvl w:ilvl="7" w:tplc="A66E401C">
      <w:numFmt w:val="bullet"/>
      <w:lvlText w:val="•"/>
      <w:lvlJc w:val="left"/>
      <w:pPr>
        <w:ind w:left="7034" w:hanging="720"/>
      </w:pPr>
      <w:rPr>
        <w:rFonts w:hint="default"/>
      </w:rPr>
    </w:lvl>
    <w:lvl w:ilvl="8" w:tplc="E2B26D12">
      <w:numFmt w:val="bullet"/>
      <w:lvlText w:val="•"/>
      <w:lvlJc w:val="left"/>
      <w:pPr>
        <w:ind w:left="7905" w:hanging="720"/>
      </w:pPr>
      <w:rPr>
        <w:rFonts w:hint="default"/>
      </w:rPr>
    </w:lvl>
  </w:abstractNum>
  <w:abstractNum w:abstractNumId="6" w15:restartNumberingAfterBreak="0">
    <w:nsid w:val="5EAC2EE3"/>
    <w:multiLevelType w:val="hybridMultilevel"/>
    <w:tmpl w:val="057A8AFA"/>
    <w:lvl w:ilvl="0" w:tplc="3C445A60">
      <w:start w:val="1"/>
      <w:numFmt w:val="decimal"/>
      <w:lvlText w:val="%1."/>
      <w:lvlJc w:val="left"/>
      <w:pPr>
        <w:ind w:left="218" w:hanging="567"/>
      </w:pPr>
      <w:rPr>
        <w:rFonts w:ascii="Times New Roman" w:eastAsia="Times New Roman" w:hAnsi="Times New Roman" w:cs="Times New Roman" w:hint="default"/>
        <w:b/>
        <w:bCs/>
        <w:w w:val="100"/>
        <w:sz w:val="22"/>
        <w:szCs w:val="22"/>
      </w:rPr>
    </w:lvl>
    <w:lvl w:ilvl="1" w:tplc="73CCB7BC">
      <w:numFmt w:val="bullet"/>
      <w:lvlText w:val="•"/>
      <w:lvlJc w:val="left"/>
      <w:pPr>
        <w:ind w:left="1162" w:hanging="567"/>
      </w:pPr>
      <w:rPr>
        <w:rFonts w:hint="default"/>
      </w:rPr>
    </w:lvl>
    <w:lvl w:ilvl="2" w:tplc="2A2A0844">
      <w:numFmt w:val="bullet"/>
      <w:lvlText w:val="•"/>
      <w:lvlJc w:val="left"/>
      <w:pPr>
        <w:ind w:left="2105" w:hanging="567"/>
      </w:pPr>
      <w:rPr>
        <w:rFonts w:hint="default"/>
      </w:rPr>
    </w:lvl>
    <w:lvl w:ilvl="3" w:tplc="8CC4DFCA">
      <w:numFmt w:val="bullet"/>
      <w:lvlText w:val="•"/>
      <w:lvlJc w:val="left"/>
      <w:pPr>
        <w:ind w:left="3047" w:hanging="567"/>
      </w:pPr>
      <w:rPr>
        <w:rFonts w:hint="default"/>
      </w:rPr>
    </w:lvl>
    <w:lvl w:ilvl="4" w:tplc="E89E9AB2">
      <w:numFmt w:val="bullet"/>
      <w:lvlText w:val="•"/>
      <w:lvlJc w:val="left"/>
      <w:pPr>
        <w:ind w:left="3990" w:hanging="567"/>
      </w:pPr>
      <w:rPr>
        <w:rFonts w:hint="default"/>
      </w:rPr>
    </w:lvl>
    <w:lvl w:ilvl="5" w:tplc="3B90962E">
      <w:numFmt w:val="bullet"/>
      <w:lvlText w:val="•"/>
      <w:lvlJc w:val="left"/>
      <w:pPr>
        <w:ind w:left="4933" w:hanging="567"/>
      </w:pPr>
      <w:rPr>
        <w:rFonts w:hint="default"/>
      </w:rPr>
    </w:lvl>
    <w:lvl w:ilvl="6" w:tplc="02A61494">
      <w:numFmt w:val="bullet"/>
      <w:lvlText w:val="•"/>
      <w:lvlJc w:val="left"/>
      <w:pPr>
        <w:ind w:left="5875" w:hanging="567"/>
      </w:pPr>
      <w:rPr>
        <w:rFonts w:hint="default"/>
      </w:rPr>
    </w:lvl>
    <w:lvl w:ilvl="7" w:tplc="BCA21490">
      <w:numFmt w:val="bullet"/>
      <w:lvlText w:val="•"/>
      <w:lvlJc w:val="left"/>
      <w:pPr>
        <w:ind w:left="6818" w:hanging="567"/>
      </w:pPr>
      <w:rPr>
        <w:rFonts w:hint="default"/>
      </w:rPr>
    </w:lvl>
    <w:lvl w:ilvl="8" w:tplc="22768546">
      <w:numFmt w:val="bullet"/>
      <w:lvlText w:val="•"/>
      <w:lvlJc w:val="left"/>
      <w:pPr>
        <w:ind w:left="7761" w:hanging="567"/>
      </w:pPr>
      <w:rPr>
        <w:rFonts w:hint="default"/>
      </w:rPr>
    </w:lvl>
  </w:abstractNum>
  <w:abstractNum w:abstractNumId="7" w15:restartNumberingAfterBreak="0">
    <w:nsid w:val="6A50595F"/>
    <w:multiLevelType w:val="hybridMultilevel"/>
    <w:tmpl w:val="D0A6EBE6"/>
    <w:lvl w:ilvl="0" w:tplc="79C284F0">
      <w:start w:val="7"/>
      <w:numFmt w:val="decimal"/>
      <w:lvlText w:val="%1."/>
      <w:lvlJc w:val="left"/>
      <w:pPr>
        <w:ind w:left="785" w:hanging="567"/>
      </w:pPr>
      <w:rPr>
        <w:rFonts w:ascii="Times New Roman" w:eastAsia="Times New Roman" w:hAnsi="Times New Roman" w:cs="Times New Roman" w:hint="default"/>
        <w:b/>
        <w:bCs/>
        <w:w w:val="100"/>
        <w:sz w:val="22"/>
        <w:szCs w:val="22"/>
      </w:rPr>
    </w:lvl>
    <w:lvl w:ilvl="1" w:tplc="4FFA7892">
      <w:start w:val="1"/>
      <w:numFmt w:val="upperLetter"/>
      <w:lvlText w:val="%2."/>
      <w:lvlJc w:val="left"/>
      <w:pPr>
        <w:ind w:left="1920" w:hanging="569"/>
      </w:pPr>
      <w:rPr>
        <w:rFonts w:ascii="Times New Roman" w:eastAsia="Times New Roman" w:hAnsi="Times New Roman" w:cs="Times New Roman" w:hint="default"/>
        <w:b/>
        <w:bCs/>
        <w:spacing w:val="-2"/>
        <w:w w:val="100"/>
        <w:sz w:val="22"/>
        <w:szCs w:val="22"/>
      </w:rPr>
    </w:lvl>
    <w:lvl w:ilvl="2" w:tplc="063CA60C">
      <w:numFmt w:val="bullet"/>
      <w:lvlText w:val="•"/>
      <w:lvlJc w:val="left"/>
      <w:pPr>
        <w:ind w:left="2778" w:hanging="569"/>
      </w:pPr>
      <w:rPr>
        <w:rFonts w:hint="default"/>
      </w:rPr>
    </w:lvl>
    <w:lvl w:ilvl="3" w:tplc="A1B2CD54">
      <w:numFmt w:val="bullet"/>
      <w:lvlText w:val="•"/>
      <w:lvlJc w:val="left"/>
      <w:pPr>
        <w:ind w:left="3636" w:hanging="569"/>
      </w:pPr>
      <w:rPr>
        <w:rFonts w:hint="default"/>
      </w:rPr>
    </w:lvl>
    <w:lvl w:ilvl="4" w:tplc="B5E6E9AC">
      <w:numFmt w:val="bullet"/>
      <w:lvlText w:val="•"/>
      <w:lvlJc w:val="left"/>
      <w:pPr>
        <w:ind w:left="4495" w:hanging="569"/>
      </w:pPr>
      <w:rPr>
        <w:rFonts w:hint="default"/>
      </w:rPr>
    </w:lvl>
    <w:lvl w:ilvl="5" w:tplc="2ECEF444">
      <w:numFmt w:val="bullet"/>
      <w:lvlText w:val="•"/>
      <w:lvlJc w:val="left"/>
      <w:pPr>
        <w:ind w:left="5353" w:hanging="569"/>
      </w:pPr>
      <w:rPr>
        <w:rFonts w:hint="default"/>
      </w:rPr>
    </w:lvl>
    <w:lvl w:ilvl="6" w:tplc="71C2A4B6">
      <w:numFmt w:val="bullet"/>
      <w:lvlText w:val="•"/>
      <w:lvlJc w:val="left"/>
      <w:pPr>
        <w:ind w:left="6212" w:hanging="569"/>
      </w:pPr>
      <w:rPr>
        <w:rFonts w:hint="default"/>
      </w:rPr>
    </w:lvl>
    <w:lvl w:ilvl="7" w:tplc="8676FA3E">
      <w:numFmt w:val="bullet"/>
      <w:lvlText w:val="•"/>
      <w:lvlJc w:val="left"/>
      <w:pPr>
        <w:ind w:left="7070" w:hanging="569"/>
      </w:pPr>
      <w:rPr>
        <w:rFonts w:hint="default"/>
      </w:rPr>
    </w:lvl>
    <w:lvl w:ilvl="8" w:tplc="EA2C1E76">
      <w:numFmt w:val="bullet"/>
      <w:lvlText w:val="•"/>
      <w:lvlJc w:val="left"/>
      <w:pPr>
        <w:ind w:left="7929" w:hanging="569"/>
      </w:pPr>
      <w:rPr>
        <w:rFonts w:hint="default"/>
      </w:rPr>
    </w:lvl>
  </w:abstractNum>
  <w:abstractNum w:abstractNumId="8" w15:restartNumberingAfterBreak="0">
    <w:nsid w:val="6AC302B9"/>
    <w:multiLevelType w:val="multilevel"/>
    <w:tmpl w:val="06322516"/>
    <w:lvl w:ilvl="0">
      <w:start w:val="1"/>
      <w:numFmt w:val="decimal"/>
      <w:lvlText w:val="%1."/>
      <w:lvlJc w:val="left"/>
      <w:pPr>
        <w:ind w:left="785" w:hanging="567"/>
      </w:pPr>
      <w:rPr>
        <w:rFonts w:ascii="Times New Roman" w:eastAsia="Times New Roman" w:hAnsi="Times New Roman" w:cs="Times New Roman" w:hint="default"/>
        <w:b/>
        <w:bCs/>
        <w:w w:val="100"/>
        <w:sz w:val="22"/>
        <w:szCs w:val="22"/>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rPr>
    </w:lvl>
    <w:lvl w:ilvl="2">
      <w:numFmt w:val="bullet"/>
      <w:lvlText w:val="•"/>
      <w:lvlJc w:val="left"/>
      <w:pPr>
        <w:ind w:left="2553" w:hanging="567"/>
      </w:pPr>
      <w:rPr>
        <w:rFonts w:hint="default"/>
      </w:rPr>
    </w:lvl>
    <w:lvl w:ilvl="3">
      <w:numFmt w:val="bullet"/>
      <w:lvlText w:val="•"/>
      <w:lvlJc w:val="left"/>
      <w:pPr>
        <w:ind w:left="3439" w:hanging="567"/>
      </w:pPr>
      <w:rPr>
        <w:rFonts w:hint="default"/>
      </w:rPr>
    </w:lvl>
    <w:lvl w:ilvl="4">
      <w:numFmt w:val="bullet"/>
      <w:lvlText w:val="•"/>
      <w:lvlJc w:val="left"/>
      <w:pPr>
        <w:ind w:left="4326" w:hanging="567"/>
      </w:pPr>
      <w:rPr>
        <w:rFonts w:hint="default"/>
      </w:rPr>
    </w:lvl>
    <w:lvl w:ilvl="5">
      <w:numFmt w:val="bullet"/>
      <w:lvlText w:val="•"/>
      <w:lvlJc w:val="left"/>
      <w:pPr>
        <w:ind w:left="5213" w:hanging="567"/>
      </w:pPr>
      <w:rPr>
        <w:rFonts w:hint="default"/>
      </w:rPr>
    </w:lvl>
    <w:lvl w:ilvl="6">
      <w:numFmt w:val="bullet"/>
      <w:lvlText w:val="•"/>
      <w:lvlJc w:val="left"/>
      <w:pPr>
        <w:ind w:left="6099" w:hanging="567"/>
      </w:pPr>
      <w:rPr>
        <w:rFonts w:hint="default"/>
      </w:rPr>
    </w:lvl>
    <w:lvl w:ilvl="7">
      <w:numFmt w:val="bullet"/>
      <w:lvlText w:val="•"/>
      <w:lvlJc w:val="left"/>
      <w:pPr>
        <w:ind w:left="6986" w:hanging="567"/>
      </w:pPr>
      <w:rPr>
        <w:rFonts w:hint="default"/>
      </w:rPr>
    </w:lvl>
    <w:lvl w:ilvl="8">
      <w:numFmt w:val="bullet"/>
      <w:lvlText w:val="•"/>
      <w:lvlJc w:val="left"/>
      <w:pPr>
        <w:ind w:left="7873" w:hanging="567"/>
      </w:pPr>
      <w:rPr>
        <w:rFonts w:hint="default"/>
      </w:rPr>
    </w:lvl>
  </w:abstractNum>
  <w:abstractNum w:abstractNumId="9" w15:restartNumberingAfterBreak="0">
    <w:nsid w:val="70E96B01"/>
    <w:multiLevelType w:val="hybridMultilevel"/>
    <w:tmpl w:val="CC460E4C"/>
    <w:lvl w:ilvl="0" w:tplc="CF382DEC">
      <w:numFmt w:val="bullet"/>
      <w:lvlText w:val=""/>
      <w:lvlJc w:val="left"/>
      <w:pPr>
        <w:ind w:left="785" w:hanging="567"/>
      </w:pPr>
      <w:rPr>
        <w:rFonts w:ascii="Symbol" w:eastAsia="Symbol" w:hAnsi="Symbol" w:cs="Symbol" w:hint="default"/>
        <w:w w:val="100"/>
        <w:sz w:val="22"/>
        <w:szCs w:val="22"/>
      </w:rPr>
    </w:lvl>
    <w:lvl w:ilvl="1" w:tplc="43662A7E">
      <w:numFmt w:val="bullet"/>
      <w:lvlText w:val="•"/>
      <w:lvlJc w:val="left"/>
      <w:pPr>
        <w:ind w:left="1666" w:hanging="567"/>
      </w:pPr>
      <w:rPr>
        <w:rFonts w:hint="default"/>
      </w:rPr>
    </w:lvl>
    <w:lvl w:ilvl="2" w:tplc="AB625DAE">
      <w:numFmt w:val="bullet"/>
      <w:lvlText w:val="•"/>
      <w:lvlJc w:val="left"/>
      <w:pPr>
        <w:ind w:left="2553" w:hanging="567"/>
      </w:pPr>
      <w:rPr>
        <w:rFonts w:hint="default"/>
      </w:rPr>
    </w:lvl>
    <w:lvl w:ilvl="3" w:tplc="3314F70E">
      <w:numFmt w:val="bullet"/>
      <w:lvlText w:val="•"/>
      <w:lvlJc w:val="left"/>
      <w:pPr>
        <w:ind w:left="3439" w:hanging="567"/>
      </w:pPr>
      <w:rPr>
        <w:rFonts w:hint="default"/>
      </w:rPr>
    </w:lvl>
    <w:lvl w:ilvl="4" w:tplc="713C704C">
      <w:numFmt w:val="bullet"/>
      <w:lvlText w:val="•"/>
      <w:lvlJc w:val="left"/>
      <w:pPr>
        <w:ind w:left="4326" w:hanging="567"/>
      </w:pPr>
      <w:rPr>
        <w:rFonts w:hint="default"/>
      </w:rPr>
    </w:lvl>
    <w:lvl w:ilvl="5" w:tplc="ACF83D58">
      <w:numFmt w:val="bullet"/>
      <w:lvlText w:val="•"/>
      <w:lvlJc w:val="left"/>
      <w:pPr>
        <w:ind w:left="5213" w:hanging="567"/>
      </w:pPr>
      <w:rPr>
        <w:rFonts w:hint="default"/>
      </w:rPr>
    </w:lvl>
    <w:lvl w:ilvl="6" w:tplc="CB0C489E">
      <w:numFmt w:val="bullet"/>
      <w:lvlText w:val="•"/>
      <w:lvlJc w:val="left"/>
      <w:pPr>
        <w:ind w:left="6099" w:hanging="567"/>
      </w:pPr>
      <w:rPr>
        <w:rFonts w:hint="default"/>
      </w:rPr>
    </w:lvl>
    <w:lvl w:ilvl="7" w:tplc="56C8C8D6">
      <w:numFmt w:val="bullet"/>
      <w:lvlText w:val="•"/>
      <w:lvlJc w:val="left"/>
      <w:pPr>
        <w:ind w:left="6986" w:hanging="567"/>
      </w:pPr>
      <w:rPr>
        <w:rFonts w:hint="default"/>
      </w:rPr>
    </w:lvl>
    <w:lvl w:ilvl="8" w:tplc="610A5186">
      <w:numFmt w:val="bullet"/>
      <w:lvlText w:val="•"/>
      <w:lvlJc w:val="left"/>
      <w:pPr>
        <w:ind w:left="7873" w:hanging="567"/>
      </w:pPr>
      <w:rPr>
        <w:rFonts w:hint="default"/>
      </w:rPr>
    </w:lvl>
  </w:abstractNum>
  <w:abstractNum w:abstractNumId="10" w15:restartNumberingAfterBreak="0">
    <w:nsid w:val="739567CE"/>
    <w:multiLevelType w:val="hybridMultilevel"/>
    <w:tmpl w:val="2AAA3FAC"/>
    <w:lvl w:ilvl="0" w:tplc="0B32F3F6">
      <w:start w:val="1"/>
      <w:numFmt w:val="decimal"/>
      <w:lvlText w:val="%1."/>
      <w:lvlJc w:val="left"/>
      <w:pPr>
        <w:ind w:left="785" w:hanging="567"/>
      </w:pPr>
      <w:rPr>
        <w:rFonts w:ascii="Times New Roman" w:eastAsia="Times New Roman" w:hAnsi="Times New Roman" w:cs="Times New Roman" w:hint="default"/>
        <w:w w:val="100"/>
        <w:sz w:val="22"/>
        <w:szCs w:val="22"/>
      </w:rPr>
    </w:lvl>
    <w:lvl w:ilvl="1" w:tplc="EC588120">
      <w:numFmt w:val="bullet"/>
      <w:lvlText w:val="•"/>
      <w:lvlJc w:val="left"/>
      <w:pPr>
        <w:ind w:left="1666" w:hanging="567"/>
      </w:pPr>
      <w:rPr>
        <w:rFonts w:hint="default"/>
      </w:rPr>
    </w:lvl>
    <w:lvl w:ilvl="2" w:tplc="13AE68D8">
      <w:numFmt w:val="bullet"/>
      <w:lvlText w:val="•"/>
      <w:lvlJc w:val="left"/>
      <w:pPr>
        <w:ind w:left="2553" w:hanging="567"/>
      </w:pPr>
      <w:rPr>
        <w:rFonts w:hint="default"/>
      </w:rPr>
    </w:lvl>
    <w:lvl w:ilvl="3" w:tplc="865E469E">
      <w:numFmt w:val="bullet"/>
      <w:lvlText w:val="•"/>
      <w:lvlJc w:val="left"/>
      <w:pPr>
        <w:ind w:left="3439" w:hanging="567"/>
      </w:pPr>
      <w:rPr>
        <w:rFonts w:hint="default"/>
      </w:rPr>
    </w:lvl>
    <w:lvl w:ilvl="4" w:tplc="7D386EDA">
      <w:numFmt w:val="bullet"/>
      <w:lvlText w:val="•"/>
      <w:lvlJc w:val="left"/>
      <w:pPr>
        <w:ind w:left="4326" w:hanging="567"/>
      </w:pPr>
      <w:rPr>
        <w:rFonts w:hint="default"/>
      </w:rPr>
    </w:lvl>
    <w:lvl w:ilvl="5" w:tplc="261201FC">
      <w:numFmt w:val="bullet"/>
      <w:lvlText w:val="•"/>
      <w:lvlJc w:val="left"/>
      <w:pPr>
        <w:ind w:left="5213" w:hanging="567"/>
      </w:pPr>
      <w:rPr>
        <w:rFonts w:hint="default"/>
      </w:rPr>
    </w:lvl>
    <w:lvl w:ilvl="6" w:tplc="A0126F3A">
      <w:numFmt w:val="bullet"/>
      <w:lvlText w:val="•"/>
      <w:lvlJc w:val="left"/>
      <w:pPr>
        <w:ind w:left="6099" w:hanging="567"/>
      </w:pPr>
      <w:rPr>
        <w:rFonts w:hint="default"/>
      </w:rPr>
    </w:lvl>
    <w:lvl w:ilvl="7" w:tplc="A5A8930E">
      <w:numFmt w:val="bullet"/>
      <w:lvlText w:val="•"/>
      <w:lvlJc w:val="left"/>
      <w:pPr>
        <w:ind w:left="6986" w:hanging="567"/>
      </w:pPr>
      <w:rPr>
        <w:rFonts w:hint="default"/>
      </w:rPr>
    </w:lvl>
    <w:lvl w:ilvl="8" w:tplc="E296267A">
      <w:numFmt w:val="bullet"/>
      <w:lvlText w:val="•"/>
      <w:lvlJc w:val="left"/>
      <w:pPr>
        <w:ind w:left="7873" w:hanging="567"/>
      </w:pPr>
      <w:rPr>
        <w:rFonts w:hint="default"/>
      </w:rPr>
    </w:lvl>
  </w:abstractNum>
  <w:abstractNum w:abstractNumId="11" w15:restartNumberingAfterBreak="0">
    <w:nsid w:val="7EC50E9A"/>
    <w:multiLevelType w:val="hybridMultilevel"/>
    <w:tmpl w:val="B2645C42"/>
    <w:lvl w:ilvl="0" w:tplc="A21CBEB0">
      <w:start w:val="1"/>
      <w:numFmt w:val="upperLetter"/>
      <w:lvlText w:val="%1."/>
      <w:lvlJc w:val="left"/>
      <w:pPr>
        <w:ind w:left="785" w:hanging="567"/>
      </w:pPr>
      <w:rPr>
        <w:rFonts w:ascii="Times New Roman" w:eastAsia="Times New Roman" w:hAnsi="Times New Roman" w:cs="Times New Roman" w:hint="default"/>
        <w:b/>
        <w:bCs/>
        <w:spacing w:val="-2"/>
        <w:w w:val="100"/>
        <w:sz w:val="22"/>
        <w:szCs w:val="22"/>
      </w:rPr>
    </w:lvl>
    <w:lvl w:ilvl="1" w:tplc="0ABAF2EC">
      <w:start w:val="1"/>
      <w:numFmt w:val="upperLetter"/>
      <w:lvlText w:val="%2."/>
      <w:lvlJc w:val="left"/>
      <w:pPr>
        <w:ind w:left="4083" w:hanging="269"/>
        <w:jc w:val="right"/>
      </w:pPr>
      <w:rPr>
        <w:rFonts w:ascii="Times New Roman" w:eastAsia="Times New Roman" w:hAnsi="Times New Roman" w:cs="Times New Roman" w:hint="default"/>
        <w:b/>
        <w:bCs/>
        <w:spacing w:val="-2"/>
        <w:w w:val="100"/>
        <w:sz w:val="22"/>
        <w:szCs w:val="22"/>
      </w:rPr>
    </w:lvl>
    <w:lvl w:ilvl="2" w:tplc="FABE05CE">
      <w:numFmt w:val="bullet"/>
      <w:lvlText w:val="•"/>
      <w:lvlJc w:val="left"/>
      <w:pPr>
        <w:ind w:left="4698" w:hanging="269"/>
      </w:pPr>
      <w:rPr>
        <w:rFonts w:hint="default"/>
      </w:rPr>
    </w:lvl>
    <w:lvl w:ilvl="3" w:tplc="05CCD7F4">
      <w:numFmt w:val="bullet"/>
      <w:lvlText w:val="•"/>
      <w:lvlJc w:val="left"/>
      <w:pPr>
        <w:ind w:left="5316" w:hanging="269"/>
      </w:pPr>
      <w:rPr>
        <w:rFonts w:hint="default"/>
      </w:rPr>
    </w:lvl>
    <w:lvl w:ilvl="4" w:tplc="5BE85EA0">
      <w:numFmt w:val="bullet"/>
      <w:lvlText w:val="•"/>
      <w:lvlJc w:val="left"/>
      <w:pPr>
        <w:ind w:left="5935" w:hanging="269"/>
      </w:pPr>
      <w:rPr>
        <w:rFonts w:hint="default"/>
      </w:rPr>
    </w:lvl>
    <w:lvl w:ilvl="5" w:tplc="7CC2C0D4">
      <w:numFmt w:val="bullet"/>
      <w:lvlText w:val="•"/>
      <w:lvlJc w:val="left"/>
      <w:pPr>
        <w:ind w:left="6553" w:hanging="269"/>
      </w:pPr>
      <w:rPr>
        <w:rFonts w:hint="default"/>
      </w:rPr>
    </w:lvl>
    <w:lvl w:ilvl="6" w:tplc="16B226B4">
      <w:numFmt w:val="bullet"/>
      <w:lvlText w:val="•"/>
      <w:lvlJc w:val="left"/>
      <w:pPr>
        <w:ind w:left="7172" w:hanging="269"/>
      </w:pPr>
      <w:rPr>
        <w:rFonts w:hint="default"/>
      </w:rPr>
    </w:lvl>
    <w:lvl w:ilvl="7" w:tplc="14509CB4">
      <w:numFmt w:val="bullet"/>
      <w:lvlText w:val="•"/>
      <w:lvlJc w:val="left"/>
      <w:pPr>
        <w:ind w:left="7790" w:hanging="269"/>
      </w:pPr>
      <w:rPr>
        <w:rFonts w:hint="default"/>
      </w:rPr>
    </w:lvl>
    <w:lvl w:ilvl="8" w:tplc="3C3C154E">
      <w:numFmt w:val="bullet"/>
      <w:lvlText w:val="•"/>
      <w:lvlJc w:val="left"/>
      <w:pPr>
        <w:ind w:left="8409" w:hanging="269"/>
      </w:pPr>
      <w:rPr>
        <w:rFonts w:hint="default"/>
      </w:rPr>
    </w:lvl>
  </w:abstractNum>
  <w:num w:numId="1">
    <w:abstractNumId w:val="0"/>
  </w:num>
  <w:num w:numId="2">
    <w:abstractNumId w:val="1"/>
  </w:num>
  <w:num w:numId="3">
    <w:abstractNumId w:val="6"/>
  </w:num>
  <w:num w:numId="4">
    <w:abstractNumId w:val="3"/>
  </w:num>
  <w:num w:numId="5">
    <w:abstractNumId w:val="2"/>
  </w:num>
  <w:num w:numId="6">
    <w:abstractNumId w:val="9"/>
  </w:num>
  <w:num w:numId="7">
    <w:abstractNumId w:val="11"/>
  </w:num>
  <w:num w:numId="8">
    <w:abstractNumId w:val="7"/>
  </w:num>
  <w:num w:numId="9">
    <w:abstractNumId w:val="10"/>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8E"/>
    <w:rsid w:val="00001FCF"/>
    <w:rsid w:val="000241E7"/>
    <w:rsid w:val="000448CD"/>
    <w:rsid w:val="00052CDC"/>
    <w:rsid w:val="00064919"/>
    <w:rsid w:val="00074B7B"/>
    <w:rsid w:val="000A78A2"/>
    <w:rsid w:val="000B7BDC"/>
    <w:rsid w:val="000D71AB"/>
    <w:rsid w:val="000E77E9"/>
    <w:rsid w:val="00150867"/>
    <w:rsid w:val="001D1E1A"/>
    <w:rsid w:val="001D4FE5"/>
    <w:rsid w:val="001D5573"/>
    <w:rsid w:val="001D6056"/>
    <w:rsid w:val="001D6188"/>
    <w:rsid w:val="001D6842"/>
    <w:rsid w:val="00200D97"/>
    <w:rsid w:val="002033C6"/>
    <w:rsid w:val="00204E2C"/>
    <w:rsid w:val="0022161C"/>
    <w:rsid w:val="0022667A"/>
    <w:rsid w:val="002547B2"/>
    <w:rsid w:val="00277642"/>
    <w:rsid w:val="0028279E"/>
    <w:rsid w:val="002912E2"/>
    <w:rsid w:val="002B20B9"/>
    <w:rsid w:val="002C11E2"/>
    <w:rsid w:val="002C14A2"/>
    <w:rsid w:val="002C1DF0"/>
    <w:rsid w:val="002E08E6"/>
    <w:rsid w:val="00303A8B"/>
    <w:rsid w:val="0030460A"/>
    <w:rsid w:val="00327703"/>
    <w:rsid w:val="00334CAB"/>
    <w:rsid w:val="003418AD"/>
    <w:rsid w:val="0035528D"/>
    <w:rsid w:val="00356CF9"/>
    <w:rsid w:val="00357F8B"/>
    <w:rsid w:val="0037373D"/>
    <w:rsid w:val="003A21B4"/>
    <w:rsid w:val="003A2DB1"/>
    <w:rsid w:val="003B2314"/>
    <w:rsid w:val="003B79A9"/>
    <w:rsid w:val="003D7499"/>
    <w:rsid w:val="003F74B7"/>
    <w:rsid w:val="00404B40"/>
    <w:rsid w:val="00415018"/>
    <w:rsid w:val="00422DFA"/>
    <w:rsid w:val="00424CA3"/>
    <w:rsid w:val="00433265"/>
    <w:rsid w:val="0043377E"/>
    <w:rsid w:val="00437186"/>
    <w:rsid w:val="00450069"/>
    <w:rsid w:val="00456DBE"/>
    <w:rsid w:val="00470B47"/>
    <w:rsid w:val="00486648"/>
    <w:rsid w:val="00486709"/>
    <w:rsid w:val="00486770"/>
    <w:rsid w:val="004B7511"/>
    <w:rsid w:val="004D0150"/>
    <w:rsid w:val="004D5F71"/>
    <w:rsid w:val="005055AD"/>
    <w:rsid w:val="00532881"/>
    <w:rsid w:val="005425ED"/>
    <w:rsid w:val="00542DE0"/>
    <w:rsid w:val="0054531A"/>
    <w:rsid w:val="005523FD"/>
    <w:rsid w:val="00556BF4"/>
    <w:rsid w:val="00564275"/>
    <w:rsid w:val="005664D0"/>
    <w:rsid w:val="00570926"/>
    <w:rsid w:val="005D04EB"/>
    <w:rsid w:val="005D67BD"/>
    <w:rsid w:val="0061314D"/>
    <w:rsid w:val="006629FA"/>
    <w:rsid w:val="006C1D06"/>
    <w:rsid w:val="006C7EE2"/>
    <w:rsid w:val="006D1C28"/>
    <w:rsid w:val="006D7892"/>
    <w:rsid w:val="006E3460"/>
    <w:rsid w:val="006E671C"/>
    <w:rsid w:val="0070083A"/>
    <w:rsid w:val="007316D8"/>
    <w:rsid w:val="00733C40"/>
    <w:rsid w:val="00734EDA"/>
    <w:rsid w:val="0075533B"/>
    <w:rsid w:val="00764C7D"/>
    <w:rsid w:val="00772DC6"/>
    <w:rsid w:val="007753EF"/>
    <w:rsid w:val="007817C6"/>
    <w:rsid w:val="00781A0B"/>
    <w:rsid w:val="007935DF"/>
    <w:rsid w:val="007A5637"/>
    <w:rsid w:val="007B2C96"/>
    <w:rsid w:val="007E716C"/>
    <w:rsid w:val="007F616C"/>
    <w:rsid w:val="0080334D"/>
    <w:rsid w:val="0081455E"/>
    <w:rsid w:val="008177BD"/>
    <w:rsid w:val="008340DA"/>
    <w:rsid w:val="0084478E"/>
    <w:rsid w:val="00856A93"/>
    <w:rsid w:val="00862A19"/>
    <w:rsid w:val="00862AF2"/>
    <w:rsid w:val="00865DA5"/>
    <w:rsid w:val="00873FA1"/>
    <w:rsid w:val="00874E00"/>
    <w:rsid w:val="0088413A"/>
    <w:rsid w:val="00886B9E"/>
    <w:rsid w:val="008C578C"/>
    <w:rsid w:val="008C7DED"/>
    <w:rsid w:val="008F4630"/>
    <w:rsid w:val="008F7B1C"/>
    <w:rsid w:val="00902702"/>
    <w:rsid w:val="009143E8"/>
    <w:rsid w:val="00925713"/>
    <w:rsid w:val="009313D4"/>
    <w:rsid w:val="00950D67"/>
    <w:rsid w:val="00965CE8"/>
    <w:rsid w:val="00997C1E"/>
    <w:rsid w:val="009A5076"/>
    <w:rsid w:val="009C2F1B"/>
    <w:rsid w:val="009E5507"/>
    <w:rsid w:val="00A24CDC"/>
    <w:rsid w:val="00A34E84"/>
    <w:rsid w:val="00A4764C"/>
    <w:rsid w:val="00A605C8"/>
    <w:rsid w:val="00A97301"/>
    <w:rsid w:val="00AA432C"/>
    <w:rsid w:val="00AB1E99"/>
    <w:rsid w:val="00AB5C2D"/>
    <w:rsid w:val="00AC38D1"/>
    <w:rsid w:val="00AD443E"/>
    <w:rsid w:val="00AE0C61"/>
    <w:rsid w:val="00AE3B9A"/>
    <w:rsid w:val="00B41F46"/>
    <w:rsid w:val="00B7173F"/>
    <w:rsid w:val="00B75151"/>
    <w:rsid w:val="00B75BCD"/>
    <w:rsid w:val="00B9203E"/>
    <w:rsid w:val="00BA6C4E"/>
    <w:rsid w:val="00BA7C61"/>
    <w:rsid w:val="00BB3974"/>
    <w:rsid w:val="00BC0AFF"/>
    <w:rsid w:val="00BC119C"/>
    <w:rsid w:val="00BE5A22"/>
    <w:rsid w:val="00BF59DC"/>
    <w:rsid w:val="00BF660B"/>
    <w:rsid w:val="00C075D8"/>
    <w:rsid w:val="00C24A03"/>
    <w:rsid w:val="00C25E43"/>
    <w:rsid w:val="00C34F51"/>
    <w:rsid w:val="00C416A2"/>
    <w:rsid w:val="00C47554"/>
    <w:rsid w:val="00C80994"/>
    <w:rsid w:val="00C8144A"/>
    <w:rsid w:val="00C82247"/>
    <w:rsid w:val="00CB2B30"/>
    <w:rsid w:val="00CC1EE7"/>
    <w:rsid w:val="00CC31E2"/>
    <w:rsid w:val="00CD13FE"/>
    <w:rsid w:val="00CF6A43"/>
    <w:rsid w:val="00D21904"/>
    <w:rsid w:val="00D400DA"/>
    <w:rsid w:val="00D40383"/>
    <w:rsid w:val="00D7346D"/>
    <w:rsid w:val="00D750F7"/>
    <w:rsid w:val="00D95513"/>
    <w:rsid w:val="00DB2F49"/>
    <w:rsid w:val="00DD376D"/>
    <w:rsid w:val="00DE3206"/>
    <w:rsid w:val="00DF0E92"/>
    <w:rsid w:val="00E04466"/>
    <w:rsid w:val="00E3222B"/>
    <w:rsid w:val="00E44133"/>
    <w:rsid w:val="00E44707"/>
    <w:rsid w:val="00E60B69"/>
    <w:rsid w:val="00E641E9"/>
    <w:rsid w:val="00E71E0A"/>
    <w:rsid w:val="00E904A1"/>
    <w:rsid w:val="00EB5FBF"/>
    <w:rsid w:val="00EC244C"/>
    <w:rsid w:val="00EE1D99"/>
    <w:rsid w:val="00EF13D5"/>
    <w:rsid w:val="00F11D13"/>
    <w:rsid w:val="00F20DA5"/>
    <w:rsid w:val="00F36692"/>
    <w:rsid w:val="00F67055"/>
    <w:rsid w:val="00F8443B"/>
    <w:rsid w:val="00F86812"/>
    <w:rsid w:val="00FA0B15"/>
    <w:rsid w:val="00FA43AC"/>
    <w:rsid w:val="00FA45EF"/>
    <w:rsid w:val="00FD6B74"/>
    <w:rsid w:val="00FE17E5"/>
    <w:rsid w:val="00FF553C"/>
    <w:rsid w:val="00FF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1B11A"/>
  <w15:docId w15:val="{FF480A27-3B5F-4E53-8FC1-E5F2213E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8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5" w:hanging="568"/>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D21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904"/>
    <w:rPr>
      <w:rFonts w:ascii="Segoe UI" w:eastAsia="Times New Roman" w:hAnsi="Segoe UI" w:cs="Segoe UI"/>
      <w:sz w:val="18"/>
      <w:szCs w:val="18"/>
    </w:rPr>
  </w:style>
  <w:style w:type="paragraph" w:styleId="NoSpacing">
    <w:name w:val="No Spacing"/>
    <w:uiPriority w:val="1"/>
    <w:qFormat/>
    <w:rsid w:val="00200D97"/>
    <w:pPr>
      <w:widowControl/>
      <w:autoSpaceDE/>
      <w:autoSpaceDN/>
    </w:pPr>
    <w:rPr>
      <w:rFonts w:ascii="Times New Roman" w:eastAsia="Times New Roman" w:hAnsi="Times New Roman" w:cs="Times New Roman"/>
      <w:sz w:val="24"/>
      <w:szCs w:val="24"/>
    </w:rPr>
  </w:style>
  <w:style w:type="character" w:styleId="Hyperlink">
    <w:name w:val="Hyperlink"/>
    <w:basedOn w:val="DefaultParagraphFont"/>
    <w:rsid w:val="00200D97"/>
    <w:rPr>
      <w:color w:val="0000FF" w:themeColor="hyperlink"/>
      <w:u w:val="single"/>
    </w:rPr>
  </w:style>
  <w:style w:type="character" w:customStyle="1" w:styleId="BodyTextChar">
    <w:name w:val="Body Text Char"/>
    <w:basedOn w:val="DefaultParagraphFont"/>
    <w:link w:val="BodyText"/>
    <w:uiPriority w:val="1"/>
    <w:rsid w:val="007E716C"/>
    <w:rPr>
      <w:rFonts w:ascii="Times New Roman" w:eastAsia="Times New Roman" w:hAnsi="Times New Roman" w:cs="Times New Roman"/>
    </w:rPr>
  </w:style>
  <w:style w:type="paragraph" w:styleId="Header">
    <w:name w:val="header"/>
    <w:basedOn w:val="Normal"/>
    <w:link w:val="HeaderChar"/>
    <w:uiPriority w:val="99"/>
    <w:unhideWhenUsed/>
    <w:rsid w:val="00E04466"/>
    <w:pPr>
      <w:tabs>
        <w:tab w:val="center" w:pos="4680"/>
        <w:tab w:val="right" w:pos="9360"/>
      </w:tabs>
    </w:pPr>
  </w:style>
  <w:style w:type="character" w:customStyle="1" w:styleId="HeaderChar">
    <w:name w:val="Header Char"/>
    <w:basedOn w:val="DefaultParagraphFont"/>
    <w:link w:val="Header"/>
    <w:uiPriority w:val="99"/>
    <w:rsid w:val="00E04466"/>
    <w:rPr>
      <w:rFonts w:ascii="Times New Roman" w:eastAsia="Times New Roman" w:hAnsi="Times New Roman" w:cs="Times New Roman"/>
    </w:rPr>
  </w:style>
  <w:style w:type="paragraph" w:styleId="Revision">
    <w:name w:val="Revision"/>
    <w:hidden/>
    <w:uiPriority w:val="99"/>
    <w:semiHidden/>
    <w:rsid w:val="00E04466"/>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334CAB"/>
    <w:pPr>
      <w:tabs>
        <w:tab w:val="center" w:pos="4680"/>
        <w:tab w:val="right" w:pos="9360"/>
      </w:tabs>
    </w:pPr>
  </w:style>
  <w:style w:type="character" w:customStyle="1" w:styleId="FooterChar">
    <w:name w:val="Footer Char"/>
    <w:basedOn w:val="DefaultParagraphFont"/>
    <w:link w:val="Footer"/>
    <w:uiPriority w:val="99"/>
    <w:rsid w:val="00334CAB"/>
    <w:rPr>
      <w:rFonts w:ascii="Times New Roman" w:eastAsia="Times New Roman" w:hAnsi="Times New Roman" w:cs="Times New Roman"/>
    </w:rPr>
  </w:style>
  <w:style w:type="paragraph" w:customStyle="1" w:styleId="NASLOV123">
    <w:name w:val="NASLOV 123"/>
    <w:basedOn w:val="Normal"/>
    <w:qFormat/>
    <w:rsid w:val="005D67BD"/>
    <w:pPr>
      <w:widowControl/>
      <w:tabs>
        <w:tab w:val="left" w:pos="284"/>
      </w:tabs>
      <w:autoSpaceDE/>
      <w:autoSpaceDN/>
      <w:spacing w:before="200" w:after="2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E7CFC-80ED-49B6-9899-EF586908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4301</Words>
  <Characters>24518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Azacitidine Accord, INN-azacitidine</vt:lpstr>
    </vt:vector>
  </TitlesOfParts>
  <Company>PHOENIX Pharma d.o.o.</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Azacitidine Accord, INN-azacitidine</dc:title>
  <dc:subject>EPAR</dc:subject>
  <dc:creator>CHMP</dc:creator>
  <cp:keywords>Azacitidine Accord, INN-azacitidine</cp:keywords>
  <cp:lastModifiedBy>Tatjana Banković</cp:lastModifiedBy>
  <cp:revision>4</cp:revision>
  <dcterms:created xsi:type="dcterms:W3CDTF">2022-12-26T11:21:00Z</dcterms:created>
  <dcterms:modified xsi:type="dcterms:W3CDTF">2022-12-26T11:42:00Z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2013</vt:lpwstr>
  </property>
  <property fmtid="{D5CDD505-2E9C-101B-9397-08002B2CF9AE}" pid="4" name="LastSaved">
    <vt:filetime>2021-07-12T00:00:00Z</vt:filetime>
  </property>
</Properties>
</file>